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6AB7CE">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hint="eastAsia" w:ascii="方正小标宋简体" w:eastAsia="方正小标宋简体" w:cs="方正小标宋简体"/>
          <w:b/>
          <w:bCs/>
          <w:sz w:val="48"/>
          <w:szCs w:val="48"/>
          <w:lang w:eastAsia="zh-CN"/>
        </w:rPr>
      </w:pPr>
      <w:bookmarkStart w:id="0" w:name="_Toc15377425"/>
      <w:bookmarkStart w:id="1" w:name="_Toc15396597"/>
      <w:bookmarkStart w:id="2" w:name="_Toc15396475"/>
      <w:bookmarkStart w:id="3" w:name="_Toc15377193"/>
      <w:bookmarkStart w:id="4" w:name="_Toc15378441"/>
      <w:r>
        <w:rPr>
          <w:rFonts w:hint="eastAsia" w:ascii="方正小标宋简体" w:eastAsia="方正小标宋简体" w:cs="方正小标宋简体"/>
          <w:b/>
          <w:bCs/>
          <w:sz w:val="48"/>
          <w:szCs w:val="48"/>
          <w:lang w:eastAsia="zh-CN"/>
        </w:rPr>
        <w:t>202</w:t>
      </w:r>
      <w:r>
        <w:rPr>
          <w:rFonts w:hint="eastAsia" w:ascii="方正小标宋简体" w:eastAsia="方正小标宋简体" w:cs="方正小标宋简体"/>
          <w:b/>
          <w:bCs/>
          <w:sz w:val="48"/>
          <w:szCs w:val="48"/>
          <w:lang w:val="en-US" w:eastAsia="zh-CN"/>
        </w:rPr>
        <w:t>6</w:t>
      </w:r>
      <w:r>
        <w:rPr>
          <w:rFonts w:hint="eastAsia" w:ascii="方正小标宋简体" w:eastAsia="方正小标宋简体" w:cs="方正小标宋简体"/>
          <w:b/>
          <w:bCs/>
          <w:sz w:val="48"/>
          <w:szCs w:val="48"/>
          <w:lang w:eastAsia="zh-CN"/>
        </w:rPr>
        <w:t>年度</w:t>
      </w:r>
      <w:bookmarkEnd w:id="0"/>
      <w:bookmarkEnd w:id="1"/>
      <w:bookmarkEnd w:id="2"/>
      <w:bookmarkEnd w:id="3"/>
      <w:bookmarkEnd w:id="4"/>
    </w:p>
    <w:p w14:paraId="2A2B9582">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hint="default" w:ascii="方正小标宋简体" w:eastAsia="方正小标宋简体" w:cs="方正小标宋简体"/>
          <w:b/>
          <w:bCs/>
          <w:sz w:val="48"/>
          <w:szCs w:val="48"/>
          <w:lang w:val="en-US" w:eastAsia="zh-CN"/>
        </w:rPr>
      </w:pPr>
      <w:bookmarkStart w:id="5" w:name="_Toc15378442"/>
      <w:bookmarkStart w:id="6" w:name="_Toc15306268"/>
      <w:bookmarkStart w:id="7" w:name="_Toc15396476"/>
      <w:bookmarkStart w:id="8" w:name="_Toc15377426"/>
      <w:bookmarkStart w:id="9" w:name="_Toc15396598"/>
      <w:bookmarkStart w:id="10" w:name="_Toc15377194"/>
      <w:r>
        <w:rPr>
          <w:rFonts w:hint="eastAsia" w:ascii="方正小标宋简体" w:eastAsia="方正小标宋简体" w:cs="方正小标宋简体"/>
          <w:b/>
          <w:bCs/>
          <w:sz w:val="48"/>
          <w:szCs w:val="48"/>
          <w:lang w:eastAsia="zh-CN"/>
        </w:rPr>
        <w:t>红原县</w:t>
      </w:r>
      <w:bookmarkEnd w:id="5"/>
      <w:bookmarkEnd w:id="6"/>
      <w:bookmarkEnd w:id="7"/>
      <w:bookmarkEnd w:id="8"/>
      <w:bookmarkEnd w:id="9"/>
      <w:bookmarkEnd w:id="10"/>
      <w:r>
        <w:rPr>
          <w:rFonts w:hint="eastAsia" w:ascii="方正小标宋简体" w:eastAsia="方正小标宋简体" w:cs="方正小标宋简体"/>
          <w:b/>
          <w:bCs/>
          <w:sz w:val="48"/>
          <w:szCs w:val="48"/>
          <w:lang w:val="en-US" w:eastAsia="zh-CN"/>
        </w:rPr>
        <w:t>委社会工作部</w:t>
      </w:r>
    </w:p>
    <w:p w14:paraId="294F47E2">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hint="eastAsia" w:ascii="方正小标宋简体" w:eastAsia="方正小标宋简体" w:cs="方正小标宋简体"/>
          <w:b/>
          <w:bCs/>
          <w:sz w:val="72"/>
          <w:szCs w:val="72"/>
          <w:lang w:eastAsia="zh-CN"/>
        </w:rPr>
      </w:pPr>
      <w:r>
        <w:rPr>
          <w:rFonts w:hint="eastAsia" w:ascii="方正小标宋简体" w:eastAsia="方正小标宋简体" w:cs="方正小标宋简体"/>
          <w:b/>
          <w:bCs/>
          <w:sz w:val="48"/>
          <w:szCs w:val="48"/>
          <w:lang w:eastAsia="zh-CN"/>
        </w:rPr>
        <w:t>预算公开编制说明</w:t>
      </w:r>
    </w:p>
    <w:p w14:paraId="7C6C0303">
      <w:pPr>
        <w:pStyle w:val="3"/>
        <w:pageBreakBefore w:val="0"/>
        <w:kinsoku/>
        <w:wordWrap/>
        <w:overflowPunct/>
        <w:topLinePunct w:val="0"/>
        <w:bidi w:val="0"/>
        <w:spacing w:before="93" w:line="576" w:lineRule="exact"/>
      </w:pPr>
    </w:p>
    <w:p w14:paraId="7B38C8E3">
      <w:pPr>
        <w:pStyle w:val="3"/>
        <w:pageBreakBefore w:val="0"/>
        <w:kinsoku/>
        <w:wordWrap/>
        <w:overflowPunct/>
        <w:topLinePunct w:val="0"/>
        <w:bidi w:val="0"/>
        <w:spacing w:before="93" w:line="576" w:lineRule="exact"/>
      </w:pPr>
    </w:p>
    <w:p w14:paraId="429299B5">
      <w:pPr>
        <w:pStyle w:val="3"/>
        <w:pageBreakBefore w:val="0"/>
        <w:kinsoku/>
        <w:wordWrap/>
        <w:overflowPunct/>
        <w:topLinePunct w:val="0"/>
        <w:bidi w:val="0"/>
        <w:spacing w:before="93" w:line="576" w:lineRule="exact"/>
      </w:pPr>
    </w:p>
    <w:p w14:paraId="11500CBC">
      <w:pPr>
        <w:pStyle w:val="3"/>
        <w:pageBreakBefore w:val="0"/>
        <w:kinsoku/>
        <w:wordWrap/>
        <w:overflowPunct/>
        <w:topLinePunct w:val="0"/>
        <w:bidi w:val="0"/>
        <w:spacing w:before="93" w:line="576" w:lineRule="exact"/>
        <w:jc w:val="center"/>
        <w:rPr>
          <w:rFonts w:hint="eastAsia" w:cs="仿宋_GB2312"/>
          <w:sz w:val="32"/>
          <w:szCs w:val="32"/>
        </w:rPr>
      </w:pPr>
      <w:bookmarkStart w:id="11" w:name="_Hlk113547609"/>
    </w:p>
    <w:p w14:paraId="19B2BB36">
      <w:pPr>
        <w:pStyle w:val="3"/>
        <w:pageBreakBefore w:val="0"/>
        <w:kinsoku/>
        <w:wordWrap/>
        <w:overflowPunct/>
        <w:topLinePunct w:val="0"/>
        <w:bidi w:val="0"/>
        <w:spacing w:before="93" w:line="576" w:lineRule="exact"/>
        <w:jc w:val="center"/>
        <w:rPr>
          <w:rFonts w:hint="eastAsia" w:cs="仿宋_GB2312"/>
          <w:sz w:val="32"/>
          <w:szCs w:val="32"/>
        </w:rPr>
      </w:pPr>
    </w:p>
    <w:p w14:paraId="7138623F">
      <w:pPr>
        <w:pStyle w:val="3"/>
        <w:pageBreakBefore w:val="0"/>
        <w:kinsoku/>
        <w:wordWrap/>
        <w:overflowPunct/>
        <w:topLinePunct w:val="0"/>
        <w:bidi w:val="0"/>
        <w:spacing w:before="93" w:line="576" w:lineRule="exact"/>
        <w:jc w:val="center"/>
        <w:rPr>
          <w:rFonts w:hint="eastAsia" w:cs="仿宋_GB2312"/>
          <w:sz w:val="32"/>
          <w:szCs w:val="32"/>
        </w:rPr>
      </w:pPr>
    </w:p>
    <w:p w14:paraId="06E4F0B8">
      <w:pPr>
        <w:pStyle w:val="3"/>
        <w:pageBreakBefore w:val="0"/>
        <w:kinsoku/>
        <w:wordWrap/>
        <w:overflowPunct/>
        <w:topLinePunct w:val="0"/>
        <w:bidi w:val="0"/>
        <w:spacing w:before="93" w:line="576" w:lineRule="exact"/>
        <w:jc w:val="center"/>
        <w:rPr>
          <w:rFonts w:hint="eastAsia" w:cs="仿宋_GB2312"/>
          <w:sz w:val="32"/>
          <w:szCs w:val="32"/>
        </w:rPr>
      </w:pPr>
    </w:p>
    <w:p w14:paraId="472806B5">
      <w:pPr>
        <w:pStyle w:val="3"/>
        <w:pageBreakBefore w:val="0"/>
        <w:kinsoku/>
        <w:wordWrap/>
        <w:overflowPunct/>
        <w:topLinePunct w:val="0"/>
        <w:bidi w:val="0"/>
        <w:spacing w:before="93" w:line="576" w:lineRule="exact"/>
        <w:jc w:val="both"/>
        <w:rPr>
          <w:rFonts w:hint="eastAsia" w:cs="仿宋_GB2312"/>
          <w:sz w:val="32"/>
          <w:szCs w:val="32"/>
        </w:rPr>
      </w:pPr>
    </w:p>
    <w:p w14:paraId="70722E58">
      <w:pPr>
        <w:pStyle w:val="3"/>
        <w:pageBreakBefore w:val="0"/>
        <w:kinsoku/>
        <w:wordWrap/>
        <w:overflowPunct/>
        <w:topLinePunct w:val="0"/>
        <w:bidi w:val="0"/>
        <w:spacing w:before="93" w:line="576" w:lineRule="exact"/>
        <w:jc w:val="center"/>
        <w:rPr>
          <w:rFonts w:hint="eastAsia" w:cs="仿宋_GB2312"/>
          <w:sz w:val="32"/>
          <w:szCs w:val="32"/>
        </w:rPr>
      </w:pPr>
    </w:p>
    <w:p w14:paraId="51F50838">
      <w:pPr>
        <w:pStyle w:val="3"/>
        <w:pageBreakBefore w:val="0"/>
        <w:kinsoku/>
        <w:wordWrap/>
        <w:overflowPunct/>
        <w:topLinePunct w:val="0"/>
        <w:bidi w:val="0"/>
        <w:spacing w:before="93" w:line="576" w:lineRule="exact"/>
        <w:jc w:val="center"/>
        <w:rPr>
          <w:rFonts w:hint="eastAsia" w:ascii="方正黑体_GBK" w:hAnsi="方正黑体_GBK" w:eastAsia="方正黑体_GBK" w:cs="方正黑体_GBK"/>
          <w:sz w:val="36"/>
          <w:szCs w:val="32"/>
        </w:rPr>
      </w:pPr>
      <w:r>
        <w:rPr>
          <w:rFonts w:hint="eastAsia" w:ascii="方正黑体_GBK" w:hAnsi="方正黑体_GBK" w:eastAsia="方正黑体_GBK" w:cs="方正黑体_GBK"/>
          <w:sz w:val="40"/>
          <w:szCs w:val="40"/>
        </w:rPr>
        <w:t>已经保密审查、内容审定，同意对外公开</w:t>
      </w:r>
      <w:bookmarkEnd w:id="11"/>
    </w:p>
    <w:p w14:paraId="7904EBA9">
      <w:pPr>
        <w:pStyle w:val="6"/>
        <w:pageBreakBefore w:val="0"/>
        <w:kinsoku/>
        <w:wordWrap/>
        <w:overflowPunct/>
        <w:topLinePunct w:val="0"/>
        <w:bidi w:val="0"/>
        <w:spacing w:line="576" w:lineRule="exact"/>
        <w:rPr>
          <w:rFonts w:hint="eastAsia"/>
        </w:rPr>
      </w:pPr>
    </w:p>
    <w:p w14:paraId="4C9E6A24">
      <w:pPr>
        <w:pStyle w:val="6"/>
        <w:pageBreakBefore w:val="0"/>
        <w:kinsoku/>
        <w:wordWrap/>
        <w:overflowPunct/>
        <w:topLinePunct w:val="0"/>
        <w:bidi w:val="0"/>
        <w:spacing w:line="576" w:lineRule="exact"/>
        <w:jc w:val="both"/>
        <w:rPr>
          <w:rFonts w:hint="eastAsia"/>
        </w:rPr>
      </w:pPr>
    </w:p>
    <w:p w14:paraId="04BA98F1">
      <w:pPr>
        <w:pageBreakBefore w:val="0"/>
        <w:widowControl/>
        <w:kinsoku/>
        <w:wordWrap/>
        <w:overflowPunct/>
        <w:topLinePunct w:val="0"/>
        <w:bidi w:val="0"/>
        <w:spacing w:line="576" w:lineRule="exact"/>
        <w:jc w:val="center"/>
        <w:rPr>
          <w:rFonts w:hint="eastAsia" w:ascii="方正小标宋_GBK" w:hAnsi="方正小标宋_GBK" w:eastAsia="方正小标宋_GBK" w:cs="方正小标宋_GBK"/>
          <w:sz w:val="44"/>
          <w:szCs w:val="44"/>
        </w:rPr>
        <w:sectPr>
          <w:pgSz w:w="11906" w:h="16838"/>
          <w:pgMar w:top="1440" w:right="1800" w:bottom="1440" w:left="1800" w:header="851" w:footer="992" w:gutter="0"/>
          <w:pgNumType w:fmt="decimal" w:start="1"/>
          <w:cols w:space="425" w:num="1"/>
          <w:docGrid w:type="lines" w:linePitch="312" w:charSpace="0"/>
        </w:sectPr>
      </w:pPr>
    </w:p>
    <w:p w14:paraId="51E2EBED">
      <w:pPr>
        <w:pageBreakBefore w:val="0"/>
        <w:widowControl/>
        <w:kinsoku/>
        <w:wordWrap/>
        <w:overflowPunct/>
        <w:topLinePunct w:val="0"/>
        <w:bidi w:val="0"/>
        <w:spacing w:line="576" w:lineRule="exact"/>
        <w:jc w:val="center"/>
        <w:rPr>
          <w:rFonts w:ascii="黑体" w:eastAsia="黑体"/>
          <w:sz w:val="48"/>
          <w:szCs w:val="48"/>
        </w:rPr>
      </w:pPr>
      <w:r>
        <w:rPr>
          <w:rFonts w:hint="eastAsia" w:ascii="方正小标宋_GBK" w:hAnsi="方正小标宋_GBK" w:eastAsia="方正小标宋_GBK" w:cs="方正小标宋_GBK"/>
          <w:sz w:val="44"/>
          <w:szCs w:val="44"/>
        </w:rPr>
        <w:t>目</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录</w:t>
      </w:r>
    </w:p>
    <w:p w14:paraId="667EE396">
      <w:pPr>
        <w:pageBreakBefore w:val="0"/>
        <w:widowControl/>
        <w:kinsoku/>
        <w:wordWrap/>
        <w:overflowPunct/>
        <w:topLinePunct w:val="0"/>
        <w:bidi w:val="0"/>
        <w:spacing w:line="576" w:lineRule="exact"/>
        <w:jc w:val="center"/>
        <w:rPr>
          <w:rFonts w:ascii="黑体" w:eastAsia="黑体" w:cs="Arial"/>
          <w:sz w:val="28"/>
          <w:szCs w:val="28"/>
        </w:rPr>
      </w:pPr>
    </w:p>
    <w:p w14:paraId="24003EFB">
      <w:pPr>
        <w:pStyle w:val="7"/>
        <w:keepNext w:val="0"/>
        <w:keepLines w:val="0"/>
        <w:pageBreakBefore w:val="0"/>
        <w:widowControl w:val="0"/>
        <w:numPr>
          <w:ilvl w:val="0"/>
          <w:numId w:val="1"/>
        </w:numPr>
        <w:kinsoku/>
        <w:wordWrap/>
        <w:overflowPunct/>
        <w:topLinePunct w:val="0"/>
        <w:autoSpaceDE/>
        <w:autoSpaceDN/>
        <w:bidi w:val="0"/>
        <w:adjustRightInd w:val="0"/>
        <w:snapToGrid w:val="0"/>
        <w:spacing w:line="576" w:lineRule="exact"/>
        <w:ind w:left="420"/>
        <w:jc w:val="left"/>
        <w:textAlignment w:val="auto"/>
        <w:rPr>
          <w:rFonts w:hint="eastAsia" w:ascii="楷体_GB2312" w:hAnsi="楷体_GB2312" w:eastAsia="楷体_GB2312" w:cs="楷体_GB2312"/>
          <w:b/>
          <w:bCs/>
          <w:sz w:val="28"/>
          <w:szCs w:val="28"/>
          <w:lang w:eastAsia="zh-CN"/>
        </w:rPr>
      </w:pPr>
      <w:r>
        <w:rPr>
          <w:rFonts w:hint="eastAsia" w:ascii="楷体_GB2312" w:hAnsi="楷体_GB2312" w:eastAsia="楷体_GB2312" w:cs="楷体_GB2312"/>
          <w:b/>
          <w:bCs/>
          <w:sz w:val="28"/>
          <w:szCs w:val="28"/>
          <w:lang w:eastAsia="zh-CN"/>
        </w:rPr>
        <w:t>基本职能及主要工作</w:t>
      </w:r>
      <w:r>
        <w:rPr>
          <w:rFonts w:hint="eastAsia" w:ascii="楷体_GB2312" w:hAnsi="楷体_GB2312" w:eastAsia="楷体_GB2312" w:cs="楷体_GB2312"/>
          <w:b/>
          <w:bCs/>
          <w:sz w:val="28"/>
          <w:szCs w:val="28"/>
          <w:lang w:val="en-US" w:eastAsia="zh-CN"/>
        </w:rPr>
        <w:t>...............................4</w:t>
      </w:r>
    </w:p>
    <w:p w14:paraId="1DC059ED">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560" w:firstLineChars="200"/>
        <w:textAlignment w:val="auto"/>
        <w:rPr>
          <w:rFonts w:hint="eastAsia" w:ascii="楷体_GB2312" w:hAnsi="楷体_GB2312" w:eastAsia="楷体_GB2312" w:cs="楷体_GB2312"/>
          <w:b w:val="0"/>
          <w:bCs w:val="0"/>
          <w:kern w:val="2"/>
          <w:sz w:val="28"/>
          <w:szCs w:val="28"/>
          <w:lang w:val="en-US" w:eastAsia="zh-CN" w:bidi="ar-SA"/>
        </w:rPr>
      </w:pPr>
      <w:r>
        <w:rPr>
          <w:rFonts w:hint="eastAsia" w:ascii="楷体_GB2312" w:hAnsi="楷体_GB2312" w:eastAsia="楷体_GB2312" w:cs="楷体_GB2312"/>
          <w:b w:val="0"/>
          <w:bCs w:val="0"/>
          <w:sz w:val="28"/>
          <w:szCs w:val="28"/>
        </w:rPr>
        <w:t>基本职能</w:t>
      </w:r>
      <w:r>
        <w:rPr>
          <w:rFonts w:hint="eastAsia" w:ascii="楷体_GB2312" w:hAnsi="楷体_GB2312" w:eastAsia="楷体_GB2312" w:cs="楷体_GB2312"/>
          <w:b/>
          <w:bCs/>
          <w:sz w:val="28"/>
          <w:szCs w:val="28"/>
          <w:lang w:val="en-US" w:eastAsia="zh-CN"/>
        </w:rPr>
        <w:t>......................................4</w:t>
      </w:r>
    </w:p>
    <w:p w14:paraId="51409B6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楷体_GB2312" w:hAnsi="楷体_GB2312" w:eastAsia="楷体_GB2312" w:cs="楷体_GB2312"/>
          <w:kern w:val="2"/>
          <w:sz w:val="28"/>
          <w:szCs w:val="28"/>
          <w:lang w:val="en-US" w:eastAsia="zh-CN" w:bidi="ar-SA"/>
        </w:rPr>
      </w:pPr>
      <w:r>
        <w:rPr>
          <w:rFonts w:hint="eastAsia" w:ascii="楷体_GB2312" w:hAnsi="楷体_GB2312" w:eastAsia="楷体_GB2312" w:cs="楷体_GB2312"/>
          <w:kern w:val="2"/>
          <w:sz w:val="28"/>
          <w:szCs w:val="28"/>
          <w:lang w:val="en-US" w:eastAsia="zh-CN" w:bidi="ar-SA"/>
        </w:rPr>
        <w:t>（二）2025年重点工作任务</w:t>
      </w:r>
      <w:r>
        <w:rPr>
          <w:rFonts w:hint="eastAsia" w:ascii="楷体_GB2312" w:hAnsi="楷体_GB2312" w:eastAsia="楷体_GB2312" w:cs="楷体_GB2312"/>
          <w:b/>
          <w:bCs/>
          <w:sz w:val="28"/>
          <w:szCs w:val="28"/>
          <w:lang w:val="en-US" w:eastAsia="zh-CN"/>
        </w:rPr>
        <w:t>............................6</w:t>
      </w:r>
    </w:p>
    <w:p w14:paraId="591C52D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0" w:leftChars="200" w:firstLine="0" w:firstLineChars="0"/>
        <w:textAlignment w:val="auto"/>
        <w:rPr>
          <w:rFonts w:hint="eastAsia"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部门预算单位构成</w:t>
      </w:r>
      <w:r>
        <w:rPr>
          <w:rFonts w:hint="eastAsia" w:ascii="楷体_GB2312" w:hAnsi="楷体_GB2312" w:eastAsia="楷体_GB2312" w:cs="楷体_GB2312"/>
          <w:b/>
          <w:bCs/>
          <w:sz w:val="28"/>
          <w:szCs w:val="28"/>
          <w:lang w:val="en-US" w:eastAsia="zh-CN"/>
        </w:rPr>
        <w:t>.................................8</w:t>
      </w:r>
    </w:p>
    <w:p w14:paraId="3005F2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三、收支预算总体情况</w:t>
      </w:r>
      <w:r>
        <w:rPr>
          <w:rFonts w:hint="eastAsia" w:ascii="楷体_GB2312" w:hAnsi="楷体_GB2312" w:eastAsia="楷体_GB2312" w:cs="楷体_GB2312"/>
          <w:b/>
          <w:bCs/>
          <w:sz w:val="28"/>
          <w:szCs w:val="28"/>
          <w:lang w:val="en-US" w:eastAsia="zh-CN"/>
        </w:rPr>
        <w:t>.................................8</w:t>
      </w:r>
    </w:p>
    <w:p w14:paraId="325FBE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四、支出预算安排情况</w:t>
      </w:r>
      <w:r>
        <w:rPr>
          <w:rFonts w:hint="eastAsia" w:ascii="楷体_GB2312" w:hAnsi="楷体_GB2312" w:eastAsia="楷体_GB2312" w:cs="楷体_GB2312"/>
          <w:b/>
          <w:bCs/>
          <w:sz w:val="28"/>
          <w:szCs w:val="28"/>
          <w:lang w:val="en-US" w:eastAsia="zh-CN"/>
        </w:rPr>
        <w:t>.................................8</w:t>
      </w:r>
    </w:p>
    <w:p w14:paraId="79A888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五、较上年度增减变化</w:t>
      </w:r>
      <w:r>
        <w:rPr>
          <w:rFonts w:hint="eastAsia" w:ascii="楷体_GB2312" w:hAnsi="楷体_GB2312" w:eastAsia="楷体_GB2312" w:cs="楷体_GB2312"/>
          <w:b/>
          <w:bCs/>
          <w:sz w:val="28"/>
          <w:szCs w:val="28"/>
          <w:lang w:val="en-US" w:eastAsia="zh-CN"/>
        </w:rPr>
        <w:t>.................................10</w:t>
      </w:r>
    </w:p>
    <w:p w14:paraId="1196C9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六、“三公”经费预算</w:t>
      </w:r>
      <w:r>
        <w:rPr>
          <w:rFonts w:hint="eastAsia" w:ascii="楷体_GB2312" w:hAnsi="楷体_GB2312" w:eastAsia="楷体_GB2312" w:cs="楷体_GB2312"/>
          <w:b/>
          <w:bCs/>
          <w:sz w:val="28"/>
          <w:szCs w:val="28"/>
          <w:lang w:val="en-US" w:eastAsia="zh-CN"/>
        </w:rPr>
        <w:t>.................................10</w:t>
      </w:r>
    </w:p>
    <w:p w14:paraId="45997E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七、政府性基金预算收支情况说明</w:t>
      </w:r>
      <w:r>
        <w:rPr>
          <w:rFonts w:hint="eastAsia" w:ascii="楷体_GB2312" w:hAnsi="楷体_GB2312" w:eastAsia="楷体_GB2312" w:cs="楷体_GB2312"/>
          <w:b/>
          <w:bCs/>
          <w:sz w:val="28"/>
          <w:szCs w:val="28"/>
          <w:lang w:val="en-US" w:eastAsia="zh-CN"/>
        </w:rPr>
        <w:t>......................10</w:t>
      </w:r>
    </w:p>
    <w:p w14:paraId="122AF4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八、国有资本经营预算收支情况说明</w:t>
      </w:r>
      <w:r>
        <w:rPr>
          <w:rFonts w:hint="eastAsia" w:ascii="楷体_GB2312" w:hAnsi="楷体_GB2312" w:eastAsia="楷体_GB2312" w:cs="楷体_GB2312"/>
          <w:b/>
          <w:bCs/>
          <w:sz w:val="28"/>
          <w:szCs w:val="28"/>
          <w:lang w:val="en-US" w:eastAsia="zh-CN"/>
        </w:rPr>
        <w:t>....................10</w:t>
      </w:r>
    </w:p>
    <w:p w14:paraId="60CB1F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九、其他重要事项的情况说明</w:t>
      </w:r>
      <w:r>
        <w:rPr>
          <w:rFonts w:hint="eastAsia" w:ascii="楷体_GB2312" w:hAnsi="楷体_GB2312" w:eastAsia="楷体_GB2312" w:cs="楷体_GB2312"/>
          <w:b/>
          <w:bCs/>
          <w:sz w:val="28"/>
          <w:szCs w:val="28"/>
          <w:lang w:val="en-US" w:eastAsia="zh-CN"/>
        </w:rPr>
        <w:t>..........................10</w:t>
      </w:r>
    </w:p>
    <w:p w14:paraId="4F4A50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kern w:val="2"/>
          <w:sz w:val="28"/>
          <w:szCs w:val="28"/>
          <w:lang w:val="en-US" w:eastAsia="zh-CN" w:bidi="ar-SA"/>
        </w:rPr>
      </w:pPr>
      <w:r>
        <w:rPr>
          <w:rFonts w:hint="eastAsia" w:ascii="楷体_GB2312" w:hAnsi="楷体_GB2312" w:eastAsia="楷体_GB2312" w:cs="楷体_GB2312"/>
          <w:kern w:val="2"/>
          <w:sz w:val="28"/>
          <w:szCs w:val="28"/>
          <w:lang w:val="en-US" w:eastAsia="zh-CN" w:bidi="ar-SA"/>
        </w:rPr>
        <w:t>（一）政府采购预算情况 </w:t>
      </w:r>
      <w:r>
        <w:rPr>
          <w:rFonts w:hint="eastAsia" w:ascii="楷体_GB2312" w:hAnsi="楷体_GB2312" w:eastAsia="楷体_GB2312" w:cs="楷体_GB2312"/>
          <w:b/>
          <w:bCs/>
          <w:sz w:val="28"/>
          <w:szCs w:val="28"/>
          <w:lang w:val="en-US" w:eastAsia="zh-CN"/>
        </w:rPr>
        <w:t>.............................10</w:t>
      </w:r>
    </w:p>
    <w:p w14:paraId="499EF6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kern w:val="2"/>
          <w:sz w:val="28"/>
          <w:szCs w:val="28"/>
          <w:lang w:val="en-US" w:eastAsia="zh-CN" w:bidi="ar-SA"/>
        </w:rPr>
      </w:pPr>
      <w:r>
        <w:rPr>
          <w:rFonts w:hint="eastAsia" w:ascii="楷体_GB2312" w:hAnsi="楷体_GB2312" w:eastAsia="楷体_GB2312" w:cs="楷体_GB2312"/>
          <w:kern w:val="2"/>
          <w:sz w:val="28"/>
          <w:szCs w:val="28"/>
          <w:lang w:val="en-US" w:eastAsia="zh-CN" w:bidi="ar-SA"/>
        </w:rPr>
        <w:t>（二）政府财政国有资产占用情况</w:t>
      </w:r>
      <w:r>
        <w:rPr>
          <w:rFonts w:hint="eastAsia" w:ascii="楷体_GB2312" w:hAnsi="楷体_GB2312" w:eastAsia="楷体_GB2312" w:cs="楷体_GB2312"/>
          <w:b/>
          <w:bCs/>
          <w:sz w:val="28"/>
          <w:szCs w:val="28"/>
          <w:lang w:val="en-US" w:eastAsia="zh-CN"/>
        </w:rPr>
        <w:t>...........,,.........10</w:t>
      </w:r>
    </w:p>
    <w:p w14:paraId="05CEFA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kern w:val="2"/>
          <w:sz w:val="28"/>
          <w:szCs w:val="28"/>
          <w:lang w:val="en-US" w:eastAsia="zh-CN" w:bidi="ar-SA"/>
        </w:rPr>
      </w:pPr>
      <w:r>
        <w:rPr>
          <w:rFonts w:hint="eastAsia" w:ascii="楷体_GB2312" w:hAnsi="楷体_GB2312" w:eastAsia="楷体_GB2312" w:cs="楷体_GB2312"/>
          <w:kern w:val="2"/>
          <w:sz w:val="28"/>
          <w:szCs w:val="28"/>
          <w:lang w:val="en-US" w:eastAsia="zh-CN" w:bidi="ar-SA"/>
        </w:rPr>
        <w:t>（三）绩效目标设置情况</w:t>
      </w:r>
      <w:r>
        <w:rPr>
          <w:rFonts w:hint="eastAsia" w:ascii="楷体_GB2312" w:hAnsi="楷体_GB2312" w:eastAsia="楷体_GB2312" w:cs="楷体_GB2312"/>
          <w:b/>
          <w:bCs/>
          <w:sz w:val="28"/>
          <w:szCs w:val="28"/>
          <w:lang w:val="en-US" w:eastAsia="zh-CN"/>
        </w:rPr>
        <w:t>..............................11</w:t>
      </w:r>
    </w:p>
    <w:p w14:paraId="0CA760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十、名词解释</w:t>
      </w:r>
      <w:r>
        <w:rPr>
          <w:rFonts w:hint="eastAsia" w:ascii="楷体_GB2312" w:hAnsi="楷体_GB2312" w:eastAsia="楷体_GB2312" w:cs="楷体_GB2312"/>
          <w:b/>
          <w:bCs/>
          <w:sz w:val="28"/>
          <w:szCs w:val="28"/>
          <w:lang w:val="en-US" w:eastAsia="zh-CN"/>
        </w:rPr>
        <w:t>........................................11</w:t>
      </w:r>
    </w:p>
    <w:p w14:paraId="2C30C6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b/>
          <w:bCs/>
          <w:kern w:val="2"/>
          <w:sz w:val="28"/>
          <w:szCs w:val="28"/>
          <w:lang w:val="en-US" w:eastAsia="zh-CN" w:bidi="ar-SA"/>
        </w:rPr>
        <w:t>附件：</w:t>
      </w:r>
      <w:r>
        <w:rPr>
          <w:rFonts w:hint="eastAsia" w:ascii="楷体_GB2312" w:hAnsi="楷体_GB2312" w:eastAsia="楷体_GB2312" w:cs="楷体_GB2312"/>
          <w:sz w:val="28"/>
          <w:szCs w:val="28"/>
        </w:rPr>
        <w:t>表1.</w:t>
      </w:r>
      <w:r>
        <w:rPr>
          <w:rFonts w:hint="eastAsia" w:ascii="楷体_GB2312" w:hAnsi="楷体_GB2312" w:eastAsia="楷体_GB2312" w:cs="楷体_GB2312"/>
          <w:sz w:val="28"/>
          <w:szCs w:val="28"/>
          <w:lang w:val="en-US" w:eastAsia="zh-CN"/>
        </w:rPr>
        <w:t>部门收支</w:t>
      </w:r>
      <w:r>
        <w:rPr>
          <w:rFonts w:hint="eastAsia" w:ascii="楷体_GB2312" w:hAnsi="楷体_GB2312" w:eastAsia="楷体_GB2312" w:cs="楷体_GB2312"/>
          <w:sz w:val="28"/>
          <w:szCs w:val="28"/>
        </w:rPr>
        <w:t>总表</w:t>
      </w:r>
      <w:r>
        <w:rPr>
          <w:rFonts w:hint="eastAsia" w:ascii="楷体_GB2312" w:hAnsi="楷体_GB2312" w:eastAsia="楷体_GB2312" w:cs="楷体_GB2312"/>
          <w:b/>
          <w:bCs/>
          <w:sz w:val="28"/>
          <w:szCs w:val="28"/>
          <w:lang w:val="en-US" w:eastAsia="zh-CN"/>
        </w:rPr>
        <w:t>..............................11</w:t>
      </w:r>
    </w:p>
    <w:p w14:paraId="58E038D7">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sz w:val="28"/>
          <w:szCs w:val="28"/>
        </w:rPr>
        <w:t>表2.</w:t>
      </w:r>
      <w:r>
        <w:rPr>
          <w:rFonts w:hint="eastAsia" w:ascii="楷体_GB2312" w:hAnsi="楷体_GB2312" w:eastAsia="楷体_GB2312" w:cs="楷体_GB2312"/>
          <w:sz w:val="28"/>
          <w:szCs w:val="28"/>
          <w:lang w:val="en-US" w:eastAsia="zh-CN"/>
        </w:rPr>
        <w:t>部门收入总</w:t>
      </w:r>
      <w:r>
        <w:rPr>
          <w:rFonts w:hint="eastAsia" w:ascii="楷体_GB2312" w:hAnsi="楷体_GB2312" w:eastAsia="楷体_GB2312" w:cs="楷体_GB2312"/>
          <w:sz w:val="28"/>
          <w:szCs w:val="28"/>
        </w:rPr>
        <w:t>表</w:t>
      </w:r>
      <w:r>
        <w:rPr>
          <w:rFonts w:hint="eastAsia" w:ascii="楷体_GB2312" w:hAnsi="楷体_GB2312" w:eastAsia="楷体_GB2312" w:cs="楷体_GB2312"/>
          <w:b/>
          <w:bCs/>
          <w:sz w:val="28"/>
          <w:szCs w:val="28"/>
          <w:lang w:val="en-US" w:eastAsia="zh-CN"/>
        </w:rPr>
        <w:t>.................................11</w:t>
      </w:r>
    </w:p>
    <w:p w14:paraId="4685C280">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sz w:val="28"/>
          <w:szCs w:val="28"/>
        </w:rPr>
        <w:t>表3.</w:t>
      </w:r>
      <w:r>
        <w:rPr>
          <w:rFonts w:hint="eastAsia" w:ascii="楷体_GB2312" w:hAnsi="楷体_GB2312" w:eastAsia="楷体_GB2312" w:cs="楷体_GB2312"/>
          <w:sz w:val="28"/>
          <w:szCs w:val="28"/>
          <w:lang w:val="en-US" w:eastAsia="zh-CN"/>
        </w:rPr>
        <w:t>部门支出总</w:t>
      </w:r>
      <w:r>
        <w:rPr>
          <w:rFonts w:hint="eastAsia" w:ascii="楷体_GB2312" w:hAnsi="楷体_GB2312" w:eastAsia="楷体_GB2312" w:cs="楷体_GB2312"/>
          <w:sz w:val="28"/>
          <w:szCs w:val="28"/>
        </w:rPr>
        <w:t>表</w:t>
      </w:r>
      <w:r>
        <w:rPr>
          <w:rFonts w:hint="eastAsia" w:ascii="楷体_GB2312" w:hAnsi="楷体_GB2312" w:eastAsia="楷体_GB2312" w:cs="楷体_GB2312"/>
          <w:b/>
          <w:bCs/>
          <w:sz w:val="28"/>
          <w:szCs w:val="28"/>
          <w:lang w:val="en-US" w:eastAsia="zh-CN"/>
        </w:rPr>
        <w:t>.................................12</w:t>
      </w:r>
    </w:p>
    <w:p w14:paraId="6F373C37">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rPr>
        <w:t>表4.</w:t>
      </w:r>
      <w:r>
        <w:rPr>
          <w:rFonts w:hint="eastAsia" w:ascii="楷体_GB2312" w:hAnsi="楷体_GB2312" w:eastAsia="楷体_GB2312" w:cs="楷体_GB2312"/>
          <w:sz w:val="28"/>
          <w:szCs w:val="28"/>
          <w:lang w:val="en-US" w:eastAsia="zh-CN"/>
        </w:rPr>
        <w:t>财政拨款收支预算总表</w:t>
      </w:r>
      <w:r>
        <w:rPr>
          <w:rFonts w:hint="eastAsia" w:ascii="楷体_GB2312" w:hAnsi="楷体_GB2312" w:eastAsia="楷体_GB2312" w:cs="楷体_GB2312"/>
          <w:b/>
          <w:bCs/>
          <w:sz w:val="28"/>
          <w:szCs w:val="28"/>
          <w:lang w:val="en-US" w:eastAsia="zh-CN"/>
        </w:rPr>
        <w:t>.........................12</w:t>
      </w:r>
      <w:r>
        <w:rPr>
          <w:rFonts w:hint="eastAsia" w:ascii="楷体_GB2312" w:hAnsi="楷体_GB2312" w:eastAsia="楷体_GB2312" w:cs="楷体_GB2312"/>
          <w:sz w:val="28"/>
          <w:szCs w:val="28"/>
          <w:lang w:val="en-US" w:eastAsia="zh-CN"/>
        </w:rPr>
        <w:t xml:space="preserve">  </w:t>
      </w:r>
    </w:p>
    <w:p w14:paraId="55823D51">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sz w:val="28"/>
          <w:szCs w:val="28"/>
        </w:rPr>
        <w:t>表5.</w:t>
      </w:r>
      <w:r>
        <w:rPr>
          <w:rFonts w:hint="eastAsia" w:ascii="楷体_GB2312" w:hAnsi="楷体_GB2312" w:eastAsia="楷体_GB2312" w:cs="楷体_GB2312"/>
          <w:sz w:val="28"/>
          <w:szCs w:val="28"/>
          <w:lang w:val="en-US" w:eastAsia="zh-CN"/>
        </w:rPr>
        <w:t>财政拨款支出预算</w:t>
      </w:r>
      <w:r>
        <w:rPr>
          <w:rFonts w:hint="eastAsia" w:ascii="楷体_GB2312" w:hAnsi="楷体_GB2312" w:eastAsia="楷体_GB2312" w:cs="楷体_GB2312"/>
          <w:sz w:val="28"/>
          <w:szCs w:val="28"/>
        </w:rPr>
        <w:t>表</w:t>
      </w:r>
      <w:r>
        <w:rPr>
          <w:rFonts w:hint="eastAsia" w:ascii="楷体_GB2312" w:hAnsi="楷体_GB2312" w:eastAsia="楷体_GB2312" w:cs="楷体_GB2312"/>
          <w:sz w:val="28"/>
          <w:szCs w:val="28"/>
          <w:lang w:val="en-US" w:eastAsia="zh-CN"/>
        </w:rPr>
        <w:t>（部门经济分类科目）..</w:t>
      </w:r>
      <w:r>
        <w:rPr>
          <w:rFonts w:hint="eastAsia" w:ascii="楷体_GB2312" w:hAnsi="楷体_GB2312" w:eastAsia="楷体_GB2312" w:cs="楷体_GB2312"/>
          <w:b/>
          <w:bCs/>
          <w:sz w:val="28"/>
          <w:szCs w:val="28"/>
          <w:lang w:val="en-US" w:eastAsia="zh-CN"/>
        </w:rPr>
        <w:t>.....12</w:t>
      </w:r>
    </w:p>
    <w:p w14:paraId="7E93ED44">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sz w:val="28"/>
          <w:szCs w:val="28"/>
        </w:rPr>
        <w:t>表6.</w:t>
      </w:r>
      <w:r>
        <w:rPr>
          <w:rFonts w:hint="eastAsia" w:ascii="楷体_GB2312" w:hAnsi="楷体_GB2312" w:eastAsia="楷体_GB2312" w:cs="楷体_GB2312"/>
          <w:sz w:val="28"/>
          <w:szCs w:val="28"/>
          <w:lang w:val="en-US" w:eastAsia="zh-CN"/>
        </w:rPr>
        <w:t>一般公共预算支出预算</w:t>
      </w:r>
      <w:r>
        <w:rPr>
          <w:rFonts w:hint="eastAsia" w:ascii="楷体_GB2312" w:hAnsi="楷体_GB2312" w:eastAsia="楷体_GB2312" w:cs="楷体_GB2312"/>
          <w:sz w:val="28"/>
          <w:szCs w:val="28"/>
        </w:rPr>
        <w:t>表</w:t>
      </w:r>
      <w:r>
        <w:rPr>
          <w:rFonts w:hint="eastAsia" w:ascii="楷体_GB2312" w:hAnsi="楷体_GB2312" w:eastAsia="楷体_GB2312" w:cs="楷体_GB2312"/>
          <w:b/>
          <w:bCs/>
          <w:sz w:val="28"/>
          <w:szCs w:val="28"/>
          <w:lang w:val="en-US" w:eastAsia="zh-CN"/>
        </w:rPr>
        <w:t>.......................12</w:t>
      </w:r>
    </w:p>
    <w:p w14:paraId="4498EA57">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sz w:val="28"/>
          <w:szCs w:val="28"/>
        </w:rPr>
        <w:t>表7.</w:t>
      </w:r>
      <w:r>
        <w:rPr>
          <w:rFonts w:hint="eastAsia" w:ascii="楷体_GB2312" w:hAnsi="楷体_GB2312" w:eastAsia="楷体_GB2312" w:cs="楷体_GB2312"/>
          <w:sz w:val="28"/>
          <w:szCs w:val="28"/>
          <w:lang w:val="en-US" w:eastAsia="zh-CN"/>
        </w:rPr>
        <w:t>一般公共预算基本支出预算表</w:t>
      </w:r>
      <w:r>
        <w:rPr>
          <w:rFonts w:hint="eastAsia" w:ascii="楷体_GB2312" w:hAnsi="楷体_GB2312" w:eastAsia="楷体_GB2312" w:cs="楷体_GB2312"/>
          <w:b/>
          <w:bCs/>
          <w:sz w:val="28"/>
          <w:szCs w:val="28"/>
          <w:lang w:val="en-US" w:eastAsia="zh-CN"/>
        </w:rPr>
        <w:t>..................12</w:t>
      </w:r>
    </w:p>
    <w:p w14:paraId="10967455">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sz w:val="28"/>
          <w:szCs w:val="28"/>
        </w:rPr>
        <w:t>表8.</w:t>
      </w:r>
      <w:r>
        <w:rPr>
          <w:rFonts w:hint="eastAsia" w:ascii="楷体_GB2312" w:hAnsi="楷体_GB2312" w:eastAsia="楷体_GB2312" w:cs="楷体_GB2312"/>
          <w:sz w:val="28"/>
          <w:szCs w:val="28"/>
          <w:lang w:val="en-US" w:eastAsia="zh-CN"/>
        </w:rPr>
        <w:t>一般公共预算项目支出预算表</w:t>
      </w:r>
      <w:r>
        <w:rPr>
          <w:rFonts w:hint="eastAsia" w:ascii="楷体_GB2312" w:hAnsi="楷体_GB2312" w:eastAsia="楷体_GB2312" w:cs="楷体_GB2312"/>
          <w:b/>
          <w:bCs/>
          <w:sz w:val="28"/>
          <w:szCs w:val="28"/>
          <w:lang w:val="en-US" w:eastAsia="zh-CN"/>
        </w:rPr>
        <w:t>..................12</w:t>
      </w:r>
    </w:p>
    <w:p w14:paraId="66BC7F71">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sz w:val="28"/>
          <w:szCs w:val="28"/>
        </w:rPr>
        <w:t>表9.</w:t>
      </w:r>
      <w:r>
        <w:rPr>
          <w:rFonts w:hint="eastAsia" w:ascii="楷体_GB2312" w:hAnsi="楷体_GB2312" w:eastAsia="楷体_GB2312" w:cs="楷体_GB2312"/>
          <w:sz w:val="28"/>
          <w:szCs w:val="28"/>
          <w:lang w:val="en-US" w:eastAsia="zh-CN"/>
        </w:rPr>
        <w:t>一般公共预算“三公”经费支出预算表</w:t>
      </w:r>
      <w:r>
        <w:rPr>
          <w:rFonts w:hint="eastAsia" w:ascii="楷体_GB2312" w:hAnsi="楷体_GB2312" w:eastAsia="楷体_GB2312" w:cs="楷体_GB2312"/>
          <w:b/>
          <w:bCs/>
          <w:sz w:val="28"/>
          <w:szCs w:val="28"/>
          <w:lang w:val="en-US" w:eastAsia="zh-CN"/>
        </w:rPr>
        <w:t>..........12</w:t>
      </w:r>
    </w:p>
    <w:p w14:paraId="437D2C6B">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b/>
          <w:bCs/>
          <w:sz w:val="28"/>
          <w:szCs w:val="28"/>
          <w:lang w:val="en-US" w:eastAsia="zh-CN"/>
        </w:rPr>
      </w:pPr>
      <w:r>
        <w:rPr>
          <w:rFonts w:hint="eastAsia" w:ascii="楷体_GB2312" w:hAnsi="楷体_GB2312" w:eastAsia="楷体_GB2312" w:cs="楷体_GB2312"/>
          <w:sz w:val="28"/>
          <w:szCs w:val="28"/>
        </w:rPr>
        <w:t>表10.</w:t>
      </w:r>
      <w:r>
        <w:rPr>
          <w:rFonts w:hint="eastAsia" w:ascii="楷体_GB2312" w:hAnsi="楷体_GB2312" w:eastAsia="楷体_GB2312" w:cs="楷体_GB2312"/>
          <w:sz w:val="28"/>
          <w:szCs w:val="28"/>
          <w:lang w:val="en-US" w:eastAsia="zh-CN"/>
        </w:rPr>
        <w:t>政府性基金支出预算表......................</w:t>
      </w:r>
      <w:r>
        <w:rPr>
          <w:rFonts w:hint="eastAsia" w:ascii="楷体_GB2312" w:hAnsi="楷体_GB2312" w:eastAsia="楷体_GB2312" w:cs="楷体_GB2312"/>
          <w:b/>
          <w:bCs/>
          <w:sz w:val="28"/>
          <w:szCs w:val="28"/>
          <w:lang w:val="en-US" w:eastAsia="zh-CN"/>
        </w:rPr>
        <w:t>.12</w:t>
      </w:r>
    </w:p>
    <w:p w14:paraId="51900802">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b/>
          <w:bCs/>
          <w:sz w:val="28"/>
          <w:szCs w:val="28"/>
          <w:lang w:val="en-US" w:eastAsia="zh-CN"/>
        </w:rPr>
      </w:pPr>
      <w:r>
        <w:rPr>
          <w:rFonts w:hint="eastAsia" w:ascii="楷体_GB2312" w:hAnsi="楷体_GB2312" w:eastAsia="楷体_GB2312" w:cs="楷体_GB2312"/>
          <w:sz w:val="28"/>
          <w:szCs w:val="28"/>
          <w:lang w:val="en-US" w:eastAsia="zh-CN"/>
        </w:rPr>
        <w:t>表11.政府性基金预算“三公经费”支出预算表.</w:t>
      </w:r>
      <w:r>
        <w:rPr>
          <w:rFonts w:hint="eastAsia" w:ascii="楷体_GB2312" w:hAnsi="楷体_GB2312" w:eastAsia="楷体_GB2312" w:cs="楷体_GB2312"/>
          <w:b/>
          <w:bCs/>
          <w:sz w:val="28"/>
          <w:szCs w:val="28"/>
          <w:lang w:val="en-US" w:eastAsia="zh-CN"/>
        </w:rPr>
        <w:t>......12</w:t>
      </w:r>
    </w:p>
    <w:p w14:paraId="7E3B098D">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b/>
          <w:bCs/>
          <w:sz w:val="28"/>
          <w:szCs w:val="28"/>
          <w:lang w:val="en-US" w:eastAsia="zh-CN"/>
        </w:rPr>
      </w:pPr>
      <w:r>
        <w:rPr>
          <w:rFonts w:hint="eastAsia" w:ascii="楷体_GB2312" w:hAnsi="楷体_GB2312" w:eastAsia="楷体_GB2312" w:cs="楷体_GB2312"/>
          <w:sz w:val="28"/>
          <w:szCs w:val="28"/>
          <w:lang w:val="en-US" w:eastAsia="zh-CN"/>
        </w:rPr>
        <w:t>表12.国有资本经营预算支出预算表..</w:t>
      </w:r>
      <w:r>
        <w:rPr>
          <w:rFonts w:hint="eastAsia" w:ascii="楷体_GB2312" w:hAnsi="楷体_GB2312" w:eastAsia="楷体_GB2312" w:cs="楷体_GB2312"/>
          <w:b/>
          <w:bCs/>
          <w:sz w:val="28"/>
          <w:szCs w:val="28"/>
          <w:lang w:val="en-US" w:eastAsia="zh-CN"/>
        </w:rPr>
        <w:t>...............12</w:t>
      </w:r>
    </w:p>
    <w:p w14:paraId="7F824E06">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b/>
          <w:bCs/>
          <w:sz w:val="28"/>
          <w:szCs w:val="28"/>
          <w:lang w:val="en-US" w:eastAsia="zh-CN"/>
        </w:rPr>
      </w:pPr>
      <w:r>
        <w:rPr>
          <w:rFonts w:hint="eastAsia" w:ascii="楷体_GB2312" w:hAnsi="楷体_GB2312" w:eastAsia="楷体_GB2312" w:cs="楷体_GB2312"/>
          <w:sz w:val="28"/>
          <w:szCs w:val="28"/>
          <w:lang w:val="en-US" w:eastAsia="zh-CN"/>
        </w:rPr>
        <w:t>表13.部门项目支出绩效目标表（2024年度）  .</w:t>
      </w:r>
      <w:r>
        <w:rPr>
          <w:rFonts w:hint="eastAsia" w:ascii="楷体_GB2312" w:hAnsi="楷体_GB2312" w:eastAsia="楷体_GB2312" w:cs="楷体_GB2312"/>
          <w:b/>
          <w:bCs/>
          <w:sz w:val="28"/>
          <w:szCs w:val="28"/>
          <w:lang w:val="en-US" w:eastAsia="zh-CN"/>
        </w:rPr>
        <w:t>......12</w:t>
      </w:r>
      <w:bookmarkStart w:id="12" w:name="_GoBack"/>
      <w:bookmarkEnd w:id="12"/>
    </w:p>
    <w:p w14:paraId="1EBC5DEC">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楷体_GB2312" w:hAnsi="楷体_GB2312" w:eastAsia="楷体_GB2312" w:cs="楷体_GB2312"/>
          <w:sz w:val="28"/>
          <w:szCs w:val="28"/>
        </w:rPr>
      </w:pPr>
    </w:p>
    <w:p w14:paraId="2FD48AA4">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楷体_GB2312" w:hAnsi="楷体_GB2312" w:eastAsia="楷体_GB2312" w:cs="楷体_GB2312"/>
          <w:sz w:val="28"/>
          <w:szCs w:val="28"/>
        </w:rPr>
      </w:pPr>
    </w:p>
    <w:p w14:paraId="4ADB8158">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楷体_GB2312" w:hAnsi="楷体_GB2312" w:eastAsia="楷体_GB2312" w:cs="楷体_GB2312"/>
          <w:sz w:val="28"/>
          <w:szCs w:val="28"/>
        </w:rPr>
      </w:pPr>
    </w:p>
    <w:p w14:paraId="43753D9E">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楷体_GB2312" w:hAnsi="楷体_GB2312" w:eastAsia="楷体_GB2312" w:cs="楷体_GB2312"/>
          <w:sz w:val="28"/>
          <w:szCs w:val="28"/>
        </w:rPr>
      </w:pPr>
    </w:p>
    <w:p w14:paraId="53DAF2D0">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楷体_GB2312" w:hAnsi="楷体_GB2312" w:eastAsia="楷体_GB2312" w:cs="楷体_GB2312"/>
          <w:sz w:val="28"/>
          <w:szCs w:val="28"/>
        </w:rPr>
      </w:pPr>
    </w:p>
    <w:p w14:paraId="4B2A703C">
      <w:pPr>
        <w:pStyle w:val="2"/>
        <w:ind w:left="1398" w:leftChars="399" w:hanging="560" w:hangingChars="200"/>
        <w:rPr>
          <w:rFonts w:hint="default"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 xml:space="preserve">           </w:t>
      </w:r>
    </w:p>
    <w:p w14:paraId="369121D0">
      <w:pPr>
        <w:pStyle w:val="3"/>
        <w:rPr>
          <w:rFonts w:hint="eastAsia"/>
          <w:lang w:val="en-US" w:eastAsia="zh-CN"/>
        </w:rPr>
      </w:pPr>
    </w:p>
    <w:p w14:paraId="12AF963E">
      <w:pPr>
        <w:pStyle w:val="3"/>
        <w:rPr>
          <w:rFonts w:hint="eastAsia"/>
          <w:lang w:val="en-US" w:eastAsia="zh-CN"/>
        </w:rPr>
      </w:pPr>
    </w:p>
    <w:p w14:paraId="695E5AE4">
      <w:pPr>
        <w:pStyle w:val="3"/>
        <w:rPr>
          <w:rFonts w:hint="eastAsia"/>
          <w:lang w:val="en-US" w:eastAsia="zh-CN"/>
        </w:rPr>
      </w:pPr>
    </w:p>
    <w:p w14:paraId="001E661A">
      <w:pPr>
        <w:pStyle w:val="3"/>
        <w:rPr>
          <w:rFonts w:hint="eastAsia"/>
          <w:lang w:val="en-US" w:eastAsia="zh-CN"/>
        </w:rPr>
      </w:pPr>
    </w:p>
    <w:p w14:paraId="705D53BD">
      <w:pPr>
        <w:pStyle w:val="3"/>
        <w:rPr>
          <w:rFonts w:hint="eastAsia"/>
          <w:lang w:val="en-US" w:eastAsia="zh-CN"/>
        </w:rPr>
      </w:pPr>
    </w:p>
    <w:p w14:paraId="7D08E657">
      <w:pPr>
        <w:pStyle w:val="3"/>
        <w:rPr>
          <w:rFonts w:hint="eastAsia"/>
          <w:lang w:val="en-US" w:eastAsia="zh-CN"/>
        </w:rPr>
      </w:pPr>
    </w:p>
    <w:p w14:paraId="0B4C35FA">
      <w:pPr>
        <w:pStyle w:val="3"/>
        <w:rPr>
          <w:rFonts w:hint="eastAsia"/>
          <w:lang w:val="en-US" w:eastAsia="zh-CN"/>
        </w:rPr>
      </w:pPr>
    </w:p>
    <w:p w14:paraId="488CB017">
      <w:pPr>
        <w:pStyle w:val="3"/>
        <w:rPr>
          <w:rFonts w:hint="eastAsia"/>
          <w:lang w:val="en-US" w:eastAsia="zh-CN"/>
        </w:rPr>
      </w:pPr>
    </w:p>
    <w:p w14:paraId="46C8662F">
      <w:pPr>
        <w:pStyle w:val="3"/>
        <w:adjustRightInd w:val="0"/>
        <w:snapToGrid w:val="0"/>
        <w:spacing w:before="93" w:line="560" w:lineRule="exact"/>
        <w:ind w:firstLine="640" w:firstLineChars="200"/>
        <w:rPr>
          <w:rFonts w:hAnsi="仿宋_GB2312" w:cs="仿宋_GB2312"/>
          <w:b/>
          <w:sz w:val="32"/>
          <w:szCs w:val="32"/>
        </w:rPr>
      </w:pPr>
      <w:r>
        <w:rPr>
          <w:rFonts w:hint="eastAsia" w:hAnsi="仿宋_GB2312" w:cs="仿宋_GB2312"/>
          <w:sz w:val="32"/>
          <w:szCs w:val="32"/>
        </w:rPr>
        <w:t>按照预算管理有关规定，目前部门预算的编制实行综合预算制度，即全部收入和支出都反映在预算中。</w:t>
      </w:r>
    </w:p>
    <w:p w14:paraId="1E69B04E">
      <w:pPr>
        <w:spacing w:line="56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一、基本职能及主要工作</w:t>
      </w:r>
    </w:p>
    <w:p w14:paraId="5327C194">
      <w:pPr>
        <w:pStyle w:val="3"/>
        <w:adjustRightInd w:val="0"/>
        <w:snapToGrid w:val="0"/>
        <w:spacing w:before="93" w:line="560" w:lineRule="exact"/>
        <w:ind w:firstLine="675" w:firstLineChars="210"/>
        <w:rPr>
          <w:rFonts w:ascii="楷体" w:hAnsi="楷体" w:eastAsia="楷体" w:cs="楷体"/>
          <w:b/>
          <w:sz w:val="32"/>
          <w:szCs w:val="32"/>
        </w:rPr>
      </w:pPr>
      <w:r>
        <w:rPr>
          <w:rFonts w:hint="eastAsia" w:ascii="楷体" w:hAnsi="楷体" w:eastAsia="楷体" w:cs="楷体"/>
          <w:b/>
          <w:sz w:val="32"/>
          <w:szCs w:val="32"/>
        </w:rPr>
        <w:t>（一）基本职能</w:t>
      </w:r>
    </w:p>
    <w:p w14:paraId="52C67B5A">
      <w:pPr>
        <w:pStyle w:val="15"/>
        <w:widowControl/>
        <w:wordWrap/>
        <w:autoSpaceDE w:val="0"/>
        <w:adjustRightInd/>
        <w:snapToGrid/>
        <w:spacing w:before="0" w:beforeAutospacing="0" w:afterAutospacing="0" w:line="540" w:lineRule="exact"/>
        <w:ind w:left="0" w:firstLine="640" w:firstLineChars="200"/>
        <w:jc w:val="left"/>
        <w:textAlignment w:val="auto"/>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 xml:space="preserve">(一)研究相关理论、政策和规划，负责相关地方性法规草案及规范性文件的组织实施。深入调查研究，及时向县委报告工作情况并提出建议。 </w:t>
      </w:r>
    </w:p>
    <w:p w14:paraId="2021CCEE">
      <w:pPr>
        <w:pStyle w:val="15"/>
        <w:widowControl/>
        <w:wordWrap/>
        <w:autoSpaceDE w:val="0"/>
        <w:adjustRightInd/>
        <w:snapToGrid/>
        <w:spacing w:before="0" w:beforeAutospacing="0" w:afterAutospacing="0" w:line="540" w:lineRule="exact"/>
        <w:ind w:left="0" w:firstLine="640" w:firstLineChars="200"/>
        <w:jc w:val="left"/>
        <w:textAlignment w:val="auto"/>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 xml:space="preserve">(二)统筹指导全县群众利益协调、诉求表达、矛盾调处、权益保障等人民信访工作，协调解决人民群众急难愁盼的重大问题。指导人民建议征集工作，负责征集、办理公民、法人和其他组织提出的意见建议，向县委、县政府及时反映公民、法人和其他组织对党和国家事业发展提出的重要意见建议。 </w:t>
      </w:r>
    </w:p>
    <w:p w14:paraId="5DC55E6C">
      <w:pPr>
        <w:pStyle w:val="15"/>
        <w:widowControl/>
        <w:wordWrap/>
        <w:autoSpaceDE w:val="0"/>
        <w:adjustRightInd/>
        <w:snapToGrid/>
        <w:spacing w:before="0" w:beforeAutospacing="0" w:afterAutospacing="0" w:line="540" w:lineRule="exact"/>
        <w:ind w:left="0" w:firstLine="640" w:firstLineChars="200"/>
        <w:jc w:val="left"/>
        <w:textAlignment w:val="auto"/>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(三)统筹推进党建引领基层治理和基层政权建设，协调推进城乡社区治理体系、服务体系和治理能力建设，推动基层民主政治建设，指导监督基层层群众自治制度的有效实施，健全基层群众自治机制。</w:t>
      </w:r>
    </w:p>
    <w:p w14:paraId="75CDB077">
      <w:pPr>
        <w:pStyle w:val="15"/>
        <w:widowControl/>
        <w:wordWrap/>
        <w:autoSpaceDE w:val="0"/>
        <w:adjustRightInd/>
        <w:snapToGrid/>
        <w:spacing w:before="0" w:beforeAutospacing="0" w:afterAutospacing="0" w:line="540" w:lineRule="exact"/>
        <w:ind w:left="0" w:firstLine="640" w:firstLineChars="200"/>
        <w:jc w:val="left"/>
        <w:textAlignment w:val="auto"/>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四)负责“两新”工委职责、全县性社会组织党的建设职贵。指导全县性社会组织党建工作，统一领导全县行业协会商会党的工作，承办全县行业协会商会负责人人选的审核。协调推动全县行业协会商会深化改革和转型发展，调查研究相关重大问题。</w:t>
      </w:r>
    </w:p>
    <w:p w14:paraId="651DBA3B">
      <w:pPr>
        <w:pStyle w:val="15"/>
        <w:widowControl/>
        <w:wordWrap/>
        <w:autoSpaceDE w:val="0"/>
        <w:adjustRightInd/>
        <w:snapToGrid/>
        <w:spacing w:before="0" w:beforeAutospacing="0" w:afterAutospacing="0" w:line="240" w:lineRule="auto"/>
        <w:ind w:left="0" w:firstLine="0" w:firstLineChars="0"/>
        <w:jc w:val="left"/>
        <w:textAlignment w:val="auto"/>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 xml:space="preserve">(五)负责调查研究非公有制经济组织、社会组织服务管理工作有关问题并提出政策建议等职责;指导、推动落实全县混合所有制企业、非公有制企业和新经济组织、新社会组织、新就业群体(以下简称“两企三新”)党建工作，指导协调相关企业单位、社会组织、就业群体中党员的教育、管理、监督和服务工作，研究完善相关领域群众利益协调机制。                                                                                      (六)负责全县志愿服务工作的统筹规划、协调指导、督促始奇，指导推动社会工作人才队伍建设、志愿服务人才队伍建设和阵地建设，以及志愿者服务组织的规范管理工作，协调推动社会工作服务体系和志愿服务体系建设。 </w:t>
      </w:r>
    </w:p>
    <w:p w14:paraId="31DE527B">
      <w:pPr>
        <w:pStyle w:val="15"/>
        <w:widowControl/>
        <w:wordWrap/>
        <w:autoSpaceDE w:val="0"/>
        <w:adjustRightInd/>
        <w:snapToGrid/>
        <w:spacing w:before="0" w:beforeAutospacing="0" w:afterAutospacing="0" w:line="540" w:lineRule="exact"/>
        <w:ind w:left="0" w:firstLine="640" w:firstLineChars="200"/>
        <w:jc w:val="left"/>
        <w:textAlignment w:val="auto"/>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(七）负责指导城乡社区治理体系和治理能力建设、拟订社会工作政策等职责。</w:t>
      </w:r>
    </w:p>
    <w:p w14:paraId="415D785C">
      <w:pPr>
        <w:pStyle w:val="15"/>
        <w:widowControl/>
        <w:wordWrap/>
        <w:autoSpaceDE w:val="0"/>
        <w:adjustRightInd/>
        <w:snapToGrid/>
        <w:spacing w:before="0" w:beforeAutospacing="0" w:afterAutospacing="0" w:line="540" w:lineRule="exact"/>
        <w:ind w:left="0" w:firstLine="640" w:firstLineChars="200"/>
        <w:jc w:val="left"/>
        <w:textAlignment w:val="auto"/>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(八)负责人民建议征集工作，负责征集、办理公民、法人和其他组织提出的意见建议，向县委、县政府及时反映公民、法人和其他组织对党和国家事业发展提出的重要意见建议。</w:t>
      </w:r>
    </w:p>
    <w:p w14:paraId="05A3060D">
      <w:pPr>
        <w:pStyle w:val="15"/>
        <w:widowControl/>
        <w:wordWrap/>
        <w:autoSpaceDE w:val="0"/>
        <w:adjustRightInd/>
        <w:snapToGrid/>
        <w:spacing w:before="0" w:beforeAutospacing="0" w:afterAutospacing="0" w:line="540" w:lineRule="exact"/>
        <w:ind w:left="0" w:firstLine="640" w:firstLineChars="200"/>
        <w:jc w:val="left"/>
        <w:textAlignment w:val="auto"/>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(九)负责推进党建引领基层治理和基层政权建设，协调推进城乡社区治理体系、服务体系和治理能力建设，推动基层民主政治建设，指导监督基层群众自治制度的有效实施，健全基层群众自治机制。</w:t>
      </w:r>
    </w:p>
    <w:p w14:paraId="1C24A7D9">
      <w:pPr>
        <w:pStyle w:val="15"/>
        <w:widowControl/>
        <w:wordWrap/>
        <w:autoSpaceDE w:val="0"/>
        <w:adjustRightInd/>
        <w:snapToGrid/>
        <w:spacing w:before="0" w:beforeAutospacing="0" w:afterAutospacing="0" w:line="540" w:lineRule="exact"/>
        <w:jc w:val="left"/>
        <w:textAlignment w:val="auto"/>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 xml:space="preserve">   （十）负责全县性社会组织党建工作，统领导全县性行业协会南会党的工作，承办全县性行业协会商会负责人人选的审核。协调推动全县行业协会商会深化改革和转型发展，调查研究相关重大问题。</w:t>
      </w:r>
    </w:p>
    <w:p w14:paraId="08910BF2">
      <w:pPr>
        <w:pStyle w:val="7"/>
        <w:ind w:left="0" w:firstLine="320" w:firstLineChars="100"/>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（十一）负责推动落实全县“两企三新”党建工作，指导协调相关企业单位、社会组织、就业群体中党员的教育、管理、监督和服务工作，研究完善相关领域群众利益协调机制。</w:t>
      </w:r>
    </w:p>
    <w:p w14:paraId="74BCCDFD">
      <w:pPr>
        <w:ind w:firstLine="320" w:firstLineChars="100"/>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（十二）负责全县志愿服务工作的统筹规划、协调指导、督促检查。指导推动社会工作人才队伍建设、志愿服务人才队伍建设和阵地建设。组织开展全县性、示范性志愿服务重大活动。</w:t>
      </w:r>
    </w:p>
    <w:p w14:paraId="4369A195">
      <w:pPr>
        <w:ind w:firstLine="320" w:firstLineChars="100"/>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color w:val="000000"/>
          <w:kern w:val="2"/>
          <w:sz w:val="32"/>
          <w:szCs w:val="32"/>
          <w:u w:val="none"/>
          <w:lang w:val="en-US" w:eastAsia="zh-CN" w:bidi="ar-SA"/>
        </w:rPr>
        <w:t>(十三)完成县委、县委社会工作部交办的其他任务。</w:t>
      </w:r>
    </w:p>
    <w:p w14:paraId="7CE3A2DD">
      <w:pPr>
        <w:pStyle w:val="3"/>
        <w:adjustRightInd w:val="0"/>
        <w:snapToGrid w:val="0"/>
        <w:spacing w:before="93" w:line="560" w:lineRule="exact"/>
        <w:ind w:firstLine="675" w:firstLineChars="210"/>
        <w:rPr>
          <w:rFonts w:ascii="楷体" w:hAnsi="楷体" w:eastAsia="楷体" w:cs="楷体"/>
          <w:b/>
          <w:sz w:val="32"/>
          <w:szCs w:val="32"/>
        </w:rPr>
      </w:pPr>
      <w:r>
        <w:rPr>
          <w:rFonts w:hint="eastAsia" w:ascii="楷体" w:hAnsi="楷体" w:eastAsia="楷体" w:cs="楷体"/>
          <w:b/>
          <w:sz w:val="32"/>
          <w:szCs w:val="32"/>
        </w:rPr>
        <w:t>（二）</w:t>
      </w:r>
      <w:r>
        <w:rPr>
          <w:rFonts w:hint="eastAsia" w:ascii="楷体" w:hAnsi="楷体" w:eastAsia="楷体" w:cs="楷体"/>
          <w:b/>
          <w:sz w:val="32"/>
          <w:szCs w:val="32"/>
          <w:lang w:eastAsia="zh-CN"/>
        </w:rPr>
        <w:t>202</w:t>
      </w:r>
      <w:r>
        <w:rPr>
          <w:rFonts w:hint="eastAsia" w:ascii="楷体" w:hAnsi="楷体" w:eastAsia="楷体" w:cs="楷体"/>
          <w:b/>
          <w:sz w:val="32"/>
          <w:szCs w:val="32"/>
          <w:lang w:val="en-US" w:eastAsia="zh-CN"/>
        </w:rPr>
        <w:t>6</w:t>
      </w:r>
      <w:r>
        <w:rPr>
          <w:rFonts w:hint="eastAsia" w:ascii="楷体" w:hAnsi="楷体" w:eastAsia="楷体" w:cs="楷体"/>
          <w:b/>
          <w:sz w:val="32"/>
          <w:szCs w:val="32"/>
        </w:rPr>
        <w:t>年重点工作任务</w:t>
      </w:r>
    </w:p>
    <w:p w14:paraId="40CDA117">
      <w:pPr>
        <w:pStyle w:val="7"/>
        <w:ind w:left="0" w:firstLine="640" w:firstLineChars="200"/>
        <w:rPr>
          <w:rFonts w:hint="default" w:ascii="仿宋_GB2312" w:hAnsi="仿宋_GB2312" w:eastAsia="仿宋_GB2312" w:cs="仿宋_GB2312"/>
          <w:color w:val="000000"/>
          <w:kern w:val="2"/>
          <w:sz w:val="32"/>
          <w:szCs w:val="32"/>
          <w:u w:val="none"/>
          <w:lang w:val="en-US" w:eastAsia="zh-CN" w:bidi="ar-SA"/>
        </w:rPr>
      </w:pPr>
      <w:r>
        <w:rPr>
          <w:rFonts w:hint="default" w:ascii="仿宋_GB2312" w:hAnsi="仿宋_GB2312" w:eastAsia="仿宋_GB2312" w:cs="仿宋_GB2312"/>
          <w:color w:val="000000"/>
          <w:kern w:val="2"/>
          <w:sz w:val="32"/>
          <w:szCs w:val="32"/>
          <w:u w:val="none"/>
          <w:lang w:val="en-US" w:eastAsia="zh-CN" w:bidi="ar-SA"/>
        </w:rPr>
        <w:t>202</w:t>
      </w:r>
      <w:r>
        <w:rPr>
          <w:rFonts w:hint="eastAsia" w:ascii="仿宋_GB2312" w:hAnsi="仿宋_GB2312" w:eastAsia="仿宋_GB2312" w:cs="仿宋_GB2312"/>
          <w:color w:val="000000"/>
          <w:kern w:val="2"/>
          <w:sz w:val="32"/>
          <w:szCs w:val="32"/>
          <w:u w:val="none"/>
          <w:lang w:val="en-US" w:eastAsia="zh-CN" w:bidi="ar-SA"/>
        </w:rPr>
        <w:t>6</w:t>
      </w:r>
      <w:r>
        <w:rPr>
          <w:rFonts w:hint="default" w:ascii="仿宋_GB2312" w:hAnsi="仿宋_GB2312" w:eastAsia="仿宋_GB2312" w:cs="仿宋_GB2312"/>
          <w:color w:val="000000"/>
          <w:kern w:val="2"/>
          <w:sz w:val="32"/>
          <w:szCs w:val="32"/>
          <w:u w:val="none"/>
          <w:lang w:val="en-US" w:eastAsia="zh-CN" w:bidi="ar-SA"/>
        </w:rPr>
        <w:t>年全县社会工作总体要求是：坚持以习近平新时代中国特色社会主义思想为指导，深入学习贯彻习近平总书记关于社会工作、关于社会治理的重要论述，以党的政治建设为统领，坚持守正创新，强化党建引领，坚持补短板、强弱项与提质量强功能并举，</w:t>
      </w:r>
      <w:r>
        <w:rPr>
          <w:rFonts w:hint="eastAsia" w:ascii="仿宋_GB2312" w:hAnsi="仿宋_GB2312" w:eastAsia="仿宋_GB2312" w:cs="仿宋_GB2312"/>
          <w:color w:val="000000"/>
          <w:kern w:val="2"/>
          <w:sz w:val="32"/>
          <w:szCs w:val="32"/>
          <w:u w:val="none"/>
          <w:lang w:val="en-US" w:eastAsia="zh-CN" w:bidi="ar-SA"/>
        </w:rPr>
        <w:t>紧紧围绕州委“1610”系统部署和</w:t>
      </w:r>
      <w:r>
        <w:rPr>
          <w:rFonts w:hint="default" w:ascii="仿宋_GB2312" w:hAnsi="仿宋_GB2312" w:eastAsia="仿宋_GB2312" w:cs="仿宋_GB2312"/>
          <w:color w:val="000000"/>
          <w:kern w:val="2"/>
          <w:sz w:val="32"/>
          <w:szCs w:val="32"/>
          <w:u w:val="none"/>
          <w:lang w:val="en-US" w:eastAsia="zh-CN" w:bidi="ar-SA"/>
        </w:rPr>
        <w:t>群众工作、依法治县、产业发展</w:t>
      </w:r>
      <w:r>
        <w:rPr>
          <w:rFonts w:hint="eastAsia" w:ascii="仿宋_GB2312" w:hAnsi="仿宋_GB2312" w:eastAsia="仿宋_GB2312" w:cs="仿宋_GB2312"/>
          <w:color w:val="000000"/>
          <w:kern w:val="2"/>
          <w:sz w:val="32"/>
          <w:szCs w:val="32"/>
          <w:u w:val="none"/>
          <w:lang w:val="en-US" w:eastAsia="zh-CN" w:bidi="ar-SA"/>
        </w:rPr>
        <w:t>“</w:t>
      </w:r>
      <w:r>
        <w:rPr>
          <w:rFonts w:hint="default" w:ascii="仿宋_GB2312" w:hAnsi="仿宋_GB2312" w:eastAsia="仿宋_GB2312" w:cs="仿宋_GB2312"/>
          <w:color w:val="000000"/>
          <w:kern w:val="2"/>
          <w:sz w:val="32"/>
          <w:szCs w:val="32"/>
          <w:u w:val="none"/>
          <w:lang w:val="en-US" w:eastAsia="zh-CN" w:bidi="ar-SA"/>
        </w:rPr>
        <w:t>三件大事</w:t>
      </w:r>
      <w:r>
        <w:rPr>
          <w:rFonts w:hint="eastAsia" w:ascii="仿宋_GB2312" w:hAnsi="仿宋_GB2312" w:eastAsia="仿宋_GB2312" w:cs="仿宋_GB2312"/>
          <w:color w:val="000000"/>
          <w:kern w:val="2"/>
          <w:sz w:val="32"/>
          <w:szCs w:val="32"/>
          <w:u w:val="none"/>
          <w:lang w:val="en-US" w:eastAsia="zh-CN" w:bidi="ar-SA"/>
        </w:rPr>
        <w:t>”</w:t>
      </w:r>
      <w:r>
        <w:rPr>
          <w:rFonts w:hint="default" w:ascii="仿宋_GB2312" w:hAnsi="仿宋_GB2312" w:eastAsia="仿宋_GB2312" w:cs="仿宋_GB2312"/>
          <w:color w:val="000000"/>
          <w:kern w:val="2"/>
          <w:sz w:val="32"/>
          <w:szCs w:val="32"/>
          <w:u w:val="none"/>
          <w:lang w:val="en-US" w:eastAsia="zh-CN" w:bidi="ar-SA"/>
        </w:rPr>
        <w:t>，突出抓好新经济组织、新社会组织、新就业群体党的建设，抓好党建引领基层治理和基层政权建设，抓好凝聚服务群众有关工作，推动我县社会工作高质量发展。</w:t>
      </w:r>
    </w:p>
    <w:p w14:paraId="3E8A932A">
      <w:pPr>
        <w:pStyle w:val="7"/>
        <w:ind w:left="0" w:firstLine="964" w:firstLineChars="300"/>
        <w:rPr>
          <w:rFonts w:hint="default"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b/>
          <w:bCs/>
          <w:color w:val="000000"/>
          <w:kern w:val="2"/>
          <w:sz w:val="32"/>
          <w:szCs w:val="32"/>
          <w:u w:val="none"/>
          <w:lang w:val="en-US" w:eastAsia="zh-CN" w:bidi="ar-SA"/>
        </w:rPr>
        <w:t>一、</w:t>
      </w:r>
      <w:r>
        <w:rPr>
          <w:rFonts w:hint="default" w:ascii="仿宋_GB2312" w:hAnsi="仿宋_GB2312" w:eastAsia="仿宋_GB2312" w:cs="仿宋_GB2312"/>
          <w:b/>
          <w:bCs/>
          <w:color w:val="000000"/>
          <w:kern w:val="2"/>
          <w:sz w:val="32"/>
          <w:szCs w:val="32"/>
          <w:u w:val="none"/>
          <w:lang w:val="en-US" w:eastAsia="zh-CN" w:bidi="ar-SA"/>
        </w:rPr>
        <w:t>压紧压实新兴领域党建责任。</w:t>
      </w:r>
      <w:r>
        <w:rPr>
          <w:rFonts w:hint="default" w:ascii="仿宋_GB2312" w:hAnsi="仿宋_GB2312" w:eastAsia="仿宋_GB2312" w:cs="仿宋_GB2312"/>
          <w:color w:val="000000"/>
          <w:kern w:val="2"/>
          <w:sz w:val="32"/>
          <w:szCs w:val="32"/>
          <w:u w:val="none"/>
          <w:lang w:val="en-US" w:eastAsia="zh-CN" w:bidi="ar-SA"/>
        </w:rPr>
        <w:t>推动县委“两新”工委将群团部门全部纳入成员单位，县级行业党委将群团建设纳入党建整体布局。制定县委“两新”工委工作要点，落实“管行业也要管党建”要求，探索将新兴领域党建工作职责写入相关部门“三定”规定，建立县级行业党委书记党建项目清单。探索新兴领域组织较多的乡镇党委副书记兼任县级“两新”工委副书记、村（社区）党支部书记按属地管理原则分管新兴领域党建工作。</w:t>
      </w:r>
    </w:p>
    <w:p w14:paraId="2E20C182">
      <w:pPr>
        <w:pStyle w:val="7"/>
        <w:ind w:left="0" w:firstLine="643" w:firstLineChars="200"/>
        <w:rPr>
          <w:rFonts w:hint="default"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b/>
          <w:bCs/>
          <w:color w:val="000000"/>
          <w:kern w:val="2"/>
          <w:sz w:val="32"/>
          <w:szCs w:val="32"/>
          <w:u w:val="none"/>
          <w:lang w:val="en-US" w:eastAsia="zh-CN" w:bidi="ar-SA"/>
        </w:rPr>
        <w:t>二、</w:t>
      </w:r>
      <w:r>
        <w:rPr>
          <w:rFonts w:hint="default" w:ascii="仿宋_GB2312" w:hAnsi="仿宋_GB2312" w:eastAsia="仿宋_GB2312" w:cs="仿宋_GB2312"/>
          <w:b/>
          <w:bCs/>
          <w:color w:val="000000"/>
          <w:kern w:val="2"/>
          <w:sz w:val="32"/>
          <w:szCs w:val="32"/>
          <w:u w:val="none"/>
          <w:lang w:val="en-US" w:eastAsia="zh-CN" w:bidi="ar-SA"/>
        </w:rPr>
        <w:t>不断加强基层政权治理能力建设。</w:t>
      </w:r>
      <w:r>
        <w:rPr>
          <w:rFonts w:hint="default" w:ascii="仿宋_GB2312" w:hAnsi="仿宋_GB2312" w:eastAsia="仿宋_GB2312" w:cs="仿宋_GB2312"/>
          <w:color w:val="000000"/>
          <w:kern w:val="2"/>
          <w:sz w:val="32"/>
          <w:szCs w:val="32"/>
          <w:u w:val="none"/>
          <w:lang w:val="en-US" w:eastAsia="zh-CN" w:bidi="ar-SA"/>
        </w:rPr>
        <w:t>按照党中央、省委和州委部署要求，把社会治理摆在社会工作的重要位置，抓好省州党建引领基层</w:t>
      </w:r>
      <w:r>
        <w:rPr>
          <w:rFonts w:hint="eastAsia" w:ascii="仿宋_GB2312" w:hAnsi="仿宋_GB2312" w:eastAsia="仿宋_GB2312" w:cs="仿宋_GB2312"/>
          <w:color w:val="000000"/>
          <w:kern w:val="2"/>
          <w:sz w:val="32"/>
          <w:szCs w:val="32"/>
          <w:u w:val="none"/>
          <w:lang w:val="en-US" w:eastAsia="zh-CN" w:bidi="ar-SA"/>
        </w:rPr>
        <w:t>治理</w:t>
      </w:r>
      <w:r>
        <w:rPr>
          <w:rFonts w:hint="default" w:ascii="仿宋_GB2312" w:hAnsi="仿宋_GB2312" w:eastAsia="仿宋_GB2312" w:cs="仿宋_GB2312"/>
          <w:color w:val="000000"/>
          <w:kern w:val="2"/>
          <w:sz w:val="32"/>
          <w:szCs w:val="32"/>
          <w:u w:val="none"/>
          <w:lang w:val="en-US" w:eastAsia="zh-CN" w:bidi="ar-SA"/>
        </w:rPr>
        <w:t>协调机制相关会议精神贯彻落实，在县委党的建设工作领导小组下协调部署党建引领基层治理的综合性工作，制定《党建引领基层治理协调机制2025年工作要点》，加强跨层级跨部门工作统筹和协同联动，协调解决问题、推动工作落实。</w:t>
      </w:r>
    </w:p>
    <w:p w14:paraId="4AF28DE1">
      <w:pPr>
        <w:pStyle w:val="7"/>
        <w:ind w:firstLine="643" w:firstLineChars="200"/>
        <w:rPr>
          <w:rFonts w:hint="default"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b/>
          <w:bCs/>
          <w:color w:val="000000"/>
          <w:kern w:val="2"/>
          <w:sz w:val="32"/>
          <w:szCs w:val="32"/>
          <w:u w:val="none"/>
          <w:lang w:val="en-US" w:eastAsia="zh-CN" w:bidi="ar-SA"/>
        </w:rPr>
        <w:t>三、</w:t>
      </w:r>
      <w:r>
        <w:rPr>
          <w:rFonts w:hint="default" w:ascii="仿宋_GB2312" w:hAnsi="仿宋_GB2312" w:eastAsia="仿宋_GB2312" w:cs="仿宋_GB2312"/>
          <w:b/>
          <w:bCs/>
          <w:color w:val="000000"/>
          <w:kern w:val="2"/>
          <w:sz w:val="32"/>
          <w:szCs w:val="32"/>
          <w:u w:val="none"/>
          <w:lang w:val="en-US" w:eastAsia="zh-CN" w:bidi="ar-SA"/>
        </w:rPr>
        <w:t>破解基层治理“小马拉大车”突出问题。</w:t>
      </w:r>
      <w:r>
        <w:rPr>
          <w:rFonts w:hint="default" w:ascii="仿宋_GB2312" w:hAnsi="仿宋_GB2312" w:eastAsia="仿宋_GB2312" w:cs="仿宋_GB2312"/>
          <w:color w:val="000000"/>
          <w:kern w:val="2"/>
          <w:sz w:val="32"/>
          <w:szCs w:val="32"/>
          <w:u w:val="none"/>
          <w:lang w:val="en-US" w:eastAsia="zh-CN" w:bidi="ar-SA"/>
        </w:rPr>
        <w:t>聚焦中央20条、省上40条措施，对照《关于破解“小马拉大车”突出问题提升基层治理服务能力的任务清单》，着重从“明责、减负、赋能、增效”方面，做好破解基层治理“小马拉大车”突出问题专项整治工作，进一步提升基层治理效能，深化基层</w:t>
      </w:r>
      <w:r>
        <w:rPr>
          <w:rFonts w:hint="eastAsia" w:ascii="仿宋_GB2312" w:hAnsi="仿宋_GB2312" w:eastAsia="仿宋_GB2312" w:cs="仿宋_GB2312"/>
          <w:color w:val="000000"/>
          <w:kern w:val="2"/>
          <w:sz w:val="32"/>
          <w:szCs w:val="32"/>
          <w:u w:val="none"/>
          <w:lang w:val="en-US" w:eastAsia="zh-CN" w:bidi="ar-SA"/>
        </w:rPr>
        <w:t>减</w:t>
      </w:r>
      <w:r>
        <w:rPr>
          <w:rFonts w:hint="default" w:ascii="仿宋_GB2312" w:hAnsi="仿宋_GB2312" w:eastAsia="仿宋_GB2312" w:cs="仿宋_GB2312"/>
          <w:color w:val="000000"/>
          <w:kern w:val="2"/>
          <w:sz w:val="32"/>
          <w:szCs w:val="32"/>
          <w:u w:val="none"/>
          <w:lang w:val="en-US" w:eastAsia="zh-CN" w:bidi="ar-SA"/>
        </w:rPr>
        <w:t>负赋能。健全（村）社区工作事项准入制度，持续规范村</w:t>
      </w:r>
      <w:r>
        <w:rPr>
          <w:rFonts w:hint="eastAsia" w:ascii="仿宋_GB2312" w:hAnsi="仿宋_GB2312" w:eastAsia="仿宋_GB2312" w:cs="仿宋_GB2312"/>
          <w:color w:val="000000"/>
          <w:kern w:val="2"/>
          <w:sz w:val="32"/>
          <w:szCs w:val="32"/>
          <w:u w:val="none"/>
          <w:lang w:val="en-US" w:eastAsia="zh-CN" w:bidi="ar-SA"/>
        </w:rPr>
        <w:t>社区组织机制牌子和证明事项</w:t>
      </w:r>
      <w:r>
        <w:rPr>
          <w:rFonts w:hint="default" w:ascii="仿宋_GB2312" w:hAnsi="仿宋_GB2312" w:eastAsia="仿宋_GB2312" w:cs="仿宋_GB2312"/>
          <w:color w:val="000000"/>
          <w:kern w:val="2"/>
          <w:sz w:val="32"/>
          <w:szCs w:val="32"/>
          <w:u w:val="none"/>
          <w:lang w:val="en-US" w:eastAsia="zh-CN" w:bidi="ar-SA"/>
        </w:rPr>
        <w:t>。用好党建引领基层治理</w:t>
      </w:r>
      <w:r>
        <w:rPr>
          <w:rFonts w:hint="eastAsia" w:ascii="仿宋_GB2312" w:hAnsi="仿宋_GB2312" w:eastAsia="仿宋_GB2312" w:cs="仿宋_GB2312"/>
          <w:color w:val="000000"/>
          <w:kern w:val="2"/>
          <w:sz w:val="32"/>
          <w:szCs w:val="32"/>
          <w:u w:val="none"/>
          <w:lang w:val="en-US" w:eastAsia="zh-CN" w:bidi="ar-SA"/>
        </w:rPr>
        <w:t>和基层政权建设</w:t>
      </w:r>
      <w:r>
        <w:rPr>
          <w:rFonts w:hint="default" w:ascii="仿宋_GB2312" w:hAnsi="仿宋_GB2312" w:eastAsia="仿宋_GB2312" w:cs="仿宋_GB2312"/>
          <w:color w:val="000000"/>
          <w:kern w:val="2"/>
          <w:sz w:val="32"/>
          <w:szCs w:val="32"/>
          <w:u w:val="none"/>
          <w:lang w:val="en-US" w:eastAsia="zh-CN" w:bidi="ar-SA"/>
        </w:rPr>
        <w:t>信息系统平台。</w:t>
      </w:r>
    </w:p>
    <w:p w14:paraId="4F3641D6">
      <w:pPr>
        <w:pStyle w:val="7"/>
        <w:ind w:left="0" w:firstLine="643" w:firstLineChars="200"/>
        <w:rPr>
          <w:rFonts w:hint="default"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b/>
          <w:bCs/>
          <w:color w:val="000000"/>
          <w:kern w:val="2"/>
          <w:sz w:val="32"/>
          <w:szCs w:val="32"/>
          <w:u w:val="none"/>
          <w:lang w:val="en-US" w:eastAsia="zh-CN" w:bidi="ar-SA"/>
        </w:rPr>
        <w:t>四、</w:t>
      </w:r>
      <w:r>
        <w:rPr>
          <w:rFonts w:hint="default" w:ascii="仿宋_GB2312" w:hAnsi="仿宋_GB2312" w:eastAsia="仿宋_GB2312" w:cs="仿宋_GB2312"/>
          <w:b/>
          <w:bCs/>
          <w:color w:val="000000"/>
          <w:kern w:val="2"/>
          <w:sz w:val="32"/>
          <w:szCs w:val="32"/>
          <w:u w:val="none"/>
          <w:lang w:val="en-US" w:eastAsia="zh-CN" w:bidi="ar-SA"/>
        </w:rPr>
        <w:t>统筹指导人民信访工作。</w:t>
      </w:r>
      <w:r>
        <w:rPr>
          <w:rFonts w:hint="default" w:ascii="仿宋_GB2312" w:hAnsi="仿宋_GB2312" w:eastAsia="仿宋_GB2312" w:cs="仿宋_GB2312"/>
          <w:color w:val="000000"/>
          <w:kern w:val="2"/>
          <w:sz w:val="32"/>
          <w:szCs w:val="32"/>
          <w:u w:val="none"/>
          <w:lang w:val="en-US" w:eastAsia="zh-CN" w:bidi="ar-SA"/>
        </w:rPr>
        <w:t>参照《州委社会工作部统一领导州信访局有关事项的意见（试行）》，定期听取信访工作汇报，研究解决重要问题。聚焦“五个法治化”“四个到位”要求，以全面推进信访工作法治化为主线，围绕信访事项登记、受理、转送交办、办理、督查督办等各环节</w:t>
      </w:r>
      <w:r>
        <w:rPr>
          <w:rFonts w:hint="eastAsia" w:ascii="仿宋_GB2312" w:hAnsi="仿宋_GB2312" w:eastAsia="仿宋_GB2312" w:cs="仿宋_GB2312"/>
          <w:color w:val="000000"/>
          <w:kern w:val="2"/>
          <w:sz w:val="32"/>
          <w:szCs w:val="32"/>
          <w:u w:val="none"/>
          <w:lang w:val="en-US" w:eastAsia="zh-CN" w:bidi="ar-SA"/>
        </w:rPr>
        <w:t>。</w:t>
      </w:r>
      <w:r>
        <w:rPr>
          <w:rFonts w:hint="default" w:ascii="仿宋_GB2312" w:hAnsi="仿宋_GB2312" w:eastAsia="仿宋_GB2312" w:cs="仿宋_GB2312"/>
          <w:color w:val="000000"/>
          <w:kern w:val="2"/>
          <w:sz w:val="32"/>
          <w:szCs w:val="32"/>
          <w:u w:val="none"/>
          <w:lang w:val="en-US" w:eastAsia="zh-CN" w:bidi="ar-SA"/>
        </w:rPr>
        <w:t>推动人民建议征集规范运行。采取“线上+线下”征集方式，推动民智民意汇聚新提升。</w:t>
      </w:r>
    </w:p>
    <w:p w14:paraId="39024884">
      <w:pPr>
        <w:pStyle w:val="7"/>
        <w:ind w:left="0" w:firstLine="643" w:firstLineChars="200"/>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b/>
          <w:bCs/>
          <w:color w:val="000000"/>
          <w:kern w:val="2"/>
          <w:sz w:val="32"/>
          <w:szCs w:val="32"/>
          <w:u w:val="none"/>
          <w:lang w:val="en-US" w:eastAsia="zh-CN" w:bidi="ar-SA"/>
        </w:rPr>
        <w:t>五、</w:t>
      </w:r>
      <w:r>
        <w:rPr>
          <w:rFonts w:hint="default" w:ascii="仿宋_GB2312" w:hAnsi="仿宋_GB2312" w:eastAsia="仿宋_GB2312" w:cs="仿宋_GB2312"/>
          <w:b/>
          <w:bCs/>
          <w:color w:val="000000"/>
          <w:kern w:val="2"/>
          <w:sz w:val="32"/>
          <w:szCs w:val="32"/>
          <w:u w:val="none"/>
          <w:lang w:val="en-US" w:eastAsia="zh-CN" w:bidi="ar-SA"/>
        </w:rPr>
        <w:t>推进志愿服务工作体系建设。</w:t>
      </w:r>
      <w:r>
        <w:rPr>
          <w:rFonts w:hint="default" w:ascii="仿宋_GB2312" w:hAnsi="仿宋_GB2312" w:eastAsia="仿宋_GB2312" w:cs="仿宋_GB2312"/>
          <w:color w:val="000000"/>
          <w:kern w:val="2"/>
          <w:sz w:val="32"/>
          <w:szCs w:val="32"/>
          <w:u w:val="none"/>
          <w:lang w:val="en-US" w:eastAsia="zh-CN" w:bidi="ar-SA"/>
        </w:rPr>
        <w:t>健全红原县志愿服务体系，健全志愿服务协调机制，协同相关部门完善社会组织评价机制和政府购买社会服务指引。支持重点领域建强专业志愿服务队伍，指导行业部门和群团部门完善志愿服务体制机制。</w:t>
      </w:r>
    </w:p>
    <w:p w14:paraId="0D9C339A">
      <w:pPr>
        <w:pStyle w:val="7"/>
        <w:ind w:left="0" w:firstLine="643" w:firstLineChars="200"/>
        <w:rPr>
          <w:rFonts w:hint="eastAsia" w:ascii="仿宋_GB2312" w:hAnsi="仿宋_GB2312" w:eastAsia="仿宋_GB2312" w:cs="仿宋_GB2312"/>
          <w:color w:val="000000"/>
          <w:kern w:val="2"/>
          <w:sz w:val="32"/>
          <w:szCs w:val="32"/>
          <w:u w:val="none"/>
          <w:lang w:val="en-US" w:eastAsia="zh-CN" w:bidi="ar-SA"/>
        </w:rPr>
      </w:pPr>
      <w:r>
        <w:rPr>
          <w:rFonts w:hint="eastAsia" w:ascii="仿宋_GB2312" w:hAnsi="仿宋_GB2312" w:eastAsia="仿宋_GB2312" w:cs="仿宋_GB2312"/>
          <w:b/>
          <w:bCs/>
          <w:color w:val="000000"/>
          <w:kern w:val="2"/>
          <w:sz w:val="32"/>
          <w:szCs w:val="32"/>
          <w:u w:val="none"/>
          <w:lang w:val="en-US" w:eastAsia="zh-CN" w:bidi="ar-SA"/>
        </w:rPr>
        <w:t>六、</w:t>
      </w:r>
      <w:r>
        <w:rPr>
          <w:rFonts w:hint="default" w:ascii="仿宋_GB2312" w:hAnsi="仿宋_GB2312" w:eastAsia="仿宋_GB2312" w:cs="仿宋_GB2312"/>
          <w:b/>
          <w:bCs/>
          <w:color w:val="000000"/>
          <w:kern w:val="2"/>
          <w:sz w:val="32"/>
          <w:szCs w:val="32"/>
          <w:u w:val="none"/>
          <w:lang w:val="en-US" w:eastAsia="zh-CN" w:bidi="ar-SA"/>
        </w:rPr>
        <w:t>加强新就业群体党建和关心关爱服务。</w:t>
      </w:r>
      <w:r>
        <w:rPr>
          <w:rFonts w:hint="default" w:ascii="仿宋_GB2312" w:hAnsi="仿宋_GB2312" w:eastAsia="仿宋_GB2312" w:cs="仿宋_GB2312"/>
          <w:color w:val="000000"/>
          <w:kern w:val="2"/>
          <w:sz w:val="32"/>
          <w:szCs w:val="32"/>
          <w:u w:val="none"/>
          <w:lang w:val="en-US" w:eastAsia="zh-CN" w:bidi="ar-SA"/>
        </w:rPr>
        <w:t>优化新兴领域党员发展工作措施，推进货车司机、网约车司机、网约配送员、快递员群体党建扩面提质，探索网络主播、网约家政等新群体党建。构建“县委两新工委+行业党委+成员单位”协同机制，运用“微网实格”基层治理体系排查解决发展难题，推动党群活动阵地共建共享，一体建设职工之家、青年之家、妇女之家。</w:t>
      </w:r>
    </w:p>
    <w:p w14:paraId="57B07F4C">
      <w:pPr>
        <w:spacing w:line="56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二、部门预算单位构成</w:t>
      </w:r>
    </w:p>
    <w:p w14:paraId="5F63B335">
      <w:pPr>
        <w:pStyle w:val="8"/>
        <w:widowControl/>
        <w:shd w:val="clear" w:color="auto" w:fill="FFFFFF"/>
        <w:spacing w:beforeAutospacing="0" w:afterAutospacing="0"/>
        <w:ind w:firstLine="640" w:firstLineChars="200"/>
        <w:rPr>
          <w:rFonts w:ascii="仿宋_GB2312" w:hAnsi="仿宋_GB2312" w:eastAsia="仿宋_GB2312" w:cs="仿宋_GB2312"/>
          <w:color w:val="000000" w:themeColor="text1"/>
          <w:sz w:val="32"/>
          <w:szCs w:val="32"/>
          <w:highlight w:val="none"/>
        </w:rPr>
      </w:pPr>
      <w:r>
        <w:rPr>
          <w:rFonts w:hint="eastAsia" w:ascii="仿宋_GB2312" w:hAnsi="仿宋_GB2312" w:eastAsia="仿宋_GB2312" w:cs="仿宋_GB2312"/>
          <w:bCs/>
          <w:sz w:val="32"/>
          <w:szCs w:val="32"/>
          <w:lang w:val="en-US" w:eastAsia="zh-CN"/>
        </w:rPr>
        <w:t>红原县委社会工作部现有办公室、综合业务股、社会工作服务中心3个股室。</w:t>
      </w:r>
      <w:r>
        <w:rPr>
          <w:rFonts w:hint="eastAsia" w:ascii="仿宋_GB2312" w:hAnsi="仿宋_GB2312" w:eastAsia="仿宋_GB2312" w:cs="仿宋_GB2312"/>
          <w:bCs/>
          <w:sz w:val="32"/>
          <w:szCs w:val="32"/>
        </w:rPr>
        <w:t>总编制</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名，其中行政编制</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名，事业编制</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名</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在岗人员总数</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名，其中行政人员</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名，事业人员</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名</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退休人员</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人。</w:t>
      </w:r>
    </w:p>
    <w:p w14:paraId="76E77DE8">
      <w:pPr>
        <w:spacing w:line="56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三、收支预算总体情况</w:t>
      </w:r>
    </w:p>
    <w:p w14:paraId="7D544D9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红原县委社会工作部</w:t>
      </w:r>
      <w:r>
        <w:rPr>
          <w:rFonts w:hint="eastAsia" w:ascii="仿宋_GB2312" w:hAnsi="仿宋_GB2312" w:eastAsia="仿宋_GB2312" w:cs="仿宋_GB2312"/>
          <w:sz w:val="32"/>
          <w:szCs w:val="32"/>
        </w:rPr>
        <w:t>收入预算总额为</w:t>
      </w:r>
      <w:r>
        <w:rPr>
          <w:rFonts w:hint="eastAsia" w:ascii="仿宋_GB2312" w:hAnsi="仿宋_GB2312" w:eastAsia="仿宋_GB2312" w:cs="仿宋_GB2312"/>
          <w:sz w:val="32"/>
          <w:szCs w:val="32"/>
          <w:lang w:val="en-US" w:eastAsia="zh-CN"/>
        </w:rPr>
        <w:t>225.52</w:t>
      </w:r>
      <w:r>
        <w:rPr>
          <w:rFonts w:hint="eastAsia" w:ascii="仿宋_GB2312" w:hAnsi="仿宋_GB2312" w:eastAsia="仿宋_GB2312" w:cs="仿宋_GB2312"/>
          <w:sz w:val="32"/>
          <w:szCs w:val="32"/>
        </w:rPr>
        <w:t>万元，其中：当年财政拨款收入</w:t>
      </w:r>
      <w:r>
        <w:rPr>
          <w:rFonts w:hint="eastAsia" w:ascii="仿宋_GB2312" w:hAnsi="仿宋_GB2312" w:eastAsia="仿宋_GB2312" w:cs="仿宋_GB2312"/>
          <w:sz w:val="32"/>
          <w:szCs w:val="32"/>
          <w:lang w:val="en-US" w:eastAsia="zh-CN"/>
        </w:rPr>
        <w:t>225.52</w:t>
      </w:r>
      <w:r>
        <w:rPr>
          <w:rFonts w:hint="eastAsia" w:ascii="仿宋_GB2312" w:hAnsi="仿宋_GB2312" w:eastAsia="仿宋_GB2312" w:cs="仿宋_GB2312"/>
          <w:sz w:val="32"/>
          <w:szCs w:val="32"/>
        </w:rPr>
        <w:t>万元。相应安排支出预算</w:t>
      </w:r>
      <w:r>
        <w:rPr>
          <w:rFonts w:hint="eastAsia" w:ascii="仿宋_GB2312" w:hAnsi="仿宋_GB2312" w:eastAsia="仿宋_GB2312" w:cs="仿宋_GB2312"/>
          <w:sz w:val="32"/>
          <w:szCs w:val="32"/>
          <w:lang w:val="en-US" w:eastAsia="zh-CN"/>
        </w:rPr>
        <w:t>225.52</w:t>
      </w:r>
      <w:r>
        <w:rPr>
          <w:rFonts w:hint="eastAsia" w:ascii="仿宋_GB2312" w:hAnsi="仿宋_GB2312" w:eastAsia="仿宋_GB2312" w:cs="仿宋_GB2312"/>
          <w:sz w:val="32"/>
          <w:szCs w:val="32"/>
        </w:rPr>
        <w:t>万元，其中：一般公共服务</w:t>
      </w:r>
      <w:r>
        <w:rPr>
          <w:rFonts w:hint="eastAsia" w:ascii="仿宋_GB2312" w:hAnsi="仿宋_GB2312" w:eastAsia="仿宋_GB2312" w:cs="仿宋_GB2312"/>
          <w:sz w:val="32"/>
          <w:szCs w:val="32"/>
          <w:lang w:val="en-US" w:eastAsia="zh-CN"/>
        </w:rPr>
        <w:t>支出171.85</w:t>
      </w:r>
      <w:r>
        <w:rPr>
          <w:rFonts w:hint="eastAsia" w:ascii="仿宋_GB2312" w:hAnsi="仿宋_GB2312" w:eastAsia="仿宋_GB2312" w:cs="仿宋_GB2312"/>
          <w:sz w:val="32"/>
          <w:szCs w:val="32"/>
        </w:rPr>
        <w:t>万元，社会保障和就业</w:t>
      </w:r>
      <w:r>
        <w:rPr>
          <w:rFonts w:hint="eastAsia" w:ascii="仿宋_GB2312" w:hAnsi="仿宋_GB2312" w:eastAsia="仿宋_GB2312" w:cs="仿宋_GB2312"/>
          <w:sz w:val="32"/>
          <w:szCs w:val="32"/>
          <w:lang w:val="en-US" w:eastAsia="zh-CN"/>
        </w:rPr>
        <w:t>支出28.09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卫生健康支出10.18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15.4</w:t>
      </w:r>
      <w:r>
        <w:rPr>
          <w:rFonts w:hint="eastAsia" w:ascii="仿宋_GB2312" w:hAnsi="仿宋_GB2312" w:eastAsia="仿宋_GB2312" w:cs="仿宋_GB2312"/>
          <w:sz w:val="32"/>
          <w:szCs w:val="32"/>
        </w:rPr>
        <w:t>万元。</w:t>
      </w:r>
    </w:p>
    <w:p w14:paraId="685FA209">
      <w:pPr>
        <w:numPr>
          <w:ilvl w:val="0"/>
          <w:numId w:val="3"/>
        </w:numPr>
        <w:spacing w:line="56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支出预算安排情况</w:t>
      </w:r>
    </w:p>
    <w:p w14:paraId="0F7CF94F">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红原县委社会工作部</w:t>
      </w:r>
      <w:r>
        <w:rPr>
          <w:rFonts w:hint="eastAsia" w:ascii="仿宋_GB2312" w:hAnsi="仿宋_GB2312" w:eastAsia="仿宋_GB2312" w:cs="仿宋_GB2312"/>
          <w:sz w:val="32"/>
          <w:szCs w:val="32"/>
        </w:rPr>
        <w:t>预算安排支出主要用于保障本部门机构正常运转、完成日常工作任务以及承担</w:t>
      </w:r>
      <w:r>
        <w:rPr>
          <w:rFonts w:hint="eastAsia" w:ascii="仿宋_GB2312" w:hAnsi="仿宋_GB2312" w:eastAsia="仿宋_GB2312" w:cs="仿宋_GB2312"/>
          <w:sz w:val="32"/>
          <w:szCs w:val="32"/>
          <w:lang w:val="en-US" w:eastAsia="zh-CN"/>
        </w:rPr>
        <w:t>发展</w:t>
      </w:r>
      <w:r>
        <w:rPr>
          <w:rFonts w:hint="eastAsia" w:ascii="仿宋_GB2312" w:hAnsi="仿宋_GB2312" w:eastAsia="仿宋_GB2312" w:cs="仿宋_GB2312"/>
          <w:sz w:val="32"/>
          <w:szCs w:val="32"/>
        </w:rPr>
        <w:t xml:space="preserve">相关工作。  </w:t>
      </w:r>
    </w:p>
    <w:p w14:paraId="73B5D43D">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基本支出</w:t>
      </w:r>
      <w:r>
        <w:rPr>
          <w:rFonts w:hint="eastAsia" w:ascii="仿宋_GB2312" w:hAnsi="仿宋_GB2312" w:eastAsia="仿宋_GB2312" w:cs="仿宋_GB2312"/>
          <w:sz w:val="32"/>
          <w:szCs w:val="32"/>
          <w:lang w:val="en-US" w:eastAsia="zh-CN"/>
        </w:rPr>
        <w:t>213.32</w:t>
      </w:r>
      <w:r>
        <w:rPr>
          <w:rFonts w:hint="eastAsia" w:ascii="仿宋_GB2312" w:hAnsi="仿宋_GB2312" w:eastAsia="仿宋_GB2312" w:cs="仿宋_GB2312"/>
          <w:sz w:val="32"/>
          <w:szCs w:val="32"/>
        </w:rPr>
        <w:t>万元。其中人员经费支出</w:t>
      </w:r>
      <w:r>
        <w:rPr>
          <w:rFonts w:hint="eastAsia" w:ascii="仿宋_GB2312" w:hAnsi="仿宋_GB2312" w:eastAsia="仿宋_GB2312" w:cs="仿宋_GB2312"/>
          <w:sz w:val="32"/>
          <w:szCs w:val="32"/>
          <w:lang w:val="en-US" w:eastAsia="zh-CN"/>
        </w:rPr>
        <w:t>191.97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公用</w:t>
      </w:r>
      <w:r>
        <w:rPr>
          <w:rFonts w:hint="eastAsia" w:ascii="仿宋_GB2312" w:hAnsi="仿宋_GB2312" w:eastAsia="仿宋_GB2312" w:cs="仿宋_GB2312"/>
          <w:sz w:val="32"/>
          <w:szCs w:val="32"/>
        </w:rPr>
        <w:t>经费</w:t>
      </w:r>
      <w:r>
        <w:rPr>
          <w:rFonts w:hint="eastAsia" w:ascii="仿宋_GB2312" w:hAnsi="仿宋_GB2312" w:eastAsia="仿宋_GB2312" w:cs="仿宋_GB2312"/>
          <w:sz w:val="32"/>
          <w:szCs w:val="32"/>
          <w:lang w:val="en-US" w:eastAsia="zh-CN"/>
        </w:rPr>
        <w:t>21.35</w:t>
      </w:r>
      <w:r>
        <w:rPr>
          <w:rFonts w:hint="eastAsia" w:ascii="仿宋_GB2312" w:hAnsi="仿宋_GB2312" w:eastAsia="仿宋_GB2312" w:cs="仿宋_GB2312"/>
          <w:sz w:val="32"/>
          <w:szCs w:val="32"/>
        </w:rPr>
        <w:t>万元，其中办公费</w:t>
      </w:r>
      <w:r>
        <w:rPr>
          <w:rFonts w:hint="eastAsia" w:ascii="仿宋_GB2312" w:hAnsi="仿宋_GB2312" w:eastAsia="仿宋_GB2312" w:cs="仿宋_GB2312"/>
          <w:sz w:val="32"/>
          <w:szCs w:val="32"/>
          <w:lang w:val="en-US" w:eastAsia="zh-CN"/>
        </w:rPr>
        <w:t>4.05</w:t>
      </w:r>
      <w:r>
        <w:rPr>
          <w:rFonts w:hint="eastAsia" w:ascii="仿宋_GB2312" w:hAnsi="仿宋_GB2312" w:eastAsia="仿宋_GB2312" w:cs="仿宋_GB2312"/>
          <w:sz w:val="32"/>
          <w:szCs w:val="32"/>
        </w:rPr>
        <w:t>万元，印刷费</w:t>
      </w:r>
      <w:r>
        <w:rPr>
          <w:rFonts w:hint="eastAsia" w:ascii="仿宋_GB2312" w:hAnsi="仿宋_GB2312" w:eastAsia="仿宋_GB2312" w:cs="仿宋_GB2312"/>
          <w:sz w:val="32"/>
          <w:szCs w:val="32"/>
          <w:lang w:val="en-US" w:eastAsia="zh-CN"/>
        </w:rPr>
        <w:t>2.00</w:t>
      </w:r>
      <w:r>
        <w:rPr>
          <w:rFonts w:hint="eastAsia" w:ascii="仿宋_GB2312" w:hAnsi="仿宋_GB2312" w:eastAsia="仿宋_GB2312" w:cs="仿宋_GB2312"/>
          <w:sz w:val="32"/>
          <w:szCs w:val="32"/>
        </w:rPr>
        <w:t>万元，电费</w:t>
      </w:r>
      <w:r>
        <w:rPr>
          <w:rFonts w:hint="eastAsia" w:ascii="仿宋_GB2312" w:hAnsi="仿宋_GB2312" w:eastAsia="仿宋_GB2312" w:cs="仿宋_GB2312"/>
          <w:sz w:val="32"/>
          <w:szCs w:val="32"/>
          <w:lang w:val="en-US" w:eastAsia="zh-CN"/>
        </w:rPr>
        <w:t>0.80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水费0.80万元，</w:t>
      </w:r>
      <w:r>
        <w:rPr>
          <w:rFonts w:hint="eastAsia" w:ascii="仿宋_GB2312" w:hAnsi="仿宋_GB2312" w:eastAsia="仿宋_GB2312" w:cs="仿宋_GB2312"/>
          <w:sz w:val="32"/>
          <w:szCs w:val="32"/>
        </w:rPr>
        <w:t>差旅费</w:t>
      </w:r>
      <w:r>
        <w:rPr>
          <w:rFonts w:hint="eastAsia" w:ascii="仿宋_GB2312" w:hAnsi="仿宋_GB2312" w:eastAsia="仿宋_GB2312" w:cs="仿宋_GB2312"/>
          <w:sz w:val="32"/>
          <w:szCs w:val="32"/>
          <w:lang w:val="en-US" w:eastAsia="zh-CN"/>
        </w:rPr>
        <w:t>2.40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工会经费</w:t>
      </w:r>
      <w:r>
        <w:rPr>
          <w:rFonts w:hint="eastAsia" w:ascii="仿宋_GB2312" w:hAnsi="仿宋_GB2312" w:eastAsia="仿宋_GB2312" w:cs="仿宋_GB2312"/>
          <w:sz w:val="32"/>
          <w:szCs w:val="32"/>
          <w:lang w:val="en-US" w:eastAsia="zh-CN"/>
        </w:rPr>
        <w:t>1.40万元，</w:t>
      </w:r>
      <w:r>
        <w:rPr>
          <w:rFonts w:hint="eastAsia" w:ascii="仿宋_GB2312" w:hAnsi="仿宋_GB2312" w:eastAsia="仿宋_GB2312" w:cs="仿宋_GB2312"/>
          <w:sz w:val="32"/>
          <w:szCs w:val="32"/>
        </w:rPr>
        <w:t>公务用车运行维护费</w:t>
      </w:r>
      <w:r>
        <w:rPr>
          <w:rFonts w:hint="eastAsia" w:ascii="仿宋_GB2312" w:hAnsi="仿宋_GB2312" w:eastAsia="仿宋_GB2312" w:cs="仿宋_GB2312"/>
          <w:sz w:val="32"/>
          <w:szCs w:val="32"/>
          <w:lang w:val="en-US" w:eastAsia="zh-CN"/>
        </w:rPr>
        <w:t>4.60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其他商品和服务支出5.30万元</w:t>
      </w:r>
      <w:r>
        <w:rPr>
          <w:rFonts w:hint="eastAsia" w:ascii="仿宋_GB2312" w:hAnsi="仿宋_GB2312" w:eastAsia="仿宋_GB2312" w:cs="仿宋_GB2312"/>
          <w:sz w:val="32"/>
          <w:szCs w:val="32"/>
        </w:rPr>
        <w:t>。</w:t>
      </w:r>
    </w:p>
    <w:p w14:paraId="73808E4D">
      <w:pPr>
        <w:spacing w:line="560" w:lineRule="exact"/>
        <w:ind w:firstLine="643" w:firstLineChars="200"/>
        <w:rPr>
          <w:rFonts w:ascii="楷体" w:hAnsi="楷体" w:eastAsia="楷体" w:cs="楷体"/>
          <w:b/>
          <w:bCs/>
          <w:color w:val="000000" w:themeColor="text1"/>
          <w:sz w:val="32"/>
          <w:szCs w:val="32"/>
        </w:rPr>
      </w:pPr>
      <w:r>
        <w:rPr>
          <w:rFonts w:hint="eastAsia" w:ascii="楷体" w:hAnsi="楷体" w:eastAsia="楷体" w:cs="楷体"/>
          <w:b/>
          <w:bCs/>
          <w:color w:val="000000" w:themeColor="text1"/>
          <w:sz w:val="32"/>
          <w:szCs w:val="32"/>
        </w:rPr>
        <w:t>按支出功能分类主要用于以下方面:</w:t>
      </w:r>
    </w:p>
    <w:p w14:paraId="019B9F6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（一）一般公共服务</w:t>
      </w:r>
      <w:r>
        <w:rPr>
          <w:rFonts w:hint="eastAsia" w:ascii="仿宋_GB2312" w:hAnsi="仿宋_GB2312" w:eastAsia="仿宋_GB2312" w:cs="仿宋_GB2312"/>
          <w:sz w:val="32"/>
          <w:szCs w:val="32"/>
          <w:lang w:val="en-US" w:eastAsia="zh-CN"/>
        </w:rPr>
        <w:t>支出171.85</w:t>
      </w:r>
      <w:r>
        <w:rPr>
          <w:rFonts w:hint="eastAsia" w:ascii="仿宋_GB2312" w:hAnsi="仿宋_GB2312" w:eastAsia="仿宋_GB2312" w:cs="仿宋_GB2312"/>
          <w:sz w:val="32"/>
          <w:szCs w:val="32"/>
        </w:rPr>
        <w:t>万元，主要用于机关事业单位人员工资、日常运转以及为完成特定行政工作任务和事业发展目标而安排的年度项目支出。</w:t>
      </w:r>
    </w:p>
    <w:p w14:paraId="6A48106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社会保障和就业</w:t>
      </w:r>
      <w:r>
        <w:rPr>
          <w:rFonts w:hint="eastAsia" w:ascii="仿宋_GB2312" w:hAnsi="仿宋_GB2312" w:eastAsia="仿宋_GB2312" w:cs="仿宋_GB2312"/>
          <w:sz w:val="32"/>
          <w:szCs w:val="32"/>
          <w:lang w:val="en-US" w:eastAsia="zh-CN"/>
        </w:rPr>
        <w:t>支出28.09</w:t>
      </w:r>
      <w:r>
        <w:rPr>
          <w:rFonts w:hint="eastAsia" w:ascii="仿宋_GB2312" w:hAnsi="仿宋_GB2312" w:eastAsia="仿宋_GB2312" w:cs="仿宋_GB2312"/>
          <w:sz w:val="32"/>
          <w:szCs w:val="32"/>
        </w:rPr>
        <w:t>万元，主要用于机关事业单位养老保险及职业年金缴费。</w:t>
      </w:r>
    </w:p>
    <w:p w14:paraId="79ED207A">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10.18</w:t>
      </w:r>
      <w:r>
        <w:rPr>
          <w:rFonts w:hint="eastAsia" w:ascii="仿宋_GB2312" w:hAnsi="仿宋_GB2312" w:eastAsia="仿宋_GB2312" w:cs="仿宋_GB2312"/>
          <w:sz w:val="32"/>
          <w:szCs w:val="32"/>
        </w:rPr>
        <w:t>万元，主要用于机关事业单位按照规定标准为职工缴纳的基本医疗保险及公务员医疗补助等支出。</w:t>
      </w:r>
    </w:p>
    <w:p w14:paraId="47B38AC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15.4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主要</w:t>
      </w:r>
      <w:r>
        <w:rPr>
          <w:rFonts w:hint="eastAsia" w:ascii="仿宋_GB2312" w:hAnsi="仿宋_GB2312" w:eastAsia="仿宋_GB2312" w:cs="仿宋_GB2312"/>
          <w:sz w:val="32"/>
          <w:szCs w:val="32"/>
        </w:rPr>
        <w:t>用于机关及下属事业单位按照规定标准为职工缴纳住房公积金等支出。</w:t>
      </w:r>
    </w:p>
    <w:p w14:paraId="054E4254">
      <w:pPr>
        <w:widowControl/>
        <w:shd w:val="clear" w:color="auto" w:fill="FFFFFF"/>
        <w:spacing w:line="560" w:lineRule="exact"/>
        <w:ind w:firstLine="480"/>
        <w:jc w:val="left"/>
        <w:rPr>
          <w:rFonts w:ascii="黑体" w:hAnsi="黑体" w:eastAsia="黑体" w:cs="黑体"/>
          <w:b/>
          <w:bCs/>
          <w:sz w:val="32"/>
          <w:szCs w:val="32"/>
        </w:rPr>
      </w:pPr>
      <w:r>
        <w:rPr>
          <w:rFonts w:hint="eastAsia" w:ascii="仿宋_GB2312" w:hAnsi="仿宋_GB2312" w:eastAsia="仿宋_GB2312" w:cs="仿宋_GB2312"/>
          <w:color w:val="333333"/>
          <w:kern w:val="0"/>
          <w:sz w:val="32"/>
          <w:szCs w:val="32"/>
          <w:shd w:val="clear" w:color="auto" w:fill="FFFFFF"/>
        </w:rPr>
        <w:t xml:space="preserve"> </w:t>
      </w:r>
      <w:r>
        <w:rPr>
          <w:rFonts w:hint="eastAsia" w:ascii="黑体" w:hAnsi="黑体" w:eastAsia="黑体" w:cs="黑体"/>
          <w:b/>
          <w:bCs/>
          <w:color w:val="333333"/>
          <w:kern w:val="0"/>
          <w:sz w:val="32"/>
          <w:szCs w:val="32"/>
          <w:shd w:val="clear" w:color="auto" w:fill="FFFFFF"/>
        </w:rPr>
        <w:t xml:space="preserve">五、较上年度增减变化 </w:t>
      </w:r>
    </w:p>
    <w:p w14:paraId="494E943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本年度预算拨款收入</w:t>
      </w:r>
      <w:r>
        <w:rPr>
          <w:rFonts w:hint="eastAsia" w:ascii="仿宋_GB2312" w:hAnsi="仿宋_GB2312" w:eastAsia="仿宋_GB2312" w:cs="仿宋_GB2312"/>
          <w:sz w:val="32"/>
          <w:szCs w:val="32"/>
          <w:lang w:val="en-US" w:eastAsia="zh-CN"/>
        </w:rPr>
        <w:t>225.52</w:t>
      </w:r>
      <w:r>
        <w:rPr>
          <w:rFonts w:hint="eastAsia" w:ascii="仿宋_GB2312" w:hAnsi="仿宋_GB2312" w:eastAsia="仿宋_GB2312" w:cs="仿宋_GB2312"/>
          <w:sz w:val="32"/>
          <w:szCs w:val="32"/>
        </w:rPr>
        <w:t>万元，较上年度预算</w:t>
      </w:r>
      <w:r>
        <w:rPr>
          <w:rFonts w:hint="eastAsia" w:ascii="仿宋_GB2312" w:hAnsi="仿宋_GB2312" w:eastAsia="仿宋_GB2312" w:cs="仿宋_GB2312"/>
          <w:sz w:val="32"/>
          <w:szCs w:val="32"/>
          <w:lang w:val="en-US" w:eastAsia="zh-CN"/>
        </w:rPr>
        <w:t>156.56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增加</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44.05</w:t>
      </w:r>
      <w:r>
        <w:rPr>
          <w:rFonts w:hint="eastAsia" w:ascii="仿宋_GB2312" w:hAnsi="仿宋_GB2312" w:eastAsia="仿宋_GB2312" w:cs="仿宋_GB2312"/>
          <w:sz w:val="32"/>
          <w:szCs w:val="32"/>
        </w:rPr>
        <w:t>%，本年度预算中基本行政运行经费预算</w:t>
      </w:r>
      <w:r>
        <w:rPr>
          <w:rFonts w:hint="eastAsia" w:ascii="仿宋_GB2312" w:hAnsi="仿宋_GB2312" w:eastAsia="仿宋_GB2312" w:cs="仿宋_GB2312"/>
          <w:sz w:val="32"/>
          <w:szCs w:val="32"/>
          <w:lang w:val="en-US" w:eastAsia="zh-CN"/>
        </w:rPr>
        <w:t>213.32</w:t>
      </w:r>
      <w:r>
        <w:rPr>
          <w:rFonts w:hint="eastAsia" w:ascii="仿宋_GB2312" w:hAnsi="仿宋_GB2312" w:eastAsia="仿宋_GB2312" w:cs="仿宋_GB2312"/>
          <w:sz w:val="32"/>
          <w:szCs w:val="32"/>
        </w:rPr>
        <w:t>万元，占预算总额的</w:t>
      </w:r>
      <w:r>
        <w:rPr>
          <w:rFonts w:hint="eastAsia" w:ascii="仿宋_GB2312" w:hAnsi="仿宋_GB2312" w:eastAsia="仿宋_GB2312" w:cs="仿宋_GB2312"/>
          <w:sz w:val="32"/>
          <w:szCs w:val="32"/>
          <w:lang w:val="en-US" w:eastAsia="zh-CN"/>
        </w:rPr>
        <w:t>94.59</w:t>
      </w:r>
      <w:r>
        <w:rPr>
          <w:rFonts w:hint="eastAsia" w:ascii="仿宋_GB2312" w:hAnsi="仿宋_GB2312" w:eastAsia="仿宋_GB2312" w:cs="仿宋_GB2312"/>
          <w:sz w:val="32"/>
          <w:szCs w:val="32"/>
        </w:rPr>
        <w:t>%，较上年</w:t>
      </w:r>
      <w:r>
        <w:rPr>
          <w:rFonts w:hint="eastAsia" w:ascii="仿宋_GB2312" w:hAnsi="仿宋_GB2312" w:eastAsia="仿宋_GB2312" w:cs="仿宋_GB2312"/>
          <w:sz w:val="32"/>
          <w:szCs w:val="32"/>
          <w:lang w:val="en-US" w:eastAsia="zh-CN"/>
        </w:rPr>
        <w:t>149.65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42.54</w:t>
      </w:r>
      <w:r>
        <w:rPr>
          <w:rFonts w:hint="eastAsia" w:ascii="仿宋_GB2312" w:hAnsi="仿宋_GB2312" w:eastAsia="仿宋_GB2312" w:cs="仿宋_GB2312"/>
          <w:sz w:val="32"/>
          <w:szCs w:val="32"/>
        </w:rPr>
        <w:t>%，原因为</w:t>
      </w:r>
      <w:r>
        <w:rPr>
          <w:rFonts w:hint="eastAsia" w:ascii="仿宋_GB2312" w:hAnsi="仿宋_GB2312" w:eastAsia="仿宋_GB2312" w:cs="仿宋_GB2312"/>
          <w:sz w:val="32"/>
          <w:szCs w:val="32"/>
          <w:lang w:val="en-US" w:eastAsia="zh-CN"/>
        </w:rPr>
        <w:t>人员增加</w:t>
      </w:r>
      <w:r>
        <w:rPr>
          <w:rFonts w:hint="eastAsia" w:ascii="仿宋_GB2312" w:hAnsi="仿宋_GB2312" w:eastAsia="仿宋_GB2312" w:cs="仿宋_GB2312"/>
          <w:sz w:val="32"/>
          <w:szCs w:val="32"/>
        </w:rPr>
        <w:t>；专项业务工作经费预算</w:t>
      </w:r>
      <w:r>
        <w:rPr>
          <w:rFonts w:hint="eastAsia" w:ascii="仿宋_GB2312" w:hAnsi="仿宋_GB2312" w:eastAsia="仿宋_GB2312" w:cs="仿宋_GB2312"/>
          <w:sz w:val="32"/>
          <w:szCs w:val="32"/>
          <w:lang w:val="en-US" w:eastAsia="zh-CN"/>
        </w:rPr>
        <w:t>12.2</w:t>
      </w:r>
      <w:r>
        <w:rPr>
          <w:rFonts w:hint="eastAsia" w:ascii="仿宋_GB2312" w:hAnsi="仿宋_GB2312" w:eastAsia="仿宋_GB2312" w:cs="仿宋_GB2312"/>
          <w:sz w:val="32"/>
          <w:szCs w:val="32"/>
        </w:rPr>
        <w:t>万元，占总预算的</w:t>
      </w:r>
      <w:r>
        <w:rPr>
          <w:rFonts w:hint="eastAsia" w:ascii="仿宋_GB2312" w:hAnsi="仿宋_GB2312" w:eastAsia="仿宋_GB2312" w:cs="仿宋_GB2312"/>
          <w:sz w:val="32"/>
          <w:szCs w:val="32"/>
          <w:lang w:val="en-US" w:eastAsia="zh-CN"/>
        </w:rPr>
        <w:t>5.41</w:t>
      </w:r>
      <w:r>
        <w:rPr>
          <w:rFonts w:hint="eastAsia" w:ascii="仿宋_GB2312" w:hAnsi="仿宋_GB2312" w:eastAsia="仿宋_GB2312" w:cs="仿宋_GB2312"/>
          <w:sz w:val="32"/>
          <w:szCs w:val="32"/>
        </w:rPr>
        <w:t>%，较上年预算</w:t>
      </w:r>
      <w:r>
        <w:rPr>
          <w:rFonts w:hint="eastAsia" w:ascii="仿宋_GB2312" w:hAnsi="仿宋_GB2312" w:eastAsia="仿宋_GB2312" w:cs="仿宋_GB2312"/>
          <w:sz w:val="32"/>
          <w:szCs w:val="32"/>
          <w:lang w:val="en-US" w:eastAsia="zh-CN"/>
        </w:rPr>
        <w:t>6.91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增加了43.36</w:t>
      </w:r>
      <w:r>
        <w:rPr>
          <w:rFonts w:hint="eastAsia" w:ascii="仿宋_GB2312" w:hAnsi="仿宋_GB2312" w:eastAsia="仿宋_GB2312" w:cs="仿宋_GB2312"/>
          <w:sz w:val="32"/>
          <w:szCs w:val="32"/>
        </w:rPr>
        <w:t>%，主要原因</w:t>
      </w:r>
      <w:r>
        <w:rPr>
          <w:rFonts w:hint="eastAsia" w:ascii="仿宋_GB2312" w:hAnsi="仿宋_GB2312" w:eastAsia="仿宋_GB2312" w:cs="仿宋_GB2312"/>
          <w:sz w:val="32"/>
          <w:szCs w:val="32"/>
          <w:lang w:val="en-US" w:eastAsia="zh-CN"/>
        </w:rPr>
        <w:t>是项目增加。</w:t>
      </w:r>
    </w:p>
    <w:p w14:paraId="371492A7">
      <w:pPr>
        <w:widowControl/>
        <w:shd w:val="clear" w:color="auto" w:fill="FFFFFF"/>
        <w:spacing w:line="560" w:lineRule="exact"/>
        <w:ind w:firstLine="480"/>
        <w:jc w:val="left"/>
        <w:rPr>
          <w:rFonts w:ascii="黑体" w:hAnsi="黑体" w:eastAsia="黑体" w:cs="黑体"/>
          <w:b/>
          <w:bCs/>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 xml:space="preserve"> </w:t>
      </w:r>
      <w:r>
        <w:rPr>
          <w:rFonts w:hint="eastAsia" w:ascii="黑体" w:hAnsi="黑体" w:eastAsia="黑体" w:cs="黑体"/>
          <w:b/>
          <w:bCs/>
          <w:color w:val="333333"/>
          <w:kern w:val="0"/>
          <w:sz w:val="32"/>
          <w:szCs w:val="32"/>
          <w:shd w:val="clear" w:color="auto" w:fill="FFFFFF"/>
        </w:rPr>
        <w:t xml:space="preserve">六、“三公”经费预算 </w:t>
      </w:r>
    </w:p>
    <w:p w14:paraId="42D4F49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本年度三公经费预算安排支出为</w:t>
      </w:r>
      <w:r>
        <w:rPr>
          <w:rFonts w:hint="eastAsia" w:ascii="仿宋_GB2312" w:hAnsi="仿宋_GB2312" w:eastAsia="仿宋_GB2312" w:cs="仿宋_GB2312"/>
          <w:sz w:val="32"/>
          <w:szCs w:val="32"/>
          <w:lang w:val="en-US" w:eastAsia="zh-CN"/>
        </w:rPr>
        <w:t>4.6</w:t>
      </w:r>
      <w:r>
        <w:rPr>
          <w:rFonts w:hint="eastAsia" w:ascii="仿宋_GB2312" w:hAnsi="仿宋_GB2312" w:eastAsia="仿宋_GB2312" w:cs="仿宋_GB2312"/>
          <w:sz w:val="32"/>
          <w:szCs w:val="32"/>
        </w:rPr>
        <w:t>万元，其中：出国费0万元，与上年持平，主要原因为未安排因公出国；公车购置费0万元，与上年持平；公务用车维护费支出</w:t>
      </w:r>
      <w:r>
        <w:rPr>
          <w:rFonts w:hint="eastAsia" w:ascii="仿宋_GB2312" w:hAnsi="仿宋_GB2312" w:eastAsia="仿宋_GB2312" w:cs="仿宋_GB2312"/>
          <w:sz w:val="32"/>
          <w:szCs w:val="32"/>
          <w:lang w:val="en-US" w:eastAsia="zh-CN"/>
        </w:rPr>
        <w:t>4.6</w:t>
      </w:r>
      <w:r>
        <w:rPr>
          <w:rFonts w:hint="eastAsia" w:ascii="仿宋_GB2312" w:hAnsi="仿宋_GB2312" w:eastAsia="仿宋_GB2312" w:cs="仿宋_GB2312"/>
          <w:sz w:val="32"/>
          <w:szCs w:val="32"/>
        </w:rPr>
        <w:t>万元，与上年持平</w:t>
      </w:r>
      <w:r>
        <w:rPr>
          <w:rFonts w:hint="eastAsia" w:ascii="仿宋_GB2312" w:eastAsia="仿宋_GB2312"/>
          <w:sz w:val="32"/>
          <w:szCs w:val="32"/>
          <w:lang w:val="en-US" w:eastAsia="zh-CN"/>
        </w:rPr>
        <w:t>。</w:t>
      </w:r>
      <w:r>
        <w:rPr>
          <w:rFonts w:hint="eastAsia" w:ascii="仿宋_GB2312" w:hAnsi="仿宋_GB2312" w:eastAsia="仿宋_GB2312" w:cs="仿宋_GB2312"/>
          <w:sz w:val="32"/>
          <w:szCs w:val="32"/>
        </w:rPr>
        <w:t>公务接待费0.</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与上年持平</w:t>
      </w:r>
      <w:r>
        <w:rPr>
          <w:rFonts w:hint="eastAsia" w:ascii="仿宋_GB2312" w:eastAsia="仿宋_GB2312"/>
          <w:sz w:val="32"/>
          <w:szCs w:val="32"/>
          <w:lang w:val="en-US" w:eastAsia="zh-CN"/>
        </w:rPr>
        <w:t>，主要原因为本年度我们将严格执行“八项规定、六项禁令”，结合本年度工作需要，减少不必要的开支。</w:t>
      </w:r>
    </w:p>
    <w:p w14:paraId="46358D0A">
      <w:pPr>
        <w:widowControl/>
        <w:shd w:val="clear" w:color="auto" w:fill="FFFFFF"/>
        <w:spacing w:line="560" w:lineRule="exact"/>
        <w:ind w:firstLine="480"/>
        <w:jc w:val="left"/>
        <w:rPr>
          <w:rFonts w:ascii="黑体" w:hAnsi="黑体" w:eastAsia="黑体" w:cs="黑体"/>
          <w:b/>
          <w:bCs/>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 xml:space="preserve"> </w:t>
      </w:r>
      <w:r>
        <w:rPr>
          <w:rFonts w:hint="eastAsia" w:ascii="黑体" w:hAnsi="黑体" w:eastAsia="黑体" w:cs="黑体"/>
          <w:b/>
          <w:bCs/>
          <w:color w:val="333333"/>
          <w:kern w:val="0"/>
          <w:sz w:val="32"/>
          <w:szCs w:val="32"/>
          <w:shd w:val="clear" w:color="auto" w:fill="FFFFFF"/>
        </w:rPr>
        <w:t>七、政府性基金预算收支情况说明</w:t>
      </w:r>
    </w:p>
    <w:p w14:paraId="19BA100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年没有安排政府性基金预算拨款支出。</w:t>
      </w:r>
    </w:p>
    <w:p w14:paraId="134E0EF3">
      <w:pPr>
        <w:widowControl/>
        <w:shd w:val="clear" w:color="auto" w:fill="FFFFFF"/>
        <w:spacing w:line="560" w:lineRule="exact"/>
        <w:ind w:left="480"/>
        <w:jc w:val="left"/>
        <w:rPr>
          <w:rFonts w:ascii="黑体" w:hAnsi="黑体" w:eastAsia="黑体" w:cs="黑体"/>
          <w:b/>
          <w:bCs/>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 xml:space="preserve"> </w:t>
      </w:r>
      <w:r>
        <w:rPr>
          <w:rFonts w:hint="eastAsia" w:ascii="黑体" w:hAnsi="黑体" w:eastAsia="黑体" w:cs="黑体"/>
          <w:b/>
          <w:bCs/>
          <w:color w:val="333333"/>
          <w:kern w:val="0"/>
          <w:sz w:val="32"/>
          <w:szCs w:val="32"/>
          <w:shd w:val="clear" w:color="auto" w:fill="FFFFFF"/>
        </w:rPr>
        <w:t>八、国有资本经营预算收支情况说明</w:t>
      </w:r>
    </w:p>
    <w:p w14:paraId="490CE61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年没有安排国有资本经营预算拨款支出。</w:t>
      </w:r>
    </w:p>
    <w:p w14:paraId="7FC3C7D3">
      <w:pPr>
        <w:widowControl/>
        <w:shd w:val="clear" w:color="auto" w:fill="FFFFFF"/>
        <w:spacing w:line="560" w:lineRule="exact"/>
        <w:ind w:left="480"/>
        <w:jc w:val="left"/>
        <w:rPr>
          <w:rFonts w:ascii="黑体" w:hAnsi="黑体" w:eastAsia="黑体" w:cs="黑体"/>
          <w:b/>
          <w:bCs/>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 xml:space="preserve"> </w:t>
      </w:r>
      <w:r>
        <w:rPr>
          <w:rFonts w:hint="eastAsia" w:ascii="黑体" w:hAnsi="黑体" w:eastAsia="黑体" w:cs="黑体"/>
          <w:b/>
          <w:bCs/>
          <w:color w:val="333333"/>
          <w:kern w:val="0"/>
          <w:sz w:val="32"/>
          <w:szCs w:val="32"/>
          <w:shd w:val="clear" w:color="auto" w:fill="FFFFFF"/>
        </w:rPr>
        <w:t>九、其他重要事项的情况说明</w:t>
      </w:r>
    </w:p>
    <w:p w14:paraId="3223F8B3">
      <w:pPr>
        <w:widowControl/>
        <w:shd w:val="clear" w:color="auto" w:fill="FFFFFF"/>
        <w:spacing w:line="560" w:lineRule="exact"/>
        <w:ind w:firstLine="480"/>
        <w:jc w:val="left"/>
        <w:rPr>
          <w:rFonts w:ascii="楷体" w:hAnsi="楷体" w:eastAsia="楷体" w:cs="楷体"/>
          <w:b/>
          <w:bCs/>
          <w:color w:val="333333"/>
          <w:kern w:val="0"/>
          <w:sz w:val="32"/>
          <w:szCs w:val="32"/>
          <w:shd w:val="clear" w:color="auto" w:fill="FFFFFF"/>
        </w:rPr>
      </w:pPr>
      <w:r>
        <w:rPr>
          <w:rFonts w:hint="eastAsia" w:ascii="仿宋_GB2312" w:hAnsi="仿宋_GB2312" w:eastAsia="仿宋_GB2312" w:cs="仿宋_GB2312"/>
          <w:b/>
          <w:bCs/>
          <w:color w:val="333333"/>
          <w:kern w:val="0"/>
          <w:sz w:val="32"/>
          <w:szCs w:val="32"/>
          <w:shd w:val="clear" w:color="auto" w:fill="FFFFFF"/>
        </w:rPr>
        <w:t xml:space="preserve"> </w:t>
      </w:r>
      <w:r>
        <w:rPr>
          <w:rFonts w:hint="eastAsia" w:ascii="楷体" w:hAnsi="楷体" w:eastAsia="楷体" w:cs="楷体"/>
          <w:b/>
          <w:bCs/>
          <w:color w:val="333333"/>
          <w:kern w:val="0"/>
          <w:sz w:val="32"/>
          <w:szCs w:val="32"/>
          <w:shd w:val="clear" w:color="auto" w:fill="FFFFFF"/>
        </w:rPr>
        <w:t xml:space="preserve">（一）政府采购预算情况 </w:t>
      </w:r>
    </w:p>
    <w:p w14:paraId="6F09504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年度安排政府采购预算0万元。</w:t>
      </w:r>
    </w:p>
    <w:p w14:paraId="6E0FE200">
      <w:pPr>
        <w:widowControl/>
        <w:shd w:val="clear" w:color="auto" w:fill="FFFFFF"/>
        <w:spacing w:line="560" w:lineRule="exact"/>
        <w:ind w:left="480"/>
        <w:jc w:val="left"/>
        <w:rPr>
          <w:rFonts w:ascii="楷体" w:hAnsi="楷体" w:eastAsia="楷体" w:cs="楷体"/>
          <w:sz w:val="32"/>
          <w:szCs w:val="32"/>
        </w:rPr>
      </w:pPr>
      <w:r>
        <w:rPr>
          <w:rFonts w:hint="eastAsia" w:ascii="仿宋_GB2312" w:hAnsi="仿宋_GB2312" w:eastAsia="仿宋_GB2312" w:cs="仿宋_GB2312"/>
          <w:b/>
          <w:bCs/>
          <w:color w:val="333333"/>
          <w:kern w:val="0"/>
          <w:sz w:val="32"/>
          <w:szCs w:val="32"/>
          <w:shd w:val="clear" w:color="auto" w:fill="FFFFFF"/>
        </w:rPr>
        <w:t xml:space="preserve"> </w:t>
      </w:r>
      <w:r>
        <w:rPr>
          <w:rFonts w:hint="eastAsia" w:ascii="楷体" w:hAnsi="楷体" w:eastAsia="楷体" w:cs="楷体"/>
          <w:b/>
          <w:bCs/>
          <w:color w:val="333333"/>
          <w:kern w:val="0"/>
          <w:sz w:val="32"/>
          <w:szCs w:val="32"/>
          <w:shd w:val="clear" w:color="auto" w:fill="FFFFFF"/>
        </w:rPr>
        <w:t>（二）政府财政国有资产占用情况</w:t>
      </w:r>
      <w:r>
        <w:rPr>
          <w:rFonts w:hint="eastAsia" w:ascii="楷体" w:hAnsi="楷体" w:eastAsia="楷体" w:cs="楷体"/>
          <w:color w:val="333333"/>
          <w:kern w:val="0"/>
          <w:sz w:val="32"/>
          <w:szCs w:val="32"/>
          <w:shd w:val="clear" w:color="auto" w:fill="FFFFFF"/>
        </w:rPr>
        <w:t xml:space="preserve"> </w:t>
      </w:r>
    </w:p>
    <w:p w14:paraId="47085088">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截止20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年底，实际共有固定资产价值</w:t>
      </w:r>
      <w:r>
        <w:rPr>
          <w:rFonts w:hint="eastAsia" w:ascii="仿宋_GB2312" w:hAnsi="仿宋_GB2312" w:eastAsia="仿宋_GB2312" w:cs="仿宋_GB2312"/>
          <w:sz w:val="32"/>
          <w:szCs w:val="32"/>
          <w:lang w:val="en-US" w:eastAsia="zh-CN"/>
        </w:rPr>
        <w:t>1.75</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zCs w:val="32"/>
          <w:lang w:eastAsia="zh-CN"/>
        </w:rPr>
        <w:t>土地、房屋及构筑物</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通用设备</w:t>
      </w:r>
      <w:r>
        <w:rPr>
          <w:rFonts w:hint="eastAsia" w:ascii="仿宋_GB2312" w:hAnsi="仿宋_GB2312" w:eastAsia="仿宋_GB2312" w:cs="仿宋_GB2312"/>
          <w:sz w:val="32"/>
          <w:szCs w:val="32"/>
          <w:lang w:val="en-US" w:eastAsia="zh-CN"/>
        </w:rPr>
        <w:t>8.711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专用设备</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家具</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用具</w:t>
      </w:r>
      <w:r>
        <w:rPr>
          <w:rFonts w:hint="eastAsia" w:ascii="仿宋_GB2312" w:hAnsi="仿宋_GB2312" w:eastAsia="仿宋_GB2312" w:cs="仿宋_GB2312"/>
          <w:sz w:val="32"/>
          <w:szCs w:val="32"/>
          <w:lang w:val="en-US" w:eastAsia="zh-CN"/>
        </w:rPr>
        <w:t>2.364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14:paraId="154E2FF9">
      <w:pPr>
        <w:widowControl/>
        <w:shd w:val="clear" w:color="auto" w:fill="FFFFFF"/>
        <w:spacing w:line="560" w:lineRule="exact"/>
        <w:ind w:left="480"/>
        <w:jc w:val="left"/>
        <w:rPr>
          <w:rFonts w:ascii="楷体" w:hAnsi="楷体" w:eastAsia="楷体" w:cs="楷体"/>
          <w:b/>
          <w:bCs/>
          <w:color w:val="333333"/>
          <w:kern w:val="0"/>
          <w:sz w:val="32"/>
          <w:szCs w:val="32"/>
          <w:shd w:val="clear" w:color="auto" w:fill="FFFFFF"/>
        </w:rPr>
      </w:pPr>
      <w:r>
        <w:rPr>
          <w:rFonts w:hint="eastAsia" w:ascii="仿宋_GB2312" w:hAnsi="仿宋_GB2312" w:eastAsia="仿宋_GB2312" w:cs="仿宋_GB2312"/>
          <w:b/>
          <w:bCs/>
          <w:color w:val="333333"/>
          <w:kern w:val="0"/>
          <w:sz w:val="32"/>
          <w:szCs w:val="32"/>
          <w:shd w:val="clear" w:color="auto" w:fill="FFFFFF"/>
        </w:rPr>
        <w:t xml:space="preserve"> </w:t>
      </w:r>
      <w:r>
        <w:rPr>
          <w:rFonts w:hint="eastAsia" w:ascii="楷体" w:hAnsi="楷体" w:eastAsia="楷体" w:cs="楷体"/>
          <w:b/>
          <w:bCs/>
          <w:color w:val="333333"/>
          <w:kern w:val="0"/>
          <w:sz w:val="32"/>
          <w:szCs w:val="32"/>
          <w:shd w:val="clear" w:color="auto" w:fill="FFFFFF"/>
        </w:rPr>
        <w:t>（三）绩效目标设置情况</w:t>
      </w:r>
    </w:p>
    <w:p w14:paraId="5825BD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绩效目标是预算编制的前提和基础，按照“费随事定”的原则，2026年我单位项目支出按要求编制了绩效目标，从项目完成、项目效益、满意度。</w:t>
      </w:r>
    </w:p>
    <w:p w14:paraId="54214F1A">
      <w:pPr>
        <w:keepNext w:val="0"/>
        <w:keepLines w:val="0"/>
        <w:pageBreakBefore w:val="0"/>
        <w:widowControl w:val="0"/>
        <w:numPr>
          <w:ilvl w:val="0"/>
          <w:numId w:val="4"/>
        </w:numPr>
        <w:pBdr>
          <w:bottom w:val="single" w:color="FFFFFF" w:sz="4" w:space="25"/>
        </w:pBdr>
        <w:tabs>
          <w:tab w:val="left" w:pos="1440"/>
        </w:tabs>
        <w:kinsoku/>
        <w:wordWrap/>
        <w:overflowPunct/>
        <w:topLinePunct w:val="0"/>
        <w:autoSpaceDE/>
        <w:autoSpaceDN/>
        <w:bidi w:val="0"/>
        <w:adjustRightInd w:val="0"/>
        <w:snapToGrid w:val="0"/>
        <w:spacing w:line="560" w:lineRule="exact"/>
        <w:ind w:firstLine="643" w:firstLineChars="200"/>
        <w:textAlignment w:val="auto"/>
        <w:outlineLvl w:val="9"/>
        <w:rPr>
          <w:rFonts w:hint="eastAsia" w:ascii="仿宋_GB2312" w:eastAsia="仿宋_GB2312"/>
          <w:sz w:val="32"/>
          <w:szCs w:val="32"/>
          <w:lang w:val="en-US" w:eastAsia="zh-CN"/>
        </w:rPr>
      </w:pPr>
      <w:r>
        <w:rPr>
          <w:rFonts w:hint="eastAsia" w:ascii="黑体" w:hAnsi="黑体" w:eastAsia="黑体" w:cs="黑体"/>
          <w:b/>
          <w:bCs/>
          <w:color w:val="333333"/>
          <w:kern w:val="0"/>
          <w:sz w:val="32"/>
          <w:szCs w:val="32"/>
          <w:shd w:val="clear" w:color="auto" w:fill="FFFFFF"/>
        </w:rPr>
        <w:t xml:space="preserve">名词解释 </w:t>
      </w:r>
      <w:r>
        <w:rPr>
          <w:rFonts w:hint="eastAsia" w:ascii="黑体" w:hAnsi="黑体" w:eastAsia="黑体" w:cs="黑体"/>
          <w:b/>
          <w:bCs/>
          <w:sz w:val="32"/>
          <w:szCs w:val="32"/>
        </w:rPr>
        <w:br w:type="textWrapping"/>
      </w:r>
      <w:r>
        <w:rPr>
          <w:rFonts w:hint="eastAsia" w:ascii="仿宋_GB2312" w:hAnsi="仿宋_GB2312" w:eastAsia="仿宋_GB2312" w:cs="仿宋_GB2312"/>
          <w:sz w:val="32"/>
          <w:szCs w:val="32"/>
        </w:rPr>
        <w:t>　　</w:t>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14:paraId="1A47FF1A">
      <w:pPr>
        <w:keepNext w:val="0"/>
        <w:keepLines w:val="0"/>
        <w:pageBreakBefore w:val="0"/>
        <w:widowControl w:val="0"/>
        <w:numPr>
          <w:ilvl w:val="0"/>
          <w:numId w:val="0"/>
        </w:numPr>
        <w:pBdr>
          <w:bottom w:val="single" w:color="FFFFFF" w:sz="4" w:space="25"/>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14:paraId="4FCBB5B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7CECEBF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2D30F8B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58B0BAE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2536F42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09982CF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03F6FCF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5F8C1B2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5FD3D76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23924C7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4485D14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27484F2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75377E9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252E793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表13.部门项目支出绩效目标表（2026年度）</w:t>
      </w:r>
    </w:p>
    <w:p w14:paraId="233454B7">
      <w:pPr>
        <w:pStyle w:val="2"/>
        <w:rPr>
          <w:rFonts w:ascii="仿宋_GB2312" w:hAnsi="仿宋_GB2312" w:eastAsia="仿宋_GB2312" w:cs="仿宋_GB2312"/>
          <w:sz w:val="32"/>
          <w:szCs w:val="32"/>
        </w:rPr>
      </w:pPr>
      <w:r>
        <w:rPr>
          <w:rFonts w:hint="eastAsia" w:ascii="仿宋_GB2312" w:eastAsia="仿宋_GB2312"/>
          <w:sz w:val="32"/>
          <w:szCs w:val="32"/>
          <w:lang w:val="en-US" w:eastAsia="zh-CN"/>
        </w:rPr>
        <w:t xml:space="preserve">           </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95563">
    <w:pPr>
      <w:pStyle w:val="2"/>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14:paraId="24E86580">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25A9D">
    <w:pPr>
      <w:pStyle w:val="2"/>
      <w:framePr w:wrap="around" w:vAnchor="text" w:hAnchor="margin" w:xAlign="center" w:y="1"/>
      <w:rPr>
        <w:rStyle w:val="12"/>
      </w:rPr>
    </w:pPr>
    <w:r>
      <w:fldChar w:fldCharType="begin"/>
    </w:r>
    <w:r>
      <w:rPr>
        <w:rStyle w:val="12"/>
      </w:rPr>
      <w:instrText xml:space="preserve">PAGE  </w:instrText>
    </w:r>
    <w:r>
      <w:fldChar w:fldCharType="end"/>
    </w:r>
  </w:p>
  <w:p w14:paraId="437D22D2">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68D921"/>
    <w:multiLevelType w:val="singleLevel"/>
    <w:tmpl w:val="4468D921"/>
    <w:lvl w:ilvl="0" w:tentative="0">
      <w:start w:val="1"/>
      <w:numFmt w:val="chineseCounting"/>
      <w:suff w:val="nothing"/>
      <w:lvlText w:val="（%1）"/>
      <w:lvlJc w:val="left"/>
      <w:rPr>
        <w:rFonts w:hint="eastAsia"/>
      </w:rPr>
    </w:lvl>
  </w:abstractNum>
  <w:abstractNum w:abstractNumId="1">
    <w:nsid w:val="532E2F9D"/>
    <w:multiLevelType w:val="singleLevel"/>
    <w:tmpl w:val="532E2F9D"/>
    <w:lvl w:ilvl="0" w:tentative="0">
      <w:start w:val="10"/>
      <w:numFmt w:val="chineseCounting"/>
      <w:suff w:val="nothing"/>
      <w:lvlText w:val="%1．"/>
      <w:lvlJc w:val="left"/>
      <w:rPr>
        <w:rFonts w:hint="eastAsia"/>
      </w:rPr>
    </w:lvl>
  </w:abstractNum>
  <w:abstractNum w:abstractNumId="2">
    <w:nsid w:val="5A717D6F"/>
    <w:multiLevelType w:val="singleLevel"/>
    <w:tmpl w:val="5A717D6F"/>
    <w:lvl w:ilvl="0" w:tentative="0">
      <w:start w:val="4"/>
      <w:numFmt w:val="chineseCounting"/>
      <w:suff w:val="nothing"/>
      <w:lvlText w:val="%1、"/>
      <w:lvlJc w:val="left"/>
    </w:lvl>
  </w:abstractNum>
  <w:abstractNum w:abstractNumId="3">
    <w:nsid w:val="6C91465C"/>
    <w:multiLevelType w:val="singleLevel"/>
    <w:tmpl w:val="6C91465C"/>
    <w:lvl w:ilvl="0" w:tentative="0">
      <w:start w:val="1"/>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jg3ODUyOTFjNzc4OWEyODIxMTQ4MDhiOGY2NGEzMmYifQ=="/>
  </w:docVars>
  <w:rsids>
    <w:rsidRoot w:val="10B92046"/>
    <w:rsid w:val="00027B98"/>
    <w:rsid w:val="00080CA3"/>
    <w:rsid w:val="0011562A"/>
    <w:rsid w:val="002100D1"/>
    <w:rsid w:val="002935A7"/>
    <w:rsid w:val="00296EE2"/>
    <w:rsid w:val="00377C0F"/>
    <w:rsid w:val="0047086A"/>
    <w:rsid w:val="004931B7"/>
    <w:rsid w:val="004C02C1"/>
    <w:rsid w:val="004D05DC"/>
    <w:rsid w:val="0066042D"/>
    <w:rsid w:val="006660D6"/>
    <w:rsid w:val="006B39B4"/>
    <w:rsid w:val="006D18C7"/>
    <w:rsid w:val="00731287"/>
    <w:rsid w:val="0075012C"/>
    <w:rsid w:val="007D517B"/>
    <w:rsid w:val="00873EFE"/>
    <w:rsid w:val="008B4A03"/>
    <w:rsid w:val="008E0491"/>
    <w:rsid w:val="008E3560"/>
    <w:rsid w:val="008F1A3C"/>
    <w:rsid w:val="00941F74"/>
    <w:rsid w:val="009771FB"/>
    <w:rsid w:val="009F1F32"/>
    <w:rsid w:val="00A15A4D"/>
    <w:rsid w:val="00A16826"/>
    <w:rsid w:val="00D14BC2"/>
    <w:rsid w:val="00E052EA"/>
    <w:rsid w:val="00E20313"/>
    <w:rsid w:val="00E85F72"/>
    <w:rsid w:val="00F2728D"/>
    <w:rsid w:val="00F90C33"/>
    <w:rsid w:val="00FE367B"/>
    <w:rsid w:val="01AA1E19"/>
    <w:rsid w:val="02A557AC"/>
    <w:rsid w:val="02C66386"/>
    <w:rsid w:val="02DB20FA"/>
    <w:rsid w:val="04CF23E8"/>
    <w:rsid w:val="052167E4"/>
    <w:rsid w:val="05D516A4"/>
    <w:rsid w:val="065325C9"/>
    <w:rsid w:val="066B7191"/>
    <w:rsid w:val="07A34A60"/>
    <w:rsid w:val="08A20B12"/>
    <w:rsid w:val="099B6E59"/>
    <w:rsid w:val="0A173A74"/>
    <w:rsid w:val="0ADC778A"/>
    <w:rsid w:val="0C741F21"/>
    <w:rsid w:val="101D2DFD"/>
    <w:rsid w:val="107514F4"/>
    <w:rsid w:val="10B92046"/>
    <w:rsid w:val="10D4317E"/>
    <w:rsid w:val="10E459FE"/>
    <w:rsid w:val="11044CD9"/>
    <w:rsid w:val="112108E9"/>
    <w:rsid w:val="11C52880"/>
    <w:rsid w:val="130059ED"/>
    <w:rsid w:val="16121435"/>
    <w:rsid w:val="16335B19"/>
    <w:rsid w:val="1718044B"/>
    <w:rsid w:val="175345B3"/>
    <w:rsid w:val="179C5BCF"/>
    <w:rsid w:val="17A56B63"/>
    <w:rsid w:val="1806517A"/>
    <w:rsid w:val="18430958"/>
    <w:rsid w:val="18870CA9"/>
    <w:rsid w:val="1C244440"/>
    <w:rsid w:val="1DAC0C4B"/>
    <w:rsid w:val="1E380731"/>
    <w:rsid w:val="1E7755C2"/>
    <w:rsid w:val="1E967206"/>
    <w:rsid w:val="1F500906"/>
    <w:rsid w:val="20BD1DAC"/>
    <w:rsid w:val="20E53DA9"/>
    <w:rsid w:val="23F84C8B"/>
    <w:rsid w:val="24CB66A3"/>
    <w:rsid w:val="24D23BA6"/>
    <w:rsid w:val="25E20F82"/>
    <w:rsid w:val="29015BC3"/>
    <w:rsid w:val="291D4A80"/>
    <w:rsid w:val="29565A4E"/>
    <w:rsid w:val="29C169B3"/>
    <w:rsid w:val="29DF5F05"/>
    <w:rsid w:val="2B571670"/>
    <w:rsid w:val="2B762CBA"/>
    <w:rsid w:val="2C165C97"/>
    <w:rsid w:val="2E4C5B33"/>
    <w:rsid w:val="2F91117B"/>
    <w:rsid w:val="2FB1153A"/>
    <w:rsid w:val="304E21C1"/>
    <w:rsid w:val="310D08C5"/>
    <w:rsid w:val="3145081F"/>
    <w:rsid w:val="32ED0342"/>
    <w:rsid w:val="353916AE"/>
    <w:rsid w:val="3540522B"/>
    <w:rsid w:val="356E45E1"/>
    <w:rsid w:val="3775004B"/>
    <w:rsid w:val="378D7B12"/>
    <w:rsid w:val="39C50F88"/>
    <w:rsid w:val="39FF504E"/>
    <w:rsid w:val="3A9F7E42"/>
    <w:rsid w:val="3B080DC0"/>
    <w:rsid w:val="3CBE3598"/>
    <w:rsid w:val="41C641A0"/>
    <w:rsid w:val="421A00D4"/>
    <w:rsid w:val="42D00689"/>
    <w:rsid w:val="43DB72E5"/>
    <w:rsid w:val="442962A2"/>
    <w:rsid w:val="45435E40"/>
    <w:rsid w:val="45AA3413"/>
    <w:rsid w:val="46900DBA"/>
    <w:rsid w:val="46F54B62"/>
    <w:rsid w:val="478B71C5"/>
    <w:rsid w:val="48AE6427"/>
    <w:rsid w:val="48C7101D"/>
    <w:rsid w:val="496F5010"/>
    <w:rsid w:val="49A75E18"/>
    <w:rsid w:val="4A2A18B8"/>
    <w:rsid w:val="4A860AB0"/>
    <w:rsid w:val="4FFC6420"/>
    <w:rsid w:val="50E44DC8"/>
    <w:rsid w:val="51031C29"/>
    <w:rsid w:val="5264494A"/>
    <w:rsid w:val="527465F2"/>
    <w:rsid w:val="529A036B"/>
    <w:rsid w:val="52F65279"/>
    <w:rsid w:val="54590C29"/>
    <w:rsid w:val="553B643E"/>
    <w:rsid w:val="555E53B0"/>
    <w:rsid w:val="55E073E4"/>
    <w:rsid w:val="55F06C20"/>
    <w:rsid w:val="562450D3"/>
    <w:rsid w:val="5632548A"/>
    <w:rsid w:val="56816594"/>
    <w:rsid w:val="56D54068"/>
    <w:rsid w:val="56D9365E"/>
    <w:rsid w:val="56F015BA"/>
    <w:rsid w:val="57FF2CC1"/>
    <w:rsid w:val="582C25D1"/>
    <w:rsid w:val="590577BE"/>
    <w:rsid w:val="5A1C066C"/>
    <w:rsid w:val="5AA75D1B"/>
    <w:rsid w:val="5D9E12C3"/>
    <w:rsid w:val="5EBA601D"/>
    <w:rsid w:val="5FBA6E30"/>
    <w:rsid w:val="604F397F"/>
    <w:rsid w:val="61A612AA"/>
    <w:rsid w:val="632160BC"/>
    <w:rsid w:val="636966A0"/>
    <w:rsid w:val="65E141B5"/>
    <w:rsid w:val="6715488B"/>
    <w:rsid w:val="67D02287"/>
    <w:rsid w:val="67FF15A9"/>
    <w:rsid w:val="69146C72"/>
    <w:rsid w:val="69463163"/>
    <w:rsid w:val="69DF4633"/>
    <w:rsid w:val="69F32BB1"/>
    <w:rsid w:val="6A1D342F"/>
    <w:rsid w:val="6AA73D20"/>
    <w:rsid w:val="6AF123D4"/>
    <w:rsid w:val="6B1F1C54"/>
    <w:rsid w:val="6D2B64E7"/>
    <w:rsid w:val="6D501894"/>
    <w:rsid w:val="6D9B2F08"/>
    <w:rsid w:val="6E2102D8"/>
    <w:rsid w:val="6EF62D92"/>
    <w:rsid w:val="6F7E6BF3"/>
    <w:rsid w:val="6F804309"/>
    <w:rsid w:val="6FBF4B32"/>
    <w:rsid w:val="72030CA2"/>
    <w:rsid w:val="73707F5D"/>
    <w:rsid w:val="76206C56"/>
    <w:rsid w:val="77206303"/>
    <w:rsid w:val="779F004E"/>
    <w:rsid w:val="7901214F"/>
    <w:rsid w:val="791F31F5"/>
    <w:rsid w:val="796B7D61"/>
    <w:rsid w:val="799209A8"/>
    <w:rsid w:val="79937962"/>
    <w:rsid w:val="7B8E6410"/>
    <w:rsid w:val="7D094FC8"/>
    <w:rsid w:val="7F294F17"/>
    <w:rsid w:val="7F7C3A97"/>
    <w:rsid w:val="7FB10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szCs w:val="18"/>
    </w:rPr>
  </w:style>
  <w:style w:type="paragraph" w:styleId="3">
    <w:name w:val="Body Text"/>
    <w:basedOn w:val="1"/>
    <w:next w:val="1"/>
    <w:qFormat/>
    <w:uiPriority w:val="0"/>
    <w:pPr>
      <w:spacing w:beforeLines="30"/>
    </w:pPr>
    <w:rPr>
      <w:rFonts w:ascii="仿宋_GB2312" w:eastAsia="仿宋_GB2312"/>
      <w:sz w:val="30"/>
    </w:rPr>
  </w:style>
  <w:style w:type="paragraph" w:styleId="4">
    <w:name w:val="Body Text Indent"/>
    <w:basedOn w:val="1"/>
    <w:qFormat/>
    <w:uiPriority w:val="0"/>
    <w:pPr>
      <w:spacing w:after="120"/>
      <w:ind w:left="420" w:leftChars="200"/>
    </w:p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pPr>
      <w:tabs>
        <w:tab w:val="right" w:leader="dot" w:pos="8296"/>
      </w:tabs>
      <w:spacing w:before="93"/>
      <w:jc w:val="center"/>
    </w:pPr>
    <w:rPr>
      <w:rFonts w:ascii="仿宋" w:eastAsia="仿宋"/>
      <w:sz w:val="28"/>
      <w:szCs w:val="28"/>
    </w:rPr>
  </w:style>
  <w:style w:type="paragraph" w:styleId="7">
    <w:name w:val="toc 2"/>
    <w:basedOn w:val="1"/>
    <w:next w:val="1"/>
    <w:qFormat/>
    <w:uiPriority w:val="0"/>
    <w:pPr>
      <w:tabs>
        <w:tab w:val="right" w:leader="dot" w:pos="8296"/>
      </w:tabs>
      <w:ind w:left="200" w:leftChars="200"/>
    </w:p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Body Text First Indent 2"/>
    <w:basedOn w:val="4"/>
    <w:qFormat/>
    <w:uiPriority w:val="0"/>
    <w:pPr>
      <w:ind w:firstLine="420" w:firstLineChars="200"/>
    </w:pPr>
  </w:style>
  <w:style w:type="character" w:styleId="12">
    <w:name w:val="page number"/>
    <w:basedOn w:val="11"/>
    <w:qFormat/>
    <w:uiPriority w:val="0"/>
  </w:style>
  <w:style w:type="paragraph" w:customStyle="1" w:styleId="13">
    <w:name w:val="正文2"/>
    <w:basedOn w:val="1"/>
    <w:next w:val="1"/>
    <w:qFormat/>
    <w:uiPriority w:val="0"/>
    <w:rPr>
      <w:rFonts w:ascii="仿宋_GB2312" w:eastAsia="仿宋_GB2312"/>
      <w:sz w:val="32"/>
      <w:szCs w:val="20"/>
    </w:rPr>
  </w:style>
  <w:style w:type="character" w:customStyle="1" w:styleId="14">
    <w:name w:val="页眉 Char"/>
    <w:basedOn w:val="11"/>
    <w:link w:val="5"/>
    <w:qFormat/>
    <w:uiPriority w:val="0"/>
    <w:rPr>
      <w:rFonts w:asciiTheme="minorHAnsi" w:hAnsiTheme="minorHAnsi" w:cstheme="minorBidi"/>
      <w:kern w:val="2"/>
      <w:sz w:val="18"/>
      <w:szCs w:val="18"/>
    </w:rPr>
  </w:style>
  <w:style w:type="paragraph" w:customStyle="1" w:styleId="15">
    <w:name w:val="普通(网站) Char"/>
    <w:basedOn w:val="1"/>
    <w:next w:val="7"/>
    <w:qFormat/>
    <w:uiPriority w:val="0"/>
    <w:pPr>
      <w:spacing w:before="0" w:beforeAutospacing="1" w:after="0" w:afterAutospacing="1"/>
      <w:ind w:left="0" w:right="0"/>
      <w:jc w:val="left"/>
    </w:pPr>
    <w:rPr>
      <w:rFonts w:ascii="宋体" w:eastAsia="宋体" w:cs="宋体"/>
      <w:kern w:val="0"/>
      <w:sz w:val="24"/>
      <w:szCs w:val="24"/>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4391</Words>
  <Characters>5331</Characters>
  <Lines>22</Lines>
  <Paragraphs>6</Paragraphs>
  <TotalTime>5</TotalTime>
  <ScaleCrop>false</ScaleCrop>
  <LinksUpToDate>false</LinksUpToDate>
  <CharactersWithSpaces>5477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WPS_1678696298</cp:lastModifiedBy>
  <cp:lastPrinted>2026-02-09T03:19:05Z</cp:lastPrinted>
  <dcterms:modified xsi:type="dcterms:W3CDTF">2026-02-09T03:21:37Z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FB09268E6D454CDFBA9FC8BD500835E9</vt:lpwstr>
  </property>
  <property fmtid="{D5CDD505-2E9C-101B-9397-08002B2CF9AE}" pid="4" name="KSOTemplateDocerSaveRecord">
    <vt:lpwstr>eyJoZGlkIjoiNjFiZTNhMWFmYmFmZGNmMjgwNWRjYmU5NDcyODBjMmQiLCJ1c2VySWQiOiIxNDc5ODg2MzU3In0=</vt:lpwstr>
  </property>
</Properties>
</file>