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965FF">
      <w:pPr>
        <w:pStyle w:val="5"/>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425"/>
      <w:bookmarkStart w:id="2" w:name="_Toc15396597"/>
      <w:bookmarkStart w:id="3" w:name="_Toc15377193"/>
      <w:bookmarkStart w:id="4" w:name="_Toc15378441"/>
      <w:bookmarkStart w:id="5" w:name="_Toc15306267"/>
    </w:p>
    <w:p w14:paraId="60909758">
      <w:pPr>
        <w:pStyle w:val="5"/>
        <w:rPr>
          <w:rFonts w:hint="eastAsia" w:ascii="Times New Roman" w:hAnsi="Times New Roman" w:eastAsia="方正小标宋简体" w:cs="Times New Roman"/>
          <w:color w:val="auto"/>
          <w:kern w:val="2"/>
          <w:sz w:val="72"/>
          <w:szCs w:val="72"/>
          <w:highlight w:val="none"/>
          <w:lang w:val="en-US" w:eastAsia="zh-CN" w:bidi="ar-SA"/>
        </w:rPr>
      </w:pPr>
    </w:p>
    <w:p w14:paraId="56F52619">
      <w:pPr>
        <w:pStyle w:val="5"/>
        <w:rPr>
          <w:rFonts w:hint="eastAsia" w:ascii="Times New Roman" w:hAnsi="Times New Roman" w:eastAsia="方正小标宋简体" w:cs="Times New Roman"/>
          <w:color w:val="auto"/>
          <w:kern w:val="2"/>
          <w:sz w:val="72"/>
          <w:szCs w:val="72"/>
          <w:highlight w:val="none"/>
          <w:lang w:val="en-US" w:eastAsia="zh-CN" w:bidi="ar-SA"/>
        </w:rPr>
      </w:pPr>
    </w:p>
    <w:p w14:paraId="09DBACA5">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2024年度省级部门（单位）</w:t>
      </w:r>
    </w:p>
    <w:p w14:paraId="2955601B">
      <w:pPr>
        <w:pStyle w:val="5"/>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决算公开</w:t>
      </w:r>
    </w:p>
    <w:p w14:paraId="38A6334A">
      <w:pPr>
        <w:spacing w:line="600" w:lineRule="exact"/>
        <w:jc w:val="center"/>
        <w:outlineLvl w:val="0"/>
        <w:rPr>
          <w:rFonts w:ascii="Times New Roman" w:hAnsi="Times New Roman" w:eastAsia="方正小标宋简体"/>
          <w:color w:val="auto"/>
          <w:sz w:val="72"/>
          <w:szCs w:val="72"/>
          <w:highlight w:val="none"/>
        </w:rPr>
      </w:pPr>
    </w:p>
    <w:p w14:paraId="410021BB">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07386C56">
      <w:pPr>
        <w:rPr>
          <w:rFonts w:ascii="Times New Roman" w:hAnsi="Times New Roman"/>
        </w:rPr>
      </w:pPr>
    </w:p>
    <w:p w14:paraId="76FC7E0D">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53A9AE08">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2459A984">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p w14:paraId="49705D6F">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3C01A8B0">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96598"/>
      <w:bookmarkStart w:id="8" w:name="_Toc15396476"/>
      <w:bookmarkStart w:id="9" w:name="_Toc15377426"/>
      <w:bookmarkStart w:id="10" w:name="_Toc15377194"/>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eastAsia="方正小标宋简体" w:cs="Times New Roman"/>
          <w:color w:val="auto"/>
          <w:kern w:val="2"/>
          <w:sz w:val="44"/>
          <w:szCs w:val="44"/>
          <w:highlight w:val="none"/>
          <w:lang w:val="en-US" w:eastAsia="zh-CN" w:bidi="ar-SA"/>
        </w:rPr>
        <w:t>阿坝州</w:t>
      </w:r>
      <w:r>
        <w:rPr>
          <w:rFonts w:hint="eastAsia" w:ascii="Times New Roman" w:hAnsi="Times New Roman" w:eastAsia="方正小标宋简体" w:cs="Times New Roman"/>
          <w:color w:val="auto"/>
          <w:kern w:val="2"/>
          <w:sz w:val="44"/>
          <w:szCs w:val="44"/>
          <w:highlight w:val="none"/>
          <w:lang w:val="en-US" w:eastAsia="zh-CN" w:bidi="ar-SA"/>
        </w:rPr>
        <w:t>红原县委</w:t>
      </w:r>
    </w:p>
    <w:p w14:paraId="1F17E903">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社会工作部决算</w:t>
      </w:r>
      <w:bookmarkEnd w:id="6"/>
      <w:bookmarkEnd w:id="7"/>
      <w:bookmarkEnd w:id="8"/>
      <w:bookmarkEnd w:id="9"/>
      <w:bookmarkEnd w:id="10"/>
      <w:bookmarkEnd w:id="11"/>
    </w:p>
    <w:p w14:paraId="37F5EE7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14:paraId="4DD43800">
      <w:pPr>
        <w:widowControl/>
        <w:jc w:val="center"/>
        <w:rPr>
          <w:rFonts w:hint="eastAsia" w:ascii="Times New Roman" w:hAnsi="Times New Roman" w:eastAsia="黑体"/>
          <w:color w:val="auto"/>
          <w:sz w:val="48"/>
          <w:szCs w:val="48"/>
          <w:highlight w:val="none"/>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14:paraId="70AA6BCD">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3160C510">
      <w:pPr>
        <w:widowControl/>
        <w:jc w:val="center"/>
        <w:rPr>
          <w:rFonts w:ascii="Times New Roman" w:hAnsi="Times New Roman" w:eastAsia="黑体" w:cstheme="minorBidi"/>
          <w:color w:val="auto"/>
          <w:sz w:val="28"/>
          <w:szCs w:val="28"/>
          <w:highlight w:val="none"/>
        </w:rPr>
      </w:pPr>
    </w:p>
    <w:p w14:paraId="38D9AAEB">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28</w:t>
      </w:r>
      <w:bookmarkStart w:id="68" w:name="_GoBack"/>
      <w:bookmarkEnd w:id="68"/>
      <w:r>
        <w:rPr>
          <w:rFonts w:hint="eastAsia" w:ascii="Times New Roman" w:hAnsi="Times New Roman" w:eastAsia="仿宋_GB2312" w:cs="仿宋_GB2312"/>
          <w:color w:val="auto"/>
          <w:sz w:val="32"/>
          <w:szCs w:val="32"/>
          <w:highlight w:val="none"/>
        </w:rPr>
        <w:t>日</w:t>
      </w:r>
    </w:p>
    <w:p w14:paraId="04D246B1">
      <w:pPr>
        <w:rPr>
          <w:rFonts w:ascii="Times New Roman" w:hAnsi="Times New Roman"/>
          <w:color w:val="auto"/>
          <w:highlight w:val="none"/>
        </w:rPr>
      </w:pPr>
    </w:p>
    <w:p w14:paraId="4F77040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第一部分 部门概况</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...1</w:t>
      </w:r>
    </w:p>
    <w:p w14:paraId="47E71BA1">
      <w:pPr>
        <w:pStyle w:val="12"/>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...1</w:t>
      </w:r>
    </w:p>
    <w:p w14:paraId="3794921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...3</w:t>
      </w:r>
    </w:p>
    <w:p w14:paraId="6E93EB59">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xml:space="preserve"> </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.4</w:t>
      </w:r>
    </w:p>
    <w:p w14:paraId="6E71237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xml:space="preserve"> </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xml:space="preserve"> ..4</w:t>
      </w:r>
    </w:p>
    <w:p w14:paraId="7C815E7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......4</w:t>
      </w:r>
    </w:p>
    <w:p w14:paraId="149B0A8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xml:space="preserve"> </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....5</w:t>
      </w:r>
    </w:p>
    <w:p w14:paraId="1ED77D0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6</w:t>
      </w:r>
    </w:p>
    <w:p w14:paraId="12A065D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6</w:t>
      </w:r>
    </w:p>
    <w:p w14:paraId="6A187B4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8</w:t>
      </w:r>
    </w:p>
    <w:p w14:paraId="12AD8CF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.9</w:t>
      </w:r>
    </w:p>
    <w:p w14:paraId="41AA3BA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10</w:t>
      </w:r>
    </w:p>
    <w:p w14:paraId="6BEC036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10</w:t>
      </w:r>
    </w:p>
    <w:p w14:paraId="0CF5A5F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....10</w:t>
      </w:r>
    </w:p>
    <w:p w14:paraId="7B07A805">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 12</w:t>
      </w:r>
    </w:p>
    <w:p w14:paraId="7577EED4">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...............15</w:t>
      </w:r>
    </w:p>
    <w:p w14:paraId="3CC48CB0">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4D46D72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w:t>
      </w:r>
      <w:r>
        <w:rPr>
          <w:rFonts w:hint="eastAsia" w:eastAsia="仿宋_GB2312" w:cs="仿宋_GB2312"/>
          <w:color w:val="auto"/>
          <w:sz w:val="32"/>
          <w:szCs w:val="32"/>
          <w:highlight w:val="none"/>
          <w:lang w:val="en-US" w:eastAsia="zh-CN"/>
        </w:rPr>
        <w:t>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0506CE4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71532B1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1E27F65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14:paraId="7BC3E25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4FD90C4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五、财政拨款支出决算明细表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49F362F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2AC24D8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5DD8886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70482C5E">
      <w:pPr>
        <w:pStyle w:val="14"/>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548C775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楷体"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6E5FBF4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60598B3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十三、财政拨款“三公”经费支出决算</w:t>
      </w:r>
      <w:r>
        <w:rPr>
          <w:rFonts w:hint="eastAsia" w:eastAsia="仿宋_GB2312" w:cs="仿宋_GB2312"/>
          <w:color w:val="auto"/>
          <w:sz w:val="32"/>
          <w:szCs w:val="32"/>
          <w:highlight w:val="none"/>
          <w:lang w:val="en-US" w:eastAsia="zh-CN"/>
        </w:rPr>
        <w:t>表</w:t>
      </w:r>
      <w:bookmarkStart w:id="12" w:name="_Toc15377196"/>
      <w:bookmarkStart w:id="13" w:name="_Toc15396599"/>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w:t>
      </w:r>
      <w:r>
        <w:rPr>
          <w:rFonts w:hint="eastAsia" w:ascii="楷体" w:hAnsi="楷体" w:eastAsia="楷体" w:cs="楷体"/>
          <w:color w:val="000000"/>
          <w:sz w:val="30"/>
          <w:szCs w:val="30"/>
        </w:rPr>
        <w:t>.</w:t>
      </w:r>
      <w:r>
        <w:rPr>
          <w:rFonts w:hint="eastAsia" w:ascii="楷体" w:hAnsi="楷体" w:eastAsia="楷体" w:cs="楷体"/>
          <w:color w:val="000000"/>
          <w:sz w:val="30"/>
          <w:szCs w:val="30"/>
          <w:lang w:val="en-US" w:eastAsia="zh-CN"/>
        </w:rPr>
        <w:t>.20</w:t>
      </w:r>
    </w:p>
    <w:p w14:paraId="7318D7CD">
      <w:pPr>
        <w:pStyle w:val="2"/>
        <w:jc w:val="both"/>
        <w:rPr>
          <w:rFonts w:hint="eastAsia" w:ascii="Times New Roman" w:hAnsi="Times New Roman" w:eastAsia="方正小标宋简体" w:cs="方正小标宋简体"/>
          <w:b w:val="0"/>
          <w:color w:val="auto"/>
          <w:highlight w:val="none"/>
        </w:rPr>
        <w:sectPr>
          <w:footerReference r:id="rId7" w:type="default"/>
          <w:pgSz w:w="11906" w:h="16838"/>
          <w:pgMar w:top="1440" w:right="1800" w:bottom="1440" w:left="1800" w:header="851" w:footer="992" w:gutter="0"/>
          <w:pgNumType w:fmt="numberInDash" w:start="1"/>
          <w:cols w:space="425" w:num="1"/>
          <w:docGrid w:type="lines" w:linePitch="312" w:charSpace="0"/>
        </w:sectPr>
      </w:pPr>
    </w:p>
    <w:p w14:paraId="67EDFB21">
      <w:pPr>
        <w:pStyle w:val="2"/>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14:paraId="259737DA">
      <w:pPr>
        <w:widowControl/>
        <w:jc w:val="left"/>
        <w:rPr>
          <w:rFonts w:ascii="Times New Roman" w:hAnsi="Times New Roman" w:eastAsia="黑体"/>
          <w:color w:val="auto"/>
          <w:sz w:val="32"/>
          <w:szCs w:val="32"/>
          <w:highlight w:val="none"/>
        </w:rPr>
      </w:pPr>
    </w:p>
    <w:p w14:paraId="5CBF1165">
      <w:pPr>
        <w:pStyle w:val="3"/>
        <w:ind w:firstLine="640" w:firstLineChars="200"/>
        <w:rPr>
          <w:rFonts w:hint="eastAsia" w:ascii="Times New Roman" w:hAnsi="Times New Roman" w:eastAsia="黑体"/>
          <w:b w:val="0"/>
          <w:color w:val="auto"/>
          <w:highlight w:val="none"/>
        </w:rPr>
      </w:pPr>
      <w:r>
        <w:rPr>
          <w:rFonts w:hint="eastAsia" w:ascii="Times New Roman" w:hAnsi="Times New Roman" w:eastAsia="黑体"/>
          <w:b w:val="0"/>
          <w:color w:val="auto"/>
          <w:highlight w:val="none"/>
          <w:lang w:val="en-US" w:eastAsia="zh-CN"/>
        </w:rPr>
        <w:t>一、</w:t>
      </w:r>
      <w:r>
        <w:rPr>
          <w:rFonts w:hint="eastAsia" w:ascii="Times New Roman" w:hAnsi="Times New Roman" w:eastAsia="黑体"/>
          <w:b w:val="0"/>
          <w:color w:val="auto"/>
          <w:highlight w:val="none"/>
          <w:lang w:eastAsia="zh-CN"/>
        </w:rPr>
        <w:t>部门职责</w:t>
      </w:r>
    </w:p>
    <w:p w14:paraId="4EEB8A5C">
      <w:pPr>
        <w:pStyle w:val="36"/>
        <w:widowControl/>
        <w:wordWrap/>
        <w:autoSpaceDE w:val="0"/>
        <w:adjustRightInd/>
        <w:snapToGrid/>
        <w:spacing w:before="0" w:beforeAutospacing="0" w:afterAutospacing="0" w:line="540" w:lineRule="exact"/>
        <w:ind w:left="0" w:firstLine="643" w:firstLineChars="200"/>
        <w:jc w:val="left"/>
        <w:textAlignment w:val="auto"/>
        <w:rPr>
          <w:rFonts w:hint="eastAsia" w:ascii="宋体" w:hAnsi="宋体" w:eastAsia="仿宋_GB2312" w:cs="宋体"/>
          <w:b w:val="0"/>
          <w:kern w:val="0"/>
          <w:sz w:val="32"/>
          <w:szCs w:val="32"/>
        </w:rPr>
      </w:pPr>
      <w:r>
        <w:rPr>
          <w:rStyle w:val="18"/>
          <w:rFonts w:hint="eastAsia" w:ascii="楷体_GB2312" w:eastAsia="楷体_GB2312" w:cs="楷体_GB2312"/>
          <w:sz w:val="32"/>
          <w:szCs w:val="32"/>
        </w:rPr>
        <w:t>（一）</w:t>
      </w:r>
      <w:r>
        <w:rPr>
          <w:rStyle w:val="18"/>
          <w:rFonts w:hint="eastAsia" w:ascii="楷体_GB2312" w:hAnsi="Times New Roman" w:eastAsia="楷体_GB2312" w:cs="楷体_GB2312"/>
          <w:sz w:val="32"/>
          <w:szCs w:val="32"/>
          <w:lang w:val="en-US" w:eastAsia="zh-CN"/>
        </w:rPr>
        <w:t>主要职能</w:t>
      </w:r>
    </w:p>
    <w:p w14:paraId="6E76E50B">
      <w:pPr>
        <w:pStyle w:val="3"/>
        <w:numPr>
          <w:ilvl w:val="0"/>
          <w:numId w:val="0"/>
        </w:numPr>
        <w:ind w:firstLine="640" w:firstLineChars="200"/>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1.</w:t>
      </w:r>
      <w:r>
        <w:rPr>
          <w:rFonts w:hint="eastAsia" w:ascii="仿宋_GB2312" w:eastAsia="仿宋_GB2312" w:cs="仿宋_GB2312"/>
          <w:b w:val="0"/>
          <w:kern w:val="0"/>
          <w:sz w:val="32"/>
          <w:szCs w:val="32"/>
          <w:shd w:val="clear" w:color="050000" w:fill="FFFFFF"/>
        </w:rPr>
        <w:t xml:space="preserve">研究相关理论、政策和规划，负责相关地方性法规草案及规范性文件的组织实施。深入调查研究，及时向县委报告工作情况并提出建议。 </w:t>
      </w:r>
    </w:p>
    <w:p w14:paraId="4E6E43C9">
      <w:pPr>
        <w:pStyle w:val="3"/>
        <w:numPr>
          <w:ilvl w:val="0"/>
          <w:numId w:val="0"/>
        </w:numPr>
        <w:ind w:firstLine="640" w:firstLineChars="200"/>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2.</w:t>
      </w:r>
      <w:r>
        <w:rPr>
          <w:rFonts w:hint="eastAsia" w:ascii="仿宋_GB2312" w:eastAsia="仿宋_GB2312" w:cs="仿宋_GB2312"/>
          <w:b w:val="0"/>
          <w:kern w:val="0"/>
          <w:sz w:val="32"/>
          <w:szCs w:val="32"/>
          <w:shd w:val="clear" w:color="050000" w:fill="FFFFFF"/>
        </w:rPr>
        <w:t xml:space="preserve">统筹指导全县群众利益协调、诉求表达、矛盾调处、权益保障等人民信访工作，协调解决人民群众急难愁盼的重大问题。指导人民建议征集工作，负责征集、办理公民、法人和其他组织提出的意见建议，向县委、县政府及时反映公民、法人和其他组织对党和国家事业发展提出的重要意见建议。 </w:t>
      </w:r>
    </w:p>
    <w:p w14:paraId="2F5771C1">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3.</w:t>
      </w:r>
      <w:r>
        <w:rPr>
          <w:rFonts w:hint="eastAsia" w:ascii="仿宋_GB2312" w:eastAsia="仿宋_GB2312" w:cs="仿宋_GB2312"/>
          <w:b w:val="0"/>
          <w:kern w:val="0"/>
          <w:sz w:val="32"/>
          <w:szCs w:val="32"/>
          <w:shd w:val="clear" w:color="050000" w:fill="FFFFFF"/>
        </w:rPr>
        <w:t>统筹推进党建引领基层治理和基层政权建设，协调推进城乡社区治理体系、服务体系和治理能力建设，推动基层民主政治建设，指导监督基层层群众自治制度的有效实施，健全基层群众自治机制。</w:t>
      </w:r>
    </w:p>
    <w:p w14:paraId="6FEDE371">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4.</w:t>
      </w:r>
      <w:r>
        <w:rPr>
          <w:rFonts w:hint="eastAsia" w:ascii="仿宋_GB2312" w:eastAsia="仿宋_GB2312" w:cs="仿宋_GB2312"/>
          <w:b w:val="0"/>
          <w:kern w:val="0"/>
          <w:sz w:val="32"/>
          <w:szCs w:val="32"/>
          <w:shd w:val="clear" w:color="050000" w:fill="FFFFFF"/>
        </w:rPr>
        <w:t>负责“两新”工委职</w:t>
      </w:r>
      <w:r>
        <w:rPr>
          <w:rFonts w:hint="eastAsia" w:ascii="仿宋_GB2312" w:eastAsia="仿宋_GB2312" w:cs="仿宋_GB2312"/>
          <w:b w:val="0"/>
          <w:kern w:val="0"/>
          <w:sz w:val="32"/>
          <w:szCs w:val="32"/>
          <w:shd w:val="clear" w:color="050000" w:fill="FFFFFF"/>
          <w:lang w:eastAsia="zh-CN"/>
        </w:rPr>
        <w:t>责</w:t>
      </w:r>
      <w:r>
        <w:rPr>
          <w:rFonts w:hint="eastAsia" w:ascii="仿宋_GB2312" w:eastAsia="仿宋_GB2312" w:cs="仿宋_GB2312"/>
          <w:b w:val="0"/>
          <w:kern w:val="0"/>
          <w:sz w:val="32"/>
          <w:szCs w:val="32"/>
          <w:shd w:val="clear" w:color="050000" w:fill="FFFFFF"/>
        </w:rPr>
        <w:t>、全县性社会组织党的建设职贵。指导全县性社会组织党建工作，统一领导全县行业协会商会党的工作，承办全县行业协会商会负责人人选的审核。协调推动全县行业协会商会深化改革和转型发展，调查研究相关重大问题。</w:t>
      </w:r>
    </w:p>
    <w:p w14:paraId="23B07144">
      <w:pPr>
        <w:pStyle w:val="36"/>
        <w:widowControl/>
        <w:wordWrap/>
        <w:autoSpaceDE w:val="0"/>
        <w:adjustRightInd/>
        <w:snapToGrid/>
        <w:spacing w:before="0" w:beforeAutospacing="0" w:afterAutospacing="0" w:line="240" w:lineRule="auto"/>
        <w:ind w:firstLine="640" w:firstLineChars="200"/>
        <w:jc w:val="left"/>
        <w:textAlignment w:val="auto"/>
        <w:rPr>
          <w:rFonts w:hint="eastAsia" w:ascii="仿宋_GB2312" w:eastAsia="仿宋_GB2312" w:cs="仿宋_GB2312"/>
          <w:b w:val="0"/>
          <w:kern w:val="0"/>
          <w:sz w:val="32"/>
          <w:szCs w:val="32"/>
          <w:shd w:val="clear" w:color="050000" w:fill="FFFFFF"/>
          <w:lang w:val="en-US" w:eastAsia="zh-CN"/>
        </w:rPr>
      </w:pPr>
      <w:r>
        <w:rPr>
          <w:rFonts w:hint="eastAsia" w:ascii="仿宋_GB2312" w:eastAsia="仿宋_GB2312" w:cs="仿宋_GB2312"/>
          <w:b w:val="0"/>
          <w:kern w:val="0"/>
          <w:sz w:val="32"/>
          <w:szCs w:val="32"/>
          <w:shd w:val="clear" w:color="050000" w:fill="FFFFFF"/>
          <w:lang w:val="en-US" w:eastAsia="zh-CN"/>
        </w:rPr>
        <w:t>5.</w:t>
      </w:r>
      <w:r>
        <w:rPr>
          <w:rFonts w:hint="eastAsia" w:ascii="仿宋_GB2312" w:eastAsia="仿宋_GB2312" w:cs="仿宋_GB2312"/>
          <w:b w:val="0"/>
          <w:kern w:val="0"/>
          <w:sz w:val="32"/>
          <w:szCs w:val="32"/>
          <w:shd w:val="clear" w:color="050000" w:fill="FFFFFF"/>
        </w:rPr>
        <w:t xml:space="preserve">负责调查研究非公有制经济组织、社会组织服务管理工作有关问题并提出政策建议等职责;指导、推动落实全县混合所有制企业、非公有制企业和新经济组织、新社会组织、新就业群体(以下简称“两企三新”)党建工作，指导协调相关企业单位、社会组织、就业群体中党员的教育、管理、监督和服务工作，研究完善相关领域群众利益协调机制。 </w:t>
      </w:r>
      <w:r>
        <w:rPr>
          <w:rFonts w:hint="eastAsia" w:ascii="仿宋_GB2312" w:eastAsia="仿宋_GB2312" w:cs="仿宋_GB2312"/>
          <w:b w:val="0"/>
          <w:kern w:val="0"/>
          <w:sz w:val="32"/>
          <w:szCs w:val="32"/>
          <w:shd w:val="clear" w:color="050000" w:fill="FFFFFF"/>
          <w:lang w:val="en-US" w:eastAsia="zh-CN"/>
        </w:rPr>
        <w:t xml:space="preserve">                                                                                                   </w:t>
      </w:r>
    </w:p>
    <w:p w14:paraId="3E7096AE">
      <w:pPr>
        <w:pStyle w:val="36"/>
        <w:widowControl/>
        <w:wordWrap/>
        <w:autoSpaceDE w:val="0"/>
        <w:adjustRightInd/>
        <w:snapToGrid/>
        <w:spacing w:before="0" w:beforeAutospacing="0" w:afterAutospacing="0" w:line="240" w:lineRule="auto"/>
        <w:ind w:firstLine="640" w:firstLineChars="200"/>
        <w:jc w:val="left"/>
        <w:textAlignment w:val="auto"/>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6.</w:t>
      </w:r>
      <w:r>
        <w:rPr>
          <w:rFonts w:hint="eastAsia" w:ascii="仿宋_GB2312" w:eastAsia="仿宋_GB2312" w:cs="仿宋_GB2312"/>
          <w:b w:val="0"/>
          <w:kern w:val="0"/>
          <w:sz w:val="32"/>
          <w:szCs w:val="32"/>
          <w:shd w:val="clear" w:color="050000" w:fill="FFFFFF"/>
        </w:rPr>
        <w:t>负责全县志愿服务工作的统筹规划、协调指导、督促始奇，指导推动社会工作人才队伍建设、</w:t>
      </w:r>
      <w:r>
        <w:rPr>
          <w:rFonts w:hint="eastAsia" w:ascii="仿宋_GB2312" w:eastAsia="仿宋_GB2312" w:cs="仿宋_GB2312"/>
          <w:b w:val="0"/>
          <w:kern w:val="0"/>
          <w:sz w:val="32"/>
          <w:szCs w:val="32"/>
          <w:shd w:val="clear" w:color="050000" w:fill="FFFFFF"/>
          <w:lang w:eastAsia="zh-CN"/>
        </w:rPr>
        <w:t>志愿</w:t>
      </w:r>
      <w:r>
        <w:rPr>
          <w:rFonts w:hint="eastAsia" w:ascii="仿宋_GB2312" w:eastAsia="仿宋_GB2312" w:cs="仿宋_GB2312"/>
          <w:b w:val="0"/>
          <w:kern w:val="0"/>
          <w:sz w:val="32"/>
          <w:szCs w:val="32"/>
          <w:shd w:val="clear" w:color="050000" w:fill="FFFFFF"/>
        </w:rPr>
        <w:t>服务人才队伍建设</w:t>
      </w:r>
      <w:r>
        <w:rPr>
          <w:rFonts w:hint="eastAsia" w:ascii="仿宋_GB2312" w:eastAsia="仿宋_GB2312" w:cs="仿宋_GB2312"/>
          <w:b w:val="0"/>
          <w:kern w:val="0"/>
          <w:sz w:val="32"/>
          <w:szCs w:val="32"/>
          <w:shd w:val="clear" w:color="050000" w:fill="FFFFFF"/>
          <w:lang w:eastAsia="zh-CN"/>
        </w:rPr>
        <w:t>和阵地</w:t>
      </w:r>
      <w:r>
        <w:rPr>
          <w:rFonts w:hint="eastAsia" w:ascii="仿宋_GB2312" w:eastAsia="仿宋_GB2312" w:cs="仿宋_GB2312"/>
          <w:b w:val="0"/>
          <w:kern w:val="0"/>
          <w:sz w:val="32"/>
          <w:szCs w:val="32"/>
          <w:shd w:val="clear" w:color="050000" w:fill="FFFFFF"/>
        </w:rPr>
        <w:t>建设，以及志愿者服务</w:t>
      </w:r>
      <w:r>
        <w:rPr>
          <w:rFonts w:hint="eastAsia" w:ascii="仿宋_GB2312" w:eastAsia="仿宋_GB2312" w:cs="仿宋_GB2312"/>
          <w:b w:val="0"/>
          <w:kern w:val="0"/>
          <w:sz w:val="32"/>
          <w:szCs w:val="32"/>
          <w:shd w:val="clear" w:color="050000" w:fill="FFFFFF"/>
          <w:lang w:eastAsia="zh-CN"/>
        </w:rPr>
        <w:t>组织</w:t>
      </w:r>
      <w:r>
        <w:rPr>
          <w:rFonts w:hint="eastAsia" w:ascii="仿宋_GB2312" w:eastAsia="仿宋_GB2312" w:cs="仿宋_GB2312"/>
          <w:b w:val="0"/>
          <w:kern w:val="0"/>
          <w:sz w:val="32"/>
          <w:szCs w:val="32"/>
          <w:shd w:val="clear" w:color="050000" w:fill="FFFFFF"/>
        </w:rPr>
        <w:t xml:space="preserve">的规范管理工作，协调推动社会工作服务体系和志愿服务体系建设。 </w:t>
      </w:r>
    </w:p>
    <w:p w14:paraId="29E8002E">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7.负责</w:t>
      </w:r>
      <w:r>
        <w:rPr>
          <w:rFonts w:hint="eastAsia" w:ascii="仿宋_GB2312" w:eastAsia="仿宋_GB2312" w:cs="仿宋_GB2312"/>
          <w:b w:val="0"/>
          <w:kern w:val="0"/>
          <w:sz w:val="32"/>
          <w:szCs w:val="32"/>
          <w:shd w:val="clear" w:color="050000" w:fill="FFFFFF"/>
        </w:rPr>
        <w:t>指导城乡社区</w:t>
      </w:r>
      <w:r>
        <w:rPr>
          <w:rFonts w:hint="eastAsia" w:ascii="仿宋_GB2312" w:eastAsia="仿宋_GB2312" w:cs="仿宋_GB2312"/>
          <w:b w:val="0"/>
          <w:kern w:val="0"/>
          <w:sz w:val="32"/>
          <w:szCs w:val="32"/>
          <w:shd w:val="clear" w:color="050000" w:fill="FFFFFF"/>
          <w:lang w:eastAsia="zh-CN"/>
        </w:rPr>
        <w:t>治</w:t>
      </w:r>
      <w:r>
        <w:rPr>
          <w:rFonts w:hint="eastAsia" w:ascii="仿宋_GB2312" w:eastAsia="仿宋_GB2312" w:cs="仿宋_GB2312"/>
          <w:b w:val="0"/>
          <w:kern w:val="0"/>
          <w:sz w:val="32"/>
          <w:szCs w:val="32"/>
          <w:shd w:val="clear" w:color="050000" w:fill="FFFFFF"/>
        </w:rPr>
        <w:t>理体系和治理能力建设、</w:t>
      </w:r>
      <w:r>
        <w:rPr>
          <w:rFonts w:hint="eastAsia" w:ascii="仿宋_GB2312" w:eastAsia="仿宋_GB2312" w:cs="仿宋_GB2312"/>
          <w:b w:val="0"/>
          <w:kern w:val="0"/>
          <w:sz w:val="32"/>
          <w:szCs w:val="32"/>
          <w:shd w:val="clear" w:color="050000" w:fill="FFFFFF"/>
          <w:lang w:eastAsia="zh-CN"/>
        </w:rPr>
        <w:t>拟</w:t>
      </w:r>
      <w:r>
        <w:rPr>
          <w:rFonts w:hint="eastAsia" w:ascii="仿宋_GB2312" w:eastAsia="仿宋_GB2312" w:cs="仿宋_GB2312"/>
          <w:b w:val="0"/>
          <w:kern w:val="0"/>
          <w:sz w:val="32"/>
          <w:szCs w:val="32"/>
          <w:shd w:val="clear" w:color="050000" w:fill="FFFFFF"/>
        </w:rPr>
        <w:t>订社会工作政策等职责。</w:t>
      </w:r>
    </w:p>
    <w:p w14:paraId="530D89C2">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rPr>
      </w:pPr>
      <w:r>
        <w:rPr>
          <w:rFonts w:hint="eastAsia" w:ascii="仿宋_GB2312" w:eastAsia="仿宋_GB2312" w:cs="仿宋_GB2312"/>
          <w:b w:val="0"/>
          <w:kern w:val="0"/>
          <w:sz w:val="32"/>
          <w:szCs w:val="32"/>
          <w:shd w:val="clear" w:color="050000" w:fill="FFFFFF"/>
          <w:lang w:val="en-US" w:eastAsia="zh-CN"/>
        </w:rPr>
        <w:t>8.</w:t>
      </w:r>
      <w:r>
        <w:rPr>
          <w:rFonts w:hint="eastAsia" w:ascii="仿宋_GB2312" w:eastAsia="仿宋_GB2312" w:cs="仿宋_GB2312"/>
          <w:b w:val="0"/>
          <w:kern w:val="0"/>
          <w:sz w:val="32"/>
          <w:szCs w:val="32"/>
          <w:shd w:val="clear" w:color="050000" w:fill="FFFFFF"/>
        </w:rPr>
        <w:t>负责人民建议征集工作，负责征集、办理公民、法人和其他组织提出的意见建议，向县委、县政府及时反映公民、法人和其他组织对党和国家事业发展提出的重要意见建议。</w:t>
      </w:r>
    </w:p>
    <w:p w14:paraId="38204F9C">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lang w:eastAsia="zh-CN"/>
        </w:rPr>
      </w:pPr>
      <w:r>
        <w:rPr>
          <w:rFonts w:hint="eastAsia" w:ascii="仿宋_GB2312" w:eastAsia="仿宋_GB2312" w:cs="仿宋_GB2312"/>
          <w:b w:val="0"/>
          <w:kern w:val="0"/>
          <w:sz w:val="32"/>
          <w:szCs w:val="32"/>
          <w:shd w:val="clear" w:color="050000" w:fill="FFFFFF"/>
          <w:lang w:val="en-US" w:eastAsia="zh-CN"/>
        </w:rPr>
        <w:t>9.</w:t>
      </w:r>
      <w:r>
        <w:rPr>
          <w:rFonts w:hint="eastAsia" w:ascii="仿宋_GB2312" w:eastAsia="仿宋_GB2312" w:cs="仿宋_GB2312"/>
          <w:b w:val="0"/>
          <w:kern w:val="0"/>
          <w:sz w:val="32"/>
          <w:szCs w:val="32"/>
          <w:shd w:val="clear" w:color="050000" w:fill="FFFFFF"/>
        </w:rPr>
        <w:t>负责推进党建引领基层治理和基层政权建设，协调推进城乡社区治理体系、服务体系和治理能力建设，推动基层民主政治建设，指导监督基层群众自治制度的有效实施，健全基层群众自治机制</w:t>
      </w:r>
      <w:r>
        <w:rPr>
          <w:rFonts w:hint="eastAsia" w:ascii="仿宋_GB2312" w:eastAsia="仿宋_GB2312" w:cs="仿宋_GB2312"/>
          <w:b w:val="0"/>
          <w:kern w:val="0"/>
          <w:sz w:val="32"/>
          <w:szCs w:val="32"/>
          <w:shd w:val="clear" w:color="050000" w:fill="FFFFFF"/>
          <w:lang w:eastAsia="zh-CN"/>
        </w:rPr>
        <w:t>。</w:t>
      </w:r>
    </w:p>
    <w:p w14:paraId="4469F553">
      <w:pPr>
        <w:pStyle w:val="36"/>
        <w:widowControl/>
        <w:wordWrap/>
        <w:autoSpaceDE w:val="0"/>
        <w:adjustRightInd/>
        <w:snapToGrid/>
        <w:spacing w:before="0" w:beforeAutospacing="0" w:afterAutospacing="0" w:line="540" w:lineRule="exact"/>
        <w:ind w:firstLine="640" w:firstLineChars="200"/>
        <w:jc w:val="left"/>
        <w:textAlignment w:val="auto"/>
        <w:rPr>
          <w:rFonts w:hint="eastAsia" w:ascii="仿宋_GB2312" w:eastAsia="仿宋_GB2312" w:cs="仿宋_GB2312"/>
          <w:b w:val="0"/>
          <w:kern w:val="0"/>
          <w:sz w:val="32"/>
          <w:szCs w:val="32"/>
          <w:shd w:val="clear" w:color="050000" w:fill="FFFFFF"/>
          <w:lang w:val="en-US" w:eastAsia="zh-CN"/>
        </w:rPr>
      </w:pPr>
      <w:r>
        <w:rPr>
          <w:rFonts w:hint="eastAsia" w:ascii="仿宋_GB2312" w:eastAsia="仿宋_GB2312" w:cs="仿宋_GB2312"/>
          <w:b w:val="0"/>
          <w:kern w:val="0"/>
          <w:sz w:val="32"/>
          <w:szCs w:val="32"/>
          <w:shd w:val="clear" w:color="050000" w:fill="FFFFFF"/>
          <w:lang w:val="en-US" w:eastAsia="zh-CN"/>
        </w:rPr>
        <w:t>10.负责全县性社会组织党建工作，统领导全县性行业协会南会党的工作，承办全县性行业协会商会负责人人选的审核。协调推动全县行业协会商会深化改革和转型发展，调查研究相关重大问题。</w:t>
      </w:r>
    </w:p>
    <w:p w14:paraId="49B8D57A">
      <w:pPr>
        <w:pStyle w:val="14"/>
        <w:ind w:left="0" w:leftChars="0" w:firstLine="640" w:firstLineChars="200"/>
        <w:rPr>
          <w:rFonts w:hint="eastAsia" w:ascii="仿宋_GB2312" w:eastAsia="仿宋_GB2312" w:cs="仿宋_GB2312"/>
          <w:b w:val="0"/>
          <w:kern w:val="0"/>
          <w:sz w:val="32"/>
          <w:szCs w:val="32"/>
          <w:shd w:val="clear" w:color="050000" w:fill="FFFFFF"/>
          <w:lang w:val="en-US" w:eastAsia="zh-CN"/>
        </w:rPr>
      </w:pPr>
      <w:r>
        <w:rPr>
          <w:rFonts w:hint="eastAsia" w:ascii="仿宋_GB2312" w:eastAsia="仿宋_GB2312" w:cs="仿宋_GB2312"/>
          <w:b w:val="0"/>
          <w:kern w:val="0"/>
          <w:sz w:val="32"/>
          <w:szCs w:val="32"/>
          <w:shd w:val="clear" w:color="050000" w:fill="FFFFFF"/>
          <w:lang w:val="en-US" w:eastAsia="zh-CN"/>
        </w:rPr>
        <w:t>11.负责推动落实全县“两企三新”党建工作，指导协调相关企业单位、社会组织、就业群体中党员的教育、管理、监督和服务工作，研究完善相关领域群众利益协调机制。</w:t>
      </w:r>
    </w:p>
    <w:p w14:paraId="3B9C83C3">
      <w:pPr>
        <w:ind w:firstLine="640" w:firstLineChars="200"/>
        <w:rPr>
          <w:rFonts w:hint="eastAsia" w:ascii="仿宋_GB2312" w:eastAsia="仿宋_GB2312" w:cs="仿宋_GB2312"/>
          <w:b w:val="0"/>
          <w:kern w:val="0"/>
          <w:sz w:val="32"/>
          <w:szCs w:val="32"/>
          <w:shd w:val="clear" w:color="050000" w:fill="FFFFFF"/>
          <w:lang w:val="en-US" w:eastAsia="zh-CN"/>
        </w:rPr>
      </w:pPr>
      <w:r>
        <w:rPr>
          <w:rFonts w:hint="eastAsia" w:ascii="仿宋_GB2312" w:eastAsia="仿宋_GB2312" w:cs="仿宋_GB2312"/>
          <w:b w:val="0"/>
          <w:kern w:val="0"/>
          <w:sz w:val="32"/>
          <w:szCs w:val="32"/>
          <w:shd w:val="clear" w:color="050000" w:fill="FFFFFF"/>
          <w:lang w:val="en-US" w:eastAsia="zh-CN"/>
        </w:rPr>
        <w:t>12.负责全县志愿服务工作的统筹规划、协调指导、督促检查。指导推动社会工作人才队伍建设、志愿服务人才队伍建设和阵地建设。组织开展全县性、示范性志愿服务重大活动。</w:t>
      </w:r>
    </w:p>
    <w:p w14:paraId="441FCA22">
      <w:pPr>
        <w:ind w:firstLine="640" w:firstLineChars="200"/>
      </w:pPr>
      <w:r>
        <w:rPr>
          <w:rFonts w:hint="eastAsia" w:ascii="仿宋_GB2312" w:eastAsia="仿宋_GB2312" w:cs="仿宋_GB2312"/>
          <w:b w:val="0"/>
          <w:kern w:val="0"/>
          <w:sz w:val="32"/>
          <w:szCs w:val="32"/>
          <w:shd w:val="clear" w:color="050000" w:fill="FFFFFF"/>
          <w:lang w:val="en-US" w:eastAsia="zh-CN"/>
        </w:rPr>
        <w:t>13.完成县委、县委社会工作部交办的其他任务。</w:t>
      </w:r>
    </w:p>
    <w:p w14:paraId="4D339F2E">
      <w:pPr>
        <w:pStyle w:val="3"/>
        <w:numPr>
          <w:ilvl w:val="0"/>
          <w:numId w:val="1"/>
        </w:numPr>
        <w:ind w:firstLine="640" w:firstLineChars="200"/>
        <w:rPr>
          <w:rStyle w:val="30"/>
          <w:rFonts w:hint="eastAsia" w:ascii="Times New Roman" w:hAnsi="Times New Roman" w:eastAsia="黑体"/>
          <w:b w:val="0"/>
          <w:bCs w:val="0"/>
          <w:color w:val="auto"/>
          <w:highlight w:val="none"/>
        </w:rPr>
      </w:pPr>
      <w:bookmarkStart w:id="14" w:name="_Toc15396601"/>
      <w:bookmarkStart w:id="15" w:name="_Toc15377200"/>
      <w:r>
        <w:rPr>
          <w:rFonts w:hint="eastAsia" w:ascii="Times New Roman" w:hAnsi="Times New Roman" w:eastAsia="黑体"/>
          <w:b w:val="0"/>
          <w:color w:val="auto"/>
          <w:highlight w:val="none"/>
        </w:rPr>
        <w:t>机</w:t>
      </w:r>
      <w:r>
        <w:rPr>
          <w:rStyle w:val="30"/>
          <w:rFonts w:hint="eastAsia" w:ascii="Times New Roman" w:hAnsi="Times New Roman" w:eastAsia="黑体"/>
          <w:b w:val="0"/>
          <w:bCs w:val="0"/>
          <w:color w:val="auto"/>
          <w:highlight w:val="none"/>
        </w:rPr>
        <w:t>构设置</w:t>
      </w:r>
      <w:bookmarkEnd w:id="14"/>
      <w:bookmarkEnd w:id="15"/>
    </w:p>
    <w:p w14:paraId="64CAA4CF">
      <w:pPr>
        <w:pStyle w:val="3"/>
        <w:numPr>
          <w:ilvl w:val="0"/>
          <w:numId w:val="0"/>
        </w:numPr>
        <w:ind w:firstLine="640" w:firstLineChars="200"/>
        <w:rPr>
          <w:rFonts w:hint="eastAsia" w:ascii="Times New Roman" w:hAnsi="Times New Roman" w:eastAsia="仿宋_GB2312" w:cs="仿宋_GB2312"/>
          <w:color w:val="auto"/>
          <w:sz w:val="32"/>
          <w:szCs w:val="32"/>
          <w:highlight w:val="none"/>
        </w:rPr>
      </w:pPr>
      <w:r>
        <w:rPr>
          <w:rFonts w:hint="eastAsia" w:ascii="仿宋_GB2312" w:hAnsi="Times New Roman" w:eastAsia="仿宋_GB2312" w:cs="仿宋_GB2312"/>
          <w:b w:val="0"/>
          <w:bCs w:val="0"/>
          <w:kern w:val="0"/>
          <w:sz w:val="32"/>
          <w:szCs w:val="32"/>
          <w:shd w:val="clear" w:color="040000" w:fill="FFFFFF"/>
          <w:lang w:val="en-US" w:eastAsia="zh-CN" w:bidi="ar-SA"/>
        </w:rPr>
        <w:t>中共红原县委社会工作部下属二级预算单位0个，其中行政单位1个，参照公务员法管理的事业单位0个，其他事业单位1个。本单位本年度纳入本套决算编制范围的独立编制机构数共2个，独立核算机构数共2个，红原县委社会工作部和红原县社会工作服务中心。本单位本年度年末实有人数为5人，退休人数1人。</w:t>
      </w:r>
    </w:p>
    <w:p w14:paraId="5E2093C4">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052BAD0D">
      <w:pPr>
        <w:pStyle w:val="2"/>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14:paraId="0E5966DD">
      <w:pPr>
        <w:rPr>
          <w:rFonts w:ascii="Times New Roman" w:hAnsi="Times New Roman"/>
          <w:color w:val="auto"/>
          <w:highlight w:val="none"/>
        </w:rPr>
      </w:pPr>
    </w:p>
    <w:p w14:paraId="5E11840C">
      <w:pPr>
        <w:pStyle w:val="15"/>
        <w:widowControl/>
        <w:wordWrap/>
        <w:adjustRightInd/>
        <w:snapToGrid/>
        <w:spacing w:beforeAutospacing="0" w:afterAutospacing="0" w:line="540" w:lineRule="exact"/>
        <w:ind w:firstLine="640" w:firstLineChars="200"/>
        <w:textAlignment w:val="auto"/>
        <w:rPr>
          <w:rFonts w:hint="default" w:ascii="黑体" w:eastAsia="黑体" w:cs="黑体"/>
          <w:kern w:val="0"/>
          <w:sz w:val="32"/>
          <w:szCs w:val="32"/>
          <w:shd w:val="clear" w:color="040000" w:fill="FFFFFF"/>
          <w:lang w:val="en-US" w:eastAsia="zh-CN"/>
        </w:rPr>
      </w:pPr>
      <w:bookmarkStart w:id="18" w:name="_Toc15377205"/>
      <w:bookmarkStart w:id="19" w:name="_Toc15396603"/>
      <w:r>
        <w:rPr>
          <w:rFonts w:hint="eastAsia" w:ascii="黑体" w:eastAsia="黑体" w:cs="黑体"/>
          <w:kern w:val="0"/>
          <w:sz w:val="32"/>
          <w:szCs w:val="32"/>
          <w:shd w:val="clear" w:color="040000" w:fill="FFFFFF"/>
          <w:lang w:val="en-US" w:eastAsia="zh-CN"/>
        </w:rPr>
        <w:t>一、收入支出决算总体情况说明</w:t>
      </w:r>
    </w:p>
    <w:p w14:paraId="7B84257F">
      <w:pPr>
        <w:pStyle w:val="15"/>
        <w:widowControl/>
        <w:wordWrap/>
        <w:adjustRightInd/>
        <w:snapToGrid/>
        <w:spacing w:beforeAutospacing="0" w:afterAutospacing="0" w:line="540" w:lineRule="exact"/>
        <w:ind w:firstLine="643" w:firstLineChars="200"/>
        <w:textAlignment w:val="auto"/>
        <w:rPr>
          <w:rFonts w:hint="default" w:ascii="楷体_GB2312" w:eastAsia="楷体_GB2312" w:cs="楷体_GB2312"/>
          <w:b/>
          <w:bCs/>
          <w:kern w:val="0"/>
          <w:sz w:val="32"/>
          <w:szCs w:val="32"/>
          <w:lang w:val="en-US" w:eastAsia="zh-CN"/>
        </w:rPr>
      </w:pPr>
      <w:r>
        <w:rPr>
          <w:rFonts w:hint="eastAsia" w:ascii="楷体_GB2312" w:eastAsia="楷体_GB2312" w:cs="楷体_GB2312"/>
          <w:b/>
          <w:bCs/>
          <w:kern w:val="0"/>
          <w:sz w:val="32"/>
          <w:szCs w:val="32"/>
          <w:lang w:val="en-US" w:eastAsia="zh-CN"/>
        </w:rPr>
        <w:t>（一）收入支出决算总体情况说明</w:t>
      </w:r>
    </w:p>
    <w:p w14:paraId="229D1C9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2024年度收入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rPr>
        <w:t>37.23万元。与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相比，</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总计各增加/减少</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万元，增长/下降</w:t>
      </w:r>
      <w:r>
        <w:rPr>
          <w:rFonts w:hint="eastAsia"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本单位是2024年新成立单位。</w:t>
      </w:r>
    </w:p>
    <w:p w14:paraId="0EC7B1D3">
      <w:pPr>
        <w:keepNext w:val="0"/>
        <w:keepLines w:val="0"/>
        <w:pageBreakBefore w:val="0"/>
        <w:widowControl w:val="0"/>
        <w:tabs>
          <w:tab w:val="right" w:pos="7666"/>
        </w:tabs>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7723B1FA">
      <w:pPr>
        <w:pStyle w:val="15"/>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仿宋_GB2312" w:eastAsia="仿宋_GB2312" w:cs="仿宋_GB2312"/>
          <w:kern w:val="0"/>
          <w:sz w:val="32"/>
          <w:szCs w:val="32"/>
          <w:lang w:val="en-US" w:eastAsia="zh-CN"/>
        </w:rPr>
      </w:pPr>
      <w:r>
        <w:rPr>
          <w:rFonts w:hint="eastAsia" w:eastAsiaTheme="minorEastAsia"/>
          <w:highlight w:val="none"/>
          <w:lang w:eastAsia="zh-CN"/>
        </w:rPr>
        <w:object>
          <v:shape id="_x0000_i1025" o:spt="75" type="#_x0000_t75" style="height:210.75pt;width:398.25pt;" o:ole="t" filled="f" o:preferrelative="t" stroked="f" coordsize="21600,21600" o:gfxdata="UEsDBAoAAAAAAIdO4kAAAAAAAAAAAAAAAAAEAAAAZHJzL1BLAwQUAAAACACHTuJAaEWiEt0AAAAN&#10;AQAADwAAAGRycy9kb3ducmV2LnhtbE2Py07DMBBF90j8gzVIbFBrx4E2DXGqglSp6gb6UNdubJKI&#10;eBzF7gO+nmEFy7lzdOdMMb+6jp3tEFqPCpKxAGax8qbFWsF+txxlwELUaHTn0Sr4sgHm5e1NoXPj&#10;L7ix522sGZVgyLWCJsY+5zxUjXU6jH1vkXYffnA60jjU3Az6QuWu41KICXe6RbrQ6N6+Nrb63J6c&#10;gmW20vIlOawWuH447N/j7m1YfCt1f5eIZ2DRXuMfDL/6pA4lOR39CU1gnYJH8USkglGSpukUGCGZ&#10;nFB2pGwm5RR4WfD/X5Q/UEsDBBQAAAAIAIdO4kARaObZBQEAADgCAAAOAAAAZHJzL2Uyb0RvYy54&#10;bWydkcFOwzAMhu9IvEPkO0s3uglVa3eZkDhxgQcwidNGapPIySi8PWYbaJyQdvttS58+29vdxzSq&#10;d+LsY2hhuahAUTDR+tC38PryePcAKhcMFscYqIVPyrDrbm+2c2poFYc4WmIlkJCbObUwlJIarbMZ&#10;aMK8iImCDF3kCYuU3GvLOAt9GvWqqjZ6jmwTR0M5S3d/GkJ35DtHpjw7l6mosYW6rtegyk9g8V3W&#10;92L8JmlVbdaguy02PWMavDlL4RVOE/ogCr+oPRZUB/ZXoMyAXIRlmmM6S5mrSWeA7P7/paNz3tA+&#10;msNEoZzOzTRikV/nwacMihtvW+Anu/y+nf6z8WUt+fLh3RdQSwMECgAAAAAAh07iQAAAAAAAAAAA&#10;AAAAAA8AAABkcnMvZW1iZWRkaW5ncy9QSwMEFAAAAAgAh07iQDpnzaWmHQAAwCEAAB0AAABkcnMv&#10;ZW1iZWRkaW5ncy9Xb3JrYm9vazEueGxzeH1aBVhUW9emQxpppHPobqmhhy5p6e7u7g5p6e5GQBgQ&#10;FBREultApEFAQuIf9H7XK9/9v/08c/Z5Ztbaa59377X2OusdZRAs3COo+xah+Fn0581fF2RIb+pg&#10;ouzs4OjCqgwRw4F8gfRT7JO4HjQ7NBQUPwwUFOY/xYwcHVk87Wxzkt7IwbJjhh8GH2I611nFRL6w&#10;jc7/LMmk1TWwZ0s8qyBurqeT9y4G8Q3v0cYC/QWBOW++7vGGHe3diMiK0obvxGR1WOT062Al9P6X&#10;QZzgZnuNo+zNy68ZnNT7cvo+iPArMN/a51dSYr7CSjQGMknyMV1k0X8MFW0Kl1oXS9ZXZSAjVrCK&#10;Y1yrGiTiO/sChpY2FiAlQ57FbMMeVLlA3+B3mh4PAIIcBIQ79e2BMJrfqEPniRQqSjqaab1PcRua&#10;4oJ0ogvoWUU9NvHnpdQbS7RRwn1NLclUbwAWHkQFMcyeVUVT8aq+FkMgkRloQGXCzNb5q4GRMnxA&#10;cu7KlZMlyafvygreQCL3OH3RLzK9LGvjqmieGsyuxSKBdMDVXIp185e73FCb2UAw2KnjlFH3+rr9&#10;CuZPeOWxGV4rQuC1gcCL9U94TRycze7x9Ut+rhTChvNuReEavfhwFC9WEYbp9kOunvHn2BgHBZ8B&#10;Iqs3rSn7C7qGQLy4hH3+8xkX+6zh88pH4B4t7d0nY5H5UFx1YZNm8QbPYhzDYXYz8KoruTe+QuEN&#10;xwzFxPIC6tCEsjug16lne1KaFbxSimpcFKIbNnWVP0otF3S1VcQZfyJTiCLuF9FC5qPdIGJ0lGcb&#10;cEREzU6KjJd5I23axKmBgfkECP+ouSlDCufOk4TA7O7J19QoNVkPS98yk0WA7pHYkyUfRmmThVaV&#10;7FN2X//omaGydLA1vdsrRvTy93BK7dBfrNWqb+yHzhQDDjLQOYRUOpg1P3aUPL+QCm4TwfEQl2Wu&#10;4VyyDA8gFmpn5VgVgxPWEcDhBzh86Fu3DorOGK1KXAw/NZc0BxQAKA6Xflic6E+uiZOoXYNiUxJH&#10;E2lJkmitXspH0omObQnfkb7j/RN8BqRYKzoI+GgQ8B//Ab6bi6uD3T38JUkjoD42nIHD4Dvgh6cK&#10;WSz6gvPxt1piQvR8HqxWHbhZxdTbrpF3rwldohFZvX19yfLOvQ5Ldp+xe0vXDuebIsCQwSaASjvE&#10;DjiPOu0MUYVMdOdaipKFYOnsewS6u2TJWrLaWmF5c4EyKUEhLROPKPrQ9Zr7PRpcZeuaLWsYz0gr&#10;wGQEdbjZ8Ol4WLFUb81NUgMn8NH1IPvyhrFRbc/Wwn1hYsP15PSx/zdvowgWWAfump0s40cfaCsM&#10;A0OwaY0aQ/n6M14UWycbn6B3bi/KB9Lprml2B3g7ztqbt76MaFhw2h+Vfk1Uhm/ipshGw4Z0PUvn&#10;/4RGJRrchKOPewt4bGB2ULmUsN1shacxxkS1uCoJHAoOl1RJkpQAIFvVXw4j5LC6XZrcQt/j+u+h&#10;BRaCq6ftz6Dy7wLovwQ8HJxtXCzNzFwfBqCiPvhnZZAFgkGAgiL4L9mfKuz3KxWnru8wz4bjl9d8&#10;Z6jtZwfObyYXnwoepbVTbbHfNVBwBlYLOJkTj3+fOZynxUTIHoSNPowa4T+/ejuxkC6XyEw/bJYz&#10;zhdJHySQwl83A7g59vPyAkbxVH/KTOQuPsXl6srxu2azK/GepgmkeK+8+yKtnyuFbVIbGXciyDZf&#10;qjix0hgh3ZpkRwp6aKlULlQWJ643+jjLOzzKGyOC6VHuG3Hz7EfW67I4SOaj3SxeRYKt6df6vu3G&#10;zN/nL7e19TxNR/AxlK41hNRUh3rhMqvFHfabh5z4hHeaBhUjP6FWGe94TehROoUM17StfplqWSCE&#10;cVm1WuCxJCYxPfsk6SB67IZkDh6T0kQxJ8hRWEIWKnfkGeZXHCN9qqJcfMqSyxSOs3sQl/dEZ8mH&#10;NryGVEzUnHygXNmYqj752xz4ghCUtOnOqiWVRggO40cKegsrP+ZQ5uTEm6F3rcOCoEm3iHKWJzhW&#10;MvQphJIfx5bqo140XW42R4nJ/BT4w/fHR25Wo2PkbYUS9rGr3L5BzEhwatHjN0TJs0TRFqr52Lcp&#10;0Qt7aqoN+CsZz6IGxIJjM7OXFPndW280LZY/ufJoNNJk8G6MojU9BwoRfubi0O3sY5ifaFv+VGjV&#10;9s6gicR9ZeCzie3yQLKJ7dgAgg+TBJkP5wdtTq2lbMIDXoGi86gmgoEZlcTY+IbLgPqwAXS8BNvZ&#10;onNOWXTOdjI+gFBDt6nvU3T7+F0CfMGuAFcBIUYjDENB4lyZC29nyrVdRCAYhUwlYBBNt+9Z6XTn&#10;tIRokEts8JinUGRtx0ok9uaEJwJ7Y4NgLbsao9WRz54mjUFMoGwUzBNNipJtvAzVqksk84nEcO58&#10;0kvi5d6MgAo+g8CDZZAVVapKLDGxolKrK1MoMrg2rw3g0arSB+8Z4DNyC/X/e8r9IQzxFFdLMzuz&#10;B4dwkqQr/hY8FBQd4a9A9bfYT+Gf239feySBmBsHTHUsEvtFMWXvi3STdeu8QqP+V3tdbiuVhE+x&#10;nOv9nKRzn+xdgPtYyMgqyqwykSiIcOrWNIn0AcNpharFtyhCPrSPBZ1m9ysRRZe6qHMPnwb4H176&#10;fN8Y3/RBPotnww8tIel2L9jx4UPTkhkvX18hOvBzHDsPlbCKpAc5DeQZrT1f9r/rAlmC+vnekM6W&#10;GaO4XWsN2lapYkGjUjkFmfGFWZj0P6ZeY0xgoJAeWOUtSI2zbtGWxZT1Y5VEbusSJk2B8hkJuDzb&#10;fJVwvd9+LhwGUAVMiopeil72p0X1h6dkiUdmflU9IKGYPzYqTCTBOH667YODjIwh4K9xd5m6D8Jt&#10;1iBQae+frl+YCAjTN8JU5Dl9KUSUmjK9G+ftUnZaB61e+/mqxr9phenGCuoRjJbVp3enc7N2h9+J&#10;4KehNslIwD41y+bDvcS3vM/4Drkmu8Nm8hcD/OC7X82E0et4og0ex+H6di3Pf51m7kTYvPjyCKyx&#10;tD2li2cQYiw3/uFRx7ylvftWFTOFidR5zpF7EXhmnv4lq7IymplbBaCfKXXXmlnMg3AFNhBGlVp2&#10;54N2+AB9IMcBpZzUS09E6uiSLAQ7I1OhkQiYBo5i81OJHllawVtpwuC4hqOrqzmMurynxwYiPr7O&#10;d9sfbvKUSIX42u/UDoY4FqWtTInAVwcn3eDbtz9OPvDWkfpv96M8vvuRkCd8t4/Ci/l9LHgspo70&#10;7vj0OEY6r+v6tgAW3Df2PhRDNjjMA43Mh1cbxmYiqCFzHSuAM8YoNtIsyPho33EpvQG+kwc4Gbbw&#10;zv3I3iURE/9o8LT2nRvmSQV1fGZdfxS8kGnsAccBao8GdzrW2hpX3GLKSUXU66jRJJsDFrmaye9l&#10;hJZ0Tu17/bOFXiGF6oVIZVreO4TZhntaSyTi1W2kyYGcb/rHXwM79SVeUhAmJ2nIoBT5JYsamLME&#10;J1oz8kS86tKX0q86WKMiRiaGUUG8pCjVJKjLr5CIGtrEpJlEvYBObojZMOyHfTyDj81BYjTY6R8Z&#10;5jint1VvQLX9TEx40UqkuOmtlLMsLUseYiT74zmTFPvY5I9hJIlcPA1k0cgv6L/Zs20Hk3H4RJQf&#10;JiK+qFU4twuucc1jgXslyq8gFwOjolS6mDTEmKF9Jpgxxt6rYyY6y9ylKONd6bnF2ZmyH9/dF+Vy&#10;sscadSawGKBc6GOZtdxTz6ipOykY5l82entnUDCzv/mqbggFgJCqGfHm+m3NyMqH+fXzDGWBRM5o&#10;jFDhIBRL0TVSVAZBv/O3m25MMWtF8x/YgsJi+MZ5SC2+mVCui8Vy8HXN+G5SY4ftyngSPna0mexT&#10;XHmkVPaBAuVE16Km1D6j3ROJGn99SoofnRchsyi75p1CpWvdnNRVvyBdvu1KaCh7poLxhFghN5m6&#10;2Pi5DVJWSKjBnK7RmHt9W/niiFpLL0x5qnbQ42TErcr4lfIQZII3LcgqTyqFNityLZ7RndiZe+uz&#10;1Twq730dVwiDl2nPWGuTXqaZnj5PyGGXxDY4TFtAVeSTEakSGbOjXmRRcFzabs+qaj2mVkBvbDRq&#10;qX9Nh7c1zD3LbAOroFCSX+GxeJydjUafCWVGEoD6yuMiw1RZUDzHFitulUSL3Au8NlLERIjfGCHx&#10;ElEvRrEWATkpw+cFNclz5m55WIWWcEv7FjTM0ADmdp73g91xT6iXFDlIE5zIh5uJqRjGL58pX+gx&#10;vlRqubx8M5isQLEUwif0Xcp10IGSvkGqqhSGABu6ztPaiwsI40ADotCdXFE1YTCd8WUut6Enk+aK&#10;URlTkWcfWdMZBAlc6RLCrus2mCOVYyUXYsVTThkO5+ssNe8R8Ue06J+7UuHyA7nwn06o4k5xLzGY&#10;D7M5wIIahJ6n8GoNA1H3x/eO2l1ZQfY+tW6grdBGkGjP0AV/xwEhUbCYHXumpAK7QapRydy78iXB&#10;LyhCYfPaWaEFV8PtCyVtqU97+UlQc6tOQpacp3pHPf1rJ5Omu59ndLPVj+ljJpB2DuWoApyDRvP3&#10;u38mWr9fzjDNsvrIIeeGhBgkif11fLi4etmaudwnRPt6ug4LUnj+z/PvggxH/ZCm0zyTmErSJmTi&#10;A2HmJIOKRYMOKPNpBmlFk1hk4d1jYKxSqn3EHuFYZS+Ri75mbtwGri+549uN8mznReFcVgQUWJi/&#10;b1cGZrozpcLsQGE5bL08fHn5KXPto0yVhcdVrfM7dPGBc6LKVj1N3IXdC/2BBdvyOj1r1il1mlim&#10;Opt2sAXvpL6g+kjt0/OIKbZ5t/0Y3VYSQH4vCvGOJo5dHiC191Pa0qtes4CF76uKIxhXmnBlb8wB&#10;i+i2VcSUBWDd8aFN6woH/tyO1h20q31/HAaSgFVJtKnidBznrRIWPS6NMEubS/1AZ+3L9V1YEe+1&#10;9LzDpJCJwQqRHAENA5Z0VkZWmYNbN6srv0KzKN+XT2NSOz21VUDIwqSxaQiPdQdUy1JnNX1pLXNr&#10;Z96PZntKajShBH/vc9y1upEQIJFAdf6Mdzj1VgEa4dAUYL/UMpV72CA1PTQ6+HVw3voi3Pmdc1AA&#10;0SP3AY8b0ahAqdHBi2iLM7tvbx3vQugS7NfKWqvJ4b5jifVJzMhJLCEDmLdUCW3tuSZ5rqFzToJy&#10;Jl9Dz5a97REVVWRCwGELfgk6oV4FGCqp0oTpOOTQq1e+8rM3u8mgcOSYZ5ruGpe6+7bbb8ZJ67Vy&#10;fA0V9ch3eRV1ekyfQil+JAm6LF1JlKhY53L2zRY7yI3Ybh1JbDA2InxJpCAQKZ/xJJYLzpt220VV&#10;RdjeK5eJXDyWv+WF60hiZuNnibNpXY3F4oi0iXXDcAOosU2ZDvYy4FdkkpkSWPKa4CuptsbWDjvJ&#10;JBJPOz6Vz+ug1wujnN5s5MBpuY12YO4yarW+wkDt1mMkv5ltSpxsZrBILUUK8TH3wO68IE/scGXx&#10;j836L+9SjRD6vZNCwoM3N+VIbmN1uipnbHQIfdiAP17Q1+x4LWZwNuNiOO18nMF1bCnVsGnRWeLi&#10;ejI5t1DH8aNbpXphf3rQ11Pjct9vauHK11ffCEzUU5UqV6I5ttNRsTbWh+ol6YKEFmOxx2hRNZWV&#10;V3My7DUn8IzfYyMrglHoFEDsPxrm4UPjX2MQ5KzIUlPT4c4aLEfKl637lfPbKxX986L3h31iMw08&#10;fiPOa/UvZKjz1KiNKqHM4YmsVw4EQoS1HkuZFieQ8+TOScyQ2bbxcL8Zy5fyPuh0x/44hpcbRR5Z&#10;0WG6oS5uMLA2CAgCxlBlq0HNk1sFv8SmWzdRc/gc/WJFmiFpRpohcUGawYlDmJbV5NKvGNvLrxim&#10;/Wcf6rqBrSmX7Ckv5qwQTJ3K27s+YfjWDCpabsB9KYZ+5Pn+2KDxNMVjD+9FOEJ56kIrAi6nCHSj&#10;UyKyZA5xxWlN5pm506tWxBM+d0x+Ei6UySC17M67g1NVawWhALcMg3fzy+4eC4ZkunQWUEE53E5m&#10;pltb2E/2xoeCyOZykJRiCysqi8Q3KQNpUdaRegxjEqDErtLFAvrQ5z0rX0BncEoRENGQc0dyAJF5&#10;HeE26S0w+TkmXmPG2X72Wg0L7DD0DZWQ/YoEq90v5WjyiHgrkZM2t/B5M+1W4+s2GqSao/c+0VZ2&#10;y7keZhH43/t+8AS3ifopu/Pqla86m0UDUVMG9NCgcuUroI0/WoyKOGG2NwenjsNoANCpCndhTHEj&#10;PMV2oCII8MjxmN/3zMAXwROlyVEAnTI0MUJvjVrPyGMQ3om912CCeq2FW5WoMpmPisMZWz4h/w1e&#10;ABoBm8hfDvyRB8hFMAwSG77hTmFd0SNDHmKRRMaNwYGL4CaDyhv3HW5XtHPcLK6HJY93Eq8V9+Cg&#10;id/ndycmOm9lFA3dhQ96f9YlHowTFUvEWypG1WhcivosNcyrlVIyGbQrGbl+SFBjCiO4JSGQyJzZ&#10;t3qhNYsNRiJofwnYwyGOaOhZ1+Q5uCTZ4GQWchrWn60NB+33GuuF8jkTrNUfAfN6jZlUn4CujQW1&#10;vbc0l1pMmDsYBbuoqsEmcIYpuuf4z24A4vB2PnblfREYA+d1VZPRjeyOerNDsra96OHNPRd35xEY&#10;K/41168kEB7B0IXwIpSanX47GUzmuN6OOA6oixNeIhZu8zt6t3Tss8LAhkl9UKDai0rsuWCtM3Rx&#10;XLMW5xMFRwTkQL5wl6OdloDpQmRH7tyktDP2PJlPkeaNOLy9Wf008DIm8lq+kYHTjHSHksiUjQbh&#10;UlG0kZ/KKu7w/HGzJW7q01rQ+mCfwsZoRuKHpLjvAMYpYEPhNl3p2xeI56+JEV+RJggXMwcLBtDS&#10;2PWV3fmijpHcbK3DsRgAjMU9Dxclqnzv9j3vtkIWfigd6pEpaeFWUKHtfg14TrLXpaQQPQk9i71j&#10;2o/0EWvwcxRd+GLiuPHp5fIb/DvlQO+GRBmaxlec+4cXb7ojyLowojg6fnDj4mw/DhCkmqp/S4SL&#10;BYDLnqTxjz8MQC4g1O/K46AbL6fcVNl7ghM4y5/EwwaiZCdAGWMT//JNL+RSKkrZ3EZ5oUMrHLVT&#10;koVkdpanSoDSw1D4M32rVdEOZYGhSKwEWqWBjwh1wfg7Y7ivZpQ/7rw7ArKjIyfHNkn9vdxO57rW&#10;hpXCeWvjhO+iBqP3oHuwXTI1iELXGZg5KimHn8hmWsQxjw8mfibXMBtHTNLHFIvCKHL4LvUsQP6I&#10;iPLV+3PAeDHBso9EHr5sMQjZ1/Eshw6DTBkrSbzjhXhmUhgtTVKYzJG2oRwziBJ0ibFSvoH7dVwg&#10;IyqkAksWAfoFHH9TnYm1BJhQ1duisMCVXQKc5BBXusD6GE0txTinGVMuGLQL5zrt6widRs2ADd8s&#10;LooxyBhoZ4kNn3lsaC3h33sgF5X10ZONm9LCKOKFRNxbkkHN5rJoMjIZ2Kx7G/w2cn1Z2leZRElN&#10;pVzwNAejjQhztG1UwznyHhlESTW4VlQWHX2TkbY1q1LmDnhszQlMs6CE89PxhqdHVTbn1UHE+oW8&#10;xAyCt5zLnzH2SUXOGl3eJdRHhw/Gs+bX4SfaLyxHsYTWh5EKp4qtck3yjvA+29ndWrhSrVmsZs4M&#10;19eufJa1C8JtmtJ77jAz5N1+hjfJeXoCY+HO5fKZDuFKke4I2I3P7LGqi+Jft+W694GMsDx958MI&#10;amAyZwGKEnxDE/tFzJ4OcFMRyVfiC3YP7Z0JnRzFzWVIy/MHqVRIK7XTMiSFYobUA+8TLMgrtoul&#10;kbOZqZqrs5W9xc+Myi1BTA5WDFPyHPpwdHL5lK9Q5usBE5wSJsboxxeZ4ds7DVV0X5fzETEb8Rd3&#10;xLEmT+SDX9WjRWI6Xt790MirK30GxkWJ3YOx4iPAJ0+sVBbMsuHLy9nPC1w1rWi1I590jENVa+JV&#10;/Si7oWuMpiC3JCFXS3SaNlAAHNyglHBQS3NiaY+xtLHHTHEw08YZGNeVJq8cVRt3hCuk85hb367j&#10;ic5RWYhG9mgdnLpENNEjJygw5ZC7pW4FnJw5Nnnp1ByuhG+uB+x5td3MmmWnj6zZ06B73DTSD63d&#10;nI2kedVeIvxZG7VtKVi5r40uQT4Yv/C4L9EZOzjY/Ky2JQ0p9rFBoJC5DuH22eFSYCzPUhcP/Iqg&#10;ATM4/zalv/J5o77qba5soWpa9RczspV2gxolqSZWVBV+3V7XZGigrmDFHjj0/FVZtq4hOzJjmDse&#10;6KIfaXfnynqq3fHC9aAHydAE2U7O/4NXtS4XpeJLaVBKPzwVdqrRSBEGvaktVsqY0EgjPK+4NgHy&#10;0BFZuA2RxnpIVQKCHREFdIsMtUjroHS5Ztx4GzGvce8PfCOZc1nYCcpS6QrsQWxz9Q501jj+esfT&#10;c+kSK2/eIefVqcPkBVHJ7n1FI3zWG7BpTuO4G5lcaWtoZwZuKJHPSPl3O0rdE2P2Q69rDBO2YC2g&#10;qbvy5Xw2J83AjzYKihcRJYXUthuu5C/rpsRnFnqu2J4wRXsJg51uM3cQ//9qD6SaCfXc2cz2YbnT&#10;h8+98w7y2wqk5InytwzLvWRN8ojcWzbM/nuq5QtYwQMXa86VlXJPwdQvMEP+bpT2cbL2PrhLTIVp&#10;sgMxIfPyS/aKr+lr4iVyA/bS+M5gN5VgUYf37mCVI19PraVgmequKVgvdcdeuNc734x/hIZ8EXox&#10;z0KdpO+rOsoRIQhIsRrbVlcWzRPklizjFzGhCuHpsle2H/wm1Z9Hqqwg9G6ZIdLnNYITX1jnpYND&#10;5e6n1aeZRcARTsYN9aQcN9tE3NgQ36LZbswzSQQE/hFnN+GhQw+5iOoac2Y0Sb2wDLXoxU29biem&#10;zAE9RbJomvzhS9GJia3eN0ljus1DMgKhNIW7d9QcA2830ryEuZ/LOH9jrvL4/7H8q3L2b3BuHhUS&#10;7ENg7IDASQTpIW79S+yfm/k/6Fr3saH2H4Z0hYz5OY3HsUvlGPTnz9T4QJkwBlgaI4J0s1/lvS/Q&#10;zndN10PNC+0+pBtaWGo/nMSgtTZhUzblp0dlueKZRACjH2Kw5kfaHbXGQKPFytQzHh62ks1qp4Em&#10;m2EBTsim+UakBi20M4YOgBhYhG119rM0yVIdjGkSuzjvlK0RgZuzQOe1iu/LovM/6JQjnBI37rpM&#10;NFrQVwp/HLAfpSIpxCl8FeH/4EndzzP1HgFvUz5S7HmElx5u+ICigUtpxmnNxXDWMZNgL79fsrdA&#10;jC7quyzUsoz4SfJvH50ASbYgAXyCrgunzQflxfJjHRcLiJ+jQUqM9zyILtDB3tXM3vW5upejmYv+&#10;vb/XvBhShGHHCT+nBfcV63KqORrFGhmumVVQf4ad/N7DdZqWG3z0PRdgCCMWFJstK7B/2X133YUq&#10;xWgTTSMxuTxV/fxMC1rRu2Sp2pwsJf1bLm5GqFqvJyK3Lmzj2NGVNZs2Yk9wJcl0tSxAyDG+EZqx&#10;/hv0k2F5v2bKMbZPnpjOLOY9Dj5dgixdoFXVTB00nidCb9SZ5Blyn536rFMHi2kK2eO1VmdFYcam&#10;USapgV13AlXtkXE1vnDPfg3kNQ05Lgp1/+LR03oQVxilI8aOx971CMTT9s35iZ+oYnhlt0b87OlE&#10;RZooEQoIS320tVo0NYiaghZNJPfOFES25nzBUtR6ZfwZJuVVOicGUZr2F/mLQUdbCbizXMocmT35&#10;AUwxeluoZO6p3O8H5U9ius6SphFul0TxnoopulYEbjl0u0Bpf4E7Ghq4LDs/+VTf1ww4G3y0/2l1&#10;i1l83q9ye/kMnNTazdR58ubEhOcaEoOhYXB+nj+/2NeHKwNZHChoKHLIFeXJv67TrwH+nWm5Dzm/&#10;Giakc4HUkv/jMX8afRiC7nV+GU3/W+eny/wvY/c++ath/tX/g2D+095Divle/pc9Osjd32p/Ec4P&#10;IXrIoP7WDods6b+1/8OnPlR/yAH+VoeFUFe/1f9mBP/XQ9+TXb8aJqTThfuL+rp/3H9fkj9R6oZE&#10;qL8D1MOJPoxk93Z+ofTln2r/FdcejvMw0fk9Dgb+v6c9D0d4WHX6PcJbSBHqPnH6uwb1v8D689nD&#10;EH+q/of9+HOHPOQ/flus/qfabzbk4ZQfZjO/ByCDcIqQKf8Ttv816Xu28lfDhHS+v1b4Xvlv7vLP&#10;mT9kL+91f61a+X/p/uYylUHwP50VC/KfAESIXBHJvd7/AVBLAwQKAAAAAACHTuJAAAAAAAAAAAAA&#10;AAAACwAAAGRycy9jaGFydHMvUEsDBBQAAAAIAIdO4kCpelIhlQcAALIiAAAVAAAAZHJzL2NoYXJ0&#10;cy9jaGFydDEueG1s7VpLj+PGEb4H8H9giL0FWokavbEaQ0N5jEVmH9gZ24BvLbIlMdNk083WPDbI&#10;KXHyBxbIPYCv9iUxkPyfXcP/wl91NynqsZvxPjxOMCNA06xuFqvr9VUX9eDjq1R4F1wViczGfnC/&#10;5Xs8i2ScZIux/9nZcWPge4VmWcyEzPjYv+aF//HhR795EI2iJVP6NGcR98AkK0bR2F9qnY+azSJa&#10;8pQV92XOM8zNpUqZxqVaNGPFLsE8Fc12q9VrGia+Y8DegkHKkqy8X93kfjmfJxGfymiV8kxbKRQX&#10;TEMDxTLJC/8Qm4uZ5sGw1fEumBj7Lb9JRMGyhSU8XzbCx5ao5CqLeRxKlUGNtfVpNJoIzVUGVqHM&#10;NJ7m9pneSFMpU+ervBHJNIdws0Qk+tqICwHBO1xK7MN7xr9aJYoXYz8KOqUiMNxRRZpEShZyru+D&#10;Y9NqobQGse03B822swc2G3RGhb4W3G4oaLVpt83quUaEYybEjEXnpJva4mrpep5u3FYG3WXMTwOd&#10;aMHN4Iq+VRItDx+w0UzG10+Vp6QmI3hFHh0nqtAnrNBPmYK/gAjv1U/wNRfycuxzIWDDpLB0aEGq&#10;5753qVg+9ouvVkxx32NZBDI0plV5EWpcB7RHNhKFPqWtm4ucKDlkiPn8jM1On4/9YdDptFqwAhuB&#10;+Axz5Bhj3zqFV2BJQAu8mZEvMd+rsZ8hgiiaVHKOSMrkqRn53jl8BLfABmaHZvmMFVwkFHH2QYUU&#10;SXycCEFPLdRiFgplTdMd0sdII1bpIxlbcq/bAj+7n1X6ZD635IOS3KzYwKwY1/lTMGSevs75HNE9&#10;9n+XZg2hLTPOtiY4sxNRsTURFTQB3lZJZghF0gbMlz589eL7Vy+++/Eff/nh27+/+vPXL//6L1qu&#10;zUoswRjab5begIE2ziHYtVxp8I5GEnbHpd2bi9LCPSSTpC+rgYyeWhHAWBgKn895pE8KYgb29k56&#10;TumNbKXlGV1MueCaO926B+VC6onijASpyTRjKqTUSGSMp4kzVCQFKSQaLZAycuRAK3UkVgWyBI/t&#10;5AVT16EUciOVQDQOhUSjJL7a2KtUMXfsnVBWRXCyZ3xOd8wPT5ec6+C3947uBbRJQ8V8yJCkaUWu&#10;Q6QwbfmaECCah0dZ54tGF4fORi++f/n1N8TkwugrJ1NR6JfM7IV5MoZOFGeODQ/b8ODO8SA4mjpn&#10;2VhmrXRDu0E7GeWCh/PHfAEPvnC5yykmPpmJgvb7rv5BG7Nu/GGyk3iYIZsfDALKB9pcAIm6uFD1&#10;mVl95m0y2pvy1/At09fN01anRR+fhKinrX6Znwy5SlvtkozQdb4D1/tl01aVjqz5USPAo55KB/nI&#10;SJ9kLoaLpbw84Quexb/nW7kJM58zVFxUVbhYo9Uh049ZuumwRD/lai/9KVcR1ROGT5n3sP5oNZsJ&#10;fpo832V1whlyxQkwpV6kRCN+RQmQAgMjb6UAV38MP+l1D/qToDHtHYeNzrzXbQynw6DRb7c7YWfY&#10;6Q6Ojv60Lja6P7fYCOqFRreWPIPuyCpvS1arKsyK9S7qsSwyD9g/7La7vhcR1M+BYRimeQzYzxaA&#10;ebEAyEZAfHK5jSyzkYwmPfrs+GWFm5t+WaHsm/zSVIiEMP8Fdra3hxQKk5gUWxoJpCqPRcxYbV+q&#10;n9xrv3Wqb7fa7Zf//ueNs7wTA55IBslW6R7gWUuD+Qp47LEglDE//JSjeGbCCG0OC4Z6Q3AKgn7r&#10;fru3I/H6WVBbKRiGRlT8d5i6Da0uLGvQ6iivh9bwPUDrdy//9p+dLbwrtIbAjc4dtJaF/x20UpW1&#10;mcLuoHV9wCfsuYNWvlEm30ErYGh9ivp1QWtYA/o13EHeNYjeJrRWtYot6n41FXG9jFqw/Isk1ktb&#10;S7eDoT2H285CbqmNdt9S2dVD1wMYDDq9A5zLXG2wnuj30Us76PQH5kBrWgBVOwC10sS0MNbLt/gU&#10;EUPbZ0GllFQJSnzTl7RSpEn2iF05trWFselNbJwF2FV1MJlZyVP2B6nOkuj8EdqKdq3pR5mOBDi/&#10;flLjpvpJJ0MxeiYt171n6fdVik9x5pjudraC8iy4iWODkvzupfj+E36jh44a/d1qH/J2T+3/e83G&#10;nVM7dcGLiWujbQQr2tE0V56Pqff3JVfO0+nKho2LeDETE5wpLY3OlSaSQEXTouBlO832YHH8kI9W&#10;QicnFwKhVAtVZKIqKeBcsp0dtuSrBf17yg6uJWmyw6cqiann/IHg/9bCGTre3R/Q8jjV3hoox75D&#10;SoS3XKG9glbJOUf7wNn7F0ygFOM3bnrua0bepaqx//+WqrYKhTekKjN1xPUl5y49zeyFKx2qPLMX&#10;vX+G8yGwNt6BmJYnlS7CjLZLkNo7kg/x3mY/at+h9U4vs2pabhZQVYvzTQXUB341uIXWcDDrSuRU&#10;5GqfJ8WTTLieukvMcVLkR3gDe15MXGcbJb0rT3GenwJwC3o/jNp5C3jLt3RlHLy+K3xs/kz8bDWP&#10;39/x+NbwcTtwbIto30vw1xSfuIEMRy/FtgxoOtj0EwgxZZp5Ci8wx756GAdwymhENdVnOf3UYtMw&#10;OGBU95j2t/mZgPmpyeFPUEsDBBQAAAAIAIdO4kCEVsL6ywQAAL0lAAAVAAAAZHJzL2NoYXJ0cy9z&#10;dHlsZTEueG1s7Vptb+I4EP4rUX5AA3ShgEqlbhHSSfS22lvpPpvEAd85cc42S+mvvxnnhZiQsr2m&#10;KaBrvjQTcDzPM35mPObWV2N/RaT+Q285dZ4jHoNBTdyV1snY85S/ohFRVxHzpVAi1Fe+iDwRhsyn&#10;XiDJhsVLr9fp9rzdKG42DKmMIhIawytCISOi1ZWQy3yMiMMonYEXERa7DgsmLgzq3t3C9MgzUz+Y&#10;5tTc8fg7DeEDzxO343rGFDLOK0YahtTXFXMo4p0xYrGQ8BIyVnK5eODS+Un4xO2P8DJ2vo4eRZCa&#10;B/1Ox7ySjMH8LQxT83Vu9oph7m49mHf2KjPFgIbfn6SjXiZuF0dx/qYyhv/BZ3QCP2676RNNl0Ju&#10;78H5M/ZbJU8S8eWxs5m4o36v7zo+SSZuyImGf6MEmFbx0nUIXwIgvs74EJwFM+C1Qs50hFeFnG7O&#10;gk3OMDdb5ABR5fGlWMcBsoDzTMlI5w2slIgbHeatwpRZCPeSEicSAawkwrnY/C7Qm28/qZQsoOCt&#10;sc1ZTHMbuATvayG8If4wBLOwK0dpzpaFjrU0ZubPfHcPxEtguG5pFoyma5loMicLCrHZDmFfOnhV&#10;Qv4mj2075Hu52Qp5mGmZ6eNhHVheFncPGLlr3ZbrHyDF7wtyo0dl8bCWx9cZXhWmCkpspgoCLaas&#10;dfV2SQKiFyLYQrKRQmOOdFTiz5hUek6UfiISsnLXdUCINCpPCDoEsstZ4jorIV/2bfg5SOPwxHU2&#10;EpVb/bMmkroO/y0Gcbse9G8GrqPNTXfYGw5dR5afLMpPSOzDUKnMO+nNg4Z7zPTgd3K/1qCTOpOm&#10;1I9UkA8GIBqfBIt/LRyzckJhoVPkegJvLKQwrSNMbL+jfKjRV8zx9oSLu+vpL62nU3Igm3LhAmay&#10;qhPGUg+4SXbmM1YJ10VCAK3mOYBB8+Wf5qvesH+TlyQyDtIwrF3e9dmvtoSwWC9AKmB7JBIqweaA&#10;OwJ4BnNb6Jp673XFrIO0InwWkCXY9qCcky2kJ0dto4WAUt5n0ucgVoq9UCjss8AqvvMnkzSUJDrH&#10;0C0V0x8fuTZQiN8PsjjrHVmuA7EpzEFwsPi/2E2KzVggNvFXckB2Ut21xDjfZH+oGNdvOJooAK2K&#10;yqL5dW1q/N2HRa1ERiBFUiSJk9gKNrcm7gd4mQxb7qoU7RO7Ni6aLfW1MRm/nnXLWMK2W8iTCvnm&#10;gG08TI8Aa2EJ+wdxQkJiqTmu7sJwcO3tZr+EtgyHGvaR/HVK/jQXJW32zbBWqwJaWLDrWi15Pyv3&#10;NAfxrIdXReHyfowtcKPc/J8Frornis3FpaaPJppge4XAq+nDxpKSgMpLhbbtzMz30KRLGgdtCUIT&#10;2RLk7W3NVL5zMeFCn9/hACp6PnPDVH5zPT2vU46yI1kPS1HJqDrzg7bjDf09N9Pb/yUND3zfv9nY&#10;Q1Nf0HH1Fzz2XJiThNKhNZ4qGNuCKIqFc3Ycj+tr572WoOz4tKruxvLm1nAr3Yi0IuyOOn3w3JxW&#10;v6fBlsDRy5SoVfprAbVVU6GzA1T7tNlAZwFWwNfqceOnZMgDrq6Tk9qw1/eo6nrYb2g1Nb47O7jd&#10;3SEKv3NZ04tPebaXGzi6rurQZ207i8YERsnxTkU6eZSI3e+s7v4FUEsDBBQAAAAIAIdO4kBpMw/O&#10;EQEAAFwDAAAWAAAAZHJzL2NoYXJ0cy9jb2xvcnMxLnhtbJ2T0W6DIBiFX8XwAIIOrZrapLr0btnF&#10;noAhKAlIA6xb335op5urN5W7/z+e7xxJ2FNbUC21eXNXyYIvJXu/sCXonDsXEFraMUVsqAQ12mru&#10;QqoV1JwLymBjyKfoWxijKIa0I8aNFPCDIXcUfWa9j+DaKOJsqE07MZT0FJRCRUQPAsVcVwJ6pZKB&#10;QDQliBA47ElhTfteSxNciCwBPmVR9QzgnVCjBOE1Ia+qKslXHBlK8TFeEXB1rOt0RTjt8hSPgr/A&#10;CzGCOKF73+XvODSTH+pFN7fGKfJngMHlV8tp6ckmz7h+5fyG8pe1HfVA/Fx5GY83xCcbPLvJs4x/&#10;mtYP/MmMesAzV17Gz+t/qGH8fUyH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BEAAABkcnMv&#10;Y2hhcnRzL19yZWxzL1BLAwQUAAAACACHTuJAdZBxgvcAAAAhAgAAIAAAAGRycy9jaGFydHMvX3Jl&#10;bHMvY2hhcnQxLnhtbC5yZWxzrZFNS8QwEIbvgv8hzN2kXUFENt2DIuxVVzxn0+kHTTIlE2X7700R&#10;0S7Vk8ck5HneeWe7O3kn3jFyT0FDKQsQGCzVfWg1vBwer25BcDKhNo4CapiQYVddXmyf0JmUP3HX&#10;jywyJbCGLqXxTim2HXrDkkYM+aWh6E3Kx9iq0djBtKg2RXGj4k8GVAum2Nca4r6+BnGYxmw+Y/ve&#10;RmJqkrTkFTVNb2dqWS6pynYmpntyFJ/T5DDTTGwxabDzHZcyBwS17t78h/tMy3OKP63lL9aVNj/H&#10;fiD75jGklVK/+v4eW0qF/oj1vGFWrxSHI9GQAzk+zT2oxWKrD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JU6bKc/AQAAlwMAABMAAABb&#10;Q29udGVudF9UeXBlc10ueG1snZPLTsMwEEX3SPxD5C1q3HaBEGraBSlLQKh8gGVPmgi/5HHT9O+Z&#10;uKmQECUtK8uPe8/cGXmx6ozOWgjYOFuwWT5lGVjpVGO3BfvYPE8eWIZRWCW0s1CwAyBbLW9vFpuD&#10;B8xIbbFgdYz+kXOUNRiBufNg6aZywYhI27DlXshPsQU+n07vuXQ2go2T2Huw5aKESux0zNYdHR8r&#10;6TR2LHs6PuxZBRPe60aKSJXy1qoflImrqkaCcnJnyDtHH0AorAGi0XlaGf8VFUDjdaghTE7KVA7W&#10;jcc7SnyG0N+czzLoXmkKoVGQvYkQX4ShxFwF5LKm/bDM8r+txtuigtjTbKklyfdU9BjcaRfwErrB&#10;YRBHf5mE8aDhQhL2b/8BSroxhnJ7G6C9oInfMcqAJcneoR1zh7krnbzWfJ1UJ2+evtXyC1BLAQIU&#10;ABQAAAAIAIdO4kCVOmynPwEAAJcDAAATAAAAAAAAAAEAIAAAADMyAABbQ29udGVudF9UeXBlc10u&#10;eG1sUEsBAhQACgAAAAAAh07iQAAAAAAAAAAAAAAAAAYAAAAAAAAAAAAQAAAAny4AAF9yZWxzL1BL&#10;AQIUABQAAAAIAIdO4kCKFGY80QAAAJQBAAALAAAAAAAAAAEAIAAAAMMuAABfcmVscy8ucmVsc1BL&#10;AQIUAAoAAAAAAIdO4kAAAAAAAAAAAAAAAAAEAAAAAAAAAAAAEAAAAAAAAABkcnMvUEsBAhQACgAA&#10;AAAAh07iQAAAAAAAAAAAAAAAAAoAAAAAAAAAAAAQAAAAITEAAGRycy9fcmVscy9QSwECFAAUAAAA&#10;CACHTuJAqxbNRrMAAAAiAQAAGQAAAAAAAAABACAAAABJMQAAZHJzL19yZWxzL2Uyb0RvYy54bWwu&#10;cmVsc1BLAQIUAAoAAAAAAIdO4kAAAAAAAAAAAAAAAAALAAAAAAAAAAAAEAAAAGsgAABkcnMvY2hh&#10;cnRzL1BLAQIUAAoAAAAAAIdO4kAAAAAAAAAAAAAAAAARAAAAAAAAAAAAEAAAAL0vAABkcnMvY2hh&#10;cnRzL19yZWxzL1BLAQIUABQAAAAIAIdO4kB1kHGC9wAAACECAAAgAAAAAAAAAAEAIAAAAOwvAABk&#10;cnMvY2hhcnRzL19yZWxzL2NoYXJ0MS54bWwucmVsc1BLAQIUABQAAAAIAIdO4kCpelIhlQcAALIi&#10;AAAVAAAAAAAAAAEAIAAAAJQgAABkcnMvY2hhcnRzL2NoYXJ0MS54bWxQSwECFAAUAAAACACHTuJA&#10;aTMPzhEBAABcAwAAFgAAAAAAAAABACAAAABaLQAAZHJzL2NoYXJ0cy9jb2xvcnMxLnhtbFBLAQIU&#10;ABQAAAAIAIdO4kCEVsL6ywQAAL0lAAAVAAAAAAAAAAEAIAAAAFwoAABkcnMvY2hhcnRzL3N0eWxl&#10;MS54bWxQSwECFAAUAAAACACHTuJAaEWiEt0AAAANAQAADwAAAAAAAAABACAAAAAiAAAAZHJzL2Rv&#10;d25yZXYueG1sUEsBAhQAFAAAAAgAh07iQBFo5tkFAQAAOAIAAA4AAAAAAAAAAQAgAAAALAEAAGRy&#10;cy9lMm9Eb2MueG1sUEsBAhQACgAAAAAAh07iQAAAAAAAAAAAAAAAAA8AAAAAAAAAAAAQAAAAXQIA&#10;AGRycy9lbWJlZGRpbmdzL1BLAQIUABQAAAAIAIdO4kA6Z82lph0AAMAhAAAdAAAAAAAAAAEAIAAA&#10;AIoCAABkcnMvZW1iZWRkaW5ncy9Xb3JrYm9vazEueGxzeFBLBQYAAAAAEAAQAPADAACjMwAAAAA=&#10;">
            <v:path/>
            <v:fill on="f" focussize="0,0"/>
            <v:stroke on="f"/>
            <v:imagedata r:id="rId12" o:title=""/>
            <o:lock v:ext="edit" aspectratio="t"/>
            <w10:wrap type="none"/>
            <w10:anchorlock/>
          </v:shape>
          <o:OLEObject Type="Embed" ProgID="excel.sheet.8" ShapeID="_x0000_i1025" DrawAspect="Content" ObjectID="_1468075725" r:id="rId11">
            <o:LockedField>false</o:LockedField>
          </o:OLEObject>
        </w:object>
      </w:r>
    </w:p>
    <w:bookmarkEnd w:id="18"/>
    <w:bookmarkEnd w:id="19"/>
    <w:p w14:paraId="18C9800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14:paraId="0E6F26F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37.23万元，其中：一般公共预算财政拨款收入37.23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45D764ED">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1E0DB5">
      <w:pPr>
        <w:ind w:firstLine="800" w:firstLineChars="250"/>
        <w:rPr>
          <w:rFonts w:hint="eastAsia" w:ascii="Times New Roman" w:hAnsi="Times New Roman" w:eastAsia="仿宋_GB2312" w:cs="仿宋_GB2312"/>
          <w:color w:val="auto"/>
          <w:sz w:val="32"/>
          <w:szCs w:val="32"/>
          <w:highlight w:val="none"/>
          <w:lang w:eastAsia="zh-CN"/>
        </w:rPr>
      </w:pPr>
    </w:p>
    <w:p w14:paraId="1B06ECD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77207"/>
      <w:bookmarkStart w:id="23"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14:paraId="3BFF9FA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37.23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31.03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83.34</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6.2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16.65</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66973AED">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C51143">
      <w:pPr>
        <w:spacing w:line="600" w:lineRule="exact"/>
        <w:ind w:firstLine="640" w:firstLineChars="200"/>
        <w:outlineLvl w:val="1"/>
        <w:rPr>
          <w:rStyle w:val="30"/>
          <w:rFonts w:ascii="Times New Roman" w:hAnsi="Times New Roman" w:eastAsia="黑体"/>
          <w:b w:val="0"/>
          <w:color w:val="auto"/>
          <w:highlight w:val="none"/>
        </w:rPr>
      </w:pPr>
      <w:bookmarkStart w:id="24" w:name="_Toc15396606"/>
      <w:bookmarkStart w:id="25"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14:paraId="0688F5F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37.23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本单位是2024年新成立单位。</w:t>
      </w:r>
    </w:p>
    <w:p w14:paraId="66D9AC3F">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59264" behindDoc="1" locked="0" layoutInCell="1" allowOverlap="1">
            <wp:simplePos x="0" y="0"/>
            <wp:positionH relativeFrom="column">
              <wp:posOffset>189230</wp:posOffset>
            </wp:positionH>
            <wp:positionV relativeFrom="paragraph">
              <wp:posOffset>61595</wp:posOffset>
            </wp:positionV>
            <wp:extent cx="5256530" cy="2988310"/>
            <wp:effectExtent l="5080" t="4445" r="15240" b="1714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30B7628">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72DE223">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4512A93">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52D140C2">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F4D681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8268E2A">
      <w:pPr>
        <w:spacing w:line="600" w:lineRule="exact"/>
        <w:ind w:firstLine="640" w:firstLineChars="200"/>
        <w:outlineLvl w:val="1"/>
        <w:rPr>
          <w:rFonts w:hint="eastAsia" w:ascii="Times New Roman" w:hAnsi="Times New Roman" w:eastAsia="黑体"/>
          <w:color w:val="auto"/>
          <w:sz w:val="32"/>
          <w:szCs w:val="32"/>
          <w:highlight w:val="none"/>
        </w:rPr>
      </w:pPr>
      <w:bookmarkStart w:id="26" w:name="_Toc15396607"/>
      <w:bookmarkStart w:id="27" w:name="_Toc15377209"/>
    </w:p>
    <w:p w14:paraId="26BFCE82">
      <w:pPr>
        <w:spacing w:line="600" w:lineRule="exact"/>
        <w:ind w:firstLine="640" w:firstLineChars="200"/>
        <w:outlineLvl w:val="1"/>
        <w:rPr>
          <w:rFonts w:hint="eastAsia" w:ascii="Times New Roman" w:hAnsi="Times New Roman" w:eastAsia="黑体"/>
          <w:color w:val="auto"/>
          <w:sz w:val="32"/>
          <w:szCs w:val="32"/>
          <w:highlight w:val="none"/>
        </w:rPr>
      </w:pPr>
    </w:p>
    <w:p w14:paraId="5258BE88">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14:paraId="4245CEB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14:paraId="3A3866C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37.23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%。与2023年度相比，一般公共预算财政拨款支出增加/减少0.00万元，增长/下降0.00%。主要变动原因是</w:t>
      </w:r>
      <w:r>
        <w:rPr>
          <w:rFonts w:hint="eastAsia" w:eastAsia="仿宋_GB2312" w:cs="仿宋_GB2312"/>
          <w:color w:val="auto"/>
          <w:kern w:val="2"/>
          <w:sz w:val="32"/>
          <w:szCs w:val="32"/>
          <w:highlight w:val="none"/>
          <w:lang w:val="en-US" w:eastAsia="zh-CN" w:bidi="ar-SA"/>
        </w:rPr>
        <w:t>本单位是2024年新成立单位。</w:t>
      </w:r>
    </w:p>
    <w:p w14:paraId="10A094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F4DA83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819485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06B475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BBC177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1" locked="0" layoutInCell="1" allowOverlap="1">
            <wp:simplePos x="0" y="0"/>
            <wp:positionH relativeFrom="column">
              <wp:posOffset>-24130</wp:posOffset>
            </wp:positionH>
            <wp:positionV relativeFrom="paragraph">
              <wp:posOffset>88265</wp:posOffset>
            </wp:positionV>
            <wp:extent cx="5256530" cy="2988310"/>
            <wp:effectExtent l="5080" t="4445" r="15240" b="1714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0FEB6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F0FEA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556B9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C5303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B9D4C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FC1724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13BF7A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02CF14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14:paraId="43FE47F3">
      <w:pPr>
        <w:pStyle w:val="15"/>
        <w:widowControl/>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37.23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_GB2312" w:eastAsia="仿宋_GB2312" w:cs="仿宋_GB2312"/>
          <w:kern w:val="0"/>
          <w:sz w:val="32"/>
          <w:szCs w:val="32"/>
          <w:lang w:val="en-US" w:eastAsia="zh-CN"/>
        </w:rPr>
        <w:t>一般公共服务支出为29.53万元，占比79.32%；社会保障和就业支出为3.83万元，占比10.28%；卫生健康支出为1.47万元，占比3.95%；住房保障支出为2.4万元，占比6.45%。</w:t>
      </w:r>
    </w:p>
    <w:p w14:paraId="0AB963B3">
      <w:pPr>
        <w:pStyle w:val="15"/>
        <w:widowControl/>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E8990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14:paraId="5659BA2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3"/>
      <w:bookmarkStart w:id="32" w:name="_Toc15378460"/>
      <w:bookmarkStart w:id="3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37.23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14:paraId="5E137C17">
      <w:pPr>
        <w:spacing w:line="600" w:lineRule="exact"/>
        <w:ind w:firstLine="640"/>
        <w:rPr>
          <w:rFonts w:ascii="仿宋_GB2312" w:eastAsia="仿宋_GB2312" w:cs="仿宋_GB2312"/>
          <w:b w:val="0"/>
          <w:kern w:val="0"/>
          <w:sz w:val="32"/>
          <w:szCs w:val="32"/>
          <w:shd w:val="clear" w:color="auto" w:fill="FFFFFF"/>
        </w:rPr>
      </w:pPr>
      <w:r>
        <w:rPr>
          <w:rFonts w:ascii="仿宋_GB2312" w:eastAsia="仿宋_GB2312" w:cs="仿宋_GB2312"/>
          <w:b/>
          <w:kern w:val="0"/>
          <w:sz w:val="32"/>
          <w:szCs w:val="32"/>
          <w:shd w:val="clear" w:color="auto" w:fill="FFFFFF"/>
        </w:rPr>
        <w:t>一般公共服务</w:t>
      </w:r>
      <w:r>
        <w:rPr>
          <w:rFonts w:hint="eastAsia" w:ascii="仿宋_GB2312" w:eastAsia="仿宋_GB2312" w:cs="仿宋_GB2312"/>
          <w:b/>
          <w:kern w:val="0"/>
          <w:sz w:val="32"/>
          <w:szCs w:val="32"/>
          <w:shd w:val="clear" w:color="auto" w:fill="FFFFFF"/>
          <w:lang w:val="en-US" w:eastAsia="zh-CN"/>
        </w:rPr>
        <w:t>支出</w:t>
      </w:r>
      <w:r>
        <w:rPr>
          <w:rFonts w:hint="eastAsia" w:ascii="宋体" w:eastAsia="宋体" w:cs="宋体"/>
          <w:b/>
          <w:kern w:val="0"/>
          <w:sz w:val="32"/>
          <w:szCs w:val="32"/>
          <w:shd w:val="clear" w:color="auto" w:fill="FFFFFF"/>
        </w:rPr>
        <w:t>201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ascii="仿宋_GB2312" w:eastAsia="仿宋_GB2312" w:cs="仿宋_GB2312"/>
          <w:b w:val="0"/>
          <w:kern w:val="0"/>
          <w:sz w:val="32"/>
          <w:szCs w:val="32"/>
          <w:shd w:val="clear" w:color="auto" w:fill="FFFFFF"/>
          <w:lang w:val="en-US" w:eastAsia="zh-CN"/>
        </w:rPr>
        <w:t>29.53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ascii="仿宋_GB2312" w:eastAsia="仿宋_GB2312" w:cs="仿宋_GB2312"/>
          <w:b w:val="0"/>
          <w:kern w:val="0"/>
          <w:sz w:val="32"/>
          <w:szCs w:val="32"/>
          <w:shd w:val="clear" w:color="auto" w:fill="FFFFFF"/>
          <w:lang w:val="en-US" w:eastAsia="zh-CN"/>
        </w:rPr>
        <w:t>29.53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4870563E">
      <w:pPr>
        <w:pStyle w:val="36"/>
        <w:widowControl/>
        <w:autoSpaceDE w:val="0"/>
        <w:spacing w:before="0" w:beforeAutospacing="0" w:line="576" w:lineRule="exact"/>
        <w:ind w:left="0" w:firstLine="643" w:firstLineChars="200"/>
        <w:jc w:val="left"/>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社会保障和就业</w:t>
      </w:r>
      <w:r>
        <w:rPr>
          <w:rFonts w:hint="eastAsia" w:ascii="宋体" w:eastAsia="宋体" w:cs="宋体"/>
          <w:b/>
          <w:kern w:val="0"/>
          <w:sz w:val="32"/>
          <w:szCs w:val="32"/>
          <w:shd w:val="clear" w:color="auto" w:fill="FFFFFF"/>
        </w:rPr>
        <w:t>208</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ascii="仿宋_GB2312" w:eastAsia="仿宋_GB2312" w:cs="仿宋_GB2312"/>
          <w:b w:val="0"/>
          <w:kern w:val="0"/>
          <w:sz w:val="32"/>
          <w:szCs w:val="32"/>
          <w:shd w:val="clear" w:color="auto" w:fill="FFFFFF"/>
          <w:lang w:val="en-US" w:eastAsia="zh-CN"/>
        </w:rPr>
        <w:t>3.83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ascii="仿宋_GB2312" w:eastAsia="仿宋_GB2312" w:cs="仿宋_GB2312"/>
          <w:b w:val="0"/>
          <w:kern w:val="0"/>
          <w:sz w:val="32"/>
          <w:szCs w:val="32"/>
          <w:shd w:val="clear" w:color="auto" w:fill="FFFFFF"/>
          <w:lang w:val="en-US" w:eastAsia="zh-CN"/>
        </w:rPr>
        <w:t>3.83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p>
    <w:p w14:paraId="5569E88B">
      <w:pPr>
        <w:pStyle w:val="36"/>
        <w:widowControl/>
        <w:autoSpaceDE w:val="0"/>
        <w:spacing w:before="0" w:beforeAutospacing="0" w:line="576" w:lineRule="exact"/>
        <w:ind w:left="0" w:firstLine="643" w:firstLineChars="200"/>
        <w:jc w:val="left"/>
        <w:rPr>
          <w:rFonts w:ascii="仿宋_GB2312" w:eastAsia="仿宋_GB2312" w:cs="仿宋_GB2312"/>
          <w:b w:val="0"/>
          <w:kern w:val="0"/>
          <w:sz w:val="32"/>
          <w:szCs w:val="32"/>
          <w:shd w:val="clear" w:color="auto" w:fill="FFFFFF"/>
        </w:rPr>
      </w:pPr>
      <w:r>
        <w:rPr>
          <w:rFonts w:ascii="仿宋_GB2312" w:eastAsia="仿宋_GB2312" w:cs="仿宋_GB2312"/>
          <w:b/>
          <w:kern w:val="0"/>
          <w:sz w:val="32"/>
          <w:szCs w:val="32"/>
          <w:shd w:val="clear" w:color="auto" w:fill="FFFFFF"/>
        </w:rPr>
        <w:t>卫生健康</w:t>
      </w:r>
      <w:r>
        <w:rPr>
          <w:rFonts w:hint="eastAsia" w:ascii="宋体" w:eastAsia="宋体" w:cs="宋体"/>
          <w:b/>
          <w:kern w:val="0"/>
          <w:sz w:val="32"/>
          <w:szCs w:val="32"/>
          <w:shd w:val="clear" w:color="auto" w:fill="FFFFFF"/>
        </w:rPr>
        <w:t>210</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ascii="仿宋_GB2312" w:eastAsia="仿宋_GB2312" w:cs="仿宋_GB2312"/>
          <w:b w:val="0"/>
          <w:kern w:val="0"/>
          <w:sz w:val="32"/>
          <w:szCs w:val="32"/>
          <w:shd w:val="clear" w:color="auto" w:fill="FFFFFF"/>
          <w:lang w:val="en-US" w:eastAsia="zh-CN"/>
        </w:rPr>
        <w:t>1.47</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ascii="仿宋_GB2312" w:eastAsia="仿宋_GB2312" w:cs="仿宋_GB2312"/>
          <w:b w:val="0"/>
          <w:kern w:val="0"/>
          <w:sz w:val="32"/>
          <w:szCs w:val="32"/>
          <w:shd w:val="clear" w:color="auto" w:fill="FFFFFF"/>
          <w:lang w:val="en-US" w:eastAsia="zh-CN"/>
        </w:rPr>
        <w:t>1.47</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4B4833E1">
      <w:pPr>
        <w:pStyle w:val="36"/>
        <w:widowControl/>
        <w:autoSpaceDE w:val="0"/>
        <w:spacing w:before="0" w:beforeAutospacing="0" w:line="576" w:lineRule="exact"/>
        <w:ind w:left="0" w:firstLine="643" w:firstLineChars="200"/>
        <w:jc w:val="left"/>
        <w:rPr>
          <w:rFonts w:ascii="仿宋_GB2312" w:eastAsia="仿宋_GB2312" w:cs="仿宋_GB2312"/>
          <w:b w:val="0"/>
          <w:kern w:val="0"/>
          <w:sz w:val="32"/>
          <w:szCs w:val="32"/>
          <w:shd w:val="clear" w:color="auto" w:fill="FFFFFF"/>
        </w:rPr>
      </w:pPr>
      <w:r>
        <w:rPr>
          <w:rFonts w:ascii="仿宋_GB2312" w:eastAsia="仿宋_GB2312" w:cs="仿宋_GB2312"/>
          <w:b/>
          <w:kern w:val="0"/>
          <w:sz w:val="32"/>
          <w:szCs w:val="32"/>
          <w:shd w:val="clear" w:color="auto" w:fill="FFFFFF"/>
        </w:rPr>
        <w:t>住房保障</w:t>
      </w:r>
      <w:r>
        <w:rPr>
          <w:rFonts w:hint="eastAsia" w:ascii="宋体" w:eastAsia="宋体" w:cs="宋体"/>
          <w:b/>
          <w:kern w:val="0"/>
          <w:sz w:val="32"/>
          <w:szCs w:val="32"/>
          <w:shd w:val="clear" w:color="auto" w:fill="FFFFFF"/>
        </w:rPr>
        <w:t>221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ascii="仿宋_GB2312" w:eastAsia="仿宋_GB2312" w:cs="仿宋_GB2312"/>
          <w:b w:val="0"/>
          <w:kern w:val="0"/>
          <w:sz w:val="32"/>
          <w:szCs w:val="32"/>
          <w:shd w:val="clear" w:color="auto" w:fill="FFFFFF"/>
          <w:lang w:val="en-US" w:eastAsia="zh-CN"/>
        </w:rPr>
        <w:t>2.4</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ascii="仿宋_GB2312" w:eastAsia="仿宋_GB2312" w:cs="仿宋_GB2312"/>
          <w:b w:val="0"/>
          <w:kern w:val="0"/>
          <w:sz w:val="32"/>
          <w:szCs w:val="32"/>
          <w:shd w:val="clear" w:color="auto" w:fill="FFFFFF"/>
          <w:lang w:val="en-US" w:eastAsia="zh-CN"/>
        </w:rPr>
        <w:t>2.4万元</w:t>
      </w:r>
      <w:r>
        <w:rPr>
          <w:rFonts w:ascii="仿宋_GB2312" w:eastAsia="仿宋_GB2312" w:cs="仿宋_GB2312"/>
          <w:b w:val="0"/>
          <w:kern w:val="0"/>
          <w:sz w:val="32"/>
          <w:szCs w:val="32"/>
          <w:shd w:val="clear" w:color="auto" w:fill="FFFFFF"/>
        </w:rPr>
        <w:t>，完成预算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bookmarkStart w:id="34" w:name="_Toc15377214"/>
      <w:bookmarkStart w:id="35" w:name="_Toc15396608"/>
    </w:p>
    <w:p w14:paraId="5E92B92A">
      <w:pPr>
        <w:pStyle w:val="36"/>
        <w:widowControl/>
        <w:autoSpaceDE w:val="0"/>
        <w:spacing w:before="0" w:beforeAutospacing="0" w:line="576" w:lineRule="exact"/>
        <w:ind w:left="0" w:firstLine="640" w:firstLineChars="200"/>
        <w:jc w:val="left"/>
        <w:rPr>
          <w:rStyle w:val="30"/>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14:paraId="7DF0601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31.03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7CAC1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26.97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绩效工资、机关事业单位基本养老保险缴费、职业年金缴费、其他社会保障缴费、其他工资福利支出、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4.06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手续费、水费、电费、差旅费、维修（护）费、会议费、培训费、工会经费、公务用车运行维护费、其他交通费、税金及附加费用、其他商品和服务支出、办公设备购置、专用设备购置、信息网络及软件购置更新等。</w:t>
      </w:r>
    </w:p>
    <w:p w14:paraId="714CF180">
      <w:pPr>
        <w:spacing w:line="600" w:lineRule="exact"/>
        <w:ind w:firstLine="640"/>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14:paraId="0652A29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14:paraId="079B12DE">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%。决算数小于预算数（或与预算数持平）的主要原因</w:t>
      </w:r>
      <w:r>
        <w:rPr>
          <w:rFonts w:hint="eastAsia" w:eastAsia="仿宋_GB2312" w:cs="仿宋_GB2312"/>
          <w:color w:val="auto"/>
          <w:kern w:val="2"/>
          <w:sz w:val="32"/>
          <w:szCs w:val="32"/>
          <w:highlight w:val="none"/>
          <w:lang w:val="en-US" w:eastAsia="zh-CN" w:bidi="ar-SA"/>
        </w:rPr>
        <w:t>是本单位是2024年新成立单位。</w:t>
      </w:r>
    </w:p>
    <w:p w14:paraId="2660AC2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14:paraId="63318C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万元，占0.00%；公务用车购置及运行维护费支出决算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万元，占0.00%。</w:t>
      </w:r>
    </w:p>
    <w:p w14:paraId="38EF7D19">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本单位未产生因公出国（境）费用。</w:t>
      </w:r>
    </w:p>
    <w:p w14:paraId="5E05EC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本单位未产生公务用车购置及运行维护费。</w:t>
      </w:r>
    </w:p>
    <w:p w14:paraId="4DF9300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本单位未产生公务接待费。</w:t>
      </w:r>
      <w:bookmarkStart w:id="40" w:name="_Toc15377218"/>
      <w:bookmarkStart w:id="41" w:name="_Toc15396610"/>
    </w:p>
    <w:p w14:paraId="078C644B">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14:paraId="240D15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w:t>
      </w:r>
    </w:p>
    <w:p w14:paraId="4F57471B">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14:paraId="3354F6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w:t>
      </w:r>
    </w:p>
    <w:p w14:paraId="60E8BAC5">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14:paraId="50BF345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14:paraId="5E549D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中共红原县委社会工作部</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2.89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0.00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本单位是2024年新成立单位。</w:t>
      </w:r>
    </w:p>
    <w:p w14:paraId="2611C5B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14:paraId="7DE553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中共红原县委社会工作部</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535FFD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14:paraId="1A3957A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中共红原县委社会工作部</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26DF1FC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04F03E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eastAsia="仿宋_GB2312" w:cs="仿宋_GB2312"/>
          <w:color w:val="auto"/>
          <w:kern w:val="2"/>
          <w:sz w:val="32"/>
          <w:szCs w:val="32"/>
          <w:highlight w:val="none"/>
          <w:lang w:val="en-US" w:eastAsia="zh-CN" w:bidi="ar-SA"/>
        </w:rPr>
        <w:t>办公运行经费、退休人员建房补贴</w:t>
      </w:r>
      <w:r>
        <w:rPr>
          <w:rFonts w:hint="eastAsia" w:ascii="Times New Roman" w:hAnsi="Times New Roman" w:eastAsia="仿宋_GB2312" w:cs="仿宋_GB2312"/>
          <w:color w:val="auto"/>
          <w:kern w:val="2"/>
          <w:sz w:val="32"/>
          <w:szCs w:val="32"/>
          <w:highlight w:val="none"/>
          <w:lang w:val="en-US" w:eastAsia="zh-CN" w:bidi="ar-SA"/>
        </w:rPr>
        <w:t>等项目开展了预算事前绩效评估，对</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7535FBA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s="仿宋"/>
          <w:sz w:val="32"/>
          <w:szCs w:val="32"/>
          <w:lang w:val="en-US" w:eastAsia="zh-CN"/>
        </w:rPr>
        <w:t>我单位</w:t>
      </w:r>
      <w:r>
        <w:rPr>
          <w:rFonts w:hint="eastAsia" w:ascii="仿宋" w:hAnsi="仿宋" w:eastAsia="仿宋" w:cs="仿宋"/>
          <w:sz w:val="32"/>
          <w:szCs w:val="32"/>
        </w:rPr>
        <w:t>按要求对202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年部门整体支出开展绩效自评，从评价情况来看</w:t>
      </w:r>
      <w:r>
        <w:rPr>
          <w:rFonts w:hint="eastAsia" w:ascii="仿宋" w:hAnsi="仿宋" w:eastAsia="仿宋" w:cs="仿宋"/>
          <w:color w:val="000000"/>
          <w:sz w:val="32"/>
          <w:szCs w:val="32"/>
        </w:rPr>
        <w:t>从评价情况来看</w:t>
      </w:r>
      <w:r>
        <w:rPr>
          <w:rFonts w:hint="eastAsia" w:ascii="仿宋" w:hAnsi="仿宋" w:eastAsia="仿宋" w:cs="仿宋"/>
          <w:color w:val="000000"/>
          <w:sz w:val="32"/>
          <w:szCs w:val="32"/>
          <w:lang w:eastAsia="zh-CN"/>
        </w:rPr>
        <w:t>完成效果较好</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单位</w:t>
      </w:r>
      <w:r>
        <w:rPr>
          <w:rFonts w:hint="eastAsia" w:ascii="仿宋" w:hAnsi="仿宋" w:eastAsia="仿宋" w:cs="仿宋"/>
          <w:color w:val="000000"/>
          <w:sz w:val="32"/>
          <w:szCs w:val="32"/>
        </w:rPr>
        <w:t>还自行组织了</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个项目支出绩效评价，从评价情况来看</w:t>
      </w:r>
      <w:r>
        <w:rPr>
          <w:rFonts w:hint="eastAsia" w:ascii="仿宋" w:hAnsi="仿宋" w:eastAsia="仿宋" w:cs="仿宋"/>
          <w:color w:val="000000"/>
          <w:sz w:val="32"/>
          <w:szCs w:val="32"/>
          <w:lang w:eastAsia="zh-CN"/>
        </w:rPr>
        <w:t>完成情况较好。</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年特定目标类部门预算项目绩效目标自评表见附件。</w:t>
      </w:r>
    </w:p>
    <w:p w14:paraId="10BB99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4B6DDF0">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p>
    <w:p w14:paraId="400ACCB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31B7665C">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4E8DB6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A898BF5">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1421345">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075F725D">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62DD6E89">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62E0468">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2EFB4C0">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E6250E7">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65EAFDD2">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1F5079EB">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14:paraId="08C081FC">
      <w:pPr>
        <w:spacing w:line="600" w:lineRule="exact"/>
        <w:jc w:val="left"/>
        <w:rPr>
          <w:rFonts w:ascii="Times New Roman" w:hAnsi="Times New Roman"/>
          <w:b/>
          <w:color w:val="auto"/>
          <w:sz w:val="44"/>
          <w:szCs w:val="44"/>
          <w:highlight w:val="none"/>
        </w:rPr>
      </w:pPr>
    </w:p>
    <w:p w14:paraId="461ECE08">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55533387">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5AB56072">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069958A2">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258A100E">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14:paraId="646EFCE8">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6C62F9E9">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50B6E153">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35DE6192">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9.一般公共服务201类20103款2010350项事业支出指事业人员工资支出。</w:t>
      </w:r>
    </w:p>
    <w:p w14:paraId="7987EF61">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10.公共安全204类20499款2049901项其他公共安全支出指项目支出，维稳机动金支出。</w:t>
      </w:r>
    </w:p>
    <w:p w14:paraId="2ADA66BF">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11.社会保障和就业208类20805款2080505项指机关事业单位基本养老保险缴费支出。2020506指机关事业单位职业年金缴费支出。</w:t>
      </w:r>
    </w:p>
    <w:p w14:paraId="7F1E1837">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12.卫生健康支出210类21011款2101102项指事业单位医疗支出，2101199指其他行政事业单位医疗支出。</w:t>
      </w:r>
    </w:p>
    <w:p w14:paraId="581E1969">
      <w:pPr>
        <w:keepNext w:val="0"/>
        <w:keepLines w:val="0"/>
        <w:widowControl w:val="0"/>
        <w:suppressLineNumbers w:val="0"/>
        <w:autoSpaceDE w:val="0"/>
        <w:autoSpaceDN/>
        <w:spacing w:before="0" w:beforeAutospacing="0" w:line="576" w:lineRule="exact"/>
        <w:ind w:left="0" w:firstLine="640" w:firstLineChars="200"/>
        <w:jc w:val="both"/>
        <w:rPr>
          <w:rFonts w:hint="default" w:ascii="仿宋_GB2312" w:eastAsia="仿宋_GB2312" w:cs="仿宋_GB2312"/>
          <w:color w:val="000000"/>
          <w:kern w:val="0"/>
          <w:sz w:val="32"/>
          <w:szCs w:val="32"/>
        </w:rPr>
      </w:pPr>
      <w:r>
        <w:rPr>
          <w:rFonts w:hint="default" w:ascii="仿宋_GB2312" w:eastAsia="仿宋_GB2312" w:cs="仿宋_GB2312"/>
          <w:color w:val="000000"/>
          <w:kern w:val="0"/>
          <w:sz w:val="32"/>
          <w:szCs w:val="32"/>
        </w:rPr>
        <w:t>13.住房保障221类22102款2210201项指住房公积金支出。</w:t>
      </w:r>
    </w:p>
    <w:p w14:paraId="6238E505">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5550EED3">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48DAE342">
      <w:pPr>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5F0425D9">
      <w:pPr>
        <w:pStyle w:val="27"/>
        <w:pageBreakBefore w:val="0"/>
        <w:kinsoku/>
        <w:wordWrap/>
        <w:overflowPunct/>
        <w:topLinePunct w:val="0"/>
        <w:bidi w:val="0"/>
        <w:spacing w:line="576"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B8DD747">
      <w:pPr>
        <w:pStyle w:val="27"/>
        <w:pageBreakBefore w:val="0"/>
        <w:kinsoku/>
        <w:wordWrap/>
        <w:overflowPunct/>
        <w:topLinePunct w:val="0"/>
        <w:bidi w:val="0"/>
        <w:spacing w:line="576"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color w:val="auto"/>
          <w:sz w:val="32"/>
          <w:szCs w:val="32"/>
          <w:lang w:eastAsia="zh-CN"/>
        </w:rPr>
        <w:t>。</w:t>
      </w:r>
    </w:p>
    <w:p w14:paraId="3B2AEFDD">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3E39B219">
      <w:pPr>
        <w:spacing w:line="600" w:lineRule="exact"/>
        <w:jc w:val="center"/>
        <w:rPr>
          <w:rFonts w:hint="eastAsia" w:ascii="Times New Roman" w:hAnsi="Times New Roman" w:eastAsia="黑体" w:cs="方正小标宋简体"/>
          <w:color w:val="auto"/>
          <w:sz w:val="44"/>
          <w:szCs w:val="44"/>
          <w:highlight w:val="none"/>
          <w:lang w:val="en-US"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319D249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3EA0DC92">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EF1AD20">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4F95706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3F38A04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60" w:lineRule="exact"/>
        <w:ind w:right="0" w:firstLine="643" w:firstLineChars="200"/>
        <w:textAlignment w:val="auto"/>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default" w:ascii="仿宋" w:hAnsi="仿宋" w:eastAsia="仿宋" w:cs="Times New Roman"/>
          <w:kern w:val="2"/>
          <w:sz w:val="32"/>
          <w:szCs w:val="32"/>
          <w:lang w:val="en-US" w:eastAsia="zh-CN" w:bidi="ar-SA"/>
        </w:rPr>
        <w:t>红原县委社会工作部现有</w:t>
      </w:r>
      <w:r>
        <w:rPr>
          <w:rFonts w:hint="eastAsia" w:ascii="仿宋" w:hAnsi="仿宋" w:eastAsia="仿宋" w:cs="Times New Roman"/>
          <w:kern w:val="2"/>
          <w:sz w:val="32"/>
          <w:szCs w:val="32"/>
          <w:lang w:val="en-US" w:eastAsia="zh-CN" w:bidi="ar-SA"/>
        </w:rPr>
        <w:t>办公室、</w:t>
      </w:r>
      <w:r>
        <w:rPr>
          <w:rFonts w:hint="default" w:ascii="仿宋" w:hAnsi="仿宋" w:eastAsia="仿宋" w:cs="Times New Roman"/>
          <w:kern w:val="2"/>
          <w:sz w:val="32"/>
          <w:szCs w:val="32"/>
          <w:lang w:val="en-US" w:eastAsia="zh-CN" w:bidi="ar-SA"/>
        </w:rPr>
        <w:t>综合业务股、社会工作服务</w:t>
      </w:r>
      <w:r>
        <w:rPr>
          <w:rFonts w:hint="eastAsia" w:ascii="仿宋" w:hAnsi="仿宋" w:eastAsia="仿宋" w:cs="Times New Roman"/>
          <w:kern w:val="2"/>
          <w:sz w:val="32"/>
          <w:szCs w:val="32"/>
          <w:lang w:val="en-US" w:eastAsia="zh-CN" w:bidi="ar-SA"/>
        </w:rPr>
        <w:t>中心</w:t>
      </w:r>
      <w:r>
        <w:rPr>
          <w:rFonts w:hint="default" w:ascii="仿宋" w:hAnsi="仿宋" w:eastAsia="仿宋" w:cs="Times New Roman"/>
          <w:kern w:val="2"/>
          <w:sz w:val="32"/>
          <w:szCs w:val="32"/>
          <w:lang w:val="en-US" w:eastAsia="zh-CN" w:bidi="ar-SA"/>
        </w:rPr>
        <w:t>共</w:t>
      </w:r>
      <w:r>
        <w:rPr>
          <w:rFonts w:hint="eastAsia" w:ascii="仿宋" w:hAnsi="仿宋" w:eastAsia="仿宋" w:cs="Times New Roman"/>
          <w:kern w:val="2"/>
          <w:sz w:val="32"/>
          <w:szCs w:val="32"/>
          <w:lang w:val="en-US" w:eastAsia="zh-CN" w:bidi="ar-SA"/>
        </w:rPr>
        <w:t>3</w:t>
      </w:r>
      <w:r>
        <w:rPr>
          <w:rFonts w:hint="default" w:ascii="仿宋" w:hAnsi="仿宋" w:eastAsia="仿宋" w:cs="Times New Roman"/>
          <w:kern w:val="2"/>
          <w:sz w:val="32"/>
          <w:szCs w:val="32"/>
          <w:lang w:val="en-US" w:eastAsia="zh-CN" w:bidi="ar-SA"/>
        </w:rPr>
        <w:t>个股室组成。</w:t>
      </w:r>
    </w:p>
    <w:p w14:paraId="1ABB7050">
      <w:pPr>
        <w:keepNext w:val="0"/>
        <w:keepLines w:val="0"/>
        <w:pageBreakBefore w:val="0"/>
        <w:numPr>
          <w:ilvl w:val="0"/>
          <w:numId w:val="0"/>
        </w:numPr>
        <w:kinsoku/>
        <w:wordWrap/>
        <w:overflowPunct/>
        <w:topLinePunct w:val="0"/>
        <w:autoSpaceDE/>
        <w:autoSpaceDN/>
        <w:bidi w:val="0"/>
        <w:spacing w:line="560" w:lineRule="exact"/>
        <w:ind w:firstLine="643" w:firstLineChars="200"/>
        <w:jc w:val="left"/>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default" w:ascii="仿宋" w:hAnsi="仿宋" w:eastAsia="仿宋" w:cs="Times New Roman"/>
          <w:kern w:val="2"/>
          <w:sz w:val="32"/>
          <w:szCs w:val="32"/>
          <w:lang w:val="en-US" w:eastAsia="zh-CN" w:bidi="ar-SA"/>
        </w:rPr>
        <w:t>我部主要负责贯彻落实党中央有关方针政策和省委、州委和县委决策部署，统筹指导人民信访和人民建议征集，统筹推进党建引领基层治理和基层政权建设，负责“两新”工委职责、全县性社会组织党的建设职责，指导协调“两企三新”相关企业组织中党员的教育、管理、监督和服务工作，负责全县志愿服务的统筹规划，指导城乡社区治理体系和治理能力建设。</w:t>
      </w:r>
    </w:p>
    <w:p w14:paraId="158A40B3">
      <w:pPr>
        <w:keepNext w:val="0"/>
        <w:keepLines w:val="0"/>
        <w:pageBreakBefore w:val="0"/>
        <w:numPr>
          <w:ilvl w:val="0"/>
          <w:numId w:val="0"/>
        </w:numPr>
        <w:kinsoku/>
        <w:wordWrap/>
        <w:overflowPunct/>
        <w:topLinePunct w:val="0"/>
        <w:autoSpaceDE/>
        <w:autoSpaceDN/>
        <w:bidi w:val="0"/>
        <w:spacing w:line="560" w:lineRule="exact"/>
        <w:ind w:firstLine="643" w:firstLineChars="200"/>
        <w:jc w:val="left"/>
        <w:textAlignment w:val="auto"/>
        <w:rPr>
          <w:rFonts w:hint="default" w:ascii="仿宋" w:hAnsi="仿宋" w:eastAsia="仿宋"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楷体_GB2312"/>
          <w:b/>
          <w:color w:val="auto"/>
          <w:kern w:val="0"/>
          <w:sz w:val="32"/>
          <w:szCs w:val="32"/>
          <w:highlight w:val="none"/>
          <w:lang w:val="zh-CN" w:eastAsia="zh-CN" w:bidi="ar-SA"/>
        </w:rPr>
        <w:t>人员概况</w:t>
      </w:r>
      <w:r>
        <w:rPr>
          <w:rFonts w:hint="eastAsia" w:ascii="Times New Roman" w:hAnsi="Times New Roman" w:eastAsia="楷体_GB2312" w:cs="楷体_GB2312"/>
          <w:b/>
          <w:color w:val="auto"/>
          <w:kern w:val="0"/>
          <w:sz w:val="32"/>
          <w:szCs w:val="32"/>
          <w:highlight w:val="none"/>
          <w:lang w:val="zh-CN" w:eastAsia="zh-CN" w:bidi="ar-SA"/>
        </w:rPr>
        <w:t>。</w:t>
      </w:r>
      <w:r>
        <w:rPr>
          <w:rFonts w:hint="default" w:ascii="仿宋" w:hAnsi="仿宋" w:eastAsia="仿宋" w:cs="Times New Roman"/>
          <w:kern w:val="2"/>
          <w:sz w:val="32"/>
          <w:szCs w:val="32"/>
          <w:lang w:val="en-US" w:eastAsia="zh-CN" w:bidi="ar-SA"/>
        </w:rPr>
        <w:t>我单位为独立核算全额拨款行政单位，内设</w:t>
      </w:r>
      <w:r>
        <w:rPr>
          <w:rFonts w:hint="eastAsia" w:ascii="仿宋" w:hAnsi="仿宋" w:eastAsia="仿宋" w:cs="Times New Roman"/>
          <w:kern w:val="2"/>
          <w:sz w:val="32"/>
          <w:szCs w:val="32"/>
          <w:lang w:val="en-US" w:eastAsia="zh-CN" w:bidi="ar-SA"/>
        </w:rPr>
        <w:t>3</w:t>
      </w:r>
      <w:r>
        <w:rPr>
          <w:rFonts w:hint="default" w:ascii="仿宋" w:hAnsi="仿宋" w:eastAsia="仿宋" w:cs="Times New Roman"/>
          <w:kern w:val="2"/>
          <w:sz w:val="32"/>
          <w:szCs w:val="32"/>
          <w:lang w:val="en-US" w:eastAsia="zh-CN" w:bidi="ar-SA"/>
        </w:rPr>
        <w:t>个机构。截止2024年底我单位共有编制8个，其中行政编制5个，在职4人；事业编制3人，在职1人；退休1人。</w:t>
      </w:r>
    </w:p>
    <w:p w14:paraId="62533FD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5DE4D6F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Times New Roman"/>
          <w:sz w:val="32"/>
          <w:szCs w:val="32"/>
          <w:lang w:val="en-US" w:eastAsia="zh-CN"/>
        </w:rPr>
        <w:t>我单位2024年年初预算收入为37.23万元、决算收入为37.23万元。</w:t>
      </w:r>
    </w:p>
    <w:p w14:paraId="2BCCDDE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kern w:val="2"/>
          <w:sz w:val="32"/>
          <w:szCs w:val="32"/>
          <w:highlight w:val="none"/>
          <w:lang w:val="en-US" w:eastAsia="zh-CN" w:bidi="ar-SA"/>
        </w:rPr>
        <w:t>2024</w:t>
      </w:r>
      <w:r>
        <w:rPr>
          <w:rFonts w:hint="eastAsia" w:ascii="Times New Roman" w:hAnsi="Times New Roman" w:eastAsia="仿宋_GB2312" w:cs="仿宋_GB2312"/>
          <w:color w:val="auto"/>
          <w:kern w:val="2"/>
          <w:sz w:val="32"/>
          <w:szCs w:val="32"/>
          <w:highlight w:val="none"/>
          <w:lang w:val="zh-CN" w:eastAsia="zh-CN" w:bidi="ar-SA"/>
        </w:rPr>
        <w:t>年</w:t>
      </w:r>
      <w:r>
        <w:rPr>
          <w:rFonts w:hint="eastAsia" w:ascii="Times New Roman" w:hAnsi="Times New Roman" w:eastAsia="仿宋_GB2312" w:cs="仿宋_GB2312"/>
          <w:color w:val="auto"/>
          <w:kern w:val="2"/>
          <w:sz w:val="32"/>
          <w:szCs w:val="32"/>
          <w:highlight w:val="none"/>
          <w:lang w:val="en-US" w:eastAsia="zh-CN" w:bidi="ar-SA"/>
        </w:rPr>
        <w:t>度</w:t>
      </w:r>
      <w:r>
        <w:rPr>
          <w:rFonts w:hint="eastAsia" w:ascii="Times New Roman" w:hAnsi="Times New Roman" w:eastAsia="仿宋_GB2312" w:cs="仿宋_GB2312"/>
          <w:color w:val="auto"/>
          <w:kern w:val="2"/>
          <w:sz w:val="32"/>
          <w:szCs w:val="32"/>
          <w:highlight w:val="none"/>
          <w:lang w:val="zh-CN" w:eastAsia="zh-CN" w:bidi="ar-SA"/>
        </w:rPr>
        <w:t>我</w:t>
      </w:r>
      <w:r>
        <w:rPr>
          <w:rFonts w:hint="eastAsia" w:ascii="Times New Roman" w:hAnsi="Times New Roman" w:eastAsia="仿宋_GB2312" w:cs="仿宋_GB2312"/>
          <w:color w:val="auto"/>
          <w:kern w:val="2"/>
          <w:sz w:val="32"/>
          <w:szCs w:val="32"/>
          <w:highlight w:val="none"/>
          <w:lang w:val="en-US" w:eastAsia="zh-CN" w:bidi="ar-SA"/>
        </w:rPr>
        <w:t>单位</w:t>
      </w:r>
      <w:r>
        <w:rPr>
          <w:rFonts w:hint="eastAsia" w:ascii="Times New Roman" w:hAnsi="Times New Roman" w:eastAsia="仿宋_GB2312" w:cs="仿宋_GB2312"/>
          <w:color w:val="auto"/>
          <w:kern w:val="2"/>
          <w:sz w:val="32"/>
          <w:szCs w:val="32"/>
          <w:highlight w:val="none"/>
          <w:lang w:val="zh-CN" w:eastAsia="zh-CN" w:bidi="ar-SA"/>
        </w:rPr>
        <w:t>本年支出合计</w:t>
      </w:r>
      <w:r>
        <w:rPr>
          <w:rFonts w:hint="eastAsia" w:ascii="Times New Roman" w:hAnsi="Times New Roman" w:eastAsia="仿宋_GB2312" w:cs="仿宋_GB2312"/>
          <w:color w:val="auto"/>
          <w:kern w:val="2"/>
          <w:sz w:val="32"/>
          <w:szCs w:val="32"/>
          <w:highlight w:val="none"/>
          <w:lang w:val="en-US" w:eastAsia="zh-CN" w:bidi="ar-SA"/>
        </w:rPr>
        <w:t>37.23</w:t>
      </w:r>
      <w:r>
        <w:rPr>
          <w:rFonts w:hint="eastAsia" w:ascii="Times New Roman" w:hAnsi="Times New Roman" w:eastAsia="仿宋_GB2312" w:cs="仿宋_GB2312"/>
          <w:color w:val="auto"/>
          <w:kern w:val="2"/>
          <w:sz w:val="32"/>
          <w:szCs w:val="32"/>
          <w:highlight w:val="none"/>
          <w:lang w:val="zh-CN" w:eastAsia="zh-CN" w:bidi="ar-SA"/>
        </w:rPr>
        <w:t>万元，其中：</w:t>
      </w:r>
      <w:r>
        <w:rPr>
          <w:rFonts w:hint="eastAsia" w:ascii="Times New Roman" w:hAnsi="Times New Roman" w:eastAsia="仿宋_GB2312" w:cs="仿宋_GB2312"/>
          <w:color w:val="auto"/>
          <w:kern w:val="2"/>
          <w:sz w:val="32"/>
          <w:szCs w:val="32"/>
          <w:highlight w:val="none"/>
          <w:lang w:val="en-US" w:eastAsia="zh-CN" w:bidi="ar-SA"/>
        </w:rPr>
        <w:t>一般公共服务支出29.53万元，社会保障和就业支出3.83万元，卫生健康支出1.47万元，住房保障支出2.4万元。</w:t>
      </w:r>
    </w:p>
    <w:p w14:paraId="3FAD3B7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仿宋_GB2312"/>
          <w:color w:val="auto"/>
          <w:kern w:val="2"/>
          <w:sz w:val="32"/>
          <w:szCs w:val="32"/>
          <w:highlight w:val="none"/>
          <w:lang w:val="en-US" w:eastAsia="zh-CN" w:bidi="ar-SA"/>
        </w:rPr>
        <w:t>我单位2024年决算报表</w:t>
      </w:r>
      <w:r>
        <w:rPr>
          <w:rFonts w:hint="default" w:ascii="Times New Roman" w:hAnsi="Times New Roman" w:eastAsia="仿宋_GB2312" w:cs="仿宋_GB2312"/>
          <w:color w:val="auto"/>
          <w:kern w:val="2"/>
          <w:sz w:val="32"/>
          <w:szCs w:val="32"/>
          <w:highlight w:val="none"/>
          <w:lang w:val="en-US" w:eastAsia="zh-CN" w:bidi="ar-SA"/>
        </w:rPr>
        <w:t>结转结余</w:t>
      </w:r>
      <w:r>
        <w:rPr>
          <w:rFonts w:hint="eastAsia" w:ascii="Times New Roman" w:hAnsi="Times New Roman" w:eastAsia="仿宋_GB2312" w:cs="仿宋_GB2312"/>
          <w:color w:val="auto"/>
          <w:kern w:val="2"/>
          <w:sz w:val="32"/>
          <w:szCs w:val="32"/>
          <w:highlight w:val="none"/>
          <w:lang w:val="en-US" w:eastAsia="zh-CN" w:bidi="ar-SA"/>
        </w:rPr>
        <w:t>为0万元</w:t>
      </w:r>
      <w:r>
        <w:rPr>
          <w:rFonts w:hint="default" w:ascii="Times New Roman" w:hAnsi="Times New Roman" w:eastAsia="仿宋_GB2312" w:cs="仿宋_GB2312"/>
          <w:color w:val="auto"/>
          <w:kern w:val="2"/>
          <w:sz w:val="32"/>
          <w:szCs w:val="32"/>
          <w:highlight w:val="none"/>
          <w:lang w:val="en-US" w:eastAsia="zh-CN" w:bidi="ar-SA"/>
        </w:rPr>
        <w:t>。</w:t>
      </w:r>
    </w:p>
    <w:p w14:paraId="203CBE2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716CAAC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00412A4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r>
        <w:rPr>
          <w:rFonts w:hint="eastAsia" w:ascii="Times New Roman" w:hAnsi="Times New Roman" w:eastAsia="仿宋_GB2312" w:cs="仿宋_GB2312"/>
          <w:color w:val="auto"/>
          <w:kern w:val="2"/>
          <w:sz w:val="32"/>
          <w:szCs w:val="32"/>
          <w:highlight w:val="none"/>
          <w:lang w:val="en-US" w:eastAsia="zh-CN" w:bidi="ar-SA"/>
        </w:rPr>
        <w:t>。聚焦预算资金从分配到使用的全过程，确保以最少的资金投入，获得最大的产出与效益，在资源调配、项目管理、风险防控等方面的能力增强，以保障后续工作的高质量开展。</w:t>
      </w:r>
    </w:p>
    <w:p w14:paraId="4725396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en-US" w:eastAsia="zh-CN" w:bidi="ar-SA"/>
        </w:rPr>
        <w:t>制定标准化编制流程，明确责任分工，强化数据审核，引入信息化工具预算一体化，财政局定期培训预算编制提升财务人员的专业能力。全面梳理财政拨款收入，非财政拨款收入，政府性基金预算财政拨款收入，国有资本经营预算财政拨款收入等来源，提升资金效益，支出执行进度管理利用预算一体化预警标识滞后项目，将执行率纳入绩效考核，提高项目执行率。严格控制非必要开支，构建高效预算管理体系，实现资金使用效益最大化。</w:t>
      </w:r>
    </w:p>
    <w:p w14:paraId="4D9AF57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en-US" w:eastAsia="zh-CN" w:bidi="ar-SA"/>
        </w:rPr>
        <w:t>我单位财务岗位设置能够满足单位财务管理需求，有独立的会计、出纳、单位财务负责人、采购负责人等关键岗位，各岗位职能明确。形成相互制衡机制，会计负责账务处理和报表编制，出纳负责现金与银行收支。</w:t>
      </w:r>
    </w:p>
    <w:p w14:paraId="4D3D09D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en-US" w:eastAsia="zh-CN" w:bidi="ar-SA"/>
        </w:rPr>
        <w:t>我单位在资产配置上总体遵循预算安排与实际需求相结合原则。办公设备能够满足各部门日常办公，整体资产使用率处于100%左右，目前资产完好率约为85%，本单位建立了定期维护，对办公设备和车辆进行日常保养和与定期检修，确保大部分资产处于良好运行状态，但部分资产因使用年限较长，我单位严格执行资产处置审批程序。并定期开展全面资产盘点工作，核对资产账实情况，确保账实相符，账表相符，及时更新资产台长信息。</w:t>
      </w:r>
    </w:p>
    <w:p w14:paraId="4D34880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en-US" w:eastAsia="zh-CN" w:bidi="ar-SA"/>
        </w:rPr>
        <w:t>2024年本单位没有执行采购计划。</w:t>
      </w:r>
    </w:p>
    <w:p w14:paraId="2E59BD7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554B650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 预算决策优化：将绩效评价结果作为预算决策的关键依据。对于绩效评价结果优秀的项目，在后续预算安排中予以优先保障和适度资金追加，助力项目持续深化与拓展。</w:t>
      </w:r>
    </w:p>
    <w:p w14:paraId="302395A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仿宋_GB2312" w:hAnsi="仿宋_GB2312" w:eastAsia="仿宋_GB2312" w:cs="仿宋_GB2312"/>
          <w:szCs w:val="32"/>
          <w:lang w:bidi="ar-SA"/>
        </w:rPr>
      </w:pPr>
      <w:r>
        <w:rPr>
          <w:rFonts w:hint="eastAsia" w:ascii="Times New Roman" w:hAnsi="Times New Roman" w:eastAsia="仿宋_GB2312" w:cs="仿宋_GB2312"/>
          <w:color w:val="auto"/>
          <w:kern w:val="2"/>
          <w:sz w:val="32"/>
          <w:szCs w:val="32"/>
          <w:highlight w:val="none"/>
          <w:lang w:val="en-US" w:eastAsia="zh-CN" w:bidi="ar-SA"/>
        </w:rPr>
        <w:t>2. 资源配置调整：依据绩效评价结果，合理调配资源。在人力资源配置上，将业务能力强、工作效率高的人员调配到绩效薄弱或重点发展的工作领域，实现人力资源的优化组合。在物力和财力资源分配方面，优先保障绩效突出项目的资源需求，削减低绩效项目的资源投入，提高资源利用效率。</w:t>
      </w:r>
    </w:p>
    <w:p w14:paraId="264F72F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4C2287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cs="Times New Roman"/>
          <w:color w:val="000000"/>
          <w:sz w:val="32"/>
          <w:szCs w:val="32"/>
          <w:lang w:val="en-US" w:eastAsia="zh-CN" w:bidi="ar-SA"/>
        </w:rPr>
        <w:t>2025</w:t>
      </w:r>
      <w:r>
        <w:rPr>
          <w:rFonts w:hint="default" w:ascii="Times New Roman" w:hAnsi="Times New Roman" w:eastAsia="仿宋_GB2312" w:cs="Times New Roman"/>
          <w:color w:val="000000"/>
          <w:sz w:val="32"/>
          <w:szCs w:val="32"/>
          <w:lang w:bidi="ar-SA"/>
        </w:rPr>
        <w:t>年我</w:t>
      </w:r>
      <w:r>
        <w:rPr>
          <w:rFonts w:hint="eastAsia" w:ascii="Times New Roman" w:hAnsi="Times New Roman" w:cs="Times New Roman"/>
          <w:color w:val="000000"/>
          <w:sz w:val="32"/>
          <w:szCs w:val="32"/>
          <w:lang w:val="en-US" w:eastAsia="zh-CN" w:bidi="ar-SA"/>
        </w:rPr>
        <w:t>单位</w:t>
      </w:r>
      <w:r>
        <w:rPr>
          <w:rFonts w:hint="default" w:ascii="Times New Roman" w:hAnsi="Times New Roman" w:eastAsia="仿宋_GB2312" w:cs="Times New Roman"/>
          <w:color w:val="000000"/>
          <w:sz w:val="32"/>
          <w:szCs w:val="32"/>
          <w:lang w:bidi="ar-SA"/>
        </w:rPr>
        <w:t>预算编制规范、准确，各项经费全部纳入预</w:t>
      </w:r>
      <w:r>
        <w:rPr>
          <w:rFonts w:hint="eastAsia" w:ascii="Times New Roman" w:hAnsi="Times New Roman" w:eastAsia="仿宋_GB2312" w:cs="Times New Roman"/>
          <w:color w:val="000000"/>
          <w:sz w:val="32"/>
          <w:szCs w:val="32"/>
          <w:lang w:eastAsia="zh-CN" w:bidi="ar-SA"/>
        </w:rPr>
        <w:t>算</w:t>
      </w:r>
      <w:r>
        <w:rPr>
          <w:rFonts w:hint="default" w:ascii="Times New Roman" w:hAnsi="Times New Roman" w:eastAsia="仿宋_GB2312" w:cs="Times New Roman"/>
          <w:color w:val="000000"/>
          <w:sz w:val="32"/>
          <w:szCs w:val="32"/>
          <w:lang w:bidi="ar-SA"/>
        </w:rPr>
        <w:t>安排，整体部</w:t>
      </w:r>
      <w:r>
        <w:rPr>
          <w:rFonts w:hint="default" w:ascii="Times New Roman" w:hAnsi="Times New Roman" w:eastAsia="仿宋_GB2312" w:cs="Times New Roman"/>
          <w:color w:val="000000"/>
          <w:sz w:val="32"/>
          <w:szCs w:val="32"/>
          <w:highlight w:val="none"/>
          <w:lang w:bidi="ar-SA"/>
        </w:rPr>
        <w:t>门支出绩效较好，资金使用效率较高，有效保障了部门的正常运转和专项工作开展。整体发挥的社会效益明显，服务对象满意度高。</w:t>
      </w:r>
      <w:r>
        <w:rPr>
          <w:rFonts w:hint="default" w:ascii="Times New Roman" w:hAnsi="Times New Roman" w:eastAsia="仿宋_GB2312" w:cs="Times New Roman"/>
          <w:color w:val="000000"/>
          <w:sz w:val="32"/>
          <w:szCs w:val="32"/>
          <w:highlight w:val="none"/>
          <w:lang w:val="en-US" w:eastAsia="zh-CN" w:bidi="ar-SA"/>
        </w:rPr>
        <w:t>自评得分</w:t>
      </w:r>
      <w:r>
        <w:rPr>
          <w:rFonts w:hint="eastAsia" w:cs="Times New Roman"/>
          <w:color w:val="000000"/>
          <w:sz w:val="32"/>
          <w:szCs w:val="32"/>
          <w:highlight w:val="none"/>
          <w:lang w:val="en-US" w:eastAsia="zh-CN" w:bidi="ar-SA"/>
        </w:rPr>
        <w:t>90</w:t>
      </w:r>
      <w:r>
        <w:rPr>
          <w:rFonts w:hint="default" w:ascii="Times New Roman" w:hAnsi="Times New Roman" w:eastAsia="仿宋_GB2312" w:cs="Times New Roman"/>
          <w:color w:val="000000"/>
          <w:sz w:val="32"/>
          <w:szCs w:val="32"/>
          <w:highlight w:val="none"/>
          <w:lang w:val="en-US" w:eastAsia="zh-CN" w:bidi="ar-SA"/>
        </w:rPr>
        <w:t>分。</w:t>
      </w:r>
    </w:p>
    <w:p w14:paraId="24A8B42A">
      <w:pPr>
        <w:pStyle w:val="5"/>
        <w:keepNext w:val="0"/>
        <w:keepLines w:val="0"/>
        <w:pageBreakBefore w:val="0"/>
        <w:numPr>
          <w:ilvl w:val="0"/>
          <w:numId w:val="0"/>
        </w:numPr>
        <w:kinsoku/>
        <w:wordWrap/>
        <w:overflowPunct/>
        <w:topLinePunct w:val="0"/>
        <w:autoSpaceDE/>
        <w:autoSpaceDN/>
        <w:bidi w:val="0"/>
        <w:spacing w:after="0" w:line="560" w:lineRule="exact"/>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4D4D92E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default" w:ascii="Times New Roman" w:hAnsi="Times New Roman" w:eastAsia="仿宋_GB2312" w:cs="仿宋_GB2312"/>
          <w:color w:val="auto"/>
          <w:kern w:val="2"/>
          <w:sz w:val="32"/>
          <w:szCs w:val="32"/>
          <w:highlight w:val="none"/>
          <w:lang w:val="zh-CN" w:eastAsia="zh-CN" w:bidi="ar-SA"/>
        </w:rPr>
        <w:t>预算编制与执行方面</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预算编制精准度不足</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对工作任务和资金需求的预估不够准确，存在项目支出内容与实际执行偏差较大的情况</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导致预算调整频繁，影响预算的严肃性和约束力。预算执行进度不均衡</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前期预算执行缓慢，后期为完成支出进度，可能出现突击花钱，影响资金使用效果和项目实施质量。</w:t>
      </w:r>
    </w:p>
    <w:p w14:paraId="171141C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绩效管理体系方面</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绩效目标设定不合理</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部分绩效目标设置过于笼统、模糊，缺乏具体、可量化的指标，导致在绩效评价时难以准确衡量项目成效；或者目标设定过高或过低，无法真实反映项目的实际价值和预期效益。</w:t>
      </w:r>
    </w:p>
    <w:p w14:paraId="24AE46C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lang w:val="zh-CN"/>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绩效评价结果应用不足</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绩效自评结果未能充分与预算安排、政策调整、项目优化等挂钩，对后续工作的改进和指导作用有限，无法有效激励部门提升预算绩效管理水平。</w:t>
      </w:r>
    </w:p>
    <w:p w14:paraId="7BB30CB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53" w:name="_Hlk110546638"/>
    </w:p>
    <w:p w14:paraId="194662D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en-US" w:eastAsia="zh-CN" w:bidi="ar"/>
        </w:rPr>
        <w:t>1. 优化预算编制与执行管理，提升预算编制精准度，加强预算前期工作，结合统战工作实际需求与历史数据，细化项目预算编制，明确支出标准与明细。建立跨科室沟通协调机制，统筹整合项目资源，避免重复申报与资金浪费。</w:t>
      </w:r>
    </w:p>
    <w:p w14:paraId="57F4AA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en-US" w:eastAsia="zh-CN" w:bidi="ar"/>
        </w:rPr>
        <w:t>2. 强化资金使用效益，提高资金使用效率，定期清理闲置资金，优化资金分配机制。建立资金动态调整机制，对低效项目缩减或收回资金，向高绩效项目倾斜。</w:t>
      </w:r>
    </w:p>
    <w:p w14:paraId="6C3388B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Times New Roman"/>
          <w:kern w:val="2"/>
          <w:sz w:val="32"/>
          <w:szCs w:val="32"/>
          <w:u w:val="none"/>
          <w:lang w:val="en-US" w:eastAsia="zh-CN" w:bidi="ar"/>
        </w:rPr>
      </w:pPr>
      <w:r>
        <w:rPr>
          <w:rFonts w:hint="eastAsia" w:ascii="Times New Roman" w:hAnsi="Times New Roman" w:eastAsia="仿宋_GB2312" w:cs="Times New Roman"/>
          <w:kern w:val="2"/>
          <w:sz w:val="32"/>
          <w:szCs w:val="32"/>
          <w:u w:val="none"/>
          <w:lang w:val="en-US" w:eastAsia="zh-CN" w:bidi="ar"/>
        </w:rPr>
        <w:t>3. 完善绩效管理体系，科学设定绩效目标，制定具体、可量化、可考核的绩效指标，明确产出数量、质量、时效及效益目标。加强绩效目标审核，确保目标合理、可行。</w:t>
      </w:r>
    </w:p>
    <w:p w14:paraId="304A7C2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Times New Roman"/>
          <w:kern w:val="2"/>
          <w:sz w:val="32"/>
          <w:szCs w:val="32"/>
          <w:u w:val="none"/>
          <w:lang w:val="en-US" w:eastAsia="zh-CN" w:bidi="ar"/>
        </w:rPr>
        <w:t>4. 加强能力建设与培训，提升人员专业素养，提高财务与业务人员的专业能力和责任意识。认真学习政策法规与先进经验，拓宽工作思路。</w:t>
      </w:r>
      <w:bookmarkEnd w:id="53"/>
    </w:p>
    <w:p w14:paraId="5452A18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1F353854">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1"/>
      <w:bookmarkEnd w:id="54"/>
      <w:bookmarkStart w:id="55" w:name="_Toc15396619"/>
    </w:p>
    <w:p w14:paraId="29B3619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353B25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14:paraId="669BA05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14:paraId="5EBF220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14:paraId="3366442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14:paraId="15AB000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14:paraId="422407A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14:paraId="174C977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14:paraId="7CE5586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14:paraId="6A479D5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14:paraId="29309F3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14:paraId="3272E28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FCEEA5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14:paraId="5AE33A1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14:paraId="5BCE3DF3">
      <w:pPr>
        <w:rPr>
          <w:rFonts w:hint="eastAsia" w:ascii="Times New Roman" w:hAnsi="Times New Roman"/>
          <w:lang w:eastAsia="zh-CN"/>
        </w:rPr>
      </w:pPr>
    </w:p>
    <w:sectPr>
      <w:footerReference r:id="rId9" w:type="first"/>
      <w:footerReference r:id="rId8"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A5E59">
    <w:pPr>
      <w:pStyle w:val="10"/>
      <w:jc w:val="center"/>
    </w:pPr>
  </w:p>
  <w:p w14:paraId="78FA78E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093A8">
    <w:pPr>
      <w:pStyle w:val="10"/>
      <w:jc w:val="both"/>
    </w:pPr>
  </w:p>
  <w:p w14:paraId="5D7B93E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ED61B">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9C9A1">
    <w:pPr>
      <w:pStyle w:val="10"/>
      <w:jc w:val="both"/>
    </w:pPr>
  </w:p>
  <w:p w14:paraId="047D1C2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CC761">
    <w:pPr>
      <w:pStyle w:val="1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AA419">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7FAA419">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66EE16D1">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F91B3">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BCA82">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3FBCA82">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F74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3667C"/>
    <w:multiLevelType w:val="singleLevel"/>
    <w:tmpl w:val="B633667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1F7F7E"/>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60322E"/>
    <w:rsid w:val="04916F1E"/>
    <w:rsid w:val="056D353A"/>
    <w:rsid w:val="061E35DE"/>
    <w:rsid w:val="066E0107"/>
    <w:rsid w:val="07996F6E"/>
    <w:rsid w:val="07AE4E1A"/>
    <w:rsid w:val="07DFD8BA"/>
    <w:rsid w:val="09867E8F"/>
    <w:rsid w:val="09C5548B"/>
    <w:rsid w:val="0A2032A3"/>
    <w:rsid w:val="0ACA5794"/>
    <w:rsid w:val="0CA8290A"/>
    <w:rsid w:val="0D35B1ED"/>
    <w:rsid w:val="0E254B6B"/>
    <w:rsid w:val="0F98263C"/>
    <w:rsid w:val="0FF52AA9"/>
    <w:rsid w:val="101860EC"/>
    <w:rsid w:val="101F47CC"/>
    <w:rsid w:val="10C055FF"/>
    <w:rsid w:val="11694EBD"/>
    <w:rsid w:val="11772AA4"/>
    <w:rsid w:val="118107EC"/>
    <w:rsid w:val="12E24EE2"/>
    <w:rsid w:val="13D50BC4"/>
    <w:rsid w:val="145E0C1D"/>
    <w:rsid w:val="14A30806"/>
    <w:rsid w:val="14B17F78"/>
    <w:rsid w:val="165A7400"/>
    <w:rsid w:val="165E0673"/>
    <w:rsid w:val="16B831D5"/>
    <w:rsid w:val="16BB723D"/>
    <w:rsid w:val="172F064F"/>
    <w:rsid w:val="178F5380"/>
    <w:rsid w:val="17E50567"/>
    <w:rsid w:val="186504BB"/>
    <w:rsid w:val="19A445FC"/>
    <w:rsid w:val="1BE8440E"/>
    <w:rsid w:val="1C56667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3A1B18"/>
    <w:rsid w:val="2C8A61B5"/>
    <w:rsid w:val="2DA21F75"/>
    <w:rsid w:val="2DF04E50"/>
    <w:rsid w:val="2E586DFA"/>
    <w:rsid w:val="2EB96139"/>
    <w:rsid w:val="2F040D46"/>
    <w:rsid w:val="2F6B035B"/>
    <w:rsid w:val="2FAE5751"/>
    <w:rsid w:val="2FB1A395"/>
    <w:rsid w:val="2FD9A7D8"/>
    <w:rsid w:val="2FDBF714"/>
    <w:rsid w:val="30AB6865"/>
    <w:rsid w:val="319F7F4E"/>
    <w:rsid w:val="32BD1EF1"/>
    <w:rsid w:val="3304709D"/>
    <w:rsid w:val="334D2131"/>
    <w:rsid w:val="33A773CB"/>
    <w:rsid w:val="349D6851"/>
    <w:rsid w:val="34A548EB"/>
    <w:rsid w:val="36AA5135"/>
    <w:rsid w:val="36BE0DA7"/>
    <w:rsid w:val="376B6AA6"/>
    <w:rsid w:val="376D39B2"/>
    <w:rsid w:val="37977C07"/>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3EA577A"/>
    <w:rsid w:val="44E268DA"/>
    <w:rsid w:val="450D13D7"/>
    <w:rsid w:val="45506656"/>
    <w:rsid w:val="462C02CC"/>
    <w:rsid w:val="486A6C7A"/>
    <w:rsid w:val="4A627F82"/>
    <w:rsid w:val="4B0E749A"/>
    <w:rsid w:val="4B2477C4"/>
    <w:rsid w:val="4B4F25DA"/>
    <w:rsid w:val="4BE068DB"/>
    <w:rsid w:val="4C054A64"/>
    <w:rsid w:val="4D577224"/>
    <w:rsid w:val="4DBF1CEB"/>
    <w:rsid w:val="4DF0007C"/>
    <w:rsid w:val="4EAB630A"/>
    <w:rsid w:val="4ECE2238"/>
    <w:rsid w:val="4F833267"/>
    <w:rsid w:val="4FE9BD67"/>
    <w:rsid w:val="4FFB052F"/>
    <w:rsid w:val="53234805"/>
    <w:rsid w:val="53603363"/>
    <w:rsid w:val="537E6D0A"/>
    <w:rsid w:val="53F74C96"/>
    <w:rsid w:val="542924D4"/>
    <w:rsid w:val="549459BA"/>
    <w:rsid w:val="55170BA8"/>
    <w:rsid w:val="553218C9"/>
    <w:rsid w:val="55546EF7"/>
    <w:rsid w:val="567E1AA5"/>
    <w:rsid w:val="56E47B74"/>
    <w:rsid w:val="57175D52"/>
    <w:rsid w:val="57BD3DD4"/>
    <w:rsid w:val="58562F86"/>
    <w:rsid w:val="5A6B086C"/>
    <w:rsid w:val="5AF92295"/>
    <w:rsid w:val="5B250254"/>
    <w:rsid w:val="5BDD79E6"/>
    <w:rsid w:val="5BF561CA"/>
    <w:rsid w:val="5BFF5DFC"/>
    <w:rsid w:val="5C2B154B"/>
    <w:rsid w:val="5CD71FC4"/>
    <w:rsid w:val="5D1F11B5"/>
    <w:rsid w:val="5D695134"/>
    <w:rsid w:val="5DAE1B18"/>
    <w:rsid w:val="5DE7D9E5"/>
    <w:rsid w:val="5ECEC941"/>
    <w:rsid w:val="5F3F6522"/>
    <w:rsid w:val="5FBF9FF3"/>
    <w:rsid w:val="5FCD4E2C"/>
    <w:rsid w:val="5FEF394A"/>
    <w:rsid w:val="5FF27A39"/>
    <w:rsid w:val="5FF67715"/>
    <w:rsid w:val="600B4656"/>
    <w:rsid w:val="627110E9"/>
    <w:rsid w:val="62BF3928"/>
    <w:rsid w:val="63B3701E"/>
    <w:rsid w:val="64634A61"/>
    <w:rsid w:val="647F5392"/>
    <w:rsid w:val="649C7F73"/>
    <w:rsid w:val="65E66580"/>
    <w:rsid w:val="664B1D71"/>
    <w:rsid w:val="664B4E8E"/>
    <w:rsid w:val="67277B67"/>
    <w:rsid w:val="67AA3209"/>
    <w:rsid w:val="68282249"/>
    <w:rsid w:val="698D0931"/>
    <w:rsid w:val="6A7C062B"/>
    <w:rsid w:val="6A7FE5F3"/>
    <w:rsid w:val="6B053271"/>
    <w:rsid w:val="6BDD78B3"/>
    <w:rsid w:val="6C4A05C8"/>
    <w:rsid w:val="6C8742B8"/>
    <w:rsid w:val="6DBF5E93"/>
    <w:rsid w:val="6DFF077E"/>
    <w:rsid w:val="6E70494A"/>
    <w:rsid w:val="6E714EF0"/>
    <w:rsid w:val="6E7E3605"/>
    <w:rsid w:val="6E7FDCC7"/>
    <w:rsid w:val="6ED6A62E"/>
    <w:rsid w:val="6EE00B15"/>
    <w:rsid w:val="6F6FB3EB"/>
    <w:rsid w:val="6F8731EA"/>
    <w:rsid w:val="6FCE6052"/>
    <w:rsid w:val="6FD57C00"/>
    <w:rsid w:val="6FED3D79"/>
    <w:rsid w:val="6FEFFFD8"/>
    <w:rsid w:val="6FF5CC65"/>
    <w:rsid w:val="6FFB47EC"/>
    <w:rsid w:val="6FFF034A"/>
    <w:rsid w:val="70484440"/>
    <w:rsid w:val="70FA499F"/>
    <w:rsid w:val="712A28F1"/>
    <w:rsid w:val="715C0E4B"/>
    <w:rsid w:val="71992E7C"/>
    <w:rsid w:val="72233669"/>
    <w:rsid w:val="72734D90"/>
    <w:rsid w:val="73160E6D"/>
    <w:rsid w:val="7332FE48"/>
    <w:rsid w:val="73AB61DA"/>
    <w:rsid w:val="73AD73D5"/>
    <w:rsid w:val="73B6EB34"/>
    <w:rsid w:val="73FA497D"/>
    <w:rsid w:val="74257F85"/>
    <w:rsid w:val="744731E5"/>
    <w:rsid w:val="74BBD01D"/>
    <w:rsid w:val="74ED5379"/>
    <w:rsid w:val="75DEEEC2"/>
    <w:rsid w:val="75E32345"/>
    <w:rsid w:val="76937C6C"/>
    <w:rsid w:val="76E3355F"/>
    <w:rsid w:val="76FF5125"/>
    <w:rsid w:val="776C7C79"/>
    <w:rsid w:val="776F6FFA"/>
    <w:rsid w:val="778769C8"/>
    <w:rsid w:val="77A75DCA"/>
    <w:rsid w:val="77DC22F5"/>
    <w:rsid w:val="782549B9"/>
    <w:rsid w:val="783E271A"/>
    <w:rsid w:val="78616DE9"/>
    <w:rsid w:val="78E875D7"/>
    <w:rsid w:val="79077C59"/>
    <w:rsid w:val="79086DAD"/>
    <w:rsid w:val="79D7FD79"/>
    <w:rsid w:val="79EE5BA4"/>
    <w:rsid w:val="7A894339"/>
    <w:rsid w:val="7AD284E8"/>
    <w:rsid w:val="7AFF7572"/>
    <w:rsid w:val="7B6C7DFB"/>
    <w:rsid w:val="7BBFBED0"/>
    <w:rsid w:val="7BC3E394"/>
    <w:rsid w:val="7C1F3737"/>
    <w:rsid w:val="7CBFC87B"/>
    <w:rsid w:val="7CFE0F48"/>
    <w:rsid w:val="7D1E37C3"/>
    <w:rsid w:val="7D272ABC"/>
    <w:rsid w:val="7D7EC23E"/>
    <w:rsid w:val="7DBF4FA6"/>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普通(网站) Char"/>
    <w:basedOn w:val="1"/>
    <w:next w:val="14"/>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37">
    <w:name w:val="标题 1 字符"/>
    <w:basedOn w:val="17"/>
    <w:link w:val="2"/>
    <w:qFormat/>
    <w:uiPriority w:val="0"/>
    <w:rPr>
      <w:b/>
      <w:bCs/>
      <w:kern w:val="44"/>
      <w:sz w:val="44"/>
    </w:rPr>
  </w:style>
  <w:style w:type="paragraph" w:customStyle="1" w:styleId="38">
    <w:name w:val="正文首行缩进 21"/>
    <w:basedOn w:val="1"/>
    <w:qFormat/>
    <w:uiPriority w:val="0"/>
    <w:pPr>
      <w:spacing w:line="540" w:lineRule="exact"/>
      <w:ind w:firstLine="200" w:firstLineChars="200"/>
      <w:textAlignment w:val="baseline"/>
    </w:pPr>
    <w:rPr>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上级补助收入</c:v>
                </c:pt>
                <c:pt idx="2">
                  <c:v>事业收入</c:v>
                </c:pt>
                <c:pt idx="3">
                  <c:v>其他收入</c:v>
                </c:pt>
              </c:strCache>
            </c:strRef>
          </c:cat>
          <c:val>
            <c:numRef>
              <c:f>Sheet1!$B$2:$B$5</c:f>
              <c:numCache>
                <c:formatCode>General</c:formatCode>
                <c:ptCount val="4"/>
                <c:pt idx="0">
                  <c:v>37.23</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bdb765-f684-4c8e-a43b-b76d9a525b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31.03</c:v>
                </c:pt>
                <c:pt idx="1">
                  <c:v>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b64a9cf-2abc-4c16-8911-ed2ae4626c0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0</c:v>
                </c:pt>
                <c:pt idx="1">
                  <c:v>37.23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0</c:v>
                </c:pt>
                <c:pt idx="1">
                  <c:v>37.23</c:v>
                </c:pt>
              </c:numCache>
            </c:numRef>
          </c:val>
        </c:ser>
        <c:dLbls>
          <c:showLegendKey val="0"/>
          <c:showVal val="1"/>
          <c:showCatName val="0"/>
          <c:showSerName val="0"/>
          <c:showPercent val="0"/>
          <c:showBubbleSize val="0"/>
        </c:dLbls>
        <c:gapWidth val="246"/>
        <c:overlap val="-28"/>
        <c:axId val="964360095"/>
        <c:axId val="714238338"/>
      </c:barChart>
      <c:catAx>
        <c:axId val="9643600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4238338"/>
        <c:crosses val="autoZero"/>
        <c:auto val="1"/>
        <c:lblAlgn val="ctr"/>
        <c:lblOffset val="100"/>
        <c:noMultiLvlLbl val="0"/>
      </c:catAx>
      <c:valAx>
        <c:axId val="7142383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3600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111988a-eb44-43c6-8e39-9e97df8902b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30248852379802"/>
          <c:y val="0.0492987675308117"/>
        </c:manualLayout>
      </c:layout>
      <c:overlay val="0"/>
      <c:spPr>
        <a:noFill/>
        <a:ln>
          <a:noFill/>
        </a:ln>
        <a:effectLst/>
      </c:spPr>
    </c:title>
    <c:autoTitleDeleted val="0"/>
    <c:plotArea>
      <c:layout>
        <c:manualLayout>
          <c:layoutTarget val="inner"/>
          <c:xMode val="edge"/>
          <c:yMode val="edge"/>
          <c:x val="0.054071031650157"/>
          <c:y val="0.164683382915427"/>
          <c:w val="0.919352500604011"/>
          <c:h val="0.63905652358691"/>
        </c:manualLayout>
      </c:layout>
      <c:barChart>
        <c:barDir val="col"/>
        <c:grouping val="clustered"/>
        <c:varyColors val="0"/>
        <c:ser>
          <c:idx val="1"/>
          <c:order val="0"/>
          <c:tx>
            <c:strRef>
              <c:f>Sheet1!$B$1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0</c:v>
                </c:pt>
                <c:pt idx="1">
                  <c:v>37.23</c:v>
                </c:pt>
              </c:numCache>
            </c:numRef>
          </c:val>
        </c:ser>
        <c:dLbls>
          <c:showLegendKey val="0"/>
          <c:showVal val="1"/>
          <c:showCatName val="0"/>
          <c:showSerName val="0"/>
          <c:showPercent val="0"/>
          <c:showBubbleSize val="0"/>
        </c:dLbls>
        <c:gapWidth val="246"/>
        <c:overlap val="-28"/>
        <c:axId val="964360095"/>
        <c:axId val="714238338"/>
      </c:barChart>
      <c:catAx>
        <c:axId val="9643600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4238338"/>
        <c:crosses val="autoZero"/>
        <c:auto val="1"/>
        <c:lblAlgn val="ctr"/>
        <c:lblOffset val="100"/>
        <c:noMultiLvlLbl val="0"/>
      </c:catAx>
      <c:valAx>
        <c:axId val="7142383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3600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d51b08d-e1ce-47f5-8471-1aea06e904c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manualLayout>
          <c:xMode val="edge"/>
          <c:yMode val="edge"/>
          <c:x val="0.229161633244745"/>
          <c:y val="0.0308117297067573"/>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29.53</c:v>
                </c:pt>
                <c:pt idx="1">
                  <c:v>3.83</c:v>
                </c:pt>
                <c:pt idx="2">
                  <c:v>1.47</c:v>
                </c:pt>
                <c:pt idx="3">
                  <c:v>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c22393-fd5b-403f-97f2-3ba40c39782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7246</Words>
  <Characters>8409</Characters>
  <Lines>61</Lines>
  <Paragraphs>17</Paragraphs>
  <TotalTime>6</TotalTime>
  <ScaleCrop>false</ScaleCrop>
  <LinksUpToDate>false</LinksUpToDate>
  <CharactersWithSpaces>8550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WPS_1678696298</cp:lastModifiedBy>
  <cp:lastPrinted>2025-09-26T03:16:00Z</cp:lastPrinted>
  <dcterms:modified xsi:type="dcterms:W3CDTF">2025-09-28T01:29:44Z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E932A90B2C6E4AD994B812DE7E586BD1_13</vt:lpwstr>
  </property>
  <property fmtid="{D5CDD505-2E9C-101B-9397-08002B2CF9AE}" pid="4" name="KSOTemplateDocerSaveRecord">
    <vt:lpwstr>eyJoZGlkIjoiNjFiZTNhMWFmYmFmZGNmMjgwNWRjYmU5NDcyODBjMmQiLCJ1c2VySWQiOiIxNDc5ODg2MzU3In0=</vt:lpwstr>
  </property>
</Properties>
</file>