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themeColor="text1"/>
          <w:sz w:val="72"/>
          <w:szCs w:val="72"/>
        </w:rPr>
      </w:pPr>
      <w:bookmarkStart w:id="0" w:name="_Toc15306267"/>
    </w:p>
    <w:p>
      <w:pPr>
        <w:spacing w:line="600" w:lineRule="exact"/>
        <w:jc w:val="center"/>
        <w:outlineLvl w:val="0"/>
        <w:rPr>
          <w:rFonts w:ascii="方正小标宋简体" w:hAnsi="宋体" w:eastAsia="方正小标宋简体"/>
          <w:color w:val="000000" w:themeColor="text1"/>
          <w:sz w:val="72"/>
          <w:szCs w:val="72"/>
        </w:rPr>
      </w:pPr>
    </w:p>
    <w:p>
      <w:pPr>
        <w:spacing w:line="600" w:lineRule="exact"/>
        <w:jc w:val="center"/>
        <w:outlineLvl w:val="0"/>
        <w:rPr>
          <w:rFonts w:ascii="方正小标宋简体" w:hAnsi="宋体" w:eastAsia="方正小标宋简体"/>
          <w:color w:val="000000" w:themeColor="text1"/>
          <w:sz w:val="72"/>
          <w:szCs w:val="72"/>
        </w:rPr>
      </w:pPr>
    </w:p>
    <w:p>
      <w:pPr>
        <w:spacing w:line="600" w:lineRule="exact"/>
        <w:jc w:val="center"/>
        <w:outlineLvl w:val="0"/>
        <w:rPr>
          <w:rFonts w:ascii="方正小标宋简体" w:hAnsi="宋体" w:eastAsia="方正小标宋简体"/>
          <w:color w:val="000000" w:themeColor="text1"/>
          <w:sz w:val="72"/>
          <w:szCs w:val="72"/>
        </w:rPr>
      </w:pPr>
    </w:p>
    <w:p>
      <w:pPr>
        <w:adjustRightInd w:val="0"/>
        <w:snapToGrid w:val="0"/>
        <w:spacing w:line="360" w:lineRule="auto"/>
        <w:jc w:val="center"/>
        <w:outlineLvl w:val="0"/>
        <w:rPr>
          <w:rFonts w:ascii="方正小标宋简体" w:hAnsi="宋体" w:eastAsia="方正小标宋简体"/>
          <w:color w:val="000000" w:themeColor="text1"/>
          <w:sz w:val="56"/>
          <w:szCs w:val="56"/>
        </w:rPr>
      </w:pPr>
      <w:bookmarkStart w:id="1" w:name="_Toc15396475"/>
      <w:bookmarkStart w:id="2" w:name="_Toc15377193"/>
      <w:bookmarkStart w:id="3" w:name="_Toc15378441"/>
      <w:bookmarkStart w:id="4" w:name="_Toc15396597"/>
      <w:bookmarkStart w:id="5" w:name="_Toc1674"/>
      <w:bookmarkStart w:id="6" w:name="_Toc15377425"/>
      <w:r>
        <w:rPr>
          <w:rFonts w:hint="eastAsia" w:ascii="方正小标宋简体" w:hAnsi="宋体" w:eastAsia="方正小标宋简体"/>
          <w:color w:val="000000" w:themeColor="text1"/>
          <w:sz w:val="56"/>
          <w:szCs w:val="56"/>
        </w:rPr>
        <w:t>2019年度</w:t>
      </w:r>
      <w:bookmarkEnd w:id="1"/>
      <w:bookmarkEnd w:id="2"/>
      <w:bookmarkEnd w:id="3"/>
      <w:bookmarkEnd w:id="4"/>
      <w:bookmarkEnd w:id="5"/>
      <w:bookmarkEnd w:id="6"/>
      <w:bookmarkStart w:id="7" w:name="_Toc15396476"/>
      <w:bookmarkStart w:id="8" w:name="_Toc15396598"/>
      <w:bookmarkStart w:id="9" w:name="_Toc15377426"/>
      <w:bookmarkStart w:id="10" w:name="_Toc15377194"/>
      <w:bookmarkStart w:id="11" w:name="_Toc15378442"/>
    </w:p>
    <w:p>
      <w:pPr>
        <w:adjustRightInd w:val="0"/>
        <w:snapToGrid w:val="0"/>
        <w:spacing w:line="360" w:lineRule="auto"/>
        <w:jc w:val="center"/>
        <w:outlineLvl w:val="0"/>
        <w:rPr>
          <w:rFonts w:ascii="方正小标宋简体" w:hAnsi="宋体" w:eastAsia="方正小标宋简体"/>
          <w:color w:val="000000" w:themeColor="text1"/>
          <w:sz w:val="56"/>
          <w:szCs w:val="56"/>
        </w:rPr>
      </w:pPr>
      <w:bookmarkStart w:id="12" w:name="_Toc25940"/>
      <w:r>
        <w:rPr>
          <w:rFonts w:hint="eastAsia" w:ascii="方正小标宋简体" w:hAnsi="宋体" w:eastAsia="方正小标宋简体"/>
          <w:color w:val="000000" w:themeColor="text1"/>
          <w:sz w:val="56"/>
          <w:szCs w:val="56"/>
        </w:rPr>
        <w:t>四川省阿坝州红原县</w:t>
      </w:r>
      <w:bookmarkEnd w:id="0"/>
      <w:bookmarkStart w:id="13" w:name="_Toc15306268"/>
      <w:r>
        <w:rPr>
          <w:rFonts w:hint="eastAsia" w:ascii="方正小标宋简体" w:hAnsi="宋体" w:eastAsia="方正小标宋简体"/>
          <w:color w:val="000000" w:themeColor="text1"/>
          <w:sz w:val="56"/>
          <w:szCs w:val="56"/>
        </w:rPr>
        <w:t>麦洼乡人民政府部门决算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themeColor="text1"/>
          <w:sz w:val="36"/>
          <w:szCs w:val="36"/>
        </w:rPr>
      </w:pPr>
    </w:p>
    <w:p>
      <w:pPr>
        <w:rPr>
          <w:rFonts w:ascii="方正小标宋简体" w:hAnsi="宋体" w:eastAsia="方正小标宋简体"/>
          <w:color w:val="000000" w:themeColor="text1"/>
          <w:sz w:val="36"/>
          <w:szCs w:val="36"/>
        </w:rPr>
      </w:pPr>
    </w:p>
    <w:p>
      <w:pPr>
        <w:rPr>
          <w:rFonts w:ascii="方正小标宋简体" w:hAnsi="宋体" w:eastAsia="方正小标宋简体"/>
          <w:color w:val="000000" w:themeColor="text1"/>
          <w:sz w:val="36"/>
          <w:szCs w:val="36"/>
        </w:rPr>
      </w:pPr>
    </w:p>
    <w:p>
      <w:pPr>
        <w:rPr>
          <w:rFonts w:ascii="方正小标宋简体" w:hAnsi="宋体" w:eastAsia="方正小标宋简体"/>
          <w:color w:val="000000" w:themeColor="text1"/>
          <w:sz w:val="36"/>
          <w:szCs w:val="36"/>
        </w:rPr>
      </w:pPr>
    </w:p>
    <w:p>
      <w:pPr>
        <w:rPr>
          <w:rFonts w:ascii="方正小标宋简体" w:hAnsi="宋体" w:eastAsia="方正小标宋简体"/>
          <w:color w:val="000000" w:themeColor="text1"/>
          <w:sz w:val="36"/>
          <w:szCs w:val="36"/>
        </w:rPr>
      </w:pPr>
    </w:p>
    <w:p>
      <w:pPr>
        <w:autoSpaceDE w:val="0"/>
        <w:autoSpaceDN w:val="0"/>
        <w:adjustRightInd w:val="0"/>
        <w:ind w:firstLine="1276"/>
        <w:jc w:val="left"/>
        <w:rPr>
          <w:rFonts w:eastAsia="仿宋_GB2312"/>
          <w:color w:val="000000" w:themeColor="text1"/>
          <w:sz w:val="32"/>
          <w:szCs w:val="32"/>
        </w:rPr>
      </w:pPr>
    </w:p>
    <w:p>
      <w:pPr>
        <w:widowControl/>
        <w:jc w:val="center"/>
        <w:rPr>
          <w:rFonts w:ascii="方正小标宋简体" w:hAnsi="宋体" w:eastAsia="方正小标宋简体"/>
          <w:color w:val="000000" w:themeColor="text1"/>
          <w:sz w:val="36"/>
          <w:szCs w:val="36"/>
        </w:rPr>
      </w:pPr>
    </w:p>
    <w:p>
      <w:pPr>
        <w:widowControl/>
        <w:jc w:val="center"/>
        <w:rPr>
          <w:rFonts w:ascii="黑体" w:hAnsi="黑体" w:eastAsia="黑体"/>
          <w:color w:val="000000" w:themeColor="text1"/>
          <w:sz w:val="48"/>
          <w:szCs w:val="48"/>
        </w:rPr>
      </w:pPr>
      <w:r>
        <w:rPr>
          <w:rFonts w:ascii="方正小标宋简体" w:hAnsi="宋体" w:eastAsia="方正小标宋简体"/>
          <w:color w:val="000000" w:themeColor="text1"/>
          <w:sz w:val="36"/>
          <w:szCs w:val="36"/>
        </w:rPr>
        <w:br w:type="page"/>
      </w:r>
      <w:r>
        <w:rPr>
          <w:rFonts w:hint="eastAsia" w:ascii="黑体" w:hAnsi="黑体" w:eastAsia="黑体"/>
          <w:color w:val="000000" w:themeColor="text1"/>
          <w:sz w:val="48"/>
          <w:szCs w:val="48"/>
        </w:rPr>
        <w:t>目录</w:t>
      </w:r>
    </w:p>
    <w:p>
      <w:pPr>
        <w:widowControl/>
        <w:jc w:val="center"/>
        <w:rPr>
          <w:rFonts w:ascii="黑体" w:hAnsi="黑体" w:eastAsia="黑体" w:cstheme="minorBidi"/>
          <w:color w:val="000000" w:themeColor="text1"/>
          <w:sz w:val="28"/>
          <w:szCs w:val="28"/>
        </w:rPr>
      </w:pPr>
    </w:p>
    <w:p>
      <w:pPr>
        <w:pStyle w:val="12"/>
        <w:rPr>
          <w:color w:val="000000" w:themeColor="text1"/>
        </w:rPr>
      </w:pPr>
      <w:bookmarkStart w:id="127" w:name="_GoBack"/>
      <w:bookmarkEnd w:id="127"/>
    </w:p>
    <w:p>
      <w:pPr>
        <w:rPr>
          <w:color w:val="000000" w:themeColor="text1"/>
        </w:rPr>
      </w:pPr>
    </w:p>
    <w:p>
      <w:pPr>
        <w:pStyle w:val="12"/>
        <w:adjustRightInd w:val="0"/>
        <w:snapToGrid w:val="0"/>
        <w:spacing w:before="0" w:line="440" w:lineRule="exact"/>
        <w:jc w:val="left"/>
        <w:outlineLvl w:val="1"/>
      </w:pPr>
      <w:r>
        <w:fldChar w:fldCharType="begin"/>
      </w:r>
      <w:r>
        <w:instrText xml:space="preserve">TOC \o "1-3" \u </w:instrText>
      </w:r>
      <w:r>
        <w:fldChar w:fldCharType="separate"/>
      </w:r>
    </w:p>
    <w:p>
      <w:pPr>
        <w:pStyle w:val="12"/>
        <w:tabs>
          <w:tab w:val="right" w:leader="dot" w:pos="8306"/>
          <w:tab w:val="clear" w:pos="8296"/>
        </w:tabs>
        <w:rPr>
          <w:rFonts w:hint="eastAsia" w:eastAsia="仿宋"/>
          <w:lang w:val="en-US" w:eastAsia="zh-CN"/>
        </w:rPr>
      </w:pPr>
      <w:r>
        <w:rPr>
          <w:rFonts w:hint="eastAsia" w:ascii="黑体" w:hAnsi="黑体" w:eastAsia="黑体"/>
          <w:color w:val="000000" w:themeColor="text1"/>
        </w:rPr>
        <w:t xml:space="preserve">第一部分 </w:t>
      </w:r>
      <w:r>
        <w:rPr>
          <w:rFonts w:hint="eastAsia" w:ascii="黑体" w:hAnsi="黑体" w:eastAsia="黑体"/>
          <w:bCs w:val="0"/>
          <w:color w:val="000000" w:themeColor="text1"/>
        </w:rPr>
        <w:t>部门概况</w:t>
      </w:r>
      <w:r>
        <w:tab/>
      </w:r>
      <w:r>
        <w:rPr>
          <w:rFonts w:hint="eastAsia"/>
          <w:lang w:val="en-US" w:eastAsia="zh-CN"/>
        </w:rPr>
        <w:t>4</w:t>
      </w:r>
    </w:p>
    <w:p>
      <w:pPr>
        <w:pStyle w:val="13"/>
        <w:adjustRightInd w:val="0"/>
        <w:snapToGrid w:val="0"/>
        <w:spacing w:line="440" w:lineRule="exact"/>
        <w:jc w:val="left"/>
        <w:rPr>
          <w:rFonts w:hint="eastAsia" w:eastAsia="宋体"/>
          <w:color w:val="000000" w:themeColor="text1"/>
          <w:sz w:val="24"/>
          <w:lang w:val="en-US" w:eastAsia="zh-CN"/>
        </w:rPr>
      </w:pPr>
      <w:r>
        <w:rPr>
          <w:rFonts w:hint="eastAsia"/>
          <w:color w:val="000000" w:themeColor="text1"/>
          <w:sz w:val="24"/>
        </w:rPr>
        <w:t>一、基本职能及主要工作</w:t>
      </w:r>
      <w:r>
        <w:rPr>
          <w:rFonts w:hint="default"/>
          <w:color w:val="000000" w:themeColor="text1"/>
          <w:sz w:val="24"/>
        </w:rPr>
        <w:tab/>
      </w:r>
      <w:r>
        <w:rPr>
          <w:rFonts w:hint="eastAsia"/>
          <w:color w:val="000000" w:themeColor="text1"/>
          <w:sz w:val="24"/>
          <w:lang w:val="en-US" w:eastAsia="zh-CN"/>
        </w:rPr>
        <w:t>4</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二、机构设置</w:t>
      </w:r>
      <w:r>
        <w:tab/>
      </w:r>
      <w:r>
        <w:rPr>
          <w:rFonts w:hint="eastAsia"/>
          <w:lang w:val="en-US" w:eastAsia="zh-CN"/>
        </w:rPr>
        <w:t>12</w:t>
      </w:r>
    </w:p>
    <w:p>
      <w:pPr>
        <w:pStyle w:val="12"/>
        <w:tabs>
          <w:tab w:val="right" w:leader="dot" w:pos="8306"/>
          <w:tab w:val="clear" w:pos="8296"/>
        </w:tabs>
        <w:rPr>
          <w:rFonts w:hint="default" w:eastAsia="仿宋"/>
          <w:lang w:val="en-US" w:eastAsia="zh-CN"/>
        </w:rPr>
      </w:pPr>
      <w:r>
        <w:rPr>
          <w:rFonts w:hint="eastAsia" w:ascii="黑体" w:hAnsi="黑体" w:eastAsia="黑体"/>
          <w:color w:val="000000" w:themeColor="text1"/>
        </w:rPr>
        <w:t xml:space="preserve">第二部分 </w:t>
      </w:r>
      <w:r>
        <w:rPr>
          <w:rFonts w:hint="eastAsia" w:ascii="黑体" w:hAnsi="黑体" w:eastAsia="黑体"/>
          <w:bCs w:val="0"/>
          <w:color w:val="000000" w:themeColor="text1"/>
        </w:rPr>
        <w:t>2019年度部门决算情况说明</w:t>
      </w:r>
      <w:r>
        <w:tab/>
      </w:r>
      <w:r>
        <w:rPr>
          <w:rFonts w:hint="eastAsia"/>
          <w:lang w:val="en-US" w:eastAsia="zh-CN"/>
        </w:rPr>
        <w:t>13</w:t>
      </w:r>
    </w:p>
    <w:p>
      <w:pPr>
        <w:pStyle w:val="13"/>
        <w:adjustRightInd w:val="0"/>
        <w:snapToGrid w:val="0"/>
        <w:spacing w:line="440" w:lineRule="exact"/>
        <w:jc w:val="left"/>
        <w:rPr>
          <w:rFonts w:hint="default" w:eastAsia="宋体"/>
          <w:color w:val="000000" w:themeColor="text1"/>
          <w:sz w:val="24"/>
          <w:lang w:val="en-US" w:eastAsia="zh-CN"/>
        </w:rPr>
      </w:pPr>
      <w:r>
        <w:rPr>
          <w:rFonts w:hint="default"/>
          <w:color w:val="000000" w:themeColor="text1"/>
          <w:sz w:val="24"/>
        </w:rPr>
        <w:t xml:space="preserve">一、 </w:t>
      </w:r>
      <w:r>
        <w:rPr>
          <w:rFonts w:hint="eastAsia"/>
          <w:color w:val="000000" w:themeColor="text1"/>
          <w:sz w:val="24"/>
        </w:rPr>
        <w:t>收入支出决算总体情况说明</w:t>
      </w:r>
      <w:r>
        <w:rPr>
          <w:rFonts w:hint="eastAsia"/>
          <w:color w:val="000000" w:themeColor="text1"/>
          <w:sz w:val="24"/>
        </w:rPr>
        <w:tab/>
      </w:r>
      <w:r>
        <w:rPr>
          <w:rFonts w:hint="eastAsia"/>
          <w:color w:val="000000" w:themeColor="text1"/>
          <w:sz w:val="24"/>
          <w:lang w:val="en-US" w:eastAsia="zh-CN"/>
        </w:rPr>
        <w:t>13</w:t>
      </w:r>
    </w:p>
    <w:p>
      <w:pPr>
        <w:pStyle w:val="13"/>
        <w:adjustRightInd w:val="0"/>
        <w:snapToGrid w:val="0"/>
        <w:spacing w:line="440" w:lineRule="exact"/>
        <w:jc w:val="left"/>
        <w:rPr>
          <w:rFonts w:hint="default" w:eastAsia="宋体"/>
          <w:color w:val="000000" w:themeColor="text1"/>
          <w:sz w:val="24"/>
          <w:lang w:val="en-US" w:eastAsia="zh-CN"/>
        </w:rPr>
      </w:pPr>
      <w:r>
        <w:rPr>
          <w:rFonts w:hint="default"/>
          <w:color w:val="000000" w:themeColor="text1"/>
          <w:sz w:val="24"/>
        </w:rPr>
        <w:t xml:space="preserve">二、 </w:t>
      </w:r>
      <w:r>
        <w:rPr>
          <w:rFonts w:hint="eastAsia"/>
          <w:color w:val="000000" w:themeColor="text1"/>
          <w:sz w:val="24"/>
        </w:rPr>
        <w:t>收入决算情况说明</w:t>
      </w:r>
      <w:r>
        <w:rPr>
          <w:rFonts w:hint="eastAsia"/>
          <w:color w:val="000000" w:themeColor="text1"/>
          <w:sz w:val="24"/>
        </w:rPr>
        <w:tab/>
      </w:r>
      <w:r>
        <w:rPr>
          <w:rFonts w:hint="eastAsia"/>
          <w:color w:val="000000" w:themeColor="text1"/>
          <w:sz w:val="24"/>
          <w:lang w:val="en-US" w:eastAsia="zh-CN"/>
        </w:rPr>
        <w:t>13</w:t>
      </w:r>
    </w:p>
    <w:p>
      <w:pPr>
        <w:pStyle w:val="13"/>
        <w:adjustRightInd w:val="0"/>
        <w:snapToGrid w:val="0"/>
        <w:spacing w:line="440" w:lineRule="exact"/>
        <w:jc w:val="left"/>
        <w:rPr>
          <w:rFonts w:hint="default" w:eastAsia="宋体"/>
          <w:color w:val="000000" w:themeColor="text1"/>
          <w:sz w:val="24"/>
          <w:lang w:val="en-US" w:eastAsia="zh-CN"/>
        </w:rPr>
      </w:pPr>
      <w:r>
        <w:rPr>
          <w:rFonts w:hint="default"/>
          <w:color w:val="000000" w:themeColor="text1"/>
          <w:sz w:val="24"/>
        </w:rPr>
        <w:t xml:space="preserve">三、 </w:t>
      </w:r>
      <w:r>
        <w:rPr>
          <w:rFonts w:hint="eastAsia"/>
          <w:color w:val="000000" w:themeColor="text1"/>
          <w:sz w:val="24"/>
        </w:rPr>
        <w:t>支出决算情况说明</w:t>
      </w:r>
      <w:r>
        <w:rPr>
          <w:rFonts w:hint="eastAsia"/>
          <w:color w:val="000000" w:themeColor="text1"/>
          <w:sz w:val="24"/>
        </w:rPr>
        <w:tab/>
      </w:r>
      <w:r>
        <w:rPr>
          <w:rFonts w:hint="eastAsia"/>
          <w:color w:val="000000" w:themeColor="text1"/>
          <w:sz w:val="24"/>
          <w:lang w:val="en-US" w:eastAsia="zh-CN"/>
        </w:rPr>
        <w:t>14</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四、财政拨款收入支出决算总体情况说明</w:t>
      </w:r>
      <w:r>
        <w:rPr>
          <w:rFonts w:hint="eastAsia"/>
          <w:color w:val="000000" w:themeColor="text1"/>
          <w:sz w:val="24"/>
        </w:rPr>
        <w:tab/>
      </w:r>
      <w:r>
        <w:rPr>
          <w:rFonts w:hint="eastAsia"/>
          <w:color w:val="000000" w:themeColor="text1"/>
          <w:sz w:val="24"/>
          <w:lang w:val="en-US" w:eastAsia="zh-CN"/>
        </w:rPr>
        <w:t>14</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五、一般公共预算财政拨款支出决算情况说明</w:t>
      </w:r>
      <w:r>
        <w:rPr>
          <w:rFonts w:hint="eastAsia"/>
          <w:color w:val="000000" w:themeColor="text1"/>
          <w:sz w:val="24"/>
        </w:rPr>
        <w:tab/>
      </w:r>
      <w:r>
        <w:rPr>
          <w:rFonts w:hint="eastAsia"/>
          <w:color w:val="000000" w:themeColor="text1"/>
          <w:sz w:val="24"/>
          <w:lang w:val="en-US" w:eastAsia="zh-CN"/>
        </w:rPr>
        <w:t>15</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六、一般公共预算财政拨款基本支出决算情况说明</w:t>
      </w:r>
      <w:r>
        <w:rPr>
          <w:rFonts w:hint="eastAsia"/>
          <w:color w:val="000000" w:themeColor="text1"/>
          <w:sz w:val="24"/>
        </w:rPr>
        <w:tab/>
      </w:r>
      <w:r>
        <w:rPr>
          <w:rFonts w:hint="eastAsia"/>
          <w:color w:val="000000" w:themeColor="text1"/>
          <w:sz w:val="24"/>
          <w:lang w:val="en-US" w:eastAsia="zh-CN"/>
        </w:rPr>
        <w:t>16</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七、“三公”经费财政拨款支出决算情况说明</w:t>
      </w:r>
      <w:r>
        <w:rPr>
          <w:rFonts w:hint="eastAsia"/>
          <w:color w:val="000000" w:themeColor="text1"/>
          <w:sz w:val="24"/>
        </w:rPr>
        <w:tab/>
      </w:r>
      <w:r>
        <w:rPr>
          <w:rFonts w:hint="eastAsia"/>
          <w:color w:val="000000" w:themeColor="text1"/>
          <w:sz w:val="24"/>
          <w:lang w:val="en-US" w:eastAsia="zh-CN"/>
        </w:rPr>
        <w:t>19</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八、政府性基金预算支出决算情况说明</w:t>
      </w:r>
      <w:r>
        <w:rPr>
          <w:rFonts w:hint="eastAsia"/>
          <w:color w:val="000000" w:themeColor="text1"/>
          <w:sz w:val="24"/>
        </w:rPr>
        <w:tab/>
      </w:r>
      <w:r>
        <w:rPr>
          <w:rFonts w:hint="eastAsia"/>
          <w:color w:val="000000" w:themeColor="text1"/>
          <w:sz w:val="24"/>
          <w:lang w:val="en-US" w:eastAsia="zh-CN"/>
        </w:rPr>
        <w:t>20</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九、 国有资本经营预算支出决算情况说明</w:t>
      </w:r>
      <w:r>
        <w:rPr>
          <w:rFonts w:hint="eastAsia"/>
          <w:color w:val="000000" w:themeColor="text1"/>
          <w:sz w:val="24"/>
        </w:rPr>
        <w:tab/>
      </w:r>
      <w:r>
        <w:rPr>
          <w:rFonts w:hint="eastAsia"/>
          <w:color w:val="000000" w:themeColor="text1"/>
          <w:sz w:val="24"/>
          <w:lang w:val="en-US" w:eastAsia="zh-CN"/>
        </w:rPr>
        <w:t>20</w:t>
      </w:r>
    </w:p>
    <w:p>
      <w:pPr>
        <w:pStyle w:val="13"/>
        <w:adjustRightInd w:val="0"/>
        <w:snapToGrid w:val="0"/>
        <w:spacing w:line="440" w:lineRule="exact"/>
        <w:jc w:val="left"/>
        <w:rPr>
          <w:rFonts w:hint="default" w:eastAsia="宋体"/>
          <w:lang w:val="en-US" w:eastAsia="zh-CN"/>
        </w:rPr>
      </w:pPr>
      <w:r>
        <w:rPr>
          <w:rFonts w:hint="eastAsia"/>
          <w:color w:val="000000" w:themeColor="text1"/>
          <w:sz w:val="24"/>
        </w:rPr>
        <w:t>十、其他重要事项的情况说明</w:t>
      </w:r>
      <w:r>
        <w:tab/>
      </w:r>
      <w:r>
        <w:rPr>
          <w:rFonts w:hint="eastAsia"/>
          <w:lang w:val="en-US" w:eastAsia="zh-CN"/>
        </w:rPr>
        <w:t>20</w:t>
      </w:r>
    </w:p>
    <w:p>
      <w:pPr>
        <w:pStyle w:val="12"/>
        <w:tabs>
          <w:tab w:val="right" w:leader="dot" w:pos="8306"/>
          <w:tab w:val="clear" w:pos="8296"/>
        </w:tabs>
        <w:rPr>
          <w:rFonts w:hint="default" w:eastAsia="仿宋"/>
          <w:lang w:val="en-US" w:eastAsia="zh-CN"/>
        </w:rPr>
      </w:pPr>
      <w:r>
        <w:rPr>
          <w:rFonts w:hint="eastAsia" w:ascii="黑体" w:hAnsi="黑体" w:eastAsia="黑体"/>
          <w:color w:val="000000" w:themeColor="text1"/>
        </w:rPr>
        <w:t xml:space="preserve">第三部分 </w:t>
      </w:r>
      <w:r>
        <w:rPr>
          <w:rFonts w:hint="eastAsia" w:ascii="黑体" w:hAnsi="黑体" w:eastAsia="黑体"/>
          <w:color w:val="000000" w:themeColor="text1"/>
          <w:szCs w:val="44"/>
        </w:rPr>
        <w:t>名</w:t>
      </w:r>
      <w:r>
        <w:rPr>
          <w:rFonts w:hint="eastAsia" w:ascii="黑体" w:hAnsi="黑体" w:eastAsia="黑体"/>
          <w:color w:val="000000" w:themeColor="text1"/>
        </w:rPr>
        <w:t>词解释</w:t>
      </w:r>
      <w:r>
        <w:tab/>
      </w:r>
      <w:r>
        <w:rPr>
          <w:rFonts w:hint="eastAsia"/>
          <w:lang w:val="en-US" w:eastAsia="zh-CN"/>
        </w:rPr>
        <w:t>35</w:t>
      </w:r>
    </w:p>
    <w:p>
      <w:pPr>
        <w:pStyle w:val="12"/>
        <w:tabs>
          <w:tab w:val="right" w:leader="dot" w:pos="8306"/>
          <w:tab w:val="clear" w:pos="8296"/>
        </w:tabs>
        <w:rPr>
          <w:rFonts w:hint="default" w:eastAsia="仿宋"/>
          <w:lang w:val="en-US" w:eastAsia="zh-CN"/>
        </w:rPr>
      </w:pPr>
      <w:r>
        <w:rPr>
          <w:rFonts w:hint="eastAsia" w:ascii="黑体" w:hAnsi="黑体" w:eastAsia="黑体"/>
          <w:color w:val="000000" w:themeColor="text1"/>
          <w:szCs w:val="44"/>
        </w:rPr>
        <w:t>第</w:t>
      </w:r>
      <w:r>
        <w:rPr>
          <w:rFonts w:hint="eastAsia" w:ascii="黑体" w:hAnsi="黑体" w:eastAsia="黑体"/>
          <w:color w:val="000000" w:themeColor="text1"/>
        </w:rPr>
        <w:t>四部分 附件</w:t>
      </w:r>
      <w:r>
        <w:tab/>
      </w:r>
      <w:r>
        <w:rPr>
          <w:rFonts w:hint="eastAsia"/>
          <w:lang w:val="en-US" w:eastAsia="zh-CN"/>
        </w:rPr>
        <w:t>38</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附件1</w:t>
      </w:r>
      <w:r>
        <w:rPr>
          <w:rFonts w:hint="eastAsia"/>
          <w:color w:val="000000" w:themeColor="text1"/>
          <w:sz w:val="24"/>
        </w:rPr>
        <w:tab/>
      </w:r>
      <w:r>
        <w:rPr>
          <w:rFonts w:hint="eastAsia"/>
          <w:color w:val="000000" w:themeColor="text1"/>
          <w:sz w:val="24"/>
          <w:lang w:val="en-US" w:eastAsia="zh-CN"/>
        </w:rPr>
        <w:t>38</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lang w:val="en-US" w:eastAsia="zh-CN"/>
        </w:rPr>
        <w:t>附件2</w:t>
      </w:r>
      <w:r>
        <w:rPr>
          <w:rFonts w:hint="eastAsia"/>
          <w:color w:val="000000" w:themeColor="text1"/>
          <w:sz w:val="24"/>
        </w:rPr>
        <w:tab/>
      </w:r>
      <w:r>
        <w:rPr>
          <w:rFonts w:hint="eastAsia"/>
          <w:color w:val="000000" w:themeColor="text1"/>
          <w:sz w:val="24"/>
          <w:lang w:val="en-US" w:eastAsia="zh-CN"/>
        </w:rPr>
        <w:t>43</w:t>
      </w:r>
    </w:p>
    <w:p>
      <w:pPr>
        <w:pStyle w:val="12"/>
        <w:tabs>
          <w:tab w:val="right" w:leader="dot" w:pos="8306"/>
          <w:tab w:val="clear" w:pos="8296"/>
        </w:tabs>
        <w:rPr>
          <w:rFonts w:hint="default" w:eastAsia="仿宋"/>
          <w:lang w:val="en-US" w:eastAsia="zh-CN"/>
        </w:rPr>
      </w:pPr>
      <w:r>
        <w:rPr>
          <w:rFonts w:hint="eastAsia" w:ascii="黑体" w:hAnsi="黑体" w:eastAsia="黑体"/>
          <w:color w:val="000000" w:themeColor="text1"/>
          <w:szCs w:val="44"/>
        </w:rPr>
        <w:t>第</w:t>
      </w:r>
      <w:r>
        <w:rPr>
          <w:rFonts w:hint="eastAsia" w:ascii="黑体" w:hAnsi="黑体" w:eastAsia="黑体"/>
          <w:color w:val="000000" w:themeColor="text1"/>
        </w:rPr>
        <w:t>五部分 附表</w:t>
      </w:r>
      <w:r>
        <w:tab/>
      </w:r>
      <w:r>
        <w:rPr>
          <w:rFonts w:hint="eastAsia"/>
          <w:lang w:val="en-US" w:eastAsia="zh-CN"/>
        </w:rPr>
        <w:t>59</w:t>
      </w:r>
    </w:p>
    <w:p>
      <w:pPr>
        <w:pStyle w:val="13"/>
        <w:adjustRightInd w:val="0"/>
        <w:snapToGrid w:val="0"/>
        <w:spacing w:line="440" w:lineRule="exact"/>
        <w:jc w:val="left"/>
        <w:rPr>
          <w:rFonts w:hint="eastAsia"/>
          <w:color w:val="000000" w:themeColor="text1"/>
          <w:sz w:val="24"/>
          <w:lang w:val="en-US" w:eastAsia="zh-CN"/>
        </w:rPr>
      </w:pPr>
      <w:r>
        <w:rPr>
          <w:rFonts w:hint="eastAsia"/>
          <w:color w:val="000000" w:themeColor="text1"/>
          <w:sz w:val="24"/>
        </w:rPr>
        <w:t>一、收入支出决算总表</w:t>
      </w:r>
      <w:r>
        <w:rPr>
          <w:rFonts w:hint="eastAsia"/>
          <w:color w:val="000000" w:themeColor="text1"/>
          <w:sz w:val="24"/>
        </w:rPr>
        <w:tab/>
      </w:r>
      <w:r>
        <w:rPr>
          <w:rFonts w:hint="eastAsia"/>
          <w:color w:val="000000" w:themeColor="text1"/>
          <w:sz w:val="24"/>
          <w:lang w:val="en-US" w:eastAsia="zh-CN"/>
        </w:rPr>
        <w:t>59</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二、收入决算表</w:t>
      </w:r>
      <w:r>
        <w:rPr>
          <w:rFonts w:hint="eastAsia"/>
          <w:color w:val="000000" w:themeColor="text1"/>
          <w:sz w:val="24"/>
        </w:rPr>
        <w:tab/>
      </w:r>
      <w:r>
        <w:rPr>
          <w:rFonts w:hint="eastAsia"/>
          <w:color w:val="000000" w:themeColor="text1"/>
          <w:sz w:val="24"/>
          <w:lang w:val="en-US" w:eastAsia="zh-CN"/>
        </w:rPr>
        <w:t>59</w:t>
      </w:r>
    </w:p>
    <w:p>
      <w:pPr>
        <w:pStyle w:val="13"/>
        <w:adjustRightInd w:val="0"/>
        <w:snapToGrid w:val="0"/>
        <w:spacing w:line="440" w:lineRule="exact"/>
        <w:jc w:val="left"/>
        <w:rPr>
          <w:rFonts w:hint="eastAsia"/>
          <w:color w:val="000000" w:themeColor="text1"/>
          <w:sz w:val="24"/>
          <w:lang w:val="en-US" w:eastAsia="zh-CN"/>
        </w:rPr>
      </w:pPr>
      <w:r>
        <w:rPr>
          <w:rFonts w:hint="eastAsia"/>
          <w:color w:val="000000" w:themeColor="text1"/>
          <w:sz w:val="24"/>
        </w:rPr>
        <w:t>三、支出决算表</w:t>
      </w:r>
      <w:r>
        <w:rPr>
          <w:rFonts w:hint="eastAsia"/>
          <w:color w:val="000000" w:themeColor="text1"/>
          <w:sz w:val="24"/>
        </w:rPr>
        <w:tab/>
      </w:r>
      <w:r>
        <w:rPr>
          <w:rFonts w:hint="eastAsia"/>
          <w:color w:val="000000" w:themeColor="text1"/>
          <w:sz w:val="24"/>
          <w:lang w:val="en-US" w:eastAsia="zh-CN"/>
        </w:rPr>
        <w:t>59</w:t>
      </w:r>
    </w:p>
    <w:p>
      <w:pPr>
        <w:pStyle w:val="13"/>
        <w:adjustRightInd w:val="0"/>
        <w:snapToGrid w:val="0"/>
        <w:spacing w:line="440" w:lineRule="exact"/>
        <w:jc w:val="left"/>
        <w:rPr>
          <w:rFonts w:hint="eastAsia"/>
          <w:color w:val="000000" w:themeColor="text1"/>
          <w:sz w:val="24"/>
          <w:lang w:val="en-US" w:eastAsia="zh-CN"/>
        </w:rPr>
      </w:pPr>
    </w:p>
    <w:p>
      <w:pPr>
        <w:pStyle w:val="13"/>
        <w:adjustRightInd w:val="0"/>
        <w:snapToGrid w:val="0"/>
        <w:spacing w:line="440" w:lineRule="exact"/>
        <w:jc w:val="left"/>
        <w:rPr>
          <w:rFonts w:hint="eastAsia"/>
          <w:color w:val="000000" w:themeColor="text1"/>
          <w:sz w:val="24"/>
          <w:lang w:val="en-US" w:eastAsia="zh-CN"/>
        </w:rPr>
      </w:pPr>
      <w:r>
        <w:rPr>
          <w:rFonts w:hint="eastAsia"/>
          <w:color w:val="000000" w:themeColor="text1"/>
          <w:sz w:val="24"/>
        </w:rPr>
        <w:t>四、财政拨款收入支出决算总表</w:t>
      </w:r>
      <w:r>
        <w:rPr>
          <w:rFonts w:hint="eastAsia"/>
          <w:color w:val="000000" w:themeColor="text1"/>
          <w:sz w:val="24"/>
        </w:rPr>
        <w:tab/>
      </w:r>
      <w:r>
        <w:rPr>
          <w:rFonts w:hint="eastAsia"/>
          <w:color w:val="000000" w:themeColor="text1"/>
          <w:sz w:val="24"/>
          <w:lang w:val="en-US" w:eastAsia="zh-CN"/>
        </w:rPr>
        <w:t>59</w:t>
      </w:r>
    </w:p>
    <w:p>
      <w:pPr>
        <w:pStyle w:val="13"/>
        <w:adjustRightInd w:val="0"/>
        <w:snapToGrid w:val="0"/>
        <w:spacing w:line="440" w:lineRule="exact"/>
        <w:jc w:val="left"/>
        <w:rPr>
          <w:rFonts w:hint="default" w:ascii="仿宋" w:hAnsi="仿宋" w:eastAsia="宋体"/>
          <w:color w:val="000000" w:themeColor="text1"/>
          <w:sz w:val="24"/>
          <w:lang w:val="en-US" w:eastAsia="zh-CN"/>
        </w:rPr>
      </w:pPr>
      <w:r>
        <w:rPr>
          <w:rFonts w:hint="eastAsia"/>
          <w:color w:val="000000" w:themeColor="text1"/>
          <w:sz w:val="24"/>
        </w:rPr>
        <w:t>五、财政拨款支出决算明细表</w:t>
      </w:r>
      <w:r>
        <w:rPr>
          <w:rFonts w:hint="eastAsia"/>
          <w:color w:val="000000" w:themeColor="text1"/>
          <w:sz w:val="24"/>
        </w:rPr>
        <w:tab/>
      </w:r>
      <w:r>
        <w:rPr>
          <w:rFonts w:hint="eastAsia" w:ascii="仿宋" w:hAnsi="仿宋" w:eastAsia="仿宋"/>
          <w:color w:val="000000" w:themeColor="text1"/>
          <w:sz w:val="24"/>
          <w:lang w:val="en-US" w:eastAsia="zh-CN"/>
        </w:rPr>
        <w:t>59</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六、一般公共预算财政拨款支出决算表</w:t>
      </w:r>
      <w:r>
        <w:rPr>
          <w:rFonts w:hint="eastAsia"/>
          <w:color w:val="000000" w:themeColor="text1"/>
          <w:sz w:val="24"/>
        </w:rPr>
        <w:tab/>
      </w:r>
      <w:r>
        <w:rPr>
          <w:rFonts w:hint="eastAsia"/>
          <w:color w:val="000000" w:themeColor="text1"/>
          <w:sz w:val="24"/>
          <w:lang w:val="en-US" w:eastAsia="zh-CN"/>
        </w:rPr>
        <w:t>59</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七、一般公共预算财政拨款支出决算明细表</w:t>
      </w:r>
      <w:r>
        <w:rPr>
          <w:rFonts w:hint="eastAsia"/>
          <w:color w:val="000000" w:themeColor="text1"/>
          <w:sz w:val="24"/>
        </w:rPr>
        <w:tab/>
      </w:r>
      <w:r>
        <w:rPr>
          <w:rFonts w:hint="eastAsia"/>
          <w:color w:val="000000" w:themeColor="text1"/>
          <w:sz w:val="24"/>
          <w:lang w:val="en-US" w:eastAsia="zh-CN"/>
        </w:rPr>
        <w:t>59</w:t>
      </w:r>
    </w:p>
    <w:p>
      <w:pPr>
        <w:pStyle w:val="13"/>
        <w:adjustRightInd w:val="0"/>
        <w:snapToGrid w:val="0"/>
        <w:spacing w:line="440" w:lineRule="exact"/>
        <w:jc w:val="left"/>
        <w:rPr>
          <w:rFonts w:hint="eastAsia"/>
          <w:color w:val="000000" w:themeColor="text1"/>
          <w:sz w:val="24"/>
          <w:lang w:val="en-US" w:eastAsia="zh-CN"/>
        </w:rPr>
      </w:pPr>
      <w:r>
        <w:rPr>
          <w:rFonts w:hint="eastAsia"/>
          <w:color w:val="000000" w:themeColor="text1"/>
          <w:sz w:val="24"/>
        </w:rPr>
        <w:t>八、一般公共预算财政拨款基本支出决算表</w:t>
      </w:r>
      <w:r>
        <w:rPr>
          <w:rFonts w:hint="eastAsia"/>
          <w:color w:val="000000" w:themeColor="text1"/>
          <w:sz w:val="24"/>
        </w:rPr>
        <w:tab/>
      </w:r>
      <w:r>
        <w:rPr>
          <w:rFonts w:hint="eastAsia"/>
          <w:color w:val="000000" w:themeColor="text1"/>
          <w:sz w:val="24"/>
          <w:lang w:val="en-US" w:eastAsia="zh-CN"/>
        </w:rPr>
        <w:t>59</w:t>
      </w:r>
    </w:p>
    <w:p>
      <w:pPr>
        <w:pStyle w:val="13"/>
        <w:adjustRightInd w:val="0"/>
        <w:snapToGrid w:val="0"/>
        <w:spacing w:line="440" w:lineRule="exact"/>
        <w:jc w:val="left"/>
        <w:rPr>
          <w:rFonts w:hint="eastAsia"/>
          <w:color w:val="000000" w:themeColor="text1"/>
          <w:sz w:val="24"/>
          <w:lang w:val="en-US" w:eastAsia="zh-CN"/>
        </w:rPr>
      </w:pPr>
      <w:r>
        <w:rPr>
          <w:rFonts w:hint="eastAsia"/>
          <w:color w:val="000000" w:themeColor="text1"/>
          <w:sz w:val="24"/>
        </w:rPr>
        <w:t>九、一般公共预算财政拨款项目支出决算表</w:t>
      </w:r>
      <w:r>
        <w:rPr>
          <w:rFonts w:hint="eastAsia"/>
          <w:color w:val="000000" w:themeColor="text1"/>
          <w:sz w:val="24"/>
        </w:rPr>
        <w:tab/>
      </w:r>
      <w:r>
        <w:rPr>
          <w:rFonts w:hint="eastAsia"/>
          <w:color w:val="000000" w:themeColor="text1"/>
          <w:sz w:val="24"/>
          <w:lang w:val="en-US" w:eastAsia="zh-CN"/>
        </w:rPr>
        <w:t>59</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十、一般公共预算财政拨款“三公”经费支出决算表</w:t>
      </w:r>
      <w:r>
        <w:rPr>
          <w:rFonts w:hint="eastAsia"/>
          <w:color w:val="000000" w:themeColor="text1"/>
          <w:sz w:val="24"/>
        </w:rPr>
        <w:tab/>
      </w:r>
      <w:r>
        <w:rPr>
          <w:rFonts w:hint="eastAsia"/>
          <w:color w:val="000000" w:themeColor="text1"/>
          <w:sz w:val="24"/>
          <w:lang w:val="en-US" w:eastAsia="zh-CN"/>
        </w:rPr>
        <w:t>59</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十一、政府性基金预算财政拨款收入支出决算表</w:t>
      </w:r>
      <w:r>
        <w:rPr>
          <w:rFonts w:hint="eastAsia"/>
          <w:color w:val="000000" w:themeColor="text1"/>
          <w:sz w:val="24"/>
        </w:rPr>
        <w:tab/>
      </w:r>
      <w:r>
        <w:rPr>
          <w:rFonts w:hint="eastAsia"/>
          <w:color w:val="000000" w:themeColor="text1"/>
          <w:sz w:val="24"/>
          <w:lang w:val="en-US" w:eastAsia="zh-CN"/>
        </w:rPr>
        <w:t>59</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十二、政府性基金预算财政拨款“三公”经费支出决算表</w:t>
      </w:r>
      <w:r>
        <w:rPr>
          <w:rFonts w:hint="eastAsia"/>
          <w:color w:val="000000" w:themeColor="text1"/>
          <w:sz w:val="24"/>
        </w:rPr>
        <w:tab/>
      </w:r>
      <w:r>
        <w:rPr>
          <w:rFonts w:hint="eastAsia"/>
          <w:color w:val="000000" w:themeColor="text1"/>
          <w:sz w:val="24"/>
          <w:lang w:val="en-US" w:eastAsia="zh-CN"/>
        </w:rPr>
        <w:t>59</w:t>
      </w:r>
    </w:p>
    <w:p>
      <w:pPr>
        <w:pStyle w:val="13"/>
        <w:adjustRightInd w:val="0"/>
        <w:snapToGrid w:val="0"/>
        <w:spacing w:line="440" w:lineRule="exact"/>
        <w:jc w:val="left"/>
        <w:rPr>
          <w:rFonts w:hint="default" w:eastAsia="宋体"/>
          <w:color w:val="000000" w:themeColor="text1"/>
          <w:sz w:val="24"/>
          <w:lang w:val="en-US" w:eastAsia="zh-CN"/>
        </w:rPr>
      </w:pPr>
      <w:r>
        <w:rPr>
          <w:rFonts w:hint="eastAsia"/>
          <w:color w:val="000000" w:themeColor="text1"/>
          <w:sz w:val="24"/>
        </w:rPr>
        <w:t>十三、国有资本经营预算支出决算表</w:t>
      </w:r>
      <w:r>
        <w:rPr>
          <w:rFonts w:hint="eastAsia"/>
          <w:color w:val="000000" w:themeColor="text1"/>
          <w:sz w:val="24"/>
        </w:rPr>
        <w:tab/>
      </w:r>
      <w:r>
        <w:rPr>
          <w:rFonts w:hint="eastAsia"/>
          <w:color w:val="000000" w:themeColor="text1"/>
          <w:sz w:val="24"/>
          <w:lang w:val="en-US" w:eastAsia="zh-CN"/>
        </w:rPr>
        <w:t>59</w:t>
      </w:r>
    </w:p>
    <w:p>
      <w:r>
        <w:fldChar w:fldCharType="end"/>
      </w:r>
    </w:p>
    <w:p>
      <w:pPr>
        <w:widowControl/>
        <w:adjustRightInd w:val="0"/>
        <w:snapToGrid w:val="0"/>
        <w:spacing w:line="440" w:lineRule="exact"/>
        <w:ind w:firstLine="1320" w:firstLineChars="550"/>
        <w:jc w:val="left"/>
        <w:rPr>
          <w:rFonts w:ascii="仿宋" w:hAnsi="仿宋" w:eastAsia="仿宋"/>
          <w:color w:val="000000" w:themeColor="text1"/>
          <w:sz w:val="24"/>
        </w:rPr>
      </w:pPr>
      <w:r>
        <w:rPr>
          <w:rFonts w:ascii="仿宋" w:hAnsi="仿宋" w:eastAsia="仿宋"/>
          <w:color w:val="000000" w:themeColor="text1"/>
          <w:sz w:val="24"/>
        </w:rPr>
        <w:t>(注：</w:t>
      </w:r>
      <w:r>
        <w:rPr>
          <w:rFonts w:hint="eastAsia" w:ascii="仿宋" w:hAnsi="仿宋" w:eastAsia="仿宋"/>
          <w:color w:val="000000" w:themeColor="text1"/>
          <w:sz w:val="24"/>
        </w:rPr>
        <w:t>请部门根据实际注明页码</w:t>
      </w:r>
      <w:r>
        <w:rPr>
          <w:rFonts w:ascii="仿宋" w:hAnsi="仿宋" w:eastAsia="仿宋"/>
          <w:color w:val="000000" w:themeColor="text1"/>
          <w:sz w:val="24"/>
        </w:rPr>
        <w:t>)</w:t>
      </w:r>
    </w:p>
    <w:p>
      <w:pPr>
        <w:widowControl/>
        <w:spacing w:line="440" w:lineRule="exact"/>
        <w:jc w:val="left"/>
        <w:rPr>
          <w:rFonts w:ascii="仿宋" w:hAnsi="仿宋" w:eastAsia="仿宋"/>
          <w:bCs/>
          <w:color w:val="000000" w:themeColor="text1"/>
          <w:kern w:val="44"/>
          <w:sz w:val="24"/>
        </w:rPr>
      </w:pPr>
      <w:bookmarkStart w:id="14" w:name="_Toc15377196"/>
      <w:bookmarkStart w:id="15" w:name="_Toc15396599"/>
      <w:r>
        <w:rPr>
          <w:rFonts w:ascii="仿宋" w:hAnsi="仿宋" w:eastAsia="仿宋"/>
          <w:b/>
          <w:color w:val="000000" w:themeColor="text1"/>
          <w:sz w:val="24"/>
        </w:rPr>
        <w:br w:type="page"/>
      </w:r>
    </w:p>
    <w:p>
      <w:pPr>
        <w:pStyle w:val="4"/>
        <w:jc w:val="center"/>
        <w:rPr>
          <w:rStyle w:val="27"/>
          <w:rFonts w:ascii="黑体" w:hAnsi="黑体" w:eastAsia="黑体"/>
          <w:b/>
          <w:bCs w:val="0"/>
          <w:color w:val="000000" w:themeColor="text1"/>
        </w:rPr>
      </w:pPr>
      <w:bookmarkStart w:id="16" w:name="_Toc3639"/>
      <w:r>
        <w:rPr>
          <w:rFonts w:hint="eastAsia" w:ascii="黑体" w:hAnsi="黑体" w:eastAsia="黑体"/>
          <w:b w:val="0"/>
          <w:color w:val="000000" w:themeColor="text1"/>
        </w:rPr>
        <w:t xml:space="preserve">第一部分 </w:t>
      </w:r>
      <w:r>
        <w:rPr>
          <w:rStyle w:val="27"/>
          <w:rFonts w:hint="eastAsia" w:ascii="黑体" w:hAnsi="黑体" w:eastAsia="黑体"/>
          <w:b w:val="0"/>
          <w:bCs w:val="0"/>
          <w:color w:val="000000" w:themeColor="text1"/>
        </w:rPr>
        <w:t>部门概况</w:t>
      </w:r>
      <w:bookmarkEnd w:id="14"/>
      <w:bookmarkEnd w:id="15"/>
      <w:bookmarkEnd w:id="16"/>
    </w:p>
    <w:p>
      <w:pPr>
        <w:widowControl/>
        <w:jc w:val="left"/>
        <w:rPr>
          <w:rFonts w:ascii="黑体" w:eastAsia="黑体"/>
          <w:color w:val="000000" w:themeColor="text1"/>
          <w:sz w:val="32"/>
          <w:szCs w:val="32"/>
        </w:rPr>
      </w:pPr>
    </w:p>
    <w:p>
      <w:pPr>
        <w:pStyle w:val="5"/>
        <w:rPr>
          <w:rStyle w:val="28"/>
          <w:rFonts w:ascii="仿宋" w:hAnsi="仿宋" w:eastAsia="仿宋"/>
          <w:b w:val="0"/>
          <w:bCs w:val="0"/>
          <w:color w:val="000000" w:themeColor="text1"/>
        </w:rPr>
      </w:pPr>
      <w:bookmarkStart w:id="17" w:name="_Toc15377197"/>
      <w:bookmarkStart w:id="18" w:name="_Toc15396600"/>
      <w:bookmarkStart w:id="19" w:name="_Toc3969"/>
      <w:r>
        <w:rPr>
          <w:rFonts w:hint="eastAsia" w:ascii="黑体" w:hAnsi="黑体" w:eastAsia="黑体"/>
          <w:b w:val="0"/>
          <w:color w:val="000000" w:themeColor="text1"/>
        </w:rPr>
        <w:t>一、基</w:t>
      </w:r>
      <w:r>
        <w:rPr>
          <w:rStyle w:val="28"/>
          <w:rFonts w:hint="eastAsia" w:ascii="黑体" w:hAnsi="黑体" w:eastAsia="黑体"/>
          <w:b w:val="0"/>
          <w:bCs w:val="0"/>
          <w:color w:val="000000" w:themeColor="text1"/>
        </w:rPr>
        <w:t>本职能及主要工作</w:t>
      </w:r>
      <w:bookmarkEnd w:id="17"/>
      <w:bookmarkEnd w:id="18"/>
      <w:bookmarkEnd w:id="19"/>
    </w:p>
    <w:p>
      <w:pPr>
        <w:pStyle w:val="7"/>
        <w:adjustRightInd w:val="0"/>
        <w:snapToGrid w:val="0"/>
        <w:spacing w:before="93" w:line="600" w:lineRule="exact"/>
        <w:ind w:firstLine="672" w:firstLineChars="210"/>
        <w:outlineLvl w:val="2"/>
        <w:rPr>
          <w:rFonts w:ascii="仿宋" w:hAnsi="仿宋" w:eastAsia="仿宋"/>
          <w:bCs/>
          <w:color w:val="000000" w:themeColor="text1"/>
          <w:sz w:val="32"/>
          <w:szCs w:val="32"/>
        </w:rPr>
      </w:pPr>
      <w:bookmarkStart w:id="20" w:name="_Toc15378445"/>
      <w:bookmarkStart w:id="21" w:name="_Toc15377198"/>
      <w:bookmarkStart w:id="22" w:name="_Toc29677"/>
      <w:r>
        <w:rPr>
          <w:rFonts w:hint="eastAsia" w:ascii="仿宋" w:hAnsi="仿宋" w:eastAsia="仿宋"/>
          <w:bCs/>
          <w:color w:val="000000" w:themeColor="text1"/>
          <w:sz w:val="32"/>
          <w:szCs w:val="32"/>
        </w:rPr>
        <w:t>（一）主要职能。（职能参照省政府批准的三定方案）</w:t>
      </w:r>
      <w:bookmarkEnd w:id="20"/>
      <w:bookmarkEnd w:id="21"/>
      <w:bookmarkEnd w:id="22"/>
    </w:p>
    <w:p>
      <w:pPr>
        <w:pStyle w:val="14"/>
        <w:shd w:val="clear" w:color="auto" w:fill="FFFFFF"/>
        <w:spacing w:beforeAutospacing="0" w:afterAutospacing="0"/>
        <w:ind w:firstLine="640" w:firstLineChars="200"/>
        <w:rPr>
          <w:rFonts w:ascii="仿宋" w:hAnsi="仿宋" w:eastAsia="仿宋" w:cs="仿宋"/>
          <w:bCs/>
          <w:kern w:val="2"/>
          <w:sz w:val="32"/>
          <w:szCs w:val="32"/>
        </w:rPr>
      </w:pPr>
      <w:bookmarkStart w:id="23" w:name="_Toc15378446"/>
      <w:bookmarkStart w:id="24" w:name="_Toc15377199"/>
      <w:r>
        <w:rPr>
          <w:rFonts w:hint="eastAsia" w:ascii="仿宋" w:hAnsi="仿宋" w:eastAsia="仿宋" w:cs="仿宋"/>
          <w:sz w:val="32"/>
          <w:szCs w:val="32"/>
        </w:rPr>
        <w:t>落</w:t>
      </w:r>
      <w:r>
        <w:rPr>
          <w:rFonts w:hint="eastAsia" w:ascii="仿宋" w:hAnsi="仿宋" w:eastAsia="仿宋" w:cs="仿宋"/>
          <w:bCs/>
          <w:kern w:val="2"/>
          <w:sz w:val="32"/>
          <w:szCs w:val="32"/>
        </w:rPr>
        <w:t>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pPr>
        <w:pStyle w:val="14"/>
        <w:shd w:val="clear" w:color="auto" w:fill="FFFFFF"/>
        <w:spacing w:beforeAutospacing="0" w:afterAutospacing="0"/>
        <w:ind w:firstLine="640" w:firstLineChars="200"/>
        <w:rPr>
          <w:rFonts w:ascii="仿宋" w:hAnsi="仿宋" w:eastAsia="仿宋" w:cs="仿宋"/>
          <w:bCs/>
          <w:kern w:val="2"/>
          <w:sz w:val="32"/>
          <w:szCs w:val="32"/>
        </w:rPr>
      </w:pPr>
      <w:r>
        <w:rPr>
          <w:rFonts w:hint="eastAsia" w:ascii="仿宋" w:hAnsi="仿宋" w:eastAsia="仿宋" w:cs="仿宋"/>
          <w:bCs/>
          <w:kern w:val="2"/>
          <w:sz w:val="32"/>
          <w:szCs w:val="32"/>
        </w:rPr>
        <w:t>1、宣传、实施上级主管部门以及相关单位的有关政策;</w:t>
      </w:r>
    </w:p>
    <w:p>
      <w:pPr>
        <w:pStyle w:val="14"/>
        <w:shd w:val="clear" w:color="auto" w:fill="FFFFFF"/>
        <w:spacing w:beforeAutospacing="0" w:afterAutospacing="0"/>
        <w:ind w:firstLine="640" w:firstLineChars="200"/>
        <w:rPr>
          <w:rFonts w:ascii="仿宋" w:hAnsi="仿宋" w:eastAsia="仿宋" w:cs="仿宋"/>
          <w:bCs/>
          <w:kern w:val="2"/>
          <w:sz w:val="32"/>
          <w:szCs w:val="32"/>
        </w:rPr>
      </w:pPr>
      <w:r>
        <w:rPr>
          <w:rFonts w:hint="eastAsia" w:ascii="仿宋" w:hAnsi="仿宋" w:eastAsia="仿宋" w:cs="仿宋"/>
          <w:bCs/>
          <w:kern w:val="2"/>
          <w:sz w:val="32"/>
          <w:szCs w:val="32"/>
        </w:rPr>
        <w:t xml:space="preserve">2、执行本行政区域内的经济和社会发展计划、预算、管理本行政区域内的经济、教育、科学、文化、卫生、体育事业和财政、民政、公安、司法行政、计划生育等行政工作;                                                                  </w:t>
      </w:r>
    </w:p>
    <w:p>
      <w:pPr>
        <w:pStyle w:val="14"/>
        <w:shd w:val="clear" w:color="auto" w:fill="FFFFFF"/>
        <w:spacing w:beforeAutospacing="0" w:afterAutospacing="0"/>
        <w:ind w:firstLine="640" w:firstLineChars="200"/>
        <w:rPr>
          <w:rFonts w:ascii="仿宋" w:hAnsi="仿宋" w:eastAsia="仿宋" w:cs="仿宋"/>
          <w:bCs/>
          <w:kern w:val="2"/>
          <w:sz w:val="32"/>
          <w:szCs w:val="32"/>
        </w:rPr>
      </w:pPr>
      <w:r>
        <w:rPr>
          <w:rFonts w:hint="eastAsia" w:ascii="仿宋" w:hAnsi="仿宋" w:eastAsia="仿宋" w:cs="仿宋"/>
          <w:bCs/>
          <w:kern w:val="2"/>
          <w:sz w:val="32"/>
          <w:szCs w:val="32"/>
        </w:rPr>
        <w:t>3、保护各种经济组织的合法权益;</w:t>
      </w:r>
    </w:p>
    <w:p>
      <w:pPr>
        <w:pStyle w:val="14"/>
        <w:shd w:val="clear" w:color="auto" w:fill="FFFFFF"/>
        <w:spacing w:beforeAutospacing="0" w:afterAutospacing="0"/>
        <w:ind w:firstLine="640" w:firstLineChars="200"/>
        <w:rPr>
          <w:rFonts w:ascii="仿宋" w:hAnsi="仿宋" w:eastAsia="仿宋" w:cs="仿宋"/>
          <w:bCs/>
          <w:kern w:val="2"/>
          <w:sz w:val="32"/>
          <w:szCs w:val="32"/>
        </w:rPr>
      </w:pPr>
      <w:r>
        <w:rPr>
          <w:rFonts w:hint="eastAsia" w:ascii="仿宋" w:hAnsi="仿宋" w:eastAsia="仿宋" w:cs="仿宋"/>
          <w:bCs/>
          <w:kern w:val="2"/>
          <w:sz w:val="32"/>
          <w:szCs w:val="32"/>
        </w:rPr>
        <w:t>4、保障少数民族的权利和尊重少数民族的风俗习惯;</w:t>
      </w:r>
    </w:p>
    <w:p>
      <w:pPr>
        <w:pStyle w:val="14"/>
        <w:shd w:val="clear" w:color="auto" w:fill="FFFFFF"/>
        <w:spacing w:beforeAutospacing="0" w:afterAutospacing="0"/>
        <w:ind w:firstLine="640" w:firstLineChars="200"/>
        <w:rPr>
          <w:rFonts w:ascii="仿宋" w:hAnsi="仿宋" w:eastAsia="仿宋"/>
          <w:bCs/>
          <w:color w:val="000000"/>
          <w:sz w:val="32"/>
          <w:szCs w:val="32"/>
        </w:rPr>
      </w:pPr>
      <w:r>
        <w:rPr>
          <w:rFonts w:hint="eastAsia" w:ascii="仿宋" w:hAnsi="仿宋" w:eastAsia="仿宋" w:cs="仿宋"/>
          <w:bCs/>
          <w:kern w:val="2"/>
          <w:sz w:val="32"/>
          <w:szCs w:val="32"/>
        </w:rPr>
        <w:t>5、保护社会主义的全民所有的财产和劳动群众集体所有的财产，保护公民私人所有的合法财产，维护社会秩序，保障公民的人身权利、民主权利和</w:t>
      </w:r>
      <w:r>
        <w:fldChar w:fldCharType="begin"/>
      </w:r>
      <w:r>
        <w:instrText xml:space="preserve"> HYPERLINK "http://www.oh100.com/qita/" \t "_blank" </w:instrText>
      </w:r>
      <w:r>
        <w:fldChar w:fldCharType="separate"/>
      </w:r>
      <w:r>
        <w:rPr>
          <w:rFonts w:hint="eastAsia" w:ascii="仿宋" w:hAnsi="仿宋" w:eastAsia="仿宋" w:cs="仿宋"/>
          <w:bCs/>
          <w:kern w:val="2"/>
          <w:sz w:val="32"/>
          <w:szCs w:val="32"/>
        </w:rPr>
        <w:t>其他</w:t>
      </w:r>
      <w:r>
        <w:rPr>
          <w:rFonts w:hint="eastAsia" w:ascii="仿宋" w:hAnsi="仿宋" w:eastAsia="仿宋" w:cs="仿宋"/>
          <w:bCs/>
          <w:kern w:val="2"/>
          <w:sz w:val="32"/>
          <w:szCs w:val="32"/>
        </w:rPr>
        <w:fldChar w:fldCharType="end"/>
      </w:r>
      <w:r>
        <w:rPr>
          <w:rFonts w:hint="eastAsia" w:ascii="仿宋" w:hAnsi="仿宋" w:eastAsia="仿宋" w:cs="仿宋"/>
          <w:bCs/>
          <w:kern w:val="2"/>
          <w:sz w:val="32"/>
          <w:szCs w:val="32"/>
        </w:rPr>
        <w:t>权利;</w:t>
      </w:r>
    </w:p>
    <w:p>
      <w:pPr>
        <w:pStyle w:val="7"/>
        <w:adjustRightInd w:val="0"/>
        <w:snapToGrid w:val="0"/>
        <w:spacing w:before="93" w:line="600" w:lineRule="exact"/>
        <w:ind w:firstLine="672" w:firstLineChars="210"/>
        <w:outlineLvl w:val="2"/>
        <w:rPr>
          <w:rFonts w:ascii="仿宋" w:hAnsi="仿宋" w:eastAsia="仿宋"/>
          <w:bCs/>
          <w:color w:val="000000" w:themeColor="text1"/>
          <w:sz w:val="32"/>
          <w:szCs w:val="32"/>
        </w:rPr>
      </w:pPr>
      <w:bookmarkStart w:id="25" w:name="_Toc12415"/>
      <w:r>
        <w:rPr>
          <w:rFonts w:hint="eastAsia" w:ascii="仿宋" w:hAnsi="仿宋" w:eastAsia="仿宋"/>
          <w:bCs/>
          <w:color w:val="000000" w:themeColor="text1"/>
          <w:sz w:val="32"/>
          <w:szCs w:val="32"/>
        </w:rPr>
        <w:t>（二）</w:t>
      </w:r>
      <w:r>
        <w:rPr>
          <w:rFonts w:ascii="仿宋" w:hAnsi="仿宋" w:eastAsia="仿宋"/>
          <w:bCs/>
          <w:color w:val="000000" w:themeColor="text1"/>
          <w:sz w:val="32"/>
          <w:szCs w:val="32"/>
        </w:rPr>
        <w:t>201</w:t>
      </w:r>
      <w:r>
        <w:rPr>
          <w:rFonts w:hint="eastAsia" w:ascii="仿宋" w:hAnsi="仿宋" w:eastAsia="仿宋"/>
          <w:bCs/>
          <w:color w:val="000000" w:themeColor="text1"/>
          <w:sz w:val="32"/>
          <w:szCs w:val="32"/>
        </w:rPr>
        <w:t>9年重点工作完成情况。</w:t>
      </w:r>
      <w:bookmarkEnd w:id="23"/>
      <w:bookmarkEnd w:id="24"/>
      <w:bookmarkEnd w:id="25"/>
    </w:p>
    <w:p>
      <w:pPr>
        <w:pStyle w:val="14"/>
        <w:spacing w:before="0" w:beforeAutospacing="0" w:after="0" w:afterAutospacing="0" w:line="580" w:lineRule="exact"/>
        <w:ind w:firstLine="420"/>
        <w:rPr>
          <w:rStyle w:val="17"/>
          <w:rFonts w:ascii="黑体" w:hAnsi="黑体" w:eastAsia="黑体" w:cs="黑体"/>
          <w:b w:val="0"/>
          <w:bCs/>
          <w:color w:val="333333"/>
          <w:sz w:val="32"/>
          <w:szCs w:val="32"/>
          <w:shd w:val="clear" w:color="auto" w:fill="FEFDF9"/>
        </w:rPr>
      </w:pPr>
      <w:r>
        <w:rPr>
          <w:rStyle w:val="17"/>
          <w:rFonts w:hint="eastAsia" w:ascii="黑体" w:hAnsi="黑体" w:eastAsia="黑体" w:cs="黑体"/>
          <w:b w:val="0"/>
          <w:bCs/>
          <w:color w:val="333333"/>
          <w:sz w:val="32"/>
          <w:szCs w:val="32"/>
          <w:shd w:val="clear" w:color="auto" w:fill="FEFDF9"/>
        </w:rPr>
        <w:t>一、狠下功夫，党建工作全面加强</w:t>
      </w:r>
    </w:p>
    <w:p>
      <w:pPr>
        <w:shd w:val="clear" w:color="auto" w:fill="FFFFFF"/>
        <w:spacing w:line="580" w:lineRule="exact"/>
        <w:ind w:firstLine="643" w:firstLineChars="200"/>
        <w:jc w:val="left"/>
        <w:rPr>
          <w:rFonts w:ascii="仿宋_GB2312" w:hAnsi="仿宋_GB2312" w:eastAsia="仿宋_GB2312" w:cs="仿宋_GB2312"/>
          <w:color w:val="333333"/>
          <w:sz w:val="32"/>
          <w:szCs w:val="32"/>
          <w:shd w:val="clear" w:color="auto" w:fill="FEFDF9"/>
        </w:rPr>
      </w:pPr>
      <w:r>
        <w:rPr>
          <w:rFonts w:hint="eastAsia" w:ascii="仿宋_GB2312" w:hAnsi="仿宋_GB2312" w:eastAsia="仿宋_GB2312" w:cs="仿宋_GB2312"/>
          <w:b/>
          <w:bCs/>
          <w:color w:val="333333"/>
          <w:sz w:val="32"/>
          <w:szCs w:val="32"/>
          <w:shd w:val="clear" w:color="auto" w:fill="FEFDF9"/>
        </w:rPr>
        <w:t>一是抓班子、带队伍，履行党建工作责任。</w:t>
      </w:r>
      <w:r>
        <w:rPr>
          <w:rFonts w:hint="eastAsia" w:ascii="仿宋_GB2312" w:hAnsi="仿宋_GB2312" w:eastAsia="仿宋_GB2312" w:cs="仿宋_GB2312"/>
          <w:color w:val="333333"/>
          <w:sz w:val="32"/>
          <w:szCs w:val="32"/>
          <w:shd w:val="clear" w:color="auto" w:fill="FEFDF9"/>
        </w:rPr>
        <w:t>按照习总书记“一心一意谋发展，聚精会神抓党建”的新要求，落实党建工作责任人，做到党建工作与中心工作目标同向、工作合拍、措施配套。2019年麦洼乡开展党委书记讲党课3次，召开领导班子会议12次，召开“不忘初心 牢记使命”系列活动20余次。</w:t>
      </w:r>
    </w:p>
    <w:p>
      <w:pPr>
        <w:pStyle w:val="14"/>
        <w:shd w:val="clear" w:color="auto" w:fill="FEFDF9"/>
        <w:spacing w:before="0" w:beforeAutospacing="0" w:after="0" w:afterAutospacing="0" w:line="580" w:lineRule="exact"/>
        <w:ind w:firstLine="643" w:firstLineChars="200"/>
        <w:rPr>
          <w:rFonts w:ascii="仿宋_GB2312" w:hAnsi="仿宋_GB2312" w:eastAsia="仿宋_GB2312" w:cs="仿宋_GB2312"/>
          <w:color w:val="333333"/>
          <w:sz w:val="32"/>
          <w:szCs w:val="32"/>
          <w:shd w:val="clear" w:color="auto" w:fill="FEFDF9"/>
        </w:rPr>
      </w:pPr>
      <w:r>
        <w:rPr>
          <w:rFonts w:hint="eastAsia" w:ascii="仿宋_GB2312" w:hAnsi="仿宋_GB2312" w:eastAsia="仿宋_GB2312" w:cs="仿宋_GB2312"/>
          <w:b/>
          <w:bCs/>
          <w:color w:val="333333"/>
          <w:sz w:val="32"/>
          <w:szCs w:val="32"/>
          <w:shd w:val="clear" w:color="auto" w:fill="FEFDF9"/>
        </w:rPr>
        <w:t>二是抓基层、打基础，夯实基层党建根基。</w:t>
      </w:r>
      <w:r>
        <w:rPr>
          <w:rFonts w:hint="eastAsia" w:ascii="仿宋_GB2312" w:hAnsi="仿宋_GB2312" w:eastAsia="仿宋_GB2312" w:cs="仿宋_GB2312"/>
          <w:sz w:val="32"/>
          <w:szCs w:val="32"/>
        </w:rPr>
        <w:t>2019年麦洼乡</w:t>
      </w:r>
      <w:r>
        <w:rPr>
          <w:rFonts w:hint="eastAsia" w:ascii="仿宋_GB2312" w:hAnsi="仿宋_GB2312" w:eastAsia="仿宋_GB2312" w:cs="仿宋_GB2312"/>
          <w:sz w:val="32"/>
          <w:szCs w:val="32"/>
          <w:lang w:val="zh-CN"/>
        </w:rPr>
        <w:t>召开专题学习会、群众大会、联户组长会议、农牧民夜校</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余次；每月4次常态化开展“两学一做”学习教育和藏汉“双语”学习培训活动；</w:t>
      </w:r>
      <w:r>
        <w:rPr>
          <w:rFonts w:hint="eastAsia" w:ascii="仿宋_GB2312" w:hAnsi="仿宋_GB2312" w:eastAsia="仿宋_GB2312" w:cs="仿宋_GB2312"/>
          <w:sz w:val="32"/>
          <w:szCs w:val="32"/>
        </w:rPr>
        <w:t>召开党员大会2次，支部委员会6次。2019年，共有</w:t>
      </w:r>
      <w:r>
        <w:rPr>
          <w:rFonts w:hint="eastAsia" w:ascii="仿宋_GB2312" w:hAnsi="仿宋_GB2312" w:eastAsia="仿宋_GB2312" w:cs="仿宋_GB2312"/>
          <w:sz w:val="32"/>
          <w:szCs w:val="32"/>
          <w:lang w:val="zh-CN"/>
        </w:rPr>
        <w:t>党员</w:t>
      </w:r>
      <w:r>
        <w:rPr>
          <w:rFonts w:hint="eastAsia" w:ascii="仿宋_GB2312" w:hAnsi="仿宋_GB2312" w:eastAsia="仿宋_GB2312" w:cs="仿宋_GB2312"/>
          <w:sz w:val="32"/>
          <w:szCs w:val="32"/>
        </w:rPr>
        <w:t>143</w:t>
      </w:r>
      <w:r>
        <w:rPr>
          <w:rFonts w:hint="eastAsia" w:ascii="仿宋_GB2312" w:hAnsi="仿宋_GB2312" w:eastAsia="仿宋_GB2312" w:cs="仿宋_GB2312"/>
          <w:sz w:val="32"/>
          <w:szCs w:val="32"/>
          <w:lang w:val="zh-CN"/>
        </w:rPr>
        <w:t>名，其中农村党员</w:t>
      </w:r>
      <w:r>
        <w:rPr>
          <w:rFonts w:hint="eastAsia" w:ascii="仿宋_GB2312" w:hAnsi="仿宋_GB2312" w:eastAsia="仿宋_GB2312" w:cs="仿宋_GB2312"/>
          <w:sz w:val="32"/>
          <w:szCs w:val="32"/>
        </w:rPr>
        <w:t>121</w:t>
      </w:r>
      <w:r>
        <w:rPr>
          <w:rFonts w:hint="eastAsia" w:ascii="仿宋_GB2312" w:hAnsi="仿宋_GB2312" w:eastAsia="仿宋_GB2312" w:cs="仿宋_GB2312"/>
          <w:sz w:val="32"/>
          <w:szCs w:val="32"/>
          <w:lang w:val="zh-CN"/>
        </w:rPr>
        <w:t>名，机关党员</w:t>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lang w:val="zh-CN"/>
        </w:rPr>
        <w:t>名。</w:t>
      </w:r>
      <w:r>
        <w:rPr>
          <w:rFonts w:hint="eastAsia" w:ascii="仿宋_GB2312" w:hAnsi="仿宋_GB2312" w:eastAsia="仿宋_GB2312" w:cs="仿宋_GB2312"/>
          <w:sz w:val="32"/>
          <w:szCs w:val="32"/>
        </w:rPr>
        <w:t>结合“达标创星”工作，</w:t>
      </w:r>
      <w:r>
        <w:rPr>
          <w:rFonts w:hint="eastAsia" w:ascii="仿宋_GB2312" w:hAnsi="仿宋_GB2312" w:eastAsia="仿宋_GB2312" w:cs="仿宋_GB2312"/>
          <w:sz w:val="32"/>
          <w:szCs w:val="32"/>
          <w:lang w:val="zh-CN"/>
        </w:rPr>
        <w:t>制定</w:t>
      </w:r>
      <w:r>
        <w:rPr>
          <w:rFonts w:hint="eastAsia" w:ascii="仿宋_GB2312" w:hAnsi="仿宋_GB2312" w:eastAsia="仿宋_GB2312" w:cs="仿宋_GB2312"/>
          <w:sz w:val="32"/>
          <w:szCs w:val="32"/>
        </w:rPr>
        <w:t>落实</w:t>
      </w:r>
      <w:r>
        <w:rPr>
          <w:rFonts w:hint="eastAsia" w:ascii="仿宋_GB2312" w:hAnsi="仿宋_GB2312" w:eastAsia="仿宋_GB2312" w:cs="仿宋_GB2312"/>
          <w:sz w:val="32"/>
          <w:szCs w:val="32"/>
          <w:lang w:val="zh-CN"/>
        </w:rPr>
        <w:t>了乡党委和3个支部201</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zh-CN"/>
        </w:rPr>
        <w:t>年“三分类三升级”整顿提升工作计划。</w:t>
      </w:r>
    </w:p>
    <w:p>
      <w:pPr>
        <w:pStyle w:val="14"/>
        <w:shd w:val="clear" w:color="auto" w:fill="FEFDF9"/>
        <w:spacing w:before="0" w:beforeAutospacing="0" w:after="0" w:afterAutospacing="0" w:line="580" w:lineRule="exact"/>
        <w:ind w:firstLine="643" w:firstLineChars="200"/>
        <w:rPr>
          <w:rFonts w:ascii="仿宋_GB2312" w:hAnsi="仿宋_GB2312" w:eastAsia="仿宋_GB2312" w:cs="仿宋_GB2312"/>
          <w:color w:val="333333"/>
          <w:sz w:val="32"/>
          <w:szCs w:val="32"/>
          <w:shd w:val="clear" w:color="auto" w:fill="FEFDF9"/>
        </w:rPr>
      </w:pPr>
      <w:r>
        <w:rPr>
          <w:rFonts w:hint="eastAsia" w:ascii="仿宋_GB2312" w:hAnsi="仿宋_GB2312" w:eastAsia="仿宋_GB2312" w:cs="仿宋_GB2312"/>
          <w:b/>
          <w:bCs/>
          <w:color w:val="333333"/>
          <w:sz w:val="32"/>
          <w:szCs w:val="32"/>
          <w:shd w:val="clear" w:color="auto" w:fill="FEFDF9"/>
        </w:rPr>
        <w:t>三是抓服务、强能力，拓展基层党建工作成效。</w:t>
      </w:r>
      <w:r>
        <w:rPr>
          <w:rFonts w:hint="eastAsia" w:ascii="仿宋_GB2312" w:hAnsi="仿宋_GB2312" w:eastAsia="仿宋_GB2312" w:cs="仿宋_GB2312"/>
          <w:color w:val="333333"/>
          <w:sz w:val="32"/>
          <w:szCs w:val="32"/>
          <w:shd w:val="clear" w:color="auto" w:fill="FEFDF9"/>
        </w:rPr>
        <w:t>麦洼乡微信公众号推送党务、政务信息32期，编辑村务公开报6期。</w:t>
      </w:r>
      <w:r>
        <w:rPr>
          <w:rFonts w:hint="eastAsia" w:ascii="仿宋_GB2312" w:hAnsi="仿宋_GB2312" w:eastAsia="仿宋_GB2312" w:cs="仿宋_GB2312"/>
          <w:sz w:val="32"/>
          <w:szCs w:val="32"/>
          <w:lang w:val="zh-CN"/>
        </w:rPr>
        <w:t>召开专题学习会、群众大会、联户组长会议、农牧民夜校</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余次；每月4次常态化开展“两学一做”学习教育和藏汉“双语”学习培训活动；</w:t>
      </w:r>
      <w:r>
        <w:rPr>
          <w:rFonts w:hint="eastAsia" w:ascii="仿宋_GB2312" w:hAnsi="仿宋_GB2312" w:eastAsia="仿宋_GB2312" w:cs="仿宋_GB2312"/>
          <w:sz w:val="32"/>
          <w:szCs w:val="32"/>
        </w:rPr>
        <w:t>召开党员大会4次，支部委员会10次。</w:t>
      </w:r>
    </w:p>
    <w:p>
      <w:pPr>
        <w:shd w:val="clear" w:color="auto" w:fill="FFFFFF"/>
        <w:spacing w:line="580" w:lineRule="exact"/>
        <w:ind w:firstLine="643" w:firstLineChars="200"/>
        <w:jc w:val="left"/>
        <w:rPr>
          <w:rFonts w:ascii="仿宋_GB2312" w:hAnsi="仿宋_GB2312" w:eastAsia="仿宋_GB2312" w:cs="仿宋_GB2312"/>
          <w:color w:val="333333"/>
          <w:sz w:val="32"/>
          <w:szCs w:val="32"/>
          <w:shd w:val="clear" w:color="auto" w:fill="FEFDF9"/>
        </w:rPr>
      </w:pPr>
      <w:r>
        <w:rPr>
          <w:rFonts w:hint="eastAsia" w:ascii="仿宋_GB2312" w:hAnsi="仿宋_GB2312" w:eastAsia="仿宋_GB2312" w:cs="仿宋_GB2312"/>
          <w:b/>
          <w:bCs/>
          <w:color w:val="333333"/>
          <w:sz w:val="32"/>
          <w:szCs w:val="32"/>
          <w:shd w:val="clear" w:color="auto" w:fill="FEFDF9"/>
        </w:rPr>
        <w:t>四是抓党风、促政风，树勤政廉洁形象。</w:t>
      </w:r>
      <w:r>
        <w:rPr>
          <w:rFonts w:hint="eastAsia" w:ascii="仿宋_GB2312" w:hAnsi="仿宋_GB2312" w:eastAsia="仿宋_GB2312" w:cs="仿宋_GB2312"/>
          <w:color w:val="333333"/>
          <w:sz w:val="32"/>
          <w:szCs w:val="32"/>
          <w:shd w:val="clear" w:color="auto" w:fill="FEFDF9"/>
        </w:rPr>
        <w:t>认真落实党风廉政建设“两个责任”和“一岗双责”，和8名领导干部签订《不利用地方名贵特产谋权私利承诺书》和22名机关党员干部签订《不参与赌博敛财承诺书》。2019年全乡党员集体观看廉政警示教育片3次。召开党风廉政建设专题会议10余次，分析研判形势，研究部署工作加强执纪问责，着力推进干部队伍精细化管理工作，对发现的干部履职不到位、违规违纪问题建立台账，及时约谈，纠正不正之风。认真落实中央“八项规定”，坚决纠正“四风”问题，及时整改“不严不实”事项，党风、政风、社会风气明显好转。</w:t>
      </w:r>
    </w:p>
    <w:p>
      <w:pPr>
        <w:pStyle w:val="2"/>
        <w:ind w:firstLine="640"/>
        <w:rPr>
          <w:rFonts w:ascii="仿宋_GB2312" w:hAnsi="仿宋_GB2312" w:eastAsia="仿宋_GB2312" w:cs="仿宋_GB2312"/>
          <w:b/>
          <w:bCs/>
          <w:color w:val="333333"/>
          <w:kern w:val="2"/>
          <w:shd w:val="clear" w:color="auto" w:fill="FEFDF9"/>
        </w:rPr>
      </w:pPr>
      <w:r>
        <w:rPr>
          <w:rFonts w:hint="eastAsia" w:ascii="仿宋_GB2312" w:hAnsi="仿宋_GB2312" w:eastAsia="仿宋_GB2312" w:cs="仿宋_GB2312"/>
          <w:b/>
          <w:bCs/>
          <w:color w:val="333333"/>
          <w:kern w:val="2"/>
          <w:shd w:val="clear" w:color="auto" w:fill="FEFDF9"/>
        </w:rPr>
        <w:t>五是亲群众，解民忧，扎实开展“两联一进”群众工作</w:t>
      </w:r>
    </w:p>
    <w:p>
      <w:pPr>
        <w:shd w:val="clear" w:color="auto" w:fill="FFFFFF"/>
        <w:spacing w:line="580" w:lineRule="exact"/>
        <w:jc w:val="left"/>
        <w:rPr>
          <w:rFonts w:ascii="仿宋_GB2312" w:hAnsi="仿宋_GB2312" w:eastAsia="仿宋_GB2312" w:cs="仿宋_GB2312"/>
          <w:b/>
          <w:bCs/>
          <w:color w:val="333333"/>
          <w:sz w:val="32"/>
          <w:szCs w:val="32"/>
          <w:shd w:val="clear" w:color="auto" w:fill="FEFDF9"/>
        </w:rPr>
      </w:pPr>
      <w:r>
        <w:rPr>
          <w:rFonts w:hint="eastAsia" w:ascii="仿宋_GB2312" w:hAnsi="仿宋_GB2312" w:eastAsia="仿宋_GB2312" w:cs="仿宋_GB2312"/>
          <w:color w:val="333333"/>
          <w:sz w:val="32"/>
          <w:szCs w:val="32"/>
          <w:shd w:val="clear" w:color="auto" w:fill="FEFDF9"/>
        </w:rPr>
        <w:t>麦洼乡22位一般干部共联系牧户121户，8位领导干部联系牧户52户，8位领导干部联系麦洼寺僧人32位。一年来麦洼乡始终坚持以“支部共建，干群联动，实现两联一进群众工作全覆盖”为总体目标，完成“四个全覆盖”工作措施，进一步密切了干群关系，为乡全面完成脱贫任务扫清障碍。2019年麦洼乡干部总共入户走访牧户400余次，赠送200余袋大米，200余袋面粉，200余桶食用油，宣讲政策300余人次。</w:t>
      </w:r>
    </w:p>
    <w:p>
      <w:pPr>
        <w:pStyle w:val="14"/>
        <w:spacing w:before="0" w:beforeAutospacing="0" w:after="0" w:afterAutospacing="0" w:line="580" w:lineRule="exact"/>
        <w:ind w:firstLine="640" w:firstLineChars="200"/>
        <w:rPr>
          <w:rStyle w:val="17"/>
          <w:rFonts w:ascii="黑体" w:hAnsi="黑体" w:eastAsia="黑体" w:cs="黑体"/>
          <w:b w:val="0"/>
          <w:bCs/>
          <w:color w:val="333333"/>
          <w:sz w:val="32"/>
          <w:szCs w:val="32"/>
          <w:shd w:val="clear" w:color="auto" w:fill="FEFDF9"/>
        </w:rPr>
      </w:pPr>
      <w:r>
        <w:rPr>
          <w:rStyle w:val="17"/>
          <w:rFonts w:hint="eastAsia" w:ascii="黑体" w:hAnsi="黑体" w:eastAsia="黑体" w:cs="黑体"/>
          <w:b w:val="0"/>
          <w:bCs/>
          <w:color w:val="333333"/>
          <w:sz w:val="32"/>
          <w:szCs w:val="32"/>
          <w:shd w:val="clear" w:color="auto" w:fill="FEFDF9"/>
        </w:rPr>
        <w:t>二、全力以赴，扶贫工作精准有效</w:t>
      </w:r>
    </w:p>
    <w:p>
      <w:pPr>
        <w:spacing w:line="580" w:lineRule="exact"/>
        <w:ind w:firstLine="643" w:firstLineChars="200"/>
        <w:rPr>
          <w:rFonts w:ascii="仿宋_GB2312" w:hAnsi="仿宋_GB2312" w:eastAsia="仿宋_GB2312" w:cs="仿宋_GB2312"/>
          <w:sz w:val="32"/>
          <w:szCs w:val="32"/>
        </w:rPr>
      </w:pPr>
      <w:r>
        <w:rPr>
          <w:rFonts w:hint="eastAsia" w:ascii="仿宋_GB2312" w:hAnsi="宋体" w:eastAsia="仿宋_GB2312" w:cs="仿宋_GB2312"/>
          <w:b/>
          <w:color w:val="000000"/>
          <w:kern w:val="0"/>
          <w:sz w:val="32"/>
          <w:szCs w:val="32"/>
          <w:shd w:val="clear" w:color="auto" w:fill="FFFFFF"/>
        </w:rPr>
        <w:t>一是落实全面脱贫退出工作。</w:t>
      </w:r>
      <w:r>
        <w:rPr>
          <w:rFonts w:hint="eastAsia" w:ascii="仿宋_GB2312" w:hAnsi="仿宋_GB2312" w:eastAsia="仿宋_GB2312" w:cs="仿宋_GB2312"/>
          <w:sz w:val="32"/>
          <w:szCs w:val="32"/>
        </w:rPr>
        <w:t>麦洼乡辖洞拉、滚塘两个行政村，全乡共1118户4847人，全乡经济以畜牧业经济为主。洞拉、滚塘两个村于2014年识别为贫困村，2017年和2018年分别完成贫困村退出；</w:t>
      </w:r>
      <w:r>
        <w:rPr>
          <w:rFonts w:hint="eastAsia" w:ascii="仿宋_GB2312" w:hAnsi="仿宋_GB2312" w:eastAsia="仿宋_GB2312" w:cs="仿宋_GB2312"/>
          <w:kern w:val="0"/>
          <w:sz w:val="32"/>
          <w:szCs w:val="32"/>
        </w:rPr>
        <w:t>全乡建档立卡贫困户226户821人,其中</w:t>
      </w:r>
      <w:r>
        <w:rPr>
          <w:rFonts w:hint="eastAsia" w:ascii="仿宋_GB2312" w:hAnsi="仿宋_GB2312" w:eastAsia="仿宋_GB2312" w:cs="仿宋_GB2312"/>
          <w:sz w:val="32"/>
          <w:szCs w:val="32"/>
        </w:rPr>
        <w:t>洞拉村建档立卡贫困户共123户478人，滚塘村全村建档立卡贫困户共103户343人；截止2019年底全乡建档立卡贫困户已脱贫226户821人，贫困发生率下降为0%。</w:t>
      </w:r>
    </w:p>
    <w:p>
      <w:pPr>
        <w:wordWrap w:val="0"/>
        <w:spacing w:line="580" w:lineRule="exact"/>
        <w:ind w:firstLine="643" w:firstLineChars="200"/>
        <w:jc w:val="left"/>
        <w:rPr>
          <w:rFonts w:ascii="仿宋_GB2312" w:hAnsi="宋体" w:eastAsia="仿宋_GB2312" w:cs="仿宋_GB2312"/>
          <w:color w:val="000000"/>
          <w:kern w:val="0"/>
          <w:sz w:val="32"/>
          <w:szCs w:val="32"/>
          <w:shd w:val="clear" w:color="auto" w:fill="FFFFFF"/>
        </w:rPr>
      </w:pPr>
      <w:r>
        <w:rPr>
          <w:rFonts w:hint="eastAsia" w:ascii="仿宋_GB2312" w:hAnsi="仿宋_GB2312" w:eastAsia="仿宋_GB2312" w:cs="仿宋_GB2312"/>
          <w:b/>
          <w:bCs/>
          <w:color w:val="333333"/>
          <w:sz w:val="32"/>
          <w:szCs w:val="32"/>
          <w:shd w:val="clear" w:color="auto" w:fill="FEFDF9"/>
        </w:rPr>
        <w:t>二是因户施策，落实帮扶措施。</w:t>
      </w:r>
      <w:r>
        <w:rPr>
          <w:rFonts w:ascii="仿宋_GB2312" w:hAnsi="宋体" w:eastAsia="仿宋_GB2312" w:cs="仿宋_GB2312"/>
          <w:color w:val="000000"/>
          <w:kern w:val="0"/>
          <w:sz w:val="32"/>
          <w:szCs w:val="32"/>
          <w:shd w:val="clear" w:color="auto" w:fill="FFFFFF"/>
        </w:rPr>
        <w:t>积极</w:t>
      </w:r>
      <w:r>
        <w:rPr>
          <w:rFonts w:hint="eastAsia" w:ascii="仿宋_GB2312" w:hAnsi="宋体" w:eastAsia="仿宋_GB2312" w:cs="仿宋_GB2312"/>
          <w:color w:val="000000"/>
          <w:kern w:val="0"/>
          <w:sz w:val="32"/>
          <w:szCs w:val="32"/>
          <w:shd w:val="clear" w:color="auto" w:fill="FFFFFF"/>
        </w:rPr>
        <w:t>与洞拉村州级联系领导州政协副主席王生，洞拉村州级联系单位州国资委、州保密办、阿坝银保监分局，与滚塘村对口帮扶单位泸州老窖股份有限公司联系对接，发</w:t>
      </w:r>
      <w:r>
        <w:rPr>
          <w:rFonts w:ascii="仿宋_GB2312" w:hAnsi="宋体" w:eastAsia="仿宋_GB2312" w:cs="仿宋_GB2312"/>
          <w:color w:val="000000"/>
          <w:kern w:val="0"/>
          <w:sz w:val="32"/>
          <w:szCs w:val="32"/>
          <w:shd w:val="clear" w:color="auto" w:fill="FFFFFF"/>
        </w:rPr>
        <w:t>动</w:t>
      </w:r>
      <w:r>
        <w:rPr>
          <w:rFonts w:hint="eastAsia" w:ascii="仿宋_GB2312" w:hAnsi="宋体" w:eastAsia="仿宋_GB2312" w:cs="仿宋_GB2312"/>
          <w:color w:val="000000"/>
          <w:kern w:val="0"/>
          <w:sz w:val="32"/>
          <w:szCs w:val="32"/>
          <w:shd w:val="clear" w:color="auto" w:fill="FFFFFF"/>
        </w:rPr>
        <w:t>县人大</w:t>
      </w:r>
      <w:r>
        <w:rPr>
          <w:rFonts w:ascii="仿宋_GB2312" w:hAnsi="宋体" w:eastAsia="仿宋_GB2312" w:cs="仿宋_GB2312"/>
          <w:color w:val="000000"/>
          <w:kern w:val="0"/>
          <w:sz w:val="32"/>
          <w:szCs w:val="32"/>
          <w:shd w:val="clear" w:color="auto" w:fill="FFFFFF"/>
        </w:rPr>
        <w:t>、</w:t>
      </w:r>
      <w:r>
        <w:rPr>
          <w:rFonts w:hint="eastAsia" w:ascii="仿宋_GB2312" w:hAnsi="宋体" w:eastAsia="仿宋_GB2312" w:cs="仿宋_GB2312"/>
          <w:color w:val="000000"/>
          <w:kern w:val="0"/>
          <w:sz w:val="32"/>
          <w:szCs w:val="32"/>
          <w:shd w:val="clear" w:color="auto" w:fill="FFFFFF"/>
        </w:rPr>
        <w:t>县教育局</w:t>
      </w:r>
      <w:r>
        <w:rPr>
          <w:rFonts w:ascii="仿宋_GB2312" w:hAnsi="宋体" w:eastAsia="仿宋_GB2312" w:cs="仿宋_GB2312"/>
          <w:color w:val="000000"/>
          <w:kern w:val="0"/>
          <w:sz w:val="32"/>
          <w:szCs w:val="32"/>
          <w:shd w:val="clear" w:color="auto" w:fill="FFFFFF"/>
        </w:rPr>
        <w:t>、</w:t>
      </w:r>
      <w:r>
        <w:rPr>
          <w:rFonts w:hint="eastAsia" w:ascii="仿宋_GB2312" w:hAnsi="宋体" w:eastAsia="仿宋_GB2312" w:cs="仿宋_GB2312"/>
          <w:color w:val="000000"/>
          <w:kern w:val="0"/>
          <w:sz w:val="32"/>
          <w:szCs w:val="32"/>
          <w:shd w:val="clear" w:color="auto" w:fill="FFFFFF"/>
        </w:rPr>
        <w:t>县科学技术和农业畜牧局、县司法局、县粮食和物资储备中心5个县联系帮扶单位、频繁深入贫困户家中走访，与贫困户面对面，宣传各项扶贫政策，探讨制定各项帮扶计划和措施，制定“一户一策”帮扶措施，指导贫困户发展生产，增加收入，使每户至少有一条以上实质性帮扶措施，落实“两不愁、三保障”。</w:t>
      </w:r>
    </w:p>
    <w:p>
      <w:pPr>
        <w:widowControl/>
        <w:spacing w:line="580" w:lineRule="exact"/>
        <w:ind w:firstLine="643" w:firstLineChars="200"/>
        <w:jc w:val="left"/>
        <w:outlineLvl w:val="0"/>
        <w:rPr>
          <w:rFonts w:ascii="仿宋_GB2312" w:hAnsi="仿宋_GB2312" w:eastAsia="仿宋_GB2312" w:cs="仿宋_GB2312"/>
          <w:sz w:val="32"/>
          <w:szCs w:val="32"/>
        </w:rPr>
      </w:pPr>
      <w:bookmarkStart w:id="26" w:name="_Toc5432"/>
      <w:r>
        <w:rPr>
          <w:rFonts w:hint="eastAsia" w:ascii="仿宋_GB2312" w:hAnsi="仿宋_GB2312" w:eastAsia="仿宋_GB2312" w:cs="仿宋_GB2312"/>
          <w:b/>
          <w:bCs/>
          <w:color w:val="333333"/>
          <w:sz w:val="32"/>
          <w:szCs w:val="32"/>
          <w:shd w:val="clear" w:color="auto" w:fill="FEFDF9"/>
        </w:rPr>
        <w:t>三是创新机制，激发贫困户内生动力。</w:t>
      </w:r>
      <w:r>
        <w:rPr>
          <w:rFonts w:hint="eastAsia" w:ascii="楷体" w:hAnsi="楷体" w:eastAsia="楷体" w:cs="楷体"/>
          <w:b/>
          <w:bCs/>
          <w:sz w:val="32"/>
          <w:szCs w:val="32"/>
        </w:rPr>
        <w:t>一是文化扶贫活动。</w:t>
      </w:r>
      <w:r>
        <w:rPr>
          <w:rFonts w:hint="eastAsia" w:ascii="仿宋_GB2312" w:hAnsi="仿宋_GB2312" w:eastAsia="仿宋_GB2312" w:cs="仿宋_GB2312"/>
          <w:sz w:val="32"/>
          <w:szCs w:val="32"/>
        </w:rPr>
        <w:t>麦洼乡</w:t>
      </w:r>
      <w:r>
        <w:rPr>
          <w:rFonts w:ascii="仿宋_GB2312" w:hAnsi="仿宋_GB2312" w:eastAsia="仿宋_GB2312" w:cs="仿宋_GB2312"/>
          <w:sz w:val="32"/>
          <w:szCs w:val="32"/>
        </w:rPr>
        <w:t>积极响应党中央“</w:t>
      </w:r>
      <w:r>
        <w:rPr>
          <w:rFonts w:hint="eastAsia" w:ascii="仿宋_GB2312" w:hAnsi="仿宋_GB2312" w:eastAsia="仿宋_GB2312" w:cs="仿宋_GB2312"/>
          <w:sz w:val="32"/>
          <w:szCs w:val="32"/>
        </w:rPr>
        <w:t>我的</w:t>
      </w:r>
      <w:r>
        <w:rPr>
          <w:rFonts w:ascii="仿宋_GB2312" w:hAnsi="仿宋_GB2312" w:eastAsia="仿宋_GB2312" w:cs="仿宋_GB2312"/>
          <w:sz w:val="32"/>
          <w:szCs w:val="32"/>
        </w:rPr>
        <w:t>中国梦</w:t>
      </w:r>
      <w:r>
        <w:rPr>
          <w:rFonts w:ascii="微软雅黑" w:hAnsi="微软雅黑" w:eastAsia="微软雅黑" w:cs="微软雅黑"/>
          <w:sz w:val="32"/>
          <w:szCs w:val="32"/>
        </w:rPr>
        <w:t>·</w:t>
      </w:r>
      <w:r>
        <w:rPr>
          <w:rFonts w:ascii="仿宋_GB2312" w:hAnsi="仿宋_GB2312" w:eastAsia="仿宋_GB2312" w:cs="仿宋_GB2312"/>
          <w:sz w:val="32"/>
          <w:szCs w:val="32"/>
        </w:rPr>
        <w:t>文化进万家”</w:t>
      </w:r>
      <w:r>
        <w:rPr>
          <w:rFonts w:hint="eastAsia" w:ascii="仿宋_GB2312" w:hAnsi="仿宋_GB2312" w:eastAsia="仿宋_GB2312" w:cs="仿宋_GB2312"/>
          <w:sz w:val="32"/>
          <w:szCs w:val="32"/>
        </w:rPr>
        <w:t>活动安排</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充分发挥非遗文化资源丰富的优势，积极组织牧民群众参加首届非遗文化（麦洼锅庄、百汪弹唱）竞演活动，共发放奖金0.73万元。</w:t>
      </w:r>
      <w:r>
        <w:rPr>
          <w:rFonts w:hint="eastAsia" w:ascii="楷体" w:hAnsi="楷体" w:eastAsia="楷体" w:cs="楷体"/>
          <w:b/>
          <w:bCs/>
          <w:sz w:val="32"/>
          <w:szCs w:val="32"/>
        </w:rPr>
        <w:t>二是“基层善治”工作，</w:t>
      </w:r>
      <w:r>
        <w:rPr>
          <w:rFonts w:hint="eastAsia" w:ascii="仿宋_GB2312" w:eastAsia="仿宋_GB2312"/>
          <w:sz w:val="32"/>
          <w:szCs w:val="32"/>
        </w:rPr>
        <w:t>麦洼乡</w:t>
      </w:r>
      <w:r>
        <w:rPr>
          <w:rFonts w:hint="eastAsia" w:ascii="仿宋_GB2312" w:hAnsi="仿宋_GB2312" w:eastAsia="仿宋_GB2312" w:cs="仿宋_GB2312"/>
          <w:sz w:val="32"/>
          <w:szCs w:val="32"/>
        </w:rPr>
        <w:t>麦洼乡再次加码升级创新“我承诺、我行动”藏区牧区基层善治实践活动，对照《红原县麦洼乡创新“我承诺、我行动”藏区牧区基层善治实践实施方案》和《红原县麦洼乡创新“我承诺、我行动”藏区牧区基层善治实践活动评分表》</w:t>
      </w:r>
      <w:r>
        <w:rPr>
          <w:rFonts w:hint="eastAsia" w:ascii="仿宋_GB2312" w:eastAsia="仿宋_GB2312"/>
          <w:sz w:val="32"/>
          <w:szCs w:val="32"/>
        </w:rPr>
        <w:t>设立30项善治指标，</w:t>
      </w:r>
      <w:r>
        <w:rPr>
          <w:rFonts w:hint="eastAsia" w:ascii="仿宋_GB2312" w:hAnsi="仿宋_GB2312" w:eastAsia="仿宋_GB2312" w:cs="仿宋_GB2312"/>
          <w:sz w:val="32"/>
          <w:szCs w:val="32"/>
        </w:rPr>
        <w:t>进行了全面入户评分，</w:t>
      </w:r>
      <w:r>
        <w:rPr>
          <w:rFonts w:hint="eastAsia" w:ascii="仿宋_GB2312" w:eastAsia="仿宋_GB2312"/>
          <w:sz w:val="32"/>
          <w:szCs w:val="32"/>
        </w:rPr>
        <w:t>评选出32户“基层善治五星示范户”，奖励户均3000元左右奖品。此经验被省委办公厅《每日要情》刊报，在省委组织部网站、阿坝日报和阿坝州委组织部微信公众号等广泛宣传。</w:t>
      </w:r>
      <w:bookmarkEnd w:id="26"/>
    </w:p>
    <w:p>
      <w:pPr>
        <w:shd w:val="clear" w:color="auto" w:fill="FFFFFF"/>
        <w:spacing w:line="580" w:lineRule="exact"/>
        <w:ind w:firstLine="643" w:firstLineChars="200"/>
        <w:jc w:val="left"/>
        <w:rPr>
          <w:rFonts w:ascii="宋体" w:hAnsi="宋体" w:cs="宋体"/>
          <w:color w:val="000000"/>
          <w:sz w:val="16"/>
          <w:szCs w:val="16"/>
        </w:rPr>
      </w:pPr>
      <w:r>
        <w:rPr>
          <w:rFonts w:hint="eastAsia" w:ascii="仿宋_GB2312" w:hAnsi="仿宋_GB2312" w:eastAsia="仿宋_GB2312" w:cs="仿宋_GB2312"/>
          <w:b/>
          <w:bCs/>
          <w:color w:val="333333"/>
          <w:sz w:val="32"/>
          <w:szCs w:val="32"/>
          <w:shd w:val="clear" w:color="auto" w:fill="FEFDF9"/>
        </w:rPr>
        <w:t>四是紧抓考核，全力</w:t>
      </w:r>
      <w:r>
        <w:rPr>
          <w:rFonts w:hint="eastAsia" w:ascii="仿宋_GB2312" w:hAnsi="宋体" w:eastAsia="仿宋_GB2312" w:cs="仿宋_GB2312"/>
          <w:b/>
          <w:color w:val="000000"/>
          <w:kern w:val="0"/>
          <w:sz w:val="32"/>
          <w:szCs w:val="32"/>
          <w:shd w:val="clear" w:color="auto" w:fill="FFFFFF"/>
        </w:rPr>
        <w:t>做好扶贫验收工作</w:t>
      </w:r>
      <w:r>
        <w:rPr>
          <w:rFonts w:hint="eastAsia" w:ascii="仿宋_GB2312" w:hAnsi="仿宋_GB2312" w:eastAsia="仿宋_GB2312" w:cs="仿宋_GB2312"/>
          <w:b/>
          <w:bCs/>
          <w:color w:val="333333"/>
          <w:sz w:val="32"/>
          <w:szCs w:val="32"/>
          <w:shd w:val="clear" w:color="auto" w:fill="FEFDF9"/>
        </w:rPr>
        <w:t>。</w:t>
      </w:r>
      <w:r>
        <w:rPr>
          <w:rFonts w:hint="eastAsia" w:ascii="仿宋_GB2312" w:hAnsi="仿宋_GB2312" w:eastAsia="仿宋_GB2312" w:cs="仿宋_GB2312"/>
          <w:sz w:val="32"/>
          <w:szCs w:val="32"/>
        </w:rPr>
        <w:t>麦洼乡党委政府严格按照省评估检查考核方案和脱贫攻坚成效考核“1+3”方案要求，全面组织脱贫攻坚力量抓实考核各项内容，将考核细则分解到人头，落实负责人，在全乡全面开展迎检准备工作。于去年10月份顺利通过州级、于今年3月份省级脱贫攻坚检查验收。</w:t>
      </w:r>
    </w:p>
    <w:p>
      <w:pPr>
        <w:pStyle w:val="14"/>
        <w:spacing w:before="0" w:beforeAutospacing="0" w:after="0" w:afterAutospacing="0" w:line="580" w:lineRule="exact"/>
        <w:ind w:firstLine="420"/>
        <w:rPr>
          <w:rStyle w:val="17"/>
          <w:rFonts w:ascii="黑体" w:hAnsi="黑体" w:eastAsia="黑体" w:cs="黑体"/>
          <w:b w:val="0"/>
          <w:bCs/>
          <w:color w:val="333333"/>
          <w:sz w:val="32"/>
          <w:szCs w:val="32"/>
          <w:shd w:val="clear" w:color="auto" w:fill="FEFDF9"/>
        </w:rPr>
      </w:pPr>
      <w:r>
        <w:rPr>
          <w:rStyle w:val="17"/>
          <w:rFonts w:hint="eastAsia" w:ascii="黑体" w:hAnsi="黑体" w:eastAsia="黑体" w:cs="黑体"/>
          <w:b w:val="0"/>
          <w:bCs/>
          <w:color w:val="333333"/>
          <w:sz w:val="32"/>
          <w:szCs w:val="32"/>
          <w:shd w:val="clear" w:color="auto" w:fill="FEFDF9"/>
        </w:rPr>
        <w:t>三、因地制宜，全面夯实项目建设</w:t>
      </w:r>
    </w:p>
    <w:p>
      <w:pPr>
        <w:pStyle w:val="14"/>
        <w:shd w:val="clear" w:color="auto" w:fill="FEFDF9"/>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麦洼乡以项目建设为突破口，重点加大安全饮水、居民住房、道路交通等方面项目的争取和实施。2019年，麦洼乡共安排项目17个，总投资约3542.82万元。其中生产道路建设、危房提升改造等12个项目已全部完工，垃圾收运系统建设、养护管理站新建2个项目，已完成主体施工，二级消防站、学校标准化食堂建设等3个项目，主体已完成90%以上。</w:t>
      </w:r>
    </w:p>
    <w:p>
      <w:pPr>
        <w:pStyle w:val="14"/>
        <w:spacing w:before="0" w:beforeAutospacing="0" w:after="0" w:afterAutospacing="0" w:line="580" w:lineRule="exact"/>
        <w:ind w:firstLine="420"/>
        <w:rPr>
          <w:rStyle w:val="17"/>
          <w:rFonts w:ascii="黑体" w:hAnsi="黑体" w:eastAsia="黑体" w:cs="黑体"/>
          <w:b w:val="0"/>
          <w:bCs/>
          <w:color w:val="333333"/>
          <w:sz w:val="32"/>
          <w:szCs w:val="32"/>
          <w:shd w:val="clear" w:color="auto" w:fill="FEFDF9"/>
        </w:rPr>
      </w:pPr>
      <w:r>
        <w:rPr>
          <w:rStyle w:val="17"/>
          <w:rFonts w:hint="eastAsia" w:ascii="黑体" w:hAnsi="黑体" w:eastAsia="黑体" w:cs="黑体"/>
          <w:b w:val="0"/>
          <w:bCs/>
          <w:color w:val="333333"/>
          <w:sz w:val="32"/>
          <w:szCs w:val="32"/>
          <w:shd w:val="clear" w:color="auto" w:fill="FEFDF9"/>
        </w:rPr>
        <w:t>四、为民务实，民计民生持续改善</w:t>
      </w:r>
    </w:p>
    <w:p>
      <w:pPr>
        <w:spacing w:line="580" w:lineRule="exact"/>
        <w:ind w:firstLine="643" w:firstLineChars="200"/>
        <w:rPr>
          <w:rFonts w:ascii="仿宋_GB2312" w:hAnsi="仿宋_GB2312" w:eastAsia="仿宋_GB2312" w:cs="仿宋_GB2312"/>
          <w:color w:val="333333"/>
          <w:sz w:val="32"/>
          <w:szCs w:val="32"/>
          <w:shd w:val="clear" w:color="auto" w:fill="FEFDF9"/>
        </w:rPr>
      </w:pPr>
      <w:r>
        <w:rPr>
          <w:rFonts w:hint="eastAsia" w:ascii="仿宋_GB2312" w:hAnsi="仿宋_GB2312" w:eastAsia="仿宋_GB2312" w:cs="仿宋_GB2312"/>
          <w:b/>
          <w:bCs/>
          <w:color w:val="333333"/>
          <w:sz w:val="32"/>
          <w:szCs w:val="32"/>
          <w:shd w:val="clear" w:color="auto" w:fill="FEFDF9"/>
        </w:rPr>
        <w:t>一是是全面落实人口与计划生育工作责任制，提高依法行政水平和服务水平。</w:t>
      </w:r>
      <w:r>
        <w:rPr>
          <w:rFonts w:hint="eastAsia" w:ascii="仿宋_GB2312" w:hAnsi="仿宋_GB2312" w:eastAsia="仿宋_GB2312" w:cs="仿宋_GB2312"/>
          <w:color w:val="333333"/>
          <w:sz w:val="32"/>
          <w:szCs w:val="32"/>
          <w:shd w:val="clear" w:color="auto" w:fill="FEFDF9"/>
        </w:rPr>
        <w:t>2019年麦洼乡计生奖励扶助37人，每人发放960元；特别扶助10人，每人发放7800元；少生快富家庭4户每户发放3000元；准生证班办理32户。计生系统人口信息错误比对与整改800余条。组织村干部在县医院参加健康体检健康，组织贫困户在乡卫生院参加健康体检。</w:t>
      </w:r>
    </w:p>
    <w:p>
      <w:pPr>
        <w:pStyle w:val="2"/>
        <w:spacing w:line="580" w:lineRule="exact"/>
        <w:ind w:firstLine="640"/>
        <w:rPr>
          <w:rFonts w:ascii="仿宋_GB2312" w:hAnsi="宋体" w:eastAsia="仿宋_GB2312" w:cs="仿宋_GB2312"/>
          <w:shd w:val="clear" w:color="auto" w:fill="FFFFFF"/>
        </w:rPr>
      </w:pPr>
      <w:r>
        <w:rPr>
          <w:rFonts w:hint="eastAsia" w:ascii="仿宋_GB2312" w:hAnsi="仿宋_GB2312" w:eastAsia="仿宋_GB2312" w:cs="仿宋_GB2312"/>
          <w:b/>
          <w:bCs/>
          <w:color w:val="333333"/>
          <w:kern w:val="2"/>
          <w:shd w:val="clear" w:color="auto" w:fill="FEFDF9"/>
        </w:rPr>
        <w:t>二是全面落实助学政策。</w:t>
      </w:r>
      <w:r>
        <w:rPr>
          <w:rFonts w:hint="eastAsia" w:ascii="仿宋_GB2312" w:hAnsi="宋体" w:eastAsia="仿宋_GB2312" w:cs="仿宋_GB2312"/>
          <w:shd w:val="clear" w:color="auto" w:fill="FFFFFF"/>
        </w:rPr>
        <w:t>发挥麦洼乡助学济困基金作用，扩大助学范围，以帮扶更多贫困户学生，积极与</w:t>
      </w:r>
      <w:r>
        <w:rPr>
          <w:rFonts w:hint="eastAsia" w:ascii="仿宋_GB2312" w:hAnsi="仿宋" w:eastAsia="仿宋_GB2312" w:cs="仿宋"/>
        </w:rPr>
        <w:t>温州市、</w:t>
      </w:r>
      <w:r>
        <w:rPr>
          <w:rFonts w:hint="eastAsia" w:ascii="仿宋_GB2312" w:hAnsi="宋体" w:eastAsia="仿宋_GB2312" w:cs="仿宋_GB2312"/>
          <w:shd w:val="clear" w:color="auto" w:fill="FFFFFF"/>
        </w:rPr>
        <w:t>省食品药品检验检测院、泸州老窖股份有限公司等对口帮扶单位联系对接，</w:t>
      </w:r>
      <w:r>
        <w:rPr>
          <w:rFonts w:hint="eastAsia" w:ascii="仿宋_GB2312" w:hAnsi="仿宋" w:eastAsia="仿宋_GB2312" w:cs="仿宋"/>
        </w:rPr>
        <w:t>认真落实对口帮扶教育资助项目，走村入户，个个落实，遴选出品学兼优秀学生44位，发放助学金8万元。</w:t>
      </w:r>
      <w:r>
        <w:rPr>
          <w:rFonts w:hint="eastAsia" w:ascii="仿宋_GB2312" w:hAnsi="宋体" w:eastAsia="仿宋_GB2312"/>
          <w:kern w:val="2"/>
        </w:rPr>
        <w:t>16户16人，享受“雨露计划”。</w:t>
      </w:r>
    </w:p>
    <w:p>
      <w:pPr>
        <w:pStyle w:val="14"/>
        <w:shd w:val="clear" w:color="auto" w:fill="FEFDF9"/>
        <w:spacing w:before="0" w:beforeAutospacing="0" w:after="0" w:afterAutospacing="0"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color w:val="333333"/>
          <w:kern w:val="2"/>
          <w:sz w:val="32"/>
          <w:szCs w:val="32"/>
          <w:shd w:val="clear" w:color="auto" w:fill="FEFDF9"/>
        </w:rPr>
        <w:t>三是全面提高参与新型农村养老保险率。</w:t>
      </w:r>
      <w:r>
        <w:rPr>
          <w:rFonts w:hint="eastAsia" w:ascii="仿宋_GB2312" w:hAnsi="仿宋_GB2312" w:eastAsia="仿宋_GB2312" w:cs="仿宋_GB2312"/>
          <w:sz w:val="32"/>
          <w:szCs w:val="32"/>
        </w:rPr>
        <w:t>2019年麦洼乡参保人数提高到1155人，参保率达到24%,为321人发放养老保险金38.52万元。此外开展“敬信勤新”之“敬亲孝老”、“诚实守信”、“创新创业”评选活动，倡导文明礼仪，社会风气明显好转。</w:t>
      </w:r>
    </w:p>
    <w:p>
      <w:pPr>
        <w:pStyle w:val="14"/>
        <w:numPr>
          <w:ilvl w:val="0"/>
          <w:numId w:val="1"/>
        </w:numPr>
        <w:spacing w:before="0" w:beforeAutospacing="0" w:after="0" w:afterAutospacing="0" w:line="580" w:lineRule="exact"/>
        <w:ind w:firstLine="420"/>
        <w:rPr>
          <w:rStyle w:val="17"/>
          <w:rFonts w:ascii="黑体" w:hAnsi="黑体" w:eastAsia="黑体" w:cs="黑体"/>
          <w:b w:val="0"/>
          <w:bCs/>
          <w:color w:val="333333"/>
          <w:sz w:val="32"/>
          <w:szCs w:val="32"/>
          <w:shd w:val="clear" w:color="auto" w:fill="FEFDF9"/>
        </w:rPr>
      </w:pPr>
      <w:r>
        <w:rPr>
          <w:rStyle w:val="17"/>
          <w:rFonts w:hint="eastAsia" w:ascii="黑体" w:hAnsi="黑体" w:eastAsia="黑体" w:cs="黑体"/>
          <w:b w:val="0"/>
          <w:bCs/>
          <w:color w:val="333333"/>
          <w:sz w:val="32"/>
          <w:szCs w:val="32"/>
          <w:shd w:val="clear" w:color="auto" w:fill="FEFDF9"/>
        </w:rPr>
        <w:t>常抓不懈，社会治理成效明显。</w:t>
      </w:r>
    </w:p>
    <w:p>
      <w:pPr>
        <w:pStyle w:val="14"/>
        <w:shd w:val="clear" w:color="auto" w:fill="FEFDF9"/>
        <w:spacing w:before="0" w:beforeAutospacing="0" w:after="0" w:afterAutospacing="0" w:line="580" w:lineRule="exact"/>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bCs/>
          <w:color w:val="333333"/>
          <w:kern w:val="2"/>
          <w:sz w:val="32"/>
          <w:szCs w:val="32"/>
          <w:shd w:val="clear" w:color="auto" w:fill="FEFDF9"/>
        </w:rPr>
        <w:t>一是加强社会治安综合治理，狠抓维护稳定工作。</w:t>
      </w:r>
      <w:r>
        <w:rPr>
          <w:rFonts w:hint="eastAsia" w:ascii="仿宋_GB2312" w:hAnsi="仿宋_GB2312" w:eastAsia="仿宋_GB2312" w:cs="仿宋_GB2312"/>
          <w:b/>
          <w:bCs/>
          <w:sz w:val="32"/>
          <w:szCs w:val="32"/>
        </w:rPr>
        <w:t>一是</w:t>
      </w:r>
      <w:r>
        <w:rPr>
          <w:rFonts w:hint="eastAsia" w:ascii="仿宋_GB2312" w:hAnsi="仿宋_GB2312" w:eastAsia="仿宋_GB2312" w:cs="仿宋_GB2312"/>
          <w:bCs/>
          <w:sz w:val="32"/>
          <w:szCs w:val="32"/>
        </w:rPr>
        <w:t>强化宗教事务管理。及时了解场所内开展的宗教活动开展情况并备案在册，今年麦洼乡共计开展12起佛事活动。落实专人定期对65名散居僧人和劝返僧尼的情况进行收集掌握，注重劝返僧尼安置帮教，加强惠民政策宣传，帮助他们建立正确社会观，为维护社会和谐稳定做出贡献。</w:t>
      </w:r>
      <w:r>
        <w:rPr>
          <w:rFonts w:hint="eastAsia" w:ascii="仿宋_GB2312" w:hAnsi="仿宋_GB2312" w:eastAsia="仿宋_GB2312" w:cs="仿宋_GB2312"/>
          <w:b/>
          <w:bCs/>
          <w:sz w:val="32"/>
          <w:szCs w:val="32"/>
        </w:rPr>
        <w:t>二是</w:t>
      </w:r>
      <w:r>
        <w:rPr>
          <w:rFonts w:hint="eastAsia" w:ascii="仿宋_GB2312" w:hAnsi="仿宋_GB2312" w:eastAsia="仿宋_GB2312" w:cs="仿宋_GB2312"/>
          <w:bCs/>
          <w:sz w:val="32"/>
          <w:szCs w:val="32"/>
        </w:rPr>
        <w:t>全力维护社会稳定。抓排查调处，着力化解社会矛盾。今年麦洼乡共发生4起重大矛盾纠纷，成功调处4起，辖区内无重大信访案件和较大恶性刑事案件发生。抓重点人群，加强社会创新管理。针对5名重点人员，采取“一对一”、“多对一”的方式进行管理教育。抓“扫黑除恶”，创造稳定社会环境。召开专题会议6次学习贯彻中央、省、州、县“扫黑除恶”专项斗争会议精神，悬挂宣传横幅5条，召开“扫黑除恶”群众宣讲大会3次，受教育群众达到800余人次。抓民族团结创建，深化平安麦洼建设。</w:t>
      </w:r>
    </w:p>
    <w:p>
      <w:pPr>
        <w:pStyle w:val="14"/>
        <w:shd w:val="clear" w:color="auto" w:fill="FEFDF9"/>
        <w:spacing w:before="0" w:beforeAutospacing="0" w:after="0" w:afterAutospacing="0"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color w:val="333333"/>
          <w:kern w:val="2"/>
          <w:sz w:val="32"/>
          <w:szCs w:val="32"/>
          <w:shd w:val="clear" w:color="auto" w:fill="FEFDF9"/>
        </w:rPr>
        <w:t>三是严格落实安全生产主体责任。</w:t>
      </w:r>
      <w:r>
        <w:rPr>
          <w:rFonts w:hint="eastAsia" w:ascii="仿宋_GB2312" w:hAnsi="仿宋_GB2312" w:eastAsia="仿宋_GB2312" w:cs="仿宋_GB2312"/>
          <w:sz w:val="32"/>
          <w:szCs w:val="32"/>
        </w:rPr>
        <w:t>切实抓好道路交通、危险化学品、防汛、地质灾害等领域及学校、村委会、佛事活动等人员密集场所的安全隐患排查治理，做到不打折扣、不留死角、不走过场。</w:t>
      </w:r>
    </w:p>
    <w:p>
      <w:pPr>
        <w:pStyle w:val="14"/>
        <w:shd w:val="clear" w:color="auto" w:fill="FEFDF9"/>
        <w:spacing w:before="0" w:beforeAutospacing="0" w:after="0" w:afterAutospacing="0"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color w:val="333333"/>
          <w:kern w:val="2"/>
          <w:sz w:val="32"/>
          <w:szCs w:val="32"/>
          <w:shd w:val="clear" w:color="auto" w:fill="FEFDF9"/>
        </w:rPr>
        <w:t>四是认真落实食品药品监督管理力度。</w:t>
      </w:r>
      <w:r>
        <w:rPr>
          <w:rFonts w:hint="eastAsia" w:ascii="仿宋_GB2312" w:hAnsi="仿宋_GB2312" w:eastAsia="仿宋_GB2312" w:cs="仿宋_GB2312"/>
          <w:sz w:val="32"/>
          <w:szCs w:val="32"/>
        </w:rPr>
        <w:t>加强食品生产、销售行业的监管，严厉打击食品药品安全违法行为。与22家餐馆店铺商户签订食品安全承诺书22份。截止目前，全乡社会大局稳定，未发生一例安全事故和群体性事件。</w:t>
      </w:r>
    </w:p>
    <w:p>
      <w:pPr>
        <w:pStyle w:val="14"/>
        <w:numPr>
          <w:ilvl w:val="0"/>
          <w:numId w:val="1"/>
        </w:numPr>
        <w:spacing w:before="0" w:beforeAutospacing="0" w:after="0" w:afterAutospacing="0" w:line="580" w:lineRule="exact"/>
        <w:ind w:firstLine="420"/>
        <w:rPr>
          <w:rStyle w:val="17"/>
          <w:rFonts w:ascii="黑体" w:hAnsi="黑体" w:eastAsia="黑体" w:cs="黑体"/>
          <w:b w:val="0"/>
          <w:bCs/>
          <w:color w:val="333333"/>
          <w:sz w:val="32"/>
          <w:szCs w:val="32"/>
          <w:shd w:val="clear" w:color="auto" w:fill="FEFDF9"/>
        </w:rPr>
      </w:pPr>
      <w:r>
        <w:rPr>
          <w:rStyle w:val="17"/>
          <w:rFonts w:hint="eastAsia" w:ascii="黑体" w:hAnsi="黑体" w:eastAsia="黑体" w:cs="黑体"/>
          <w:b w:val="0"/>
          <w:bCs/>
          <w:color w:val="333333"/>
          <w:sz w:val="32"/>
          <w:szCs w:val="32"/>
          <w:shd w:val="clear" w:color="auto" w:fill="FEFDF9"/>
        </w:rPr>
        <w:t>重拳出击，蓝天保卫战攻坚克难</w:t>
      </w:r>
    </w:p>
    <w:p>
      <w:pPr>
        <w:widowControl/>
        <w:shd w:val="clear" w:color="auto" w:fill="FFFFFF"/>
        <w:spacing w:line="580" w:lineRule="exact"/>
        <w:ind w:firstLine="640"/>
        <w:jc w:val="left"/>
        <w:rPr>
          <w:rFonts w:ascii="仿宋_GB2312" w:hAnsi="宋体" w:eastAsia="仿宋_GB2312" w:cs="仿宋_GB2312"/>
          <w:color w:val="000000"/>
          <w:kern w:val="0"/>
          <w:sz w:val="32"/>
          <w:szCs w:val="32"/>
          <w:shd w:val="clear" w:color="auto" w:fill="FFFFFF"/>
        </w:rPr>
      </w:pPr>
      <w:r>
        <w:rPr>
          <w:rFonts w:hint="eastAsia" w:ascii="仿宋_GB2312" w:hAnsi="宋体" w:eastAsia="仿宋_GB2312" w:cs="仿宋_GB2312"/>
          <w:color w:val="000000"/>
          <w:kern w:val="0"/>
          <w:sz w:val="32"/>
          <w:szCs w:val="32"/>
          <w:shd w:val="clear" w:color="auto" w:fill="FFFFFF"/>
        </w:rPr>
        <w:t>2019年麦洼乡认真贯彻落实县委、县政府开展全域无垃圾整治行动部署要求，巩固麦洼乡“我承诺，我行动”藏区牧区基层善治实践活动成果，积极打造“农村环境”升级版。按照“统一领导、分级负责、标本兼治、长效管理”原则，围绕“人要精神、物要整洁、思想要解放、作风要转变”目标，动员一切力量向乡村环境卫生集中攻坚，迅速掀起城乡环境卫生综合整治的热潮。</w:t>
      </w:r>
    </w:p>
    <w:p>
      <w:pPr>
        <w:spacing w:line="580" w:lineRule="exact"/>
        <w:ind w:firstLine="643" w:firstLineChars="200"/>
        <w:jc w:val="left"/>
        <w:rPr>
          <w:rFonts w:ascii="仿宋_GB2312" w:hAnsi="宋体" w:eastAsia="仿宋_GB2312" w:cs="仿宋_GB2312"/>
          <w:color w:val="000000"/>
          <w:kern w:val="0"/>
          <w:sz w:val="32"/>
          <w:szCs w:val="32"/>
          <w:shd w:val="clear" w:color="auto" w:fill="FFFFFF"/>
        </w:rPr>
      </w:pPr>
      <w:r>
        <w:rPr>
          <w:rFonts w:hint="eastAsia" w:ascii="仿宋_GB2312" w:hAnsi="仿宋_GB2312" w:eastAsia="仿宋_GB2312" w:cs="仿宋_GB2312"/>
          <w:b/>
          <w:bCs/>
          <w:color w:val="333333"/>
          <w:sz w:val="32"/>
          <w:szCs w:val="32"/>
          <w:shd w:val="clear" w:color="auto" w:fill="FEFDF9"/>
        </w:rPr>
        <w:t>一是全覆盖动员。</w:t>
      </w:r>
      <w:r>
        <w:rPr>
          <w:rFonts w:hint="eastAsia" w:ascii="仿宋_GB2312" w:hAnsi="宋体" w:eastAsia="仿宋_GB2312" w:cs="仿宋_GB2312"/>
          <w:color w:val="000000"/>
          <w:kern w:val="0"/>
          <w:sz w:val="32"/>
          <w:szCs w:val="32"/>
          <w:shd w:val="clear" w:color="auto" w:fill="FFFFFF"/>
        </w:rPr>
        <w:t>成立麦洼乡“我承诺、我行动”环卫突击队，动员全乡干部、麦洼乡青年志愿者服务队、民兵、村干部、河道管护员、湿地管护员、护草员、护林员、麦洼小学学子等各方面力量，发动牧民群众自发参与，集中两天时间分片区合力攻坚。突击行动中，共组织1500余人次参与环境卫生整治工作，其中麦洼小学400余人次、村干部50余人次、民兵40余人次、群众1000余人次，实现全覆盖动员。同时，采取包干打扫、分头行动、比学赶超的方式，成立8个突击队小组、分成8个片区，工作群晾晒各突击队小组工作进度和成效，有力推动各突击队小组成员都表现出极大的劳动热情，形成了人人参与、上下联动的积极整治氛围。</w:t>
      </w:r>
    </w:p>
    <w:p>
      <w:pPr>
        <w:spacing w:line="580" w:lineRule="exact"/>
        <w:ind w:firstLine="643" w:firstLineChars="200"/>
        <w:jc w:val="left"/>
        <w:rPr>
          <w:rFonts w:ascii="仿宋_GB2312" w:hAnsi="宋体" w:eastAsia="仿宋_GB2312" w:cs="仿宋_GB2312"/>
          <w:color w:val="000000"/>
          <w:kern w:val="0"/>
          <w:sz w:val="32"/>
          <w:szCs w:val="32"/>
          <w:shd w:val="clear" w:color="auto" w:fill="FFFFFF"/>
        </w:rPr>
      </w:pPr>
      <w:r>
        <w:rPr>
          <w:rFonts w:hint="eastAsia" w:ascii="仿宋_GB2312" w:hAnsi="仿宋_GB2312" w:eastAsia="仿宋_GB2312" w:cs="仿宋_GB2312"/>
          <w:b/>
          <w:bCs/>
          <w:color w:val="333333"/>
          <w:sz w:val="32"/>
          <w:szCs w:val="32"/>
          <w:shd w:val="clear" w:color="auto" w:fill="FEFDF9"/>
        </w:rPr>
        <w:t>二是明确整治重点。</w:t>
      </w:r>
      <w:r>
        <w:rPr>
          <w:rFonts w:hint="eastAsia" w:ascii="仿宋_GB2312" w:hAnsi="宋体" w:eastAsia="仿宋_GB2312" w:cs="仿宋_GB2312"/>
          <w:color w:val="000000"/>
          <w:kern w:val="0"/>
          <w:sz w:val="32"/>
          <w:szCs w:val="32"/>
          <w:shd w:val="clear" w:color="auto" w:fill="FFFFFF"/>
        </w:rPr>
        <w:t>各突击队小组分别对垃圾场周围、人员集中地、经幡悬挂处、河道、沿途公路及附近的路面全覆盖进行环境卫生综合整治。在环境卫生整治突击中，牧民群众也自发积极参与对自家屋前房后、家里家外的卫生打扫，积极参与到村内卫生死角、垃圾点、公路主干道沿途卫生清扫。</w:t>
      </w:r>
    </w:p>
    <w:p>
      <w:pPr>
        <w:spacing w:line="580" w:lineRule="exact"/>
        <w:ind w:firstLine="643" w:firstLineChars="200"/>
        <w:rPr>
          <w:rStyle w:val="17"/>
          <w:rFonts w:ascii="黑体" w:hAnsi="黑体" w:eastAsia="黑体" w:cs="黑体"/>
          <w:b w:val="0"/>
          <w:bCs/>
          <w:color w:val="333333"/>
          <w:sz w:val="32"/>
          <w:szCs w:val="32"/>
          <w:shd w:val="clear" w:color="auto" w:fill="FEFDF9"/>
        </w:rPr>
      </w:pPr>
      <w:r>
        <w:rPr>
          <w:rFonts w:hint="eastAsia" w:ascii="仿宋_GB2312" w:hAnsi="仿宋_GB2312" w:eastAsia="仿宋_GB2312" w:cs="仿宋_GB2312"/>
          <w:b/>
          <w:bCs/>
          <w:color w:val="333333"/>
          <w:sz w:val="32"/>
          <w:szCs w:val="32"/>
          <w:shd w:val="clear" w:color="auto" w:fill="FEFDF9"/>
        </w:rPr>
        <w:t>三是建立长效机制。</w:t>
      </w:r>
      <w:r>
        <w:rPr>
          <w:rFonts w:hint="eastAsia" w:ascii="仿宋_GB2312" w:hAnsi="宋体" w:eastAsia="仿宋_GB2312" w:cs="仿宋_GB2312"/>
          <w:color w:val="000000"/>
          <w:kern w:val="0"/>
          <w:sz w:val="32"/>
          <w:szCs w:val="32"/>
          <w:shd w:val="clear" w:color="auto" w:fill="FFFFFF"/>
        </w:rPr>
        <w:t>以此次集中整治为契机，结合实际，进一步建立建全“深层次、全方位、总动员”的环境卫生治理长效机制。</w:t>
      </w:r>
      <w:r>
        <w:rPr>
          <w:rFonts w:hint="eastAsia" w:ascii="楷体_GB2312" w:hAnsi="楷体_GB2312" w:eastAsia="楷体_GB2312" w:cs="楷体_GB2312"/>
          <w:b/>
          <w:bCs/>
          <w:sz w:val="32"/>
          <w:szCs w:val="32"/>
        </w:rPr>
        <w:t>一是建立宣传动员机制。</w:t>
      </w:r>
      <w:r>
        <w:rPr>
          <w:rFonts w:hint="eastAsia" w:ascii="仿宋_GB2312" w:hAnsi="仿宋" w:eastAsia="仿宋_GB2312" w:cs="仿宋"/>
          <w:sz w:val="32"/>
          <w:szCs w:val="32"/>
        </w:rPr>
        <w:t>广泛宣传，采取会议、流动广播、板报、横幅等形式广泛宣传环境整治的意义，促使广大群众树立参与集体活动的积极意识。</w:t>
      </w:r>
      <w:r>
        <w:rPr>
          <w:rFonts w:hint="eastAsia" w:ascii="楷体_GB2312" w:hAnsi="楷体_GB2312" w:eastAsia="楷体_GB2312" w:cs="楷体_GB2312"/>
          <w:b/>
          <w:bCs/>
          <w:sz w:val="32"/>
          <w:szCs w:val="32"/>
        </w:rPr>
        <w:t>二是逗硬落实门前三包制度</w:t>
      </w:r>
      <w:r>
        <w:rPr>
          <w:rFonts w:hint="eastAsia" w:ascii="楷体" w:hAnsi="楷体" w:eastAsia="楷体" w:cs="楷体"/>
          <w:sz w:val="32"/>
          <w:szCs w:val="32"/>
        </w:rPr>
        <w:t>。</w:t>
      </w:r>
      <w:r>
        <w:rPr>
          <w:rFonts w:hint="eastAsia" w:ascii="仿宋_GB2312" w:hAnsi="仿宋" w:eastAsia="仿宋_GB2312" w:cs="仿宋"/>
          <w:sz w:val="32"/>
          <w:szCs w:val="32"/>
        </w:rPr>
        <w:t>落实各户门前“三包”做到“户清”标准，培养牧民群众的卫生意识、环境意识等最基本的公民道德意识。</w:t>
      </w:r>
      <w:r>
        <w:rPr>
          <w:rFonts w:hint="eastAsia" w:ascii="楷体_GB2312" w:hAnsi="楷体_GB2312" w:eastAsia="楷体_GB2312" w:cs="楷体_GB2312"/>
          <w:b/>
          <w:bCs/>
          <w:sz w:val="32"/>
          <w:szCs w:val="32"/>
        </w:rPr>
        <w:t>三是设立环境卫生打扫日。</w:t>
      </w:r>
      <w:r>
        <w:rPr>
          <w:rFonts w:hint="eastAsia" w:ascii="仿宋_GB2312" w:hAnsi="仿宋" w:eastAsia="仿宋_GB2312" w:cs="仿宋"/>
          <w:sz w:val="32"/>
          <w:szCs w:val="32"/>
        </w:rPr>
        <w:t>将每月22日作为环境卫生打扫日，动员全乡干部群众积极参与，实施网格化管理，营造浓烈的环境卫生整治氛围，着力提高牧民群众公共卫生素质。</w:t>
      </w:r>
      <w:r>
        <w:rPr>
          <w:rFonts w:hint="eastAsia" w:ascii="楷体_GB2312" w:hAnsi="楷体_GB2312" w:eastAsia="楷体_GB2312" w:cs="楷体_GB2312"/>
          <w:b/>
          <w:bCs/>
          <w:sz w:val="32"/>
          <w:szCs w:val="32"/>
        </w:rPr>
        <w:t>四是提升环卫设施保障水平。</w:t>
      </w:r>
      <w:r>
        <w:rPr>
          <w:rFonts w:hint="eastAsia" w:ascii="仿宋_GB2312" w:hAnsi="仿宋" w:eastAsia="仿宋_GB2312" w:cs="仿宋"/>
          <w:sz w:val="32"/>
          <w:szCs w:val="32"/>
        </w:rPr>
        <w:t>广泛听取干部群众，梳理排查环卫设施需求，完成2019垃圾场、垃圾中转站等项目的前期勘测，垃圾车、垃圾桶等的领取。通过这次活动，不仅改善了麦洼乡环境卫生状况，还让村民增强了爱护环境卫生保洁意识，形成了共创洁净、优美、舒适生活环境的共识共为。</w:t>
      </w:r>
    </w:p>
    <w:p>
      <w:pPr>
        <w:pStyle w:val="7"/>
        <w:adjustRightInd w:val="0"/>
        <w:snapToGrid w:val="0"/>
        <w:spacing w:before="93" w:line="600" w:lineRule="exact"/>
        <w:ind w:firstLine="672" w:firstLineChars="210"/>
        <w:outlineLvl w:val="2"/>
        <w:rPr>
          <w:rFonts w:ascii="仿宋" w:hAnsi="仿宋" w:eastAsia="仿宋"/>
          <w:bCs/>
          <w:color w:val="000000" w:themeColor="text1"/>
          <w:sz w:val="32"/>
          <w:szCs w:val="32"/>
        </w:rPr>
      </w:pPr>
    </w:p>
    <w:p>
      <w:pPr>
        <w:pStyle w:val="7"/>
        <w:adjustRightInd w:val="0"/>
        <w:snapToGrid w:val="0"/>
        <w:spacing w:before="93" w:line="600" w:lineRule="exact"/>
        <w:ind w:firstLine="672" w:firstLineChars="210"/>
        <w:outlineLvl w:val="2"/>
        <w:rPr>
          <w:rFonts w:ascii="仿宋" w:hAnsi="仿宋" w:eastAsia="仿宋"/>
          <w:bCs/>
          <w:color w:val="000000" w:themeColor="text1"/>
          <w:sz w:val="32"/>
          <w:szCs w:val="32"/>
        </w:rPr>
      </w:pPr>
    </w:p>
    <w:p>
      <w:pPr>
        <w:pStyle w:val="5"/>
        <w:rPr>
          <w:rStyle w:val="28"/>
          <w:b w:val="0"/>
          <w:bCs w:val="0"/>
          <w:color w:val="000000" w:themeColor="text1"/>
        </w:rPr>
      </w:pPr>
      <w:bookmarkStart w:id="27" w:name="_Toc15396601"/>
      <w:bookmarkStart w:id="28" w:name="_Toc20460"/>
      <w:bookmarkStart w:id="29" w:name="_Toc15377200"/>
      <w:r>
        <w:rPr>
          <w:rFonts w:hint="eastAsia" w:ascii="黑体" w:eastAsia="黑体"/>
          <w:b w:val="0"/>
          <w:color w:val="000000" w:themeColor="text1"/>
        </w:rPr>
        <w:t>二、</w:t>
      </w:r>
      <w:r>
        <w:rPr>
          <w:rFonts w:hint="eastAsia" w:ascii="黑体" w:hAnsi="黑体" w:eastAsia="黑体"/>
          <w:b w:val="0"/>
          <w:color w:val="000000" w:themeColor="text1"/>
        </w:rPr>
        <w:t>机</w:t>
      </w:r>
      <w:r>
        <w:rPr>
          <w:rStyle w:val="28"/>
          <w:rFonts w:hint="eastAsia" w:ascii="黑体" w:hAnsi="黑体" w:eastAsia="黑体"/>
          <w:b w:val="0"/>
          <w:bCs w:val="0"/>
          <w:color w:val="000000" w:themeColor="text1"/>
        </w:rPr>
        <w:t>构设置</w:t>
      </w:r>
      <w:bookmarkEnd w:id="27"/>
      <w:bookmarkEnd w:id="28"/>
      <w:bookmarkEnd w:id="29"/>
    </w:p>
    <w:p>
      <w:pPr>
        <w:snapToGrid w:val="0"/>
        <w:spacing w:line="52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麦洼乡人民政府下属二级单位0个，其中行政单位0个，参照公务员法管理的事业单位</w:t>
      </w:r>
      <w:r>
        <w:rPr>
          <w:rFonts w:hint="eastAsia" w:ascii="仿宋" w:hAnsi="仿宋" w:eastAsia="仿宋"/>
          <w:bCs/>
          <w:color w:val="000000" w:themeColor="text1"/>
          <w:sz w:val="32"/>
          <w:szCs w:val="32"/>
        </w:rPr>
        <w:t>0</w:t>
      </w:r>
      <w:r>
        <w:rPr>
          <w:rFonts w:hint="eastAsia" w:ascii="仿宋" w:hAnsi="仿宋" w:eastAsia="仿宋"/>
          <w:color w:val="000000" w:themeColor="text1"/>
          <w:sz w:val="32"/>
          <w:szCs w:val="32"/>
        </w:rPr>
        <w:t>个，其他事业单位0个。</w:t>
      </w:r>
      <w:bookmarkStart w:id="30" w:name="_Toc15306275"/>
      <w:bookmarkStart w:id="31" w:name="_Toc15377201"/>
      <w:bookmarkStart w:id="32" w:name="_Toc15378448"/>
      <w:bookmarkStart w:id="33" w:name="_Toc15377432"/>
    </w:p>
    <w:p>
      <w:pPr>
        <w:snapToGrid w:val="0"/>
        <w:spacing w:line="520" w:lineRule="exact"/>
        <w:ind w:firstLine="640" w:firstLineChars="200"/>
        <w:rPr>
          <w:rFonts w:ascii="仿宋" w:hAnsi="仿宋" w:eastAsia="仿宋"/>
          <w:color w:val="000000" w:themeColor="text1"/>
          <w:kern w:val="0"/>
          <w:sz w:val="32"/>
          <w:szCs w:val="32"/>
        </w:rPr>
      </w:pPr>
      <w:r>
        <w:rPr>
          <w:rFonts w:hint="eastAsia" w:ascii="仿宋_GB2312" w:hAnsi="仿宋_GB2312" w:eastAsia="仿宋_GB2312" w:cs="仿宋_GB2312"/>
          <w:bCs/>
          <w:color w:val="000000" w:themeColor="text1"/>
          <w:sz w:val="32"/>
          <w:szCs w:val="32"/>
        </w:rPr>
        <w:t>我单位为独立核算全额拨款行政单位，2个机构，一个共产党机关，一个政府机关。</w:t>
      </w:r>
      <w:bookmarkEnd w:id="30"/>
      <w:bookmarkEnd w:id="31"/>
      <w:bookmarkEnd w:id="32"/>
      <w:bookmarkEnd w:id="33"/>
      <w:r>
        <w:rPr>
          <w:rFonts w:ascii="仿宋" w:hAnsi="仿宋" w:eastAsia="仿宋"/>
          <w:color w:val="000000" w:themeColor="text1"/>
          <w:sz w:val="32"/>
          <w:szCs w:val="32"/>
        </w:rPr>
        <w:br w:type="page"/>
      </w:r>
    </w:p>
    <w:p>
      <w:pPr>
        <w:pStyle w:val="4"/>
        <w:ind w:right="440" w:firstLine="440" w:firstLineChars="100"/>
        <w:rPr>
          <w:rStyle w:val="27"/>
          <w:rFonts w:ascii="黑体" w:hAnsi="黑体" w:eastAsia="黑体"/>
          <w:b w:val="0"/>
          <w:bCs w:val="0"/>
          <w:color w:val="000000" w:themeColor="text1"/>
        </w:rPr>
      </w:pPr>
      <w:bookmarkStart w:id="34" w:name="_Toc31907"/>
      <w:bookmarkStart w:id="35" w:name="_Toc15377204"/>
      <w:bookmarkStart w:id="36" w:name="_Toc15396602"/>
      <w:r>
        <w:rPr>
          <w:rFonts w:hint="eastAsia" w:ascii="黑体" w:hAnsi="黑体" w:eastAsia="黑体"/>
          <w:b w:val="0"/>
          <w:color w:val="000000" w:themeColor="text1"/>
        </w:rPr>
        <w:t>第二部分</w:t>
      </w:r>
      <w:r>
        <w:rPr>
          <w:rFonts w:hint="eastAsia" w:ascii="黑体" w:hAnsi="黑体" w:eastAsia="黑体"/>
          <w:color w:val="000000" w:themeColor="text1"/>
        </w:rPr>
        <w:t xml:space="preserve"> </w:t>
      </w:r>
      <w:r>
        <w:rPr>
          <w:rStyle w:val="27"/>
          <w:rFonts w:hint="eastAsia" w:ascii="黑体" w:hAnsi="黑体" w:eastAsia="黑体"/>
          <w:b w:val="0"/>
          <w:bCs w:val="0"/>
          <w:color w:val="000000" w:themeColor="text1"/>
        </w:rPr>
        <w:t>2019年度部门决算情况说明</w:t>
      </w:r>
      <w:bookmarkEnd w:id="34"/>
      <w:bookmarkEnd w:id="35"/>
      <w:bookmarkEnd w:id="36"/>
    </w:p>
    <w:p>
      <w:pPr>
        <w:rPr>
          <w:color w:val="000000" w:themeColor="text1"/>
        </w:rPr>
      </w:pPr>
    </w:p>
    <w:p>
      <w:pPr>
        <w:pStyle w:val="26"/>
        <w:numPr>
          <w:ilvl w:val="0"/>
          <w:numId w:val="2"/>
        </w:numPr>
        <w:spacing w:line="600" w:lineRule="exact"/>
        <w:ind w:firstLineChars="0"/>
        <w:outlineLvl w:val="1"/>
        <w:rPr>
          <w:rStyle w:val="28"/>
          <w:rFonts w:ascii="黑体" w:hAnsi="黑体" w:eastAsia="黑体"/>
          <w:b w:val="0"/>
          <w:color w:val="000000" w:themeColor="text1"/>
        </w:rPr>
      </w:pPr>
      <w:bookmarkStart w:id="37" w:name="_Toc22966"/>
      <w:bookmarkStart w:id="38" w:name="_Toc15377205"/>
      <w:bookmarkStart w:id="39" w:name="_Toc15396603"/>
      <w:r>
        <w:rPr>
          <w:rFonts w:hint="eastAsia" w:ascii="黑体" w:hAnsi="黑体" w:eastAsia="黑体"/>
          <w:color w:val="000000" w:themeColor="text1"/>
          <w:sz w:val="32"/>
          <w:szCs w:val="32"/>
        </w:rPr>
        <w:t>收</w:t>
      </w:r>
      <w:r>
        <w:rPr>
          <w:rStyle w:val="28"/>
          <w:rFonts w:hint="eastAsia" w:ascii="黑体" w:hAnsi="黑体" w:eastAsia="黑体"/>
          <w:b w:val="0"/>
          <w:color w:val="000000" w:themeColor="text1"/>
        </w:rPr>
        <w:t>入支出决算总体情况说明</w:t>
      </w:r>
      <w:bookmarkEnd w:id="37"/>
      <w:bookmarkEnd w:id="38"/>
      <w:bookmarkEnd w:id="39"/>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2019年度收入730.51万元，支出761.16万元。与2018年相比，收减少507.35，支减少475.22万元，分别减少43.29</w:t>
      </w:r>
      <w:r>
        <w:rPr>
          <w:rFonts w:ascii="仿宋" w:hAnsi="仿宋" w:eastAsia="仿宋"/>
          <w:color w:val="000000" w:themeColor="text1"/>
          <w:sz w:val="32"/>
          <w:szCs w:val="32"/>
        </w:rPr>
        <w:t>%</w:t>
      </w:r>
      <w:r>
        <w:rPr>
          <w:rFonts w:hint="eastAsia" w:ascii="仿宋" w:hAnsi="仿宋" w:eastAsia="仿宋"/>
          <w:color w:val="000000" w:themeColor="text1"/>
          <w:sz w:val="32"/>
          <w:szCs w:val="32"/>
        </w:rPr>
        <w:t>、38.43%。主要变动原因是2019年度我乡建设项目减少。</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935" distR="114935" simplePos="0" relativeHeight="251659264" behindDoc="1" locked="0" layoutInCell="1" allowOverlap="1">
            <wp:simplePos x="0" y="0"/>
            <wp:positionH relativeFrom="column">
              <wp:posOffset>377825</wp:posOffset>
            </wp:positionH>
            <wp:positionV relativeFrom="paragraph">
              <wp:posOffset>194310</wp:posOffset>
            </wp:positionV>
            <wp:extent cx="4064635" cy="2263140"/>
            <wp:effectExtent l="4445" t="4445" r="7620" b="1841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_GB2312" w:eastAsia="仿宋_GB2312"/>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6"/>
        <w:numPr>
          <w:ilvl w:val="0"/>
          <w:numId w:val="2"/>
        </w:numPr>
        <w:spacing w:line="600" w:lineRule="exact"/>
        <w:ind w:firstLineChars="0"/>
        <w:outlineLvl w:val="1"/>
        <w:rPr>
          <w:rStyle w:val="28"/>
          <w:rFonts w:ascii="黑体" w:hAnsi="黑体" w:eastAsia="黑体"/>
          <w:b w:val="0"/>
          <w:color w:val="000000" w:themeColor="text1"/>
        </w:rPr>
      </w:pPr>
      <w:bookmarkStart w:id="40" w:name="_Toc15377206"/>
      <w:bookmarkStart w:id="41" w:name="_Toc27590"/>
      <w:bookmarkStart w:id="42" w:name="_Toc15396604"/>
      <w:r>
        <w:rPr>
          <w:rFonts w:hint="eastAsia" w:ascii="黑体" w:hAnsi="黑体" w:eastAsia="黑体"/>
          <w:color w:val="000000" w:themeColor="text1"/>
          <w:sz w:val="32"/>
          <w:szCs w:val="32"/>
        </w:rPr>
        <w:t>收</w:t>
      </w:r>
      <w:r>
        <w:rPr>
          <w:rStyle w:val="28"/>
          <w:rFonts w:hint="eastAsia" w:ascii="黑体" w:hAnsi="黑体" w:eastAsia="黑体"/>
          <w:b w:val="0"/>
          <w:color w:val="000000" w:themeColor="text1"/>
        </w:rPr>
        <w:t>入决算情况说明</w:t>
      </w:r>
      <w:bookmarkEnd w:id="40"/>
      <w:bookmarkEnd w:id="41"/>
      <w:bookmarkEnd w:id="42"/>
    </w:p>
    <w:p>
      <w:pPr>
        <w:spacing w:line="600" w:lineRule="exact"/>
        <w:ind w:firstLine="640" w:firstLineChars="200"/>
        <w:outlineLvl w:val="1"/>
        <w:rPr>
          <w:rFonts w:ascii="仿宋" w:hAnsi="仿宋" w:eastAsia="仿宋"/>
          <w:color w:val="000000" w:themeColor="text1"/>
          <w:sz w:val="32"/>
          <w:szCs w:val="32"/>
        </w:rPr>
      </w:pPr>
      <w:bookmarkStart w:id="43" w:name="_Toc238"/>
      <w:r>
        <w:rPr>
          <w:rFonts w:ascii="仿宋" w:hAnsi="仿宋" w:eastAsia="仿宋"/>
          <w:color w:val="000000" w:themeColor="text1"/>
          <w:sz w:val="32"/>
          <w:szCs w:val="32"/>
        </w:rPr>
        <w:t>201</w:t>
      </w:r>
      <w:r>
        <w:rPr>
          <w:rFonts w:hint="eastAsia" w:ascii="仿宋" w:hAnsi="仿宋" w:eastAsia="仿宋"/>
          <w:color w:val="000000" w:themeColor="text1"/>
          <w:sz w:val="32"/>
          <w:szCs w:val="32"/>
        </w:rPr>
        <w:t>9年本年收入合计730.51万元，其中：一般公共预算财政拨款收入720.51万元，占98.6</w:t>
      </w:r>
      <w:r>
        <w:rPr>
          <w:rFonts w:ascii="仿宋" w:hAnsi="仿宋" w:eastAsia="仿宋"/>
          <w:color w:val="000000" w:themeColor="text1"/>
          <w:sz w:val="32"/>
          <w:szCs w:val="32"/>
        </w:rPr>
        <w:t>%</w:t>
      </w:r>
      <w:r>
        <w:rPr>
          <w:rFonts w:hint="eastAsia" w:ascii="仿宋" w:hAnsi="仿宋" w:eastAsia="仿宋"/>
          <w:color w:val="000000" w:themeColor="text1"/>
          <w:sz w:val="32"/>
          <w:szCs w:val="32"/>
        </w:rPr>
        <w:t>；政府性基金预算财政拨款收入0万元，占0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；上级补助收入0万元，占0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；事业收入0万元，占0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；经营收入0万元，占0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；附属单位上缴收入0万元，占0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；其他收入10万元，占 1.3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bookmarkEnd w:id="43"/>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935" distR="114935" simplePos="0" relativeHeight="251660288" behindDoc="1" locked="0" layoutInCell="1" allowOverlap="1">
            <wp:simplePos x="0" y="0"/>
            <wp:positionH relativeFrom="column">
              <wp:posOffset>179705</wp:posOffset>
            </wp:positionH>
            <wp:positionV relativeFrom="paragraph">
              <wp:posOffset>64770</wp:posOffset>
            </wp:positionV>
            <wp:extent cx="4191635" cy="2341245"/>
            <wp:effectExtent l="4445" t="4445" r="13970" b="1651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600" w:lineRule="exact"/>
        <w:ind w:firstLine="640" w:firstLineChars="200"/>
        <w:rPr>
          <w:rFonts w:ascii="仿宋_GB2312" w:eastAsia="仿宋_GB2312"/>
          <w:color w:val="000000" w:themeColor="text1"/>
          <w:sz w:val="32"/>
          <w:szCs w:val="32"/>
        </w:rPr>
      </w:pPr>
      <w:r>
        <w:rPr>
          <w:rFonts w:hint="eastAsia" w:ascii="仿宋" w:hAnsi="仿宋" w:eastAsia="仿宋"/>
          <w:color w:val="000000" w:themeColor="text1"/>
          <w:sz w:val="32"/>
          <w:szCs w:val="32"/>
        </w:rPr>
        <w:t>（图2：收入决算结构图）（饼状图）</w:t>
      </w:r>
    </w:p>
    <w:p>
      <w:pPr>
        <w:pStyle w:val="26"/>
        <w:numPr>
          <w:ilvl w:val="0"/>
          <w:numId w:val="2"/>
        </w:numPr>
        <w:spacing w:line="600" w:lineRule="exact"/>
        <w:ind w:firstLineChars="0"/>
        <w:outlineLvl w:val="1"/>
        <w:rPr>
          <w:rStyle w:val="28"/>
          <w:rFonts w:ascii="黑体" w:hAnsi="黑体" w:eastAsia="黑体"/>
          <w:b w:val="0"/>
          <w:color w:val="000000" w:themeColor="text1"/>
        </w:rPr>
      </w:pPr>
      <w:bookmarkStart w:id="44" w:name="_Toc15396605"/>
      <w:bookmarkStart w:id="45" w:name="_Toc15377207"/>
      <w:bookmarkStart w:id="46" w:name="_Toc18910"/>
      <w:r>
        <w:rPr>
          <w:rFonts w:hint="eastAsia" w:ascii="黑体" w:hAnsi="黑体" w:eastAsia="黑体"/>
          <w:color w:val="000000" w:themeColor="text1"/>
          <w:sz w:val="32"/>
          <w:szCs w:val="32"/>
        </w:rPr>
        <w:t>支</w:t>
      </w:r>
      <w:r>
        <w:rPr>
          <w:rStyle w:val="28"/>
          <w:rFonts w:hint="eastAsia" w:ascii="黑体" w:hAnsi="黑体" w:eastAsia="黑体"/>
          <w:b w:val="0"/>
          <w:color w:val="000000" w:themeColor="text1"/>
        </w:rPr>
        <w:t>出决算情况说明</w:t>
      </w:r>
      <w:bookmarkEnd w:id="44"/>
      <w:bookmarkEnd w:id="45"/>
      <w:bookmarkEnd w:id="46"/>
    </w:p>
    <w:p>
      <w:pPr>
        <w:spacing w:line="600" w:lineRule="exact"/>
        <w:ind w:firstLine="640" w:firstLineChars="200"/>
        <w:outlineLvl w:val="1"/>
        <w:rPr>
          <w:rFonts w:ascii="仿宋" w:hAnsi="仿宋" w:eastAsia="仿宋"/>
          <w:color w:val="000000" w:themeColor="text1"/>
          <w:sz w:val="32"/>
          <w:szCs w:val="32"/>
        </w:rPr>
      </w:pPr>
      <w:bookmarkStart w:id="47" w:name="_Toc22150"/>
      <w:r>
        <w:rPr>
          <w:rFonts w:ascii="仿宋" w:hAnsi="仿宋" w:eastAsia="仿宋"/>
          <w:color w:val="000000" w:themeColor="text1"/>
          <w:sz w:val="32"/>
          <w:szCs w:val="32"/>
        </w:rPr>
        <w:t>201</w:t>
      </w:r>
      <w:r>
        <w:rPr>
          <w:rFonts w:hint="eastAsia" w:ascii="仿宋" w:hAnsi="仿宋" w:eastAsia="仿宋"/>
          <w:color w:val="000000" w:themeColor="text1"/>
          <w:sz w:val="32"/>
          <w:szCs w:val="32"/>
        </w:rPr>
        <w:t>9年本年支出合计761.16万元，其中：基本支出604.33万元，占79.39</w:t>
      </w:r>
      <w:r>
        <w:rPr>
          <w:rFonts w:ascii="仿宋" w:hAnsi="仿宋" w:eastAsia="仿宋"/>
          <w:color w:val="000000" w:themeColor="text1"/>
          <w:sz w:val="32"/>
          <w:szCs w:val="32"/>
        </w:rPr>
        <w:t>%</w:t>
      </w:r>
      <w:r>
        <w:rPr>
          <w:rFonts w:hint="eastAsia" w:ascii="仿宋" w:hAnsi="仿宋" w:eastAsia="仿宋"/>
          <w:color w:val="000000" w:themeColor="text1"/>
          <w:sz w:val="32"/>
          <w:szCs w:val="32"/>
        </w:rPr>
        <w:t>；项目支出156.83万元，占20.60</w:t>
      </w:r>
      <w:r>
        <w:rPr>
          <w:rFonts w:ascii="仿宋" w:hAnsi="仿宋" w:eastAsia="仿宋"/>
          <w:color w:val="000000" w:themeColor="text1"/>
          <w:sz w:val="32"/>
          <w:szCs w:val="32"/>
        </w:rPr>
        <w:t>%</w:t>
      </w:r>
      <w:r>
        <w:rPr>
          <w:rFonts w:hint="eastAsia" w:ascii="仿宋" w:hAnsi="仿宋" w:eastAsia="仿宋"/>
          <w:color w:val="000000" w:themeColor="text1"/>
          <w:sz w:val="32"/>
          <w:szCs w:val="32"/>
        </w:rPr>
        <w:t>；上缴上级支出0万元，占0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；经营支出0万元，占0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；对附属单位补助支出0万元，占0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bookmarkEnd w:id="47"/>
    </w:p>
    <w:p>
      <w:pPr>
        <w:spacing w:line="600" w:lineRule="exact"/>
        <w:ind w:firstLine="640" w:firstLineChars="200"/>
        <w:outlineLvl w:val="1"/>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935" distR="114935" simplePos="0" relativeHeight="251661312" behindDoc="1" locked="0" layoutInCell="1" allowOverlap="1">
            <wp:simplePos x="0" y="0"/>
            <wp:positionH relativeFrom="column">
              <wp:posOffset>410845</wp:posOffset>
            </wp:positionH>
            <wp:positionV relativeFrom="paragraph">
              <wp:posOffset>61595</wp:posOffset>
            </wp:positionV>
            <wp:extent cx="3740150" cy="2508885"/>
            <wp:effectExtent l="4445" t="5080" r="8255" b="1968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rPr>
          <w:rFonts w:ascii="仿宋_GB2312" w:eastAsia="仿宋_GB2312"/>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outlineLvl w:val="1"/>
        <w:rPr>
          <w:rStyle w:val="28"/>
          <w:rFonts w:ascii="黑体" w:hAnsi="黑体" w:eastAsia="黑体"/>
          <w:b w:val="0"/>
          <w:color w:val="000000" w:themeColor="text1"/>
        </w:rPr>
      </w:pPr>
      <w:bookmarkStart w:id="48" w:name="_Toc747"/>
      <w:bookmarkStart w:id="49" w:name="_Toc15396606"/>
      <w:bookmarkStart w:id="50" w:name="_Toc15377208"/>
      <w:r>
        <w:rPr>
          <w:rFonts w:hint="eastAsia" w:ascii="黑体" w:hAnsi="黑体" w:eastAsia="黑体"/>
          <w:color w:val="000000" w:themeColor="text1"/>
          <w:sz w:val="32"/>
          <w:szCs w:val="32"/>
        </w:rPr>
        <w:t>四、财</w:t>
      </w:r>
      <w:r>
        <w:rPr>
          <w:rStyle w:val="28"/>
          <w:rFonts w:hint="eastAsia" w:ascii="黑体" w:hAnsi="黑体" w:eastAsia="黑体"/>
          <w:b w:val="0"/>
          <w:color w:val="000000" w:themeColor="text1"/>
        </w:rPr>
        <w:t>政拨款收入支出决算总体情况说明</w:t>
      </w:r>
      <w:bookmarkEnd w:id="48"/>
      <w:bookmarkEnd w:id="49"/>
      <w:bookmarkEnd w:id="50"/>
    </w:p>
    <w:p>
      <w:pPr>
        <w:spacing w:line="60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9年财政拨款收、支总计1324.84万元,收入720.51万元，支出604.33万元。与</w:t>
      </w:r>
      <w:r>
        <w:rPr>
          <w:rFonts w:ascii="仿宋" w:hAnsi="仿宋" w:eastAsia="仿宋"/>
          <w:color w:val="000000" w:themeColor="text1"/>
          <w:sz w:val="32"/>
          <w:szCs w:val="32"/>
        </w:rPr>
        <w:t>201</w:t>
      </w:r>
      <w:r>
        <w:rPr>
          <w:rFonts w:hint="eastAsia" w:ascii="仿宋" w:hAnsi="仿宋" w:eastAsia="仿宋"/>
          <w:color w:val="000000" w:themeColor="text1"/>
          <w:sz w:val="32"/>
          <w:szCs w:val="32"/>
        </w:rPr>
        <w:t>8年相比，财政拨款收减少360.22万元、支减少632.05万元，分别下降66.6</w:t>
      </w:r>
      <w:r>
        <w:rPr>
          <w:rFonts w:ascii="仿宋" w:hAnsi="仿宋" w:eastAsia="仿宋"/>
          <w:color w:val="000000" w:themeColor="text1"/>
          <w:sz w:val="32"/>
          <w:szCs w:val="32"/>
        </w:rPr>
        <w:t>%</w:t>
      </w:r>
      <w:r>
        <w:rPr>
          <w:rFonts w:hint="eastAsia" w:ascii="仿宋" w:hAnsi="仿宋" w:eastAsia="仿宋"/>
          <w:color w:val="000000" w:themeColor="text1"/>
          <w:sz w:val="32"/>
          <w:szCs w:val="32"/>
        </w:rPr>
        <w:t>、48.87%。主要变动原因是2019年实施项目减少。</w:t>
      </w:r>
    </w:p>
    <w:p>
      <w:pPr>
        <w:spacing w:line="600" w:lineRule="exact"/>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935" distR="114935" simplePos="0" relativeHeight="251662336" behindDoc="1" locked="0" layoutInCell="1" allowOverlap="1">
            <wp:simplePos x="0" y="0"/>
            <wp:positionH relativeFrom="column">
              <wp:posOffset>465455</wp:posOffset>
            </wp:positionH>
            <wp:positionV relativeFrom="paragraph">
              <wp:posOffset>100330</wp:posOffset>
            </wp:positionV>
            <wp:extent cx="3737610" cy="2405380"/>
            <wp:effectExtent l="4445" t="4445" r="10795" b="952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600" w:lineRule="exact"/>
        <w:ind w:firstLine="640" w:firstLineChars="200"/>
        <w:rPr>
          <w:rFonts w:ascii="仿宋" w:hAnsi="仿宋" w:eastAsia="仿宋"/>
          <w:b/>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outlineLvl w:val="1"/>
        <w:rPr>
          <w:rStyle w:val="28"/>
          <w:rFonts w:ascii="黑体" w:hAnsi="黑体" w:eastAsia="黑体"/>
          <w:b w:val="0"/>
          <w:color w:val="000000" w:themeColor="text1"/>
        </w:rPr>
      </w:pPr>
      <w:bookmarkStart w:id="51" w:name="_Toc15396607"/>
      <w:bookmarkStart w:id="52" w:name="_Toc15377209"/>
      <w:bookmarkStart w:id="53" w:name="_Toc322"/>
      <w:r>
        <w:rPr>
          <w:rFonts w:hint="eastAsia" w:ascii="黑体" w:hAnsi="黑体" w:eastAsia="黑体"/>
          <w:color w:val="000000" w:themeColor="text1"/>
          <w:sz w:val="32"/>
          <w:szCs w:val="32"/>
        </w:rPr>
        <w:t>五、</w:t>
      </w:r>
      <w:r>
        <w:rPr>
          <w:rFonts w:hint="eastAsia" w:ascii="黑体" w:hAnsi="黑体" w:eastAsia="黑体"/>
          <w:b/>
          <w:color w:val="000000" w:themeColor="text1"/>
          <w:sz w:val="32"/>
          <w:szCs w:val="32"/>
        </w:rPr>
        <w:t>一</w:t>
      </w:r>
      <w:r>
        <w:rPr>
          <w:rStyle w:val="28"/>
          <w:rFonts w:hint="eastAsia" w:ascii="黑体" w:hAnsi="黑体" w:eastAsia="黑体"/>
          <w:b w:val="0"/>
          <w:color w:val="000000" w:themeColor="text1"/>
        </w:rPr>
        <w:t>般公共预算财政拨款支出决算情况说明</w:t>
      </w:r>
      <w:bookmarkEnd w:id="51"/>
      <w:bookmarkEnd w:id="52"/>
      <w:bookmarkEnd w:id="53"/>
    </w:p>
    <w:p>
      <w:pPr>
        <w:spacing w:line="600" w:lineRule="exact"/>
        <w:ind w:firstLine="643" w:firstLineChars="200"/>
        <w:outlineLvl w:val="2"/>
        <w:rPr>
          <w:rFonts w:ascii="仿宋" w:hAnsi="仿宋" w:eastAsia="仿宋"/>
          <w:b/>
          <w:color w:val="000000" w:themeColor="text1"/>
          <w:sz w:val="32"/>
          <w:szCs w:val="32"/>
        </w:rPr>
      </w:pPr>
      <w:bookmarkStart w:id="54" w:name="_Toc8589"/>
      <w:bookmarkStart w:id="55" w:name="_Toc15377210"/>
      <w:r>
        <w:rPr>
          <w:rFonts w:hint="eastAsia" w:ascii="仿宋" w:hAnsi="仿宋" w:eastAsia="仿宋"/>
          <w:b/>
          <w:color w:val="000000" w:themeColor="text1"/>
          <w:sz w:val="32"/>
          <w:szCs w:val="32"/>
        </w:rPr>
        <w:t>（一）一般公共预算财政拨款支出决算总体情况</w:t>
      </w:r>
      <w:bookmarkEnd w:id="54"/>
      <w:bookmarkEnd w:id="55"/>
    </w:p>
    <w:p>
      <w:pPr>
        <w:spacing w:line="60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9年一般公共预算财政拨款支出761.11万元，占本年支出合计的100</w:t>
      </w:r>
      <w:r>
        <w:rPr>
          <w:rFonts w:ascii="仿宋" w:hAnsi="仿宋" w:eastAsia="仿宋"/>
          <w:color w:val="000000" w:themeColor="text1"/>
          <w:sz w:val="32"/>
          <w:szCs w:val="32"/>
        </w:rPr>
        <w:t>%</w:t>
      </w:r>
      <w:r>
        <w:rPr>
          <w:rFonts w:hint="eastAsia" w:ascii="仿宋" w:hAnsi="仿宋" w:eastAsia="仿宋"/>
          <w:color w:val="000000" w:themeColor="text1"/>
          <w:sz w:val="32"/>
          <w:szCs w:val="32"/>
        </w:rPr>
        <w:t>。与</w:t>
      </w:r>
      <w:r>
        <w:rPr>
          <w:rFonts w:ascii="仿宋" w:hAnsi="仿宋" w:eastAsia="仿宋"/>
          <w:color w:val="000000" w:themeColor="text1"/>
          <w:sz w:val="32"/>
          <w:szCs w:val="32"/>
        </w:rPr>
        <w:t>201</w:t>
      </w:r>
      <w:r>
        <w:rPr>
          <w:rFonts w:hint="eastAsia" w:ascii="仿宋" w:hAnsi="仿宋" w:eastAsia="仿宋"/>
          <w:color w:val="000000" w:themeColor="text1"/>
          <w:sz w:val="32"/>
          <w:szCs w:val="32"/>
        </w:rPr>
        <w:t>8年相比，一般公共预算财政拨减少475.27万元，下降38.44</w:t>
      </w:r>
      <w:r>
        <w:rPr>
          <w:rFonts w:ascii="仿宋" w:hAnsi="仿宋" w:eastAsia="仿宋"/>
          <w:color w:val="000000" w:themeColor="text1"/>
          <w:sz w:val="32"/>
          <w:szCs w:val="32"/>
        </w:rPr>
        <w:t>%</w:t>
      </w:r>
      <w:r>
        <w:rPr>
          <w:rFonts w:hint="eastAsia" w:ascii="仿宋" w:hAnsi="仿宋" w:eastAsia="仿宋"/>
          <w:color w:val="000000" w:themeColor="text1"/>
          <w:sz w:val="32"/>
          <w:szCs w:val="32"/>
        </w:rPr>
        <w:t>。主要变动原因是本年度实施项目减少。</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935" distR="114935" simplePos="0" relativeHeight="251663360" behindDoc="1" locked="0" layoutInCell="1" allowOverlap="1">
            <wp:simplePos x="0" y="0"/>
            <wp:positionH relativeFrom="column">
              <wp:posOffset>196850</wp:posOffset>
            </wp:positionH>
            <wp:positionV relativeFrom="paragraph">
              <wp:posOffset>36830</wp:posOffset>
            </wp:positionV>
            <wp:extent cx="3745865" cy="2491740"/>
            <wp:effectExtent l="4445" t="4445" r="21590" b="1841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3" w:firstLineChars="200"/>
        <w:outlineLvl w:val="2"/>
        <w:rPr>
          <w:rFonts w:ascii="仿宋" w:hAnsi="仿宋" w:eastAsia="仿宋"/>
          <w:b/>
          <w:color w:val="000000" w:themeColor="text1"/>
          <w:sz w:val="32"/>
          <w:szCs w:val="32"/>
        </w:rPr>
      </w:pPr>
      <w:bookmarkStart w:id="56" w:name="_Toc15377211"/>
      <w:bookmarkStart w:id="57" w:name="_Toc1958"/>
      <w:r>
        <w:rPr>
          <w:rFonts w:hint="eastAsia" w:ascii="仿宋" w:hAnsi="仿宋" w:eastAsia="仿宋"/>
          <w:b/>
          <w:color w:val="000000" w:themeColor="text1"/>
          <w:sz w:val="32"/>
          <w:szCs w:val="32"/>
        </w:rPr>
        <w:t>（二）一般公共预算财政拨款支出决算结构情况</w:t>
      </w:r>
      <w:bookmarkEnd w:id="56"/>
      <w:bookmarkEnd w:id="57"/>
    </w:p>
    <w:p>
      <w:pPr>
        <w:spacing w:line="600" w:lineRule="exact"/>
        <w:ind w:firstLine="640"/>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9年一般公共预算财政拨款支出761.11万元，主要用于以下方面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一般公共服务（201）</w:t>
      </w:r>
      <w:r>
        <w:rPr>
          <w:rFonts w:hint="eastAsia" w:ascii="仿宋" w:hAnsi="仿宋" w:eastAsia="仿宋"/>
          <w:color w:val="000000" w:themeColor="text1"/>
          <w:sz w:val="32"/>
          <w:szCs w:val="32"/>
        </w:rPr>
        <w:t>支出471.90万元，占62.0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农林水（213）</w:t>
      </w:r>
      <w:r>
        <w:rPr>
          <w:rFonts w:hint="eastAsia" w:ascii="仿宋" w:hAnsi="仿宋" w:eastAsia="仿宋"/>
          <w:bCs/>
          <w:color w:val="000000" w:themeColor="text1"/>
          <w:sz w:val="32"/>
          <w:szCs w:val="32"/>
        </w:rPr>
        <w:t>支出</w:t>
      </w:r>
      <w:r>
        <w:rPr>
          <w:rFonts w:hint="eastAsia" w:ascii="仿宋" w:hAnsi="仿宋" w:eastAsia="仿宋"/>
          <w:color w:val="000000" w:themeColor="text1"/>
          <w:sz w:val="32"/>
          <w:szCs w:val="32"/>
        </w:rPr>
        <w:t>87.09万元，占11.44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城乡社区（212）</w:t>
      </w:r>
      <w:r>
        <w:rPr>
          <w:rFonts w:hint="eastAsia" w:ascii="仿宋" w:hAnsi="仿宋" w:eastAsia="仿宋"/>
          <w:color w:val="000000" w:themeColor="text1"/>
          <w:sz w:val="32"/>
          <w:szCs w:val="32"/>
        </w:rPr>
        <w:t>支出18.22万元，占2.39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文化旅游体育与传媒（207）</w:t>
      </w:r>
      <w:r>
        <w:rPr>
          <w:rFonts w:hint="eastAsia" w:ascii="仿宋" w:hAnsi="仿宋" w:eastAsia="仿宋"/>
          <w:color w:val="000000" w:themeColor="text1"/>
          <w:sz w:val="32"/>
          <w:szCs w:val="32"/>
        </w:rPr>
        <w:t>支出3.5万元</w:t>
      </w:r>
      <w:r>
        <w:rPr>
          <w:rFonts w:hint="eastAsia" w:ascii="仿宋" w:hAnsi="仿宋" w:eastAsia="仿宋"/>
          <w:b/>
          <w:bCs/>
          <w:color w:val="000000" w:themeColor="text1"/>
          <w:sz w:val="32"/>
          <w:szCs w:val="32"/>
        </w:rPr>
        <w:t>，</w:t>
      </w:r>
      <w:r>
        <w:rPr>
          <w:rFonts w:hint="eastAsia" w:ascii="仿宋" w:hAnsi="仿宋" w:eastAsia="仿宋"/>
          <w:color w:val="000000" w:themeColor="text1"/>
          <w:sz w:val="32"/>
          <w:szCs w:val="32"/>
        </w:rPr>
        <w:t>占0.45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社会保障和就业（208）</w:t>
      </w:r>
      <w:r>
        <w:rPr>
          <w:rFonts w:hint="eastAsia" w:ascii="仿宋" w:hAnsi="仿宋" w:eastAsia="仿宋"/>
          <w:color w:val="000000" w:themeColor="text1"/>
          <w:sz w:val="32"/>
          <w:szCs w:val="32"/>
        </w:rPr>
        <w:t>支出83.48万元，占10.96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color w:val="000000" w:themeColor="text1"/>
          <w:sz w:val="32"/>
          <w:szCs w:val="32"/>
        </w:rPr>
        <w:t>（210）</w:t>
      </w:r>
      <w:r>
        <w:rPr>
          <w:rFonts w:hint="eastAsia" w:ascii="仿宋" w:hAnsi="仿宋" w:eastAsia="仿宋"/>
          <w:color w:val="000000" w:themeColor="text1"/>
          <w:sz w:val="32"/>
          <w:szCs w:val="32"/>
        </w:rPr>
        <w:t>31.29万元，占4.11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w:t>
      </w:r>
      <w:r>
        <w:rPr>
          <w:rFonts w:hint="eastAsia" w:ascii="仿宋" w:hAnsi="仿宋" w:eastAsia="仿宋"/>
          <w:b/>
          <w:color w:val="000000" w:themeColor="text1"/>
          <w:sz w:val="32"/>
          <w:szCs w:val="32"/>
        </w:rPr>
        <w:t>（221）</w:t>
      </w:r>
      <w:r>
        <w:rPr>
          <w:rFonts w:hint="eastAsia" w:ascii="仿宋" w:hAnsi="仿宋" w:eastAsia="仿宋"/>
          <w:color w:val="000000" w:themeColor="text1"/>
          <w:sz w:val="32"/>
          <w:szCs w:val="32"/>
        </w:rPr>
        <w:t>支出52.43万元，占6.88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935" distR="114935" simplePos="0" relativeHeight="251664384" behindDoc="1" locked="0" layoutInCell="1" allowOverlap="1">
            <wp:simplePos x="0" y="0"/>
            <wp:positionH relativeFrom="column">
              <wp:posOffset>323215</wp:posOffset>
            </wp:positionH>
            <wp:positionV relativeFrom="paragraph">
              <wp:posOffset>99060</wp:posOffset>
            </wp:positionV>
            <wp:extent cx="3818890" cy="2540635"/>
            <wp:effectExtent l="4445" t="4445" r="5715" b="762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（图6：一般公共预算财政拨款支出决算结构）（饼状图）</w:t>
      </w:r>
    </w:p>
    <w:p>
      <w:pPr>
        <w:spacing w:line="600" w:lineRule="exact"/>
        <w:ind w:firstLine="643" w:firstLineChars="200"/>
        <w:outlineLvl w:val="2"/>
        <w:rPr>
          <w:rFonts w:ascii="仿宋" w:hAnsi="仿宋" w:eastAsia="仿宋"/>
          <w:b/>
          <w:color w:val="000000" w:themeColor="text1"/>
          <w:sz w:val="32"/>
          <w:szCs w:val="32"/>
        </w:rPr>
      </w:pPr>
      <w:bookmarkStart w:id="58" w:name="_Toc15377212"/>
      <w:bookmarkStart w:id="59" w:name="_Toc30105"/>
      <w:r>
        <w:rPr>
          <w:rFonts w:hint="eastAsia" w:ascii="仿宋" w:hAnsi="仿宋" w:eastAsia="仿宋"/>
          <w:b/>
          <w:color w:val="000000" w:themeColor="text1"/>
          <w:sz w:val="32"/>
          <w:szCs w:val="32"/>
        </w:rPr>
        <w:t>（三）一般公共预算财政拨款支出决算具体情况</w:t>
      </w:r>
      <w:bookmarkEnd w:id="58"/>
      <w:bookmarkEnd w:id="59"/>
    </w:p>
    <w:p>
      <w:pPr>
        <w:spacing w:line="600" w:lineRule="exact"/>
        <w:ind w:firstLine="643" w:firstLineChars="200"/>
        <w:outlineLvl w:val="2"/>
        <w:rPr>
          <w:rFonts w:ascii="仿宋" w:hAnsi="仿宋" w:eastAsia="仿宋"/>
          <w:color w:val="000000" w:themeColor="text1"/>
          <w:sz w:val="32"/>
          <w:szCs w:val="32"/>
        </w:rPr>
      </w:pPr>
      <w:bookmarkStart w:id="60" w:name="_Toc15378460"/>
      <w:bookmarkStart w:id="61" w:name="_Toc15377213"/>
      <w:bookmarkStart w:id="62" w:name="_Toc11129"/>
      <w:bookmarkStart w:id="63" w:name="_Toc15377444"/>
      <w:r>
        <w:rPr>
          <w:rFonts w:hint="eastAsia" w:ascii="仿宋" w:hAnsi="仿宋" w:eastAsia="仿宋"/>
          <w:b/>
          <w:color w:val="000000" w:themeColor="text1"/>
          <w:sz w:val="32"/>
          <w:szCs w:val="32"/>
        </w:rPr>
        <w:t>2019年一般公共预算支出决算数为458.84</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完成预算100</w:t>
      </w:r>
      <w:r>
        <w:rPr>
          <w:rStyle w:val="17"/>
          <w:rFonts w:ascii="仿宋" w:hAnsi="仿宋" w:eastAsia="仿宋"/>
          <w:bCs/>
          <w:color w:val="000000" w:themeColor="text1"/>
          <w:sz w:val="32"/>
          <w:szCs w:val="32"/>
        </w:rPr>
        <w:t>%</w:t>
      </w:r>
      <w:r>
        <w:rPr>
          <w:rStyle w:val="17"/>
          <w:rFonts w:hint="eastAsia" w:ascii="仿宋" w:hAnsi="仿宋" w:eastAsia="仿宋"/>
          <w:bCs/>
          <w:color w:val="000000" w:themeColor="text1"/>
          <w:sz w:val="32"/>
          <w:szCs w:val="32"/>
        </w:rPr>
        <w:t>。其中：</w:t>
      </w:r>
      <w:bookmarkEnd w:id="60"/>
      <w:bookmarkEnd w:id="61"/>
      <w:bookmarkEnd w:id="62"/>
      <w:bookmarkEnd w:id="63"/>
    </w:p>
    <w:p>
      <w:pPr>
        <w:spacing w:line="600" w:lineRule="exact"/>
        <w:ind w:firstLine="643" w:firstLineChars="200"/>
        <w:rPr>
          <w:rFonts w:ascii="仿宋" w:hAnsi="仿宋" w:eastAsia="仿宋"/>
          <w:b/>
          <w:color w:val="000000" w:themeColor="text1"/>
          <w:sz w:val="32"/>
          <w:szCs w:val="32"/>
        </w:rPr>
      </w:pPr>
      <w:r>
        <w:rPr>
          <w:rStyle w:val="17"/>
          <w:rFonts w:ascii="仿宋" w:hAnsi="仿宋" w:eastAsia="仿宋"/>
          <w:bCs/>
          <w:color w:val="000000" w:themeColor="text1"/>
          <w:sz w:val="32"/>
          <w:szCs w:val="32"/>
        </w:rPr>
        <w:t>1.</w:t>
      </w:r>
      <w:r>
        <w:rPr>
          <w:rStyle w:val="17"/>
          <w:rFonts w:hint="eastAsia" w:ascii="仿宋" w:hAnsi="仿宋" w:eastAsia="仿宋"/>
          <w:bCs/>
          <w:color w:val="000000" w:themeColor="text1"/>
          <w:sz w:val="32"/>
          <w:szCs w:val="32"/>
        </w:rPr>
        <w:t>一般公共服务</w:t>
      </w:r>
      <w:r>
        <w:rPr>
          <w:rStyle w:val="17"/>
          <w:rFonts w:ascii="仿宋" w:hAnsi="仿宋" w:eastAsia="仿宋"/>
          <w:bCs/>
          <w:color w:val="000000" w:themeColor="text1"/>
          <w:sz w:val="32"/>
          <w:szCs w:val="32"/>
        </w:rPr>
        <w:t>:</w:t>
      </w:r>
      <w:r>
        <w:rPr>
          <w:rStyle w:val="17"/>
          <w:rFonts w:ascii="仿宋" w:hAnsi="仿宋" w:eastAsia="仿宋"/>
          <w:b w:val="0"/>
          <w:bCs/>
          <w:color w:val="000000" w:themeColor="text1"/>
          <w:sz w:val="32"/>
          <w:szCs w:val="32"/>
        </w:rPr>
        <w:t xml:space="preserve"> </w:t>
      </w:r>
      <w:r>
        <w:rPr>
          <w:rStyle w:val="17"/>
          <w:rFonts w:hint="eastAsia" w:ascii="仿宋" w:hAnsi="仿宋" w:eastAsia="仿宋"/>
          <w:b w:val="0"/>
          <w:bCs/>
          <w:color w:val="000000" w:themeColor="text1"/>
          <w:sz w:val="32"/>
          <w:szCs w:val="32"/>
        </w:rPr>
        <w:t>2010101行政运行支出14.42万元，完成预算100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。2010104人大会议支出0.73万元，完成预算100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。2010199其他人大事务支出3.14万元，完成预算100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。2010301行政运行312.07万元，完成预算100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。2010302一般行政管理事务4.42万元，完成预算100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。2010350事业运行93.12万元，完成预算100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。2010601行政运行17.30元，完成预算100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。2013101行政运行22.59万元完成预算100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w:t>
      </w:r>
    </w:p>
    <w:p>
      <w:pPr>
        <w:spacing w:line="600" w:lineRule="exact"/>
        <w:ind w:firstLine="643" w:firstLineChars="200"/>
        <w:rPr>
          <w:rFonts w:ascii="仿宋" w:hAnsi="仿宋" w:eastAsia="仿宋"/>
          <w:b/>
          <w:color w:val="000000" w:themeColor="text1"/>
          <w:sz w:val="32"/>
          <w:szCs w:val="32"/>
        </w:rPr>
      </w:pPr>
      <w:r>
        <w:rPr>
          <w:rStyle w:val="17"/>
          <w:rFonts w:hint="eastAsia" w:ascii="仿宋" w:hAnsi="仿宋" w:eastAsia="仿宋"/>
          <w:bCs/>
          <w:color w:val="000000" w:themeColor="text1"/>
          <w:sz w:val="32"/>
          <w:szCs w:val="32"/>
        </w:rPr>
        <w:t>2</w:t>
      </w:r>
      <w:r>
        <w:rPr>
          <w:rStyle w:val="17"/>
          <w:rFonts w:ascii="仿宋" w:hAnsi="仿宋" w:eastAsia="仿宋"/>
          <w:bCs/>
          <w:color w:val="000000" w:themeColor="text1"/>
          <w:sz w:val="32"/>
          <w:szCs w:val="32"/>
        </w:rPr>
        <w:t>.</w:t>
      </w:r>
      <w:r>
        <w:rPr>
          <w:rStyle w:val="17"/>
          <w:rFonts w:hint="eastAsia" w:ascii="仿宋" w:hAnsi="仿宋" w:eastAsia="仿宋"/>
          <w:bCs/>
          <w:color w:val="000000" w:themeColor="text1"/>
          <w:sz w:val="32"/>
          <w:szCs w:val="32"/>
        </w:rPr>
        <w:t>文化体育与传媒</w:t>
      </w:r>
      <w:r>
        <w:rPr>
          <w:rStyle w:val="17"/>
          <w:rFonts w:ascii="仿宋" w:hAnsi="仿宋" w:eastAsia="仿宋"/>
          <w:bCs/>
          <w:color w:val="000000" w:themeColor="text1"/>
          <w:sz w:val="32"/>
          <w:szCs w:val="32"/>
        </w:rPr>
        <w:t>:</w:t>
      </w:r>
      <w:r>
        <w:rPr>
          <w:rStyle w:val="17"/>
          <w:rFonts w:hint="eastAsia" w:ascii="仿宋" w:hAnsi="仿宋" w:eastAsia="仿宋"/>
          <w:bCs/>
          <w:color w:val="000000" w:themeColor="text1"/>
          <w:sz w:val="32"/>
          <w:szCs w:val="32"/>
        </w:rPr>
        <w:t xml:space="preserve"> </w:t>
      </w:r>
      <w:r>
        <w:rPr>
          <w:rStyle w:val="17"/>
          <w:rFonts w:hint="eastAsia" w:ascii="仿宋" w:hAnsi="仿宋" w:eastAsia="仿宋"/>
          <w:b w:val="0"/>
          <w:bCs/>
          <w:color w:val="000000" w:themeColor="text1"/>
          <w:sz w:val="32"/>
          <w:szCs w:val="32"/>
        </w:rPr>
        <w:t>2070199</w:t>
      </w:r>
      <w:r>
        <w:rPr>
          <w:rStyle w:val="17"/>
          <w:rFonts w:ascii="仿宋" w:hAnsi="仿宋" w:eastAsia="仿宋"/>
          <w:b w:val="0"/>
          <w:bCs/>
          <w:color w:val="000000" w:themeColor="text1"/>
          <w:sz w:val="32"/>
          <w:szCs w:val="32"/>
        </w:rPr>
        <w:t xml:space="preserve"> </w:t>
      </w:r>
      <w:r>
        <w:rPr>
          <w:rStyle w:val="17"/>
          <w:rFonts w:hint="eastAsia" w:ascii="仿宋" w:hAnsi="仿宋" w:eastAsia="仿宋"/>
          <w:b w:val="0"/>
          <w:bCs/>
          <w:color w:val="000000" w:themeColor="text1"/>
          <w:sz w:val="32"/>
          <w:szCs w:val="32"/>
        </w:rPr>
        <w:t>支出决算为3.55万元，完成预算100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w:t>
      </w:r>
    </w:p>
    <w:p>
      <w:pPr>
        <w:spacing w:line="600" w:lineRule="exact"/>
        <w:ind w:firstLine="643" w:firstLineChars="200"/>
        <w:rPr>
          <w:rFonts w:ascii="仿宋" w:hAnsi="仿宋" w:eastAsia="仿宋"/>
          <w:b/>
          <w:color w:val="000000" w:themeColor="text1"/>
          <w:sz w:val="32"/>
          <w:szCs w:val="32"/>
        </w:rPr>
      </w:pPr>
      <w:r>
        <w:rPr>
          <w:rStyle w:val="17"/>
          <w:rFonts w:hint="eastAsia" w:ascii="仿宋" w:hAnsi="仿宋" w:eastAsia="仿宋"/>
          <w:bCs/>
          <w:color w:val="000000" w:themeColor="text1"/>
          <w:sz w:val="32"/>
          <w:szCs w:val="32"/>
        </w:rPr>
        <w:t>3</w:t>
      </w:r>
      <w:r>
        <w:rPr>
          <w:rStyle w:val="17"/>
          <w:rFonts w:ascii="仿宋" w:hAnsi="仿宋" w:eastAsia="仿宋"/>
          <w:bCs/>
          <w:color w:val="000000" w:themeColor="text1"/>
          <w:sz w:val="32"/>
          <w:szCs w:val="32"/>
        </w:rPr>
        <w:t>.</w:t>
      </w:r>
      <w:r>
        <w:rPr>
          <w:rStyle w:val="17"/>
          <w:rFonts w:hint="eastAsia" w:ascii="仿宋" w:hAnsi="仿宋" w:eastAsia="仿宋"/>
          <w:bCs/>
          <w:color w:val="000000" w:themeColor="text1"/>
          <w:sz w:val="32"/>
          <w:szCs w:val="32"/>
        </w:rPr>
        <w:t>社会保障和就业</w:t>
      </w:r>
      <w:r>
        <w:rPr>
          <w:rStyle w:val="17"/>
          <w:rFonts w:ascii="仿宋" w:hAnsi="仿宋" w:eastAsia="仿宋"/>
          <w:bCs/>
          <w:color w:val="000000" w:themeColor="text1"/>
          <w:sz w:val="32"/>
          <w:szCs w:val="32"/>
        </w:rPr>
        <w:t>:</w:t>
      </w:r>
      <w:r>
        <w:rPr>
          <w:rStyle w:val="17"/>
          <w:rFonts w:ascii="仿宋" w:hAnsi="仿宋" w:eastAsia="仿宋"/>
          <w:b w:val="0"/>
          <w:bCs/>
          <w:color w:val="000000" w:themeColor="text1"/>
          <w:sz w:val="32"/>
          <w:szCs w:val="32"/>
        </w:rPr>
        <w:t xml:space="preserve"> </w:t>
      </w:r>
      <w:r>
        <w:rPr>
          <w:rStyle w:val="17"/>
          <w:rFonts w:hint="eastAsia" w:ascii="仿宋" w:hAnsi="仿宋" w:eastAsia="仿宋"/>
          <w:b w:val="0"/>
          <w:bCs/>
          <w:color w:val="000000" w:themeColor="text1"/>
          <w:sz w:val="32"/>
          <w:szCs w:val="32"/>
        </w:rPr>
        <w:t>2080208基层政权和社区建设6万元，完成预算100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。2080505机关事业单位基本养老保险缴费支出48.02万元，完成预算100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。2080506机关事业单位职业年金缴费支出22.06万元，完成预算100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。2082102农村特困人员救助供养支出3.64万元，完成预算100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w:t>
      </w:r>
    </w:p>
    <w:p>
      <w:pPr>
        <w:spacing w:line="600" w:lineRule="exact"/>
        <w:ind w:firstLine="643" w:firstLineChars="200"/>
        <w:rPr>
          <w:rStyle w:val="17"/>
          <w:rFonts w:ascii="仿宋" w:hAnsi="仿宋" w:eastAsia="仿宋"/>
          <w:b w:val="0"/>
          <w:bCs/>
          <w:color w:val="000000" w:themeColor="text1"/>
          <w:sz w:val="32"/>
          <w:szCs w:val="32"/>
        </w:rPr>
      </w:pPr>
      <w:r>
        <w:rPr>
          <w:rStyle w:val="17"/>
          <w:rFonts w:hint="eastAsia" w:ascii="仿宋" w:hAnsi="仿宋" w:eastAsia="仿宋"/>
          <w:bCs/>
          <w:color w:val="000000" w:themeColor="text1"/>
          <w:sz w:val="32"/>
          <w:szCs w:val="32"/>
        </w:rPr>
        <w:t>4</w:t>
      </w:r>
      <w:r>
        <w:rPr>
          <w:rStyle w:val="17"/>
          <w:rFonts w:ascii="仿宋" w:hAnsi="仿宋" w:eastAsia="仿宋"/>
          <w:bCs/>
          <w:color w:val="000000" w:themeColor="text1"/>
          <w:sz w:val="32"/>
          <w:szCs w:val="32"/>
        </w:rPr>
        <w:t>.</w:t>
      </w:r>
      <w:r>
        <w:rPr>
          <w:rStyle w:val="17"/>
          <w:rFonts w:hint="eastAsia" w:ascii="仿宋" w:hAnsi="仿宋" w:eastAsia="仿宋"/>
          <w:bCs/>
          <w:color w:val="000000" w:themeColor="text1"/>
          <w:sz w:val="32"/>
          <w:szCs w:val="32"/>
        </w:rPr>
        <w:t>医疗卫生与计划生育</w:t>
      </w:r>
      <w:r>
        <w:rPr>
          <w:rStyle w:val="17"/>
          <w:rFonts w:ascii="仿宋" w:hAnsi="仿宋" w:eastAsia="仿宋"/>
          <w:bCs/>
          <w:color w:val="000000" w:themeColor="text1"/>
          <w:sz w:val="32"/>
          <w:szCs w:val="32"/>
        </w:rPr>
        <w:t>:</w:t>
      </w:r>
      <w:r>
        <w:rPr>
          <w:rStyle w:val="17"/>
          <w:rFonts w:hint="eastAsia" w:ascii="仿宋" w:hAnsi="仿宋" w:eastAsia="仿宋"/>
          <w:b w:val="0"/>
          <w:color w:val="000000" w:themeColor="text1"/>
          <w:sz w:val="32"/>
          <w:szCs w:val="32"/>
        </w:rPr>
        <w:t>2100409重大公共卫生专项3万元，</w:t>
      </w:r>
      <w:r>
        <w:rPr>
          <w:rStyle w:val="17"/>
          <w:rFonts w:hint="eastAsia" w:ascii="仿宋" w:hAnsi="仿宋" w:eastAsia="仿宋"/>
          <w:b w:val="0"/>
          <w:bCs/>
          <w:color w:val="000000" w:themeColor="text1"/>
          <w:sz w:val="32"/>
          <w:szCs w:val="32"/>
        </w:rPr>
        <w:t>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。2101101行政单位医疗支出22.87万元，完成预算100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。2101103公务员医疗补助支出5.41万元，完成预算100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w:t>
      </w:r>
    </w:p>
    <w:p>
      <w:pPr>
        <w:spacing w:line="600" w:lineRule="exact"/>
        <w:ind w:firstLine="643" w:firstLineChars="200"/>
        <w:rPr>
          <w:rStyle w:val="17"/>
          <w:rFonts w:ascii="仿宋" w:hAnsi="仿宋" w:eastAsia="仿宋"/>
          <w:b w:val="0"/>
          <w:bCs/>
          <w:color w:val="000000" w:themeColor="text1"/>
          <w:sz w:val="32"/>
          <w:szCs w:val="32"/>
        </w:rPr>
      </w:pPr>
      <w:r>
        <w:rPr>
          <w:rFonts w:hint="eastAsia" w:ascii="仿宋" w:hAnsi="仿宋" w:eastAsia="仿宋"/>
          <w:b/>
          <w:color w:val="000000" w:themeColor="text1"/>
          <w:sz w:val="32"/>
          <w:szCs w:val="32"/>
        </w:rPr>
        <w:t>5.城乡社区</w:t>
      </w:r>
      <w:r>
        <w:rPr>
          <w:rStyle w:val="17"/>
          <w:rFonts w:ascii="仿宋" w:hAnsi="仿宋" w:eastAsia="仿宋"/>
          <w:bCs/>
          <w:color w:val="000000" w:themeColor="text1"/>
          <w:sz w:val="32"/>
          <w:szCs w:val="32"/>
        </w:rPr>
        <w:t>:</w:t>
      </w:r>
      <w:r>
        <w:rPr>
          <w:rStyle w:val="17"/>
          <w:rFonts w:hint="eastAsia" w:ascii="仿宋" w:hAnsi="仿宋" w:eastAsia="仿宋"/>
          <w:b w:val="0"/>
          <w:bCs/>
          <w:color w:val="000000" w:themeColor="text1"/>
          <w:sz w:val="32"/>
          <w:szCs w:val="32"/>
        </w:rPr>
        <w:t>2120501城乡社区环境卫生支出7.99万元，完成预算100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w:t>
      </w:r>
    </w:p>
    <w:p>
      <w:pPr>
        <w:spacing w:line="600" w:lineRule="exact"/>
        <w:ind w:firstLine="643" w:firstLineChars="200"/>
        <w:rPr>
          <w:rStyle w:val="17"/>
          <w:rFonts w:ascii="仿宋" w:hAnsi="仿宋" w:eastAsia="仿宋"/>
          <w:b w:val="0"/>
          <w:bCs/>
          <w:color w:val="000000" w:themeColor="text1"/>
          <w:sz w:val="32"/>
          <w:szCs w:val="32"/>
        </w:rPr>
      </w:pPr>
      <w:r>
        <w:rPr>
          <w:rFonts w:hint="eastAsia" w:ascii="仿宋" w:hAnsi="仿宋" w:eastAsia="仿宋"/>
          <w:b/>
          <w:color w:val="000000" w:themeColor="text1"/>
          <w:sz w:val="32"/>
          <w:szCs w:val="32"/>
        </w:rPr>
        <w:t>6.农林水</w:t>
      </w:r>
      <w:r>
        <w:rPr>
          <w:rStyle w:val="17"/>
          <w:rFonts w:ascii="仿宋" w:hAnsi="仿宋" w:eastAsia="仿宋"/>
          <w:bCs/>
          <w:color w:val="000000" w:themeColor="text1"/>
          <w:sz w:val="32"/>
          <w:szCs w:val="32"/>
        </w:rPr>
        <w:t>:</w:t>
      </w:r>
      <w:r>
        <w:rPr>
          <w:rStyle w:val="17"/>
          <w:rFonts w:hint="eastAsia" w:ascii="仿宋" w:hAnsi="仿宋" w:eastAsia="仿宋"/>
          <w:b w:val="0"/>
          <w:bCs/>
          <w:color w:val="000000" w:themeColor="text1"/>
          <w:sz w:val="32"/>
          <w:szCs w:val="32"/>
        </w:rPr>
        <w:t>2130152对高校毕业生到基层补助2.59万元，完成预算100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。2130504农村生产发展支出9.97万元，完成预算100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。2130599其他扶贫支出5.98万元，完成预算100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。2130705对村民委员会和村党支部的补助支出10.36万元，完成预算100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。2130706对村集体经济组织的补助支出2.0万元，完成预算100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。2139999其他农林水支出0.5万元，完成预算100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w:t>
      </w:r>
    </w:p>
    <w:p>
      <w:pPr>
        <w:spacing w:line="600" w:lineRule="exact"/>
        <w:ind w:firstLine="643" w:firstLineChars="200"/>
        <w:rPr>
          <w:rStyle w:val="17"/>
          <w:rFonts w:ascii="仿宋" w:hAnsi="仿宋" w:eastAsia="仿宋"/>
          <w:b w:val="0"/>
          <w:bCs/>
          <w:color w:val="000000" w:themeColor="text1"/>
          <w:sz w:val="32"/>
          <w:szCs w:val="32"/>
        </w:rPr>
      </w:pPr>
      <w:r>
        <w:rPr>
          <w:rFonts w:hint="eastAsia" w:ascii="仿宋" w:hAnsi="仿宋" w:eastAsia="仿宋"/>
          <w:b/>
          <w:color w:val="000000" w:themeColor="text1"/>
          <w:sz w:val="32"/>
          <w:szCs w:val="32"/>
        </w:rPr>
        <w:t>7.住房保障支出</w:t>
      </w:r>
      <w:r>
        <w:rPr>
          <w:rStyle w:val="17"/>
          <w:rFonts w:ascii="仿宋" w:hAnsi="仿宋" w:eastAsia="仿宋"/>
          <w:bCs/>
          <w:color w:val="000000" w:themeColor="text1"/>
          <w:sz w:val="32"/>
          <w:szCs w:val="32"/>
        </w:rPr>
        <w:t>:</w:t>
      </w:r>
      <w:r>
        <w:rPr>
          <w:rStyle w:val="17"/>
          <w:rFonts w:hint="eastAsia" w:ascii="仿宋" w:hAnsi="仿宋" w:eastAsia="仿宋"/>
          <w:b w:val="0"/>
          <w:bCs/>
          <w:color w:val="000000" w:themeColor="text1"/>
          <w:sz w:val="32"/>
          <w:szCs w:val="32"/>
        </w:rPr>
        <w:t>2210201住房公积金支出决算为46.43万元，完成预算100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w:t>
      </w:r>
    </w:p>
    <w:p>
      <w:pPr>
        <w:tabs>
          <w:tab w:val="right" w:pos="8306"/>
        </w:tabs>
        <w:spacing w:line="600" w:lineRule="exact"/>
        <w:ind w:firstLine="640"/>
        <w:outlineLvl w:val="1"/>
        <w:rPr>
          <w:rStyle w:val="28"/>
          <w:color w:val="000000" w:themeColor="text1"/>
        </w:rPr>
      </w:pPr>
      <w:bookmarkStart w:id="64" w:name="_Toc15396608"/>
      <w:bookmarkStart w:id="65" w:name="_Toc15377214"/>
      <w:bookmarkStart w:id="66" w:name="_Toc10594"/>
      <w:r>
        <w:rPr>
          <w:rFonts w:hint="eastAsia" w:ascii="黑体" w:eastAsia="黑体"/>
          <w:color w:val="000000" w:themeColor="text1"/>
          <w:sz w:val="32"/>
          <w:szCs w:val="32"/>
        </w:rPr>
        <w:t>六</w:t>
      </w:r>
      <w:r>
        <w:rPr>
          <w:rFonts w:hint="eastAsia" w:ascii="黑体" w:eastAsia="黑体"/>
          <w:b/>
          <w:color w:val="000000" w:themeColor="text1"/>
          <w:sz w:val="32"/>
          <w:szCs w:val="32"/>
        </w:rPr>
        <w:t>、</w:t>
      </w:r>
      <w:r>
        <w:rPr>
          <w:rFonts w:hint="eastAsia" w:ascii="黑体" w:hAnsi="黑体" w:eastAsia="黑体"/>
          <w:b/>
          <w:color w:val="000000" w:themeColor="text1"/>
          <w:sz w:val="32"/>
          <w:szCs w:val="32"/>
        </w:rPr>
        <w:t>一</w:t>
      </w:r>
      <w:r>
        <w:rPr>
          <w:rStyle w:val="28"/>
          <w:rFonts w:hint="eastAsia" w:ascii="黑体" w:hAnsi="黑体" w:eastAsia="黑体"/>
          <w:b w:val="0"/>
          <w:color w:val="000000" w:themeColor="text1"/>
        </w:rPr>
        <w:t>般公共预算财政拨款基本支出决算情况说明</w:t>
      </w:r>
      <w:bookmarkEnd w:id="64"/>
      <w:bookmarkEnd w:id="65"/>
      <w:bookmarkEnd w:id="66"/>
      <w:r>
        <w:rPr>
          <w:rStyle w:val="28"/>
          <w:rFonts w:ascii="黑体" w:hAnsi="黑体" w:eastAsia="黑体"/>
          <w:b w:val="0"/>
          <w:color w:val="000000" w:themeColor="text1"/>
        </w:rPr>
        <w:tab/>
      </w:r>
    </w:p>
    <w:p>
      <w:pPr>
        <w:spacing w:line="600" w:lineRule="exact"/>
        <w:ind w:firstLine="645"/>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9年一般公共预算财政拨款基本支出604.33万元，其中：</w:t>
      </w:r>
    </w:p>
    <w:p>
      <w:pPr>
        <w:spacing w:line="600" w:lineRule="exact"/>
        <w:ind w:firstLine="645"/>
        <w:rPr>
          <w:rFonts w:ascii="仿宋" w:hAnsi="仿宋" w:eastAsia="仿宋"/>
          <w:color w:val="000000" w:themeColor="text1"/>
          <w:sz w:val="32"/>
          <w:szCs w:val="32"/>
        </w:rPr>
      </w:pPr>
      <w:r>
        <w:rPr>
          <w:rFonts w:hint="eastAsia" w:ascii="仿宋" w:hAnsi="仿宋" w:eastAsia="仿宋"/>
          <w:color w:val="000000" w:themeColor="text1"/>
          <w:sz w:val="32"/>
          <w:szCs w:val="32"/>
        </w:rPr>
        <w:t>人员经费573.26万元，主要包括：基本工资100.74万元、津贴补贴246.16万元、奖金67.19万元、绩效工资6.72万元、机关事业单位基本养老保险缴费48.02万元、职业年金缴费22.06万元、职工基本医疗保险缴费22.87万元、公务员医疗补助缴费5.41万元，其他社会保障缴费5.25万元、医疗费2.38万元、住房公积金46.43万元、医疗费补助2.38万元。</w:t>
      </w:r>
      <w:r>
        <w:rPr>
          <w:rFonts w:ascii="仿宋" w:hAnsi="仿宋" w:eastAsia="仿宋"/>
          <w:color w:val="000000" w:themeColor="text1"/>
          <w:sz w:val="32"/>
          <w:szCs w:val="32"/>
        </w:rPr>
        <w:br w:type="textWrapping"/>
      </w:r>
      <w:r>
        <w:rPr>
          <w:rFonts w:hint="eastAsia" w:ascii="仿宋" w:hAnsi="仿宋" w:eastAsia="仿宋"/>
          <w:color w:val="000000" w:themeColor="text1"/>
          <w:sz w:val="32"/>
          <w:szCs w:val="32"/>
        </w:rPr>
        <w:t>　　日常公用经费31.06万元，主要包括：办公费7万元、印刷费5.51万元、电费3万元、取暖费1.63万元、差旅费2万元、维修（护）费1.36万元、会议费2.5万元、培训费2万元、公务接待费0.42万元、工会经费1万元、公务用车运行维护费6万元等。</w:t>
      </w:r>
    </w:p>
    <w:p>
      <w:pPr>
        <w:spacing w:line="600" w:lineRule="exact"/>
        <w:ind w:firstLine="640"/>
        <w:outlineLvl w:val="1"/>
        <w:rPr>
          <w:rStyle w:val="28"/>
          <w:rFonts w:ascii="黑体" w:hAnsi="黑体" w:eastAsia="黑体"/>
          <w:b w:val="0"/>
          <w:color w:val="000000" w:themeColor="text1"/>
        </w:rPr>
      </w:pPr>
      <w:bookmarkStart w:id="67" w:name="_Toc13564"/>
      <w:bookmarkStart w:id="68" w:name="_Toc15396609"/>
      <w:bookmarkStart w:id="69" w:name="_Toc15377215"/>
      <w:r>
        <w:rPr>
          <w:rFonts w:hint="eastAsia" w:ascii="黑体" w:eastAsia="黑体"/>
          <w:color w:val="000000" w:themeColor="text1"/>
          <w:sz w:val="32"/>
          <w:szCs w:val="32"/>
        </w:rPr>
        <w:t>七、</w:t>
      </w:r>
      <w:r>
        <w:rPr>
          <w:rStyle w:val="28"/>
          <w:rFonts w:hint="eastAsia" w:ascii="黑体" w:hAnsi="黑体" w:eastAsia="黑体"/>
          <w:color w:val="000000" w:themeColor="text1"/>
        </w:rPr>
        <w:t>“</w:t>
      </w:r>
      <w:r>
        <w:rPr>
          <w:rStyle w:val="28"/>
          <w:rFonts w:hint="eastAsia" w:ascii="黑体" w:hAnsi="黑体" w:eastAsia="黑体"/>
          <w:b w:val="0"/>
          <w:color w:val="000000" w:themeColor="text1"/>
        </w:rPr>
        <w:t>三公”经费财政拨款支出决算情况说明</w:t>
      </w:r>
      <w:bookmarkEnd w:id="67"/>
      <w:bookmarkEnd w:id="68"/>
      <w:bookmarkEnd w:id="69"/>
    </w:p>
    <w:p>
      <w:pPr>
        <w:spacing w:line="600" w:lineRule="exact"/>
        <w:ind w:firstLine="640"/>
        <w:outlineLvl w:val="2"/>
        <w:rPr>
          <w:rFonts w:ascii="仿宋" w:hAnsi="仿宋" w:eastAsia="仿宋"/>
          <w:b/>
          <w:color w:val="000000" w:themeColor="text1"/>
          <w:sz w:val="32"/>
          <w:szCs w:val="32"/>
        </w:rPr>
      </w:pPr>
      <w:bookmarkStart w:id="70" w:name="_Toc15377216"/>
      <w:bookmarkStart w:id="71" w:name="_Toc5722"/>
      <w:r>
        <w:rPr>
          <w:rFonts w:hint="eastAsia" w:ascii="仿宋" w:hAnsi="仿宋" w:eastAsia="仿宋"/>
          <w:b/>
          <w:color w:val="000000" w:themeColor="text1"/>
          <w:sz w:val="32"/>
          <w:szCs w:val="32"/>
        </w:rPr>
        <w:t>（一）“三公”经费财政拨款支出决算总体情况说明</w:t>
      </w:r>
      <w:bookmarkEnd w:id="70"/>
      <w:bookmarkEnd w:id="71"/>
    </w:p>
    <w:p>
      <w:pPr>
        <w:spacing w:line="600" w:lineRule="exact"/>
        <w:ind w:firstLine="640"/>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9年“三公”经费财政拨款支出决算为6.42万元，完成预算100</w:t>
      </w:r>
      <w:r>
        <w:rPr>
          <w:rFonts w:ascii="仿宋" w:hAnsi="仿宋" w:eastAsia="仿宋"/>
          <w:color w:val="000000" w:themeColor="text1"/>
          <w:sz w:val="32"/>
          <w:szCs w:val="32"/>
        </w:rPr>
        <w:t>%</w:t>
      </w:r>
      <w:r>
        <w:rPr>
          <w:rFonts w:hint="eastAsia" w:ascii="仿宋" w:hAnsi="仿宋" w:eastAsia="仿宋"/>
          <w:color w:val="000000" w:themeColor="text1"/>
          <w:sz w:val="32"/>
          <w:szCs w:val="32"/>
        </w:rPr>
        <w:t>，决算数与预算数持平。</w:t>
      </w:r>
    </w:p>
    <w:p>
      <w:pPr>
        <w:spacing w:line="600" w:lineRule="exact"/>
        <w:ind w:firstLine="640"/>
        <w:outlineLvl w:val="2"/>
        <w:rPr>
          <w:rFonts w:ascii="仿宋" w:hAnsi="仿宋" w:eastAsia="仿宋"/>
          <w:b/>
          <w:color w:val="000000" w:themeColor="text1"/>
          <w:sz w:val="32"/>
          <w:szCs w:val="32"/>
        </w:rPr>
      </w:pPr>
      <w:bookmarkStart w:id="72" w:name="_Toc15377217"/>
      <w:bookmarkStart w:id="73" w:name="_Toc26930"/>
      <w:r>
        <w:rPr>
          <w:rFonts w:hint="eastAsia" w:ascii="仿宋" w:hAnsi="仿宋" w:eastAsia="仿宋"/>
          <w:b/>
          <w:color w:val="000000" w:themeColor="text1"/>
          <w:sz w:val="32"/>
          <w:szCs w:val="32"/>
        </w:rPr>
        <w:t>（二）“三公”经费财政拨款支出决算具体情况说明</w:t>
      </w:r>
      <w:bookmarkEnd w:id="72"/>
      <w:bookmarkEnd w:id="73"/>
    </w:p>
    <w:p>
      <w:pPr>
        <w:spacing w:line="600" w:lineRule="exact"/>
        <w:ind w:firstLine="640"/>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9年“三公”经费财政拨款支出决算中，因公出国（境）费支出决算0万元，占0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；公务用车购置及运行维护费支出决算6万元，占93.45</w:t>
      </w:r>
      <w:r>
        <w:rPr>
          <w:rFonts w:ascii="仿宋" w:hAnsi="仿宋" w:eastAsia="仿宋"/>
          <w:color w:val="000000" w:themeColor="text1"/>
          <w:sz w:val="32"/>
          <w:szCs w:val="32"/>
        </w:rPr>
        <w:t>%</w:t>
      </w:r>
      <w:r>
        <w:rPr>
          <w:rFonts w:hint="eastAsia" w:ascii="仿宋" w:hAnsi="仿宋" w:eastAsia="仿宋"/>
          <w:color w:val="000000" w:themeColor="text1"/>
          <w:sz w:val="32"/>
          <w:szCs w:val="32"/>
        </w:rPr>
        <w:t>；公务接待费支出决算0.42万元，占0.65</w:t>
      </w:r>
      <w:r>
        <w:rPr>
          <w:rFonts w:ascii="仿宋" w:hAnsi="仿宋" w:eastAsia="仿宋"/>
          <w:color w:val="000000" w:themeColor="text1"/>
          <w:sz w:val="32"/>
          <w:szCs w:val="32"/>
        </w:rPr>
        <w:t>%</w:t>
      </w:r>
      <w:r>
        <w:rPr>
          <w:rFonts w:hint="eastAsia" w:ascii="仿宋" w:hAnsi="仿宋" w:eastAsia="仿宋"/>
          <w:color w:val="000000" w:themeColor="text1"/>
          <w:sz w:val="32"/>
          <w:szCs w:val="32"/>
        </w:rPr>
        <w:t>。具体情况如下：</w:t>
      </w:r>
    </w:p>
    <w:p>
      <w:pPr>
        <w:spacing w:line="600" w:lineRule="exact"/>
        <w:ind w:firstLine="64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935" distR="114935" simplePos="0" relativeHeight="251665408" behindDoc="1" locked="0" layoutInCell="1" allowOverlap="1">
            <wp:simplePos x="0" y="0"/>
            <wp:positionH relativeFrom="column">
              <wp:posOffset>323215</wp:posOffset>
            </wp:positionH>
            <wp:positionV relativeFrom="paragraph">
              <wp:posOffset>146685</wp:posOffset>
            </wp:positionV>
            <wp:extent cx="4103370" cy="2540000"/>
            <wp:effectExtent l="4445" t="4445" r="6985" b="825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r>
        <w:rPr>
          <w:rFonts w:hint="eastAsia" w:ascii="仿宋" w:hAnsi="仿宋" w:eastAsia="仿宋"/>
          <w:color w:val="000000" w:themeColor="text1"/>
          <w:sz w:val="32"/>
          <w:szCs w:val="32"/>
        </w:rPr>
        <w:t>（图7：“三公”经费财政拨款支出结构）（饼状图）</w:t>
      </w:r>
    </w:p>
    <w:p>
      <w:pPr>
        <w:spacing w:line="600" w:lineRule="exact"/>
        <w:ind w:firstLine="640"/>
        <w:rPr>
          <w:rFonts w:ascii="仿宋_GB2312" w:eastAsia="仿宋_GB2312"/>
          <w:b/>
          <w:color w:val="000000" w:themeColor="text1"/>
          <w:sz w:val="32"/>
          <w:szCs w:val="32"/>
        </w:rPr>
      </w:pPr>
      <w:r>
        <w:rPr>
          <w:rFonts w:ascii="仿宋_GB2312" w:eastAsia="仿宋_GB2312"/>
          <w:b/>
          <w:color w:val="000000" w:themeColor="text1"/>
          <w:sz w:val="32"/>
          <w:szCs w:val="32"/>
        </w:rPr>
        <w:t>1.</w:t>
      </w:r>
      <w:r>
        <w:rPr>
          <w:rFonts w:hint="eastAsia" w:ascii="仿宋_GB2312" w:eastAsia="仿宋_GB2312"/>
          <w:b/>
          <w:color w:val="000000" w:themeColor="text1"/>
          <w:sz w:val="32"/>
          <w:szCs w:val="32"/>
        </w:rPr>
        <w:t>因公出国（境）经费支出</w:t>
      </w:r>
      <w:r>
        <w:rPr>
          <w:rFonts w:hint="eastAsia" w:ascii="仿宋_GB2312" w:eastAsia="仿宋_GB2312"/>
          <w:color w:val="000000" w:themeColor="text1"/>
          <w:sz w:val="32"/>
          <w:szCs w:val="32"/>
        </w:rPr>
        <w:t>0万元，</w:t>
      </w:r>
      <w:r>
        <w:rPr>
          <w:rStyle w:val="17"/>
          <w:rFonts w:hint="eastAsia" w:ascii="仿宋" w:hAnsi="仿宋" w:eastAsia="仿宋"/>
          <w:b w:val="0"/>
          <w:bCs/>
          <w:color w:val="000000" w:themeColor="text1"/>
          <w:sz w:val="32"/>
          <w:szCs w:val="32"/>
        </w:rPr>
        <w:t>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全年安排因公出国（境）团组0次，出国（境）0人。因公出国（境）支出决算比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8年无变化。</w:t>
      </w:r>
    </w:p>
    <w:p>
      <w:pPr>
        <w:spacing w:line="600" w:lineRule="exact"/>
        <w:ind w:firstLine="640"/>
        <w:rPr>
          <w:rFonts w:ascii="仿宋_GB2312" w:eastAsia="仿宋_GB2312"/>
          <w:b/>
          <w:color w:val="000000" w:themeColor="text1"/>
          <w:sz w:val="32"/>
          <w:szCs w:val="32"/>
        </w:rPr>
      </w:pPr>
      <w:r>
        <w:rPr>
          <w:rFonts w:ascii="仿宋_GB2312" w:eastAsia="仿宋_GB2312"/>
          <w:b/>
          <w:color w:val="000000" w:themeColor="text1"/>
          <w:sz w:val="32"/>
          <w:szCs w:val="32"/>
        </w:rPr>
        <w:t>2.</w:t>
      </w:r>
      <w:r>
        <w:rPr>
          <w:rFonts w:hint="eastAsia" w:ascii="仿宋_GB2312" w:eastAsia="仿宋_GB2312"/>
          <w:b/>
          <w:color w:val="000000" w:themeColor="text1"/>
          <w:sz w:val="32"/>
          <w:szCs w:val="32"/>
        </w:rPr>
        <w:t>公务用车购置及运行维护费支出</w:t>
      </w:r>
      <w:r>
        <w:rPr>
          <w:rFonts w:hint="eastAsia" w:ascii="仿宋_GB2312" w:eastAsia="仿宋_GB2312"/>
          <w:color w:val="000000" w:themeColor="text1"/>
          <w:sz w:val="32"/>
          <w:szCs w:val="32"/>
        </w:rPr>
        <w:t>6.42万元,</w:t>
      </w:r>
      <w:r>
        <w:rPr>
          <w:rStyle w:val="17"/>
          <w:rFonts w:hint="eastAsia" w:ascii="仿宋" w:hAnsi="仿宋" w:eastAsia="仿宋"/>
          <w:b w:val="0"/>
          <w:bCs/>
          <w:color w:val="000000" w:themeColor="text1"/>
          <w:sz w:val="32"/>
          <w:szCs w:val="32"/>
        </w:rPr>
        <w:t>完成预算100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公务用车购置及运行维护费支出决算比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8年增加4.92万元，增长49.45</w:t>
      </w:r>
      <w:r>
        <w:rPr>
          <w:rFonts w:ascii="仿宋_GB2312" w:eastAsia="仿宋_GB2312"/>
          <w:color w:val="000000" w:themeColor="text1"/>
          <w:sz w:val="32"/>
          <w:szCs w:val="32"/>
        </w:rPr>
        <w:t>%</w:t>
      </w:r>
      <w:r>
        <w:rPr>
          <w:rFonts w:hint="eastAsia" w:ascii="仿宋_GB2312" w:eastAsia="仿宋_GB2312"/>
          <w:color w:val="000000" w:themeColor="text1"/>
          <w:sz w:val="32"/>
          <w:szCs w:val="32"/>
        </w:rPr>
        <w:t>。主要原因是2019年度公务用车维修费用增加，公务用车使用时间增加。</w:t>
      </w:r>
    </w:p>
    <w:p>
      <w:pPr>
        <w:spacing w:line="60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其中：</w:t>
      </w:r>
      <w:r>
        <w:rPr>
          <w:rFonts w:hint="eastAsia" w:ascii="仿宋_GB2312" w:eastAsia="仿宋_GB2312"/>
          <w:b/>
          <w:color w:val="000000" w:themeColor="text1"/>
          <w:sz w:val="32"/>
          <w:szCs w:val="32"/>
        </w:rPr>
        <w:t>公务用车购置支出</w:t>
      </w:r>
      <w:r>
        <w:rPr>
          <w:rFonts w:hint="eastAsia" w:ascii="仿宋_GB2312" w:eastAsia="仿宋_GB2312"/>
          <w:color w:val="000000" w:themeColor="text1"/>
          <w:sz w:val="32"/>
          <w:szCs w:val="32"/>
        </w:rPr>
        <w:t>0万元。全年按规定更新购置公务用车0辆，金额0</w:t>
      </w:r>
      <w:r>
        <w:rPr>
          <w:rFonts w:ascii="仿宋_GB2312" w:eastAsia="仿宋_GB2312"/>
          <w:color w:val="000000" w:themeColor="text1"/>
          <w:sz w:val="32"/>
          <w:szCs w:val="32"/>
        </w:rPr>
        <w:t>元。</w:t>
      </w:r>
      <w:r>
        <w:rPr>
          <w:rFonts w:hint="eastAsia" w:ascii="仿宋_GB2312" w:eastAsia="仿宋_GB2312"/>
          <w:color w:val="000000" w:themeColor="text1"/>
          <w:sz w:val="32"/>
          <w:szCs w:val="32"/>
        </w:rPr>
        <w:t>截至</w:t>
      </w:r>
      <w:r>
        <w:rPr>
          <w:rFonts w:ascii="仿宋_GB2312" w:eastAsia="仿宋_GB2312"/>
          <w:color w:val="000000" w:themeColor="text1"/>
          <w:sz w:val="32"/>
          <w:szCs w:val="32"/>
        </w:rPr>
        <w:t>201</w:t>
      </w:r>
      <w:r>
        <w:rPr>
          <w:rFonts w:hint="eastAsia" w:ascii="仿宋_GB2312" w:eastAsia="仿宋_GB2312"/>
          <w:color w:val="000000" w:themeColor="text1"/>
          <w:sz w:val="32"/>
          <w:szCs w:val="32"/>
        </w:rPr>
        <w:t>9年</w:t>
      </w:r>
      <w:r>
        <w:rPr>
          <w:rFonts w:ascii="仿宋_GB2312" w:eastAsia="仿宋_GB2312"/>
          <w:color w:val="000000" w:themeColor="text1"/>
          <w:sz w:val="32"/>
          <w:szCs w:val="32"/>
        </w:rPr>
        <w:t>12</w:t>
      </w:r>
      <w:r>
        <w:rPr>
          <w:rFonts w:hint="eastAsia" w:ascii="仿宋_GB2312" w:eastAsia="仿宋_GB2312"/>
          <w:color w:val="000000" w:themeColor="text1"/>
          <w:sz w:val="32"/>
          <w:szCs w:val="32"/>
        </w:rPr>
        <w:t>月底，单位共有公务用车1辆，其中：主要领导干部用车0辆、机要通信用车0辆、应急保障用车0辆、 执法执勤用车0辆、其他车辆1辆。</w:t>
      </w:r>
    </w:p>
    <w:p>
      <w:pPr>
        <w:spacing w:line="600" w:lineRule="exact"/>
        <w:ind w:firstLine="640"/>
        <w:rPr>
          <w:rFonts w:ascii="仿宋_GB2312" w:eastAsia="仿宋_GB2312"/>
          <w:color w:val="000000" w:themeColor="text1"/>
          <w:sz w:val="32"/>
          <w:szCs w:val="32"/>
        </w:rPr>
      </w:pPr>
      <w:r>
        <w:rPr>
          <w:rFonts w:hint="eastAsia" w:ascii="仿宋_GB2312" w:eastAsia="仿宋_GB2312"/>
          <w:b/>
          <w:color w:val="000000" w:themeColor="text1"/>
          <w:sz w:val="32"/>
          <w:szCs w:val="32"/>
        </w:rPr>
        <w:t>公务用车运行维护费支出</w:t>
      </w:r>
      <w:r>
        <w:rPr>
          <w:rFonts w:hint="eastAsia" w:ascii="仿宋_GB2312" w:eastAsia="仿宋_GB2312"/>
          <w:color w:val="000000" w:themeColor="text1"/>
          <w:sz w:val="32"/>
          <w:szCs w:val="32"/>
        </w:rPr>
        <w:t>6.42万元。主要用于下牧业开展工作、到县参加会议、办事、日常辖区巡逻、出差等所需的公务用车燃料费、维修费、过路过桥费、保险费等支出。</w:t>
      </w:r>
    </w:p>
    <w:p>
      <w:pPr>
        <w:spacing w:line="600" w:lineRule="exact"/>
        <w:ind w:firstLine="640"/>
        <w:rPr>
          <w:rFonts w:ascii="仿宋_GB2312" w:eastAsia="仿宋_GB2312"/>
          <w:color w:val="000000" w:themeColor="text1"/>
          <w:sz w:val="32"/>
          <w:szCs w:val="32"/>
        </w:rPr>
      </w:pPr>
      <w:r>
        <w:rPr>
          <w:rFonts w:hint="eastAsia" w:ascii="仿宋_GB2312" w:eastAsia="仿宋_GB2312"/>
          <w:b/>
          <w:color w:val="000000" w:themeColor="text1"/>
          <w:sz w:val="32"/>
          <w:szCs w:val="32"/>
        </w:rPr>
        <w:t>公务接待费支出</w:t>
      </w:r>
      <w:r>
        <w:rPr>
          <w:rFonts w:hint="eastAsia" w:ascii="仿宋_GB2312" w:eastAsia="仿宋_GB2312"/>
          <w:color w:val="000000" w:themeColor="text1"/>
          <w:sz w:val="32"/>
          <w:szCs w:val="32"/>
        </w:rPr>
        <w:t>0万元，</w:t>
      </w:r>
      <w:r>
        <w:rPr>
          <w:rStyle w:val="17"/>
          <w:rFonts w:hint="eastAsia" w:ascii="仿宋" w:hAnsi="仿宋" w:eastAsia="仿宋"/>
          <w:b w:val="0"/>
          <w:bCs/>
          <w:color w:val="000000" w:themeColor="text1"/>
          <w:sz w:val="32"/>
          <w:szCs w:val="32"/>
        </w:rPr>
        <w:t>完成预算0</w:t>
      </w:r>
      <w:r>
        <w:rPr>
          <w:rStyle w:val="17"/>
          <w:rFonts w:ascii="仿宋" w:hAnsi="仿宋" w:eastAsia="仿宋"/>
          <w:b w:val="0"/>
          <w:bCs/>
          <w:color w:val="000000" w:themeColor="text1"/>
          <w:sz w:val="32"/>
          <w:szCs w:val="32"/>
        </w:rPr>
        <w:t>%</w:t>
      </w:r>
      <w:r>
        <w:rPr>
          <w:rStyle w:val="17"/>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公务接待费支出决算比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8年减少0.45万元，下降57</w:t>
      </w:r>
      <w:r>
        <w:rPr>
          <w:rFonts w:ascii="仿宋_GB2312" w:eastAsia="仿宋_GB2312"/>
          <w:color w:val="000000" w:themeColor="text1"/>
          <w:sz w:val="32"/>
          <w:szCs w:val="32"/>
        </w:rPr>
        <w:t>%</w:t>
      </w:r>
      <w:r>
        <w:rPr>
          <w:rFonts w:hint="eastAsia" w:ascii="仿宋_GB2312" w:eastAsia="仿宋_GB2312"/>
          <w:color w:val="000000" w:themeColor="text1"/>
          <w:sz w:val="32"/>
          <w:szCs w:val="32"/>
        </w:rPr>
        <w:t>。主要原因是当年无接待</w:t>
      </w:r>
      <w:r>
        <w:rPr>
          <w:rFonts w:hint="eastAsia" w:ascii="仿宋_GB2312" w:eastAsia="仿宋_GB2312"/>
          <w:color w:val="000000"/>
          <w:sz w:val="32"/>
          <w:szCs w:val="32"/>
        </w:rPr>
        <w:t>且厉行节约</w:t>
      </w:r>
      <w:r>
        <w:rPr>
          <w:rFonts w:hint="eastAsia" w:ascii="仿宋_GB2312" w:eastAsia="仿宋_GB2312"/>
          <w:color w:val="000000" w:themeColor="text1"/>
          <w:sz w:val="32"/>
          <w:szCs w:val="32"/>
        </w:rPr>
        <w:t>。</w:t>
      </w:r>
    </w:p>
    <w:p>
      <w:pPr>
        <w:numPr>
          <w:ilvl w:val="0"/>
          <w:numId w:val="3"/>
        </w:numPr>
        <w:spacing w:line="600" w:lineRule="exact"/>
        <w:ind w:firstLine="640"/>
        <w:rPr>
          <w:rFonts w:ascii="仿宋_GB2312" w:eastAsia="仿宋_GB2312"/>
          <w:color w:val="000000" w:themeColor="text1"/>
          <w:sz w:val="32"/>
          <w:szCs w:val="32"/>
        </w:rPr>
      </w:pPr>
      <w:r>
        <w:rPr>
          <w:rFonts w:hint="eastAsia" w:ascii="仿宋" w:hAnsi="仿宋" w:eastAsia="仿宋"/>
          <w:b/>
          <w:color w:val="000000" w:themeColor="text1"/>
          <w:sz w:val="32"/>
          <w:szCs w:val="32"/>
        </w:rPr>
        <w:t>国内公务接待支出</w:t>
      </w:r>
      <w:r>
        <w:rPr>
          <w:rFonts w:hint="eastAsia" w:ascii="仿宋" w:hAnsi="仿宋" w:eastAsia="仿宋"/>
          <w:color w:val="000000" w:themeColor="text1"/>
          <w:sz w:val="32"/>
          <w:szCs w:val="32"/>
        </w:rPr>
        <w:t>0</w:t>
      </w:r>
      <w:r>
        <w:rPr>
          <w:rFonts w:hint="eastAsia" w:ascii="仿宋_GB2312" w:eastAsia="仿宋_GB2312"/>
          <w:color w:val="000000" w:themeColor="text1"/>
          <w:sz w:val="32"/>
          <w:szCs w:val="32"/>
        </w:rPr>
        <w:t>万元。</w:t>
      </w:r>
    </w:p>
    <w:p>
      <w:pPr>
        <w:spacing w:line="600" w:lineRule="exact"/>
        <w:ind w:firstLine="643" w:firstLineChars="200"/>
        <w:rPr>
          <w:rFonts w:ascii="黑体" w:eastAsia="黑体"/>
          <w:color w:val="000000" w:themeColor="text1"/>
          <w:sz w:val="32"/>
          <w:szCs w:val="32"/>
        </w:rPr>
      </w:pPr>
      <w:r>
        <w:rPr>
          <w:rFonts w:hint="eastAsia" w:ascii="仿宋" w:hAnsi="仿宋" w:eastAsia="仿宋"/>
          <w:b/>
          <w:color w:val="000000" w:themeColor="text1"/>
          <w:sz w:val="32"/>
          <w:szCs w:val="32"/>
        </w:rPr>
        <w:t>外事接待支出</w:t>
      </w:r>
      <w:r>
        <w:rPr>
          <w:rFonts w:hint="eastAsia" w:ascii="仿宋" w:hAnsi="仿宋" w:eastAsia="仿宋"/>
          <w:color w:val="000000" w:themeColor="text1"/>
          <w:sz w:val="32"/>
          <w:szCs w:val="32"/>
        </w:rPr>
        <w:t>0</w:t>
      </w:r>
      <w:r>
        <w:rPr>
          <w:rFonts w:hint="eastAsia" w:ascii="仿宋_GB2312" w:eastAsia="仿宋_GB2312"/>
          <w:color w:val="000000" w:themeColor="text1"/>
          <w:sz w:val="32"/>
          <w:szCs w:val="32"/>
        </w:rPr>
        <w:t>万元。</w:t>
      </w:r>
      <w:bookmarkStart w:id="74" w:name="_Toc15396610"/>
      <w:bookmarkStart w:id="75" w:name="_Toc15377218"/>
    </w:p>
    <w:p>
      <w:pPr>
        <w:spacing w:line="600" w:lineRule="exact"/>
        <w:ind w:firstLine="640"/>
        <w:outlineLvl w:val="1"/>
        <w:rPr>
          <w:rStyle w:val="28"/>
          <w:rFonts w:ascii="黑体" w:hAnsi="黑体" w:eastAsia="黑体"/>
          <w:color w:val="000000" w:themeColor="text1"/>
        </w:rPr>
      </w:pPr>
      <w:bookmarkStart w:id="76" w:name="_Toc16772"/>
      <w:r>
        <w:rPr>
          <w:rFonts w:hint="eastAsia" w:ascii="黑体" w:eastAsia="黑体"/>
          <w:color w:val="000000" w:themeColor="text1"/>
          <w:sz w:val="32"/>
          <w:szCs w:val="32"/>
        </w:rPr>
        <w:t>八、</w:t>
      </w:r>
      <w:r>
        <w:rPr>
          <w:rStyle w:val="28"/>
          <w:rFonts w:hint="eastAsia" w:ascii="黑体" w:hAnsi="黑体" w:eastAsia="黑体"/>
          <w:b w:val="0"/>
          <w:color w:val="000000" w:themeColor="text1"/>
        </w:rPr>
        <w:t>政府性基金预算支出决算情况说明</w:t>
      </w:r>
      <w:bookmarkEnd w:id="74"/>
      <w:bookmarkEnd w:id="75"/>
      <w:bookmarkEnd w:id="76"/>
    </w:p>
    <w:p>
      <w:pPr>
        <w:spacing w:line="600" w:lineRule="exact"/>
        <w:ind w:firstLine="640"/>
        <w:rPr>
          <w:rFonts w:ascii="仿宋_GB2312" w:eastAsia="仿宋_GB2312"/>
          <w:color w:val="000000" w:themeColor="text1"/>
          <w:sz w:val="32"/>
          <w:szCs w:val="32"/>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9年政府性基金预算拨款支出0万元。</w:t>
      </w:r>
    </w:p>
    <w:p>
      <w:pPr>
        <w:numPr>
          <w:ilvl w:val="0"/>
          <w:numId w:val="4"/>
        </w:numPr>
        <w:spacing w:line="600" w:lineRule="exact"/>
        <w:ind w:firstLine="640"/>
        <w:outlineLvl w:val="1"/>
        <w:rPr>
          <w:rStyle w:val="28"/>
          <w:rFonts w:ascii="黑体" w:hAnsi="黑体" w:eastAsia="黑体"/>
          <w:b w:val="0"/>
          <w:color w:val="000000" w:themeColor="text1"/>
        </w:rPr>
      </w:pPr>
      <w:bookmarkStart w:id="77" w:name="_Toc25836"/>
      <w:bookmarkStart w:id="78" w:name="_Toc15377219"/>
      <w:bookmarkStart w:id="79" w:name="_Toc15396611"/>
      <w:r>
        <w:rPr>
          <w:rStyle w:val="28"/>
          <w:rFonts w:hint="eastAsia" w:ascii="黑体" w:hAnsi="黑体" w:eastAsia="黑体"/>
          <w:b w:val="0"/>
          <w:color w:val="000000" w:themeColor="text1"/>
        </w:rPr>
        <w:t>国有资本经营预算支出决算情况说明</w:t>
      </w:r>
      <w:bookmarkEnd w:id="77"/>
      <w:bookmarkEnd w:id="78"/>
      <w:bookmarkEnd w:id="79"/>
    </w:p>
    <w:p>
      <w:pPr>
        <w:spacing w:line="600" w:lineRule="exact"/>
        <w:ind w:firstLine="640"/>
        <w:rPr>
          <w:rFonts w:ascii="方正小标宋简体" w:hAnsi="方正小标宋简体" w:eastAsia="方正小标宋简体" w:cs="方正小标宋简体"/>
          <w:color w:val="000000" w:themeColor="text1"/>
          <w:sz w:val="44"/>
          <w:szCs w:val="44"/>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9年国有资本经营预算拨款支出0万元。</w:t>
      </w:r>
    </w:p>
    <w:p>
      <w:pPr>
        <w:spacing w:line="600" w:lineRule="exact"/>
        <w:ind w:firstLine="800" w:firstLineChars="250"/>
        <w:outlineLvl w:val="1"/>
        <w:rPr>
          <w:rStyle w:val="28"/>
          <w:rFonts w:ascii="黑体" w:hAnsi="黑体" w:eastAsia="黑体"/>
          <w:color w:val="000000" w:themeColor="text1"/>
        </w:rPr>
      </w:pPr>
      <w:bookmarkStart w:id="80" w:name="_Toc15396612"/>
      <w:bookmarkStart w:id="81" w:name="_Toc22729"/>
      <w:bookmarkStart w:id="82" w:name="_Toc15377221"/>
      <w:r>
        <w:rPr>
          <w:rFonts w:hint="eastAsia" w:ascii="黑体" w:hAnsi="黑体" w:eastAsia="黑体"/>
          <w:color w:val="000000" w:themeColor="text1"/>
          <w:sz w:val="32"/>
          <w:szCs w:val="32"/>
        </w:rPr>
        <w:t>十</w:t>
      </w:r>
      <w:r>
        <w:rPr>
          <w:rStyle w:val="28"/>
          <w:rFonts w:hint="eastAsia" w:ascii="黑体" w:hAnsi="黑体" w:eastAsia="黑体"/>
          <w:color w:val="000000" w:themeColor="text1"/>
        </w:rPr>
        <w:t>、</w:t>
      </w:r>
      <w:r>
        <w:rPr>
          <w:rStyle w:val="28"/>
          <w:rFonts w:hint="eastAsia" w:ascii="黑体" w:hAnsi="黑体" w:eastAsia="黑体"/>
          <w:b w:val="0"/>
          <w:color w:val="000000" w:themeColor="text1"/>
        </w:rPr>
        <w:t>其他重要事项的情况说明</w:t>
      </w:r>
      <w:bookmarkEnd w:id="80"/>
      <w:bookmarkEnd w:id="81"/>
      <w:bookmarkEnd w:id="82"/>
    </w:p>
    <w:p>
      <w:pPr>
        <w:spacing w:line="600" w:lineRule="exact"/>
        <w:ind w:firstLine="643" w:firstLineChars="200"/>
        <w:outlineLvl w:val="2"/>
        <w:rPr>
          <w:rFonts w:ascii="仿宋" w:hAnsi="仿宋" w:eastAsia="仿宋"/>
          <w:color w:val="000000" w:themeColor="text1"/>
          <w:sz w:val="32"/>
          <w:szCs w:val="32"/>
        </w:rPr>
      </w:pPr>
      <w:bookmarkStart w:id="83" w:name="_Toc31081"/>
      <w:bookmarkStart w:id="84" w:name="_Toc15377222"/>
      <w:r>
        <w:rPr>
          <w:rFonts w:hint="eastAsia" w:ascii="仿宋" w:hAnsi="仿宋" w:eastAsia="仿宋"/>
          <w:b/>
          <w:color w:val="000000" w:themeColor="text1"/>
          <w:sz w:val="32"/>
          <w:szCs w:val="32"/>
        </w:rPr>
        <w:t>（一）机关运行经费支出情况</w:t>
      </w:r>
      <w:bookmarkEnd w:id="83"/>
      <w:bookmarkEnd w:id="84"/>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9年，麦洼乡人民政府机关运行经费支出31.06万元，比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8年减少5.15万元，下降16.61</w:t>
      </w:r>
      <w:r>
        <w:rPr>
          <w:rFonts w:ascii="仿宋_GB2312" w:eastAsia="仿宋_GB2312"/>
          <w:color w:val="000000" w:themeColor="text1"/>
          <w:sz w:val="32"/>
          <w:szCs w:val="32"/>
        </w:rPr>
        <w:t>%</w:t>
      </w:r>
      <w:r>
        <w:rPr>
          <w:rFonts w:hint="eastAsia" w:ascii="仿宋_GB2312" w:eastAsia="仿宋_GB2312"/>
          <w:color w:val="000000" w:themeColor="text1"/>
          <w:sz w:val="32"/>
          <w:szCs w:val="32"/>
        </w:rPr>
        <w:t>。主要原因是2019年机关严格执行各项规定开展工作经费，厉行勤俭节约。</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rPr>
      </w:pPr>
      <w:bookmarkStart w:id="85" w:name="_Toc15377223"/>
      <w:bookmarkStart w:id="86" w:name="_Toc8081"/>
      <w:r>
        <w:rPr>
          <w:rFonts w:hint="eastAsia" w:ascii="仿宋" w:hAnsi="仿宋" w:eastAsia="仿宋"/>
          <w:b/>
          <w:color w:val="000000" w:themeColor="text1"/>
          <w:sz w:val="32"/>
          <w:szCs w:val="32"/>
        </w:rPr>
        <w:t>（二）政府采购支出情况</w:t>
      </w:r>
      <w:bookmarkEnd w:id="85"/>
      <w:bookmarkEnd w:id="86"/>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9年，麦洼乡人民政府采购支出总额6万元，其中：政府采购货物支出5.7万元（暂扣3000元质保金）、政府采购工程支出0万元、政府采购服务支出0万元。</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rPr>
      </w:pPr>
      <w:bookmarkStart w:id="87" w:name="_Toc24300"/>
      <w:bookmarkStart w:id="88" w:name="_Toc15377224"/>
      <w:r>
        <w:rPr>
          <w:rFonts w:hint="eastAsia" w:ascii="仿宋" w:hAnsi="仿宋" w:eastAsia="仿宋"/>
          <w:b/>
          <w:color w:val="000000" w:themeColor="text1"/>
          <w:sz w:val="32"/>
          <w:szCs w:val="32"/>
        </w:rPr>
        <w:t>（三）国有资产占有使用情况</w:t>
      </w:r>
      <w:bookmarkEnd w:id="87"/>
      <w:bookmarkEnd w:id="88"/>
    </w:p>
    <w:p>
      <w:pPr>
        <w:autoSpaceDE w:val="0"/>
        <w:autoSpaceDN w:val="0"/>
        <w:adjustRightInd w:val="0"/>
        <w:spacing w:line="600" w:lineRule="exact"/>
        <w:ind w:firstLine="640" w:firstLineChars="200"/>
        <w:jc w:val="left"/>
        <w:rPr>
          <w:rFonts w:ascii="仿宋" w:hAnsi="仿宋" w:eastAsia="仿宋"/>
          <w:b/>
          <w:color w:val="000000" w:themeColor="text1"/>
          <w:sz w:val="32"/>
          <w:szCs w:val="32"/>
        </w:rPr>
      </w:pPr>
      <w:r>
        <w:rPr>
          <w:rFonts w:hint="eastAsia" w:ascii="仿宋_GB2312" w:eastAsia="仿宋_GB2312"/>
          <w:color w:val="000000" w:themeColor="text1"/>
          <w:sz w:val="32"/>
          <w:szCs w:val="32"/>
        </w:rPr>
        <w:t>截至</w:t>
      </w:r>
      <w:r>
        <w:rPr>
          <w:rFonts w:ascii="仿宋_GB2312" w:eastAsia="仿宋_GB2312"/>
          <w:color w:val="000000" w:themeColor="text1"/>
          <w:sz w:val="32"/>
          <w:szCs w:val="32"/>
        </w:rPr>
        <w:t>201</w:t>
      </w:r>
      <w:r>
        <w:rPr>
          <w:rFonts w:hint="eastAsia" w:ascii="仿宋_GB2312" w:eastAsia="仿宋_GB2312"/>
          <w:color w:val="000000" w:themeColor="text1"/>
          <w:sz w:val="32"/>
          <w:szCs w:val="32"/>
        </w:rPr>
        <w:t>9年</w:t>
      </w:r>
      <w:r>
        <w:rPr>
          <w:rFonts w:ascii="仿宋_GB2312" w:eastAsia="仿宋_GB2312"/>
          <w:color w:val="000000" w:themeColor="text1"/>
          <w:sz w:val="32"/>
          <w:szCs w:val="32"/>
        </w:rPr>
        <w:t>12</w:t>
      </w:r>
      <w:r>
        <w:rPr>
          <w:rFonts w:hint="eastAsia" w:ascii="仿宋_GB2312" w:eastAsia="仿宋_GB2312"/>
          <w:color w:val="000000" w:themeColor="text1"/>
          <w:sz w:val="32"/>
          <w:szCs w:val="32"/>
        </w:rPr>
        <w:t>月</w:t>
      </w:r>
      <w:r>
        <w:rPr>
          <w:rFonts w:ascii="仿宋_GB2312" w:eastAsia="仿宋_GB2312"/>
          <w:color w:val="000000" w:themeColor="text1"/>
          <w:sz w:val="32"/>
          <w:szCs w:val="32"/>
        </w:rPr>
        <w:t>31</w:t>
      </w:r>
      <w:r>
        <w:rPr>
          <w:rFonts w:hint="eastAsia" w:ascii="仿宋_GB2312" w:eastAsia="仿宋_GB2312"/>
          <w:color w:val="000000" w:themeColor="text1"/>
          <w:sz w:val="32"/>
          <w:szCs w:val="32"/>
        </w:rPr>
        <w:t>日，麦洼乡人民政府共有车辆1辆，其中：主要领导干部用车0辆、机要通信用车0辆、应急保障用车0辆、其他用车1辆，其他用车主要是用于下牧业开展工作、到县参加会议、办事、日常辖区巡逻、出差等。单价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themeColor="text1"/>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rPr>
      </w:pPr>
      <w:bookmarkStart w:id="89" w:name="_Toc28050"/>
      <w:r>
        <w:rPr>
          <w:rFonts w:hint="eastAsia" w:ascii="仿宋" w:hAnsi="仿宋" w:eastAsia="仿宋"/>
          <w:b/>
          <w:color w:val="000000" w:themeColor="text1"/>
          <w:sz w:val="32"/>
          <w:szCs w:val="32"/>
        </w:rPr>
        <w:t>（四）预算绩效管理情况。</w:t>
      </w:r>
      <w:bookmarkEnd w:id="89"/>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根据预算绩效管理要求，本部门（单位）在年初预算编制阶段，</w:t>
      </w:r>
      <w:r>
        <w:rPr>
          <w:rFonts w:hint="eastAsia" w:ascii="仿宋_GB2312" w:hAnsi="仿宋_GB2312" w:eastAsia="仿宋_GB2312" w:cs="仿宋_GB2312"/>
          <w:sz w:val="32"/>
          <w:szCs w:val="32"/>
        </w:rPr>
        <w:t>2019年基层政权建设采购安装蔬菜大棚1处及维修浴室项目、</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9年麦洼乡动态调整建档立卡贫困人员到户产业牦牛采购项目、2019年麦洼乡易地扶贫搬迁产业发展基础设施建设项目、2019年麦洼乡藏区新居建设项目</w:t>
      </w:r>
      <w:r>
        <w:rPr>
          <w:rFonts w:hint="eastAsia" w:ascii="仿宋_GB2312" w:hAnsi="仿宋_GB2312" w:eastAsia="仿宋_GB2312" w:cs="仿宋_GB2312"/>
          <w:color w:val="000000" w:themeColor="text1"/>
          <w:sz w:val="32"/>
          <w:szCs w:val="32"/>
        </w:rPr>
        <w:t>开展了预算事前绩效评估，对4个项目编制了绩效目标，预算执行过程中，选取4个项目开展绩效监控，年终执行完毕后，对4个项目开展了绩效目标完成情况自评。</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本部门按要求对2019年部门整体支出开展绩效自评，从评价情况来看完成效果较好。本部门还自行组织了1个项目支出绩效评价，从评价情况来看完成情况较好。</w:t>
      </w:r>
    </w:p>
    <w:p>
      <w:pPr>
        <w:numPr>
          <w:ilvl w:val="0"/>
          <w:numId w:val="5"/>
        </w:numPr>
        <w:spacing w:line="580" w:lineRule="exact"/>
        <w:ind w:firstLine="640" w:firstLineChars="200"/>
        <w:rPr>
          <w:rFonts w:ascii="仿宋_GB2312" w:hAnsi="仿宋_GB2312" w:eastAsia="仿宋_GB2312" w:cs="仿宋_GB2312"/>
          <w:color w:val="000000" w:themeColor="text1"/>
          <w:sz w:val="32"/>
          <w:szCs w:val="32"/>
        </w:rPr>
      </w:pPr>
      <w:r>
        <w:rPr>
          <w:rFonts w:hint="eastAsia" w:ascii="楷体_GB2312" w:hAnsi="楷体_GB2312" w:eastAsia="楷体_GB2312" w:cs="楷体_GB2312"/>
          <w:color w:val="000000" w:themeColor="text1"/>
          <w:sz w:val="32"/>
          <w:szCs w:val="32"/>
        </w:rPr>
        <w:t>项目绩效目标完成情况。</w:t>
      </w:r>
      <w:r>
        <w:rPr>
          <w:rFonts w:hint="eastAsia" w:ascii="楷体_GB2312" w:hAnsi="楷体_GB2312" w:eastAsia="楷体_GB2312" w:cs="楷体_GB2312"/>
          <w:color w:val="000000" w:themeColor="text1"/>
          <w:sz w:val="32"/>
          <w:szCs w:val="32"/>
        </w:rPr>
        <w:br w:type="textWrapping"/>
      </w:r>
      <w:r>
        <w:rPr>
          <w:rFonts w:hint="eastAsia" w:ascii="仿宋_GB2312" w:hAnsi="仿宋_GB2312" w:eastAsia="仿宋_GB2312" w:cs="仿宋_GB2312"/>
          <w:color w:val="000000" w:themeColor="text1"/>
          <w:sz w:val="32"/>
          <w:szCs w:val="32"/>
        </w:rPr>
        <w:t xml:space="preserve">    本部门在2019年度部门决算中反映“</w:t>
      </w:r>
      <w:r>
        <w:rPr>
          <w:rFonts w:hint="eastAsia" w:ascii="仿宋_GB2312" w:hAnsi="仿宋_GB2312" w:eastAsia="仿宋_GB2312" w:cs="仿宋_GB2312"/>
          <w:sz w:val="32"/>
          <w:szCs w:val="32"/>
        </w:rPr>
        <w:t>2019年基层政权建设采购安装蔬菜大棚1处及维修浴室项目、</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9年麦洼乡动态调整建档立卡贫困人员到户产业牦牛采购项目、2019年麦洼乡易地扶贫搬迁产业发展基础设施建设项目、2019年藏区新居建设项目</w:t>
      </w:r>
      <w:r>
        <w:rPr>
          <w:rFonts w:hint="eastAsia" w:ascii="仿宋_GB2312" w:hAnsi="仿宋_GB2312" w:eastAsia="仿宋_GB2312" w:cs="仿宋_GB2312"/>
          <w:color w:val="000000" w:themeColor="text1"/>
          <w:sz w:val="32"/>
          <w:szCs w:val="32"/>
        </w:rPr>
        <w:t>”等4个项目绩效目标实际完成情况。</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w:t>
      </w:r>
      <w:r>
        <w:rPr>
          <w:rFonts w:hint="eastAsia" w:ascii="仿宋_GB2312" w:hAnsi="仿宋_GB2312" w:eastAsia="仿宋_GB2312" w:cs="仿宋_GB2312"/>
          <w:sz w:val="32"/>
          <w:szCs w:val="32"/>
        </w:rPr>
        <w:t>基层政权建设采购安装蔬菜大棚1处及维修浴室项目</w:t>
      </w:r>
      <w:r>
        <w:rPr>
          <w:rFonts w:hint="eastAsia" w:ascii="仿宋_GB2312" w:hAnsi="仿宋_GB2312" w:eastAsia="仿宋_GB2312" w:cs="仿宋_GB2312"/>
          <w:color w:val="000000" w:themeColor="text1"/>
          <w:sz w:val="32"/>
          <w:szCs w:val="32"/>
        </w:rPr>
        <w:t>绩效目标完成情况综述。项目全年预算数6万元，执行数为6万元，完成预算的100%。(2019年基层政权建设，附属设施建设维修改造)。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t>（2）</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9年麦洼乡动态调整建档立卡贫困人员到户产业牦牛采购项目</w:t>
      </w:r>
      <w:r>
        <w:rPr>
          <w:rFonts w:hint="eastAsia" w:ascii="仿宋_GB2312" w:hAnsi="仿宋_GB2312" w:eastAsia="仿宋_GB2312" w:cs="仿宋_GB2312"/>
          <w:color w:val="000000" w:themeColor="text1"/>
          <w:sz w:val="32"/>
          <w:szCs w:val="32"/>
        </w:rPr>
        <w:t>绩效目标完成情况综述。项目全年预算数16.8万元，执行数为16.2万元，完成预算</w:t>
      </w:r>
      <w:r>
        <w:rPr>
          <w:rFonts w:hint="eastAsia" w:ascii="仿宋_GB2312" w:hAnsi="仿宋_GB2312" w:eastAsia="仿宋_GB2312" w:cs="仿宋_GB2312"/>
          <w:sz w:val="32"/>
          <w:szCs w:val="32"/>
        </w:rPr>
        <w:t>的96.43%。（因重复申报一人，后经核实减少一人预算）通过项目实施，加大对贫困户的精准大力扶持。(通过完善项目区基础建设，发展特色产业。）。</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2019年麦洼乡易地扶贫搬迁产业发展基础设施建设项目全年预算数80万元，执行数为78.423042万元，完成预算的98.03%。通过项目实施，整合资源，突出实效，注重群众增收实效。(进一步完善政策，破解深度贫困地区脱贫制约瓶颈）。</w:t>
      </w:r>
    </w:p>
    <w:p>
      <w:pPr>
        <w:pStyle w:val="2"/>
        <w:ind w:firstLine="640"/>
      </w:pPr>
      <w:r>
        <w:rPr>
          <w:rFonts w:hint="eastAsia"/>
        </w:rPr>
        <w:t>（4）</w:t>
      </w:r>
      <w:r>
        <w:rPr>
          <w:rFonts w:hint="eastAsia" w:ascii="仿宋_GB2312" w:hAnsi="仿宋_GB2312" w:eastAsia="仿宋_GB2312" w:cs="仿宋_GB2312"/>
          <w:color w:val="auto"/>
        </w:rPr>
        <w:t>2019年麦洼乡藏区新居建设项目</w:t>
      </w:r>
      <w:r>
        <w:rPr>
          <w:rFonts w:hint="eastAsia" w:ascii="仿宋_GB2312" w:hAnsi="仿宋_GB2312" w:eastAsia="仿宋_GB2312" w:cs="仿宋_GB2312"/>
          <w:color w:val="000000" w:themeColor="text1"/>
        </w:rPr>
        <w:t>全年预算数9万元，执行数为9万元，完成预算的100%。通过项目实施，充分激发贫困群众内生动力。(从根本上解决搬迁后续脱贫发展动力不足的问题）。</w:t>
      </w:r>
    </w:p>
    <w:p>
      <w:pPr>
        <w:pStyle w:val="2"/>
        <w:ind w:firstLine="640"/>
        <w:rPr>
          <w:rFonts w:ascii="仿宋_GB2312" w:hAnsi="仿宋_GB2312" w:eastAsia="仿宋_GB2312" w:cs="仿宋_GB2312"/>
          <w:color w:val="000000" w:themeColor="text1"/>
        </w:rPr>
      </w:pPr>
    </w:p>
    <w:p>
      <w:pPr>
        <w:pStyle w:val="2"/>
        <w:ind w:firstLine="640"/>
        <w:rPr>
          <w:rFonts w:ascii="仿宋_GB2312" w:hAnsi="仿宋_GB2312" w:eastAsia="仿宋_GB2312" w:cs="仿宋_GB2312"/>
          <w:color w:val="000000" w:themeColor="text1"/>
        </w:rPr>
      </w:pPr>
    </w:p>
    <w:tbl>
      <w:tblPr>
        <w:tblStyle w:val="15"/>
        <w:tblW w:w="9895" w:type="dxa"/>
        <w:jc w:val="center"/>
        <w:tblLayout w:type="fixed"/>
        <w:tblCellMar>
          <w:top w:w="15" w:type="dxa"/>
          <w:left w:w="15" w:type="dxa"/>
          <w:bottom w:w="15" w:type="dxa"/>
          <w:right w:w="15" w:type="dxa"/>
        </w:tblCellMar>
      </w:tblPr>
      <w:tblGrid>
        <w:gridCol w:w="373"/>
        <w:gridCol w:w="250"/>
        <w:gridCol w:w="199"/>
        <w:gridCol w:w="764"/>
        <w:gridCol w:w="225"/>
        <w:gridCol w:w="823"/>
        <w:gridCol w:w="199"/>
        <w:gridCol w:w="565"/>
        <w:gridCol w:w="172"/>
        <w:gridCol w:w="1010"/>
        <w:gridCol w:w="145"/>
        <w:gridCol w:w="1607"/>
        <w:gridCol w:w="104"/>
        <w:gridCol w:w="1465"/>
        <w:gridCol w:w="63"/>
        <w:gridCol w:w="58"/>
        <w:gridCol w:w="1347"/>
        <w:gridCol w:w="526"/>
      </w:tblGrid>
      <w:tr>
        <w:tblPrEx>
          <w:tblCellMar>
            <w:top w:w="15" w:type="dxa"/>
            <w:left w:w="15" w:type="dxa"/>
            <w:bottom w:w="15" w:type="dxa"/>
            <w:right w:w="15" w:type="dxa"/>
          </w:tblCellMar>
        </w:tblPrEx>
        <w:trPr>
          <w:gridBefore w:val="1"/>
          <w:wBefore w:w="373" w:type="dxa"/>
          <w:trHeight w:val="285" w:hRule="atLeast"/>
          <w:jc w:val="center"/>
        </w:trPr>
        <w:tc>
          <w:tcPr>
            <w:tcW w:w="9522" w:type="dxa"/>
            <w:gridSpan w:val="17"/>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项目支出绩效目标完成情况表1</w:t>
            </w:r>
          </w:p>
        </w:tc>
      </w:tr>
      <w:tr>
        <w:tblPrEx>
          <w:tblCellMar>
            <w:top w:w="15" w:type="dxa"/>
            <w:left w:w="15" w:type="dxa"/>
            <w:bottom w:w="15" w:type="dxa"/>
            <w:right w:w="15" w:type="dxa"/>
          </w:tblCellMar>
        </w:tblPrEx>
        <w:trPr>
          <w:gridBefore w:val="1"/>
          <w:wBefore w:w="373" w:type="dxa"/>
          <w:trHeight w:val="285"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项目名称</w:t>
            </w:r>
          </w:p>
        </w:tc>
        <w:tc>
          <w:tcPr>
            <w:tcW w:w="726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基层政权建设</w:t>
            </w:r>
          </w:p>
        </w:tc>
      </w:tr>
      <w:tr>
        <w:tblPrEx>
          <w:tblCellMar>
            <w:top w:w="15" w:type="dxa"/>
            <w:left w:w="15" w:type="dxa"/>
            <w:bottom w:w="15" w:type="dxa"/>
            <w:right w:w="15" w:type="dxa"/>
          </w:tblCellMar>
        </w:tblPrEx>
        <w:trPr>
          <w:gridBefore w:val="1"/>
          <w:wBefore w:w="373" w:type="dxa"/>
          <w:trHeight w:val="285"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预算单位</w:t>
            </w:r>
          </w:p>
        </w:tc>
        <w:tc>
          <w:tcPr>
            <w:tcW w:w="726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红原县麦洼乡人民政府</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预算执行情况(万元</w:t>
            </w: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6</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执行数:</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6</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其中-财政拨款:</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6</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其中-财政拨款:</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6</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其它资金:</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其它资金:</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0</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年度目标完成情况</w:t>
            </w: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预期目标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rPr>
            </w:pPr>
            <w:r>
              <w:rPr>
                <w:rFonts w:hint="eastAsia" w:ascii="宋体" w:hAnsi="宋体" w:cs="宋体"/>
                <w:b/>
                <w:color w:val="000000" w:themeColor="text1"/>
                <w:kern w:val="0"/>
                <w:sz w:val="24"/>
              </w:rPr>
              <w:t>实际完成目标</w:t>
            </w:r>
          </w:p>
        </w:tc>
      </w:tr>
      <w:tr>
        <w:tblPrEx>
          <w:tblCellMar>
            <w:top w:w="15" w:type="dxa"/>
            <w:left w:w="15" w:type="dxa"/>
            <w:bottom w:w="15" w:type="dxa"/>
            <w:right w:w="15" w:type="dxa"/>
          </w:tblCellMar>
        </w:tblPrEx>
        <w:trPr>
          <w:gridBefore w:val="1"/>
          <w:wBefore w:w="373" w:type="dxa"/>
          <w:trHeight w:val="19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rPr>
            </w:pP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rPr>
            </w:pPr>
            <w:r>
              <w:rPr>
                <w:rFonts w:hint="eastAsia" w:ascii="宋体" w:hAnsi="宋体" w:cs="宋体"/>
                <w:b/>
                <w:color w:val="000000" w:themeColor="text1"/>
                <w:sz w:val="24"/>
              </w:rPr>
              <w:t>完成年度目标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4"/>
              </w:rPr>
            </w:pPr>
            <w:r>
              <w:rPr>
                <w:rFonts w:hint="eastAsia" w:ascii="宋体" w:hAnsi="宋体" w:cs="宋体"/>
                <w:color w:val="000000" w:themeColor="text1"/>
                <w:kern w:val="0"/>
                <w:sz w:val="24"/>
              </w:rPr>
              <w:t>安装采购蔬菜大棚一处，维修麦洼乡政府基础设施，</w:t>
            </w:r>
            <w:r>
              <w:rPr>
                <w:rFonts w:hint="eastAsia" w:ascii="宋体" w:hAnsi="宋体" w:cs="宋体"/>
                <w:color w:val="000000" w:themeColor="text1"/>
                <w:sz w:val="24"/>
              </w:rPr>
              <w:t>剩余百分之五质保金</w:t>
            </w:r>
          </w:p>
        </w:tc>
      </w:tr>
      <w:tr>
        <w:tblPrEx>
          <w:tblCellMar>
            <w:top w:w="15" w:type="dxa"/>
            <w:left w:w="15" w:type="dxa"/>
            <w:bottom w:w="15" w:type="dxa"/>
            <w:right w:w="15" w:type="dxa"/>
          </w:tblCellMar>
        </w:tblPrEx>
        <w:trPr>
          <w:gridBefore w:val="1"/>
          <w:wBefore w:w="373" w:type="dxa"/>
          <w:trHeight w:val="624"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 w:val="24"/>
              </w:rPr>
            </w:pPr>
            <w:r>
              <w:rPr>
                <w:rFonts w:hint="eastAsia" w:ascii="仿宋_GB2312" w:hAnsi="宋体" w:eastAsia="仿宋_GB2312" w:cs="仿宋_GB2312"/>
                <w:color w:val="000000" w:themeColor="text1"/>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一级指标</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二级指标</w:t>
            </w: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三级指标</w:t>
            </w:r>
          </w:p>
        </w:tc>
        <w:tc>
          <w:tcPr>
            <w:tcW w:w="293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指标评价内容</w:t>
            </w:r>
          </w:p>
        </w:tc>
        <w:tc>
          <w:tcPr>
            <w:tcW w:w="16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预期指标值(包含数字及文字描述)</w:t>
            </w:r>
          </w:p>
        </w:tc>
        <w:tc>
          <w:tcPr>
            <w:tcW w:w="19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themeColor="text1"/>
                <w:sz w:val="20"/>
                <w:szCs w:val="20"/>
              </w:rPr>
            </w:pPr>
            <w:r>
              <w:rPr>
                <w:rFonts w:hint="eastAsia" w:ascii="宋体" w:hAnsi="宋体" w:cs="宋体"/>
                <w:b/>
                <w:color w:val="000000" w:themeColor="text1"/>
                <w:kern w:val="0"/>
                <w:sz w:val="20"/>
                <w:szCs w:val="20"/>
              </w:rPr>
              <w:t>实际完成指标值(包含数字及文字描述)</w:t>
            </w:r>
          </w:p>
        </w:tc>
      </w:tr>
      <w:tr>
        <w:tblPrEx>
          <w:tblCellMar>
            <w:top w:w="15" w:type="dxa"/>
            <w:left w:w="15" w:type="dxa"/>
            <w:bottom w:w="15" w:type="dxa"/>
            <w:right w:w="15" w:type="dxa"/>
          </w:tblCellMar>
        </w:tblPrEx>
        <w:trPr>
          <w:gridBefore w:val="1"/>
          <w:wBefore w:w="373" w:type="dxa"/>
          <w:trHeight w:val="624"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r>
      <w:tr>
        <w:tblPrEx>
          <w:tblCellMar>
            <w:top w:w="15" w:type="dxa"/>
            <w:left w:w="15" w:type="dxa"/>
            <w:bottom w:w="15" w:type="dxa"/>
            <w:right w:w="15" w:type="dxa"/>
          </w:tblCellMar>
        </w:tblPrEx>
        <w:trPr>
          <w:gridBefore w:val="1"/>
          <w:wBefore w:w="373" w:type="dxa"/>
          <w:trHeight w:val="624"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themeColor="text1"/>
                <w:sz w:val="20"/>
                <w:szCs w:val="20"/>
              </w:rPr>
            </w:pP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项目决策</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目标内容</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项目预期提供的产品、服务、效益或其他目标明确,即绩效目标实际明确个数/应当明确个数×100%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 xml:space="preserve">安装采购蔬菜大棚一处，维修乡政府 </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安装采购蔬菜大棚一处，维修乡政府</w:t>
            </w:r>
          </w:p>
        </w:tc>
      </w:tr>
      <w:tr>
        <w:tblPrEx>
          <w:tblCellMar>
            <w:top w:w="15" w:type="dxa"/>
            <w:left w:w="15" w:type="dxa"/>
            <w:bottom w:w="15" w:type="dxa"/>
            <w:right w:w="15" w:type="dxa"/>
          </w:tblCellMar>
        </w:tblPrEx>
        <w:trPr>
          <w:gridBefore w:val="1"/>
          <w:wBefore w:w="373" w:type="dxa"/>
          <w:trHeight w:val="64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进度计划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项目计划实施进度明确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工期一年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已完成</w:t>
            </w:r>
          </w:p>
        </w:tc>
      </w:tr>
      <w:tr>
        <w:tblPrEx>
          <w:tblCellMar>
            <w:top w:w="15" w:type="dxa"/>
            <w:left w:w="15" w:type="dxa"/>
            <w:bottom w:w="15" w:type="dxa"/>
            <w:right w:w="15" w:type="dxa"/>
          </w:tblCellMar>
        </w:tblPrEx>
        <w:trPr>
          <w:gridBefore w:val="1"/>
          <w:wBefore w:w="373" w:type="dxa"/>
          <w:trHeight w:val="69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目标匹配</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绩效目标设定符合实际需求的抽样项目点个数/抽样项目点总数×100%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w:t>
            </w: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决策依据</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政策依据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项目符合党中央、国务院和省委、省政府决策部署；符合当前经济社会发展需要</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连续性项目根据需要制定中长期实施规划</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实施规划符合实际，并根据情况变化适时调整</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管理制度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制定项目资金管理办法</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红原县项目资金管理办法</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r>
      <w:tr>
        <w:tblPrEx>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项目资金分配决策程序明确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gridBefore w:val="1"/>
          <w:wBefore w:w="373" w:type="dxa"/>
          <w:trHeight w:val="82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分配方法</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资金分配方法是否科学合理</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分配过程符合相关规定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 xml:space="preserve">是 </w:t>
            </w: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分配结果</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审核把关</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符合申报条件的抽样项目点个数/抽样项目点总数×100%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 xml:space="preserve"> 1</w:t>
            </w:r>
          </w:p>
        </w:tc>
      </w:tr>
      <w:tr>
        <w:tblPrEx>
          <w:tblCellMar>
            <w:top w:w="15" w:type="dxa"/>
            <w:left w:w="15" w:type="dxa"/>
            <w:bottom w:w="15" w:type="dxa"/>
            <w:right w:w="15" w:type="dxa"/>
          </w:tblCellMar>
        </w:tblPrEx>
        <w:trPr>
          <w:gridBefore w:val="1"/>
          <w:wBefore w:w="373" w:type="dxa"/>
          <w:trHeight w:val="10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资金集中</w:t>
            </w:r>
          </w:p>
        </w:tc>
        <w:tc>
          <w:tcPr>
            <w:tcW w:w="118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集中</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财政资金占项目资金总额比重较小项目个数/项目总数×100%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18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按实际分配结果选择客观因素测算验证资金分配方法制定、分配要素设定、基础数据应用、测算依据选取等是否科学合理（2分）</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p>
        </w:tc>
      </w:tr>
      <w:tr>
        <w:tblPrEx>
          <w:tblCellMar>
            <w:top w:w="15" w:type="dxa"/>
            <w:left w:w="15" w:type="dxa"/>
            <w:bottom w:w="15" w:type="dxa"/>
            <w:right w:w="15" w:type="dxa"/>
          </w:tblCellMar>
        </w:tblPrEx>
        <w:trPr>
          <w:gridBefore w:val="1"/>
          <w:wBefore w:w="373" w:type="dxa"/>
          <w:trHeight w:val="54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项目管理</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 资金到位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县级主管部门按规定及时分配资金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gridBefore w:val="1"/>
          <w:wBefore w:w="373" w:type="dxa"/>
          <w:trHeight w:val="11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资金拨付</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按规定及时拨付资金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按工程进度拨付</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按工程进度拨付</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资金管理  </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使用范围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资金使用是否合规</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支付依据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资金支付依据符合规定，即支付依旧合规资金量/资金总量×100%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开支标准</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资金开支标准符合规定，即开支标准合规资金量/资金总量×100%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财务管理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财务制度健全，管理规范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组织实施（4分）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项目调整严格履行相关手续</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该项目未存在调整</w:t>
            </w:r>
          </w:p>
        </w:tc>
      </w:tr>
      <w:tr>
        <w:tblPrEx>
          <w:tblCellMar>
            <w:top w:w="15" w:type="dxa"/>
            <w:left w:w="15" w:type="dxa"/>
            <w:bottom w:w="15" w:type="dxa"/>
            <w:right w:w="15" w:type="dxa"/>
          </w:tblCellMar>
        </w:tblPrEx>
        <w:trPr>
          <w:gridBefore w:val="1"/>
          <w:wBefore w:w="373" w:type="dxa"/>
          <w:trHeight w:val="8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投资变更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项目投资变更额/项目总投入×100%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该项目未存在调整</w:t>
            </w: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制度执行</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严格执行项目有关制度规定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项目绩效</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项目完成</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完成数量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实际完成任务量/绩效目标设定任务量×100%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完成质量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符合绩效目标设定的验收标准，达到行业基准水平</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15" w:type="dxa"/>
            <w:left w:w="15" w:type="dxa"/>
            <w:bottom w:w="15" w:type="dxa"/>
            <w:right w:w="15" w:type="dxa"/>
          </w:tblCellMar>
        </w:tblPrEx>
        <w:trPr>
          <w:gridBefore w:val="1"/>
          <w:wBefore w:w="373" w:type="dxa"/>
          <w:trHeight w:val="79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（实际完成时间-绩效目标设定完成时间）/绩效目标设定完成时间×100%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完成成本</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（实际完成成本-预计完成成本）/预计完成成本×100%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项目效益</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经济效益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反映相关产出对经济社会发展带来的影响和效果，根据项目实际细化具体指标。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整体形象得以提高，人居环境得以改善</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整体形象得以提高，人居环境得以改善</w:t>
            </w:r>
          </w:p>
        </w:tc>
      </w:tr>
      <w:tr>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社会效益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整体形象得以提高，人居环境得以改善</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整体形象得以提高，人居环境得以改善</w:t>
            </w:r>
          </w:p>
        </w:tc>
      </w:tr>
      <w:tr>
        <w:tblPrEx>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生态效益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反映相关产出对自然环境带来的影响和效果，根据项目实际细化具体指标。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优化整体配套设施</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优化整体配套设施</w:t>
            </w:r>
          </w:p>
        </w:tc>
      </w:tr>
      <w:tr>
        <w:tblPrEx>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themeColor="text1"/>
                <w:sz w:val="20"/>
                <w:szCs w:val="20"/>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可持续效益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反映相关产出带来影响的可持续期限，根据项目实际细化具体指标。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themeColor="text1"/>
                <w:sz w:val="20"/>
                <w:szCs w:val="20"/>
              </w:rPr>
            </w:pPr>
            <w:r>
              <w:rPr>
                <w:rFonts w:hint="eastAsia" w:ascii="宋体" w:hAnsi="宋体" w:cs="宋体"/>
                <w:color w:val="000000" w:themeColor="text1"/>
                <w:sz w:val="20"/>
                <w:szCs w:val="20"/>
              </w:rPr>
              <w:t>提高人居环境生活质量</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themeColor="text1"/>
                <w:sz w:val="20"/>
                <w:szCs w:val="20"/>
              </w:rPr>
            </w:pPr>
            <w:r>
              <w:rPr>
                <w:rFonts w:hint="eastAsia" w:ascii="宋体" w:hAnsi="宋体" w:cs="宋体"/>
                <w:color w:val="000000" w:themeColor="text1"/>
                <w:sz w:val="20"/>
                <w:szCs w:val="20"/>
              </w:rPr>
              <w:t>提高人居环境生活质量</w:t>
            </w:r>
          </w:p>
        </w:tc>
      </w:tr>
      <w:tr>
        <w:tblPrEx>
          <w:tblCellMar>
            <w:top w:w="15" w:type="dxa"/>
            <w:left w:w="15" w:type="dxa"/>
            <w:bottom w:w="15" w:type="dxa"/>
            <w:right w:w="15" w:type="dxa"/>
          </w:tblCellMar>
        </w:tblPrEx>
        <w:trPr>
          <w:gridBefore w:val="1"/>
          <w:wBefore w:w="373" w:type="dxa"/>
          <w:trHeight w:val="108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themeColor="text1"/>
                <w:sz w:val="20"/>
                <w:szCs w:val="20"/>
              </w:rPr>
            </w:pP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满意度</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服务对象满意度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反映服务对象或项目受益人对相关产出及其影响的认可程度，根据项目实际细化具体指标。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满意</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满意</w:t>
            </w:r>
          </w:p>
        </w:tc>
      </w:tr>
      <w:tr>
        <w:tblPrEx>
          <w:tblCellMar>
            <w:top w:w="0" w:type="dxa"/>
            <w:left w:w="0" w:type="dxa"/>
            <w:bottom w:w="0" w:type="dxa"/>
            <w:right w:w="0" w:type="dxa"/>
          </w:tblCellMar>
        </w:tblPrEx>
        <w:trPr>
          <w:gridAfter w:val="1"/>
          <w:wAfter w:w="526" w:type="dxa"/>
          <w:trHeight w:val="555" w:hRule="atLeast"/>
          <w:jc w:val="center"/>
        </w:trPr>
        <w:tc>
          <w:tcPr>
            <w:tcW w:w="9369" w:type="dxa"/>
            <w:gridSpan w:val="17"/>
            <w:tcBorders>
              <w:top w:val="nil"/>
              <w:left w:val="nil"/>
              <w:bottom w:val="nil"/>
              <w:right w:val="nil"/>
            </w:tcBorders>
            <w:shd w:val="clear" w:color="auto" w:fill="auto"/>
            <w:tcMar>
              <w:top w:w="15" w:type="dxa"/>
              <w:left w:w="15" w:type="dxa"/>
              <w:right w:w="15" w:type="dxa"/>
            </w:tcMar>
            <w:vAlign w:val="center"/>
          </w:tcPr>
          <w:p>
            <w:pPr>
              <w:widowControl/>
              <w:textAlignment w:val="center"/>
              <w:rPr>
                <w:rFonts w:ascii="宋体" w:hAnsi="宋体" w:cs="宋体"/>
                <w:color w:val="000000" w:themeColor="text1"/>
                <w:kern w:val="0"/>
                <w:sz w:val="24"/>
              </w:rPr>
            </w:pPr>
          </w:p>
          <w:p>
            <w:pPr>
              <w:pStyle w:val="2"/>
              <w:ind w:firstLine="480"/>
              <w:rPr>
                <w:rFonts w:ascii="宋体" w:hAnsi="宋体" w:cs="宋体"/>
                <w:color w:val="000000" w:themeColor="text1"/>
                <w:sz w:val="24"/>
              </w:rPr>
            </w:pPr>
          </w:p>
          <w:p>
            <w:pPr>
              <w:pStyle w:val="2"/>
              <w:ind w:firstLine="480"/>
              <w:rPr>
                <w:rFonts w:ascii="宋体" w:hAnsi="宋体" w:cs="宋体"/>
                <w:color w:val="000000" w:themeColor="text1"/>
                <w:sz w:val="24"/>
              </w:rPr>
            </w:pPr>
          </w:p>
          <w:p>
            <w:pPr>
              <w:pStyle w:val="2"/>
              <w:ind w:firstLine="480"/>
              <w:rPr>
                <w:rFonts w:ascii="宋体" w:hAnsi="宋体" w:cs="宋体"/>
                <w:color w:val="000000" w:themeColor="text1"/>
                <w:sz w:val="24"/>
              </w:rPr>
            </w:pPr>
          </w:p>
          <w:p>
            <w:pPr>
              <w:pStyle w:val="2"/>
              <w:ind w:firstLine="480"/>
              <w:rPr>
                <w:rFonts w:ascii="宋体" w:hAnsi="宋体" w:cs="宋体"/>
                <w:color w:val="000000" w:themeColor="text1"/>
                <w:sz w:val="24"/>
              </w:rPr>
            </w:pPr>
          </w:p>
          <w:p>
            <w:pPr>
              <w:pStyle w:val="2"/>
              <w:ind w:firstLine="480"/>
              <w:rPr>
                <w:rFonts w:ascii="宋体" w:hAnsi="宋体" w:cs="宋体"/>
                <w:color w:val="000000" w:themeColor="text1"/>
                <w:sz w:val="24"/>
              </w:rPr>
            </w:pPr>
          </w:p>
          <w:p>
            <w:pPr>
              <w:pStyle w:val="2"/>
              <w:ind w:firstLine="480"/>
              <w:rPr>
                <w:rFonts w:ascii="宋体" w:hAnsi="宋体" w:cs="宋体"/>
                <w:color w:val="000000" w:themeColor="text1"/>
                <w:sz w:val="24"/>
              </w:rPr>
            </w:pPr>
          </w:p>
          <w:p>
            <w:pPr>
              <w:pStyle w:val="2"/>
              <w:ind w:firstLine="480"/>
              <w:rPr>
                <w:rFonts w:ascii="宋体" w:hAnsi="宋体" w:cs="宋体"/>
                <w:color w:val="000000" w:themeColor="text1"/>
                <w:sz w:val="24"/>
              </w:rPr>
            </w:pPr>
          </w:p>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项目支出绩效目标完成情况表2</w:t>
            </w:r>
          </w:p>
        </w:tc>
      </w:tr>
      <w:tr>
        <w:tblPrEx>
          <w:tblCellMar>
            <w:top w:w="0" w:type="dxa"/>
            <w:left w:w="0" w:type="dxa"/>
            <w:bottom w:w="0" w:type="dxa"/>
            <w:right w:w="0" w:type="dxa"/>
          </w:tblCellMar>
        </w:tblPrEx>
        <w:trPr>
          <w:gridAfter w:val="1"/>
          <w:wAfter w:w="526" w:type="dxa"/>
          <w:trHeight w:val="555" w:hRule="atLeast"/>
          <w:jc w:val="center"/>
        </w:trPr>
        <w:tc>
          <w:tcPr>
            <w:tcW w:w="9369" w:type="dxa"/>
            <w:gridSpan w:val="17"/>
            <w:tcBorders>
              <w:top w:val="nil"/>
              <w:left w:val="nil"/>
              <w:bottom w:val="nil"/>
              <w:right w:val="nil"/>
            </w:tcBorders>
            <w:shd w:val="clear" w:color="auto" w:fill="auto"/>
            <w:tcMar>
              <w:top w:w="15" w:type="dxa"/>
              <w:left w:w="15" w:type="dxa"/>
              <w:right w:w="15" w:type="dxa"/>
            </w:tcMar>
            <w:vAlign w:val="center"/>
          </w:tcPr>
          <w:p>
            <w:pPr>
              <w:pStyle w:val="2"/>
              <w:ind w:firstLine="0" w:firstLineChars="0"/>
            </w:pP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2019年麦洼乡动态调整建档立卡贫困人员到户产业牦牛采购项目</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红原县麦洼乡人民政府</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16.8万元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16.2万元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16.8万元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16.2万元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建档立卡贫困户到户产业牦牛采购</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已完成动态调整建档立卡贫困人口27人发展到户产业项目。</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ascii="宋体" w:hAnsi="宋体" w:cs="宋体"/>
                <w:color w:val="000000" w:themeColor="text1"/>
                <w:kern w:val="0"/>
                <w:sz w:val="24"/>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drawing>
                <wp:anchor distT="0" distB="0" distL="114300" distR="114300" simplePos="0" relativeHeight="2516725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10"/>
                  <wp:cNvGraphicFramePr/>
                  <a:graphic xmlns:a="http://schemas.openxmlformats.org/drawingml/2006/main">
                    <a:graphicData uri="http://schemas.openxmlformats.org/drawingml/2006/picture">
                      <pic:pic xmlns:pic="http://schemas.openxmlformats.org/drawingml/2006/picture">
                        <pic:nvPicPr>
                          <pic:cNvPr id="8"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8"/>
                  <wp:cNvGraphicFramePr/>
                  <a:graphic xmlns:a="http://schemas.openxmlformats.org/drawingml/2006/main">
                    <a:graphicData uri="http://schemas.openxmlformats.org/drawingml/2006/picture">
                      <pic:pic xmlns:pic="http://schemas.openxmlformats.org/drawingml/2006/picture">
                        <pic:nvPicPr>
                          <pic:cNvPr id="9"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9"/>
                  <wp:cNvGraphicFramePr/>
                  <a:graphic xmlns:a="http://schemas.openxmlformats.org/drawingml/2006/main">
                    <a:graphicData uri="http://schemas.openxmlformats.org/drawingml/2006/picture">
                      <pic:pic xmlns:pic="http://schemas.openxmlformats.org/drawingml/2006/picture">
                        <pic:nvPicPr>
                          <pic:cNvPr id="10"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7564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直接连接符_7"/>
                  <wp:cNvGraphicFramePr/>
                  <a:graphic xmlns:a="http://schemas.openxmlformats.org/drawingml/2006/main">
                    <a:graphicData uri="http://schemas.openxmlformats.org/drawingml/2006/picture">
                      <pic:pic xmlns:pic="http://schemas.openxmlformats.org/drawingml/2006/picture">
                        <pic:nvPicPr>
                          <pic:cNvPr id="11"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指标评价内容</w:t>
            </w:r>
          </w:p>
        </w:tc>
        <w:tc>
          <w:tcPr>
            <w:tcW w:w="15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实际完成指标值(包含数字及文字描述)</w:t>
            </w:r>
          </w:p>
        </w:tc>
      </w:tr>
      <w:tr>
        <w:tblPrEx>
          <w:tblCellMar>
            <w:top w:w="0" w:type="dxa"/>
            <w:left w:w="0" w:type="dxa"/>
            <w:bottom w:w="0" w:type="dxa"/>
            <w:right w:w="0" w:type="dxa"/>
          </w:tblCellMar>
        </w:tblPrEx>
        <w:trPr>
          <w:gridAfter w:val="1"/>
          <w:wAfter w:w="526" w:type="dxa"/>
          <w:trHeight w:val="62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r>
      <w:tr>
        <w:tblPrEx>
          <w:tblCellMar>
            <w:top w:w="0" w:type="dxa"/>
            <w:left w:w="0" w:type="dxa"/>
            <w:bottom w:w="0" w:type="dxa"/>
            <w:right w:w="0" w:type="dxa"/>
          </w:tblCellMar>
        </w:tblPrEx>
        <w:trPr>
          <w:gridAfter w:val="1"/>
          <w:wAfter w:w="526" w:type="dxa"/>
          <w:trHeight w:val="62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项目预期提供的产品、服务、效益或其他目标明确,即绩效目标实际明确个数/应当明确个数×100%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建档立卡贫困人口27人发展到户产业项目</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建档立卡贫困人口27人发展到户产业项目</w:t>
            </w:r>
          </w:p>
        </w:tc>
      </w:tr>
      <w:tr>
        <w:tblPrEx>
          <w:tblCellMar>
            <w:top w:w="0" w:type="dxa"/>
            <w:left w:w="0" w:type="dxa"/>
            <w:bottom w:w="0" w:type="dxa"/>
            <w:right w:w="0"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按时完工</w:t>
            </w:r>
          </w:p>
        </w:tc>
      </w:tr>
      <w:tr>
        <w:tblPrEx>
          <w:tblCellMar>
            <w:top w:w="0" w:type="dxa"/>
            <w:left w:w="0" w:type="dxa"/>
            <w:bottom w:w="0" w:type="dxa"/>
            <w:right w:w="0"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管理制度</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制定项目资金管理办法</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r>
      <w:tr>
        <w:tblPrEx>
          <w:tblCellMar>
            <w:top w:w="0" w:type="dxa"/>
            <w:left w:w="0" w:type="dxa"/>
            <w:bottom w:w="0" w:type="dxa"/>
            <w:right w:w="0"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项目资金分配决策程序明确</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分配方法</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资金分配方法是否科学合理</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分配过程符合相关规定</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审核把关</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符合申报条件的抽样项目点个数/抽样项目点总数×100%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1个</w:t>
            </w:r>
          </w:p>
        </w:tc>
      </w:tr>
      <w:tr>
        <w:tblPrEx>
          <w:tblCellMar>
            <w:top w:w="0" w:type="dxa"/>
            <w:left w:w="0" w:type="dxa"/>
            <w:bottom w:w="0" w:type="dxa"/>
            <w:right w:w="0"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集中</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财政资金占项目资金总额比重较小项目个数/项目总数×100%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按实际分配结果选择客观因素测算验证资金分配方法制定、分配要素设定、基础数据应用、测算依据选取等是否科学合理（2分）</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分配时效</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县级主管部门按规定及时分配资金</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资金拨付</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按规定及时拨付资金</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使用范围</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资金使用是否合规</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支付依据</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资金支付依据符合规定，即支付依旧合规资金量/资金总量×100%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开支标准</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资金开支标准符合规定，即开支标准合规资金量/资金总量×100%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财务制度健全，管理规范</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会计核算规范</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项目调整严格履行相关手续</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投资变更</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项目投资变更额/项目总投入×100%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制度执行</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严格执行项目有关制度规定</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bdr w:val="single" w:color="000000" w:sz="4" w:space="0"/>
              </w:rPr>
              <w:drawing>
                <wp:anchor distT="0" distB="0" distL="114300" distR="114300" simplePos="0" relativeHeight="25167667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2" name="直接连接符_6"/>
                  <wp:cNvGraphicFramePr/>
                  <a:graphic xmlns:a="http://schemas.openxmlformats.org/drawingml/2006/main">
                    <a:graphicData uri="http://schemas.openxmlformats.org/drawingml/2006/picture">
                      <pic:pic xmlns:pic="http://schemas.openxmlformats.org/drawingml/2006/picture">
                        <pic:nvPicPr>
                          <pic:cNvPr id="12"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rPr>
              <w:drawing>
                <wp:anchor distT="0" distB="0" distL="114300" distR="114300" simplePos="0" relativeHeight="25167769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3" name="直接连接符_5"/>
                  <wp:cNvGraphicFramePr/>
                  <a:graphic xmlns:a="http://schemas.openxmlformats.org/drawingml/2006/main">
                    <a:graphicData uri="http://schemas.openxmlformats.org/drawingml/2006/picture">
                      <pic:pic xmlns:pic="http://schemas.openxmlformats.org/drawingml/2006/picture">
                        <pic:nvPicPr>
                          <pic:cNvPr id="13"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完成数量</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实际完成任务量/绩效目标设定任务量×100%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完成质量</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符合绩效目标设定的验收标准，达到行业基准水平</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0" w:type="dxa"/>
            <w:left w:w="0" w:type="dxa"/>
            <w:bottom w:w="0" w:type="dxa"/>
            <w:right w:w="0"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完成时效</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（实际完成时间-绩效目标设定完成时间）/绩效目标设定完成时间×100%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完成成本</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（实际完成成本-预计完成成本）/预计完成成本×100%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经济效益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反映相关产出对经济社会发展带来的影响和效果，根据项目实际细化具体指标。</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kern w:val="0"/>
                <w:sz w:val="20"/>
                <w:szCs w:val="20"/>
              </w:rPr>
              <w:t>有效的增大麦洼乡群众产业发展，提高群众生活水平。</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kern w:val="0"/>
                <w:sz w:val="20"/>
                <w:szCs w:val="20"/>
              </w:rPr>
              <w:t>有效的增大麦洼乡群众产业发展，提高群众生活水平。</w:t>
            </w:r>
          </w:p>
        </w:tc>
      </w:tr>
      <w:tr>
        <w:tblPrEx>
          <w:tblCellMar>
            <w:top w:w="0" w:type="dxa"/>
            <w:left w:w="0" w:type="dxa"/>
            <w:bottom w:w="0" w:type="dxa"/>
            <w:right w:w="0"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社会效益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反映相关产出对社会发展带来的影响和效果，根据项目实际细化具体指标。</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kern w:val="0"/>
                <w:sz w:val="20"/>
                <w:szCs w:val="20"/>
              </w:rPr>
              <w:t>有效的增大麦洼乡群众产业发展，提高群众生活水平。</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kern w:val="0"/>
                <w:sz w:val="20"/>
                <w:szCs w:val="20"/>
              </w:rPr>
              <w:t>有效的增大麦洼乡群众产业发展，提高群众生活水平。</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生态效益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反映相关产出对自然环境带来的影响和效果，根据项目实际细化具体指标。</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kern w:val="0"/>
                <w:sz w:val="20"/>
                <w:szCs w:val="20"/>
              </w:rPr>
              <w:t>有效的增大麦洼乡群众产业发展，提高群众生活水平。</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城市的整体形象得以提高，人居生活条件得以改善</w:t>
            </w:r>
          </w:p>
        </w:tc>
      </w:tr>
      <w:tr>
        <w:tblPrEx>
          <w:tblCellMar>
            <w:top w:w="0" w:type="dxa"/>
            <w:left w:w="0" w:type="dxa"/>
            <w:bottom w:w="0" w:type="dxa"/>
            <w:right w:w="0"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可持续效益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反映相关产出带来影响的可持续期限，根据项目实际细化具体指标。</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rPr>
            </w:pPr>
            <w:r>
              <w:rPr>
                <w:rFonts w:hint="eastAsia" w:ascii="宋体" w:hAnsi="宋体" w:cs="宋体"/>
                <w:color w:val="000000"/>
                <w:kern w:val="0"/>
                <w:sz w:val="20"/>
                <w:szCs w:val="20"/>
              </w:rPr>
              <w:t>有效的增大麦洼乡群众产业发展，提高群众生活水平。</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rPr>
            </w:pPr>
            <w:r>
              <w:rPr>
                <w:rFonts w:hint="eastAsia" w:ascii="宋体" w:hAnsi="宋体" w:cs="宋体"/>
                <w:color w:val="000000"/>
                <w:kern w:val="0"/>
                <w:sz w:val="20"/>
                <w:szCs w:val="20"/>
              </w:rPr>
              <w:t>有效的增大麦洼乡群众产业发展，提高群众生活水平。</w:t>
            </w:r>
          </w:p>
        </w:tc>
      </w:tr>
      <w:tr>
        <w:tblPrEx>
          <w:tblCellMar>
            <w:top w:w="0" w:type="dxa"/>
            <w:left w:w="0" w:type="dxa"/>
            <w:bottom w:w="0" w:type="dxa"/>
            <w:right w:w="0"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服务对象满意度</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反映服务对象或项目受益人对相关产出及其影响的认可程度，根据项目实际细化具体指标。</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群众满意度高，使用效益高</w:t>
            </w:r>
          </w:p>
        </w:tc>
      </w:tr>
      <w:tr>
        <w:tblPrEx>
          <w:tblCellMar>
            <w:top w:w="0" w:type="dxa"/>
            <w:left w:w="0" w:type="dxa"/>
            <w:bottom w:w="0" w:type="dxa"/>
            <w:right w:w="0" w:type="dxa"/>
          </w:tblCellMar>
        </w:tblPrEx>
        <w:trPr>
          <w:gridAfter w:val="1"/>
          <w:wAfter w:w="526" w:type="dxa"/>
          <w:trHeight w:val="555" w:hRule="atLeast"/>
          <w:jc w:val="center"/>
        </w:trPr>
        <w:tc>
          <w:tcPr>
            <w:tcW w:w="9369" w:type="dxa"/>
            <w:gridSpan w:val="17"/>
            <w:tcBorders>
              <w:top w:val="nil"/>
              <w:left w:val="nil"/>
              <w:bottom w:val="nil"/>
              <w:right w:val="nil"/>
            </w:tcBorders>
            <w:shd w:val="clear" w:color="auto" w:fill="auto"/>
            <w:tcMar>
              <w:top w:w="15" w:type="dxa"/>
              <w:left w:w="15" w:type="dxa"/>
              <w:right w:w="15" w:type="dxa"/>
            </w:tcMar>
            <w:vAlign w:val="center"/>
          </w:tcPr>
          <w:p>
            <w:pPr>
              <w:widowControl/>
              <w:textAlignment w:val="center"/>
              <w:rPr>
                <w:rFonts w:ascii="宋体" w:hAnsi="宋体" w:cs="宋体"/>
                <w:color w:val="000000" w:themeColor="text1"/>
                <w:kern w:val="0"/>
                <w:sz w:val="24"/>
              </w:rPr>
            </w:pPr>
          </w:p>
          <w:p>
            <w:pPr>
              <w:widowControl/>
              <w:jc w:val="center"/>
              <w:textAlignment w:val="center"/>
              <w:rPr>
                <w:rFonts w:ascii="宋体" w:hAnsi="宋体" w:cs="宋体"/>
                <w:color w:val="000000" w:themeColor="text1"/>
                <w:kern w:val="0"/>
                <w:sz w:val="24"/>
              </w:rPr>
            </w:pPr>
          </w:p>
          <w:p>
            <w:pPr>
              <w:widowControl/>
              <w:jc w:val="center"/>
              <w:textAlignment w:val="center"/>
              <w:rPr>
                <w:rFonts w:ascii="宋体" w:hAnsi="宋体" w:cs="宋体"/>
                <w:color w:val="000000" w:themeColor="text1"/>
                <w:kern w:val="0"/>
                <w:sz w:val="24"/>
              </w:rPr>
            </w:pPr>
          </w:p>
          <w:p>
            <w:pPr>
              <w:widowControl/>
              <w:jc w:val="center"/>
              <w:textAlignment w:val="center"/>
              <w:rPr>
                <w:rFonts w:ascii="宋体" w:hAnsi="宋体" w:cs="宋体"/>
                <w:color w:val="000000" w:themeColor="text1"/>
                <w:kern w:val="0"/>
                <w:sz w:val="24"/>
              </w:rPr>
            </w:pPr>
          </w:p>
          <w:p>
            <w:pPr>
              <w:pStyle w:val="2"/>
              <w:ind w:firstLine="480"/>
              <w:rPr>
                <w:rFonts w:ascii="宋体" w:hAnsi="宋体" w:cs="宋体"/>
                <w:color w:val="000000" w:themeColor="text1"/>
                <w:sz w:val="24"/>
              </w:rPr>
            </w:pPr>
          </w:p>
          <w:p>
            <w:pPr>
              <w:pStyle w:val="2"/>
              <w:ind w:firstLine="480"/>
              <w:rPr>
                <w:rFonts w:ascii="宋体" w:hAnsi="宋体" w:cs="宋体"/>
                <w:color w:val="000000" w:themeColor="text1"/>
                <w:sz w:val="24"/>
              </w:rPr>
            </w:pPr>
          </w:p>
          <w:p>
            <w:pPr>
              <w:widowControl/>
              <w:jc w:val="center"/>
              <w:textAlignment w:val="center"/>
              <w:rPr>
                <w:rFonts w:ascii="宋体" w:hAnsi="宋体" w:cs="宋体"/>
                <w:color w:val="000000" w:themeColor="text1"/>
                <w:kern w:val="0"/>
                <w:sz w:val="24"/>
              </w:rPr>
            </w:pPr>
          </w:p>
          <w:p>
            <w:pPr>
              <w:widowControl/>
              <w:jc w:val="center"/>
              <w:textAlignment w:val="center"/>
              <w:rPr>
                <w:rFonts w:ascii="宋体" w:hAnsi="宋体" w:cs="宋体"/>
                <w:color w:val="000000" w:themeColor="text1"/>
                <w:kern w:val="0"/>
                <w:sz w:val="24"/>
              </w:rPr>
            </w:pPr>
          </w:p>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项目支出绩效目标完成情况表3</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2019年麦洼乡易地扶贫搬迁产业发展基础设施建设项目</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红原县麦洼乡人民政府</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80万元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执行数:</w:t>
            </w:r>
          </w:p>
        </w:tc>
        <w:tc>
          <w:tcPr>
            <w:tcW w:w="303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80万元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80万元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其中-财政拨款:</w:t>
            </w:r>
          </w:p>
        </w:tc>
        <w:tc>
          <w:tcPr>
            <w:tcW w:w="303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80万元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0</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其它资金:</w:t>
            </w:r>
          </w:p>
        </w:tc>
        <w:tc>
          <w:tcPr>
            <w:tcW w:w="303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维修远牧生产点道路40公里</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维修洞拉村、滚塘村远牧生产点道路各20公里，剩余质保金百分之五。</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ascii="宋体" w:hAnsi="宋体" w:cs="宋体"/>
                <w:color w:val="000000" w:themeColor="text1"/>
                <w:kern w:val="0"/>
                <w:sz w:val="24"/>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drawing>
                <wp:anchor distT="0" distB="0" distL="114300" distR="114300" simplePos="0" relativeHeight="2516787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4" name="直接连接符_10"/>
                  <wp:cNvGraphicFramePr/>
                  <a:graphic xmlns:a="http://schemas.openxmlformats.org/drawingml/2006/main">
                    <a:graphicData uri="http://schemas.openxmlformats.org/drawingml/2006/picture">
                      <pic:pic xmlns:pic="http://schemas.openxmlformats.org/drawingml/2006/picture">
                        <pic:nvPicPr>
                          <pic:cNvPr id="14"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797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5" name="直接连接符_8"/>
                  <wp:cNvGraphicFramePr/>
                  <a:graphic xmlns:a="http://schemas.openxmlformats.org/drawingml/2006/main">
                    <a:graphicData uri="http://schemas.openxmlformats.org/drawingml/2006/picture">
                      <pic:pic xmlns:pic="http://schemas.openxmlformats.org/drawingml/2006/picture">
                        <pic:nvPicPr>
                          <pic:cNvPr id="15"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807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6" name="直接连接符_9"/>
                  <wp:cNvGraphicFramePr/>
                  <a:graphic xmlns:a="http://schemas.openxmlformats.org/drawingml/2006/main">
                    <a:graphicData uri="http://schemas.openxmlformats.org/drawingml/2006/picture">
                      <pic:pic xmlns:pic="http://schemas.openxmlformats.org/drawingml/2006/picture">
                        <pic:nvPicPr>
                          <pic:cNvPr id="16"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8179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7" name="直接连接符_7"/>
                  <wp:cNvGraphicFramePr/>
                  <a:graphic xmlns:a="http://schemas.openxmlformats.org/drawingml/2006/main">
                    <a:graphicData uri="http://schemas.openxmlformats.org/drawingml/2006/picture">
                      <pic:pic xmlns:pic="http://schemas.openxmlformats.org/drawingml/2006/picture">
                        <pic:nvPicPr>
                          <pic:cNvPr id="17"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三级指标</w:t>
            </w:r>
          </w:p>
        </w:tc>
        <w:tc>
          <w:tcPr>
            <w:tcW w:w="27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指标评价内容</w:t>
            </w:r>
          </w:p>
        </w:tc>
        <w:tc>
          <w:tcPr>
            <w:tcW w:w="169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实际完成指标值(包含数字及文字描述)</w:t>
            </w:r>
          </w:p>
        </w:tc>
      </w:tr>
      <w:tr>
        <w:tblPrEx>
          <w:tblCellMar>
            <w:top w:w="0" w:type="dxa"/>
            <w:left w:w="0" w:type="dxa"/>
            <w:bottom w:w="0" w:type="dxa"/>
            <w:right w:w="0" w:type="dxa"/>
          </w:tblCellMar>
        </w:tblPrEx>
        <w:trPr>
          <w:gridAfter w:val="1"/>
          <w:wAfter w:w="526" w:type="dxa"/>
          <w:trHeight w:val="62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27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69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r>
      <w:tr>
        <w:tblPrEx>
          <w:tblCellMar>
            <w:top w:w="0" w:type="dxa"/>
            <w:left w:w="0" w:type="dxa"/>
            <w:bottom w:w="0" w:type="dxa"/>
            <w:right w:w="0" w:type="dxa"/>
          </w:tblCellMar>
        </w:tblPrEx>
        <w:trPr>
          <w:gridAfter w:val="1"/>
          <w:wAfter w:w="526" w:type="dxa"/>
          <w:trHeight w:val="62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27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69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目标内容</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项目预期提供的产品、服务、效益或其他目标明确,即绩效目标实际明确个数/应当明确个数×100%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4"/>
              </w:rPr>
              <w:t>维修远牧生产点道路40公里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4"/>
              </w:rPr>
              <w:t>维修远牧生产点道路40公里</w:t>
            </w:r>
          </w:p>
        </w:tc>
      </w:tr>
      <w:tr>
        <w:tblPrEx>
          <w:tblCellMar>
            <w:top w:w="0" w:type="dxa"/>
            <w:left w:w="0" w:type="dxa"/>
            <w:bottom w:w="0" w:type="dxa"/>
            <w:right w:w="0"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进度计划</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项目计划实施进度明确</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按时完工</w:t>
            </w:r>
          </w:p>
        </w:tc>
      </w:tr>
      <w:tr>
        <w:tblPrEx>
          <w:tblCellMar>
            <w:top w:w="0" w:type="dxa"/>
            <w:left w:w="0" w:type="dxa"/>
            <w:bottom w:w="0" w:type="dxa"/>
            <w:right w:w="0"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目标匹配</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绩效目标设定符合实际需求的抽样项目点个数/抽样项目点总数×100%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政策依据</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项目符合党中央、国务院和省委、省政府决策部署；符合当前经济社会发展需要</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连续性项目根据需要制定中长期实施规划</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实施规划符合实际，并根据情况变化适时调整</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管理制度</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制定项目资金管理办法</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r>
      <w:tr>
        <w:tblPrEx>
          <w:tblCellMar>
            <w:top w:w="0" w:type="dxa"/>
            <w:left w:w="0" w:type="dxa"/>
            <w:bottom w:w="0" w:type="dxa"/>
            <w:right w:w="0"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项目资金分配决策程序明确</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分配方法</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资金分配方法是否科学合理</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分配过程符合相关规定</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审核把关</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符合申报条件的抽样项目点个数/抽样项目点总数×100%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1个</w:t>
            </w:r>
          </w:p>
        </w:tc>
      </w:tr>
      <w:tr>
        <w:tblPrEx>
          <w:tblCellMar>
            <w:top w:w="0" w:type="dxa"/>
            <w:left w:w="0" w:type="dxa"/>
            <w:bottom w:w="0" w:type="dxa"/>
            <w:right w:w="0"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集中</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财政资金占项目资金总额比重较小项目个数/项目总数×100%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按实际分配结果选择客观因素测算验证资金分配方法制定、分配要素设定、基础数据应用、测算依据选取等是否科学合理（2分）</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分配时效</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县级主管部门按规定及时分配资金</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资金拨付</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按规定及时拨付资金</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使用范围</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资金使用是否合规</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支付依据</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资金支付依据符合规定，即支付依旧合规资金量/资金总量×100%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开支标准</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资金开支标准符合规定，即开支标准合规资金量/资金总量×100%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财务制度健全，管理规范</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会计核算规范</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项目调整严格履行相关手续</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投资变更</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项目投资变更额/项目总投入×100%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制度执行</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严格执行项目有关制度规定</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bdr w:val="single" w:color="000000" w:sz="4" w:space="0"/>
              </w:rPr>
              <w:drawing>
                <wp:anchor distT="0" distB="0" distL="114300" distR="114300" simplePos="0" relativeHeight="25168281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8" name="直接连接符_6"/>
                  <wp:cNvGraphicFramePr/>
                  <a:graphic xmlns:a="http://schemas.openxmlformats.org/drawingml/2006/main">
                    <a:graphicData uri="http://schemas.openxmlformats.org/drawingml/2006/picture">
                      <pic:pic xmlns:pic="http://schemas.openxmlformats.org/drawingml/2006/picture">
                        <pic:nvPicPr>
                          <pic:cNvPr id="18"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rPr>
              <w:drawing>
                <wp:anchor distT="0" distB="0" distL="114300" distR="114300" simplePos="0" relativeHeight="25168384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9" name="直接连接符_5"/>
                  <wp:cNvGraphicFramePr/>
                  <a:graphic xmlns:a="http://schemas.openxmlformats.org/drawingml/2006/main">
                    <a:graphicData uri="http://schemas.openxmlformats.org/drawingml/2006/picture">
                      <pic:pic xmlns:pic="http://schemas.openxmlformats.org/drawingml/2006/picture">
                        <pic:nvPicPr>
                          <pic:cNvPr id="19"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完成数量</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实际完成任务量/绩效目标设定任务量×100%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完成质量</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符合绩效目标设定的验收标准，达到行业基准水平</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0" w:type="dxa"/>
            <w:left w:w="0" w:type="dxa"/>
            <w:bottom w:w="0" w:type="dxa"/>
            <w:right w:w="0"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完成时效</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（实际完成时间-绩效目标设定完成时间）/绩效目标设定完成时间×100%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完成成本</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（实际完成成本-预计完成成本）/预计完成成本×100%</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经济效益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反映相关产出对经济社会发展带来的影响和效果，根据项目实际细化具体指标。</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提升人居生活环境及生活质量</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提升人居生活环境及生活质量</w:t>
            </w:r>
          </w:p>
        </w:tc>
      </w:tr>
      <w:tr>
        <w:tblPrEx>
          <w:tblCellMar>
            <w:top w:w="0" w:type="dxa"/>
            <w:left w:w="0" w:type="dxa"/>
            <w:bottom w:w="0" w:type="dxa"/>
            <w:right w:w="0"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社会效益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反映相关产出对社会发展带来的影响和效果，根据项目实际细化具体指标。</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破解深度贫困地区脱贫制约瓶颈，增强脱贫奔康信心。</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破解深度贫困地区脱贫制约瓶颈，增强脱贫奔康信心。</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生态效益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反映相关产出对自然环境带来的影响和效果，根据项目实际细化具体指标。</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破解深度贫困地区脱贫制约瓶颈，增强脱贫奔康信心。</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破解深度贫困地区脱贫制约瓶颈，增强脱贫奔康信心。</w:t>
            </w:r>
          </w:p>
        </w:tc>
      </w:tr>
      <w:tr>
        <w:tblPrEx>
          <w:tblCellMar>
            <w:top w:w="0" w:type="dxa"/>
            <w:left w:w="0" w:type="dxa"/>
            <w:bottom w:w="0" w:type="dxa"/>
            <w:right w:w="0"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可持续效益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反映相关产出带来影响的可持续期限，根据项目实际细化具体指标。</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rPr>
            </w:pPr>
            <w:r>
              <w:rPr>
                <w:rFonts w:hint="eastAsia" w:ascii="宋体" w:hAnsi="宋体" w:cs="宋体"/>
                <w:color w:val="000000" w:themeColor="text1"/>
                <w:sz w:val="20"/>
                <w:szCs w:val="20"/>
              </w:rPr>
              <w:t>破解深度贫困地区脱贫制约瓶颈，增强脱贫奔康信心。</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rPr>
            </w:pPr>
            <w:r>
              <w:rPr>
                <w:rFonts w:hint="eastAsia" w:ascii="宋体" w:hAnsi="宋体" w:cs="宋体"/>
                <w:color w:val="000000" w:themeColor="text1"/>
                <w:sz w:val="20"/>
                <w:szCs w:val="20"/>
              </w:rPr>
              <w:t>破解深度贫困地区脱贫制约瓶颈，增强脱贫奔康信心。</w:t>
            </w:r>
          </w:p>
        </w:tc>
      </w:tr>
      <w:tr>
        <w:tblPrEx>
          <w:tblCellMar>
            <w:top w:w="0" w:type="dxa"/>
            <w:left w:w="0" w:type="dxa"/>
            <w:bottom w:w="0" w:type="dxa"/>
            <w:right w:w="0" w:type="dxa"/>
          </w:tblCellMar>
        </w:tblPrEx>
        <w:trPr>
          <w:gridAfter w:val="1"/>
          <w:wAfter w:w="526" w:type="dxa"/>
          <w:trHeight w:val="1528"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服务对象满意度</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反映服务对象或项目受益人对相关产出及其影响的认可程度，根据项目实际细化具体指标。</w:t>
            </w:r>
          </w:p>
        </w:tc>
        <w:tc>
          <w:tcPr>
            <w:tcW w:w="169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群众满意度高，使用效益高</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2019年麦洼乡藏区新居建设项目</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麦洼乡人民政府</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9万元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执行数:</w:t>
            </w:r>
          </w:p>
        </w:tc>
        <w:tc>
          <w:tcPr>
            <w:tcW w:w="303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9万元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其中-财政拨款:</w:t>
            </w:r>
          </w:p>
        </w:tc>
        <w:tc>
          <w:tcPr>
            <w:tcW w:w="303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9万元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0</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其它资金:</w:t>
            </w:r>
          </w:p>
        </w:tc>
        <w:tc>
          <w:tcPr>
            <w:tcW w:w="303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0"/>
                <w:szCs w:val="20"/>
              </w:rPr>
              <w:t>新建3户藏区新居住房</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0"/>
                <w:szCs w:val="20"/>
              </w:rPr>
              <w:t>洞拉村新建藏区新居2户，滚塘村新建藏区新居1户。</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rPr>
            </w:pPr>
            <w:r>
              <w:rPr>
                <w:rFonts w:ascii="宋体" w:hAnsi="宋体" w:cs="宋体"/>
                <w:color w:val="000000" w:themeColor="text1"/>
                <w:kern w:val="0"/>
                <w:sz w:val="24"/>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drawing>
                <wp:anchor distT="0" distB="0" distL="114300" distR="114300" simplePos="0" relativeHeight="2516664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6" name="直接连接符_10"/>
                  <wp:cNvGraphicFramePr/>
                  <a:graphic xmlns:a="http://schemas.openxmlformats.org/drawingml/2006/main">
                    <a:graphicData uri="http://schemas.openxmlformats.org/drawingml/2006/picture">
                      <pic:pic xmlns:pic="http://schemas.openxmlformats.org/drawingml/2006/picture">
                        <pic:nvPicPr>
                          <pic:cNvPr id="26"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7" name="直接连接符_8"/>
                  <wp:cNvGraphicFramePr/>
                  <a:graphic xmlns:a="http://schemas.openxmlformats.org/drawingml/2006/main">
                    <a:graphicData uri="http://schemas.openxmlformats.org/drawingml/2006/picture">
                      <pic:pic xmlns:pic="http://schemas.openxmlformats.org/drawingml/2006/picture">
                        <pic:nvPicPr>
                          <pic:cNvPr id="27"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8" name="直接连接符_9"/>
                  <wp:cNvGraphicFramePr/>
                  <a:graphic xmlns:a="http://schemas.openxmlformats.org/drawingml/2006/main">
                    <a:graphicData uri="http://schemas.openxmlformats.org/drawingml/2006/picture">
                      <pic:pic xmlns:pic="http://schemas.openxmlformats.org/drawingml/2006/picture">
                        <pic:nvPicPr>
                          <pic:cNvPr id="28"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drawing>
                <wp:anchor distT="0" distB="0" distL="114300" distR="114300" simplePos="0" relativeHeight="2516695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9" name="直接连接符_7"/>
                  <wp:cNvGraphicFramePr/>
                  <a:graphic xmlns:a="http://schemas.openxmlformats.org/drawingml/2006/main">
                    <a:graphicData uri="http://schemas.openxmlformats.org/drawingml/2006/picture">
                      <pic:pic xmlns:pic="http://schemas.openxmlformats.org/drawingml/2006/picture">
                        <pic:nvPicPr>
                          <pic:cNvPr id="29"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三级指标</w:t>
            </w:r>
          </w:p>
        </w:tc>
        <w:tc>
          <w:tcPr>
            <w:tcW w:w="27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指标评价内容</w:t>
            </w:r>
          </w:p>
        </w:tc>
        <w:tc>
          <w:tcPr>
            <w:tcW w:w="15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预期指标值(包含数字及文字描述)</w:t>
            </w:r>
          </w:p>
        </w:tc>
        <w:tc>
          <w:tcPr>
            <w:tcW w:w="146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实际完成指标值(包含数字及文字描述)</w:t>
            </w:r>
          </w:p>
        </w:tc>
      </w:tr>
      <w:tr>
        <w:tblPrEx>
          <w:tblCellMar>
            <w:top w:w="0" w:type="dxa"/>
            <w:left w:w="0" w:type="dxa"/>
            <w:bottom w:w="0" w:type="dxa"/>
            <w:right w:w="0" w:type="dxa"/>
          </w:tblCellMar>
        </w:tblPrEx>
        <w:trPr>
          <w:gridAfter w:val="1"/>
          <w:wAfter w:w="526" w:type="dxa"/>
          <w:trHeight w:val="62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27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r>
      <w:tr>
        <w:tblPrEx>
          <w:tblCellMar>
            <w:top w:w="0" w:type="dxa"/>
            <w:left w:w="0" w:type="dxa"/>
            <w:bottom w:w="0" w:type="dxa"/>
            <w:right w:w="0" w:type="dxa"/>
          </w:tblCellMar>
        </w:tblPrEx>
        <w:trPr>
          <w:gridAfter w:val="1"/>
          <w:wAfter w:w="526" w:type="dxa"/>
          <w:trHeight w:val="62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27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5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rPr>
            </w:pP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目标内容</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项目预期提供的产品、服务、效益或其他目标明确,即绩效目标实际明确个数/应当明确个数×100%</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themeColor="text1"/>
                <w:sz w:val="20"/>
                <w:szCs w:val="20"/>
              </w:rPr>
            </w:pPr>
            <w:r>
              <w:rPr>
                <w:rFonts w:hint="eastAsia" w:ascii="宋体" w:hAnsi="宋体" w:cs="宋体"/>
                <w:color w:val="000000" w:themeColor="text1"/>
                <w:kern w:val="0"/>
                <w:sz w:val="20"/>
                <w:szCs w:val="20"/>
              </w:rPr>
              <w:t>新建3户藏区新居住房</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themeColor="text1"/>
                <w:sz w:val="20"/>
                <w:szCs w:val="20"/>
              </w:rPr>
            </w:pPr>
            <w:r>
              <w:rPr>
                <w:rFonts w:hint="eastAsia" w:ascii="宋体" w:hAnsi="宋体" w:cs="宋体"/>
                <w:color w:val="000000" w:themeColor="text1"/>
                <w:kern w:val="0"/>
                <w:sz w:val="20"/>
                <w:szCs w:val="20"/>
              </w:rPr>
              <w:t>洞拉村新建藏区新居2户，滚塘村新建藏区新居1户。</w:t>
            </w:r>
          </w:p>
        </w:tc>
      </w:tr>
      <w:tr>
        <w:tblPrEx>
          <w:tblCellMar>
            <w:top w:w="0" w:type="dxa"/>
            <w:left w:w="0" w:type="dxa"/>
            <w:bottom w:w="0" w:type="dxa"/>
            <w:right w:w="0"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进度计划</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项目计划实施进度明确</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按照工期进度表进行</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按时完工</w:t>
            </w:r>
          </w:p>
        </w:tc>
      </w:tr>
      <w:tr>
        <w:tblPrEx>
          <w:tblCellMar>
            <w:top w:w="0" w:type="dxa"/>
            <w:left w:w="0" w:type="dxa"/>
            <w:bottom w:w="0" w:type="dxa"/>
            <w:right w:w="0"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目标匹配</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绩效目标设定符合实际需求的抽样项目点个数/抽样项目点总数×100%</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2</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2</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政策依据</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项目符合党中央、国务院和省委、省政府决策部署；符合当前经济社会发展需要</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连续性项目根据需要制定中长期实施规划</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实施规划符合实际，并根据情况变化适时调整</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管理制度</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制定项目资金管理办法</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已制定</w:t>
            </w:r>
          </w:p>
        </w:tc>
      </w:tr>
      <w:tr>
        <w:tblPrEx>
          <w:tblCellMar>
            <w:top w:w="0" w:type="dxa"/>
            <w:left w:w="0" w:type="dxa"/>
            <w:bottom w:w="0" w:type="dxa"/>
            <w:right w:w="0"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项目资金分配决策程序明确</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分配方法</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资金分配方法是否科学合理</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分配过程符合相关规定</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审核把关</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符合申报条件的抽样项目点个数/抽样项目点总数×100%</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2个</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2个</w:t>
            </w:r>
          </w:p>
        </w:tc>
      </w:tr>
      <w:tr>
        <w:tblPrEx>
          <w:tblCellMar>
            <w:top w:w="0" w:type="dxa"/>
            <w:left w:w="0" w:type="dxa"/>
            <w:bottom w:w="0" w:type="dxa"/>
            <w:right w:w="0"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集中</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财政资金占项目资金总额比重较小项目个数/项目总数×100%</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均衡</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按实际分配结果选择客观因素测算验证资金分配方法制定、分配要素设定、基础数据应用、测算依据选取等是否科学合理（2分）</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分配时效</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县级主管部门按规定及时分配资金</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资金拨付</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按规定及时拨付资金</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使用范围</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资金使用是否合规</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支付依据</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资金支付依据符合规定，即支付依旧合规资金量/资金总量×100%</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开支标准</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资金开支标准符合规定，即开支标准合规资金量/资金总量×100%</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财务制度健全，管理规范</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会计核算规范</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项目调整严格履行相关手续</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投资变更</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项目投资变更额/项目总投入×100%</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制度执行</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严格执行项目有关制度规定</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bdr w:val="single" w:color="000000" w:sz="4" w:space="0"/>
              </w:rPr>
              <w:drawing>
                <wp:anchor distT="0" distB="0" distL="114300" distR="114300" simplePos="0" relativeHeight="25167052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0" name="直接连接符_6"/>
                  <wp:cNvGraphicFramePr/>
                  <a:graphic xmlns:a="http://schemas.openxmlformats.org/drawingml/2006/main">
                    <a:graphicData uri="http://schemas.openxmlformats.org/drawingml/2006/picture">
                      <pic:pic xmlns:pic="http://schemas.openxmlformats.org/drawingml/2006/picture">
                        <pic:nvPicPr>
                          <pic:cNvPr id="20"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rPr>
              <w:drawing>
                <wp:anchor distT="0" distB="0" distL="114300" distR="114300" simplePos="0" relativeHeight="25167155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1" name="直接连接符_5"/>
                  <wp:cNvGraphicFramePr/>
                  <a:graphic xmlns:a="http://schemas.openxmlformats.org/drawingml/2006/main">
                    <a:graphicData uri="http://schemas.openxmlformats.org/drawingml/2006/picture">
                      <pic:pic xmlns:pic="http://schemas.openxmlformats.org/drawingml/2006/picture">
                        <pic:nvPicPr>
                          <pic:cNvPr id="21"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完成数量</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实际完成任务量/绩效目标设定任务量×100%</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完成质量</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符合绩效目标设定的验收标准，达到行业基准水平</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符合</w:t>
            </w:r>
          </w:p>
        </w:tc>
      </w:tr>
      <w:tr>
        <w:tblPrEx>
          <w:tblCellMar>
            <w:top w:w="0" w:type="dxa"/>
            <w:left w:w="0" w:type="dxa"/>
            <w:bottom w:w="0" w:type="dxa"/>
            <w:right w:w="0"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完成时效</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（实际完成时间-绩效目标设定完成时间）/绩效目标设定完成时间×100%</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完成成本</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（实际完成成本-预计完成成本）/预计完成成本×100%</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100%</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经济效益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反映相关产出对经济社会发展带来的影响和效果，根据项目实际细化具体指标。</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洞拉村新建藏区新居2户，滚塘村新建藏区新居1户。</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rPr>
            </w:pPr>
            <w:r>
              <w:rPr>
                <w:rFonts w:hint="eastAsia" w:ascii="宋体" w:hAnsi="宋体" w:cs="宋体"/>
                <w:color w:val="000000" w:themeColor="text1"/>
                <w:kern w:val="0"/>
                <w:sz w:val="20"/>
                <w:szCs w:val="20"/>
              </w:rPr>
              <w:t>洞拉村新建藏区新居2户，滚塘村新建藏区新居1户。</w:t>
            </w:r>
          </w:p>
        </w:tc>
      </w:tr>
      <w:tr>
        <w:tblPrEx>
          <w:tblCellMar>
            <w:top w:w="0" w:type="dxa"/>
            <w:left w:w="0" w:type="dxa"/>
            <w:bottom w:w="0" w:type="dxa"/>
            <w:right w:w="0"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社会效益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反映相关产出对社会发展带来的影响和效果，根据项目实际细化具体指标。</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洞拉村新建藏区新居2户，滚塘村新建藏区新居1户。</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洞拉村新建藏区新居2户，滚塘村新建藏区新居1户。</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生态效益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反映相关产出对自然环境带来的影响和效果，根据项目实际细化具体指标。</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洞拉村新建藏区新居2户，滚塘村新建藏区新居1户。</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kern w:val="0"/>
                <w:sz w:val="20"/>
                <w:szCs w:val="20"/>
              </w:rPr>
              <w:t>洞拉村新建藏区新居2户，滚塘村新建藏区新居1户。</w:t>
            </w:r>
          </w:p>
        </w:tc>
      </w:tr>
      <w:tr>
        <w:tblPrEx>
          <w:tblCellMar>
            <w:top w:w="0" w:type="dxa"/>
            <w:left w:w="0" w:type="dxa"/>
            <w:bottom w:w="0" w:type="dxa"/>
            <w:right w:w="0"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可持续效益</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rPr>
            </w:pPr>
            <w:r>
              <w:rPr>
                <w:rFonts w:hint="eastAsia" w:ascii="宋体" w:hAnsi="宋体" w:cs="宋体"/>
                <w:color w:val="000000" w:themeColor="text1"/>
                <w:kern w:val="0"/>
                <w:sz w:val="20"/>
                <w:szCs w:val="20"/>
              </w:rPr>
              <w:t>反映相关产出带来影响的可持续期限，根据项目实际细化具体指标。</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rPr>
            </w:pPr>
            <w:r>
              <w:rPr>
                <w:rFonts w:hint="eastAsia" w:ascii="宋体" w:hAnsi="宋体" w:cs="宋体"/>
                <w:color w:val="000000" w:themeColor="text1"/>
                <w:sz w:val="20"/>
                <w:szCs w:val="20"/>
              </w:rPr>
              <w:t>整合资源，立足安置地资源优势，深化产业扶贫</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rPr>
            </w:pPr>
            <w:r>
              <w:rPr>
                <w:rFonts w:hint="eastAsia" w:ascii="宋体" w:hAnsi="宋体" w:cs="宋体"/>
                <w:color w:val="000000" w:themeColor="text1"/>
                <w:sz w:val="20"/>
                <w:szCs w:val="20"/>
              </w:rPr>
              <w:t>整合资源，立足安置地资源优势，深化产业扶贫</w:t>
            </w:r>
          </w:p>
        </w:tc>
      </w:tr>
      <w:tr>
        <w:tblPrEx>
          <w:tblCellMar>
            <w:top w:w="0" w:type="dxa"/>
            <w:left w:w="0" w:type="dxa"/>
            <w:bottom w:w="0" w:type="dxa"/>
            <w:right w:w="0"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服务对象满意度</w:t>
            </w:r>
          </w:p>
        </w:tc>
        <w:tc>
          <w:tcPr>
            <w:tcW w:w="276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rPr>
            </w:pPr>
            <w:r>
              <w:rPr>
                <w:rFonts w:hint="eastAsia" w:ascii="宋体" w:hAnsi="宋体" w:cs="宋体"/>
                <w:color w:val="000000" w:themeColor="text1"/>
                <w:kern w:val="0"/>
                <w:sz w:val="20"/>
                <w:szCs w:val="20"/>
              </w:rPr>
              <w:t>反映服务对象或项目受益人对相关产出及其影响的认可程度，根据项目实际细化具体指标。</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群众满意度高，使用效益高</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rPr>
            </w:pPr>
            <w:r>
              <w:rPr>
                <w:rFonts w:hint="eastAsia" w:ascii="宋体" w:hAnsi="宋体" w:cs="宋体"/>
                <w:color w:val="000000" w:themeColor="text1"/>
                <w:sz w:val="20"/>
                <w:szCs w:val="20"/>
              </w:rPr>
              <w:t>群众满意度高，使用效益高</w:t>
            </w:r>
          </w:p>
        </w:tc>
      </w:tr>
    </w:tbl>
    <w:p>
      <w:pPr>
        <w:spacing w:line="580" w:lineRule="exact"/>
        <w:rPr>
          <w:rFonts w:ascii="仿宋_GB2312" w:hAnsi="仿宋_GB2312" w:eastAsia="仿宋_GB2312" w:cs="仿宋_GB2312"/>
          <w:color w:val="000000" w:themeColor="text1"/>
          <w:sz w:val="32"/>
          <w:szCs w:val="32"/>
        </w:rPr>
      </w:pPr>
    </w:p>
    <w:p>
      <w:pPr>
        <w:spacing w:line="580" w:lineRule="exact"/>
        <w:ind w:left="630"/>
        <w:rPr>
          <w:rFonts w:ascii="仿宋_GB2312" w:hAnsi="仿宋_GB2312" w:eastAsia="仿宋_GB2312" w:cs="仿宋_GB2312"/>
          <w:color w:val="000000" w:themeColor="text1"/>
          <w:sz w:val="32"/>
          <w:szCs w:val="32"/>
        </w:rPr>
      </w:pPr>
    </w:p>
    <w:p>
      <w:pPr>
        <w:spacing w:line="580" w:lineRule="exact"/>
        <w:ind w:left="630"/>
        <w:rPr>
          <w:rFonts w:ascii="仿宋_GB2312" w:hAnsi="仿宋_GB2312" w:eastAsia="仿宋_GB2312" w:cs="仿宋_GB2312"/>
          <w:color w:val="000000" w:themeColor="text1"/>
          <w:sz w:val="32"/>
          <w:szCs w:val="32"/>
        </w:rPr>
      </w:pPr>
      <w:r>
        <w:rPr>
          <w:rFonts w:hint="eastAsia" w:ascii="楷体_GB2312" w:hAnsi="楷体_GB2312" w:eastAsia="楷体_GB2312" w:cs="楷体_GB2312"/>
          <w:color w:val="000000" w:themeColor="text1"/>
          <w:sz w:val="32"/>
          <w:szCs w:val="32"/>
        </w:rPr>
        <w:t>2.部门绩效评价结果。</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本部门按要求对2019年部门整体支出绩效评价情况开展自评，《麦洼乡人民政府2019年整体支出绩效评价报告》见附件（附件1）。</w:t>
      </w:r>
    </w:p>
    <w:p>
      <w:pPr>
        <w:spacing w:line="580" w:lineRule="exact"/>
        <w:ind w:firstLine="640" w:firstLineChars="200"/>
        <w:rPr>
          <w:rFonts w:ascii="仿宋_GB2312" w:eastAsia="仿宋_GB2312"/>
          <w:b/>
          <w:color w:val="000000" w:themeColor="text1"/>
          <w:sz w:val="32"/>
          <w:szCs w:val="32"/>
        </w:rPr>
      </w:pPr>
      <w:r>
        <w:rPr>
          <w:rFonts w:hint="eastAsia" w:ascii="仿宋_GB2312" w:hAnsi="仿宋_GB2312" w:eastAsia="仿宋_GB2312" w:cs="仿宋_GB2312"/>
          <w:color w:val="000000" w:themeColor="text1"/>
          <w:sz w:val="32"/>
          <w:szCs w:val="32"/>
        </w:rPr>
        <w:t>本部门自行组织对村级运行项目开展了绩效评价，《村级运行项目2019年绩效评价报告》见附件（附件2）。（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themeColor="text1"/>
          <w:sz w:val="32"/>
          <w:szCs w:val="32"/>
        </w:rPr>
      </w:pPr>
      <w:r>
        <w:rPr>
          <w:rFonts w:ascii="仿宋_GB2312" w:eastAsia="仿宋_GB2312"/>
          <w:b/>
          <w:color w:val="000000" w:themeColor="text1"/>
          <w:sz w:val="32"/>
          <w:szCs w:val="32"/>
        </w:rPr>
        <w:br w:type="page"/>
      </w:r>
    </w:p>
    <w:p>
      <w:pPr>
        <w:numPr>
          <w:ilvl w:val="0"/>
          <w:numId w:val="6"/>
        </w:numPr>
        <w:spacing w:line="600" w:lineRule="exact"/>
        <w:ind w:firstLine="660" w:firstLineChars="150"/>
        <w:jc w:val="center"/>
        <w:outlineLvl w:val="0"/>
        <w:rPr>
          <w:rStyle w:val="27"/>
          <w:rFonts w:ascii="黑体" w:hAnsi="黑体" w:eastAsia="黑体"/>
          <w:b w:val="0"/>
          <w:color w:val="000000" w:themeColor="text1"/>
        </w:rPr>
      </w:pPr>
      <w:bookmarkStart w:id="90" w:name="_Toc15396613"/>
      <w:bookmarkStart w:id="91" w:name="_Toc15377225"/>
      <w:bookmarkStart w:id="92" w:name="_Toc29929"/>
      <w:r>
        <w:rPr>
          <w:rFonts w:hint="eastAsia" w:ascii="黑体" w:hAnsi="黑体" w:eastAsia="黑体"/>
          <w:color w:val="000000" w:themeColor="text1"/>
          <w:sz w:val="44"/>
          <w:szCs w:val="44"/>
        </w:rPr>
        <w:t>名</w:t>
      </w:r>
      <w:r>
        <w:rPr>
          <w:rStyle w:val="27"/>
          <w:rFonts w:hint="eastAsia" w:ascii="黑体" w:hAnsi="黑体" w:eastAsia="黑体"/>
          <w:b w:val="0"/>
          <w:color w:val="000000" w:themeColor="text1"/>
        </w:rPr>
        <w:t>词解释</w:t>
      </w:r>
      <w:bookmarkEnd w:id="90"/>
      <w:bookmarkEnd w:id="91"/>
      <w:bookmarkEnd w:id="92"/>
    </w:p>
    <w:p>
      <w:pPr>
        <w:spacing w:line="600" w:lineRule="exact"/>
        <w:jc w:val="left"/>
        <w:rPr>
          <w:rFonts w:ascii="宋体"/>
          <w:b/>
          <w:color w:val="000000" w:themeColor="text1"/>
          <w:sz w:val="44"/>
          <w:szCs w:val="44"/>
        </w:rPr>
      </w:pPr>
    </w:p>
    <w:p>
      <w:pPr>
        <w:pStyle w:val="25"/>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w:t>
      </w:r>
      <w:r>
        <w:rPr>
          <w:rFonts w:hint="eastAsia" w:ascii="仿宋_GB2312" w:eastAsia="仿宋_GB2312"/>
          <w:color w:val="000000" w:themeColor="text1"/>
          <w:sz w:val="32"/>
          <w:szCs w:val="32"/>
        </w:rPr>
        <w:t>财政拨款收入：指单位从同级财政部门取得的财政预算资金。</w:t>
      </w:r>
    </w:p>
    <w:p>
      <w:pPr>
        <w:pStyle w:val="25"/>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w:t>
      </w:r>
      <w:r>
        <w:rPr>
          <w:rFonts w:hint="eastAsia" w:ascii="仿宋_GB2312" w:eastAsia="仿宋_GB2312"/>
          <w:color w:val="000000" w:themeColor="text1"/>
          <w:sz w:val="32"/>
          <w:szCs w:val="32"/>
        </w:rPr>
        <w:t>事业收入：指事业单位开展专业业务活动及辅助活动取得的收入。</w:t>
      </w:r>
    </w:p>
    <w:p>
      <w:pPr>
        <w:pStyle w:val="25"/>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3.</w:t>
      </w:r>
      <w:r>
        <w:rPr>
          <w:rFonts w:hint="eastAsia" w:ascii="仿宋_GB2312" w:eastAsia="仿宋_GB2312"/>
          <w:color w:val="000000" w:themeColor="text1"/>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4.</w:t>
      </w:r>
      <w:r>
        <w:rPr>
          <w:rFonts w:hint="eastAsia" w:ascii="仿宋_GB2312" w:eastAsia="仿宋_GB2312"/>
          <w:color w:val="000000" w:themeColor="text1"/>
          <w:sz w:val="32"/>
          <w:szCs w:val="32"/>
        </w:rPr>
        <w:t>其他收入：指单位取得的除上述收入以外的各项收入。主要是银行存款利息收入等。</w:t>
      </w:r>
      <w:r>
        <w:rPr>
          <w:rFonts w:ascii="仿宋_GB2312" w:eastAsia="仿宋_GB2312"/>
          <w:color w:val="000000" w:themeColor="text1"/>
          <w:sz w:val="32"/>
          <w:szCs w:val="32"/>
        </w:rPr>
        <w:t xml:space="preserve"> </w:t>
      </w:r>
    </w:p>
    <w:p>
      <w:pPr>
        <w:pStyle w:val="25"/>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5.</w:t>
      </w:r>
      <w:r>
        <w:rPr>
          <w:rFonts w:hint="eastAsia" w:ascii="仿宋_GB2312" w:eastAsia="仿宋_GB2312"/>
          <w:color w:val="000000" w:themeColor="text1"/>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themeColor="text1"/>
          <w:sz w:val="32"/>
          <w:szCs w:val="32"/>
        </w:rPr>
        <w:t xml:space="preserve"> </w:t>
      </w:r>
    </w:p>
    <w:p>
      <w:pPr>
        <w:pStyle w:val="25"/>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6.</w:t>
      </w:r>
      <w:r>
        <w:rPr>
          <w:rFonts w:hint="eastAsia" w:ascii="仿宋_GB2312" w:eastAsia="仿宋_GB2312"/>
          <w:color w:val="000000" w:themeColor="text1"/>
          <w:sz w:val="32"/>
          <w:szCs w:val="32"/>
        </w:rPr>
        <w:t>年初结转和结余：指以前年度尚未完成、结转到本年按有关规定继续使用的资金。</w:t>
      </w:r>
      <w:r>
        <w:rPr>
          <w:rFonts w:ascii="仿宋_GB2312" w:eastAsia="仿宋_GB2312"/>
          <w:color w:val="000000" w:themeColor="text1"/>
          <w:sz w:val="32"/>
          <w:szCs w:val="32"/>
        </w:rPr>
        <w:t xml:space="preserve"> </w:t>
      </w:r>
    </w:p>
    <w:p>
      <w:pPr>
        <w:pStyle w:val="25"/>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7.</w:t>
      </w:r>
      <w:r>
        <w:rPr>
          <w:rFonts w:hint="eastAsia" w:ascii="仿宋_GB2312" w:eastAsia="仿宋_GB2312"/>
          <w:color w:val="000000" w:themeColor="text1"/>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8</w:t>
      </w:r>
      <w:r>
        <w:rPr>
          <w:rFonts w:hint="eastAsia" w:ascii="仿宋_GB2312" w:eastAsia="仿宋_GB2312"/>
          <w:color w:val="000000" w:themeColor="text1"/>
          <w:sz w:val="32"/>
          <w:szCs w:val="32"/>
        </w:rPr>
        <w:t>、年末结转和结余：指单位按有关规定结转到下年或以后年度继续使用的资金。</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9.</w:t>
      </w:r>
      <w:r>
        <w:rPr>
          <w:rFonts w:hint="eastAsia" w:ascii="仿宋_GB2312" w:eastAsia="仿宋_GB2312"/>
          <w:color w:val="000000" w:themeColor="text1"/>
          <w:sz w:val="32"/>
          <w:szCs w:val="32"/>
        </w:rPr>
        <w:t>一般公共服务：201类20101款人大事务，2010101项指人大工作人员工资，2010301指行政工作人员工资、2010601行政运行财政所工作人员工资、2010108人大代表工作经费。</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10</w:t>
      </w:r>
      <w:r>
        <w:rPr>
          <w:rFonts w:ascii="仿宋_GB2312" w:eastAsia="仿宋_GB2312"/>
          <w:color w:val="000000" w:themeColor="text1"/>
          <w:sz w:val="32"/>
          <w:szCs w:val="32"/>
        </w:rPr>
        <w:t>.</w:t>
      </w:r>
      <w:r>
        <w:rPr>
          <w:rFonts w:hint="eastAsia" w:ascii="仿宋_GB2312" w:eastAsia="仿宋_GB2312"/>
          <w:color w:val="000000" w:themeColor="text1"/>
          <w:sz w:val="32"/>
          <w:szCs w:val="32"/>
        </w:rPr>
        <w:t>文化体育与传媒：207类20701款2070199项指其他文化支出文化院坝工作经费。</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11</w:t>
      </w:r>
      <w:r>
        <w:rPr>
          <w:rFonts w:ascii="仿宋_GB2312" w:eastAsia="仿宋_GB2312"/>
          <w:color w:val="000000" w:themeColor="text1"/>
          <w:sz w:val="32"/>
          <w:szCs w:val="32"/>
        </w:rPr>
        <w:t>.</w:t>
      </w:r>
      <w:r>
        <w:rPr>
          <w:rFonts w:hint="eastAsia" w:ascii="仿宋_GB2312" w:eastAsia="仿宋_GB2312"/>
          <w:color w:val="000000" w:themeColor="text1"/>
          <w:sz w:val="32"/>
          <w:szCs w:val="32"/>
        </w:rPr>
        <w:t>社会保障和就业：208类20802款2080208项指基层政权和社区建设，2080505指机关事业单位基本养老保险缴费支出，2080506指机关事业单位职业年金缴费支出2081107指残疾人生活和护理补助，2082102指农村特困人员救助。</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12</w:t>
      </w:r>
      <w:r>
        <w:rPr>
          <w:rFonts w:ascii="仿宋_GB2312" w:eastAsia="仿宋_GB2312"/>
          <w:color w:val="000000" w:themeColor="text1"/>
          <w:sz w:val="32"/>
          <w:szCs w:val="32"/>
        </w:rPr>
        <w:t>.</w:t>
      </w:r>
      <w:r>
        <w:rPr>
          <w:rFonts w:hint="eastAsia" w:ascii="仿宋_GB2312" w:eastAsia="仿宋_GB2312"/>
          <w:color w:val="000000" w:themeColor="text1"/>
          <w:sz w:val="32"/>
          <w:szCs w:val="32"/>
        </w:rPr>
        <w:t>卫生健康：210类21004款2100409项指公共卫生专项资金。</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13</w:t>
      </w:r>
      <w:r>
        <w:rPr>
          <w:rFonts w:ascii="仿宋_GB2312" w:eastAsia="仿宋_GB2312"/>
          <w:color w:val="000000" w:themeColor="text1"/>
          <w:sz w:val="32"/>
          <w:szCs w:val="32"/>
        </w:rPr>
        <w:t>.</w:t>
      </w:r>
      <w:r>
        <w:rPr>
          <w:rFonts w:hint="eastAsia" w:ascii="仿宋_GB2312" w:eastAsia="仿宋_GB2312"/>
          <w:color w:val="000000" w:themeColor="text1"/>
          <w:sz w:val="32"/>
          <w:szCs w:val="32"/>
        </w:rPr>
        <w:t>城乡社区：212类21205，2120501指城乡社区环境卫生支出。</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14</w:t>
      </w:r>
      <w:r>
        <w:rPr>
          <w:rFonts w:ascii="仿宋_GB2312" w:eastAsia="仿宋_GB2312"/>
          <w:color w:val="000000" w:themeColor="text1"/>
          <w:sz w:val="32"/>
          <w:szCs w:val="32"/>
        </w:rPr>
        <w:t>.</w:t>
      </w:r>
      <w:r>
        <w:rPr>
          <w:rFonts w:hint="eastAsia" w:ascii="仿宋_GB2312" w:eastAsia="仿宋_GB2312"/>
          <w:color w:val="000000" w:themeColor="text1"/>
          <w:sz w:val="32"/>
          <w:szCs w:val="32"/>
        </w:rPr>
        <w:t>农林水：213类21301款2130152项指对高校毕业生到基层任职补助，2130504指农村基础设施建设，2130705指对村民委员会和村党支部的补助。</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15</w:t>
      </w:r>
      <w:r>
        <w:rPr>
          <w:rFonts w:ascii="仿宋_GB2312" w:eastAsia="仿宋_GB2312"/>
          <w:color w:val="000000" w:themeColor="text1"/>
          <w:sz w:val="32"/>
          <w:szCs w:val="32"/>
        </w:rPr>
        <w:t>.</w:t>
      </w:r>
      <w:r>
        <w:rPr>
          <w:rFonts w:hint="eastAsia" w:ascii="仿宋_GB2312" w:eastAsia="仿宋_GB2312"/>
          <w:color w:val="000000" w:themeColor="text1"/>
          <w:sz w:val="32"/>
          <w:szCs w:val="32"/>
        </w:rPr>
        <w:t>交通运输：214类21401款2140104项指公路建设。</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16</w:t>
      </w:r>
      <w:r>
        <w:rPr>
          <w:rFonts w:ascii="仿宋_GB2312" w:eastAsia="仿宋_GB2312"/>
          <w:color w:val="000000" w:themeColor="text1"/>
          <w:sz w:val="32"/>
          <w:szCs w:val="32"/>
        </w:rPr>
        <w:t>.</w:t>
      </w:r>
      <w:r>
        <w:rPr>
          <w:rFonts w:hint="eastAsia" w:ascii="仿宋_GB2312" w:eastAsia="仿宋_GB2312"/>
          <w:color w:val="000000" w:themeColor="text1"/>
          <w:sz w:val="32"/>
          <w:szCs w:val="32"/>
        </w:rPr>
        <w:t>住房保障：221类22102款2210201项指住房公积金。</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w:t>
      </w:r>
      <w:r>
        <w:rPr>
          <w:rFonts w:ascii="仿宋_GB2312" w:eastAsia="仿宋_GB2312"/>
          <w:color w:val="000000" w:themeColor="text1"/>
          <w:sz w:val="32"/>
          <w:szCs w:val="32"/>
        </w:rPr>
        <w:t>7.</w:t>
      </w:r>
      <w:r>
        <w:rPr>
          <w:rFonts w:hint="eastAsia" w:ascii="仿宋_GB2312" w:eastAsia="仿宋_GB2312"/>
          <w:color w:val="000000" w:themeColor="text1"/>
          <w:sz w:val="32"/>
          <w:szCs w:val="32"/>
        </w:rPr>
        <w:t>基本支出：指为保障机构正常运转、完成日常工作任务而发生的人员支出和公用支出。</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w:t>
      </w:r>
      <w:r>
        <w:rPr>
          <w:rFonts w:ascii="仿宋_GB2312" w:eastAsia="仿宋_GB2312"/>
          <w:color w:val="000000" w:themeColor="text1"/>
          <w:sz w:val="32"/>
          <w:szCs w:val="32"/>
        </w:rPr>
        <w:t>8.</w:t>
      </w:r>
      <w:r>
        <w:rPr>
          <w:rFonts w:hint="eastAsia" w:ascii="仿宋_GB2312" w:eastAsia="仿宋_GB2312"/>
          <w:color w:val="000000" w:themeColor="text1"/>
          <w:sz w:val="32"/>
          <w:szCs w:val="32"/>
        </w:rPr>
        <w:t>项目支出：指在基本支出之外为完成特定行政任务和事业发展目标所发生的支出。</w:t>
      </w:r>
      <w:r>
        <w:rPr>
          <w:rFonts w:ascii="仿宋_GB2312" w:eastAsia="仿宋_GB2312"/>
          <w:color w:val="000000" w:themeColor="text1"/>
          <w:sz w:val="32"/>
          <w:szCs w:val="32"/>
        </w:rPr>
        <w:t xml:space="preserve"> </w:t>
      </w:r>
    </w:p>
    <w:p>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w:t>
      </w:r>
      <w:r>
        <w:rPr>
          <w:rFonts w:ascii="仿宋_GB2312" w:eastAsia="仿宋_GB2312"/>
          <w:color w:val="000000" w:themeColor="text1"/>
          <w:sz w:val="32"/>
          <w:szCs w:val="32"/>
        </w:rPr>
        <w:t>9.</w:t>
      </w:r>
      <w:r>
        <w:rPr>
          <w:rFonts w:hint="eastAsia" w:ascii="仿宋_GB2312" w:eastAsia="仿宋_GB2312"/>
          <w:color w:val="000000" w:themeColor="text1"/>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w:t>
      </w:r>
      <w:r>
        <w:rPr>
          <w:rFonts w:ascii="仿宋_GB2312" w:eastAsia="仿宋_GB2312"/>
          <w:color w:val="000000" w:themeColor="text1"/>
          <w:sz w:val="32"/>
          <w:szCs w:val="32"/>
        </w:rPr>
        <w:t>0.</w:t>
      </w:r>
      <w:r>
        <w:rPr>
          <w:rFonts w:hint="eastAsia" w:ascii="仿宋_GB2312" w:eastAsia="仿宋_GB2312"/>
          <w:color w:val="000000" w:themeColor="text1"/>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w:t>
      </w:r>
      <w:r>
        <w:rPr>
          <w:rFonts w:ascii="仿宋_GB2312" w:eastAsia="仿宋_GB2312"/>
          <w:color w:val="000000" w:themeColor="text1"/>
          <w:sz w:val="32"/>
          <w:szCs w:val="32"/>
        </w:rPr>
        <w:t>1.</w:t>
      </w:r>
      <w:r>
        <w:rPr>
          <w:rFonts w:hint="eastAsia" w:ascii="仿宋_GB2312" w:eastAsia="仿宋_GB2312"/>
          <w:color w:val="000000" w:themeColor="text1"/>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ascii="仿宋_GB2312" w:eastAsia="仿宋_GB2312" w:cs="黑体"/>
          <w:color w:val="000000" w:themeColor="text1"/>
          <w:sz w:val="32"/>
          <w:szCs w:val="32"/>
        </w:rPr>
      </w:pPr>
    </w:p>
    <w:p>
      <w:pPr>
        <w:spacing w:line="600" w:lineRule="exact"/>
        <w:jc w:val="center"/>
        <w:outlineLvl w:val="0"/>
        <w:rPr>
          <w:rFonts w:ascii="黑体" w:hAnsi="黑体" w:eastAsia="黑体"/>
          <w:color w:val="000000" w:themeColor="text1"/>
          <w:sz w:val="44"/>
          <w:szCs w:val="44"/>
        </w:rPr>
      </w:pPr>
      <w:bookmarkStart w:id="93" w:name="_Toc15396614"/>
      <w:bookmarkStart w:id="94" w:name="_Toc15377226"/>
    </w:p>
    <w:p>
      <w:pPr>
        <w:spacing w:line="600" w:lineRule="exact"/>
        <w:jc w:val="center"/>
        <w:outlineLvl w:val="0"/>
        <w:rPr>
          <w:rFonts w:ascii="黑体" w:hAnsi="黑体" w:eastAsia="黑体"/>
          <w:color w:val="000000" w:themeColor="text1"/>
          <w:sz w:val="44"/>
          <w:szCs w:val="44"/>
        </w:rPr>
      </w:pPr>
    </w:p>
    <w:p>
      <w:pPr>
        <w:pStyle w:val="2"/>
        <w:rPr>
          <w:rFonts w:ascii="黑体" w:hAnsi="黑体" w:eastAsia="黑体"/>
          <w:color w:val="000000" w:themeColor="text1"/>
          <w:sz w:val="44"/>
          <w:szCs w:val="44"/>
        </w:rPr>
      </w:pPr>
    </w:p>
    <w:p>
      <w:pPr>
        <w:pStyle w:val="2"/>
        <w:rPr>
          <w:rFonts w:ascii="黑体" w:hAnsi="黑体" w:eastAsia="黑体"/>
          <w:color w:val="000000" w:themeColor="text1"/>
          <w:sz w:val="44"/>
          <w:szCs w:val="44"/>
        </w:rPr>
      </w:pPr>
    </w:p>
    <w:p>
      <w:pPr>
        <w:spacing w:line="600" w:lineRule="exact"/>
        <w:jc w:val="center"/>
        <w:outlineLvl w:val="0"/>
        <w:rPr>
          <w:rFonts w:ascii="黑体" w:hAnsi="黑体" w:eastAsia="黑体"/>
          <w:color w:val="000000" w:themeColor="text1"/>
          <w:sz w:val="44"/>
          <w:szCs w:val="44"/>
        </w:rPr>
      </w:pPr>
    </w:p>
    <w:p>
      <w:pPr>
        <w:spacing w:line="600" w:lineRule="exact"/>
        <w:jc w:val="center"/>
        <w:outlineLvl w:val="0"/>
        <w:rPr>
          <w:rFonts w:ascii="黑体" w:hAnsi="黑体" w:eastAsia="黑体"/>
          <w:color w:val="000000" w:themeColor="text1"/>
          <w:sz w:val="44"/>
          <w:szCs w:val="44"/>
        </w:rPr>
      </w:pPr>
    </w:p>
    <w:p>
      <w:pPr>
        <w:spacing w:line="600" w:lineRule="exact"/>
        <w:jc w:val="center"/>
        <w:outlineLvl w:val="0"/>
        <w:rPr>
          <w:rFonts w:ascii="黑体" w:hAnsi="黑体" w:eastAsia="黑体"/>
          <w:color w:val="000000" w:themeColor="text1"/>
          <w:sz w:val="44"/>
          <w:szCs w:val="44"/>
        </w:rPr>
      </w:pPr>
    </w:p>
    <w:p>
      <w:pPr>
        <w:spacing w:line="600" w:lineRule="exact"/>
        <w:jc w:val="center"/>
        <w:outlineLvl w:val="0"/>
        <w:rPr>
          <w:rFonts w:ascii="黑体" w:hAnsi="黑体" w:eastAsia="黑体"/>
          <w:color w:val="000000" w:themeColor="text1"/>
          <w:sz w:val="44"/>
          <w:szCs w:val="44"/>
        </w:rPr>
      </w:pPr>
    </w:p>
    <w:p>
      <w:pPr>
        <w:spacing w:line="600" w:lineRule="exact"/>
        <w:jc w:val="center"/>
        <w:outlineLvl w:val="0"/>
        <w:rPr>
          <w:rFonts w:ascii="黑体" w:hAnsi="黑体" w:eastAsia="黑体"/>
          <w:color w:val="000000" w:themeColor="text1"/>
          <w:sz w:val="44"/>
          <w:szCs w:val="44"/>
        </w:rPr>
      </w:pPr>
    </w:p>
    <w:p>
      <w:pPr>
        <w:spacing w:line="600" w:lineRule="exact"/>
        <w:jc w:val="center"/>
        <w:outlineLvl w:val="0"/>
        <w:rPr>
          <w:rStyle w:val="27"/>
          <w:rFonts w:ascii="黑体" w:hAnsi="黑体" w:eastAsia="黑体"/>
          <w:b w:val="0"/>
          <w:color w:val="000000" w:themeColor="text1"/>
        </w:rPr>
      </w:pPr>
      <w:bookmarkStart w:id="95" w:name="_Toc14521"/>
      <w:r>
        <w:rPr>
          <w:rFonts w:hint="eastAsia" w:ascii="黑体" w:hAnsi="黑体" w:eastAsia="黑体"/>
          <w:color w:val="000000" w:themeColor="text1"/>
          <w:sz w:val="44"/>
          <w:szCs w:val="44"/>
        </w:rPr>
        <w:t>第</w:t>
      </w:r>
      <w:r>
        <w:rPr>
          <w:rStyle w:val="27"/>
          <w:rFonts w:hint="eastAsia" w:ascii="黑体" w:hAnsi="黑体" w:eastAsia="黑体"/>
          <w:b w:val="0"/>
          <w:color w:val="000000" w:themeColor="text1"/>
        </w:rPr>
        <w:t>四部分 附件</w:t>
      </w:r>
      <w:bookmarkEnd w:id="93"/>
      <w:bookmarkEnd w:id="95"/>
    </w:p>
    <w:p>
      <w:pPr>
        <w:spacing w:line="600" w:lineRule="exact"/>
        <w:jc w:val="left"/>
        <w:outlineLvl w:val="0"/>
        <w:rPr>
          <w:rFonts w:ascii="方正小标宋简体" w:hAnsi="方正小标宋简体" w:eastAsia="方正小标宋简体" w:cs="方正小标宋简体"/>
          <w:color w:val="000000" w:themeColor="text1"/>
          <w:sz w:val="32"/>
          <w:szCs w:val="32"/>
        </w:rPr>
      </w:pPr>
      <w:bookmarkStart w:id="96" w:name="_Toc17598"/>
      <w:r>
        <w:rPr>
          <w:rFonts w:hint="eastAsia" w:ascii="黑体" w:hAnsi="黑体" w:eastAsia="黑体" w:cs="黑体"/>
          <w:color w:val="000000" w:themeColor="text1"/>
          <w:sz w:val="32"/>
          <w:szCs w:val="32"/>
        </w:rPr>
        <w:t>附件1</w:t>
      </w:r>
      <w:bookmarkEnd w:id="96"/>
    </w:p>
    <w:p>
      <w:pPr>
        <w:spacing w:line="580" w:lineRule="exact"/>
        <w:jc w:val="center"/>
        <w:rPr>
          <w:rFonts w:ascii="方正小标宋简体" w:hAnsi="方正小标宋简体" w:eastAsia="方正小标宋简体" w:cs="方正小标宋简体"/>
          <w:color w:val="000000" w:themeColor="text1"/>
          <w:sz w:val="44"/>
          <w:szCs w:val="44"/>
        </w:rPr>
      </w:pPr>
    </w:p>
    <w:p>
      <w:pPr>
        <w:spacing w:line="600" w:lineRule="exact"/>
        <w:jc w:val="center"/>
        <w:rPr>
          <w:rFonts w:ascii="方正小标宋简体" w:hAnsi="宋体" w:eastAsia="方正小标宋简体"/>
          <w:color w:val="000000" w:themeColor="text1"/>
          <w:kern w:val="0"/>
          <w:sz w:val="40"/>
          <w:szCs w:val="44"/>
          <w:lang w:val="zh-CN"/>
        </w:rPr>
      </w:pPr>
      <w:r>
        <w:rPr>
          <w:rFonts w:hint="eastAsia" w:ascii="方正小标宋简体" w:hAnsi="宋体" w:eastAsia="方正小标宋简体"/>
          <w:color w:val="000000" w:themeColor="text1"/>
          <w:kern w:val="0"/>
          <w:sz w:val="40"/>
          <w:szCs w:val="44"/>
        </w:rPr>
        <w:t>麦洼乡人民政府</w:t>
      </w:r>
      <w:r>
        <w:rPr>
          <w:rFonts w:ascii="方正小标宋简体" w:hAnsi="宋体" w:eastAsia="方正小标宋简体"/>
          <w:color w:val="000000" w:themeColor="text1"/>
          <w:kern w:val="0"/>
          <w:sz w:val="40"/>
          <w:szCs w:val="44"/>
        </w:rPr>
        <w:t>2019年部门</w:t>
      </w:r>
      <w:r>
        <w:rPr>
          <w:rFonts w:hint="eastAsia" w:ascii="方正小标宋简体" w:hAnsi="宋体" w:eastAsia="方正小标宋简体"/>
          <w:color w:val="000000" w:themeColor="text1"/>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color w:val="000000" w:themeColor="text1"/>
          <w:sz w:val="32"/>
          <w:szCs w:val="32"/>
          <w:shd w:val="clear" w:color="auto" w:fill="FFFFFF"/>
        </w:rPr>
      </w:pPr>
      <w:r>
        <w:rPr>
          <w:rFonts w:hint="eastAsia" w:ascii="仿宋_GB2312" w:hAnsi="宋体" w:eastAsia="仿宋_GB2312"/>
          <w:color w:val="000000" w:themeColor="text1"/>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themeColor="text1"/>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lang w:val="zh-CN"/>
        </w:rPr>
      </w:pPr>
      <w:r>
        <w:rPr>
          <w:rFonts w:hint="eastAsia" w:ascii="黑体" w:hAnsi="宋体" w:eastAsia="黑体" w:cs="宋体"/>
          <w:color w:val="000000" w:themeColor="text1"/>
          <w:kern w:val="0"/>
          <w:sz w:val="32"/>
          <w:szCs w:val="32"/>
          <w:shd w:val="clear" w:color="auto" w:fill="FFFFFF"/>
        </w:rPr>
        <w:t>一、</w:t>
      </w:r>
      <w:r>
        <w:rPr>
          <w:rFonts w:hint="eastAsia" w:ascii="黑体" w:hAnsi="宋体" w:eastAsia="黑体" w:cs="宋体"/>
          <w:color w:val="000000" w:themeColor="text1"/>
          <w:kern w:val="0"/>
          <w:sz w:val="32"/>
          <w:szCs w:val="32"/>
          <w:shd w:val="clear" w:color="auto" w:fill="FFFFFF"/>
          <w:lang w:val="zh-CN"/>
        </w:rPr>
        <w:t>部门（单位）概况</w:t>
      </w:r>
    </w:p>
    <w:p>
      <w:pPr>
        <w:snapToGrid w:val="0"/>
        <w:spacing w:line="520" w:lineRule="exact"/>
        <w:ind w:firstLine="640" w:firstLineChars="200"/>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（一）机构组成。</w:t>
      </w:r>
    </w:p>
    <w:p>
      <w:pPr>
        <w:snapToGrid w:val="0"/>
        <w:spacing w:line="520" w:lineRule="exact"/>
        <w:ind w:firstLine="640" w:firstLineChars="200"/>
        <w:rPr>
          <w:rFonts w:ascii="仿宋_GB2312" w:hAnsi="宋体" w:eastAsia="仿宋_GB2312" w:cs="宋体"/>
          <w:color w:val="000000" w:themeColor="text1"/>
          <w:kern w:val="0"/>
          <w:sz w:val="32"/>
          <w:szCs w:val="32"/>
          <w:shd w:val="clear" w:color="auto" w:fill="FFFFFF"/>
          <w:lang w:val="zh-CN"/>
        </w:rPr>
      </w:pPr>
      <w:r>
        <w:rPr>
          <w:rFonts w:hint="eastAsia" w:ascii="仿宋_GB2312" w:hAnsi="仿宋_GB2312" w:eastAsia="仿宋_GB2312" w:cs="仿宋_GB2312"/>
          <w:bCs/>
          <w:color w:val="000000" w:themeColor="text1"/>
          <w:sz w:val="32"/>
          <w:szCs w:val="32"/>
        </w:rPr>
        <w:t>我单位为独立核算全额拨款行政单位，2个机构，一个共产党机关，一个政府机关。</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（二）机构职能。</w:t>
      </w:r>
    </w:p>
    <w:p>
      <w:pPr>
        <w:pStyle w:val="7"/>
        <w:adjustRightInd w:val="0"/>
        <w:snapToGrid w:val="0"/>
        <w:spacing w:before="93" w:line="600" w:lineRule="exact"/>
        <w:ind w:firstLine="672" w:firstLineChars="210"/>
        <w:outlineLvl w:val="2"/>
        <w:rPr>
          <w:rFonts w:ascii="仿宋" w:hAnsi="仿宋" w:eastAsia="仿宋"/>
          <w:bCs/>
          <w:color w:val="000000" w:themeColor="text1"/>
          <w:sz w:val="32"/>
          <w:szCs w:val="32"/>
        </w:rPr>
      </w:pPr>
      <w:bookmarkStart w:id="97" w:name="_Toc11144"/>
      <w:r>
        <w:rPr>
          <w:rFonts w:hint="eastAsia" w:ascii="仿宋" w:hAnsi="仿宋" w:eastAsia="仿宋"/>
          <w:bCs/>
          <w:color w:val="000000" w:themeColor="text1"/>
          <w:sz w:val="32"/>
          <w:szCs w:val="32"/>
        </w:rPr>
        <w:t>（职能参照省政府批准的三定方案）</w:t>
      </w:r>
      <w:bookmarkEnd w:id="97"/>
    </w:p>
    <w:p>
      <w:pPr>
        <w:pStyle w:val="7"/>
        <w:adjustRightInd w:val="0"/>
        <w:snapToGrid w:val="0"/>
        <w:spacing w:before="93" w:line="600" w:lineRule="exact"/>
        <w:ind w:firstLine="672" w:firstLineChars="210"/>
        <w:outlineLvl w:val="2"/>
        <w:rPr>
          <w:rFonts w:ascii="仿宋" w:hAnsi="仿宋" w:eastAsia="仿宋"/>
          <w:bCs/>
          <w:color w:val="000000" w:themeColor="text1"/>
          <w:sz w:val="32"/>
          <w:szCs w:val="32"/>
        </w:rPr>
      </w:pPr>
      <w:bookmarkStart w:id="98" w:name="_Toc25360"/>
      <w:r>
        <w:rPr>
          <w:rFonts w:hint="eastAsia" w:ascii="仿宋" w:hAnsi="仿宋" w:eastAsia="仿宋"/>
          <w:bCs/>
          <w:color w:val="000000" w:themeColor="text1"/>
          <w:sz w:val="32"/>
          <w:szCs w:val="32"/>
        </w:rPr>
        <w:t>（一）主要职能。（职能参照省政府批准的三定方案）</w:t>
      </w:r>
      <w:bookmarkEnd w:id="98"/>
    </w:p>
    <w:p>
      <w:pPr>
        <w:pStyle w:val="14"/>
        <w:shd w:val="clear" w:color="auto" w:fill="FFFFFF"/>
        <w:spacing w:beforeAutospacing="0" w:afterAutospacing="0"/>
        <w:ind w:firstLine="640" w:firstLineChars="200"/>
        <w:rPr>
          <w:rFonts w:ascii="仿宋" w:hAnsi="仿宋" w:eastAsia="仿宋" w:cs="仿宋"/>
          <w:bCs/>
          <w:kern w:val="2"/>
          <w:sz w:val="32"/>
          <w:szCs w:val="32"/>
        </w:rPr>
      </w:pPr>
      <w:r>
        <w:rPr>
          <w:rFonts w:hint="eastAsia" w:ascii="仿宋" w:hAnsi="仿宋" w:eastAsia="仿宋" w:cs="仿宋"/>
          <w:sz w:val="32"/>
          <w:szCs w:val="32"/>
        </w:rPr>
        <w:t>落</w:t>
      </w:r>
      <w:r>
        <w:rPr>
          <w:rFonts w:hint="eastAsia" w:ascii="仿宋" w:hAnsi="仿宋" w:eastAsia="仿宋" w:cs="仿宋"/>
          <w:bCs/>
          <w:kern w:val="2"/>
          <w:sz w:val="32"/>
          <w:szCs w:val="32"/>
        </w:rPr>
        <w:t>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pPr>
        <w:pStyle w:val="14"/>
        <w:shd w:val="clear" w:color="auto" w:fill="FFFFFF"/>
        <w:spacing w:beforeAutospacing="0" w:afterAutospacing="0"/>
        <w:ind w:firstLine="640" w:firstLineChars="200"/>
        <w:rPr>
          <w:rFonts w:ascii="仿宋" w:hAnsi="仿宋" w:eastAsia="仿宋" w:cs="仿宋"/>
          <w:bCs/>
          <w:kern w:val="2"/>
          <w:sz w:val="32"/>
          <w:szCs w:val="32"/>
        </w:rPr>
      </w:pPr>
      <w:r>
        <w:rPr>
          <w:rFonts w:hint="eastAsia" w:ascii="仿宋" w:hAnsi="仿宋" w:eastAsia="仿宋" w:cs="仿宋"/>
          <w:bCs/>
          <w:kern w:val="2"/>
          <w:sz w:val="32"/>
          <w:szCs w:val="32"/>
        </w:rPr>
        <w:t>1、宣传、实施上级主管部门以及相关单位的有关政策;</w:t>
      </w:r>
    </w:p>
    <w:p>
      <w:pPr>
        <w:pStyle w:val="14"/>
        <w:shd w:val="clear" w:color="auto" w:fill="FFFFFF"/>
        <w:spacing w:beforeAutospacing="0" w:afterAutospacing="0"/>
        <w:ind w:firstLine="640" w:firstLineChars="200"/>
        <w:rPr>
          <w:rFonts w:ascii="仿宋" w:hAnsi="仿宋" w:eastAsia="仿宋" w:cs="仿宋"/>
          <w:bCs/>
          <w:kern w:val="2"/>
          <w:sz w:val="32"/>
          <w:szCs w:val="32"/>
        </w:rPr>
      </w:pPr>
      <w:r>
        <w:rPr>
          <w:rFonts w:hint="eastAsia" w:ascii="仿宋" w:hAnsi="仿宋" w:eastAsia="仿宋" w:cs="仿宋"/>
          <w:bCs/>
          <w:kern w:val="2"/>
          <w:sz w:val="32"/>
          <w:szCs w:val="32"/>
        </w:rPr>
        <w:t xml:space="preserve">2、执行本行政区域内的经济和社会发展计划、预算、管理本行政区域内的经济、教育、科学、文化、卫生、体育事业和财政、民政、公安、司法行政、计划生育等行政工作;                                                                  </w:t>
      </w:r>
    </w:p>
    <w:p>
      <w:pPr>
        <w:pStyle w:val="14"/>
        <w:shd w:val="clear" w:color="auto" w:fill="FFFFFF"/>
        <w:spacing w:beforeAutospacing="0" w:afterAutospacing="0"/>
        <w:ind w:firstLine="640" w:firstLineChars="200"/>
        <w:rPr>
          <w:rFonts w:ascii="仿宋" w:hAnsi="仿宋" w:eastAsia="仿宋" w:cs="仿宋"/>
          <w:bCs/>
          <w:kern w:val="2"/>
          <w:sz w:val="32"/>
          <w:szCs w:val="32"/>
        </w:rPr>
      </w:pPr>
      <w:r>
        <w:rPr>
          <w:rFonts w:hint="eastAsia" w:ascii="仿宋" w:hAnsi="仿宋" w:eastAsia="仿宋" w:cs="仿宋"/>
          <w:bCs/>
          <w:kern w:val="2"/>
          <w:sz w:val="32"/>
          <w:szCs w:val="32"/>
        </w:rPr>
        <w:t>3、保护各种经济组织的合法权益;</w:t>
      </w:r>
    </w:p>
    <w:p>
      <w:pPr>
        <w:pStyle w:val="14"/>
        <w:shd w:val="clear" w:color="auto" w:fill="FFFFFF"/>
        <w:spacing w:beforeAutospacing="0" w:afterAutospacing="0"/>
        <w:ind w:firstLine="640" w:firstLineChars="200"/>
        <w:rPr>
          <w:rFonts w:ascii="仿宋" w:hAnsi="仿宋" w:eastAsia="仿宋" w:cs="仿宋"/>
          <w:bCs/>
          <w:kern w:val="2"/>
          <w:sz w:val="32"/>
          <w:szCs w:val="32"/>
        </w:rPr>
      </w:pPr>
      <w:r>
        <w:rPr>
          <w:rFonts w:hint="eastAsia" w:ascii="仿宋" w:hAnsi="仿宋" w:eastAsia="仿宋" w:cs="仿宋"/>
          <w:bCs/>
          <w:kern w:val="2"/>
          <w:sz w:val="32"/>
          <w:szCs w:val="32"/>
        </w:rPr>
        <w:t>4、保障少数民族的权利和尊重少数民族的风俗习惯;</w:t>
      </w:r>
    </w:p>
    <w:p>
      <w:pPr>
        <w:pStyle w:val="14"/>
        <w:shd w:val="clear" w:color="auto" w:fill="FFFFFF"/>
        <w:spacing w:beforeAutospacing="0" w:afterAutospacing="0"/>
        <w:ind w:firstLine="640" w:firstLineChars="200"/>
        <w:rPr>
          <w:rFonts w:ascii="仿宋" w:hAnsi="仿宋" w:eastAsia="仿宋"/>
          <w:bCs/>
          <w:color w:val="000000"/>
          <w:sz w:val="32"/>
          <w:szCs w:val="32"/>
        </w:rPr>
      </w:pPr>
      <w:r>
        <w:rPr>
          <w:rFonts w:hint="eastAsia" w:ascii="仿宋" w:hAnsi="仿宋" w:eastAsia="仿宋" w:cs="仿宋"/>
          <w:bCs/>
          <w:kern w:val="2"/>
          <w:sz w:val="32"/>
          <w:szCs w:val="32"/>
        </w:rPr>
        <w:t>5、保护社会主义的全民所有的财产和劳动群众集体所有的财产，保护公民私人所有的合法财产，维护社会秩序，保障公民的人身权利、民主权利和</w:t>
      </w:r>
      <w:r>
        <w:fldChar w:fldCharType="begin"/>
      </w:r>
      <w:r>
        <w:instrText xml:space="preserve"> HYPERLINK "http://www.oh100.com/qita/" \t "_blank" </w:instrText>
      </w:r>
      <w:r>
        <w:fldChar w:fldCharType="separate"/>
      </w:r>
      <w:r>
        <w:rPr>
          <w:rFonts w:hint="eastAsia" w:ascii="仿宋" w:hAnsi="仿宋" w:eastAsia="仿宋" w:cs="仿宋"/>
          <w:bCs/>
          <w:kern w:val="2"/>
          <w:sz w:val="32"/>
          <w:szCs w:val="32"/>
        </w:rPr>
        <w:t>其他</w:t>
      </w:r>
      <w:r>
        <w:rPr>
          <w:rFonts w:hint="eastAsia" w:ascii="仿宋" w:hAnsi="仿宋" w:eastAsia="仿宋" w:cs="仿宋"/>
          <w:bCs/>
          <w:kern w:val="2"/>
          <w:sz w:val="32"/>
          <w:szCs w:val="32"/>
        </w:rPr>
        <w:fldChar w:fldCharType="end"/>
      </w:r>
      <w:r>
        <w:rPr>
          <w:rFonts w:hint="eastAsia" w:ascii="仿宋" w:hAnsi="仿宋" w:eastAsia="仿宋" w:cs="仿宋"/>
          <w:bCs/>
          <w:kern w:val="2"/>
          <w:sz w:val="32"/>
          <w:szCs w:val="32"/>
        </w:rPr>
        <w:t>权利;</w:t>
      </w:r>
    </w:p>
    <w:p>
      <w:pPr>
        <w:widowControl/>
        <w:numPr>
          <w:ilvl w:val="0"/>
          <w:numId w:val="7"/>
        </w:numPr>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人员概况。</w:t>
      </w:r>
    </w:p>
    <w:p>
      <w:pPr>
        <w:widowControl/>
        <w:adjustRightInd w:val="0"/>
        <w:snapToGrid w:val="0"/>
        <w:spacing w:line="480" w:lineRule="exact"/>
        <w:ind w:firstLine="720"/>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仿宋_GB2312" w:eastAsia="仿宋_GB2312" w:cs="仿宋_GB2312"/>
          <w:bCs/>
          <w:color w:val="000000" w:themeColor="text1"/>
          <w:sz w:val="32"/>
          <w:szCs w:val="32"/>
        </w:rPr>
        <w:t>截止2019年底我单位共有编制32个，其中公务员编制23个， 行政工勤编制2个，事业编制7个。在职32人，其中参公0人，公务员22人（其中1人长期病假），2019年新录入公务员0人，转入0人。现事业编制实有6人，行政工勤2人，退休0人。</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rPr>
      </w:pPr>
      <w:r>
        <w:rPr>
          <w:rFonts w:hint="eastAsia" w:ascii="黑体" w:hAnsi="宋体" w:eastAsia="黑体" w:cs="宋体"/>
          <w:color w:val="000000" w:themeColor="text1"/>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lang w:val="zh-CN"/>
        </w:rPr>
        <w:t>201</w:t>
      </w:r>
      <w:r>
        <w:rPr>
          <w:rFonts w:hint="eastAsia" w:ascii="仿宋_GB2312" w:hAnsi="宋体" w:eastAsia="仿宋_GB2312" w:cs="宋体"/>
          <w:color w:val="000000" w:themeColor="text1"/>
          <w:kern w:val="0"/>
          <w:sz w:val="32"/>
        </w:rPr>
        <w:t>9</w:t>
      </w:r>
      <w:r>
        <w:rPr>
          <w:rFonts w:hint="eastAsia" w:ascii="仿宋_GB2312" w:hAnsi="宋体" w:eastAsia="仿宋_GB2312" w:cs="宋体"/>
          <w:color w:val="000000" w:themeColor="text1"/>
          <w:kern w:val="0"/>
          <w:sz w:val="32"/>
          <w:lang w:val="zh-CN"/>
        </w:rPr>
        <w:t>年度麦洼乡人民政府财政资金收入</w:t>
      </w:r>
      <w:r>
        <w:rPr>
          <w:rFonts w:hint="eastAsia" w:ascii="仿宋" w:hAnsi="仿宋" w:eastAsia="仿宋"/>
          <w:color w:val="000000" w:themeColor="text1"/>
          <w:sz w:val="32"/>
          <w:szCs w:val="32"/>
        </w:rPr>
        <w:t>730.51</w:t>
      </w:r>
      <w:r>
        <w:rPr>
          <w:rFonts w:hint="eastAsia" w:ascii="仿宋_GB2312" w:hAnsi="宋体" w:eastAsia="仿宋_GB2312" w:cs="宋体"/>
          <w:color w:val="000000" w:themeColor="text1"/>
          <w:kern w:val="0"/>
          <w:sz w:val="32"/>
          <w:lang w:val="zh-CN"/>
        </w:rPr>
        <w:t>万元。</w:t>
      </w:r>
    </w:p>
    <w:p>
      <w:pPr>
        <w:widowControl/>
        <w:numPr>
          <w:ilvl w:val="0"/>
          <w:numId w:val="8"/>
        </w:numPr>
        <w:adjustRightInd w:val="0"/>
        <w:snapToGrid w:val="0"/>
        <w:spacing w:line="480" w:lineRule="exact"/>
        <w:ind w:firstLine="720"/>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部门财政资金支出情况。</w:t>
      </w:r>
    </w:p>
    <w:p>
      <w:pPr>
        <w:widowControl/>
        <w:adjustRightInd w:val="0"/>
        <w:snapToGrid w:val="0"/>
        <w:spacing w:line="480" w:lineRule="exact"/>
        <w:ind w:firstLine="640" w:firstLineChars="200"/>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lang w:val="zh-CN"/>
        </w:rPr>
        <w:t>201</w:t>
      </w:r>
      <w:r>
        <w:rPr>
          <w:rFonts w:hint="eastAsia" w:ascii="仿宋_GB2312" w:hAnsi="宋体" w:eastAsia="仿宋_GB2312" w:cs="宋体"/>
          <w:color w:val="000000" w:themeColor="text1"/>
          <w:kern w:val="0"/>
          <w:sz w:val="32"/>
        </w:rPr>
        <w:t>9</w:t>
      </w:r>
      <w:r>
        <w:rPr>
          <w:rFonts w:hint="eastAsia" w:ascii="仿宋_GB2312" w:hAnsi="宋体" w:eastAsia="仿宋_GB2312" w:cs="宋体"/>
          <w:color w:val="000000" w:themeColor="text1"/>
          <w:kern w:val="0"/>
          <w:sz w:val="32"/>
          <w:lang w:val="zh-CN"/>
        </w:rPr>
        <w:t>年度麦洼乡人民政府财政资金支出</w:t>
      </w:r>
      <w:r>
        <w:rPr>
          <w:rFonts w:hint="eastAsia" w:ascii="仿宋_GB2312" w:hAnsi="宋体" w:eastAsia="仿宋_GB2312" w:cs="宋体"/>
          <w:color w:val="000000" w:themeColor="text1"/>
          <w:kern w:val="0"/>
          <w:sz w:val="32"/>
        </w:rPr>
        <w:t>761.16</w:t>
      </w:r>
      <w:r>
        <w:rPr>
          <w:rFonts w:hint="eastAsia" w:ascii="仿宋_GB2312" w:hAnsi="宋体" w:eastAsia="仿宋_GB2312" w:cs="宋体"/>
          <w:color w:val="000000" w:themeColor="text1"/>
          <w:kern w:val="0"/>
          <w:sz w:val="32"/>
          <w:lang w:val="zh-CN"/>
        </w:rPr>
        <w:t>万元。</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rPr>
      </w:pPr>
      <w:r>
        <w:rPr>
          <w:rFonts w:hint="eastAsia" w:ascii="黑体" w:hAnsi="宋体" w:eastAsia="黑体" w:cs="宋体"/>
          <w:color w:val="000000" w:themeColor="text1"/>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480" w:lineRule="exact"/>
        <w:ind w:firstLine="720"/>
        <w:jc w:val="left"/>
        <w:rPr>
          <w:rFonts w:ascii="楷体" w:hAnsi="楷体" w:eastAsia="楷体" w:cs="宋体"/>
          <w:color w:val="000000" w:themeColor="text1"/>
          <w:kern w:val="0"/>
          <w:lang w:val="zh-CN"/>
        </w:rPr>
      </w:pPr>
      <w:r>
        <w:rPr>
          <w:rFonts w:hint="eastAsia" w:ascii="楷体" w:hAnsi="楷体" w:eastAsia="楷体" w:cs="宋体"/>
          <w:color w:val="000000" w:themeColor="text1"/>
          <w:kern w:val="0"/>
          <w:sz w:val="32"/>
          <w:lang w:val="zh-CN"/>
        </w:rPr>
        <w:t>（一）预算编制情况。</w:t>
      </w:r>
    </w:p>
    <w:p>
      <w:pPr>
        <w:widowControl/>
        <w:adjustRightInd w:val="0"/>
        <w:snapToGrid w:val="0"/>
        <w:spacing w:line="480" w:lineRule="exact"/>
        <w:ind w:firstLine="720"/>
        <w:jc w:val="left"/>
        <w:rPr>
          <w:rFonts w:ascii="仿宋_GB2312" w:eastAsia="仿宋_GB2312"/>
          <w:color w:val="000000" w:themeColor="text1"/>
          <w:sz w:val="32"/>
          <w:szCs w:val="32"/>
        </w:rPr>
      </w:pPr>
      <w:r>
        <w:rPr>
          <w:rFonts w:hint="eastAsia" w:ascii="仿宋_GB2312" w:eastAsia="仿宋_GB2312"/>
          <w:color w:val="000000" w:themeColor="text1"/>
          <w:sz w:val="32"/>
          <w:szCs w:val="32"/>
          <w:lang w:val="zh-CN"/>
        </w:rPr>
        <w:t>主要由三公经费、项目支出、公用经费、</w:t>
      </w:r>
      <w:r>
        <w:rPr>
          <w:rFonts w:hint="eastAsia" w:ascii="仿宋_GB2312" w:eastAsia="仿宋_GB2312"/>
          <w:color w:val="000000" w:themeColor="text1"/>
          <w:sz w:val="32"/>
          <w:szCs w:val="32"/>
        </w:rPr>
        <w:t>人员经费构成。</w:t>
      </w:r>
    </w:p>
    <w:p>
      <w:pPr>
        <w:widowControl/>
        <w:adjustRightInd w:val="0"/>
        <w:snapToGrid w:val="0"/>
        <w:spacing w:line="480" w:lineRule="exact"/>
        <w:ind w:firstLine="720"/>
        <w:jc w:val="left"/>
        <w:rPr>
          <w:rFonts w:ascii="楷体" w:hAnsi="楷体" w:eastAsia="楷体" w:cs="宋体"/>
          <w:color w:val="000000" w:themeColor="text1"/>
          <w:kern w:val="0"/>
          <w:lang w:val="zh-CN"/>
        </w:rPr>
      </w:pPr>
      <w:r>
        <w:rPr>
          <w:rFonts w:hint="eastAsia" w:ascii="楷体" w:hAnsi="楷体" w:eastAsia="楷体" w:cs="宋体"/>
          <w:color w:val="000000" w:themeColor="text1"/>
          <w:kern w:val="0"/>
          <w:sz w:val="32"/>
          <w:lang w:val="zh-CN"/>
        </w:rPr>
        <w:t>（二）执行管理情况。</w:t>
      </w:r>
      <w:r>
        <w:rPr>
          <w:rFonts w:hint="eastAsia" w:ascii="楷体" w:hAnsi="楷体" w:eastAsia="楷体" w:cs="宋体"/>
          <w:color w:val="000000" w:themeColor="text1"/>
          <w:kern w:val="0"/>
          <w:sz w:val="32"/>
          <w:lang w:val="zh-CN"/>
        </w:rPr>
        <w:tab/>
      </w:r>
    </w:p>
    <w:p>
      <w:pPr>
        <w:widowControl/>
        <w:adjustRightInd w:val="0"/>
        <w:snapToGrid w:val="0"/>
        <w:spacing w:line="560" w:lineRule="exact"/>
        <w:ind w:firstLine="640" w:firstLineChars="200"/>
        <w:jc w:val="left"/>
        <w:rPr>
          <w:rFonts w:ascii="楷体" w:hAnsi="楷体" w:eastAsia="仿宋_GB2312" w:cs="宋体"/>
          <w:color w:val="000000" w:themeColor="text1"/>
          <w:kern w:val="0"/>
          <w:sz w:val="32"/>
        </w:rPr>
      </w:pPr>
      <w:r>
        <w:rPr>
          <w:rFonts w:hint="eastAsia" w:ascii="仿宋_GB2312" w:eastAsia="仿宋_GB2312"/>
          <w:color w:val="000000" w:themeColor="text1"/>
          <w:sz w:val="32"/>
          <w:szCs w:val="32"/>
        </w:rPr>
        <w:t>2019年度“三公”经费财政拨款支出决算中，因公出国（境）费支出决算0元；公务用车购置及运行维护费支出决算6.42万元，占100%；公务接待费支出决算0万元，占0%。预算执行完成情况较好。</w:t>
      </w:r>
    </w:p>
    <w:p>
      <w:pPr>
        <w:widowControl/>
        <w:adjustRightInd w:val="0"/>
        <w:snapToGrid w:val="0"/>
        <w:spacing w:line="480" w:lineRule="exact"/>
        <w:ind w:firstLine="720"/>
        <w:jc w:val="left"/>
        <w:rPr>
          <w:rFonts w:ascii="楷体" w:hAnsi="楷体" w:eastAsia="楷体" w:cs="宋体"/>
          <w:color w:val="000000" w:themeColor="text1"/>
          <w:kern w:val="0"/>
          <w:lang w:val="zh-CN"/>
        </w:rPr>
      </w:pPr>
      <w:r>
        <w:rPr>
          <w:rFonts w:hint="eastAsia" w:ascii="楷体" w:hAnsi="楷体" w:eastAsia="楷体" w:cs="宋体"/>
          <w:color w:val="000000" w:themeColor="text1"/>
          <w:kern w:val="0"/>
          <w:sz w:val="32"/>
          <w:lang w:val="zh-CN"/>
        </w:rPr>
        <w:t>（三）综合管理情况。</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201</w:t>
      </w:r>
      <w:r>
        <w:rPr>
          <w:rFonts w:hint="eastAsia" w:ascii="仿宋_GB2312" w:eastAsia="仿宋_GB2312"/>
          <w:color w:val="000000" w:themeColor="text1"/>
          <w:sz w:val="32"/>
          <w:szCs w:val="32"/>
        </w:rPr>
        <w:t>9</w:t>
      </w:r>
      <w:r>
        <w:rPr>
          <w:rFonts w:hint="eastAsia" w:ascii="仿宋_GB2312" w:eastAsia="仿宋_GB2312"/>
          <w:color w:val="000000" w:themeColor="text1"/>
          <w:sz w:val="32"/>
          <w:szCs w:val="32"/>
          <w:lang w:val="zh-CN"/>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（二）结果应用情况。</w:t>
      </w:r>
    </w:p>
    <w:p>
      <w:pPr>
        <w:widowControl/>
        <w:adjustRightInd w:val="0"/>
        <w:snapToGrid w:val="0"/>
        <w:spacing w:line="560" w:lineRule="exact"/>
        <w:ind w:firstLine="640" w:firstLineChars="200"/>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包括绩效自评公开、评价结果整改和应用结果反馈等情况。</w:t>
      </w:r>
    </w:p>
    <w:p>
      <w:pPr>
        <w:widowControl/>
        <w:adjustRightInd w:val="0"/>
        <w:snapToGrid w:val="0"/>
        <w:spacing w:line="560" w:lineRule="exact"/>
        <w:ind w:firstLine="640" w:firstLineChars="200"/>
        <w:jc w:val="left"/>
        <w:rPr>
          <w:rFonts w:ascii="楷体" w:hAnsi="楷体" w:eastAsia="楷体" w:cs="宋体"/>
          <w:color w:val="000000" w:themeColor="text1"/>
          <w:kern w:val="0"/>
          <w:sz w:val="32"/>
          <w:lang w:val="zh-CN"/>
        </w:rPr>
      </w:pPr>
      <w:r>
        <w:rPr>
          <w:rFonts w:hint="eastAsia" w:ascii="楷体" w:hAnsi="楷体" w:eastAsia="楷体" w:cs="宋体"/>
          <w:color w:val="000000" w:themeColor="text1"/>
          <w:kern w:val="0"/>
          <w:sz w:val="32"/>
          <w:lang w:val="zh-CN"/>
        </w:rPr>
        <w:t>（一）部门职责履行情况分析</w:t>
      </w:r>
    </w:p>
    <w:p>
      <w:pPr>
        <w:widowControl/>
        <w:adjustRightInd w:val="0"/>
        <w:snapToGrid w:val="0"/>
        <w:spacing w:line="56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201</w:t>
      </w:r>
      <w:r>
        <w:rPr>
          <w:rFonts w:hint="eastAsia" w:ascii="仿宋_GB2312" w:eastAsia="仿宋_GB2312"/>
          <w:color w:val="000000" w:themeColor="text1"/>
          <w:sz w:val="32"/>
          <w:szCs w:val="32"/>
        </w:rPr>
        <w:t>9</w:t>
      </w:r>
      <w:r>
        <w:rPr>
          <w:rFonts w:hint="eastAsia" w:ascii="仿宋_GB2312" w:eastAsia="仿宋_GB2312"/>
          <w:color w:val="000000" w:themeColor="text1"/>
          <w:sz w:val="32"/>
          <w:szCs w:val="32"/>
          <w:lang w:val="zh-CN"/>
        </w:rPr>
        <w:t>年度我单位年初</w:t>
      </w:r>
      <w:r>
        <w:rPr>
          <w:rFonts w:hint="eastAsia" w:ascii="仿宋_GB2312" w:eastAsia="仿宋_GB2312"/>
          <w:color w:val="000000" w:themeColor="text1"/>
          <w:sz w:val="32"/>
          <w:szCs w:val="32"/>
        </w:rPr>
        <w:t>根据</w:t>
      </w:r>
      <w:r>
        <w:rPr>
          <w:rFonts w:hint="eastAsia" w:ascii="仿宋_GB2312" w:eastAsia="仿宋_GB2312"/>
          <w:color w:val="000000" w:themeColor="text1"/>
          <w:sz w:val="32"/>
          <w:szCs w:val="32"/>
          <w:lang w:val="zh-CN"/>
        </w:rPr>
        <w:t>工作规划和重点工作</w:t>
      </w:r>
      <w:r>
        <w:rPr>
          <w:rFonts w:hint="eastAsia" w:ascii="仿宋_GB2312" w:eastAsia="仿宋_GB2312"/>
          <w:color w:val="000000" w:themeColor="text1"/>
          <w:sz w:val="32"/>
          <w:szCs w:val="32"/>
        </w:rPr>
        <w:t>规划</w:t>
      </w:r>
      <w:r>
        <w:rPr>
          <w:rFonts w:hint="eastAsia" w:ascii="仿宋_GB2312" w:eastAsia="仿宋_GB2312"/>
          <w:color w:val="000000" w:themeColor="text1"/>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rPr>
          <w:rFonts w:ascii="楷体" w:hAnsi="楷体" w:eastAsia="楷体" w:cs="宋体"/>
          <w:color w:val="000000" w:themeColor="text1"/>
          <w:kern w:val="0"/>
          <w:sz w:val="32"/>
          <w:lang w:val="zh-CN"/>
        </w:rPr>
      </w:pPr>
      <w:r>
        <w:rPr>
          <w:rFonts w:hint="eastAsia" w:ascii="楷体" w:hAnsi="楷体" w:eastAsia="楷体" w:cs="宋体"/>
          <w:color w:val="000000" w:themeColor="text1"/>
          <w:kern w:val="0"/>
          <w:sz w:val="32"/>
          <w:lang w:val="zh-CN"/>
        </w:rPr>
        <w:t>（二）社会经济效益分析</w:t>
      </w:r>
    </w:p>
    <w:p>
      <w:pPr>
        <w:widowControl/>
        <w:adjustRightInd w:val="0"/>
        <w:snapToGrid w:val="0"/>
        <w:spacing w:line="56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rPr>
          <w:rFonts w:ascii="楷体" w:hAnsi="楷体" w:eastAsia="楷体" w:cs="宋体"/>
          <w:color w:val="000000" w:themeColor="text1"/>
          <w:kern w:val="0"/>
          <w:sz w:val="32"/>
          <w:lang w:val="zh-CN"/>
        </w:rPr>
      </w:pPr>
      <w:r>
        <w:rPr>
          <w:rFonts w:hint="eastAsia" w:ascii="仿宋_GB2312" w:eastAsia="仿宋_GB2312"/>
          <w:color w:val="000000" w:themeColor="text1"/>
          <w:sz w:val="32"/>
          <w:szCs w:val="32"/>
          <w:lang w:val="zh-CN"/>
        </w:rPr>
        <w:t>3、预算管理较为理想。由于严格执行财政相关法律、法规的规定，我单位的预算管理工作取得了较好的成绩，全年人员经费支出、日常用公用经费支出的控制率均达到了100%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themeColor="text1"/>
          <w:kern w:val="0"/>
          <w:sz w:val="32"/>
          <w:lang w:val="zh-CN"/>
        </w:rPr>
        <w:t>。</w:t>
      </w:r>
    </w:p>
    <w:p>
      <w:pPr>
        <w:widowControl/>
        <w:adjustRightInd w:val="0"/>
        <w:snapToGrid w:val="0"/>
        <w:spacing w:line="560" w:lineRule="exact"/>
        <w:ind w:firstLine="640" w:firstLineChars="200"/>
        <w:rPr>
          <w:rFonts w:ascii="楷体" w:hAnsi="楷体" w:eastAsia="楷体" w:cs="宋体"/>
          <w:color w:val="000000" w:themeColor="text1"/>
          <w:kern w:val="0"/>
          <w:sz w:val="32"/>
          <w:lang w:val="zh-CN"/>
        </w:rPr>
      </w:pPr>
      <w:r>
        <w:rPr>
          <w:rFonts w:hint="eastAsia" w:ascii="楷体" w:hAnsi="楷体" w:eastAsia="楷体" w:cs="宋体"/>
          <w:color w:val="000000" w:themeColor="text1"/>
          <w:kern w:val="0"/>
          <w:sz w:val="32"/>
          <w:lang w:val="zh-CN"/>
        </w:rPr>
        <w:t>（三）行政效能分析</w:t>
      </w:r>
    </w:p>
    <w:p>
      <w:pPr>
        <w:widowControl/>
        <w:adjustRightInd w:val="0"/>
        <w:snapToGrid w:val="0"/>
        <w:spacing w:line="56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财政预算按排在很大程度上保障了本单位基本支出及公用经费支出的正常工作运转。预算按排的项目支出也是非常必要的。财政预算按排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rPr>
      </w:pPr>
      <w:r>
        <w:rPr>
          <w:rFonts w:hint="eastAsia" w:ascii="黑体" w:hAnsi="宋体" w:eastAsia="黑体" w:cs="宋体"/>
          <w:color w:val="000000" w:themeColor="text1"/>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rPr>
        <w:t>2019年度根据</w:t>
      </w:r>
      <w:r>
        <w:rPr>
          <w:rFonts w:hint="eastAsia" w:ascii="仿宋_GB2312" w:hAnsi="宋体" w:eastAsia="仿宋_GB2312" w:cs="宋体"/>
          <w:color w:val="000000" w:themeColor="text1"/>
          <w:kern w:val="0"/>
          <w:sz w:val="32"/>
          <w:szCs w:val="32"/>
          <w:shd w:val="clear" w:color="auto" w:fill="FFFFFF"/>
          <w:lang w:val="zh-CN"/>
        </w:rPr>
        <w:t>预算编制，严格执行预算经费使用，总体效果较好。</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（二）存在问题。</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1、预算编制欠严谨</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预算编制欠全面，项目有临时追加不够完整、细化</w:t>
      </w:r>
      <w:r>
        <w:rPr>
          <w:rFonts w:hint="eastAsia" w:ascii="仿宋_GB2312"/>
          <w:color w:val="000000" w:themeColor="text1"/>
          <w:sz w:val="32"/>
          <w:szCs w:val="32"/>
          <w:lang w:val="zh-CN"/>
        </w:rPr>
        <w:t>。</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2、预算执行存在偏差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在实际经费列支中，未严格按照预算科目进行列支，部分基本支出挤占了项目支出。</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3、会计核算欠规范</w:t>
      </w:r>
    </w:p>
    <w:p>
      <w:pPr>
        <w:widowControl/>
        <w:adjustRightInd w:val="0"/>
        <w:snapToGrid w:val="0"/>
        <w:spacing w:line="560" w:lineRule="exact"/>
        <w:ind w:firstLine="640" w:firstLineChars="200"/>
        <w:jc w:val="left"/>
        <w:rPr>
          <w:rFonts w:ascii="仿宋_GB2312" w:hAnsi="宋体" w:eastAsia="仿宋_GB2312" w:cs="宋体"/>
          <w:color w:val="000000" w:themeColor="text1"/>
          <w:kern w:val="0"/>
          <w:sz w:val="32"/>
          <w:szCs w:val="32"/>
          <w:shd w:val="clear" w:color="auto" w:fill="FFFFFF"/>
          <w:lang w:val="zh-CN"/>
        </w:rPr>
      </w:pPr>
      <w:r>
        <w:rPr>
          <w:rFonts w:hint="eastAsia" w:ascii="仿宋_GB2312" w:eastAsia="仿宋_GB2312"/>
          <w:color w:val="000000" w:themeColor="text1"/>
          <w:sz w:val="32"/>
          <w:szCs w:val="32"/>
          <w:lang w:val="zh-CN"/>
        </w:rPr>
        <w:t>经费支出核算过程中，部分存在部分大额办公支出无明细、发票内容填写不规范等现象。</w:t>
      </w:r>
    </w:p>
    <w:p>
      <w:pPr>
        <w:widowControl/>
        <w:numPr>
          <w:ilvl w:val="0"/>
          <w:numId w:val="8"/>
        </w:numPr>
        <w:adjustRightInd w:val="0"/>
        <w:snapToGrid w:val="0"/>
        <w:spacing w:line="580" w:lineRule="exact"/>
        <w:ind w:firstLine="72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改进建议。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1、科学合理编制预算，严格执行预算</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2、规范账务处理，提高财务信息质量</w:t>
      </w:r>
    </w:p>
    <w:p>
      <w:pPr>
        <w:widowControl/>
        <w:adjustRightInd w:val="0"/>
        <w:snapToGrid w:val="0"/>
        <w:spacing w:line="480" w:lineRule="exact"/>
        <w:ind w:firstLine="720"/>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严格按照《会计法》、《行政单位会计制度》、《行政单位财务规则》等规定，结合实际情况，科学设置支出科目，规范财务核算，完整披露相关信息。</w:t>
      </w:r>
    </w:p>
    <w:p>
      <w:pPr>
        <w:pStyle w:val="2"/>
        <w:ind w:left="0" w:leftChars="0" w:firstLine="0" w:firstLineChars="0"/>
        <w:rPr>
          <w:rFonts w:ascii="仿宋_GB2312" w:hAnsi="宋体" w:eastAsia="仿宋_GB2312" w:cs="宋体"/>
          <w:color w:val="000000" w:themeColor="text1"/>
          <w:kern w:val="0"/>
          <w:sz w:val="32"/>
          <w:szCs w:val="32"/>
          <w:shd w:val="clear" w:color="auto" w:fill="FFFFFF"/>
          <w:lang w:val="zh-CN"/>
        </w:rPr>
      </w:pPr>
    </w:p>
    <w:p>
      <w:pPr>
        <w:spacing w:line="580" w:lineRule="exact"/>
        <w:rPr>
          <w:rFonts w:ascii="仿宋_GB2312" w:hAnsi="仿宋_GB2312" w:eastAsia="仿宋_GB2312" w:cs="仿宋_GB2312"/>
          <w:color w:val="000000" w:themeColor="text1"/>
          <w:sz w:val="32"/>
          <w:szCs w:val="32"/>
        </w:rPr>
      </w:pPr>
    </w:p>
    <w:p>
      <w:pPr>
        <w:spacing w:line="580" w:lineRule="exact"/>
        <w:rPr>
          <w:rFonts w:ascii="仿宋_GB2312" w:hAnsi="仿宋_GB2312" w:eastAsia="仿宋_GB2312" w:cs="仿宋_GB2312"/>
          <w:color w:val="000000" w:themeColor="text1"/>
          <w:sz w:val="32"/>
          <w:szCs w:val="32"/>
        </w:rPr>
      </w:pPr>
      <w:r>
        <w:rPr>
          <w:rFonts w:hint="eastAsia" w:ascii="黑体" w:hAnsi="黑体" w:eastAsia="黑体" w:cs="黑体"/>
          <w:color w:val="000000" w:themeColor="text1"/>
          <w:sz w:val="32"/>
          <w:szCs w:val="32"/>
        </w:rPr>
        <w:t>附件2</w:t>
      </w:r>
    </w:p>
    <w:p>
      <w:pPr>
        <w:spacing w:line="580" w:lineRule="exact"/>
        <w:ind w:firstLine="640" w:firstLineChars="200"/>
        <w:rPr>
          <w:rFonts w:ascii="仿宋_GB2312" w:hAnsi="仿宋_GB2312" w:eastAsia="仿宋_GB2312" w:cs="仿宋_GB2312"/>
          <w:color w:val="000000" w:themeColor="text1"/>
          <w:sz w:val="32"/>
          <w:szCs w:val="32"/>
        </w:rPr>
      </w:pPr>
    </w:p>
    <w:p>
      <w:pPr>
        <w:spacing w:line="600" w:lineRule="exact"/>
        <w:jc w:val="center"/>
        <w:rPr>
          <w:rFonts w:ascii="方正小标宋简体" w:hAnsi="宋体" w:eastAsia="方正小标宋简体"/>
          <w:color w:val="000000" w:themeColor="text1"/>
          <w:kern w:val="0"/>
          <w:sz w:val="44"/>
          <w:szCs w:val="44"/>
          <w:lang w:val="zh-CN"/>
        </w:rPr>
      </w:pPr>
      <w:r>
        <w:rPr>
          <w:rFonts w:hint="eastAsia" w:ascii="方正小标宋简体" w:hAnsi="宋体" w:eastAsia="方正小标宋简体"/>
          <w:color w:val="000000" w:themeColor="text1"/>
          <w:kern w:val="0"/>
          <w:sz w:val="44"/>
          <w:szCs w:val="44"/>
        </w:rPr>
        <w:t>麦洼乡</w:t>
      </w:r>
      <w:r>
        <w:rPr>
          <w:rFonts w:hint="eastAsia" w:ascii="方正小标宋简体" w:hAnsi="宋体" w:eastAsia="方正小标宋简体"/>
          <w:color w:val="000000" w:themeColor="text1"/>
          <w:kern w:val="0"/>
          <w:sz w:val="44"/>
          <w:szCs w:val="44"/>
          <w:lang w:val="en-US" w:eastAsia="zh-CN"/>
        </w:rPr>
        <w:t>基层政权建设项目</w:t>
      </w:r>
      <w:r>
        <w:rPr>
          <w:rFonts w:hint="eastAsia" w:ascii="方正小标宋简体" w:hAnsi="宋体" w:eastAsia="方正小标宋简体"/>
          <w:color w:val="000000" w:themeColor="text1"/>
          <w:kern w:val="0"/>
          <w:sz w:val="44"/>
          <w:szCs w:val="44"/>
          <w:lang w:val="zh-CN"/>
        </w:rPr>
        <w:t>绩效评价报告</w:t>
      </w:r>
    </w:p>
    <w:p>
      <w:pPr>
        <w:spacing w:line="600" w:lineRule="exact"/>
        <w:rPr>
          <w:rFonts w:ascii="宋体" w:hAnsi="宋体"/>
          <w:color w:val="000000" w:themeColor="text1"/>
          <w:sz w:val="32"/>
          <w:szCs w:val="32"/>
          <w:lang w:val="zh-CN"/>
        </w:rPr>
      </w:pPr>
    </w:p>
    <w:p>
      <w:pPr>
        <w:adjustRightInd w:val="0"/>
        <w:snapToGrid w:val="0"/>
        <w:spacing w:line="600" w:lineRule="exact"/>
        <w:ind w:firstLine="720"/>
        <w:rPr>
          <w:rFonts w:ascii="黑体" w:hAnsi="宋体" w:eastAsia="黑体"/>
          <w:color w:val="000000" w:themeColor="text1"/>
          <w:sz w:val="32"/>
          <w:szCs w:val="32"/>
          <w:lang w:val="zh-CN"/>
        </w:rPr>
      </w:pPr>
      <w:r>
        <w:rPr>
          <w:rFonts w:hint="eastAsia" w:ascii="黑体" w:hAnsi="宋体" w:eastAsia="黑体"/>
          <w:color w:val="000000" w:themeColor="text1"/>
          <w:sz w:val="32"/>
          <w:szCs w:val="32"/>
        </w:rPr>
        <w:t>一、</w:t>
      </w:r>
      <w:r>
        <w:rPr>
          <w:rFonts w:hint="eastAsia" w:ascii="黑体" w:hAnsi="宋体" w:eastAsia="黑体"/>
          <w:color w:val="000000" w:themeColor="text1"/>
          <w:sz w:val="32"/>
          <w:szCs w:val="32"/>
          <w:lang w:val="zh-CN"/>
        </w:rPr>
        <w:t>项目概况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（一）项目基本情况。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1．</w:t>
      </w:r>
      <w:r>
        <w:rPr>
          <w:rFonts w:hint="eastAsia" w:ascii="仿宋_GB2312" w:hAnsi="宋体" w:eastAsia="仿宋_GB2312"/>
          <w:color w:val="000000" w:themeColor="text1"/>
          <w:sz w:val="32"/>
          <w:szCs w:val="32"/>
          <w:lang w:val="en-US" w:eastAsia="zh-CN"/>
        </w:rPr>
        <w:t>基层政权建设项目。实施单位为麦洼乡人民政府。</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2．召开大会收集需建设项目意见，汇总编制实施方案及项目实施表上报行业主管部门。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（二）项目绩效目标。</w:t>
      </w:r>
    </w:p>
    <w:p>
      <w:pPr>
        <w:adjustRightInd w:val="0"/>
        <w:snapToGrid w:val="0"/>
        <w:spacing w:line="600" w:lineRule="exact"/>
        <w:ind w:firstLine="72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lang w:val="zh-CN"/>
        </w:rPr>
        <w:t>1．</w:t>
      </w:r>
      <w:r>
        <w:rPr>
          <w:rFonts w:hint="eastAsia" w:ascii="仿宋_GB2312" w:hAnsi="宋体" w:eastAsia="仿宋_GB2312"/>
          <w:color w:val="000000" w:themeColor="text1"/>
          <w:sz w:val="32"/>
          <w:szCs w:val="32"/>
        </w:rPr>
        <w:t>为方便干部职工日常生活，维修乡政府公共浴室，购买电热水器、花洒、浴霸、自来水净水器；乡政府内采购安装蔬菜大棚1处，修建水泥空心砖墙50㎡，硬化水泥地面8㎡，安装25自来水管50m、浇地用喷头10个、三通10个、接头（25水管专用）5个。</w:t>
      </w:r>
      <w:r>
        <w:rPr>
          <w:rFonts w:hint="eastAsia" w:ascii="仿宋_GB2312" w:hAnsi="仿宋_GB2312" w:eastAsia="仿宋_GB2312" w:cs="仿宋_GB2312"/>
          <w:color w:val="000000" w:themeColor="text1"/>
          <w:sz w:val="32"/>
          <w:szCs w:val="32"/>
        </w:rPr>
        <w:t>项目全年预算数6万元，执行数为6万元，完成预算的95.5%。</w:t>
      </w:r>
      <w:r>
        <w:rPr>
          <w:rFonts w:hint="eastAsia" w:ascii="仿宋" w:hAnsi="仿宋" w:eastAsia="仿宋"/>
          <w:color w:val="000000" w:themeColor="text1"/>
          <w:sz w:val="32"/>
          <w:szCs w:val="32"/>
        </w:rPr>
        <w:t>剩余0.3万元预计2020年拨付.</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2．完成</w:t>
      </w:r>
      <w:r>
        <w:rPr>
          <w:rFonts w:hint="eastAsia" w:ascii="仿宋_GB2312" w:hAnsi="宋体" w:eastAsia="仿宋_GB2312"/>
          <w:color w:val="000000" w:themeColor="text1"/>
          <w:sz w:val="32"/>
          <w:szCs w:val="32"/>
        </w:rPr>
        <w:t>乡政府</w:t>
      </w:r>
      <w:r>
        <w:rPr>
          <w:rFonts w:hint="eastAsia" w:ascii="仿宋_GB2312" w:hAnsi="宋体" w:eastAsia="仿宋_GB2312"/>
          <w:color w:val="000000" w:themeColor="text1"/>
          <w:sz w:val="32"/>
          <w:szCs w:val="32"/>
          <w:lang w:val="zh-CN"/>
        </w:rPr>
        <w:t>的改造提升，提高</w:t>
      </w:r>
      <w:r>
        <w:rPr>
          <w:rFonts w:hint="eastAsia" w:ascii="仿宋_GB2312" w:hAnsi="宋体" w:eastAsia="仿宋_GB2312"/>
          <w:color w:val="000000" w:themeColor="text1"/>
          <w:sz w:val="32"/>
          <w:szCs w:val="32"/>
        </w:rPr>
        <w:t>生活</w:t>
      </w:r>
      <w:r>
        <w:rPr>
          <w:rFonts w:hint="eastAsia" w:ascii="仿宋_GB2312" w:hAnsi="宋体" w:eastAsia="仿宋_GB2312"/>
          <w:color w:val="000000" w:themeColor="text1"/>
          <w:sz w:val="32"/>
          <w:szCs w:val="32"/>
          <w:lang w:val="zh-CN"/>
        </w:rPr>
        <w:t>条件改善</w:t>
      </w:r>
      <w:r>
        <w:rPr>
          <w:rFonts w:hint="eastAsia" w:ascii="仿宋_GB2312" w:hAnsi="宋体" w:eastAsia="仿宋_GB2312"/>
          <w:color w:val="000000" w:themeColor="text1"/>
          <w:sz w:val="32"/>
          <w:szCs w:val="32"/>
        </w:rPr>
        <w:t>生活</w:t>
      </w:r>
      <w:r>
        <w:rPr>
          <w:rFonts w:hint="eastAsia" w:ascii="仿宋_GB2312" w:hAnsi="宋体" w:eastAsia="仿宋_GB2312"/>
          <w:color w:val="000000" w:themeColor="text1"/>
          <w:sz w:val="32"/>
          <w:szCs w:val="32"/>
          <w:lang w:val="zh-CN"/>
        </w:rPr>
        <w:t>环境。</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3．申报内容与实际相符，切实解决当前急需项目。</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（三）项目自评步骤及方法。</w:t>
      </w:r>
    </w:p>
    <w:p>
      <w:pPr>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以项目单位分管绩效评价的领导为组长，财务部门和相关业务部门等有关人员组成评价工作组，由工作组制订评价工作方案，工作组组长审批签发，作为评价组织工作的依据。评价</w:t>
      </w:r>
      <w:r>
        <w:rPr>
          <w:rFonts w:hint="eastAsia" w:ascii="仿宋_GB2312" w:hAnsi="宋体" w:eastAsia="仿宋_GB2312"/>
          <w:color w:val="000000" w:themeColor="text1"/>
          <w:sz w:val="32"/>
          <w:szCs w:val="32"/>
          <w:lang w:val="en-US" w:eastAsia="zh-CN"/>
        </w:rPr>
        <w:t>组</w:t>
      </w:r>
      <w:r>
        <w:rPr>
          <w:rFonts w:hint="eastAsia" w:ascii="仿宋_GB2312" w:hAnsi="宋体" w:eastAsia="仿宋_GB2312"/>
          <w:color w:val="000000" w:themeColor="text1"/>
          <w:sz w:val="32"/>
          <w:szCs w:val="32"/>
          <w:lang w:val="zh-CN"/>
        </w:rPr>
        <w:t>根据评价工作要求，到项目现场采取勘查、问询、复核抽查、测试等多种方式收集基础资料，包括项目实施基本情况、财政资金使用情况、项目相关业务数据、项目运行状况。</w:t>
      </w:r>
      <w:r>
        <w:rPr>
          <w:rFonts w:hint="eastAsia" w:ascii="仿宋_GB2312" w:hAnsi="宋体" w:eastAsia="仿宋_GB2312"/>
          <w:color w:val="000000" w:themeColor="text1"/>
          <w:sz w:val="32"/>
          <w:szCs w:val="32"/>
          <w:lang w:val="en-US" w:eastAsia="zh-CN"/>
        </w:rPr>
        <w:t>以此为</w:t>
      </w:r>
      <w:r>
        <w:rPr>
          <w:rFonts w:hint="eastAsia" w:ascii="仿宋_GB2312" w:hAnsi="宋体" w:eastAsia="仿宋_GB2312"/>
          <w:color w:val="000000" w:themeColor="text1"/>
          <w:sz w:val="32"/>
          <w:szCs w:val="32"/>
          <w:lang w:val="zh-CN"/>
        </w:rPr>
        <w:t>评价</w:t>
      </w:r>
      <w:r>
        <w:rPr>
          <w:rFonts w:hint="eastAsia" w:ascii="仿宋_GB2312" w:hAnsi="宋体" w:eastAsia="仿宋_GB2312"/>
          <w:color w:val="000000" w:themeColor="text1"/>
          <w:sz w:val="32"/>
          <w:szCs w:val="32"/>
          <w:lang w:val="en-US" w:eastAsia="zh-CN"/>
        </w:rPr>
        <w:t>依据</w:t>
      </w:r>
      <w:r>
        <w:rPr>
          <w:rFonts w:hint="eastAsia" w:ascii="仿宋_GB2312" w:hAnsi="宋体" w:eastAsia="仿宋_GB2312"/>
          <w:color w:val="000000" w:themeColor="text1"/>
          <w:sz w:val="32"/>
          <w:szCs w:val="32"/>
          <w:lang w:val="zh-CN"/>
        </w:rPr>
        <w:t>。</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二、项目资金申报及使用情况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通过实地查看和村民大会的召开讨论，群定好项目的具体内容，询问专业人员确定项目资金的预算及编制实施方案并上报相关部门。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楷体_GB2312" w:hAnsi="宋体" w:eastAsia="楷体_GB2312"/>
          <w:b/>
          <w:color w:val="000000" w:themeColor="text1"/>
          <w:sz w:val="32"/>
          <w:szCs w:val="32"/>
          <w:lang w:val="zh-CN"/>
        </w:rPr>
        <w:t>（二）资金计划、到位及使用情况（可用表格形式反映）。</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楷体_GB2312" w:hAnsi="宋体" w:eastAsia="楷体_GB2312"/>
          <w:color w:val="000000" w:themeColor="text1"/>
          <w:sz w:val="32"/>
          <w:szCs w:val="32"/>
          <w:lang w:val="zh-CN"/>
        </w:rPr>
        <w:t>资金纳入</w:t>
      </w:r>
      <w:r>
        <w:rPr>
          <w:rFonts w:hint="eastAsia" w:ascii="楷体_GB2312" w:hAnsi="宋体" w:eastAsia="楷体_GB2312"/>
          <w:color w:val="000000" w:themeColor="text1"/>
          <w:sz w:val="32"/>
          <w:szCs w:val="32"/>
        </w:rPr>
        <w:t>2019年预算</w:t>
      </w:r>
      <w:r>
        <w:rPr>
          <w:rFonts w:hint="eastAsia" w:ascii="仿宋_GB2312" w:hAnsi="宋体" w:eastAsia="仿宋_GB2312"/>
          <w:color w:val="000000" w:themeColor="text1"/>
          <w:sz w:val="32"/>
          <w:szCs w:val="32"/>
          <w:lang w:val="zh-CN"/>
        </w:rPr>
        <w:t>。</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资金已于201</w:t>
      </w:r>
      <w:r>
        <w:rPr>
          <w:rFonts w:hint="eastAsia" w:ascii="仿宋_GB2312" w:hAnsi="宋体" w:eastAsia="仿宋_GB2312"/>
          <w:color w:val="000000" w:themeColor="text1"/>
          <w:sz w:val="32"/>
          <w:szCs w:val="32"/>
        </w:rPr>
        <w:t>9</w:t>
      </w:r>
      <w:r>
        <w:rPr>
          <w:rFonts w:hint="eastAsia" w:ascii="仿宋_GB2312" w:hAnsi="宋体" w:eastAsia="仿宋_GB2312"/>
          <w:color w:val="000000" w:themeColor="text1"/>
          <w:sz w:val="32"/>
          <w:szCs w:val="32"/>
          <w:lang w:val="zh-CN"/>
        </w:rPr>
        <w:t>年到位，与计划相符合。</w:t>
      </w:r>
    </w:p>
    <w:p>
      <w:pPr>
        <w:numPr>
          <w:ilvl w:val="0"/>
          <w:numId w:val="5"/>
        </w:numPr>
        <w:adjustRightInd w:val="0"/>
        <w:snapToGrid w:val="0"/>
        <w:spacing w:line="600" w:lineRule="exact"/>
        <w:ind w:firstLine="640" w:firstLineChars="2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该项目目前已通过乡村初验，拨付</w:t>
      </w:r>
      <w:r>
        <w:rPr>
          <w:rFonts w:hint="eastAsia" w:ascii="仿宋_GB2312" w:hAnsi="宋体" w:eastAsia="仿宋_GB2312"/>
          <w:color w:val="000000" w:themeColor="text1"/>
          <w:sz w:val="32"/>
          <w:szCs w:val="32"/>
        </w:rPr>
        <w:t>95%项目款，剩余5%质保金，项目资金与预算相符合。</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（三）项目财务管理情况。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项目资金的使用进行透明化管理，资金的来源及使用途径均已公示公告并成立了以乡纪委成员和村会计的项目资金监管小组做到项目资金用到实处。</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三、项目实施及管理情况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结合项目组织实施管理办法，重点围绕以下内容进行分析评价，并对自评中发现的问题分析说明。</w:t>
      </w:r>
    </w:p>
    <w:p>
      <w:pPr>
        <w:numPr>
          <w:ilvl w:val="0"/>
          <w:numId w:val="9"/>
        </w:num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项目组织架构及实施流程。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为了使基层政权建设项目经费形成专款专用的模式，我</w:t>
      </w:r>
      <w:r>
        <w:rPr>
          <w:rFonts w:hint="eastAsia" w:ascii="仿宋_GB2312" w:hAnsi="宋体" w:eastAsia="仿宋_GB2312"/>
          <w:color w:val="000000" w:themeColor="text1"/>
          <w:sz w:val="32"/>
          <w:szCs w:val="32"/>
          <w:lang w:val="en-US" w:eastAsia="zh-CN"/>
        </w:rPr>
        <w:t>乡</w:t>
      </w:r>
      <w:r>
        <w:rPr>
          <w:rFonts w:hint="eastAsia" w:ascii="仿宋_GB2312" w:hAnsi="宋体" w:eastAsia="仿宋_GB2312"/>
          <w:color w:val="000000" w:themeColor="text1"/>
          <w:sz w:val="32"/>
          <w:szCs w:val="32"/>
          <w:lang w:val="zh-CN"/>
        </w:rPr>
        <w:t>成立领导小组，统筹项目整体规划，由</w:t>
      </w:r>
      <w:r>
        <w:rPr>
          <w:rFonts w:hint="eastAsia" w:ascii="仿宋_GB2312" w:hAnsi="宋体" w:eastAsia="仿宋_GB2312"/>
          <w:color w:val="000000" w:themeColor="text1"/>
          <w:sz w:val="32"/>
          <w:szCs w:val="32"/>
          <w:lang w:val="en-US" w:eastAsia="zh-CN"/>
        </w:rPr>
        <w:t>项目办和</w:t>
      </w:r>
      <w:r>
        <w:rPr>
          <w:rFonts w:hint="eastAsia" w:ascii="仿宋_GB2312" w:hAnsi="宋体" w:eastAsia="仿宋_GB2312"/>
          <w:color w:val="000000" w:themeColor="text1"/>
          <w:sz w:val="32"/>
          <w:szCs w:val="32"/>
          <w:lang w:val="zh-CN"/>
        </w:rPr>
        <w:t>财务办公室具体负责项目的实施与管理工作。严格按照相关规定，明确责任，合理分工，密切协作，为项目顺利实施提供保障。</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w:t>
      </w:r>
      <w:r>
        <w:rPr>
          <w:rFonts w:hint="eastAsia" w:ascii="楷体_GB2312" w:hAnsi="宋体" w:eastAsia="楷体_GB2312"/>
          <w:b/>
          <w:color w:val="000000" w:themeColor="text1"/>
          <w:sz w:val="32"/>
          <w:szCs w:val="32"/>
          <w:lang w:val="en-US" w:eastAsia="zh-CN"/>
        </w:rPr>
        <w:t>二</w:t>
      </w:r>
      <w:r>
        <w:rPr>
          <w:rFonts w:hint="eastAsia" w:ascii="楷体_GB2312" w:hAnsi="宋体" w:eastAsia="楷体_GB2312"/>
          <w:b/>
          <w:color w:val="000000" w:themeColor="text1"/>
          <w:sz w:val="32"/>
          <w:szCs w:val="32"/>
          <w:lang w:val="zh-CN"/>
        </w:rPr>
        <w:t>）项目管理情况。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项目资金的使用进行透明化管理，资金的来源及使用途径均已公示公告并成立了以乡纪委成员和村会计的项目资金监管小组做到项目资金用到实处。</w:t>
      </w:r>
    </w:p>
    <w:p>
      <w:pPr>
        <w:numPr>
          <w:ilvl w:val="0"/>
          <w:numId w:val="0"/>
        </w:numPr>
        <w:adjustRightInd w:val="0"/>
        <w:snapToGrid w:val="0"/>
        <w:spacing w:line="600" w:lineRule="exact"/>
        <w:ind w:firstLine="643" w:firstLineChars="20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w:t>
      </w:r>
      <w:r>
        <w:rPr>
          <w:rFonts w:hint="eastAsia" w:ascii="楷体_GB2312" w:hAnsi="宋体" w:eastAsia="楷体_GB2312"/>
          <w:b/>
          <w:color w:val="000000" w:themeColor="text1"/>
          <w:sz w:val="32"/>
          <w:szCs w:val="32"/>
          <w:lang w:val="en-US" w:eastAsia="zh-CN"/>
        </w:rPr>
        <w:t>三</w:t>
      </w:r>
      <w:r>
        <w:rPr>
          <w:rFonts w:hint="eastAsia" w:ascii="楷体_GB2312" w:hAnsi="宋体" w:eastAsia="楷体_GB2312"/>
          <w:b/>
          <w:color w:val="000000" w:themeColor="text1"/>
          <w:sz w:val="32"/>
          <w:szCs w:val="32"/>
          <w:lang w:val="zh-CN"/>
        </w:rPr>
        <w:t>）项目监管情况。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项目成立了以</w:t>
      </w:r>
      <w:r>
        <w:rPr>
          <w:rFonts w:hint="eastAsia" w:ascii="仿宋_GB2312" w:hAnsi="宋体" w:eastAsia="仿宋_GB2312"/>
          <w:color w:val="000000" w:themeColor="text1"/>
          <w:sz w:val="32"/>
          <w:szCs w:val="32"/>
          <w:lang w:val="en-US" w:eastAsia="zh-CN"/>
        </w:rPr>
        <w:t>乡领导班子</w:t>
      </w:r>
      <w:r>
        <w:rPr>
          <w:rFonts w:hint="eastAsia" w:ascii="仿宋_GB2312" w:hAnsi="宋体" w:eastAsia="仿宋_GB2312"/>
          <w:color w:val="000000" w:themeColor="text1"/>
          <w:sz w:val="32"/>
          <w:szCs w:val="32"/>
          <w:lang w:val="zh-CN"/>
        </w:rPr>
        <w:t>成员牵头的项目理事会，主要负责对项目的推进和项目的监管。制定了一套切实可行的管理制度并与理事会成员的组成进行了为期7日的公示公告，公式期内无异议。</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黑体" w:hAnsi="宋体" w:eastAsia="黑体"/>
          <w:color w:val="000000" w:themeColor="text1"/>
          <w:sz w:val="32"/>
          <w:szCs w:val="32"/>
        </w:rPr>
        <w:t>四、项目绩效情况</w:t>
      </w:r>
      <w:r>
        <w:rPr>
          <w:rFonts w:hint="eastAsia" w:ascii="仿宋_GB2312" w:hAnsi="宋体" w:eastAsia="仿宋_GB2312"/>
          <w:color w:val="000000" w:themeColor="text1"/>
          <w:sz w:val="32"/>
          <w:szCs w:val="32"/>
          <w:lang w:val="zh-CN"/>
        </w:rPr>
        <w:tab/>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（一）项目完成情况。</w:t>
      </w:r>
    </w:p>
    <w:p>
      <w:pPr>
        <w:adjustRightInd w:val="0"/>
        <w:snapToGrid w:val="0"/>
        <w:spacing w:line="600" w:lineRule="exact"/>
        <w:ind w:firstLine="640" w:firstLineChars="20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项目的定量指标已按计划实施完成，项目运行达到预期绩效目标。经济效益明显，社会效益显著，完成质量良好。</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（二）项目效益情况。</w:t>
      </w:r>
    </w:p>
    <w:p>
      <w:pPr>
        <w:adjustRightInd w:val="0"/>
        <w:snapToGrid w:val="0"/>
        <w:spacing w:line="600" w:lineRule="exact"/>
        <w:ind w:firstLine="72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推进村级基层政权建设的发展，完善政府社会管理和公共服务职能、统筹经济社会协调发展，满足人民群众不断增长的物质文明、精神文明、政治文明和生态文明的需要。</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五、评价结论及建议</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（一）评价结论。</w:t>
      </w:r>
    </w:p>
    <w:p>
      <w:pPr>
        <w:adjustRightInd w:val="0"/>
        <w:snapToGrid w:val="0"/>
        <w:spacing w:line="600" w:lineRule="exact"/>
        <w:ind w:firstLine="72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运用好村级基层政权建设项目经费，能有效的提高了我</w:t>
      </w:r>
      <w:r>
        <w:rPr>
          <w:rFonts w:hint="eastAsia" w:ascii="仿宋_GB2312" w:hAnsi="宋体" w:eastAsia="仿宋_GB2312"/>
          <w:color w:val="000000" w:themeColor="text1"/>
          <w:sz w:val="32"/>
          <w:szCs w:val="32"/>
          <w:lang w:val="en-US" w:eastAsia="zh-CN"/>
        </w:rPr>
        <w:t>乡</w:t>
      </w:r>
      <w:r>
        <w:rPr>
          <w:rFonts w:hint="eastAsia" w:ascii="仿宋_GB2312" w:hAnsi="宋体" w:eastAsia="仿宋_GB2312"/>
          <w:color w:val="000000" w:themeColor="text1"/>
          <w:sz w:val="32"/>
          <w:szCs w:val="32"/>
          <w:lang w:val="zh-CN"/>
        </w:rPr>
        <w:t>相关的事业的发展工作，完善政府社会管理和公共服务职能、统筹经济社会协调发展，满足人民群众不断增长的物质文明、精神文明、政治文明和生态文明的需要。</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（二）存在的问题。</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项目建成后，后期维护不到位。</w:t>
      </w:r>
      <w:r>
        <w:rPr>
          <w:rFonts w:hint="eastAsia" w:ascii="仿宋_GB2312" w:hAnsi="宋体" w:eastAsia="仿宋_GB2312"/>
          <w:color w:val="000000" w:themeColor="text1"/>
          <w:sz w:val="32"/>
          <w:szCs w:val="32"/>
          <w:lang w:val="zh-CN"/>
        </w:rPr>
        <w:tab/>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（三）相关建议。</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建议上级部门拨付后期专项维护费用。</w:t>
      </w:r>
    </w:p>
    <w:p>
      <w:pPr>
        <w:spacing w:line="580" w:lineRule="exact"/>
        <w:ind w:firstLine="640"/>
        <w:rPr>
          <w:rFonts w:ascii="仿宋_GB2312" w:hAnsi="仿宋_GB2312" w:eastAsia="仿宋_GB2312" w:cs="仿宋_GB2312"/>
          <w:color w:val="000000" w:themeColor="text1"/>
          <w:sz w:val="32"/>
          <w:szCs w:val="32"/>
        </w:rPr>
      </w:pPr>
    </w:p>
    <w:p>
      <w:pPr>
        <w:pStyle w:val="2"/>
        <w:rPr>
          <w:rFonts w:ascii="仿宋_GB2312" w:hAnsi="仿宋_GB2312" w:eastAsia="仿宋_GB2312" w:cs="仿宋_GB2312"/>
          <w:color w:val="000000" w:themeColor="text1"/>
          <w:sz w:val="32"/>
          <w:szCs w:val="32"/>
        </w:rPr>
      </w:pPr>
    </w:p>
    <w:p>
      <w:pPr>
        <w:pStyle w:val="2"/>
        <w:rPr>
          <w:rFonts w:ascii="仿宋_GB2312" w:hAnsi="仿宋_GB2312" w:eastAsia="仿宋_GB2312" w:cs="仿宋_GB2312"/>
          <w:color w:val="000000" w:themeColor="text1"/>
          <w:sz w:val="32"/>
          <w:szCs w:val="32"/>
        </w:rPr>
      </w:pPr>
    </w:p>
    <w:p>
      <w:pPr>
        <w:pStyle w:val="2"/>
        <w:rPr>
          <w:rFonts w:ascii="仿宋_GB2312" w:hAnsi="仿宋_GB2312" w:eastAsia="仿宋_GB2312" w:cs="仿宋_GB2312"/>
          <w:color w:val="000000" w:themeColor="text1"/>
          <w:sz w:val="32"/>
          <w:szCs w:val="32"/>
        </w:rPr>
      </w:pPr>
    </w:p>
    <w:p>
      <w:pPr>
        <w:pStyle w:val="2"/>
        <w:rPr>
          <w:rFonts w:ascii="仿宋_GB2312" w:hAnsi="仿宋_GB2312" w:eastAsia="仿宋_GB2312" w:cs="仿宋_GB2312"/>
          <w:color w:val="000000" w:themeColor="text1"/>
          <w:sz w:val="32"/>
          <w:szCs w:val="32"/>
        </w:rPr>
      </w:pPr>
    </w:p>
    <w:p>
      <w:pPr>
        <w:pStyle w:val="2"/>
        <w:rPr>
          <w:rFonts w:ascii="仿宋_GB2312" w:hAnsi="仿宋_GB2312" w:eastAsia="仿宋_GB2312" w:cs="仿宋_GB2312"/>
          <w:color w:val="000000" w:themeColor="text1"/>
          <w:sz w:val="32"/>
          <w:szCs w:val="32"/>
        </w:rPr>
      </w:pPr>
    </w:p>
    <w:p>
      <w:pPr>
        <w:pStyle w:val="2"/>
        <w:rPr>
          <w:rFonts w:ascii="仿宋_GB2312" w:hAnsi="仿宋_GB2312" w:eastAsia="仿宋_GB2312" w:cs="仿宋_GB2312"/>
          <w:color w:val="000000" w:themeColor="text1"/>
          <w:sz w:val="32"/>
          <w:szCs w:val="32"/>
        </w:rPr>
      </w:pPr>
    </w:p>
    <w:p>
      <w:pPr>
        <w:pStyle w:val="2"/>
        <w:rPr>
          <w:rFonts w:ascii="仿宋_GB2312" w:hAnsi="仿宋_GB2312" w:eastAsia="仿宋_GB2312" w:cs="仿宋_GB2312"/>
          <w:color w:val="000000" w:themeColor="text1"/>
          <w:sz w:val="32"/>
          <w:szCs w:val="32"/>
        </w:rPr>
      </w:pPr>
    </w:p>
    <w:p>
      <w:pPr>
        <w:pStyle w:val="2"/>
        <w:rPr>
          <w:rFonts w:ascii="仿宋_GB2312" w:hAnsi="仿宋_GB2312" w:eastAsia="仿宋_GB2312" w:cs="仿宋_GB2312"/>
          <w:color w:val="000000" w:themeColor="text1"/>
          <w:sz w:val="32"/>
          <w:szCs w:val="32"/>
        </w:rPr>
      </w:pPr>
    </w:p>
    <w:p>
      <w:pPr>
        <w:pStyle w:val="2"/>
        <w:rPr>
          <w:rFonts w:ascii="仿宋_GB2312" w:hAnsi="仿宋_GB2312" w:eastAsia="仿宋_GB2312" w:cs="仿宋_GB2312"/>
          <w:color w:val="000000" w:themeColor="text1"/>
          <w:sz w:val="32"/>
          <w:szCs w:val="32"/>
        </w:rPr>
      </w:pPr>
    </w:p>
    <w:p>
      <w:pPr>
        <w:spacing w:line="600" w:lineRule="exact"/>
        <w:jc w:val="center"/>
        <w:rPr>
          <w:rFonts w:ascii="方正小标宋简体" w:hAnsi="宋体" w:eastAsia="方正小标宋简体"/>
          <w:color w:val="000000" w:themeColor="text1"/>
          <w:kern w:val="0"/>
          <w:sz w:val="44"/>
          <w:szCs w:val="44"/>
          <w:lang w:val="zh-CN"/>
        </w:rPr>
      </w:pPr>
      <w:r>
        <w:rPr>
          <w:rFonts w:hint="eastAsia" w:ascii="方正小标宋简体" w:hAnsi="宋体" w:eastAsia="方正小标宋简体"/>
          <w:color w:val="000000" w:themeColor="text1"/>
          <w:kern w:val="0"/>
          <w:sz w:val="44"/>
          <w:szCs w:val="44"/>
          <w:lang w:val="en-US" w:eastAsia="zh-CN"/>
        </w:rPr>
        <w:t>2019年麦洼乡动态调整建档立卡贫困人员到户产业牦牛采购项目</w:t>
      </w:r>
      <w:r>
        <w:rPr>
          <w:rFonts w:hint="eastAsia" w:ascii="方正小标宋简体" w:hAnsi="宋体" w:eastAsia="方正小标宋简体"/>
          <w:color w:val="000000" w:themeColor="text1"/>
          <w:kern w:val="0"/>
          <w:sz w:val="44"/>
          <w:szCs w:val="44"/>
          <w:lang w:val="zh-CN"/>
        </w:rPr>
        <w:t>绩效评价报告</w:t>
      </w:r>
    </w:p>
    <w:p>
      <w:pPr>
        <w:spacing w:line="600" w:lineRule="exact"/>
        <w:rPr>
          <w:rFonts w:ascii="宋体" w:hAnsi="宋体"/>
          <w:color w:val="000000" w:themeColor="text1"/>
          <w:sz w:val="32"/>
          <w:szCs w:val="32"/>
          <w:lang w:val="zh-CN"/>
        </w:rPr>
      </w:pPr>
    </w:p>
    <w:p>
      <w:pPr>
        <w:adjustRightInd w:val="0"/>
        <w:snapToGrid w:val="0"/>
        <w:spacing w:line="600" w:lineRule="exact"/>
        <w:ind w:firstLine="720"/>
        <w:rPr>
          <w:rFonts w:ascii="黑体" w:hAnsi="宋体" w:eastAsia="黑体"/>
          <w:color w:val="000000" w:themeColor="text1"/>
          <w:sz w:val="32"/>
          <w:szCs w:val="32"/>
          <w:lang w:val="zh-CN"/>
        </w:rPr>
      </w:pPr>
      <w:r>
        <w:rPr>
          <w:rFonts w:hint="eastAsia" w:ascii="黑体" w:hAnsi="宋体" w:eastAsia="黑体"/>
          <w:color w:val="000000" w:themeColor="text1"/>
          <w:sz w:val="32"/>
          <w:szCs w:val="32"/>
        </w:rPr>
        <w:t>一、</w:t>
      </w:r>
      <w:r>
        <w:rPr>
          <w:rFonts w:hint="eastAsia" w:ascii="黑体" w:hAnsi="宋体" w:eastAsia="黑体"/>
          <w:color w:val="000000" w:themeColor="text1"/>
          <w:sz w:val="32"/>
          <w:szCs w:val="32"/>
          <w:lang w:val="zh-CN"/>
        </w:rPr>
        <w:t>项目概况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（一）项目基本情况。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1．</w:t>
      </w:r>
      <w:r>
        <w:rPr>
          <w:rFonts w:hint="eastAsia" w:ascii="仿宋_GB2312" w:hAnsi="宋体" w:eastAsia="仿宋_GB2312"/>
          <w:color w:val="000000" w:themeColor="text1"/>
          <w:sz w:val="32"/>
          <w:szCs w:val="32"/>
          <w:lang w:val="en-US" w:eastAsia="zh-CN"/>
        </w:rPr>
        <w:t>2019年麦洼乡动态调整建档立卡贫困人员到户产业牦牛采购项目。主管部门为县扶贫开发局，实施单位为麦洼乡人民政府。</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2．</w:t>
      </w:r>
      <w:r>
        <w:rPr>
          <w:rFonts w:hint="eastAsia" w:ascii="仿宋_GB2312" w:hAnsi="宋体" w:eastAsia="仿宋_GB2312"/>
          <w:color w:val="000000" w:themeColor="text1"/>
          <w:sz w:val="32"/>
          <w:szCs w:val="32"/>
          <w:lang w:val="en-US" w:eastAsia="zh-CN"/>
        </w:rPr>
        <w:t>前期通过摸底数据，核实档案，</w:t>
      </w:r>
      <w:r>
        <w:rPr>
          <w:rFonts w:hint="eastAsia" w:ascii="仿宋_GB2312" w:hAnsi="宋体" w:eastAsia="仿宋_GB2312"/>
          <w:color w:val="000000" w:themeColor="text1"/>
          <w:sz w:val="32"/>
          <w:szCs w:val="32"/>
          <w:lang w:val="zh-CN"/>
        </w:rPr>
        <w:t>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（二）项目绩效目标。</w:t>
      </w:r>
    </w:p>
    <w:p>
      <w:pPr>
        <w:spacing w:line="580" w:lineRule="exact"/>
        <w:ind w:firstLine="640" w:firstLineChars="200"/>
        <w:rPr>
          <w:rFonts w:ascii="仿宋_GB2312" w:hAnsi="仿宋_GB2312" w:eastAsia="仿宋_GB2312" w:cs="仿宋_GB2312"/>
          <w:sz w:val="32"/>
          <w:szCs w:val="32"/>
        </w:rPr>
      </w:pPr>
      <w:r>
        <w:rPr>
          <w:rFonts w:hint="eastAsia" w:ascii="仿宋_GB2312" w:hAnsi="宋体" w:eastAsia="仿宋_GB2312"/>
          <w:color w:val="000000" w:themeColor="text1"/>
          <w:sz w:val="32"/>
          <w:szCs w:val="32"/>
          <w:lang w:val="zh-CN"/>
        </w:rPr>
        <w:t>1．</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9年麦洼乡动态调整建档立卡贫困人员到户产业牦牛采购项目</w:t>
      </w:r>
      <w:r>
        <w:rPr>
          <w:rFonts w:hint="eastAsia" w:ascii="仿宋_GB2312" w:hAnsi="仿宋_GB2312" w:eastAsia="仿宋_GB2312" w:cs="仿宋_GB2312"/>
          <w:color w:val="000000" w:themeColor="text1"/>
          <w:sz w:val="32"/>
          <w:szCs w:val="32"/>
        </w:rPr>
        <w:t>。项目全年预算数16.8万元，执行数为16.2万元，完成预算</w:t>
      </w:r>
      <w:r>
        <w:rPr>
          <w:rFonts w:hint="eastAsia" w:ascii="仿宋_GB2312" w:hAnsi="仿宋_GB2312" w:eastAsia="仿宋_GB2312" w:cs="仿宋_GB2312"/>
          <w:sz w:val="32"/>
          <w:szCs w:val="32"/>
        </w:rPr>
        <w:t>的96.43%。（因重复申报一人，后经核实减少一人预算）通过项目实施，加大对贫困户的精准大力扶持。通过完善项目区基础建设，发展特色产业。</w:t>
      </w:r>
    </w:p>
    <w:p>
      <w:pPr>
        <w:numPr>
          <w:ilvl w:val="0"/>
          <w:numId w:val="0"/>
        </w:numPr>
        <w:adjustRightInd w:val="0"/>
        <w:snapToGrid w:val="0"/>
        <w:spacing w:line="600" w:lineRule="exact"/>
        <w:ind w:firstLine="640" w:firstLineChars="20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en-US" w:eastAsia="zh-CN"/>
        </w:rPr>
        <w:t>2.</w:t>
      </w:r>
      <w:r>
        <w:rPr>
          <w:rFonts w:hint="eastAsia" w:ascii="仿宋_GB2312" w:hAnsi="宋体" w:eastAsia="仿宋_GB2312"/>
          <w:color w:val="000000" w:themeColor="text1"/>
          <w:sz w:val="32"/>
          <w:szCs w:val="32"/>
          <w:lang w:val="zh-CN"/>
        </w:rPr>
        <w:t>确保完成新阶段年度减贫目标任务和同步建成小康社会的总体目标，加大对贫困户的精准大力扶持，</w:t>
      </w:r>
    </w:p>
    <w:p>
      <w:pPr>
        <w:numPr>
          <w:ilvl w:val="0"/>
          <w:numId w:val="0"/>
        </w:numPr>
        <w:adjustRightInd w:val="0"/>
        <w:snapToGrid w:val="0"/>
        <w:spacing w:line="600" w:lineRule="exact"/>
        <w:ind w:leftChars="200" w:firstLine="320" w:firstLineChars="1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3．申报内容与实际相符，切实解决当前急需项目。</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（三）项目自评步骤及方法。</w:t>
      </w:r>
    </w:p>
    <w:p>
      <w:pPr>
        <w:ind w:firstLine="640" w:firstLineChars="20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以项目单位分管绩效评价的领导为组长，财务部门和相关业务部门等有关人员组成评价工作组，由工作组制订评价工作方案，工作组组长审批签发，作为评价组织工作的依据。评价</w:t>
      </w:r>
      <w:r>
        <w:rPr>
          <w:rFonts w:hint="eastAsia" w:ascii="仿宋_GB2312" w:hAnsi="宋体" w:eastAsia="仿宋_GB2312"/>
          <w:color w:val="000000" w:themeColor="text1"/>
          <w:sz w:val="32"/>
          <w:szCs w:val="32"/>
          <w:lang w:val="en-US" w:eastAsia="zh-CN"/>
        </w:rPr>
        <w:t>组</w:t>
      </w:r>
      <w:r>
        <w:rPr>
          <w:rFonts w:hint="eastAsia" w:ascii="仿宋_GB2312" w:hAnsi="宋体" w:eastAsia="仿宋_GB2312"/>
          <w:color w:val="000000" w:themeColor="text1"/>
          <w:sz w:val="32"/>
          <w:szCs w:val="32"/>
          <w:lang w:val="zh-CN"/>
        </w:rPr>
        <w:t>根据评价工作要求，到项目现场采取勘查、问询、复核抽查、测试等多种方式收集基础资料，包括项目实施基本情况、财政资金使用情况、项目相关业务数据、项目运行状况。</w:t>
      </w:r>
      <w:r>
        <w:rPr>
          <w:rFonts w:hint="eastAsia" w:ascii="仿宋_GB2312" w:hAnsi="宋体" w:eastAsia="仿宋_GB2312"/>
          <w:color w:val="000000" w:themeColor="text1"/>
          <w:sz w:val="32"/>
          <w:szCs w:val="32"/>
          <w:lang w:val="en-US" w:eastAsia="zh-CN"/>
        </w:rPr>
        <w:t>以此为</w:t>
      </w:r>
      <w:r>
        <w:rPr>
          <w:rFonts w:hint="eastAsia" w:ascii="仿宋_GB2312" w:hAnsi="宋体" w:eastAsia="仿宋_GB2312"/>
          <w:color w:val="000000" w:themeColor="text1"/>
          <w:sz w:val="32"/>
          <w:szCs w:val="32"/>
          <w:lang w:val="zh-CN"/>
        </w:rPr>
        <w:t>评价</w:t>
      </w:r>
      <w:r>
        <w:rPr>
          <w:rFonts w:hint="eastAsia" w:ascii="仿宋_GB2312" w:hAnsi="宋体" w:eastAsia="仿宋_GB2312"/>
          <w:color w:val="000000" w:themeColor="text1"/>
          <w:sz w:val="32"/>
          <w:szCs w:val="32"/>
          <w:lang w:val="en-US" w:eastAsia="zh-CN"/>
        </w:rPr>
        <w:t>依据</w:t>
      </w:r>
      <w:r>
        <w:rPr>
          <w:rFonts w:hint="eastAsia" w:ascii="仿宋_GB2312" w:hAnsi="宋体" w:eastAsia="仿宋_GB2312"/>
          <w:color w:val="000000" w:themeColor="text1"/>
          <w:sz w:val="32"/>
          <w:szCs w:val="32"/>
          <w:lang w:val="zh-CN"/>
        </w:rPr>
        <w:t>。</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二、项目资金申报及使用情况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通过村民大会的召开讨论，</w:t>
      </w:r>
      <w:r>
        <w:rPr>
          <w:rFonts w:hint="eastAsia" w:ascii="仿宋_GB2312" w:hAnsi="宋体" w:eastAsia="仿宋_GB2312"/>
          <w:color w:val="000000" w:themeColor="text1"/>
          <w:sz w:val="32"/>
          <w:szCs w:val="32"/>
          <w:lang w:val="en-US" w:eastAsia="zh-CN"/>
        </w:rPr>
        <w:t>前期资料的摸底，档案资料的核实，</w:t>
      </w:r>
      <w:r>
        <w:rPr>
          <w:rFonts w:hint="eastAsia" w:ascii="仿宋_GB2312" w:hAnsi="宋体" w:eastAsia="仿宋_GB2312"/>
          <w:color w:val="000000" w:themeColor="text1"/>
          <w:sz w:val="32"/>
          <w:szCs w:val="32"/>
          <w:lang w:val="zh-CN"/>
        </w:rPr>
        <w:t>定好项目的具体内容，询问专业人员确定项目资金的预算及编制实施方案并上报相关部门。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楷体_GB2312" w:hAnsi="宋体" w:eastAsia="楷体_GB2312"/>
          <w:b/>
          <w:color w:val="000000" w:themeColor="text1"/>
          <w:sz w:val="32"/>
          <w:szCs w:val="32"/>
          <w:lang w:val="zh-CN"/>
        </w:rPr>
        <w:t>（二）资金计划、到位及使用情况（可用表格形式反映）。</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楷体_GB2312" w:hAnsi="宋体" w:eastAsia="楷体_GB2312"/>
          <w:color w:val="000000" w:themeColor="text1"/>
          <w:sz w:val="32"/>
          <w:szCs w:val="32"/>
          <w:lang w:val="zh-CN"/>
        </w:rPr>
        <w:t>资金纳入</w:t>
      </w:r>
      <w:r>
        <w:rPr>
          <w:rFonts w:hint="eastAsia" w:ascii="楷体_GB2312" w:hAnsi="宋体" w:eastAsia="楷体_GB2312"/>
          <w:color w:val="000000" w:themeColor="text1"/>
          <w:sz w:val="32"/>
          <w:szCs w:val="32"/>
        </w:rPr>
        <w:t>2019年预算</w:t>
      </w:r>
      <w:r>
        <w:rPr>
          <w:rFonts w:hint="eastAsia" w:ascii="仿宋_GB2312" w:hAnsi="宋体" w:eastAsia="仿宋_GB2312"/>
          <w:color w:val="000000" w:themeColor="text1"/>
          <w:sz w:val="32"/>
          <w:szCs w:val="32"/>
          <w:lang w:val="zh-CN"/>
        </w:rPr>
        <w:t>。</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资金已于201</w:t>
      </w:r>
      <w:r>
        <w:rPr>
          <w:rFonts w:hint="eastAsia" w:ascii="仿宋_GB2312" w:hAnsi="宋体" w:eastAsia="仿宋_GB2312"/>
          <w:color w:val="000000" w:themeColor="text1"/>
          <w:sz w:val="32"/>
          <w:szCs w:val="32"/>
        </w:rPr>
        <w:t>9</w:t>
      </w:r>
      <w:r>
        <w:rPr>
          <w:rFonts w:hint="eastAsia" w:ascii="仿宋_GB2312" w:hAnsi="宋体" w:eastAsia="仿宋_GB2312"/>
          <w:color w:val="000000" w:themeColor="text1"/>
          <w:sz w:val="32"/>
          <w:szCs w:val="32"/>
          <w:lang w:val="zh-CN"/>
        </w:rPr>
        <w:t>年到位，与计划相符合。</w:t>
      </w:r>
    </w:p>
    <w:p>
      <w:pPr>
        <w:numPr>
          <w:ilvl w:val="0"/>
          <w:numId w:val="5"/>
        </w:numPr>
        <w:adjustRightInd w:val="0"/>
        <w:snapToGrid w:val="0"/>
        <w:spacing w:line="600" w:lineRule="exact"/>
        <w:ind w:firstLine="640" w:firstLineChars="2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该项目目前已通过乡村初验，拨付</w:t>
      </w:r>
      <w:r>
        <w:rPr>
          <w:rFonts w:hint="eastAsia" w:ascii="仿宋_GB2312" w:hAnsi="宋体" w:eastAsia="仿宋_GB2312"/>
          <w:color w:val="000000" w:themeColor="text1"/>
          <w:sz w:val="32"/>
          <w:szCs w:val="32"/>
          <w:lang w:val="en-US" w:eastAsia="zh-CN"/>
        </w:rPr>
        <w:t>100</w:t>
      </w:r>
      <w:r>
        <w:rPr>
          <w:rFonts w:hint="eastAsia" w:ascii="仿宋_GB2312" w:hAnsi="宋体" w:eastAsia="仿宋_GB2312"/>
          <w:color w:val="000000" w:themeColor="text1"/>
          <w:sz w:val="32"/>
          <w:szCs w:val="32"/>
        </w:rPr>
        <w:t>%项目款，项目资金与预算相符合。</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（三）项目财务管理情况。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项目资金的使用进行透明化管理，资金的来源及使用途径均已公示公告并成立了以乡纪委成员和村会计的项目资金监管小组做到项目资金用到实处。</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三、项目实施及管理情况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结合项目组织实施管理办法，重点围绕以下内容进行分析评价，并对自评中发现的问题分析说明。</w:t>
      </w:r>
    </w:p>
    <w:p>
      <w:pPr>
        <w:numPr>
          <w:ilvl w:val="0"/>
          <w:numId w:val="9"/>
        </w:num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项目组织架构及实施流程。</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项目成立了以村委会成员牵头的项目理事会，主要负责对项目的推进和项目的监管。制定了一套切实可行的管理制度并与理事会成员的组成进行了为期7日的公示公告，公式期内无异议。</w:t>
      </w:r>
    </w:p>
    <w:p>
      <w:pPr>
        <w:numPr>
          <w:ilvl w:val="0"/>
          <w:numId w:val="9"/>
        </w:num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项目管理情况。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项目资金的使用进行透明化管理，资金的来源及使用途径均已公示公告并成立了以乡纪委成员和村会计的项目资金监管小组做到项目资金用到实处。</w:t>
      </w:r>
    </w:p>
    <w:p>
      <w:pPr>
        <w:numPr>
          <w:ilvl w:val="0"/>
          <w:numId w:val="9"/>
        </w:num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项目监管情况。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项目成立了以村委会成员牵头的项目理事会，主要负责对项目的推进和项目的监管。制定了一套切实可行的管理制度并与理事会成员的组成进行了为期7日的公示公告，公式期内无异议。</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黑体" w:hAnsi="宋体" w:eastAsia="黑体"/>
          <w:color w:val="000000" w:themeColor="text1"/>
          <w:sz w:val="32"/>
          <w:szCs w:val="32"/>
        </w:rPr>
        <w:t>四、项目绩效情况</w:t>
      </w:r>
      <w:r>
        <w:rPr>
          <w:rFonts w:hint="eastAsia" w:ascii="仿宋_GB2312" w:hAnsi="宋体" w:eastAsia="仿宋_GB2312"/>
          <w:color w:val="000000" w:themeColor="text1"/>
          <w:sz w:val="32"/>
          <w:szCs w:val="32"/>
          <w:lang w:val="zh-CN"/>
        </w:rPr>
        <w:tab/>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（一）项目完成情况。</w:t>
      </w:r>
    </w:p>
    <w:p>
      <w:pPr>
        <w:adjustRightInd w:val="0"/>
        <w:snapToGrid w:val="0"/>
        <w:spacing w:line="600" w:lineRule="exact"/>
        <w:ind w:firstLine="720"/>
        <w:rPr>
          <w:rFonts w:hint="default" w:ascii="仿宋_GB2312" w:hAnsi="宋体" w:eastAsia="仿宋_GB2312"/>
          <w:color w:val="000000" w:themeColor="text1"/>
          <w:sz w:val="32"/>
          <w:szCs w:val="32"/>
          <w:lang w:val="en-US" w:eastAsia="zh-CN"/>
        </w:rPr>
      </w:pPr>
      <w:r>
        <w:rPr>
          <w:rFonts w:hint="eastAsia" w:ascii="仿宋_GB2312" w:hAnsi="宋体" w:eastAsia="仿宋_GB2312"/>
          <w:color w:val="000000" w:themeColor="text1"/>
          <w:sz w:val="32"/>
          <w:szCs w:val="32"/>
          <w:lang w:val="en-US" w:eastAsia="zh-CN"/>
        </w:rPr>
        <w:t>完成麦麦洼乡动态调整建档立卡贫困人员27人到户产业牦牛采购。</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（二）项目效益情况。</w:t>
      </w:r>
    </w:p>
    <w:p>
      <w:pPr>
        <w:adjustRightInd w:val="0"/>
        <w:snapToGrid w:val="0"/>
        <w:spacing w:line="600" w:lineRule="exact"/>
        <w:ind w:firstLine="72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通过完善项目区基础设施、发展特色产业、美化人居环境，实现发展新产业、塑造新风貌、创建新机制、培育新农民的“四新”目标，积极探索项目区脱贫致富新路子、新模式。</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五、评价结论及建议</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（一）评价结论。</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仿宋_GB2312" w:hAnsi="宋体" w:eastAsia="仿宋_GB2312"/>
          <w:color w:val="000000" w:themeColor="text1"/>
          <w:sz w:val="32"/>
          <w:szCs w:val="32"/>
          <w:lang w:val="zh-CN"/>
        </w:rPr>
        <w:t xml:space="preserve"> 以科学发展观为指导，以区域发展与扶贫攻坚规划为基础，以项目实施为抓手，瞄准贫困地区、贫困人口，加快推进贫困地区脱贫致富步伐，提升贫困地区自我发展能力。</w:t>
      </w:r>
      <w:r>
        <w:rPr>
          <w:rFonts w:hint="eastAsia" w:ascii="仿宋_GB2312" w:hAnsi="宋体" w:eastAsia="仿宋_GB2312"/>
          <w:color w:val="000000" w:themeColor="text1"/>
          <w:sz w:val="32"/>
          <w:szCs w:val="32"/>
          <w:lang w:val="en-US" w:eastAsia="zh-CN"/>
        </w:rPr>
        <w:t xml:space="preserve">        </w:t>
      </w:r>
      <w:r>
        <w:rPr>
          <w:rFonts w:hint="eastAsia" w:ascii="楷体_GB2312" w:hAnsi="宋体" w:eastAsia="楷体_GB2312"/>
          <w:b/>
          <w:color w:val="000000" w:themeColor="text1"/>
          <w:sz w:val="32"/>
          <w:szCs w:val="32"/>
          <w:lang w:val="zh-CN"/>
        </w:rPr>
        <w:t>（二）存在的问题。</w:t>
      </w:r>
    </w:p>
    <w:p>
      <w:pPr>
        <w:adjustRightInd w:val="0"/>
        <w:snapToGrid w:val="0"/>
        <w:spacing w:line="600" w:lineRule="exact"/>
        <w:ind w:firstLine="720"/>
        <w:rPr>
          <w:rFonts w:hint="eastAsia" w:ascii="仿宋_GB2312" w:hAnsi="宋体" w:eastAsia="仿宋_GB2312"/>
          <w:color w:val="000000" w:themeColor="text1"/>
          <w:sz w:val="32"/>
          <w:szCs w:val="32"/>
          <w:lang w:val="en-US" w:eastAsia="zh-CN"/>
        </w:rPr>
      </w:pPr>
      <w:r>
        <w:rPr>
          <w:rFonts w:hint="eastAsia" w:ascii="仿宋_GB2312" w:hAnsi="宋体" w:eastAsia="仿宋_GB2312"/>
          <w:color w:val="000000" w:themeColor="text1"/>
          <w:sz w:val="32"/>
          <w:szCs w:val="32"/>
          <w:lang w:val="en-US" w:eastAsia="zh-CN"/>
        </w:rPr>
        <w:t>暂无</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（三）相关建议。</w:t>
      </w:r>
    </w:p>
    <w:p>
      <w:pPr>
        <w:widowControl/>
        <w:ind w:firstLine="960" w:firstLineChars="300"/>
        <w:jc w:val="left"/>
        <w:rPr>
          <w:rStyle w:val="27"/>
          <w:rFonts w:hint="eastAsia" w:ascii="黑体" w:hAnsi="黑体" w:eastAsia="黑体"/>
          <w:b w:val="0"/>
          <w:color w:val="000000" w:themeColor="text1"/>
          <w:lang w:eastAsia="zh-CN"/>
        </w:rPr>
      </w:pPr>
      <w:r>
        <w:rPr>
          <w:rFonts w:hint="eastAsia" w:ascii="仿宋_GB2312" w:hAnsi="宋体" w:eastAsia="仿宋_GB2312"/>
          <w:color w:val="000000" w:themeColor="text1"/>
          <w:sz w:val="32"/>
          <w:szCs w:val="32"/>
          <w:lang w:val="en-US" w:eastAsia="zh-CN"/>
        </w:rPr>
        <w:t>无</w:t>
      </w:r>
    </w:p>
    <w:p>
      <w:pPr>
        <w:widowControl/>
        <w:jc w:val="left"/>
        <w:rPr>
          <w:rStyle w:val="27"/>
          <w:rFonts w:ascii="黑体" w:hAnsi="黑体" w:eastAsia="黑体"/>
          <w:b w:val="0"/>
          <w:color w:val="000000" w:themeColor="text1"/>
        </w:rPr>
      </w:pPr>
      <w:r>
        <w:rPr>
          <w:rStyle w:val="27"/>
          <w:rFonts w:ascii="黑体" w:hAnsi="黑体" w:eastAsia="黑体"/>
          <w:b w:val="0"/>
          <w:color w:val="000000" w:themeColor="text1"/>
        </w:rPr>
        <w:br w:type="page"/>
      </w:r>
    </w:p>
    <w:p>
      <w:pPr>
        <w:spacing w:line="600" w:lineRule="exact"/>
        <w:jc w:val="center"/>
        <w:rPr>
          <w:rFonts w:ascii="方正小标宋简体" w:hAnsi="宋体" w:eastAsia="方正小标宋简体"/>
          <w:color w:val="000000" w:themeColor="text1"/>
          <w:kern w:val="0"/>
          <w:sz w:val="44"/>
          <w:szCs w:val="44"/>
          <w:lang w:val="zh-CN"/>
        </w:rPr>
      </w:pPr>
      <w:r>
        <w:rPr>
          <w:rFonts w:hint="eastAsia" w:ascii="方正小标宋简体" w:hAnsi="宋体" w:eastAsia="方正小标宋简体"/>
          <w:color w:val="000000" w:themeColor="text1"/>
          <w:kern w:val="0"/>
          <w:sz w:val="44"/>
          <w:szCs w:val="44"/>
          <w:lang w:val="zh-CN"/>
        </w:rPr>
        <w:t>2019年麦洼乡易地扶贫搬迁产业发展基础设施建设绩效评价报告</w:t>
      </w:r>
    </w:p>
    <w:p>
      <w:pPr>
        <w:spacing w:line="600" w:lineRule="exact"/>
        <w:rPr>
          <w:rFonts w:ascii="宋体" w:hAnsi="宋体"/>
          <w:color w:val="000000" w:themeColor="text1"/>
          <w:sz w:val="32"/>
          <w:szCs w:val="32"/>
          <w:lang w:val="zh-CN"/>
        </w:rPr>
      </w:pPr>
    </w:p>
    <w:p>
      <w:pPr>
        <w:adjustRightInd w:val="0"/>
        <w:snapToGrid w:val="0"/>
        <w:spacing w:line="600" w:lineRule="exact"/>
        <w:ind w:firstLine="720"/>
        <w:rPr>
          <w:rFonts w:ascii="黑体" w:hAnsi="宋体" w:eastAsia="黑体"/>
          <w:color w:val="000000" w:themeColor="text1"/>
          <w:sz w:val="32"/>
          <w:szCs w:val="32"/>
          <w:lang w:val="zh-CN"/>
        </w:rPr>
      </w:pPr>
      <w:r>
        <w:rPr>
          <w:rFonts w:hint="eastAsia" w:ascii="黑体" w:hAnsi="宋体" w:eastAsia="黑体"/>
          <w:color w:val="000000" w:themeColor="text1"/>
          <w:sz w:val="32"/>
          <w:szCs w:val="32"/>
        </w:rPr>
        <w:t>一、</w:t>
      </w:r>
      <w:r>
        <w:rPr>
          <w:rFonts w:hint="eastAsia" w:ascii="黑体" w:hAnsi="宋体" w:eastAsia="黑体"/>
          <w:color w:val="000000" w:themeColor="text1"/>
          <w:sz w:val="32"/>
          <w:szCs w:val="32"/>
          <w:lang w:val="zh-CN"/>
        </w:rPr>
        <w:t>项目概况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（一）项目基本情况。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1．</w:t>
      </w:r>
      <w:r>
        <w:rPr>
          <w:rFonts w:hint="eastAsia" w:ascii="仿宋_GB2312" w:hAnsi="仿宋_GB2312" w:eastAsia="仿宋_GB2312" w:cs="仿宋_GB2312"/>
          <w:sz w:val="32"/>
          <w:szCs w:val="32"/>
        </w:rPr>
        <w:t>2019年麦洼乡易地扶贫搬迁产业发展基础设施建设项目</w:t>
      </w:r>
      <w:r>
        <w:rPr>
          <w:rFonts w:hint="eastAsia" w:ascii="仿宋_GB2312" w:hAnsi="宋体" w:eastAsia="仿宋_GB2312"/>
          <w:color w:val="000000" w:themeColor="text1"/>
          <w:sz w:val="32"/>
          <w:szCs w:val="32"/>
          <w:lang w:val="en-US" w:eastAsia="zh-CN"/>
        </w:rPr>
        <w:t>。主管部门为县发展和改革局，实施单位为麦洼乡人民政府。</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2．</w:t>
      </w:r>
      <w:r>
        <w:rPr>
          <w:rFonts w:hint="eastAsia" w:ascii="仿宋_GB2312" w:hAnsi="宋体" w:eastAsia="仿宋_GB2312"/>
          <w:color w:val="000000" w:themeColor="text1"/>
          <w:sz w:val="32"/>
          <w:szCs w:val="32"/>
          <w:lang w:val="en-US" w:eastAsia="zh-CN"/>
        </w:rPr>
        <w:t>通过实地察看及</w:t>
      </w:r>
      <w:r>
        <w:rPr>
          <w:rFonts w:hint="eastAsia" w:ascii="仿宋_GB2312" w:hAnsi="宋体" w:eastAsia="仿宋_GB2312"/>
          <w:color w:val="000000" w:themeColor="text1"/>
          <w:sz w:val="32"/>
          <w:szCs w:val="32"/>
          <w:lang w:val="zh-CN"/>
        </w:rPr>
        <w:t>召开大会收集需建设项目意见，汇总编制实施方案及项目实施表上报行业主管部门。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（二）项目绩效目标。</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宋体" w:eastAsia="仿宋_GB2312"/>
          <w:color w:val="000000" w:themeColor="text1"/>
          <w:sz w:val="32"/>
          <w:szCs w:val="32"/>
          <w:lang w:val="zh-CN"/>
        </w:rPr>
        <w:t>1．</w:t>
      </w:r>
      <w:r>
        <w:rPr>
          <w:rFonts w:hint="eastAsia" w:ascii="仿宋_GB2312" w:hAnsi="仿宋_GB2312" w:eastAsia="仿宋_GB2312" w:cs="仿宋_GB2312"/>
          <w:sz w:val="32"/>
          <w:szCs w:val="32"/>
        </w:rPr>
        <w:t>2019年麦洼乡易地扶贫搬迁产业发展基础设施建设项目全年预算数80万元，执行数为78.423042万元，完成预算的98.03%。通过项目实施，整合资源，突出实效，注重群众增收实效。进一步完善政策，破解深度贫困地区脱贫制约瓶颈</w:t>
      </w:r>
      <w:r>
        <w:rPr>
          <w:rFonts w:hint="eastAsia" w:ascii="仿宋_GB2312" w:hAnsi="仿宋_GB2312" w:eastAsia="仿宋_GB2312" w:cs="仿宋_GB2312"/>
          <w:sz w:val="32"/>
          <w:szCs w:val="32"/>
          <w:lang w:eastAsia="zh-CN"/>
        </w:rPr>
        <w:t>。</w:t>
      </w:r>
    </w:p>
    <w:p>
      <w:pPr>
        <w:numPr>
          <w:ilvl w:val="0"/>
          <w:numId w:val="10"/>
        </w:numPr>
        <w:adjustRightInd w:val="0"/>
        <w:snapToGrid w:val="0"/>
        <w:spacing w:line="600" w:lineRule="exact"/>
        <w:ind w:firstLine="72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立足安置地资源优势，全面深化以产业扶贫为重点的扶贫领城供给侧结构性改革。</w:t>
      </w:r>
    </w:p>
    <w:p>
      <w:pPr>
        <w:numPr>
          <w:ilvl w:val="0"/>
          <w:numId w:val="0"/>
        </w:num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3．申报内容与实际相符，切实解决当前急需项目。</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（三）项目自评步骤及方法。</w:t>
      </w:r>
    </w:p>
    <w:p>
      <w:pPr>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以项目单位分管绩效评价的领导为组长，财务部门和相关业务部门等有关人员组成评价工作组，由工作组制订评价工作方案，工作组组长审批签发，作为评价组织工作的依据。评价</w:t>
      </w:r>
      <w:r>
        <w:rPr>
          <w:rFonts w:hint="eastAsia" w:ascii="仿宋_GB2312" w:hAnsi="宋体" w:eastAsia="仿宋_GB2312"/>
          <w:color w:val="000000" w:themeColor="text1"/>
          <w:sz w:val="32"/>
          <w:szCs w:val="32"/>
          <w:lang w:val="en-US" w:eastAsia="zh-CN"/>
        </w:rPr>
        <w:t>组</w:t>
      </w:r>
      <w:r>
        <w:rPr>
          <w:rFonts w:hint="eastAsia" w:ascii="仿宋_GB2312" w:hAnsi="宋体" w:eastAsia="仿宋_GB2312"/>
          <w:color w:val="000000" w:themeColor="text1"/>
          <w:sz w:val="32"/>
          <w:szCs w:val="32"/>
          <w:lang w:val="zh-CN"/>
        </w:rPr>
        <w:t>根据评价工作要求，到项目现场采取勘查、问询、复核抽查、测试等多种方式收集基础资料，包括项目实施基本情况、财政资金使用情况、项目相关业务数据、项目运行状况。</w:t>
      </w:r>
      <w:r>
        <w:rPr>
          <w:rFonts w:hint="eastAsia" w:ascii="仿宋_GB2312" w:hAnsi="宋体" w:eastAsia="仿宋_GB2312"/>
          <w:color w:val="000000" w:themeColor="text1"/>
          <w:sz w:val="32"/>
          <w:szCs w:val="32"/>
          <w:lang w:val="en-US" w:eastAsia="zh-CN"/>
        </w:rPr>
        <w:t>以此为</w:t>
      </w:r>
      <w:r>
        <w:rPr>
          <w:rFonts w:hint="eastAsia" w:ascii="仿宋_GB2312" w:hAnsi="宋体" w:eastAsia="仿宋_GB2312"/>
          <w:color w:val="000000" w:themeColor="text1"/>
          <w:sz w:val="32"/>
          <w:szCs w:val="32"/>
          <w:lang w:val="zh-CN"/>
        </w:rPr>
        <w:t>评价</w:t>
      </w:r>
      <w:r>
        <w:rPr>
          <w:rFonts w:hint="eastAsia" w:ascii="仿宋_GB2312" w:hAnsi="宋体" w:eastAsia="仿宋_GB2312"/>
          <w:color w:val="000000" w:themeColor="text1"/>
          <w:sz w:val="32"/>
          <w:szCs w:val="32"/>
          <w:lang w:val="en-US" w:eastAsia="zh-CN"/>
        </w:rPr>
        <w:t>依据</w:t>
      </w:r>
      <w:r>
        <w:rPr>
          <w:rFonts w:hint="eastAsia" w:ascii="仿宋_GB2312" w:hAnsi="宋体" w:eastAsia="仿宋_GB2312"/>
          <w:color w:val="000000" w:themeColor="text1"/>
          <w:sz w:val="32"/>
          <w:szCs w:val="32"/>
          <w:lang w:val="zh-CN"/>
        </w:rPr>
        <w:t>。</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二、项目资金申报及使用情况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通过实地查看和村民大会的召开讨论，群定好项目的具体内容，询问专业人员确定项目资金的预算及编制实施方案并上报相关部门。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楷体_GB2312" w:hAnsi="宋体" w:eastAsia="楷体_GB2312"/>
          <w:b/>
          <w:color w:val="000000" w:themeColor="text1"/>
          <w:sz w:val="32"/>
          <w:szCs w:val="32"/>
          <w:lang w:val="zh-CN"/>
        </w:rPr>
        <w:t>（二）资金计划、到位及使用情况（可用表格形式反映）。</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楷体_GB2312" w:hAnsi="宋体" w:eastAsia="楷体_GB2312"/>
          <w:color w:val="000000" w:themeColor="text1"/>
          <w:sz w:val="32"/>
          <w:szCs w:val="32"/>
          <w:lang w:val="zh-CN"/>
        </w:rPr>
        <w:t>资金纳入</w:t>
      </w:r>
      <w:r>
        <w:rPr>
          <w:rFonts w:hint="eastAsia" w:ascii="楷体_GB2312" w:hAnsi="宋体" w:eastAsia="楷体_GB2312"/>
          <w:color w:val="000000" w:themeColor="text1"/>
          <w:sz w:val="32"/>
          <w:szCs w:val="32"/>
        </w:rPr>
        <w:t>2019年预算</w:t>
      </w:r>
      <w:r>
        <w:rPr>
          <w:rFonts w:hint="eastAsia" w:ascii="仿宋_GB2312" w:hAnsi="宋体" w:eastAsia="仿宋_GB2312"/>
          <w:color w:val="000000" w:themeColor="text1"/>
          <w:sz w:val="32"/>
          <w:szCs w:val="32"/>
          <w:lang w:val="zh-CN"/>
        </w:rPr>
        <w:t>。</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资金已于201</w:t>
      </w:r>
      <w:r>
        <w:rPr>
          <w:rFonts w:hint="eastAsia" w:ascii="仿宋_GB2312" w:hAnsi="宋体" w:eastAsia="仿宋_GB2312"/>
          <w:color w:val="000000" w:themeColor="text1"/>
          <w:sz w:val="32"/>
          <w:szCs w:val="32"/>
        </w:rPr>
        <w:t>9</w:t>
      </w:r>
      <w:r>
        <w:rPr>
          <w:rFonts w:hint="eastAsia" w:ascii="仿宋_GB2312" w:hAnsi="宋体" w:eastAsia="仿宋_GB2312"/>
          <w:color w:val="000000" w:themeColor="text1"/>
          <w:sz w:val="32"/>
          <w:szCs w:val="32"/>
          <w:lang w:val="zh-CN"/>
        </w:rPr>
        <w:t>年到位，与计划相符合。</w:t>
      </w:r>
    </w:p>
    <w:p>
      <w:pPr>
        <w:numPr>
          <w:ilvl w:val="0"/>
          <w:numId w:val="5"/>
        </w:numPr>
        <w:adjustRightInd w:val="0"/>
        <w:snapToGrid w:val="0"/>
        <w:spacing w:line="600" w:lineRule="exact"/>
        <w:ind w:firstLine="640" w:firstLineChars="2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该项目目前已通过乡村初验，拨付</w:t>
      </w:r>
      <w:r>
        <w:rPr>
          <w:rFonts w:hint="eastAsia" w:ascii="仿宋_GB2312" w:hAnsi="宋体" w:eastAsia="仿宋_GB2312"/>
          <w:color w:val="000000" w:themeColor="text1"/>
          <w:sz w:val="32"/>
          <w:szCs w:val="32"/>
        </w:rPr>
        <w:t>95%项目款，剩余5%质保金，项目资金与预算相符合。</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（三）项目财务管理情况。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项目资金的使用进行透明化管理，资金的来源及使用途径均已公示公告并成立了以乡纪委成员和村会计的项目资金监管小组做到项目资金用到实处。</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三、项目实施及管理情况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结合项目组织实施管理办法，重点围绕以下内容进行分析评价，并对自评中发现的问题分析说明。</w:t>
      </w:r>
    </w:p>
    <w:p>
      <w:pPr>
        <w:numPr>
          <w:ilvl w:val="0"/>
          <w:numId w:val="9"/>
        </w:num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项目组织架构及实施流程。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为了使</w:t>
      </w:r>
      <w:r>
        <w:rPr>
          <w:rFonts w:hint="eastAsia" w:ascii="仿宋_GB2312" w:hAnsi="宋体" w:eastAsia="仿宋_GB2312"/>
          <w:color w:val="000000" w:themeColor="text1"/>
          <w:sz w:val="32"/>
          <w:szCs w:val="32"/>
          <w:lang w:val="en-US" w:eastAsia="zh-CN"/>
        </w:rPr>
        <w:t>异地扶贫搬迁</w:t>
      </w:r>
      <w:r>
        <w:rPr>
          <w:rFonts w:hint="eastAsia" w:ascii="仿宋_GB2312" w:hAnsi="宋体" w:eastAsia="仿宋_GB2312"/>
          <w:color w:val="000000" w:themeColor="text1"/>
          <w:sz w:val="32"/>
          <w:szCs w:val="32"/>
          <w:lang w:val="zh-CN"/>
        </w:rPr>
        <w:t>项目经费形成专款专用的模式，我</w:t>
      </w:r>
      <w:r>
        <w:rPr>
          <w:rFonts w:hint="eastAsia" w:ascii="仿宋_GB2312" w:hAnsi="宋体" w:eastAsia="仿宋_GB2312"/>
          <w:color w:val="000000" w:themeColor="text1"/>
          <w:sz w:val="32"/>
          <w:szCs w:val="32"/>
          <w:lang w:val="en-US" w:eastAsia="zh-CN"/>
        </w:rPr>
        <w:t>乡</w:t>
      </w:r>
      <w:r>
        <w:rPr>
          <w:rFonts w:hint="eastAsia" w:ascii="仿宋_GB2312" w:hAnsi="宋体" w:eastAsia="仿宋_GB2312"/>
          <w:color w:val="000000" w:themeColor="text1"/>
          <w:sz w:val="32"/>
          <w:szCs w:val="32"/>
          <w:lang w:val="zh-CN"/>
        </w:rPr>
        <w:t>成立领导小组，统筹项目整体规划，由</w:t>
      </w:r>
      <w:r>
        <w:rPr>
          <w:rFonts w:hint="eastAsia" w:ascii="仿宋_GB2312" w:hAnsi="宋体" w:eastAsia="仿宋_GB2312"/>
          <w:color w:val="000000" w:themeColor="text1"/>
          <w:sz w:val="32"/>
          <w:szCs w:val="32"/>
          <w:lang w:val="en-US" w:eastAsia="zh-CN"/>
        </w:rPr>
        <w:t>项目办和</w:t>
      </w:r>
      <w:r>
        <w:rPr>
          <w:rFonts w:hint="eastAsia" w:ascii="仿宋_GB2312" w:hAnsi="宋体" w:eastAsia="仿宋_GB2312"/>
          <w:color w:val="000000" w:themeColor="text1"/>
          <w:sz w:val="32"/>
          <w:szCs w:val="32"/>
          <w:lang w:val="zh-CN"/>
        </w:rPr>
        <w:t>财务办公室具体负责项目的实施与管理工作。严格按照相关规定，明确责任，合理分工，密切协作，为项目顺利实施提供保障。</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w:t>
      </w:r>
      <w:r>
        <w:rPr>
          <w:rFonts w:hint="eastAsia" w:ascii="楷体_GB2312" w:hAnsi="宋体" w:eastAsia="楷体_GB2312"/>
          <w:b/>
          <w:color w:val="000000" w:themeColor="text1"/>
          <w:sz w:val="32"/>
          <w:szCs w:val="32"/>
          <w:lang w:val="en-US" w:eastAsia="zh-CN"/>
        </w:rPr>
        <w:t>二</w:t>
      </w:r>
      <w:r>
        <w:rPr>
          <w:rFonts w:hint="eastAsia" w:ascii="楷体_GB2312" w:hAnsi="宋体" w:eastAsia="楷体_GB2312"/>
          <w:b/>
          <w:color w:val="000000" w:themeColor="text1"/>
          <w:sz w:val="32"/>
          <w:szCs w:val="32"/>
          <w:lang w:val="zh-CN"/>
        </w:rPr>
        <w:t>）项目管理情况。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项目资金的使用进行透明化管理，资金的来源及使用途径均已公示公告并成立了以乡纪委成员和村会计的项目资金监管小组做到项目资金用到实处。</w:t>
      </w:r>
    </w:p>
    <w:p>
      <w:pPr>
        <w:numPr>
          <w:ilvl w:val="0"/>
          <w:numId w:val="0"/>
        </w:numPr>
        <w:adjustRightInd w:val="0"/>
        <w:snapToGrid w:val="0"/>
        <w:spacing w:line="600" w:lineRule="exact"/>
        <w:ind w:firstLine="643" w:firstLineChars="20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w:t>
      </w:r>
      <w:r>
        <w:rPr>
          <w:rFonts w:hint="eastAsia" w:ascii="楷体_GB2312" w:hAnsi="宋体" w:eastAsia="楷体_GB2312"/>
          <w:b/>
          <w:color w:val="000000" w:themeColor="text1"/>
          <w:sz w:val="32"/>
          <w:szCs w:val="32"/>
          <w:lang w:val="en-US" w:eastAsia="zh-CN"/>
        </w:rPr>
        <w:t>三</w:t>
      </w:r>
      <w:r>
        <w:rPr>
          <w:rFonts w:hint="eastAsia" w:ascii="楷体_GB2312" w:hAnsi="宋体" w:eastAsia="楷体_GB2312"/>
          <w:b/>
          <w:color w:val="000000" w:themeColor="text1"/>
          <w:sz w:val="32"/>
          <w:szCs w:val="32"/>
          <w:lang w:val="zh-CN"/>
        </w:rPr>
        <w:t>）项目监管情况。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项目成立了以</w:t>
      </w:r>
      <w:r>
        <w:rPr>
          <w:rFonts w:hint="eastAsia" w:ascii="仿宋_GB2312" w:hAnsi="宋体" w:eastAsia="仿宋_GB2312"/>
          <w:color w:val="000000" w:themeColor="text1"/>
          <w:sz w:val="32"/>
          <w:szCs w:val="32"/>
          <w:lang w:val="en-US" w:eastAsia="zh-CN"/>
        </w:rPr>
        <w:t>乡领导班子</w:t>
      </w:r>
      <w:r>
        <w:rPr>
          <w:rFonts w:hint="eastAsia" w:ascii="仿宋_GB2312" w:hAnsi="宋体" w:eastAsia="仿宋_GB2312"/>
          <w:color w:val="000000" w:themeColor="text1"/>
          <w:sz w:val="32"/>
          <w:szCs w:val="32"/>
          <w:lang w:val="zh-CN"/>
        </w:rPr>
        <w:t>成员牵头的项目理事会，主要负责对项目的推进和项目的监管。制定了一套切实可行的管理制度并与理事会成员的组成进行了为期7日的公示公告，公式期内无异议。</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黑体" w:hAnsi="宋体" w:eastAsia="黑体"/>
          <w:color w:val="000000" w:themeColor="text1"/>
          <w:sz w:val="32"/>
          <w:szCs w:val="32"/>
        </w:rPr>
        <w:t>四、项目绩效情况</w:t>
      </w:r>
      <w:r>
        <w:rPr>
          <w:rFonts w:hint="eastAsia" w:ascii="仿宋_GB2312" w:hAnsi="宋体" w:eastAsia="仿宋_GB2312"/>
          <w:color w:val="000000" w:themeColor="text1"/>
          <w:sz w:val="32"/>
          <w:szCs w:val="32"/>
          <w:lang w:val="zh-CN"/>
        </w:rPr>
        <w:tab/>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（一）项目完成情况。</w:t>
      </w:r>
    </w:p>
    <w:p>
      <w:pPr>
        <w:adjustRightInd w:val="0"/>
        <w:snapToGrid w:val="0"/>
        <w:spacing w:line="600" w:lineRule="exact"/>
        <w:ind w:firstLine="640" w:firstLineChars="20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项目的定量指标已按计划实施完成，项目运行达到预期绩效目标。经济效益明显，社会效益显著，完成质量良好。</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（二）项目效益情况。</w:t>
      </w:r>
    </w:p>
    <w:p>
      <w:pPr>
        <w:adjustRightInd w:val="0"/>
        <w:snapToGrid w:val="0"/>
        <w:spacing w:line="600" w:lineRule="exact"/>
        <w:ind w:firstLine="72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围绕“持续输血、强化造血，防止失血”三个环节，进一步完善政策，破解深度贫困地区脱贫制约瓶颈。</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五、评价结论及建议</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（一）评价结论。</w:t>
      </w:r>
    </w:p>
    <w:p>
      <w:pPr>
        <w:adjustRightInd w:val="0"/>
        <w:snapToGrid w:val="0"/>
        <w:spacing w:line="600" w:lineRule="exact"/>
        <w:ind w:firstLine="72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 xml:space="preserve">充分激发贫困群众内生动力，増强脱贫奔康信心，通过集中带动分散的方式、从根本上解决搬迁后续脱贫发展动力不足的问题。 </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（二）存在的问题。</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项目建成后，后期维护不到位。</w:t>
      </w:r>
      <w:r>
        <w:rPr>
          <w:rFonts w:hint="eastAsia" w:ascii="仿宋_GB2312" w:hAnsi="宋体" w:eastAsia="仿宋_GB2312"/>
          <w:color w:val="000000" w:themeColor="text1"/>
          <w:sz w:val="32"/>
          <w:szCs w:val="32"/>
          <w:lang w:val="zh-CN"/>
        </w:rPr>
        <w:tab/>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（三）相关建议。</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建议上级部门拨付后期专项维护费用。</w:t>
      </w: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spacing w:line="600" w:lineRule="exact"/>
        <w:jc w:val="center"/>
        <w:rPr>
          <w:rFonts w:hint="eastAsia" w:ascii="方正小标宋简体" w:hAnsi="宋体" w:eastAsia="方正小标宋简体"/>
          <w:color w:val="000000" w:themeColor="text1"/>
          <w:kern w:val="0"/>
          <w:sz w:val="44"/>
          <w:szCs w:val="44"/>
          <w:lang w:val="zh-CN"/>
        </w:rPr>
      </w:pPr>
      <w:r>
        <w:rPr>
          <w:rFonts w:hint="eastAsia" w:ascii="方正小标宋简体" w:hAnsi="宋体" w:eastAsia="方正小标宋简体"/>
          <w:color w:val="000000" w:themeColor="text1"/>
          <w:kern w:val="0"/>
          <w:sz w:val="44"/>
          <w:szCs w:val="44"/>
          <w:lang w:val="zh-CN"/>
        </w:rPr>
        <w:t>2019年麦洼乡</w:t>
      </w:r>
      <w:r>
        <w:rPr>
          <w:rFonts w:hint="eastAsia" w:ascii="方正小标宋简体" w:hAnsi="宋体" w:eastAsia="方正小标宋简体"/>
          <w:color w:val="000000" w:themeColor="text1"/>
          <w:kern w:val="0"/>
          <w:sz w:val="44"/>
          <w:szCs w:val="44"/>
          <w:lang w:val="en-US" w:eastAsia="zh-CN"/>
        </w:rPr>
        <w:t>藏区新居建设</w:t>
      </w:r>
      <w:r>
        <w:rPr>
          <w:rFonts w:hint="eastAsia" w:ascii="方正小标宋简体" w:hAnsi="宋体" w:eastAsia="方正小标宋简体"/>
          <w:color w:val="000000" w:themeColor="text1"/>
          <w:kern w:val="0"/>
          <w:sz w:val="44"/>
          <w:szCs w:val="44"/>
          <w:lang w:val="zh-CN"/>
        </w:rPr>
        <w:t>项目绩效评价报告</w:t>
      </w:r>
    </w:p>
    <w:p>
      <w:pPr>
        <w:spacing w:line="600" w:lineRule="exact"/>
        <w:jc w:val="center"/>
        <w:rPr>
          <w:rFonts w:hint="eastAsia" w:ascii="方正小标宋简体" w:hAnsi="宋体" w:eastAsia="方正小标宋简体"/>
          <w:color w:val="000000" w:themeColor="text1"/>
          <w:kern w:val="0"/>
          <w:sz w:val="44"/>
          <w:szCs w:val="44"/>
          <w:lang w:val="zh-CN"/>
        </w:rPr>
      </w:pPr>
    </w:p>
    <w:p>
      <w:pPr>
        <w:adjustRightInd w:val="0"/>
        <w:snapToGrid w:val="0"/>
        <w:spacing w:line="600" w:lineRule="exact"/>
        <w:ind w:firstLine="720"/>
        <w:rPr>
          <w:rFonts w:ascii="黑体" w:hAnsi="宋体" w:eastAsia="黑体"/>
          <w:color w:val="000000" w:themeColor="text1"/>
          <w:sz w:val="32"/>
          <w:szCs w:val="32"/>
          <w:lang w:val="zh-CN"/>
        </w:rPr>
      </w:pPr>
      <w:r>
        <w:rPr>
          <w:rFonts w:hint="eastAsia" w:ascii="黑体" w:hAnsi="宋体" w:eastAsia="黑体"/>
          <w:color w:val="000000" w:themeColor="text1"/>
          <w:sz w:val="32"/>
          <w:szCs w:val="32"/>
        </w:rPr>
        <w:t>一、</w:t>
      </w:r>
      <w:r>
        <w:rPr>
          <w:rFonts w:hint="eastAsia" w:ascii="黑体" w:hAnsi="宋体" w:eastAsia="黑体"/>
          <w:color w:val="000000" w:themeColor="text1"/>
          <w:sz w:val="32"/>
          <w:szCs w:val="32"/>
          <w:lang w:val="zh-CN"/>
        </w:rPr>
        <w:t>项目概况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（一）项目基本情况。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1．</w:t>
      </w:r>
      <w:r>
        <w:rPr>
          <w:rFonts w:hint="eastAsia" w:ascii="仿宋_GB2312" w:hAnsi="仿宋_GB2312" w:eastAsia="仿宋_GB2312" w:cs="仿宋_GB2312"/>
          <w:sz w:val="32"/>
          <w:szCs w:val="32"/>
        </w:rPr>
        <w:t>2019年麦洼乡</w:t>
      </w:r>
      <w:r>
        <w:rPr>
          <w:rFonts w:hint="eastAsia" w:ascii="仿宋_GB2312" w:hAnsi="仿宋_GB2312" w:eastAsia="仿宋_GB2312" w:cs="仿宋_GB2312"/>
          <w:sz w:val="32"/>
          <w:szCs w:val="32"/>
          <w:lang w:val="en-US" w:eastAsia="zh-CN"/>
        </w:rPr>
        <w:t>藏区新居建设</w:t>
      </w:r>
      <w:r>
        <w:rPr>
          <w:rFonts w:hint="eastAsia" w:ascii="仿宋_GB2312" w:hAnsi="仿宋_GB2312" w:eastAsia="仿宋_GB2312" w:cs="仿宋_GB2312"/>
          <w:sz w:val="32"/>
          <w:szCs w:val="32"/>
        </w:rPr>
        <w:t>项目</w:t>
      </w:r>
      <w:r>
        <w:rPr>
          <w:rFonts w:hint="eastAsia" w:ascii="仿宋_GB2312" w:hAnsi="宋体" w:eastAsia="仿宋_GB2312"/>
          <w:color w:val="000000" w:themeColor="text1"/>
          <w:sz w:val="32"/>
          <w:szCs w:val="32"/>
          <w:lang w:val="en-US" w:eastAsia="zh-CN"/>
        </w:rPr>
        <w:t>。实施单位为麦洼乡人民政府。</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2．</w:t>
      </w:r>
      <w:r>
        <w:rPr>
          <w:rFonts w:hint="eastAsia" w:ascii="仿宋_GB2312" w:hAnsi="宋体" w:eastAsia="仿宋_GB2312"/>
          <w:color w:val="000000" w:themeColor="text1"/>
          <w:sz w:val="32"/>
          <w:szCs w:val="32"/>
          <w:lang w:val="en-US" w:eastAsia="zh-CN"/>
        </w:rPr>
        <w:t>通过实地察看及</w:t>
      </w:r>
      <w:r>
        <w:rPr>
          <w:rFonts w:hint="eastAsia" w:ascii="仿宋_GB2312" w:hAnsi="宋体" w:eastAsia="仿宋_GB2312"/>
          <w:color w:val="000000" w:themeColor="text1"/>
          <w:sz w:val="32"/>
          <w:szCs w:val="32"/>
          <w:lang w:val="zh-CN"/>
        </w:rPr>
        <w:t>召开大会收集需建设项目意见，汇总编制实施方案及项目实施表上报行业主管部门。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（二）项目绩效目标。</w:t>
      </w:r>
    </w:p>
    <w:p>
      <w:pPr>
        <w:pStyle w:val="2"/>
        <w:ind w:firstLine="640"/>
        <w:rPr>
          <w:rFonts w:hint="eastAsia" w:ascii="仿宋_GB2312" w:hAnsi="仿宋_GB2312" w:eastAsia="仿宋_GB2312" w:cs="仿宋_GB2312"/>
          <w:sz w:val="32"/>
          <w:szCs w:val="32"/>
          <w:lang w:eastAsia="zh-CN"/>
        </w:rPr>
      </w:pPr>
      <w:r>
        <w:rPr>
          <w:rFonts w:hint="eastAsia" w:ascii="仿宋_GB2312" w:hAnsi="宋体" w:eastAsia="仿宋_GB2312"/>
          <w:color w:val="000000" w:themeColor="text1"/>
          <w:sz w:val="32"/>
          <w:szCs w:val="32"/>
          <w:lang w:val="zh-CN"/>
        </w:rPr>
        <w:t>1．</w:t>
      </w:r>
      <w:r>
        <w:rPr>
          <w:rFonts w:hint="eastAsia" w:ascii="仿宋_GB2312" w:hAnsi="仿宋_GB2312" w:eastAsia="仿宋_GB2312" w:cs="仿宋_GB2312"/>
          <w:color w:val="auto"/>
        </w:rPr>
        <w:t>2019年麦洼乡藏区新居建设项目</w:t>
      </w:r>
      <w:r>
        <w:rPr>
          <w:rFonts w:hint="eastAsia" w:ascii="仿宋_GB2312" w:hAnsi="仿宋_GB2312" w:eastAsia="仿宋_GB2312" w:cs="仿宋_GB2312"/>
          <w:color w:val="000000" w:themeColor="text1"/>
        </w:rPr>
        <w:t>全年预算数9万元，执行数为9万元，完成预算的100%。通过项目实施，充分激发贫困群众内生动力。从根本上解决搬迁后续脱贫发展动力不足的问题。</w:t>
      </w:r>
    </w:p>
    <w:p>
      <w:pPr>
        <w:numPr>
          <w:ilvl w:val="0"/>
          <w:numId w:val="10"/>
        </w:numPr>
        <w:adjustRightInd w:val="0"/>
        <w:snapToGrid w:val="0"/>
        <w:spacing w:line="600" w:lineRule="exact"/>
        <w:ind w:firstLine="72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立足安置地资源优势，全面深化以产业扶贫为重点的扶贫领城供给侧结构性改革。</w:t>
      </w:r>
    </w:p>
    <w:p>
      <w:pPr>
        <w:numPr>
          <w:ilvl w:val="0"/>
          <w:numId w:val="0"/>
        </w:num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3．申报内容与实际相符，切实解决当前急需项目。</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（三）项目自评步骤及方法。</w:t>
      </w:r>
    </w:p>
    <w:p>
      <w:pPr>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以项目单位分管绩效评价的领导为组长，财务部门和相关业务部门等有关人员组成评价工作组，由工作组制订评价工作方案，工作组组长审批签发，作为评价组织工作的依据。评价</w:t>
      </w:r>
      <w:r>
        <w:rPr>
          <w:rFonts w:hint="eastAsia" w:ascii="仿宋_GB2312" w:hAnsi="宋体" w:eastAsia="仿宋_GB2312"/>
          <w:color w:val="000000" w:themeColor="text1"/>
          <w:sz w:val="32"/>
          <w:szCs w:val="32"/>
          <w:lang w:val="en-US" w:eastAsia="zh-CN"/>
        </w:rPr>
        <w:t>组</w:t>
      </w:r>
      <w:r>
        <w:rPr>
          <w:rFonts w:hint="eastAsia" w:ascii="仿宋_GB2312" w:hAnsi="宋体" w:eastAsia="仿宋_GB2312"/>
          <w:color w:val="000000" w:themeColor="text1"/>
          <w:sz w:val="32"/>
          <w:szCs w:val="32"/>
          <w:lang w:val="zh-CN"/>
        </w:rPr>
        <w:t>根据评价工作要求，到项目现场采取勘查、问询、复核抽查、测试等多种方式收集基础资料，包括项目实施基本情况、财政资金使用情况、项目相关业务数据、项目运行状况。</w:t>
      </w:r>
      <w:r>
        <w:rPr>
          <w:rFonts w:hint="eastAsia" w:ascii="仿宋_GB2312" w:hAnsi="宋体" w:eastAsia="仿宋_GB2312"/>
          <w:color w:val="000000" w:themeColor="text1"/>
          <w:sz w:val="32"/>
          <w:szCs w:val="32"/>
          <w:lang w:val="en-US" w:eastAsia="zh-CN"/>
        </w:rPr>
        <w:t>以此为</w:t>
      </w:r>
      <w:r>
        <w:rPr>
          <w:rFonts w:hint="eastAsia" w:ascii="仿宋_GB2312" w:hAnsi="宋体" w:eastAsia="仿宋_GB2312"/>
          <w:color w:val="000000" w:themeColor="text1"/>
          <w:sz w:val="32"/>
          <w:szCs w:val="32"/>
          <w:lang w:val="zh-CN"/>
        </w:rPr>
        <w:t>评价</w:t>
      </w:r>
      <w:r>
        <w:rPr>
          <w:rFonts w:hint="eastAsia" w:ascii="仿宋_GB2312" w:hAnsi="宋体" w:eastAsia="仿宋_GB2312"/>
          <w:color w:val="000000" w:themeColor="text1"/>
          <w:sz w:val="32"/>
          <w:szCs w:val="32"/>
          <w:lang w:val="en-US" w:eastAsia="zh-CN"/>
        </w:rPr>
        <w:t>依据</w:t>
      </w:r>
      <w:r>
        <w:rPr>
          <w:rFonts w:hint="eastAsia" w:ascii="仿宋_GB2312" w:hAnsi="宋体" w:eastAsia="仿宋_GB2312"/>
          <w:color w:val="000000" w:themeColor="text1"/>
          <w:sz w:val="32"/>
          <w:szCs w:val="32"/>
          <w:lang w:val="zh-CN"/>
        </w:rPr>
        <w:t>。</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二、项目资金申报及使用情况</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通过实地查看和村民大会的召开讨论，群定好项目的具体内容，询问专业人员确定项目资金的预算及编制实施方案并上报相关部门。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楷体_GB2312" w:hAnsi="宋体" w:eastAsia="楷体_GB2312"/>
          <w:b/>
          <w:color w:val="000000" w:themeColor="text1"/>
          <w:sz w:val="32"/>
          <w:szCs w:val="32"/>
          <w:lang w:val="zh-CN"/>
        </w:rPr>
        <w:t>（二）资金计划、到位及使用情况（可用表格形式反映）。</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1．资金计划。</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楷体_GB2312" w:hAnsi="宋体" w:eastAsia="楷体_GB2312"/>
          <w:color w:val="000000" w:themeColor="text1"/>
          <w:sz w:val="32"/>
          <w:szCs w:val="32"/>
          <w:lang w:val="zh-CN"/>
        </w:rPr>
        <w:t>资金纳入</w:t>
      </w:r>
      <w:r>
        <w:rPr>
          <w:rFonts w:hint="eastAsia" w:ascii="楷体_GB2312" w:hAnsi="宋体" w:eastAsia="楷体_GB2312"/>
          <w:color w:val="000000" w:themeColor="text1"/>
          <w:sz w:val="32"/>
          <w:szCs w:val="32"/>
        </w:rPr>
        <w:t>2019年预算</w:t>
      </w:r>
      <w:r>
        <w:rPr>
          <w:rFonts w:hint="eastAsia" w:ascii="仿宋_GB2312" w:hAnsi="宋体" w:eastAsia="仿宋_GB2312"/>
          <w:color w:val="000000" w:themeColor="text1"/>
          <w:sz w:val="32"/>
          <w:szCs w:val="32"/>
          <w:lang w:val="zh-CN"/>
        </w:rPr>
        <w:t>。</w:t>
      </w:r>
    </w:p>
    <w:p>
      <w:pPr>
        <w:adjustRightInd w:val="0"/>
        <w:snapToGrid w:val="0"/>
        <w:spacing w:line="600" w:lineRule="exact"/>
        <w:ind w:firstLine="72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2．资金到位。</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资金已于201</w:t>
      </w:r>
      <w:r>
        <w:rPr>
          <w:rFonts w:hint="eastAsia" w:ascii="仿宋_GB2312" w:hAnsi="宋体" w:eastAsia="仿宋_GB2312"/>
          <w:color w:val="000000" w:themeColor="text1"/>
          <w:sz w:val="32"/>
          <w:szCs w:val="32"/>
        </w:rPr>
        <w:t>9</w:t>
      </w:r>
      <w:r>
        <w:rPr>
          <w:rFonts w:hint="eastAsia" w:ascii="仿宋_GB2312" w:hAnsi="宋体" w:eastAsia="仿宋_GB2312"/>
          <w:color w:val="000000" w:themeColor="text1"/>
          <w:sz w:val="32"/>
          <w:szCs w:val="32"/>
          <w:lang w:val="zh-CN"/>
        </w:rPr>
        <w:t>年到位，与计划相符合。</w:t>
      </w:r>
    </w:p>
    <w:p>
      <w:pPr>
        <w:numPr>
          <w:ilvl w:val="0"/>
          <w:numId w:val="5"/>
        </w:numPr>
        <w:adjustRightInd w:val="0"/>
        <w:snapToGrid w:val="0"/>
        <w:spacing w:line="600" w:lineRule="exact"/>
        <w:ind w:firstLine="640" w:firstLineChars="200"/>
        <w:rPr>
          <w:rFonts w:ascii="楷体_GB2312" w:hAnsi="宋体" w:eastAsia="楷体_GB2312"/>
          <w:color w:val="000000" w:themeColor="text1"/>
          <w:sz w:val="32"/>
          <w:szCs w:val="32"/>
          <w:lang w:val="zh-CN"/>
        </w:rPr>
      </w:pPr>
      <w:r>
        <w:rPr>
          <w:rFonts w:hint="eastAsia" w:ascii="楷体_GB2312" w:hAnsi="宋体" w:eastAsia="楷体_GB2312"/>
          <w:color w:val="000000" w:themeColor="text1"/>
          <w:sz w:val="32"/>
          <w:szCs w:val="32"/>
          <w:lang w:val="zh-CN"/>
        </w:rPr>
        <w:t>资金使用。</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该项目目前已通过乡村初验，拨付</w:t>
      </w:r>
      <w:r>
        <w:rPr>
          <w:rFonts w:hint="eastAsia" w:ascii="仿宋_GB2312" w:hAnsi="宋体" w:eastAsia="仿宋_GB2312"/>
          <w:color w:val="000000" w:themeColor="text1"/>
          <w:sz w:val="32"/>
          <w:szCs w:val="32"/>
          <w:lang w:val="en-US" w:eastAsia="zh-CN"/>
        </w:rPr>
        <w:t>100</w:t>
      </w:r>
      <w:r>
        <w:rPr>
          <w:rFonts w:hint="eastAsia" w:ascii="仿宋_GB2312" w:hAnsi="宋体" w:eastAsia="仿宋_GB2312"/>
          <w:color w:val="000000" w:themeColor="text1"/>
          <w:sz w:val="32"/>
          <w:szCs w:val="32"/>
        </w:rPr>
        <w:t>%项目款，项目资金与预算相符合。</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（三）项目财务管理情况。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项目资金的使用进行透明化管理，资金的来源及使用途径均已公示公告并成立了以乡纪委成员和村会计的项目资金监管小组做到项目资金用到实处。</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三、项目实施及管理情况</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结合项目组织实施管理办法，重点围绕以下内容进行分析评价，并对自评中发现的问题分析说明。</w:t>
      </w:r>
    </w:p>
    <w:p>
      <w:pPr>
        <w:numPr>
          <w:ilvl w:val="0"/>
          <w:numId w:val="9"/>
        </w:num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项目组织架构及实施流程。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为了使</w:t>
      </w:r>
      <w:r>
        <w:rPr>
          <w:rFonts w:hint="eastAsia" w:ascii="仿宋_GB2312" w:hAnsi="宋体" w:eastAsia="仿宋_GB2312"/>
          <w:color w:val="000000" w:themeColor="text1"/>
          <w:sz w:val="32"/>
          <w:szCs w:val="32"/>
          <w:lang w:val="en-US" w:eastAsia="zh-CN"/>
        </w:rPr>
        <w:t>藏区新居</w:t>
      </w:r>
      <w:r>
        <w:rPr>
          <w:rFonts w:hint="eastAsia" w:ascii="仿宋_GB2312" w:hAnsi="宋体" w:eastAsia="仿宋_GB2312"/>
          <w:color w:val="000000" w:themeColor="text1"/>
          <w:sz w:val="32"/>
          <w:szCs w:val="32"/>
          <w:lang w:val="zh-CN"/>
        </w:rPr>
        <w:t>项目经费形成专款专用的模式，我</w:t>
      </w:r>
      <w:r>
        <w:rPr>
          <w:rFonts w:hint="eastAsia" w:ascii="仿宋_GB2312" w:hAnsi="宋体" w:eastAsia="仿宋_GB2312"/>
          <w:color w:val="000000" w:themeColor="text1"/>
          <w:sz w:val="32"/>
          <w:szCs w:val="32"/>
          <w:lang w:val="en-US" w:eastAsia="zh-CN"/>
        </w:rPr>
        <w:t>乡</w:t>
      </w:r>
      <w:r>
        <w:rPr>
          <w:rFonts w:hint="eastAsia" w:ascii="仿宋_GB2312" w:hAnsi="宋体" w:eastAsia="仿宋_GB2312"/>
          <w:color w:val="000000" w:themeColor="text1"/>
          <w:sz w:val="32"/>
          <w:szCs w:val="32"/>
          <w:lang w:val="zh-CN"/>
        </w:rPr>
        <w:t>成立领导小组，统筹项目整体规划，由</w:t>
      </w:r>
      <w:r>
        <w:rPr>
          <w:rFonts w:hint="eastAsia" w:ascii="仿宋_GB2312" w:hAnsi="宋体" w:eastAsia="仿宋_GB2312"/>
          <w:color w:val="000000" w:themeColor="text1"/>
          <w:sz w:val="32"/>
          <w:szCs w:val="32"/>
          <w:lang w:val="en-US" w:eastAsia="zh-CN"/>
        </w:rPr>
        <w:t>项目办和</w:t>
      </w:r>
      <w:r>
        <w:rPr>
          <w:rFonts w:hint="eastAsia" w:ascii="仿宋_GB2312" w:hAnsi="宋体" w:eastAsia="仿宋_GB2312"/>
          <w:color w:val="000000" w:themeColor="text1"/>
          <w:sz w:val="32"/>
          <w:szCs w:val="32"/>
          <w:lang w:val="zh-CN"/>
        </w:rPr>
        <w:t>财务办公室具体负责项目的实施与管理工作。严格按照相关规定，明确责任，合理分工，密切协作，为项目顺利实施提供保障。</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w:t>
      </w:r>
      <w:r>
        <w:rPr>
          <w:rFonts w:hint="eastAsia" w:ascii="楷体_GB2312" w:hAnsi="宋体" w:eastAsia="楷体_GB2312"/>
          <w:b/>
          <w:color w:val="000000" w:themeColor="text1"/>
          <w:sz w:val="32"/>
          <w:szCs w:val="32"/>
          <w:lang w:val="en-US" w:eastAsia="zh-CN"/>
        </w:rPr>
        <w:t>二</w:t>
      </w:r>
      <w:r>
        <w:rPr>
          <w:rFonts w:hint="eastAsia" w:ascii="楷体_GB2312" w:hAnsi="宋体" w:eastAsia="楷体_GB2312"/>
          <w:b/>
          <w:color w:val="000000" w:themeColor="text1"/>
          <w:sz w:val="32"/>
          <w:szCs w:val="32"/>
          <w:lang w:val="zh-CN"/>
        </w:rPr>
        <w:t>）项目管理情况。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项目资金的使用进行透明化管理，资金的来源及使用途径均已公示公告并成立了以乡纪委成员和村会计的项目资金监管小组做到项目资金用到实处。</w:t>
      </w:r>
    </w:p>
    <w:p>
      <w:pPr>
        <w:numPr>
          <w:ilvl w:val="0"/>
          <w:numId w:val="0"/>
        </w:numPr>
        <w:adjustRightInd w:val="0"/>
        <w:snapToGrid w:val="0"/>
        <w:spacing w:line="600" w:lineRule="exact"/>
        <w:ind w:firstLine="643" w:firstLineChars="20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w:t>
      </w:r>
      <w:r>
        <w:rPr>
          <w:rFonts w:hint="eastAsia" w:ascii="楷体_GB2312" w:hAnsi="宋体" w:eastAsia="楷体_GB2312"/>
          <w:b/>
          <w:color w:val="000000" w:themeColor="text1"/>
          <w:sz w:val="32"/>
          <w:szCs w:val="32"/>
          <w:lang w:val="en-US" w:eastAsia="zh-CN"/>
        </w:rPr>
        <w:t>三</w:t>
      </w:r>
      <w:r>
        <w:rPr>
          <w:rFonts w:hint="eastAsia" w:ascii="楷体_GB2312" w:hAnsi="宋体" w:eastAsia="楷体_GB2312"/>
          <w:b/>
          <w:color w:val="000000" w:themeColor="text1"/>
          <w:sz w:val="32"/>
          <w:szCs w:val="32"/>
          <w:lang w:val="zh-CN"/>
        </w:rPr>
        <w:t>）项目监管情况。</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项目成立了以</w:t>
      </w:r>
      <w:r>
        <w:rPr>
          <w:rFonts w:hint="eastAsia" w:ascii="仿宋_GB2312" w:hAnsi="宋体" w:eastAsia="仿宋_GB2312"/>
          <w:color w:val="000000" w:themeColor="text1"/>
          <w:sz w:val="32"/>
          <w:szCs w:val="32"/>
          <w:lang w:val="en-US" w:eastAsia="zh-CN"/>
        </w:rPr>
        <w:t>乡领导班子</w:t>
      </w:r>
      <w:r>
        <w:rPr>
          <w:rFonts w:hint="eastAsia" w:ascii="仿宋_GB2312" w:hAnsi="宋体" w:eastAsia="仿宋_GB2312"/>
          <w:color w:val="000000" w:themeColor="text1"/>
          <w:sz w:val="32"/>
          <w:szCs w:val="32"/>
          <w:lang w:val="zh-CN"/>
        </w:rPr>
        <w:t>成员牵头的项目理事会，主要负责对项目的推进和项目的监管。制定了一套切实可行的管理制度并与理事会成员的组成进行了为期7日的公示公告，公式期内无异议。</w:t>
      </w:r>
    </w:p>
    <w:p>
      <w:pPr>
        <w:adjustRightInd w:val="0"/>
        <w:snapToGrid w:val="0"/>
        <w:spacing w:line="600" w:lineRule="exact"/>
        <w:ind w:firstLine="720"/>
        <w:rPr>
          <w:rFonts w:ascii="仿宋_GB2312" w:hAnsi="宋体" w:eastAsia="仿宋_GB2312"/>
          <w:color w:val="000000" w:themeColor="text1"/>
          <w:sz w:val="32"/>
          <w:szCs w:val="32"/>
          <w:lang w:val="zh-CN"/>
        </w:rPr>
      </w:pPr>
      <w:r>
        <w:rPr>
          <w:rFonts w:hint="eastAsia" w:ascii="黑体" w:hAnsi="宋体" w:eastAsia="黑体"/>
          <w:color w:val="000000" w:themeColor="text1"/>
          <w:sz w:val="32"/>
          <w:szCs w:val="32"/>
        </w:rPr>
        <w:t>四、项目绩效情况</w:t>
      </w:r>
      <w:r>
        <w:rPr>
          <w:rFonts w:hint="eastAsia" w:ascii="仿宋_GB2312" w:hAnsi="宋体" w:eastAsia="仿宋_GB2312"/>
          <w:color w:val="000000" w:themeColor="text1"/>
          <w:sz w:val="32"/>
          <w:szCs w:val="32"/>
          <w:lang w:val="zh-CN"/>
        </w:rPr>
        <w:tab/>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（一）项目完成情况。</w:t>
      </w:r>
    </w:p>
    <w:p>
      <w:pPr>
        <w:adjustRightInd w:val="0"/>
        <w:snapToGrid w:val="0"/>
        <w:spacing w:line="600" w:lineRule="exact"/>
        <w:ind w:firstLine="640" w:firstLineChars="20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项目的定量指标已按计划实施完成，项目运行达到预期绩效目标。经济效益明显，社会效益显著，完成质量良好。</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（二）项目效益情况。</w:t>
      </w:r>
    </w:p>
    <w:p>
      <w:pPr>
        <w:adjustRightInd w:val="0"/>
        <w:snapToGrid w:val="0"/>
        <w:spacing w:line="600" w:lineRule="exact"/>
        <w:ind w:firstLine="72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围绕“持续输血、强化造血，防止失血”三个环节，进一步完善政策，破解深度贫困地区脱贫制约瓶颈。</w:t>
      </w:r>
    </w:p>
    <w:p>
      <w:pPr>
        <w:adjustRightInd w:val="0"/>
        <w:snapToGrid w:val="0"/>
        <w:spacing w:line="600" w:lineRule="exact"/>
        <w:ind w:firstLine="720"/>
        <w:rPr>
          <w:rFonts w:ascii="黑体" w:hAnsi="宋体" w:eastAsia="黑体"/>
          <w:color w:val="000000" w:themeColor="text1"/>
          <w:sz w:val="32"/>
          <w:szCs w:val="32"/>
        </w:rPr>
      </w:pPr>
      <w:r>
        <w:rPr>
          <w:rFonts w:hint="eastAsia" w:ascii="黑体" w:hAnsi="宋体" w:eastAsia="黑体"/>
          <w:color w:val="000000" w:themeColor="text1"/>
          <w:sz w:val="32"/>
          <w:szCs w:val="32"/>
        </w:rPr>
        <w:t>五、评价结论及建议</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（一）评价结论。</w:t>
      </w:r>
    </w:p>
    <w:p>
      <w:pPr>
        <w:adjustRightInd w:val="0"/>
        <w:snapToGrid w:val="0"/>
        <w:spacing w:line="600" w:lineRule="exact"/>
        <w:ind w:firstLine="720"/>
        <w:rPr>
          <w:rFonts w:hint="eastAsia"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 xml:space="preserve">充分激发贫困群众内生动力，増强脱贫奔康信心，通过集中带动分散的方式、从根本上解决搬迁后续脱贫发展动力不足的问题。 </w:t>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（二）存在的问题。</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项目建成后，后期维护不到位。</w:t>
      </w:r>
      <w:r>
        <w:rPr>
          <w:rFonts w:hint="eastAsia" w:ascii="仿宋_GB2312" w:hAnsi="宋体" w:eastAsia="仿宋_GB2312"/>
          <w:color w:val="000000" w:themeColor="text1"/>
          <w:sz w:val="32"/>
          <w:szCs w:val="32"/>
          <w:lang w:val="zh-CN"/>
        </w:rPr>
        <w:tab/>
      </w:r>
    </w:p>
    <w:p>
      <w:pPr>
        <w:adjustRightInd w:val="0"/>
        <w:snapToGrid w:val="0"/>
        <w:spacing w:line="600" w:lineRule="exact"/>
        <w:ind w:firstLine="720"/>
        <w:rPr>
          <w:rFonts w:ascii="楷体_GB2312" w:hAnsi="宋体" w:eastAsia="楷体_GB2312"/>
          <w:b/>
          <w:color w:val="000000" w:themeColor="text1"/>
          <w:sz w:val="32"/>
          <w:szCs w:val="32"/>
          <w:lang w:val="zh-CN"/>
        </w:rPr>
      </w:pPr>
      <w:r>
        <w:rPr>
          <w:rFonts w:hint="eastAsia" w:ascii="楷体_GB2312" w:hAnsi="宋体" w:eastAsia="楷体_GB2312"/>
          <w:b/>
          <w:color w:val="000000" w:themeColor="text1"/>
          <w:sz w:val="32"/>
          <w:szCs w:val="32"/>
          <w:lang w:val="zh-CN"/>
        </w:rPr>
        <w:t>（三）相关建议。</w:t>
      </w:r>
    </w:p>
    <w:p>
      <w:pPr>
        <w:adjustRightInd w:val="0"/>
        <w:snapToGrid w:val="0"/>
        <w:spacing w:line="600" w:lineRule="exact"/>
        <w:ind w:firstLine="640" w:firstLineChars="200"/>
        <w:rPr>
          <w:rFonts w:ascii="仿宋_GB2312" w:hAnsi="宋体" w:eastAsia="仿宋_GB2312"/>
          <w:color w:val="000000" w:themeColor="text1"/>
          <w:sz w:val="32"/>
          <w:szCs w:val="32"/>
          <w:lang w:val="zh-CN"/>
        </w:rPr>
      </w:pPr>
      <w:r>
        <w:rPr>
          <w:rFonts w:hint="eastAsia" w:ascii="仿宋_GB2312" w:hAnsi="宋体" w:eastAsia="仿宋_GB2312"/>
          <w:color w:val="000000" w:themeColor="text1"/>
          <w:sz w:val="32"/>
          <w:szCs w:val="32"/>
          <w:lang w:val="zh-CN"/>
        </w:rPr>
        <w:t>建议上级部门拨付后期专项维护费用。</w:t>
      </w:r>
    </w:p>
    <w:p>
      <w:pPr>
        <w:pStyle w:val="2"/>
        <w:ind w:left="0" w:leftChars="0" w:firstLine="0" w:firstLineChars="0"/>
        <w:rPr>
          <w:rStyle w:val="27"/>
          <w:rFonts w:ascii="黑体" w:hAnsi="黑体" w:eastAsia="黑体"/>
          <w:b w:val="0"/>
          <w:color w:val="000000" w:themeColor="text1"/>
        </w:rPr>
      </w:pPr>
    </w:p>
    <w:p>
      <w:pPr>
        <w:spacing w:line="600" w:lineRule="exact"/>
        <w:jc w:val="center"/>
        <w:outlineLvl w:val="0"/>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rPr>
          <w:rStyle w:val="27"/>
          <w:rFonts w:ascii="黑体" w:hAnsi="黑体" w:eastAsia="黑体"/>
          <w:b w:val="0"/>
          <w:color w:val="000000" w:themeColor="text1"/>
        </w:rPr>
      </w:pPr>
    </w:p>
    <w:p>
      <w:pPr>
        <w:pStyle w:val="2"/>
        <w:ind w:left="0" w:leftChars="0" w:firstLine="0" w:firstLineChars="0"/>
        <w:rPr>
          <w:rStyle w:val="27"/>
          <w:rFonts w:ascii="黑体" w:hAnsi="黑体" w:eastAsia="黑体"/>
          <w:b w:val="0"/>
          <w:color w:val="000000" w:themeColor="text1"/>
        </w:rPr>
      </w:pPr>
    </w:p>
    <w:p>
      <w:pPr>
        <w:spacing w:line="600" w:lineRule="exact"/>
        <w:jc w:val="center"/>
        <w:outlineLvl w:val="0"/>
        <w:rPr>
          <w:rStyle w:val="27"/>
          <w:rFonts w:ascii="黑体" w:hAnsi="黑体" w:eastAsia="黑体"/>
          <w:b w:val="0"/>
          <w:color w:val="000000" w:themeColor="text1"/>
        </w:rPr>
      </w:pPr>
      <w:bookmarkStart w:id="99" w:name="_Toc15396618"/>
      <w:bookmarkStart w:id="100" w:name="_Toc4977"/>
      <w:r>
        <w:rPr>
          <w:rFonts w:hint="eastAsia" w:ascii="黑体" w:hAnsi="黑体" w:eastAsia="黑体"/>
          <w:color w:val="000000" w:themeColor="text1"/>
          <w:sz w:val="44"/>
          <w:szCs w:val="44"/>
        </w:rPr>
        <w:t>第</w:t>
      </w:r>
      <w:r>
        <w:rPr>
          <w:rStyle w:val="27"/>
          <w:rFonts w:hint="eastAsia" w:ascii="黑体" w:hAnsi="黑体" w:eastAsia="黑体"/>
          <w:b w:val="0"/>
          <w:color w:val="000000" w:themeColor="text1"/>
        </w:rPr>
        <w:t>五部分 附表</w:t>
      </w:r>
      <w:bookmarkEnd w:id="94"/>
      <w:bookmarkEnd w:id="99"/>
      <w:bookmarkEnd w:id="100"/>
    </w:p>
    <w:p>
      <w:pPr>
        <w:spacing w:line="600" w:lineRule="exact"/>
        <w:jc w:val="center"/>
        <w:outlineLvl w:val="0"/>
        <w:rPr>
          <w:rFonts w:ascii="仿宋" w:hAnsi="仿宋" w:eastAsia="仿宋"/>
          <w:b/>
          <w:color w:val="000000" w:themeColor="text1"/>
          <w:sz w:val="44"/>
          <w:szCs w:val="44"/>
        </w:rPr>
      </w:pPr>
    </w:p>
    <w:p>
      <w:pPr>
        <w:pStyle w:val="5"/>
        <w:rPr>
          <w:rFonts w:ascii="仿宋" w:hAnsi="仿宋" w:eastAsia="仿宋"/>
          <w:color w:val="000000" w:themeColor="text1"/>
        </w:rPr>
      </w:pPr>
      <w:bookmarkStart w:id="101" w:name="_Toc15396619"/>
      <w:bookmarkStart w:id="102" w:name="_Toc27980"/>
      <w:r>
        <w:rPr>
          <w:rFonts w:hint="eastAsia" w:ascii="仿宋" w:hAnsi="仿宋" w:eastAsia="仿宋"/>
          <w:b w:val="0"/>
          <w:color w:val="000000" w:themeColor="text1"/>
        </w:rPr>
        <w:t>一、收</w:t>
      </w:r>
      <w:r>
        <w:rPr>
          <w:rStyle w:val="28"/>
          <w:rFonts w:hint="eastAsia" w:ascii="仿宋" w:hAnsi="仿宋" w:eastAsia="仿宋"/>
          <w:b w:val="0"/>
          <w:bCs w:val="0"/>
          <w:color w:val="000000" w:themeColor="text1"/>
        </w:rPr>
        <w:t>入支出决算总表</w:t>
      </w:r>
      <w:bookmarkEnd w:id="101"/>
      <w:bookmarkEnd w:id="102"/>
    </w:p>
    <w:p>
      <w:pPr>
        <w:pStyle w:val="5"/>
        <w:rPr>
          <w:rFonts w:ascii="仿宋" w:hAnsi="仿宋" w:eastAsia="仿宋"/>
          <w:color w:val="000000" w:themeColor="text1"/>
        </w:rPr>
      </w:pPr>
      <w:bookmarkStart w:id="103" w:name="_Toc15396620"/>
      <w:bookmarkStart w:id="104" w:name="_Toc3825"/>
      <w:r>
        <w:rPr>
          <w:rFonts w:hint="eastAsia" w:ascii="仿宋" w:hAnsi="仿宋" w:eastAsia="仿宋"/>
          <w:b w:val="0"/>
          <w:color w:val="000000" w:themeColor="text1"/>
        </w:rPr>
        <w:t>二、收</w:t>
      </w:r>
      <w:r>
        <w:rPr>
          <w:rStyle w:val="28"/>
          <w:rFonts w:hint="eastAsia" w:ascii="仿宋" w:hAnsi="仿宋" w:eastAsia="仿宋"/>
          <w:b w:val="0"/>
          <w:bCs w:val="0"/>
          <w:color w:val="000000" w:themeColor="text1"/>
        </w:rPr>
        <w:t>入决算表</w:t>
      </w:r>
      <w:bookmarkEnd w:id="103"/>
      <w:bookmarkEnd w:id="104"/>
    </w:p>
    <w:p>
      <w:pPr>
        <w:pStyle w:val="5"/>
        <w:rPr>
          <w:rFonts w:ascii="仿宋" w:hAnsi="仿宋" w:eastAsia="仿宋"/>
          <w:color w:val="000000" w:themeColor="text1"/>
        </w:rPr>
      </w:pPr>
      <w:bookmarkStart w:id="105" w:name="_Toc3027"/>
      <w:bookmarkStart w:id="106" w:name="_Toc15396621"/>
      <w:r>
        <w:rPr>
          <w:rStyle w:val="28"/>
          <w:rFonts w:hint="eastAsia" w:ascii="仿宋" w:hAnsi="仿宋" w:eastAsia="仿宋"/>
          <w:b w:val="0"/>
          <w:bCs w:val="0"/>
          <w:color w:val="000000" w:themeColor="text1"/>
        </w:rPr>
        <w:t>三、</w:t>
      </w:r>
      <w:r>
        <w:rPr>
          <w:rFonts w:hint="eastAsia" w:ascii="仿宋" w:hAnsi="仿宋" w:eastAsia="仿宋"/>
          <w:b w:val="0"/>
          <w:color w:val="000000" w:themeColor="text1"/>
        </w:rPr>
        <w:t>支</w:t>
      </w:r>
      <w:r>
        <w:rPr>
          <w:rStyle w:val="28"/>
          <w:rFonts w:hint="eastAsia" w:ascii="仿宋" w:hAnsi="仿宋" w:eastAsia="仿宋"/>
          <w:b w:val="0"/>
          <w:bCs w:val="0"/>
          <w:color w:val="000000" w:themeColor="text1"/>
        </w:rPr>
        <w:t>出决算表</w:t>
      </w:r>
      <w:bookmarkEnd w:id="105"/>
      <w:bookmarkEnd w:id="106"/>
    </w:p>
    <w:p>
      <w:pPr>
        <w:pStyle w:val="5"/>
        <w:rPr>
          <w:rFonts w:ascii="仿宋" w:hAnsi="仿宋" w:eastAsia="仿宋"/>
          <w:b w:val="0"/>
          <w:color w:val="000000" w:themeColor="text1"/>
        </w:rPr>
      </w:pPr>
      <w:bookmarkStart w:id="107" w:name="_Toc15396622"/>
      <w:bookmarkStart w:id="108" w:name="_Toc24940"/>
      <w:r>
        <w:rPr>
          <w:rStyle w:val="28"/>
          <w:rFonts w:hint="eastAsia" w:ascii="仿宋" w:hAnsi="仿宋" w:eastAsia="仿宋"/>
          <w:b w:val="0"/>
          <w:bCs w:val="0"/>
          <w:color w:val="000000" w:themeColor="text1"/>
        </w:rPr>
        <w:t>四、</w:t>
      </w:r>
      <w:r>
        <w:rPr>
          <w:rFonts w:hint="eastAsia" w:ascii="仿宋" w:hAnsi="仿宋" w:eastAsia="仿宋"/>
          <w:b w:val="0"/>
          <w:color w:val="000000" w:themeColor="text1"/>
        </w:rPr>
        <w:t>财</w:t>
      </w:r>
      <w:r>
        <w:rPr>
          <w:rStyle w:val="28"/>
          <w:rFonts w:hint="eastAsia" w:ascii="仿宋" w:hAnsi="仿宋" w:eastAsia="仿宋"/>
          <w:b w:val="0"/>
          <w:bCs w:val="0"/>
          <w:color w:val="000000" w:themeColor="text1"/>
        </w:rPr>
        <w:t>政拨款收入支出决算总表</w:t>
      </w:r>
      <w:bookmarkEnd w:id="107"/>
      <w:bookmarkEnd w:id="108"/>
    </w:p>
    <w:p>
      <w:pPr>
        <w:pStyle w:val="5"/>
        <w:rPr>
          <w:rStyle w:val="28"/>
          <w:rFonts w:ascii="仿宋" w:hAnsi="仿宋" w:eastAsia="仿宋"/>
          <w:b w:val="0"/>
          <w:bCs w:val="0"/>
          <w:color w:val="000000" w:themeColor="text1"/>
        </w:rPr>
      </w:pPr>
      <w:bookmarkStart w:id="109" w:name="_Toc15396623"/>
      <w:bookmarkStart w:id="110" w:name="_Toc26327"/>
      <w:r>
        <w:rPr>
          <w:rStyle w:val="28"/>
          <w:rFonts w:hint="eastAsia" w:ascii="仿宋" w:hAnsi="仿宋" w:eastAsia="仿宋"/>
          <w:b w:val="0"/>
          <w:bCs w:val="0"/>
          <w:color w:val="000000" w:themeColor="text1"/>
        </w:rPr>
        <w:t>五、</w:t>
      </w:r>
      <w:r>
        <w:rPr>
          <w:rFonts w:hint="eastAsia" w:ascii="仿宋" w:hAnsi="仿宋" w:eastAsia="仿宋"/>
          <w:b w:val="0"/>
          <w:color w:val="000000" w:themeColor="text1"/>
        </w:rPr>
        <w:t>财</w:t>
      </w:r>
      <w:r>
        <w:rPr>
          <w:rStyle w:val="28"/>
          <w:rFonts w:hint="eastAsia" w:ascii="仿宋" w:hAnsi="仿宋" w:eastAsia="仿宋"/>
          <w:b w:val="0"/>
          <w:bCs w:val="0"/>
          <w:color w:val="000000" w:themeColor="text1"/>
        </w:rPr>
        <w:t>政拨款支出决算明细表</w:t>
      </w:r>
      <w:bookmarkEnd w:id="109"/>
      <w:bookmarkEnd w:id="110"/>
      <w:bookmarkStart w:id="111" w:name="_Toc15396624"/>
    </w:p>
    <w:p>
      <w:pPr>
        <w:pStyle w:val="5"/>
        <w:rPr>
          <w:rFonts w:ascii="仿宋" w:hAnsi="仿宋" w:eastAsia="仿宋"/>
          <w:color w:val="000000" w:themeColor="text1"/>
        </w:rPr>
      </w:pPr>
      <w:bookmarkStart w:id="112" w:name="_Toc17188"/>
      <w:r>
        <w:rPr>
          <w:rStyle w:val="28"/>
          <w:rFonts w:hint="eastAsia" w:ascii="仿宋" w:hAnsi="仿宋" w:eastAsia="仿宋"/>
          <w:b w:val="0"/>
          <w:bCs w:val="0"/>
          <w:color w:val="000000" w:themeColor="text1"/>
        </w:rPr>
        <w:t>六、</w:t>
      </w:r>
      <w:r>
        <w:rPr>
          <w:rFonts w:hint="eastAsia" w:ascii="仿宋" w:hAnsi="仿宋" w:eastAsia="仿宋"/>
          <w:b w:val="0"/>
          <w:color w:val="000000" w:themeColor="text1"/>
        </w:rPr>
        <w:t>一</w:t>
      </w:r>
      <w:r>
        <w:rPr>
          <w:rStyle w:val="28"/>
          <w:rFonts w:hint="eastAsia" w:ascii="仿宋" w:hAnsi="仿宋" w:eastAsia="仿宋"/>
          <w:b w:val="0"/>
          <w:bCs w:val="0"/>
          <w:color w:val="000000" w:themeColor="text1"/>
        </w:rPr>
        <w:t>般公共预算财政拨款支出决算表</w:t>
      </w:r>
      <w:bookmarkEnd w:id="111"/>
      <w:bookmarkEnd w:id="112"/>
    </w:p>
    <w:p>
      <w:pPr>
        <w:pStyle w:val="5"/>
        <w:rPr>
          <w:rFonts w:ascii="仿宋" w:hAnsi="仿宋" w:eastAsia="仿宋"/>
          <w:color w:val="000000" w:themeColor="text1"/>
        </w:rPr>
      </w:pPr>
      <w:bookmarkStart w:id="113" w:name="_Toc15396625"/>
      <w:bookmarkStart w:id="114" w:name="_Toc11009"/>
      <w:r>
        <w:rPr>
          <w:rStyle w:val="28"/>
          <w:rFonts w:hint="eastAsia" w:ascii="仿宋" w:hAnsi="仿宋" w:eastAsia="仿宋"/>
          <w:b w:val="0"/>
          <w:bCs w:val="0"/>
          <w:color w:val="000000" w:themeColor="text1"/>
        </w:rPr>
        <w:t>七、</w:t>
      </w:r>
      <w:r>
        <w:rPr>
          <w:rFonts w:hint="eastAsia" w:ascii="仿宋" w:hAnsi="仿宋" w:eastAsia="仿宋"/>
          <w:b w:val="0"/>
          <w:color w:val="000000" w:themeColor="text1"/>
        </w:rPr>
        <w:t>一</w:t>
      </w:r>
      <w:r>
        <w:rPr>
          <w:rStyle w:val="28"/>
          <w:rFonts w:hint="eastAsia" w:ascii="仿宋" w:hAnsi="仿宋" w:eastAsia="仿宋"/>
          <w:b w:val="0"/>
          <w:bCs w:val="0"/>
          <w:color w:val="000000" w:themeColor="text1"/>
        </w:rPr>
        <w:t>般公共预算财政拨款支出决算明细表</w:t>
      </w:r>
      <w:bookmarkEnd w:id="113"/>
      <w:bookmarkEnd w:id="114"/>
    </w:p>
    <w:p>
      <w:pPr>
        <w:pStyle w:val="5"/>
        <w:rPr>
          <w:rFonts w:ascii="仿宋" w:hAnsi="仿宋" w:eastAsia="仿宋"/>
          <w:color w:val="000000" w:themeColor="text1"/>
        </w:rPr>
      </w:pPr>
      <w:bookmarkStart w:id="115" w:name="_Toc15396626"/>
      <w:bookmarkStart w:id="116" w:name="_Toc30151"/>
      <w:r>
        <w:rPr>
          <w:rStyle w:val="28"/>
          <w:rFonts w:hint="eastAsia" w:ascii="仿宋" w:hAnsi="仿宋" w:eastAsia="仿宋"/>
          <w:b w:val="0"/>
          <w:bCs w:val="0"/>
          <w:color w:val="000000" w:themeColor="text1"/>
        </w:rPr>
        <w:t>八、</w:t>
      </w:r>
      <w:r>
        <w:rPr>
          <w:rFonts w:hint="eastAsia" w:ascii="仿宋" w:hAnsi="仿宋" w:eastAsia="仿宋"/>
          <w:b w:val="0"/>
          <w:color w:val="000000" w:themeColor="text1"/>
        </w:rPr>
        <w:t>一</w:t>
      </w:r>
      <w:r>
        <w:rPr>
          <w:rStyle w:val="28"/>
          <w:rFonts w:hint="eastAsia" w:ascii="仿宋" w:hAnsi="仿宋" w:eastAsia="仿宋"/>
          <w:b w:val="0"/>
          <w:bCs w:val="0"/>
          <w:color w:val="000000" w:themeColor="text1"/>
        </w:rPr>
        <w:t>般公共预算财政拨款基本支出决算表</w:t>
      </w:r>
      <w:bookmarkEnd w:id="115"/>
      <w:bookmarkEnd w:id="116"/>
    </w:p>
    <w:p>
      <w:pPr>
        <w:pStyle w:val="5"/>
        <w:rPr>
          <w:rFonts w:ascii="仿宋" w:hAnsi="仿宋" w:eastAsia="仿宋"/>
          <w:color w:val="000000" w:themeColor="text1"/>
        </w:rPr>
      </w:pPr>
      <w:bookmarkStart w:id="117" w:name="_Toc15396627"/>
      <w:bookmarkStart w:id="118" w:name="_Toc25680"/>
      <w:r>
        <w:rPr>
          <w:rStyle w:val="28"/>
          <w:rFonts w:hint="eastAsia" w:ascii="仿宋" w:hAnsi="仿宋" w:eastAsia="仿宋"/>
          <w:b w:val="0"/>
          <w:bCs w:val="0"/>
          <w:color w:val="000000" w:themeColor="text1"/>
        </w:rPr>
        <w:t>九、</w:t>
      </w:r>
      <w:r>
        <w:rPr>
          <w:rFonts w:hint="eastAsia" w:ascii="仿宋" w:hAnsi="仿宋" w:eastAsia="仿宋"/>
          <w:b w:val="0"/>
          <w:color w:val="000000" w:themeColor="text1"/>
        </w:rPr>
        <w:t>一</w:t>
      </w:r>
      <w:r>
        <w:rPr>
          <w:rStyle w:val="28"/>
          <w:rFonts w:hint="eastAsia" w:ascii="仿宋" w:hAnsi="仿宋" w:eastAsia="仿宋"/>
          <w:b w:val="0"/>
          <w:bCs w:val="0"/>
          <w:color w:val="000000" w:themeColor="text1"/>
        </w:rPr>
        <w:t>般公共预算财政拨款项目支出决算表</w:t>
      </w:r>
      <w:bookmarkEnd w:id="117"/>
      <w:bookmarkEnd w:id="118"/>
    </w:p>
    <w:p>
      <w:pPr>
        <w:pStyle w:val="5"/>
        <w:rPr>
          <w:rFonts w:ascii="仿宋" w:hAnsi="仿宋" w:eastAsia="仿宋"/>
          <w:color w:val="000000" w:themeColor="text1"/>
        </w:rPr>
      </w:pPr>
      <w:bookmarkStart w:id="119" w:name="_Toc27223"/>
      <w:bookmarkStart w:id="120" w:name="_Toc15396628"/>
      <w:r>
        <w:rPr>
          <w:rStyle w:val="28"/>
          <w:rFonts w:hint="eastAsia" w:ascii="仿宋" w:hAnsi="仿宋" w:eastAsia="仿宋"/>
          <w:b w:val="0"/>
          <w:bCs w:val="0"/>
          <w:color w:val="000000" w:themeColor="text1"/>
        </w:rPr>
        <w:t>十、</w:t>
      </w:r>
      <w:r>
        <w:rPr>
          <w:rFonts w:hint="eastAsia" w:ascii="仿宋" w:hAnsi="仿宋" w:eastAsia="仿宋"/>
          <w:b w:val="0"/>
          <w:color w:val="000000" w:themeColor="text1"/>
        </w:rPr>
        <w:t>一</w:t>
      </w:r>
      <w:r>
        <w:rPr>
          <w:rStyle w:val="28"/>
          <w:rFonts w:hint="eastAsia" w:ascii="仿宋" w:hAnsi="仿宋" w:eastAsia="仿宋"/>
          <w:b w:val="0"/>
          <w:bCs w:val="0"/>
          <w:color w:val="000000" w:themeColor="text1"/>
        </w:rPr>
        <w:t>般公共预算财政拨款“三公”经费支出决算表</w:t>
      </w:r>
      <w:bookmarkEnd w:id="119"/>
      <w:bookmarkEnd w:id="120"/>
    </w:p>
    <w:p>
      <w:pPr>
        <w:pStyle w:val="5"/>
        <w:rPr>
          <w:rFonts w:ascii="仿宋" w:hAnsi="仿宋" w:eastAsia="仿宋"/>
          <w:color w:val="000000" w:themeColor="text1"/>
        </w:rPr>
      </w:pPr>
      <w:bookmarkStart w:id="121" w:name="_Toc15396629"/>
      <w:bookmarkStart w:id="122" w:name="_Toc26828"/>
      <w:r>
        <w:rPr>
          <w:rStyle w:val="28"/>
          <w:rFonts w:hint="eastAsia" w:ascii="仿宋" w:hAnsi="仿宋" w:eastAsia="仿宋"/>
          <w:b w:val="0"/>
          <w:bCs w:val="0"/>
          <w:color w:val="000000" w:themeColor="text1"/>
        </w:rPr>
        <w:t>十一、</w:t>
      </w:r>
      <w:r>
        <w:rPr>
          <w:rFonts w:hint="eastAsia" w:ascii="仿宋" w:hAnsi="仿宋" w:eastAsia="仿宋"/>
          <w:b w:val="0"/>
          <w:color w:val="000000" w:themeColor="text1"/>
        </w:rPr>
        <w:t>政</w:t>
      </w:r>
      <w:r>
        <w:rPr>
          <w:rStyle w:val="28"/>
          <w:rFonts w:hint="eastAsia" w:ascii="仿宋" w:hAnsi="仿宋" w:eastAsia="仿宋"/>
          <w:b w:val="0"/>
          <w:bCs w:val="0"/>
          <w:color w:val="000000" w:themeColor="text1"/>
        </w:rPr>
        <w:t>府性基金预算财政拨款收入支出决算表</w:t>
      </w:r>
      <w:bookmarkEnd w:id="121"/>
      <w:bookmarkEnd w:id="122"/>
    </w:p>
    <w:p>
      <w:pPr>
        <w:pStyle w:val="5"/>
        <w:rPr>
          <w:rFonts w:ascii="仿宋" w:hAnsi="仿宋" w:eastAsia="仿宋"/>
          <w:color w:val="000000" w:themeColor="text1"/>
        </w:rPr>
      </w:pPr>
      <w:bookmarkStart w:id="123" w:name="_Toc27524"/>
      <w:bookmarkStart w:id="124" w:name="_Toc15396630"/>
      <w:r>
        <w:rPr>
          <w:rStyle w:val="28"/>
          <w:rFonts w:hint="eastAsia" w:ascii="仿宋" w:hAnsi="仿宋" w:eastAsia="仿宋"/>
          <w:b w:val="0"/>
          <w:bCs w:val="0"/>
          <w:color w:val="000000" w:themeColor="text1"/>
        </w:rPr>
        <w:t>十二、</w:t>
      </w:r>
      <w:r>
        <w:rPr>
          <w:rFonts w:hint="eastAsia" w:ascii="仿宋" w:hAnsi="仿宋" w:eastAsia="仿宋"/>
          <w:b w:val="0"/>
          <w:color w:val="000000" w:themeColor="text1"/>
        </w:rPr>
        <w:t>政</w:t>
      </w:r>
      <w:r>
        <w:rPr>
          <w:rStyle w:val="28"/>
          <w:rFonts w:hint="eastAsia" w:ascii="仿宋" w:hAnsi="仿宋" w:eastAsia="仿宋"/>
          <w:b w:val="0"/>
          <w:bCs w:val="0"/>
          <w:color w:val="000000" w:themeColor="text1"/>
        </w:rPr>
        <w:t>府性基金预算财政拨款“三公”经费支出决算表</w:t>
      </w:r>
      <w:bookmarkEnd w:id="123"/>
      <w:bookmarkEnd w:id="124"/>
    </w:p>
    <w:p>
      <w:pPr>
        <w:pStyle w:val="5"/>
        <w:rPr>
          <w:rFonts w:ascii="仿宋" w:hAnsi="仿宋" w:eastAsia="仿宋"/>
          <w:color w:val="000000" w:themeColor="text1"/>
        </w:rPr>
      </w:pPr>
      <w:bookmarkStart w:id="125" w:name="_Toc6662"/>
      <w:bookmarkStart w:id="126" w:name="_Toc15396631"/>
      <w:r>
        <w:rPr>
          <w:rStyle w:val="28"/>
          <w:rFonts w:hint="eastAsia" w:ascii="仿宋" w:hAnsi="仿宋" w:eastAsia="仿宋"/>
          <w:b w:val="0"/>
          <w:bCs w:val="0"/>
          <w:color w:val="000000" w:themeColor="text1"/>
        </w:rPr>
        <w:t>十三、</w:t>
      </w:r>
      <w:r>
        <w:rPr>
          <w:rFonts w:hint="eastAsia" w:ascii="仿宋" w:hAnsi="仿宋" w:eastAsia="仿宋"/>
          <w:b w:val="0"/>
          <w:color w:val="000000" w:themeColor="text1"/>
        </w:rPr>
        <w:t>国</w:t>
      </w:r>
      <w:r>
        <w:rPr>
          <w:rStyle w:val="28"/>
          <w:rFonts w:hint="eastAsia" w:ascii="仿宋" w:hAnsi="仿宋" w:eastAsia="仿宋"/>
          <w:b w:val="0"/>
          <w:bCs w:val="0"/>
          <w:color w:val="000000" w:themeColor="text1"/>
        </w:rPr>
        <w:t>有资本经营预算支出决算表</w:t>
      </w:r>
      <w:bookmarkEnd w:id="125"/>
      <w:bookmarkEnd w:id="12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23088E"/>
    <w:multiLevelType w:val="singleLevel"/>
    <w:tmpl w:val="A623088E"/>
    <w:lvl w:ilvl="0" w:tentative="0">
      <w:start w:val="3"/>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475DD3"/>
    <w:multiLevelType w:val="singleLevel"/>
    <w:tmpl w:val="E2475DD3"/>
    <w:lvl w:ilvl="0" w:tentative="0">
      <w:start w:val="2"/>
      <w:numFmt w:val="decimal"/>
      <w:suff w:val="nothing"/>
      <w:lvlText w:val="%1．"/>
      <w:lvlJc w:val="left"/>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62C5CC6"/>
    <w:multiLevelType w:val="singleLevel"/>
    <w:tmpl w:val="E62C5CC6"/>
    <w:lvl w:ilvl="0" w:tentative="0">
      <w:start w:val="2"/>
      <w:numFmt w:val="chineseCounting"/>
      <w:suff w:val="nothing"/>
      <w:lvlText w:val="（%1）"/>
      <w:lvlJc w:val="left"/>
      <w:rPr>
        <w:rFonts w:hint="eastAsia"/>
      </w:rPr>
    </w:lvl>
  </w:abstractNum>
  <w:abstractNum w:abstractNumId="5">
    <w:nsid w:val="02401670"/>
    <w:multiLevelType w:val="singleLevel"/>
    <w:tmpl w:val="02401670"/>
    <w:lvl w:ilvl="0" w:tentative="0">
      <w:start w:val="5"/>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42B4C073"/>
    <w:multiLevelType w:val="singleLevel"/>
    <w:tmpl w:val="42B4C073"/>
    <w:lvl w:ilvl="0" w:tentative="0">
      <w:start w:val="3"/>
      <w:numFmt w:val="chineseCounting"/>
      <w:suff w:val="nothing"/>
      <w:lvlText w:val="（%1）"/>
      <w:lvlJc w:val="left"/>
      <w:rPr>
        <w:rFonts w:hint="eastAsia"/>
      </w:rPr>
    </w:lvl>
  </w:abstractNum>
  <w:abstractNum w:abstractNumId="8">
    <w:nsid w:val="6B25997A"/>
    <w:multiLevelType w:val="singleLevel"/>
    <w:tmpl w:val="6B25997A"/>
    <w:lvl w:ilvl="0" w:tentative="0">
      <w:start w:val="1"/>
      <w:numFmt w:val="chineseCounting"/>
      <w:suff w:val="nothing"/>
      <w:lvlText w:val="（%1）"/>
      <w:lvlJc w:val="left"/>
      <w:rPr>
        <w:rFonts w:hint="eastAsia"/>
      </w:rPr>
    </w:lvl>
  </w:abstractNum>
  <w:abstractNum w:abstractNumId="9">
    <w:nsid w:val="6FF1A95B"/>
    <w:multiLevelType w:val="singleLevel"/>
    <w:tmpl w:val="6FF1A95B"/>
    <w:lvl w:ilvl="0" w:tentative="0">
      <w:start w:val="1"/>
      <w:numFmt w:val="decimal"/>
      <w:lvlText w:val="%1."/>
      <w:lvlJc w:val="left"/>
      <w:pPr>
        <w:tabs>
          <w:tab w:val="left" w:pos="312"/>
        </w:tabs>
      </w:pPr>
    </w:lvl>
  </w:abstractNum>
  <w:num w:numId="1">
    <w:abstractNumId w:val="5"/>
  </w:num>
  <w:num w:numId="2">
    <w:abstractNumId w:val="6"/>
  </w:num>
  <w:num w:numId="3">
    <w:abstractNumId w:val="0"/>
  </w:num>
  <w:num w:numId="4">
    <w:abstractNumId w:val="1"/>
  </w:num>
  <w:num w:numId="5">
    <w:abstractNumId w:val="9"/>
  </w:num>
  <w:num w:numId="6">
    <w:abstractNumId w:val="3"/>
  </w:num>
  <w:num w:numId="7">
    <w:abstractNumId w:val="7"/>
  </w:num>
  <w:num w:numId="8">
    <w:abstractNumId w:val="4"/>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50E"/>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343CC"/>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7F76A1"/>
    <w:rsid w:val="00800112"/>
    <w:rsid w:val="00813348"/>
    <w:rsid w:val="008253BB"/>
    <w:rsid w:val="00833962"/>
    <w:rsid w:val="0083706E"/>
    <w:rsid w:val="008408F6"/>
    <w:rsid w:val="008423A5"/>
    <w:rsid w:val="00850625"/>
    <w:rsid w:val="00853718"/>
    <w:rsid w:val="00855221"/>
    <w:rsid w:val="00860645"/>
    <w:rsid w:val="00871F71"/>
    <w:rsid w:val="00872FD8"/>
    <w:rsid w:val="0088177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159D"/>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4F1B"/>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330F52"/>
    <w:rsid w:val="01437C4D"/>
    <w:rsid w:val="02A77DB1"/>
    <w:rsid w:val="06392B82"/>
    <w:rsid w:val="06A648FE"/>
    <w:rsid w:val="08017BD4"/>
    <w:rsid w:val="088601D7"/>
    <w:rsid w:val="093932AE"/>
    <w:rsid w:val="0B92464D"/>
    <w:rsid w:val="0CE5081B"/>
    <w:rsid w:val="0CF27549"/>
    <w:rsid w:val="10950FD6"/>
    <w:rsid w:val="10A71C6C"/>
    <w:rsid w:val="10C055FF"/>
    <w:rsid w:val="11D51588"/>
    <w:rsid w:val="11FC7E76"/>
    <w:rsid w:val="1276481D"/>
    <w:rsid w:val="16BB723D"/>
    <w:rsid w:val="1701529E"/>
    <w:rsid w:val="19CD576F"/>
    <w:rsid w:val="1AE419B3"/>
    <w:rsid w:val="1B2D318F"/>
    <w:rsid w:val="1CFA7929"/>
    <w:rsid w:val="1EC2319D"/>
    <w:rsid w:val="207E6FB5"/>
    <w:rsid w:val="20BD781D"/>
    <w:rsid w:val="22244115"/>
    <w:rsid w:val="2333380B"/>
    <w:rsid w:val="236A182E"/>
    <w:rsid w:val="236B118D"/>
    <w:rsid w:val="240371BF"/>
    <w:rsid w:val="249A5B9E"/>
    <w:rsid w:val="24F83A77"/>
    <w:rsid w:val="26E656E5"/>
    <w:rsid w:val="29837DB2"/>
    <w:rsid w:val="29FD04D3"/>
    <w:rsid w:val="2A4243D1"/>
    <w:rsid w:val="2A955020"/>
    <w:rsid w:val="2B30267C"/>
    <w:rsid w:val="2CA632DC"/>
    <w:rsid w:val="2DC42DE4"/>
    <w:rsid w:val="2FBD4978"/>
    <w:rsid w:val="2FE420F4"/>
    <w:rsid w:val="30DA0FCD"/>
    <w:rsid w:val="319F7F4E"/>
    <w:rsid w:val="32F072FC"/>
    <w:rsid w:val="34590AF2"/>
    <w:rsid w:val="35636BE5"/>
    <w:rsid w:val="35A667EF"/>
    <w:rsid w:val="36AC5384"/>
    <w:rsid w:val="374A72AA"/>
    <w:rsid w:val="38BA1701"/>
    <w:rsid w:val="396B3008"/>
    <w:rsid w:val="3E10367A"/>
    <w:rsid w:val="3EBA74A1"/>
    <w:rsid w:val="3F3F405E"/>
    <w:rsid w:val="412C38BA"/>
    <w:rsid w:val="41A30959"/>
    <w:rsid w:val="428B04B8"/>
    <w:rsid w:val="438A2524"/>
    <w:rsid w:val="449838A8"/>
    <w:rsid w:val="44EA250B"/>
    <w:rsid w:val="452828C9"/>
    <w:rsid w:val="452F3583"/>
    <w:rsid w:val="45B23A9B"/>
    <w:rsid w:val="45C3149D"/>
    <w:rsid w:val="46977F08"/>
    <w:rsid w:val="46D87B3C"/>
    <w:rsid w:val="49AC7EAF"/>
    <w:rsid w:val="4B1931D8"/>
    <w:rsid w:val="4B9B02D7"/>
    <w:rsid w:val="4BFF2F92"/>
    <w:rsid w:val="4C305059"/>
    <w:rsid w:val="4C3278EC"/>
    <w:rsid w:val="4ECE2238"/>
    <w:rsid w:val="4EE42457"/>
    <w:rsid w:val="51231023"/>
    <w:rsid w:val="515E1CCB"/>
    <w:rsid w:val="52B123B4"/>
    <w:rsid w:val="54E80D14"/>
    <w:rsid w:val="570367CF"/>
    <w:rsid w:val="57A70DE1"/>
    <w:rsid w:val="585414BE"/>
    <w:rsid w:val="59B25AAD"/>
    <w:rsid w:val="5C4C01DF"/>
    <w:rsid w:val="5CAF02FA"/>
    <w:rsid w:val="5EAE5396"/>
    <w:rsid w:val="5EFB7B64"/>
    <w:rsid w:val="5FC265CC"/>
    <w:rsid w:val="60540BC4"/>
    <w:rsid w:val="60903C14"/>
    <w:rsid w:val="62E26983"/>
    <w:rsid w:val="63731031"/>
    <w:rsid w:val="63971259"/>
    <w:rsid w:val="640B1E46"/>
    <w:rsid w:val="695B4157"/>
    <w:rsid w:val="6C49510C"/>
    <w:rsid w:val="6E85572B"/>
    <w:rsid w:val="72212E43"/>
    <w:rsid w:val="72734D90"/>
    <w:rsid w:val="72D26AA6"/>
    <w:rsid w:val="74C9166D"/>
    <w:rsid w:val="75C5334E"/>
    <w:rsid w:val="76471EEA"/>
    <w:rsid w:val="76892265"/>
    <w:rsid w:val="7B6A1A7A"/>
    <w:rsid w:val="7F9841A2"/>
    <w:rsid w:val="7FC86B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rPr>
      <w:rFonts w:eastAsia="宋体"/>
    </w:rPr>
  </w:style>
  <w:style w:type="paragraph" w:styleId="3">
    <w:name w:val="Body Text Indent"/>
    <w:basedOn w:val="1"/>
    <w:next w:val="2"/>
    <w:qFormat/>
    <w:uiPriority w:val="99"/>
    <w:pPr>
      <w:widowControl/>
      <w:spacing w:line="540" w:lineRule="exact"/>
      <w:ind w:firstLine="200" w:firstLineChars="200"/>
      <w:textAlignment w:val="baseline"/>
    </w:pPr>
    <w:rPr>
      <w:rFonts w:eastAsia="仿宋_GB2312"/>
      <w:color w:val="000000"/>
      <w:kern w:val="0"/>
      <w:sz w:val="32"/>
      <w:szCs w:val="32"/>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列出段落1"/>
    <w:basedOn w:val="1"/>
    <w:qFormat/>
    <w:uiPriority w:val="34"/>
    <w:pPr>
      <w:ind w:firstLine="420" w:firstLineChars="200"/>
    </w:pPr>
  </w:style>
  <w:style w:type="character" w:customStyle="1" w:styleId="27">
    <w:name w:val="标题 1 Char"/>
    <w:basedOn w:val="16"/>
    <w:link w:val="4"/>
    <w:qFormat/>
    <w:uiPriority w:val="9"/>
    <w:rPr>
      <w:rFonts w:ascii="Times New Roman" w:hAnsi="Times New Roman"/>
      <w:b/>
      <w:bCs/>
      <w:kern w:val="44"/>
      <w:sz w:val="44"/>
      <w:szCs w:val="44"/>
    </w:rPr>
  </w:style>
  <w:style w:type="character" w:customStyle="1" w:styleId="28">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6"/>
    <w:qFormat/>
    <w:uiPriority w:val="9"/>
    <w:rPr>
      <w:rFonts w:ascii="Times New Roman" w:hAnsi="Times New Roman"/>
      <w:b/>
      <w:bCs/>
      <w:kern w:val="2"/>
      <w:sz w:val="32"/>
      <w:szCs w:val="32"/>
    </w:rPr>
  </w:style>
  <w:style w:type="paragraph" w:customStyle="1" w:styleId="32">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zh-CN"/>
              <a:t>年收支变动情况图（万元）</a:t>
            </a:r>
            <a:endParaRPr altLang="zh-CN"/>
          </a:p>
        </c:rich>
      </c:tx>
      <c:layout>
        <c:manualLayout>
          <c:xMode val="edge"/>
          <c:yMode val="edge"/>
          <c:x val="0.388965517241379"/>
          <c:y val="0.043301069791136"/>
        </c:manualLayout>
      </c:layout>
      <c:overlay val="0"/>
      <c:spPr>
        <a:noFill/>
        <a:ln>
          <a:noFill/>
        </a:ln>
        <a:effectLst/>
      </c:spPr>
    </c:title>
    <c:autoTitleDeleted val="0"/>
    <c:plotArea>
      <c:layout>
        <c:manualLayout>
          <c:layoutTarget val="inner"/>
          <c:xMode val="edge"/>
          <c:yMode val="edge"/>
          <c:x val="0.0647662835249042"/>
          <c:y val="0.230555085753099"/>
          <c:w val="0.927925"/>
          <c:h val="0.716566666666667"/>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manualLayout>
                  <c:x val="-0.0117169192313701"/>
                  <c:y val="-0.00420875420875421"/>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730.51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Sheet1!#REF!</c:f>
              <c:numCache>
                <c:ptCount val="0"/>
              </c:numCache>
            </c:numRef>
          </c:cat>
          <c:val>
            <c:numRef>
              <c:f>Sheet1!$B$2</c:f>
              <c:numCache>
                <c:formatCode>General</c:formatCode>
                <c:ptCount val="1"/>
                <c:pt idx="0">
                  <c:v>730.51</c:v>
                </c:pt>
              </c:numCache>
            </c:numRef>
          </c:val>
        </c:ser>
        <c:ser>
          <c:idx val="1"/>
          <c:order val="1"/>
          <c:tx>
            <c:strRef>
              <c:f>Sheet1!$C$1</c:f>
              <c:strCache>
                <c:ptCount val="1"/>
                <c:pt idx="0">
                  <c:v>支出</c:v>
                </c:pt>
              </c:strCache>
            </c:strRef>
          </c:tx>
          <c:spPr>
            <a:solidFill>
              <a:schemeClr val="accent2"/>
            </a:solidFill>
            <a:ln>
              <a:noFill/>
            </a:ln>
            <a:effectLst/>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761.16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Sheet1!#REF!</c:f>
              <c:numCache>
                <c:ptCount val="0"/>
              </c:numCache>
            </c:numRef>
          </c:cat>
          <c:val>
            <c:numRef>
              <c:f>Sheet1!$C$2</c:f>
              <c:numCache>
                <c:formatCode>General</c:formatCode>
                <c:ptCount val="1"/>
                <c:pt idx="0">
                  <c:v>761.16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66133760"/>
        <c:axId val="166135296"/>
      </c:barChart>
      <c:catAx>
        <c:axId val="16613376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6135296"/>
        <c:crosses val="autoZero"/>
        <c:auto val="1"/>
        <c:lblAlgn val="ctr"/>
        <c:lblOffset val="100"/>
        <c:noMultiLvlLbl val="0"/>
      </c:catAx>
      <c:valAx>
        <c:axId val="16613529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6133760"/>
        <c:crosses val="autoZero"/>
        <c:crossBetween val="between"/>
      </c:valAx>
      <c:spPr>
        <a:noFill/>
        <a:ln>
          <a:noFill/>
        </a:ln>
        <a:effectLst/>
      </c:spPr>
    </c:plotArea>
    <c:legend>
      <c:legendPos val="b"/>
      <c:legendEntry>
        <c:idx val="2"/>
        <c:delete val="1"/>
      </c:legendEntry>
      <c:layout>
        <c:manualLayout>
          <c:xMode val="edge"/>
          <c:yMode val="edge"/>
          <c:x val="0.148370148103056"/>
          <c:y val="0.056182044592640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收入决算结构图（万元）</a:t>
            </a:r>
            <a:endParaRPr altLang="en-US"/>
          </a:p>
        </c:rich>
      </c:tx>
      <c:layout>
        <c:manualLayout>
          <c:xMode val="edge"/>
          <c:yMode val="edge"/>
          <c:x val="0.441337695046205"/>
          <c:y val="0.0489381611065907"/>
        </c:manualLayout>
      </c:layout>
      <c:overlay val="0"/>
      <c:spPr>
        <a:noFill/>
        <a:ln>
          <a:noFill/>
        </a:ln>
        <a:effectLst/>
      </c:spPr>
    </c:title>
    <c:autoTitleDeleted val="0"/>
    <c:plotArea>
      <c:layout/>
      <c:pieChart>
        <c:varyColors val="1"/>
        <c:ser>
          <c:idx val="0"/>
          <c:order val="0"/>
          <c:tx>
            <c:strRef>
              <c:f>Sheet1!$B$1</c:f>
              <c:strCache>
                <c:ptCount val="1"/>
                <c:pt idx="0">
                  <c:v>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720.51</c:v>
                </c:pt>
                <c:pt idx="1">
                  <c:v>10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支出决算结构图（万元）</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604.33</c:v>
                </c:pt>
                <c:pt idx="1">
                  <c:v>156.83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a:t>
            </a:r>
            <a:r>
              <a:rPr lang="en-US" altLang="zh-CN"/>
              <a:t>2019</a:t>
            </a:r>
            <a:r>
              <a:rPr altLang="zh-CN"/>
              <a:t>年度财政拨款收、支决算总计变动情况表</a:t>
            </a:r>
            <a:endParaRPr altLang="zh-CN"/>
          </a:p>
        </c:rich>
      </c:tx>
      <c:layout/>
      <c:overlay val="0"/>
      <c:spPr>
        <a:noFill/>
        <a:ln>
          <a:noFill/>
        </a:ln>
        <a:effectLst/>
      </c:spPr>
    </c:title>
    <c:autoTitleDeleted val="0"/>
    <c:plotArea>
      <c:layout>
        <c:manualLayout>
          <c:layoutTarget val="inner"/>
          <c:xMode val="edge"/>
          <c:yMode val="edge"/>
          <c:x val="0.119931914893617"/>
          <c:y val="0.282071926999463"/>
          <c:w val="0.855387234042553"/>
          <c:h val="0.466290928609769"/>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1288.36</c:v>
                </c:pt>
                <c:pt idx="1">
                  <c:v>720.15</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2018年</c:v>
                </c:pt>
                <c:pt idx="1">
                  <c:v>2019年</c:v>
                </c:pt>
              </c:strCache>
            </c:strRef>
          </c:cat>
          <c:val>
            <c:numRef>
              <c:f>Sheet1!$C$2:$C$3</c:f>
              <c:numCache>
                <c:formatCode>General</c:formatCode>
                <c:ptCount val="2"/>
                <c:pt idx="0">
                  <c:v>1236.88</c:v>
                </c:pt>
                <c:pt idx="1">
                  <c:v>604.33</c:v>
                </c:pt>
              </c:numCache>
            </c:numRef>
          </c:val>
        </c:ser>
        <c:dLbls>
          <c:showLegendKey val="0"/>
          <c:showVal val="0"/>
          <c:showCatName val="0"/>
          <c:showSerName val="0"/>
          <c:showPercent val="0"/>
          <c:showBubbleSize val="0"/>
        </c:dLbls>
        <c:gapWidth val="219"/>
        <c:overlap val="-27"/>
        <c:axId val="170268928"/>
        <c:axId val="51089408"/>
      </c:barChart>
      <c:catAx>
        <c:axId val="1702689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089408"/>
        <c:crosses val="autoZero"/>
        <c:auto val="1"/>
        <c:lblAlgn val="ctr"/>
        <c:lblOffset val="100"/>
        <c:noMultiLvlLbl val="0"/>
      </c:catAx>
      <c:valAx>
        <c:axId val="510894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0268928"/>
        <c:crosses val="autoZero"/>
        <c:crossBetween val="between"/>
      </c:valAx>
      <c:spPr>
        <a:noFill/>
        <a:ln>
          <a:noFill/>
        </a:ln>
        <a:effectLst/>
      </c:spPr>
    </c:plotArea>
    <c:legend>
      <c:legendPos val="b"/>
      <c:legendEntry>
        <c:idx val="1"/>
        <c:delete val="1"/>
      </c:legendEntry>
      <c:layout>
        <c:manualLayout>
          <c:xMode val="edge"/>
          <c:yMode val="edge"/>
          <c:x val="0.34587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一般公共预算财政拨款支出决算变动情况表</a:t>
            </a:r>
          </a:p>
        </c:rich>
      </c:tx>
      <c:layout>
        <c:manualLayout>
          <c:xMode val="edge"/>
          <c:yMode val="edge"/>
          <c:x val="0.0790812002034243"/>
          <c:y val="0.702089704383282"/>
        </c:manualLayout>
      </c:layout>
      <c:overlay val="0"/>
      <c:spPr>
        <a:solidFill>
          <a:schemeClr val="bg1"/>
        </a:solidFill>
        <a:ln>
          <a:noFill/>
        </a:ln>
        <a:effectLst/>
      </c:spPr>
    </c:title>
    <c:autoTitleDeleted val="0"/>
    <c:plotArea>
      <c:layout>
        <c:manualLayout>
          <c:layoutTarget val="inner"/>
          <c:xMode val="edge"/>
          <c:yMode val="edge"/>
          <c:x val="0.0980272596843616"/>
          <c:y val="0.16993030202456"/>
          <c:w val="0.896592539454806"/>
          <c:h val="0.435579156986392"/>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1236.38</c:v>
                </c:pt>
                <c:pt idx="1">
                  <c:v>761.11</c:v>
                </c:pt>
              </c:numCache>
            </c:numRef>
          </c:val>
        </c:ser>
        <c:dLbls>
          <c:showLegendKey val="0"/>
          <c:showVal val="0"/>
          <c:showCatName val="0"/>
          <c:showSerName val="0"/>
          <c:showPercent val="0"/>
          <c:showBubbleSize val="0"/>
        </c:dLbls>
        <c:gapWidth val="219"/>
        <c:overlap val="-27"/>
        <c:axId val="51108480"/>
        <c:axId val="51114368"/>
      </c:barChart>
      <c:catAx>
        <c:axId val="5110848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114368"/>
        <c:crosses val="autoZero"/>
        <c:auto val="1"/>
        <c:lblAlgn val="ctr"/>
        <c:lblOffset val="100"/>
        <c:noMultiLvlLbl val="0"/>
      </c:catAx>
      <c:valAx>
        <c:axId val="511143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108480"/>
        <c:crosses val="autoZero"/>
        <c:crossBetween val="between"/>
      </c:valAx>
      <c:spPr>
        <a:noFill/>
        <a:ln>
          <a:noFill/>
        </a:ln>
        <a:effectLst/>
      </c:spPr>
    </c:plotArea>
    <c:legend>
      <c:legendPos val="b"/>
      <c:legendEntry>
        <c:idx val="0"/>
        <c:delete val="1"/>
      </c:legendEntry>
      <c:legendEntry>
        <c:idx val="1"/>
        <c:delete val="1"/>
      </c:legendEntry>
      <c:layout>
        <c:manualLayout>
          <c:xMode val="edge"/>
          <c:yMode val="edge"/>
          <c:x val="0.556789286319715"/>
          <c:y val="0.027522935779816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r>
              <a:rPr sz="1200">
                <a:solidFill>
                  <a:schemeClr val="tx1">
                    <a:lumMod val="65000"/>
                    <a:lumOff val="35000"/>
                  </a:schemeClr>
                </a:solidFill>
                <a:uFill>
                  <a:solidFill>
                    <a:schemeClr val="tx1">
                      <a:lumMod val="65000"/>
                      <a:lumOff val="35000"/>
                    </a:schemeClr>
                  </a:solidFill>
                </a:uFill>
              </a:rPr>
              <a:t>一般公共预算财政拨款支出决算结构图</a:t>
            </a:r>
            <a:endParaRPr sz="1200">
              <a:solidFill>
                <a:schemeClr val="tx1">
                  <a:lumMod val="65000"/>
                  <a:lumOff val="35000"/>
                </a:schemeClr>
              </a:solidFill>
              <a:uFill>
                <a:solidFill>
                  <a:schemeClr val="tx1">
                    <a:lumMod val="65000"/>
                    <a:lumOff val="35000"/>
                  </a:schemeClr>
                </a:solidFill>
              </a:uFill>
            </a:endParaRPr>
          </a:p>
        </c:rich>
      </c:tx>
      <c:layout>
        <c:manualLayout>
          <c:xMode val="edge"/>
          <c:yMode val="edge"/>
          <c:x val="0.143165946125707"/>
          <c:y val="0.0362409397650587"/>
        </c:manualLayout>
      </c:layout>
      <c:overlay val="0"/>
      <c:spPr>
        <a:noFill/>
        <a:ln>
          <a:noFill/>
        </a:ln>
        <a:effectLst/>
      </c:spPr>
    </c:title>
    <c:autoTitleDeleted val="0"/>
    <c:plotArea>
      <c:layout>
        <c:manualLayout>
          <c:layoutTarget val="inner"/>
          <c:xMode val="edge"/>
          <c:yMode val="edge"/>
          <c:x val="0.1909375"/>
          <c:y val="0.234166666666667"/>
          <c:w val="0.570625"/>
          <c:h val="0.760833333333333"/>
        </c:manualLayout>
      </c:layout>
      <c:pieChart>
        <c:varyColors val="1"/>
        <c:ser>
          <c:idx val="0"/>
          <c:order val="0"/>
          <c:tx>
            <c:strRef>
              <c:f>Sheet1!$B$1</c:f>
              <c:strCache>
                <c:ptCount val="1"/>
                <c:pt idx="0">
                  <c:v>支出</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一般公共服务</c:v>
                </c:pt>
                <c:pt idx="1">
                  <c:v>农林水</c:v>
                </c:pt>
                <c:pt idx="2">
                  <c:v>城乡社区</c:v>
                </c:pt>
                <c:pt idx="3">
                  <c:v>文化旅游体育与传媒</c:v>
                </c:pt>
              </c:strCache>
            </c:strRef>
          </c:cat>
          <c:val>
            <c:numRef>
              <c:f>Sheet1!$B$2:$B$5</c:f>
              <c:numCache>
                <c:formatCode>General</c:formatCode>
                <c:ptCount val="4"/>
                <c:pt idx="0">
                  <c:v>471.9</c:v>
                </c:pt>
                <c:pt idx="1">
                  <c:v>87.09</c:v>
                </c:pt>
                <c:pt idx="2">
                  <c:v>18.22</c:v>
                </c:pt>
                <c:pt idx="3">
                  <c:v>3.5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0877951446624543"/>
          <c:y val="0.886778305423644"/>
          <c:w val="0.906883937479215"/>
          <c:h val="0.0832291927018245"/>
        </c:manualLayout>
      </c:layout>
      <c:overlay val="0"/>
      <c:spPr>
        <a:noFill/>
        <a:ln>
          <a:noFill/>
        </a:ln>
        <a:effectLst/>
      </c:spPr>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三公经费财政拨款</a:t>
            </a:r>
            <a:r>
              <a:rPr lang="en-US" altLang="zh-CN"/>
              <a:t>”</a:t>
            </a:r>
            <a:r>
              <a:t>支出结构图</a:t>
            </a:r>
          </a:p>
        </c:rich>
      </c:tx>
      <c:layout>
        <c:manualLayout>
          <c:xMode val="edge"/>
          <c:yMode val="edge"/>
          <c:x val="0.05338904363974"/>
          <c:y val="0.02375"/>
        </c:manualLayout>
      </c:layout>
      <c:overlay val="0"/>
      <c:spPr>
        <a:noFill/>
        <a:ln>
          <a:noFill/>
        </a:ln>
        <a:effectLst/>
      </c:spPr>
    </c:title>
    <c:autoTitleDeleted val="0"/>
    <c:plotArea>
      <c:layout/>
      <c:pieChart>
        <c:varyColors val="1"/>
        <c:ser>
          <c:idx val="0"/>
          <c:order val="0"/>
          <c:tx>
            <c:strRef>
              <c:f>Sheet1!$B$1</c:f>
              <c:strCache>
                <c:ptCount val="1"/>
                <c:pt idx="0">
                  <c:v>支出</c:v>
                </c:pt>
              </c:strCache>
            </c:strRef>
          </c:tx>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公务用车运行维护费</c:v>
                </c:pt>
              </c:strCache>
            </c:strRef>
          </c:cat>
          <c:val>
            <c:numRef>
              <c:f>Sheet1!$B$2</c:f>
              <c:numCache>
                <c:formatCode>General</c:formatCode>
                <c:ptCount val="1"/>
                <c:pt idx="0">
                  <c:v>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53125"/>
          <c:y val="0.939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C576C5-067F-40EA-AD6B-83A0FAB855C8}">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47</Pages>
  <Words>3335</Words>
  <Characters>19012</Characters>
  <Lines>158</Lines>
  <Paragraphs>44</Paragraphs>
  <TotalTime>0</TotalTime>
  <ScaleCrop>false</ScaleCrop>
  <LinksUpToDate>false</LinksUpToDate>
  <CharactersWithSpaces>22303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2020-09-29T01:55:00Z</cp:lastPrinted>
  <dcterms:modified xsi:type="dcterms:W3CDTF">2020-11-06T03:14:46Z</dcterms:modified>
  <dc:title>四川省***</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