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000000"/>
          <w:sz w:val="72"/>
          <w:szCs w:val="72"/>
        </w:rPr>
      </w:pPr>
      <w:bookmarkStart w:id="0" w:name="_Toc15306267"/>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spacing w:line="600" w:lineRule="exact"/>
        <w:jc w:val="center"/>
        <w:outlineLvl w:val="0"/>
        <w:rPr>
          <w:rFonts w:ascii="方正小标宋简体" w:hAnsi="宋体" w:eastAsia="方正小标宋简体"/>
          <w:color w:val="000000"/>
          <w:sz w:val="72"/>
          <w:szCs w:val="72"/>
        </w:rPr>
      </w:pPr>
    </w:p>
    <w:p>
      <w:pPr>
        <w:adjustRightInd w:val="0"/>
        <w:snapToGrid w:val="0"/>
        <w:spacing w:line="360" w:lineRule="auto"/>
        <w:jc w:val="center"/>
        <w:outlineLvl w:val="0"/>
        <w:rPr>
          <w:rFonts w:ascii="方正小标宋简体" w:hAnsi="宋体" w:eastAsia="方正小标宋简体"/>
          <w:color w:val="000000"/>
          <w:sz w:val="72"/>
          <w:szCs w:val="72"/>
        </w:rPr>
      </w:pPr>
      <w:bookmarkStart w:id="1" w:name="_Toc15377425"/>
      <w:bookmarkStart w:id="2" w:name="_Toc15396475"/>
      <w:bookmarkStart w:id="3" w:name="_Toc15378441"/>
      <w:bookmarkStart w:id="4" w:name="_Toc15396597"/>
      <w:bookmarkStart w:id="5" w:name="_Toc15377193"/>
      <w:r>
        <w:rPr>
          <w:rFonts w:ascii="黑体" w:hAnsi="黑体" w:eastAsia="黑体"/>
          <w:color w:val="000000"/>
          <w:sz w:val="72"/>
          <w:szCs w:val="72"/>
        </w:rPr>
        <w:t>201</w:t>
      </w:r>
      <w:r>
        <w:rPr>
          <w:rFonts w:hint="eastAsia" w:ascii="黑体" w:hAnsi="黑体" w:eastAsia="黑体"/>
          <w:color w:val="000000"/>
          <w:sz w:val="72"/>
          <w:szCs w:val="72"/>
        </w:rPr>
        <w:t>8</w:t>
      </w:r>
      <w:r>
        <w:rPr>
          <w:rFonts w:hint="eastAsia" w:ascii="方正小标宋简体" w:hAnsi="宋体" w:eastAsia="方正小标宋简体"/>
          <w:color w:val="000000"/>
          <w:sz w:val="72"/>
          <w:szCs w:val="72"/>
        </w:rPr>
        <w:t>年度</w:t>
      </w:r>
      <w:bookmarkEnd w:id="1"/>
      <w:bookmarkEnd w:id="2"/>
      <w:bookmarkEnd w:id="3"/>
      <w:bookmarkEnd w:id="4"/>
      <w:bookmarkEnd w:id="5"/>
    </w:p>
    <w:p>
      <w:pPr>
        <w:adjustRightInd w:val="0"/>
        <w:snapToGrid w:val="0"/>
        <w:spacing w:line="360" w:lineRule="auto"/>
        <w:jc w:val="center"/>
        <w:outlineLvl w:val="0"/>
        <w:rPr>
          <w:rFonts w:ascii="方正小标宋简体" w:hAnsi="宋体" w:eastAsia="方正小标宋简体"/>
          <w:color w:val="000000"/>
          <w:sz w:val="72"/>
          <w:szCs w:val="72"/>
        </w:rPr>
      </w:pPr>
      <w:bookmarkStart w:id="6" w:name="_Toc15396598"/>
      <w:bookmarkStart w:id="7" w:name="_Toc15378442"/>
      <w:bookmarkStart w:id="8" w:name="_Toc15377194"/>
      <w:bookmarkStart w:id="9" w:name="_Toc15377426"/>
      <w:bookmarkStart w:id="10" w:name="_Toc15396476"/>
      <w:r>
        <w:rPr>
          <w:rFonts w:hint="eastAsia" w:ascii="方正小标宋简体" w:hAnsi="宋体" w:eastAsia="方正小标宋简体"/>
          <w:color w:val="000000"/>
          <w:sz w:val="72"/>
          <w:szCs w:val="72"/>
        </w:rPr>
        <w:t>四川省</w:t>
      </w:r>
      <w:bookmarkEnd w:id="0"/>
      <w:bookmarkStart w:id="11" w:name="_Toc15306268"/>
      <w:r>
        <w:rPr>
          <w:rFonts w:hint="eastAsia" w:ascii="方正小标宋简体" w:hAnsi="宋体" w:eastAsia="方正小标宋简体"/>
          <w:color w:val="000000"/>
          <w:sz w:val="72"/>
          <w:szCs w:val="72"/>
          <w:lang w:val="en-US" w:eastAsia="zh-CN"/>
        </w:rPr>
        <w:t>阿坝州红原县麦洼乡人民政府</w:t>
      </w:r>
      <w:r>
        <w:rPr>
          <w:rFonts w:hint="eastAsia" w:ascii="方正小标宋简体" w:hAnsi="宋体" w:eastAsia="方正小标宋简体"/>
          <w:color w:val="000000"/>
          <w:sz w:val="72"/>
          <w:szCs w:val="72"/>
        </w:rPr>
        <w:t>部门决算</w:t>
      </w:r>
      <w:bookmarkEnd w:id="6"/>
      <w:bookmarkEnd w:id="7"/>
      <w:bookmarkEnd w:id="8"/>
      <w:bookmarkEnd w:id="9"/>
      <w:bookmarkEnd w:id="10"/>
      <w:bookmarkEnd w:id="11"/>
    </w:p>
    <w:p>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p>
    <w:p>
      <w:pPr>
        <w:widowControl/>
        <w:jc w:val="center"/>
        <w:rPr>
          <w:rFonts w:ascii="黑体" w:hAnsi="黑体" w:eastAsia="黑体" w:cstheme="minorBidi"/>
          <w:sz w:val="28"/>
          <w:szCs w:val="28"/>
        </w:rPr>
      </w:pPr>
      <w:r>
        <w:rPr>
          <w:rFonts w:ascii="黑体" w:hAnsi="黑体" w:eastAsia="黑体"/>
          <w:color w:val="000000"/>
          <w:sz w:val="48"/>
          <w:szCs w:val="48"/>
        </w:rPr>
        <w:fldChar w:fldCharType="begin"/>
      </w:r>
      <w:r>
        <w:rPr>
          <w:rFonts w:ascii="黑体" w:hAnsi="黑体" w:eastAsia="黑体"/>
          <w:color w:val="000000"/>
          <w:sz w:val="48"/>
          <w:szCs w:val="48"/>
        </w:rPr>
        <w:instrText xml:space="preserve"> TOC \o "1-2" \h \z \u </w:instrText>
      </w:r>
      <w:r>
        <w:rPr>
          <w:rFonts w:ascii="黑体" w:hAnsi="黑体" w:eastAsia="黑体"/>
          <w:color w:val="000000"/>
          <w:sz w:val="48"/>
          <w:szCs w:val="48"/>
        </w:rPr>
        <w:fldChar w:fldCharType="separate"/>
      </w:r>
    </w:p>
    <w:p/>
    <w:p>
      <w:pPr>
        <w:pStyle w:val="12"/>
        <w:rPr>
          <w:rFonts w:cstheme="minorBidi"/>
        </w:rPr>
      </w:pPr>
      <w:r>
        <w:fldChar w:fldCharType="begin"/>
      </w:r>
      <w:r>
        <w:instrText xml:space="preserve"> HYPERLINK \l "_Toc15396599" </w:instrText>
      </w:r>
      <w:r>
        <w:fldChar w:fldCharType="separate"/>
      </w:r>
      <w:r>
        <w:rPr>
          <w:rStyle w:val="17"/>
          <w:rFonts w:hint="eastAsia"/>
        </w:rPr>
        <w:t>第一部分</w:t>
      </w:r>
      <w:r>
        <w:rPr>
          <w:rStyle w:val="17"/>
        </w:rPr>
        <w:t xml:space="preserve"> </w:t>
      </w:r>
      <w:r>
        <w:rPr>
          <w:rStyle w:val="17"/>
          <w:rFonts w:hint="eastAsia"/>
        </w:rPr>
        <w:t>部门概况</w:t>
      </w:r>
      <w:r>
        <w:rPr>
          <w:rFonts w:hint="eastAsia"/>
        </w:rPr>
        <w:fldChar w:fldCharType="end"/>
      </w:r>
    </w:p>
    <w:p>
      <w:pPr>
        <w:pStyle w:val="13"/>
        <w:rPr>
          <w:rFonts w:ascii="仿宋" w:hAnsi="仿宋" w:eastAsia="仿宋" w:cstheme="minorBidi"/>
          <w:sz w:val="28"/>
          <w:szCs w:val="28"/>
        </w:rPr>
      </w:pPr>
      <w:r>
        <w:fldChar w:fldCharType="begin"/>
      </w:r>
      <w:r>
        <w:instrText xml:space="preserve"> HYPERLINK \l "_Toc15396600" </w:instrText>
      </w:r>
      <w:r>
        <w:fldChar w:fldCharType="separate"/>
      </w:r>
      <w:r>
        <w:rPr>
          <w:rStyle w:val="17"/>
          <w:rFonts w:hint="eastAsia" w:ascii="仿宋" w:hAnsi="仿宋" w:eastAsia="仿宋"/>
          <w:sz w:val="28"/>
          <w:szCs w:val="28"/>
        </w:rPr>
        <w:t>一、基本职能及主要工作</w:t>
      </w:r>
      <w:r>
        <w:rPr>
          <w:rFonts w:hint="eastAsia"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"_Toc15396601" </w:instrText>
      </w:r>
      <w:r>
        <w:fldChar w:fldCharType="separate"/>
      </w:r>
      <w:r>
        <w:rPr>
          <w:rStyle w:val="17"/>
          <w:rFonts w:hint="eastAsia" w:ascii="仿宋" w:hAnsi="仿宋" w:eastAsia="仿宋"/>
          <w:sz w:val="28"/>
          <w:szCs w:val="28"/>
        </w:rPr>
        <w:t>二、机构设置</w:t>
      </w:r>
      <w:r>
        <w:rPr>
          <w:rFonts w:ascii="仿宋" w:hAnsi="仿宋" w:eastAsia="仿宋"/>
          <w:sz w:val="28"/>
          <w:szCs w:val="28"/>
        </w:rPr>
        <w:fldChar w:fldCharType="end"/>
      </w:r>
    </w:p>
    <w:p>
      <w:pPr>
        <w:pStyle w:val="12"/>
      </w:pPr>
      <w:r>
        <w:fldChar w:fldCharType="begin"/>
      </w:r>
      <w:r>
        <w:instrText xml:space="preserve"> HYPERLINK \l "_Toc15396602" </w:instrText>
      </w:r>
      <w:r>
        <w:fldChar w:fldCharType="separate"/>
      </w:r>
      <w:r>
        <w:rPr>
          <w:rStyle w:val="17"/>
          <w:rFonts w:hint="eastAsia"/>
        </w:rPr>
        <w:t>第二部分</w:t>
      </w:r>
      <w:r>
        <w:rPr>
          <w:rStyle w:val="17"/>
        </w:rPr>
        <w:t xml:space="preserve"> 2018</w:t>
      </w:r>
      <w:r>
        <w:rPr>
          <w:rStyle w:val="17"/>
          <w:rFonts w:hint="eastAsia"/>
        </w:rPr>
        <w:t>年度部门决算情况说明</w:t>
      </w:r>
      <w:r>
        <w:fldChar w:fldCharType="end"/>
      </w:r>
    </w:p>
    <w:p>
      <w:pPr>
        <w:pStyle w:val="13"/>
        <w:rPr>
          <w:rFonts w:ascii="仿宋" w:hAnsi="仿宋" w:eastAsia="仿宋" w:cstheme="minorBidi"/>
          <w:sz w:val="28"/>
          <w:szCs w:val="28"/>
        </w:rPr>
      </w:pPr>
      <w:r>
        <w:fldChar w:fldCharType="begin"/>
      </w:r>
      <w:r>
        <w:instrText xml:space="preserve"> HYPERLINK \l "_Toc15396603" </w:instrText>
      </w:r>
      <w:r>
        <w:fldChar w:fldCharType="separate"/>
      </w:r>
      <w:r>
        <w:rPr>
          <w:rStyle w:val="17"/>
          <w:rFonts w:hint="eastAsia" w:ascii="仿宋" w:hAnsi="仿宋" w:eastAsia="仿宋" w:cstheme="majorBidi"/>
          <w:bCs/>
          <w:sz w:val="28"/>
          <w:szCs w:val="28"/>
        </w:rPr>
        <w:t>一、</w:t>
      </w:r>
      <w:r>
        <w:rPr>
          <w:rStyle w:val="17"/>
          <w:rFonts w:hint="eastAsia" w:ascii="仿宋" w:hAnsi="仿宋" w:eastAsia="仿宋"/>
          <w:sz w:val="28"/>
          <w:szCs w:val="28"/>
        </w:rPr>
        <w:t>收</w:t>
      </w:r>
      <w:r>
        <w:rPr>
          <w:rStyle w:val="17"/>
          <w:rFonts w:hint="eastAsia" w:ascii="仿宋" w:hAnsi="仿宋" w:eastAsia="仿宋" w:cstheme="majorBidi"/>
          <w:bCs/>
          <w:sz w:val="28"/>
          <w:szCs w:val="28"/>
        </w:rPr>
        <w:t>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"_Toc15396604" </w:instrText>
      </w:r>
      <w:r>
        <w:fldChar w:fldCharType="separate"/>
      </w:r>
      <w:r>
        <w:rPr>
          <w:rStyle w:val="17"/>
          <w:rFonts w:hint="eastAsia" w:ascii="仿宋" w:hAnsi="仿宋" w:eastAsia="仿宋" w:cstheme="majorBidi"/>
          <w:bCs/>
          <w:sz w:val="28"/>
          <w:szCs w:val="28"/>
        </w:rPr>
        <w:t>二、</w:t>
      </w:r>
      <w:r>
        <w:rPr>
          <w:rStyle w:val="17"/>
          <w:rFonts w:hint="eastAsia" w:ascii="仿宋" w:hAnsi="仿宋" w:eastAsia="仿宋"/>
          <w:sz w:val="28"/>
          <w:szCs w:val="28"/>
        </w:rPr>
        <w:t>收</w:t>
      </w:r>
      <w:r>
        <w:rPr>
          <w:rStyle w:val="17"/>
          <w:rFonts w:hint="eastAsia" w:ascii="仿宋" w:hAnsi="仿宋" w:eastAsia="仿宋" w:cstheme="majorBidi"/>
          <w:bCs/>
          <w:sz w:val="28"/>
          <w:szCs w:val="28"/>
        </w:rPr>
        <w:t>入决算情况说明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"_Toc15396605" </w:instrText>
      </w:r>
      <w:r>
        <w:fldChar w:fldCharType="separate"/>
      </w:r>
      <w:r>
        <w:rPr>
          <w:rStyle w:val="17"/>
          <w:rFonts w:hint="eastAsia" w:ascii="仿宋" w:hAnsi="仿宋" w:eastAsia="仿宋" w:cstheme="majorBidi"/>
          <w:bCs/>
          <w:sz w:val="28"/>
          <w:szCs w:val="28"/>
        </w:rPr>
        <w:t>三、</w:t>
      </w:r>
      <w:r>
        <w:rPr>
          <w:rStyle w:val="17"/>
          <w:rFonts w:hint="eastAsia" w:ascii="仿宋" w:hAnsi="仿宋" w:eastAsia="仿宋"/>
          <w:sz w:val="28"/>
          <w:szCs w:val="28"/>
        </w:rPr>
        <w:t>支</w:t>
      </w:r>
      <w:r>
        <w:rPr>
          <w:rStyle w:val="17"/>
          <w:rFonts w:hint="eastAsia" w:ascii="仿宋" w:hAnsi="仿宋" w:eastAsia="仿宋" w:cstheme="majorBidi"/>
          <w:bCs/>
          <w:sz w:val="28"/>
          <w:szCs w:val="28"/>
        </w:rPr>
        <w:t>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"_Toc15396606" </w:instrText>
      </w:r>
      <w:r>
        <w:fldChar w:fldCharType="separate"/>
      </w:r>
      <w:r>
        <w:rPr>
          <w:rStyle w:val="17"/>
          <w:rFonts w:hint="eastAsia" w:ascii="仿宋" w:hAnsi="仿宋" w:eastAsia="仿宋"/>
          <w:sz w:val="28"/>
          <w:szCs w:val="28"/>
        </w:rPr>
        <w:t>四、财</w:t>
      </w:r>
      <w:r>
        <w:rPr>
          <w:rStyle w:val="17"/>
          <w:rFonts w:hint="eastAsia" w:ascii="仿宋" w:hAnsi="仿宋" w:eastAsia="仿宋" w:cstheme="majorBidi"/>
          <w:bCs/>
          <w:sz w:val="28"/>
          <w:szCs w:val="28"/>
        </w:rPr>
        <w:t>政拨款收入支出决算总体情况说明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"_Toc15396607" </w:instrText>
      </w:r>
      <w:r>
        <w:fldChar w:fldCharType="separate"/>
      </w:r>
      <w:r>
        <w:rPr>
          <w:rStyle w:val="17"/>
          <w:rFonts w:hint="eastAsia" w:ascii="仿宋" w:hAnsi="仿宋" w:eastAsia="仿宋"/>
          <w:sz w:val="28"/>
          <w:szCs w:val="28"/>
        </w:rPr>
        <w:t>五、一</w:t>
      </w:r>
      <w:r>
        <w:rPr>
          <w:rStyle w:val="17"/>
          <w:rFonts w:hint="eastAsia" w:ascii="仿宋" w:hAnsi="仿宋" w:eastAsia="仿宋" w:cstheme="majorBidi"/>
          <w:bCs/>
          <w:sz w:val="28"/>
          <w:szCs w:val="28"/>
        </w:rPr>
        <w:t>般公共预算财政拨款支出决算情况说明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"_Toc15396608" </w:instrText>
      </w:r>
      <w:r>
        <w:fldChar w:fldCharType="separate"/>
      </w:r>
      <w:r>
        <w:rPr>
          <w:rStyle w:val="17"/>
          <w:rFonts w:hint="eastAsia" w:ascii="仿宋" w:hAnsi="仿宋" w:eastAsia="仿宋"/>
          <w:sz w:val="28"/>
          <w:szCs w:val="28"/>
        </w:rPr>
        <w:t>六、一</w:t>
      </w:r>
      <w:r>
        <w:rPr>
          <w:rStyle w:val="17"/>
          <w:rFonts w:hint="eastAsia" w:ascii="仿宋" w:hAnsi="仿宋" w:eastAsia="仿宋" w:cstheme="majorBidi"/>
          <w:bCs/>
          <w:sz w:val="28"/>
          <w:szCs w:val="28"/>
        </w:rPr>
        <w:t>般公共预算财政拨款基本支出决算情况说明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"_Toc15396609" </w:instrText>
      </w:r>
      <w:r>
        <w:fldChar w:fldCharType="separate"/>
      </w:r>
      <w:r>
        <w:rPr>
          <w:rStyle w:val="17"/>
          <w:rFonts w:hint="eastAsia" w:ascii="仿宋" w:hAnsi="仿宋" w:eastAsia="仿宋"/>
          <w:sz w:val="28"/>
          <w:szCs w:val="28"/>
        </w:rPr>
        <w:t>七、</w:t>
      </w:r>
      <w:r>
        <w:rPr>
          <w:rStyle w:val="17"/>
          <w:rFonts w:ascii="仿宋" w:hAnsi="仿宋" w:eastAsia="仿宋"/>
          <w:sz w:val="28"/>
          <w:szCs w:val="28"/>
        </w:rPr>
        <w:t>“</w:t>
      </w:r>
      <w:r>
        <w:rPr>
          <w:rStyle w:val="17"/>
          <w:rFonts w:hint="eastAsia" w:ascii="仿宋" w:hAnsi="仿宋" w:eastAsia="仿宋" w:cstheme="majorBidi"/>
          <w:bCs/>
          <w:sz w:val="28"/>
          <w:szCs w:val="28"/>
        </w:rPr>
        <w:t>三公”经费财政拨款支出决算情况说明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"_Toc15396610" </w:instrText>
      </w:r>
      <w:r>
        <w:fldChar w:fldCharType="separate"/>
      </w:r>
      <w:r>
        <w:rPr>
          <w:rStyle w:val="17"/>
          <w:rFonts w:hint="eastAsia" w:ascii="仿宋" w:hAnsi="仿宋" w:eastAsia="仿宋"/>
          <w:sz w:val="28"/>
          <w:szCs w:val="28"/>
        </w:rPr>
        <w:t>八、</w:t>
      </w:r>
      <w:r>
        <w:rPr>
          <w:rStyle w:val="17"/>
          <w:rFonts w:hint="eastAsia" w:ascii="仿宋" w:hAnsi="仿宋" w:eastAsia="仿宋" w:cstheme="majorBidi"/>
          <w:bCs/>
          <w:sz w:val="28"/>
          <w:szCs w:val="28"/>
        </w:rPr>
        <w:t>政府性基金预算支出决算情况说明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"_Toc15396611" </w:instrText>
      </w:r>
      <w:r>
        <w:fldChar w:fldCharType="separate"/>
      </w:r>
      <w:r>
        <w:rPr>
          <w:rStyle w:val="17"/>
          <w:rFonts w:hint="eastAsia" w:ascii="仿宋" w:hAnsi="仿宋" w:eastAsia="仿宋" w:cstheme="majorBidi"/>
          <w:bCs/>
          <w:sz w:val="28"/>
          <w:szCs w:val="28"/>
        </w:rPr>
        <w:t>九、</w:t>
      </w:r>
      <w:r>
        <w:rPr>
          <w:rStyle w:val="17"/>
          <w:rFonts w:hint="eastAsia" w:ascii="仿宋" w:hAnsi="仿宋" w:eastAsia="仿宋"/>
          <w:sz w:val="28"/>
          <w:szCs w:val="28"/>
        </w:rPr>
        <w:t xml:space="preserve"> 国</w:t>
      </w:r>
      <w:r>
        <w:rPr>
          <w:rStyle w:val="17"/>
          <w:rFonts w:hint="eastAsia" w:ascii="仿宋" w:hAnsi="仿宋" w:eastAsia="仿宋" w:cstheme="majorBidi"/>
          <w:bCs/>
          <w:sz w:val="28"/>
          <w:szCs w:val="28"/>
        </w:rPr>
        <w:t>有资本经营预算支出决算情况说明</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"_Toc15396612" </w:instrText>
      </w:r>
      <w:r>
        <w:fldChar w:fldCharType="separate"/>
      </w:r>
      <w:r>
        <w:rPr>
          <w:rStyle w:val="17"/>
          <w:rFonts w:hint="eastAsia" w:ascii="仿宋" w:hAnsi="仿宋" w:eastAsia="仿宋"/>
          <w:sz w:val="28"/>
          <w:szCs w:val="28"/>
        </w:rPr>
        <w:t>十</w:t>
      </w:r>
      <w:r>
        <w:rPr>
          <w:rStyle w:val="17"/>
          <w:rFonts w:hint="eastAsia" w:ascii="仿宋" w:hAnsi="仿宋" w:eastAsia="仿宋" w:cstheme="majorBidi"/>
          <w:bCs/>
          <w:sz w:val="28"/>
          <w:szCs w:val="28"/>
        </w:rPr>
        <w:t>一、其他重要事项的情况说明</w:t>
      </w:r>
      <w:r>
        <w:rPr>
          <w:rFonts w:ascii="仿宋" w:hAnsi="仿宋" w:eastAsia="仿宋"/>
          <w:sz w:val="28"/>
          <w:szCs w:val="28"/>
        </w:rPr>
        <w:fldChar w:fldCharType="end"/>
      </w:r>
    </w:p>
    <w:p>
      <w:pPr>
        <w:pStyle w:val="12"/>
        <w:rPr>
          <w:rFonts w:cstheme="minorBidi"/>
        </w:rPr>
      </w:pPr>
      <w:r>
        <w:fldChar w:fldCharType="begin"/>
      </w:r>
      <w:r>
        <w:instrText xml:space="preserve"> HYPERLINK \l "_Toc15396613" </w:instrText>
      </w:r>
      <w:r>
        <w:fldChar w:fldCharType="separate"/>
      </w:r>
      <w:r>
        <w:rPr>
          <w:rStyle w:val="17"/>
          <w:rFonts w:hint="eastAsia"/>
          <w:bCs/>
          <w:kern w:val="44"/>
        </w:rPr>
        <w:t>第三部分</w:t>
      </w:r>
      <w:r>
        <w:rPr>
          <w:rStyle w:val="17"/>
          <w:rFonts w:hint="eastAsia"/>
        </w:rPr>
        <w:t xml:space="preserve"> 名</w:t>
      </w:r>
      <w:r>
        <w:rPr>
          <w:rStyle w:val="17"/>
          <w:rFonts w:hint="eastAsia"/>
          <w:bCs/>
          <w:kern w:val="44"/>
        </w:rPr>
        <w:t>词解释</w:t>
      </w:r>
      <w:r>
        <w:fldChar w:fldCharType="end"/>
      </w:r>
    </w:p>
    <w:p>
      <w:pPr>
        <w:pStyle w:val="12"/>
        <w:rPr>
          <w:rFonts w:cstheme="minorBidi"/>
        </w:rPr>
      </w:pPr>
      <w:r>
        <w:fldChar w:fldCharType="begin"/>
      </w:r>
      <w:r>
        <w:instrText xml:space="preserve"> HYPERLINK \l "_Toc15396614" </w:instrText>
      </w:r>
      <w:r>
        <w:fldChar w:fldCharType="separate"/>
      </w:r>
      <w:r>
        <w:rPr>
          <w:rStyle w:val="17"/>
          <w:rFonts w:hint="eastAsia"/>
        </w:rPr>
        <w:t>第</w:t>
      </w:r>
      <w:r>
        <w:rPr>
          <w:rStyle w:val="17"/>
          <w:rFonts w:hint="eastAsia"/>
          <w:bCs/>
          <w:kern w:val="44"/>
        </w:rPr>
        <w:t>四部分</w:t>
      </w:r>
      <w:r>
        <w:rPr>
          <w:rStyle w:val="17"/>
          <w:bCs/>
          <w:kern w:val="44"/>
        </w:rPr>
        <w:t xml:space="preserve"> </w:t>
      </w:r>
      <w:r>
        <w:rPr>
          <w:rStyle w:val="17"/>
          <w:rFonts w:hint="eastAsia"/>
          <w:bCs/>
          <w:kern w:val="44"/>
        </w:rPr>
        <w:t>附件</w:t>
      </w:r>
      <w:r>
        <w:fldChar w:fldCharType="end"/>
      </w:r>
    </w:p>
    <w:p>
      <w:pPr>
        <w:pStyle w:val="13"/>
        <w:rPr>
          <w:rFonts w:ascii="仿宋" w:hAnsi="仿宋" w:eastAsia="仿宋" w:cstheme="minorBidi"/>
          <w:sz w:val="28"/>
          <w:szCs w:val="28"/>
        </w:rPr>
      </w:pPr>
      <w:r>
        <w:fldChar w:fldCharType="begin"/>
      </w:r>
      <w:r>
        <w:instrText xml:space="preserve"> HYPERLINK \l "_Toc15396615"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1</w:t>
      </w:r>
      <w:r>
        <w:rPr>
          <w:rFonts w:ascii="仿宋" w:hAnsi="仿宋" w:eastAsia="仿宋"/>
          <w:sz w:val="28"/>
          <w:szCs w:val="28"/>
        </w:rPr>
        <w:fldChar w:fldCharType="end"/>
      </w:r>
    </w:p>
    <w:p>
      <w:pPr>
        <w:pStyle w:val="13"/>
        <w:rPr>
          <w:rFonts w:ascii="仿宋" w:hAnsi="仿宋" w:eastAsia="仿宋" w:cstheme="minorBidi"/>
          <w:sz w:val="28"/>
          <w:szCs w:val="28"/>
        </w:rPr>
      </w:pPr>
      <w:r>
        <w:fldChar w:fldCharType="begin"/>
      </w:r>
      <w:r>
        <w:instrText xml:space="preserve"> HYPERLINK \l "_Toc15396617" </w:instrText>
      </w:r>
      <w:r>
        <w:fldChar w:fldCharType="separate"/>
      </w:r>
      <w:r>
        <w:rPr>
          <w:rStyle w:val="17"/>
          <w:rFonts w:hint="eastAsia" w:ascii="仿宋" w:hAnsi="仿宋" w:eastAsia="仿宋"/>
          <w:kern w:val="44"/>
          <w:sz w:val="28"/>
          <w:szCs w:val="28"/>
        </w:rPr>
        <w:t>附件</w:t>
      </w:r>
      <w:r>
        <w:rPr>
          <w:rStyle w:val="17"/>
          <w:rFonts w:ascii="仿宋" w:hAnsi="仿宋" w:eastAsia="仿宋"/>
          <w:kern w:val="44"/>
          <w:sz w:val="28"/>
          <w:szCs w:val="28"/>
        </w:rPr>
        <w:t>2</w:t>
      </w:r>
      <w:r>
        <w:rPr>
          <w:rFonts w:ascii="仿宋" w:hAnsi="仿宋" w:eastAsia="仿宋"/>
          <w:sz w:val="28"/>
          <w:szCs w:val="28"/>
        </w:rPr>
        <w:fldChar w:fldCharType="end"/>
      </w:r>
    </w:p>
    <w:p>
      <w:pPr>
        <w:pStyle w:val="12"/>
        <w:rPr>
          <w:rFonts w:cstheme="minorBidi"/>
        </w:rPr>
      </w:pPr>
      <w:r>
        <w:fldChar w:fldCharType="begin"/>
      </w:r>
      <w:r>
        <w:instrText xml:space="preserve"> HYPERLINK \l "_Toc15396618" </w:instrText>
      </w:r>
      <w:r>
        <w:fldChar w:fldCharType="separate"/>
      </w:r>
      <w:r>
        <w:rPr>
          <w:rStyle w:val="17"/>
          <w:rFonts w:hint="eastAsia"/>
        </w:rPr>
        <w:t>第</w:t>
      </w:r>
      <w:r>
        <w:rPr>
          <w:rStyle w:val="17"/>
          <w:rFonts w:hint="eastAsia"/>
          <w:bCs/>
          <w:kern w:val="44"/>
        </w:rPr>
        <w:t>五部分</w:t>
      </w:r>
      <w:r>
        <w:rPr>
          <w:rStyle w:val="17"/>
          <w:bCs/>
          <w:kern w:val="44"/>
        </w:rPr>
        <w:t xml:space="preserve"> </w:t>
      </w:r>
      <w:r>
        <w:rPr>
          <w:rStyle w:val="17"/>
          <w:rFonts w:hint="eastAsia"/>
          <w:bCs/>
          <w:kern w:val="44"/>
        </w:rPr>
        <w:t>附表</w:t>
      </w:r>
      <w:r>
        <w:fldChar w:fldCharType="end"/>
      </w:r>
    </w:p>
    <w:p>
      <w:pPr>
        <w:pStyle w:val="13"/>
        <w:rPr>
          <w:rFonts w:ascii="仿宋" w:hAnsi="仿宋" w:eastAsia="仿宋" w:cstheme="minorBidi"/>
          <w:sz w:val="28"/>
          <w:szCs w:val="28"/>
        </w:rPr>
      </w:pPr>
      <w:r>
        <w:rPr>
          <w:rFonts w:hint="eastAsia" w:ascii="仿宋" w:hAnsi="仿宋" w:eastAsia="仿宋"/>
          <w:sz w:val="28"/>
          <w:szCs w:val="28"/>
        </w:rPr>
        <w:t>一、</w:t>
      </w:r>
      <w:r>
        <w:fldChar w:fldCharType="begin"/>
      </w:r>
      <w:r>
        <w:instrText xml:space="preserve"> HYPERLINK \l "_Toc15396619" </w:instrText>
      </w:r>
      <w:r>
        <w:fldChar w:fldCharType="separate"/>
      </w:r>
      <w:r>
        <w:rPr>
          <w:rStyle w:val="17"/>
          <w:rFonts w:hint="eastAsia" w:ascii="仿宋" w:hAnsi="仿宋" w:eastAsia="仿宋"/>
          <w:sz w:val="28"/>
          <w:szCs w:val="28"/>
        </w:rPr>
        <w:t>收入支出决算总表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二、</w:t>
      </w:r>
      <w:r>
        <w:fldChar w:fldCharType="begin"/>
      </w:r>
      <w:r>
        <w:instrText xml:space="preserve"> HYPERLINK \l "_Toc15396620" </w:instrText>
      </w:r>
      <w:r>
        <w:fldChar w:fldCharType="separate"/>
      </w:r>
      <w:r>
        <w:rPr>
          <w:rStyle w:val="17"/>
          <w:rFonts w:hint="eastAsia" w:ascii="仿宋" w:hAnsi="仿宋" w:eastAsia="仿宋"/>
          <w:sz w:val="28"/>
          <w:szCs w:val="28"/>
        </w:rPr>
        <w:t>收入总表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三、</w:t>
      </w:r>
      <w:r>
        <w:fldChar w:fldCharType="begin"/>
      </w:r>
      <w:r>
        <w:instrText xml:space="preserve"> HYPERLINK \l "_Toc15396621" </w:instrText>
      </w:r>
      <w:r>
        <w:fldChar w:fldCharType="separate"/>
      </w:r>
      <w:r>
        <w:rPr>
          <w:rStyle w:val="17"/>
          <w:rFonts w:hint="eastAsia" w:ascii="仿宋" w:hAnsi="仿宋" w:eastAsia="仿宋"/>
          <w:sz w:val="28"/>
          <w:szCs w:val="28"/>
        </w:rPr>
        <w:t>支出总表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四、</w:t>
      </w:r>
      <w:r>
        <w:fldChar w:fldCharType="begin"/>
      </w:r>
      <w:r>
        <w:instrText xml:space="preserve"> HYPERLINK \l "_Toc15396622" </w:instrText>
      </w:r>
      <w:r>
        <w:fldChar w:fldCharType="separate"/>
      </w:r>
      <w:r>
        <w:rPr>
          <w:rStyle w:val="17"/>
          <w:rFonts w:hint="eastAsia" w:ascii="仿宋" w:hAnsi="仿宋" w:eastAsia="仿宋"/>
          <w:sz w:val="28"/>
          <w:szCs w:val="28"/>
        </w:rPr>
        <w:t>财政拨款收入支出决算总表</w:t>
      </w:r>
      <w:r>
        <w:rPr>
          <w:rFonts w:ascii="仿宋" w:hAnsi="仿宋" w:eastAsia="仿宋"/>
          <w:sz w:val="28"/>
          <w:szCs w:val="28"/>
        </w:rPr>
        <w:fldChar w:fldCharType="end"/>
      </w:r>
    </w:p>
    <w:p>
      <w:pPr>
        <w:pStyle w:val="13"/>
        <w:rPr>
          <w:rFonts w:ascii="仿宋" w:hAnsi="仿宋" w:eastAsia="仿宋"/>
          <w:sz w:val="28"/>
          <w:szCs w:val="28"/>
        </w:rPr>
      </w:pPr>
      <w:r>
        <w:rPr>
          <w:rFonts w:hint="eastAsia" w:ascii="仿宋" w:hAnsi="仿宋" w:eastAsia="仿宋"/>
          <w:sz w:val="28"/>
          <w:szCs w:val="28"/>
        </w:rPr>
        <w:t>五、</w:t>
      </w:r>
      <w:r>
        <w:fldChar w:fldCharType="begin"/>
      </w:r>
      <w:r>
        <w:instrText xml:space="preserve"> HYPERLINK \l "_Toc15396623" </w:instrText>
      </w:r>
      <w:r>
        <w:fldChar w:fldCharType="separate"/>
      </w:r>
      <w:r>
        <w:rPr>
          <w:rFonts w:hint="eastAsia" w:ascii="仿宋" w:hAnsi="仿宋" w:eastAsia="仿宋"/>
          <w:sz w:val="28"/>
          <w:szCs w:val="28"/>
        </w:rPr>
        <w:t>财政拨款支出决算明细表（政府经济分类科目）</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六、</w:t>
      </w:r>
      <w:r>
        <w:fldChar w:fldCharType="begin"/>
      </w:r>
      <w:r>
        <w:instrText xml:space="preserve"> HYPERLINK \l "_Toc15396624" </w:instrText>
      </w:r>
      <w:r>
        <w:fldChar w:fldCharType="separate"/>
      </w:r>
      <w:r>
        <w:rPr>
          <w:rStyle w:val="17"/>
          <w:rFonts w:hint="eastAsia" w:ascii="仿宋" w:hAnsi="仿宋" w:eastAsia="仿宋"/>
          <w:sz w:val="28"/>
          <w:szCs w:val="28"/>
        </w:rPr>
        <w:t>一般公共预算财政拨款支出决算表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七、</w:t>
      </w:r>
      <w:r>
        <w:fldChar w:fldCharType="begin"/>
      </w:r>
      <w:r>
        <w:instrText xml:space="preserve"> HYPERLINK \l "_Toc15396625" </w:instrText>
      </w:r>
      <w:r>
        <w:fldChar w:fldCharType="separate"/>
      </w:r>
      <w:r>
        <w:rPr>
          <w:rStyle w:val="17"/>
          <w:rFonts w:hint="eastAsia" w:ascii="仿宋" w:hAnsi="仿宋" w:eastAsia="仿宋"/>
          <w:sz w:val="28"/>
          <w:szCs w:val="28"/>
        </w:rPr>
        <w:t>一般公共预算财政拨款支出决算明细表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八、</w:t>
      </w:r>
      <w:r>
        <w:fldChar w:fldCharType="begin"/>
      </w:r>
      <w:r>
        <w:instrText xml:space="preserve"> HYPERLINK \l "_Toc15396626" </w:instrText>
      </w:r>
      <w:r>
        <w:fldChar w:fldCharType="separate"/>
      </w:r>
      <w:r>
        <w:rPr>
          <w:rStyle w:val="17"/>
          <w:rFonts w:hint="eastAsia" w:ascii="仿宋" w:hAnsi="仿宋" w:eastAsia="仿宋"/>
          <w:sz w:val="28"/>
          <w:szCs w:val="28"/>
        </w:rPr>
        <w:t>一般公共预算财政拨款基本支出决算表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九、</w:t>
      </w:r>
      <w:r>
        <w:fldChar w:fldCharType="begin"/>
      </w:r>
      <w:r>
        <w:instrText xml:space="preserve"> HYPERLINK \l "_Toc15396627" </w:instrText>
      </w:r>
      <w:r>
        <w:fldChar w:fldCharType="separate"/>
      </w:r>
      <w:r>
        <w:rPr>
          <w:rStyle w:val="17"/>
          <w:rFonts w:hint="eastAsia" w:ascii="仿宋" w:hAnsi="仿宋" w:eastAsia="仿宋"/>
          <w:sz w:val="28"/>
          <w:szCs w:val="28"/>
        </w:rPr>
        <w:t>一般公共预算财政拨款项目支出决算表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w:t>
      </w:r>
      <w:r>
        <w:fldChar w:fldCharType="begin"/>
      </w:r>
      <w:r>
        <w:instrText xml:space="preserve"> HYPERLINK \l "_Toc15396628" </w:instrText>
      </w:r>
      <w:r>
        <w:fldChar w:fldCharType="separate"/>
      </w:r>
      <w:r>
        <w:rPr>
          <w:rStyle w:val="17"/>
          <w:rFonts w:hint="eastAsia" w:ascii="仿宋" w:hAnsi="仿宋" w:eastAsia="仿宋"/>
          <w:sz w:val="28"/>
          <w:szCs w:val="28"/>
        </w:rPr>
        <w:t>一般公共预算财政拨款“三公”经费支出决算表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十一、</w:t>
      </w:r>
      <w:r>
        <w:fldChar w:fldCharType="begin"/>
      </w:r>
      <w:r>
        <w:instrText xml:space="preserve"> HYPERLINK \l "_Toc15396629" </w:instrText>
      </w:r>
      <w:r>
        <w:fldChar w:fldCharType="separate"/>
      </w:r>
      <w:r>
        <w:rPr>
          <w:rStyle w:val="17"/>
          <w:rFonts w:hint="eastAsia" w:ascii="仿宋" w:hAnsi="仿宋" w:eastAsia="仿宋"/>
          <w:sz w:val="28"/>
          <w:szCs w:val="28"/>
        </w:rPr>
        <w:t>政府性基金预算财政拨款收入支出决算表</w:t>
      </w:r>
      <w:r>
        <w:rPr>
          <w:rFonts w:ascii="仿宋" w:hAnsi="仿宋" w:eastAsia="仿宋"/>
          <w:sz w:val="28"/>
          <w:szCs w:val="28"/>
        </w:rPr>
        <w:fldChar w:fldCharType="end"/>
      </w:r>
    </w:p>
    <w:p>
      <w:pPr>
        <w:pStyle w:val="13"/>
        <w:rPr>
          <w:rFonts w:ascii="仿宋" w:hAnsi="仿宋" w:eastAsia="仿宋" w:cstheme="minorBidi"/>
          <w:sz w:val="28"/>
          <w:szCs w:val="28"/>
        </w:rPr>
      </w:pPr>
      <w:r>
        <w:rPr>
          <w:rFonts w:hint="eastAsia" w:ascii="仿宋" w:hAnsi="仿宋" w:eastAsia="仿宋"/>
          <w:sz w:val="28"/>
          <w:szCs w:val="28"/>
        </w:rPr>
        <w:t>十二、</w:t>
      </w:r>
      <w:r>
        <w:fldChar w:fldCharType="begin"/>
      </w:r>
      <w:r>
        <w:instrText xml:space="preserve"> HYPERLINK \l "_Toc15396630" </w:instrText>
      </w:r>
      <w:r>
        <w:fldChar w:fldCharType="separate"/>
      </w:r>
      <w:r>
        <w:rPr>
          <w:rStyle w:val="17"/>
          <w:rFonts w:hint="eastAsia" w:ascii="仿宋" w:hAnsi="仿宋" w:eastAsia="仿宋"/>
          <w:sz w:val="28"/>
          <w:szCs w:val="28"/>
        </w:rPr>
        <w:t>政府性基金预算财政拨款“三公”经费支出决算表</w:t>
      </w:r>
      <w:r>
        <w:rPr>
          <w:rFonts w:ascii="仿宋" w:hAnsi="仿宋" w:eastAsia="仿宋"/>
          <w:sz w:val="28"/>
          <w:szCs w:val="28"/>
        </w:rPr>
        <w:fldChar w:fldCharType="end"/>
      </w:r>
    </w:p>
    <w:p>
      <w:pPr>
        <w:pStyle w:val="13"/>
        <w:rPr>
          <w:rFonts w:ascii="仿宋" w:hAnsi="仿宋" w:eastAsia="仿宋" w:cstheme="minorBidi"/>
          <w:sz w:val="24"/>
        </w:rPr>
      </w:pPr>
      <w:r>
        <w:rPr>
          <w:rFonts w:hint="eastAsia" w:ascii="仿宋" w:hAnsi="仿宋" w:eastAsia="仿宋"/>
          <w:sz w:val="28"/>
          <w:szCs w:val="28"/>
        </w:rPr>
        <w:t>十三、</w:t>
      </w:r>
      <w:r>
        <w:fldChar w:fldCharType="begin"/>
      </w:r>
      <w:r>
        <w:instrText xml:space="preserve"> HYPERLINK \l "_Toc15396631" </w:instrText>
      </w:r>
      <w:r>
        <w:fldChar w:fldCharType="separate"/>
      </w:r>
      <w:r>
        <w:rPr>
          <w:rStyle w:val="17"/>
          <w:rFonts w:hint="eastAsia" w:ascii="仿宋" w:hAnsi="仿宋" w:eastAsia="仿宋"/>
          <w:sz w:val="28"/>
          <w:szCs w:val="28"/>
        </w:rPr>
        <w:t>国有资本经营预算支出决算表</w:t>
      </w:r>
      <w:r>
        <w:rPr>
          <w:rFonts w:ascii="仿宋" w:hAnsi="仿宋" w:eastAsia="仿宋"/>
          <w:sz w:val="28"/>
          <w:szCs w:val="28"/>
        </w:rPr>
        <w:fldChar w:fldCharType="end"/>
      </w:r>
    </w:p>
    <w:p>
      <w:pPr>
        <w:widowControl/>
        <w:jc w:val="left"/>
        <w:rPr>
          <w:rFonts w:ascii="仿宋" w:hAnsi="仿宋" w:eastAsia="仿宋"/>
          <w:color w:val="000000"/>
          <w:sz w:val="24"/>
        </w:rPr>
      </w:pPr>
      <w:r>
        <w:rPr>
          <w:rFonts w:ascii="仿宋" w:hAnsi="仿宋" w:eastAsia="仿宋"/>
          <w:color w:val="000000"/>
          <w:sz w:val="24"/>
        </w:rPr>
        <w:fldChar w:fldCharType="end"/>
      </w:r>
    </w:p>
    <w:p>
      <w:pPr>
        <w:widowControl/>
        <w:jc w:val="left"/>
        <w:rPr>
          <w:rFonts w:ascii="黑体" w:hAnsi="黑体" w:eastAsia="黑体"/>
          <w:bCs/>
          <w:kern w:val="44"/>
          <w:sz w:val="44"/>
          <w:szCs w:val="44"/>
        </w:rPr>
      </w:pPr>
      <w:bookmarkStart w:id="12" w:name="_Toc15396599"/>
      <w:bookmarkStart w:id="13" w:name="_Toc15377196"/>
      <w:r>
        <w:rPr>
          <w:rFonts w:ascii="黑体" w:hAnsi="黑体" w:eastAsia="黑体"/>
          <w:b/>
        </w:rPr>
        <w:br w:type="page"/>
      </w:r>
    </w:p>
    <w:p>
      <w:pPr>
        <w:pStyle w:val="4"/>
        <w:jc w:val="center"/>
        <w:rPr>
          <w:rStyle w:val="27"/>
          <w:rFonts w:ascii="黑体" w:hAnsi="黑体" w:eastAsia="黑体"/>
          <w:b/>
          <w:bCs w:val="0"/>
        </w:rPr>
      </w:pPr>
      <w:r>
        <w:rPr>
          <w:rFonts w:hint="eastAsia" w:ascii="黑体" w:hAnsi="黑体" w:eastAsia="黑体"/>
          <w:b w:val="0"/>
        </w:rPr>
        <w:t xml:space="preserve">第一部分 </w:t>
      </w:r>
      <w:r>
        <w:rPr>
          <w:rStyle w:val="27"/>
          <w:rFonts w:hint="eastAsia" w:ascii="黑体" w:hAnsi="黑体" w:eastAsia="黑体"/>
          <w:b w:val="0"/>
          <w:bCs w:val="0"/>
        </w:rPr>
        <w:t>部门概况</w:t>
      </w:r>
      <w:bookmarkEnd w:id="12"/>
      <w:bookmarkEnd w:id="13"/>
    </w:p>
    <w:p>
      <w:pPr>
        <w:widowControl/>
        <w:jc w:val="left"/>
        <w:rPr>
          <w:rFonts w:ascii="黑体" w:eastAsia="黑体"/>
          <w:color w:val="000000"/>
          <w:sz w:val="32"/>
          <w:szCs w:val="32"/>
        </w:rPr>
      </w:pPr>
    </w:p>
    <w:p>
      <w:pPr>
        <w:pStyle w:val="5"/>
        <w:rPr>
          <w:rStyle w:val="28"/>
          <w:rFonts w:ascii="仿宋" w:hAnsi="仿宋" w:eastAsia="仿宋"/>
          <w:b w:val="0"/>
          <w:bCs w:val="0"/>
        </w:rPr>
      </w:pPr>
      <w:bookmarkStart w:id="14" w:name="_Toc15377197"/>
      <w:bookmarkStart w:id="15" w:name="_Toc15396600"/>
      <w:r>
        <w:rPr>
          <w:rFonts w:hint="eastAsia" w:ascii="黑体" w:hAnsi="黑体" w:eastAsia="黑体"/>
          <w:b w:val="0"/>
          <w:color w:val="000000"/>
        </w:rPr>
        <w:t>一、基</w:t>
      </w:r>
      <w:r>
        <w:rPr>
          <w:rStyle w:val="28"/>
          <w:rFonts w:hint="eastAsia" w:ascii="黑体" w:hAnsi="黑体" w:eastAsia="黑体"/>
          <w:b w:val="0"/>
          <w:bCs w:val="0"/>
        </w:rPr>
        <w:t>本职能及主要工作</w:t>
      </w:r>
      <w:bookmarkEnd w:id="14"/>
      <w:bookmarkEnd w:id="15"/>
    </w:p>
    <w:p>
      <w:pPr>
        <w:pStyle w:val="7"/>
        <w:adjustRightInd w:val="0"/>
        <w:snapToGrid w:val="0"/>
        <w:spacing w:before="93" w:line="600" w:lineRule="exact"/>
        <w:ind w:firstLine="672" w:firstLineChars="210"/>
        <w:outlineLvl w:val="2"/>
        <w:rPr>
          <w:rFonts w:hint="eastAsia" w:ascii="仿宋_GB2312" w:hAnsi="仿宋_GB2312" w:eastAsia="仿宋_GB2312" w:cs="仿宋_GB2312"/>
          <w:bCs/>
          <w:color w:val="auto"/>
          <w:kern w:val="2"/>
          <w:sz w:val="32"/>
          <w:szCs w:val="32"/>
          <w:lang w:val="en-US" w:eastAsia="zh-CN" w:bidi="ar-SA"/>
        </w:rPr>
      </w:pPr>
      <w:bookmarkStart w:id="16" w:name="_Toc15377198"/>
      <w:bookmarkStart w:id="17" w:name="_Toc15378445"/>
      <w:r>
        <w:rPr>
          <w:rFonts w:hint="eastAsia" w:ascii="仿宋" w:hAnsi="仿宋" w:eastAsia="仿宋"/>
          <w:bCs/>
          <w:color w:val="000000"/>
          <w:sz w:val="32"/>
          <w:szCs w:val="32"/>
        </w:rPr>
        <w:t>（一）主要职能。</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color w:val="auto"/>
          <w:sz w:val="32"/>
          <w:szCs w:val="32"/>
        </w:rPr>
        <w:t>落</w:t>
      </w:r>
      <w:r>
        <w:rPr>
          <w:rFonts w:hint="eastAsia" w:ascii="仿宋" w:hAnsi="仿宋" w:eastAsia="仿宋" w:cs="仿宋"/>
          <w:bCs/>
          <w:color w:val="auto"/>
          <w:kern w:val="2"/>
          <w:sz w:val="32"/>
          <w:szCs w:val="32"/>
        </w:rPr>
        <w:t>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rPr>
        <w:t>1、宣传、实施上级主管部门以及相关单位的有关政策;</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rPr>
        <w:t>2、执行本行政区域内的经济和社会发展计划、预算</w:t>
      </w:r>
      <w:r>
        <w:rPr>
          <w:rFonts w:hint="eastAsia" w:ascii="仿宋" w:hAnsi="仿宋" w:eastAsia="仿宋" w:cs="仿宋"/>
          <w:bCs/>
          <w:color w:val="auto"/>
          <w:kern w:val="2"/>
          <w:sz w:val="32"/>
          <w:szCs w:val="32"/>
          <w:lang w:eastAsia="zh-CN"/>
        </w:rPr>
        <w:t>、</w:t>
      </w:r>
      <w:r>
        <w:rPr>
          <w:rFonts w:hint="eastAsia" w:ascii="仿宋" w:hAnsi="仿宋" w:eastAsia="仿宋" w:cs="仿宋"/>
          <w:bCs/>
          <w:color w:val="auto"/>
          <w:kern w:val="2"/>
          <w:sz w:val="32"/>
          <w:szCs w:val="32"/>
        </w:rPr>
        <w:t>管理本行政区域内的经济、教育、科学、文化、卫生、体育事业和财政、民政、公安、司法行政、计划生育等行政工作;</w:t>
      </w:r>
      <w:r>
        <w:rPr>
          <w:rFonts w:hint="eastAsia" w:ascii="仿宋" w:hAnsi="仿宋" w:eastAsia="仿宋" w:cs="仿宋"/>
          <w:bCs/>
          <w:color w:val="auto"/>
          <w:kern w:val="2"/>
          <w:sz w:val="32"/>
          <w:szCs w:val="32"/>
          <w:lang w:val="en-US" w:eastAsia="zh-CN"/>
        </w:rPr>
        <w:t xml:space="preserve">                                                                  </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lang w:val="en-US" w:eastAsia="zh-CN"/>
        </w:rPr>
        <w:t>3</w:t>
      </w:r>
      <w:r>
        <w:rPr>
          <w:rFonts w:hint="eastAsia" w:ascii="仿宋" w:hAnsi="仿宋" w:eastAsia="仿宋" w:cs="仿宋"/>
          <w:bCs/>
          <w:color w:val="auto"/>
          <w:kern w:val="2"/>
          <w:sz w:val="32"/>
          <w:szCs w:val="32"/>
        </w:rPr>
        <w:t>、保护各种经济组织的合法权益;</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lang w:val="en-US" w:eastAsia="zh-CN"/>
        </w:rPr>
        <w:t>4</w:t>
      </w:r>
      <w:r>
        <w:rPr>
          <w:rFonts w:hint="eastAsia" w:ascii="仿宋" w:hAnsi="仿宋" w:eastAsia="仿宋" w:cs="仿宋"/>
          <w:bCs/>
          <w:color w:val="auto"/>
          <w:kern w:val="2"/>
          <w:sz w:val="32"/>
          <w:szCs w:val="32"/>
        </w:rPr>
        <w:t>、保障少数民族的权利和尊重少数民族的风俗习惯;</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ascii="仿宋" w:hAnsi="仿宋" w:eastAsia="仿宋"/>
          <w:bCs/>
          <w:color w:val="000000"/>
          <w:sz w:val="32"/>
          <w:szCs w:val="32"/>
        </w:rPr>
      </w:pPr>
      <w:r>
        <w:rPr>
          <w:rFonts w:hint="eastAsia" w:ascii="仿宋" w:hAnsi="仿宋" w:eastAsia="仿宋" w:cs="仿宋"/>
          <w:bCs/>
          <w:color w:val="auto"/>
          <w:kern w:val="2"/>
          <w:sz w:val="32"/>
          <w:szCs w:val="32"/>
          <w:lang w:val="en-US" w:eastAsia="zh-CN"/>
        </w:rPr>
        <w:t>5、保</w:t>
      </w:r>
      <w:r>
        <w:rPr>
          <w:rFonts w:hint="eastAsia" w:ascii="仿宋" w:hAnsi="仿宋" w:eastAsia="仿宋" w:cs="仿宋"/>
          <w:bCs/>
          <w:color w:val="auto"/>
          <w:kern w:val="2"/>
          <w:sz w:val="32"/>
          <w:szCs w:val="32"/>
        </w:rPr>
        <w:t>护社会主义的全民所有的财产和劳动群众集体所有的财产，保护公民私人所有的合法财产，维护社会秩序，保障公民的人身权利、民主权利和</w:t>
      </w:r>
      <w:r>
        <w:rPr>
          <w:rFonts w:hint="eastAsia" w:ascii="仿宋" w:hAnsi="仿宋" w:eastAsia="仿宋" w:cs="仿宋"/>
          <w:bCs/>
          <w:color w:val="auto"/>
          <w:kern w:val="2"/>
          <w:sz w:val="32"/>
          <w:szCs w:val="32"/>
        </w:rPr>
        <w:fldChar w:fldCharType="begin"/>
      </w:r>
      <w:r>
        <w:rPr>
          <w:rFonts w:hint="eastAsia" w:ascii="仿宋" w:hAnsi="仿宋" w:eastAsia="仿宋" w:cs="仿宋"/>
          <w:bCs/>
          <w:color w:val="auto"/>
          <w:kern w:val="2"/>
          <w:sz w:val="32"/>
          <w:szCs w:val="32"/>
        </w:rPr>
        <w:instrText xml:space="preserve"> HYPERLINK "http://www.oh100.com/qita/" \t "_blank" </w:instrText>
      </w:r>
      <w:r>
        <w:rPr>
          <w:rFonts w:hint="eastAsia" w:ascii="仿宋" w:hAnsi="仿宋" w:eastAsia="仿宋" w:cs="仿宋"/>
          <w:bCs/>
          <w:color w:val="auto"/>
          <w:kern w:val="2"/>
          <w:sz w:val="32"/>
          <w:szCs w:val="32"/>
        </w:rPr>
        <w:fldChar w:fldCharType="separate"/>
      </w:r>
      <w:r>
        <w:rPr>
          <w:rFonts w:hint="eastAsia" w:ascii="仿宋" w:hAnsi="仿宋" w:eastAsia="仿宋" w:cs="仿宋"/>
          <w:bCs/>
          <w:color w:val="auto"/>
          <w:kern w:val="2"/>
          <w:sz w:val="32"/>
          <w:szCs w:val="32"/>
        </w:rPr>
        <w:t>其他</w:t>
      </w:r>
      <w:r>
        <w:rPr>
          <w:rFonts w:hint="eastAsia" w:ascii="仿宋" w:hAnsi="仿宋" w:eastAsia="仿宋" w:cs="仿宋"/>
          <w:bCs/>
          <w:color w:val="auto"/>
          <w:kern w:val="2"/>
          <w:sz w:val="32"/>
          <w:szCs w:val="32"/>
        </w:rPr>
        <w:fldChar w:fldCharType="end"/>
      </w:r>
      <w:r>
        <w:rPr>
          <w:rFonts w:hint="eastAsia" w:ascii="仿宋" w:hAnsi="仿宋" w:eastAsia="仿宋" w:cs="仿宋"/>
          <w:bCs/>
          <w:color w:val="auto"/>
          <w:kern w:val="2"/>
          <w:sz w:val="32"/>
          <w:szCs w:val="32"/>
        </w:rPr>
        <w:t>权利;</w:t>
      </w:r>
      <w:bookmarkEnd w:id="16"/>
      <w:bookmarkEnd w:id="17"/>
    </w:p>
    <w:p>
      <w:pPr>
        <w:pStyle w:val="7"/>
        <w:adjustRightInd w:val="0"/>
        <w:snapToGrid w:val="0"/>
        <w:spacing w:before="93" w:line="600" w:lineRule="exact"/>
        <w:ind w:firstLine="672" w:firstLineChars="210"/>
        <w:outlineLvl w:val="2"/>
        <w:rPr>
          <w:rFonts w:hint="eastAsia" w:ascii="仿宋" w:hAnsi="仿宋" w:eastAsia="仿宋"/>
          <w:bCs/>
          <w:color w:val="000000"/>
          <w:sz w:val="32"/>
          <w:szCs w:val="32"/>
        </w:rPr>
      </w:pPr>
      <w:bookmarkStart w:id="18" w:name="_Toc15378446"/>
      <w:bookmarkStart w:id="19" w:name="_Toc15377199"/>
      <w:r>
        <w:rPr>
          <w:rFonts w:hint="eastAsia" w:ascii="仿宋" w:hAnsi="仿宋" w:eastAsia="仿宋"/>
          <w:bCs/>
          <w:color w:val="000000"/>
          <w:sz w:val="32"/>
          <w:szCs w:val="32"/>
        </w:rPr>
        <w:t>（二）</w:t>
      </w:r>
      <w:r>
        <w:rPr>
          <w:rFonts w:ascii="仿宋" w:hAnsi="仿宋" w:eastAsia="仿宋"/>
          <w:bCs/>
          <w:color w:val="000000"/>
          <w:sz w:val="32"/>
          <w:szCs w:val="32"/>
        </w:rPr>
        <w:t>201</w:t>
      </w:r>
      <w:r>
        <w:rPr>
          <w:rFonts w:hint="eastAsia" w:ascii="仿宋" w:hAnsi="仿宋" w:eastAsia="仿宋"/>
          <w:bCs/>
          <w:color w:val="000000"/>
          <w:sz w:val="32"/>
          <w:szCs w:val="32"/>
        </w:rPr>
        <w:t>8年重点工作完成情况。</w:t>
      </w:r>
      <w:bookmarkEnd w:id="18"/>
      <w:bookmarkEnd w:id="19"/>
    </w:p>
    <w:p>
      <w:pPr>
        <w:pStyle w:val="7"/>
        <w:adjustRightInd w:val="0"/>
        <w:snapToGrid w:val="0"/>
        <w:spacing w:before="93" w:line="600" w:lineRule="exact"/>
        <w:ind w:firstLine="672" w:firstLineChars="210"/>
        <w:outlineLvl w:val="2"/>
        <w:rPr>
          <w:rFonts w:hint="eastAsia" w:ascii="仿宋" w:hAnsi="仿宋" w:eastAsia="仿宋"/>
          <w:bCs/>
          <w:color w:val="auto"/>
          <w:sz w:val="32"/>
          <w:szCs w:val="32"/>
        </w:rPr>
      </w:pPr>
      <w:r>
        <w:rPr>
          <w:rFonts w:hint="eastAsia"/>
          <w:bCs/>
          <w:color w:val="auto"/>
          <w:sz w:val="32"/>
          <w:szCs w:val="32"/>
          <w:lang w:eastAsia="zh-CN"/>
        </w:rPr>
        <w:t>今年，我</w:t>
      </w:r>
      <w:r>
        <w:rPr>
          <w:rFonts w:hint="eastAsia"/>
          <w:bCs/>
          <w:color w:val="auto"/>
          <w:sz w:val="32"/>
          <w:szCs w:val="32"/>
          <w:lang w:val="en-US" w:eastAsia="zh-CN"/>
        </w:rPr>
        <w:t>结余的2017年</w:t>
      </w:r>
      <w:r>
        <w:rPr>
          <w:rFonts w:hint="eastAsia"/>
          <w:bCs/>
          <w:color w:val="auto"/>
          <w:sz w:val="32"/>
          <w:szCs w:val="32"/>
          <w:lang w:eastAsia="zh-CN"/>
        </w:rPr>
        <w:t>藏区新居、易地搬迁</w:t>
      </w:r>
      <w:r>
        <w:rPr>
          <w:rFonts w:hint="eastAsia"/>
          <w:bCs/>
          <w:color w:val="auto"/>
          <w:sz w:val="32"/>
          <w:szCs w:val="32"/>
          <w:lang w:val="en-US" w:eastAsia="zh-CN"/>
        </w:rPr>
        <w:t>尾款及2018年麦洼乡滚塘村篮球看台建设、国省道服务区中央补助资金</w:t>
      </w:r>
      <w:r>
        <w:rPr>
          <w:rFonts w:hint="eastAsia"/>
          <w:bCs/>
          <w:color w:val="auto"/>
          <w:sz w:val="32"/>
          <w:szCs w:val="32"/>
          <w:lang w:eastAsia="zh-CN"/>
        </w:rPr>
        <w:t>等较大项目建设已</w:t>
      </w:r>
      <w:r>
        <w:rPr>
          <w:rFonts w:hint="eastAsia"/>
          <w:bCs/>
          <w:color w:val="auto"/>
          <w:sz w:val="32"/>
          <w:szCs w:val="32"/>
          <w:lang w:val="en-US" w:eastAsia="zh-CN"/>
        </w:rPr>
        <w:t>基本完工</w:t>
      </w:r>
      <w:r>
        <w:rPr>
          <w:rFonts w:hint="eastAsia"/>
          <w:bCs/>
          <w:color w:val="auto"/>
          <w:sz w:val="32"/>
          <w:szCs w:val="32"/>
          <w:lang w:eastAsia="zh-CN"/>
        </w:rPr>
        <w:t>。</w:t>
      </w:r>
    </w:p>
    <w:p>
      <w:pPr>
        <w:pStyle w:val="5"/>
        <w:rPr>
          <w:rStyle w:val="28"/>
          <w:b w:val="0"/>
          <w:bCs w:val="0"/>
        </w:rPr>
      </w:pPr>
      <w:bookmarkStart w:id="20" w:name="_Toc15396601"/>
      <w:bookmarkStart w:id="21" w:name="_Toc15377200"/>
      <w:r>
        <w:rPr>
          <w:rFonts w:hint="eastAsia" w:ascii="黑体" w:eastAsia="黑体"/>
          <w:b w:val="0"/>
          <w:color w:val="000000"/>
        </w:rPr>
        <w:t>二、</w:t>
      </w:r>
      <w:r>
        <w:rPr>
          <w:rFonts w:hint="eastAsia" w:ascii="黑体" w:hAnsi="黑体" w:eastAsia="黑体"/>
          <w:b w:val="0"/>
          <w:color w:val="000000"/>
        </w:rPr>
        <w:t>机</w:t>
      </w:r>
      <w:r>
        <w:rPr>
          <w:rStyle w:val="28"/>
          <w:rFonts w:hint="eastAsia" w:ascii="黑体" w:hAnsi="黑体" w:eastAsia="黑体"/>
          <w:b w:val="0"/>
          <w:bCs w:val="0"/>
        </w:rPr>
        <w:t>构设置</w:t>
      </w:r>
      <w:bookmarkEnd w:id="20"/>
      <w:bookmarkEnd w:id="21"/>
    </w:p>
    <w:p>
      <w:pPr>
        <w:ind w:firstLine="800" w:firstLineChars="250"/>
        <w:rPr>
          <w:rFonts w:ascii="仿宋" w:hAnsi="仿宋" w:eastAsia="仿宋"/>
          <w:sz w:val="32"/>
          <w:szCs w:val="32"/>
        </w:rPr>
      </w:pPr>
      <w:r>
        <w:rPr>
          <w:rFonts w:hint="eastAsia" w:ascii="仿宋" w:hAnsi="仿宋" w:eastAsia="仿宋"/>
          <w:sz w:val="32"/>
          <w:szCs w:val="32"/>
        </w:rPr>
        <w:t>红原县</w:t>
      </w:r>
      <w:r>
        <w:rPr>
          <w:rFonts w:hint="eastAsia" w:ascii="仿宋" w:hAnsi="仿宋" w:eastAsia="仿宋"/>
          <w:sz w:val="32"/>
          <w:szCs w:val="32"/>
          <w:lang w:val="en-US" w:eastAsia="zh-CN"/>
        </w:rPr>
        <w:t>麦洼乡人民政府</w:t>
      </w:r>
      <w:r>
        <w:rPr>
          <w:rFonts w:hint="eastAsia" w:ascii="仿宋" w:hAnsi="仿宋" w:eastAsia="仿宋"/>
          <w:sz w:val="32"/>
          <w:szCs w:val="32"/>
        </w:rPr>
        <w:t>下属二级单位</w:t>
      </w:r>
      <w:r>
        <w:rPr>
          <w:rFonts w:ascii="仿宋" w:hAnsi="仿宋" w:eastAsia="仿宋"/>
          <w:sz w:val="32"/>
          <w:szCs w:val="32"/>
        </w:rPr>
        <w:t>2</w:t>
      </w:r>
      <w:r>
        <w:rPr>
          <w:rFonts w:hint="eastAsia" w:ascii="仿宋" w:hAnsi="仿宋" w:eastAsia="仿宋"/>
          <w:sz w:val="32"/>
          <w:szCs w:val="32"/>
        </w:rPr>
        <w:t>个，，其中行政单位</w:t>
      </w:r>
      <w:r>
        <w:rPr>
          <w:rFonts w:hint="eastAsia" w:ascii="仿宋" w:hAnsi="仿宋" w:eastAsia="仿宋"/>
          <w:sz w:val="32"/>
          <w:szCs w:val="32"/>
          <w:lang w:val="en-US" w:eastAsia="zh-CN"/>
        </w:rPr>
        <w:t>2</w:t>
      </w:r>
      <w:r>
        <w:rPr>
          <w:rFonts w:hint="eastAsia" w:ascii="仿宋" w:hAnsi="仿宋" w:eastAsia="仿宋"/>
          <w:sz w:val="32"/>
          <w:szCs w:val="32"/>
        </w:rPr>
        <w:t>个，参照公务员法管理的事业单位</w:t>
      </w:r>
      <w:r>
        <w:rPr>
          <w:rFonts w:hint="eastAsia" w:ascii="仿宋" w:hAnsi="仿宋" w:eastAsia="仿宋"/>
          <w:bCs/>
          <w:sz w:val="32"/>
          <w:szCs w:val="32"/>
          <w:lang w:val="en-US" w:eastAsia="zh-CN"/>
        </w:rPr>
        <w:t>0</w:t>
      </w:r>
      <w:r>
        <w:rPr>
          <w:rFonts w:hint="eastAsia" w:ascii="仿宋" w:hAnsi="仿宋" w:eastAsia="仿宋"/>
          <w:sz w:val="32"/>
          <w:szCs w:val="32"/>
        </w:rPr>
        <w:t>个，其他事业单位</w:t>
      </w:r>
      <w:r>
        <w:rPr>
          <w:rFonts w:hint="eastAsia" w:ascii="仿宋" w:hAnsi="仿宋" w:eastAsia="仿宋"/>
          <w:sz w:val="32"/>
          <w:szCs w:val="32"/>
          <w:lang w:val="en-US" w:eastAsia="zh-CN"/>
        </w:rPr>
        <w:t>0</w:t>
      </w:r>
      <w:r>
        <w:rPr>
          <w:rFonts w:hint="eastAsia" w:ascii="仿宋" w:hAnsi="仿宋" w:eastAsia="仿宋"/>
          <w:sz w:val="32"/>
          <w:szCs w:val="32"/>
        </w:rPr>
        <w:t>个。</w:t>
      </w:r>
    </w:p>
    <w:p>
      <w:pPr>
        <w:pStyle w:val="7"/>
        <w:adjustRightInd w:val="0"/>
        <w:snapToGrid w:val="0"/>
        <w:spacing w:before="93" w:line="600" w:lineRule="exact"/>
        <w:ind w:firstLine="672" w:firstLineChars="210"/>
        <w:rPr>
          <w:rFonts w:ascii="仿宋" w:hAnsi="仿宋" w:eastAsia="仿宋"/>
          <w:color w:val="000000"/>
          <w:sz w:val="32"/>
          <w:szCs w:val="32"/>
        </w:rPr>
      </w:pPr>
      <w:r>
        <w:rPr>
          <w:rFonts w:hint="eastAsia" w:ascii="仿宋" w:hAnsi="仿宋" w:eastAsia="仿宋"/>
          <w:color w:val="000000"/>
          <w:sz w:val="32"/>
          <w:szCs w:val="32"/>
        </w:rPr>
        <w:t>纳入</w:t>
      </w:r>
      <w:r>
        <w:rPr>
          <w:rFonts w:hint="eastAsia" w:ascii="仿宋" w:hAnsi="仿宋" w:eastAsia="仿宋"/>
          <w:color w:val="000000"/>
          <w:sz w:val="32"/>
          <w:szCs w:val="32"/>
          <w:lang w:val="en-US" w:eastAsia="zh-CN"/>
        </w:rPr>
        <w:t>麦洼乡</w:t>
      </w:r>
      <w:r>
        <w:rPr>
          <w:rFonts w:hint="eastAsia" w:ascii="仿宋" w:hAnsi="仿宋" w:eastAsia="仿宋"/>
          <w:color w:val="000000"/>
          <w:sz w:val="32"/>
          <w:szCs w:val="32"/>
        </w:rPr>
        <w:t>2018年度部门决算编制范围的二级预算单位包括：</w:t>
      </w:r>
    </w:p>
    <w:p>
      <w:pPr>
        <w:pStyle w:val="7"/>
        <w:numPr>
          <w:ilvl w:val="0"/>
          <w:numId w:val="1"/>
        </w:numPr>
        <w:adjustRightInd w:val="0"/>
        <w:snapToGrid w:val="0"/>
        <w:spacing w:before="93" w:line="600" w:lineRule="exact"/>
        <w:outlineLvl w:val="2"/>
        <w:rPr>
          <w:rFonts w:ascii="仿宋" w:hAnsi="仿宋" w:eastAsia="仿宋"/>
          <w:color w:val="000000"/>
          <w:sz w:val="32"/>
          <w:szCs w:val="32"/>
        </w:rPr>
      </w:pPr>
      <w:bookmarkStart w:id="22" w:name="_Toc15377202"/>
      <w:bookmarkStart w:id="23" w:name="_Toc15378449"/>
      <w:bookmarkStart w:id="24" w:name="_Toc15306276"/>
      <w:bookmarkStart w:id="25" w:name="_Toc15377433"/>
      <w:r>
        <w:rPr>
          <w:rFonts w:hint="eastAsia" w:ascii="仿宋" w:hAnsi="仿宋" w:eastAsia="仿宋"/>
          <w:color w:val="000000"/>
          <w:sz w:val="32"/>
          <w:szCs w:val="32"/>
          <w:lang w:val="en-US" w:eastAsia="zh-CN"/>
        </w:rPr>
        <w:t>党委</w:t>
      </w:r>
      <w:bookmarkEnd w:id="22"/>
      <w:bookmarkEnd w:id="23"/>
      <w:bookmarkEnd w:id="24"/>
      <w:bookmarkEnd w:id="25"/>
    </w:p>
    <w:p>
      <w:pPr>
        <w:pStyle w:val="7"/>
        <w:numPr>
          <w:ilvl w:val="0"/>
          <w:numId w:val="1"/>
        </w:numPr>
        <w:adjustRightInd w:val="0"/>
        <w:snapToGrid w:val="0"/>
        <w:spacing w:before="93" w:line="600" w:lineRule="exact"/>
        <w:outlineLvl w:val="2"/>
        <w:rPr>
          <w:rFonts w:ascii="仿宋" w:hAnsi="仿宋" w:eastAsia="仿宋"/>
          <w:color w:val="000000"/>
          <w:sz w:val="32"/>
          <w:szCs w:val="32"/>
        </w:rPr>
      </w:pPr>
      <w:r>
        <w:rPr>
          <w:rFonts w:hint="eastAsia" w:ascii="仿宋" w:hAnsi="仿宋" w:eastAsia="仿宋"/>
          <w:color w:val="000000"/>
          <w:sz w:val="32"/>
          <w:szCs w:val="32"/>
          <w:lang w:val="en-US" w:eastAsia="zh-CN"/>
        </w:rPr>
        <w:t>政府</w:t>
      </w:r>
    </w:p>
    <w:p>
      <w:pPr>
        <w:widowControl/>
        <w:jc w:val="left"/>
        <w:rPr>
          <w:rFonts w:ascii="仿宋" w:hAnsi="仿宋" w:eastAsia="仿宋"/>
          <w:color w:val="000000"/>
          <w:kern w:val="0"/>
          <w:sz w:val="32"/>
          <w:szCs w:val="32"/>
        </w:rPr>
      </w:pPr>
      <w:r>
        <w:rPr>
          <w:rFonts w:ascii="仿宋" w:hAnsi="仿宋" w:eastAsia="仿宋"/>
          <w:color w:val="000000"/>
          <w:sz w:val="32"/>
          <w:szCs w:val="32"/>
        </w:rPr>
        <w:br w:type="page"/>
      </w:r>
    </w:p>
    <w:p>
      <w:pPr>
        <w:pStyle w:val="4"/>
        <w:ind w:right="440"/>
        <w:jc w:val="right"/>
        <w:rPr>
          <w:rStyle w:val="27"/>
          <w:rFonts w:ascii="黑体" w:hAnsi="黑体" w:eastAsia="黑体"/>
          <w:b w:val="0"/>
          <w:bCs w:val="0"/>
        </w:rPr>
      </w:pPr>
      <w:bookmarkStart w:id="26" w:name="_Toc15396602"/>
      <w:bookmarkStart w:id="27" w:name="_Toc15377204"/>
      <w:r>
        <w:rPr>
          <w:rFonts w:hint="eastAsia" w:ascii="黑体" w:hAnsi="黑体" w:eastAsia="黑体"/>
          <w:b w:val="0"/>
          <w:color w:val="000000"/>
        </w:rPr>
        <w:t>第二部分</w:t>
      </w:r>
      <w:r>
        <w:rPr>
          <w:rFonts w:hint="eastAsia" w:ascii="黑体" w:hAnsi="黑体" w:eastAsia="黑体"/>
          <w:color w:val="000000"/>
        </w:rPr>
        <w:t xml:space="preserve"> </w:t>
      </w:r>
      <w:r>
        <w:rPr>
          <w:rStyle w:val="27"/>
          <w:rFonts w:hint="eastAsia" w:ascii="黑体" w:hAnsi="黑体" w:eastAsia="黑体"/>
          <w:b w:val="0"/>
          <w:bCs w:val="0"/>
        </w:rPr>
        <w:t>2018年度部门决算情况说明</w:t>
      </w:r>
      <w:bookmarkEnd w:id="26"/>
      <w:bookmarkEnd w:id="27"/>
    </w:p>
    <w:p/>
    <w:p>
      <w:pPr>
        <w:pStyle w:val="26"/>
        <w:numPr>
          <w:ilvl w:val="0"/>
          <w:numId w:val="2"/>
        </w:numPr>
        <w:spacing w:line="600" w:lineRule="exact"/>
        <w:ind w:firstLineChars="0"/>
        <w:outlineLvl w:val="1"/>
        <w:rPr>
          <w:rStyle w:val="28"/>
          <w:rFonts w:ascii="黑体" w:hAnsi="黑体" w:eastAsia="黑体"/>
          <w:b w:val="0"/>
          <w:color w:val="auto"/>
        </w:rPr>
      </w:pPr>
      <w:bookmarkStart w:id="28" w:name="_Toc15396603"/>
      <w:bookmarkStart w:id="29" w:name="_Toc15377205"/>
      <w:r>
        <w:rPr>
          <w:rFonts w:hint="eastAsia" w:ascii="黑体" w:hAnsi="黑体" w:eastAsia="黑体"/>
          <w:color w:val="auto"/>
          <w:sz w:val="32"/>
          <w:szCs w:val="32"/>
        </w:rPr>
        <w:t>收</w:t>
      </w:r>
      <w:r>
        <w:rPr>
          <w:rStyle w:val="28"/>
          <w:rFonts w:hint="eastAsia" w:ascii="黑体" w:hAnsi="黑体" w:eastAsia="黑体"/>
          <w:b w:val="0"/>
          <w:color w:val="auto"/>
        </w:rPr>
        <w:t>入支出决算总体情况说明</w:t>
      </w:r>
      <w:bookmarkEnd w:id="28"/>
      <w:bookmarkEnd w:id="29"/>
    </w:p>
    <w:p>
      <w:pPr>
        <w:spacing w:line="600" w:lineRule="exact"/>
        <w:ind w:firstLine="640" w:firstLineChars="200"/>
        <w:rPr>
          <w:rFonts w:hint="eastAsia" w:ascii="仿宋" w:hAnsi="仿宋" w:eastAsia="仿宋"/>
          <w:color w:val="auto"/>
          <w:sz w:val="32"/>
          <w:szCs w:val="32"/>
          <w:lang w:val="en-US" w:eastAsia="zh-CN"/>
        </w:rPr>
      </w:pPr>
      <w:r>
        <w:rPr>
          <w:rFonts w:hint="eastAsia" w:ascii="仿宋" w:hAnsi="仿宋" w:eastAsia="仿宋"/>
          <w:color w:val="auto"/>
          <w:sz w:val="32"/>
          <w:szCs w:val="32"/>
        </w:rPr>
        <w:t>2018年度收</w:t>
      </w:r>
      <w:r>
        <w:rPr>
          <w:rFonts w:hint="eastAsia" w:ascii="仿宋" w:hAnsi="仿宋" w:eastAsia="仿宋"/>
          <w:color w:val="auto"/>
          <w:sz w:val="32"/>
          <w:szCs w:val="32"/>
          <w:lang w:eastAsia="zh-CN"/>
        </w:rPr>
        <w:t>入总计</w:t>
      </w:r>
      <w:r>
        <w:rPr>
          <w:rFonts w:hint="eastAsia" w:ascii="仿宋" w:hAnsi="仿宋" w:eastAsia="仿宋"/>
          <w:color w:val="auto"/>
          <w:sz w:val="32"/>
          <w:szCs w:val="32"/>
          <w:lang w:val="en-US" w:eastAsia="zh-CN"/>
        </w:rPr>
        <w:t>1292.36万元</w:t>
      </w:r>
      <w:r>
        <w:rPr>
          <w:rFonts w:hint="eastAsia" w:ascii="仿宋" w:hAnsi="仿宋" w:eastAsia="仿宋"/>
          <w:color w:val="auto"/>
          <w:sz w:val="32"/>
          <w:szCs w:val="32"/>
        </w:rPr>
        <w:t>、</w:t>
      </w:r>
      <w:r>
        <w:rPr>
          <w:rFonts w:hint="eastAsia" w:ascii="仿宋" w:hAnsi="仿宋" w:eastAsia="仿宋"/>
          <w:color w:val="auto"/>
          <w:sz w:val="32"/>
          <w:szCs w:val="32"/>
          <w:lang w:eastAsia="zh-CN"/>
        </w:rPr>
        <w:t>支出</w:t>
      </w:r>
      <w:r>
        <w:rPr>
          <w:rFonts w:hint="eastAsia" w:ascii="仿宋" w:hAnsi="仿宋" w:eastAsia="仿宋"/>
          <w:color w:val="auto"/>
          <w:sz w:val="32"/>
          <w:szCs w:val="32"/>
        </w:rPr>
        <w:t>总计</w:t>
      </w:r>
      <w:r>
        <w:rPr>
          <w:rFonts w:hint="eastAsia" w:ascii="仿宋" w:hAnsi="仿宋" w:eastAsia="仿宋"/>
          <w:color w:val="auto"/>
          <w:sz w:val="32"/>
          <w:szCs w:val="32"/>
          <w:lang w:val="en-US" w:eastAsia="zh-CN"/>
        </w:rPr>
        <w:t>1292.36</w:t>
      </w:r>
      <w:r>
        <w:rPr>
          <w:rFonts w:hint="eastAsia" w:ascii="仿宋" w:hAnsi="仿宋" w:eastAsia="仿宋"/>
          <w:color w:val="auto"/>
          <w:sz w:val="32"/>
          <w:szCs w:val="32"/>
        </w:rPr>
        <w:t>万元。</w:t>
      </w:r>
      <w:r>
        <w:rPr>
          <w:rFonts w:hint="eastAsia" w:ascii="仿宋" w:hAnsi="仿宋" w:eastAsia="仿宋"/>
          <w:color w:val="auto"/>
          <w:sz w:val="32"/>
          <w:szCs w:val="32"/>
          <w:lang w:eastAsia="zh-CN"/>
        </w:rPr>
        <w:t>收入</w:t>
      </w:r>
      <w:r>
        <w:rPr>
          <w:rFonts w:hint="eastAsia" w:ascii="仿宋" w:hAnsi="仿宋" w:eastAsia="仿宋"/>
          <w:color w:val="auto"/>
          <w:sz w:val="32"/>
          <w:szCs w:val="32"/>
        </w:rPr>
        <w:t>与2017年相比</w:t>
      </w:r>
      <w:r>
        <w:rPr>
          <w:rFonts w:hint="eastAsia" w:ascii="仿宋" w:hAnsi="仿宋" w:eastAsia="仿宋"/>
          <w:color w:val="auto"/>
          <w:sz w:val="32"/>
          <w:szCs w:val="32"/>
          <w:lang w:eastAsia="zh-CN"/>
        </w:rPr>
        <w:t>增加</w:t>
      </w:r>
      <w:r>
        <w:rPr>
          <w:rFonts w:hint="eastAsia" w:ascii="仿宋" w:hAnsi="仿宋" w:eastAsia="仿宋"/>
          <w:color w:val="auto"/>
          <w:sz w:val="32"/>
          <w:szCs w:val="32"/>
          <w:lang w:val="en-US" w:eastAsia="zh-CN"/>
        </w:rPr>
        <w:t>462.26万元，</w:t>
      </w:r>
      <w:r>
        <w:rPr>
          <w:rFonts w:hint="eastAsia" w:ascii="仿宋" w:hAnsi="仿宋" w:eastAsia="仿宋"/>
          <w:color w:val="auto"/>
          <w:sz w:val="32"/>
          <w:szCs w:val="32"/>
        </w:rPr>
        <w:t>增长</w:t>
      </w:r>
      <w:r>
        <w:rPr>
          <w:rFonts w:hint="eastAsia" w:ascii="仿宋" w:hAnsi="仿宋" w:eastAsia="仿宋"/>
          <w:color w:val="auto"/>
          <w:sz w:val="32"/>
          <w:szCs w:val="32"/>
          <w:lang w:val="en-US" w:eastAsia="zh-CN"/>
        </w:rPr>
        <w:t>35.77</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rPr>
        <w:t>支</w:t>
      </w:r>
      <w:r>
        <w:rPr>
          <w:rFonts w:hint="eastAsia" w:ascii="仿宋" w:hAnsi="仿宋" w:eastAsia="仿宋"/>
          <w:color w:val="auto"/>
          <w:sz w:val="32"/>
          <w:szCs w:val="32"/>
          <w:lang w:eastAsia="zh-CN"/>
        </w:rPr>
        <w:t>出</w:t>
      </w:r>
      <w:r>
        <w:rPr>
          <w:rFonts w:hint="eastAsia" w:ascii="仿宋" w:hAnsi="仿宋" w:eastAsia="仿宋"/>
          <w:color w:val="auto"/>
          <w:sz w:val="32"/>
          <w:szCs w:val="32"/>
        </w:rPr>
        <w:t>总计增加</w:t>
      </w:r>
      <w:r>
        <w:rPr>
          <w:rFonts w:hint="eastAsia" w:ascii="仿宋" w:hAnsi="仿宋" w:eastAsia="仿宋"/>
          <w:color w:val="auto"/>
          <w:sz w:val="32"/>
          <w:szCs w:val="32"/>
          <w:lang w:val="en-US" w:eastAsia="zh-CN"/>
        </w:rPr>
        <w:t>462.26</w:t>
      </w:r>
      <w:r>
        <w:rPr>
          <w:rFonts w:hint="eastAsia" w:ascii="仿宋" w:hAnsi="仿宋" w:eastAsia="仿宋"/>
          <w:color w:val="auto"/>
          <w:sz w:val="32"/>
          <w:szCs w:val="32"/>
        </w:rPr>
        <w:t>万元，增长</w:t>
      </w:r>
      <w:r>
        <w:rPr>
          <w:rFonts w:hint="eastAsia" w:ascii="仿宋" w:hAnsi="仿宋" w:eastAsia="仿宋"/>
          <w:color w:val="auto"/>
          <w:sz w:val="32"/>
          <w:szCs w:val="32"/>
          <w:lang w:val="en-US" w:eastAsia="zh-CN"/>
        </w:rPr>
        <w:t>35.77</w:t>
      </w:r>
      <w:r>
        <w:rPr>
          <w:rFonts w:ascii="仿宋" w:hAnsi="仿宋" w:eastAsia="仿宋"/>
          <w:color w:val="auto"/>
          <w:sz w:val="32"/>
          <w:szCs w:val="32"/>
        </w:rPr>
        <w:t>%</w:t>
      </w:r>
      <w:r>
        <w:rPr>
          <w:rFonts w:hint="eastAsia" w:ascii="仿宋" w:hAnsi="仿宋" w:eastAsia="仿宋"/>
          <w:color w:val="auto"/>
          <w:sz w:val="32"/>
          <w:szCs w:val="32"/>
        </w:rPr>
        <w:t>。主要变动原因</w:t>
      </w:r>
      <w:r>
        <w:rPr>
          <w:rFonts w:hint="eastAsia" w:ascii="仿宋" w:hAnsi="仿宋" w:eastAsia="仿宋"/>
          <w:color w:val="auto"/>
          <w:sz w:val="32"/>
          <w:szCs w:val="32"/>
          <w:lang w:val="en-US" w:eastAsia="zh-CN"/>
        </w:rPr>
        <w:t>是人员、项目数量增加。</w:t>
      </w:r>
    </w:p>
    <w:p>
      <w:pPr>
        <w:spacing w:line="600" w:lineRule="exact"/>
        <w:ind w:firstLine="640" w:firstLineChars="200"/>
        <w:rPr>
          <w:rFonts w:hint="default" w:ascii="仿宋" w:hAnsi="仿宋" w:eastAsia="仿宋"/>
          <w:color w:val="auto"/>
          <w:sz w:val="18"/>
          <w:szCs w:val="18"/>
          <w:lang w:val="en-US" w:eastAsia="zh-CN"/>
        </w:rPr>
      </w:pPr>
      <w:r>
        <w:rPr>
          <w:rFonts w:hint="eastAsia" w:ascii="仿宋" w:hAnsi="仿宋" w:eastAsia="仿宋"/>
          <w:color w:val="auto"/>
          <w:sz w:val="32"/>
          <w:szCs w:val="32"/>
          <w:lang w:val="en-US" w:eastAsia="zh-CN"/>
        </w:rPr>
        <w:t xml:space="preserve">                                   </w:t>
      </w:r>
      <w:r>
        <w:rPr>
          <w:rFonts w:hint="eastAsia" w:ascii="仿宋" w:hAnsi="仿宋" w:eastAsia="仿宋"/>
          <w:color w:val="auto"/>
          <w:sz w:val="18"/>
          <w:szCs w:val="18"/>
          <w:lang w:val="en-US" w:eastAsia="zh-CN"/>
        </w:rPr>
        <w:t>单位：万元</w:t>
      </w:r>
    </w:p>
    <w:p>
      <w:pPr>
        <w:pStyle w:val="8"/>
        <w:bidi w:val="0"/>
        <w:rPr>
          <w:rFonts w:hint="eastAsia"/>
          <w:lang w:eastAsia="zh-CN"/>
        </w:rPr>
      </w:pPr>
      <w:r>
        <w:rPr>
          <w:rFonts w:hint="eastAsia"/>
          <w:lang w:eastAsia="zh-CN"/>
        </w:rPr>
        <w:drawing>
          <wp:anchor distT="0" distB="0" distL="114300" distR="114300" simplePos="0" relativeHeight="251658240" behindDoc="0" locked="0" layoutInCell="1" allowOverlap="1">
            <wp:simplePos x="0" y="0"/>
            <wp:positionH relativeFrom="column">
              <wp:posOffset>521335</wp:posOffset>
            </wp:positionH>
            <wp:positionV relativeFrom="paragraph">
              <wp:posOffset>116205</wp:posOffset>
            </wp:positionV>
            <wp:extent cx="3869055" cy="1858010"/>
            <wp:effectExtent l="4445" t="5080" r="12700" b="16510"/>
            <wp:wrapNone/>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spacing w:line="600" w:lineRule="exact"/>
        <w:ind w:firstLine="640" w:firstLineChars="200"/>
        <w:rPr>
          <w:rFonts w:hint="eastAsia" w:ascii="仿宋" w:hAnsi="仿宋" w:eastAsia="仿宋"/>
          <w:color w:val="1F497D" w:themeColor="text2"/>
          <w:sz w:val="32"/>
          <w:szCs w:val="32"/>
          <w14:textFill>
            <w14:solidFill>
              <w14:schemeClr w14:val="tx2"/>
            </w14:solidFill>
          </w14:textFill>
        </w:rPr>
      </w:pPr>
    </w:p>
    <w:p>
      <w:pPr>
        <w:spacing w:line="600" w:lineRule="exact"/>
        <w:ind w:firstLine="640" w:firstLineChars="200"/>
        <w:rPr>
          <w:rFonts w:hint="eastAsia" w:ascii="仿宋" w:hAnsi="仿宋" w:eastAsia="仿宋"/>
          <w:color w:val="1F497D" w:themeColor="text2"/>
          <w:sz w:val="32"/>
          <w:szCs w:val="32"/>
          <w14:textFill>
            <w14:solidFill>
              <w14:schemeClr w14:val="tx2"/>
            </w14:solidFill>
          </w14:textFill>
        </w:rPr>
      </w:pPr>
    </w:p>
    <w:p>
      <w:pPr>
        <w:spacing w:line="600" w:lineRule="exact"/>
        <w:ind w:firstLine="640" w:firstLineChars="200"/>
        <w:rPr>
          <w:rFonts w:hint="eastAsia" w:ascii="仿宋" w:hAnsi="仿宋" w:eastAsia="仿宋"/>
          <w:color w:val="1F497D" w:themeColor="text2"/>
          <w:sz w:val="32"/>
          <w:szCs w:val="32"/>
          <w14:textFill>
            <w14:solidFill>
              <w14:schemeClr w14:val="tx2"/>
            </w14:solidFill>
          </w14:textFill>
        </w:rPr>
      </w:pPr>
    </w:p>
    <w:p>
      <w:pPr>
        <w:spacing w:line="600" w:lineRule="exact"/>
        <w:ind w:firstLine="640" w:firstLineChars="200"/>
        <w:rPr>
          <w:rFonts w:hint="eastAsia" w:ascii="仿宋" w:hAnsi="仿宋" w:eastAsia="仿宋"/>
          <w:color w:val="1F497D" w:themeColor="text2"/>
          <w:sz w:val="32"/>
          <w:szCs w:val="32"/>
          <w14:textFill>
            <w14:solidFill>
              <w14:schemeClr w14:val="tx2"/>
            </w14:solidFill>
          </w14:textFill>
        </w:rPr>
      </w:pPr>
    </w:p>
    <w:p>
      <w:pPr>
        <w:spacing w:line="600" w:lineRule="exact"/>
        <w:ind w:firstLine="640" w:firstLineChars="200"/>
        <w:rPr>
          <w:rFonts w:hint="eastAsia" w:ascii="仿宋" w:hAnsi="仿宋" w:eastAsia="仿宋"/>
          <w:color w:val="1F497D" w:themeColor="text2"/>
          <w:sz w:val="32"/>
          <w:szCs w:val="32"/>
          <w14:textFill>
            <w14:solidFill>
              <w14:schemeClr w14:val="tx2"/>
            </w14:solidFill>
          </w14:textFill>
        </w:rPr>
      </w:pPr>
    </w:p>
    <w:p>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rPr>
        <w:t>（图</w:t>
      </w:r>
      <w:r>
        <w:rPr>
          <w:rFonts w:ascii="仿宋" w:hAnsi="仿宋" w:eastAsia="仿宋"/>
          <w:color w:val="auto"/>
          <w:sz w:val="32"/>
          <w:szCs w:val="32"/>
        </w:rPr>
        <w:t>1</w:t>
      </w:r>
      <w:r>
        <w:rPr>
          <w:rFonts w:hint="eastAsia" w:ascii="仿宋" w:hAnsi="仿宋" w:eastAsia="仿宋"/>
          <w:color w:val="auto"/>
          <w:sz w:val="32"/>
          <w:szCs w:val="32"/>
        </w:rPr>
        <w:t>：收、支决算总计变动情况图）（柱状图）</w:t>
      </w:r>
    </w:p>
    <w:p>
      <w:pPr>
        <w:spacing w:line="600" w:lineRule="exact"/>
        <w:ind w:firstLine="640" w:firstLineChars="200"/>
        <w:jc w:val="left"/>
        <w:rPr>
          <w:rFonts w:ascii="仿宋_GB2312" w:eastAsia="仿宋_GB2312"/>
          <w:color w:val="auto"/>
          <w:sz w:val="32"/>
          <w:szCs w:val="32"/>
        </w:rPr>
      </w:pPr>
    </w:p>
    <w:p>
      <w:pPr>
        <w:pStyle w:val="26"/>
        <w:numPr>
          <w:ilvl w:val="0"/>
          <w:numId w:val="2"/>
        </w:numPr>
        <w:spacing w:line="600" w:lineRule="exact"/>
        <w:ind w:firstLineChars="0"/>
        <w:outlineLvl w:val="1"/>
        <w:rPr>
          <w:rStyle w:val="28"/>
          <w:rFonts w:ascii="黑体" w:hAnsi="黑体" w:eastAsia="黑体"/>
          <w:b w:val="0"/>
          <w:color w:val="auto"/>
        </w:rPr>
      </w:pPr>
      <w:bookmarkStart w:id="30" w:name="_Toc15396604"/>
      <w:bookmarkStart w:id="31" w:name="_Toc15377206"/>
      <w:r>
        <w:rPr>
          <w:rFonts w:hint="eastAsia" w:ascii="黑体" w:hAnsi="黑体" w:eastAsia="黑体"/>
          <w:color w:val="auto"/>
          <w:sz w:val="32"/>
          <w:szCs w:val="32"/>
        </w:rPr>
        <w:t>收</w:t>
      </w:r>
      <w:r>
        <w:rPr>
          <w:rStyle w:val="28"/>
          <w:rFonts w:hint="eastAsia" w:ascii="黑体" w:hAnsi="黑体" w:eastAsia="黑体"/>
          <w:b w:val="0"/>
          <w:color w:val="auto"/>
        </w:rPr>
        <w:t>入决算情况说明</w:t>
      </w:r>
      <w:bookmarkEnd w:id="30"/>
      <w:bookmarkEnd w:id="31"/>
    </w:p>
    <w:p>
      <w:pPr>
        <w:spacing w:line="600" w:lineRule="exact"/>
        <w:ind w:firstLine="640" w:firstLineChars="200"/>
        <w:outlineLvl w:val="1"/>
        <w:rPr>
          <w:rFonts w:hint="eastAsia" w:ascii="仿宋" w:hAnsi="仿宋" w:eastAsia="仿宋"/>
          <w:color w:val="1F497D" w:themeColor="text2"/>
          <w:sz w:val="32"/>
          <w:szCs w:val="32"/>
          <w14:textFill>
            <w14:solidFill>
              <w14:schemeClr w14:val="tx2"/>
            </w14:solidFill>
          </w14:textFill>
        </w:rPr>
      </w:pPr>
      <w:r>
        <w:rPr>
          <w:rFonts w:ascii="仿宋" w:hAnsi="仿宋" w:eastAsia="仿宋"/>
          <w:color w:val="auto"/>
          <w:sz w:val="32"/>
          <w:szCs w:val="32"/>
        </w:rPr>
        <w:t>201</w:t>
      </w:r>
      <w:r>
        <w:rPr>
          <w:rFonts w:hint="eastAsia" w:ascii="仿宋" w:hAnsi="仿宋" w:eastAsia="仿宋"/>
          <w:color w:val="auto"/>
          <w:sz w:val="32"/>
          <w:szCs w:val="32"/>
        </w:rPr>
        <w:t>8年本年收入合计</w:t>
      </w:r>
      <w:r>
        <w:rPr>
          <w:rFonts w:hint="eastAsia" w:ascii="仿宋" w:hAnsi="仿宋" w:eastAsia="仿宋"/>
          <w:color w:val="auto"/>
          <w:sz w:val="32"/>
          <w:szCs w:val="32"/>
          <w:lang w:val="en-US" w:eastAsia="zh-CN"/>
        </w:rPr>
        <w:t>1292.36</w:t>
      </w:r>
      <w:r>
        <w:rPr>
          <w:rFonts w:hint="eastAsia" w:ascii="仿宋" w:hAnsi="仿宋" w:eastAsia="仿宋"/>
          <w:color w:val="auto"/>
          <w:sz w:val="32"/>
          <w:szCs w:val="32"/>
        </w:rPr>
        <w:t>万元，其中：一般公共预算财政拨款收入</w:t>
      </w:r>
      <w:r>
        <w:rPr>
          <w:rFonts w:hint="eastAsia" w:ascii="仿宋" w:hAnsi="仿宋" w:eastAsia="仿宋"/>
          <w:color w:val="auto"/>
          <w:sz w:val="32"/>
          <w:szCs w:val="32"/>
          <w:lang w:val="en-US" w:eastAsia="zh-CN"/>
        </w:rPr>
        <w:t>1084.74</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83.94</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其中：</w:t>
      </w:r>
      <w:r>
        <w:rPr>
          <w:rFonts w:hint="eastAsia" w:ascii="仿宋" w:hAnsi="仿宋" w:eastAsia="仿宋"/>
          <w:color w:val="auto"/>
          <w:sz w:val="32"/>
          <w:szCs w:val="32"/>
        </w:rPr>
        <w:t>政府性基金预算财政拨款收入</w:t>
      </w:r>
      <w:r>
        <w:rPr>
          <w:rFonts w:hint="eastAsia" w:ascii="仿宋" w:hAnsi="仿宋" w:eastAsia="仿宋"/>
          <w:color w:val="auto"/>
          <w:sz w:val="32"/>
          <w:szCs w:val="32"/>
          <w:lang w:val="en-US" w:eastAsia="zh-CN"/>
        </w:rPr>
        <w:t>4</w:t>
      </w:r>
      <w:r>
        <w:rPr>
          <w:rFonts w:hint="eastAsia" w:ascii="仿宋" w:hAnsi="仿宋" w:eastAsia="仿宋"/>
          <w:color w:val="auto"/>
          <w:sz w:val="32"/>
          <w:szCs w:val="32"/>
        </w:rPr>
        <w:t>万元；国有资本经营预算财政拨款收入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；事业收入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；经营收入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；附属单位上缴收入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；其他收入</w:t>
      </w:r>
      <w:r>
        <w:rPr>
          <w:rFonts w:hint="eastAsia" w:ascii="仿宋" w:hAnsi="仿宋" w:eastAsia="仿宋"/>
          <w:color w:val="auto"/>
          <w:sz w:val="32"/>
          <w:szCs w:val="32"/>
          <w:lang w:val="en-US" w:eastAsia="zh-CN"/>
        </w:rPr>
        <w:t>0.23</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0.01</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年初结转结余207.39万元，占16.05%</w:t>
      </w:r>
      <w:r>
        <w:rPr>
          <w:rFonts w:hint="eastAsia" w:ascii="仿宋" w:hAnsi="仿宋" w:eastAsia="仿宋"/>
          <w:color w:val="auto"/>
          <w:sz w:val="32"/>
          <w:szCs w:val="32"/>
        </w:rPr>
        <w:t>。</w:t>
      </w:r>
    </w:p>
    <w:p>
      <w:pPr>
        <w:spacing w:line="600" w:lineRule="exact"/>
        <w:ind w:firstLine="640" w:firstLineChars="200"/>
        <w:jc w:val="right"/>
        <w:rPr>
          <w:rFonts w:hint="default" w:ascii="仿宋" w:hAnsi="仿宋" w:eastAsia="仿宋"/>
          <w:color w:val="1F497D" w:themeColor="text2"/>
          <w:sz w:val="18"/>
          <w:szCs w:val="18"/>
          <w:lang w:val="en-US" w:eastAsia="zh-CN"/>
          <w14:textFill>
            <w14:solidFill>
              <w14:schemeClr w14:val="tx2"/>
            </w14:solidFill>
          </w14:textFill>
        </w:rPr>
      </w:pPr>
      <w:r>
        <w:rPr>
          <w:rFonts w:hint="eastAsia" w:ascii="仿宋" w:hAnsi="仿宋" w:eastAsia="仿宋"/>
          <w:color w:val="1F497D" w:themeColor="text2"/>
          <w:sz w:val="32"/>
          <w:szCs w:val="32"/>
          <w:lang w:eastAsia="zh-CN"/>
          <w14:textFill>
            <w14:solidFill>
              <w14:schemeClr w14:val="tx2"/>
            </w14:solidFill>
          </w14:textFill>
        </w:rPr>
        <w:drawing>
          <wp:anchor distT="0" distB="0" distL="114300" distR="114300" simplePos="0" relativeHeight="251659264" behindDoc="0" locked="0" layoutInCell="1" allowOverlap="1">
            <wp:simplePos x="0" y="0"/>
            <wp:positionH relativeFrom="column">
              <wp:posOffset>81915</wp:posOffset>
            </wp:positionH>
            <wp:positionV relativeFrom="paragraph">
              <wp:posOffset>103505</wp:posOffset>
            </wp:positionV>
            <wp:extent cx="5080000" cy="3810000"/>
            <wp:effectExtent l="4445" t="4445" r="20955" b="1460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rFonts w:hint="eastAsia" w:ascii="仿宋" w:hAnsi="仿宋" w:eastAsia="仿宋"/>
          <w:color w:val="1F497D" w:themeColor="text2"/>
          <w:sz w:val="32"/>
          <w:szCs w:val="32"/>
          <w:lang w:val="en-US" w:eastAsia="zh-CN"/>
          <w14:textFill>
            <w14:solidFill>
              <w14:schemeClr w14:val="tx2"/>
            </w14:solidFill>
          </w14:textFill>
        </w:rPr>
        <w:t xml:space="preserve"> </w:t>
      </w:r>
      <w:r>
        <w:rPr>
          <w:rFonts w:hint="eastAsia" w:ascii="仿宋" w:hAnsi="仿宋" w:eastAsia="仿宋"/>
          <w:color w:val="1F497D" w:themeColor="text2"/>
          <w:sz w:val="18"/>
          <w:szCs w:val="18"/>
          <w:lang w:val="en-US" w:eastAsia="zh-CN"/>
          <w14:textFill>
            <w14:solidFill>
              <w14:schemeClr w14:val="tx2"/>
            </w14:solidFill>
          </w14:textFill>
        </w:rPr>
        <w:t>单位：万元</w:t>
      </w:r>
    </w:p>
    <w:p>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rPr>
        <w:t>（图2：收入决算结构图）（饼状图）</w:t>
      </w:r>
    </w:p>
    <w:p>
      <w:pPr>
        <w:pStyle w:val="26"/>
        <w:numPr>
          <w:ilvl w:val="0"/>
          <w:numId w:val="2"/>
        </w:numPr>
        <w:spacing w:line="600" w:lineRule="exact"/>
        <w:ind w:firstLineChars="0"/>
        <w:outlineLvl w:val="1"/>
        <w:rPr>
          <w:rStyle w:val="28"/>
          <w:rFonts w:ascii="黑体" w:hAnsi="黑体" w:eastAsia="黑体"/>
          <w:b w:val="0"/>
          <w:color w:val="auto"/>
        </w:rPr>
      </w:pPr>
      <w:bookmarkStart w:id="32" w:name="_Toc15396605"/>
      <w:bookmarkStart w:id="33" w:name="_Toc15377207"/>
      <w:r>
        <w:rPr>
          <w:rFonts w:hint="eastAsia" w:ascii="黑体" w:hAnsi="黑体" w:eastAsia="黑体"/>
          <w:color w:val="auto"/>
          <w:sz w:val="32"/>
          <w:szCs w:val="32"/>
        </w:rPr>
        <w:t>支</w:t>
      </w:r>
      <w:r>
        <w:rPr>
          <w:rStyle w:val="28"/>
          <w:rFonts w:hint="eastAsia" w:ascii="黑体" w:hAnsi="黑体" w:eastAsia="黑体"/>
          <w:b w:val="0"/>
          <w:color w:val="auto"/>
        </w:rPr>
        <w:t>出决算情况说明</w:t>
      </w:r>
      <w:bookmarkEnd w:id="32"/>
      <w:bookmarkEnd w:id="33"/>
    </w:p>
    <w:p>
      <w:pPr>
        <w:spacing w:line="600" w:lineRule="exact"/>
        <w:ind w:firstLine="640"/>
        <w:rPr>
          <w:rFonts w:ascii="仿宋" w:hAnsi="仿宋" w:eastAsia="仿宋"/>
          <w:color w:val="auto"/>
          <w:sz w:val="32"/>
          <w:szCs w:val="32"/>
          <w:shd w:val="pct10" w:color="auto" w:fill="FFFFFF"/>
        </w:rPr>
      </w:pPr>
      <w:r>
        <w:rPr>
          <w:rFonts w:ascii="仿宋" w:hAnsi="仿宋" w:eastAsia="仿宋"/>
          <w:color w:val="auto"/>
          <w:sz w:val="32"/>
          <w:szCs w:val="32"/>
        </w:rPr>
        <w:t>201</w:t>
      </w:r>
      <w:r>
        <w:rPr>
          <w:rFonts w:hint="eastAsia" w:ascii="仿宋" w:hAnsi="仿宋" w:eastAsia="仿宋"/>
          <w:color w:val="auto"/>
          <w:sz w:val="32"/>
          <w:szCs w:val="32"/>
        </w:rPr>
        <w:t>8年本年支出合计</w:t>
      </w:r>
      <w:r>
        <w:rPr>
          <w:rFonts w:hint="eastAsia" w:ascii="仿宋" w:hAnsi="仿宋" w:eastAsia="仿宋"/>
          <w:color w:val="auto"/>
          <w:sz w:val="32"/>
          <w:szCs w:val="32"/>
          <w:lang w:val="en-US" w:eastAsia="zh-CN"/>
        </w:rPr>
        <w:t>1292.36</w:t>
      </w:r>
      <w:r>
        <w:rPr>
          <w:rFonts w:hint="eastAsia" w:ascii="仿宋" w:hAnsi="仿宋" w:eastAsia="仿宋"/>
          <w:color w:val="auto"/>
          <w:sz w:val="32"/>
          <w:szCs w:val="32"/>
        </w:rPr>
        <w:t>万元，其中：基本支出</w:t>
      </w:r>
      <w:r>
        <w:rPr>
          <w:rFonts w:hint="eastAsia" w:ascii="仿宋" w:hAnsi="仿宋" w:eastAsia="仿宋"/>
          <w:color w:val="auto"/>
          <w:sz w:val="32"/>
          <w:szCs w:val="32"/>
          <w:lang w:val="en-US" w:eastAsia="zh-CN"/>
        </w:rPr>
        <w:t>583.40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45.14</w:t>
      </w:r>
      <w:r>
        <w:rPr>
          <w:rFonts w:ascii="仿宋" w:hAnsi="仿宋" w:eastAsia="仿宋"/>
          <w:color w:val="auto"/>
          <w:sz w:val="32"/>
          <w:szCs w:val="32"/>
        </w:rPr>
        <w:t>%</w:t>
      </w:r>
      <w:r>
        <w:rPr>
          <w:rFonts w:hint="eastAsia" w:ascii="仿宋" w:hAnsi="仿宋" w:eastAsia="仿宋"/>
          <w:color w:val="auto"/>
          <w:sz w:val="32"/>
          <w:szCs w:val="32"/>
        </w:rPr>
        <w:t>；项目支出</w:t>
      </w:r>
      <w:r>
        <w:rPr>
          <w:rFonts w:hint="eastAsia" w:ascii="仿宋" w:hAnsi="仿宋" w:eastAsia="仿宋"/>
          <w:color w:val="auto"/>
          <w:sz w:val="32"/>
          <w:szCs w:val="32"/>
          <w:lang w:val="en-US" w:eastAsia="zh-CN"/>
        </w:rPr>
        <w:t>656.98</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50.83</w:t>
      </w:r>
      <w:r>
        <w:rPr>
          <w:rFonts w:ascii="仿宋" w:hAnsi="仿宋" w:eastAsia="仿宋"/>
          <w:color w:val="auto"/>
          <w:sz w:val="32"/>
          <w:szCs w:val="32"/>
        </w:rPr>
        <w:t>%</w:t>
      </w:r>
      <w:r>
        <w:rPr>
          <w:rFonts w:hint="eastAsia" w:ascii="仿宋" w:hAnsi="仿宋" w:eastAsia="仿宋"/>
          <w:color w:val="auto"/>
          <w:sz w:val="32"/>
          <w:szCs w:val="32"/>
        </w:rPr>
        <w:t>；上缴上级支出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；经营支出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；对附属单位补助支出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年末结转结余51.98，占4.03</w:t>
      </w:r>
      <w:r>
        <w:rPr>
          <w:rFonts w:ascii="仿宋" w:hAnsi="仿宋" w:eastAsia="仿宋"/>
          <w:color w:val="auto"/>
          <w:sz w:val="32"/>
          <w:szCs w:val="32"/>
        </w:rPr>
        <w:t>%</w:t>
      </w:r>
      <w:r>
        <w:rPr>
          <w:rFonts w:hint="eastAsia" w:ascii="仿宋" w:hAnsi="仿宋" w:eastAsia="仿宋"/>
          <w:color w:val="auto"/>
          <w:sz w:val="32"/>
          <w:szCs w:val="32"/>
        </w:rPr>
        <w:t>。</w:t>
      </w:r>
    </w:p>
    <w:p>
      <w:pPr>
        <w:rPr>
          <w:rFonts w:hint="eastAsia" w:ascii="仿宋" w:hAnsi="仿宋" w:eastAsia="仿宋"/>
          <w:color w:val="1F497D" w:themeColor="text2"/>
          <w:sz w:val="32"/>
          <w:szCs w:val="32"/>
          <w14:textFill>
            <w14:solidFill>
              <w14:schemeClr w14:val="tx2"/>
            </w14:solidFill>
          </w14:textFill>
        </w:rPr>
      </w:pPr>
      <w:r>
        <w:rPr>
          <w:rFonts w:hint="eastAsia" w:ascii="仿宋" w:hAnsi="仿宋" w:eastAsia="仿宋"/>
          <w:color w:val="1F497D" w:themeColor="text2"/>
          <w:sz w:val="32"/>
          <w:szCs w:val="32"/>
          <w14:textFill>
            <w14:solidFill>
              <w14:schemeClr w14:val="tx2"/>
            </w14:solidFill>
          </w14:textFill>
        </w:rPr>
        <w:br w:type="page"/>
      </w:r>
    </w:p>
    <w:p>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rPr>
        <w:drawing>
          <wp:anchor distT="0" distB="0" distL="114300" distR="114300" simplePos="0" relativeHeight="251660288" behindDoc="0" locked="0" layoutInCell="1" allowOverlap="1">
            <wp:simplePos x="0" y="0"/>
            <wp:positionH relativeFrom="column">
              <wp:posOffset>61595</wp:posOffset>
            </wp:positionH>
            <wp:positionV relativeFrom="paragraph">
              <wp:posOffset>-90805</wp:posOffset>
            </wp:positionV>
            <wp:extent cx="5080000" cy="3359150"/>
            <wp:effectExtent l="5080" t="4445" r="20320" b="825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ascii="仿宋" w:hAnsi="仿宋" w:eastAsia="仿宋"/>
          <w:color w:val="auto"/>
          <w:sz w:val="32"/>
          <w:szCs w:val="32"/>
        </w:rPr>
        <w:t>（图3：支出决算结构图）（饼状图）</w:t>
      </w:r>
    </w:p>
    <w:p>
      <w:pPr>
        <w:spacing w:line="600" w:lineRule="exact"/>
        <w:ind w:firstLine="640" w:firstLineChars="200"/>
        <w:outlineLvl w:val="1"/>
        <w:rPr>
          <w:rStyle w:val="28"/>
          <w:rFonts w:ascii="黑体" w:hAnsi="黑体" w:eastAsia="黑体"/>
          <w:b w:val="0"/>
          <w:color w:val="auto"/>
        </w:rPr>
      </w:pPr>
      <w:bookmarkStart w:id="34" w:name="_Toc15377208"/>
      <w:bookmarkStart w:id="35" w:name="_Toc15396606"/>
      <w:r>
        <w:rPr>
          <w:rFonts w:hint="eastAsia" w:ascii="黑体" w:hAnsi="黑体" w:eastAsia="黑体"/>
          <w:color w:val="auto"/>
          <w:sz w:val="32"/>
          <w:szCs w:val="32"/>
        </w:rPr>
        <w:t>四、财</w:t>
      </w:r>
      <w:r>
        <w:rPr>
          <w:rStyle w:val="28"/>
          <w:rFonts w:hint="eastAsia" w:ascii="黑体" w:hAnsi="黑体" w:eastAsia="黑体"/>
          <w:b w:val="0"/>
          <w:color w:val="auto"/>
        </w:rPr>
        <w:t>政拨款收入支出决算总体情况说明</w:t>
      </w:r>
      <w:bookmarkEnd w:id="34"/>
      <w:bookmarkEnd w:id="35"/>
    </w:p>
    <w:p>
      <w:pPr>
        <w:spacing w:line="600" w:lineRule="exact"/>
        <w:ind w:firstLine="640" w:firstLineChars="200"/>
        <w:rPr>
          <w:rFonts w:hint="eastAsia" w:ascii="仿宋" w:hAnsi="仿宋" w:eastAsia="仿宋"/>
          <w:color w:val="auto"/>
          <w:sz w:val="32"/>
          <w:szCs w:val="32"/>
          <w:lang w:val="en-US" w:eastAsia="zh-CN"/>
        </w:rPr>
      </w:pPr>
      <w:r>
        <w:rPr>
          <w:rFonts w:ascii="仿宋" w:hAnsi="仿宋" w:eastAsia="仿宋"/>
          <w:color w:val="auto"/>
          <w:sz w:val="32"/>
          <w:szCs w:val="32"/>
        </w:rPr>
        <w:t>201</w:t>
      </w:r>
      <w:r>
        <w:rPr>
          <w:rFonts w:hint="eastAsia" w:ascii="仿宋" w:hAnsi="仿宋" w:eastAsia="仿宋"/>
          <w:color w:val="auto"/>
          <w:sz w:val="32"/>
          <w:szCs w:val="32"/>
        </w:rPr>
        <w:t>8年财政拨款收</w:t>
      </w:r>
      <w:r>
        <w:rPr>
          <w:rFonts w:hint="eastAsia" w:ascii="仿宋" w:hAnsi="仿宋" w:eastAsia="仿宋"/>
          <w:color w:val="auto"/>
          <w:sz w:val="32"/>
          <w:szCs w:val="32"/>
          <w:lang w:eastAsia="zh-CN"/>
        </w:rPr>
        <w:t>入</w:t>
      </w:r>
      <w:r>
        <w:rPr>
          <w:rFonts w:hint="eastAsia" w:ascii="仿宋" w:hAnsi="仿宋" w:eastAsia="仿宋"/>
          <w:color w:val="auto"/>
          <w:sz w:val="32"/>
          <w:szCs w:val="32"/>
        </w:rPr>
        <w:t>总计</w:t>
      </w:r>
      <w:r>
        <w:rPr>
          <w:rFonts w:hint="eastAsia" w:ascii="仿宋" w:hAnsi="仿宋" w:eastAsia="仿宋"/>
          <w:color w:val="auto"/>
          <w:sz w:val="32"/>
          <w:szCs w:val="32"/>
          <w:lang w:val="en-US" w:eastAsia="zh-CN"/>
        </w:rPr>
        <w:t>1292.36</w:t>
      </w:r>
      <w:r>
        <w:rPr>
          <w:rFonts w:hint="eastAsia" w:ascii="仿宋" w:hAnsi="仿宋" w:eastAsia="仿宋"/>
          <w:color w:val="auto"/>
          <w:sz w:val="32"/>
          <w:szCs w:val="32"/>
        </w:rPr>
        <w:t>万元、支总计</w:t>
      </w:r>
      <w:r>
        <w:rPr>
          <w:rFonts w:hint="eastAsia" w:ascii="仿宋" w:hAnsi="仿宋" w:eastAsia="仿宋"/>
          <w:color w:val="auto"/>
          <w:sz w:val="32"/>
          <w:szCs w:val="32"/>
          <w:lang w:val="en-US" w:eastAsia="zh-CN"/>
        </w:rPr>
        <w:t>1292.36</w:t>
      </w:r>
      <w:r>
        <w:rPr>
          <w:rFonts w:hint="eastAsia" w:ascii="仿宋" w:hAnsi="仿宋" w:eastAsia="仿宋"/>
          <w:color w:val="auto"/>
          <w:sz w:val="32"/>
          <w:szCs w:val="32"/>
        </w:rPr>
        <w:t>万元</w:t>
      </w:r>
      <w:r>
        <w:rPr>
          <w:rFonts w:hint="eastAsia" w:ascii="仿宋" w:hAnsi="仿宋" w:eastAsia="仿宋"/>
          <w:color w:val="auto"/>
          <w:sz w:val="32"/>
          <w:szCs w:val="32"/>
          <w:lang w:eastAsia="zh-CN"/>
        </w:rPr>
        <w:t>。</w:t>
      </w:r>
      <w:r>
        <w:rPr>
          <w:rFonts w:hint="eastAsia" w:ascii="仿宋" w:hAnsi="仿宋" w:eastAsia="仿宋"/>
          <w:color w:val="auto"/>
          <w:sz w:val="32"/>
          <w:szCs w:val="32"/>
        </w:rPr>
        <w:t>与</w:t>
      </w:r>
      <w:r>
        <w:rPr>
          <w:rFonts w:ascii="仿宋" w:hAnsi="仿宋" w:eastAsia="仿宋"/>
          <w:color w:val="auto"/>
          <w:sz w:val="32"/>
          <w:szCs w:val="32"/>
        </w:rPr>
        <w:t>201</w:t>
      </w:r>
      <w:r>
        <w:rPr>
          <w:rFonts w:hint="eastAsia" w:ascii="仿宋" w:hAnsi="仿宋" w:eastAsia="仿宋"/>
          <w:color w:val="auto"/>
          <w:sz w:val="32"/>
          <w:szCs w:val="32"/>
        </w:rPr>
        <w:t>7年相比，财政拨款收</w:t>
      </w:r>
      <w:r>
        <w:rPr>
          <w:rFonts w:hint="eastAsia" w:ascii="仿宋" w:hAnsi="仿宋" w:eastAsia="仿宋"/>
          <w:color w:val="auto"/>
          <w:sz w:val="32"/>
          <w:szCs w:val="32"/>
          <w:lang w:eastAsia="zh-CN"/>
        </w:rPr>
        <w:t>入</w:t>
      </w:r>
      <w:r>
        <w:rPr>
          <w:rFonts w:hint="eastAsia" w:ascii="仿宋" w:hAnsi="仿宋" w:eastAsia="仿宋"/>
          <w:color w:val="auto"/>
          <w:sz w:val="32"/>
          <w:szCs w:val="32"/>
        </w:rPr>
        <w:t>总计增加</w:t>
      </w:r>
      <w:r>
        <w:rPr>
          <w:rFonts w:hint="eastAsia" w:ascii="仿宋" w:hAnsi="仿宋" w:eastAsia="仿宋"/>
          <w:color w:val="auto"/>
          <w:sz w:val="32"/>
          <w:szCs w:val="32"/>
          <w:lang w:val="en-US" w:eastAsia="zh-CN"/>
        </w:rPr>
        <w:t>462.26</w:t>
      </w:r>
      <w:r>
        <w:rPr>
          <w:rFonts w:hint="eastAsia" w:ascii="仿宋" w:hAnsi="仿宋" w:eastAsia="仿宋"/>
          <w:color w:val="auto"/>
          <w:sz w:val="32"/>
          <w:szCs w:val="32"/>
        </w:rPr>
        <w:t>万元增长</w:t>
      </w:r>
      <w:r>
        <w:rPr>
          <w:rFonts w:hint="eastAsia" w:ascii="仿宋" w:hAnsi="仿宋" w:eastAsia="仿宋"/>
          <w:color w:val="auto"/>
          <w:sz w:val="32"/>
          <w:szCs w:val="32"/>
          <w:lang w:val="en-US" w:eastAsia="zh-CN"/>
        </w:rPr>
        <w:t>35.77</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rPr>
        <w:t>支</w:t>
      </w:r>
      <w:r>
        <w:rPr>
          <w:rFonts w:hint="eastAsia" w:ascii="仿宋" w:hAnsi="仿宋" w:eastAsia="仿宋"/>
          <w:color w:val="auto"/>
          <w:sz w:val="32"/>
          <w:szCs w:val="32"/>
          <w:lang w:eastAsia="zh-CN"/>
        </w:rPr>
        <w:t>出</w:t>
      </w:r>
      <w:r>
        <w:rPr>
          <w:rFonts w:hint="eastAsia" w:ascii="仿宋" w:hAnsi="仿宋" w:eastAsia="仿宋"/>
          <w:color w:val="auto"/>
          <w:sz w:val="32"/>
          <w:szCs w:val="32"/>
        </w:rPr>
        <w:t>总计增加</w:t>
      </w:r>
      <w:r>
        <w:rPr>
          <w:rFonts w:hint="eastAsia" w:ascii="仿宋" w:hAnsi="仿宋" w:eastAsia="仿宋"/>
          <w:color w:val="auto"/>
          <w:sz w:val="32"/>
          <w:szCs w:val="32"/>
          <w:lang w:val="en-US" w:eastAsia="zh-CN"/>
        </w:rPr>
        <w:t>462.26</w:t>
      </w:r>
      <w:r>
        <w:rPr>
          <w:rFonts w:hint="eastAsia" w:ascii="仿宋" w:hAnsi="仿宋" w:eastAsia="仿宋"/>
          <w:color w:val="auto"/>
          <w:sz w:val="32"/>
          <w:szCs w:val="32"/>
        </w:rPr>
        <w:t>万元，增长</w:t>
      </w:r>
      <w:r>
        <w:rPr>
          <w:rFonts w:hint="eastAsia" w:ascii="仿宋" w:hAnsi="仿宋" w:eastAsia="仿宋"/>
          <w:color w:val="auto"/>
          <w:sz w:val="32"/>
          <w:szCs w:val="32"/>
          <w:lang w:val="en-US" w:eastAsia="zh-CN"/>
        </w:rPr>
        <w:t>35.77</w:t>
      </w:r>
      <w:r>
        <w:rPr>
          <w:rFonts w:ascii="仿宋" w:hAnsi="仿宋" w:eastAsia="仿宋"/>
          <w:color w:val="auto"/>
          <w:sz w:val="32"/>
          <w:szCs w:val="32"/>
        </w:rPr>
        <w:t>%</w:t>
      </w:r>
      <w:r>
        <w:rPr>
          <w:rFonts w:hint="eastAsia" w:ascii="仿宋" w:hAnsi="仿宋" w:eastAsia="仿宋"/>
          <w:color w:val="auto"/>
          <w:sz w:val="32"/>
          <w:szCs w:val="32"/>
        </w:rPr>
        <w:t>。主要变动原因是</w:t>
      </w:r>
      <w:r>
        <w:rPr>
          <w:rFonts w:hint="eastAsia" w:ascii="仿宋" w:hAnsi="仿宋" w:eastAsia="仿宋"/>
          <w:color w:val="auto"/>
          <w:sz w:val="32"/>
          <w:szCs w:val="32"/>
          <w:lang w:val="en-US" w:eastAsia="zh-CN"/>
        </w:rPr>
        <w:t>人员、项目数量增加。</w:t>
      </w:r>
    </w:p>
    <w:p>
      <w:pPr>
        <w:rPr>
          <w:rFonts w:hint="eastAsia" w:ascii="仿宋" w:hAnsi="仿宋" w:eastAsia="仿宋"/>
          <w:color w:val="1F497D" w:themeColor="text2"/>
          <w:sz w:val="32"/>
          <w:szCs w:val="32"/>
          <w:lang w:val="en-US" w:eastAsia="zh-CN"/>
          <w14:textFill>
            <w14:solidFill>
              <w14:schemeClr w14:val="tx2"/>
            </w14:solidFill>
          </w14:textFill>
        </w:rPr>
      </w:pPr>
      <w:r>
        <w:rPr>
          <w:rFonts w:hint="eastAsia" w:ascii="仿宋" w:hAnsi="仿宋" w:eastAsia="仿宋"/>
          <w:color w:val="1F497D" w:themeColor="text2"/>
          <w:sz w:val="32"/>
          <w:szCs w:val="32"/>
          <w:lang w:val="en-US" w:eastAsia="zh-CN"/>
          <w14:textFill>
            <w14:solidFill>
              <w14:schemeClr w14:val="tx2"/>
            </w14:solidFill>
          </w14:textFill>
        </w:rPr>
        <w:drawing>
          <wp:inline distT="0" distB="0" distL="114300" distR="114300">
            <wp:extent cx="5080000" cy="3480435"/>
            <wp:effectExtent l="4445" t="4445" r="20955" b="2032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hint="eastAsia" w:ascii="仿宋" w:hAnsi="仿宋" w:eastAsia="仿宋"/>
          <w:color w:val="1F497D" w:themeColor="text2"/>
          <w:sz w:val="32"/>
          <w:szCs w:val="32"/>
          <w:lang w:val="en-US" w:eastAsia="zh-CN"/>
          <w14:textFill>
            <w14:solidFill>
              <w14:schemeClr w14:val="tx2"/>
            </w14:solidFill>
          </w14:textFill>
        </w:rPr>
        <w:br w:type="page"/>
      </w:r>
    </w:p>
    <w:p>
      <w:pPr>
        <w:spacing w:line="600" w:lineRule="exact"/>
        <w:ind w:firstLine="640" w:firstLineChars="200"/>
        <w:rPr>
          <w:rFonts w:hint="eastAsia" w:ascii="仿宋" w:hAnsi="仿宋" w:eastAsia="仿宋"/>
          <w:color w:val="1F497D" w:themeColor="text2"/>
          <w:sz w:val="32"/>
          <w:szCs w:val="32"/>
          <w:lang w:val="en-US" w:eastAsia="zh-CN"/>
          <w14:textFill>
            <w14:solidFill>
              <w14:schemeClr w14:val="tx2"/>
            </w14:solidFill>
          </w14:textFill>
        </w:rPr>
      </w:pPr>
    </w:p>
    <w:p>
      <w:pPr>
        <w:spacing w:line="600" w:lineRule="exact"/>
        <w:ind w:firstLine="640" w:firstLineChars="200"/>
        <w:rPr>
          <w:rFonts w:ascii="仿宋" w:hAnsi="仿宋" w:eastAsia="仿宋"/>
          <w:b/>
          <w:color w:val="1F497D" w:themeColor="text2"/>
          <w:sz w:val="32"/>
          <w:szCs w:val="32"/>
          <w14:textFill>
            <w14:solidFill>
              <w14:schemeClr w14:val="tx2"/>
            </w14:solidFill>
          </w14:textFill>
        </w:rPr>
      </w:pPr>
      <w:r>
        <w:rPr>
          <w:rFonts w:hint="eastAsia" w:ascii="仿宋" w:hAnsi="仿宋" w:eastAsia="仿宋"/>
          <w:color w:val="auto"/>
          <w:sz w:val="32"/>
          <w:szCs w:val="32"/>
        </w:rPr>
        <w:t>（图4：财政拨款收、支决算总计变动情况）（柱状图）</w:t>
      </w:r>
    </w:p>
    <w:p>
      <w:pPr>
        <w:spacing w:line="600" w:lineRule="exact"/>
        <w:ind w:firstLine="640" w:firstLineChars="200"/>
        <w:outlineLvl w:val="1"/>
        <w:rPr>
          <w:rStyle w:val="28"/>
          <w:rFonts w:ascii="黑体" w:hAnsi="黑体" w:eastAsia="黑体"/>
          <w:b w:val="0"/>
          <w:color w:val="auto"/>
        </w:rPr>
      </w:pPr>
      <w:bookmarkStart w:id="36" w:name="_Toc15396607"/>
      <w:bookmarkStart w:id="37" w:name="_Toc15377209"/>
      <w:r>
        <w:rPr>
          <w:rFonts w:hint="eastAsia" w:ascii="黑体" w:hAnsi="黑体" w:eastAsia="黑体"/>
          <w:color w:val="auto"/>
          <w:sz w:val="32"/>
          <w:szCs w:val="32"/>
        </w:rPr>
        <w:t>五、</w:t>
      </w:r>
      <w:r>
        <w:rPr>
          <w:rFonts w:hint="eastAsia" w:ascii="黑体" w:hAnsi="黑体" w:eastAsia="黑体"/>
          <w:b/>
          <w:color w:val="auto"/>
          <w:sz w:val="32"/>
          <w:szCs w:val="32"/>
        </w:rPr>
        <w:t>一</w:t>
      </w:r>
      <w:r>
        <w:rPr>
          <w:rStyle w:val="28"/>
          <w:rFonts w:hint="eastAsia" w:ascii="黑体" w:hAnsi="黑体" w:eastAsia="黑体"/>
          <w:b w:val="0"/>
          <w:color w:val="auto"/>
        </w:rPr>
        <w:t>般公共预算财政拨款支出决算情况说明</w:t>
      </w:r>
      <w:bookmarkEnd w:id="36"/>
      <w:bookmarkEnd w:id="37"/>
    </w:p>
    <w:p>
      <w:pPr>
        <w:spacing w:line="600" w:lineRule="exact"/>
        <w:ind w:firstLine="643" w:firstLineChars="200"/>
        <w:outlineLvl w:val="2"/>
        <w:rPr>
          <w:rFonts w:ascii="仿宋" w:hAnsi="仿宋" w:eastAsia="仿宋"/>
          <w:b/>
          <w:color w:val="auto"/>
          <w:sz w:val="32"/>
          <w:szCs w:val="32"/>
        </w:rPr>
      </w:pPr>
      <w:bookmarkStart w:id="38" w:name="_Toc15377210"/>
      <w:r>
        <w:rPr>
          <w:rFonts w:hint="eastAsia" w:ascii="仿宋" w:hAnsi="仿宋" w:eastAsia="仿宋"/>
          <w:b/>
          <w:color w:val="auto"/>
          <w:sz w:val="32"/>
          <w:szCs w:val="32"/>
        </w:rPr>
        <w:t>（一）一般公共预算财政拨款支出决算总体情况</w:t>
      </w:r>
      <w:bookmarkEnd w:id="38"/>
    </w:p>
    <w:p>
      <w:pPr>
        <w:spacing w:line="600" w:lineRule="exact"/>
        <w:ind w:firstLine="640" w:firstLineChars="200"/>
        <w:rPr>
          <w:rFonts w:hint="eastAsia" w:ascii="仿宋" w:hAnsi="仿宋" w:eastAsia="仿宋"/>
          <w:color w:val="auto"/>
          <w:sz w:val="32"/>
          <w:szCs w:val="32"/>
          <w:lang w:val="en-US" w:eastAsia="zh-CN"/>
        </w:rPr>
      </w:pPr>
      <w:r>
        <w:rPr>
          <w:rFonts w:ascii="仿宋" w:hAnsi="仿宋" w:eastAsia="仿宋"/>
          <w:color w:val="auto"/>
          <w:sz w:val="32"/>
          <w:szCs w:val="32"/>
        </w:rPr>
        <w:t>201</w:t>
      </w:r>
      <w:r>
        <w:rPr>
          <w:rFonts w:hint="eastAsia" w:ascii="仿宋" w:hAnsi="仿宋" w:eastAsia="仿宋"/>
          <w:color w:val="auto"/>
          <w:sz w:val="32"/>
          <w:szCs w:val="32"/>
        </w:rPr>
        <w:t>8年一般公共预算财政拨款支出</w:t>
      </w:r>
      <w:r>
        <w:rPr>
          <w:rFonts w:hint="eastAsia" w:ascii="仿宋" w:hAnsi="仿宋" w:eastAsia="仿宋"/>
          <w:color w:val="auto"/>
          <w:sz w:val="32"/>
          <w:szCs w:val="32"/>
          <w:lang w:val="en-US" w:eastAsia="zh-CN"/>
        </w:rPr>
        <w:t>1236.39</w:t>
      </w:r>
      <w:r>
        <w:rPr>
          <w:rFonts w:hint="eastAsia" w:ascii="仿宋" w:hAnsi="仿宋" w:eastAsia="仿宋"/>
          <w:color w:val="auto"/>
          <w:sz w:val="32"/>
          <w:szCs w:val="32"/>
        </w:rPr>
        <w:t>万元，占本年支出合计的</w:t>
      </w:r>
      <w:r>
        <w:rPr>
          <w:rFonts w:hint="eastAsia" w:ascii="仿宋" w:hAnsi="仿宋" w:eastAsia="仿宋"/>
          <w:color w:val="auto"/>
          <w:sz w:val="32"/>
          <w:szCs w:val="32"/>
          <w:lang w:val="en-US" w:eastAsia="zh-CN"/>
        </w:rPr>
        <w:t>95.67</w:t>
      </w:r>
      <w:r>
        <w:rPr>
          <w:rFonts w:ascii="仿宋" w:hAnsi="仿宋" w:eastAsia="仿宋"/>
          <w:color w:val="auto"/>
          <w:sz w:val="32"/>
          <w:szCs w:val="32"/>
        </w:rPr>
        <w:t>%</w:t>
      </w:r>
      <w:r>
        <w:rPr>
          <w:rFonts w:hint="eastAsia" w:ascii="仿宋" w:hAnsi="仿宋" w:eastAsia="仿宋"/>
          <w:color w:val="auto"/>
          <w:sz w:val="32"/>
          <w:szCs w:val="32"/>
        </w:rPr>
        <w:t>。与</w:t>
      </w:r>
      <w:r>
        <w:rPr>
          <w:rFonts w:ascii="仿宋" w:hAnsi="仿宋" w:eastAsia="仿宋"/>
          <w:color w:val="auto"/>
          <w:sz w:val="32"/>
          <w:szCs w:val="32"/>
        </w:rPr>
        <w:t>201</w:t>
      </w:r>
      <w:r>
        <w:rPr>
          <w:rFonts w:hint="eastAsia" w:ascii="仿宋" w:hAnsi="仿宋" w:eastAsia="仿宋"/>
          <w:color w:val="auto"/>
          <w:sz w:val="32"/>
          <w:szCs w:val="32"/>
        </w:rPr>
        <w:t>7年相比，一般公共预算财政拨款增</w:t>
      </w:r>
      <w:r>
        <w:rPr>
          <w:rFonts w:hint="eastAsia" w:ascii="仿宋" w:hAnsi="仿宋" w:eastAsia="仿宋"/>
          <w:color w:val="auto"/>
          <w:sz w:val="32"/>
          <w:szCs w:val="32"/>
          <w:lang w:val="en-US" w:eastAsia="zh-CN"/>
        </w:rPr>
        <w:t>加465.14</w:t>
      </w:r>
      <w:r>
        <w:rPr>
          <w:rFonts w:hint="eastAsia" w:ascii="仿宋" w:hAnsi="仿宋" w:eastAsia="仿宋"/>
          <w:color w:val="auto"/>
          <w:sz w:val="32"/>
          <w:szCs w:val="32"/>
        </w:rPr>
        <w:t>万元，增长</w:t>
      </w:r>
      <w:r>
        <w:rPr>
          <w:rFonts w:hint="eastAsia" w:ascii="仿宋" w:hAnsi="仿宋" w:eastAsia="仿宋"/>
          <w:color w:val="auto"/>
          <w:sz w:val="32"/>
          <w:szCs w:val="32"/>
          <w:lang w:val="en-US" w:eastAsia="zh-CN"/>
        </w:rPr>
        <w:t>35.99</w:t>
      </w:r>
      <w:r>
        <w:rPr>
          <w:rFonts w:ascii="仿宋" w:hAnsi="仿宋" w:eastAsia="仿宋"/>
          <w:color w:val="auto"/>
          <w:sz w:val="32"/>
          <w:szCs w:val="32"/>
        </w:rPr>
        <w:t>%</w:t>
      </w:r>
      <w:r>
        <w:rPr>
          <w:rFonts w:hint="eastAsia" w:ascii="仿宋" w:hAnsi="仿宋" w:eastAsia="仿宋"/>
          <w:color w:val="auto"/>
          <w:sz w:val="32"/>
          <w:szCs w:val="32"/>
        </w:rPr>
        <w:t>。主要变动原因是</w:t>
      </w:r>
      <w:r>
        <w:rPr>
          <w:rFonts w:hint="eastAsia" w:ascii="仿宋" w:hAnsi="仿宋" w:eastAsia="仿宋"/>
          <w:color w:val="auto"/>
          <w:sz w:val="32"/>
          <w:szCs w:val="32"/>
          <w:lang w:val="en-US" w:eastAsia="zh-CN"/>
        </w:rPr>
        <w:t>人员增加。</w:t>
      </w:r>
    </w:p>
    <w:p>
      <w:pPr>
        <w:spacing w:line="600" w:lineRule="exact"/>
        <w:ind w:firstLine="640" w:firstLineChars="200"/>
        <w:rPr>
          <w:rFonts w:ascii="仿宋" w:hAnsi="仿宋" w:eastAsia="仿宋"/>
          <w:color w:val="auto"/>
          <w:sz w:val="32"/>
          <w:szCs w:val="32"/>
        </w:rPr>
      </w:pPr>
      <w:r>
        <w:rPr>
          <w:rFonts w:hint="eastAsia" w:ascii="仿宋" w:hAnsi="仿宋" w:eastAsia="仿宋"/>
          <w:color w:val="auto"/>
          <w:sz w:val="32"/>
          <w:szCs w:val="32"/>
          <w:lang w:val="en-US" w:eastAsia="zh-CN"/>
        </w:rPr>
        <w:drawing>
          <wp:anchor distT="0" distB="0" distL="114300" distR="114300" simplePos="0" relativeHeight="251661312" behindDoc="0" locked="0" layoutInCell="1" allowOverlap="1">
            <wp:simplePos x="0" y="0"/>
            <wp:positionH relativeFrom="column">
              <wp:posOffset>-14605</wp:posOffset>
            </wp:positionH>
            <wp:positionV relativeFrom="paragraph">
              <wp:posOffset>125095</wp:posOffset>
            </wp:positionV>
            <wp:extent cx="5080000" cy="3810000"/>
            <wp:effectExtent l="4445" t="4445" r="20955" b="1460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仿宋" w:hAnsi="仿宋" w:eastAsia="仿宋"/>
          <w:color w:val="auto"/>
          <w:sz w:val="32"/>
          <w:szCs w:val="32"/>
        </w:rPr>
        <w:t>（图5：一般公共预算财政拨款支出决算变动情况）（柱状图）</w:t>
      </w:r>
    </w:p>
    <w:p>
      <w:pPr>
        <w:spacing w:line="600" w:lineRule="exact"/>
        <w:ind w:firstLine="643" w:firstLineChars="200"/>
        <w:outlineLvl w:val="2"/>
        <w:rPr>
          <w:rFonts w:ascii="仿宋" w:hAnsi="仿宋" w:eastAsia="仿宋"/>
          <w:b/>
          <w:color w:val="auto"/>
          <w:sz w:val="32"/>
          <w:szCs w:val="32"/>
        </w:rPr>
      </w:pPr>
      <w:bookmarkStart w:id="39" w:name="_Toc15377211"/>
      <w:r>
        <w:rPr>
          <w:rFonts w:hint="eastAsia" w:ascii="仿宋" w:hAnsi="仿宋" w:eastAsia="仿宋"/>
          <w:b/>
          <w:color w:val="auto"/>
          <w:sz w:val="32"/>
          <w:szCs w:val="32"/>
        </w:rPr>
        <w:t>（二）一般公共预算财政拨款支出决算结构情况</w:t>
      </w:r>
      <w:bookmarkEnd w:id="39"/>
    </w:p>
    <w:p>
      <w:pPr>
        <w:spacing w:line="600" w:lineRule="exact"/>
        <w:ind w:firstLine="640"/>
        <w:rPr>
          <w:rFonts w:hint="eastAsia" w:ascii="仿宋" w:hAnsi="仿宋" w:eastAsia="仿宋"/>
          <w:b/>
          <w:color w:val="auto"/>
          <w:sz w:val="32"/>
          <w:szCs w:val="32"/>
        </w:rPr>
      </w:pPr>
      <w:r>
        <w:rPr>
          <w:rFonts w:ascii="仿宋" w:hAnsi="仿宋" w:eastAsia="仿宋"/>
          <w:color w:val="auto"/>
          <w:sz w:val="32"/>
          <w:szCs w:val="32"/>
        </w:rPr>
        <w:t>201</w:t>
      </w:r>
      <w:r>
        <w:rPr>
          <w:rFonts w:hint="eastAsia" w:ascii="仿宋" w:hAnsi="仿宋" w:eastAsia="仿宋"/>
          <w:color w:val="auto"/>
          <w:sz w:val="32"/>
          <w:szCs w:val="32"/>
        </w:rPr>
        <w:t>8年一般公共预算财政拨款支出</w:t>
      </w:r>
      <w:r>
        <w:rPr>
          <w:rFonts w:hint="eastAsia" w:ascii="仿宋" w:hAnsi="仿宋" w:eastAsia="仿宋"/>
          <w:color w:val="auto"/>
          <w:sz w:val="32"/>
          <w:szCs w:val="32"/>
          <w:lang w:val="en-US" w:eastAsia="zh-CN"/>
        </w:rPr>
        <w:t>1236.39</w:t>
      </w:r>
      <w:r>
        <w:rPr>
          <w:rFonts w:hint="eastAsia" w:ascii="仿宋" w:hAnsi="仿宋" w:eastAsia="仿宋"/>
          <w:color w:val="auto"/>
          <w:sz w:val="32"/>
          <w:szCs w:val="32"/>
        </w:rPr>
        <w:t>万元，主要用于以下方面</w:t>
      </w:r>
      <w:r>
        <w:rPr>
          <w:rFonts w:ascii="仿宋" w:hAnsi="仿宋" w:eastAsia="仿宋"/>
          <w:color w:val="auto"/>
          <w:sz w:val="32"/>
          <w:szCs w:val="32"/>
        </w:rPr>
        <w:t>:</w:t>
      </w:r>
      <w:r>
        <w:rPr>
          <w:rFonts w:hint="eastAsia" w:ascii="仿宋" w:hAnsi="仿宋" w:eastAsia="仿宋"/>
          <w:b/>
          <w:color w:val="auto"/>
          <w:sz w:val="32"/>
          <w:szCs w:val="32"/>
        </w:rPr>
        <w:t>一般公共服务（类）</w:t>
      </w:r>
      <w:r>
        <w:rPr>
          <w:rFonts w:hint="eastAsia" w:ascii="仿宋" w:hAnsi="仿宋" w:eastAsia="仿宋"/>
          <w:color w:val="auto"/>
          <w:sz w:val="32"/>
          <w:szCs w:val="32"/>
        </w:rPr>
        <w:t>支出</w:t>
      </w:r>
      <w:r>
        <w:rPr>
          <w:rFonts w:hint="eastAsia" w:ascii="仿宋" w:hAnsi="仿宋" w:eastAsia="仿宋"/>
          <w:color w:val="auto"/>
          <w:sz w:val="32"/>
          <w:szCs w:val="32"/>
          <w:lang w:val="en-US" w:eastAsia="zh-CN"/>
        </w:rPr>
        <w:t>451.56</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36.52</w:t>
      </w:r>
      <w:r>
        <w:rPr>
          <w:rFonts w:ascii="仿宋" w:hAnsi="仿宋" w:eastAsia="仿宋"/>
          <w:color w:val="auto"/>
          <w:sz w:val="32"/>
          <w:szCs w:val="32"/>
        </w:rPr>
        <w:t>%</w:t>
      </w:r>
      <w:r>
        <w:rPr>
          <w:rFonts w:hint="eastAsia" w:ascii="仿宋" w:hAnsi="仿宋" w:eastAsia="仿宋"/>
          <w:color w:val="auto"/>
          <w:sz w:val="32"/>
          <w:szCs w:val="32"/>
        </w:rPr>
        <w:t>；</w:t>
      </w:r>
      <w:r>
        <w:rPr>
          <w:rFonts w:hint="eastAsia" w:ascii="仿宋" w:hAnsi="仿宋" w:eastAsia="仿宋"/>
          <w:b/>
          <w:color w:val="auto"/>
          <w:sz w:val="32"/>
          <w:szCs w:val="32"/>
          <w:lang w:val="en-US" w:eastAsia="zh-CN"/>
        </w:rPr>
        <w:t>文化体育与传媒</w:t>
      </w:r>
      <w:r>
        <w:rPr>
          <w:rFonts w:hint="eastAsia" w:ascii="仿宋" w:hAnsi="仿宋" w:eastAsia="仿宋"/>
          <w:b/>
          <w:color w:val="auto"/>
          <w:sz w:val="32"/>
          <w:szCs w:val="32"/>
        </w:rPr>
        <w:t>支出（类）</w:t>
      </w:r>
      <w:r>
        <w:rPr>
          <w:rFonts w:hint="eastAsia" w:ascii="仿宋" w:hAnsi="仿宋" w:eastAsia="仿宋"/>
          <w:b w:val="0"/>
          <w:bCs/>
          <w:color w:val="auto"/>
          <w:sz w:val="32"/>
          <w:szCs w:val="32"/>
          <w:lang w:val="en-US" w:eastAsia="zh-CN"/>
        </w:rPr>
        <w:t>3.95</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0.32</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b/>
          <w:color w:val="auto"/>
          <w:sz w:val="32"/>
          <w:szCs w:val="32"/>
        </w:rPr>
        <w:t>社会保障和就业（类）</w:t>
      </w:r>
      <w:r>
        <w:rPr>
          <w:rFonts w:hint="eastAsia" w:ascii="仿宋" w:hAnsi="仿宋" w:eastAsia="仿宋"/>
          <w:color w:val="auto"/>
          <w:sz w:val="32"/>
          <w:szCs w:val="32"/>
        </w:rPr>
        <w:t>支出</w:t>
      </w:r>
      <w:r>
        <w:rPr>
          <w:rFonts w:hint="eastAsia" w:ascii="仿宋" w:hAnsi="仿宋" w:eastAsia="仿宋"/>
          <w:color w:val="auto"/>
          <w:sz w:val="32"/>
          <w:szCs w:val="32"/>
          <w:lang w:val="en-US" w:eastAsia="zh-CN"/>
        </w:rPr>
        <w:t>188.39</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15.24</w:t>
      </w:r>
      <w:r>
        <w:rPr>
          <w:rFonts w:ascii="仿宋" w:hAnsi="仿宋" w:eastAsia="仿宋"/>
          <w:color w:val="auto"/>
          <w:sz w:val="32"/>
          <w:szCs w:val="32"/>
        </w:rPr>
        <w:t>%</w:t>
      </w:r>
      <w:r>
        <w:rPr>
          <w:rFonts w:hint="eastAsia" w:ascii="仿宋" w:hAnsi="仿宋" w:eastAsia="仿宋"/>
          <w:color w:val="auto"/>
          <w:sz w:val="32"/>
          <w:szCs w:val="32"/>
        </w:rPr>
        <w:t>；</w:t>
      </w:r>
      <w:r>
        <w:rPr>
          <w:rFonts w:hint="eastAsia" w:ascii="仿宋" w:hAnsi="仿宋" w:eastAsia="仿宋"/>
          <w:b/>
          <w:bCs/>
          <w:color w:val="auto"/>
          <w:sz w:val="32"/>
          <w:szCs w:val="32"/>
        </w:rPr>
        <w:t>医疗卫生（类）支出</w:t>
      </w:r>
      <w:r>
        <w:rPr>
          <w:rFonts w:hint="eastAsia" w:ascii="仿宋" w:hAnsi="仿宋" w:eastAsia="仿宋"/>
          <w:color w:val="auto"/>
          <w:sz w:val="32"/>
          <w:szCs w:val="32"/>
          <w:lang w:val="en-US" w:eastAsia="zh-CN"/>
        </w:rPr>
        <w:t>28.37</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2.30</w:t>
      </w:r>
      <w:r>
        <w:rPr>
          <w:rFonts w:ascii="仿宋" w:hAnsi="仿宋" w:eastAsia="仿宋"/>
          <w:color w:val="auto"/>
          <w:sz w:val="32"/>
          <w:szCs w:val="32"/>
        </w:rPr>
        <w:t>%</w:t>
      </w:r>
      <w:r>
        <w:rPr>
          <w:rFonts w:hint="eastAsia" w:ascii="仿宋" w:hAnsi="仿宋" w:eastAsia="仿宋"/>
          <w:color w:val="auto"/>
          <w:sz w:val="32"/>
          <w:szCs w:val="32"/>
        </w:rPr>
        <w:t>；</w:t>
      </w:r>
      <w:r>
        <w:rPr>
          <w:rFonts w:hint="eastAsia" w:ascii="仿宋" w:hAnsi="仿宋" w:eastAsia="仿宋"/>
          <w:b/>
          <w:bCs/>
          <w:color w:val="auto"/>
          <w:sz w:val="32"/>
          <w:szCs w:val="32"/>
          <w:lang w:val="en-US" w:eastAsia="zh-CN"/>
        </w:rPr>
        <w:t>城乡社区</w:t>
      </w:r>
      <w:r>
        <w:rPr>
          <w:rFonts w:hint="eastAsia" w:ascii="仿宋" w:hAnsi="仿宋" w:eastAsia="仿宋"/>
          <w:b/>
          <w:bCs/>
          <w:color w:val="auto"/>
          <w:sz w:val="32"/>
          <w:szCs w:val="32"/>
        </w:rPr>
        <w:t>（类）</w:t>
      </w:r>
      <w:r>
        <w:rPr>
          <w:rFonts w:hint="eastAsia" w:ascii="仿宋" w:hAnsi="仿宋" w:eastAsia="仿宋"/>
          <w:b/>
          <w:bCs/>
          <w:color w:val="auto"/>
          <w:sz w:val="32"/>
          <w:szCs w:val="32"/>
          <w:lang w:val="en-US" w:eastAsia="zh-CN"/>
        </w:rPr>
        <w:t>支出</w:t>
      </w:r>
      <w:r>
        <w:rPr>
          <w:rFonts w:hint="eastAsia" w:ascii="仿宋" w:hAnsi="仿宋" w:eastAsia="仿宋"/>
          <w:color w:val="auto"/>
          <w:sz w:val="32"/>
          <w:szCs w:val="32"/>
          <w:lang w:val="en-US" w:eastAsia="zh-CN"/>
        </w:rPr>
        <w:t>31.50万元，占2.55%；</w:t>
      </w:r>
      <w:r>
        <w:rPr>
          <w:rFonts w:hint="eastAsia" w:ascii="仿宋" w:hAnsi="仿宋" w:eastAsia="仿宋"/>
          <w:b/>
          <w:bCs/>
          <w:color w:val="auto"/>
          <w:sz w:val="32"/>
          <w:szCs w:val="32"/>
          <w:lang w:val="en-US" w:eastAsia="zh-CN"/>
        </w:rPr>
        <w:t>农林水</w:t>
      </w:r>
      <w:r>
        <w:rPr>
          <w:rFonts w:hint="eastAsia" w:ascii="仿宋" w:hAnsi="仿宋" w:eastAsia="仿宋"/>
          <w:b/>
          <w:bCs/>
          <w:color w:val="auto"/>
          <w:sz w:val="32"/>
          <w:szCs w:val="32"/>
        </w:rPr>
        <w:t>（类）</w:t>
      </w:r>
      <w:r>
        <w:rPr>
          <w:rFonts w:hint="eastAsia" w:ascii="仿宋" w:hAnsi="仿宋" w:eastAsia="仿宋"/>
          <w:b/>
          <w:bCs/>
          <w:color w:val="auto"/>
          <w:sz w:val="32"/>
          <w:szCs w:val="32"/>
          <w:lang w:val="en-US" w:eastAsia="zh-CN"/>
        </w:rPr>
        <w:t>支出</w:t>
      </w:r>
      <w:r>
        <w:rPr>
          <w:rFonts w:hint="eastAsia" w:ascii="仿宋" w:hAnsi="仿宋" w:eastAsia="仿宋"/>
          <w:color w:val="auto"/>
          <w:sz w:val="32"/>
          <w:szCs w:val="32"/>
          <w:lang w:val="en-US" w:eastAsia="zh-CN"/>
        </w:rPr>
        <w:t>227.65万元，占18.41%；</w:t>
      </w:r>
      <w:r>
        <w:rPr>
          <w:rFonts w:hint="eastAsia" w:ascii="仿宋" w:hAnsi="仿宋" w:eastAsia="仿宋"/>
          <w:b/>
          <w:bCs/>
          <w:color w:val="auto"/>
          <w:sz w:val="32"/>
          <w:szCs w:val="32"/>
          <w:lang w:val="en-US" w:eastAsia="zh-CN"/>
        </w:rPr>
        <w:t>交通运输</w:t>
      </w:r>
      <w:r>
        <w:rPr>
          <w:rFonts w:hint="eastAsia" w:ascii="仿宋" w:hAnsi="仿宋" w:eastAsia="仿宋"/>
          <w:b/>
          <w:bCs/>
          <w:color w:val="auto"/>
          <w:sz w:val="32"/>
          <w:szCs w:val="32"/>
        </w:rPr>
        <w:t>（类）</w:t>
      </w:r>
      <w:r>
        <w:rPr>
          <w:rFonts w:hint="eastAsia" w:ascii="仿宋" w:hAnsi="仿宋" w:eastAsia="仿宋"/>
          <w:b/>
          <w:bCs/>
          <w:color w:val="auto"/>
          <w:sz w:val="32"/>
          <w:szCs w:val="32"/>
          <w:lang w:val="en-US" w:eastAsia="zh-CN"/>
        </w:rPr>
        <w:t>支出</w:t>
      </w:r>
      <w:r>
        <w:rPr>
          <w:rFonts w:hint="eastAsia" w:ascii="仿宋" w:hAnsi="仿宋" w:eastAsia="仿宋"/>
          <w:color w:val="auto"/>
          <w:sz w:val="32"/>
          <w:szCs w:val="32"/>
          <w:lang w:val="en-US" w:eastAsia="zh-CN"/>
        </w:rPr>
        <w:t>159.23万元，占12.88%；</w:t>
      </w:r>
      <w:r>
        <w:rPr>
          <w:rFonts w:hint="eastAsia" w:ascii="仿宋" w:hAnsi="仿宋" w:eastAsia="仿宋"/>
          <w:b/>
          <w:bCs/>
          <w:color w:val="auto"/>
          <w:sz w:val="32"/>
          <w:szCs w:val="32"/>
        </w:rPr>
        <w:t>住房保障（类）支出</w:t>
      </w:r>
      <w:r>
        <w:rPr>
          <w:rFonts w:hint="eastAsia" w:ascii="仿宋" w:hAnsi="仿宋" w:eastAsia="仿宋"/>
          <w:color w:val="auto"/>
          <w:sz w:val="32"/>
          <w:szCs w:val="32"/>
          <w:lang w:val="en-US" w:eastAsia="zh-CN"/>
        </w:rPr>
        <w:t>47.27</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3.82</w:t>
      </w:r>
      <w:r>
        <w:rPr>
          <w:rFonts w:ascii="仿宋" w:hAnsi="仿宋" w:eastAsia="仿宋"/>
          <w:color w:val="auto"/>
          <w:sz w:val="32"/>
          <w:szCs w:val="32"/>
        </w:rPr>
        <w:t>%</w:t>
      </w:r>
      <w:r>
        <w:rPr>
          <w:rFonts w:hint="eastAsia" w:ascii="仿宋" w:hAnsi="仿宋" w:eastAsia="仿宋"/>
          <w:color w:val="auto"/>
          <w:sz w:val="32"/>
          <w:szCs w:val="32"/>
        </w:rPr>
        <w:t>；</w:t>
      </w:r>
      <w:r>
        <w:rPr>
          <w:rFonts w:hint="eastAsia" w:ascii="仿宋" w:hAnsi="仿宋" w:eastAsia="仿宋"/>
          <w:b/>
          <w:bCs/>
          <w:color w:val="auto"/>
          <w:sz w:val="32"/>
          <w:szCs w:val="32"/>
          <w:lang w:val="en-US" w:eastAsia="zh-CN"/>
        </w:rPr>
        <w:t>其他</w:t>
      </w:r>
      <w:r>
        <w:rPr>
          <w:rFonts w:hint="eastAsia" w:ascii="仿宋" w:hAnsi="仿宋" w:eastAsia="仿宋"/>
          <w:b/>
          <w:bCs/>
          <w:color w:val="auto"/>
          <w:sz w:val="32"/>
          <w:szCs w:val="32"/>
        </w:rPr>
        <w:t>（类）</w:t>
      </w:r>
      <w:r>
        <w:rPr>
          <w:rFonts w:hint="eastAsia" w:ascii="仿宋" w:hAnsi="仿宋" w:eastAsia="仿宋"/>
          <w:b/>
          <w:bCs/>
          <w:color w:val="auto"/>
          <w:sz w:val="32"/>
          <w:szCs w:val="32"/>
          <w:lang w:val="en-US" w:eastAsia="zh-CN"/>
        </w:rPr>
        <w:t>支出</w:t>
      </w:r>
      <w:r>
        <w:rPr>
          <w:rFonts w:hint="eastAsia" w:ascii="仿宋" w:hAnsi="仿宋" w:eastAsia="仿宋"/>
          <w:color w:val="auto"/>
          <w:sz w:val="32"/>
          <w:szCs w:val="32"/>
          <w:lang w:val="en-US" w:eastAsia="zh-CN"/>
        </w:rPr>
        <w:t>98.47万元，占7.96%</w:t>
      </w:r>
      <w:r>
        <w:rPr>
          <w:rFonts w:hint="eastAsia" w:ascii="仿宋" w:hAnsi="仿宋" w:eastAsia="仿宋"/>
          <w:color w:val="auto"/>
          <w:sz w:val="32"/>
          <w:szCs w:val="32"/>
        </w:rPr>
        <w:t>。</w:t>
      </w:r>
      <w:r>
        <w:rPr>
          <w:rFonts w:hint="eastAsia" w:ascii="仿宋" w:hAnsi="仿宋" w:eastAsia="仿宋"/>
          <w:b/>
          <w:color w:val="auto"/>
          <w:sz w:val="32"/>
          <w:szCs w:val="32"/>
        </w:rPr>
        <w:t>（罗列全部功能分类科目，至类级。）</w:t>
      </w:r>
    </w:p>
    <w:p>
      <w:pPr>
        <w:spacing w:line="600" w:lineRule="exact"/>
        <w:ind w:firstLine="640"/>
        <w:rPr>
          <w:rFonts w:hint="eastAsia" w:ascii="仿宋" w:hAnsi="仿宋" w:eastAsia="仿宋"/>
          <w:b/>
          <w:color w:val="1F497D" w:themeColor="text2"/>
          <w:sz w:val="32"/>
          <w:szCs w:val="32"/>
          <w:lang w:eastAsia="zh-CN"/>
          <w14:textFill>
            <w14:solidFill>
              <w14:schemeClr w14:val="tx2"/>
            </w14:solidFill>
          </w14:textFill>
        </w:rPr>
      </w:pPr>
      <w:r>
        <w:rPr>
          <w:rFonts w:hint="eastAsia" w:ascii="仿宋" w:hAnsi="仿宋" w:eastAsia="仿宋"/>
          <w:b/>
          <w:color w:val="1F497D" w:themeColor="text2"/>
          <w:sz w:val="32"/>
          <w:szCs w:val="32"/>
          <w:lang w:eastAsia="zh-CN"/>
          <w14:textFill>
            <w14:solidFill>
              <w14:schemeClr w14:val="tx2"/>
            </w14:solidFill>
          </w14:textFill>
        </w:rPr>
        <w:drawing>
          <wp:anchor distT="0" distB="0" distL="114300" distR="114300" simplePos="0" relativeHeight="251662336" behindDoc="0" locked="0" layoutInCell="1" allowOverlap="1">
            <wp:simplePos x="0" y="0"/>
            <wp:positionH relativeFrom="column">
              <wp:posOffset>61595</wp:posOffset>
            </wp:positionH>
            <wp:positionV relativeFrom="paragraph">
              <wp:posOffset>80645</wp:posOffset>
            </wp:positionV>
            <wp:extent cx="5080000" cy="3810000"/>
            <wp:effectExtent l="4445" t="4445" r="20955" b="14605"/>
            <wp:wrapTopAndBottom/>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（图6：一般公共预算财政拨款支出决算结构）（饼状图）</w:t>
      </w:r>
    </w:p>
    <w:p>
      <w:pPr>
        <w:spacing w:line="600" w:lineRule="exact"/>
        <w:ind w:firstLine="640" w:firstLineChars="200"/>
        <w:rPr>
          <w:rFonts w:ascii="仿宋" w:hAnsi="仿宋" w:eastAsia="仿宋"/>
          <w:color w:val="000000"/>
          <w:sz w:val="32"/>
          <w:szCs w:val="32"/>
        </w:rPr>
      </w:pPr>
    </w:p>
    <w:p>
      <w:pPr>
        <w:spacing w:line="600" w:lineRule="exact"/>
        <w:ind w:firstLine="643" w:firstLineChars="200"/>
        <w:outlineLvl w:val="2"/>
        <w:rPr>
          <w:rFonts w:ascii="仿宋" w:hAnsi="仿宋" w:eastAsia="仿宋"/>
          <w:b/>
          <w:color w:val="000000"/>
          <w:sz w:val="32"/>
          <w:szCs w:val="32"/>
        </w:rPr>
      </w:pPr>
      <w:bookmarkStart w:id="40" w:name="_Toc15377212"/>
      <w:r>
        <w:rPr>
          <w:rFonts w:hint="eastAsia" w:ascii="仿宋" w:hAnsi="仿宋" w:eastAsia="仿宋"/>
          <w:b/>
          <w:color w:val="000000"/>
          <w:sz w:val="32"/>
          <w:szCs w:val="32"/>
        </w:rPr>
        <w:t>（三）一般公共预算财政拨款支出决算具体情况</w:t>
      </w:r>
      <w:bookmarkEnd w:id="40"/>
    </w:p>
    <w:p>
      <w:pPr>
        <w:spacing w:line="600" w:lineRule="exact"/>
        <w:ind w:firstLine="643" w:firstLineChars="200"/>
        <w:outlineLvl w:val="2"/>
        <w:rPr>
          <w:rFonts w:ascii="仿宋" w:hAnsi="仿宋" w:eastAsia="仿宋"/>
          <w:color w:val="FF0000"/>
          <w:sz w:val="32"/>
          <w:szCs w:val="32"/>
        </w:rPr>
      </w:pPr>
      <w:bookmarkStart w:id="41" w:name="_Toc15378460"/>
      <w:bookmarkStart w:id="42" w:name="_Toc15377213"/>
      <w:bookmarkStart w:id="43" w:name="_Toc15377444"/>
      <w:r>
        <w:rPr>
          <w:rFonts w:hint="eastAsia" w:ascii="仿宋" w:hAnsi="仿宋" w:eastAsia="仿宋"/>
          <w:b/>
          <w:color w:val="000000" w:themeColor="text1"/>
          <w:sz w:val="32"/>
          <w:szCs w:val="32"/>
          <w14:textFill>
            <w14:solidFill>
              <w14:schemeClr w14:val="tx1"/>
            </w14:solidFill>
          </w14:textFill>
        </w:rPr>
        <w:t>2018年</w:t>
      </w:r>
      <w:r>
        <w:rPr>
          <w:rFonts w:hint="eastAsia" w:ascii="仿宋" w:hAnsi="仿宋" w:eastAsia="仿宋"/>
          <w:b/>
          <w:color w:val="000000" w:themeColor="text1"/>
          <w:sz w:val="32"/>
          <w:szCs w:val="32"/>
          <w:lang w:val="en-US" w:eastAsia="zh-CN"/>
          <w14:textFill>
            <w14:solidFill>
              <w14:schemeClr w14:val="tx1"/>
            </w14:solidFill>
          </w14:textFill>
        </w:rPr>
        <w:t>一</w:t>
      </w:r>
      <w:r>
        <w:rPr>
          <w:rFonts w:hint="eastAsia" w:ascii="仿宋" w:hAnsi="仿宋" w:eastAsia="仿宋"/>
          <w:b/>
          <w:color w:val="000000" w:themeColor="text1"/>
          <w:sz w:val="32"/>
          <w:szCs w:val="32"/>
          <w14:textFill>
            <w14:solidFill>
              <w14:schemeClr w14:val="tx1"/>
            </w14:solidFill>
          </w14:textFill>
        </w:rPr>
        <w:t>般公共预算支出决算数为</w:t>
      </w:r>
      <w:r>
        <w:rPr>
          <w:rFonts w:hint="eastAsia" w:ascii="仿宋" w:hAnsi="仿宋" w:eastAsia="仿宋"/>
          <w:color w:val="000000"/>
          <w:sz w:val="32"/>
          <w:szCs w:val="32"/>
          <w:lang w:val="en-US" w:eastAsia="zh-CN"/>
        </w:rPr>
        <w:t>1236.39万元</w:t>
      </w:r>
      <w:r>
        <w:rPr>
          <w:rFonts w:hint="eastAsia" w:ascii="仿宋" w:hAnsi="仿宋" w:eastAsia="仿宋"/>
          <w:color w:val="000000" w:themeColor="text1"/>
          <w:sz w:val="32"/>
          <w:szCs w:val="32"/>
          <w14:textFill>
            <w14:solidFill>
              <w14:schemeClr w14:val="tx1"/>
            </w14:solidFill>
          </w14:textFill>
        </w:rPr>
        <w:t>，</w:t>
      </w:r>
      <w:r>
        <w:rPr>
          <w:rStyle w:val="16"/>
          <w:rFonts w:hint="eastAsia" w:ascii="仿宋" w:hAnsi="仿宋" w:eastAsia="仿宋"/>
          <w:bCs/>
          <w:color w:val="000000" w:themeColor="text1"/>
          <w:sz w:val="32"/>
          <w:szCs w:val="32"/>
          <w14:textFill>
            <w14:solidFill>
              <w14:schemeClr w14:val="tx1"/>
            </w14:solidFill>
          </w14:textFill>
        </w:rPr>
        <w:t>完成</w:t>
      </w:r>
      <w:r>
        <w:rPr>
          <w:rStyle w:val="16"/>
          <w:rFonts w:hint="eastAsia" w:ascii="仿宋" w:hAnsi="仿宋" w:eastAsia="仿宋"/>
          <w:bCs/>
          <w:color w:val="000000"/>
          <w:sz w:val="32"/>
          <w:szCs w:val="32"/>
        </w:rPr>
        <w:t>预算</w:t>
      </w:r>
      <w:r>
        <w:rPr>
          <w:rStyle w:val="16"/>
          <w:rFonts w:hint="eastAsia" w:ascii="仿宋" w:hAnsi="仿宋" w:eastAsia="仿宋"/>
          <w:bCs/>
          <w:color w:val="000000"/>
          <w:sz w:val="32"/>
          <w:szCs w:val="32"/>
          <w:lang w:val="en-US" w:eastAsia="zh-CN"/>
        </w:rPr>
        <w:t>95.63</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。其中：</w:t>
      </w:r>
      <w:bookmarkEnd w:id="41"/>
      <w:bookmarkEnd w:id="42"/>
      <w:bookmarkEnd w:id="43"/>
    </w:p>
    <w:p>
      <w:pPr>
        <w:spacing w:line="600" w:lineRule="exact"/>
        <w:ind w:firstLine="643" w:firstLineChars="200"/>
        <w:rPr>
          <w:rFonts w:ascii="仿宋" w:hAnsi="仿宋" w:eastAsia="仿宋"/>
          <w:b/>
          <w:color w:val="000000"/>
          <w:sz w:val="32"/>
          <w:szCs w:val="32"/>
        </w:rPr>
      </w:pPr>
      <w:r>
        <w:rPr>
          <w:rStyle w:val="16"/>
          <w:rFonts w:ascii="仿宋" w:hAnsi="仿宋" w:eastAsia="仿宋"/>
          <w:bCs/>
          <w:color w:val="000000"/>
          <w:sz w:val="32"/>
          <w:szCs w:val="32"/>
        </w:rPr>
        <w:t>1.</w:t>
      </w:r>
      <w:r>
        <w:rPr>
          <w:rStyle w:val="16"/>
          <w:rFonts w:hint="eastAsia" w:ascii="仿宋" w:hAnsi="仿宋" w:eastAsia="仿宋"/>
          <w:bCs/>
          <w:color w:val="000000"/>
          <w:sz w:val="32"/>
          <w:szCs w:val="32"/>
        </w:rPr>
        <w:t>一般公共服务（类）</w:t>
      </w:r>
      <w:r>
        <w:rPr>
          <w:rStyle w:val="16"/>
          <w:rFonts w:hint="eastAsia" w:ascii="仿宋" w:hAnsi="仿宋" w:eastAsia="仿宋"/>
          <w:bCs/>
          <w:color w:val="000000"/>
          <w:sz w:val="32"/>
          <w:szCs w:val="32"/>
          <w:lang w:val="en-US" w:eastAsia="zh-CN"/>
        </w:rPr>
        <w:t xml:space="preserve"> 人大、政府、财政、党委事务 </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四</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Fonts w:hint="eastAsia" w:ascii="仿宋" w:hAnsi="仿宋" w:eastAsia="仿宋"/>
          <w:color w:val="000000" w:themeColor="text1"/>
          <w:sz w:val="32"/>
          <w:szCs w:val="32"/>
          <w:lang w:val="en-US" w:eastAsia="zh-CN"/>
          <w14:textFill>
            <w14:solidFill>
              <w14:schemeClr w14:val="tx1"/>
            </w14:solidFill>
          </w14:textFill>
        </w:rPr>
        <w:t>451.56</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99.95</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，决算数小于预算数的主要原因是</w:t>
      </w:r>
      <w:r>
        <w:rPr>
          <w:rStyle w:val="16"/>
          <w:rFonts w:hint="eastAsia" w:ascii="仿宋" w:hAnsi="仿宋" w:eastAsia="仿宋"/>
          <w:b w:val="0"/>
          <w:bCs/>
          <w:color w:val="000000"/>
          <w:sz w:val="32"/>
          <w:szCs w:val="32"/>
          <w:lang w:val="en-US" w:eastAsia="zh-CN"/>
        </w:rPr>
        <w:t>厉行节约</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b/>
          <w:color w:val="000000"/>
          <w:sz w:val="32"/>
          <w:szCs w:val="32"/>
        </w:rPr>
      </w:pPr>
      <w:r>
        <w:rPr>
          <w:rStyle w:val="16"/>
          <w:rFonts w:ascii="仿宋" w:hAnsi="仿宋" w:eastAsia="仿宋"/>
          <w:bCs/>
          <w:color w:val="000000"/>
          <w:sz w:val="32"/>
          <w:szCs w:val="32"/>
        </w:rPr>
        <w:t>2.</w:t>
      </w:r>
      <w:r>
        <w:rPr>
          <w:rFonts w:hint="eastAsia" w:ascii="仿宋" w:hAnsi="仿宋" w:eastAsia="仿宋"/>
          <w:b/>
          <w:color w:val="000000" w:themeColor="text1"/>
          <w:sz w:val="32"/>
          <w:szCs w:val="32"/>
          <w:lang w:val="en-US" w:eastAsia="zh-CN"/>
          <w14:textFill>
            <w14:solidFill>
              <w14:schemeClr w14:val="tx1"/>
            </w14:solidFill>
          </w14:textFill>
        </w:rPr>
        <w:t>文化体育与传媒</w:t>
      </w:r>
      <w:r>
        <w:rPr>
          <w:rStyle w:val="16"/>
          <w:rFonts w:hint="eastAsia" w:ascii="仿宋" w:hAnsi="仿宋" w:eastAsia="仿宋"/>
          <w:bCs/>
          <w:color w:val="000000"/>
          <w:sz w:val="32"/>
          <w:szCs w:val="32"/>
        </w:rPr>
        <w:t>（类）</w:t>
      </w:r>
      <w:r>
        <w:rPr>
          <w:rStyle w:val="16"/>
          <w:rFonts w:hint="eastAsia" w:ascii="仿宋" w:hAnsi="仿宋" w:eastAsia="仿宋"/>
          <w:bCs/>
          <w:color w:val="000000"/>
          <w:sz w:val="32"/>
          <w:szCs w:val="32"/>
          <w:lang w:val="en-US" w:eastAsia="zh-CN"/>
        </w:rPr>
        <w:t>文化</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一</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Fonts w:hint="eastAsia" w:ascii="仿宋" w:hAnsi="仿宋" w:eastAsia="仿宋"/>
          <w:b w:val="0"/>
          <w:bCs/>
          <w:color w:val="000000" w:themeColor="text1"/>
          <w:sz w:val="32"/>
          <w:szCs w:val="32"/>
          <w:lang w:val="en-US" w:eastAsia="zh-CN"/>
          <w14:textFill>
            <w14:solidFill>
              <w14:schemeClr w14:val="tx1"/>
            </w14:solidFill>
          </w14:textFill>
        </w:rPr>
        <w:t>3.95</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w:t>
      </w:r>
      <w:r>
        <w:rPr>
          <w:rStyle w:val="16"/>
          <w:rFonts w:hint="eastAsia" w:ascii="仿宋" w:hAnsi="仿宋" w:eastAsia="仿宋"/>
          <w:b w:val="0"/>
          <w:bCs/>
          <w:color w:val="000000"/>
          <w:sz w:val="32"/>
          <w:szCs w:val="32"/>
          <w:lang w:val="en-US" w:eastAsia="zh-CN"/>
        </w:rPr>
        <w:t>与</w:t>
      </w:r>
      <w:r>
        <w:rPr>
          <w:rStyle w:val="16"/>
          <w:rFonts w:hint="eastAsia" w:ascii="仿宋" w:hAnsi="仿宋" w:eastAsia="仿宋"/>
          <w:b w:val="0"/>
          <w:bCs/>
          <w:color w:val="000000"/>
          <w:sz w:val="32"/>
          <w:szCs w:val="32"/>
        </w:rPr>
        <w:t>预算数</w:t>
      </w:r>
      <w:r>
        <w:rPr>
          <w:rStyle w:val="16"/>
          <w:rFonts w:hint="eastAsia" w:ascii="仿宋" w:hAnsi="仿宋" w:eastAsia="仿宋"/>
          <w:b w:val="0"/>
          <w:bCs/>
          <w:color w:val="000000"/>
          <w:sz w:val="32"/>
          <w:szCs w:val="32"/>
          <w:lang w:val="en-US" w:eastAsia="zh-CN"/>
        </w:rPr>
        <w:t>持平</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b/>
          <w:color w:val="000000"/>
          <w:sz w:val="32"/>
          <w:szCs w:val="32"/>
        </w:rPr>
      </w:pPr>
      <w:r>
        <w:rPr>
          <w:rStyle w:val="16"/>
          <w:rFonts w:ascii="仿宋" w:hAnsi="仿宋" w:eastAsia="仿宋"/>
          <w:bCs/>
          <w:color w:val="000000"/>
          <w:sz w:val="32"/>
          <w:szCs w:val="32"/>
        </w:rPr>
        <w:t>3.</w:t>
      </w:r>
      <w:r>
        <w:rPr>
          <w:rStyle w:val="16"/>
          <w:rFonts w:hint="eastAsia" w:ascii="仿宋" w:hAnsi="仿宋" w:eastAsia="仿宋"/>
          <w:bCs/>
          <w:color w:val="000000"/>
          <w:sz w:val="32"/>
          <w:szCs w:val="32"/>
        </w:rPr>
        <w:t>科学技术（类）</w:t>
      </w:r>
      <w:r>
        <w:rPr>
          <w:rStyle w:val="16"/>
          <w:rFonts w:hint="eastAsia" w:ascii="仿宋" w:hAnsi="仿宋" w:eastAsia="仿宋"/>
          <w:bCs/>
          <w:color w:val="000000"/>
          <w:sz w:val="32"/>
          <w:szCs w:val="32"/>
          <w:lang w:val="en-US" w:eastAsia="zh-CN"/>
        </w:rPr>
        <w:t>0</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0</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Style w:val="16"/>
          <w:rFonts w:hint="eastAsia" w:ascii="仿宋" w:hAnsi="仿宋" w:eastAsia="仿宋"/>
          <w:b w:val="0"/>
          <w:bCs/>
          <w:color w:val="000000"/>
          <w:sz w:val="32"/>
          <w:szCs w:val="32"/>
          <w:lang w:val="en-US" w:eastAsia="zh-CN"/>
        </w:rPr>
        <w:t>0</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w:t>
      </w:r>
      <w:r>
        <w:rPr>
          <w:rStyle w:val="16"/>
          <w:rFonts w:hint="eastAsia" w:ascii="仿宋" w:hAnsi="仿宋" w:eastAsia="仿宋"/>
          <w:b w:val="0"/>
          <w:bCs/>
          <w:color w:val="000000"/>
          <w:sz w:val="32"/>
          <w:szCs w:val="32"/>
          <w:lang w:val="en-US" w:eastAsia="zh-CN"/>
        </w:rPr>
        <w:t>与</w:t>
      </w:r>
      <w:r>
        <w:rPr>
          <w:rStyle w:val="16"/>
          <w:rFonts w:hint="eastAsia" w:ascii="仿宋" w:hAnsi="仿宋" w:eastAsia="仿宋"/>
          <w:b w:val="0"/>
          <w:bCs/>
          <w:color w:val="000000"/>
          <w:sz w:val="32"/>
          <w:szCs w:val="32"/>
        </w:rPr>
        <w:t>预算数</w:t>
      </w:r>
      <w:r>
        <w:rPr>
          <w:rStyle w:val="16"/>
          <w:rFonts w:hint="eastAsia" w:ascii="仿宋" w:hAnsi="仿宋" w:eastAsia="仿宋"/>
          <w:b w:val="0"/>
          <w:bCs/>
          <w:color w:val="000000"/>
          <w:sz w:val="32"/>
          <w:szCs w:val="32"/>
          <w:lang w:val="en-US" w:eastAsia="zh-CN"/>
        </w:rPr>
        <w:t>持平</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b/>
          <w:color w:val="000000"/>
          <w:sz w:val="32"/>
          <w:szCs w:val="32"/>
        </w:rPr>
      </w:pPr>
      <w:r>
        <w:rPr>
          <w:rStyle w:val="16"/>
          <w:rFonts w:hint="eastAsia" w:ascii="仿宋" w:hAnsi="仿宋" w:eastAsia="仿宋"/>
          <w:bCs/>
          <w:color w:val="000000"/>
          <w:sz w:val="32"/>
          <w:szCs w:val="32"/>
          <w:lang w:val="en-US" w:eastAsia="zh-CN"/>
        </w:rPr>
        <w:t>4</w:t>
      </w:r>
      <w:r>
        <w:rPr>
          <w:rStyle w:val="16"/>
          <w:rFonts w:ascii="仿宋" w:hAnsi="仿宋" w:eastAsia="仿宋"/>
          <w:bCs/>
          <w:color w:val="000000"/>
          <w:sz w:val="32"/>
          <w:szCs w:val="32"/>
        </w:rPr>
        <w:t>.</w:t>
      </w:r>
      <w:r>
        <w:rPr>
          <w:rStyle w:val="16"/>
          <w:rFonts w:hint="eastAsia" w:ascii="仿宋" w:hAnsi="仿宋" w:eastAsia="仿宋"/>
          <w:bCs/>
          <w:color w:val="000000"/>
          <w:sz w:val="32"/>
          <w:szCs w:val="32"/>
        </w:rPr>
        <w:t>社会保障和就业（类）</w:t>
      </w:r>
      <w:r>
        <w:rPr>
          <w:rStyle w:val="16"/>
          <w:rFonts w:hint="eastAsia" w:ascii="仿宋" w:hAnsi="仿宋" w:eastAsia="仿宋"/>
          <w:bCs/>
          <w:color w:val="000000"/>
          <w:sz w:val="32"/>
          <w:szCs w:val="32"/>
          <w:lang w:val="en-US" w:eastAsia="zh-CN"/>
        </w:rPr>
        <w:t>民政管理、事业单位离退休、残疾人事业、特困人员救助供养事务</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四</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Style w:val="16"/>
          <w:rFonts w:ascii="仿宋" w:hAnsi="仿宋" w:eastAsia="仿宋"/>
          <w:b w:val="0"/>
          <w:bCs/>
          <w:color w:val="000000"/>
          <w:sz w:val="32"/>
          <w:szCs w:val="32"/>
        </w:rPr>
        <w:t xml:space="preserve"> </w:t>
      </w:r>
      <w:r>
        <w:rPr>
          <w:rStyle w:val="16"/>
          <w:rFonts w:hint="eastAsia" w:ascii="仿宋" w:hAnsi="仿宋" w:eastAsia="仿宋"/>
          <w:b w:val="0"/>
          <w:bCs/>
          <w:color w:val="000000"/>
          <w:sz w:val="32"/>
          <w:szCs w:val="32"/>
        </w:rPr>
        <w:t>支出决算为</w:t>
      </w:r>
      <w:r>
        <w:rPr>
          <w:rFonts w:hint="eastAsia" w:ascii="仿宋" w:hAnsi="仿宋" w:eastAsia="仿宋"/>
          <w:color w:val="000000" w:themeColor="text1"/>
          <w:sz w:val="32"/>
          <w:szCs w:val="32"/>
          <w:lang w:val="en-US" w:eastAsia="zh-CN"/>
          <w14:textFill>
            <w14:solidFill>
              <w14:schemeClr w14:val="tx1"/>
            </w14:solidFill>
          </w14:textFill>
        </w:rPr>
        <w:t>188.39</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92.62</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，决算数小于预算数的主要原因是</w:t>
      </w:r>
      <w:r>
        <w:rPr>
          <w:rStyle w:val="16"/>
          <w:rFonts w:hint="eastAsia" w:ascii="仿宋" w:hAnsi="仿宋" w:eastAsia="仿宋"/>
          <w:b w:val="0"/>
          <w:bCs/>
          <w:color w:val="000000"/>
          <w:sz w:val="32"/>
          <w:szCs w:val="32"/>
          <w:lang w:val="en-US" w:eastAsia="zh-CN"/>
        </w:rPr>
        <w:t>厉行节约</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b/>
          <w:color w:val="000000"/>
          <w:sz w:val="32"/>
          <w:szCs w:val="32"/>
        </w:rPr>
      </w:pPr>
      <w:r>
        <w:rPr>
          <w:rStyle w:val="16"/>
          <w:rFonts w:ascii="仿宋" w:hAnsi="仿宋" w:eastAsia="仿宋"/>
          <w:bCs/>
          <w:color w:val="000000"/>
          <w:sz w:val="32"/>
          <w:szCs w:val="32"/>
        </w:rPr>
        <w:t>6.</w:t>
      </w:r>
      <w:r>
        <w:rPr>
          <w:rStyle w:val="16"/>
          <w:rFonts w:hint="eastAsia" w:ascii="仿宋" w:hAnsi="仿宋" w:eastAsia="仿宋"/>
          <w:bCs/>
          <w:color w:val="000000"/>
          <w:sz w:val="32"/>
          <w:szCs w:val="32"/>
        </w:rPr>
        <w:t>医疗卫生与计划生育（类）</w:t>
      </w:r>
      <w:r>
        <w:rPr>
          <w:rStyle w:val="16"/>
          <w:rFonts w:hint="eastAsia" w:ascii="仿宋" w:hAnsi="仿宋" w:eastAsia="仿宋"/>
          <w:bCs/>
          <w:color w:val="000000"/>
          <w:sz w:val="32"/>
          <w:szCs w:val="32"/>
          <w:lang w:val="en-US" w:eastAsia="zh-CN"/>
        </w:rPr>
        <w:t>基层医疗卫生机构、行政事业单位医疗事务</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二</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Style w:val="16"/>
          <w:rFonts w:hint="eastAsia" w:ascii="仿宋" w:hAnsi="仿宋" w:eastAsia="仿宋"/>
          <w:b w:val="0"/>
          <w:bCs/>
          <w:color w:val="000000"/>
          <w:sz w:val="32"/>
          <w:szCs w:val="32"/>
        </w:rPr>
        <w:t>支出决算为</w:t>
      </w:r>
      <w:r>
        <w:rPr>
          <w:rFonts w:hint="eastAsia" w:ascii="仿宋" w:hAnsi="仿宋" w:eastAsia="仿宋"/>
          <w:color w:val="000000" w:themeColor="text1"/>
          <w:sz w:val="32"/>
          <w:szCs w:val="32"/>
          <w:lang w:val="en-US" w:eastAsia="zh-CN"/>
          <w14:textFill>
            <w14:solidFill>
              <w14:schemeClr w14:val="tx1"/>
            </w14:solidFill>
          </w14:textFill>
        </w:rPr>
        <w:t>28.37</w:t>
      </w:r>
      <w:r>
        <w:rPr>
          <w:rStyle w:val="16"/>
          <w:rFonts w:hint="eastAsia" w:ascii="仿宋" w:hAnsi="仿宋" w:eastAsia="仿宋"/>
          <w:b w:val="0"/>
          <w:bCs/>
          <w:color w:val="000000"/>
          <w:sz w:val="32"/>
          <w:szCs w:val="32"/>
        </w:rPr>
        <w:t>万元，完成预算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w:t>
      </w:r>
      <w:r>
        <w:rPr>
          <w:rStyle w:val="16"/>
          <w:rFonts w:hint="eastAsia" w:ascii="仿宋" w:hAnsi="仿宋" w:eastAsia="仿宋"/>
          <w:b w:val="0"/>
          <w:bCs/>
          <w:color w:val="000000"/>
          <w:sz w:val="32"/>
          <w:szCs w:val="32"/>
          <w:lang w:val="en-US" w:eastAsia="zh-CN"/>
        </w:rPr>
        <w:t>与</w:t>
      </w:r>
      <w:r>
        <w:rPr>
          <w:rStyle w:val="16"/>
          <w:rFonts w:hint="eastAsia" w:ascii="仿宋" w:hAnsi="仿宋" w:eastAsia="仿宋"/>
          <w:b w:val="0"/>
          <w:bCs/>
          <w:color w:val="000000"/>
          <w:sz w:val="32"/>
          <w:szCs w:val="32"/>
        </w:rPr>
        <w:t>预算数</w:t>
      </w:r>
      <w:r>
        <w:rPr>
          <w:rStyle w:val="16"/>
          <w:rFonts w:hint="eastAsia" w:ascii="仿宋" w:hAnsi="仿宋" w:eastAsia="仿宋"/>
          <w:b w:val="0"/>
          <w:bCs/>
          <w:color w:val="000000"/>
          <w:sz w:val="32"/>
          <w:szCs w:val="32"/>
          <w:lang w:val="en-US" w:eastAsia="zh-CN"/>
        </w:rPr>
        <w:t>持平</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b/>
          <w:color w:val="000000"/>
          <w:sz w:val="32"/>
          <w:szCs w:val="32"/>
        </w:rPr>
      </w:pPr>
      <w:r>
        <w:rPr>
          <w:rFonts w:hint="eastAsia" w:ascii="仿宋" w:hAnsi="仿宋" w:eastAsia="仿宋"/>
          <w:b/>
          <w:bCs/>
          <w:color w:val="000000" w:themeColor="text1"/>
          <w:sz w:val="32"/>
          <w:szCs w:val="32"/>
          <w:lang w:val="en-US" w:eastAsia="zh-CN"/>
          <w14:textFill>
            <w14:solidFill>
              <w14:schemeClr w14:val="tx1"/>
            </w14:solidFill>
          </w14:textFill>
        </w:rPr>
        <w:t>城乡社区</w:t>
      </w:r>
      <w:r>
        <w:rPr>
          <w:rFonts w:hint="eastAsia" w:ascii="仿宋" w:hAnsi="仿宋" w:eastAsia="仿宋"/>
          <w:b/>
          <w:bCs/>
          <w:color w:val="000000" w:themeColor="text1"/>
          <w:sz w:val="32"/>
          <w:szCs w:val="32"/>
          <w14:textFill>
            <w14:solidFill>
              <w14:schemeClr w14:val="tx1"/>
            </w14:solidFill>
          </w14:textFill>
        </w:rPr>
        <w:t>（类）</w:t>
      </w:r>
      <w:r>
        <w:rPr>
          <w:rFonts w:hint="eastAsia" w:ascii="仿宋" w:hAnsi="仿宋" w:eastAsia="仿宋"/>
          <w:b/>
          <w:bCs/>
          <w:color w:val="000000" w:themeColor="text1"/>
          <w:sz w:val="32"/>
          <w:szCs w:val="32"/>
          <w:lang w:val="en-US" w:eastAsia="zh-CN"/>
          <w14:textFill>
            <w14:solidFill>
              <w14:schemeClr w14:val="tx1"/>
            </w14:solidFill>
          </w14:textFill>
        </w:rPr>
        <w:t>城乡社区公共设施、城乡社区环境卫生</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二</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Fonts w:hint="eastAsia" w:ascii="仿宋" w:hAnsi="仿宋" w:eastAsia="仿宋"/>
          <w:b/>
          <w:bCs/>
          <w:color w:val="000000" w:themeColor="text1"/>
          <w:sz w:val="32"/>
          <w:szCs w:val="32"/>
          <w:lang w:val="en-US" w:eastAsia="zh-CN"/>
          <w14:textFill>
            <w14:solidFill>
              <w14:schemeClr w14:val="tx1"/>
            </w14:solidFill>
          </w14:textFill>
        </w:rPr>
        <w:t>支出决算为</w:t>
      </w:r>
      <w:r>
        <w:rPr>
          <w:rFonts w:hint="eastAsia" w:ascii="仿宋" w:hAnsi="仿宋" w:eastAsia="仿宋"/>
          <w:color w:val="000000" w:themeColor="text1"/>
          <w:sz w:val="32"/>
          <w:szCs w:val="32"/>
          <w:lang w:val="en-US" w:eastAsia="zh-CN"/>
          <w14:textFill>
            <w14:solidFill>
              <w14:schemeClr w14:val="tx1"/>
            </w14:solidFill>
          </w14:textFill>
        </w:rPr>
        <w:t>31.50万元，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w:t>
      </w:r>
      <w:r>
        <w:rPr>
          <w:rStyle w:val="16"/>
          <w:rFonts w:hint="eastAsia" w:ascii="仿宋" w:hAnsi="仿宋" w:eastAsia="仿宋"/>
          <w:b w:val="0"/>
          <w:bCs/>
          <w:color w:val="000000"/>
          <w:sz w:val="32"/>
          <w:szCs w:val="32"/>
          <w:lang w:val="en-US" w:eastAsia="zh-CN"/>
        </w:rPr>
        <w:t>与</w:t>
      </w:r>
      <w:r>
        <w:rPr>
          <w:rStyle w:val="16"/>
          <w:rFonts w:hint="eastAsia" w:ascii="仿宋" w:hAnsi="仿宋" w:eastAsia="仿宋"/>
          <w:b w:val="0"/>
          <w:bCs/>
          <w:color w:val="000000"/>
          <w:sz w:val="32"/>
          <w:szCs w:val="32"/>
        </w:rPr>
        <w:t>预算数</w:t>
      </w:r>
      <w:r>
        <w:rPr>
          <w:rStyle w:val="16"/>
          <w:rFonts w:hint="eastAsia" w:ascii="仿宋" w:hAnsi="仿宋" w:eastAsia="仿宋"/>
          <w:b w:val="0"/>
          <w:bCs/>
          <w:color w:val="000000"/>
          <w:sz w:val="32"/>
          <w:szCs w:val="32"/>
          <w:lang w:val="en-US" w:eastAsia="zh-CN"/>
        </w:rPr>
        <w:t>持平</w:t>
      </w:r>
      <w:r>
        <w:rPr>
          <w:rStyle w:val="16"/>
          <w:rFonts w:hint="eastAsia" w:ascii="仿宋" w:hAnsi="仿宋" w:eastAsia="仿宋"/>
          <w:b w:val="0"/>
          <w:bCs/>
          <w:color w:val="000000"/>
          <w:sz w:val="32"/>
          <w:szCs w:val="32"/>
        </w:rPr>
        <w:t>。</w:t>
      </w:r>
    </w:p>
    <w:p>
      <w:pPr>
        <w:spacing w:line="600" w:lineRule="exact"/>
        <w:ind w:firstLine="643" w:firstLineChars="200"/>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b/>
          <w:bCs/>
          <w:color w:val="000000" w:themeColor="text1"/>
          <w:sz w:val="32"/>
          <w:szCs w:val="32"/>
          <w:lang w:val="en-US" w:eastAsia="zh-CN"/>
          <w14:textFill>
            <w14:solidFill>
              <w14:schemeClr w14:val="tx1"/>
            </w14:solidFill>
          </w14:textFill>
        </w:rPr>
        <w:t>农林水</w:t>
      </w:r>
      <w:r>
        <w:rPr>
          <w:rFonts w:hint="eastAsia" w:ascii="仿宋" w:hAnsi="仿宋" w:eastAsia="仿宋"/>
          <w:b/>
          <w:bCs/>
          <w:color w:val="000000" w:themeColor="text1"/>
          <w:sz w:val="32"/>
          <w:szCs w:val="32"/>
          <w14:textFill>
            <w14:solidFill>
              <w14:schemeClr w14:val="tx1"/>
            </w14:solidFill>
          </w14:textFill>
        </w:rPr>
        <w:t>（类）</w:t>
      </w:r>
      <w:r>
        <w:rPr>
          <w:rFonts w:hint="eastAsia" w:ascii="仿宋" w:hAnsi="仿宋" w:eastAsia="仿宋"/>
          <w:b/>
          <w:bCs/>
          <w:color w:val="000000" w:themeColor="text1"/>
          <w:sz w:val="32"/>
          <w:szCs w:val="32"/>
          <w:lang w:val="en-US" w:eastAsia="zh-CN"/>
          <w14:textFill>
            <w14:solidFill>
              <w14:schemeClr w14:val="tx1"/>
            </w14:solidFill>
          </w14:textFill>
        </w:rPr>
        <w:t>农业、扶贫、农村综合改革、其他农林水事务</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四</w:t>
      </w:r>
      <w:r>
        <w:rPr>
          <w:rStyle w:val="16"/>
          <w:rFonts w:hint="eastAsia" w:ascii="仿宋" w:hAnsi="仿宋" w:eastAsia="仿宋"/>
          <w:bCs/>
          <w:color w:val="000000"/>
          <w:sz w:val="32"/>
          <w:szCs w:val="32"/>
        </w:rPr>
        <w:t>（项）</w:t>
      </w:r>
      <w:r>
        <w:rPr>
          <w:rStyle w:val="16"/>
          <w:rFonts w:hint="eastAsia" w:ascii="仿宋" w:hAnsi="仿宋" w:eastAsia="仿宋"/>
          <w:bCs/>
          <w:color w:val="000000"/>
          <w:sz w:val="32"/>
          <w:szCs w:val="32"/>
          <w:lang w:eastAsia="zh-CN"/>
        </w:rPr>
        <w:t>：</w:t>
      </w:r>
      <w:r>
        <w:rPr>
          <w:rFonts w:hint="eastAsia" w:ascii="仿宋" w:hAnsi="仿宋" w:eastAsia="仿宋"/>
          <w:b/>
          <w:bCs/>
          <w:color w:val="000000" w:themeColor="text1"/>
          <w:sz w:val="32"/>
          <w:szCs w:val="32"/>
          <w:lang w:val="en-US" w:eastAsia="zh-CN"/>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227.65万元，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93.69</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，决算数小于预算数的主要原因是</w:t>
      </w:r>
      <w:r>
        <w:rPr>
          <w:rStyle w:val="16"/>
          <w:rFonts w:hint="eastAsia" w:ascii="仿宋" w:hAnsi="仿宋" w:eastAsia="仿宋"/>
          <w:b w:val="0"/>
          <w:bCs/>
          <w:color w:val="000000"/>
          <w:sz w:val="32"/>
          <w:szCs w:val="32"/>
          <w:lang w:val="en-US" w:eastAsia="zh-CN"/>
        </w:rPr>
        <w:t>厉行节约</w:t>
      </w:r>
      <w:r>
        <w:rPr>
          <w:rStyle w:val="16"/>
          <w:rFonts w:hint="eastAsia" w:ascii="仿宋" w:hAnsi="仿宋" w:eastAsia="仿宋"/>
          <w:b w:val="0"/>
          <w:bCs/>
          <w:color w:val="000000"/>
          <w:sz w:val="32"/>
          <w:szCs w:val="32"/>
        </w:rPr>
        <w:t>。</w:t>
      </w:r>
    </w:p>
    <w:p>
      <w:pPr>
        <w:spacing w:line="600" w:lineRule="exact"/>
        <w:ind w:firstLine="643" w:firstLineChars="200"/>
        <w:rPr>
          <w:rFonts w:hint="eastAsia" w:ascii="仿宋" w:hAnsi="仿宋" w:eastAsia="仿宋"/>
          <w:color w:val="000000" w:themeColor="text1"/>
          <w:sz w:val="32"/>
          <w:szCs w:val="32"/>
          <w:lang w:val="en-US" w:eastAsia="zh-CN"/>
          <w14:textFill>
            <w14:solidFill>
              <w14:schemeClr w14:val="tx1"/>
            </w14:solidFill>
          </w14:textFill>
        </w:rPr>
      </w:pPr>
      <w:r>
        <w:rPr>
          <w:rFonts w:hint="eastAsia" w:ascii="仿宋" w:hAnsi="仿宋" w:eastAsia="仿宋"/>
          <w:b/>
          <w:bCs/>
          <w:color w:val="000000" w:themeColor="text1"/>
          <w:sz w:val="32"/>
          <w:szCs w:val="32"/>
          <w:lang w:val="en-US" w:eastAsia="zh-CN"/>
          <w14:textFill>
            <w14:solidFill>
              <w14:schemeClr w14:val="tx1"/>
            </w14:solidFill>
          </w14:textFill>
        </w:rPr>
        <w:t>交通运输</w:t>
      </w:r>
      <w:r>
        <w:rPr>
          <w:rFonts w:hint="eastAsia" w:ascii="仿宋" w:hAnsi="仿宋" w:eastAsia="仿宋"/>
          <w:b/>
          <w:bCs/>
          <w:color w:val="000000" w:themeColor="text1"/>
          <w:sz w:val="32"/>
          <w:szCs w:val="32"/>
          <w14:textFill>
            <w14:solidFill>
              <w14:schemeClr w14:val="tx1"/>
            </w14:solidFill>
          </w14:textFill>
        </w:rPr>
        <w:t>（类）</w:t>
      </w:r>
      <w:r>
        <w:rPr>
          <w:rStyle w:val="16"/>
          <w:rFonts w:hint="eastAsia" w:ascii="仿宋" w:hAnsi="仿宋" w:eastAsia="仿宋"/>
          <w:bCs/>
          <w:color w:val="000000"/>
          <w:sz w:val="32"/>
          <w:szCs w:val="32"/>
          <w:lang w:val="en-US" w:eastAsia="zh-CN"/>
        </w:rPr>
        <w:t>公路水路运输、车辆购置税事务</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二</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Fonts w:hint="eastAsia" w:ascii="仿宋" w:hAnsi="仿宋" w:eastAsia="仿宋"/>
          <w:b/>
          <w:bCs/>
          <w:color w:val="000000" w:themeColor="text1"/>
          <w:sz w:val="32"/>
          <w:szCs w:val="32"/>
          <w:lang w:val="en-US" w:eastAsia="zh-CN"/>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159.23万元，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92.34</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，决算数小于预算数的主要原因是</w:t>
      </w:r>
      <w:r>
        <w:rPr>
          <w:rStyle w:val="16"/>
          <w:rFonts w:hint="eastAsia" w:ascii="仿宋" w:hAnsi="仿宋" w:eastAsia="仿宋"/>
          <w:b w:val="0"/>
          <w:bCs/>
          <w:color w:val="000000"/>
          <w:sz w:val="32"/>
          <w:szCs w:val="32"/>
          <w:lang w:val="en-US" w:eastAsia="zh-CN"/>
        </w:rPr>
        <w:t>厉行节约</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b/>
          <w:color w:val="000000"/>
          <w:sz w:val="32"/>
          <w:szCs w:val="32"/>
        </w:rPr>
      </w:pPr>
      <w:r>
        <w:rPr>
          <w:rFonts w:hint="eastAsia" w:ascii="仿宋" w:hAnsi="仿宋" w:eastAsia="仿宋"/>
          <w:b/>
          <w:bCs/>
          <w:color w:val="000000" w:themeColor="text1"/>
          <w:sz w:val="32"/>
          <w:szCs w:val="32"/>
          <w14:textFill>
            <w14:solidFill>
              <w14:schemeClr w14:val="tx1"/>
            </w14:solidFill>
          </w14:textFill>
        </w:rPr>
        <w:t>住房保障（类）</w:t>
      </w:r>
      <w:r>
        <w:rPr>
          <w:rStyle w:val="16"/>
          <w:rFonts w:hint="eastAsia" w:ascii="仿宋" w:hAnsi="仿宋" w:eastAsia="仿宋"/>
          <w:bCs/>
          <w:color w:val="000000"/>
          <w:sz w:val="32"/>
          <w:szCs w:val="32"/>
          <w:lang w:val="en-US" w:eastAsia="zh-CN"/>
        </w:rPr>
        <w:t>保障性安居工程、住房改革事务</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二</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Fonts w:hint="eastAsia" w:ascii="仿宋" w:hAnsi="仿宋" w:eastAsia="仿宋"/>
          <w:b/>
          <w:bCs/>
          <w:color w:val="000000" w:themeColor="text1"/>
          <w:sz w:val="32"/>
          <w:szCs w:val="32"/>
          <w:lang w:val="en-US" w:eastAsia="zh-CN"/>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47.27</w:t>
      </w:r>
      <w:r>
        <w:rPr>
          <w:rFonts w:hint="eastAsia" w:ascii="仿宋" w:hAnsi="仿宋" w:eastAsia="仿宋"/>
          <w:color w:val="000000" w:themeColor="text1"/>
          <w:sz w:val="32"/>
          <w:szCs w:val="32"/>
          <w14:textFill>
            <w14:solidFill>
              <w14:schemeClr w14:val="tx1"/>
            </w14:solidFill>
          </w14:textFill>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w:t>
      </w:r>
      <w:r>
        <w:rPr>
          <w:rStyle w:val="16"/>
          <w:rFonts w:hint="eastAsia" w:ascii="仿宋" w:hAnsi="仿宋" w:eastAsia="仿宋"/>
          <w:b w:val="0"/>
          <w:bCs/>
          <w:color w:val="000000"/>
          <w:sz w:val="32"/>
          <w:szCs w:val="32"/>
          <w:lang w:val="en-US" w:eastAsia="zh-CN"/>
        </w:rPr>
        <w:t>与</w:t>
      </w:r>
      <w:r>
        <w:rPr>
          <w:rStyle w:val="16"/>
          <w:rFonts w:hint="eastAsia" w:ascii="仿宋" w:hAnsi="仿宋" w:eastAsia="仿宋"/>
          <w:b w:val="0"/>
          <w:bCs/>
          <w:color w:val="000000"/>
          <w:sz w:val="32"/>
          <w:szCs w:val="32"/>
        </w:rPr>
        <w:t>预算数</w:t>
      </w:r>
      <w:r>
        <w:rPr>
          <w:rStyle w:val="16"/>
          <w:rFonts w:hint="eastAsia" w:ascii="仿宋" w:hAnsi="仿宋" w:eastAsia="仿宋"/>
          <w:b w:val="0"/>
          <w:bCs/>
          <w:color w:val="000000"/>
          <w:sz w:val="32"/>
          <w:szCs w:val="32"/>
          <w:lang w:val="en-US" w:eastAsia="zh-CN"/>
        </w:rPr>
        <w:t>持平</w:t>
      </w:r>
      <w:r>
        <w:rPr>
          <w:rStyle w:val="16"/>
          <w:rFonts w:hint="eastAsia" w:ascii="仿宋" w:hAnsi="仿宋" w:eastAsia="仿宋"/>
          <w:b w:val="0"/>
          <w:bCs/>
          <w:color w:val="000000"/>
          <w:sz w:val="32"/>
          <w:szCs w:val="32"/>
        </w:rPr>
        <w:t>。</w:t>
      </w:r>
    </w:p>
    <w:p>
      <w:pPr>
        <w:spacing w:line="600" w:lineRule="exact"/>
        <w:ind w:firstLine="643" w:firstLineChars="200"/>
        <w:rPr>
          <w:rFonts w:ascii="仿宋" w:hAnsi="仿宋" w:eastAsia="仿宋"/>
          <w:b/>
          <w:color w:val="000000"/>
          <w:sz w:val="32"/>
          <w:szCs w:val="32"/>
        </w:rPr>
      </w:pPr>
      <w:r>
        <w:rPr>
          <w:rFonts w:hint="eastAsia" w:ascii="仿宋" w:hAnsi="仿宋" w:eastAsia="仿宋"/>
          <w:b/>
          <w:bCs/>
          <w:color w:val="000000" w:themeColor="text1"/>
          <w:sz w:val="32"/>
          <w:szCs w:val="32"/>
          <w:lang w:val="en-US" w:eastAsia="zh-CN"/>
          <w14:textFill>
            <w14:solidFill>
              <w14:schemeClr w14:val="tx1"/>
            </w14:solidFill>
          </w14:textFill>
        </w:rPr>
        <w:t>其他</w:t>
      </w:r>
      <w:r>
        <w:rPr>
          <w:rFonts w:hint="eastAsia" w:ascii="仿宋" w:hAnsi="仿宋" w:eastAsia="仿宋"/>
          <w:b/>
          <w:bCs/>
          <w:color w:val="000000" w:themeColor="text1"/>
          <w:sz w:val="32"/>
          <w:szCs w:val="32"/>
          <w14:textFill>
            <w14:solidFill>
              <w14:schemeClr w14:val="tx1"/>
            </w14:solidFill>
          </w14:textFill>
        </w:rPr>
        <w:t>（类）</w:t>
      </w:r>
      <w:r>
        <w:rPr>
          <w:rFonts w:hint="eastAsia" w:ascii="仿宋" w:hAnsi="仿宋" w:eastAsia="仿宋"/>
          <w:b/>
          <w:bCs/>
          <w:color w:val="000000" w:themeColor="text1"/>
          <w:sz w:val="32"/>
          <w:szCs w:val="32"/>
          <w:lang w:val="en-US" w:eastAsia="zh-CN"/>
          <w14:textFill>
            <w14:solidFill>
              <w14:schemeClr w14:val="tx1"/>
            </w14:solidFill>
          </w14:textFill>
        </w:rPr>
        <w:t>其他事务</w:t>
      </w:r>
      <w:r>
        <w:rPr>
          <w:rStyle w:val="16"/>
          <w:rFonts w:hint="eastAsia" w:ascii="仿宋" w:hAnsi="仿宋" w:eastAsia="仿宋"/>
          <w:bCs/>
          <w:color w:val="000000"/>
          <w:sz w:val="32"/>
          <w:szCs w:val="32"/>
        </w:rPr>
        <w:t>（款）</w:t>
      </w:r>
      <w:r>
        <w:rPr>
          <w:rStyle w:val="16"/>
          <w:rFonts w:hint="eastAsia" w:ascii="仿宋" w:hAnsi="仿宋" w:eastAsia="仿宋"/>
          <w:bCs/>
          <w:color w:val="000000"/>
          <w:sz w:val="32"/>
          <w:szCs w:val="32"/>
          <w:lang w:val="en-US" w:eastAsia="zh-CN"/>
        </w:rPr>
        <w:t>一</w:t>
      </w:r>
      <w:r>
        <w:rPr>
          <w:rStyle w:val="16"/>
          <w:rFonts w:hint="eastAsia" w:ascii="仿宋" w:hAnsi="仿宋" w:eastAsia="仿宋"/>
          <w:bCs/>
          <w:color w:val="000000"/>
          <w:sz w:val="32"/>
          <w:szCs w:val="32"/>
        </w:rPr>
        <w:t>（项）</w:t>
      </w:r>
      <w:r>
        <w:rPr>
          <w:rStyle w:val="16"/>
          <w:rFonts w:ascii="仿宋" w:hAnsi="仿宋" w:eastAsia="仿宋"/>
          <w:bCs/>
          <w:color w:val="000000"/>
          <w:sz w:val="32"/>
          <w:szCs w:val="32"/>
        </w:rPr>
        <w:t>:</w:t>
      </w:r>
      <w:r>
        <w:rPr>
          <w:rFonts w:hint="eastAsia" w:ascii="仿宋" w:hAnsi="仿宋" w:eastAsia="仿宋"/>
          <w:b/>
          <w:bCs/>
          <w:color w:val="000000" w:themeColor="text1"/>
          <w:sz w:val="32"/>
          <w:szCs w:val="32"/>
          <w:lang w:val="en-US" w:eastAsia="zh-CN"/>
          <w14:textFill>
            <w14:solidFill>
              <w14:schemeClr w14:val="tx1"/>
            </w14:solidFill>
          </w14:textFill>
        </w:rPr>
        <w:t>支出</w:t>
      </w:r>
      <w:r>
        <w:rPr>
          <w:rFonts w:hint="eastAsia" w:ascii="仿宋" w:hAnsi="仿宋" w:eastAsia="仿宋"/>
          <w:color w:val="000000" w:themeColor="text1"/>
          <w:sz w:val="32"/>
          <w:szCs w:val="32"/>
          <w:lang w:val="en-US" w:eastAsia="zh-CN"/>
          <w14:textFill>
            <w14:solidFill>
              <w14:schemeClr w14:val="tx1"/>
            </w14:solidFill>
          </w14:textFill>
        </w:rPr>
        <w:t>98.47万元，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92.61</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，决算数预算数的主要原因是</w:t>
      </w:r>
      <w:r>
        <w:rPr>
          <w:rStyle w:val="16"/>
          <w:rFonts w:hint="eastAsia" w:ascii="仿宋" w:hAnsi="仿宋" w:eastAsia="仿宋"/>
          <w:b w:val="0"/>
          <w:bCs/>
          <w:color w:val="000000"/>
          <w:sz w:val="32"/>
          <w:szCs w:val="32"/>
          <w:lang w:val="en-US" w:eastAsia="zh-CN"/>
        </w:rPr>
        <w:t>厉行节约</w:t>
      </w:r>
      <w:r>
        <w:rPr>
          <w:rStyle w:val="16"/>
          <w:rFonts w:hint="eastAsia" w:ascii="仿宋" w:hAnsi="仿宋" w:eastAsia="仿宋"/>
          <w:b w:val="0"/>
          <w:bCs/>
          <w:color w:val="000000"/>
          <w:sz w:val="32"/>
          <w:szCs w:val="32"/>
        </w:rPr>
        <w:t>。</w:t>
      </w:r>
    </w:p>
    <w:p>
      <w:pPr>
        <w:spacing w:line="600" w:lineRule="exact"/>
        <w:ind w:firstLine="640" w:firstLineChars="200"/>
        <w:rPr>
          <w:rFonts w:ascii="仿宋" w:hAnsi="仿宋" w:eastAsia="仿宋"/>
          <w:color w:val="000000"/>
          <w:sz w:val="32"/>
          <w:szCs w:val="32"/>
        </w:rPr>
      </w:pPr>
    </w:p>
    <w:p>
      <w:pPr>
        <w:tabs>
          <w:tab w:val="right" w:pos="8306"/>
        </w:tabs>
        <w:spacing w:line="600" w:lineRule="exact"/>
        <w:ind w:firstLine="640"/>
        <w:outlineLvl w:val="1"/>
        <w:rPr>
          <w:rStyle w:val="28"/>
        </w:rPr>
      </w:pPr>
      <w:bookmarkStart w:id="44" w:name="_Toc15377214"/>
      <w:bookmarkStart w:id="45" w:name="_Toc15396608"/>
      <w:r>
        <w:rPr>
          <w:rFonts w:hint="eastAsia" w:ascii="黑体" w:eastAsia="黑体"/>
          <w:color w:val="000000"/>
          <w:sz w:val="32"/>
          <w:szCs w:val="32"/>
        </w:rPr>
        <w:t>六</w:t>
      </w:r>
      <w:r>
        <w:rPr>
          <w:rFonts w:hint="eastAsia" w:ascii="黑体" w:eastAsia="黑体"/>
          <w:b/>
          <w:color w:val="000000"/>
          <w:sz w:val="32"/>
          <w:szCs w:val="32"/>
        </w:rPr>
        <w:t>、</w:t>
      </w:r>
      <w:r>
        <w:rPr>
          <w:rFonts w:hint="eastAsia" w:ascii="黑体" w:hAnsi="黑体" w:eastAsia="黑体"/>
          <w:b/>
          <w:color w:val="000000"/>
          <w:sz w:val="32"/>
          <w:szCs w:val="32"/>
        </w:rPr>
        <w:t>一</w:t>
      </w:r>
      <w:r>
        <w:rPr>
          <w:rStyle w:val="28"/>
          <w:rFonts w:hint="eastAsia" w:ascii="黑体" w:hAnsi="黑体" w:eastAsia="黑体"/>
          <w:b w:val="0"/>
        </w:rPr>
        <w:t>般公共预算财政拨款基本支出决算情况说明</w:t>
      </w:r>
      <w:bookmarkEnd w:id="44"/>
      <w:bookmarkEnd w:id="45"/>
      <w:r>
        <w:rPr>
          <w:rStyle w:val="28"/>
          <w:rFonts w:ascii="黑体" w:hAnsi="黑体" w:eastAsia="黑体"/>
          <w:b w:val="0"/>
        </w:rPr>
        <w:tab/>
      </w:r>
    </w:p>
    <w:p>
      <w:pPr>
        <w:spacing w:line="600" w:lineRule="exact"/>
        <w:ind w:firstLine="645"/>
        <w:rPr>
          <w:rFonts w:ascii="仿宋" w:hAnsi="仿宋" w:eastAsia="仿宋"/>
          <w:color w:val="auto"/>
          <w:sz w:val="32"/>
          <w:szCs w:val="32"/>
        </w:rPr>
      </w:pPr>
      <w:r>
        <w:rPr>
          <w:rFonts w:ascii="仿宋" w:hAnsi="仿宋" w:eastAsia="仿宋"/>
          <w:color w:val="auto"/>
          <w:sz w:val="32"/>
          <w:szCs w:val="32"/>
        </w:rPr>
        <w:t>201</w:t>
      </w:r>
      <w:r>
        <w:rPr>
          <w:rFonts w:hint="eastAsia" w:ascii="仿宋" w:hAnsi="仿宋" w:eastAsia="仿宋"/>
          <w:color w:val="auto"/>
          <w:sz w:val="32"/>
          <w:szCs w:val="32"/>
        </w:rPr>
        <w:t>8年一般公共预算财政拨款基本支出</w:t>
      </w:r>
      <w:r>
        <w:rPr>
          <w:rFonts w:hint="eastAsia" w:ascii="仿宋" w:hAnsi="仿宋" w:eastAsia="仿宋"/>
          <w:color w:val="auto"/>
          <w:sz w:val="32"/>
          <w:szCs w:val="32"/>
          <w:lang w:val="en-US" w:eastAsia="zh-CN"/>
        </w:rPr>
        <w:t>583.4</w:t>
      </w:r>
      <w:r>
        <w:rPr>
          <w:rFonts w:hint="eastAsia" w:ascii="仿宋" w:hAnsi="仿宋" w:eastAsia="仿宋"/>
          <w:color w:val="auto"/>
          <w:sz w:val="32"/>
          <w:szCs w:val="32"/>
        </w:rPr>
        <w:t>万元，其中：</w:t>
      </w:r>
    </w:p>
    <w:p>
      <w:pPr>
        <w:spacing w:line="600" w:lineRule="exact"/>
        <w:ind w:firstLine="645"/>
        <w:rPr>
          <w:rFonts w:ascii="仿宋" w:hAnsi="仿宋" w:eastAsia="仿宋"/>
          <w:b/>
          <w:color w:val="000000" w:themeColor="text1"/>
          <w:sz w:val="32"/>
          <w:szCs w:val="32"/>
          <w14:textFill>
            <w14:solidFill>
              <w14:schemeClr w14:val="tx1"/>
            </w14:solidFill>
          </w14:textFill>
        </w:rPr>
      </w:pPr>
      <w:r>
        <w:rPr>
          <w:rFonts w:hint="eastAsia" w:ascii="仿宋" w:hAnsi="仿宋" w:eastAsia="仿宋"/>
          <w:color w:val="auto"/>
          <w:sz w:val="32"/>
          <w:szCs w:val="32"/>
        </w:rPr>
        <w:t>人员经费547</w:t>
      </w:r>
      <w:r>
        <w:rPr>
          <w:rFonts w:hint="eastAsia" w:ascii="仿宋" w:hAnsi="仿宋" w:eastAsia="仿宋"/>
          <w:color w:val="auto"/>
          <w:sz w:val="32"/>
          <w:szCs w:val="32"/>
          <w:lang w:val="en-US" w:eastAsia="zh-CN"/>
        </w:rPr>
        <w:t>.20</w:t>
      </w:r>
      <w:r>
        <w:rPr>
          <w:rFonts w:hint="eastAsia" w:ascii="仿宋" w:hAnsi="仿宋" w:eastAsia="仿宋"/>
          <w:color w:val="auto"/>
          <w:sz w:val="32"/>
          <w:szCs w:val="32"/>
        </w:rPr>
        <w:t>万元，主要包括：基本工资</w:t>
      </w:r>
      <w:r>
        <w:rPr>
          <w:rFonts w:hint="eastAsia" w:ascii="仿宋" w:hAnsi="仿宋" w:eastAsia="仿宋"/>
          <w:color w:val="auto"/>
          <w:sz w:val="32"/>
          <w:szCs w:val="32"/>
          <w:lang w:val="en-US" w:eastAsia="zh-CN"/>
        </w:rPr>
        <w:t>97.11万元</w:t>
      </w:r>
      <w:r>
        <w:rPr>
          <w:rFonts w:hint="eastAsia" w:ascii="仿宋" w:hAnsi="仿宋" w:eastAsia="仿宋"/>
          <w:color w:val="auto"/>
          <w:sz w:val="32"/>
          <w:szCs w:val="32"/>
        </w:rPr>
        <w:t>、津贴补贴</w:t>
      </w:r>
      <w:r>
        <w:rPr>
          <w:rFonts w:hint="eastAsia" w:ascii="仿宋" w:hAnsi="仿宋" w:eastAsia="仿宋"/>
          <w:color w:val="auto"/>
          <w:sz w:val="32"/>
          <w:szCs w:val="32"/>
          <w:lang w:val="en-US" w:eastAsia="zh-CN"/>
        </w:rPr>
        <w:t>244.89万元</w:t>
      </w:r>
      <w:r>
        <w:rPr>
          <w:rFonts w:hint="eastAsia" w:ascii="仿宋" w:hAnsi="仿宋" w:eastAsia="仿宋"/>
          <w:color w:val="auto"/>
          <w:sz w:val="32"/>
          <w:szCs w:val="32"/>
        </w:rPr>
        <w:t>、奖金</w:t>
      </w:r>
      <w:r>
        <w:rPr>
          <w:rFonts w:hint="eastAsia" w:ascii="仿宋" w:hAnsi="仿宋" w:eastAsia="仿宋"/>
          <w:color w:val="auto"/>
          <w:sz w:val="32"/>
          <w:szCs w:val="32"/>
          <w:lang w:val="en-US" w:eastAsia="zh-CN"/>
        </w:rPr>
        <w:t>50.93万元</w:t>
      </w:r>
      <w:r>
        <w:rPr>
          <w:rFonts w:hint="eastAsia" w:ascii="仿宋" w:hAnsi="仿宋" w:eastAsia="仿宋"/>
          <w:color w:val="auto"/>
          <w:sz w:val="32"/>
          <w:szCs w:val="32"/>
        </w:rPr>
        <w:t>、绩效工资</w:t>
      </w:r>
      <w:r>
        <w:rPr>
          <w:rFonts w:hint="eastAsia" w:ascii="仿宋" w:hAnsi="仿宋" w:eastAsia="仿宋"/>
          <w:color w:val="auto"/>
          <w:sz w:val="32"/>
          <w:szCs w:val="32"/>
          <w:lang w:val="en-US" w:eastAsia="zh-CN"/>
        </w:rPr>
        <w:t>5.81万元</w:t>
      </w:r>
      <w:r>
        <w:rPr>
          <w:rFonts w:hint="eastAsia" w:ascii="仿宋" w:hAnsi="仿宋" w:eastAsia="仿宋"/>
          <w:color w:val="auto"/>
          <w:sz w:val="32"/>
          <w:szCs w:val="32"/>
        </w:rPr>
        <w:t>、机关事业单位基本养老保险缴费</w:t>
      </w:r>
      <w:r>
        <w:rPr>
          <w:rFonts w:hint="eastAsia" w:ascii="仿宋" w:hAnsi="仿宋" w:eastAsia="仿宋"/>
          <w:color w:val="auto"/>
          <w:sz w:val="32"/>
          <w:szCs w:val="32"/>
          <w:lang w:val="en-US" w:eastAsia="zh-CN"/>
        </w:rPr>
        <w:t>50.92万元</w:t>
      </w:r>
      <w:r>
        <w:rPr>
          <w:rFonts w:hint="eastAsia" w:ascii="仿宋" w:hAnsi="仿宋" w:eastAsia="仿宋"/>
          <w:color w:val="auto"/>
          <w:sz w:val="32"/>
          <w:szCs w:val="32"/>
        </w:rPr>
        <w:t>、职业年金缴费</w:t>
      </w:r>
      <w:r>
        <w:rPr>
          <w:rFonts w:hint="eastAsia" w:ascii="仿宋" w:hAnsi="仿宋" w:eastAsia="仿宋"/>
          <w:color w:val="auto"/>
          <w:sz w:val="32"/>
          <w:szCs w:val="32"/>
          <w:lang w:val="en-US" w:eastAsia="zh-CN"/>
        </w:rPr>
        <w:t>20.37万元</w:t>
      </w:r>
      <w:r>
        <w:rPr>
          <w:rFonts w:hint="eastAsia" w:ascii="仿宋" w:hAnsi="仿宋" w:eastAsia="仿宋"/>
          <w:color w:val="auto"/>
          <w:sz w:val="32"/>
          <w:szCs w:val="32"/>
        </w:rPr>
        <w:t>、其他社会保障缴费</w:t>
      </w:r>
      <w:r>
        <w:rPr>
          <w:rFonts w:hint="eastAsia" w:ascii="仿宋" w:hAnsi="仿宋" w:eastAsia="仿宋"/>
          <w:color w:val="auto"/>
          <w:sz w:val="32"/>
          <w:szCs w:val="32"/>
          <w:lang w:val="en-US" w:eastAsia="zh-CN"/>
        </w:rPr>
        <w:t>9.03万元</w:t>
      </w:r>
      <w:r>
        <w:rPr>
          <w:rFonts w:hint="eastAsia" w:ascii="仿宋" w:hAnsi="仿宋" w:eastAsia="仿宋"/>
          <w:color w:val="auto"/>
          <w:sz w:val="32"/>
          <w:szCs w:val="32"/>
        </w:rPr>
        <w:t>、</w:t>
      </w:r>
      <w:r>
        <w:rPr>
          <w:rFonts w:hint="eastAsia" w:ascii="仿宋" w:hAnsi="仿宋" w:eastAsia="仿宋"/>
          <w:color w:val="auto"/>
          <w:sz w:val="32"/>
          <w:szCs w:val="32"/>
          <w:lang w:eastAsia="zh-CN"/>
        </w:rPr>
        <w:t>职工基本医疗保险缴费</w:t>
      </w:r>
      <w:r>
        <w:rPr>
          <w:rFonts w:hint="eastAsia" w:ascii="仿宋" w:hAnsi="仿宋" w:eastAsia="仿宋"/>
          <w:color w:val="auto"/>
          <w:sz w:val="32"/>
          <w:szCs w:val="32"/>
          <w:lang w:val="en-US" w:eastAsia="zh-CN"/>
        </w:rPr>
        <w:t>23.93万元、公务员医疗补助保险缴费3.24万元、</w:t>
      </w:r>
      <w:r>
        <w:rPr>
          <w:rFonts w:hint="eastAsia" w:ascii="仿宋" w:hAnsi="仿宋" w:eastAsia="仿宋"/>
          <w:color w:val="auto"/>
          <w:sz w:val="32"/>
          <w:szCs w:val="32"/>
        </w:rPr>
        <w:t>住房公积金</w:t>
      </w:r>
      <w:r>
        <w:rPr>
          <w:rFonts w:hint="eastAsia" w:ascii="仿宋" w:hAnsi="仿宋" w:eastAsia="仿宋"/>
          <w:color w:val="auto"/>
          <w:sz w:val="32"/>
          <w:szCs w:val="32"/>
          <w:lang w:val="en-US" w:eastAsia="zh-CN"/>
        </w:rPr>
        <w:t>38.27万元、</w:t>
      </w:r>
      <w:r>
        <w:rPr>
          <w:rFonts w:hint="eastAsia" w:ascii="仿宋" w:hAnsi="仿宋" w:eastAsia="仿宋"/>
          <w:color w:val="auto"/>
          <w:sz w:val="32"/>
          <w:szCs w:val="32"/>
        </w:rPr>
        <w:t>医疗费</w:t>
      </w:r>
      <w:r>
        <w:rPr>
          <w:rFonts w:hint="eastAsia" w:ascii="仿宋" w:hAnsi="仿宋" w:eastAsia="仿宋"/>
          <w:color w:val="auto"/>
          <w:sz w:val="32"/>
          <w:szCs w:val="32"/>
          <w:lang w:val="en-US" w:eastAsia="zh-CN"/>
        </w:rPr>
        <w:t>2.70万元</w:t>
      </w:r>
      <w:r>
        <w:rPr>
          <w:rFonts w:hint="eastAsia" w:ascii="仿宋" w:hAnsi="仿宋" w:eastAsia="仿宋"/>
          <w:color w:val="auto"/>
          <w:sz w:val="32"/>
          <w:szCs w:val="32"/>
        </w:rPr>
        <w:t>等。</w:t>
      </w:r>
      <w:r>
        <w:rPr>
          <w:rFonts w:ascii="仿宋" w:hAnsi="仿宋" w:eastAsia="仿宋"/>
          <w:color w:val="auto"/>
          <w:sz w:val="32"/>
          <w:szCs w:val="32"/>
        </w:rPr>
        <w:br w:type="textWrapping"/>
      </w:r>
      <w:r>
        <w:rPr>
          <w:rFonts w:hint="eastAsia" w:ascii="仿宋" w:hAnsi="仿宋" w:eastAsia="仿宋"/>
          <w:color w:val="1F497D" w:themeColor="text2"/>
          <w:sz w:val="32"/>
          <w:szCs w:val="32"/>
          <w14:textFill>
            <w14:solidFill>
              <w14:schemeClr w14:val="tx2"/>
            </w14:solidFill>
          </w14:textFill>
        </w:rPr>
        <w:t>　　</w:t>
      </w:r>
      <w:r>
        <w:rPr>
          <w:rFonts w:hint="eastAsia" w:ascii="仿宋" w:hAnsi="仿宋" w:eastAsia="仿宋"/>
          <w:color w:val="auto"/>
          <w:sz w:val="32"/>
          <w:szCs w:val="32"/>
        </w:rPr>
        <w:t>公用经费</w:t>
      </w:r>
      <w:r>
        <w:rPr>
          <w:rFonts w:hint="eastAsia" w:ascii="仿宋" w:hAnsi="仿宋" w:eastAsia="仿宋"/>
          <w:color w:val="auto"/>
          <w:sz w:val="32"/>
          <w:szCs w:val="32"/>
          <w:lang w:val="en-US" w:eastAsia="zh-CN"/>
        </w:rPr>
        <w:t>36.21</w:t>
      </w:r>
      <w:r>
        <w:rPr>
          <w:rFonts w:hint="eastAsia" w:ascii="仿宋" w:hAnsi="仿宋" w:eastAsia="仿宋"/>
          <w:color w:val="auto"/>
          <w:sz w:val="32"/>
          <w:szCs w:val="32"/>
        </w:rPr>
        <w:t>万元，主要包括：办公费</w:t>
      </w:r>
      <w:r>
        <w:rPr>
          <w:rFonts w:hint="eastAsia" w:ascii="仿宋" w:hAnsi="仿宋" w:eastAsia="仿宋"/>
          <w:color w:val="auto"/>
          <w:sz w:val="32"/>
          <w:szCs w:val="32"/>
          <w:lang w:val="en-US" w:eastAsia="zh-CN"/>
        </w:rPr>
        <w:t>7万元</w:t>
      </w:r>
      <w:r>
        <w:rPr>
          <w:rFonts w:hint="eastAsia" w:ascii="仿宋" w:hAnsi="仿宋" w:eastAsia="仿宋"/>
          <w:color w:val="auto"/>
          <w:sz w:val="32"/>
          <w:szCs w:val="32"/>
        </w:rPr>
        <w:t>、印刷费</w:t>
      </w:r>
      <w:r>
        <w:rPr>
          <w:rFonts w:hint="eastAsia" w:ascii="仿宋" w:hAnsi="仿宋" w:eastAsia="仿宋"/>
          <w:color w:val="auto"/>
          <w:sz w:val="32"/>
          <w:szCs w:val="32"/>
          <w:lang w:val="en-US" w:eastAsia="zh-CN"/>
        </w:rPr>
        <w:t>3.50万元</w:t>
      </w:r>
      <w:r>
        <w:rPr>
          <w:rFonts w:hint="eastAsia" w:ascii="仿宋" w:hAnsi="仿宋" w:eastAsia="仿宋"/>
          <w:color w:val="auto"/>
          <w:sz w:val="32"/>
          <w:szCs w:val="32"/>
        </w:rPr>
        <w:t>、电费</w:t>
      </w:r>
      <w:r>
        <w:rPr>
          <w:rFonts w:hint="eastAsia" w:ascii="仿宋" w:hAnsi="仿宋" w:eastAsia="仿宋"/>
          <w:color w:val="auto"/>
          <w:sz w:val="32"/>
          <w:szCs w:val="32"/>
          <w:lang w:val="en-US" w:eastAsia="zh-CN"/>
        </w:rPr>
        <w:t>6万元</w:t>
      </w:r>
      <w:r>
        <w:rPr>
          <w:rFonts w:hint="eastAsia" w:ascii="仿宋" w:hAnsi="仿宋" w:eastAsia="仿宋"/>
          <w:color w:val="auto"/>
          <w:sz w:val="32"/>
          <w:szCs w:val="32"/>
        </w:rPr>
        <w:t>、取暖费</w:t>
      </w:r>
      <w:r>
        <w:rPr>
          <w:rFonts w:hint="eastAsia" w:ascii="仿宋" w:hAnsi="仿宋" w:eastAsia="仿宋"/>
          <w:color w:val="auto"/>
          <w:sz w:val="32"/>
          <w:szCs w:val="32"/>
          <w:lang w:val="en-US" w:eastAsia="zh-CN"/>
        </w:rPr>
        <w:t>2.21万元</w:t>
      </w:r>
      <w:r>
        <w:rPr>
          <w:rFonts w:hint="eastAsia" w:ascii="仿宋" w:hAnsi="仿宋" w:eastAsia="仿宋"/>
          <w:color w:val="auto"/>
          <w:sz w:val="32"/>
          <w:szCs w:val="32"/>
        </w:rPr>
        <w:t>、差旅费</w:t>
      </w:r>
      <w:r>
        <w:rPr>
          <w:rFonts w:hint="eastAsia" w:ascii="仿宋" w:hAnsi="仿宋" w:eastAsia="仿宋"/>
          <w:color w:val="auto"/>
          <w:sz w:val="32"/>
          <w:szCs w:val="32"/>
          <w:lang w:val="en-US" w:eastAsia="zh-CN"/>
        </w:rPr>
        <w:t>1.5万元</w:t>
      </w:r>
      <w:r>
        <w:rPr>
          <w:rFonts w:hint="eastAsia" w:ascii="仿宋" w:hAnsi="仿宋" w:eastAsia="仿宋"/>
          <w:color w:val="auto"/>
          <w:sz w:val="32"/>
          <w:szCs w:val="32"/>
        </w:rPr>
        <w:t>、维修（护）费</w:t>
      </w:r>
      <w:r>
        <w:rPr>
          <w:rFonts w:hint="eastAsia" w:ascii="仿宋" w:hAnsi="仿宋" w:eastAsia="仿宋"/>
          <w:color w:val="auto"/>
          <w:sz w:val="32"/>
          <w:szCs w:val="32"/>
          <w:lang w:val="en-US" w:eastAsia="zh-CN"/>
        </w:rPr>
        <w:t>2.55万元</w:t>
      </w:r>
      <w:r>
        <w:rPr>
          <w:rFonts w:hint="eastAsia" w:ascii="仿宋" w:hAnsi="仿宋" w:eastAsia="仿宋"/>
          <w:color w:val="auto"/>
          <w:sz w:val="32"/>
          <w:szCs w:val="32"/>
        </w:rPr>
        <w:t>、会议费</w:t>
      </w:r>
      <w:r>
        <w:rPr>
          <w:rFonts w:hint="eastAsia" w:ascii="仿宋" w:hAnsi="仿宋" w:eastAsia="仿宋"/>
          <w:color w:val="auto"/>
          <w:sz w:val="32"/>
          <w:szCs w:val="32"/>
          <w:lang w:val="en-US" w:eastAsia="zh-CN"/>
        </w:rPr>
        <w:t>2万元</w:t>
      </w:r>
      <w:r>
        <w:rPr>
          <w:rFonts w:hint="eastAsia" w:ascii="仿宋" w:hAnsi="仿宋" w:eastAsia="仿宋"/>
          <w:color w:val="auto"/>
          <w:sz w:val="32"/>
          <w:szCs w:val="32"/>
        </w:rPr>
        <w:t>、培训费</w:t>
      </w:r>
      <w:r>
        <w:rPr>
          <w:rFonts w:hint="eastAsia" w:ascii="仿宋" w:hAnsi="仿宋" w:eastAsia="仿宋"/>
          <w:color w:val="auto"/>
          <w:sz w:val="32"/>
          <w:szCs w:val="32"/>
          <w:lang w:val="en-US" w:eastAsia="zh-CN"/>
        </w:rPr>
        <w:t>2万元</w:t>
      </w:r>
      <w:r>
        <w:rPr>
          <w:rFonts w:hint="eastAsia" w:ascii="仿宋" w:hAnsi="仿宋" w:eastAsia="仿宋"/>
          <w:color w:val="auto"/>
          <w:sz w:val="32"/>
          <w:szCs w:val="32"/>
        </w:rPr>
        <w:t>、公务接待费</w:t>
      </w:r>
      <w:r>
        <w:rPr>
          <w:rFonts w:hint="eastAsia" w:ascii="仿宋" w:hAnsi="仿宋" w:eastAsia="仿宋"/>
          <w:color w:val="auto"/>
          <w:sz w:val="32"/>
          <w:szCs w:val="32"/>
          <w:lang w:val="en-US" w:eastAsia="zh-CN"/>
        </w:rPr>
        <w:t>0.45万元</w:t>
      </w:r>
      <w:r>
        <w:rPr>
          <w:rFonts w:hint="eastAsia" w:ascii="仿宋" w:hAnsi="仿宋" w:eastAsia="仿宋"/>
          <w:color w:val="auto"/>
          <w:sz w:val="32"/>
          <w:szCs w:val="32"/>
        </w:rPr>
        <w:t>、劳务费</w:t>
      </w:r>
      <w:r>
        <w:rPr>
          <w:rFonts w:hint="eastAsia" w:ascii="仿宋" w:hAnsi="仿宋" w:eastAsia="仿宋"/>
          <w:color w:val="auto"/>
          <w:sz w:val="32"/>
          <w:szCs w:val="32"/>
          <w:lang w:val="en-US" w:eastAsia="zh-CN"/>
        </w:rPr>
        <w:t>1.90万元</w:t>
      </w:r>
      <w:r>
        <w:rPr>
          <w:rFonts w:hint="eastAsia" w:ascii="仿宋" w:hAnsi="仿宋" w:eastAsia="仿宋"/>
          <w:color w:val="auto"/>
          <w:sz w:val="32"/>
          <w:szCs w:val="32"/>
        </w:rPr>
        <w:t>、工会经费</w:t>
      </w:r>
      <w:r>
        <w:rPr>
          <w:rFonts w:hint="eastAsia" w:ascii="仿宋" w:hAnsi="仿宋" w:eastAsia="仿宋"/>
          <w:color w:val="auto"/>
          <w:sz w:val="32"/>
          <w:szCs w:val="32"/>
          <w:lang w:val="en-US" w:eastAsia="zh-CN"/>
        </w:rPr>
        <w:t>1万元</w:t>
      </w:r>
      <w:r>
        <w:rPr>
          <w:rFonts w:hint="eastAsia" w:ascii="仿宋" w:hAnsi="仿宋" w:eastAsia="仿宋"/>
          <w:color w:val="auto"/>
          <w:sz w:val="32"/>
          <w:szCs w:val="32"/>
        </w:rPr>
        <w:t>、公务用车运行维护费</w:t>
      </w:r>
      <w:r>
        <w:rPr>
          <w:rFonts w:hint="eastAsia" w:ascii="仿宋" w:hAnsi="仿宋" w:eastAsia="仿宋"/>
          <w:color w:val="auto"/>
          <w:sz w:val="32"/>
          <w:szCs w:val="32"/>
          <w:lang w:val="en-US" w:eastAsia="zh-CN"/>
        </w:rPr>
        <w:t>6.10万元</w:t>
      </w:r>
      <w:r>
        <w:rPr>
          <w:rFonts w:hint="eastAsia" w:ascii="仿宋" w:hAnsi="仿宋" w:eastAsia="仿宋"/>
          <w:color w:val="auto"/>
          <w:sz w:val="32"/>
          <w:szCs w:val="32"/>
        </w:rPr>
        <w:t>等。</w:t>
      </w:r>
    </w:p>
    <w:p>
      <w:pPr>
        <w:spacing w:line="600" w:lineRule="exact"/>
        <w:ind w:firstLine="640"/>
        <w:rPr>
          <w:rFonts w:ascii="仿宋" w:hAnsi="仿宋" w:eastAsia="仿宋"/>
          <w:b/>
          <w:color w:val="FF0000"/>
          <w:sz w:val="32"/>
          <w:szCs w:val="32"/>
        </w:rPr>
      </w:pPr>
    </w:p>
    <w:p>
      <w:pPr>
        <w:spacing w:line="600" w:lineRule="exact"/>
        <w:ind w:firstLine="640"/>
        <w:outlineLvl w:val="1"/>
        <w:rPr>
          <w:rStyle w:val="28"/>
          <w:rFonts w:ascii="黑体" w:hAnsi="黑体" w:eastAsia="黑体"/>
          <w:b w:val="0"/>
        </w:rPr>
      </w:pPr>
      <w:bookmarkStart w:id="46" w:name="_Toc15377215"/>
      <w:bookmarkStart w:id="47" w:name="_Toc15396609"/>
      <w:r>
        <w:rPr>
          <w:rFonts w:hint="eastAsia" w:ascii="黑体" w:eastAsia="黑体"/>
          <w:color w:val="000000"/>
          <w:sz w:val="32"/>
          <w:szCs w:val="32"/>
        </w:rPr>
        <w:t>七、</w:t>
      </w:r>
      <w:r>
        <w:rPr>
          <w:rStyle w:val="28"/>
          <w:rFonts w:hint="eastAsia" w:ascii="黑体" w:hAnsi="黑体" w:eastAsia="黑体"/>
        </w:rPr>
        <w:t>“</w:t>
      </w:r>
      <w:r>
        <w:rPr>
          <w:rStyle w:val="28"/>
          <w:rFonts w:hint="eastAsia" w:ascii="黑体" w:hAnsi="黑体" w:eastAsia="黑体"/>
          <w:b w:val="0"/>
        </w:rPr>
        <w:t>三公”经费财政拨款支出决算情况说明</w:t>
      </w:r>
      <w:bookmarkEnd w:id="46"/>
      <w:bookmarkEnd w:id="47"/>
    </w:p>
    <w:p>
      <w:pPr>
        <w:spacing w:line="600" w:lineRule="exact"/>
        <w:ind w:firstLine="640"/>
        <w:outlineLvl w:val="2"/>
        <w:rPr>
          <w:rFonts w:ascii="仿宋" w:hAnsi="仿宋" w:eastAsia="仿宋"/>
          <w:b/>
          <w:color w:val="000000"/>
          <w:sz w:val="32"/>
          <w:szCs w:val="32"/>
        </w:rPr>
      </w:pPr>
      <w:bookmarkStart w:id="48" w:name="_Toc15377216"/>
      <w:r>
        <w:rPr>
          <w:rFonts w:hint="eastAsia" w:ascii="仿宋" w:hAnsi="仿宋" w:eastAsia="仿宋"/>
          <w:b/>
          <w:color w:val="000000"/>
          <w:sz w:val="32"/>
          <w:szCs w:val="32"/>
        </w:rPr>
        <w:t>（一）“三公”经费财政拨款支出决算总体情况说明</w:t>
      </w:r>
      <w:bookmarkEnd w:id="48"/>
    </w:p>
    <w:p>
      <w:pPr>
        <w:spacing w:line="600" w:lineRule="exact"/>
        <w:ind w:firstLine="640"/>
        <w:rPr>
          <w:rFonts w:ascii="仿宋" w:hAnsi="仿宋" w:eastAsia="仿宋"/>
          <w:color w:val="000000"/>
          <w:sz w:val="32"/>
          <w:szCs w:val="32"/>
        </w:rPr>
      </w:pPr>
      <w:r>
        <w:rPr>
          <w:rFonts w:ascii="仿宋" w:hAnsi="仿宋" w:eastAsia="仿宋"/>
          <w:color w:val="000000"/>
          <w:sz w:val="32"/>
          <w:szCs w:val="32"/>
        </w:rPr>
        <w:t>201</w:t>
      </w:r>
      <w:r>
        <w:rPr>
          <w:rFonts w:hint="eastAsia" w:ascii="仿宋" w:hAnsi="仿宋" w:eastAsia="仿宋"/>
          <w:color w:val="000000"/>
          <w:sz w:val="32"/>
          <w:szCs w:val="32"/>
        </w:rPr>
        <w:t>8年“三公”经费财政拨款支出决算为</w:t>
      </w:r>
      <w:r>
        <w:rPr>
          <w:rFonts w:hint="eastAsia" w:ascii="仿宋" w:hAnsi="仿宋" w:eastAsia="仿宋"/>
          <w:color w:val="000000"/>
          <w:sz w:val="32"/>
          <w:szCs w:val="32"/>
          <w:lang w:val="en-US" w:eastAsia="zh-CN"/>
        </w:rPr>
        <w:t>6.55</w:t>
      </w:r>
      <w:r>
        <w:rPr>
          <w:rFonts w:hint="eastAsia" w:ascii="仿宋" w:hAnsi="仿宋" w:eastAsia="仿宋"/>
          <w:color w:val="000000"/>
          <w:sz w:val="32"/>
          <w:szCs w:val="32"/>
        </w:rPr>
        <w:t>万元，</w:t>
      </w:r>
      <w:r>
        <w:rPr>
          <w:rFonts w:hint="eastAsia" w:ascii="仿宋" w:hAnsi="仿宋" w:eastAsia="仿宋"/>
          <w:color w:val="000000"/>
          <w:sz w:val="32"/>
          <w:szCs w:val="32"/>
          <w:lang w:eastAsia="zh-CN"/>
        </w:rPr>
        <w:t>完成</w:t>
      </w:r>
      <w:r>
        <w:rPr>
          <w:rFonts w:hint="eastAsia" w:ascii="仿宋" w:hAnsi="仿宋" w:eastAsia="仿宋"/>
          <w:color w:val="000000"/>
          <w:sz w:val="32"/>
          <w:szCs w:val="32"/>
        </w:rPr>
        <w:t>预算</w:t>
      </w:r>
      <w:r>
        <w:rPr>
          <w:rFonts w:hint="eastAsia" w:ascii="仿宋" w:hAnsi="仿宋" w:eastAsia="仿宋"/>
          <w:color w:val="000000"/>
          <w:sz w:val="32"/>
          <w:szCs w:val="32"/>
          <w:lang w:val="en-US" w:eastAsia="zh-CN"/>
        </w:rPr>
        <w:t>数据的100</w:t>
      </w:r>
      <w:r>
        <w:rPr>
          <w:rFonts w:ascii="仿宋" w:hAnsi="仿宋" w:eastAsia="仿宋"/>
          <w:color w:val="000000"/>
          <w:sz w:val="32"/>
          <w:szCs w:val="32"/>
        </w:rPr>
        <w:t>%</w:t>
      </w:r>
      <w:r>
        <w:rPr>
          <w:rFonts w:hint="eastAsia" w:ascii="仿宋" w:hAnsi="仿宋" w:eastAsia="仿宋"/>
          <w:color w:val="000000"/>
          <w:sz w:val="32"/>
          <w:szCs w:val="32"/>
        </w:rPr>
        <w:t>。</w:t>
      </w:r>
    </w:p>
    <w:p>
      <w:pPr>
        <w:spacing w:line="600" w:lineRule="exact"/>
        <w:ind w:firstLine="640"/>
        <w:outlineLvl w:val="2"/>
        <w:rPr>
          <w:rFonts w:ascii="仿宋" w:hAnsi="仿宋" w:eastAsia="仿宋"/>
          <w:b/>
          <w:color w:val="auto"/>
          <w:sz w:val="32"/>
          <w:szCs w:val="32"/>
        </w:rPr>
      </w:pPr>
      <w:bookmarkStart w:id="49" w:name="_Toc15377217"/>
      <w:r>
        <w:rPr>
          <w:rFonts w:hint="eastAsia" w:ascii="仿宋" w:hAnsi="仿宋" w:eastAsia="仿宋"/>
          <w:b/>
          <w:color w:val="auto"/>
          <w:sz w:val="32"/>
          <w:szCs w:val="32"/>
        </w:rPr>
        <w:t>（二）“三公”经费财政拨款支出决算具体情况说明</w:t>
      </w:r>
      <w:bookmarkEnd w:id="49"/>
    </w:p>
    <w:p>
      <w:pPr>
        <w:spacing w:line="600" w:lineRule="exact"/>
        <w:ind w:firstLine="640"/>
        <w:rPr>
          <w:rFonts w:ascii="仿宋" w:hAnsi="仿宋" w:eastAsia="仿宋"/>
          <w:color w:val="auto"/>
          <w:sz w:val="32"/>
          <w:szCs w:val="32"/>
        </w:rPr>
      </w:pPr>
      <w:r>
        <w:rPr>
          <w:rFonts w:ascii="仿宋" w:hAnsi="仿宋" w:eastAsia="仿宋"/>
          <w:color w:val="auto"/>
          <w:sz w:val="32"/>
          <w:szCs w:val="32"/>
        </w:rPr>
        <w:t>201</w:t>
      </w:r>
      <w:r>
        <w:rPr>
          <w:rFonts w:hint="eastAsia" w:ascii="仿宋" w:hAnsi="仿宋" w:eastAsia="仿宋"/>
          <w:color w:val="auto"/>
          <w:sz w:val="32"/>
          <w:szCs w:val="32"/>
        </w:rPr>
        <w:t>8年“三公”经费财政拨款支出决算中，因公出国（境）费支出决算</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；公务用车购置及运行维护费支出决算</w:t>
      </w:r>
      <w:r>
        <w:rPr>
          <w:rFonts w:hint="eastAsia" w:ascii="仿宋" w:hAnsi="仿宋" w:eastAsia="仿宋"/>
          <w:color w:val="auto"/>
          <w:sz w:val="32"/>
          <w:szCs w:val="32"/>
          <w:lang w:val="en-US" w:eastAsia="zh-CN"/>
        </w:rPr>
        <w:t>6.10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93.13</w:t>
      </w:r>
      <w:r>
        <w:rPr>
          <w:rFonts w:ascii="仿宋" w:hAnsi="仿宋" w:eastAsia="仿宋"/>
          <w:color w:val="auto"/>
          <w:sz w:val="32"/>
          <w:szCs w:val="32"/>
        </w:rPr>
        <w:t>%</w:t>
      </w:r>
      <w:r>
        <w:rPr>
          <w:rFonts w:hint="eastAsia" w:ascii="仿宋" w:hAnsi="仿宋" w:eastAsia="仿宋"/>
          <w:color w:val="auto"/>
          <w:sz w:val="32"/>
          <w:szCs w:val="32"/>
        </w:rPr>
        <w:t>；公务接待费支出决算</w:t>
      </w:r>
      <w:r>
        <w:rPr>
          <w:rFonts w:hint="eastAsia" w:ascii="仿宋" w:hAnsi="仿宋" w:eastAsia="仿宋"/>
          <w:color w:val="auto"/>
          <w:sz w:val="32"/>
          <w:szCs w:val="32"/>
          <w:lang w:val="en-US" w:eastAsia="zh-CN"/>
        </w:rPr>
        <w:t>0.45</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6.87</w:t>
      </w:r>
      <w:r>
        <w:rPr>
          <w:rFonts w:ascii="仿宋" w:hAnsi="仿宋" w:eastAsia="仿宋"/>
          <w:color w:val="auto"/>
          <w:sz w:val="32"/>
          <w:szCs w:val="32"/>
        </w:rPr>
        <w:t>%</w:t>
      </w:r>
      <w:r>
        <w:rPr>
          <w:rFonts w:hint="eastAsia" w:ascii="仿宋" w:hAnsi="仿宋" w:eastAsia="仿宋"/>
          <w:color w:val="auto"/>
          <w:sz w:val="32"/>
          <w:szCs w:val="32"/>
        </w:rPr>
        <w:t>。具体情况如下：</w:t>
      </w:r>
    </w:p>
    <w:p>
      <w:pPr>
        <w:rPr>
          <w:rFonts w:hint="eastAsia" w:ascii="仿宋" w:hAnsi="仿宋" w:eastAsia="仿宋"/>
          <w:color w:val="000000"/>
          <w:sz w:val="32"/>
          <w:szCs w:val="32"/>
          <w:lang w:eastAsia="zh-CN"/>
        </w:rPr>
      </w:pPr>
      <w:r>
        <w:rPr>
          <w:rFonts w:hint="eastAsia" w:ascii="仿宋" w:hAnsi="仿宋" w:eastAsia="仿宋"/>
          <w:color w:val="000000"/>
          <w:sz w:val="32"/>
          <w:szCs w:val="32"/>
          <w:lang w:eastAsia="zh-CN"/>
        </w:rPr>
        <w:drawing>
          <wp:inline distT="0" distB="0" distL="114300" distR="114300">
            <wp:extent cx="5080000" cy="3810000"/>
            <wp:effectExtent l="4445" t="4445" r="20955" b="1460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600" w:lineRule="exact"/>
        <w:ind w:firstLine="640"/>
        <w:rPr>
          <w:rFonts w:ascii="仿宋" w:hAnsi="仿宋" w:eastAsia="仿宋"/>
          <w:color w:val="auto"/>
          <w:sz w:val="32"/>
          <w:szCs w:val="32"/>
        </w:rPr>
      </w:pPr>
      <w:r>
        <w:rPr>
          <w:rFonts w:hint="eastAsia" w:ascii="仿宋" w:hAnsi="仿宋" w:eastAsia="仿宋"/>
          <w:color w:val="auto"/>
          <w:sz w:val="32"/>
          <w:szCs w:val="32"/>
        </w:rPr>
        <w:t>（图</w:t>
      </w:r>
      <w:r>
        <w:rPr>
          <w:rFonts w:hint="eastAsia" w:ascii="仿宋" w:hAnsi="仿宋" w:eastAsia="仿宋"/>
          <w:color w:val="auto"/>
          <w:sz w:val="32"/>
          <w:szCs w:val="32"/>
          <w:lang w:val="en-US" w:eastAsia="zh-CN"/>
        </w:rPr>
        <w:t>7</w:t>
      </w:r>
      <w:r>
        <w:rPr>
          <w:rFonts w:hint="eastAsia" w:ascii="仿宋" w:hAnsi="仿宋" w:eastAsia="仿宋"/>
          <w:color w:val="auto"/>
          <w:sz w:val="32"/>
          <w:szCs w:val="32"/>
        </w:rPr>
        <w:t>：“三公”经费财政拨款支出结构）（饼状图）</w:t>
      </w:r>
    </w:p>
    <w:p>
      <w:pPr>
        <w:spacing w:line="600" w:lineRule="exact"/>
        <w:ind w:firstLine="640"/>
        <w:rPr>
          <w:rFonts w:ascii="仿宋_GB2312" w:eastAsia="仿宋_GB2312"/>
          <w:b/>
          <w:color w:val="auto"/>
          <w:sz w:val="32"/>
          <w:szCs w:val="32"/>
        </w:rPr>
      </w:pPr>
      <w:r>
        <w:rPr>
          <w:rFonts w:ascii="仿宋_GB2312" w:eastAsia="仿宋_GB2312"/>
          <w:b/>
          <w:color w:val="auto"/>
          <w:sz w:val="32"/>
          <w:szCs w:val="32"/>
        </w:rPr>
        <w:t>1.</w:t>
      </w:r>
      <w:r>
        <w:rPr>
          <w:rFonts w:hint="eastAsia" w:ascii="仿宋_GB2312" w:eastAsia="仿宋_GB2312"/>
          <w:b/>
          <w:color w:val="auto"/>
          <w:sz w:val="32"/>
          <w:szCs w:val="32"/>
        </w:rPr>
        <w:t>因公出国（境）经费支出</w:t>
      </w:r>
      <w:r>
        <w:rPr>
          <w:rFonts w:hint="eastAsia" w:ascii="仿宋_GB2312" w:eastAsia="仿宋_GB2312"/>
          <w:b/>
          <w:color w:val="auto"/>
          <w:sz w:val="32"/>
          <w:szCs w:val="32"/>
          <w:lang w:val="en-US" w:eastAsia="zh-CN"/>
        </w:rPr>
        <w:t>0</w:t>
      </w:r>
      <w:r>
        <w:rPr>
          <w:rFonts w:hint="eastAsia" w:ascii="仿宋_GB2312" w:eastAsia="仿宋_GB2312"/>
          <w:color w:val="auto"/>
          <w:sz w:val="32"/>
          <w:szCs w:val="32"/>
        </w:rPr>
        <w:t>万元，</w:t>
      </w:r>
      <w:r>
        <w:rPr>
          <w:rStyle w:val="16"/>
          <w:rFonts w:hint="eastAsia" w:ascii="仿宋" w:hAnsi="仿宋" w:eastAsia="仿宋"/>
          <w:b w:val="0"/>
          <w:bCs/>
          <w:color w:val="auto"/>
          <w:sz w:val="32"/>
          <w:szCs w:val="32"/>
        </w:rPr>
        <w:t>完成预算</w:t>
      </w:r>
      <w:r>
        <w:rPr>
          <w:rStyle w:val="16"/>
          <w:rFonts w:hint="eastAsia" w:ascii="仿宋" w:hAnsi="仿宋" w:eastAsia="仿宋"/>
          <w:b w:val="0"/>
          <w:bCs/>
          <w:color w:val="auto"/>
          <w:sz w:val="32"/>
          <w:szCs w:val="32"/>
          <w:lang w:val="en-US" w:eastAsia="zh-CN"/>
        </w:rPr>
        <w:t>0</w:t>
      </w:r>
      <w:r>
        <w:rPr>
          <w:rStyle w:val="16"/>
          <w:rFonts w:ascii="仿宋" w:hAnsi="仿宋" w:eastAsia="仿宋"/>
          <w:b w:val="0"/>
          <w:bCs/>
          <w:color w:val="auto"/>
          <w:sz w:val="32"/>
          <w:szCs w:val="32"/>
        </w:rPr>
        <w:t>%</w:t>
      </w:r>
      <w:r>
        <w:rPr>
          <w:rStyle w:val="16"/>
          <w:rFonts w:hint="eastAsia" w:ascii="仿宋" w:hAnsi="仿宋" w:eastAsia="仿宋"/>
          <w:b w:val="0"/>
          <w:bCs/>
          <w:color w:val="auto"/>
          <w:sz w:val="32"/>
          <w:szCs w:val="32"/>
        </w:rPr>
        <w:t>。</w:t>
      </w:r>
      <w:r>
        <w:rPr>
          <w:rFonts w:hint="eastAsia" w:ascii="仿宋_GB2312" w:eastAsia="仿宋_GB2312"/>
          <w:color w:val="auto"/>
          <w:sz w:val="32"/>
          <w:szCs w:val="32"/>
        </w:rPr>
        <w:t>全年安排因公出国（境）团组</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次，出国（境）</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人。</w:t>
      </w:r>
      <w:r>
        <w:rPr>
          <w:rFonts w:hint="eastAsia" w:ascii="仿宋_GB2312" w:eastAsia="仿宋_GB2312"/>
          <w:color w:val="auto"/>
          <w:sz w:val="32"/>
          <w:szCs w:val="32"/>
          <w:lang w:eastAsia="zh-CN"/>
        </w:rPr>
        <w:t>与上年持平</w:t>
      </w:r>
      <w:r>
        <w:rPr>
          <w:rFonts w:hint="eastAsia" w:ascii="仿宋_GB2312" w:eastAsia="仿宋_GB2312"/>
          <w:color w:val="auto"/>
          <w:sz w:val="32"/>
          <w:szCs w:val="32"/>
        </w:rPr>
        <w:t>。主要原因</w:t>
      </w:r>
      <w:r>
        <w:rPr>
          <w:rFonts w:hint="eastAsia" w:ascii="仿宋_GB2312" w:eastAsia="仿宋_GB2312"/>
          <w:color w:val="auto"/>
          <w:sz w:val="32"/>
          <w:szCs w:val="32"/>
          <w:lang w:val="en-US" w:eastAsia="zh-CN"/>
        </w:rPr>
        <w:t>没有该项经费支出</w:t>
      </w:r>
      <w:r>
        <w:rPr>
          <w:rFonts w:hint="eastAsia" w:ascii="仿宋_GB2312" w:eastAsia="仿宋_GB2312"/>
          <w:color w:val="auto"/>
          <w:sz w:val="32"/>
          <w:szCs w:val="32"/>
        </w:rPr>
        <w:t>。</w:t>
      </w:r>
    </w:p>
    <w:p>
      <w:pPr>
        <w:spacing w:line="600" w:lineRule="exact"/>
        <w:ind w:firstLine="640"/>
        <w:rPr>
          <w:rFonts w:hint="eastAsia" w:ascii="仿宋_GB2312" w:eastAsia="仿宋_GB2312"/>
          <w:color w:val="auto"/>
          <w:sz w:val="32"/>
          <w:szCs w:val="32"/>
          <w:lang w:val="en-US" w:eastAsia="zh-CN"/>
        </w:rPr>
      </w:pPr>
      <w:r>
        <w:rPr>
          <w:rFonts w:hint="eastAsia" w:ascii="仿宋_GB2312" w:eastAsia="仿宋_GB2312"/>
          <w:color w:val="auto"/>
          <w:sz w:val="32"/>
          <w:szCs w:val="32"/>
        </w:rPr>
        <w:t>开支内容包括</w:t>
      </w:r>
      <w:r>
        <w:rPr>
          <w:rFonts w:hint="eastAsia" w:ascii="仿宋_GB2312" w:eastAsia="仿宋_GB2312"/>
          <w:color w:val="auto"/>
          <w:sz w:val="32"/>
          <w:szCs w:val="32"/>
          <w:lang w:eastAsia="zh-CN"/>
        </w:rPr>
        <w:t>：</w:t>
      </w:r>
      <w:r>
        <w:rPr>
          <w:rFonts w:hint="eastAsia" w:ascii="仿宋_GB2312" w:eastAsia="仿宋_GB2312"/>
          <w:color w:val="auto"/>
          <w:sz w:val="32"/>
          <w:szCs w:val="32"/>
          <w:lang w:val="en-US" w:eastAsia="zh-CN"/>
        </w:rPr>
        <w:t>无。</w:t>
      </w:r>
    </w:p>
    <w:p>
      <w:pPr>
        <w:spacing w:line="600" w:lineRule="exact"/>
        <w:ind w:firstLine="640"/>
        <w:rPr>
          <w:rFonts w:ascii="仿宋_GB2312" w:eastAsia="仿宋_GB2312"/>
          <w:b/>
          <w:color w:val="auto"/>
          <w:sz w:val="32"/>
          <w:szCs w:val="32"/>
        </w:rPr>
      </w:pPr>
      <w:r>
        <w:rPr>
          <w:rFonts w:ascii="仿宋_GB2312" w:eastAsia="仿宋_GB2312"/>
          <w:b/>
          <w:color w:val="auto"/>
          <w:sz w:val="32"/>
          <w:szCs w:val="32"/>
        </w:rPr>
        <w:t>2.</w:t>
      </w:r>
      <w:r>
        <w:rPr>
          <w:rFonts w:hint="eastAsia" w:ascii="仿宋_GB2312" w:eastAsia="仿宋_GB2312"/>
          <w:b/>
          <w:color w:val="auto"/>
          <w:sz w:val="32"/>
          <w:szCs w:val="32"/>
        </w:rPr>
        <w:t>公务用车购置及运行维护费支出</w:t>
      </w:r>
      <w:r>
        <w:rPr>
          <w:rFonts w:hint="eastAsia" w:ascii="仿宋_GB2312" w:eastAsia="仿宋_GB2312"/>
          <w:b/>
          <w:color w:val="auto"/>
          <w:sz w:val="32"/>
          <w:szCs w:val="32"/>
          <w:lang w:val="en-US" w:eastAsia="zh-CN"/>
        </w:rPr>
        <w:t>6.1</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超出</w:t>
      </w:r>
      <w:r>
        <w:rPr>
          <w:rStyle w:val="16"/>
          <w:rFonts w:hint="eastAsia" w:ascii="仿宋" w:hAnsi="仿宋" w:eastAsia="仿宋"/>
          <w:b w:val="0"/>
          <w:bCs/>
          <w:color w:val="auto"/>
          <w:sz w:val="32"/>
          <w:szCs w:val="32"/>
        </w:rPr>
        <w:t>预算</w:t>
      </w:r>
      <w:r>
        <w:rPr>
          <w:rStyle w:val="16"/>
          <w:rFonts w:hint="eastAsia" w:ascii="仿宋" w:hAnsi="仿宋" w:eastAsia="仿宋"/>
          <w:b w:val="0"/>
          <w:bCs/>
          <w:color w:val="auto"/>
          <w:sz w:val="32"/>
          <w:szCs w:val="32"/>
          <w:lang w:val="en-US" w:eastAsia="zh-CN"/>
        </w:rPr>
        <w:t>18.97</w:t>
      </w:r>
      <w:r>
        <w:rPr>
          <w:rStyle w:val="16"/>
          <w:rFonts w:ascii="仿宋" w:hAnsi="仿宋" w:eastAsia="仿宋"/>
          <w:b w:val="0"/>
          <w:bCs/>
          <w:color w:val="auto"/>
          <w:sz w:val="32"/>
          <w:szCs w:val="32"/>
        </w:rPr>
        <w:t>%</w:t>
      </w:r>
      <w:r>
        <w:rPr>
          <w:rStyle w:val="16"/>
          <w:rFonts w:hint="eastAsia" w:ascii="仿宋" w:hAnsi="仿宋" w:eastAsia="仿宋"/>
          <w:b w:val="0"/>
          <w:bCs/>
          <w:color w:val="auto"/>
          <w:sz w:val="32"/>
          <w:szCs w:val="32"/>
        </w:rPr>
        <w:t>。</w:t>
      </w:r>
      <w:r>
        <w:rPr>
          <w:rFonts w:hint="eastAsia" w:ascii="仿宋_GB2312" w:eastAsia="仿宋_GB2312"/>
          <w:color w:val="auto"/>
          <w:sz w:val="32"/>
          <w:szCs w:val="32"/>
        </w:rPr>
        <w:t>公务用车购置及运行维护费支出决算比</w:t>
      </w:r>
      <w:r>
        <w:rPr>
          <w:rFonts w:ascii="仿宋_GB2312" w:eastAsia="仿宋_GB2312"/>
          <w:color w:val="auto"/>
          <w:sz w:val="32"/>
          <w:szCs w:val="32"/>
        </w:rPr>
        <w:t>201</w:t>
      </w:r>
      <w:r>
        <w:rPr>
          <w:rFonts w:hint="eastAsia" w:ascii="仿宋_GB2312" w:eastAsia="仿宋_GB2312"/>
          <w:color w:val="auto"/>
          <w:sz w:val="32"/>
          <w:szCs w:val="32"/>
        </w:rPr>
        <w:t>7年增加</w:t>
      </w:r>
      <w:r>
        <w:rPr>
          <w:rFonts w:hint="eastAsia" w:ascii="仿宋_GB2312" w:eastAsia="仿宋_GB2312"/>
          <w:color w:val="auto"/>
          <w:sz w:val="32"/>
          <w:szCs w:val="32"/>
          <w:lang w:val="en-US" w:eastAsia="zh-CN"/>
        </w:rPr>
        <w:t>1.5</w:t>
      </w:r>
      <w:r>
        <w:rPr>
          <w:rFonts w:hint="eastAsia" w:ascii="仿宋_GB2312" w:eastAsia="仿宋_GB2312"/>
          <w:color w:val="auto"/>
          <w:sz w:val="32"/>
          <w:szCs w:val="32"/>
        </w:rPr>
        <w:t>万元，增长</w:t>
      </w:r>
      <w:r>
        <w:rPr>
          <w:rFonts w:hint="eastAsia" w:ascii="仿宋_GB2312" w:eastAsia="仿宋_GB2312"/>
          <w:color w:val="auto"/>
          <w:sz w:val="32"/>
          <w:szCs w:val="32"/>
          <w:lang w:val="en-US" w:eastAsia="zh-CN"/>
        </w:rPr>
        <w:t>24.59</w:t>
      </w:r>
      <w:r>
        <w:rPr>
          <w:rFonts w:ascii="仿宋_GB2312" w:eastAsia="仿宋_GB2312"/>
          <w:color w:val="auto"/>
          <w:sz w:val="32"/>
          <w:szCs w:val="32"/>
        </w:rPr>
        <w:t>%</w:t>
      </w:r>
      <w:r>
        <w:rPr>
          <w:rFonts w:hint="eastAsia" w:ascii="仿宋_GB2312" w:eastAsia="仿宋_GB2312"/>
          <w:color w:val="auto"/>
          <w:sz w:val="32"/>
          <w:szCs w:val="32"/>
        </w:rPr>
        <w:t>。主要原因</w:t>
      </w:r>
      <w:r>
        <w:rPr>
          <w:rFonts w:hint="eastAsia" w:ascii="仿宋_GB2312" w:eastAsia="仿宋_GB2312"/>
          <w:color w:val="auto"/>
          <w:sz w:val="32"/>
          <w:szCs w:val="32"/>
          <w:lang w:val="en-US" w:eastAsia="zh-CN"/>
        </w:rPr>
        <w:t>是乡领导、干部上县办事、培训或下村入户等工作</w:t>
      </w:r>
      <w:r>
        <w:rPr>
          <w:rFonts w:hint="eastAsia" w:ascii="仿宋_GB2312" w:eastAsia="仿宋_GB2312"/>
          <w:color w:val="auto"/>
          <w:sz w:val="32"/>
          <w:szCs w:val="32"/>
        </w:rPr>
        <w:t>。</w:t>
      </w:r>
    </w:p>
    <w:p>
      <w:pPr>
        <w:spacing w:line="600" w:lineRule="exact"/>
        <w:ind w:firstLine="640" w:firstLineChars="200"/>
        <w:rPr>
          <w:rFonts w:ascii="仿宋_GB2312" w:eastAsia="仿宋_GB2312"/>
          <w:b/>
          <w:color w:val="auto"/>
          <w:sz w:val="32"/>
          <w:szCs w:val="32"/>
        </w:rPr>
      </w:pPr>
      <w:r>
        <w:rPr>
          <w:rFonts w:hint="eastAsia" w:ascii="仿宋_GB2312" w:eastAsia="仿宋_GB2312"/>
          <w:color w:val="auto"/>
          <w:sz w:val="32"/>
          <w:szCs w:val="32"/>
        </w:rPr>
        <w:t>其中：</w:t>
      </w:r>
      <w:r>
        <w:rPr>
          <w:rFonts w:hint="eastAsia" w:ascii="仿宋_GB2312" w:eastAsia="仿宋_GB2312"/>
          <w:b/>
          <w:color w:val="auto"/>
          <w:sz w:val="32"/>
          <w:szCs w:val="32"/>
        </w:rPr>
        <w:t>公务用车购置支出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万元。全年按规定更新购置公务用车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辆，其中：轿车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辆、金额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万元，越野车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辆、金额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万元，载客汽车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辆、金额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未购置新车</w:t>
      </w:r>
      <w:r>
        <w:rPr>
          <w:rFonts w:hint="eastAsia" w:ascii="仿宋_GB2312" w:eastAsia="仿宋_GB2312"/>
          <w:color w:val="auto"/>
          <w:sz w:val="32"/>
          <w:szCs w:val="32"/>
        </w:rPr>
        <w:t>。截至</w:t>
      </w:r>
      <w:r>
        <w:rPr>
          <w:rFonts w:ascii="仿宋_GB2312" w:eastAsia="仿宋_GB2312"/>
          <w:color w:val="auto"/>
          <w:sz w:val="32"/>
          <w:szCs w:val="32"/>
        </w:rPr>
        <w:t>201</w:t>
      </w:r>
      <w:r>
        <w:rPr>
          <w:rFonts w:hint="eastAsia" w:ascii="仿宋_GB2312" w:eastAsia="仿宋_GB2312"/>
          <w:color w:val="auto"/>
          <w:sz w:val="32"/>
          <w:szCs w:val="32"/>
        </w:rPr>
        <w:t>8年</w:t>
      </w:r>
      <w:r>
        <w:rPr>
          <w:rFonts w:ascii="仿宋_GB2312" w:eastAsia="仿宋_GB2312"/>
          <w:color w:val="auto"/>
          <w:sz w:val="32"/>
          <w:szCs w:val="32"/>
        </w:rPr>
        <w:t>12</w:t>
      </w:r>
      <w:r>
        <w:rPr>
          <w:rFonts w:hint="eastAsia" w:ascii="仿宋_GB2312" w:eastAsia="仿宋_GB2312"/>
          <w:color w:val="auto"/>
          <w:sz w:val="32"/>
          <w:szCs w:val="32"/>
        </w:rPr>
        <w:t>月底，单位共有公务用车</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辆，其中：轿车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辆、越野车</w:t>
      </w:r>
      <w:r>
        <w:rPr>
          <w:rFonts w:hint="eastAsia" w:ascii="仿宋_GB2312" w:eastAsia="仿宋_GB2312"/>
          <w:color w:val="auto"/>
          <w:sz w:val="32"/>
          <w:szCs w:val="32"/>
          <w:lang w:val="en-US" w:eastAsia="zh-CN"/>
        </w:rPr>
        <w:t>2</w:t>
      </w:r>
      <w:r>
        <w:rPr>
          <w:rFonts w:hint="eastAsia" w:ascii="仿宋_GB2312" w:eastAsia="仿宋_GB2312"/>
          <w:color w:val="auto"/>
          <w:sz w:val="32"/>
          <w:szCs w:val="32"/>
        </w:rPr>
        <w:t>辆、载客汽车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w:t>
      </w:r>
    </w:p>
    <w:p>
      <w:pPr>
        <w:spacing w:line="600" w:lineRule="exact"/>
        <w:ind w:firstLine="640"/>
        <w:rPr>
          <w:rFonts w:ascii="仿宋_GB2312" w:eastAsia="仿宋_GB2312"/>
          <w:color w:val="auto"/>
          <w:sz w:val="32"/>
          <w:szCs w:val="32"/>
        </w:rPr>
      </w:pPr>
      <w:r>
        <w:rPr>
          <w:rFonts w:hint="eastAsia" w:ascii="仿宋_GB2312" w:eastAsia="仿宋_GB2312"/>
          <w:b/>
          <w:color w:val="auto"/>
          <w:sz w:val="32"/>
          <w:szCs w:val="32"/>
        </w:rPr>
        <w:t>公务用车运行维护费支出</w:t>
      </w:r>
      <w:r>
        <w:rPr>
          <w:rFonts w:hint="eastAsia" w:ascii="仿宋_GB2312" w:eastAsia="仿宋_GB2312"/>
          <w:color w:val="auto"/>
          <w:sz w:val="32"/>
          <w:szCs w:val="32"/>
          <w:lang w:val="en-US" w:eastAsia="zh-CN"/>
        </w:rPr>
        <w:t>6.1</w:t>
      </w:r>
      <w:r>
        <w:rPr>
          <w:rFonts w:hint="eastAsia" w:ascii="仿宋_GB2312" w:eastAsia="仿宋_GB2312"/>
          <w:color w:val="auto"/>
          <w:sz w:val="32"/>
          <w:szCs w:val="32"/>
        </w:rPr>
        <w:t>万元。主要用</w:t>
      </w:r>
      <w:r>
        <w:rPr>
          <w:rFonts w:hint="eastAsia" w:ascii="仿宋_GB2312" w:eastAsia="仿宋_GB2312"/>
          <w:color w:val="auto"/>
          <w:sz w:val="32"/>
          <w:szCs w:val="32"/>
          <w:lang w:val="en-US" w:eastAsia="zh-CN"/>
        </w:rPr>
        <w:t>于乡领导、干部上县办事、培训或下村入户等工作</w:t>
      </w:r>
      <w:r>
        <w:rPr>
          <w:rFonts w:hint="eastAsia" w:ascii="仿宋_GB2312" w:eastAsia="仿宋_GB2312"/>
          <w:color w:val="auto"/>
          <w:sz w:val="32"/>
          <w:szCs w:val="32"/>
        </w:rPr>
        <w:t>等所需的公务用车燃料费、维修费、过路过桥费、保险费等支出。</w:t>
      </w:r>
    </w:p>
    <w:p>
      <w:pPr>
        <w:spacing w:line="600" w:lineRule="exact"/>
        <w:ind w:firstLine="640"/>
        <w:rPr>
          <w:rFonts w:ascii="仿宋_GB2312" w:eastAsia="仿宋_GB2312"/>
          <w:color w:val="1F497D" w:themeColor="text2"/>
          <w:sz w:val="32"/>
          <w:szCs w:val="32"/>
          <w14:textFill>
            <w14:gradFill>
              <w14:gsLst>
                <w14:gs w14:pos="0">
                  <w14:srgbClr w14:val="007BD3"/>
                </w14:gs>
                <w14:gs w14:pos="100000">
                  <w14:srgbClr w14:val="034373"/>
                </w14:gs>
              </w14:gsLst>
              <w14:lin w14:scaled="0"/>
            </w14:gradFill>
          </w14:textFill>
        </w:rPr>
      </w:pPr>
      <w:r>
        <w:rPr>
          <w:rFonts w:ascii="仿宋_GB2312" w:eastAsia="仿宋_GB2312"/>
          <w:b/>
          <w:color w:val="000000"/>
          <w:sz w:val="32"/>
          <w:szCs w:val="32"/>
        </w:rPr>
        <w:t>3.</w:t>
      </w:r>
      <w:r>
        <w:rPr>
          <w:rFonts w:hint="eastAsia" w:ascii="仿宋_GB2312" w:eastAsia="仿宋_GB2312"/>
          <w:b/>
          <w:color w:val="000000"/>
          <w:sz w:val="32"/>
          <w:szCs w:val="32"/>
        </w:rPr>
        <w:t>公务接待费支出</w:t>
      </w:r>
      <w:r>
        <w:rPr>
          <w:rFonts w:hint="eastAsia" w:ascii="仿宋_GB2312" w:eastAsia="仿宋_GB2312"/>
          <w:b/>
          <w:color w:val="000000"/>
          <w:sz w:val="32"/>
          <w:szCs w:val="32"/>
          <w:lang w:val="en-US" w:eastAsia="zh-CN"/>
        </w:rPr>
        <w:t>0.45</w:t>
      </w:r>
      <w:r>
        <w:rPr>
          <w:rFonts w:hint="eastAsia" w:ascii="仿宋_GB2312" w:eastAsia="仿宋_GB2312"/>
          <w:color w:val="000000"/>
          <w:sz w:val="32"/>
          <w:szCs w:val="32"/>
        </w:rPr>
        <w:t>万元，</w:t>
      </w:r>
      <w:r>
        <w:rPr>
          <w:rStyle w:val="16"/>
          <w:rFonts w:hint="eastAsia" w:ascii="仿宋" w:hAnsi="仿宋" w:eastAsia="仿宋"/>
          <w:b w:val="0"/>
          <w:bCs/>
          <w:color w:val="000000"/>
          <w:sz w:val="32"/>
          <w:szCs w:val="32"/>
        </w:rPr>
        <w:t>完成预算</w:t>
      </w:r>
      <w:r>
        <w:rPr>
          <w:rStyle w:val="16"/>
          <w:rFonts w:hint="eastAsia" w:ascii="仿宋" w:hAnsi="仿宋" w:eastAsia="仿宋"/>
          <w:b w:val="0"/>
          <w:bCs/>
          <w:color w:val="000000"/>
          <w:sz w:val="32"/>
          <w:szCs w:val="32"/>
          <w:lang w:val="en-US" w:eastAsia="zh-CN"/>
        </w:rPr>
        <w:t>100</w:t>
      </w:r>
      <w:r>
        <w:rPr>
          <w:rStyle w:val="16"/>
          <w:rFonts w:ascii="仿宋" w:hAnsi="仿宋" w:eastAsia="仿宋"/>
          <w:b w:val="0"/>
          <w:bCs/>
          <w:color w:val="000000"/>
          <w:sz w:val="32"/>
          <w:szCs w:val="32"/>
        </w:rPr>
        <w:t>%</w:t>
      </w:r>
      <w:r>
        <w:rPr>
          <w:rStyle w:val="16"/>
          <w:rFonts w:hint="eastAsia" w:ascii="仿宋" w:hAnsi="仿宋" w:eastAsia="仿宋"/>
          <w:b w:val="0"/>
          <w:bCs/>
          <w:color w:val="000000"/>
          <w:sz w:val="32"/>
          <w:szCs w:val="32"/>
        </w:rPr>
        <w:t>。</w:t>
      </w:r>
      <w:r>
        <w:rPr>
          <w:rFonts w:hint="eastAsia" w:ascii="仿宋_GB2312" w:eastAsia="仿宋_GB2312"/>
          <w:color w:val="000000"/>
          <w:sz w:val="32"/>
          <w:szCs w:val="32"/>
        </w:rPr>
        <w:t>公务接待费支出决算比</w:t>
      </w:r>
      <w:r>
        <w:rPr>
          <w:rFonts w:ascii="仿宋_GB2312" w:eastAsia="仿宋_GB2312"/>
          <w:color w:val="000000"/>
          <w:sz w:val="32"/>
          <w:szCs w:val="32"/>
        </w:rPr>
        <w:t>201</w:t>
      </w:r>
      <w:r>
        <w:rPr>
          <w:rFonts w:hint="eastAsia" w:ascii="仿宋_GB2312" w:eastAsia="仿宋_GB2312"/>
          <w:color w:val="000000"/>
          <w:sz w:val="32"/>
          <w:szCs w:val="32"/>
        </w:rPr>
        <w:t>7年减少</w:t>
      </w:r>
      <w:r>
        <w:rPr>
          <w:rFonts w:hint="eastAsia" w:ascii="仿宋_GB2312" w:eastAsia="仿宋_GB2312"/>
          <w:color w:val="000000"/>
          <w:sz w:val="32"/>
          <w:szCs w:val="32"/>
          <w:lang w:val="en-US" w:eastAsia="zh-CN"/>
        </w:rPr>
        <w:t>0.11</w:t>
      </w:r>
      <w:r>
        <w:rPr>
          <w:rFonts w:hint="eastAsia" w:ascii="仿宋_GB2312" w:eastAsia="仿宋_GB2312"/>
          <w:color w:val="000000"/>
          <w:sz w:val="32"/>
          <w:szCs w:val="32"/>
        </w:rPr>
        <w:t>万元，下降</w:t>
      </w:r>
      <w:r>
        <w:rPr>
          <w:rFonts w:hint="eastAsia" w:ascii="仿宋_GB2312" w:eastAsia="仿宋_GB2312"/>
          <w:color w:val="000000"/>
          <w:sz w:val="32"/>
          <w:szCs w:val="32"/>
          <w:lang w:val="en-US" w:eastAsia="zh-CN"/>
        </w:rPr>
        <w:t>24.44</w:t>
      </w:r>
      <w:r>
        <w:rPr>
          <w:rFonts w:ascii="仿宋_GB2312" w:eastAsia="仿宋_GB2312"/>
          <w:color w:val="000000"/>
          <w:sz w:val="32"/>
          <w:szCs w:val="32"/>
        </w:rPr>
        <w:t>%</w:t>
      </w:r>
      <w:r>
        <w:rPr>
          <w:rFonts w:hint="eastAsia" w:ascii="仿宋_GB2312" w:eastAsia="仿宋_GB2312"/>
          <w:color w:val="000000"/>
          <w:sz w:val="32"/>
          <w:szCs w:val="32"/>
        </w:rPr>
        <w:t>。主要原因</w:t>
      </w:r>
      <w:r>
        <w:rPr>
          <w:rFonts w:hint="eastAsia" w:ascii="仿宋_GB2312" w:eastAsia="仿宋_GB2312"/>
          <w:color w:val="000000"/>
          <w:sz w:val="32"/>
          <w:szCs w:val="32"/>
          <w:lang w:val="en-US" w:eastAsia="zh-CN"/>
        </w:rPr>
        <w:t>厉行节约</w:t>
      </w:r>
      <w:r>
        <w:rPr>
          <w:rFonts w:hint="eastAsia" w:ascii="仿宋_GB2312" w:eastAsia="仿宋_GB2312"/>
          <w:color w:val="000000"/>
          <w:sz w:val="32"/>
          <w:szCs w:val="32"/>
        </w:rPr>
        <w:t>。</w:t>
      </w:r>
    </w:p>
    <w:p>
      <w:pPr>
        <w:spacing w:line="60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主要用于执行公务、开展业务活动开支的交通费、住宿费、用餐费等。国内公务接待</w:t>
      </w:r>
      <w:r>
        <w:rPr>
          <w:rFonts w:hint="eastAsia" w:ascii="仿宋_GB2312" w:eastAsia="仿宋_GB2312"/>
          <w:color w:val="auto"/>
          <w:sz w:val="32"/>
          <w:szCs w:val="32"/>
          <w:lang w:val="en-US" w:eastAsia="zh-CN"/>
        </w:rPr>
        <w:t>5</w:t>
      </w:r>
      <w:r>
        <w:rPr>
          <w:rFonts w:hint="eastAsia" w:ascii="仿宋_GB2312" w:eastAsia="仿宋_GB2312"/>
          <w:color w:val="auto"/>
          <w:sz w:val="32"/>
          <w:szCs w:val="32"/>
        </w:rPr>
        <w:t>批次，</w:t>
      </w:r>
      <w:r>
        <w:rPr>
          <w:rFonts w:hint="eastAsia" w:ascii="仿宋_GB2312" w:eastAsia="仿宋_GB2312"/>
          <w:color w:val="auto"/>
          <w:sz w:val="32"/>
          <w:szCs w:val="32"/>
          <w:lang w:val="en-US" w:eastAsia="zh-CN"/>
        </w:rPr>
        <w:t>87</w:t>
      </w:r>
      <w:r>
        <w:rPr>
          <w:rFonts w:hint="eastAsia" w:ascii="仿宋_GB2312" w:eastAsia="仿宋_GB2312"/>
          <w:color w:val="auto"/>
          <w:sz w:val="32"/>
          <w:szCs w:val="32"/>
        </w:rPr>
        <w:t>人次，共计支出</w:t>
      </w:r>
      <w:r>
        <w:rPr>
          <w:rFonts w:hint="eastAsia" w:ascii="仿宋_GB2312" w:eastAsia="仿宋_GB2312"/>
          <w:color w:val="auto"/>
          <w:sz w:val="32"/>
          <w:szCs w:val="32"/>
          <w:lang w:val="en-US" w:eastAsia="zh-CN"/>
        </w:rPr>
        <w:t>0.45</w:t>
      </w:r>
      <w:r>
        <w:rPr>
          <w:rFonts w:hint="eastAsia" w:ascii="仿宋_GB2312" w:eastAsia="仿宋_GB2312"/>
          <w:color w:val="auto"/>
          <w:sz w:val="32"/>
          <w:szCs w:val="32"/>
        </w:rPr>
        <w:t>万元，具体内容包括：</w:t>
      </w:r>
      <w:r>
        <w:rPr>
          <w:rFonts w:hint="eastAsia" w:ascii="仿宋_GB2312" w:eastAsia="仿宋_GB2312"/>
          <w:color w:val="auto"/>
          <w:sz w:val="32"/>
          <w:szCs w:val="32"/>
          <w:lang w:val="en-US" w:eastAsia="zh-CN"/>
        </w:rPr>
        <w:t>省、州、县各级部门到我乡检查脱贫攻坚工作</w:t>
      </w:r>
      <w:r>
        <w:rPr>
          <w:rFonts w:hint="eastAsia" w:ascii="仿宋_GB2312" w:eastAsia="仿宋_GB2312"/>
          <w:color w:val="auto"/>
          <w:sz w:val="32"/>
          <w:szCs w:val="32"/>
        </w:rPr>
        <w:t>。其中：</w:t>
      </w:r>
    </w:p>
    <w:p>
      <w:pPr>
        <w:spacing w:line="600" w:lineRule="exact"/>
        <w:ind w:firstLine="643" w:firstLineChars="200"/>
        <w:rPr>
          <w:rFonts w:ascii="仿宋_GB2312" w:eastAsia="仿宋_GB2312"/>
          <w:color w:val="auto"/>
          <w:sz w:val="32"/>
          <w:szCs w:val="32"/>
        </w:rPr>
      </w:pPr>
      <w:r>
        <w:rPr>
          <w:rFonts w:hint="eastAsia" w:ascii="仿宋" w:hAnsi="仿宋" w:eastAsia="仿宋"/>
          <w:b/>
          <w:color w:val="auto"/>
          <w:sz w:val="32"/>
          <w:szCs w:val="32"/>
        </w:rPr>
        <w:t>外事接待支出</w:t>
      </w:r>
      <w:r>
        <w:rPr>
          <w:rFonts w:hint="eastAsia" w:ascii="仿宋" w:hAnsi="仿宋" w:eastAsia="仿宋"/>
          <w:color w:val="auto"/>
          <w:sz w:val="32"/>
          <w:szCs w:val="32"/>
          <w:lang w:val="en-US" w:eastAsia="zh-CN"/>
        </w:rPr>
        <w:t>0</w:t>
      </w:r>
      <w:r>
        <w:rPr>
          <w:rFonts w:hint="eastAsia" w:ascii="仿宋_GB2312" w:eastAsia="仿宋_GB2312"/>
          <w:color w:val="auto"/>
          <w:sz w:val="32"/>
          <w:szCs w:val="32"/>
        </w:rPr>
        <w:t>万元，外事接待</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批次，</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人，共计支出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无该</w:t>
      </w:r>
      <w:r>
        <w:rPr>
          <w:rFonts w:hint="eastAsia" w:ascii="仿宋_GB2312" w:eastAsia="仿宋_GB2312"/>
          <w:color w:val="auto"/>
          <w:sz w:val="32"/>
          <w:szCs w:val="32"/>
        </w:rPr>
        <w:t>接待</w:t>
      </w:r>
      <w:r>
        <w:rPr>
          <w:rFonts w:hint="eastAsia" w:ascii="仿宋_GB2312" w:eastAsia="仿宋_GB2312"/>
          <w:color w:val="auto"/>
          <w:sz w:val="32"/>
          <w:szCs w:val="32"/>
          <w:lang w:val="en-US" w:eastAsia="zh-CN"/>
        </w:rPr>
        <w:t>项费用</w:t>
      </w:r>
      <w:r>
        <w:rPr>
          <w:rFonts w:hint="eastAsia" w:ascii="仿宋_GB2312" w:eastAsia="仿宋_GB2312"/>
          <w:color w:val="auto"/>
          <w:sz w:val="32"/>
          <w:szCs w:val="32"/>
        </w:rPr>
        <w:t>。</w:t>
      </w:r>
    </w:p>
    <w:p>
      <w:pPr>
        <w:spacing w:line="600" w:lineRule="exact"/>
        <w:ind w:firstLine="640"/>
        <w:rPr>
          <w:rFonts w:hint="eastAsia" w:ascii="黑体" w:eastAsia="黑体"/>
          <w:color w:val="auto"/>
          <w:sz w:val="32"/>
          <w:szCs w:val="32"/>
        </w:rPr>
      </w:pPr>
      <w:r>
        <w:rPr>
          <w:rFonts w:hint="eastAsia" w:ascii="仿宋" w:hAnsi="仿宋" w:eastAsia="仿宋"/>
          <w:b/>
          <w:color w:val="auto"/>
          <w:sz w:val="32"/>
          <w:szCs w:val="32"/>
        </w:rPr>
        <w:t>其他国内公务接待支出</w:t>
      </w:r>
      <w:r>
        <w:rPr>
          <w:rFonts w:hint="eastAsia" w:ascii="仿宋" w:hAnsi="仿宋" w:eastAsia="仿宋"/>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无该接待费用。</w:t>
      </w:r>
      <w:bookmarkStart w:id="50" w:name="_Toc15396610"/>
      <w:bookmarkStart w:id="51" w:name="_Toc15377218"/>
    </w:p>
    <w:p>
      <w:pPr>
        <w:spacing w:line="600" w:lineRule="exact"/>
        <w:ind w:firstLine="640"/>
        <w:outlineLvl w:val="1"/>
        <w:rPr>
          <w:rStyle w:val="28"/>
          <w:rFonts w:ascii="黑体" w:hAnsi="黑体" w:eastAsia="黑体"/>
          <w:color w:val="auto"/>
        </w:rPr>
      </w:pPr>
      <w:r>
        <w:rPr>
          <w:rFonts w:hint="eastAsia" w:ascii="黑体" w:eastAsia="黑体"/>
          <w:color w:val="auto"/>
          <w:sz w:val="32"/>
          <w:szCs w:val="32"/>
        </w:rPr>
        <w:t>八、</w:t>
      </w:r>
      <w:r>
        <w:rPr>
          <w:rStyle w:val="28"/>
          <w:rFonts w:hint="eastAsia" w:ascii="黑体" w:hAnsi="黑体" w:eastAsia="黑体"/>
          <w:b w:val="0"/>
          <w:color w:val="auto"/>
        </w:rPr>
        <w:t>政府性基金预算支出决算情况说明</w:t>
      </w:r>
      <w:bookmarkEnd w:id="50"/>
      <w:bookmarkEnd w:id="51"/>
    </w:p>
    <w:p>
      <w:pPr>
        <w:spacing w:line="600" w:lineRule="exact"/>
        <w:ind w:firstLine="640"/>
        <w:rPr>
          <w:rFonts w:ascii="仿宋_GB2312" w:eastAsia="仿宋_GB2312"/>
          <w:color w:val="auto"/>
          <w:sz w:val="32"/>
          <w:szCs w:val="32"/>
        </w:rPr>
      </w:pPr>
      <w:r>
        <w:rPr>
          <w:rFonts w:ascii="仿宋_GB2312" w:eastAsia="仿宋_GB2312"/>
          <w:color w:val="auto"/>
          <w:sz w:val="32"/>
          <w:szCs w:val="32"/>
        </w:rPr>
        <w:t>201</w:t>
      </w:r>
      <w:r>
        <w:rPr>
          <w:rFonts w:hint="eastAsia" w:ascii="仿宋_GB2312" w:eastAsia="仿宋_GB2312"/>
          <w:color w:val="auto"/>
          <w:sz w:val="32"/>
          <w:szCs w:val="32"/>
        </w:rPr>
        <w:t>8年政府性基金预算拨款支出</w:t>
      </w:r>
      <w:r>
        <w:rPr>
          <w:rFonts w:hint="eastAsia" w:ascii="仿宋_GB2312" w:eastAsia="仿宋_GB2312"/>
          <w:color w:val="auto"/>
          <w:sz w:val="32"/>
          <w:szCs w:val="32"/>
          <w:lang w:val="en-US" w:eastAsia="zh-CN"/>
        </w:rPr>
        <w:t>4</w:t>
      </w:r>
      <w:r>
        <w:rPr>
          <w:rFonts w:hint="eastAsia" w:ascii="仿宋_GB2312" w:eastAsia="仿宋_GB2312"/>
          <w:color w:val="auto"/>
          <w:sz w:val="32"/>
          <w:szCs w:val="32"/>
        </w:rPr>
        <w:t>万元。</w:t>
      </w:r>
    </w:p>
    <w:p>
      <w:pPr>
        <w:numPr>
          <w:ilvl w:val="0"/>
          <w:numId w:val="3"/>
        </w:numPr>
        <w:spacing w:line="600" w:lineRule="exact"/>
        <w:ind w:firstLine="640"/>
        <w:outlineLvl w:val="1"/>
        <w:rPr>
          <w:rStyle w:val="28"/>
          <w:rFonts w:ascii="黑体" w:hAnsi="黑体" w:eastAsia="黑体"/>
          <w:b w:val="0"/>
          <w:color w:val="auto"/>
        </w:rPr>
      </w:pPr>
      <w:bookmarkStart w:id="52" w:name="_Toc15396611"/>
      <w:bookmarkStart w:id="53" w:name="_Toc15377219"/>
      <w:r>
        <w:rPr>
          <w:rStyle w:val="28"/>
          <w:rFonts w:hint="eastAsia" w:ascii="黑体" w:hAnsi="黑体" w:eastAsia="黑体"/>
          <w:b w:val="0"/>
          <w:color w:val="auto"/>
        </w:rPr>
        <w:t>国有资本经营预算支出决算情况说明</w:t>
      </w:r>
      <w:bookmarkEnd w:id="52"/>
      <w:bookmarkEnd w:id="53"/>
    </w:p>
    <w:p>
      <w:pPr>
        <w:spacing w:line="600" w:lineRule="exact"/>
        <w:ind w:firstLine="640"/>
        <w:rPr>
          <w:rFonts w:ascii="仿宋_GB2312" w:eastAsia="仿宋_GB2312"/>
          <w:color w:val="auto"/>
          <w:sz w:val="32"/>
          <w:szCs w:val="32"/>
        </w:rPr>
      </w:pPr>
      <w:r>
        <w:rPr>
          <w:rFonts w:ascii="仿宋_GB2312" w:eastAsia="仿宋_GB2312"/>
          <w:color w:val="auto"/>
          <w:sz w:val="32"/>
          <w:szCs w:val="32"/>
        </w:rPr>
        <w:t>201</w:t>
      </w:r>
      <w:r>
        <w:rPr>
          <w:rFonts w:hint="eastAsia" w:ascii="仿宋_GB2312" w:eastAsia="仿宋_GB2312"/>
          <w:color w:val="auto"/>
          <w:sz w:val="32"/>
          <w:szCs w:val="32"/>
        </w:rPr>
        <w:t>8年国有资本经营预算拨款支出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p>
    <w:p>
      <w:pPr>
        <w:pStyle w:val="26"/>
        <w:numPr>
          <w:ilvl w:val="0"/>
          <w:numId w:val="4"/>
        </w:numPr>
        <w:spacing w:line="580" w:lineRule="exact"/>
        <w:ind w:firstLineChars="0"/>
        <w:rPr>
          <w:rStyle w:val="28"/>
          <w:rFonts w:ascii="黑体" w:hAnsi="黑体" w:eastAsia="黑体"/>
          <w:b w:val="0"/>
        </w:rPr>
      </w:pPr>
      <w:r>
        <w:rPr>
          <w:rStyle w:val="28"/>
          <w:rFonts w:hint="eastAsia" w:ascii="黑体" w:hAnsi="黑体" w:eastAsia="黑体"/>
          <w:b w:val="0"/>
        </w:rPr>
        <w:t>预算绩效情况说明</w:t>
      </w:r>
    </w:p>
    <w:p>
      <w:pPr>
        <w:numPr>
          <w:ilvl w:val="0"/>
          <w:numId w:val="5"/>
        </w:numPr>
        <w:spacing w:line="580" w:lineRule="exact"/>
        <w:ind w:firstLine="643" w:firstLineChars="200"/>
        <w:rPr>
          <w:rFonts w:ascii="仿宋" w:hAnsi="仿宋" w:eastAsia="仿宋" w:cs="楷体_GB2312"/>
          <w:b/>
          <w:bCs/>
          <w:sz w:val="32"/>
          <w:szCs w:val="32"/>
        </w:rPr>
      </w:pPr>
      <w:r>
        <w:rPr>
          <w:rFonts w:hint="eastAsia" w:ascii="仿宋" w:hAnsi="仿宋" w:eastAsia="仿宋" w:cs="楷体_GB2312"/>
          <w:b/>
          <w:bCs/>
          <w:sz w:val="32"/>
          <w:szCs w:val="32"/>
        </w:rPr>
        <w:t>预算绩效管理工作开展情况。</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根据预算绩效管理要求，本部门（单位）在年初预算编制阶段，组织对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项目开展了预算事前绩效评估，对</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个项目开展绩效监控，年终执行完毕后，对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个项目开展了绩效目标完成情况梳理填报。</w:t>
      </w:r>
    </w:p>
    <w:p>
      <w:pPr>
        <w:spacing w:line="580" w:lineRule="exact"/>
        <w:ind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本部门按要求对2018年部门整体支出开展绩效自评，从评价情况来</w:t>
      </w:r>
      <w:r>
        <w:rPr>
          <w:rFonts w:hint="eastAsia" w:ascii="仿宋_GB2312" w:hAnsi="仿宋_GB2312" w:eastAsia="仿宋_GB2312" w:cs="仿宋_GB2312"/>
          <w:color w:val="auto"/>
          <w:sz w:val="32"/>
          <w:szCs w:val="32"/>
          <w:lang w:eastAsia="zh-CN"/>
        </w:rPr>
        <w:t>：</w:t>
      </w:r>
      <w:r>
        <w:rPr>
          <w:rFonts w:ascii="仿宋_GB2312" w:hAnsi="仿宋_GB2312" w:eastAsia="仿宋_GB2312" w:cs="仿宋_GB2312"/>
          <w:color w:val="auto"/>
          <w:sz w:val="32"/>
          <w:szCs w:val="32"/>
        </w:rPr>
        <w:t>2018</w:t>
      </w:r>
      <w:r>
        <w:rPr>
          <w:rFonts w:hint="eastAsia" w:ascii="仿宋_GB2312" w:hAnsi="仿宋_GB2312" w:eastAsia="仿宋_GB2312" w:cs="仿宋_GB2312"/>
          <w:color w:val="auto"/>
          <w:sz w:val="32"/>
          <w:szCs w:val="32"/>
        </w:rPr>
        <w:t>年全年</w:t>
      </w:r>
      <w:r>
        <w:rPr>
          <w:rFonts w:hint="eastAsia" w:ascii="仿宋_GB2312" w:hAnsi="仿宋_GB2312" w:eastAsia="仿宋_GB2312" w:cs="仿宋_GB2312"/>
          <w:color w:val="auto"/>
          <w:sz w:val="32"/>
          <w:szCs w:val="32"/>
          <w:lang w:val="en-US" w:eastAsia="zh-CN"/>
        </w:rPr>
        <w:t>麦洼乡完成动态调整贫困户到户产业项目32.4万元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麦洼乡灾后恢复农业生产建设</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sz w:val="32"/>
          <w:szCs w:val="32"/>
          <w:lang w:val="en-US" w:eastAsia="zh-CN"/>
        </w:rPr>
        <w:t>36万元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2018年麦洼乡洞拉村零星维修改造项目4.6万元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2018年麦洼乡滚塘村零星维修改造项目4.369万元，2018年麦洼乡7.08水灾灾后恢复建设项目66.48万元。</w:t>
      </w:r>
      <w:r>
        <w:rPr>
          <w:rFonts w:hint="eastAsia" w:ascii="仿宋" w:hAnsi="仿宋" w:eastAsia="仿宋" w:cs="宋?"/>
          <w:color w:val="auto"/>
          <w:kern w:val="0"/>
          <w:sz w:val="32"/>
          <w:szCs w:val="32"/>
        </w:rPr>
        <w:t>等项目均已初验，工程款项均已拨付</w:t>
      </w:r>
      <w:r>
        <w:rPr>
          <w:rFonts w:hint="eastAsia" w:ascii="仿宋" w:hAnsi="仿宋" w:eastAsia="仿宋" w:cs="宋?"/>
          <w:color w:val="auto"/>
          <w:kern w:val="0"/>
          <w:sz w:val="32"/>
          <w:szCs w:val="32"/>
          <w:lang w:val="en-US" w:eastAsia="zh-CN"/>
        </w:rPr>
        <w:t>99.76</w:t>
      </w:r>
      <w:r>
        <w:rPr>
          <w:rFonts w:ascii="仿宋" w:hAnsi="仿宋" w:eastAsia="仿宋" w:cs="宋?"/>
          <w:color w:val="auto"/>
          <w:kern w:val="0"/>
          <w:sz w:val="32"/>
          <w:szCs w:val="32"/>
        </w:rPr>
        <w:t>%</w:t>
      </w:r>
      <w:r>
        <w:rPr>
          <w:rFonts w:hint="eastAsia" w:ascii="仿宋" w:hAnsi="仿宋" w:eastAsia="仿宋" w:cs="宋?"/>
          <w:color w:val="auto"/>
          <w:kern w:val="0"/>
          <w:sz w:val="32"/>
          <w:szCs w:val="32"/>
        </w:rPr>
        <w:t>，</w:t>
      </w:r>
      <w:r>
        <w:rPr>
          <w:rFonts w:hint="eastAsia" w:ascii="仿宋" w:hAnsi="仿宋" w:eastAsia="仿宋" w:cs="宋?"/>
          <w:color w:val="auto"/>
          <w:kern w:val="0"/>
          <w:sz w:val="32"/>
          <w:szCs w:val="32"/>
          <w:lang w:val="en-US" w:eastAsia="zh-CN"/>
        </w:rPr>
        <w:t>并验收合格</w:t>
      </w:r>
      <w:r>
        <w:rPr>
          <w:rFonts w:hint="eastAsia" w:ascii="仿宋" w:hAnsi="仿宋" w:eastAsia="仿宋" w:cs="宋?"/>
          <w:color w:val="auto"/>
          <w:kern w:val="0"/>
          <w:sz w:val="32"/>
          <w:szCs w:val="32"/>
        </w:rPr>
        <w:t>。我</w:t>
      </w:r>
      <w:r>
        <w:rPr>
          <w:rFonts w:hint="eastAsia" w:ascii="仿宋" w:hAnsi="仿宋" w:eastAsia="仿宋" w:cs="宋?"/>
          <w:color w:val="auto"/>
          <w:kern w:val="0"/>
          <w:sz w:val="32"/>
          <w:szCs w:val="32"/>
          <w:lang w:val="en-US" w:eastAsia="zh-CN"/>
        </w:rPr>
        <w:t>乡</w:t>
      </w:r>
      <w:r>
        <w:rPr>
          <w:rFonts w:hint="eastAsia" w:ascii="仿宋" w:hAnsi="仿宋" w:eastAsia="仿宋" w:cs="宋?"/>
          <w:color w:val="auto"/>
          <w:kern w:val="0"/>
          <w:sz w:val="32"/>
          <w:szCs w:val="32"/>
        </w:rPr>
        <w:t>整体支出绩效目标良好，较好完成今年预定工作目标，严格按照预算管理进行支付并做到节能降耗，“三公”经费严格按照年初预算执行。</w:t>
      </w:r>
      <w:r>
        <w:rPr>
          <w:rFonts w:hint="eastAsia" w:ascii="仿宋_GB2312" w:hAnsi="仿宋_GB2312" w:eastAsia="仿宋_GB2312" w:cs="仿宋_GB2312"/>
          <w:color w:val="auto"/>
          <w:sz w:val="32"/>
          <w:szCs w:val="32"/>
        </w:rPr>
        <w:t>在全面贯彻落实党的十九大精神</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坚持以习近平新时代中国特色社会主义思想为指导</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努力实现人民群众满意。本部门还自行组织了</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个项目绩效评价，从评价情况来看：有效</w:t>
      </w:r>
      <w:r>
        <w:rPr>
          <w:rFonts w:hint="eastAsia" w:ascii="仿宋_GB2312" w:hAnsi="仿宋_GB2312" w:eastAsia="仿宋_GB2312" w:cs="仿宋_GB2312"/>
          <w:color w:val="auto"/>
          <w:sz w:val="32"/>
          <w:szCs w:val="32"/>
          <w:lang w:val="en-US" w:eastAsia="zh-CN"/>
        </w:rPr>
        <w:t>的给基层群众带来效益</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增加基层基础设施建设、</w:t>
      </w:r>
      <w:r>
        <w:rPr>
          <w:rFonts w:hint="eastAsia" w:ascii="仿宋_GB2312" w:hAnsi="宋体" w:eastAsia="仿宋_GB2312"/>
          <w:color w:val="auto"/>
          <w:sz w:val="32"/>
          <w:lang w:val="zh-CN"/>
        </w:rPr>
        <w:t>保障了全</w:t>
      </w:r>
      <w:r>
        <w:rPr>
          <w:rFonts w:hint="eastAsia" w:ascii="仿宋_GB2312" w:hAnsi="宋体" w:eastAsia="仿宋_GB2312"/>
          <w:color w:val="auto"/>
          <w:sz w:val="32"/>
          <w:lang w:val="en-US" w:eastAsia="zh-CN"/>
        </w:rPr>
        <w:t>乡</w:t>
      </w:r>
      <w:r>
        <w:rPr>
          <w:rFonts w:hint="eastAsia" w:ascii="仿宋_GB2312" w:hAnsi="宋体" w:eastAsia="仿宋_GB2312"/>
          <w:color w:val="auto"/>
          <w:sz w:val="32"/>
          <w:lang w:val="zh-CN"/>
        </w:rPr>
        <w:t>困难群众的基本生活</w:t>
      </w:r>
      <w:r>
        <w:rPr>
          <w:rFonts w:hint="eastAsia" w:ascii="仿宋_GB2312" w:hAnsi="仿宋_GB2312" w:eastAsia="仿宋_GB2312" w:cs="仿宋_GB2312"/>
          <w:color w:val="auto"/>
          <w:sz w:val="32"/>
          <w:szCs w:val="32"/>
        </w:rPr>
        <w:t>等工作，</w:t>
      </w:r>
      <w:r>
        <w:rPr>
          <w:rFonts w:hint="eastAsia" w:ascii="仿宋_GB2312" w:hAnsi="仿宋_GB2312" w:eastAsia="仿宋_GB2312" w:cs="仿宋_GB2312"/>
          <w:color w:val="auto"/>
          <w:sz w:val="32"/>
          <w:szCs w:val="32"/>
          <w:lang w:val="en-US" w:eastAsia="zh-CN"/>
        </w:rPr>
        <w:t>提高</w:t>
      </w:r>
      <w:r>
        <w:rPr>
          <w:rFonts w:hint="eastAsia" w:ascii="仿宋_GB2312" w:hAnsi="仿宋_GB2312" w:eastAsia="仿宋_GB2312" w:cs="仿宋_GB2312"/>
          <w:color w:val="auto"/>
          <w:sz w:val="32"/>
          <w:szCs w:val="32"/>
        </w:rPr>
        <w:t>了人民群众</w:t>
      </w:r>
      <w:r>
        <w:rPr>
          <w:rFonts w:hint="eastAsia" w:ascii="仿宋_GB2312" w:hAnsi="仿宋_GB2312" w:eastAsia="仿宋_GB2312" w:cs="仿宋_GB2312"/>
          <w:color w:val="auto"/>
          <w:sz w:val="32"/>
          <w:szCs w:val="32"/>
          <w:lang w:val="en-US" w:eastAsia="zh-CN"/>
        </w:rPr>
        <w:t>的生活水平</w:t>
      </w:r>
      <w:r>
        <w:rPr>
          <w:rFonts w:hint="eastAsia" w:ascii="仿宋_GB2312" w:hAnsi="仿宋_GB2312" w:eastAsia="仿宋_GB2312" w:cs="仿宋_GB2312"/>
          <w:color w:val="auto"/>
          <w:sz w:val="32"/>
          <w:szCs w:val="32"/>
        </w:rPr>
        <w:t>，促进社会和谐。</w:t>
      </w:r>
    </w:p>
    <w:p>
      <w:pPr>
        <w:numPr>
          <w:ilvl w:val="0"/>
          <w:numId w:val="5"/>
        </w:numPr>
        <w:spacing w:line="580" w:lineRule="exact"/>
        <w:ind w:firstLine="643" w:firstLineChars="200"/>
        <w:rPr>
          <w:rFonts w:ascii="仿宋_GB2312" w:hAnsi="仿宋_GB2312" w:eastAsia="仿宋_GB2312" w:cs="仿宋_GB2312"/>
          <w:sz w:val="32"/>
          <w:szCs w:val="32"/>
        </w:rPr>
      </w:pPr>
      <w:r>
        <w:rPr>
          <w:rFonts w:hint="eastAsia" w:ascii="仿宋" w:hAnsi="仿宋" w:eastAsia="仿宋" w:cs="楷体_GB2312"/>
          <w:b/>
          <w:bCs/>
          <w:sz w:val="32"/>
          <w:szCs w:val="32"/>
        </w:rPr>
        <w:t>项目绩效目标完成情况。</w:t>
      </w:r>
      <w:r>
        <w:rPr>
          <w:rFonts w:hint="eastAsia" w:ascii="楷体_GB2312" w:hAnsi="楷体_GB2312" w:eastAsia="楷体_GB2312" w:cs="楷体_GB2312"/>
          <w:b/>
          <w:bCs/>
          <w:sz w:val="32"/>
          <w:szCs w:val="32"/>
        </w:rPr>
        <w:br w:type="textWrapping"/>
      </w:r>
      <w:r>
        <w:rPr>
          <w:rFonts w:hint="eastAsia" w:ascii="仿宋_GB2312" w:hAnsi="仿宋_GB2312" w:eastAsia="仿宋_GB2312" w:cs="仿宋_GB2312"/>
          <w:sz w:val="32"/>
          <w:szCs w:val="32"/>
        </w:rPr>
        <w:t xml:space="preserve">    本部门在2018年度部门决算中反映</w:t>
      </w:r>
      <w:r>
        <w:rPr>
          <w:rFonts w:hint="eastAsia" w:ascii="仿宋_GB2312" w:hAnsi="仿宋_GB2312" w:eastAsia="仿宋_GB2312" w:cs="仿宋_GB2312"/>
          <w:color w:val="auto"/>
          <w:sz w:val="32"/>
          <w:szCs w:val="32"/>
          <w:lang w:val="en-US" w:eastAsia="zh-CN"/>
        </w:rPr>
        <w:t>动态调整贫困户到户产业项目</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麦洼乡灾后恢复农业生产建设</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sz w:val="32"/>
          <w:szCs w:val="32"/>
          <w:lang w:val="en-US" w:eastAsia="zh-CN"/>
        </w:rPr>
        <w:t>2018年麦洼乡洞拉村零星维修改造项目</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2018年麦洼乡滚塘村零星维修改造项目，2018年麦洼乡7.08水灾灾后恢复建设项目</w:t>
      </w:r>
      <w:r>
        <w:rPr>
          <w:rFonts w:ascii="仿宋_GB2312" w:hAnsi="仿宋_GB2312" w:eastAsia="仿宋_GB2312" w:cs="仿宋_GB2312"/>
          <w:color w:val="auto"/>
          <w:sz w:val="32"/>
          <w:szCs w:val="32"/>
        </w:rPr>
        <w:t>”</w:t>
      </w:r>
      <w:r>
        <w:rPr>
          <w:rFonts w:hint="eastAsia" w:ascii="仿宋_GB2312" w:hAnsi="仿宋_GB2312" w:eastAsia="仿宋_GB2312" w:cs="仿宋_GB2312"/>
          <w:sz w:val="32"/>
          <w:szCs w:val="32"/>
        </w:rPr>
        <w:t>等</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个项目绩效目标实际完成情况。</w:t>
      </w:r>
    </w:p>
    <w:p>
      <w:pPr>
        <w:numPr>
          <w:ilvl w:val="0"/>
          <w:numId w:val="6"/>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动态调整贫困户到户产业项目</w:t>
      </w:r>
      <w:r>
        <w:rPr>
          <w:rFonts w:hint="eastAsia" w:ascii="仿宋_GB2312" w:hAnsi="仿宋_GB2312" w:eastAsia="仿宋_GB2312" w:cs="仿宋_GB2312"/>
          <w:sz w:val="32"/>
          <w:szCs w:val="32"/>
        </w:rPr>
        <w:t>绩效目标完成情况综述。项目全年预算数</w:t>
      </w:r>
      <w:r>
        <w:rPr>
          <w:rFonts w:hint="eastAsia" w:ascii="仿宋_GB2312" w:hAnsi="仿宋_GB2312" w:eastAsia="仿宋_GB2312" w:cs="仿宋_GB2312"/>
          <w:sz w:val="32"/>
          <w:szCs w:val="32"/>
          <w:lang w:val="en-US" w:eastAsia="zh-CN"/>
        </w:rPr>
        <w:t>32.4</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32.4</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val="en-US" w:eastAsia="zh-CN"/>
        </w:rPr>
        <w:t>增大麦洼乡群众产业发展，提高群众生活水平。</w:t>
      </w:r>
    </w:p>
    <w:p>
      <w:pPr>
        <w:numPr>
          <w:ilvl w:val="0"/>
          <w:numId w:val="6"/>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麦洼乡灾后恢复农业生产建设</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36</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36</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%。通过项目实施，保障</w:t>
      </w:r>
      <w:r>
        <w:rPr>
          <w:rFonts w:hint="eastAsia" w:ascii="仿宋_GB2312" w:hAnsi="仿宋_GB2312" w:eastAsia="仿宋_GB2312" w:cs="仿宋_GB2312"/>
          <w:sz w:val="32"/>
          <w:szCs w:val="32"/>
          <w:lang w:val="en-US" w:eastAsia="zh-CN"/>
        </w:rPr>
        <w:t>了群众的灾后生活恢复，减少灾害对群众生活的不便。</w:t>
      </w:r>
    </w:p>
    <w:p>
      <w:pPr>
        <w:numPr>
          <w:ilvl w:val="0"/>
          <w:numId w:val="0"/>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3.2018年麦洼乡洞拉村零星维修改造</w:t>
      </w:r>
      <w:r>
        <w:rPr>
          <w:rFonts w:hint="eastAsia" w:ascii="仿宋_GB2312" w:hAnsi="仿宋_GB2312" w:eastAsia="仿宋_GB2312" w:cs="仿宋_GB2312"/>
          <w:sz w:val="32"/>
          <w:szCs w:val="32"/>
        </w:rPr>
        <w:t>项目绩效目标完成情况综述。项目全年预算数</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4.6</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92</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val="en-US" w:eastAsia="zh-CN"/>
        </w:rPr>
        <w:t>改善了麦洼乡洞拉村村民委员会的基础设施，</w:t>
      </w:r>
      <w:r>
        <w:rPr>
          <w:rFonts w:hint="eastAsia" w:ascii="仿宋_GB2312" w:hAnsi="仿宋_GB2312" w:eastAsia="仿宋_GB2312" w:cs="仿宋_GB2312"/>
          <w:sz w:val="32"/>
          <w:szCs w:val="32"/>
        </w:rPr>
        <w:t>保障</w:t>
      </w:r>
      <w:r>
        <w:rPr>
          <w:rFonts w:hint="eastAsia" w:ascii="仿宋_GB2312" w:hAnsi="仿宋_GB2312" w:eastAsia="仿宋_GB2312" w:cs="仿宋_GB2312"/>
          <w:sz w:val="32"/>
          <w:szCs w:val="32"/>
          <w:lang w:val="en-US" w:eastAsia="zh-CN"/>
        </w:rPr>
        <w:t>了洞拉村日后开展村级工作及日常群众工作的便利性。</w:t>
      </w:r>
    </w:p>
    <w:p>
      <w:pPr>
        <w:numPr>
          <w:ilvl w:val="0"/>
          <w:numId w:val="0"/>
        </w:numPr>
        <w:spacing w:line="580" w:lineRule="exact"/>
        <w:ind w:firstLine="640" w:firstLineChars="200"/>
      </w:pPr>
      <w:r>
        <w:rPr>
          <w:rFonts w:hint="eastAsia" w:ascii="仿宋_GB2312" w:hAnsi="仿宋_GB2312" w:eastAsia="仿宋_GB2312" w:cs="仿宋_GB2312"/>
          <w:color w:val="auto"/>
          <w:sz w:val="32"/>
          <w:szCs w:val="32"/>
          <w:lang w:val="en-US" w:eastAsia="zh-CN"/>
        </w:rPr>
        <w:t>4.2018年麦洼乡滚塘村零星维修改造项目</w:t>
      </w:r>
      <w:r>
        <w:rPr>
          <w:rFonts w:hint="eastAsia" w:ascii="仿宋_GB2312" w:hAnsi="仿宋_GB2312" w:eastAsia="仿宋_GB2312" w:cs="仿宋_GB2312"/>
          <w:sz w:val="32"/>
          <w:szCs w:val="32"/>
        </w:rPr>
        <w:t>绩效目标完成情况综述。项目全年预算数</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4.369</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87.38</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val="en-US" w:eastAsia="zh-CN"/>
        </w:rPr>
        <w:t>改善了麦洼乡滚塘村村民委员会的基础设施，</w:t>
      </w:r>
      <w:r>
        <w:rPr>
          <w:rFonts w:hint="eastAsia" w:ascii="仿宋_GB2312" w:hAnsi="仿宋_GB2312" w:eastAsia="仿宋_GB2312" w:cs="仿宋_GB2312"/>
          <w:sz w:val="32"/>
          <w:szCs w:val="32"/>
        </w:rPr>
        <w:t>保障</w:t>
      </w:r>
      <w:r>
        <w:rPr>
          <w:rFonts w:hint="eastAsia" w:ascii="仿宋_GB2312" w:hAnsi="仿宋_GB2312" w:eastAsia="仿宋_GB2312" w:cs="仿宋_GB2312"/>
          <w:sz w:val="32"/>
          <w:szCs w:val="32"/>
          <w:lang w:val="en-US" w:eastAsia="zh-CN"/>
        </w:rPr>
        <w:t>了滚塘村日后开展村级工作及日常群众工作的便利性。</w:t>
      </w:r>
    </w:p>
    <w:p>
      <w:pPr>
        <w:numPr>
          <w:ilvl w:val="0"/>
          <w:numId w:val="0"/>
        </w:num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5.2018年麦洼乡7.08水灾灾后恢复建设项目</w:t>
      </w:r>
      <w:r>
        <w:rPr>
          <w:rFonts w:hint="eastAsia" w:ascii="仿宋_GB2312" w:hAnsi="仿宋_GB2312" w:eastAsia="仿宋_GB2312" w:cs="仿宋_GB2312"/>
          <w:sz w:val="32"/>
          <w:szCs w:val="32"/>
        </w:rPr>
        <w:t>绩效目标完成情况综述。项目全年预算数</w:t>
      </w:r>
      <w:r>
        <w:rPr>
          <w:rFonts w:hint="eastAsia" w:ascii="仿宋_GB2312" w:hAnsi="仿宋_GB2312" w:eastAsia="仿宋_GB2312" w:cs="仿宋_GB2312"/>
          <w:sz w:val="32"/>
          <w:szCs w:val="32"/>
          <w:lang w:val="en-US" w:eastAsia="zh-CN"/>
        </w:rPr>
        <w:t>67.29</w:t>
      </w:r>
      <w:r>
        <w:rPr>
          <w:rFonts w:hint="eastAsia" w:ascii="仿宋_GB2312" w:hAnsi="仿宋_GB2312" w:eastAsia="仿宋_GB2312" w:cs="仿宋_GB2312"/>
          <w:sz w:val="32"/>
          <w:szCs w:val="32"/>
        </w:rPr>
        <w:t>万元，执行数为</w:t>
      </w:r>
      <w:r>
        <w:rPr>
          <w:rFonts w:hint="eastAsia" w:ascii="仿宋_GB2312" w:hAnsi="仿宋_GB2312" w:eastAsia="仿宋_GB2312" w:cs="仿宋_GB2312"/>
          <w:sz w:val="32"/>
          <w:szCs w:val="32"/>
          <w:lang w:val="en-US" w:eastAsia="zh-CN"/>
        </w:rPr>
        <w:t>66.48</w:t>
      </w:r>
      <w:r>
        <w:rPr>
          <w:rFonts w:hint="eastAsia" w:ascii="仿宋_GB2312" w:hAnsi="仿宋_GB2312" w:eastAsia="仿宋_GB2312" w:cs="仿宋_GB2312"/>
          <w:sz w:val="32"/>
          <w:szCs w:val="32"/>
        </w:rPr>
        <w:t>万元，完成预算的</w:t>
      </w:r>
      <w:r>
        <w:rPr>
          <w:rFonts w:hint="eastAsia" w:ascii="仿宋_GB2312" w:hAnsi="仿宋_GB2312" w:eastAsia="仿宋_GB2312" w:cs="仿宋_GB2312"/>
          <w:sz w:val="32"/>
          <w:szCs w:val="32"/>
          <w:lang w:val="en-US" w:eastAsia="zh-CN"/>
        </w:rPr>
        <w:t>98.80</w:t>
      </w:r>
      <w:r>
        <w:rPr>
          <w:rFonts w:hint="eastAsia" w:ascii="仿宋_GB2312" w:hAnsi="仿宋_GB2312" w:eastAsia="仿宋_GB2312" w:cs="仿宋_GB2312"/>
          <w:sz w:val="32"/>
          <w:szCs w:val="32"/>
        </w:rPr>
        <w:t>%。通过项目实施，</w:t>
      </w:r>
      <w:r>
        <w:rPr>
          <w:rFonts w:hint="eastAsia" w:ascii="仿宋_GB2312" w:hAnsi="仿宋_GB2312" w:eastAsia="仿宋_GB2312" w:cs="仿宋_GB2312"/>
          <w:sz w:val="32"/>
          <w:szCs w:val="32"/>
          <w:lang w:val="en-US" w:eastAsia="zh-CN"/>
        </w:rPr>
        <w:t>改善了麦洼乡道路建设，保障村民交通畅通。</w:t>
      </w:r>
    </w:p>
    <w:p>
      <w:pPr>
        <w:tabs>
          <w:tab w:val="left" w:pos="312"/>
        </w:tabs>
        <w:spacing w:line="580" w:lineRule="exact"/>
        <w:rPr>
          <w:rFonts w:ascii="仿宋_GB2312" w:hAnsi="仿宋_GB2312" w:eastAsia="仿宋_GB2312" w:cs="仿宋_GB2312"/>
          <w:sz w:val="32"/>
          <w:szCs w:val="32"/>
        </w:rPr>
      </w:pPr>
    </w:p>
    <w:tbl>
      <w:tblPr>
        <w:tblStyle w:val="18"/>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449"/>
        <w:gridCol w:w="764"/>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i w:val="0"/>
                <w:color w:val="000000"/>
                <w:kern w:val="0"/>
                <w:sz w:val="20"/>
                <w:szCs w:val="20"/>
                <w:u w:val="none"/>
                <w:lang w:val="en-US" w:eastAsia="zh-CN" w:bidi="ar"/>
              </w:rPr>
              <w:t>动态调整贫困户到户产业项目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红原县麦洼乡人民政府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32.4</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32.4</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8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57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本项目实施能有效的增大麦洼乡群众产业发展，提高群众生活水平。</w:t>
            </w: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已完成牦牛采购54头（带一岁崽）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已完成牦牛采购54头（带一岁崽）</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已完成牦牛采购54头（带一岁崽）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已完成牦牛采购54头（带一岁崽）</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已完成牦牛采购54头（带一岁崽）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54个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54个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54个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54个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有效的增大麦洼乡群众产业发展，提高群众生活水平。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有效的增大麦洼乡群众产业发展，提高群众生活水平。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有效的增大麦洼乡群众产业发展，提高群众生活水平。</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有效的增大麦洼乡群众产业发展，提高群众生活水平。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4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bl>
    <w:p>
      <w:pPr>
        <w:rPr>
          <w:rFonts w:ascii="Calibri" w:hAnsi="Calibri"/>
        </w:rPr>
      </w:pPr>
    </w:p>
    <w:tbl>
      <w:tblPr>
        <w:tblStyle w:val="18"/>
        <w:tblW w:w="9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85"/>
        <w:gridCol w:w="328"/>
        <w:gridCol w:w="1048"/>
        <w:gridCol w:w="764"/>
        <w:gridCol w:w="1182"/>
        <w:gridCol w:w="1752"/>
        <w:gridCol w:w="1632"/>
        <w:gridCol w:w="19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eastAsia="宋体" w:cs="宋体"/>
                <w:i w:val="0"/>
                <w:color w:val="000000"/>
                <w:kern w:val="0"/>
                <w:sz w:val="20"/>
                <w:szCs w:val="20"/>
                <w:u w:val="none"/>
                <w:lang w:val="en-US" w:eastAsia="zh-CN" w:bidi="ar"/>
              </w:rPr>
              <w:t>麦洼乡灾后恢复农业生产建设项目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红原县麦洼乡人民政府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36</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36</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1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1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保障群众的灾后生活恢复，减少灾害对群众生活的不便。</w:t>
            </w: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维修牧业生产点24公里，其中：洞拉村维修19公里，滚塘村维修5公里。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24公里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24公里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24公里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24公里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24公里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24公里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24公里</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24公里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保障群众的灾后生活恢复，减少灾害对群众生活的不便</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保障群众的灾后生活恢复，减少灾害对群众生活的不便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保障群众的灾后生活恢复，减少灾害对群众生活的不便</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保障群众的灾后生活恢复，减少灾害对群众生活的不便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rPr>
            </w:pPr>
            <w:r>
              <w:rPr>
                <w:rFonts w:hint="eastAsia" w:ascii="宋体" w:hAnsi="宋体" w:cs="宋体"/>
                <w:i w:val="0"/>
                <w:color w:val="000000"/>
                <w:kern w:val="0"/>
                <w:sz w:val="20"/>
                <w:szCs w:val="20"/>
                <w:u w:val="none"/>
                <w:lang w:val="en-US" w:eastAsia="zh-CN" w:bidi="ar"/>
              </w:rPr>
              <w:t>2018年麦洼乡洞拉村零星维修改造项目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红原县麦洼乡人民政府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5</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4.6</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1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1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改善麦洼乡洞拉村村民委员会的基础设施，保障了洞拉村日后开展村级工作及日常群众工作的便利性。</w:t>
            </w: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新安装不锈钢旗杆1根高12米；拆除围墙35米；拆除绿化带鹅卵石；拆除公告栏5个；基础开挖52.3立方米；毛渣回填立192.66立方米；浇筑C25混泥土20.16立方米；安装公告栏2个；石头墙抹灰21.83立方米；入户路129米。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改善麦洼乡洞拉村村民委员会的基础设施，保障了洞拉村日后开展村级工作及日常群众工作的便利性。</w:t>
            </w:r>
          </w:p>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both"/>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改善麦洼乡洞拉村村民委员会的基础设施，保障了洞拉村日后开展村级工作及日常群众工作的便利性。</w:t>
            </w:r>
          </w:p>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改善麦洼乡洞拉村村民委员会的基础设施，保障了洞拉村日后开展村级工作及日常群众工作的便利性。</w:t>
            </w:r>
          </w:p>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改善麦洼乡洞拉村村民委员会的基础设施，保障了洞拉村日后开展村级工作及日常群众工作的便利性。</w:t>
            </w:r>
          </w:p>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i w:val="0"/>
                <w:color w:val="000000"/>
                <w:kern w:val="0"/>
                <w:sz w:val="20"/>
                <w:szCs w:val="20"/>
                <w:u w:val="none"/>
                <w:lang w:val="en-US" w:eastAsia="zh-CN" w:bidi="ar"/>
              </w:rPr>
              <w:t>2018年麦洼乡滚塘村零星维修改造项目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红原县麦洼乡人民政府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5</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4.369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4.369</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4.369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1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1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520" w:lineRule="exact"/>
              <w:rPr>
                <w:rFonts w:ascii="仿宋_GB2312" w:hAnsi="宋?" w:eastAsia="仿宋_GB2312" w:cs="仿宋_GB2312"/>
                <w:sz w:val="24"/>
                <w:szCs w:val="21"/>
              </w:rPr>
            </w:pPr>
            <w:r>
              <w:rPr>
                <w:rFonts w:hint="eastAsia" w:ascii="宋体" w:hAnsi="宋体" w:eastAsia="宋体" w:cs="宋体"/>
                <w:i w:val="0"/>
                <w:color w:val="000000"/>
                <w:kern w:val="0"/>
                <w:sz w:val="20"/>
                <w:szCs w:val="20"/>
                <w:u w:val="none"/>
                <w:lang w:val="en-US" w:eastAsia="zh-CN" w:bidi="ar"/>
              </w:rPr>
              <w:t>改善麦洼乡</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村村民委员会的基础设施，保障了</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村日后开展村级工作及日常群众工作的便利性。</w:t>
            </w:r>
          </w:p>
          <w:p>
            <w:pPr>
              <w:jc w:val="center"/>
              <w:rPr>
                <w:rFonts w:hint="eastAsia" w:ascii="宋体" w:hAnsi="宋体" w:eastAsia="宋体" w:cs="宋体"/>
                <w:b/>
                <w:i w:val="0"/>
                <w:color w:val="000000"/>
                <w:sz w:val="24"/>
                <w:szCs w:val="24"/>
                <w:u w:val="none"/>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新安装不锈钢旗杆1根高12米；</w:t>
            </w:r>
            <w:r>
              <w:rPr>
                <w:rFonts w:hint="eastAsia" w:ascii="宋体" w:hAnsi="宋体" w:cs="宋体"/>
                <w:i w:val="0"/>
                <w:color w:val="000000"/>
                <w:kern w:val="0"/>
                <w:sz w:val="20"/>
                <w:szCs w:val="20"/>
                <w:u w:val="none"/>
                <w:lang w:val="en-US" w:eastAsia="zh-CN" w:bidi="ar"/>
              </w:rPr>
              <w:t>铲除、新刮厕所墙面腻子各22.78平方米；厕所门前</w:t>
            </w:r>
            <w:r>
              <w:rPr>
                <w:rFonts w:hint="eastAsia" w:ascii="宋体" w:hAnsi="宋体" w:eastAsia="宋体" w:cs="宋体"/>
                <w:i w:val="0"/>
                <w:color w:val="000000"/>
                <w:kern w:val="0"/>
                <w:sz w:val="20"/>
                <w:szCs w:val="20"/>
                <w:u w:val="none"/>
                <w:lang w:val="en-US" w:eastAsia="zh-CN" w:bidi="ar"/>
              </w:rPr>
              <w:t>浇筑混泥土2.1立方米；</w:t>
            </w:r>
            <w:r>
              <w:rPr>
                <w:rFonts w:hint="eastAsia" w:ascii="宋体" w:hAnsi="宋体" w:cs="宋体"/>
                <w:i w:val="0"/>
                <w:color w:val="000000"/>
                <w:kern w:val="0"/>
                <w:sz w:val="20"/>
                <w:szCs w:val="20"/>
                <w:u w:val="none"/>
                <w:lang w:val="en-US" w:eastAsia="zh-CN" w:bidi="ar"/>
              </w:rPr>
              <w:t>制作安装70个方管晾衣杆；主街道梯步刮漆550平方米</w:t>
            </w:r>
            <w:r>
              <w:rPr>
                <w:rFonts w:hint="eastAsia" w:ascii="宋体" w:hAnsi="宋体" w:eastAsia="宋体" w:cs="宋体"/>
                <w:i w:val="0"/>
                <w:color w:val="000000"/>
                <w:kern w:val="0"/>
                <w:sz w:val="20"/>
                <w:szCs w:val="20"/>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5个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adjustRightInd w:val="0"/>
              <w:snapToGrid w:val="0"/>
              <w:spacing w:line="520" w:lineRule="exact"/>
              <w:rPr>
                <w:rFonts w:ascii="仿宋_GB2312" w:hAnsi="宋?" w:eastAsia="仿宋_GB2312" w:cs="仿宋_GB2312"/>
                <w:sz w:val="24"/>
                <w:szCs w:val="21"/>
              </w:rPr>
            </w:pPr>
            <w:r>
              <w:rPr>
                <w:rFonts w:hint="eastAsia" w:ascii="宋体" w:hAnsi="宋体" w:eastAsia="宋体" w:cs="宋体"/>
                <w:i w:val="0"/>
                <w:color w:val="000000"/>
                <w:kern w:val="0"/>
                <w:sz w:val="20"/>
                <w:szCs w:val="20"/>
                <w:u w:val="none"/>
                <w:lang w:val="en-US" w:eastAsia="zh-CN" w:bidi="ar"/>
              </w:rPr>
              <w:t>改善麦洼乡</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村村民委员会的基础设施，保障了</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村日后开展村级工作及日常群众工作的便利性。</w:t>
            </w:r>
          </w:p>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adjustRightInd w:val="0"/>
              <w:snapToGrid w:val="0"/>
              <w:spacing w:line="520" w:lineRule="exact"/>
              <w:rPr>
                <w:rFonts w:ascii="仿宋_GB2312" w:hAnsi="宋?" w:eastAsia="仿宋_GB2312" w:cs="仿宋_GB2312"/>
                <w:sz w:val="24"/>
                <w:szCs w:val="21"/>
              </w:rPr>
            </w:pPr>
            <w:r>
              <w:rPr>
                <w:rFonts w:hint="eastAsia" w:ascii="宋体" w:hAnsi="宋体" w:eastAsia="宋体" w:cs="宋体"/>
                <w:i w:val="0"/>
                <w:color w:val="000000"/>
                <w:kern w:val="0"/>
                <w:sz w:val="20"/>
                <w:szCs w:val="20"/>
                <w:u w:val="none"/>
                <w:lang w:val="en-US" w:eastAsia="zh-CN" w:bidi="ar"/>
              </w:rPr>
              <w:t>改善麦洼乡</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村村民委员会的基础设施，保障了</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村日后开展村级工作及日常群众工作的便利性。</w:t>
            </w:r>
          </w:p>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adjustRightInd w:val="0"/>
              <w:snapToGrid w:val="0"/>
              <w:spacing w:line="520" w:lineRule="exact"/>
              <w:rPr>
                <w:rFonts w:ascii="仿宋_GB2312" w:hAnsi="宋?" w:eastAsia="仿宋_GB2312" w:cs="仿宋_GB2312"/>
                <w:sz w:val="24"/>
                <w:szCs w:val="21"/>
              </w:rPr>
            </w:pPr>
            <w:r>
              <w:rPr>
                <w:rFonts w:hint="eastAsia" w:ascii="宋体" w:hAnsi="宋体" w:eastAsia="宋体" w:cs="宋体"/>
                <w:i w:val="0"/>
                <w:color w:val="000000"/>
                <w:kern w:val="0"/>
                <w:sz w:val="20"/>
                <w:szCs w:val="20"/>
                <w:u w:val="none"/>
                <w:lang w:val="en-US" w:eastAsia="zh-CN" w:bidi="ar"/>
              </w:rPr>
              <w:t>改善麦洼乡</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村村民委员会的基础设施，保障了</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村日后开展村级工作及日常群众工作的便利性。</w:t>
            </w:r>
          </w:p>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adjustRightInd w:val="0"/>
              <w:snapToGrid w:val="0"/>
              <w:spacing w:line="520" w:lineRule="exact"/>
              <w:rPr>
                <w:rFonts w:ascii="仿宋_GB2312" w:hAnsi="宋?" w:eastAsia="仿宋_GB2312" w:cs="仿宋_GB2312"/>
                <w:sz w:val="24"/>
                <w:szCs w:val="21"/>
              </w:rPr>
            </w:pPr>
            <w:r>
              <w:rPr>
                <w:rFonts w:hint="eastAsia" w:ascii="宋体" w:hAnsi="宋体" w:eastAsia="宋体" w:cs="宋体"/>
                <w:i w:val="0"/>
                <w:color w:val="000000"/>
                <w:kern w:val="0"/>
                <w:sz w:val="20"/>
                <w:szCs w:val="20"/>
                <w:u w:val="none"/>
                <w:lang w:val="en-US" w:eastAsia="zh-CN" w:bidi="ar"/>
              </w:rPr>
              <w:t>改善麦洼乡</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村村民委员会的基础设施，保障了</w:t>
            </w:r>
            <w:r>
              <w:rPr>
                <w:rFonts w:hint="eastAsia" w:ascii="宋体" w:hAnsi="宋体" w:cs="宋体"/>
                <w:i w:val="0"/>
                <w:color w:val="000000"/>
                <w:kern w:val="0"/>
                <w:sz w:val="20"/>
                <w:szCs w:val="20"/>
                <w:u w:val="none"/>
                <w:lang w:val="en-US" w:eastAsia="zh-CN" w:bidi="ar"/>
              </w:rPr>
              <w:t>滚塘</w:t>
            </w:r>
            <w:r>
              <w:rPr>
                <w:rFonts w:hint="eastAsia" w:ascii="宋体" w:hAnsi="宋体" w:eastAsia="宋体" w:cs="宋体"/>
                <w:i w:val="0"/>
                <w:color w:val="000000"/>
                <w:kern w:val="0"/>
                <w:sz w:val="20"/>
                <w:szCs w:val="20"/>
                <w:u w:val="none"/>
                <w:lang w:val="en-US" w:eastAsia="zh-CN" w:bidi="ar"/>
              </w:rPr>
              <w:t>村日后开展村级工作及日常群众工作的便利性。</w:t>
            </w:r>
          </w:p>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left"/>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9522" w:type="dxa"/>
            <w:gridSpan w:val="8"/>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项目支出绩效目标完成情况表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rPr>
            </w:pPr>
            <w:r>
              <w:rPr>
                <w:rFonts w:hint="eastAsia" w:ascii="宋体" w:hAnsi="宋体" w:cs="宋体"/>
                <w:i w:val="0"/>
                <w:color w:val="000000"/>
                <w:kern w:val="0"/>
                <w:sz w:val="20"/>
                <w:szCs w:val="20"/>
                <w:u w:val="none"/>
                <w:lang w:val="en-US" w:eastAsia="zh-CN" w:bidi="ar"/>
              </w:rPr>
              <w:t>2018年</w:t>
            </w:r>
            <w:r>
              <w:rPr>
                <w:rFonts w:hint="eastAsia" w:ascii="宋体" w:hAnsi="宋体" w:eastAsia="宋体" w:cs="宋体"/>
                <w:i w:val="0"/>
                <w:color w:val="000000"/>
                <w:kern w:val="0"/>
                <w:sz w:val="20"/>
                <w:szCs w:val="20"/>
                <w:u w:val="none"/>
                <w:lang w:val="en-US" w:eastAsia="zh-CN" w:bidi="ar"/>
              </w:rPr>
              <w:t>麦洼乡</w:t>
            </w:r>
            <w:r>
              <w:rPr>
                <w:rFonts w:hint="eastAsia" w:ascii="宋体" w:hAnsi="宋体" w:cs="宋体"/>
                <w:i w:val="0"/>
                <w:color w:val="000000"/>
                <w:kern w:val="0"/>
                <w:sz w:val="20"/>
                <w:szCs w:val="20"/>
                <w:u w:val="none"/>
                <w:lang w:val="en-US" w:eastAsia="zh-CN" w:bidi="ar"/>
              </w:rPr>
              <w:t>7.08水灾灾后恢复建设</w:t>
            </w:r>
            <w:r>
              <w:rPr>
                <w:rFonts w:hint="eastAsia" w:ascii="宋体" w:hAnsi="宋体" w:eastAsia="宋体" w:cs="宋体"/>
                <w:i w:val="0"/>
                <w:color w:val="000000"/>
                <w:kern w:val="0"/>
                <w:sz w:val="20"/>
                <w:szCs w:val="20"/>
                <w:u w:val="none"/>
                <w:lang w:val="en-US" w:eastAsia="zh-CN" w:bidi="ar"/>
              </w:rPr>
              <w:t>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红原县麦洼乡人民政府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预算执行情况(万元</w:t>
            </w: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67.29</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66.48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67.29</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67.29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7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i w:val="0"/>
                <w:color w:val="000000"/>
                <w:sz w:val="24"/>
                <w:szCs w:val="24"/>
                <w:u w:val="none"/>
                <w:lang w:val="en-US" w:eastAsia="zh-CN"/>
              </w:rPr>
            </w:pPr>
            <w:r>
              <w:rPr>
                <w:rFonts w:hint="eastAsia" w:ascii="宋体" w:hAnsi="宋体" w:eastAsia="宋体" w:cs="宋体"/>
                <w:i w:val="0"/>
                <w:color w:val="000000"/>
                <w:kern w:val="0"/>
                <w:sz w:val="20"/>
                <w:szCs w:val="20"/>
                <w:u w:val="none"/>
                <w:lang w:val="en-US" w:eastAsia="zh-CN" w:bidi="ar"/>
              </w:rPr>
              <w:t>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年度目标完成情况</w:t>
            </w:r>
          </w:p>
        </w:tc>
        <w:tc>
          <w:tcPr>
            <w:tcW w:w="21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实际完成目标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9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214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改善麦洼乡道路建设，保障村民交通畅通。</w:t>
            </w: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维修</w:t>
            </w:r>
            <w:r>
              <w:rPr>
                <w:rFonts w:hint="eastAsia" w:ascii="宋体" w:hAnsi="宋体" w:cs="宋体"/>
                <w:i w:val="0"/>
                <w:color w:val="000000"/>
                <w:kern w:val="0"/>
                <w:sz w:val="20"/>
                <w:szCs w:val="20"/>
                <w:u w:val="none"/>
                <w:lang w:val="en-US" w:eastAsia="zh-CN" w:bidi="ar"/>
              </w:rPr>
              <w:t>草原防火通道建设15公里（洞拉村维修8公里，滚塘村维修7公里）；新建涵洞9座（其中洞拉村新建5座，滚塘村新建4座）；新建板涵2座。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i w:val="0"/>
                <w:color w:val="000000"/>
                <w:sz w:val="24"/>
                <w:szCs w:val="24"/>
                <w:u w:val="none"/>
              </w:rPr>
            </w:pPr>
            <w:r>
              <w:rPr>
                <w:rFonts w:hint="eastAsia" w:ascii="仿宋_GB2312" w:hAnsi="宋体" w:eastAsia="仿宋_GB2312" w:cs="仿宋_GB2312"/>
                <w:i w:val="0"/>
                <w:color w:val="000000"/>
                <w:kern w:val="0"/>
                <w:sz w:val="24"/>
                <w:szCs w:val="24"/>
                <w:u w:val="none"/>
                <w:lang w:val="en-US" w:eastAsia="zh-CN" w:bidi="ar"/>
              </w:rPr>
              <w:t>绩效指标完成情况</w:t>
            </w: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实际完成指标值(包含数字及文字描述)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b/>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3个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3个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4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3个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3个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明确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2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3个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3个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3个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3个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合理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4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15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及时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85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eastAsia="宋体" w:cs="宋体"/>
                <w:sz w:val="20"/>
                <w:szCs w:val="20"/>
              </w:rPr>
              <w:t>该项</w:t>
            </w:r>
            <w:r>
              <w:rPr>
                <w:rFonts w:hint="eastAsia" w:ascii="宋?" w:hAnsi="宋?" w:cs="宋?"/>
                <w:sz w:val="20"/>
                <w:szCs w:val="20"/>
              </w:rPr>
              <w:t>目未存在</w:t>
            </w:r>
            <w:r>
              <w:rPr>
                <w:rFonts w:hint="eastAsia" w:ascii="宋体" w:hAnsi="宋体" w:eastAsia="宋体" w:cs="宋体"/>
                <w:sz w:val="20"/>
                <w:szCs w:val="20"/>
              </w:rPr>
              <w:t>调</w:t>
            </w:r>
            <w:r>
              <w:rPr>
                <w:rFonts w:hint="eastAsia" w:ascii="宋?" w:hAnsi="宋?" w:cs="宋?"/>
                <w:sz w:val="20"/>
                <w:szCs w:val="20"/>
              </w:rPr>
              <w:t>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6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default"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9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体" w:hAnsi="宋体" w:cs="宋体"/>
                <w:i w:val="0"/>
                <w:color w:val="000000"/>
                <w:sz w:val="20"/>
                <w:szCs w:val="20"/>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改善麦洼乡道路建设，保障村民交通畅通。</w:t>
            </w:r>
          </w:p>
          <w:p>
            <w:pPr>
              <w:jc w:val="center"/>
              <w:rPr>
                <w:rFonts w:hint="eastAsia" w:ascii="宋体" w:hAnsi="宋体" w:eastAsia="宋体" w:cs="宋体"/>
                <w:i w:val="0"/>
                <w:color w:val="000000"/>
                <w:sz w:val="20"/>
                <w:szCs w:val="20"/>
                <w:u w:val="none"/>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改善麦洼乡道路建设，保障村民交通畅通。</w:t>
            </w:r>
          </w:p>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35"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改善麦洼乡道路建设，保障村民交通畅通。</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改善麦洼乡道路建设，保障村民交通畅通。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2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75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jc w:val="center"/>
              <w:rPr>
                <w:rFonts w:hint="eastAsia" w:ascii="宋体" w:hAnsi="宋体" w:eastAsia="宋体" w:cs="宋体"/>
                <w:i w:val="0"/>
                <w:color w:val="000000"/>
                <w:sz w:val="20"/>
                <w:szCs w:val="20"/>
                <w:u w:val="none"/>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lang w:val="en-US" w:eastAsia="zh-CN"/>
              </w:rPr>
            </w:pPr>
            <w:r>
              <w:rPr>
                <w:rFonts w:hint="eastAsia" w:ascii="宋体" w:hAnsi="宋体" w:cs="宋体"/>
                <w:i w:val="0"/>
                <w:color w:val="000000"/>
                <w:sz w:val="20"/>
                <w:szCs w:val="20"/>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80" w:hRule="atLeast"/>
        </w:trPr>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宋体" w:eastAsia="仿宋_GB2312" w:cs="仿宋_GB2312"/>
                <w:i w:val="0"/>
                <w:color w:val="000000"/>
                <w:sz w:val="24"/>
                <w:szCs w:val="24"/>
                <w:u w:val="none"/>
              </w:rPr>
            </w:pPr>
          </w:p>
        </w:tc>
        <w:tc>
          <w:tcPr>
            <w:tcW w:w="32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rPr>
                <w:rFonts w:hint="eastAsia" w:ascii="宋体" w:hAnsi="宋体" w:eastAsia="宋体" w:cs="宋体"/>
                <w:i w:val="0"/>
                <w:color w:val="000000"/>
                <w:sz w:val="20"/>
                <w:szCs w:val="20"/>
                <w:u w:val="none"/>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宋体" w:hAnsi="宋体" w:eastAsia="宋体" w:cs="宋体"/>
                <w:i w:val="0"/>
                <w:color w:val="000000"/>
                <w:sz w:val="20"/>
                <w:szCs w:val="20"/>
                <w:u w:val="none"/>
              </w:rPr>
            </w:pPr>
            <w:r>
              <w:rPr>
                <w:rFonts w:hint="eastAsia" w:ascii="宋?" w:hAnsi="宋?" w:cs="宋?"/>
                <w:sz w:val="20"/>
                <w:szCs w:val="20"/>
              </w:rPr>
              <w:t>群</w:t>
            </w:r>
            <w:r>
              <w:rPr>
                <w:rFonts w:hint="eastAsia" w:ascii="宋体" w:hAnsi="宋体" w:eastAsia="宋体" w:cs="宋体"/>
                <w:sz w:val="20"/>
                <w:szCs w:val="20"/>
              </w:rPr>
              <w:t>众满</w:t>
            </w:r>
            <w:r>
              <w:rPr>
                <w:rFonts w:hint="eastAsia" w:ascii="宋?" w:hAnsi="宋?" w:cs="宋?"/>
                <w:sz w:val="20"/>
                <w:szCs w:val="20"/>
              </w:rPr>
              <w:t>意度高</w:t>
            </w:r>
          </w:p>
        </w:tc>
      </w:tr>
    </w:tbl>
    <w:p>
      <w:pPr>
        <w:spacing w:line="580" w:lineRule="exact"/>
        <w:rPr>
          <w:rFonts w:ascii="仿宋_GB2312" w:hAnsi="仿宋_GB2312" w:eastAsia="仿宋_GB2312" w:cs="仿宋_GB2312"/>
          <w:sz w:val="32"/>
          <w:szCs w:val="32"/>
        </w:rPr>
      </w:pPr>
    </w:p>
    <w:p>
      <w:pPr>
        <w:numPr>
          <w:ilvl w:val="0"/>
          <w:numId w:val="5"/>
        </w:numPr>
        <w:spacing w:line="580" w:lineRule="exact"/>
        <w:ind w:firstLine="643" w:firstLineChars="200"/>
        <w:rPr>
          <w:rFonts w:ascii="仿宋" w:hAnsi="仿宋" w:eastAsia="仿宋" w:cs="仿宋_GB2312"/>
          <w:sz w:val="32"/>
          <w:szCs w:val="32"/>
        </w:rPr>
      </w:pPr>
      <w:r>
        <w:rPr>
          <w:rFonts w:hint="eastAsia" w:ascii="仿宋" w:hAnsi="仿宋" w:eastAsia="仿宋" w:cs="楷体_GB2312"/>
          <w:b/>
          <w:bCs/>
          <w:sz w:val="32"/>
          <w:szCs w:val="32"/>
        </w:rPr>
        <w:t>部门开展绩效评价结果。</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本部门按要求对2018年部门整体支出绩效评价情况开展自评，《</w:t>
      </w:r>
      <w:r>
        <w:rPr>
          <w:rFonts w:hint="eastAsia" w:ascii="仿宋_GB2312" w:hAnsi="仿宋_GB2312" w:eastAsia="仿宋_GB2312" w:cs="仿宋_GB2312"/>
          <w:sz w:val="32"/>
          <w:szCs w:val="32"/>
          <w:lang w:val="en-US" w:eastAsia="zh-CN"/>
        </w:rPr>
        <w:t>本</w:t>
      </w:r>
      <w:r>
        <w:rPr>
          <w:rFonts w:hint="eastAsia" w:ascii="仿宋_GB2312" w:hAnsi="仿宋_GB2312" w:eastAsia="仿宋_GB2312" w:cs="仿宋_GB2312"/>
          <w:sz w:val="32"/>
          <w:szCs w:val="32"/>
        </w:rPr>
        <w:t>部门2018年部门整体支出绩效评价报告》见附件。</w:t>
      </w:r>
    </w:p>
    <w:p>
      <w:pPr>
        <w:spacing w:line="58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本部门自行组织对</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2018年麦洼乡7.08水灾灾后恢复建设项目</w:t>
      </w:r>
      <w:r>
        <w:rPr>
          <w:rFonts w:hint="eastAsia" w:ascii="仿宋_GB2312" w:hAnsi="仿宋_GB2312" w:eastAsia="仿宋_GB2312" w:cs="仿宋_GB2312"/>
          <w:sz w:val="32"/>
          <w:szCs w:val="32"/>
        </w:rPr>
        <w:t>开展了绩效评价，《</w:t>
      </w:r>
      <w:r>
        <w:rPr>
          <w:rFonts w:hint="eastAsia" w:ascii="仿宋_GB2312" w:hAnsi="仿宋_GB2312" w:eastAsia="仿宋_GB2312" w:cs="仿宋_GB2312"/>
          <w:sz w:val="32"/>
          <w:szCs w:val="32"/>
          <w:lang w:val="en-US" w:eastAsia="zh-CN"/>
        </w:rPr>
        <w:t>本</w:t>
      </w:r>
      <w:r>
        <w:rPr>
          <w:rFonts w:hint="eastAsia" w:ascii="仿宋_GB2312" w:hAnsi="仿宋_GB2312" w:eastAsia="仿宋_GB2312" w:cs="仿宋_GB2312"/>
          <w:sz w:val="32"/>
          <w:szCs w:val="32"/>
        </w:rPr>
        <w:t>项目2018年绩效评价报告》见附件。</w:t>
      </w:r>
    </w:p>
    <w:p>
      <w:pPr>
        <w:spacing w:line="580" w:lineRule="exact"/>
        <w:jc w:val="center"/>
        <w:rPr>
          <w:rFonts w:ascii="方正小标宋简体" w:hAnsi="方正小标宋简体" w:eastAsia="方正小标宋简体" w:cs="方正小标宋简体"/>
          <w:sz w:val="44"/>
          <w:szCs w:val="44"/>
        </w:rPr>
      </w:pPr>
    </w:p>
    <w:p>
      <w:pPr>
        <w:spacing w:line="600" w:lineRule="exact"/>
        <w:ind w:firstLine="800" w:firstLineChars="250"/>
        <w:outlineLvl w:val="1"/>
        <w:rPr>
          <w:rStyle w:val="28"/>
          <w:rFonts w:ascii="黑体" w:hAnsi="黑体" w:eastAsia="黑体"/>
        </w:rPr>
      </w:pPr>
      <w:bookmarkStart w:id="54" w:name="_Toc15396612"/>
      <w:bookmarkStart w:id="55" w:name="_Toc15377221"/>
      <w:r>
        <w:rPr>
          <w:rFonts w:hint="eastAsia" w:ascii="黑体" w:hAnsi="黑体" w:eastAsia="黑体"/>
          <w:color w:val="000000"/>
          <w:sz w:val="32"/>
          <w:szCs w:val="32"/>
        </w:rPr>
        <w:t>十</w:t>
      </w:r>
      <w:r>
        <w:rPr>
          <w:rStyle w:val="28"/>
          <w:rFonts w:hint="eastAsia" w:ascii="黑体" w:hAnsi="黑体" w:eastAsia="黑体"/>
        </w:rPr>
        <w:t>一、</w:t>
      </w:r>
      <w:r>
        <w:rPr>
          <w:rStyle w:val="28"/>
          <w:rFonts w:hint="eastAsia" w:ascii="黑体" w:hAnsi="黑体" w:eastAsia="黑体"/>
          <w:b w:val="0"/>
        </w:rPr>
        <w:t>其他重要事项的情况说明</w:t>
      </w:r>
      <w:bookmarkEnd w:id="54"/>
      <w:bookmarkEnd w:id="55"/>
    </w:p>
    <w:p>
      <w:pPr>
        <w:spacing w:line="600" w:lineRule="exact"/>
        <w:ind w:firstLine="643" w:firstLineChars="200"/>
        <w:outlineLvl w:val="2"/>
        <w:rPr>
          <w:rFonts w:ascii="仿宋" w:hAnsi="仿宋" w:eastAsia="仿宋"/>
          <w:color w:val="auto"/>
          <w:sz w:val="32"/>
          <w:szCs w:val="32"/>
        </w:rPr>
      </w:pPr>
      <w:bookmarkStart w:id="56" w:name="_Toc15377222"/>
      <w:r>
        <w:rPr>
          <w:rFonts w:hint="eastAsia" w:ascii="仿宋" w:hAnsi="仿宋" w:eastAsia="仿宋"/>
          <w:b/>
          <w:color w:val="auto"/>
          <w:sz w:val="32"/>
          <w:szCs w:val="32"/>
        </w:rPr>
        <w:t>（一）机关运行经费支出情况</w:t>
      </w:r>
      <w:bookmarkEnd w:id="56"/>
    </w:p>
    <w:p>
      <w:pPr>
        <w:spacing w:line="600" w:lineRule="exact"/>
        <w:ind w:firstLine="640" w:firstLineChars="200"/>
        <w:rPr>
          <w:rFonts w:hint="default" w:ascii="仿宋_GB2312" w:eastAsia="仿宋_GB2312"/>
          <w:color w:val="auto"/>
          <w:sz w:val="32"/>
          <w:szCs w:val="32"/>
          <w:lang w:val="en-US" w:eastAsia="zh-CN"/>
        </w:rPr>
      </w:pPr>
      <w:r>
        <w:rPr>
          <w:rFonts w:ascii="仿宋_GB2312" w:eastAsia="仿宋_GB2312"/>
          <w:color w:val="auto"/>
          <w:sz w:val="32"/>
          <w:szCs w:val="32"/>
        </w:rPr>
        <w:t>201</w:t>
      </w:r>
      <w:r>
        <w:rPr>
          <w:rFonts w:hint="eastAsia" w:ascii="仿宋_GB2312" w:eastAsia="仿宋_GB2312"/>
          <w:color w:val="auto"/>
          <w:sz w:val="32"/>
          <w:szCs w:val="32"/>
        </w:rPr>
        <w:t>8年，</w:t>
      </w:r>
      <w:r>
        <w:rPr>
          <w:rFonts w:hint="eastAsia" w:ascii="仿宋_GB2312" w:eastAsia="仿宋_GB2312"/>
          <w:color w:val="auto"/>
          <w:sz w:val="32"/>
          <w:szCs w:val="32"/>
          <w:lang w:val="en-US" w:eastAsia="zh-CN"/>
        </w:rPr>
        <w:t>麦洼乡</w:t>
      </w:r>
      <w:r>
        <w:rPr>
          <w:rFonts w:hint="eastAsia" w:ascii="仿宋_GB2312" w:eastAsia="仿宋_GB2312"/>
          <w:color w:val="auto"/>
          <w:sz w:val="32"/>
          <w:szCs w:val="32"/>
        </w:rPr>
        <w:t>机关运行经费支出</w:t>
      </w:r>
      <w:r>
        <w:rPr>
          <w:rFonts w:hint="eastAsia" w:ascii="仿宋_GB2312" w:eastAsia="仿宋_GB2312"/>
          <w:color w:val="auto"/>
          <w:sz w:val="32"/>
          <w:szCs w:val="32"/>
          <w:lang w:val="en-US" w:eastAsia="zh-CN"/>
        </w:rPr>
        <w:t>36.21</w:t>
      </w:r>
      <w:r>
        <w:rPr>
          <w:rFonts w:hint="eastAsia" w:ascii="仿宋_GB2312" w:eastAsia="仿宋_GB2312"/>
          <w:color w:val="auto"/>
          <w:sz w:val="32"/>
          <w:szCs w:val="32"/>
        </w:rPr>
        <w:t>万元，比</w:t>
      </w:r>
      <w:r>
        <w:rPr>
          <w:rFonts w:ascii="仿宋_GB2312" w:eastAsia="仿宋_GB2312"/>
          <w:color w:val="auto"/>
          <w:sz w:val="32"/>
          <w:szCs w:val="32"/>
        </w:rPr>
        <w:t>201</w:t>
      </w:r>
      <w:r>
        <w:rPr>
          <w:rFonts w:hint="eastAsia" w:ascii="仿宋_GB2312" w:eastAsia="仿宋_GB2312"/>
          <w:color w:val="auto"/>
          <w:sz w:val="32"/>
          <w:szCs w:val="32"/>
        </w:rPr>
        <w:t>7年</w:t>
      </w:r>
      <w:r>
        <w:rPr>
          <w:rFonts w:hint="eastAsia" w:ascii="仿宋_GB2312" w:eastAsia="仿宋_GB2312"/>
          <w:color w:val="auto"/>
          <w:sz w:val="32"/>
          <w:szCs w:val="32"/>
          <w:lang w:val="en-US" w:eastAsia="zh-CN"/>
        </w:rPr>
        <w:t>减少25.18</w:t>
      </w:r>
      <w:r>
        <w:rPr>
          <w:rFonts w:hint="eastAsia" w:ascii="仿宋_GB2312" w:eastAsia="仿宋_GB2312"/>
          <w:color w:val="auto"/>
          <w:sz w:val="32"/>
          <w:szCs w:val="32"/>
        </w:rPr>
        <w:t>万元，</w:t>
      </w:r>
      <w:r>
        <w:rPr>
          <w:rFonts w:hint="eastAsia" w:ascii="仿宋_GB2312" w:eastAsia="仿宋_GB2312"/>
          <w:color w:val="auto"/>
          <w:sz w:val="32"/>
          <w:szCs w:val="32"/>
          <w:lang w:eastAsia="zh-CN"/>
        </w:rPr>
        <w:t>下降</w:t>
      </w:r>
      <w:r>
        <w:rPr>
          <w:rFonts w:hint="eastAsia" w:ascii="仿宋_GB2312" w:eastAsia="仿宋_GB2312"/>
          <w:color w:val="auto"/>
          <w:sz w:val="32"/>
          <w:szCs w:val="32"/>
          <w:lang w:val="en-US" w:eastAsia="zh-CN"/>
        </w:rPr>
        <w:t>41.02</w:t>
      </w:r>
      <w:r>
        <w:rPr>
          <w:rFonts w:ascii="仿宋_GB2312" w:eastAsia="仿宋_GB2312"/>
          <w:color w:val="auto"/>
          <w:sz w:val="32"/>
          <w:szCs w:val="32"/>
        </w:rPr>
        <w:t>%</w:t>
      </w:r>
      <w:r>
        <w:rPr>
          <w:rFonts w:hint="eastAsia" w:ascii="仿宋_GB2312" w:eastAsia="仿宋_GB2312"/>
          <w:color w:val="auto"/>
          <w:sz w:val="32"/>
          <w:szCs w:val="32"/>
          <w:lang w:eastAsia="zh-CN"/>
        </w:rPr>
        <w:t>，</w:t>
      </w:r>
      <w:r>
        <w:rPr>
          <w:rFonts w:hint="eastAsia" w:ascii="仿宋_GB2312" w:eastAsia="仿宋_GB2312"/>
          <w:color w:val="auto"/>
          <w:sz w:val="32"/>
          <w:szCs w:val="32"/>
        </w:rPr>
        <w:t>主要原因</w:t>
      </w:r>
      <w:r>
        <w:rPr>
          <w:rFonts w:hint="eastAsia" w:ascii="仿宋_GB2312" w:eastAsia="仿宋_GB2312"/>
          <w:color w:val="auto"/>
          <w:sz w:val="32"/>
          <w:szCs w:val="32"/>
          <w:lang w:val="en-US" w:eastAsia="zh-CN"/>
        </w:rPr>
        <w:t>是厉行节约，减少不必要的开展。</w:t>
      </w:r>
    </w:p>
    <w:p>
      <w:pPr>
        <w:autoSpaceDE w:val="0"/>
        <w:autoSpaceDN w:val="0"/>
        <w:adjustRightInd w:val="0"/>
        <w:spacing w:line="600" w:lineRule="exact"/>
        <w:ind w:firstLine="643" w:firstLineChars="200"/>
        <w:jc w:val="left"/>
        <w:outlineLvl w:val="2"/>
        <w:rPr>
          <w:rFonts w:ascii="仿宋" w:hAnsi="仿宋" w:eastAsia="仿宋"/>
          <w:b/>
          <w:color w:val="auto"/>
          <w:sz w:val="32"/>
          <w:szCs w:val="32"/>
        </w:rPr>
      </w:pPr>
      <w:bookmarkStart w:id="57" w:name="_Toc15377223"/>
      <w:r>
        <w:rPr>
          <w:rFonts w:hint="eastAsia" w:ascii="仿宋" w:hAnsi="仿宋" w:eastAsia="仿宋"/>
          <w:b/>
          <w:color w:val="auto"/>
          <w:sz w:val="32"/>
          <w:szCs w:val="32"/>
        </w:rPr>
        <w:t>（二）政府采购支出情况</w:t>
      </w:r>
      <w:bookmarkEnd w:id="57"/>
    </w:p>
    <w:p>
      <w:pPr>
        <w:spacing w:line="600" w:lineRule="exact"/>
        <w:ind w:firstLine="640" w:firstLineChars="200"/>
        <w:rPr>
          <w:rFonts w:ascii="仿宋_GB2312" w:eastAsia="仿宋_GB2312"/>
          <w:color w:val="auto"/>
          <w:sz w:val="32"/>
          <w:szCs w:val="32"/>
        </w:rPr>
      </w:pPr>
      <w:r>
        <w:rPr>
          <w:rFonts w:ascii="仿宋_GB2312" w:eastAsia="仿宋_GB2312"/>
          <w:color w:val="auto"/>
          <w:sz w:val="32"/>
          <w:szCs w:val="32"/>
        </w:rPr>
        <w:t>201</w:t>
      </w:r>
      <w:r>
        <w:rPr>
          <w:rFonts w:hint="eastAsia" w:ascii="仿宋_GB2312" w:eastAsia="仿宋_GB2312"/>
          <w:color w:val="auto"/>
          <w:sz w:val="32"/>
          <w:szCs w:val="32"/>
        </w:rPr>
        <w:t>8年，</w:t>
      </w:r>
      <w:r>
        <w:rPr>
          <w:rFonts w:hint="eastAsia" w:ascii="仿宋_GB2312" w:eastAsia="仿宋_GB2312"/>
          <w:color w:val="auto"/>
          <w:sz w:val="32"/>
          <w:szCs w:val="32"/>
          <w:lang w:val="en-US" w:eastAsia="zh-CN"/>
        </w:rPr>
        <w:t>麦洼乡</w:t>
      </w:r>
      <w:r>
        <w:rPr>
          <w:rFonts w:hint="eastAsia" w:ascii="仿宋_GB2312" w:eastAsia="仿宋_GB2312"/>
          <w:color w:val="auto"/>
          <w:sz w:val="32"/>
          <w:szCs w:val="32"/>
        </w:rPr>
        <w:t>政府采购支出总额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万元，其中：政府采购货物支出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万元、政府采购工程支出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万元、政府采购服务支出</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r>
        <w:rPr>
          <w:rFonts w:hint="eastAsia" w:ascii="仿宋_GB2312" w:eastAsia="仿宋_GB2312"/>
          <w:color w:val="auto"/>
          <w:sz w:val="32"/>
          <w:szCs w:val="32"/>
          <w:lang w:val="en-US" w:eastAsia="zh-CN"/>
        </w:rPr>
        <w:t>无该项支出</w:t>
      </w:r>
      <w:r>
        <w:rPr>
          <w:rFonts w:hint="eastAsia" w:ascii="仿宋_GB2312" w:eastAsia="仿宋_GB2312"/>
          <w:color w:val="auto"/>
          <w:sz w:val="32"/>
          <w:szCs w:val="32"/>
        </w:rPr>
        <w:t>。授予中小企业合同金额</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p>
    <w:p>
      <w:pPr>
        <w:autoSpaceDE w:val="0"/>
        <w:autoSpaceDN w:val="0"/>
        <w:adjustRightInd w:val="0"/>
        <w:spacing w:line="600" w:lineRule="exact"/>
        <w:ind w:firstLine="643" w:firstLineChars="200"/>
        <w:jc w:val="left"/>
        <w:outlineLvl w:val="2"/>
        <w:rPr>
          <w:rFonts w:ascii="仿宋" w:hAnsi="仿宋" w:eastAsia="仿宋"/>
          <w:b/>
          <w:color w:val="auto"/>
          <w:sz w:val="32"/>
          <w:szCs w:val="32"/>
        </w:rPr>
      </w:pPr>
      <w:bookmarkStart w:id="58" w:name="_Toc15377224"/>
      <w:r>
        <w:rPr>
          <w:rFonts w:hint="eastAsia" w:ascii="仿宋" w:hAnsi="仿宋" w:eastAsia="仿宋"/>
          <w:b/>
          <w:color w:val="auto"/>
          <w:sz w:val="32"/>
          <w:szCs w:val="32"/>
        </w:rPr>
        <w:t>（三）国有资产占有使用情况</w:t>
      </w:r>
      <w:bookmarkEnd w:id="58"/>
    </w:p>
    <w:p>
      <w:pPr>
        <w:autoSpaceDE w:val="0"/>
        <w:autoSpaceDN w:val="0"/>
        <w:adjustRightInd w:val="0"/>
        <w:spacing w:line="600" w:lineRule="exact"/>
        <w:ind w:firstLine="640" w:firstLineChars="200"/>
        <w:jc w:val="left"/>
        <w:rPr>
          <w:rFonts w:ascii="仿宋_GB2312" w:eastAsia="仿宋_GB2312"/>
          <w:color w:val="auto"/>
          <w:sz w:val="32"/>
          <w:szCs w:val="32"/>
        </w:rPr>
      </w:pPr>
      <w:r>
        <w:rPr>
          <w:rFonts w:hint="eastAsia" w:ascii="仿宋_GB2312" w:eastAsia="仿宋_GB2312"/>
          <w:color w:val="auto"/>
          <w:sz w:val="32"/>
          <w:szCs w:val="32"/>
        </w:rPr>
        <w:t>截至</w:t>
      </w:r>
      <w:r>
        <w:rPr>
          <w:rFonts w:ascii="仿宋_GB2312" w:eastAsia="仿宋_GB2312"/>
          <w:color w:val="auto"/>
          <w:sz w:val="32"/>
          <w:szCs w:val="32"/>
        </w:rPr>
        <w:t>201</w:t>
      </w:r>
      <w:r>
        <w:rPr>
          <w:rFonts w:hint="eastAsia" w:ascii="仿宋_GB2312" w:eastAsia="仿宋_GB2312"/>
          <w:color w:val="auto"/>
          <w:sz w:val="32"/>
          <w:szCs w:val="32"/>
        </w:rPr>
        <w:t>8年</w:t>
      </w:r>
      <w:r>
        <w:rPr>
          <w:rFonts w:ascii="仿宋_GB2312" w:eastAsia="仿宋_GB2312"/>
          <w:color w:val="auto"/>
          <w:sz w:val="32"/>
          <w:szCs w:val="32"/>
        </w:rPr>
        <w:t>12</w:t>
      </w:r>
      <w:r>
        <w:rPr>
          <w:rFonts w:hint="eastAsia" w:ascii="仿宋_GB2312" w:eastAsia="仿宋_GB2312"/>
          <w:color w:val="auto"/>
          <w:sz w:val="32"/>
          <w:szCs w:val="32"/>
        </w:rPr>
        <w:t>月</w:t>
      </w:r>
      <w:r>
        <w:rPr>
          <w:rFonts w:ascii="仿宋_GB2312" w:eastAsia="仿宋_GB2312"/>
          <w:color w:val="auto"/>
          <w:sz w:val="32"/>
          <w:szCs w:val="32"/>
        </w:rPr>
        <w:t>31</w:t>
      </w:r>
      <w:r>
        <w:rPr>
          <w:rFonts w:hint="eastAsia" w:ascii="仿宋_GB2312" w:eastAsia="仿宋_GB2312"/>
          <w:color w:val="auto"/>
          <w:sz w:val="32"/>
          <w:szCs w:val="32"/>
        </w:rPr>
        <w:t>日，</w:t>
      </w:r>
      <w:r>
        <w:rPr>
          <w:rFonts w:hint="eastAsia" w:ascii="仿宋_GB2312" w:eastAsia="仿宋_GB2312"/>
          <w:color w:val="auto"/>
          <w:sz w:val="32"/>
          <w:szCs w:val="32"/>
          <w:lang w:val="en-US" w:eastAsia="zh-CN"/>
        </w:rPr>
        <w:t>麦洼</w:t>
      </w:r>
      <w:r>
        <w:rPr>
          <w:rFonts w:hint="eastAsia" w:ascii="仿宋_GB2312" w:eastAsia="仿宋_GB2312"/>
          <w:color w:val="auto"/>
          <w:sz w:val="32"/>
          <w:szCs w:val="32"/>
        </w:rPr>
        <w:t>共有车辆</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辆，其中：部级领导干部用车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辆、一般公务用车</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辆、一般执法执勤用车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辆、特种专业技术用车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辆、其他用车</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辆，</w:t>
      </w:r>
      <w:r>
        <w:rPr>
          <w:rFonts w:hint="eastAsia" w:ascii="仿宋_GB2312" w:eastAsia="仿宋_GB2312"/>
          <w:color w:val="auto"/>
          <w:sz w:val="32"/>
          <w:szCs w:val="32"/>
          <w:lang w:val="en-US" w:eastAsia="zh-CN"/>
        </w:rPr>
        <w:t>无</w:t>
      </w:r>
      <w:r>
        <w:rPr>
          <w:rFonts w:hint="eastAsia" w:ascii="仿宋_GB2312" w:eastAsia="仿宋_GB2312"/>
          <w:color w:val="auto"/>
          <w:sz w:val="32"/>
          <w:szCs w:val="32"/>
        </w:rPr>
        <w:t>其他用车</w:t>
      </w:r>
      <w:r>
        <w:rPr>
          <w:rFonts w:hint="eastAsia" w:ascii="仿宋_GB2312" w:eastAsia="仿宋_GB2312"/>
          <w:color w:val="auto"/>
          <w:sz w:val="32"/>
          <w:szCs w:val="32"/>
          <w:lang w:eastAsia="zh-CN"/>
        </w:rPr>
        <w:t>，</w:t>
      </w:r>
      <w:r>
        <w:rPr>
          <w:rFonts w:hint="eastAsia" w:ascii="仿宋_GB2312" w:eastAsia="仿宋_GB2312"/>
          <w:color w:val="auto"/>
          <w:sz w:val="32"/>
          <w:szCs w:val="32"/>
        </w:rPr>
        <w:t>单价</w:t>
      </w:r>
      <w:r>
        <w:rPr>
          <w:rFonts w:ascii="仿宋_GB2312" w:eastAsia="仿宋_GB2312"/>
          <w:color w:val="auto"/>
          <w:sz w:val="32"/>
          <w:szCs w:val="32"/>
        </w:rPr>
        <w:t>50</w:t>
      </w:r>
      <w:r>
        <w:rPr>
          <w:rFonts w:hint="eastAsia" w:ascii="仿宋_GB2312" w:eastAsia="仿宋_GB2312"/>
          <w:color w:val="auto"/>
          <w:sz w:val="32"/>
          <w:szCs w:val="32"/>
        </w:rPr>
        <w:t>万元以上通用设备</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台（套），单价</w:t>
      </w:r>
      <w:r>
        <w:rPr>
          <w:rFonts w:ascii="仿宋_GB2312" w:eastAsia="仿宋_GB2312"/>
          <w:color w:val="auto"/>
          <w:sz w:val="32"/>
          <w:szCs w:val="32"/>
        </w:rPr>
        <w:t>100</w:t>
      </w:r>
      <w:r>
        <w:rPr>
          <w:rFonts w:hint="eastAsia" w:ascii="仿宋_GB2312" w:eastAsia="仿宋_GB2312"/>
          <w:color w:val="auto"/>
          <w:sz w:val="32"/>
          <w:szCs w:val="32"/>
        </w:rPr>
        <w:t>万元以上专用设备</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台（套）</w:t>
      </w:r>
      <w:r>
        <w:rPr>
          <w:rFonts w:hint="eastAsia" w:ascii="仿宋_GB2312" w:eastAsia="仿宋_GB2312"/>
          <w:color w:val="auto"/>
          <w:sz w:val="32"/>
          <w:szCs w:val="32"/>
          <w:lang w:eastAsia="zh-CN"/>
        </w:rPr>
        <w:t>，房屋价值</w:t>
      </w:r>
      <w:r>
        <w:rPr>
          <w:rFonts w:hint="eastAsia" w:ascii="仿宋_GB2312" w:eastAsia="仿宋_GB2312"/>
          <w:color w:val="auto"/>
          <w:sz w:val="32"/>
          <w:szCs w:val="32"/>
          <w:lang w:val="en-US" w:eastAsia="zh-CN"/>
        </w:rPr>
        <w:t>1335.58万元。</w:t>
      </w:r>
    </w:p>
    <w:p>
      <w:pPr>
        <w:spacing w:line="600" w:lineRule="atLeast"/>
        <w:ind w:firstLine="643" w:firstLineChars="200"/>
        <w:rPr>
          <w:rFonts w:ascii="仿宋_GB2312" w:eastAsia="仿宋_GB2312"/>
          <w:b/>
          <w:color w:val="000000"/>
          <w:sz w:val="32"/>
          <w:szCs w:val="32"/>
        </w:rPr>
      </w:pPr>
    </w:p>
    <w:p>
      <w:pPr>
        <w:widowControl/>
        <w:jc w:val="left"/>
        <w:rPr>
          <w:rFonts w:ascii="仿宋_GB2312" w:eastAsia="仿宋_GB2312"/>
          <w:b/>
          <w:color w:val="000000"/>
          <w:sz w:val="32"/>
          <w:szCs w:val="32"/>
        </w:rPr>
      </w:pPr>
      <w:r>
        <w:rPr>
          <w:rFonts w:ascii="仿宋_GB2312" w:eastAsia="仿宋_GB2312"/>
          <w:b/>
          <w:color w:val="000000"/>
          <w:sz w:val="32"/>
          <w:szCs w:val="32"/>
        </w:rPr>
        <w:br w:type="page"/>
      </w:r>
    </w:p>
    <w:p>
      <w:pPr>
        <w:numPr>
          <w:ilvl w:val="0"/>
          <w:numId w:val="7"/>
        </w:numPr>
        <w:spacing w:line="600" w:lineRule="exact"/>
        <w:ind w:firstLine="663" w:firstLineChars="150"/>
        <w:jc w:val="center"/>
        <w:outlineLvl w:val="0"/>
        <w:rPr>
          <w:rStyle w:val="27"/>
          <w:rFonts w:ascii="黑体" w:hAnsi="黑体" w:eastAsia="黑体"/>
          <w:b w:val="0"/>
        </w:rPr>
      </w:pPr>
      <w:bookmarkStart w:id="59" w:name="_Toc15377225"/>
      <w:bookmarkStart w:id="60" w:name="_Toc15396613"/>
      <w:r>
        <w:rPr>
          <w:rFonts w:hint="eastAsia" w:ascii="黑体" w:hAnsi="黑体" w:eastAsia="黑体"/>
          <w:b/>
          <w:color w:val="000000"/>
          <w:sz w:val="44"/>
          <w:szCs w:val="44"/>
        </w:rPr>
        <w:t>名</w:t>
      </w:r>
      <w:r>
        <w:rPr>
          <w:rStyle w:val="27"/>
          <w:rFonts w:hint="eastAsia" w:ascii="黑体" w:hAnsi="黑体" w:eastAsia="黑体"/>
          <w:b w:val="0"/>
        </w:rPr>
        <w:t>词解释</w:t>
      </w:r>
      <w:bookmarkEnd w:id="59"/>
      <w:bookmarkEnd w:id="60"/>
    </w:p>
    <w:p>
      <w:pPr>
        <w:spacing w:line="600" w:lineRule="exact"/>
        <w:jc w:val="left"/>
        <w:rPr>
          <w:rFonts w:ascii="宋体"/>
          <w:b/>
          <w:color w:val="000000"/>
          <w:sz w:val="44"/>
          <w:szCs w:val="44"/>
        </w:rPr>
      </w:pPr>
    </w:p>
    <w:p>
      <w:pPr>
        <w:pStyle w:val="25"/>
        <w:spacing w:line="560" w:lineRule="exact"/>
        <w:ind w:firstLine="640" w:firstLineChars="200"/>
        <w:rPr>
          <w:rFonts w:ascii="仿宋_GB2312" w:eastAsia="仿宋_GB2312"/>
          <w:sz w:val="32"/>
          <w:szCs w:val="32"/>
        </w:rPr>
      </w:pPr>
      <w:r>
        <w:rPr>
          <w:rFonts w:ascii="仿宋_GB2312" w:eastAsia="仿宋_GB2312"/>
          <w:sz w:val="32"/>
          <w:szCs w:val="32"/>
        </w:rPr>
        <w:t>1.</w:t>
      </w:r>
      <w:r>
        <w:rPr>
          <w:rFonts w:hint="eastAsia" w:ascii="仿宋_GB2312" w:eastAsia="仿宋_GB2312"/>
          <w:sz w:val="32"/>
          <w:szCs w:val="32"/>
        </w:rPr>
        <w:t>财政拨款收入：指单位从同级财政部门取得的财政预算资金。</w:t>
      </w:r>
    </w:p>
    <w:p>
      <w:pPr>
        <w:pStyle w:val="25"/>
        <w:spacing w:line="560" w:lineRule="exact"/>
        <w:ind w:firstLine="640" w:firstLineChars="200"/>
        <w:rPr>
          <w:rFonts w:hint="eastAsia" w:ascii="仿宋_GB2312" w:eastAsia="仿宋_GB2312"/>
          <w:sz w:val="32"/>
          <w:szCs w:val="32"/>
          <w:lang w:eastAsia="zh-CN"/>
        </w:rPr>
      </w:pPr>
      <w:r>
        <w:rPr>
          <w:rFonts w:ascii="仿宋_GB2312" w:eastAsia="仿宋_GB2312"/>
          <w:sz w:val="32"/>
          <w:szCs w:val="32"/>
        </w:rPr>
        <w:t>2.</w:t>
      </w:r>
      <w:r>
        <w:rPr>
          <w:rFonts w:hint="eastAsia" w:ascii="仿宋_GB2312" w:eastAsia="仿宋_GB2312"/>
          <w:sz w:val="32"/>
          <w:szCs w:val="32"/>
        </w:rPr>
        <w:t>事业收入：指事业单位开展专业业务活动及辅助活动取得的收入</w:t>
      </w:r>
      <w:r>
        <w:rPr>
          <w:rFonts w:hint="eastAsia" w:ascii="仿宋_GB2312" w:eastAsia="仿宋_GB2312"/>
          <w:sz w:val="32"/>
          <w:szCs w:val="32"/>
          <w:lang w:eastAsia="zh-CN"/>
        </w:rPr>
        <w:t>。</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3.</w:t>
      </w:r>
      <w:r>
        <w:rPr>
          <w:rFonts w:hint="eastAsia" w:ascii="仿宋_GB2312" w:eastAsia="仿宋_GB2312"/>
          <w:sz w:val="32"/>
          <w:szCs w:val="32"/>
        </w:rPr>
        <w:t>经营收入：指事业单位在专业业务活动及其辅助活动之外开展非独立核算经营活动取得的收入。如…</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4.</w:t>
      </w:r>
      <w:r>
        <w:rPr>
          <w:rFonts w:hint="eastAsia" w:ascii="仿宋_GB2312" w:eastAsia="仿宋_GB2312"/>
          <w:sz w:val="32"/>
          <w:szCs w:val="32"/>
        </w:rPr>
        <w:t>其他收入：指单位取得的除上述收入以外的各项收入。</w:t>
      </w:r>
      <w:r>
        <w:rPr>
          <w:rFonts w:ascii="仿宋_GB2312" w:eastAsia="仿宋_GB2312"/>
          <w:sz w:val="32"/>
          <w:szCs w:val="32"/>
        </w:rPr>
        <w:t xml:space="preserve"> </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5.</w:t>
      </w:r>
      <w:r>
        <w:rPr>
          <w:rFonts w:hint="eastAsia" w:ascii="仿宋_GB2312" w:eastAsia="仿宋_GB2312"/>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sz w:val="32"/>
          <w:szCs w:val="32"/>
        </w:rPr>
        <w:t xml:space="preserve"> </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6.</w:t>
      </w:r>
      <w:r>
        <w:rPr>
          <w:rFonts w:hint="eastAsia" w:ascii="仿宋_GB2312" w:eastAsia="仿宋_GB2312"/>
          <w:sz w:val="32"/>
          <w:szCs w:val="32"/>
        </w:rPr>
        <w:t>年初结转和结余：指以前年度尚未完成、结转到本年按有关规定继续使用的资金。</w:t>
      </w:r>
      <w:r>
        <w:rPr>
          <w:rFonts w:ascii="仿宋_GB2312" w:eastAsia="仿宋_GB2312"/>
          <w:sz w:val="32"/>
          <w:szCs w:val="32"/>
        </w:rPr>
        <w:t xml:space="preserve"> </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7.</w:t>
      </w:r>
      <w:r>
        <w:rPr>
          <w:rFonts w:hint="eastAsia" w:ascii="仿宋_GB2312" w:eastAsia="仿宋_GB2312"/>
          <w:sz w:val="32"/>
          <w:szCs w:val="32"/>
        </w:rPr>
        <w:t>结余分配：指事业单位按照事业单位会计制度的规定从非财政补助结余中分配的事业基金和职工福利基金等。</w:t>
      </w:r>
    </w:p>
    <w:p>
      <w:pPr>
        <w:pStyle w:val="25"/>
        <w:spacing w:line="560" w:lineRule="exact"/>
        <w:ind w:firstLine="640" w:firstLineChars="200"/>
        <w:rPr>
          <w:rFonts w:ascii="仿宋_GB2312" w:eastAsia="仿宋_GB2312"/>
          <w:sz w:val="32"/>
          <w:szCs w:val="32"/>
        </w:rPr>
      </w:pPr>
      <w:r>
        <w:rPr>
          <w:rFonts w:ascii="仿宋_GB2312" w:eastAsia="仿宋_GB2312"/>
          <w:sz w:val="32"/>
          <w:szCs w:val="32"/>
        </w:rPr>
        <w:t>8</w:t>
      </w:r>
      <w:r>
        <w:rPr>
          <w:rFonts w:hint="eastAsia" w:ascii="仿宋_GB2312" w:eastAsia="仿宋_GB2312"/>
          <w:sz w:val="32"/>
          <w:szCs w:val="32"/>
        </w:rPr>
        <w:t>、年末结转和结余：指单位按有关规定结转到下年或以后年度继续使用的资金。</w:t>
      </w:r>
    </w:p>
    <w:p>
      <w:pPr>
        <w:pStyle w:val="25"/>
        <w:spacing w:line="560" w:lineRule="exact"/>
        <w:ind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9</w:t>
      </w:r>
      <w:r>
        <w:rPr>
          <w:rFonts w:ascii="仿宋_GB2312" w:eastAsia="仿宋_GB2312"/>
          <w:color w:val="auto"/>
          <w:sz w:val="32"/>
          <w:szCs w:val="32"/>
        </w:rPr>
        <w:t>.</w:t>
      </w:r>
      <w:r>
        <w:rPr>
          <w:rFonts w:hint="eastAsia" w:ascii="仿宋_GB2312" w:eastAsia="仿宋_GB2312"/>
          <w:color w:val="auto"/>
          <w:sz w:val="32"/>
          <w:szCs w:val="32"/>
        </w:rPr>
        <w:t>政府性基金收入：指各级政府及其所属部门根据法律、行政法规规定并经国务院或财政部批准，向公民、法人和其他组织征收的政府性基金，以及参照政府性基金管理或纳入基金预算、具有特定用途的财政资金。</w:t>
      </w:r>
    </w:p>
    <w:p>
      <w:pPr>
        <w:ind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10.2010101-行政运行：指行政单位人大事务</w:t>
      </w:r>
    </w:p>
    <w:p>
      <w:pPr>
        <w:ind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11.2010108-代表工作：指行政单位人大代表事务</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12.2010301-行政运行：指行政单位政府办公厅（室）及相关机构事务</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13.2010302-般行政管理事务：指行政单位-般行政管理事务</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14.2010601-行政运行：指行政单位财政事务</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15.2013101-行政运行：指行政单位党委办公厅（室）及相关机构事务</w:t>
      </w:r>
    </w:p>
    <w:p>
      <w:pPr>
        <w:ind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16.2070199-文化体育与传媒其他支出：指行政单位文化体育与传媒支出。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17.2080208-基层政权和社区建设：对村民委员会的补助</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18.2080505-机关事业单位基本养老保险缴费支出：指机关事业单位基本养老保险缴费支出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19.2080506-机关事业单位职业年金缴费支出：指机关事业单位职业年金缴费支出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20.2081107-残疾人生活和护理补贴：指重度残疾人护理补助</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21.2082102-农村特困人员救助供养支出：指对五保户、大骨节等救济费支出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22.2100302-基层医疗卫生机构乡镇卫生院补助：乡镇卫生院补助</w:t>
      </w:r>
    </w:p>
    <w:p>
      <w:pPr>
        <w:pStyle w:val="2"/>
        <w:ind w:left="0" w:leftChars="0" w:firstLine="64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23.2101101-行政单位医疗补助;指行政单位医疗方面的支出。</w:t>
      </w:r>
    </w:p>
    <w:p>
      <w:pPr>
        <w:pStyle w:val="2"/>
        <w:ind w:left="0" w:leftChars="0" w:firstLine="64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24.2101103-公务员医疗补助：指行政单位公务员医疗方面的支出。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25.2120399-其他城乡社区公共设施支出：指政府城乡社区事务支出。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26.2120501-城乡社区环境卫生支出;指城乡社区环境卫生方面支出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27.2130109-农产品质量安全支出：指农产品质量安全方面的支出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28.2130152-对高校毕业生到基层任职补助：指对高校毕业生到基层任职补助</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29.2130504-农村基础设施建设支出：指农村基础设施建设支出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30.2130505-生产发展支出：指生产发展方面的支出。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31.2130599-其他扶贫支出：指其他扶贫支出。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32.2130701-对村级一事一议的补助：指对村级一事一议的补助</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33.2130705-对村民委员会和村党支部的补助：指对村民委员会和村党支部的补助</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34.2139999-其他农林水支出：指其他农林水支出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35.2140104-公路建设支出：指公路建设支出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36.2140601-车辆购置税用于公路等基础设施建设支出：指车辆购置税用于公路等基础设施建设支出</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37.2210105-农村危房改造支出：指农村危房改造方面的支出。</w:t>
      </w:r>
    </w:p>
    <w:p>
      <w:pPr>
        <w:ind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38.2210201-住房公积金：指反映行政事业单位按人力资源和社会保障部、财政部规定的基本工资和津贴补贴以及规定比例为职工缴纳的住房公积金。</w:t>
      </w:r>
    </w:p>
    <w:p>
      <w:pPr>
        <w:pStyle w:val="2"/>
        <w:ind w:left="0" w:leftChars="0" w:firstLine="640" w:firstLineChars="200"/>
        <w:rPr>
          <w:rFonts w:hint="eastAsia" w:ascii="仿宋_GB2312" w:hAnsi="Calibri" w:eastAsia="仿宋_GB2312" w:cs="仿宋"/>
          <w:color w:val="auto"/>
          <w:kern w:val="0"/>
          <w:sz w:val="32"/>
          <w:szCs w:val="32"/>
          <w:lang w:val="en-US" w:eastAsia="zh-CN" w:bidi="ar-SA"/>
        </w:rPr>
      </w:pPr>
      <w:r>
        <w:rPr>
          <w:rFonts w:hint="eastAsia" w:ascii="仿宋_GB2312" w:hAnsi="Calibri" w:eastAsia="仿宋_GB2312" w:cs="仿宋"/>
          <w:color w:val="auto"/>
          <w:kern w:val="0"/>
          <w:sz w:val="32"/>
          <w:szCs w:val="32"/>
          <w:lang w:val="en-US" w:eastAsia="zh-CN" w:bidi="ar-SA"/>
        </w:rPr>
        <w:t>39.2299901-其他支出：其他支出</w:t>
      </w:r>
    </w:p>
    <w:p>
      <w:pPr>
        <w:ind w:firstLine="640" w:firstLineChars="200"/>
        <w:rPr>
          <w:rFonts w:ascii="仿宋_GB2312" w:eastAsia="仿宋_GB2312"/>
          <w:color w:val="000000"/>
          <w:sz w:val="32"/>
          <w:szCs w:val="32"/>
        </w:rPr>
      </w:pPr>
      <w:r>
        <w:rPr>
          <w:rFonts w:hint="eastAsia" w:ascii="仿宋_GB2312" w:hAnsi="Calibri" w:eastAsia="仿宋_GB2312" w:cs="仿宋"/>
          <w:color w:val="auto"/>
          <w:kern w:val="0"/>
          <w:sz w:val="32"/>
          <w:szCs w:val="32"/>
          <w:lang w:val="en-US" w:eastAsia="zh-CN" w:bidi="ar-SA"/>
        </w:rPr>
        <w:t>40.基本支出：指为保障机构正常</w:t>
      </w:r>
      <w:r>
        <w:rPr>
          <w:rFonts w:hint="eastAsia" w:ascii="仿宋_GB2312" w:eastAsia="仿宋_GB2312"/>
          <w:color w:val="000000"/>
          <w:sz w:val="32"/>
          <w:szCs w:val="32"/>
        </w:rPr>
        <w:t>运转、完成日常工作任务而发生的人员支出和公用支出。</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41</w:t>
      </w:r>
      <w:r>
        <w:rPr>
          <w:rFonts w:ascii="仿宋_GB2312" w:eastAsia="仿宋_GB2312"/>
          <w:color w:val="000000"/>
          <w:sz w:val="32"/>
          <w:szCs w:val="32"/>
        </w:rPr>
        <w:t>.</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pPr>
        <w:ind w:firstLine="640" w:firstLineChars="200"/>
        <w:rPr>
          <w:rFonts w:ascii="仿宋_GB2312" w:eastAsia="仿宋_GB2312"/>
          <w:color w:val="000000"/>
          <w:sz w:val="32"/>
          <w:szCs w:val="32"/>
        </w:rPr>
      </w:pPr>
      <w:r>
        <w:rPr>
          <w:rFonts w:hint="eastAsia" w:ascii="仿宋_GB2312" w:eastAsia="仿宋_GB2312"/>
          <w:color w:val="000000"/>
          <w:sz w:val="32"/>
          <w:szCs w:val="32"/>
          <w:lang w:val="en-US" w:eastAsia="zh-CN"/>
        </w:rPr>
        <w:t>42</w:t>
      </w:r>
      <w:r>
        <w:rPr>
          <w:rFonts w:ascii="仿宋_GB2312" w:eastAsia="仿宋_GB2312"/>
          <w:color w:val="000000"/>
          <w:sz w:val="32"/>
          <w:szCs w:val="32"/>
        </w:rPr>
        <w:t>.</w:t>
      </w:r>
      <w:r>
        <w:rPr>
          <w:rFonts w:hint="eastAsia" w:ascii="仿宋_GB2312" w:eastAsia="仿宋_GB2312"/>
          <w:color w:val="000000"/>
          <w:sz w:val="32"/>
          <w:szCs w:val="32"/>
        </w:rPr>
        <w:t>经营支出：指事业单位在专业业务活动及其辅助活动之外开展非独立核算经营活动发生的支出。</w:t>
      </w:r>
    </w:p>
    <w:p>
      <w:pPr>
        <w:pStyle w:val="25"/>
        <w:spacing w:line="560" w:lineRule="exact"/>
        <w:ind w:firstLine="640" w:firstLineChars="200"/>
        <w:rPr>
          <w:rFonts w:ascii="仿宋_GB2312" w:eastAsia="仿宋_GB2312"/>
          <w:sz w:val="32"/>
          <w:szCs w:val="32"/>
        </w:rPr>
      </w:pPr>
      <w:r>
        <w:rPr>
          <w:rFonts w:hint="eastAsia" w:ascii="仿宋_GB2312" w:eastAsia="仿宋_GB2312"/>
          <w:sz w:val="32"/>
          <w:szCs w:val="32"/>
          <w:lang w:val="en-US" w:eastAsia="zh-CN"/>
        </w:rPr>
        <w:t>43</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5"/>
        <w:spacing w:line="560" w:lineRule="exact"/>
        <w:ind w:firstLine="640" w:firstLineChars="200"/>
        <w:rPr>
          <w:rFonts w:hint="eastAsia" w:ascii="仿宋_GB2312" w:eastAsia="仿宋_GB2312" w:cs="黑体"/>
          <w:sz w:val="32"/>
          <w:szCs w:val="32"/>
          <w:lang w:eastAsia="zh-CN"/>
        </w:rPr>
      </w:pPr>
      <w:r>
        <w:rPr>
          <w:rFonts w:hint="eastAsia" w:ascii="仿宋_GB2312" w:eastAsia="仿宋_GB2312"/>
          <w:sz w:val="32"/>
          <w:szCs w:val="32"/>
          <w:lang w:val="en-US" w:eastAsia="zh-CN"/>
        </w:rPr>
        <w:t>44</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差旅费、会议费、日常维修费、电费、办公用房取暖费、公务用车运行维护费以及其他费用</w:t>
      </w:r>
      <w:r>
        <w:rPr>
          <w:rFonts w:hint="eastAsia" w:ascii="仿宋_GB2312" w:eastAsia="仿宋_GB2312"/>
          <w:sz w:val="32"/>
          <w:szCs w:val="32"/>
          <w:lang w:eastAsia="zh-CN"/>
        </w:rPr>
        <w:t>。</w:t>
      </w:r>
    </w:p>
    <w:p>
      <w:pPr>
        <w:spacing w:line="600" w:lineRule="exact"/>
        <w:jc w:val="center"/>
        <w:outlineLvl w:val="0"/>
        <w:rPr>
          <w:rStyle w:val="27"/>
          <w:rFonts w:ascii="黑体" w:hAnsi="黑体" w:eastAsia="黑体"/>
          <w:b w:val="0"/>
        </w:rPr>
      </w:pPr>
      <w:bookmarkStart w:id="61" w:name="_Toc15377226"/>
      <w:bookmarkStart w:id="78" w:name="_GoBack"/>
      <w:bookmarkEnd w:id="78"/>
      <w:r>
        <w:rPr>
          <w:rFonts w:ascii="宋体"/>
          <w:b/>
          <w:color w:val="000000"/>
          <w:sz w:val="44"/>
          <w:szCs w:val="44"/>
        </w:rPr>
        <w:br w:type="page"/>
      </w:r>
      <w:bookmarkStart w:id="62" w:name="_Toc15396614"/>
      <w:r>
        <w:rPr>
          <w:rFonts w:hint="eastAsia" w:ascii="黑体" w:hAnsi="黑体" w:eastAsia="黑体"/>
          <w:color w:val="000000"/>
          <w:sz w:val="44"/>
          <w:szCs w:val="44"/>
        </w:rPr>
        <w:t>第</w:t>
      </w:r>
      <w:r>
        <w:rPr>
          <w:rStyle w:val="27"/>
          <w:rFonts w:hint="eastAsia" w:ascii="黑体" w:hAnsi="黑体" w:eastAsia="黑体"/>
          <w:b w:val="0"/>
        </w:rPr>
        <w:t>四部分 附件</w:t>
      </w:r>
      <w:bookmarkEnd w:id="62"/>
    </w:p>
    <w:p>
      <w:pPr>
        <w:spacing w:line="600" w:lineRule="exact"/>
        <w:jc w:val="center"/>
        <w:outlineLvl w:val="0"/>
        <w:rPr>
          <w:rStyle w:val="27"/>
        </w:rPr>
      </w:pPr>
    </w:p>
    <w:p>
      <w:pPr>
        <w:pStyle w:val="5"/>
        <w:rPr>
          <w:rStyle w:val="27"/>
          <w:rFonts w:ascii="仿宋" w:hAnsi="仿宋" w:eastAsia="仿宋"/>
          <w:b w:val="0"/>
          <w:bCs w:val="0"/>
          <w:sz w:val="32"/>
          <w:szCs w:val="32"/>
        </w:rPr>
      </w:pPr>
      <w:bookmarkStart w:id="63" w:name="_Toc15396615"/>
      <w:r>
        <w:rPr>
          <w:rStyle w:val="27"/>
          <w:rFonts w:hint="eastAsia" w:ascii="仿宋" w:hAnsi="仿宋" w:eastAsia="仿宋"/>
          <w:b w:val="0"/>
          <w:bCs w:val="0"/>
          <w:sz w:val="32"/>
          <w:szCs w:val="32"/>
        </w:rPr>
        <w:t>附件1</w:t>
      </w:r>
      <w:bookmarkEnd w:id="63"/>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kern w:val="2"/>
          <w:sz w:val="44"/>
          <w:szCs w:val="44"/>
          <w:lang w:val="en-US" w:eastAsia="zh-CN" w:bidi="ar"/>
        </w:rPr>
      </w:pPr>
      <w:bookmarkStart w:id="64" w:name="_Toc15396617"/>
      <w:r>
        <w:rPr>
          <w:rFonts w:hint="eastAsia" w:ascii="方正小标宋简体" w:hAnsi="宋体" w:eastAsia="方正小标宋简体" w:cs="方正小标宋简体"/>
          <w:kern w:val="2"/>
          <w:sz w:val="44"/>
          <w:szCs w:val="44"/>
          <w:lang w:val="en-US" w:eastAsia="zh-CN" w:bidi="ar"/>
        </w:rPr>
        <w:t>红原县麦洼乡人民政府</w:t>
      </w:r>
    </w:p>
    <w:p>
      <w:pPr>
        <w:keepNext w:val="0"/>
        <w:keepLines w:val="0"/>
        <w:widowControl/>
        <w:suppressLineNumbers w:val="0"/>
        <w:spacing w:before="0" w:beforeAutospacing="0" w:after="0" w:afterAutospacing="0" w:line="480" w:lineRule="exact"/>
        <w:ind w:left="0" w:right="0"/>
        <w:jc w:val="center"/>
        <w:rPr>
          <w:rFonts w:hint="eastAsia" w:ascii="方正小标宋简体" w:hAnsi="宋体" w:eastAsia="方正小标宋简体" w:cs="方正小标宋简体"/>
          <w:sz w:val="44"/>
          <w:szCs w:val="44"/>
          <w:lang w:val="en-US"/>
        </w:rPr>
      </w:pPr>
      <w:r>
        <w:rPr>
          <w:rFonts w:hint="eastAsia" w:ascii="方正小标宋简体" w:hAnsi="宋体" w:eastAsia="方正小标宋简体" w:cs="方正小标宋简体"/>
          <w:kern w:val="2"/>
          <w:sz w:val="44"/>
          <w:szCs w:val="44"/>
          <w:lang w:val="en-US" w:eastAsia="zh-CN" w:bidi="ar"/>
        </w:rPr>
        <w:t>关于2019年整体支出绩效报告</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sz w:val="32"/>
          <w:szCs w:val="24"/>
          <w:lang w:val="en-US" w:eastAsia="zh-CN" w:bidi="ar"/>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zh-CN" w:eastAsia="zh-CN"/>
        </w:rPr>
      </w:pPr>
      <w:r>
        <w:rPr>
          <w:rFonts w:hint="eastAsia" w:ascii="黑体" w:hAnsi="宋体" w:eastAsia="黑体" w:cs="宋体"/>
          <w:color w:val="000000"/>
          <w:kern w:val="0"/>
          <w:sz w:val="32"/>
          <w:szCs w:val="24"/>
          <w:lang w:val="en-US" w:eastAsia="zh-CN" w:bidi="ar"/>
        </w:rPr>
        <w:t>一、</w:t>
      </w:r>
      <w:r>
        <w:rPr>
          <w:rFonts w:hint="eastAsia" w:ascii="黑体" w:hAnsi="宋体" w:eastAsia="黑体" w:cs="宋体"/>
          <w:color w:val="000000"/>
          <w:kern w:val="0"/>
          <w:sz w:val="32"/>
          <w:szCs w:val="24"/>
          <w:lang w:val="zh-CN" w:eastAsia="zh-CN" w:bidi="ar"/>
        </w:rPr>
        <w:t>部门（单位）概况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（一）机构组成。</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default" w:ascii="仿宋_GB2312" w:hAnsi="宋体" w:eastAsia="仿宋_GB2312" w:cs="宋体"/>
          <w:color w:val="000000"/>
          <w:kern w:val="0"/>
          <w:sz w:val="32"/>
          <w:szCs w:val="24"/>
          <w:lang w:val="en-US" w:eastAsia="zh-CN" w:bidi="ar"/>
        </w:rPr>
      </w:pPr>
      <w:r>
        <w:rPr>
          <w:rFonts w:hint="eastAsia" w:ascii="仿宋_GB2312" w:hAnsi="宋体" w:eastAsia="仿宋_GB2312" w:cs="宋体"/>
          <w:color w:val="000000"/>
          <w:kern w:val="0"/>
          <w:sz w:val="32"/>
          <w:szCs w:val="24"/>
          <w:lang w:val="en-US" w:eastAsia="zh-CN" w:bidi="ar"/>
        </w:rPr>
        <w:t>麦洼乡政府机构现设有麦洼乡党政办公室、综合发展办公室、监察委员会派出麦洼乡监察室。直属事业机构设有：经济发展服务中心、社会事业服务中心、文化服务中心、就业和劳动服务中心。</w:t>
      </w:r>
    </w:p>
    <w:p>
      <w:pPr>
        <w:keepNext w:val="0"/>
        <w:keepLines w:val="0"/>
        <w:widowControl/>
        <w:numPr>
          <w:ilvl w:val="0"/>
          <w:numId w:val="8"/>
        </w:numPr>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机构职能。</w:t>
      </w:r>
    </w:p>
    <w:p>
      <w:pPr>
        <w:pStyle w:val="7"/>
        <w:adjustRightInd w:val="0"/>
        <w:snapToGrid w:val="0"/>
        <w:spacing w:before="93" w:line="600" w:lineRule="exact"/>
        <w:ind w:firstLine="672" w:firstLineChars="210"/>
        <w:outlineLvl w:val="2"/>
        <w:rPr>
          <w:rFonts w:hint="eastAsia" w:ascii="仿宋_GB2312" w:hAnsi="仿宋_GB2312" w:eastAsia="仿宋_GB2312" w:cs="仿宋_GB2312"/>
          <w:bCs/>
          <w:color w:val="auto"/>
          <w:kern w:val="2"/>
          <w:sz w:val="32"/>
          <w:szCs w:val="32"/>
          <w:lang w:val="en-US" w:eastAsia="zh-CN" w:bidi="ar-SA"/>
        </w:rPr>
      </w:pPr>
      <w:r>
        <w:rPr>
          <w:rFonts w:hint="eastAsia" w:ascii="仿宋" w:hAnsi="仿宋" w:eastAsia="仿宋"/>
          <w:bCs/>
          <w:color w:val="000000"/>
          <w:sz w:val="32"/>
          <w:szCs w:val="32"/>
        </w:rPr>
        <w:t>一</w:t>
      </w:r>
      <w:r>
        <w:rPr>
          <w:rFonts w:hint="eastAsia" w:ascii="仿宋" w:hAnsi="仿宋" w:eastAsia="仿宋"/>
          <w:bCs/>
          <w:color w:val="000000"/>
          <w:sz w:val="32"/>
          <w:szCs w:val="32"/>
          <w:lang w:eastAsia="zh-CN"/>
        </w:rPr>
        <w:t>、</w:t>
      </w:r>
      <w:r>
        <w:rPr>
          <w:rFonts w:hint="eastAsia" w:ascii="仿宋" w:hAnsi="仿宋" w:eastAsia="仿宋"/>
          <w:bCs/>
          <w:color w:val="000000"/>
          <w:sz w:val="32"/>
          <w:szCs w:val="32"/>
        </w:rPr>
        <w:t>主要职能。</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color w:val="auto"/>
          <w:sz w:val="32"/>
          <w:szCs w:val="32"/>
        </w:rPr>
        <w:t>落</w:t>
      </w:r>
      <w:r>
        <w:rPr>
          <w:rFonts w:hint="eastAsia" w:ascii="仿宋" w:hAnsi="仿宋" w:eastAsia="仿宋" w:cs="仿宋"/>
          <w:bCs/>
          <w:color w:val="auto"/>
          <w:kern w:val="2"/>
          <w:sz w:val="32"/>
          <w:szCs w:val="32"/>
        </w:rPr>
        <w:t>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rPr>
        <w:t>1、宣传、实施上级主管部门以及相关单位的有关政策;</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rPr>
        <w:t>2、执行本行政区域内的经济和社会发展计划、预算</w:t>
      </w:r>
      <w:r>
        <w:rPr>
          <w:rFonts w:hint="eastAsia" w:ascii="仿宋" w:hAnsi="仿宋" w:eastAsia="仿宋" w:cs="仿宋"/>
          <w:bCs/>
          <w:color w:val="auto"/>
          <w:kern w:val="2"/>
          <w:sz w:val="32"/>
          <w:szCs w:val="32"/>
          <w:lang w:eastAsia="zh-CN"/>
        </w:rPr>
        <w:t>、</w:t>
      </w:r>
      <w:r>
        <w:rPr>
          <w:rFonts w:hint="eastAsia" w:ascii="仿宋" w:hAnsi="仿宋" w:eastAsia="仿宋" w:cs="仿宋"/>
          <w:bCs/>
          <w:color w:val="auto"/>
          <w:kern w:val="2"/>
          <w:sz w:val="32"/>
          <w:szCs w:val="32"/>
        </w:rPr>
        <w:t>管理本行政区域内的经济、教育、科学、文化、卫生、体育事业和财政、民政、公安、司法行政、计划生育等行政工作;</w:t>
      </w:r>
      <w:r>
        <w:rPr>
          <w:rFonts w:hint="eastAsia" w:ascii="仿宋" w:hAnsi="仿宋" w:eastAsia="仿宋" w:cs="仿宋"/>
          <w:bCs/>
          <w:color w:val="auto"/>
          <w:kern w:val="2"/>
          <w:sz w:val="32"/>
          <w:szCs w:val="32"/>
          <w:lang w:val="en-US" w:eastAsia="zh-CN"/>
        </w:rPr>
        <w:t xml:space="preserve">                                                                  </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lang w:val="en-US" w:eastAsia="zh-CN"/>
        </w:rPr>
        <w:t>3</w:t>
      </w:r>
      <w:r>
        <w:rPr>
          <w:rFonts w:hint="eastAsia" w:ascii="仿宋" w:hAnsi="仿宋" w:eastAsia="仿宋" w:cs="仿宋"/>
          <w:bCs/>
          <w:color w:val="auto"/>
          <w:kern w:val="2"/>
          <w:sz w:val="32"/>
          <w:szCs w:val="32"/>
        </w:rPr>
        <w:t>、保护各种经济组织的合法权益;</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 w:hAnsi="仿宋" w:eastAsia="仿宋" w:cs="仿宋"/>
          <w:bCs/>
          <w:color w:val="auto"/>
          <w:kern w:val="2"/>
          <w:sz w:val="32"/>
          <w:szCs w:val="32"/>
        </w:rPr>
      </w:pPr>
      <w:r>
        <w:rPr>
          <w:rFonts w:hint="eastAsia" w:ascii="仿宋" w:hAnsi="仿宋" w:eastAsia="仿宋" w:cs="仿宋"/>
          <w:bCs/>
          <w:color w:val="auto"/>
          <w:kern w:val="2"/>
          <w:sz w:val="32"/>
          <w:szCs w:val="32"/>
          <w:lang w:val="en-US" w:eastAsia="zh-CN"/>
        </w:rPr>
        <w:t>4</w:t>
      </w:r>
      <w:r>
        <w:rPr>
          <w:rFonts w:hint="eastAsia" w:ascii="仿宋" w:hAnsi="仿宋" w:eastAsia="仿宋" w:cs="仿宋"/>
          <w:bCs/>
          <w:color w:val="auto"/>
          <w:kern w:val="2"/>
          <w:sz w:val="32"/>
          <w:szCs w:val="32"/>
        </w:rPr>
        <w:t>、保障少数民族的权利和尊重少数民族的风俗习惯;</w:t>
      </w:r>
    </w:p>
    <w:p>
      <w:pPr>
        <w:pStyle w:val="14"/>
        <w:keepNext w:val="0"/>
        <w:keepLines w:val="0"/>
        <w:pageBreakBefore w:val="0"/>
        <w:shd w:val="clear" w:color="auto" w:fill="FFFFFF"/>
        <w:kinsoku/>
        <w:wordWrap/>
        <w:overflowPunct/>
        <w:topLinePunct w:val="0"/>
        <w:autoSpaceDE/>
        <w:autoSpaceDN/>
        <w:bidi w:val="0"/>
        <w:adjustRightInd/>
        <w:snapToGrid/>
        <w:spacing w:before="0" w:beforeLines="0" w:beforeAutospacing="0" w:after="0" w:afterLines="0" w:afterAutospacing="0" w:line="240" w:lineRule="auto"/>
        <w:ind w:left="0" w:leftChars="0" w:right="0" w:rightChars="0" w:firstLine="640" w:firstLineChars="200"/>
        <w:jc w:val="left"/>
        <w:textAlignment w:val="auto"/>
        <w:outlineLvl w:val="9"/>
        <w:rPr>
          <w:rFonts w:hint="eastAsia" w:ascii="仿宋_GB2312" w:hAnsi="宋体" w:eastAsia="仿宋_GB2312" w:cs="宋体"/>
          <w:color w:val="000000"/>
          <w:kern w:val="0"/>
          <w:sz w:val="32"/>
          <w:szCs w:val="24"/>
          <w:lang w:val="zh-CN" w:eastAsia="zh-CN" w:bidi="ar"/>
        </w:rPr>
      </w:pPr>
      <w:r>
        <w:rPr>
          <w:rFonts w:hint="eastAsia" w:ascii="仿宋" w:hAnsi="仿宋" w:eastAsia="仿宋" w:cs="仿宋"/>
          <w:bCs/>
          <w:color w:val="auto"/>
          <w:kern w:val="2"/>
          <w:sz w:val="32"/>
          <w:szCs w:val="32"/>
          <w:lang w:val="en-US" w:eastAsia="zh-CN"/>
        </w:rPr>
        <w:t>5、保</w:t>
      </w:r>
      <w:r>
        <w:rPr>
          <w:rFonts w:hint="eastAsia" w:ascii="仿宋" w:hAnsi="仿宋" w:eastAsia="仿宋" w:cs="仿宋"/>
          <w:bCs/>
          <w:color w:val="auto"/>
          <w:kern w:val="2"/>
          <w:sz w:val="32"/>
          <w:szCs w:val="32"/>
        </w:rPr>
        <w:t>护社会主义的全民所有的财产和劳动群众集体所有的财产，保护公民私人所有的合法财产，维护社会秩序，保障公民的人身权利、民主权利和</w:t>
      </w:r>
      <w:r>
        <w:rPr>
          <w:rFonts w:hint="eastAsia" w:ascii="仿宋" w:hAnsi="仿宋" w:eastAsia="仿宋" w:cs="仿宋"/>
          <w:bCs/>
          <w:color w:val="auto"/>
          <w:kern w:val="2"/>
          <w:sz w:val="32"/>
          <w:szCs w:val="32"/>
        </w:rPr>
        <w:fldChar w:fldCharType="begin"/>
      </w:r>
      <w:r>
        <w:rPr>
          <w:rFonts w:hint="eastAsia" w:ascii="仿宋" w:hAnsi="仿宋" w:eastAsia="仿宋" w:cs="仿宋"/>
          <w:bCs/>
          <w:color w:val="auto"/>
          <w:kern w:val="2"/>
          <w:sz w:val="32"/>
          <w:szCs w:val="32"/>
        </w:rPr>
        <w:instrText xml:space="preserve"> HYPERLINK "http://www.oh100.com/qita/" \t "_blank" </w:instrText>
      </w:r>
      <w:r>
        <w:rPr>
          <w:rFonts w:hint="eastAsia" w:ascii="仿宋" w:hAnsi="仿宋" w:eastAsia="仿宋" w:cs="仿宋"/>
          <w:bCs/>
          <w:color w:val="auto"/>
          <w:kern w:val="2"/>
          <w:sz w:val="32"/>
          <w:szCs w:val="32"/>
        </w:rPr>
        <w:fldChar w:fldCharType="separate"/>
      </w:r>
      <w:r>
        <w:rPr>
          <w:rFonts w:hint="eastAsia" w:ascii="仿宋" w:hAnsi="仿宋" w:eastAsia="仿宋" w:cs="仿宋"/>
          <w:bCs/>
          <w:color w:val="auto"/>
          <w:kern w:val="2"/>
          <w:sz w:val="32"/>
          <w:szCs w:val="32"/>
        </w:rPr>
        <w:t>其他</w:t>
      </w:r>
      <w:r>
        <w:rPr>
          <w:rFonts w:hint="eastAsia" w:ascii="仿宋" w:hAnsi="仿宋" w:eastAsia="仿宋" w:cs="仿宋"/>
          <w:bCs/>
          <w:color w:val="auto"/>
          <w:kern w:val="2"/>
          <w:sz w:val="32"/>
          <w:szCs w:val="32"/>
        </w:rPr>
        <w:fldChar w:fldCharType="end"/>
      </w:r>
      <w:r>
        <w:rPr>
          <w:rFonts w:hint="eastAsia" w:ascii="仿宋" w:hAnsi="仿宋" w:eastAsia="仿宋" w:cs="仿宋"/>
          <w:bCs/>
          <w:color w:val="auto"/>
          <w:kern w:val="2"/>
          <w:sz w:val="32"/>
          <w:szCs w:val="32"/>
        </w:rPr>
        <w:t>权利;</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（三）人员概况。</w:t>
      </w:r>
    </w:p>
    <w:p>
      <w:pPr>
        <w:spacing w:line="560" w:lineRule="exact"/>
        <w:ind w:firstLine="640" w:firstLineChars="200"/>
        <w:rPr>
          <w:rFonts w:hint="default" w:ascii="仿宋_GB2312" w:hAnsi="宋体" w:eastAsia="仿宋_GB2312" w:cs="宋体"/>
          <w:color w:val="000000"/>
          <w:kern w:val="0"/>
          <w:sz w:val="32"/>
          <w:szCs w:val="24"/>
          <w:lang w:val="en-US" w:eastAsia="zh-CN" w:bidi="ar"/>
        </w:rPr>
      </w:pPr>
      <w:r>
        <w:rPr>
          <w:rFonts w:hint="eastAsia" w:ascii="仿宋_GB2312" w:hAnsi="仿宋_GB2312" w:eastAsia="仿宋_GB2312" w:cs="仿宋_GB2312"/>
          <w:sz w:val="32"/>
          <w:szCs w:val="32"/>
        </w:rPr>
        <w:t>我单位为独立核算全额拨款行政单位，截止</w:t>
      </w:r>
      <w:r>
        <w:rPr>
          <w:rFonts w:ascii="仿宋_GB2312" w:hAnsi="仿宋_GB2312" w:eastAsia="仿宋_GB2312" w:cs="仿宋_GB2312"/>
          <w:sz w:val="32"/>
          <w:szCs w:val="32"/>
        </w:rPr>
        <w:t>201</w:t>
      </w:r>
      <w:r>
        <w:rPr>
          <w:rFonts w:ascii="仿宋_GB2312" w:hAnsi="仿宋_GB2312" w:cs="仿宋_GB2312"/>
          <w:sz w:val="32"/>
          <w:szCs w:val="32"/>
        </w:rPr>
        <w:t>8</w:t>
      </w:r>
      <w:r>
        <w:rPr>
          <w:rFonts w:hint="eastAsia" w:ascii="仿宋_GB2312" w:hAnsi="仿宋_GB2312" w:eastAsia="仿宋_GB2312" w:cs="仿宋_GB2312"/>
          <w:sz w:val="32"/>
          <w:szCs w:val="32"/>
        </w:rPr>
        <w:t>年底我单位共有编制</w:t>
      </w:r>
      <w:r>
        <w:rPr>
          <w:rFonts w:hint="eastAsia" w:ascii="仿宋_GB2312" w:hAnsi="仿宋_GB2312" w:eastAsia="仿宋_GB2312" w:cs="仿宋_GB2312"/>
          <w:sz w:val="32"/>
          <w:szCs w:val="32"/>
          <w:lang w:val="en-US" w:eastAsia="zh-CN"/>
        </w:rPr>
        <w:t>33</w:t>
      </w:r>
      <w:r>
        <w:rPr>
          <w:rFonts w:hint="eastAsia" w:ascii="仿宋_GB2312" w:hAnsi="仿宋_GB2312" w:eastAsia="仿宋_GB2312" w:cs="仿宋_GB2312"/>
          <w:sz w:val="32"/>
          <w:szCs w:val="32"/>
        </w:rPr>
        <w:t>个，其中公务员编制</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个，行政工勤编制</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个，参公编制</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个，事业编制</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个，在职</w:t>
      </w:r>
      <w:r>
        <w:rPr>
          <w:rFonts w:hint="eastAsia" w:ascii="仿宋_GB2312" w:hAnsi="仿宋_GB2312" w:eastAsia="仿宋_GB2312" w:cs="仿宋_GB2312"/>
          <w:sz w:val="32"/>
          <w:szCs w:val="32"/>
          <w:lang w:val="en-US" w:eastAsia="zh-CN"/>
        </w:rPr>
        <w:t>32</w:t>
      </w:r>
      <w:r>
        <w:rPr>
          <w:rFonts w:hint="eastAsia" w:ascii="仿宋_GB2312" w:hAnsi="仿宋_GB2312" w:eastAsia="仿宋_GB2312" w:cs="仿宋_GB2312"/>
          <w:sz w:val="32"/>
          <w:szCs w:val="32"/>
        </w:rPr>
        <w:t>人，公务员</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人，行政工勤</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人，参公工勤</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人，事业编制</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人。</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sz w:val="32"/>
          <w:szCs w:val="24"/>
          <w:lang w:val="en-US" w:eastAsia="zh-CN" w:bidi="ar"/>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二、部门财政资金收支情况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（一）部门财政资金收入情况。</w:t>
      </w:r>
    </w:p>
    <w:p>
      <w:pPr>
        <w:spacing w:line="600" w:lineRule="exact"/>
        <w:ind w:firstLine="640" w:firstLineChars="200"/>
        <w:outlineLvl w:val="1"/>
        <w:rPr>
          <w:rFonts w:hint="eastAsia" w:ascii="仿宋" w:hAnsi="仿宋" w:eastAsia="仿宋"/>
          <w:color w:val="1F497D" w:themeColor="text2"/>
          <w:sz w:val="32"/>
          <w:szCs w:val="32"/>
          <w14:textFill>
            <w14:solidFill>
              <w14:schemeClr w14:val="tx2"/>
            </w14:solidFill>
          </w14:textFill>
        </w:rPr>
      </w:pPr>
      <w:r>
        <w:rPr>
          <w:rFonts w:ascii="仿宋" w:hAnsi="仿宋" w:eastAsia="仿宋"/>
          <w:color w:val="auto"/>
          <w:sz w:val="32"/>
          <w:szCs w:val="32"/>
        </w:rPr>
        <w:t>201</w:t>
      </w:r>
      <w:r>
        <w:rPr>
          <w:rFonts w:hint="eastAsia" w:ascii="仿宋" w:hAnsi="仿宋" w:eastAsia="仿宋"/>
          <w:color w:val="auto"/>
          <w:sz w:val="32"/>
          <w:szCs w:val="32"/>
        </w:rPr>
        <w:t>8年本年收入合计</w:t>
      </w:r>
      <w:r>
        <w:rPr>
          <w:rFonts w:hint="eastAsia" w:ascii="仿宋" w:hAnsi="仿宋" w:eastAsia="仿宋"/>
          <w:color w:val="auto"/>
          <w:sz w:val="32"/>
          <w:szCs w:val="32"/>
          <w:lang w:val="en-US" w:eastAsia="zh-CN"/>
        </w:rPr>
        <w:t>1292.36</w:t>
      </w:r>
      <w:r>
        <w:rPr>
          <w:rFonts w:hint="eastAsia" w:ascii="仿宋" w:hAnsi="仿宋" w:eastAsia="仿宋"/>
          <w:color w:val="auto"/>
          <w:sz w:val="32"/>
          <w:szCs w:val="32"/>
        </w:rPr>
        <w:t>万元，其中：一般公共预算财政拨款收入</w:t>
      </w:r>
      <w:r>
        <w:rPr>
          <w:rFonts w:hint="eastAsia" w:ascii="仿宋" w:hAnsi="仿宋" w:eastAsia="仿宋"/>
          <w:color w:val="auto"/>
          <w:sz w:val="32"/>
          <w:szCs w:val="32"/>
          <w:lang w:val="en-US" w:eastAsia="zh-CN"/>
        </w:rPr>
        <w:t>1084.74</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83.94</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其中：</w:t>
      </w:r>
      <w:r>
        <w:rPr>
          <w:rFonts w:hint="eastAsia" w:ascii="仿宋" w:hAnsi="仿宋" w:eastAsia="仿宋"/>
          <w:color w:val="auto"/>
          <w:sz w:val="32"/>
          <w:szCs w:val="32"/>
        </w:rPr>
        <w:t>政府性基金预算财政拨款收入</w:t>
      </w:r>
      <w:r>
        <w:rPr>
          <w:rFonts w:hint="eastAsia" w:ascii="仿宋" w:hAnsi="仿宋" w:eastAsia="仿宋"/>
          <w:color w:val="auto"/>
          <w:sz w:val="32"/>
          <w:szCs w:val="32"/>
          <w:lang w:val="en-US" w:eastAsia="zh-CN"/>
        </w:rPr>
        <w:t>4</w:t>
      </w:r>
      <w:r>
        <w:rPr>
          <w:rFonts w:hint="eastAsia" w:ascii="仿宋" w:hAnsi="仿宋" w:eastAsia="仿宋"/>
          <w:color w:val="auto"/>
          <w:sz w:val="32"/>
          <w:szCs w:val="32"/>
        </w:rPr>
        <w:t>万元；国有资本经营预算财政拨款收入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；事业收入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；经营收入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；附属单位上缴收入</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；其他收入</w:t>
      </w:r>
      <w:r>
        <w:rPr>
          <w:rFonts w:hint="eastAsia" w:ascii="仿宋" w:hAnsi="仿宋" w:eastAsia="仿宋"/>
          <w:color w:val="auto"/>
          <w:sz w:val="32"/>
          <w:szCs w:val="32"/>
          <w:lang w:val="en-US" w:eastAsia="zh-CN"/>
        </w:rPr>
        <w:t>0.23</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0.01</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年初结转结余207.39万元，占16.05%</w:t>
      </w:r>
      <w:r>
        <w:rPr>
          <w:rFonts w:hint="eastAsia" w:ascii="仿宋" w:hAnsi="仿宋" w:eastAsia="仿宋"/>
          <w:color w:val="auto"/>
          <w:sz w:val="32"/>
          <w:szCs w:val="32"/>
        </w:rPr>
        <w:t>。</w:t>
      </w:r>
    </w:p>
    <w:p>
      <w:pPr>
        <w:keepNext w:val="0"/>
        <w:keepLines w:val="0"/>
        <w:widowControl/>
        <w:numPr>
          <w:ilvl w:val="0"/>
          <w:numId w:val="9"/>
        </w:numPr>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部门财政资金支出情况。</w:t>
      </w:r>
    </w:p>
    <w:p>
      <w:pPr>
        <w:spacing w:line="600" w:lineRule="exact"/>
        <w:ind w:firstLine="640"/>
        <w:rPr>
          <w:rFonts w:ascii="仿宋" w:hAnsi="仿宋" w:eastAsia="仿宋"/>
          <w:color w:val="auto"/>
          <w:sz w:val="32"/>
          <w:szCs w:val="32"/>
          <w:shd w:val="pct10" w:color="auto" w:fill="FFFFFF"/>
        </w:rPr>
      </w:pPr>
      <w:r>
        <w:rPr>
          <w:rFonts w:ascii="仿宋" w:hAnsi="仿宋" w:eastAsia="仿宋"/>
          <w:color w:val="auto"/>
          <w:sz w:val="32"/>
          <w:szCs w:val="32"/>
        </w:rPr>
        <w:t>201</w:t>
      </w:r>
      <w:r>
        <w:rPr>
          <w:rFonts w:hint="eastAsia" w:ascii="仿宋" w:hAnsi="仿宋" w:eastAsia="仿宋"/>
          <w:color w:val="auto"/>
          <w:sz w:val="32"/>
          <w:szCs w:val="32"/>
        </w:rPr>
        <w:t>8年本年支出合计</w:t>
      </w:r>
      <w:r>
        <w:rPr>
          <w:rFonts w:hint="eastAsia" w:ascii="仿宋" w:hAnsi="仿宋" w:eastAsia="仿宋"/>
          <w:color w:val="auto"/>
          <w:sz w:val="32"/>
          <w:szCs w:val="32"/>
          <w:lang w:val="en-US" w:eastAsia="zh-CN"/>
        </w:rPr>
        <w:t>1292.36</w:t>
      </w:r>
      <w:r>
        <w:rPr>
          <w:rFonts w:hint="eastAsia" w:ascii="仿宋" w:hAnsi="仿宋" w:eastAsia="仿宋"/>
          <w:color w:val="auto"/>
          <w:sz w:val="32"/>
          <w:szCs w:val="32"/>
        </w:rPr>
        <w:t>万元，其中：基本支出</w:t>
      </w:r>
      <w:r>
        <w:rPr>
          <w:rFonts w:hint="eastAsia" w:ascii="仿宋" w:hAnsi="仿宋" w:eastAsia="仿宋"/>
          <w:color w:val="auto"/>
          <w:sz w:val="32"/>
          <w:szCs w:val="32"/>
          <w:lang w:val="en-US" w:eastAsia="zh-CN"/>
        </w:rPr>
        <w:t>583.40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45.14</w:t>
      </w:r>
      <w:r>
        <w:rPr>
          <w:rFonts w:ascii="仿宋" w:hAnsi="仿宋" w:eastAsia="仿宋"/>
          <w:color w:val="auto"/>
          <w:sz w:val="32"/>
          <w:szCs w:val="32"/>
        </w:rPr>
        <w:t>%</w:t>
      </w:r>
      <w:r>
        <w:rPr>
          <w:rFonts w:hint="eastAsia" w:ascii="仿宋" w:hAnsi="仿宋" w:eastAsia="仿宋"/>
          <w:color w:val="auto"/>
          <w:sz w:val="32"/>
          <w:szCs w:val="32"/>
        </w:rPr>
        <w:t>；项目支出</w:t>
      </w:r>
      <w:r>
        <w:rPr>
          <w:rFonts w:hint="eastAsia" w:ascii="仿宋" w:hAnsi="仿宋" w:eastAsia="仿宋"/>
          <w:color w:val="auto"/>
          <w:sz w:val="32"/>
          <w:szCs w:val="32"/>
          <w:lang w:val="en-US" w:eastAsia="zh-CN"/>
        </w:rPr>
        <w:t>656.98</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50.83</w:t>
      </w:r>
      <w:r>
        <w:rPr>
          <w:rFonts w:ascii="仿宋" w:hAnsi="仿宋" w:eastAsia="仿宋"/>
          <w:color w:val="auto"/>
          <w:sz w:val="32"/>
          <w:szCs w:val="32"/>
        </w:rPr>
        <w:t>%</w:t>
      </w:r>
      <w:r>
        <w:rPr>
          <w:rFonts w:hint="eastAsia" w:ascii="仿宋" w:hAnsi="仿宋" w:eastAsia="仿宋"/>
          <w:color w:val="auto"/>
          <w:sz w:val="32"/>
          <w:szCs w:val="32"/>
        </w:rPr>
        <w:t>；上缴上级支出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；经营支出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rPr>
        <w:t>；对附属单位补助支出</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万元，占</w:t>
      </w:r>
      <w:r>
        <w:rPr>
          <w:rFonts w:hint="eastAsia" w:ascii="仿宋" w:hAnsi="仿宋" w:eastAsia="仿宋"/>
          <w:color w:val="auto"/>
          <w:sz w:val="32"/>
          <w:szCs w:val="32"/>
          <w:lang w:val="en-US" w:eastAsia="zh-CN"/>
        </w:rPr>
        <w:t>0</w:t>
      </w:r>
      <w:r>
        <w:rPr>
          <w:rFonts w:ascii="仿宋" w:hAnsi="仿宋" w:eastAsia="仿宋"/>
          <w:color w:val="auto"/>
          <w:sz w:val="32"/>
          <w:szCs w:val="32"/>
        </w:rPr>
        <w:t>%</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年末结转结余51.98，占4.03</w:t>
      </w:r>
      <w:r>
        <w:rPr>
          <w:rFonts w:ascii="仿宋" w:hAnsi="仿宋" w:eastAsia="仿宋"/>
          <w:color w:val="auto"/>
          <w:sz w:val="32"/>
          <w:szCs w:val="32"/>
        </w:rPr>
        <w:t>%</w:t>
      </w:r>
      <w:r>
        <w:rPr>
          <w:rFonts w:hint="eastAsia" w:ascii="仿宋" w:hAnsi="仿宋" w:eastAsia="仿宋"/>
          <w:color w:val="auto"/>
          <w:sz w:val="32"/>
          <w:szCs w:val="32"/>
        </w:rPr>
        <w:t>。</w:t>
      </w:r>
    </w:p>
    <w:p>
      <w:pPr>
        <w:keepNext w:val="0"/>
        <w:keepLines w:val="0"/>
        <w:widowControl/>
        <w:numPr>
          <w:ilvl w:val="0"/>
          <w:numId w:val="0"/>
        </w:numPr>
        <w:suppressLineNumbers w:val="0"/>
        <w:adjustRightInd w:val="0"/>
        <w:snapToGrid w:val="0"/>
        <w:spacing w:before="0" w:beforeAutospacing="0" w:after="0" w:afterAutospacing="0" w:line="480" w:lineRule="exact"/>
        <w:ind w:left="720" w:leftChars="0" w:right="0" w:rightChars="0"/>
        <w:jc w:val="left"/>
        <w:rPr>
          <w:rFonts w:hint="eastAsia" w:ascii="仿宋_GB2312" w:hAnsi="宋体" w:eastAsia="仿宋_GB2312" w:cs="宋体"/>
          <w:color w:val="000000"/>
          <w:kern w:val="0"/>
          <w:sz w:val="32"/>
          <w:szCs w:val="24"/>
          <w:lang w:val="zh-CN" w:eastAsia="zh-CN" w:bidi="ar"/>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三、部门财政支出管理情况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（一）预算编制情况。</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val="en-US" w:eastAsia="zh-CN"/>
        </w:rPr>
        <w:t>乡</w:t>
      </w:r>
      <w:r>
        <w:rPr>
          <w:rFonts w:hint="eastAsia" w:ascii="仿宋_GB2312" w:hAnsi="仿宋_GB2312" w:eastAsia="仿宋_GB2312" w:cs="仿宋_GB2312"/>
          <w:sz w:val="32"/>
          <w:szCs w:val="32"/>
        </w:rPr>
        <w:t>严格按照《预算法》及相关财经法规和政策编制本年度预算，严格控制编报质量，保证所有资金合法合规，严格按照相关规定进行预算编制，中央转移支付资金按照文件要求下达，专项转移支付严格根据分地区分项目进行编制。</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（二）执行管理情况。</w:t>
      </w:r>
      <w:r>
        <w:rPr>
          <w:rFonts w:hint="eastAsia" w:ascii="楷体" w:hAnsi="楷体" w:eastAsia="楷体" w:cs="宋体"/>
          <w:color w:val="000000"/>
          <w:kern w:val="0"/>
          <w:sz w:val="32"/>
          <w:szCs w:val="24"/>
          <w:lang w:val="zh-CN" w:eastAsia="zh-CN" w:bidi="ar"/>
        </w:rPr>
        <w:tab/>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仿宋_GB2312" w:eastAsia="仿宋_GB2312" w:cs="仿宋_GB2312"/>
          <w:sz w:val="32"/>
          <w:szCs w:val="32"/>
        </w:rPr>
      </w:pPr>
      <w:r>
        <w:rPr>
          <w:rFonts w:hint="eastAsia" w:ascii="仿宋_GB2312" w:hAnsi="仿宋_GB2312" w:cs="仿宋_GB2312"/>
          <w:sz w:val="32"/>
          <w:szCs w:val="32"/>
        </w:rPr>
        <w:t>我</w:t>
      </w:r>
      <w:r>
        <w:rPr>
          <w:rFonts w:hint="eastAsia" w:ascii="仿宋_GB2312" w:hAnsi="仿宋_GB2312" w:cs="仿宋_GB2312"/>
          <w:sz w:val="32"/>
          <w:szCs w:val="32"/>
          <w:lang w:val="en-US" w:eastAsia="zh-CN"/>
        </w:rPr>
        <w:t>乡</w:t>
      </w:r>
      <w:r>
        <w:rPr>
          <w:rFonts w:hint="eastAsia" w:ascii="仿宋_GB2312" w:hAnsi="仿宋_GB2312" w:eastAsia="仿宋_GB2312" w:cs="仿宋_GB2312"/>
          <w:sz w:val="32"/>
          <w:szCs w:val="32"/>
        </w:rPr>
        <w:t>预算执行到位，严格按照预算管理进行支付并做到节能降耗，“三公”经费严格按照年初预算执行。</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（三）综合管理情况。</w:t>
      </w:r>
    </w:p>
    <w:p>
      <w:pPr>
        <w:widowControl/>
        <w:adjustRightInd w:val="0"/>
        <w:snapToGrid w:val="0"/>
        <w:spacing w:line="560" w:lineRule="exact"/>
        <w:ind w:firstLine="720"/>
        <w:jc w:val="left"/>
        <w:rPr>
          <w:rFonts w:ascii="仿宋" w:hAnsi="仿宋" w:eastAsia="仿宋" w:cs="宋?"/>
          <w:kern w:val="0"/>
          <w:sz w:val="32"/>
          <w:szCs w:val="32"/>
          <w:lang w:val="zh-CN"/>
        </w:rPr>
      </w:pPr>
      <w:r>
        <w:rPr>
          <w:rFonts w:hint="eastAsia" w:ascii="仿宋" w:hAnsi="仿宋" w:eastAsia="仿宋" w:cs="宋?"/>
          <w:kern w:val="0"/>
          <w:sz w:val="32"/>
          <w:szCs w:val="32"/>
        </w:rPr>
        <w:t>在财务管理过程中建立健全财务核算制度、严格执行国家相关财经法规，加强了会计基础工作、逐渐规范了财务管理行为。严格按照《行政单位会计制度》和《行政单位财务规则》的规定设置的会计科目，建立了科学有效的会计核算方式，均真实、合法、准确的反映各项收支活动；建立健全了内控制度，加强和完善了经费收支和财务管理，积极配合各级财政部门开展相关经费的考评工作；本院在资金使用过程中，合理使用各项资金，严格执行各项经费开支范围和标准。对中央、省转移支付资金的使用全部用于与国土事务，并确保专款专用；在账务报销过程中贯彻执行国家颁布的有关财务制度，严格按照《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在采购资金支出时手续齐备，采购的固定资产及时登记并入账；严格落实《党政机关厉行节约反对浪费条例》的相关规定，进一步规范了“三公经费”的管理并严格控制了“三公经费”的支出。</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楷体" w:hAnsi="楷体" w:eastAsia="楷体" w:cs="宋体"/>
          <w:color w:val="000000"/>
          <w:kern w:val="0"/>
          <w:lang w:val="zh-CN" w:eastAsia="zh-CN"/>
        </w:rPr>
      </w:pPr>
      <w:r>
        <w:rPr>
          <w:rFonts w:hint="eastAsia" w:ascii="楷体" w:hAnsi="楷体" w:eastAsia="楷体" w:cs="宋体"/>
          <w:color w:val="000000"/>
          <w:kern w:val="0"/>
          <w:sz w:val="32"/>
          <w:szCs w:val="24"/>
          <w:lang w:val="zh-CN" w:eastAsia="zh-CN" w:bidi="ar"/>
        </w:rPr>
        <w:t>（四）整体绩效。</w:t>
      </w:r>
    </w:p>
    <w:p>
      <w:pPr>
        <w:widowControl/>
        <w:adjustRightInd w:val="0"/>
        <w:snapToGrid w:val="0"/>
        <w:spacing w:line="560" w:lineRule="exact"/>
        <w:ind w:firstLine="720"/>
        <w:jc w:val="left"/>
        <w:rPr>
          <w:rFonts w:ascii="仿宋_GB2312" w:hAnsi="宋?" w:eastAsia="仿宋_GB2312" w:cs="宋?"/>
          <w:kern w:val="0"/>
          <w:lang w:val="zh-CN"/>
        </w:rPr>
      </w:pPr>
      <w:r>
        <w:rPr>
          <w:rFonts w:hint="eastAsia" w:ascii="仿宋_GB2312" w:hAnsi="仿宋_GB2312" w:eastAsia="仿宋_GB2312" w:cs="仿宋_GB2312"/>
          <w:color w:val="auto"/>
          <w:sz w:val="32"/>
          <w:szCs w:val="32"/>
        </w:rPr>
        <w:t>本部门按要求对2018年部门整体支出开展绩效自评，从评价情况来</w:t>
      </w:r>
      <w:r>
        <w:rPr>
          <w:rFonts w:hint="eastAsia" w:ascii="仿宋_GB2312" w:hAnsi="仿宋_GB2312" w:eastAsia="仿宋_GB2312" w:cs="仿宋_GB2312"/>
          <w:color w:val="auto"/>
          <w:sz w:val="32"/>
          <w:szCs w:val="32"/>
          <w:lang w:eastAsia="zh-CN"/>
        </w:rPr>
        <w:t>：</w:t>
      </w:r>
      <w:r>
        <w:rPr>
          <w:rFonts w:ascii="仿宋_GB2312" w:hAnsi="仿宋_GB2312" w:eastAsia="仿宋_GB2312" w:cs="仿宋_GB2312"/>
          <w:color w:val="auto"/>
          <w:sz w:val="32"/>
          <w:szCs w:val="32"/>
        </w:rPr>
        <w:t>2018</w:t>
      </w:r>
      <w:r>
        <w:rPr>
          <w:rFonts w:hint="eastAsia" w:ascii="仿宋_GB2312" w:hAnsi="仿宋_GB2312" w:eastAsia="仿宋_GB2312" w:cs="仿宋_GB2312"/>
          <w:color w:val="auto"/>
          <w:sz w:val="32"/>
          <w:szCs w:val="32"/>
        </w:rPr>
        <w:t>年全年</w:t>
      </w:r>
      <w:r>
        <w:rPr>
          <w:rFonts w:hint="eastAsia" w:ascii="仿宋_GB2312" w:hAnsi="仿宋_GB2312" w:eastAsia="仿宋_GB2312" w:cs="仿宋_GB2312"/>
          <w:color w:val="auto"/>
          <w:sz w:val="32"/>
          <w:szCs w:val="32"/>
          <w:lang w:val="en-US" w:eastAsia="zh-CN"/>
        </w:rPr>
        <w:t>麦洼乡完成动态调整贫困户到户产业项目32.4万元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麦洼乡灾后恢复农业生产建设</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sz w:val="32"/>
          <w:szCs w:val="32"/>
          <w:lang w:val="en-US" w:eastAsia="zh-CN"/>
        </w:rPr>
        <w:t>36万元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2018年麦洼乡洞拉村零星维修改造项目4.6万元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2018年麦洼乡滚塘村零星维修改造项目4.369万元，2018年麦洼乡7.08水灾灾后恢复建设项目66.48万元。</w:t>
      </w:r>
      <w:r>
        <w:rPr>
          <w:rFonts w:hint="eastAsia" w:ascii="仿宋" w:hAnsi="仿宋" w:eastAsia="仿宋" w:cs="宋?"/>
          <w:color w:val="auto"/>
          <w:kern w:val="0"/>
          <w:sz w:val="32"/>
          <w:szCs w:val="32"/>
        </w:rPr>
        <w:t>等项目均已初验，工程款项均已拨付</w:t>
      </w:r>
      <w:r>
        <w:rPr>
          <w:rFonts w:hint="eastAsia" w:ascii="仿宋" w:hAnsi="仿宋" w:eastAsia="仿宋" w:cs="宋?"/>
          <w:color w:val="auto"/>
          <w:kern w:val="0"/>
          <w:sz w:val="32"/>
          <w:szCs w:val="32"/>
          <w:lang w:val="en-US" w:eastAsia="zh-CN"/>
        </w:rPr>
        <w:t>99.76</w:t>
      </w:r>
      <w:r>
        <w:rPr>
          <w:rFonts w:ascii="仿宋" w:hAnsi="仿宋" w:eastAsia="仿宋" w:cs="宋?"/>
          <w:color w:val="auto"/>
          <w:kern w:val="0"/>
          <w:sz w:val="32"/>
          <w:szCs w:val="32"/>
        </w:rPr>
        <w:t>%</w:t>
      </w:r>
      <w:r>
        <w:rPr>
          <w:rFonts w:hint="eastAsia" w:ascii="仿宋" w:hAnsi="仿宋" w:eastAsia="仿宋" w:cs="宋?"/>
          <w:color w:val="auto"/>
          <w:kern w:val="0"/>
          <w:sz w:val="32"/>
          <w:szCs w:val="32"/>
        </w:rPr>
        <w:t>，</w:t>
      </w:r>
      <w:r>
        <w:rPr>
          <w:rFonts w:hint="eastAsia" w:ascii="仿宋" w:hAnsi="仿宋" w:eastAsia="仿宋" w:cs="宋?"/>
          <w:color w:val="auto"/>
          <w:kern w:val="0"/>
          <w:sz w:val="32"/>
          <w:szCs w:val="32"/>
          <w:lang w:val="en-US" w:eastAsia="zh-CN"/>
        </w:rPr>
        <w:t>并验收合格</w:t>
      </w:r>
      <w:r>
        <w:rPr>
          <w:rFonts w:hint="eastAsia" w:ascii="仿宋" w:hAnsi="仿宋" w:eastAsia="仿宋" w:cs="宋?"/>
          <w:color w:val="auto"/>
          <w:kern w:val="0"/>
          <w:sz w:val="32"/>
          <w:szCs w:val="32"/>
        </w:rPr>
        <w:t>。我</w:t>
      </w:r>
      <w:r>
        <w:rPr>
          <w:rFonts w:hint="eastAsia" w:ascii="仿宋" w:hAnsi="仿宋" w:eastAsia="仿宋" w:cs="宋?"/>
          <w:color w:val="auto"/>
          <w:kern w:val="0"/>
          <w:sz w:val="32"/>
          <w:szCs w:val="32"/>
          <w:lang w:val="en-US" w:eastAsia="zh-CN"/>
        </w:rPr>
        <w:t>乡</w:t>
      </w:r>
      <w:r>
        <w:rPr>
          <w:rFonts w:hint="eastAsia" w:ascii="仿宋" w:hAnsi="仿宋" w:eastAsia="仿宋" w:cs="宋?"/>
          <w:color w:val="auto"/>
          <w:kern w:val="0"/>
          <w:sz w:val="32"/>
          <w:szCs w:val="32"/>
        </w:rPr>
        <w:t>整体支出绩效目标良好，较好完成今年预定工作目标，严格按照预算管理进行支付并做到节能降耗，“三公”经费严格按照年初预算执行。</w:t>
      </w:r>
      <w:r>
        <w:rPr>
          <w:rFonts w:hint="eastAsia" w:ascii="仿宋_GB2312" w:hAnsi="仿宋_GB2312" w:eastAsia="仿宋_GB2312" w:cs="仿宋_GB2312"/>
          <w:color w:val="auto"/>
          <w:sz w:val="32"/>
          <w:szCs w:val="32"/>
        </w:rPr>
        <w:t>在全面贯彻落实党的十九大精神</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坚持以习近平新时代中国特色社会主义思想为指导</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努力实现人民群众满意。本部门还自行组织了</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个项目绩效评价，从评价情况来看：有效</w:t>
      </w:r>
      <w:r>
        <w:rPr>
          <w:rFonts w:hint="eastAsia" w:ascii="仿宋_GB2312" w:hAnsi="仿宋_GB2312" w:eastAsia="仿宋_GB2312" w:cs="仿宋_GB2312"/>
          <w:color w:val="auto"/>
          <w:sz w:val="32"/>
          <w:szCs w:val="32"/>
          <w:lang w:val="en-US" w:eastAsia="zh-CN"/>
        </w:rPr>
        <w:t>的给基层群众带来效益</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增加基层基础设施建设、</w:t>
      </w:r>
      <w:r>
        <w:rPr>
          <w:rFonts w:hint="eastAsia" w:ascii="仿宋_GB2312" w:hAnsi="宋体" w:eastAsia="仿宋_GB2312"/>
          <w:color w:val="auto"/>
          <w:sz w:val="32"/>
          <w:lang w:val="zh-CN"/>
        </w:rPr>
        <w:t>保障了全</w:t>
      </w:r>
      <w:r>
        <w:rPr>
          <w:rFonts w:hint="eastAsia" w:ascii="仿宋_GB2312" w:hAnsi="宋体" w:eastAsia="仿宋_GB2312"/>
          <w:color w:val="auto"/>
          <w:sz w:val="32"/>
          <w:lang w:val="en-US" w:eastAsia="zh-CN"/>
        </w:rPr>
        <w:t>乡</w:t>
      </w:r>
      <w:r>
        <w:rPr>
          <w:rFonts w:hint="eastAsia" w:ascii="仿宋_GB2312" w:hAnsi="宋体" w:eastAsia="仿宋_GB2312"/>
          <w:color w:val="auto"/>
          <w:sz w:val="32"/>
          <w:lang w:val="zh-CN"/>
        </w:rPr>
        <w:t>困难群众的基本生活</w:t>
      </w:r>
      <w:r>
        <w:rPr>
          <w:rFonts w:hint="eastAsia" w:ascii="仿宋_GB2312" w:hAnsi="仿宋_GB2312" w:eastAsia="仿宋_GB2312" w:cs="仿宋_GB2312"/>
          <w:color w:val="auto"/>
          <w:sz w:val="32"/>
          <w:szCs w:val="32"/>
        </w:rPr>
        <w:t>等工作，</w:t>
      </w:r>
      <w:r>
        <w:rPr>
          <w:rFonts w:hint="eastAsia" w:ascii="仿宋_GB2312" w:hAnsi="仿宋_GB2312" w:eastAsia="仿宋_GB2312" w:cs="仿宋_GB2312"/>
          <w:color w:val="auto"/>
          <w:sz w:val="32"/>
          <w:szCs w:val="32"/>
          <w:lang w:val="en-US" w:eastAsia="zh-CN"/>
        </w:rPr>
        <w:t>提高</w:t>
      </w:r>
      <w:r>
        <w:rPr>
          <w:rFonts w:hint="eastAsia" w:ascii="仿宋_GB2312" w:hAnsi="仿宋_GB2312" w:eastAsia="仿宋_GB2312" w:cs="仿宋_GB2312"/>
          <w:color w:val="auto"/>
          <w:sz w:val="32"/>
          <w:szCs w:val="32"/>
        </w:rPr>
        <w:t>了人民群众</w:t>
      </w:r>
      <w:r>
        <w:rPr>
          <w:rFonts w:hint="eastAsia" w:ascii="仿宋_GB2312" w:hAnsi="仿宋_GB2312" w:eastAsia="仿宋_GB2312" w:cs="仿宋_GB2312"/>
          <w:color w:val="auto"/>
          <w:sz w:val="32"/>
          <w:szCs w:val="32"/>
          <w:lang w:val="en-US" w:eastAsia="zh-CN"/>
        </w:rPr>
        <w:t>的生活水平</w:t>
      </w:r>
      <w:r>
        <w:rPr>
          <w:rFonts w:hint="eastAsia" w:ascii="仿宋_GB2312" w:hAnsi="仿宋_GB2312" w:eastAsia="仿宋_GB2312" w:cs="仿宋_GB2312"/>
          <w:color w:val="auto"/>
          <w:sz w:val="32"/>
          <w:szCs w:val="32"/>
        </w:rPr>
        <w:t>，促进社会和谐。</w:t>
      </w:r>
      <w:r>
        <w:rPr>
          <w:rFonts w:hint="eastAsia" w:ascii="仿宋_GB2312" w:hAnsi="仿宋_GB2312" w:eastAsia="仿宋_GB2312" w:cs="仿宋_GB2312"/>
          <w:sz w:val="32"/>
          <w:szCs w:val="32"/>
        </w:rPr>
        <w:t>在全面贯彻落实党的十九大精神</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坚持以习近平新时代中国特色社会主义思想为指导</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努力实现人民群众满意。</w:t>
      </w:r>
    </w:p>
    <w:p>
      <w:pPr>
        <w:keepNext w:val="0"/>
        <w:keepLines w:val="0"/>
        <w:widowControl/>
        <w:suppressLineNumbers w:val="0"/>
        <w:adjustRightInd w:val="0"/>
        <w:snapToGrid w:val="0"/>
        <w:spacing w:before="0" w:beforeAutospacing="0" w:after="0" w:afterAutospacing="0" w:line="480" w:lineRule="exact"/>
        <w:ind w:right="0"/>
        <w:jc w:val="left"/>
        <w:rPr>
          <w:rFonts w:hint="eastAsia" w:ascii="仿宋_GB2312" w:hAnsi="宋体" w:eastAsia="仿宋_GB2312" w:cs="宋体"/>
          <w:color w:val="000000"/>
          <w:kern w:val="0"/>
          <w:sz w:val="32"/>
          <w:szCs w:val="24"/>
          <w:lang w:val="zh-CN" w:eastAsia="zh-CN" w:bidi="ar"/>
        </w:rPr>
      </w:pP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黑体" w:hAnsi="宋体" w:eastAsia="黑体" w:cs="宋体"/>
          <w:color w:val="000000"/>
          <w:kern w:val="0"/>
          <w:lang w:val="en-US"/>
        </w:rPr>
      </w:pPr>
      <w:r>
        <w:rPr>
          <w:rFonts w:hint="eastAsia" w:ascii="黑体" w:hAnsi="宋体" w:eastAsia="黑体" w:cs="宋体"/>
          <w:color w:val="000000"/>
          <w:kern w:val="0"/>
          <w:sz w:val="32"/>
          <w:szCs w:val="24"/>
          <w:lang w:val="en-US" w:eastAsia="zh-CN" w:bidi="ar"/>
        </w:rPr>
        <w:t>四、评价结论及建议</w:t>
      </w:r>
    </w:p>
    <w:p>
      <w:pPr>
        <w:keepNext w:val="0"/>
        <w:keepLines w:val="0"/>
        <w:widowControl/>
        <w:suppressLineNumbers w:val="0"/>
        <w:adjustRightInd w:val="0"/>
        <w:snapToGrid w:val="0"/>
        <w:spacing w:before="0" w:beforeAutospacing="0" w:after="0" w:afterAutospacing="0" w:line="480" w:lineRule="exact"/>
        <w:ind w:left="0" w:right="0" w:firstLine="72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（一）评价结论。</w:t>
      </w:r>
    </w:p>
    <w:p>
      <w:pPr>
        <w:widowControl/>
        <w:adjustRightInd w:val="0"/>
        <w:snapToGrid w:val="0"/>
        <w:spacing w:line="560" w:lineRule="exact"/>
        <w:ind w:firstLine="720"/>
        <w:jc w:val="left"/>
        <w:rPr>
          <w:rFonts w:ascii="仿宋_GB2312" w:hAnsi="仿宋_GB2312" w:eastAsia="仿宋_GB2312" w:cs="仿宋_GB2312"/>
          <w:sz w:val="32"/>
          <w:szCs w:val="32"/>
          <w:lang w:val="zh-CN"/>
        </w:rPr>
      </w:pPr>
      <w:r>
        <w:rPr>
          <w:rFonts w:hint="eastAsia" w:ascii="仿宋_GB2312" w:hAnsi="仿宋_GB2312" w:eastAsia="仿宋_GB2312" w:cs="仿宋_GB2312"/>
          <w:sz w:val="32"/>
          <w:szCs w:val="32"/>
        </w:rPr>
        <w:t>根据《</w:t>
      </w:r>
      <w:r>
        <w:rPr>
          <w:rFonts w:ascii="仿宋_GB2312" w:hAnsi="仿宋_GB2312" w:eastAsia="仿宋_GB2312" w:cs="仿宋_GB2312"/>
          <w:sz w:val="32"/>
          <w:szCs w:val="32"/>
        </w:rPr>
        <w:t>2018</w:t>
      </w:r>
      <w:r>
        <w:rPr>
          <w:rFonts w:hint="eastAsia" w:ascii="仿宋_GB2312" w:hAnsi="仿宋_GB2312" w:eastAsia="仿宋_GB2312" w:cs="仿宋_GB2312"/>
          <w:sz w:val="32"/>
          <w:szCs w:val="32"/>
        </w:rPr>
        <w:t>年红原县部门支出绩效评价指标体系》评分得分</w:t>
      </w:r>
      <w:r>
        <w:rPr>
          <w:rFonts w:ascii="仿宋_GB2312" w:hAnsi="仿宋_GB2312" w:eastAsia="仿宋_GB2312" w:cs="仿宋_GB2312"/>
          <w:sz w:val="32"/>
          <w:szCs w:val="32"/>
        </w:rPr>
        <w:t>96</w:t>
      </w:r>
      <w:r>
        <w:rPr>
          <w:rFonts w:hint="eastAsia" w:ascii="仿宋_GB2312" w:hAnsi="仿宋_GB2312" w:eastAsia="仿宋_GB2312" w:cs="仿宋_GB2312"/>
          <w:sz w:val="32"/>
          <w:szCs w:val="32"/>
        </w:rPr>
        <w:t>分，其中：预算调整扣</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分，原因为年中存在追加资金；绩效评价扣</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分，原因为绩效覆盖评价率较低。</w:t>
      </w:r>
    </w:p>
    <w:p>
      <w:pPr>
        <w:pStyle w:val="2"/>
        <w:rPr>
          <w:rFonts w:hint="eastAsia"/>
          <w:lang w:val="zh-CN" w:eastAsia="zh-CN"/>
        </w:rPr>
      </w:pPr>
    </w:p>
    <w:p>
      <w:pPr>
        <w:keepNext w:val="0"/>
        <w:keepLines w:val="0"/>
        <w:widowControl/>
        <w:numPr>
          <w:ilvl w:val="0"/>
          <w:numId w:val="9"/>
        </w:numPr>
        <w:suppressLineNumbers w:val="0"/>
        <w:adjustRightInd w:val="0"/>
        <w:snapToGrid w:val="0"/>
        <w:spacing w:before="0" w:beforeAutospacing="0" w:after="0" w:afterAutospacing="0" w:line="480" w:lineRule="exact"/>
        <w:ind w:left="0" w:leftChars="0" w:right="0" w:firstLine="720" w:firstLineChars="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存在问题。</w:t>
      </w:r>
    </w:p>
    <w:p>
      <w:pPr>
        <w:widowControl/>
        <w:numPr>
          <w:ilvl w:val="0"/>
          <w:numId w:val="0"/>
        </w:numPr>
        <w:adjustRightInd w:val="0"/>
        <w:snapToGrid w:val="0"/>
        <w:spacing w:line="560" w:lineRule="exact"/>
        <w:ind w:firstLine="640" w:firstLineChars="200"/>
        <w:jc w:val="left"/>
        <w:rPr>
          <w:rFonts w:hint="eastAsia"/>
        </w:rPr>
      </w:pPr>
      <w:r>
        <w:rPr>
          <w:rFonts w:hint="eastAsia" w:ascii="仿宋_GB2312" w:hAnsi="仿宋_GB2312" w:eastAsia="仿宋_GB2312" w:cs="仿宋_GB2312"/>
          <w:sz w:val="32"/>
          <w:szCs w:val="32"/>
          <w:lang w:val="en-US" w:eastAsia="zh-CN"/>
        </w:rPr>
        <w:t>1、拨款进度未达到100%，如：2018年麦洼乡7.08水灾灾后恢复建设项目</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影响县级资金拨款进度</w:t>
      </w:r>
      <w:r>
        <w:rPr>
          <w:rFonts w:hint="eastAsia" w:ascii="仿宋_GB2312" w:hAnsi="仿宋_GB2312" w:eastAsia="仿宋_GB2312" w:cs="仿宋_GB2312"/>
          <w:sz w:val="32"/>
          <w:szCs w:val="32"/>
        </w:rPr>
        <w:t>。</w:t>
      </w:r>
    </w:p>
    <w:p>
      <w:pPr>
        <w:widowControl/>
        <w:numPr>
          <w:ilvl w:val="0"/>
          <w:numId w:val="0"/>
        </w:numPr>
        <w:adjustRightInd w:val="0"/>
        <w:snapToGrid w:val="0"/>
        <w:spacing w:line="560" w:lineRule="exact"/>
        <w:ind w:firstLine="640" w:firstLineChars="200"/>
        <w:jc w:val="left"/>
        <w:rPr>
          <w:rFonts w:ascii="仿宋_GB2312" w:hAnsi="仿宋_GB2312" w:eastAsia="仿宋_GB2312" w:cs="仿宋_GB2312"/>
          <w:sz w:val="32"/>
          <w:szCs w:val="32"/>
          <w:lang w:val="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由于实际工作需要，导致预算经济科目与实际支出存在差异。</w:t>
      </w:r>
    </w:p>
    <w:p>
      <w:pPr>
        <w:pStyle w:val="2"/>
        <w:numPr>
          <w:ilvl w:val="0"/>
          <w:numId w:val="0"/>
        </w:numPr>
        <w:ind w:left="720" w:leftChars="0"/>
        <w:rPr>
          <w:rFonts w:hint="eastAsia"/>
          <w:lang w:val="zh-CN" w:eastAsia="zh-CN"/>
        </w:rPr>
      </w:pPr>
    </w:p>
    <w:p>
      <w:pPr>
        <w:keepNext w:val="0"/>
        <w:keepLines w:val="0"/>
        <w:widowControl/>
        <w:numPr>
          <w:ilvl w:val="0"/>
          <w:numId w:val="9"/>
        </w:numPr>
        <w:suppressLineNumbers w:val="0"/>
        <w:adjustRightInd w:val="0"/>
        <w:snapToGrid w:val="0"/>
        <w:spacing w:before="0" w:beforeAutospacing="0" w:after="0" w:afterAutospacing="0" w:line="480" w:lineRule="exact"/>
        <w:ind w:left="0" w:leftChars="0" w:right="0" w:firstLine="720" w:firstLineChars="0"/>
        <w:jc w:val="left"/>
        <w:rPr>
          <w:rFonts w:hint="eastAsia" w:ascii="仿宋_GB2312" w:hAnsi="宋体" w:eastAsia="仿宋_GB2312" w:cs="宋体"/>
          <w:color w:val="000000"/>
          <w:kern w:val="0"/>
          <w:sz w:val="32"/>
          <w:szCs w:val="24"/>
          <w:lang w:val="zh-CN" w:eastAsia="zh-CN" w:bidi="ar"/>
        </w:rPr>
      </w:pPr>
      <w:r>
        <w:rPr>
          <w:rFonts w:hint="eastAsia" w:ascii="仿宋_GB2312" w:hAnsi="宋体" w:eastAsia="仿宋_GB2312" w:cs="宋体"/>
          <w:color w:val="000000"/>
          <w:kern w:val="0"/>
          <w:sz w:val="32"/>
          <w:szCs w:val="24"/>
          <w:lang w:val="zh-CN" w:eastAsia="zh-CN" w:bidi="ar"/>
        </w:rPr>
        <w:t>改进建议。</w:t>
      </w:r>
    </w:p>
    <w:p>
      <w:pPr>
        <w:numPr>
          <w:ilvl w:val="0"/>
          <w:numId w:val="10"/>
        </w:num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加强组织领导，提高</w:t>
      </w:r>
      <w:r>
        <w:rPr>
          <w:rFonts w:hint="eastAsia" w:ascii="仿宋_GB2312" w:hAnsi="仿宋_GB2312" w:eastAsia="仿宋_GB2312" w:cs="仿宋_GB2312"/>
          <w:sz w:val="32"/>
          <w:szCs w:val="32"/>
          <w:lang w:val="en-US" w:eastAsia="zh-CN"/>
        </w:rPr>
        <w:t>资金拨付进度，</w:t>
      </w:r>
      <w:r>
        <w:rPr>
          <w:rFonts w:hint="eastAsia" w:ascii="仿宋_GB2312" w:hAnsi="仿宋_GB2312" w:eastAsia="仿宋_GB2312" w:cs="仿宋_GB2312"/>
          <w:sz w:val="32"/>
          <w:szCs w:val="32"/>
        </w:rPr>
        <w:t>为绩效评价工作开展创造更好的条件；</w:t>
      </w:r>
    </w:p>
    <w:p>
      <w:pPr>
        <w:numPr>
          <w:ilvl w:val="0"/>
          <w:numId w:val="0"/>
        </w:num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建立长效机制，加强管理提高部门支出的绩效成果，为更好的服务工作发挥最大效益。</w:t>
      </w:r>
    </w:p>
    <w:p>
      <w:pPr>
        <w:pStyle w:val="2"/>
        <w:numPr>
          <w:ilvl w:val="0"/>
          <w:numId w:val="0"/>
        </w:numPr>
        <w:ind w:left="720" w:leftChars="0"/>
        <w:rPr>
          <w:rFonts w:hint="eastAsia"/>
          <w:lang w:val="en-US"/>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pStyle w:val="5"/>
        <w:rPr>
          <w:rStyle w:val="27"/>
          <w:rFonts w:hint="eastAsia" w:ascii="仿宋" w:hAnsi="仿宋" w:eastAsia="仿宋"/>
          <w:b w:val="0"/>
          <w:bCs w:val="0"/>
          <w:sz w:val="32"/>
          <w:szCs w:val="32"/>
        </w:rPr>
      </w:pPr>
    </w:p>
    <w:p>
      <w:pPr>
        <w:rPr>
          <w:rStyle w:val="27"/>
          <w:rFonts w:hint="eastAsia" w:ascii="仿宋" w:hAnsi="仿宋" w:eastAsia="仿宋"/>
          <w:b w:val="0"/>
          <w:bCs w:val="0"/>
          <w:sz w:val="32"/>
          <w:szCs w:val="32"/>
        </w:rPr>
      </w:pPr>
    </w:p>
    <w:p>
      <w:pPr>
        <w:rPr>
          <w:rStyle w:val="27"/>
          <w:rFonts w:hint="eastAsia" w:ascii="仿宋" w:hAnsi="仿宋" w:eastAsia="仿宋"/>
          <w:b w:val="0"/>
          <w:bCs w:val="0"/>
          <w:sz w:val="32"/>
          <w:szCs w:val="32"/>
        </w:rPr>
      </w:pPr>
    </w:p>
    <w:p>
      <w:pPr>
        <w:pStyle w:val="5"/>
        <w:rPr>
          <w:rStyle w:val="27"/>
          <w:rFonts w:ascii="仿宋" w:hAnsi="仿宋" w:eastAsia="仿宋"/>
          <w:b w:val="0"/>
          <w:bCs w:val="0"/>
          <w:sz w:val="32"/>
          <w:szCs w:val="32"/>
        </w:rPr>
      </w:pPr>
      <w:r>
        <w:rPr>
          <w:rStyle w:val="27"/>
          <w:rFonts w:hint="eastAsia" w:ascii="仿宋" w:hAnsi="仿宋" w:eastAsia="仿宋"/>
          <w:b w:val="0"/>
          <w:bCs w:val="0"/>
          <w:sz w:val="32"/>
          <w:szCs w:val="32"/>
        </w:rPr>
        <w:t>附件2</w:t>
      </w:r>
      <w:bookmarkEnd w:id="64"/>
    </w:p>
    <w:p>
      <w:pPr>
        <w:keepNext w:val="0"/>
        <w:keepLines w:val="0"/>
        <w:widowControl w:val="0"/>
        <w:suppressLineNumbers w:val="0"/>
        <w:snapToGrid w:val="0"/>
        <w:spacing w:before="0" w:beforeAutospacing="0" w:after="0" w:afterAutospacing="0" w:line="580" w:lineRule="exact"/>
        <w:ind w:left="0" w:right="0"/>
        <w:jc w:val="center"/>
        <w:rPr>
          <w:rFonts w:hint="eastAsia" w:ascii="方正小标宋简体" w:hAnsi="宋体" w:eastAsia="方正小标宋简体" w:cs="方正小标宋简体"/>
          <w:kern w:val="2"/>
          <w:sz w:val="44"/>
          <w:szCs w:val="44"/>
          <w:lang w:val="en-US" w:eastAsia="zh-CN" w:bidi="ar"/>
        </w:rPr>
      </w:pPr>
      <w:bookmarkStart w:id="65" w:name="_Toc15396618"/>
      <w:r>
        <w:rPr>
          <w:rFonts w:hint="eastAsia" w:ascii="方正小标宋简体" w:hAnsi="宋体" w:eastAsia="方正小标宋简体" w:cs="方正小标宋简体"/>
          <w:kern w:val="2"/>
          <w:sz w:val="44"/>
          <w:szCs w:val="44"/>
          <w:lang w:val="en-US" w:eastAsia="zh-CN" w:bidi="ar"/>
        </w:rPr>
        <w:t>红原县麦洼乡人民政府</w:t>
      </w:r>
    </w:p>
    <w:p>
      <w:pPr>
        <w:keepNext w:val="0"/>
        <w:keepLines w:val="0"/>
        <w:widowControl w:val="0"/>
        <w:suppressLineNumbers w:val="0"/>
        <w:snapToGrid w:val="0"/>
        <w:spacing w:before="0" w:beforeAutospacing="0" w:after="0" w:afterAutospacing="0" w:line="580" w:lineRule="exact"/>
        <w:ind w:left="0" w:right="0"/>
        <w:jc w:val="center"/>
        <w:rPr>
          <w:rFonts w:hint="eastAsia" w:ascii="方正小标宋简体" w:hAnsi="宋体" w:eastAsia="方正小标宋简体" w:cs="方正小标宋简体"/>
          <w:sz w:val="44"/>
          <w:szCs w:val="44"/>
          <w:lang w:val="en-US"/>
        </w:rPr>
      </w:pPr>
      <w:r>
        <w:rPr>
          <w:rFonts w:hint="eastAsia" w:ascii="方正小标宋简体" w:hAnsi="宋体" w:eastAsia="方正小标宋简体" w:cs="方正小标宋简体"/>
          <w:kern w:val="2"/>
          <w:sz w:val="44"/>
          <w:szCs w:val="44"/>
          <w:lang w:val="en-US" w:eastAsia="zh-CN" w:bidi="ar"/>
        </w:rPr>
        <w:t>关于2018年麦洼乡洞拉村零星维修改造项目支出绩效评价报告</w:t>
      </w:r>
    </w:p>
    <w:p>
      <w:pPr>
        <w:keepNext w:val="0"/>
        <w:keepLines w:val="0"/>
        <w:widowControl w:val="0"/>
        <w:suppressLineNumbers w:val="0"/>
        <w:tabs>
          <w:tab w:val="left" w:pos="3885"/>
        </w:tabs>
        <w:snapToGrid w:val="0"/>
        <w:spacing w:before="0" w:beforeAutospacing="0" w:after="0" w:afterAutospacing="0" w:line="580" w:lineRule="exact"/>
        <w:ind w:left="0" w:right="0" w:firstLine="640" w:firstLineChars="200"/>
        <w:jc w:val="center"/>
        <w:rPr>
          <w:rFonts w:hAnsi="宋体"/>
          <w:lang w:val="en-US"/>
        </w:rPr>
      </w:pPr>
      <w:r>
        <w:rPr>
          <w:rFonts w:hint="eastAsia" w:ascii="黑体" w:hAnsi="黑体" w:eastAsia="黑体" w:cs="黑体"/>
          <w:sz w:val="32"/>
          <w:szCs w:val="32"/>
          <w:lang w:val="en-US" w:eastAsia="zh-CN"/>
        </w:rPr>
        <w:t>（2018年麦洼乡洞拉村零星维修改造项目）</w:t>
      </w:r>
    </w:p>
    <w:p>
      <w:pPr>
        <w:keepNext w:val="0"/>
        <w:keepLines w:val="0"/>
        <w:widowControl w:val="0"/>
        <w:suppressLineNumbers w:val="0"/>
        <w:tabs>
          <w:tab w:val="left" w:pos="3885"/>
        </w:tabs>
        <w:snapToGrid w:val="0"/>
        <w:spacing w:before="0" w:beforeAutospacing="0" w:after="0" w:afterAutospacing="0" w:line="580" w:lineRule="exact"/>
        <w:ind w:left="0" w:right="0" w:firstLine="422" w:firstLineChars="200"/>
        <w:jc w:val="left"/>
        <w:rPr>
          <w:rFonts w:hint="eastAsia" w:ascii="宋体" w:hAnsi="宋体" w:eastAsia="仿宋_GB2312" w:cs="宋体"/>
          <w:b/>
          <w:bCs w:val="0"/>
          <w:szCs w:val="21"/>
          <w:lang w:val="en-US"/>
        </w:rPr>
      </w:pPr>
    </w:p>
    <w:p>
      <w:pPr>
        <w:keepNext w:val="0"/>
        <w:keepLines w:val="0"/>
        <w:widowControl w:val="0"/>
        <w:numPr>
          <w:ilvl w:val="0"/>
          <w:numId w:val="11"/>
        </w:numPr>
        <w:suppressLineNumbers w:val="0"/>
        <w:tabs>
          <w:tab w:val="left" w:pos="3885"/>
        </w:tabs>
        <w:snapToGrid w:val="0"/>
        <w:spacing w:before="0" w:beforeAutospacing="0" w:after="0" w:afterAutospacing="0" w:line="580" w:lineRule="exact"/>
        <w:ind w:left="0" w:right="0" w:firstLine="640" w:firstLineChars="200"/>
        <w:jc w:val="left"/>
        <w:rPr>
          <w:rFonts w:hint="eastAsia" w:ascii="黑体" w:hAnsi="宋体" w:eastAsia="黑体" w:cs="黑体"/>
          <w:kern w:val="2"/>
          <w:sz w:val="32"/>
          <w:szCs w:val="21"/>
          <w:lang w:val="en-US" w:eastAsia="zh-CN" w:bidi="ar"/>
        </w:rPr>
      </w:pPr>
      <w:r>
        <w:rPr>
          <w:rFonts w:hint="eastAsia" w:ascii="黑体" w:hAnsi="宋体" w:eastAsia="黑体" w:cs="黑体"/>
          <w:kern w:val="2"/>
          <w:sz w:val="32"/>
          <w:szCs w:val="21"/>
          <w:lang w:val="en-US" w:eastAsia="zh-CN" w:bidi="ar"/>
        </w:rPr>
        <w:t>内容摘要（项目基本情况、评价结论、主要问题及建议）</w:t>
      </w:r>
    </w:p>
    <w:p>
      <w:pPr>
        <w:keepNext w:val="0"/>
        <w:keepLines w:val="0"/>
        <w:widowControl w:val="0"/>
        <w:numPr>
          <w:ilvl w:val="0"/>
          <w:numId w:val="12"/>
        </w:numPr>
        <w:suppressLineNumbers w:val="0"/>
        <w:tabs>
          <w:tab w:val="left" w:pos="3885"/>
        </w:tabs>
        <w:snapToGrid w:val="0"/>
        <w:spacing w:before="0" w:beforeAutospacing="0" w:after="0" w:afterAutospacing="0" w:line="580" w:lineRule="exact"/>
        <w:ind w:right="0" w:rightChars="0"/>
        <w:jc w:val="left"/>
        <w:rPr>
          <w:rFonts w:hint="eastAsia" w:ascii="黑体" w:hAnsi="宋体" w:eastAsia="黑体" w:cs="黑体"/>
          <w:kern w:val="2"/>
          <w:sz w:val="32"/>
          <w:szCs w:val="21"/>
          <w:lang w:val="en-US" w:eastAsia="zh-CN" w:bidi="ar"/>
        </w:rPr>
      </w:pPr>
      <w:r>
        <w:rPr>
          <w:rFonts w:hint="eastAsia" w:ascii="黑体" w:hAnsi="宋体" w:eastAsia="黑体" w:cs="黑体"/>
          <w:kern w:val="2"/>
          <w:sz w:val="32"/>
          <w:szCs w:val="21"/>
          <w:lang w:val="en-US" w:eastAsia="zh-CN" w:bidi="ar"/>
        </w:rPr>
        <w:t>项目基本情况</w:t>
      </w:r>
    </w:p>
    <w:p>
      <w:pPr>
        <w:pStyle w:val="2"/>
        <w:numPr>
          <w:ilvl w:val="0"/>
          <w:numId w:val="0"/>
        </w:numPr>
        <w:ind w:firstLine="640" w:firstLineChars="200"/>
        <w:rPr>
          <w:rFonts w:hint="eastAsia" w:ascii="仿宋_GB2312" w:hAnsi="宋?" w:eastAsia="仿宋_GB2312" w:cs="仿宋_GB2312"/>
          <w:sz w:val="32"/>
          <w:lang w:val="en-US" w:eastAsia="zh-CN"/>
        </w:rPr>
      </w:pPr>
      <w:r>
        <w:rPr>
          <w:rFonts w:hint="eastAsia" w:ascii="仿宋_GB2312" w:hAnsi="宋?" w:eastAsia="仿宋_GB2312" w:cs="仿宋_GB2312"/>
          <w:sz w:val="32"/>
          <w:lang w:val="zh-CN"/>
        </w:rPr>
        <w:t>红原县</w:t>
      </w:r>
      <w:r>
        <w:rPr>
          <w:rFonts w:hint="eastAsia" w:ascii="仿宋_GB2312" w:hAnsi="宋?" w:eastAsia="仿宋_GB2312" w:cs="仿宋_GB2312"/>
          <w:sz w:val="32"/>
          <w:lang w:val="en-US" w:eastAsia="zh-CN"/>
        </w:rPr>
        <w:t>麦洼</w:t>
      </w:r>
      <w:r>
        <w:rPr>
          <w:rFonts w:hint="eastAsia" w:ascii="仿宋_GB2312" w:hAnsi="宋?" w:eastAsia="仿宋_GB2312" w:cs="仿宋_GB2312"/>
          <w:sz w:val="32"/>
          <w:lang w:val="zh-CN"/>
        </w:rPr>
        <w:t>乡</w:t>
      </w:r>
      <w:r>
        <w:rPr>
          <w:rFonts w:hint="eastAsia" w:ascii="仿宋_GB2312" w:hAnsi="宋?" w:eastAsia="仿宋_GB2312" w:cs="仿宋_GB2312"/>
          <w:sz w:val="32"/>
          <w:lang w:val="en-US" w:eastAsia="zh-CN"/>
        </w:rPr>
        <w:t>洞拉</w:t>
      </w:r>
      <w:r>
        <w:rPr>
          <w:rFonts w:hint="eastAsia" w:ascii="仿宋_GB2312" w:hAnsi="宋?" w:eastAsia="仿宋_GB2312" w:cs="仿宋_GB2312"/>
          <w:sz w:val="32"/>
          <w:lang w:val="zh-CN"/>
        </w:rPr>
        <w:t>村</w:t>
      </w:r>
      <w:r>
        <w:rPr>
          <w:rFonts w:hint="eastAsia" w:ascii="仿宋_GB2312" w:hAnsi="宋?" w:eastAsia="仿宋_GB2312" w:cs="仿宋_GB2312"/>
          <w:sz w:val="32"/>
          <w:lang w:val="en-US" w:eastAsia="zh-CN"/>
        </w:rPr>
        <w:t>村委会</w:t>
      </w:r>
      <w:r>
        <w:rPr>
          <w:rFonts w:hint="eastAsia" w:ascii="仿宋_GB2312" w:hAnsi="宋?" w:eastAsia="仿宋_GB2312" w:cs="仿宋_GB2312"/>
          <w:sz w:val="32"/>
          <w:lang w:val="zh-CN"/>
        </w:rPr>
        <w:t>该项目建设内容及规模为：</w:t>
      </w:r>
      <w:r>
        <w:rPr>
          <w:rFonts w:hint="eastAsia" w:ascii="仿宋_GB2312" w:hAnsi="宋?" w:eastAsia="仿宋_GB2312" w:cs="仿宋_GB2312"/>
          <w:sz w:val="32"/>
          <w:lang w:val="en-US" w:eastAsia="zh-CN"/>
        </w:rPr>
        <w:t>新安装不锈钢旗杆1根高12米；拆除围墙35米；拆除绿化带鹅卵石；拆除公告栏5个；基础开挖52.3立方米；毛渣回填立192.66立方米；浇筑C25混泥土20.16立方米；安装公告栏2个；石头墙抹灰21.83立方米；入户路129米。</w:t>
      </w:r>
      <w:r>
        <w:rPr>
          <w:rFonts w:hint="eastAsia" w:ascii="仿宋_GB2312" w:hAnsi="宋?" w:eastAsia="仿宋_GB2312" w:cs="仿宋_GB2312"/>
          <w:sz w:val="32"/>
        </w:rPr>
        <w:t>该工程经费来源为</w:t>
      </w:r>
      <w:r>
        <w:rPr>
          <w:rFonts w:hint="eastAsia" w:ascii="仿宋_GB2312" w:hAnsi="宋?" w:eastAsia="仿宋_GB2312" w:cs="仿宋_GB2312"/>
          <w:sz w:val="32"/>
          <w:lang w:val="en-US" w:eastAsia="zh-CN"/>
        </w:rPr>
        <w:t>申请平阳县世盈房地产开发有限公司捐赠资金，该项工程预算资金5万元，资金拨付4.6万元。</w:t>
      </w:r>
    </w:p>
    <w:p>
      <w:pPr>
        <w:pStyle w:val="2"/>
        <w:numPr>
          <w:ilvl w:val="0"/>
          <w:numId w:val="0"/>
        </w:numPr>
        <w:ind w:firstLine="643" w:firstLineChars="200"/>
        <w:rPr>
          <w:rFonts w:ascii="楷体_GB2312" w:hAnsi="宋?" w:eastAsia="楷体_GB2312" w:cs="楷体_GB2312"/>
          <w:b/>
          <w:lang w:val="zh-CN"/>
        </w:rPr>
      </w:pPr>
      <w:r>
        <w:rPr>
          <w:rFonts w:hint="eastAsia" w:ascii="楷体_GB2312" w:hAnsi="宋?" w:eastAsia="楷体_GB2312" w:cs="楷体_GB2312"/>
          <w:b/>
          <w:sz w:val="32"/>
          <w:lang w:val="zh-CN"/>
        </w:rPr>
        <w:t>（二）项目绩效目标。</w:t>
      </w:r>
    </w:p>
    <w:p>
      <w:pPr>
        <w:numPr>
          <w:ilvl w:val="0"/>
          <w:numId w:val="13"/>
        </w:numPr>
        <w:adjustRightInd w:val="0"/>
        <w:snapToGrid w:val="0"/>
        <w:spacing w:line="520" w:lineRule="exact"/>
        <w:ind w:firstLine="720"/>
        <w:rPr>
          <w:rFonts w:ascii="仿宋_GB2312" w:hAnsi="宋?" w:eastAsia="仿宋_GB2312" w:cs="仿宋_GB2312"/>
          <w:sz w:val="32"/>
        </w:rPr>
      </w:pPr>
      <w:r>
        <w:rPr>
          <w:rFonts w:hint="eastAsia" w:ascii="仿宋_GB2312" w:hAnsi="宋?" w:eastAsia="仿宋_GB2312" w:cs="仿宋_GB2312"/>
          <w:sz w:val="32"/>
          <w:lang w:val="zh-CN"/>
        </w:rPr>
        <w:t>项目主要内容为：</w:t>
      </w:r>
      <w:r>
        <w:rPr>
          <w:rFonts w:hint="eastAsia" w:ascii="仿宋_GB2312" w:hAnsi="宋?" w:eastAsia="仿宋_GB2312" w:cs="仿宋_GB2312"/>
          <w:sz w:val="32"/>
          <w:lang w:val="en-US" w:eastAsia="zh-CN"/>
        </w:rPr>
        <w:t>新安装不锈钢旗杆1根高12米；拆除围墙35米；拆除绿化带鹅卵石；拆除公告栏5个；基础开挖52.3立方米；毛渣回填立192.66立方米；浇筑C25混泥土20.16立方米；安装公告栏2个；石头墙抹灰21.83立方米；入户路129米。</w:t>
      </w:r>
    </w:p>
    <w:p>
      <w:pPr>
        <w:numPr>
          <w:ilvl w:val="0"/>
          <w:numId w:val="13"/>
        </w:numPr>
        <w:adjustRightInd w:val="0"/>
        <w:snapToGrid w:val="0"/>
        <w:spacing w:line="520" w:lineRule="exact"/>
        <w:ind w:left="0" w:leftChars="0" w:firstLine="720" w:firstLineChars="0"/>
        <w:rPr>
          <w:rFonts w:hint="eastAsia" w:ascii="仿宋_GB2312" w:hAnsi="宋?" w:eastAsia="仿宋_GB2312" w:cs="仿宋_GB2312"/>
          <w:sz w:val="32"/>
          <w:lang w:val="en-US" w:eastAsia="zh-CN"/>
        </w:rPr>
      </w:pPr>
      <w:r>
        <w:rPr>
          <w:rFonts w:hint="eastAsia" w:ascii="仿宋_GB2312" w:hAnsi="宋?" w:eastAsia="仿宋_GB2312" w:cs="仿宋_GB2312"/>
          <w:sz w:val="32"/>
          <w:lang w:val="zh-CN"/>
        </w:rPr>
        <w:t>该项目于</w:t>
      </w:r>
      <w:r>
        <w:rPr>
          <w:rFonts w:ascii="仿宋_GB2312" w:hAnsi="宋?" w:eastAsia="仿宋_GB2312" w:cs="仿宋_GB2312"/>
          <w:sz w:val="32"/>
        </w:rPr>
        <w:t>2018</w:t>
      </w:r>
      <w:r>
        <w:rPr>
          <w:rFonts w:hint="eastAsia" w:ascii="仿宋_GB2312" w:hAnsi="宋?" w:eastAsia="仿宋_GB2312" w:cs="仿宋_GB2312"/>
          <w:sz w:val="32"/>
        </w:rPr>
        <w:t>年</w:t>
      </w:r>
      <w:r>
        <w:rPr>
          <w:rFonts w:hint="eastAsia" w:ascii="仿宋_GB2312" w:hAnsi="宋?" w:eastAsia="仿宋_GB2312" w:cs="仿宋_GB2312"/>
          <w:sz w:val="32"/>
          <w:lang w:val="en-US" w:eastAsia="zh-CN"/>
        </w:rPr>
        <w:t>10</w:t>
      </w:r>
      <w:r>
        <w:rPr>
          <w:rFonts w:hint="eastAsia" w:ascii="仿宋_GB2312" w:hAnsi="宋?" w:eastAsia="仿宋_GB2312" w:cs="仿宋_GB2312"/>
          <w:sz w:val="32"/>
        </w:rPr>
        <w:t>月</w:t>
      </w:r>
      <w:r>
        <w:rPr>
          <w:rFonts w:ascii="仿宋_GB2312" w:hAnsi="宋?" w:eastAsia="仿宋_GB2312" w:cs="仿宋_GB2312"/>
          <w:sz w:val="32"/>
        </w:rPr>
        <w:t>2</w:t>
      </w:r>
      <w:r>
        <w:rPr>
          <w:rFonts w:hint="eastAsia" w:ascii="仿宋_GB2312" w:hAnsi="宋?" w:eastAsia="仿宋_GB2312" w:cs="仿宋_GB2312"/>
          <w:sz w:val="32"/>
          <w:lang w:val="en-US" w:eastAsia="zh-CN"/>
        </w:rPr>
        <w:t>6</w:t>
      </w:r>
      <w:r>
        <w:rPr>
          <w:rFonts w:hint="eastAsia" w:ascii="仿宋_GB2312" w:hAnsi="宋?" w:eastAsia="仿宋_GB2312" w:cs="仿宋_GB2312"/>
          <w:sz w:val="32"/>
        </w:rPr>
        <w:t>日完工，于</w:t>
      </w:r>
      <w:r>
        <w:rPr>
          <w:rFonts w:ascii="仿宋_GB2312" w:hAnsi="宋?" w:eastAsia="仿宋_GB2312" w:cs="仿宋_GB2312"/>
          <w:sz w:val="32"/>
        </w:rPr>
        <w:t>2018</w:t>
      </w:r>
      <w:r>
        <w:rPr>
          <w:rFonts w:hint="eastAsia" w:ascii="仿宋_GB2312" w:hAnsi="宋?" w:eastAsia="仿宋_GB2312" w:cs="仿宋_GB2312"/>
          <w:sz w:val="32"/>
        </w:rPr>
        <w:t>年</w:t>
      </w:r>
      <w:r>
        <w:rPr>
          <w:rFonts w:ascii="仿宋_GB2312" w:hAnsi="宋?" w:eastAsia="仿宋_GB2312" w:cs="仿宋_GB2312"/>
          <w:sz w:val="32"/>
        </w:rPr>
        <w:t>1</w:t>
      </w:r>
      <w:r>
        <w:rPr>
          <w:rFonts w:hint="eastAsia" w:ascii="仿宋_GB2312" w:hAnsi="宋?" w:eastAsia="仿宋_GB2312" w:cs="仿宋_GB2312"/>
          <w:sz w:val="32"/>
          <w:lang w:val="en-US" w:eastAsia="zh-CN"/>
        </w:rPr>
        <w:t>1</w:t>
      </w:r>
      <w:r>
        <w:rPr>
          <w:rFonts w:hint="eastAsia" w:ascii="仿宋_GB2312" w:hAnsi="宋?" w:eastAsia="仿宋_GB2312" w:cs="仿宋_GB2312"/>
          <w:sz w:val="32"/>
        </w:rPr>
        <w:t>月</w:t>
      </w:r>
      <w:r>
        <w:rPr>
          <w:rFonts w:hint="eastAsia" w:ascii="仿宋_GB2312" w:hAnsi="宋?" w:eastAsia="仿宋_GB2312" w:cs="仿宋_GB2312"/>
          <w:sz w:val="32"/>
          <w:lang w:val="en-US" w:eastAsia="zh-CN"/>
        </w:rPr>
        <w:t>6</w:t>
      </w:r>
      <w:r>
        <w:rPr>
          <w:rFonts w:hint="eastAsia" w:ascii="仿宋_GB2312" w:hAnsi="宋?" w:eastAsia="仿宋_GB2312" w:cs="仿宋_GB2312"/>
          <w:sz w:val="32"/>
        </w:rPr>
        <w:t>日完成验收，该项目实施</w:t>
      </w:r>
      <w:r>
        <w:rPr>
          <w:rFonts w:hint="eastAsia" w:ascii="仿宋_GB2312" w:hAnsi="宋?" w:eastAsia="仿宋_GB2312" w:cs="仿宋_GB2312"/>
          <w:sz w:val="32"/>
          <w:lang w:val="en-US" w:eastAsia="zh-CN"/>
        </w:rPr>
        <w:t>改善麦洼乡滚塘村村民委员会的基础设施，保障了滚塘村日后开展村级工作及日常群众工作的便利性。</w:t>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（三）项目自评步骤及方法。</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项目成立项目自评领导小组，结合评价内容，做到有计划，有安排，扎实开展本次自评工作。按照上级下达的项目支出绩效评价指标体系，自评小组针对申报内容、实施情况、资金兑现、财务管理、社会效益等做出自我评价。领导小组如下：</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组</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长：</w:t>
      </w:r>
      <w:r>
        <w:rPr>
          <w:rFonts w:hint="eastAsia" w:ascii="仿宋_GB2312" w:hAnsi="仿宋_GB2312" w:eastAsia="仿宋_GB2312" w:cs="仿宋_GB2312"/>
          <w:sz w:val="32"/>
          <w:szCs w:val="32"/>
          <w:lang w:val="en-US" w:eastAsia="zh-CN"/>
        </w:rPr>
        <w:t>尕白</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乡长、党委副书记</w:t>
      </w:r>
    </w:p>
    <w:p>
      <w:pPr>
        <w:spacing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副组长：</w:t>
      </w:r>
      <w:r>
        <w:rPr>
          <w:rFonts w:hint="eastAsia" w:ascii="仿宋_GB2312" w:hAnsi="仿宋_GB2312" w:eastAsia="仿宋_GB2312" w:cs="仿宋_GB2312"/>
          <w:sz w:val="32"/>
          <w:szCs w:val="32"/>
          <w:lang w:val="en-US" w:eastAsia="zh-CN"/>
        </w:rPr>
        <w:t>徐常忠</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副乡长兼专武部长</w:t>
      </w:r>
    </w:p>
    <w:p>
      <w:pPr>
        <w:spacing w:line="520" w:lineRule="exact"/>
        <w:ind w:firstLine="1920" w:firstLineChars="600"/>
        <w:rPr>
          <w:rFonts w:hint="default"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黄志明</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洞拉村第一书记</w:t>
      </w:r>
    </w:p>
    <w:p>
      <w:pPr>
        <w:spacing w:line="520" w:lineRule="exact"/>
        <w:ind w:firstLine="640" w:firstLineChars="200"/>
        <w:rPr>
          <w:rFonts w:hint="default" w:ascii="仿宋_GB2312" w:hAnsi="仿宋_GB2312" w:eastAsia="仿宋_GB2312" w:cs="仿宋_GB2312"/>
          <w:sz w:val="32"/>
          <w:szCs w:val="32"/>
          <w:lang w:val="en-US" w:eastAsia="zh-CN"/>
        </w:rPr>
      </w:pP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成</w:t>
      </w:r>
      <w:r>
        <w:rPr>
          <w:rFonts w:ascii="仿宋_GB2312" w:hAnsi="仿宋_GB2312" w:eastAsia="仿宋_GB2312" w:cs="仿宋_GB2312"/>
          <w:sz w:val="32"/>
          <w:szCs w:val="32"/>
        </w:rPr>
        <w:t xml:space="preserve">  </w:t>
      </w:r>
      <w:r>
        <w:rPr>
          <w:rFonts w:hint="eastAsia" w:ascii="仿宋_GB2312" w:hAnsi="仿宋_GB2312" w:eastAsia="仿宋_GB2312" w:cs="仿宋_GB2312"/>
          <w:sz w:val="32"/>
          <w:szCs w:val="32"/>
        </w:rPr>
        <w:t>员：</w:t>
      </w:r>
      <w:r>
        <w:rPr>
          <w:rFonts w:hint="eastAsia" w:ascii="仿宋_GB2312" w:hAnsi="仿宋_GB2312" w:eastAsia="仿宋_GB2312" w:cs="仿宋_GB2312"/>
          <w:sz w:val="32"/>
          <w:szCs w:val="32"/>
          <w:lang w:val="en-US" w:eastAsia="zh-CN"/>
        </w:rPr>
        <w:t>胡浩</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卓玛甲、求花、供木科</w:t>
      </w:r>
    </w:p>
    <w:p>
      <w:pPr>
        <w:pStyle w:val="2"/>
        <w:numPr>
          <w:ilvl w:val="0"/>
          <w:numId w:val="0"/>
        </w:numPr>
        <w:ind w:left="720" w:leftChars="0"/>
        <w:rPr>
          <w:rFonts w:hint="eastAsia"/>
        </w:rPr>
      </w:pPr>
    </w:p>
    <w:p>
      <w:pPr>
        <w:adjustRightInd w:val="0"/>
        <w:snapToGrid w:val="0"/>
        <w:spacing w:line="520" w:lineRule="exact"/>
        <w:ind w:firstLine="720"/>
        <w:rPr>
          <w:rFonts w:ascii="黑体" w:hAnsi="宋?" w:eastAsia="黑体" w:cs="黑体"/>
        </w:rPr>
      </w:pPr>
      <w:r>
        <w:rPr>
          <w:rFonts w:hint="eastAsia" w:ascii="黑体" w:hAnsi="宋?" w:eastAsia="黑体" w:cs="黑体"/>
          <w:sz w:val="32"/>
        </w:rPr>
        <w:t>二、项目资金申报及使用情况</w:t>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（一）项目资金申报及批复情况。</w:t>
      </w:r>
    </w:p>
    <w:p>
      <w:pPr>
        <w:adjustRightInd w:val="0"/>
        <w:snapToGrid w:val="0"/>
        <w:spacing w:line="520" w:lineRule="exact"/>
        <w:ind w:firstLine="720"/>
        <w:rPr>
          <w:rFonts w:ascii="仿宋_GB2312" w:hAnsi="宋?" w:eastAsia="仿宋_GB2312" w:cs="仿宋_GB2312"/>
          <w:sz w:val="32"/>
        </w:rPr>
      </w:pPr>
      <w:r>
        <w:rPr>
          <w:rFonts w:hint="eastAsia" w:ascii="仿宋_GB2312" w:hAnsi="宋?" w:eastAsia="仿宋_GB2312" w:cs="仿宋_GB2312"/>
          <w:sz w:val="32"/>
          <w:lang w:val="en-US" w:eastAsia="zh-CN"/>
        </w:rPr>
        <w:t>我乡申请到的浙江省平阳县世盈房地产开发有限公司捐赠资金4.6</w:t>
      </w:r>
      <w:r>
        <w:rPr>
          <w:rFonts w:hint="eastAsia" w:ascii="仿宋_GB2312" w:hAnsi="宋?" w:eastAsia="仿宋_GB2312" w:cs="仿宋_GB2312"/>
          <w:sz w:val="32"/>
        </w:rPr>
        <w:t>万元已全部到位。</w:t>
      </w:r>
    </w:p>
    <w:p>
      <w:pPr>
        <w:adjustRightInd w:val="0"/>
        <w:snapToGrid w:val="0"/>
        <w:spacing w:line="520" w:lineRule="exact"/>
        <w:ind w:firstLine="720"/>
        <w:rPr>
          <w:rFonts w:ascii="仿宋_GB2312" w:hAnsi="宋?" w:eastAsia="仿宋_GB2312" w:cs="仿宋_GB2312"/>
          <w:lang w:val="zh-CN"/>
        </w:rPr>
      </w:pPr>
      <w:r>
        <w:rPr>
          <w:rFonts w:hint="eastAsia" w:ascii="楷体_GB2312" w:hAnsi="宋?" w:eastAsia="楷体_GB2312" w:cs="楷体_GB2312"/>
          <w:b/>
          <w:sz w:val="32"/>
          <w:lang w:val="zh-CN"/>
        </w:rPr>
        <w:t>（二）资金计划、到位及使用情况（可用表格形式反映）。</w:t>
      </w:r>
    </w:p>
    <w:p>
      <w:pPr>
        <w:adjustRightInd w:val="0"/>
        <w:snapToGrid w:val="0"/>
        <w:spacing w:line="520" w:lineRule="exact"/>
        <w:ind w:firstLine="720"/>
        <w:rPr>
          <w:rFonts w:ascii="仿宋_GB2312" w:hAnsi="仿宋_GB2312" w:eastAsia="仿宋_GB2312" w:cs="仿宋_GB2312"/>
          <w:sz w:val="32"/>
        </w:rPr>
      </w:pPr>
      <w:r>
        <w:rPr>
          <w:rFonts w:ascii="仿宋_GB2312" w:hAnsi="仿宋_GB2312" w:eastAsia="仿宋_GB2312" w:cs="仿宋_GB2312"/>
          <w:sz w:val="32"/>
          <w:lang w:val="zh-CN"/>
        </w:rPr>
        <w:t>1</w:t>
      </w:r>
      <w:r>
        <w:rPr>
          <w:rFonts w:hint="eastAsia" w:ascii="仿宋_GB2312" w:hAnsi="仿宋_GB2312" w:eastAsia="仿宋_GB2312" w:cs="仿宋_GB2312"/>
          <w:sz w:val="32"/>
          <w:lang w:val="zh-CN"/>
        </w:rPr>
        <w:t>．资金计划、到位。该项目资金来源为</w:t>
      </w:r>
      <w:r>
        <w:rPr>
          <w:rFonts w:hint="eastAsia" w:ascii="仿宋_GB2312" w:hAnsi="仿宋_GB2312" w:eastAsia="仿宋_GB2312" w:cs="仿宋_GB2312"/>
          <w:sz w:val="32"/>
          <w:lang w:val="en-US" w:eastAsia="zh-CN"/>
        </w:rPr>
        <w:t>2018年麦洼乡洞拉村零星维修改造项目</w:t>
      </w:r>
      <w:r>
        <w:rPr>
          <w:rFonts w:hint="eastAsia" w:ascii="仿宋_GB2312" w:hAnsi="仿宋_GB2312" w:eastAsia="仿宋_GB2312" w:cs="仿宋_GB2312"/>
          <w:sz w:val="32"/>
          <w:lang w:val="zh-CN"/>
        </w:rPr>
        <w:t>，</w:t>
      </w:r>
      <w:r>
        <w:rPr>
          <w:rFonts w:hint="eastAsia" w:ascii="仿宋_GB2312" w:hAnsi="仿宋_GB2312" w:eastAsia="仿宋_GB2312" w:cs="仿宋_GB2312"/>
          <w:sz w:val="32"/>
        </w:rPr>
        <w:t>截止目前已</w:t>
      </w:r>
      <w:r>
        <w:rPr>
          <w:rFonts w:ascii="仿宋_GB2312" w:hAnsi="仿宋_GB2312" w:eastAsia="仿宋_GB2312" w:cs="仿宋_GB2312"/>
          <w:sz w:val="32"/>
        </w:rPr>
        <w:t>100%</w:t>
      </w:r>
      <w:r>
        <w:rPr>
          <w:rFonts w:hint="eastAsia" w:ascii="仿宋_GB2312" w:hAnsi="仿宋_GB2312" w:eastAsia="仿宋_GB2312" w:cs="仿宋_GB2312"/>
          <w:sz w:val="32"/>
        </w:rPr>
        <w:t>全部到位。</w:t>
      </w:r>
    </w:p>
    <w:p>
      <w:pPr>
        <w:adjustRightInd w:val="0"/>
        <w:snapToGrid w:val="0"/>
        <w:spacing w:line="520" w:lineRule="exact"/>
        <w:ind w:firstLine="720"/>
        <w:rPr>
          <w:rFonts w:ascii="仿宋_GB2312" w:hAnsi="仿宋_GB2312" w:eastAsia="仿宋_GB2312" w:cs="仿宋_GB2312"/>
          <w:sz w:val="32"/>
        </w:rPr>
      </w:pPr>
      <w:r>
        <w:rPr>
          <w:rFonts w:ascii="仿宋_GB2312" w:hAnsi="仿宋_GB2312" w:eastAsia="仿宋_GB2312" w:cs="仿宋_GB2312"/>
          <w:sz w:val="32"/>
        </w:rPr>
        <w:t>2</w:t>
      </w:r>
      <w:r>
        <w:rPr>
          <w:rFonts w:hint="eastAsia" w:ascii="仿宋_GB2312" w:hAnsi="仿宋_GB2312" w:eastAsia="仿宋_GB2312" w:cs="仿宋_GB2312"/>
          <w:sz w:val="32"/>
          <w:lang w:val="zh-CN"/>
        </w:rPr>
        <w:t>．资金使用。截止目前该项目资金已支付</w:t>
      </w:r>
      <w:r>
        <w:rPr>
          <w:rFonts w:hint="eastAsia" w:ascii="仿宋_GB2312" w:hAnsi="仿宋_GB2312" w:eastAsia="仿宋_GB2312" w:cs="仿宋_GB2312"/>
          <w:sz w:val="32"/>
          <w:lang w:val="en-US" w:eastAsia="zh-CN"/>
        </w:rPr>
        <w:t>4.6</w:t>
      </w:r>
      <w:r>
        <w:rPr>
          <w:rFonts w:hint="eastAsia" w:ascii="仿宋_GB2312" w:hAnsi="仿宋_GB2312" w:eastAsia="仿宋_GB2312" w:cs="仿宋_GB2312"/>
          <w:sz w:val="32"/>
        </w:rPr>
        <w:t>万元</w:t>
      </w:r>
      <w:r>
        <w:rPr>
          <w:rFonts w:hint="eastAsia" w:ascii="仿宋_GB2312" w:hAnsi="仿宋_GB2312" w:eastAsia="仿宋_GB2312" w:cs="仿宋_GB2312"/>
          <w:sz w:val="32"/>
          <w:lang w:eastAsia="zh-CN"/>
        </w:rPr>
        <w:t>。</w:t>
      </w:r>
      <w:r>
        <w:rPr>
          <w:rFonts w:ascii="仿宋_GB2312" w:hAnsi="仿宋_GB2312" w:eastAsia="仿宋_GB2312" w:cs="仿宋_GB2312"/>
          <w:sz w:val="32"/>
        </w:rPr>
        <w:t xml:space="preserve">        </w:t>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（三）项目财务管理情况。</w:t>
      </w:r>
    </w:p>
    <w:p>
      <w:pPr>
        <w:adjustRightInd w:val="0"/>
        <w:snapToGrid w:val="0"/>
        <w:spacing w:line="520" w:lineRule="exact"/>
        <w:ind w:firstLine="720"/>
        <w:rPr>
          <w:rFonts w:ascii="仿宋_GB2312" w:hAnsi="仿宋_GB2312" w:eastAsia="仿宋_GB2312" w:cs="仿宋_GB2312"/>
          <w:sz w:val="32"/>
          <w:szCs w:val="32"/>
        </w:rPr>
      </w:pPr>
      <w:r>
        <w:rPr>
          <w:rFonts w:hint="eastAsia" w:ascii="仿宋_GB2312" w:hAnsi="仿宋_GB2312" w:eastAsia="仿宋_GB2312" w:cs="仿宋_GB2312"/>
          <w:sz w:val="32"/>
          <w:lang w:val="en-US" w:eastAsia="zh-CN"/>
        </w:rPr>
        <w:t>2018年麦洼乡洞拉村零星维修改造项目</w:t>
      </w:r>
      <w:r>
        <w:rPr>
          <w:rFonts w:hint="eastAsia" w:ascii="仿宋_GB2312" w:hAnsi="仿宋_GB2312" w:eastAsia="仿宋_GB2312" w:cs="仿宋_GB2312"/>
          <w:sz w:val="32"/>
          <w:szCs w:val="32"/>
        </w:rPr>
        <w:t>我</w:t>
      </w:r>
      <w:r>
        <w:rPr>
          <w:rFonts w:hint="eastAsia" w:ascii="仿宋_GB2312" w:hAnsi="仿宋_GB2312" w:eastAsia="仿宋_GB2312" w:cs="仿宋_GB2312"/>
          <w:sz w:val="32"/>
          <w:szCs w:val="32"/>
          <w:lang w:val="en-US" w:eastAsia="zh-CN"/>
        </w:rPr>
        <w:t>乡</w:t>
      </w:r>
      <w:r>
        <w:rPr>
          <w:rFonts w:hint="eastAsia" w:ascii="仿宋_GB2312" w:hAnsi="仿宋_GB2312" w:eastAsia="仿宋_GB2312" w:cs="仿宋_GB2312"/>
          <w:sz w:val="32"/>
          <w:szCs w:val="32"/>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pPr>
        <w:adjustRightInd w:val="0"/>
        <w:snapToGrid w:val="0"/>
        <w:spacing w:line="520" w:lineRule="exact"/>
        <w:ind w:firstLine="720"/>
        <w:rPr>
          <w:rFonts w:ascii="黑体" w:hAnsi="宋?" w:eastAsia="黑体" w:cs="黑体"/>
        </w:rPr>
      </w:pPr>
      <w:r>
        <w:rPr>
          <w:rFonts w:hint="eastAsia" w:ascii="黑体" w:hAnsi="宋?" w:eastAsia="黑体" w:cs="黑体"/>
          <w:sz w:val="32"/>
        </w:rPr>
        <w:t>三、项目实施及管理情况</w:t>
      </w:r>
    </w:p>
    <w:p>
      <w:pPr>
        <w:spacing w:line="52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该项目实施阶段我</w:t>
      </w:r>
      <w:r>
        <w:rPr>
          <w:rFonts w:hint="eastAsia" w:ascii="仿宋_GB2312" w:hAnsi="仿宋_GB2312" w:eastAsia="仿宋_GB2312" w:cs="仿宋_GB2312"/>
          <w:sz w:val="32"/>
          <w:szCs w:val="32"/>
          <w:lang w:val="en-US" w:eastAsia="zh-CN"/>
        </w:rPr>
        <w:t>乡</w:t>
      </w:r>
      <w:r>
        <w:rPr>
          <w:rFonts w:hint="eastAsia" w:ascii="仿宋_GB2312" w:hAnsi="仿宋_GB2312" w:eastAsia="仿宋_GB2312" w:cs="仿宋_GB2312"/>
          <w:sz w:val="32"/>
          <w:szCs w:val="32"/>
        </w:rPr>
        <w:t>由专人负责本项目，严格执行《基本建设财务管理规定》，严格执行招投标制度，严格执行《中华人民共和国政府采购法》执行，不拆分项目，不单列分包招标，保证项目招投标的严肃性。</w:t>
      </w:r>
    </w:p>
    <w:p>
      <w:pPr>
        <w:adjustRightInd w:val="0"/>
        <w:snapToGrid w:val="0"/>
        <w:spacing w:line="520" w:lineRule="exact"/>
        <w:ind w:firstLine="720"/>
        <w:rPr>
          <w:rFonts w:ascii="仿宋_GB2312" w:hAnsi="宋?" w:eastAsia="仿宋_GB2312" w:cs="仿宋_GB2312"/>
          <w:lang w:val="zh-CN"/>
        </w:rPr>
      </w:pPr>
      <w:r>
        <w:rPr>
          <w:rFonts w:hint="eastAsia" w:ascii="黑体" w:hAnsi="宋?" w:eastAsia="黑体" w:cs="黑体"/>
          <w:sz w:val="32"/>
        </w:rPr>
        <w:t>四、项目绩效情况</w:t>
      </w:r>
      <w:r>
        <w:rPr>
          <w:rFonts w:ascii="仿宋_GB2312" w:hAnsi="宋?" w:eastAsia="仿宋_GB2312" w:cs="仿宋_GB2312"/>
          <w:sz w:val="32"/>
          <w:lang w:val="zh-CN"/>
        </w:rPr>
        <w:tab/>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（一）项目完成情况。</w:t>
      </w:r>
    </w:p>
    <w:p>
      <w:pPr>
        <w:adjustRightInd w:val="0"/>
        <w:snapToGrid w:val="0"/>
        <w:spacing w:line="520" w:lineRule="exact"/>
        <w:ind w:firstLine="720"/>
        <w:rPr>
          <w:rFonts w:ascii="仿宋_GB2312" w:hAnsi="宋?" w:eastAsia="仿宋_GB2312" w:cs="仿宋_GB2312"/>
          <w:sz w:val="32"/>
        </w:rPr>
      </w:pPr>
      <w:r>
        <w:rPr>
          <w:rFonts w:hint="eastAsia" w:ascii="仿宋_GB2312" w:hAnsi="宋?" w:eastAsia="仿宋_GB2312" w:cs="仿宋_GB2312"/>
          <w:sz w:val="32"/>
          <w:lang w:val="zh-CN"/>
        </w:rPr>
        <w:t>该项目于该项目于</w:t>
      </w:r>
      <w:r>
        <w:rPr>
          <w:rFonts w:ascii="仿宋_GB2312" w:hAnsi="宋?" w:eastAsia="仿宋_GB2312" w:cs="仿宋_GB2312"/>
          <w:sz w:val="32"/>
        </w:rPr>
        <w:t>2018</w:t>
      </w:r>
      <w:r>
        <w:rPr>
          <w:rFonts w:hint="eastAsia" w:ascii="仿宋_GB2312" w:hAnsi="宋?" w:eastAsia="仿宋_GB2312" w:cs="仿宋_GB2312"/>
          <w:sz w:val="32"/>
        </w:rPr>
        <w:t>年</w:t>
      </w:r>
      <w:r>
        <w:rPr>
          <w:rFonts w:hint="eastAsia" w:ascii="仿宋_GB2312" w:hAnsi="宋?" w:eastAsia="仿宋_GB2312" w:cs="仿宋_GB2312"/>
          <w:sz w:val="32"/>
          <w:lang w:val="en-US" w:eastAsia="zh-CN"/>
        </w:rPr>
        <w:t>10</w:t>
      </w:r>
      <w:r>
        <w:rPr>
          <w:rFonts w:hint="eastAsia" w:ascii="仿宋_GB2312" w:hAnsi="宋?" w:eastAsia="仿宋_GB2312" w:cs="仿宋_GB2312"/>
          <w:sz w:val="32"/>
        </w:rPr>
        <w:t>月</w:t>
      </w:r>
      <w:r>
        <w:rPr>
          <w:rFonts w:hint="eastAsia" w:ascii="仿宋_GB2312" w:hAnsi="宋?" w:eastAsia="仿宋_GB2312" w:cs="仿宋_GB2312"/>
          <w:sz w:val="32"/>
          <w:lang w:val="en-US" w:eastAsia="zh-CN"/>
        </w:rPr>
        <w:t>26</w:t>
      </w:r>
      <w:r>
        <w:rPr>
          <w:rFonts w:hint="eastAsia" w:ascii="仿宋_GB2312" w:hAnsi="宋?" w:eastAsia="仿宋_GB2312" w:cs="仿宋_GB2312"/>
          <w:sz w:val="32"/>
        </w:rPr>
        <w:t>日完工，于</w:t>
      </w:r>
      <w:r>
        <w:rPr>
          <w:rFonts w:ascii="仿宋_GB2312" w:hAnsi="宋?" w:eastAsia="仿宋_GB2312" w:cs="仿宋_GB2312"/>
          <w:sz w:val="32"/>
        </w:rPr>
        <w:t>2018</w:t>
      </w:r>
      <w:r>
        <w:rPr>
          <w:rFonts w:hint="eastAsia" w:ascii="仿宋_GB2312" w:hAnsi="宋?" w:eastAsia="仿宋_GB2312" w:cs="仿宋_GB2312"/>
          <w:sz w:val="32"/>
        </w:rPr>
        <w:t>年</w:t>
      </w:r>
      <w:r>
        <w:rPr>
          <w:rFonts w:hint="eastAsia" w:ascii="仿宋_GB2312" w:hAnsi="宋?" w:eastAsia="仿宋_GB2312" w:cs="仿宋_GB2312"/>
          <w:sz w:val="32"/>
          <w:lang w:val="en-US" w:eastAsia="zh-CN"/>
        </w:rPr>
        <w:t>11</w:t>
      </w:r>
      <w:r>
        <w:rPr>
          <w:rFonts w:hint="eastAsia" w:ascii="仿宋_GB2312" w:hAnsi="宋?" w:eastAsia="仿宋_GB2312" w:cs="仿宋_GB2312"/>
          <w:sz w:val="32"/>
        </w:rPr>
        <w:t>月</w:t>
      </w:r>
      <w:r>
        <w:rPr>
          <w:rFonts w:hint="eastAsia" w:ascii="仿宋_GB2312" w:hAnsi="宋?" w:eastAsia="仿宋_GB2312" w:cs="仿宋_GB2312"/>
          <w:sz w:val="32"/>
          <w:lang w:val="en-US" w:eastAsia="zh-CN"/>
        </w:rPr>
        <w:t>6</w:t>
      </w:r>
      <w:r>
        <w:rPr>
          <w:rFonts w:hint="eastAsia" w:ascii="仿宋_GB2312" w:hAnsi="宋?" w:eastAsia="仿宋_GB2312" w:cs="仿宋_GB2312"/>
          <w:sz w:val="32"/>
        </w:rPr>
        <w:t>日完成验收。</w:t>
      </w:r>
    </w:p>
    <w:p>
      <w:pPr>
        <w:adjustRightInd w:val="0"/>
        <w:snapToGrid w:val="0"/>
        <w:spacing w:line="520" w:lineRule="exact"/>
        <w:ind w:firstLine="720"/>
        <w:rPr>
          <w:rFonts w:ascii="楷体_GB2312" w:hAnsi="宋?" w:eastAsia="楷体_GB2312" w:cs="楷体_GB2312"/>
          <w:b/>
          <w:lang w:val="zh-CN"/>
        </w:rPr>
      </w:pPr>
      <w:r>
        <w:rPr>
          <w:rFonts w:hint="eastAsia" w:ascii="楷体_GB2312" w:hAnsi="宋?" w:eastAsia="楷体_GB2312" w:cs="楷体_GB2312"/>
          <w:b/>
          <w:sz w:val="32"/>
          <w:lang w:val="zh-CN"/>
        </w:rPr>
        <w:t>（二）项目效益情况。</w:t>
      </w:r>
    </w:p>
    <w:p>
      <w:pPr>
        <w:numPr>
          <w:ilvl w:val="0"/>
          <w:numId w:val="13"/>
        </w:numPr>
        <w:adjustRightInd w:val="0"/>
        <w:snapToGrid w:val="0"/>
        <w:spacing w:line="520" w:lineRule="exact"/>
        <w:ind w:left="0" w:leftChars="0" w:firstLine="720" w:firstLineChars="0"/>
        <w:rPr>
          <w:rFonts w:hint="eastAsia" w:ascii="仿宋_GB2312" w:hAnsi="宋?" w:eastAsia="仿宋_GB2312" w:cs="仿宋_GB2312"/>
          <w:sz w:val="32"/>
          <w:lang w:val="en-US" w:eastAsia="zh-CN"/>
        </w:rPr>
      </w:pPr>
      <w:r>
        <w:rPr>
          <w:rFonts w:hint="eastAsia" w:ascii="仿宋_GB2312" w:hAnsi="宋?" w:eastAsia="仿宋_GB2312" w:cs="仿宋_GB2312"/>
          <w:sz w:val="32"/>
        </w:rPr>
        <w:t>通过实施该项目，有效的避免泥石流的发生造成的损害。该项目实施</w:t>
      </w:r>
      <w:r>
        <w:rPr>
          <w:rFonts w:hint="eastAsia" w:ascii="仿宋_GB2312" w:hAnsi="宋?" w:eastAsia="仿宋_GB2312" w:cs="仿宋_GB2312"/>
          <w:sz w:val="32"/>
          <w:lang w:val="en-US" w:eastAsia="zh-CN"/>
        </w:rPr>
        <w:t>改善麦洼乡滚塘村村民委员会的基础设施，保障了滚塘村日后开展村级工作及日常群众工作的便利性。</w:t>
      </w:r>
    </w:p>
    <w:p>
      <w:pPr>
        <w:adjustRightInd w:val="0"/>
        <w:snapToGrid w:val="0"/>
        <w:spacing w:line="520" w:lineRule="exact"/>
        <w:ind w:firstLine="720"/>
        <w:rPr>
          <w:rFonts w:ascii="黑体" w:hAnsi="宋?" w:eastAsia="黑体" w:cs="黑体"/>
        </w:rPr>
      </w:pPr>
      <w:r>
        <w:rPr>
          <w:rFonts w:hint="eastAsia" w:ascii="黑体" w:hAnsi="宋?" w:eastAsia="黑体" w:cs="黑体"/>
          <w:sz w:val="32"/>
        </w:rPr>
        <w:t>五、评价结论</w:t>
      </w:r>
    </w:p>
    <w:p>
      <w:pPr>
        <w:numPr>
          <w:ilvl w:val="0"/>
          <w:numId w:val="13"/>
        </w:numPr>
        <w:adjustRightInd w:val="0"/>
        <w:snapToGrid w:val="0"/>
        <w:spacing w:line="520" w:lineRule="exact"/>
        <w:ind w:left="0" w:leftChars="0" w:firstLine="720" w:firstLineChars="0"/>
        <w:rPr>
          <w:rFonts w:hint="eastAsia" w:ascii="仿宋_GB2312" w:hAnsi="宋?" w:eastAsia="仿宋_GB2312" w:cs="仿宋_GB2312"/>
          <w:sz w:val="32"/>
          <w:lang w:val="en-US" w:eastAsia="zh-CN"/>
        </w:rPr>
      </w:pPr>
      <w:r>
        <w:rPr>
          <w:rFonts w:hint="eastAsia" w:ascii="仿宋_GB2312" w:hAnsi="仿宋_GB2312" w:eastAsia="仿宋_GB2312" w:cs="仿宋_GB2312"/>
          <w:sz w:val="32"/>
          <w:szCs w:val="32"/>
        </w:rPr>
        <w:t>该项目自实施以来，</w:t>
      </w:r>
      <w:r>
        <w:rPr>
          <w:rFonts w:hint="eastAsia" w:ascii="仿宋_GB2312" w:hAnsi="宋?" w:eastAsia="仿宋_GB2312" w:cs="仿宋_GB2312"/>
          <w:sz w:val="32"/>
          <w:lang w:val="en-US" w:eastAsia="zh-CN"/>
        </w:rPr>
        <w:t>新安装不锈钢旗杆1根高12米；拆除围墙35米；拆除绿化带鹅卵石；拆除公告栏5个；基础开挖52.3立方米；毛渣回填立192.66立方米；浇筑C25混泥土20.16立方米；安装公告栏2个；石头墙抹灰21.83立方米；入户路129米。改善麦洼乡滚塘村村民委员会的基础设施，保障了滚塘村日后开展村级工作及日常群众工作的便利性。</w:t>
      </w:r>
    </w:p>
    <w:p>
      <w:pPr>
        <w:numPr>
          <w:ilvl w:val="0"/>
          <w:numId w:val="0"/>
        </w:numPr>
        <w:adjustRightInd w:val="0"/>
        <w:snapToGrid w:val="0"/>
        <w:spacing w:line="520" w:lineRule="exact"/>
        <w:rPr>
          <w:rFonts w:ascii="仿宋_GB2312" w:hAnsi="宋?" w:eastAsia="仿宋_GB2312" w:cs="仿宋_GB2312"/>
          <w:sz w:val="32"/>
        </w:rPr>
      </w:pPr>
    </w:p>
    <w:p>
      <w:pPr>
        <w:pStyle w:val="2"/>
        <w:numPr>
          <w:ilvl w:val="0"/>
          <w:numId w:val="0"/>
        </w:numPr>
        <w:rPr>
          <w:rFonts w:hint="eastAsia" w:ascii="黑体" w:hAnsi="宋体" w:eastAsia="黑体" w:cs="黑体"/>
          <w:kern w:val="2"/>
          <w:sz w:val="32"/>
          <w:szCs w:val="21"/>
          <w:lang w:val="en-US" w:eastAsia="zh-CN" w:bidi="ar"/>
        </w:rPr>
      </w:pPr>
    </w:p>
    <w:p>
      <w:pPr>
        <w:pStyle w:val="2"/>
        <w:numPr>
          <w:ilvl w:val="0"/>
          <w:numId w:val="0"/>
        </w:numPr>
        <w:rPr>
          <w:rFonts w:hint="eastAsia" w:ascii="黑体" w:hAnsi="宋体" w:eastAsia="黑体" w:cs="黑体"/>
          <w:kern w:val="2"/>
          <w:sz w:val="32"/>
          <w:szCs w:val="21"/>
          <w:lang w:val="en-US" w:eastAsia="zh-CN" w:bidi="ar"/>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both"/>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Fonts w:hint="eastAsia" w:ascii="黑体" w:hAnsi="黑体" w:eastAsia="黑体"/>
          <w:color w:val="000000"/>
          <w:sz w:val="44"/>
          <w:szCs w:val="44"/>
        </w:rPr>
      </w:pPr>
    </w:p>
    <w:p>
      <w:pPr>
        <w:spacing w:line="600" w:lineRule="exact"/>
        <w:jc w:val="center"/>
        <w:outlineLvl w:val="0"/>
        <w:rPr>
          <w:rStyle w:val="27"/>
          <w:rFonts w:ascii="黑体" w:hAnsi="黑体" w:eastAsia="黑体"/>
          <w:b w:val="0"/>
        </w:rPr>
      </w:pPr>
      <w:r>
        <w:rPr>
          <w:rFonts w:hint="eastAsia" w:ascii="黑体" w:hAnsi="黑体" w:eastAsia="黑体"/>
          <w:color w:val="000000"/>
          <w:sz w:val="44"/>
          <w:szCs w:val="44"/>
        </w:rPr>
        <w:t>第</w:t>
      </w:r>
      <w:r>
        <w:rPr>
          <w:rStyle w:val="27"/>
          <w:rFonts w:hint="eastAsia" w:ascii="黑体" w:hAnsi="黑体" w:eastAsia="黑体"/>
          <w:b w:val="0"/>
        </w:rPr>
        <w:t>五部分 附表</w:t>
      </w:r>
      <w:bookmarkEnd w:id="61"/>
      <w:bookmarkEnd w:id="65"/>
    </w:p>
    <w:p>
      <w:pPr>
        <w:spacing w:line="600" w:lineRule="exact"/>
        <w:jc w:val="center"/>
        <w:outlineLvl w:val="0"/>
        <w:rPr>
          <w:rFonts w:ascii="仿宋" w:hAnsi="仿宋" w:eastAsia="仿宋"/>
          <w:b/>
          <w:color w:val="000000"/>
          <w:sz w:val="44"/>
          <w:szCs w:val="44"/>
        </w:rPr>
      </w:pPr>
    </w:p>
    <w:p>
      <w:pPr>
        <w:pStyle w:val="5"/>
        <w:numPr>
          <w:ilvl w:val="0"/>
          <w:numId w:val="14"/>
        </w:numPr>
        <w:rPr>
          <w:rFonts w:hint="eastAsia" w:ascii="仿宋" w:hAnsi="仿宋" w:eastAsia="仿宋"/>
          <w:b w:val="0"/>
          <w:color w:val="000000"/>
        </w:rPr>
      </w:pPr>
      <w:bookmarkStart w:id="66" w:name="_Toc15396620"/>
      <w:r>
        <w:rPr>
          <w:rFonts w:hint="eastAsia" w:ascii="仿宋" w:hAnsi="仿宋" w:eastAsia="仿宋"/>
          <w:b w:val="0"/>
          <w:color w:val="000000"/>
        </w:rPr>
        <w:t>收入支出决算总表</w:t>
      </w:r>
    </w:p>
    <w:p>
      <w:pPr>
        <w:pStyle w:val="5"/>
        <w:numPr>
          <w:ilvl w:val="0"/>
          <w:numId w:val="0"/>
        </w:numPr>
        <w:rPr>
          <w:rFonts w:ascii="仿宋" w:hAnsi="仿宋" w:eastAsia="仿宋"/>
          <w:color w:val="000000"/>
        </w:rPr>
      </w:pPr>
      <w:r>
        <w:rPr>
          <w:rFonts w:hint="eastAsia" w:ascii="仿宋" w:hAnsi="仿宋" w:eastAsia="仿宋"/>
          <w:b w:val="0"/>
          <w:color w:val="000000"/>
        </w:rPr>
        <w:t>二、收</w:t>
      </w:r>
      <w:r>
        <w:rPr>
          <w:rStyle w:val="28"/>
          <w:rFonts w:hint="eastAsia" w:ascii="仿宋" w:hAnsi="仿宋" w:eastAsia="仿宋"/>
          <w:b w:val="0"/>
          <w:bCs w:val="0"/>
        </w:rPr>
        <w:t>入总表</w:t>
      </w:r>
      <w:bookmarkEnd w:id="66"/>
    </w:p>
    <w:p>
      <w:pPr>
        <w:pStyle w:val="5"/>
        <w:rPr>
          <w:rFonts w:ascii="仿宋" w:hAnsi="仿宋" w:eastAsia="仿宋"/>
          <w:color w:val="000000"/>
        </w:rPr>
      </w:pPr>
      <w:bookmarkStart w:id="67" w:name="_Toc15396621"/>
      <w:r>
        <w:rPr>
          <w:rStyle w:val="28"/>
          <w:rFonts w:hint="eastAsia" w:ascii="仿宋" w:hAnsi="仿宋" w:eastAsia="仿宋"/>
          <w:b w:val="0"/>
          <w:bCs w:val="0"/>
        </w:rPr>
        <w:t>三、</w:t>
      </w:r>
      <w:r>
        <w:rPr>
          <w:rFonts w:hint="eastAsia" w:ascii="仿宋" w:hAnsi="仿宋" w:eastAsia="仿宋"/>
          <w:b w:val="0"/>
          <w:color w:val="000000"/>
        </w:rPr>
        <w:t>支</w:t>
      </w:r>
      <w:r>
        <w:rPr>
          <w:rStyle w:val="28"/>
          <w:rFonts w:hint="eastAsia" w:ascii="仿宋" w:hAnsi="仿宋" w:eastAsia="仿宋"/>
          <w:b w:val="0"/>
          <w:bCs w:val="0"/>
        </w:rPr>
        <w:t>出总表</w:t>
      </w:r>
      <w:bookmarkEnd w:id="67"/>
    </w:p>
    <w:p>
      <w:pPr>
        <w:pStyle w:val="5"/>
        <w:rPr>
          <w:rFonts w:ascii="仿宋" w:hAnsi="仿宋" w:eastAsia="仿宋"/>
          <w:b w:val="0"/>
          <w:color w:val="000000"/>
        </w:rPr>
      </w:pPr>
      <w:bookmarkStart w:id="68" w:name="_Toc15396622"/>
      <w:r>
        <w:rPr>
          <w:rStyle w:val="28"/>
          <w:rFonts w:hint="eastAsia" w:ascii="仿宋" w:hAnsi="仿宋" w:eastAsia="仿宋"/>
          <w:b w:val="0"/>
          <w:bCs w:val="0"/>
        </w:rPr>
        <w:t>四、</w:t>
      </w:r>
      <w:r>
        <w:rPr>
          <w:rFonts w:hint="eastAsia" w:ascii="仿宋" w:hAnsi="仿宋" w:eastAsia="仿宋"/>
          <w:b w:val="0"/>
          <w:color w:val="000000"/>
        </w:rPr>
        <w:t>财</w:t>
      </w:r>
      <w:r>
        <w:rPr>
          <w:rStyle w:val="28"/>
          <w:rFonts w:hint="eastAsia" w:ascii="仿宋" w:hAnsi="仿宋" w:eastAsia="仿宋"/>
          <w:b w:val="0"/>
          <w:bCs w:val="0"/>
        </w:rPr>
        <w:t>政拨款收入支出决算总表</w:t>
      </w:r>
      <w:bookmarkEnd w:id="68"/>
    </w:p>
    <w:p>
      <w:pPr>
        <w:pStyle w:val="5"/>
        <w:rPr>
          <w:rFonts w:ascii="仿宋" w:hAnsi="仿宋" w:eastAsia="仿宋"/>
          <w:color w:val="000000"/>
        </w:rPr>
      </w:pPr>
      <w:bookmarkStart w:id="69" w:name="_Toc15396623"/>
      <w:r>
        <w:rPr>
          <w:rStyle w:val="28"/>
          <w:rFonts w:hint="eastAsia" w:ascii="仿宋" w:hAnsi="仿宋" w:eastAsia="仿宋"/>
          <w:b w:val="0"/>
          <w:bCs w:val="0"/>
        </w:rPr>
        <w:t>五、</w:t>
      </w:r>
      <w:r>
        <w:rPr>
          <w:rFonts w:hint="eastAsia" w:ascii="仿宋" w:hAnsi="仿宋" w:eastAsia="仿宋"/>
          <w:b w:val="0"/>
          <w:color w:val="000000"/>
        </w:rPr>
        <w:t>财</w:t>
      </w:r>
      <w:r>
        <w:rPr>
          <w:rStyle w:val="28"/>
          <w:rFonts w:hint="eastAsia" w:ascii="仿宋" w:hAnsi="仿宋" w:eastAsia="仿宋"/>
          <w:b w:val="0"/>
          <w:bCs w:val="0"/>
        </w:rPr>
        <w:t>政拨款支出决算明细表（政府经济分类科目）</w:t>
      </w:r>
      <w:bookmarkEnd w:id="69"/>
    </w:p>
    <w:p>
      <w:pPr>
        <w:pStyle w:val="5"/>
        <w:rPr>
          <w:rFonts w:ascii="仿宋" w:hAnsi="仿宋" w:eastAsia="仿宋"/>
          <w:color w:val="000000"/>
        </w:rPr>
      </w:pPr>
      <w:bookmarkStart w:id="70" w:name="_Toc15396624"/>
      <w:r>
        <w:rPr>
          <w:rStyle w:val="28"/>
          <w:rFonts w:hint="eastAsia" w:ascii="仿宋" w:hAnsi="仿宋" w:eastAsia="仿宋"/>
          <w:b w:val="0"/>
          <w:bCs w:val="0"/>
        </w:rPr>
        <w:t>六、</w:t>
      </w:r>
      <w:r>
        <w:rPr>
          <w:rFonts w:hint="eastAsia" w:ascii="仿宋" w:hAnsi="仿宋" w:eastAsia="仿宋"/>
          <w:b w:val="0"/>
          <w:color w:val="000000"/>
        </w:rPr>
        <w:t>一</w:t>
      </w:r>
      <w:r>
        <w:rPr>
          <w:rStyle w:val="28"/>
          <w:rFonts w:hint="eastAsia" w:ascii="仿宋" w:hAnsi="仿宋" w:eastAsia="仿宋"/>
          <w:b w:val="0"/>
          <w:bCs w:val="0"/>
        </w:rPr>
        <w:t>般公共预算财政拨款支出决算表</w:t>
      </w:r>
      <w:bookmarkEnd w:id="70"/>
    </w:p>
    <w:p>
      <w:pPr>
        <w:pStyle w:val="5"/>
        <w:rPr>
          <w:rFonts w:ascii="仿宋" w:hAnsi="仿宋" w:eastAsia="仿宋"/>
          <w:color w:val="000000"/>
        </w:rPr>
      </w:pPr>
      <w:bookmarkStart w:id="71" w:name="_Toc15396625"/>
      <w:r>
        <w:rPr>
          <w:rStyle w:val="28"/>
          <w:rFonts w:hint="eastAsia" w:ascii="仿宋" w:hAnsi="仿宋" w:eastAsia="仿宋"/>
          <w:b w:val="0"/>
          <w:bCs w:val="0"/>
        </w:rPr>
        <w:t>七、</w:t>
      </w:r>
      <w:r>
        <w:rPr>
          <w:rFonts w:hint="eastAsia" w:ascii="仿宋" w:hAnsi="仿宋" w:eastAsia="仿宋"/>
          <w:b w:val="0"/>
          <w:color w:val="000000"/>
        </w:rPr>
        <w:t>一</w:t>
      </w:r>
      <w:r>
        <w:rPr>
          <w:rStyle w:val="28"/>
          <w:rFonts w:hint="eastAsia" w:ascii="仿宋" w:hAnsi="仿宋" w:eastAsia="仿宋"/>
          <w:b w:val="0"/>
          <w:bCs w:val="0"/>
        </w:rPr>
        <w:t>般公共预算财政拨款支出决算明细表</w:t>
      </w:r>
      <w:bookmarkEnd w:id="71"/>
    </w:p>
    <w:p>
      <w:pPr>
        <w:pStyle w:val="5"/>
        <w:rPr>
          <w:rFonts w:ascii="仿宋" w:hAnsi="仿宋" w:eastAsia="仿宋"/>
          <w:color w:val="000000"/>
        </w:rPr>
      </w:pPr>
      <w:bookmarkStart w:id="72" w:name="_Toc15396626"/>
      <w:r>
        <w:rPr>
          <w:rStyle w:val="28"/>
          <w:rFonts w:hint="eastAsia" w:ascii="仿宋" w:hAnsi="仿宋" w:eastAsia="仿宋"/>
          <w:b w:val="0"/>
          <w:bCs w:val="0"/>
        </w:rPr>
        <w:t>八、</w:t>
      </w:r>
      <w:r>
        <w:rPr>
          <w:rFonts w:hint="eastAsia" w:ascii="仿宋" w:hAnsi="仿宋" w:eastAsia="仿宋"/>
          <w:b w:val="0"/>
          <w:color w:val="000000"/>
        </w:rPr>
        <w:t>一</w:t>
      </w:r>
      <w:r>
        <w:rPr>
          <w:rStyle w:val="28"/>
          <w:rFonts w:hint="eastAsia" w:ascii="仿宋" w:hAnsi="仿宋" w:eastAsia="仿宋"/>
          <w:b w:val="0"/>
          <w:bCs w:val="0"/>
        </w:rPr>
        <w:t>般公共预算财政拨款基本支出决算表</w:t>
      </w:r>
      <w:bookmarkEnd w:id="72"/>
    </w:p>
    <w:p>
      <w:pPr>
        <w:pStyle w:val="5"/>
        <w:rPr>
          <w:rFonts w:ascii="仿宋" w:hAnsi="仿宋" w:eastAsia="仿宋"/>
          <w:color w:val="000000"/>
        </w:rPr>
      </w:pPr>
      <w:bookmarkStart w:id="73" w:name="_Toc15396627"/>
      <w:r>
        <w:rPr>
          <w:rStyle w:val="28"/>
          <w:rFonts w:hint="eastAsia" w:ascii="仿宋" w:hAnsi="仿宋" w:eastAsia="仿宋"/>
          <w:b w:val="0"/>
          <w:bCs w:val="0"/>
        </w:rPr>
        <w:t>九、</w:t>
      </w:r>
      <w:r>
        <w:rPr>
          <w:rFonts w:hint="eastAsia" w:ascii="仿宋" w:hAnsi="仿宋" w:eastAsia="仿宋"/>
          <w:b w:val="0"/>
          <w:color w:val="000000"/>
        </w:rPr>
        <w:t>一</w:t>
      </w:r>
      <w:r>
        <w:rPr>
          <w:rStyle w:val="28"/>
          <w:rFonts w:hint="eastAsia" w:ascii="仿宋" w:hAnsi="仿宋" w:eastAsia="仿宋"/>
          <w:b w:val="0"/>
          <w:bCs w:val="0"/>
        </w:rPr>
        <w:t>般公共预算财政拨款项目支出决算表</w:t>
      </w:r>
      <w:bookmarkEnd w:id="73"/>
    </w:p>
    <w:p>
      <w:pPr>
        <w:pStyle w:val="5"/>
        <w:rPr>
          <w:rFonts w:ascii="仿宋" w:hAnsi="仿宋" w:eastAsia="仿宋"/>
          <w:color w:val="000000"/>
        </w:rPr>
      </w:pPr>
      <w:bookmarkStart w:id="74" w:name="_Toc15396628"/>
      <w:r>
        <w:rPr>
          <w:rStyle w:val="28"/>
          <w:rFonts w:hint="eastAsia" w:ascii="仿宋" w:hAnsi="仿宋" w:eastAsia="仿宋"/>
          <w:b w:val="0"/>
          <w:bCs w:val="0"/>
        </w:rPr>
        <w:t>十、</w:t>
      </w:r>
      <w:r>
        <w:rPr>
          <w:rFonts w:hint="eastAsia" w:ascii="仿宋" w:hAnsi="仿宋" w:eastAsia="仿宋"/>
          <w:b w:val="0"/>
          <w:color w:val="000000"/>
        </w:rPr>
        <w:t>一</w:t>
      </w:r>
      <w:r>
        <w:rPr>
          <w:rStyle w:val="28"/>
          <w:rFonts w:hint="eastAsia" w:ascii="仿宋" w:hAnsi="仿宋" w:eastAsia="仿宋"/>
          <w:b w:val="0"/>
          <w:bCs w:val="0"/>
        </w:rPr>
        <w:t>般公共预算财政拨款“三公”经费支出决算表</w:t>
      </w:r>
      <w:bookmarkEnd w:id="74"/>
    </w:p>
    <w:p>
      <w:pPr>
        <w:pStyle w:val="5"/>
        <w:rPr>
          <w:rFonts w:ascii="仿宋" w:hAnsi="仿宋" w:eastAsia="仿宋"/>
          <w:color w:val="000000"/>
        </w:rPr>
      </w:pPr>
      <w:bookmarkStart w:id="75" w:name="_Toc15396629"/>
      <w:r>
        <w:rPr>
          <w:rStyle w:val="28"/>
          <w:rFonts w:hint="eastAsia" w:ascii="仿宋" w:hAnsi="仿宋" w:eastAsia="仿宋"/>
          <w:b w:val="0"/>
          <w:bCs w:val="0"/>
        </w:rPr>
        <w:t>十一、</w:t>
      </w:r>
      <w:r>
        <w:rPr>
          <w:rFonts w:hint="eastAsia" w:ascii="仿宋" w:hAnsi="仿宋" w:eastAsia="仿宋"/>
          <w:b w:val="0"/>
          <w:color w:val="000000"/>
        </w:rPr>
        <w:t>政</w:t>
      </w:r>
      <w:r>
        <w:rPr>
          <w:rStyle w:val="28"/>
          <w:rFonts w:hint="eastAsia" w:ascii="仿宋" w:hAnsi="仿宋" w:eastAsia="仿宋"/>
          <w:b w:val="0"/>
          <w:bCs w:val="0"/>
        </w:rPr>
        <w:t>府性基金预算财政拨款收入支出决算表</w:t>
      </w:r>
      <w:bookmarkEnd w:id="75"/>
    </w:p>
    <w:p>
      <w:pPr>
        <w:pStyle w:val="5"/>
        <w:rPr>
          <w:rFonts w:ascii="仿宋" w:hAnsi="仿宋" w:eastAsia="仿宋"/>
          <w:color w:val="000000"/>
        </w:rPr>
      </w:pPr>
      <w:bookmarkStart w:id="76" w:name="_Toc15396630"/>
      <w:r>
        <w:rPr>
          <w:rStyle w:val="28"/>
          <w:rFonts w:hint="eastAsia" w:ascii="仿宋" w:hAnsi="仿宋" w:eastAsia="仿宋"/>
          <w:b w:val="0"/>
          <w:bCs w:val="0"/>
        </w:rPr>
        <w:t>十二、</w:t>
      </w:r>
      <w:r>
        <w:rPr>
          <w:rFonts w:hint="eastAsia" w:ascii="仿宋" w:hAnsi="仿宋" w:eastAsia="仿宋"/>
          <w:b w:val="0"/>
          <w:color w:val="000000"/>
        </w:rPr>
        <w:t>政</w:t>
      </w:r>
      <w:r>
        <w:rPr>
          <w:rStyle w:val="28"/>
          <w:rFonts w:hint="eastAsia" w:ascii="仿宋" w:hAnsi="仿宋" w:eastAsia="仿宋"/>
          <w:b w:val="0"/>
          <w:bCs w:val="0"/>
        </w:rPr>
        <w:t>府性基金预算财政拨款“三公”经费支出决算表</w:t>
      </w:r>
      <w:bookmarkEnd w:id="76"/>
    </w:p>
    <w:p>
      <w:pPr>
        <w:pStyle w:val="5"/>
        <w:rPr>
          <w:rFonts w:ascii="仿宋" w:hAnsi="仿宋" w:eastAsia="仿宋"/>
          <w:color w:val="000000" w:themeColor="text1"/>
          <w14:textFill>
            <w14:solidFill>
              <w14:schemeClr w14:val="tx1"/>
            </w14:solidFill>
          </w14:textFill>
        </w:rPr>
      </w:pPr>
      <w:bookmarkStart w:id="77" w:name="_Toc15396631"/>
      <w:r>
        <w:rPr>
          <w:rStyle w:val="28"/>
          <w:rFonts w:hint="eastAsia" w:ascii="仿宋" w:hAnsi="仿宋" w:eastAsia="仿宋"/>
          <w:b w:val="0"/>
          <w:bCs w:val="0"/>
        </w:rPr>
        <w:t>十三、</w:t>
      </w:r>
      <w:r>
        <w:rPr>
          <w:rFonts w:hint="eastAsia" w:ascii="仿宋" w:hAnsi="仿宋" w:eastAsia="仿宋"/>
          <w:b w:val="0"/>
          <w:color w:val="000000"/>
        </w:rPr>
        <w:t>国</w:t>
      </w:r>
      <w:r>
        <w:rPr>
          <w:rStyle w:val="28"/>
          <w:rFonts w:hint="eastAsia" w:ascii="仿宋" w:hAnsi="仿宋" w:eastAsia="仿宋"/>
          <w:b w:val="0"/>
          <w:bCs w:val="0"/>
        </w:rPr>
        <w:t>有资本经营预算支出决算表</w:t>
      </w:r>
      <w:bookmarkEnd w:id="77"/>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宋?">
    <w:altName w:val="Malgun Gothic"/>
    <w:panose1 w:val="00000000000000000000"/>
    <w:charset w:val="81"/>
    <w:family w:val="roman"/>
    <w:pitch w:val="default"/>
    <w:sig w:usb0="00000000" w:usb1="00000000" w:usb2="00000010" w:usb3="00000000" w:csb0="0008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Impact">
    <w:panose1 w:val="020B0806030902050204"/>
    <w:charset w:val="00"/>
    <w:family w:val="auto"/>
    <w:pitch w:val="default"/>
    <w:sig w:usb0="00000287" w:usb1="00000000" w:usb2="00000000" w:usb3="00000000" w:csb0="2000009F" w:csb1="DFD7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2AF" w:usb1="01D77CFB" w:usb2="00000012" w:usb3="00000000" w:csb0="00080001" w:csb1="00000000"/>
  </w:font>
  <w:font w:name="方正舒体">
    <w:altName w:val="宋体"/>
    <w:panose1 w:val="02010601030101010101"/>
    <w:charset w:val="86"/>
    <w:family w:val="auto"/>
    <w:pitch w:val="default"/>
    <w:sig w:usb0="00000000" w:usb1="0000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0"/>
          <w:jc w:val="center"/>
        </w:pPr>
        <w:r>
          <w:fldChar w:fldCharType="begin"/>
        </w:r>
        <w:r>
          <w:instrText xml:space="preserve">PAGE   \* MERGEFORMAT</w:instrText>
        </w:r>
        <w:r>
          <w:fldChar w:fldCharType="separate"/>
        </w:r>
        <w:r>
          <w:rPr>
            <w:lang w:val="zh-CN"/>
          </w:rPr>
          <w:t>10</w:t>
        </w:r>
        <w:r>
          <w:fldChar w:fldCharType="end"/>
        </w:r>
      </w:p>
    </w:sdtContent>
  </w:sdt>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26C66B"/>
    <w:multiLevelType w:val="singleLevel"/>
    <w:tmpl w:val="B026C66B"/>
    <w:lvl w:ilvl="0" w:tentative="0">
      <w:start w:val="1"/>
      <w:numFmt w:val="decimal"/>
      <w:lvlText w:val="%1."/>
      <w:lvlJc w:val="left"/>
      <w:pPr>
        <w:tabs>
          <w:tab w:val="left" w:pos="312"/>
        </w:tabs>
      </w:pPr>
    </w:lvl>
  </w:abstractNum>
  <w:abstractNum w:abstractNumId="1">
    <w:nsid w:val="CF652CEC"/>
    <w:multiLevelType w:val="singleLevel"/>
    <w:tmpl w:val="CF652CEC"/>
    <w:lvl w:ilvl="0" w:tentative="0">
      <w:start w:val="9"/>
      <w:numFmt w:val="chineseCounting"/>
      <w:suff w:val="nothing"/>
      <w:lvlText w:val="%1、"/>
      <w:lvlJc w:val="left"/>
      <w:rPr>
        <w:rFonts w:hint="eastAsia"/>
      </w:rPr>
    </w:lvl>
  </w:abstractNum>
  <w:abstractNum w:abstractNumId="2">
    <w:nsid w:val="E2FA047D"/>
    <w:multiLevelType w:val="singleLevel"/>
    <w:tmpl w:val="E2FA047D"/>
    <w:lvl w:ilvl="0" w:tentative="0">
      <w:start w:val="3"/>
      <w:numFmt w:val="chineseCounting"/>
      <w:suff w:val="space"/>
      <w:lvlText w:val="第%1部分"/>
      <w:lvlJc w:val="left"/>
      <w:rPr>
        <w:rFonts w:hint="eastAsia"/>
      </w:rPr>
    </w:lvl>
  </w:abstractNum>
  <w:abstractNum w:abstractNumId="3">
    <w:nsid w:val="EC0BEF30"/>
    <w:multiLevelType w:val="singleLevel"/>
    <w:tmpl w:val="EC0BEF30"/>
    <w:lvl w:ilvl="0" w:tentative="0">
      <w:start w:val="1"/>
      <w:numFmt w:val="chineseCounting"/>
      <w:suff w:val="nothing"/>
      <w:lvlText w:val="（%1）"/>
      <w:lvlJc w:val="left"/>
      <w:rPr>
        <w:rFonts w:hint="eastAsia" w:ascii="楷体_GB2312" w:hAnsi="楷体_GB2312" w:eastAsia="楷体_GB2312" w:cs="楷体_GB2312"/>
        <w:b/>
        <w:bCs/>
        <w:sz w:val="32"/>
        <w:szCs w:val="32"/>
      </w:rPr>
    </w:lvl>
  </w:abstractNum>
  <w:abstractNum w:abstractNumId="4">
    <w:nsid w:val="EDD41D95"/>
    <w:multiLevelType w:val="singleLevel"/>
    <w:tmpl w:val="EDD41D95"/>
    <w:lvl w:ilvl="0" w:tentative="0">
      <w:start w:val="1"/>
      <w:numFmt w:val="decimal"/>
      <w:suff w:val="nothing"/>
      <w:lvlText w:val="%1．"/>
      <w:lvlJc w:val="left"/>
    </w:lvl>
  </w:abstractNum>
  <w:abstractNum w:abstractNumId="5">
    <w:nsid w:val="10D563A3"/>
    <w:multiLevelType w:val="singleLevel"/>
    <w:tmpl w:val="10D563A3"/>
    <w:lvl w:ilvl="0" w:tentative="0">
      <w:start w:val="2"/>
      <w:numFmt w:val="chineseCounting"/>
      <w:suff w:val="nothing"/>
      <w:lvlText w:val="（%1）"/>
      <w:lvlJc w:val="left"/>
      <w:rPr>
        <w:rFonts w:hint="eastAsia"/>
      </w:rPr>
    </w:lvl>
  </w:abstractNum>
  <w:abstractNum w:abstractNumId="6">
    <w:nsid w:val="1147DECF"/>
    <w:multiLevelType w:val="singleLevel"/>
    <w:tmpl w:val="1147DECF"/>
    <w:lvl w:ilvl="0" w:tentative="0">
      <w:start w:val="1"/>
      <w:numFmt w:val="chineseCounting"/>
      <w:suff w:val="nothing"/>
      <w:lvlText w:val="%1、"/>
      <w:lvlJc w:val="left"/>
      <w:rPr>
        <w:rFonts w:hint="eastAsia"/>
      </w:rPr>
    </w:lvl>
  </w:abstractNum>
  <w:abstractNum w:abstractNumId="7">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8">
    <w:nsid w:val="17F426B7"/>
    <w:multiLevelType w:val="multilevel"/>
    <w:tmpl w:val="17F426B7"/>
    <w:lvl w:ilvl="0" w:tentative="0">
      <w:start w:val="10"/>
      <w:numFmt w:val="japaneseCounting"/>
      <w:lvlText w:val="%1、"/>
      <w:lvlJc w:val="left"/>
      <w:pPr>
        <w:ind w:left="1429" w:hanging="720"/>
      </w:pPr>
      <w:rPr>
        <w:rFonts w:hint="default"/>
      </w:rPr>
    </w:lvl>
    <w:lvl w:ilvl="1" w:tentative="0">
      <w:start w:val="1"/>
      <w:numFmt w:val="lowerLetter"/>
      <w:lvlText w:val="%2)"/>
      <w:lvlJc w:val="left"/>
      <w:pPr>
        <w:ind w:left="1549" w:hanging="420"/>
      </w:pPr>
    </w:lvl>
    <w:lvl w:ilvl="2" w:tentative="0">
      <w:start w:val="1"/>
      <w:numFmt w:val="lowerRoman"/>
      <w:lvlText w:val="%3."/>
      <w:lvlJc w:val="right"/>
      <w:pPr>
        <w:ind w:left="1969" w:hanging="420"/>
      </w:pPr>
    </w:lvl>
    <w:lvl w:ilvl="3" w:tentative="0">
      <w:start w:val="1"/>
      <w:numFmt w:val="decimal"/>
      <w:lvlText w:val="%4."/>
      <w:lvlJc w:val="left"/>
      <w:pPr>
        <w:ind w:left="2389" w:hanging="420"/>
      </w:pPr>
    </w:lvl>
    <w:lvl w:ilvl="4" w:tentative="0">
      <w:start w:val="1"/>
      <w:numFmt w:val="lowerLetter"/>
      <w:lvlText w:val="%5)"/>
      <w:lvlJc w:val="left"/>
      <w:pPr>
        <w:ind w:left="2809" w:hanging="420"/>
      </w:pPr>
    </w:lvl>
    <w:lvl w:ilvl="5" w:tentative="0">
      <w:start w:val="1"/>
      <w:numFmt w:val="lowerRoman"/>
      <w:lvlText w:val="%6."/>
      <w:lvlJc w:val="right"/>
      <w:pPr>
        <w:ind w:left="3229" w:hanging="420"/>
      </w:pPr>
    </w:lvl>
    <w:lvl w:ilvl="6" w:tentative="0">
      <w:start w:val="1"/>
      <w:numFmt w:val="decimal"/>
      <w:lvlText w:val="%7."/>
      <w:lvlJc w:val="left"/>
      <w:pPr>
        <w:ind w:left="3649" w:hanging="420"/>
      </w:pPr>
    </w:lvl>
    <w:lvl w:ilvl="7" w:tentative="0">
      <w:start w:val="1"/>
      <w:numFmt w:val="lowerLetter"/>
      <w:lvlText w:val="%8)"/>
      <w:lvlJc w:val="left"/>
      <w:pPr>
        <w:ind w:left="4069" w:hanging="420"/>
      </w:pPr>
    </w:lvl>
    <w:lvl w:ilvl="8" w:tentative="0">
      <w:start w:val="1"/>
      <w:numFmt w:val="lowerRoman"/>
      <w:lvlText w:val="%9."/>
      <w:lvlJc w:val="right"/>
      <w:pPr>
        <w:ind w:left="4489" w:hanging="420"/>
      </w:pPr>
    </w:lvl>
  </w:abstractNum>
  <w:abstractNum w:abstractNumId="9">
    <w:nsid w:val="44708A85"/>
    <w:multiLevelType w:val="singleLevel"/>
    <w:tmpl w:val="44708A85"/>
    <w:lvl w:ilvl="0" w:tentative="0">
      <w:start w:val="1"/>
      <w:numFmt w:val="decimal"/>
      <w:lvlText w:val="%1."/>
      <w:lvlJc w:val="left"/>
      <w:pPr>
        <w:tabs>
          <w:tab w:val="left" w:pos="312"/>
        </w:tabs>
      </w:pPr>
    </w:lvl>
  </w:abstractNum>
  <w:abstractNum w:abstractNumId="10">
    <w:nsid w:val="53B16A9D"/>
    <w:multiLevelType w:val="singleLevel"/>
    <w:tmpl w:val="53B16A9D"/>
    <w:lvl w:ilvl="0" w:tentative="0">
      <w:start w:val="2"/>
      <w:numFmt w:val="chineseCounting"/>
      <w:suff w:val="nothing"/>
      <w:lvlText w:val="（%1）"/>
      <w:lvlJc w:val="left"/>
      <w:rPr>
        <w:rFonts w:hint="eastAsia"/>
      </w:rPr>
    </w:lvl>
  </w:abstractNum>
  <w:abstractNum w:abstractNumId="11">
    <w:nsid w:val="5D5382B5"/>
    <w:multiLevelType w:val="singleLevel"/>
    <w:tmpl w:val="5D5382B5"/>
    <w:lvl w:ilvl="0" w:tentative="0">
      <w:start w:val="1"/>
      <w:numFmt w:val="chineseCounting"/>
      <w:suff w:val="nothing"/>
      <w:lvlText w:val="%1、"/>
      <w:lvlJc w:val="left"/>
    </w:lvl>
  </w:abstractNum>
  <w:abstractNum w:abstractNumId="12">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abstractNum w:abstractNumId="13">
    <w:nsid w:val="7F62607B"/>
    <w:multiLevelType w:val="singleLevel"/>
    <w:tmpl w:val="7F62607B"/>
    <w:lvl w:ilvl="0" w:tentative="0">
      <w:start w:val="1"/>
      <w:numFmt w:val="chineseCounting"/>
      <w:suff w:val="nothing"/>
      <w:lvlText w:val="（%1）"/>
      <w:lvlJc w:val="left"/>
      <w:rPr>
        <w:rFonts w:hint="eastAsia"/>
      </w:rPr>
    </w:lvl>
  </w:abstractNum>
  <w:num w:numId="1">
    <w:abstractNumId w:val="12"/>
  </w:num>
  <w:num w:numId="2">
    <w:abstractNumId w:val="7"/>
  </w:num>
  <w:num w:numId="3">
    <w:abstractNumId w:val="1"/>
  </w:num>
  <w:num w:numId="4">
    <w:abstractNumId w:val="8"/>
  </w:num>
  <w:num w:numId="5">
    <w:abstractNumId w:val="3"/>
  </w:num>
  <w:num w:numId="6">
    <w:abstractNumId w:val="0"/>
  </w:num>
  <w:num w:numId="7">
    <w:abstractNumId w:val="2"/>
  </w:num>
  <w:num w:numId="8">
    <w:abstractNumId w:val="5"/>
  </w:num>
  <w:num w:numId="9">
    <w:abstractNumId w:val="10"/>
  </w:num>
  <w:num w:numId="10">
    <w:abstractNumId w:val="9"/>
  </w:num>
  <w:num w:numId="11">
    <w:abstractNumId w:val="6"/>
  </w:num>
  <w:num w:numId="12">
    <w:abstractNumId w:val="13"/>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6487A"/>
    <w:rsid w:val="00065F8F"/>
    <w:rsid w:val="000768F2"/>
    <w:rsid w:val="0009184B"/>
    <w:rsid w:val="0009593C"/>
    <w:rsid w:val="000B047F"/>
    <w:rsid w:val="000B5923"/>
    <w:rsid w:val="000B5A48"/>
    <w:rsid w:val="000B6FF3"/>
    <w:rsid w:val="000C3467"/>
    <w:rsid w:val="000C3CA6"/>
    <w:rsid w:val="000D1267"/>
    <w:rsid w:val="000D1D50"/>
    <w:rsid w:val="000D5782"/>
    <w:rsid w:val="000E6613"/>
    <w:rsid w:val="000E7119"/>
    <w:rsid w:val="00114E9B"/>
    <w:rsid w:val="0014729F"/>
    <w:rsid w:val="00157BAB"/>
    <w:rsid w:val="001654D1"/>
    <w:rsid w:val="0018106D"/>
    <w:rsid w:val="001877A7"/>
    <w:rsid w:val="00191536"/>
    <w:rsid w:val="00196687"/>
    <w:rsid w:val="001C0962"/>
    <w:rsid w:val="001D7531"/>
    <w:rsid w:val="001E737D"/>
    <w:rsid w:val="001F0592"/>
    <w:rsid w:val="001F7506"/>
    <w:rsid w:val="002006CD"/>
    <w:rsid w:val="00202B36"/>
    <w:rsid w:val="00204B7A"/>
    <w:rsid w:val="0021101A"/>
    <w:rsid w:val="00220536"/>
    <w:rsid w:val="00235629"/>
    <w:rsid w:val="00260C38"/>
    <w:rsid w:val="002616C0"/>
    <w:rsid w:val="002662AA"/>
    <w:rsid w:val="00280496"/>
    <w:rsid w:val="00295495"/>
    <w:rsid w:val="002B2613"/>
    <w:rsid w:val="002F1818"/>
    <w:rsid w:val="002F567B"/>
    <w:rsid w:val="003216A9"/>
    <w:rsid w:val="0037013F"/>
    <w:rsid w:val="00380C92"/>
    <w:rsid w:val="003A484F"/>
    <w:rsid w:val="003B0BE0"/>
    <w:rsid w:val="003B0C1B"/>
    <w:rsid w:val="003B688C"/>
    <w:rsid w:val="003C0291"/>
    <w:rsid w:val="003C39AE"/>
    <w:rsid w:val="003C7B60"/>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4B0"/>
    <w:rsid w:val="004B4690"/>
    <w:rsid w:val="004E0A2D"/>
    <w:rsid w:val="004E206B"/>
    <w:rsid w:val="004E6DF7"/>
    <w:rsid w:val="004F0FBD"/>
    <w:rsid w:val="00505A47"/>
    <w:rsid w:val="00512FDA"/>
    <w:rsid w:val="00520DA0"/>
    <w:rsid w:val="005664BB"/>
    <w:rsid w:val="0057481D"/>
    <w:rsid w:val="0058486E"/>
    <w:rsid w:val="005D1C8B"/>
    <w:rsid w:val="005D5CED"/>
    <w:rsid w:val="005F1A4C"/>
    <w:rsid w:val="00605688"/>
    <w:rsid w:val="006070AF"/>
    <w:rsid w:val="00607E6C"/>
    <w:rsid w:val="006101B1"/>
    <w:rsid w:val="00614E44"/>
    <w:rsid w:val="00622830"/>
    <w:rsid w:val="00630AEF"/>
    <w:rsid w:val="006325F8"/>
    <w:rsid w:val="00634C9A"/>
    <w:rsid w:val="006440E4"/>
    <w:rsid w:val="0066343B"/>
    <w:rsid w:val="00664777"/>
    <w:rsid w:val="006748A4"/>
    <w:rsid w:val="00683E73"/>
    <w:rsid w:val="006A3141"/>
    <w:rsid w:val="006A5E34"/>
    <w:rsid w:val="006B2422"/>
    <w:rsid w:val="006B2B9A"/>
    <w:rsid w:val="006C1937"/>
    <w:rsid w:val="006F020C"/>
    <w:rsid w:val="007127B7"/>
    <w:rsid w:val="007416B6"/>
    <w:rsid w:val="00746F48"/>
    <w:rsid w:val="0075404D"/>
    <w:rsid w:val="0076182A"/>
    <w:rsid w:val="00767B7E"/>
    <w:rsid w:val="007770C3"/>
    <w:rsid w:val="00784D24"/>
    <w:rsid w:val="00785FBA"/>
    <w:rsid w:val="00786E4A"/>
    <w:rsid w:val="007875EB"/>
    <w:rsid w:val="0079426B"/>
    <w:rsid w:val="007D312A"/>
    <w:rsid w:val="007D3F19"/>
    <w:rsid w:val="007E23B0"/>
    <w:rsid w:val="007F1991"/>
    <w:rsid w:val="007F2C2F"/>
    <w:rsid w:val="007F55FC"/>
    <w:rsid w:val="007F5665"/>
    <w:rsid w:val="00800112"/>
    <w:rsid w:val="008253BB"/>
    <w:rsid w:val="0083706E"/>
    <w:rsid w:val="008423A5"/>
    <w:rsid w:val="00850625"/>
    <w:rsid w:val="00853718"/>
    <w:rsid w:val="00855221"/>
    <w:rsid w:val="00860645"/>
    <w:rsid w:val="00871F71"/>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46945"/>
    <w:rsid w:val="00951248"/>
    <w:rsid w:val="0095152F"/>
    <w:rsid w:val="00954C49"/>
    <w:rsid w:val="0097099F"/>
    <w:rsid w:val="00971997"/>
    <w:rsid w:val="00971FFC"/>
    <w:rsid w:val="0098660A"/>
    <w:rsid w:val="009931C3"/>
    <w:rsid w:val="009B2C43"/>
    <w:rsid w:val="009B4EAE"/>
    <w:rsid w:val="009B7573"/>
    <w:rsid w:val="009C22F4"/>
    <w:rsid w:val="009C2E98"/>
    <w:rsid w:val="009D3447"/>
    <w:rsid w:val="009D4711"/>
    <w:rsid w:val="009F1185"/>
    <w:rsid w:val="009F18CD"/>
    <w:rsid w:val="009F2A13"/>
    <w:rsid w:val="00A04EB0"/>
    <w:rsid w:val="00A13CC1"/>
    <w:rsid w:val="00A16847"/>
    <w:rsid w:val="00A237D8"/>
    <w:rsid w:val="00A268C4"/>
    <w:rsid w:val="00A307CD"/>
    <w:rsid w:val="00A40A00"/>
    <w:rsid w:val="00A4142F"/>
    <w:rsid w:val="00A56DF2"/>
    <w:rsid w:val="00A67AB5"/>
    <w:rsid w:val="00A91760"/>
    <w:rsid w:val="00A93B00"/>
    <w:rsid w:val="00A93C21"/>
    <w:rsid w:val="00AC3C6A"/>
    <w:rsid w:val="00AD5620"/>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77EA6"/>
    <w:rsid w:val="00B81598"/>
    <w:rsid w:val="00B841F1"/>
    <w:rsid w:val="00B944D6"/>
    <w:rsid w:val="00BB4DF0"/>
    <w:rsid w:val="00BC289F"/>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91CBB"/>
    <w:rsid w:val="00CC09B6"/>
    <w:rsid w:val="00CC666F"/>
    <w:rsid w:val="00CD1E3F"/>
    <w:rsid w:val="00CE44F6"/>
    <w:rsid w:val="00CE49DA"/>
    <w:rsid w:val="00CE7B61"/>
    <w:rsid w:val="00D00095"/>
    <w:rsid w:val="00D20620"/>
    <w:rsid w:val="00D26091"/>
    <w:rsid w:val="00D34E7C"/>
    <w:rsid w:val="00D35489"/>
    <w:rsid w:val="00D51276"/>
    <w:rsid w:val="00D7035F"/>
    <w:rsid w:val="00DA65AC"/>
    <w:rsid w:val="00DB1913"/>
    <w:rsid w:val="00DC410D"/>
    <w:rsid w:val="00DC68CA"/>
    <w:rsid w:val="00DC7CBA"/>
    <w:rsid w:val="00DD73B7"/>
    <w:rsid w:val="00DF28BC"/>
    <w:rsid w:val="00DF34B9"/>
    <w:rsid w:val="00E01053"/>
    <w:rsid w:val="00E07ACF"/>
    <w:rsid w:val="00E331A1"/>
    <w:rsid w:val="00E33202"/>
    <w:rsid w:val="00E336A9"/>
    <w:rsid w:val="00E50624"/>
    <w:rsid w:val="00E568DF"/>
    <w:rsid w:val="00E64269"/>
    <w:rsid w:val="00E82267"/>
    <w:rsid w:val="00EA010F"/>
    <w:rsid w:val="00ED1B63"/>
    <w:rsid w:val="00ED3C1F"/>
    <w:rsid w:val="00ED4085"/>
    <w:rsid w:val="00ED420E"/>
    <w:rsid w:val="00EE2F57"/>
    <w:rsid w:val="00EF4C34"/>
    <w:rsid w:val="00EF77C6"/>
    <w:rsid w:val="00F05438"/>
    <w:rsid w:val="00F1361C"/>
    <w:rsid w:val="00F160C7"/>
    <w:rsid w:val="00F36D8F"/>
    <w:rsid w:val="00F417B1"/>
    <w:rsid w:val="00F602DF"/>
    <w:rsid w:val="00F81FD9"/>
    <w:rsid w:val="00F841AA"/>
    <w:rsid w:val="00FA23E8"/>
    <w:rsid w:val="00FD3CC1"/>
    <w:rsid w:val="00FF1E02"/>
    <w:rsid w:val="00FF30B4"/>
    <w:rsid w:val="047D654F"/>
    <w:rsid w:val="0A496832"/>
    <w:rsid w:val="0ADE287D"/>
    <w:rsid w:val="0BBF0531"/>
    <w:rsid w:val="0BDD208B"/>
    <w:rsid w:val="0ED62A80"/>
    <w:rsid w:val="10C055FF"/>
    <w:rsid w:val="10F529AD"/>
    <w:rsid w:val="128C0123"/>
    <w:rsid w:val="13666E8D"/>
    <w:rsid w:val="136E6EAB"/>
    <w:rsid w:val="16BB723D"/>
    <w:rsid w:val="17666603"/>
    <w:rsid w:val="22682EFA"/>
    <w:rsid w:val="22E50B9A"/>
    <w:rsid w:val="240371BF"/>
    <w:rsid w:val="24061788"/>
    <w:rsid w:val="25B46BBD"/>
    <w:rsid w:val="2605127E"/>
    <w:rsid w:val="29BA1754"/>
    <w:rsid w:val="29FD04D3"/>
    <w:rsid w:val="2C555F0F"/>
    <w:rsid w:val="319F7F4E"/>
    <w:rsid w:val="35246887"/>
    <w:rsid w:val="366165E2"/>
    <w:rsid w:val="36FF735E"/>
    <w:rsid w:val="38A27E7E"/>
    <w:rsid w:val="3ABF06FE"/>
    <w:rsid w:val="3EB079F2"/>
    <w:rsid w:val="3EC25E45"/>
    <w:rsid w:val="3F0D7BA8"/>
    <w:rsid w:val="413D2BEC"/>
    <w:rsid w:val="453E098F"/>
    <w:rsid w:val="48674EDF"/>
    <w:rsid w:val="4BCB79B6"/>
    <w:rsid w:val="4D1C45A0"/>
    <w:rsid w:val="4EB65BE3"/>
    <w:rsid w:val="524B64EE"/>
    <w:rsid w:val="555B7926"/>
    <w:rsid w:val="566D24B8"/>
    <w:rsid w:val="580D6916"/>
    <w:rsid w:val="59CC62DA"/>
    <w:rsid w:val="5B353CC6"/>
    <w:rsid w:val="5C5C6A8D"/>
    <w:rsid w:val="5C7635BB"/>
    <w:rsid w:val="61AD28EA"/>
    <w:rsid w:val="62D76B3B"/>
    <w:rsid w:val="67657BBA"/>
    <w:rsid w:val="68270CB6"/>
    <w:rsid w:val="6B7F3207"/>
    <w:rsid w:val="6BCD70D5"/>
    <w:rsid w:val="70895F8F"/>
    <w:rsid w:val="70D35E58"/>
    <w:rsid w:val="71CA0607"/>
    <w:rsid w:val="727826D5"/>
    <w:rsid w:val="75282356"/>
    <w:rsid w:val="778E2B70"/>
    <w:rsid w:val="7DB146BC"/>
    <w:rsid w:val="7F1151EF"/>
    <w:rsid w:val="7F596D35"/>
    <w:rsid w:val="7F902EC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2"/>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2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1"/>
    <w:unhideWhenUsed/>
    <w:qFormat/>
    <w:uiPriority w:val="9"/>
    <w:pPr>
      <w:keepNext/>
      <w:keepLines/>
      <w:spacing w:before="260" w:after="260" w:line="416" w:lineRule="auto"/>
      <w:outlineLvl w:val="2"/>
    </w:pPr>
    <w:rPr>
      <w:b/>
      <w:bCs/>
      <w:sz w:val="32"/>
      <w:szCs w:val="32"/>
    </w:rPr>
  </w:style>
  <w:style w:type="character" w:default="1" w:styleId="15">
    <w:name w:val="Default Paragraph Font"/>
    <w:unhideWhenUsed/>
    <w:qFormat/>
    <w:uiPriority w:val="1"/>
  </w:style>
  <w:style w:type="table" w:default="1" w:styleId="18">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qFormat/>
    <w:uiPriority w:val="99"/>
    <w:pPr>
      <w:ind w:firstLine="420" w:firstLineChars="200"/>
    </w:pPr>
  </w:style>
  <w:style w:type="paragraph" w:styleId="3">
    <w:name w:val="Body Text Indent"/>
    <w:basedOn w:val="1"/>
    <w:qFormat/>
    <w:uiPriority w:val="99"/>
    <w:pPr>
      <w:spacing w:after="120"/>
      <w:ind w:left="420" w:leftChars="200"/>
    </w:pPr>
    <w:rPr>
      <w:szCs w:val="20"/>
    </w:rPr>
  </w:style>
  <w:style w:type="paragraph" w:styleId="7">
    <w:name w:val="Body Text"/>
    <w:basedOn w:val="1"/>
    <w:link w:val="24"/>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0"/>
    <w:unhideWhenUsed/>
    <w:qFormat/>
    <w:uiPriority w:val="99"/>
    <w:rPr>
      <w:sz w:val="18"/>
      <w:szCs w:val="18"/>
    </w:rPr>
  </w:style>
  <w:style w:type="paragraph" w:styleId="10">
    <w:name w:val="footer"/>
    <w:basedOn w:val="1"/>
    <w:link w:val="22"/>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0"/>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0"/>
    <w:pPr>
      <w:spacing w:before="100" w:beforeLines="0" w:beforeAutospacing="1" w:after="100" w:afterLines="0" w:afterAutospacing="1"/>
      <w:ind w:left="0" w:right="0"/>
      <w:jc w:val="left"/>
    </w:pPr>
    <w:rPr>
      <w:kern w:val="0"/>
      <w:sz w:val="24"/>
      <w:lang w:val="en-US" w:eastAsia="zh-CN" w:bidi="ar"/>
    </w:rPr>
  </w:style>
  <w:style w:type="character" w:styleId="16">
    <w:name w:val="Strong"/>
    <w:basedOn w:val="15"/>
    <w:qFormat/>
    <w:uiPriority w:val="99"/>
    <w:rPr>
      <w:b/>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customStyle="1" w:styleId="19">
    <w:name w:val="Header Char"/>
    <w:basedOn w:val="15"/>
    <w:semiHidden/>
    <w:qFormat/>
    <w:uiPriority w:val="99"/>
    <w:rPr>
      <w:rFonts w:ascii="Times New Roman" w:hAnsi="Times New Roman"/>
      <w:sz w:val="18"/>
      <w:szCs w:val="18"/>
    </w:rPr>
  </w:style>
  <w:style w:type="character" w:customStyle="1" w:styleId="20">
    <w:name w:val="页眉 Char"/>
    <w:link w:val="11"/>
    <w:semiHidden/>
    <w:qFormat/>
    <w:locked/>
    <w:uiPriority w:val="99"/>
    <w:rPr>
      <w:sz w:val="18"/>
    </w:rPr>
  </w:style>
  <w:style w:type="character" w:customStyle="1" w:styleId="21">
    <w:name w:val="Footer Char"/>
    <w:basedOn w:val="15"/>
    <w:semiHidden/>
    <w:qFormat/>
    <w:uiPriority w:val="99"/>
    <w:rPr>
      <w:rFonts w:ascii="Times New Roman" w:hAnsi="Times New Roman"/>
      <w:sz w:val="18"/>
      <w:szCs w:val="18"/>
    </w:rPr>
  </w:style>
  <w:style w:type="character" w:customStyle="1" w:styleId="22">
    <w:name w:val="页脚 Char"/>
    <w:link w:val="10"/>
    <w:qFormat/>
    <w:locked/>
    <w:uiPriority w:val="99"/>
    <w:rPr>
      <w:sz w:val="18"/>
    </w:rPr>
  </w:style>
  <w:style w:type="character" w:customStyle="1" w:styleId="23">
    <w:name w:val="Body Text Char"/>
    <w:basedOn w:val="15"/>
    <w:semiHidden/>
    <w:qFormat/>
    <w:uiPriority w:val="99"/>
    <w:rPr>
      <w:rFonts w:ascii="Times New Roman" w:hAnsi="Times New Roman"/>
      <w:szCs w:val="24"/>
    </w:rPr>
  </w:style>
  <w:style w:type="character" w:customStyle="1" w:styleId="24">
    <w:name w:val="正文文本 Char"/>
    <w:link w:val="7"/>
    <w:qFormat/>
    <w:locked/>
    <w:uiPriority w:val="99"/>
    <w:rPr>
      <w:rFonts w:ascii="仿宋_GB2312" w:hAnsi="Times New Roman" w:eastAsia="仿宋_GB2312"/>
      <w:sz w:val="24"/>
    </w:rPr>
  </w:style>
  <w:style w:type="paragraph" w:customStyle="1" w:styleId="25">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26">
    <w:name w:val="List Paragraph"/>
    <w:basedOn w:val="1"/>
    <w:qFormat/>
    <w:uiPriority w:val="34"/>
    <w:pPr>
      <w:ind w:firstLine="420" w:firstLineChars="200"/>
    </w:pPr>
  </w:style>
  <w:style w:type="character" w:customStyle="1" w:styleId="27">
    <w:name w:val="标题 1 Char"/>
    <w:basedOn w:val="15"/>
    <w:link w:val="4"/>
    <w:qFormat/>
    <w:uiPriority w:val="9"/>
    <w:rPr>
      <w:rFonts w:ascii="Times New Roman" w:hAnsi="Times New Roman"/>
      <w:b/>
      <w:bCs/>
      <w:kern w:val="44"/>
      <w:sz w:val="44"/>
      <w:szCs w:val="44"/>
    </w:rPr>
  </w:style>
  <w:style w:type="character" w:customStyle="1" w:styleId="28">
    <w:name w:val="标题 2 Char"/>
    <w:basedOn w:val="15"/>
    <w:link w:val="5"/>
    <w:qFormat/>
    <w:uiPriority w:val="9"/>
    <w:rPr>
      <w:rFonts w:asciiTheme="majorHAnsi" w:hAnsiTheme="majorHAnsi" w:eastAsiaTheme="majorEastAsia" w:cstheme="majorBidi"/>
      <w:b/>
      <w:bCs/>
      <w:kern w:val="2"/>
      <w:sz w:val="32"/>
      <w:szCs w:val="32"/>
    </w:rPr>
  </w:style>
  <w:style w:type="paragraph" w:customStyle="1" w:styleId="29">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0">
    <w:name w:val="批注框文本 Char"/>
    <w:basedOn w:val="15"/>
    <w:link w:val="9"/>
    <w:semiHidden/>
    <w:qFormat/>
    <w:uiPriority w:val="99"/>
    <w:rPr>
      <w:rFonts w:ascii="Times New Roman" w:hAnsi="Times New Roman"/>
      <w:kern w:val="2"/>
      <w:sz w:val="18"/>
      <w:szCs w:val="18"/>
    </w:rPr>
  </w:style>
  <w:style w:type="character" w:customStyle="1" w:styleId="31">
    <w:name w:val="标题 3 Char"/>
    <w:basedOn w:val="15"/>
    <w:link w:val="6"/>
    <w:qFormat/>
    <w:uiPriority w:val="9"/>
    <w:rPr>
      <w:rFonts w:ascii="Times New Roman" w:hAnsi="Times New Roman"/>
      <w:b/>
      <w:bCs/>
      <w:kern w:val="2"/>
      <w:sz w:val="32"/>
      <w:szCs w:val="32"/>
    </w:rPr>
  </w:style>
  <w:style w:type="character" w:customStyle="1" w:styleId="32">
    <w:name w:val="Heading 1 Char"/>
    <w:basedOn w:val="15"/>
    <w:link w:val="4"/>
    <w:qFormat/>
    <w:locked/>
    <w:uiPriority w:val="99"/>
    <w:rPr>
      <w:rFonts w:ascii="Times New Roman" w:hAnsi="Times New Roman" w:cs="Times New Roman"/>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2.xml"/><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4" Type="http://schemas.microsoft.com/office/2011/relationships/chartColorStyle" Target="colors4.xml"/><Relationship Id="rId3" Type="http://schemas.microsoft.com/office/2011/relationships/chartStyle" Target="style4.xml"/><Relationship Id="rId2" Type="http://schemas.openxmlformats.org/officeDocument/2006/relationships/themeOverride" Target="../theme/themeOverride3.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1.xml"/><Relationship Id="rId1" Type="http://schemas.openxmlformats.org/officeDocument/2006/relationships/package" Target="../embeddings/Workbook2.xlsx"/></Relationships>
</file>

<file path=word/charts/_rels/chart7.xml.rels><?xml version="1.0" encoding="UTF-8" standalone="yes"?>
<Relationships xmlns="http://schemas.openxmlformats.org/package/2006/relationships"><Relationship Id="rId4" Type="http://schemas.microsoft.com/office/2011/relationships/chartColorStyle" Target="colors7.xml"/><Relationship Id="rId3" Type="http://schemas.microsoft.com/office/2011/relationships/chartStyle" Target="style7.xml"/><Relationship Id="rId2" Type="http://schemas.openxmlformats.org/officeDocument/2006/relationships/themeOverride" Target="../theme/themeOverride4.xml"/><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25825"/>
          <c:y val="0.2345"/>
          <c:w val="0.927925"/>
          <c:h val="0.716566666666667"/>
        </c:manualLayout>
      </c:layout>
      <c:barChart>
        <c:barDir val="col"/>
        <c:grouping val="clustered"/>
        <c:varyColors val="0"/>
        <c:ser>
          <c:idx val="0"/>
          <c:order val="0"/>
          <c:tx>
            <c:strRef>
              <c:f>Sheet1!$B$1</c:f>
              <c:strCache>
                <c:ptCount val="1"/>
                <c:pt idx="0">
                  <c:v>单位：万元</c:v>
                </c:pt>
              </c:strCache>
            </c:strRef>
          </c:tx>
          <c:spPr>
            <a:solidFill>
              <a:schemeClr val="accent1"/>
            </a:solidFill>
            <a:ln>
              <a:noFill/>
            </a:ln>
            <a:effectLst/>
          </c:spPr>
          <c:invertIfNegative val="0"/>
          <c:dLbls>
            <c:delete val="1"/>
          </c:dLbls>
          <c:cat>
            <c:strRef>
              <c:f>Sheet1!$A$2:$A$3</c:f>
              <c:strCache>
                <c:ptCount val="2"/>
                <c:pt idx="0">
                  <c:v>2018年</c:v>
                </c:pt>
                <c:pt idx="1">
                  <c:v>2017年</c:v>
                </c:pt>
              </c:strCache>
            </c:strRef>
          </c:cat>
          <c:val>
            <c:numRef>
              <c:f>Sheet1!$B$2:$B$3</c:f>
              <c:numCache>
                <c:formatCode>General</c:formatCode>
                <c:ptCount val="2"/>
                <c:pt idx="0">
                  <c:v>1292.36</c:v>
                </c:pt>
                <c:pt idx="1">
                  <c:v>830.1</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2018年</c:v>
                </c:pt>
                <c:pt idx="1">
                  <c:v>2017年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2018年</c:v>
                </c:pt>
                <c:pt idx="1">
                  <c:v>2017年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195637683"/>
        <c:axId val="75787721"/>
      </c:barChart>
      <c:catAx>
        <c:axId val="19563768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5787721"/>
        <c:crosses val="autoZero"/>
        <c:auto val="1"/>
        <c:lblAlgn val="ctr"/>
        <c:lblOffset val="100"/>
        <c:noMultiLvlLbl val="0"/>
      </c:catAx>
      <c:valAx>
        <c:axId val="7578772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956376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spc="0" baseline="0">
                <a:solidFill>
                  <a:schemeClr val="tx1">
                    <a:lumMod val="65000"/>
                    <a:lumOff val="35000"/>
                  </a:schemeClr>
                </a:solidFill>
                <a:latin typeface="微软雅黑" panose="020B0503020204020204" charset="-122"/>
                <a:ea typeface="微软雅黑" panose="020B0503020204020204" charset="-122"/>
                <a:cs typeface="+mj-lt"/>
                <a:sym typeface="+mj-lt"/>
              </a:defRPr>
            </a:pPr>
            <a:r>
              <a:t>收入决算结构图</a:t>
            </a:r>
          </a:p>
        </c:rich>
      </c:tx>
      <c:layout/>
      <c:overlay val="0"/>
      <c:spPr>
        <a:noFill/>
        <a:ln>
          <a:noFill/>
        </a:ln>
        <a:effectLst/>
      </c:spPr>
    </c:title>
    <c:autoTitleDeleted val="0"/>
    <c:plotArea>
      <c:layout>
        <c:manualLayout>
          <c:layoutTarget val="inner"/>
          <c:xMode val="edge"/>
          <c:yMode val="edge"/>
          <c:x val="0.0914588859416446"/>
          <c:y val="0.205071664829107"/>
          <c:w val="0.822663326231353"/>
          <c:h val="0.686527012127894"/>
        </c:manualLayout>
      </c:layout>
      <c:pieChart>
        <c:varyColors val="1"/>
        <c:ser>
          <c:idx val="0"/>
          <c:order val="0"/>
          <c:tx>
            <c:strRef>
              <c:f>Sheet1!$B$1</c:f>
              <c:strCache>
                <c:ptCount val="1"/>
                <c:pt idx="0">
                  <c:v>收入（万元）</c:v>
                </c:pt>
              </c:strCache>
            </c:strRef>
          </c:tx>
          <c:spPr>
            <a:solidFill>
              <a:srgbClr val="ADD040"/>
            </a:solidFill>
            <a:effectLst/>
          </c:spPr>
          <c:explosion val="0"/>
          <c:dPt>
            <c:idx val="0"/>
            <c:bubble3D val="0"/>
            <c:spPr>
              <a:solidFill>
                <a:srgbClr val="F79646">
                  <a:lumMod val="60000"/>
                  <a:lumOff val="40000"/>
                </a:srgbClr>
              </a:solidFill>
              <a:ln>
                <a:noFill/>
              </a:ln>
              <a:effectLst/>
            </c:spPr>
          </c:dPt>
          <c:dPt>
            <c:idx val="1"/>
            <c:bubble3D val="0"/>
            <c:spPr>
              <a:solidFill>
                <a:srgbClr val="E6BD06"/>
              </a:solidFill>
              <a:ln>
                <a:noFill/>
              </a:ln>
              <a:effectLst/>
            </c:spPr>
          </c:dPt>
          <c:dPt>
            <c:idx val="2"/>
            <c:bubble3D val="0"/>
            <c:spPr>
              <a:solidFill>
                <a:srgbClr val="77553C"/>
              </a:solidFill>
              <a:ln>
                <a:noFill/>
              </a:ln>
              <a:effectLst/>
            </c:spPr>
          </c:dPt>
          <c:dLbls>
            <c:dLbl>
              <c:idx val="1"/>
              <c:layout/>
              <c:tx>
                <c:rich>
                  <a:bodyPr rot="0" spcFirstLastPara="0" vertOverflow="ellipsis" vert="horz" wrap="square" lIns="38100" tIns="19050" rIns="38100" bIns="19050" anchor="ctr" anchorCtr="1" forceAA="0"/>
                  <a:lstStyle/>
                  <a:p>
                    <a:pPr defTabSz="914400">
                      <a:defRPr lang="zh-CN" sz="900" b="0" i="0" u="none" strike="noStrike" kern="1200" baseline="0">
                        <a:solidFill>
                          <a:schemeClr val="bg1"/>
                        </a:solidFill>
                        <a:latin typeface="微软雅黑" panose="020B0503020204020204" charset="-122"/>
                        <a:ea typeface="微软雅黑" panose="020B0503020204020204" charset="-122"/>
                        <a:cs typeface="+mj-lt"/>
                        <a:sym typeface="+mj-lt"/>
                      </a:defRPr>
                    </a:pPr>
                    <a:r>
                      <a:t>0</a:t>
                    </a:r>
                    <a:r>
                      <a:rPr lang="en-US" altLang="zh-CN"/>
                      <a:t>.01</a:t>
                    </a:r>
                    <a:r>
                      <a:t>%</a:t>
                    </a:r>
                  </a:p>
                </c:rich>
              </c:tx>
              <c:dLblPos val="ctr"/>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latin typeface="微软雅黑" panose="020B0503020204020204" charset="-122"/>
                    <a:ea typeface="微软雅黑" panose="020B0503020204020204" charset="-122"/>
                    <a:cs typeface="+mj-lt"/>
                    <a:sym typeface="+mj-lt"/>
                  </a:defRPr>
                </a:pPr>
              </a:p>
            </c:txPr>
            <c:dLblPos val="ctr"/>
            <c:showLegendKey val="0"/>
            <c:showVal val="0"/>
            <c:showCatName val="0"/>
            <c:showSerName val="0"/>
            <c:showPercent val="1"/>
            <c:showBubbleSize val="0"/>
            <c:showLeaderLines val="0"/>
            <c:extLst>
              <c:ext xmlns:c15="http://schemas.microsoft.com/office/drawing/2012/chart" uri="{CE6537A1-D6FC-4f65-9D91-7224C49458BB}">
                <c15:layout/>
                <c15:showLeaderLines val="0"/>
                <c15:leaderLines>
                  <c:spPr>
                    <a:ln w="9525" cap="flat" cmpd="sng" algn="ctr">
                      <a:solidFill>
                        <a:schemeClr val="tx1">
                          <a:lumMod val="35000"/>
                          <a:lumOff val="65000"/>
                        </a:schemeClr>
                      </a:solidFill>
                      <a:round/>
                    </a:ln>
                    <a:effectLst/>
                  </c:spPr>
                </c15:leaderLines>
              </c:ext>
            </c:extLst>
          </c:dLbls>
          <c:cat>
            <c:strRef>
              <c:f>Sheet1!$A$2:$A$4</c:f>
              <c:strCache>
                <c:ptCount val="3"/>
                <c:pt idx="0">
                  <c:v>一般公共预算财政拨款收入</c:v>
                </c:pt>
                <c:pt idx="1">
                  <c:v>其他收入</c:v>
                </c:pt>
                <c:pt idx="2">
                  <c:v>年初结转结余</c:v>
                </c:pt>
              </c:strCache>
            </c:strRef>
          </c:cat>
          <c:val>
            <c:numRef>
              <c:f>Sheet1!$B$2:$B$4</c:f>
              <c:numCache>
                <c:formatCode>General</c:formatCode>
                <c:ptCount val="3"/>
                <c:pt idx="0">
                  <c:v>1084.74</c:v>
                </c:pt>
                <c:pt idx="1">
                  <c:v>0.23</c:v>
                </c:pt>
                <c:pt idx="2">
                  <c:v>207.39</c:v>
                </c:pt>
              </c:numCache>
            </c:numRef>
          </c:val>
        </c:ser>
        <c:ser>
          <c:idx val="1"/>
          <c:order val="1"/>
          <c:tx>
            <c:strRef>
              <c:f>Sheet1!#REF!</c:f>
              <c:strCache>
                <c:ptCount val="1"/>
                <c:pt idx="0">
                  <c:v/>
                </c:pt>
              </c:strCache>
            </c:strRef>
          </c:tx>
          <c:spPr/>
          <c:explosion val="0"/>
          <c:dPt>
            <c:idx val="0"/>
            <c:bubble3D val="0"/>
            <c:spPr>
              <a:solidFill>
                <a:schemeClr val="accent1"/>
              </a:solidFill>
              <a:ln>
                <a:noFill/>
              </a:ln>
              <a:effectLst/>
            </c:spPr>
          </c:dPt>
          <c:dLbls>
            <c:delete val="1"/>
          </c:dLbls>
          <c:cat>
            <c:strRef>
              <c:f>Sheet1!$A$2:$A$4</c:f>
              <c:strCache>
                <c:ptCount val="3"/>
                <c:pt idx="0">
                  <c:v>一般公共预算财政拨款收入</c:v>
                </c:pt>
                <c:pt idx="1">
                  <c:v>其他收入</c:v>
                </c:pt>
                <c:pt idx="2">
                  <c:v>年初结转结余</c:v>
                </c:pt>
              </c:strCache>
            </c:strRef>
          </c:cat>
          <c:val>
            <c:numRef>
              <c:f>Sheet1!#REF!</c:f>
              <c:numCache>
                <c:formatCode>General</c:formatCode>
                <c:ptCount val="1"/>
                <c:pt idx="0">
                  <c:v>1</c:v>
                </c:pt>
              </c:numCache>
            </c:numRef>
          </c:val>
        </c:ser>
        <c:ser>
          <c:idx val="2"/>
          <c:order val="2"/>
          <c:tx>
            <c:strRef>
              <c:f>Sheet1!#REF!</c:f>
              <c:strCache>
                <c:ptCount val="1"/>
                <c:pt idx="0">
                  <c:v/>
                </c:pt>
              </c:strCache>
            </c:strRef>
          </c:tx>
          <c:spPr/>
          <c:explosion val="0"/>
          <c:dPt>
            <c:idx val="0"/>
            <c:bubble3D val="0"/>
            <c:spPr>
              <a:solidFill>
                <a:schemeClr val="accent1"/>
              </a:solidFill>
              <a:ln>
                <a:noFill/>
              </a:ln>
              <a:effectLst/>
            </c:spPr>
          </c:dPt>
          <c:dLbls>
            <c:delete val="1"/>
          </c:dLbls>
          <c:cat>
            <c:strRef>
              <c:f>Sheet1!$A$2:$A$4</c:f>
              <c:strCache>
                <c:ptCount val="3"/>
                <c:pt idx="0">
                  <c:v>一般公共预算财政拨款收入</c:v>
                </c:pt>
                <c:pt idx="1">
                  <c:v>其他收入</c:v>
                </c:pt>
                <c:pt idx="2">
                  <c:v>年初结转结余</c:v>
                </c:pt>
              </c:strCache>
            </c:strRef>
          </c:cat>
          <c:val>
            <c:numRef>
              <c:f>Sheet1!#REF!</c:f>
              <c:numCache>
                <c:formatCode>General</c:formatCode>
                <c:ptCount val="1"/>
                <c:pt idx="0">
                  <c:v>1</c:v>
                </c:pt>
              </c:numCache>
            </c:numRef>
          </c:val>
        </c:ser>
        <c:dLbls>
          <c:showLegendKey val="0"/>
          <c:showVal val="0"/>
          <c:showCatName val="0"/>
          <c:showSerName val="0"/>
          <c:showPercent val="0"/>
          <c:showBubbleSize val="0"/>
          <c:showLeaderLines val="0"/>
        </c:dLbls>
        <c:firstSliceAng val="0"/>
      </c:pieChart>
      <c:spPr>
        <a:noFill/>
        <a:ln>
          <a:noFill/>
        </a:ln>
        <a:effectLst/>
      </c:spPr>
    </c:plotArea>
    <c:legend>
      <c:legendPos val="r"/>
      <c:layout>
        <c:manualLayout>
          <c:xMode val="edge"/>
          <c:yMode val="edge"/>
          <c:x val="0.12825"/>
          <c:y val="0.897"/>
          <c:w val="0.718"/>
          <c:h val="0.098"/>
        </c:manualLayout>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charset="-122"/>
              <a:ea typeface="微软雅黑" panose="020B0503020204020204" charset="-122"/>
              <a:cs typeface="+mj-lt"/>
              <a:sym typeface="+mj-lt"/>
            </a:defRPr>
          </a:pPr>
        </a:p>
      </c:txPr>
    </c:legend>
    <c:plotVisOnly val="1"/>
    <c:dispBlanksAs val="gap"/>
    <c:showDLblsOverMax val="0"/>
  </c:chart>
  <c:spPr>
    <a:pattFill prst="dotGrid">
      <a:fgClr>
        <a:schemeClr val="bg1">
          <a:lumMod val="95000"/>
        </a:schemeClr>
      </a:fgClr>
      <a:bgClr>
        <a:schemeClr val="bg1"/>
      </a:bgClr>
    </a:pattFill>
    <a:ln w="9525" cap="flat" cmpd="sng" algn="ctr">
      <a:solidFill>
        <a:schemeClr val="tx1">
          <a:lumMod val="15000"/>
          <a:lumOff val="85000"/>
        </a:schemeClr>
      </a:solidFill>
      <a:round/>
    </a:ln>
    <a:effectLst/>
  </c:spPr>
  <c:txPr>
    <a:bodyPr/>
    <a:lstStyle/>
    <a:p>
      <a:pPr>
        <a:defRPr lang="zh-CN" b="0">
          <a:latin typeface="微软雅黑" panose="020B0503020204020204" charset="-122"/>
          <a:ea typeface="微软雅黑" panose="020B0503020204020204" charset="-122"/>
          <a:cs typeface="+mj-lt"/>
          <a:sym typeface="+mj-lt"/>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1"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支出决算</a:t>
            </a:r>
          </a:p>
        </c:rich>
      </c:tx>
      <c:layout/>
      <c:overlay val="0"/>
      <c:spPr>
        <a:noFill/>
        <a:ln>
          <a:noFill/>
        </a:ln>
        <a:effectLst/>
      </c:spPr>
    </c:title>
    <c:autoTitleDeleted val="0"/>
    <c:plotArea>
      <c:layout>
        <c:manualLayout>
          <c:layoutTarget val="inner"/>
          <c:xMode val="edge"/>
          <c:yMode val="edge"/>
          <c:x val="0.293459263360366"/>
          <c:y val="0.258484650246629"/>
          <c:w val="0.414507097278291"/>
          <c:h val="0.67940234791889"/>
        </c:manualLayout>
      </c:layout>
      <c:pieChart>
        <c:varyColors val="1"/>
        <c:ser>
          <c:idx val="0"/>
          <c:order val="0"/>
          <c:tx>
            <c:strRef>
              <c:f>Sheet1!$B$1</c:f>
              <c:strCache>
                <c:ptCount val="1"/>
                <c:pt idx="0">
                  <c:v>支出(万元）</c:v>
                </c:pt>
              </c:strCache>
            </c:strRef>
          </c:tx>
          <c:spPr>
            <a:ln w="38100" cap="rnd" cmpd="dbl">
              <a:noFill/>
              <a:round/>
            </a:ln>
            <a:effectLst/>
          </c:spPr>
          <c:explosion val="0"/>
          <c:dPt>
            <c:idx val="0"/>
            <c:bubble3D val="0"/>
            <c:spPr>
              <a:solidFill>
                <a:srgbClr val="FEC34D"/>
              </a:solidFill>
              <a:ln w="38100" cap="rnd" cmpd="dbl">
                <a:noFill/>
                <a:round/>
              </a:ln>
              <a:effectLst/>
            </c:spPr>
          </c:dPt>
          <c:dPt>
            <c:idx val="1"/>
            <c:bubble3D val="0"/>
            <c:spPr>
              <a:solidFill>
                <a:srgbClr val="342485"/>
              </a:solidFill>
              <a:ln w="38100" cap="rnd" cmpd="dbl">
                <a:noFill/>
                <a:round/>
              </a:ln>
              <a:effectLst/>
            </c:spPr>
          </c:dPt>
          <c:dPt>
            <c:idx val="2"/>
            <c:bubble3D val="0"/>
            <c:spPr>
              <a:solidFill>
                <a:srgbClr val="E32379"/>
              </a:solidFill>
              <a:ln w="38100" cap="rnd" cmpd="dbl">
                <a:noFill/>
                <a:round/>
              </a:ln>
              <a:effectLst/>
            </c:spPr>
          </c:dPt>
          <c:dPt>
            <c:idx val="3"/>
            <c:bubble3D val="0"/>
            <c:spPr>
              <a:solidFill>
                <a:srgbClr val="006DCA"/>
              </a:solidFill>
              <a:ln w="38100" cap="rnd" cmpd="dbl">
                <a:noFill/>
                <a:round/>
              </a:ln>
              <a:effectLst/>
            </c:spPr>
          </c:dPt>
          <c:dLbls>
            <c:dLbl>
              <c:idx val="0"/>
              <c:layout/>
              <c:tx>
                <c:rich>
                  <a:bodyPr rot="0" spcFirstLastPara="0" vertOverflow="ellipsis" vert="horz" wrap="square" lIns="36195" tIns="0" rIns="36195" bIns="0" anchor="ctr" anchorCtr="1" forceAA="0"/>
                  <a:lstStyle/>
                  <a:p>
                    <a:pPr defTabSz="914400">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r>
                      <a:t>45</a:t>
                    </a:r>
                    <a:r>
                      <a:rPr lang="en-US" altLang="zh-CN"/>
                      <a:t>.14</a:t>
                    </a:r>
                    <a:r>
                      <a:t>%</a:t>
                    </a:r>
                  </a:p>
                </c:rich>
              </c:tx>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6195" tIns="0" rIns="36195" bIns="0" anchor="ctr" anchorCtr="1" forceAA="0"/>
                  <a:lstStyle/>
                  <a:p>
                    <a:pPr defTabSz="914400">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r>
                      <a:rPr lang="en-US" altLang="zh-CN"/>
                      <a:t>50.83</a:t>
                    </a:r>
                    <a:r>
                      <a:t>%</a:t>
                    </a:r>
                  </a:p>
                </c:rich>
              </c:tx>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2"/>
              <c:layout>
                <c:manualLayout>
                  <c:x val="0.00712310524143444"/>
                  <c:y val="0.095379879152146"/>
                </c:manualLayout>
              </c:layout>
              <c:tx>
                <c:rich>
                  <a:bodyPr rot="0" spcFirstLastPara="0" vertOverflow="ellipsis" vert="horz" wrap="square" lIns="36195" tIns="0" rIns="36195" bIns="0" anchor="ctr" anchorCtr="1" forceAA="0"/>
                  <a:lstStyle/>
                  <a:p>
                    <a:pPr defTabSz="914400">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r>
                      <a:t>4</a:t>
                    </a:r>
                    <a:r>
                      <a:rPr lang="en-US" altLang="zh-CN"/>
                      <a:t>.03</a:t>
                    </a:r>
                    <a:r>
                      <a:t>%</a:t>
                    </a:r>
                  </a:p>
                </c:rich>
              </c:tx>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pt idx="2">
                  <c:v>年末结转结余</c:v>
                </c:pt>
              </c:strCache>
            </c:strRef>
          </c:cat>
          <c:val>
            <c:numRef>
              <c:f>Sheet1!$B$2:$B$5</c:f>
              <c:numCache>
                <c:formatCode>General</c:formatCode>
                <c:ptCount val="4"/>
                <c:pt idx="0">
                  <c:v>583.4</c:v>
                </c:pt>
                <c:pt idx="1">
                  <c:v>656.98</c:v>
                </c:pt>
                <c:pt idx="2">
                  <c:v>51.98</c:v>
                </c:pt>
              </c:numCache>
            </c:numRef>
          </c:val>
        </c:ser>
        <c:ser>
          <c:idx val="1"/>
          <c:order val="1"/>
          <c:tx>
            <c:strRef>
              <c:f>Sheet1!$C$1</c:f>
              <c:strCache>
                <c:ptCount val="1"/>
                <c:pt idx="0">
                  <c:v/>
                </c:pt>
              </c:strCache>
            </c:strRef>
          </c:tx>
          <c:spPr/>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Pt>
            <c:idx val="3"/>
            <c:bubble3D val="0"/>
            <c:spPr>
              <a:solidFill>
                <a:schemeClr val="accent4"/>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pt idx="2">
                  <c:v>年末结转结余</c:v>
                </c:pt>
              </c:strCache>
            </c:strRef>
          </c:cat>
          <c:val>
            <c:numRef>
              <c:f>Sheet1!$C$2:$C$5</c:f>
              <c:numCache>
                <c:formatCode>General</c:formatCode>
                <c:ptCount val="4"/>
              </c:numCache>
            </c:numRef>
          </c:val>
        </c:ser>
        <c:ser>
          <c:idx val="2"/>
          <c:order val="2"/>
          <c:tx>
            <c:strRef>
              <c:f>Sheet1!$D$1</c:f>
              <c:strCache>
                <c:ptCount val="1"/>
                <c:pt idx="0">
                  <c:v/>
                </c:pt>
              </c:strCache>
            </c:strRef>
          </c:tx>
          <c:spPr/>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Pt>
            <c:idx val="3"/>
            <c:bubble3D val="0"/>
            <c:spPr>
              <a:solidFill>
                <a:schemeClr val="accent4"/>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基本支出</c:v>
                </c:pt>
                <c:pt idx="1">
                  <c:v>项目支出</c:v>
                </c:pt>
                <c:pt idx="2">
                  <c:v>年末结转结余</c:v>
                </c:pt>
              </c:strCache>
            </c:strRef>
          </c:cat>
          <c:val>
            <c:numRef>
              <c:f>Sheet1!$D$2:$D$5</c:f>
              <c:numCache>
                <c:formatCode>General</c:formatCode>
                <c:ptCount val="4"/>
              </c:numCache>
            </c:numRef>
          </c:val>
        </c:ser>
        <c:dLbls>
          <c:showLegendKey val="0"/>
          <c:showVal val="0"/>
          <c:showCatName val="0"/>
          <c:showSerName val="0"/>
          <c:showPercent val="1"/>
          <c:showBubbleSize val="0"/>
          <c:showLeaderLines val="1"/>
        </c:dLbls>
        <c:firstSliceAng val="0"/>
      </c:pieChart>
      <c:spPr>
        <a:noFill/>
        <a:ln w="0">
          <a:noFill/>
        </a:ln>
        <a:effectLst/>
      </c:spPr>
    </c:plotArea>
    <c:legend>
      <c:legendPos val="t"/>
      <c:legendEntry>
        <c:idx val="0"/>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1"/>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2"/>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3"/>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pattFill prst="dotGrid">
      <a:fgClr>
        <a:schemeClr val="bg1">
          <a:lumMod val="85000"/>
        </a:schemeClr>
      </a:fgClr>
      <a:bgClr>
        <a:schemeClr val="bg1">
          <a:lumMod val="95000"/>
        </a:schemeClr>
      </a:bgClr>
    </a:patt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a:t>
            </a:r>
          </a:p>
        </c:rich>
      </c:tx>
      <c:layout>
        <c:manualLayout>
          <c:xMode val="edge"/>
          <c:yMode val="edge"/>
          <c:x val="0.31175"/>
          <c:y val="0.0218938149972633"/>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收支总计（万元）</c:v>
                </c:pt>
              </c:strCache>
            </c:strRef>
          </c:tx>
          <c:spPr>
            <a:solidFill>
              <a:schemeClr val="accent1"/>
            </a:solidFill>
            <a:ln>
              <a:noFill/>
            </a:ln>
            <a:effectLst/>
          </c:spPr>
          <c:invertIfNegative val="0"/>
          <c:dLbls>
            <c:delete val="1"/>
          </c:dLbls>
          <c:cat>
            <c:strRef>
              <c:f>Sheet1!$A$2:$A$5</c:f>
              <c:strCache>
                <c:ptCount val="4"/>
                <c:pt idx="0">
                  <c:v>2017年</c:v>
                </c:pt>
                <c:pt idx="1">
                  <c:v>2018年</c:v>
                </c:pt>
              </c:strCache>
            </c:strRef>
          </c:cat>
          <c:val>
            <c:numRef>
              <c:f>Sheet1!$B$2:$B$5</c:f>
              <c:numCache>
                <c:formatCode>General</c:formatCode>
                <c:ptCount val="4"/>
                <c:pt idx="0">
                  <c:v>830</c:v>
                </c:pt>
                <c:pt idx="1">
                  <c:v>1292.36</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Sheet1!$A$2:$A$5</c:f>
              <c:strCache>
                <c:ptCount val="4"/>
                <c:pt idx="0">
                  <c:v>2017年</c:v>
                </c:pt>
                <c:pt idx="1">
                  <c:v>2018年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Sheet1!$A$2:$A$5</c:f>
              <c:strCache>
                <c:ptCount val="4"/>
                <c:pt idx="0">
                  <c:v>2017年</c:v>
                </c:pt>
                <c:pt idx="1">
                  <c:v>2018年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369807123"/>
        <c:axId val="367100986"/>
      </c:barChart>
      <c:catAx>
        <c:axId val="36980712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7100986"/>
        <c:crosses val="autoZero"/>
        <c:auto val="1"/>
        <c:lblAlgn val="ctr"/>
        <c:lblOffset val="100"/>
        <c:noMultiLvlLbl val="0"/>
      </c:catAx>
      <c:valAx>
        <c:axId val="36710098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9807123"/>
        <c:crosses val="autoZero"/>
        <c:crossBetween val="between"/>
      </c:valAx>
      <c:spPr>
        <a:noFill/>
        <a:ln>
          <a:noFill/>
        </a:ln>
        <a:effectLst/>
      </c:spPr>
    </c:plotArea>
    <c:legend>
      <c:legendPos val="b"/>
      <c:legendEntry>
        <c:idx val="1"/>
        <c:delete val="1"/>
      </c:legendEntry>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支出（万元）</c:v>
                </c:pt>
              </c:strCache>
            </c:strRef>
          </c:tx>
          <c:spPr>
            <a:solidFill>
              <a:schemeClr val="accent3"/>
            </a:solidFill>
            <a:ln>
              <a:noFill/>
            </a:ln>
            <a:effectLst/>
          </c:spPr>
          <c:invertIfNegative val="0"/>
          <c:dLbls>
            <c:delete val="1"/>
          </c:dLbls>
          <c:cat>
            <c:strRef>
              <c:f>Sheet1!$A$2:$A$5</c:f>
              <c:strCache>
                <c:ptCount val="4"/>
                <c:pt idx="0">
                  <c:v>2017年</c:v>
                </c:pt>
                <c:pt idx="1">
                  <c:v>2018年</c:v>
                </c:pt>
              </c:strCache>
            </c:strRef>
          </c:cat>
          <c:val>
            <c:numRef>
              <c:f>Sheet1!$B$2:$B$5</c:f>
              <c:numCache>
                <c:formatCode>General</c:formatCode>
                <c:ptCount val="4"/>
                <c:pt idx="0">
                  <c:v>771.25</c:v>
                </c:pt>
                <c:pt idx="1">
                  <c:v>1236.39</c:v>
                </c:pt>
              </c:numCache>
            </c:numRef>
          </c:val>
        </c:ser>
        <c:ser>
          <c:idx val="1"/>
          <c:order val="1"/>
          <c:tx>
            <c:strRef>
              <c:f>Sheet1!$C$1</c:f>
              <c:strCache>
                <c:ptCount val="1"/>
                <c:pt idx="0">
                  <c:v/>
                </c:pt>
              </c:strCache>
            </c:strRef>
          </c:tx>
          <c:spPr>
            <a:solidFill>
              <a:schemeClr val="accent2"/>
            </a:solidFill>
            <a:ln>
              <a:noFill/>
            </a:ln>
            <a:effectLst/>
          </c:spPr>
          <c:invertIfNegative val="0"/>
          <c:dLbls>
            <c:delete val="1"/>
          </c:dLbls>
          <c:cat>
            <c:strRef>
              <c:f>Sheet1!$A$2:$A$5</c:f>
              <c:strCache>
                <c:ptCount val="4"/>
                <c:pt idx="0">
                  <c:v>2017年</c:v>
                </c:pt>
                <c:pt idx="1">
                  <c:v>2018年</c:v>
                </c:pt>
              </c:strCache>
            </c:strRef>
          </c:cat>
          <c:val>
            <c:numRef>
              <c:f>Sheet1!$C$2:$C$5</c:f>
              <c:numCache>
                <c:formatCode>General</c:formatCode>
                <c:ptCount val="4"/>
              </c:numCache>
            </c:numRef>
          </c:val>
        </c:ser>
        <c:ser>
          <c:idx val="2"/>
          <c:order val="2"/>
          <c:tx>
            <c:strRef>
              <c:f>Sheet1!$D$1</c:f>
              <c:strCache>
                <c:ptCount val="1"/>
                <c:pt idx="0">
                  <c:v/>
                </c:pt>
              </c:strCache>
            </c:strRef>
          </c:tx>
          <c:spPr>
            <a:solidFill>
              <a:schemeClr val="accent3"/>
            </a:solidFill>
            <a:ln>
              <a:noFill/>
            </a:ln>
            <a:effectLst/>
          </c:spPr>
          <c:invertIfNegative val="0"/>
          <c:dLbls>
            <c:delete val="1"/>
          </c:dLbls>
          <c:cat>
            <c:strRef>
              <c:f>Sheet1!$A$2:$A$5</c:f>
              <c:strCache>
                <c:ptCount val="4"/>
                <c:pt idx="0">
                  <c:v>2017年</c:v>
                </c:pt>
                <c:pt idx="1">
                  <c:v>2018年</c:v>
                </c:pt>
              </c:strCache>
            </c:strRef>
          </c:cat>
          <c:val>
            <c:numRef>
              <c:f>Sheet1!$D$2:$D$5</c:f>
              <c:numCache>
                <c:formatCode>General</c:formatCode>
                <c:ptCount val="4"/>
              </c:numCache>
            </c:numRef>
          </c:val>
        </c:ser>
        <c:dLbls>
          <c:showLegendKey val="0"/>
          <c:showVal val="0"/>
          <c:showCatName val="0"/>
          <c:showSerName val="0"/>
          <c:showPercent val="0"/>
          <c:showBubbleSize val="0"/>
        </c:dLbls>
        <c:gapWidth val="219"/>
        <c:overlap val="-27"/>
        <c:axId val="68423735"/>
        <c:axId val="492082421"/>
      </c:barChart>
      <c:catAx>
        <c:axId val="684237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2082421"/>
        <c:crosses val="autoZero"/>
        <c:auto val="1"/>
        <c:lblAlgn val="ctr"/>
        <c:lblOffset val="100"/>
        <c:noMultiLvlLbl val="0"/>
      </c:catAx>
      <c:valAx>
        <c:axId val="49208242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8423735"/>
        <c:crosses val="autoZero"/>
        <c:crossBetween val="between"/>
      </c:valAx>
      <c:spPr>
        <a:noFill/>
        <a:ln>
          <a:noFill/>
        </a:ln>
        <a:effectLst/>
      </c:spPr>
    </c:plotArea>
    <c:legend>
      <c:legendPos val="b"/>
      <c:legendEntry>
        <c:idx val="1"/>
        <c:delete val="1"/>
      </c:legendEntry>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0" i="0" u="none" strike="noStrike" kern="1200" spc="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一般公共预算财政拨款支出</a:t>
            </a:r>
          </a:p>
        </c:rich>
      </c:tx>
      <c:layout/>
      <c:overlay val="0"/>
      <c:spPr>
        <a:noFill/>
        <a:ln>
          <a:noFill/>
        </a:ln>
        <a:effectLst/>
      </c:spPr>
    </c:title>
    <c:autoTitleDeleted val="0"/>
    <c:plotArea>
      <c:layout>
        <c:manualLayout>
          <c:layoutTarget val="inner"/>
          <c:xMode val="edge"/>
          <c:yMode val="edge"/>
          <c:x val="0.310287657732358"/>
          <c:y val="0.247533010964589"/>
          <c:w val="0.385455394636946"/>
          <c:h val="0.650556910816137"/>
        </c:manualLayout>
      </c:layout>
      <c:pieChart>
        <c:varyColors val="1"/>
        <c:ser>
          <c:idx val="0"/>
          <c:order val="0"/>
          <c:tx>
            <c:strRef>
              <c:f>Sheet1!$B$1</c:f>
              <c:strCache>
                <c:ptCount val="1"/>
                <c:pt idx="0">
                  <c:v>支出（万元）</c:v>
                </c:pt>
              </c:strCache>
            </c:strRef>
          </c:tx>
          <c:spPr>
            <a:gradFill>
              <a:gsLst>
                <a:gs pos="0">
                  <a:srgbClr val="5B9BD5">
                    <a:lumMod val="20000"/>
                    <a:lumOff val="80000"/>
                  </a:srgbClr>
                </a:gs>
                <a:gs pos="100000">
                  <a:srgbClr val="5B9BD5"/>
                </a:gs>
              </a:gsLst>
              <a:path path="circle">
                <a:fillToRect l="50000" t="50000" r="50000" b="50000"/>
              </a:path>
              <a:tileRect/>
            </a:gradFill>
            <a:ln w="12700" cap="rnd">
              <a:noFill/>
              <a:prstDash val="solid"/>
              <a:round/>
            </a:ln>
            <a:effectLst>
              <a:innerShdw dist="25400">
                <a:srgbClr val="5B9BD5">
                  <a:lumMod val="40000"/>
                  <a:lumOff val="60000"/>
                </a:srgbClr>
              </a:innerShdw>
            </a:effectLst>
          </c:spPr>
          <c:explosion val="0"/>
          <c:dPt>
            <c:idx val="0"/>
            <c:bubble3D val="0"/>
            <c:spPr>
              <a:gradFill>
                <a:gsLst>
                  <a:gs pos="0">
                    <a:srgbClr val="91D2F2"/>
                  </a:gs>
                  <a:gs pos="100000">
                    <a:srgbClr val="47B4E9"/>
                  </a:gs>
                </a:gsLst>
                <a:lin ang="13500000"/>
              </a:gradFill>
              <a:ln w="12700" cap="rnd">
                <a:noFill/>
                <a:prstDash val="solid"/>
                <a:round/>
              </a:ln>
              <a:effectLst>
                <a:innerShdw dist="25400">
                  <a:srgbClr val="B5E1F6"/>
                </a:innerShdw>
              </a:effectLst>
            </c:spPr>
          </c:dPt>
          <c:dPt>
            <c:idx val="1"/>
            <c:bubble3D val="0"/>
            <c:spPr>
              <a:gradFill>
                <a:gsLst>
                  <a:gs pos="0">
                    <a:srgbClr val="FF9B78"/>
                  </a:gs>
                  <a:gs pos="100000">
                    <a:srgbClr val="FF581F"/>
                  </a:gs>
                </a:gsLst>
                <a:lin ang="13500000"/>
              </a:gradFill>
              <a:ln w="12700" cap="rnd">
                <a:noFill/>
                <a:prstDash val="solid"/>
                <a:round/>
              </a:ln>
              <a:effectLst>
                <a:innerShdw dist="25400">
                  <a:srgbClr val="FFBCA6"/>
                </a:innerShdw>
              </a:effectLst>
            </c:spPr>
          </c:dPt>
          <c:dPt>
            <c:idx val="2"/>
            <c:bubble3D val="0"/>
            <c:spPr>
              <a:gradFill>
                <a:gsLst>
                  <a:gs pos="0">
                    <a:srgbClr val="FFC266"/>
                  </a:gs>
                  <a:gs pos="100000">
                    <a:srgbClr val="FF9900"/>
                  </a:gs>
                </a:gsLst>
                <a:lin ang="13500000"/>
              </a:gradFill>
              <a:ln w="12700" cap="rnd">
                <a:noFill/>
                <a:prstDash val="solid"/>
                <a:round/>
              </a:ln>
              <a:effectLst>
                <a:innerShdw dist="25400">
                  <a:srgbClr val="FFD799"/>
                </a:innerShdw>
              </a:effectLst>
            </c:spPr>
          </c:dPt>
          <c:dPt>
            <c:idx val="3"/>
            <c:bubble3D val="0"/>
            <c:spPr>
              <a:gradFill>
                <a:gsLst>
                  <a:gs pos="0">
                    <a:srgbClr val="FABF9F"/>
                  </a:gs>
                  <a:gs pos="100000">
                    <a:srgbClr val="F4F099"/>
                  </a:gs>
                </a:gsLst>
                <a:lin scaled="0"/>
              </a:gradFill>
              <a:ln w="12700" cap="rnd">
                <a:noFill/>
                <a:prstDash val="solid"/>
                <a:round/>
              </a:ln>
              <a:effectLst>
                <a:innerShdw dist="25400">
                  <a:srgbClr val="5B9BD5">
                    <a:lumMod val="40000"/>
                    <a:lumOff val="60000"/>
                  </a:srgbClr>
                </a:innerShdw>
              </a:effectLst>
            </c:spPr>
          </c:dPt>
          <c:dPt>
            <c:idx val="4"/>
            <c:bubble3D val="0"/>
            <c:spPr>
              <a:solidFill>
                <a:srgbClr val="C0504D"/>
              </a:solidFill>
              <a:ln w="12700" cap="rnd">
                <a:noFill/>
                <a:prstDash val="solid"/>
                <a:round/>
              </a:ln>
              <a:effectLst>
                <a:innerShdw dist="25400">
                  <a:srgbClr val="5B9BD5">
                    <a:lumMod val="40000"/>
                    <a:lumOff val="60000"/>
                  </a:srgbClr>
                </a:innerShdw>
              </a:effectLst>
            </c:spPr>
          </c:dPt>
          <c:dPt>
            <c:idx val="5"/>
            <c:bubble3D val="0"/>
            <c:spPr>
              <a:solidFill>
                <a:srgbClr val="C0504D">
                  <a:lumMod val="60000"/>
                  <a:lumOff val="40000"/>
                </a:srgbClr>
              </a:solidFill>
              <a:ln w="12700" cap="rnd">
                <a:noFill/>
                <a:prstDash val="solid"/>
                <a:round/>
              </a:ln>
              <a:effectLst>
                <a:innerShdw dist="25400">
                  <a:srgbClr val="5B9BD5">
                    <a:lumMod val="40000"/>
                    <a:lumOff val="60000"/>
                  </a:srgbClr>
                </a:innerShdw>
              </a:effectLst>
            </c:spPr>
          </c:dPt>
          <c:dPt>
            <c:idx val="6"/>
            <c:bubble3D val="0"/>
            <c:explosion val="1"/>
            <c:spPr>
              <a:solidFill>
                <a:srgbClr val="C0504D">
                  <a:lumMod val="75000"/>
                </a:srgbClr>
              </a:solidFill>
              <a:ln w="12700" cap="rnd">
                <a:noFill/>
                <a:prstDash val="solid"/>
                <a:round/>
              </a:ln>
              <a:effectLst>
                <a:innerShdw dist="25400">
                  <a:srgbClr val="5B9BD5">
                    <a:lumMod val="40000"/>
                    <a:lumOff val="60000"/>
                  </a:srgbClr>
                </a:innerShdw>
              </a:effectLst>
            </c:spPr>
          </c:dPt>
          <c:dPt>
            <c:idx val="7"/>
            <c:bubble3D val="0"/>
            <c:spPr>
              <a:solidFill>
                <a:srgbClr val="F79646">
                  <a:lumMod val="75000"/>
                </a:srgbClr>
              </a:solidFill>
              <a:ln w="12700" cap="rnd">
                <a:noFill/>
                <a:prstDash val="solid"/>
                <a:round/>
              </a:ln>
              <a:effectLst>
                <a:innerShdw dist="25400">
                  <a:srgbClr val="5B9BD5">
                    <a:lumMod val="40000"/>
                    <a:lumOff val="60000"/>
                  </a:srgbClr>
                </a:innerShdw>
              </a:effectLst>
            </c:spPr>
          </c:dPt>
          <c:dPt>
            <c:idx val="8"/>
            <c:bubble3D val="0"/>
            <c:spPr>
              <a:solidFill>
                <a:srgbClr val="4BACC6">
                  <a:lumMod val="60000"/>
                  <a:lumOff val="40000"/>
                </a:srgbClr>
              </a:solidFill>
              <a:ln w="12700" cap="rnd">
                <a:noFill/>
                <a:prstDash val="solid"/>
                <a:round/>
              </a:ln>
              <a:effectLst>
                <a:innerShdw dist="25400">
                  <a:srgbClr val="5B9BD5">
                    <a:lumMod val="40000"/>
                    <a:lumOff val="60000"/>
                  </a:srgbClr>
                </a:innerShdw>
              </a:effectLst>
            </c:spPr>
          </c:dPt>
          <c:dLbls>
            <c:dLbl>
              <c:idx val="0"/>
              <c:layout/>
              <c:tx>
                <c:rich>
                  <a:bodyPr rot="0" spcFirstLastPara="0" vertOverflow="ellipsis" vert="horz" wrap="square" lIns="38100" tIns="19050" rIns="38100" bIns="19050" anchor="ctr" anchorCtr="1" forceAA="0"/>
                  <a:lstStyle/>
                  <a:p>
                    <a:pPr defTabSz="914400">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solidFill>
                          <a:schemeClr val="tx1"/>
                        </a:solidFill>
                      </a:rPr>
                      <a:t>36.52</a:t>
                    </a:r>
                    <a:r>
                      <a:rPr>
                        <a:solidFill>
                          <a:schemeClr val="tx1"/>
                        </a:solidFill>
                      </a:rPr>
                      <a:t>%</a:t>
                    </a:r>
                    <a:endParaRPr>
                      <a:solidFill>
                        <a:schemeClr val="tx1"/>
                      </a:solidFill>
                    </a:endParaRPr>
                  </a:p>
                </c:rich>
              </c:tx>
              <c:dLblPos val="bestFit"/>
              <c:showLegendKey val="0"/>
              <c:showVal val="0"/>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forceAA="0"/>
                  <a:lstStyle/>
                  <a:p>
                    <a:pPr defTabSz="914400">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a:solidFill>
                          <a:schemeClr val="tx1"/>
                        </a:solidFill>
                      </a:rPr>
                      <a:t>0</a:t>
                    </a:r>
                    <a:r>
                      <a:rPr lang="en-US" altLang="zh-CN">
                        <a:solidFill>
                          <a:schemeClr val="tx1"/>
                        </a:solidFill>
                      </a:rPr>
                      <a:t>.32</a:t>
                    </a:r>
                    <a:r>
                      <a:rPr>
                        <a:solidFill>
                          <a:schemeClr val="tx1"/>
                        </a:solidFill>
                      </a:rPr>
                      <a:t>%</a:t>
                    </a:r>
                    <a:endParaRPr>
                      <a:solidFill>
                        <a:schemeClr val="tx1"/>
                      </a:solidFill>
                    </a:endParaRPr>
                  </a:p>
                </c:rich>
              </c:tx>
              <c:dLblPos val="bestFit"/>
              <c:showLegendKey val="0"/>
              <c:showVal val="0"/>
              <c:showCatName val="0"/>
              <c:showSerName val="0"/>
              <c:showPercent val="1"/>
              <c:showBubbleSize val="0"/>
              <c:extLst>
                <c:ext xmlns:c15="http://schemas.microsoft.com/office/drawing/2012/chart" uri="{CE6537A1-D6FC-4f65-9D91-7224C49458BB}"/>
              </c:extLst>
            </c:dLbl>
            <c:dLbl>
              <c:idx val="2"/>
              <c:layout/>
              <c:tx>
                <c:rich>
                  <a:bodyPr rot="0" spcFirstLastPara="0" vertOverflow="ellipsis" vert="horz" wrap="square" lIns="38100" tIns="19050" rIns="38100" bIns="19050" anchor="ctr" anchorCtr="1" forceAA="0"/>
                  <a:lstStyle/>
                  <a:p>
                    <a:pPr defTabSz="914400">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a:solidFill>
                          <a:schemeClr val="tx1"/>
                        </a:solidFill>
                      </a:rPr>
                      <a:t>15</a:t>
                    </a:r>
                    <a:r>
                      <a:rPr lang="en-US" altLang="zh-CN">
                        <a:solidFill>
                          <a:schemeClr val="tx1"/>
                        </a:solidFill>
                      </a:rPr>
                      <a:t>.24</a:t>
                    </a:r>
                    <a:r>
                      <a:rPr>
                        <a:solidFill>
                          <a:schemeClr val="tx1"/>
                        </a:solidFill>
                      </a:rPr>
                      <a:t>%</a:t>
                    </a:r>
                    <a:endParaRPr>
                      <a:solidFill>
                        <a:schemeClr val="tx1"/>
                      </a:solidFill>
                    </a:endParaRPr>
                  </a:p>
                </c:rich>
              </c:tx>
              <c:dLblPos val="bestFit"/>
              <c:showLegendKey val="0"/>
              <c:showVal val="0"/>
              <c:showCatName val="0"/>
              <c:showSerName val="0"/>
              <c:showPercent val="1"/>
              <c:showBubbleSize val="0"/>
              <c:extLst>
                <c:ext xmlns:c15="http://schemas.microsoft.com/office/drawing/2012/chart" uri="{CE6537A1-D6FC-4f65-9D91-7224C49458BB}"/>
              </c:extLst>
            </c:dLbl>
            <c:dLbl>
              <c:idx val="3"/>
              <c:layout/>
              <c:tx>
                <c:rich>
                  <a:bodyPr rot="0" spcFirstLastPara="0" vertOverflow="ellipsis" vert="horz" wrap="square" lIns="38100" tIns="19050" rIns="38100" bIns="19050" anchor="ctr" anchorCtr="1" forceAA="0"/>
                  <a:lstStyle/>
                  <a:p>
                    <a:pPr defTabSz="914400">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a:solidFill>
                          <a:schemeClr val="tx1"/>
                        </a:solidFill>
                      </a:rPr>
                      <a:t>2</a:t>
                    </a:r>
                    <a:r>
                      <a:rPr lang="en-US" altLang="zh-CN">
                        <a:solidFill>
                          <a:schemeClr val="tx1"/>
                        </a:solidFill>
                      </a:rPr>
                      <a:t>.3</a:t>
                    </a:r>
                    <a:r>
                      <a:rPr>
                        <a:solidFill>
                          <a:schemeClr val="tx1"/>
                        </a:solidFill>
                      </a:rPr>
                      <a:t>%</a:t>
                    </a:r>
                    <a:endParaRPr>
                      <a:solidFill>
                        <a:schemeClr val="tx1"/>
                      </a:solidFill>
                    </a:endParaRPr>
                  </a:p>
                </c:rich>
              </c:tx>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0.0123887450936669"/>
                  <c:y val="-0.0759938973896594"/>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solidFill>
                          <a:schemeClr val="tx1"/>
                        </a:solidFill>
                      </a:rPr>
                      <a:t>2.55</a:t>
                    </a:r>
                    <a:r>
                      <a:rPr>
                        <a:solidFill>
                          <a:schemeClr val="tx1"/>
                        </a:solidFill>
                      </a:rPr>
                      <a:t>%</a:t>
                    </a:r>
                    <a:endParaRPr>
                      <a:solidFill>
                        <a:schemeClr val="tx1"/>
                      </a:solidFill>
                    </a:endParaRP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dLbl>
              <c:idx val="5"/>
              <c:layout/>
              <c:tx>
                <c:rich>
                  <a:bodyPr rot="0" spcFirstLastPara="0" vertOverflow="ellipsis" vert="horz" wrap="square" lIns="38100" tIns="19050" rIns="38100" bIns="19050" anchor="ctr" anchorCtr="1"/>
                  <a:lstStyle/>
                  <a:p>
                    <a:pPr defTabSz="914400">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solidFill>
                          <a:schemeClr val="tx1"/>
                        </a:solidFill>
                      </a:rPr>
                      <a:t>18.41</a:t>
                    </a:r>
                    <a:r>
                      <a:rPr>
                        <a:solidFill>
                          <a:schemeClr val="tx1"/>
                        </a:solidFill>
                      </a:rPr>
                      <a:t>%</a:t>
                    </a:r>
                    <a:endParaRPr>
                      <a:solidFill>
                        <a:schemeClr val="tx1"/>
                      </a:solidFill>
                    </a:endParaRP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6"/>
              <c:layout/>
              <c:tx>
                <c:rich>
                  <a:bodyPr rot="0" spcFirstLastPara="0" vertOverflow="ellipsis" vert="horz" wrap="square" lIns="38100" tIns="19050" rIns="38100" bIns="19050" anchor="ctr" anchorCtr="1"/>
                  <a:lstStyle/>
                  <a:p>
                    <a:pPr defTabSz="914400">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solidFill>
                          <a:schemeClr val="tx1"/>
                        </a:solidFill>
                      </a:rPr>
                      <a:t>12.88</a:t>
                    </a:r>
                    <a:r>
                      <a:rPr>
                        <a:solidFill>
                          <a:schemeClr val="tx1"/>
                        </a:solidFill>
                      </a:rPr>
                      <a:t>%</a:t>
                    </a:r>
                    <a:endParaRPr>
                      <a:solidFill>
                        <a:schemeClr val="tx1"/>
                      </a:solidFill>
                    </a:endParaRP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7"/>
              <c:layout/>
              <c:tx>
                <c:rich>
                  <a:bodyPr rot="0" spcFirstLastPara="0" vertOverflow="ellipsis" vert="horz" wrap="square" lIns="38100" tIns="19050" rIns="38100" bIns="19050" anchor="ctr" anchorCtr="1"/>
                  <a:lstStyle/>
                  <a:p>
                    <a:pPr defTabSz="914400">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solidFill>
                          <a:schemeClr val="tx1"/>
                        </a:solidFill>
                      </a:rPr>
                      <a:t>3.82</a:t>
                    </a:r>
                    <a:r>
                      <a:rPr>
                        <a:solidFill>
                          <a:schemeClr val="tx1"/>
                        </a:solidFill>
                      </a:rPr>
                      <a:t>%</a:t>
                    </a:r>
                    <a:endParaRPr>
                      <a:solidFill>
                        <a:schemeClr val="tx1"/>
                      </a:solidFill>
                    </a:endParaRP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8"/>
              <c:layout/>
              <c:tx>
                <c:rich>
                  <a:bodyPr rot="0" spcFirstLastPara="0" vertOverflow="ellipsis" vert="horz" wrap="square" lIns="38100" tIns="19050" rIns="38100" bIns="19050" anchor="ctr" anchorCtr="1"/>
                  <a:lstStyle/>
                  <a:p>
                    <a:pPr defTabSz="914400">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rPr lang="en-US" altLang="zh-CN">
                        <a:solidFill>
                          <a:schemeClr val="tx1"/>
                        </a:solidFill>
                      </a:rPr>
                      <a:t>7.96</a:t>
                    </a:r>
                    <a:r>
                      <a:rPr>
                        <a:solidFill>
                          <a:schemeClr val="tx1"/>
                        </a:solidFill>
                      </a:rPr>
                      <a:t>%</a:t>
                    </a:r>
                    <a:endParaRPr>
                      <a:solidFill>
                        <a:schemeClr val="tx1"/>
                      </a:solidFill>
                    </a:endParaRPr>
                  </a:p>
                </c:rich>
              </c:tx>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1000" b="0" i="0" u="none" strike="noStrike" kern="1200" baseline="0">
                    <a:solidFill>
                      <a:schemeClr val="bg1"/>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一般公共服务（类）</c:v>
                </c:pt>
                <c:pt idx="1">
                  <c:v>文化体育与传媒支出（类）</c:v>
                </c:pt>
                <c:pt idx="2">
                  <c:v>社会保障和就业（类）支出</c:v>
                </c:pt>
                <c:pt idx="3">
                  <c:v>医疗卫生（类）支出</c:v>
                </c:pt>
                <c:pt idx="4">
                  <c:v>城乡社区（类）支出</c:v>
                </c:pt>
                <c:pt idx="5">
                  <c:v>农林水（类）支出</c:v>
                </c:pt>
                <c:pt idx="6">
                  <c:v>交通运输（类）支出</c:v>
                </c:pt>
                <c:pt idx="7">
                  <c:v>住房保障（类）支出</c:v>
                </c:pt>
                <c:pt idx="8">
                  <c:v>其他（类）支出</c:v>
                </c:pt>
              </c:strCache>
            </c:strRef>
          </c:cat>
          <c:val>
            <c:numRef>
              <c:f>Sheet1!$B$2:$B$10</c:f>
              <c:numCache>
                <c:formatCode>General</c:formatCode>
                <c:ptCount val="9"/>
                <c:pt idx="0">
                  <c:v>451.56</c:v>
                </c:pt>
                <c:pt idx="1">
                  <c:v>3.95</c:v>
                </c:pt>
                <c:pt idx="2">
                  <c:v>188.39</c:v>
                </c:pt>
                <c:pt idx="3">
                  <c:v>28.37</c:v>
                </c:pt>
                <c:pt idx="4">
                  <c:v>31.5</c:v>
                </c:pt>
                <c:pt idx="5">
                  <c:v>227.65</c:v>
                </c:pt>
                <c:pt idx="6">
                  <c:v>159.23</c:v>
                </c:pt>
                <c:pt idx="7">
                  <c:v>47.27</c:v>
                </c:pt>
                <c:pt idx="8">
                  <c:v>98.47</c:v>
                </c:pt>
              </c:numCache>
            </c:numRef>
          </c:val>
        </c:ser>
        <c:ser>
          <c:idx val="1"/>
          <c:order val="1"/>
          <c:tx>
            <c:strRef>
              <c:f>Sheet1!$C$1</c:f>
              <c:strCache>
                <c:ptCount val="1"/>
                <c:pt idx="0">
                  <c:v/>
                </c:pt>
              </c:strCache>
            </c:strRef>
          </c:tx>
          <c:spPr/>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Pt>
            <c:idx val="3"/>
            <c:bubble3D val="0"/>
            <c:spPr>
              <a:solidFill>
                <a:schemeClr val="accent4"/>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一般公共服务（类）</c:v>
                </c:pt>
                <c:pt idx="1">
                  <c:v>文化体育与传媒支出（类）</c:v>
                </c:pt>
                <c:pt idx="2">
                  <c:v>社会保障和就业（类）支出</c:v>
                </c:pt>
                <c:pt idx="3">
                  <c:v>医疗卫生（类）支出</c:v>
                </c:pt>
                <c:pt idx="4">
                  <c:v>城乡社区（类）支出</c:v>
                </c:pt>
                <c:pt idx="5">
                  <c:v>农林水（类）支出</c:v>
                </c:pt>
                <c:pt idx="6">
                  <c:v>交通运输（类）支出</c:v>
                </c:pt>
                <c:pt idx="7">
                  <c:v>住房保障（类）支出</c:v>
                </c:pt>
                <c:pt idx="8">
                  <c:v>其他（类）支出</c:v>
                </c:pt>
              </c:strCache>
            </c:strRef>
          </c:cat>
          <c:val>
            <c:numRef>
              <c:f>Sheet1!$C$2:$C$5</c:f>
              <c:numCache>
                <c:formatCode>General</c:formatCode>
                <c:ptCount val="4"/>
              </c:numCache>
            </c:numRef>
          </c:val>
        </c:ser>
        <c:ser>
          <c:idx val="2"/>
          <c:order val="2"/>
          <c:tx>
            <c:strRef>
              <c:f>Sheet1!$D$1</c:f>
              <c:strCache>
                <c:ptCount val="1"/>
                <c:pt idx="0">
                  <c:v/>
                </c:pt>
              </c:strCache>
            </c:strRef>
          </c:tx>
          <c:spPr/>
          <c:explosion val="0"/>
          <c:dPt>
            <c:idx val="0"/>
            <c:bubble3D val="0"/>
            <c:spPr>
              <a:solidFill>
                <a:schemeClr val="accent1"/>
              </a:solidFill>
              <a:ln>
                <a:noFill/>
              </a:ln>
              <a:effectLst/>
            </c:spPr>
          </c:dPt>
          <c:dPt>
            <c:idx val="1"/>
            <c:bubble3D val="0"/>
            <c:spPr>
              <a:solidFill>
                <a:schemeClr val="accent2"/>
              </a:solidFill>
              <a:ln>
                <a:noFill/>
              </a:ln>
              <a:effectLst/>
            </c:spPr>
          </c:dPt>
          <c:dPt>
            <c:idx val="2"/>
            <c:bubble3D val="0"/>
            <c:spPr>
              <a:solidFill>
                <a:schemeClr val="accent3"/>
              </a:solidFill>
              <a:ln>
                <a:noFill/>
              </a:ln>
              <a:effectLst/>
            </c:spPr>
          </c:dPt>
          <c:dPt>
            <c:idx val="3"/>
            <c:bubble3D val="0"/>
            <c:spPr>
              <a:solidFill>
                <a:schemeClr val="accent4"/>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一般公共服务（类）</c:v>
                </c:pt>
                <c:pt idx="1">
                  <c:v>文化体育与传媒支出（类）</c:v>
                </c:pt>
                <c:pt idx="2">
                  <c:v>社会保障和就业（类）支出</c:v>
                </c:pt>
                <c:pt idx="3">
                  <c:v>医疗卫生（类）支出</c:v>
                </c:pt>
                <c:pt idx="4">
                  <c:v>城乡社区（类）支出</c:v>
                </c:pt>
                <c:pt idx="5">
                  <c:v>农林水（类）支出</c:v>
                </c:pt>
                <c:pt idx="6">
                  <c:v>交通运输（类）支出</c:v>
                </c:pt>
                <c:pt idx="7">
                  <c:v>住房保障（类）支出</c:v>
                </c:pt>
                <c:pt idx="8">
                  <c:v>其他（类）支出</c:v>
                </c:pt>
              </c:strCache>
            </c:strRef>
          </c:cat>
          <c:val>
            <c:numRef>
              <c:f>Sheet1!$D$2:$D$5</c:f>
              <c:numCache>
                <c:formatCode>General</c:formatCode>
                <c:ptCount val="4"/>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895"/>
          <c:y val="0.0668333333333333"/>
          <c:w val="0.30675"/>
          <c:h val="0.5335"/>
        </c:manualLayout>
      </c:layout>
      <c:overlay val="0"/>
      <c:spPr>
        <a:noFill/>
        <a:ln>
          <a:noFill/>
        </a:ln>
        <a:effectLst/>
      </c:spPr>
      <c:txPr>
        <a:bodyPr rot="0" spcFirstLastPara="0" vertOverflow="ellipsis" vert="horz" wrap="square" anchor="ctr" anchorCtr="1" forceAA="0"/>
        <a:lstStyle/>
        <a:p>
          <a:pPr>
            <a:defRPr lang="zh-CN" sz="900" b="0" i="0" u="none" strike="noStrike" kern="1200" baseline="0">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solidFill>
      <a:sysClr val="window" lastClr="FFFFFF"/>
    </a:solidFill>
    <a:ln w="9525" cap="flat" cmpd="sng" algn="ctr">
      <a:solidFill>
        <a:sysClr val="window" lastClr="FFFFFF">
          <a:lumMod val="85000"/>
        </a:sysClr>
      </a:solidFill>
      <a:round/>
    </a:ln>
    <a:effectLst/>
  </c:spPr>
  <c:txPr>
    <a:bodyPr/>
    <a:lstStyle/>
    <a:p>
      <a:pPr>
        <a:defRPr lang="zh-CN">
          <a:solidFill>
            <a:srgbClr val="5D5D5E"/>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forceAA="0"/>
          <a:lstStyle/>
          <a:p>
            <a:pPr defTabSz="914400">
              <a:defRPr lang="zh-CN" sz="1400" b="1" i="0" u="none" strike="noStrike" kern="1200" spc="0" baseline="0">
                <a:solidFill>
                  <a:schemeClr val="tx1">
                    <a:lumMod val="65000"/>
                    <a:lumOff val="35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r>
              <a:t>图表标题</a:t>
            </a:r>
          </a:p>
        </c:rich>
      </c:tx>
      <c:layout/>
      <c:overlay val="0"/>
      <c:spPr>
        <a:noFill/>
        <a:ln>
          <a:noFill/>
        </a:ln>
        <a:effectLst/>
      </c:spPr>
    </c:title>
    <c:autoTitleDeleted val="0"/>
    <c:plotArea>
      <c:layout>
        <c:manualLayout>
          <c:layoutTarget val="inner"/>
          <c:xMode val="edge"/>
          <c:yMode val="edge"/>
          <c:x val="0.293459263360366"/>
          <c:y val="0.258484650246629"/>
          <c:w val="0.414507097278291"/>
          <c:h val="0.67940234791889"/>
        </c:manualLayout>
      </c:layout>
      <c:pieChart>
        <c:varyColors val="1"/>
        <c:ser>
          <c:idx val="0"/>
          <c:order val="0"/>
          <c:tx>
            <c:strRef>
              <c:f>Sheet1!$B$1</c:f>
              <c:strCache>
                <c:ptCount val="1"/>
                <c:pt idx="0">
                  <c:v>支出（万元）</c:v>
                </c:pt>
              </c:strCache>
            </c:strRef>
          </c:tx>
          <c:spPr>
            <a:ln w="38100" cap="rnd" cmpd="dbl">
              <a:noFill/>
              <a:round/>
            </a:ln>
            <a:effectLst/>
          </c:spPr>
          <c:explosion val="0"/>
          <c:dPt>
            <c:idx val="0"/>
            <c:bubble3D val="0"/>
            <c:spPr>
              <a:solidFill>
                <a:srgbClr val="FEC34D"/>
              </a:solidFill>
              <a:ln w="38100" cap="rnd" cmpd="dbl">
                <a:noFill/>
                <a:round/>
              </a:ln>
              <a:effectLst/>
            </c:spPr>
          </c:dPt>
          <c:dPt>
            <c:idx val="1"/>
            <c:bubble3D val="0"/>
            <c:spPr>
              <a:solidFill>
                <a:srgbClr val="342485"/>
              </a:solidFill>
              <a:ln w="38100" cap="rnd" cmpd="dbl">
                <a:noFill/>
                <a:round/>
              </a:ln>
              <a:effectLst/>
            </c:spPr>
          </c:dPt>
          <c:dPt>
            <c:idx val="2"/>
            <c:bubble3D val="0"/>
            <c:spPr>
              <a:solidFill>
                <a:srgbClr val="E32379"/>
              </a:solidFill>
              <a:ln w="38100" cap="rnd" cmpd="dbl">
                <a:noFill/>
                <a:round/>
              </a:ln>
              <a:effectLst/>
            </c:spPr>
          </c:dPt>
          <c:dPt>
            <c:idx val="3"/>
            <c:bubble3D val="0"/>
            <c:spPr>
              <a:solidFill>
                <a:srgbClr val="006DCA"/>
              </a:solidFill>
              <a:ln w="38100" cap="rnd" cmpd="dbl">
                <a:noFill/>
                <a:round/>
              </a:ln>
              <a:effectLst/>
            </c:spPr>
          </c:dPt>
          <c:dLbls>
            <c:dLbl>
              <c:idx val="0"/>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2"/>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dLbl>
              <c:idx val="3"/>
              <c:layout/>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6195" tIns="0" rIns="36195" bIns="0" anchor="ctr" anchorCtr="1" forceAA="0"/>
              <a:lstStyle/>
              <a:p>
                <a:pPr>
                  <a:defRPr lang="zh-CN" sz="1200" b="0" i="0" u="none" strike="noStrike" kern="1200" baseline="0">
                    <a:solidFill>
                      <a:srgbClr val="F9F9F9"/>
                    </a:solidFill>
                    <a:latin typeface="Impact" panose="020B0806030902050204" charset="0"/>
                    <a:ea typeface="Impact" panose="020B0806030902050204" charset="0"/>
                    <a:cs typeface="Impact" panose="020B0806030902050204" charset="0"/>
                    <a:sym typeface="Impact" panose="020B0806030902050204" charset="0"/>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公务用车购置及运行维护费</c:v>
                </c:pt>
                <c:pt idx="1">
                  <c:v>公务接待费支出决算</c:v>
                </c:pt>
              </c:strCache>
            </c:strRef>
          </c:cat>
          <c:val>
            <c:numRef>
              <c:f>Sheet1!$B$2:$B$5</c:f>
              <c:numCache>
                <c:formatCode>General</c:formatCode>
                <c:ptCount val="4"/>
                <c:pt idx="0">
                  <c:v>6.1</c:v>
                </c:pt>
                <c:pt idx="1">
                  <c:v>0.45</c:v>
                </c:pt>
              </c:numCache>
            </c:numRef>
          </c:val>
        </c:ser>
        <c:ser>
          <c:idx val="1"/>
          <c:order val="1"/>
          <c:tx>
            <c:strRef>
              <c:f>Sheet1!#REF!</c:f>
              <c:strCache>
                <c:ptCount val="1"/>
                <c:pt idx="0">
                  <c:v/>
                </c:pt>
              </c:strCache>
            </c:strRef>
          </c:tx>
          <c:spPr/>
          <c:explosion val="0"/>
          <c:dPt>
            <c:idx val="0"/>
            <c:bubble3D val="0"/>
            <c:spPr>
              <a:solidFill>
                <a:schemeClr val="accent1"/>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公务用车购置及运行维护费</c:v>
                </c:pt>
                <c:pt idx="1">
                  <c:v>公务接待费支出决算</c:v>
                </c:pt>
              </c:strCache>
            </c:strRef>
          </c:cat>
          <c:val>
            <c:numRef>
              <c:f>Sheet1!#REF!</c:f>
              <c:numCache>
                <c:formatCode>General</c:formatCode>
                <c:ptCount val="1"/>
                <c:pt idx="0">
                  <c:v>1</c:v>
                </c:pt>
              </c:numCache>
            </c:numRef>
          </c:val>
        </c:ser>
        <c:ser>
          <c:idx val="2"/>
          <c:order val="2"/>
          <c:tx>
            <c:strRef>
              <c:f>Sheet1!#REF!</c:f>
              <c:strCache>
                <c:ptCount val="1"/>
                <c:pt idx="0">
                  <c:v/>
                </c:pt>
              </c:strCache>
            </c:strRef>
          </c:tx>
          <c:spPr/>
          <c:explosion val="0"/>
          <c:dPt>
            <c:idx val="0"/>
            <c:bubble3D val="0"/>
            <c:spPr>
              <a:solidFill>
                <a:schemeClr val="accent1"/>
              </a:solidFill>
              <a:ln>
                <a:no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公务用车购置及运行维护费</c:v>
                </c:pt>
                <c:pt idx="1">
                  <c:v>公务接待费支出决算</c:v>
                </c:pt>
              </c:strCache>
            </c:strRef>
          </c:cat>
          <c:val>
            <c:numRef>
              <c:f>Sheet1!#REF!</c:f>
              <c:numCache>
                <c:formatCode>General</c:formatCode>
                <c:ptCount val="1"/>
                <c:pt idx="0">
                  <c:v>1</c:v>
                </c:pt>
              </c:numCache>
            </c:numRef>
          </c:val>
        </c:ser>
        <c:dLbls>
          <c:showLegendKey val="0"/>
          <c:showVal val="0"/>
          <c:showCatName val="0"/>
          <c:showSerName val="0"/>
          <c:showPercent val="1"/>
          <c:showBubbleSize val="0"/>
          <c:showLeaderLines val="1"/>
        </c:dLbls>
        <c:firstSliceAng val="0"/>
      </c:pieChart>
      <c:spPr>
        <a:noFill/>
        <a:ln w="0">
          <a:noFill/>
        </a:ln>
        <a:effectLst/>
      </c:spPr>
    </c:plotArea>
    <c:legend>
      <c:legendPos val="t"/>
      <c:legendEntry>
        <c:idx val="0"/>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1"/>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2"/>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egendEntry>
        <c:idx val="3"/>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Entry>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50000"/>
                  <a:lumOff val="50000"/>
                </a:schemeClr>
              </a:solidFill>
              <a:latin typeface="微软雅黑" panose="020B0503020204020204" charset="-122"/>
              <a:ea typeface="微软雅黑" panose="020B0503020204020204" charset="-122"/>
              <a:cs typeface="微软雅黑" panose="020B0503020204020204" charset="-122"/>
              <a:sym typeface="微软雅黑" panose="020B0503020204020204" charset="-122"/>
            </a:defRPr>
          </a:pPr>
        </a:p>
      </c:txPr>
    </c:legend>
    <c:plotVisOnly val="1"/>
    <c:dispBlanksAs val="gap"/>
    <c:showDLblsOverMax val="0"/>
  </c:chart>
  <c:spPr>
    <a:pattFill prst="dotGrid">
      <a:fgClr>
        <a:schemeClr val="bg1">
          <a:lumMod val="85000"/>
        </a:schemeClr>
      </a:fgClr>
      <a:bgClr>
        <a:schemeClr val="bg1">
          <a:lumMod val="95000"/>
        </a:schemeClr>
      </a:bgClr>
    </a:patt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acrossLinear" id="2">
  <a:schemeClr val="accent1"/>
  <a:schemeClr val="accent2"/>
  <a:schemeClr val="accent3"/>
  <a:schemeClr val="accent4"/>
  <a:schemeClr val="accent5"/>
  <a:schemeClr val="accent6"/>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acrossLinear" id="2">
  <a:schemeClr val="accent1"/>
  <a:schemeClr val="accent2"/>
  <a:schemeClr val="accent3"/>
  <a:schemeClr val="accent4"/>
  <a:schemeClr val="accent5"/>
  <a:schemeClr val="accent6"/>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5EE963-AE7E-4F3B-BBF1-9AF15C920BB6}">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1441</Words>
  <Characters>8219</Characters>
  <Lines>68</Lines>
  <Paragraphs>19</Paragraphs>
  <ScaleCrop>false</ScaleCrop>
  <LinksUpToDate>false</LinksUpToDate>
  <CharactersWithSpaces>9641</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2019-08-01T01:14:00Z</dcterms:created>
  <dc:creator>张彬茜</dc:creator>
  <cp:lastModifiedBy>LENOVO</cp:lastModifiedBy>
  <cp:lastPrinted>2019-08-01T00:48:00Z</cp:lastPrinted>
  <dcterms:modified xsi:type="dcterms:W3CDTF">2019-09-10T03:16:28Z</dcterms:modified>
  <dc:title>四川省***</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