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96597"/>
      <w:bookmarkStart w:id="5" w:name="_Toc15377193"/>
      <w:bookmarkStart w:id="6" w:name="_Toc12786"/>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194"/>
      <w:bookmarkStart w:id="8" w:name="_Toc15378442"/>
      <w:bookmarkStart w:id="9" w:name="_Toc15396598"/>
      <w:bookmarkStart w:id="10" w:name="_Toc15377426"/>
      <w:bookmarkStart w:id="11" w:name="_Toc15396476"/>
      <w:bookmarkStart w:id="12" w:name="_Toc20683"/>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查尔玛乡人民政府</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adjustRightInd w:val="0"/>
        <w:snapToGrid w:val="0"/>
        <w:spacing w:line="360" w:lineRule="auto"/>
        <w:jc w:val="center"/>
        <w:outlineLvl w:val="9"/>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bookmarkStart w:id="105" w:name="_GoBack"/>
      <w:bookmarkEnd w:id="105"/>
    </w:p>
    <w:p>
      <w:pPr>
        <w:widowControl/>
        <w:jc w:val="center"/>
        <w:rPr>
          <w:rFonts w:ascii="黑体" w:hAnsi="黑体" w:eastAsia="黑体" w:cstheme="minorBidi"/>
          <w:sz w:val="28"/>
          <w:szCs w:val="28"/>
        </w:rPr>
      </w:pPr>
    </w:p>
    <w:p>
      <w:pPr>
        <w:pStyle w:val="7"/>
        <w:adjustRightInd w:val="0"/>
        <w:snapToGrid w:val="0"/>
        <w:spacing w:before="93" w:line="600" w:lineRule="exact"/>
        <w:ind w:firstLine="672" w:firstLineChars="210"/>
        <w:jc w:val="center"/>
        <w:outlineLvl w:val="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公开时间：2020年</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日</w:t>
      </w:r>
    </w:p>
    <w:p/>
    <w:sdt>
      <w:sdtPr>
        <w:rPr>
          <w:rFonts w:ascii="宋体" w:hAnsi="宋体" w:eastAsia="宋体" w:cs="Times New Roman"/>
          <w:kern w:val="2"/>
          <w:sz w:val="21"/>
          <w:szCs w:val="24"/>
          <w:lang w:val="en-US" w:eastAsia="zh-CN" w:bidi="ar-SA"/>
        </w:rPr>
        <w:id w:val="147457389"/>
        <w15:color w:val="DBDBDB"/>
        <w:docPartObj>
          <w:docPartGallery w:val="Table of Contents"/>
          <w:docPartUnique/>
        </w:docPartObj>
      </w:sdtPr>
      <w:sdtEndPr>
        <w:rPr>
          <w:rFonts w:ascii="仿宋" w:hAnsi="仿宋" w:eastAsia="仿宋"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33"/>
            <w:tabs>
              <w:tab w:val="right" w:leader="dot" w:pos="8306"/>
            </w:tabs>
            <w:rPr>
              <w:b/>
            </w:rPr>
          </w:pPr>
          <w:r>
            <w:rPr>
              <w:rFonts w:ascii="仿宋" w:hAnsi="仿宋" w:eastAsia="仿宋" w:cstheme="minorBidi"/>
              <w:sz w:val="24"/>
            </w:rPr>
            <w:fldChar w:fldCharType="begin"/>
          </w:r>
          <w:r>
            <w:rPr>
              <w:rFonts w:ascii="仿宋" w:hAnsi="仿宋" w:eastAsia="仿宋" w:cstheme="minorBidi"/>
              <w:sz w:val="24"/>
            </w:rPr>
            <w:instrText xml:space="preserve">TOC \o "1-2" \h \u </w:instrText>
          </w:r>
          <w:r>
            <w:rPr>
              <w:rFonts w:ascii="仿宋" w:hAnsi="仿宋" w:eastAsia="仿宋" w:cstheme="minorBidi"/>
              <w:sz w:val="24"/>
            </w:rPr>
            <w:fldChar w:fldCharType="separate"/>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_Toc28847 </w:instrText>
          </w:r>
          <w:r>
            <w:rPr>
              <w:rFonts w:ascii="仿宋" w:hAnsi="仿宋" w:eastAsia="仿宋" w:cstheme="minorBidi"/>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_Toc28847 </w:instrText>
          </w:r>
          <w:r>
            <w:rPr>
              <w:b/>
            </w:rPr>
            <w:fldChar w:fldCharType="separate"/>
          </w:r>
          <w:r>
            <w:rPr>
              <w:b/>
            </w:rPr>
            <w:t>4</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_Toc26148 </w:instrText>
          </w:r>
          <w:r>
            <w:rPr>
              <w:rFonts w:ascii="仿宋" w:hAnsi="仿宋" w:eastAsia="仿宋" w:cstheme="minorBidi"/>
            </w:rP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_Toc26148 </w:instrText>
          </w:r>
          <w:r>
            <w:fldChar w:fldCharType="separate"/>
          </w:r>
          <w:r>
            <w:t>4</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_Toc26390 </w:instrText>
          </w:r>
          <w:r>
            <w:rPr>
              <w:rFonts w:ascii="仿宋" w:hAnsi="仿宋" w:eastAsia="仿宋" w:cstheme="minorBidi"/>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_Toc26390 </w:instrText>
          </w:r>
          <w:r>
            <w:fldChar w:fldCharType="separate"/>
          </w:r>
          <w:r>
            <w:t>7</w:t>
          </w:r>
          <w:r>
            <w:fldChar w:fldCharType="end"/>
          </w:r>
          <w:r>
            <w:rPr>
              <w:rFonts w:ascii="仿宋" w:hAnsi="仿宋" w:eastAsia="仿宋" w:cstheme="minorBidi"/>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_Toc24131 </w:instrText>
          </w:r>
          <w:r>
            <w:rPr>
              <w:rFonts w:ascii="仿宋" w:hAnsi="仿宋" w:eastAsia="仿宋" w:cstheme="minorBidi"/>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_Toc24131 </w:instrText>
          </w:r>
          <w:r>
            <w:rPr>
              <w:b/>
            </w:rPr>
            <w:fldChar w:fldCharType="separate"/>
          </w:r>
          <w:r>
            <w:rPr>
              <w:b/>
            </w:rPr>
            <w:t>8</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_Toc28896 </w:instrText>
          </w:r>
          <w:r>
            <w:rPr>
              <w:rFonts w:ascii="仿宋" w:hAnsi="仿宋" w:eastAsia="仿宋" w:cstheme="minorBidi"/>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_Toc28896 </w:instrText>
          </w:r>
          <w:r>
            <w:fldChar w:fldCharType="separate"/>
          </w:r>
          <w:r>
            <w:t>8</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_Toc24075 </w:instrText>
          </w:r>
          <w:r>
            <w:rPr>
              <w:rFonts w:ascii="仿宋" w:hAnsi="仿宋" w:eastAsia="仿宋" w:cstheme="minorBidi"/>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_Toc24075 </w:instrText>
          </w:r>
          <w:r>
            <w:fldChar w:fldCharType="separate"/>
          </w:r>
          <w:r>
            <w:t>8</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_Toc6828 </w:instrText>
          </w:r>
          <w:r>
            <w:rPr>
              <w:rFonts w:ascii="仿宋" w:hAnsi="仿宋" w:eastAsia="仿宋" w:cstheme="minorBidi"/>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_Toc6828 </w:instrText>
          </w:r>
          <w:r>
            <w:fldChar w:fldCharType="separate"/>
          </w:r>
          <w:r>
            <w:t>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_Toc17985 </w:instrText>
          </w:r>
          <w:r>
            <w:rPr>
              <w:rFonts w:ascii="仿宋" w:hAnsi="仿宋" w:eastAsia="仿宋" w:cstheme="minorBidi"/>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_Toc17985 </w:instrText>
          </w:r>
          <w:r>
            <w:fldChar w:fldCharType="separate"/>
          </w:r>
          <w:r>
            <w:t>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_Toc28074 </w:instrText>
          </w:r>
          <w:r>
            <w:rPr>
              <w:rFonts w:ascii="仿宋" w:hAnsi="仿宋" w:eastAsia="仿宋" w:cstheme="minorBidi"/>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_Toc28074 </w:instrText>
          </w:r>
          <w:r>
            <w:fldChar w:fldCharType="separate"/>
          </w:r>
          <w:r>
            <w:t>10</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_Toc12863 </w:instrText>
          </w:r>
          <w:r>
            <w:rPr>
              <w:rFonts w:ascii="仿宋" w:hAnsi="仿宋" w:eastAsia="仿宋" w:cstheme="minorBidi"/>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_Toc12863 </w:instrText>
          </w:r>
          <w:r>
            <w:fldChar w:fldCharType="separate"/>
          </w:r>
          <w:r>
            <w:t>14</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_Toc10307 </w:instrText>
          </w:r>
          <w:r>
            <w:rPr>
              <w:rFonts w:ascii="仿宋" w:hAnsi="仿宋" w:eastAsia="仿宋" w:cstheme="minorBidi"/>
            </w:rP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_Toc10307 </w:instrText>
          </w:r>
          <w:r>
            <w:fldChar w:fldCharType="separate"/>
          </w:r>
          <w:r>
            <w:t>15</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_Toc24159 </w:instrText>
          </w:r>
          <w:r>
            <w:rPr>
              <w:rFonts w:ascii="仿宋" w:hAnsi="仿宋" w:eastAsia="仿宋" w:cstheme="minorBidi"/>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_Toc24159 </w:instrText>
          </w:r>
          <w:r>
            <w:fldChar w:fldCharType="separate"/>
          </w:r>
          <w:r>
            <w:t>16</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_Toc2368 </w:instrText>
          </w:r>
          <w:r>
            <w:rPr>
              <w:rFonts w:ascii="仿宋" w:hAnsi="仿宋" w:eastAsia="仿宋" w:cstheme="minorBidi"/>
            </w:rPr>
            <w:fldChar w:fldCharType="separate"/>
          </w:r>
          <w:r>
            <w:rPr>
              <w:rFonts w:hint="eastAsia" w:ascii="黑体" w:hAnsi="黑体" w:eastAsia="黑体"/>
            </w:rPr>
            <w:t>九、 国有资本经营预算支出决算情况说明</w:t>
          </w:r>
          <w:r>
            <w:tab/>
          </w:r>
          <w:r>
            <w:fldChar w:fldCharType="begin"/>
          </w:r>
          <w:r>
            <w:instrText xml:space="preserve"> PAGEREF _Toc2368 </w:instrText>
          </w:r>
          <w:r>
            <w:fldChar w:fldCharType="separate"/>
          </w:r>
          <w:r>
            <w:t>17</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_Toc8180 </w:instrText>
          </w:r>
          <w:r>
            <w:rPr>
              <w:rFonts w:ascii="仿宋" w:hAnsi="仿宋" w:eastAsia="仿宋" w:cstheme="minorBidi"/>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_Toc8180 </w:instrText>
          </w:r>
          <w:r>
            <w:fldChar w:fldCharType="separate"/>
          </w:r>
          <w:r>
            <w:t>17</w:t>
          </w:r>
          <w:r>
            <w:fldChar w:fldCharType="end"/>
          </w:r>
          <w:r>
            <w:rPr>
              <w:rFonts w:ascii="仿宋" w:hAnsi="仿宋" w:eastAsia="仿宋" w:cstheme="minorBidi"/>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_Toc22786 </w:instrText>
          </w:r>
          <w:r>
            <w:rPr>
              <w:rFonts w:ascii="仿宋" w:hAnsi="仿宋" w:eastAsia="仿宋" w:cstheme="minorBidi"/>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_Toc22786 </w:instrText>
          </w:r>
          <w:r>
            <w:rPr>
              <w:b/>
            </w:rPr>
            <w:fldChar w:fldCharType="separate"/>
          </w:r>
          <w:r>
            <w:rPr>
              <w:b/>
            </w:rPr>
            <w:t>25</w:t>
          </w:r>
          <w:r>
            <w:rPr>
              <w:b/>
            </w:rPr>
            <w:fldChar w:fldCharType="end"/>
          </w:r>
          <w:r>
            <w:rPr>
              <w:rFonts w:ascii="仿宋" w:hAnsi="仿宋" w:eastAsia="仿宋" w:cstheme="minorBidi"/>
              <w:b/>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_Toc11463 </w:instrText>
          </w:r>
          <w:r>
            <w:rPr>
              <w:rFonts w:ascii="仿宋" w:hAnsi="仿宋" w:eastAsia="仿宋" w:cstheme="minorBidi"/>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_Toc11463 </w:instrText>
          </w:r>
          <w:r>
            <w:rPr>
              <w:b/>
            </w:rPr>
            <w:fldChar w:fldCharType="separate"/>
          </w:r>
          <w:r>
            <w:rPr>
              <w:b/>
            </w:rPr>
            <w:t>31</w:t>
          </w:r>
          <w:r>
            <w:rPr>
              <w:b/>
            </w:rPr>
            <w:fldChar w:fldCharType="end"/>
          </w:r>
          <w:r>
            <w:rPr>
              <w:rFonts w:ascii="仿宋" w:hAnsi="仿宋" w:eastAsia="仿宋" w:cstheme="minorBidi"/>
              <w:b/>
            </w:rPr>
            <w:fldChar w:fldCharType="end"/>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_Toc4442 </w:instrText>
          </w:r>
          <w:r>
            <w:rPr>
              <w:rFonts w:ascii="仿宋" w:hAnsi="仿宋" w:eastAsia="仿宋" w:cstheme="minorBidi"/>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_Toc4442 </w:instrText>
          </w:r>
          <w:r>
            <w:rPr>
              <w:b/>
            </w:rPr>
            <w:fldChar w:fldCharType="separate"/>
          </w:r>
          <w:r>
            <w:rPr>
              <w:b/>
            </w:rPr>
            <w:t>31</w:t>
          </w:r>
          <w:r>
            <w:rPr>
              <w:b/>
            </w:rPr>
            <w:fldChar w:fldCharType="end"/>
          </w:r>
          <w:r>
            <w:rPr>
              <w:rFonts w:ascii="仿宋" w:hAnsi="仿宋" w:eastAsia="仿宋" w:cstheme="minorBidi"/>
              <w:b/>
            </w:rPr>
            <w:fldChar w:fldCharType="end"/>
          </w:r>
        </w:p>
        <w:p>
          <w:pPr>
            <w:pStyle w:val="33"/>
            <w:tabs>
              <w:tab w:val="right" w:leader="dot" w:pos="8306"/>
            </w:tabs>
            <w:rPr>
              <w:rFonts w:hint="eastAsia" w:ascii="仿宋" w:hAnsi="仿宋" w:eastAsia="仿宋" w:cstheme="minorBidi"/>
              <w:b/>
              <w:lang w:val="en-US" w:eastAsia="zh-CN"/>
            </w:rPr>
          </w:pPr>
          <w:r>
            <w:rPr>
              <w:rFonts w:ascii="仿宋" w:hAnsi="仿宋" w:eastAsia="仿宋" w:cstheme="minorBidi"/>
              <w:b/>
            </w:rPr>
            <w:fldChar w:fldCharType="begin"/>
          </w:r>
          <w:r>
            <w:rPr>
              <w:rFonts w:ascii="仿宋" w:hAnsi="仿宋" w:eastAsia="仿宋" w:cstheme="minorBidi"/>
              <w:b/>
            </w:rPr>
            <w:instrText xml:space="preserve"> HYPERLINK \l _Toc4442 </w:instrText>
          </w:r>
          <w:r>
            <w:rPr>
              <w:rFonts w:ascii="仿宋" w:hAnsi="仿宋" w:eastAsia="仿宋" w:cstheme="minorBidi"/>
              <w:b/>
            </w:rPr>
            <w:fldChar w:fldCharType="separate"/>
          </w:r>
          <w:r>
            <w:rPr>
              <w:rFonts w:hint="eastAsia" w:ascii="黑体" w:hAnsi="黑体" w:eastAsia="黑体" w:cs="黑体"/>
              <w:b/>
              <w:szCs w:val="32"/>
            </w:rPr>
            <w:t>附件</w:t>
          </w:r>
          <w:r>
            <w:rPr>
              <w:rFonts w:hint="eastAsia" w:ascii="黑体" w:hAnsi="黑体" w:eastAsia="黑体" w:cs="黑体"/>
              <w:b/>
              <w:szCs w:val="32"/>
              <w:lang w:val="en-US" w:eastAsia="zh-CN"/>
            </w:rPr>
            <w:t>2</w:t>
          </w:r>
          <w:r>
            <w:rPr>
              <w:b/>
            </w:rPr>
            <w:tab/>
          </w:r>
          <w:r>
            <w:rPr>
              <w:rFonts w:hint="eastAsia"/>
              <w:b/>
              <w:lang w:val="en-US" w:eastAsia="zh-CN"/>
            </w:rPr>
            <w:t>3</w:t>
          </w:r>
          <w:r>
            <w:rPr>
              <w:rFonts w:ascii="仿宋" w:hAnsi="仿宋" w:eastAsia="仿宋" w:cstheme="minorBidi"/>
              <w:b/>
            </w:rPr>
            <w:fldChar w:fldCharType="end"/>
          </w:r>
          <w:r>
            <w:rPr>
              <w:rFonts w:hint="eastAsia" w:ascii="仿宋" w:hAnsi="仿宋" w:eastAsia="仿宋" w:cstheme="minorBidi"/>
              <w:b/>
              <w:lang w:val="en-US" w:eastAsia="zh-CN"/>
            </w:rPr>
            <w:t>3</w:t>
          </w:r>
        </w:p>
        <w:p>
          <w:pPr>
            <w:pStyle w:val="33"/>
            <w:tabs>
              <w:tab w:val="right" w:leader="dot" w:pos="8306"/>
            </w:tabs>
            <w:rPr>
              <w:b/>
            </w:rPr>
          </w:pPr>
          <w:r>
            <w:rPr>
              <w:rFonts w:ascii="仿宋" w:hAnsi="仿宋" w:eastAsia="仿宋" w:cstheme="minorBidi"/>
              <w:b/>
            </w:rPr>
            <w:fldChar w:fldCharType="begin"/>
          </w:r>
          <w:r>
            <w:rPr>
              <w:rFonts w:ascii="仿宋" w:hAnsi="仿宋" w:eastAsia="仿宋" w:cstheme="minorBidi"/>
              <w:b/>
            </w:rPr>
            <w:instrText xml:space="preserve"> HYPERLINK \l _Toc28138 </w:instrText>
          </w:r>
          <w:r>
            <w:rPr>
              <w:rFonts w:ascii="仿宋" w:hAnsi="仿宋" w:eastAsia="仿宋" w:cstheme="minorBidi"/>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_Toc28138 </w:instrText>
          </w:r>
          <w:r>
            <w:rPr>
              <w:b/>
            </w:rPr>
            <w:fldChar w:fldCharType="separate"/>
          </w:r>
          <w:r>
            <w:rPr>
              <w:b/>
            </w:rPr>
            <w:t>39</w:t>
          </w:r>
          <w:r>
            <w:rPr>
              <w:b/>
            </w:rPr>
            <w:fldChar w:fldCharType="end"/>
          </w:r>
          <w:r>
            <w:rPr>
              <w:rFonts w:ascii="仿宋" w:hAnsi="仿宋" w:eastAsia="仿宋" w:cstheme="minorBidi"/>
              <w:b/>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_Toc31626 </w:instrText>
          </w:r>
          <w:r>
            <w:rPr>
              <w:rFonts w:ascii="仿宋" w:hAnsi="仿宋" w:eastAsia="仿宋" w:cstheme="minorBidi"/>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_Toc31626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_Toc25132 </w:instrText>
          </w:r>
          <w:r>
            <w:rPr>
              <w:rFonts w:ascii="仿宋" w:hAnsi="仿宋" w:eastAsia="仿宋" w:cstheme="minorBidi"/>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_Toc25132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_Toc21363 </w:instrText>
          </w:r>
          <w:r>
            <w:rPr>
              <w:rFonts w:ascii="仿宋" w:hAnsi="仿宋" w:eastAsia="仿宋" w:cstheme="minorBidi"/>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_Toc21363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_Toc21770 </w:instrText>
          </w:r>
          <w:r>
            <w:rPr>
              <w:rFonts w:ascii="仿宋" w:hAnsi="仿宋" w:eastAsia="仿宋" w:cstheme="minorBidi"/>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_Toc21770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_Toc16692 </w:instrText>
          </w:r>
          <w:r>
            <w:rPr>
              <w:rFonts w:ascii="仿宋" w:hAnsi="仿宋" w:eastAsia="仿宋" w:cstheme="minorBidi"/>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_Toc16692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_Toc5717 </w:instrText>
          </w:r>
          <w:r>
            <w:rPr>
              <w:rFonts w:ascii="仿宋" w:hAnsi="仿宋" w:eastAsia="仿宋" w:cstheme="minorBidi"/>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_Toc5717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_Toc17606 </w:instrText>
          </w:r>
          <w:r>
            <w:rPr>
              <w:rFonts w:ascii="仿宋" w:hAnsi="仿宋" w:eastAsia="仿宋" w:cstheme="minorBidi"/>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_Toc17606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_Toc32744 </w:instrText>
          </w:r>
          <w:r>
            <w:rPr>
              <w:rFonts w:ascii="仿宋" w:hAnsi="仿宋" w:eastAsia="仿宋" w:cstheme="minorBidi"/>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_Toc32744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_Toc19281 </w:instrText>
          </w:r>
          <w:r>
            <w:rPr>
              <w:rFonts w:ascii="仿宋" w:hAnsi="仿宋" w:eastAsia="仿宋" w:cstheme="minorBidi"/>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_Toc19281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_Toc16925 </w:instrText>
          </w:r>
          <w:r>
            <w:rPr>
              <w:rFonts w:ascii="仿宋" w:hAnsi="仿宋" w:eastAsia="仿宋" w:cstheme="minorBidi"/>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_Toc16925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_Toc9294 </w:instrText>
          </w:r>
          <w:r>
            <w:rPr>
              <w:rFonts w:ascii="仿宋" w:hAnsi="仿宋" w:eastAsia="仿宋" w:cstheme="minorBidi"/>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_Toc9294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_Toc29929 </w:instrText>
          </w:r>
          <w:r>
            <w:rPr>
              <w:rFonts w:ascii="仿宋" w:hAnsi="仿宋" w:eastAsia="仿宋" w:cstheme="minorBidi"/>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_Toc29929 </w:instrText>
          </w:r>
          <w:r>
            <w:fldChar w:fldCharType="separate"/>
          </w:r>
          <w:r>
            <w:t>39</w:t>
          </w:r>
          <w:r>
            <w:fldChar w:fldCharType="end"/>
          </w:r>
          <w:r>
            <w:rPr>
              <w:rFonts w:ascii="仿宋" w:hAnsi="仿宋" w:eastAsia="仿宋" w:cstheme="minorBidi"/>
            </w:rPr>
            <w:fldChar w:fldCharType="end"/>
          </w:r>
        </w:p>
        <w:p>
          <w:pPr>
            <w:pStyle w:val="34"/>
            <w:tabs>
              <w:tab w:val="right" w:leader="dot" w:pos="8306"/>
            </w:tabs>
          </w:pPr>
          <w:r>
            <w:rPr>
              <w:rFonts w:ascii="仿宋" w:hAnsi="仿宋" w:eastAsia="仿宋" w:cstheme="minorBidi"/>
            </w:rPr>
            <w:fldChar w:fldCharType="begin"/>
          </w:r>
          <w:r>
            <w:rPr>
              <w:rFonts w:ascii="仿宋" w:hAnsi="仿宋" w:eastAsia="仿宋" w:cstheme="minorBidi"/>
            </w:rPr>
            <w:instrText xml:space="preserve"> HYPERLINK \l _Toc31934 </w:instrText>
          </w:r>
          <w:r>
            <w:rPr>
              <w:rFonts w:ascii="仿宋" w:hAnsi="仿宋" w:eastAsia="仿宋" w:cstheme="minorBidi"/>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_Toc31934 </w:instrText>
          </w:r>
          <w:r>
            <w:fldChar w:fldCharType="separate"/>
          </w:r>
          <w:r>
            <w:t>39</w:t>
          </w:r>
          <w:r>
            <w:fldChar w:fldCharType="end"/>
          </w:r>
          <w:r>
            <w:rPr>
              <w:rFonts w:ascii="仿宋" w:hAnsi="仿宋" w:eastAsia="仿宋" w:cstheme="minorBidi"/>
            </w:rPr>
            <w:fldChar w:fldCharType="end"/>
          </w:r>
        </w:p>
        <w:p>
          <w:pPr>
            <w:pStyle w:val="13"/>
            <w:adjustRightInd w:val="0"/>
            <w:snapToGrid w:val="0"/>
            <w:spacing w:line="440" w:lineRule="exact"/>
            <w:jc w:val="left"/>
            <w:rPr>
              <w:rFonts w:ascii="仿宋" w:hAnsi="仿宋" w:eastAsia="仿宋" w:cstheme="minorBidi"/>
              <w:sz w:val="24"/>
            </w:rPr>
          </w:pPr>
          <w:r>
            <w:rPr>
              <w:rFonts w:ascii="仿宋" w:hAnsi="仿宋" w:eastAsia="仿宋" w:cstheme="minorBidi"/>
              <w:b/>
            </w:rPr>
            <w:fldChar w:fldCharType="end"/>
          </w:r>
        </w:p>
      </w:sdtContent>
    </w:sdt>
    <w:p>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pPr>
        <w:pStyle w:val="4"/>
        <w:jc w:val="center"/>
        <w:rPr>
          <w:rStyle w:val="27"/>
          <w:rFonts w:ascii="黑体" w:hAnsi="黑体" w:eastAsia="黑体"/>
          <w:b/>
          <w:bCs w:val="0"/>
        </w:rPr>
      </w:pPr>
      <w:bookmarkStart w:id="16" w:name="_Toc28847"/>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5"/>
        <w:rPr>
          <w:rStyle w:val="28"/>
          <w:rFonts w:ascii="仿宋" w:hAnsi="仿宋" w:eastAsia="仿宋"/>
          <w:b w:val="0"/>
          <w:bCs w:val="0"/>
        </w:rPr>
      </w:pPr>
      <w:bookmarkStart w:id="17" w:name="_Toc15377197"/>
      <w:bookmarkStart w:id="18" w:name="_Toc15396600"/>
      <w:bookmarkStart w:id="19" w:name="_Toc26148"/>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pStyle w:val="7"/>
        <w:adjustRightInd w:val="0"/>
        <w:snapToGrid w:val="0"/>
        <w:spacing w:before="93" w:line="600" w:lineRule="exact"/>
        <w:ind w:firstLine="672" w:firstLineChars="210"/>
        <w:outlineLvl w:val="2"/>
        <w:rPr>
          <w:rFonts w:hint="eastAsia" w:ascii="仿宋_GB2312" w:hAnsi="仿宋_GB2312" w:eastAsia="仿宋_GB2312" w:cs="仿宋_GB2312"/>
          <w:bCs/>
          <w:sz w:val="32"/>
          <w:szCs w:val="32"/>
        </w:rPr>
      </w:pPr>
      <w:bookmarkStart w:id="20" w:name="_Toc15377198"/>
      <w:bookmarkStart w:id="21" w:name="_Toc15378445"/>
      <w:r>
        <w:rPr>
          <w:rFonts w:hint="eastAsia" w:ascii="仿宋_GB2312" w:hAnsi="仿宋_GB2312" w:eastAsia="仿宋_GB2312" w:cs="仿宋_GB2312"/>
          <w:bCs/>
          <w:sz w:val="32"/>
          <w:szCs w:val="32"/>
        </w:rPr>
        <w:t>（一）主要职能。</w:t>
      </w:r>
      <w:bookmarkEnd w:id="20"/>
      <w:bookmarkEnd w:id="21"/>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15378446"/>
      <w:bookmarkStart w:id="23"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2"/>
      <w:bookmarkEnd w:id="23"/>
    </w:p>
    <w:p>
      <w:pPr>
        <w:keepNext w:val="0"/>
        <w:keepLines w:val="0"/>
        <w:pageBreakBefore w:val="0"/>
        <w:numPr>
          <w:ilvl w:val="0"/>
          <w:numId w:val="0"/>
        </w:numPr>
        <w:kinsoku/>
        <w:wordWrap/>
        <w:overflowPunct/>
        <w:topLinePunct w:val="0"/>
        <w:autoSpaceDE/>
        <w:autoSpaceDN/>
        <w:bidi w:val="0"/>
        <w:spacing w:line="576" w:lineRule="exact"/>
        <w:ind w:left="0" w:leftChars="0" w:right="0" w:rightChars="0" w:firstLine="640" w:firstLineChars="200"/>
        <w:textAlignment w:val="auto"/>
        <w:outlineLvl w:val="9"/>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2019年，查尔玛乡共有各类建设项目14个，总投资1539.03万元。</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1.查尔玛乡什布龙村牧业生产点道路建设项目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_GB2312" w:eastAsia="仿宋_GB2312"/>
          <w:color w:val="000000"/>
          <w:sz w:val="32"/>
          <w:szCs w:val="32"/>
          <w:lang w:val="en-US" w:eastAsia="zh-CN"/>
        </w:rPr>
        <w:t>脱贫攻坚涉农整合资金（第二批）投入资金40万元，完成查尔玛乡什布龙村牧业生产点道路建设5公里，该项目业主为县扶贫开发局。</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2.查尔玛乡动态调整建档立卡贫困人员到户产业项目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脱贫攻坚涉农整合资金（第一批）投入资金2.4万元，完成查尔玛乡4人发展到户产业项目，该项目业主为查尔玛乡人民政府。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3.红原县查尔玛乡查龙村排水沟等附属设施建设项目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脱贫攻坚涉农整合资金（第一批）投入资金10万元，完成查尔玛乡查龙村村内新建排水沟230米，涵洞1处及附属设施建设，该项目业主为查尔玛乡人民政府。</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红原县查尔玛乡2019年绵阳市对口援建生产点道路建设项目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default" w:ascii="仿宋_GB2312" w:eastAsia="仿宋_GB2312"/>
          <w:color w:val="000000"/>
          <w:sz w:val="32"/>
          <w:szCs w:val="32"/>
          <w:lang w:val="en-US" w:eastAsia="zh-CN"/>
        </w:rPr>
        <w:t>2019年绵阳援建项目建设资金</w:t>
      </w:r>
      <w:r>
        <w:rPr>
          <w:rFonts w:hint="eastAsia" w:ascii="仿宋_GB2312" w:eastAsia="仿宋_GB2312"/>
          <w:color w:val="000000"/>
          <w:sz w:val="32"/>
          <w:szCs w:val="32"/>
          <w:lang w:val="en-US" w:eastAsia="zh-CN"/>
        </w:rPr>
        <w:t>投入30万元，完成查尔玛乡什布龙村、查龙村共计5公里生产点道路建设。</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5.红原县查尔玛乡2019年绵阳市对口援建牲畜暖棚建设项目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default" w:ascii="仿宋_GB2312" w:eastAsia="仿宋_GB2312"/>
          <w:color w:val="000000"/>
          <w:sz w:val="32"/>
          <w:szCs w:val="32"/>
          <w:lang w:val="en-US" w:eastAsia="zh-CN"/>
        </w:rPr>
        <w:t>2019年绵阳援建项目建设资金</w:t>
      </w:r>
      <w:r>
        <w:rPr>
          <w:rFonts w:hint="eastAsia" w:ascii="仿宋_GB2312" w:eastAsia="仿宋_GB2312"/>
          <w:color w:val="000000"/>
          <w:sz w:val="32"/>
          <w:szCs w:val="32"/>
          <w:lang w:val="en-US" w:eastAsia="zh-CN"/>
        </w:rPr>
        <w:t>投入46万元，完成查尔玛乡查龙村牲畜暖棚建设10座。</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6.红原县查尔玛乡藏区新居建设项目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投入资金51万</w:t>
      </w:r>
      <w:r>
        <w:rPr>
          <w:rFonts w:hint="default" w:ascii="仿宋_GB2312" w:eastAsia="仿宋_GB2312"/>
          <w:color w:val="000000"/>
          <w:sz w:val="32"/>
          <w:szCs w:val="32"/>
          <w:lang w:val="en-US" w:eastAsia="zh-CN"/>
        </w:rPr>
        <w:t>新建藏区新居1</w:t>
      </w:r>
      <w:r>
        <w:rPr>
          <w:rFonts w:hint="eastAsia" w:ascii="仿宋_GB2312" w:eastAsia="仿宋_GB2312"/>
          <w:color w:val="000000"/>
          <w:sz w:val="32"/>
          <w:szCs w:val="32"/>
          <w:lang w:val="en-US" w:eastAsia="zh-CN"/>
        </w:rPr>
        <w:t>7</w:t>
      </w:r>
      <w:r>
        <w:rPr>
          <w:rFonts w:hint="default" w:ascii="仿宋_GB2312" w:eastAsia="仿宋_GB2312"/>
          <w:color w:val="000000"/>
          <w:sz w:val="32"/>
          <w:szCs w:val="32"/>
          <w:lang w:val="en-US" w:eastAsia="zh-CN"/>
        </w:rPr>
        <w:t>户</w:t>
      </w:r>
      <w:r>
        <w:rPr>
          <w:rFonts w:hint="eastAsia" w:ascii="仿宋_GB2312" w:eastAsia="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321" w:firstLineChars="1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7.红原县“十三五”易地扶贫搬迁结余资金建设项目</w:t>
      </w:r>
    </w:p>
    <w:p>
      <w:pPr>
        <w:spacing w:line="64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投资</w:t>
      </w:r>
      <w:r>
        <w:rPr>
          <w:rFonts w:hint="eastAsia" w:ascii="仿宋_GB2312" w:hAnsi="仿宋_GB2312" w:eastAsia="仿宋_GB2312" w:cs="仿宋_GB2312"/>
          <w:color w:val="000000"/>
          <w:sz w:val="32"/>
          <w:szCs w:val="32"/>
          <w:lang w:val="en-US" w:eastAsia="zh-CN"/>
        </w:rPr>
        <w:t>210万</w:t>
      </w:r>
      <w:r>
        <w:rPr>
          <w:rFonts w:hint="eastAsia" w:ascii="仿宋_GB2312" w:hAnsi="仿宋_GB2312" w:eastAsia="仿宋_GB2312" w:cs="仿宋_GB2312"/>
          <w:color w:val="000000"/>
          <w:sz w:val="32"/>
          <w:szCs w:val="32"/>
        </w:rPr>
        <w:t>元，新建板涵桥</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lang w:eastAsia="zh-CN"/>
        </w:rPr>
        <w:t>座，维修牧道</w:t>
      </w:r>
      <w:r>
        <w:rPr>
          <w:rFonts w:hint="eastAsia" w:ascii="仿宋_GB2312" w:hAnsi="仿宋_GB2312" w:eastAsia="仿宋_GB2312" w:cs="仿宋_GB2312"/>
          <w:color w:val="000000"/>
          <w:sz w:val="32"/>
          <w:szCs w:val="32"/>
          <w:lang w:val="en-US" w:eastAsia="zh-CN"/>
        </w:rPr>
        <w:t>50公里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8.红原县村级综合服务设施建设项目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投入资金270万元</w:t>
      </w:r>
      <w:r>
        <w:rPr>
          <w:rFonts w:hint="default" w:ascii="仿宋_GB2312" w:hAnsi="仿宋_GB2312" w:eastAsia="仿宋_GB2312" w:cs="仿宋_GB2312"/>
          <w:color w:val="000000"/>
          <w:sz w:val="32"/>
          <w:szCs w:val="32"/>
          <w:lang w:val="en-US" w:eastAsia="zh-CN"/>
        </w:rPr>
        <w:t>新建</w:t>
      </w:r>
      <w:r>
        <w:rPr>
          <w:rFonts w:hint="eastAsia" w:ascii="仿宋_GB2312" w:hAnsi="仿宋_GB2312" w:eastAsia="仿宋_GB2312" w:cs="仿宋_GB2312"/>
          <w:color w:val="000000"/>
          <w:sz w:val="32"/>
          <w:szCs w:val="32"/>
          <w:lang w:val="en-US" w:eastAsia="zh-CN"/>
        </w:rPr>
        <w:t>查尔玛乡</w:t>
      </w:r>
      <w:r>
        <w:rPr>
          <w:rFonts w:hint="default" w:ascii="仿宋_GB2312" w:hAnsi="仿宋_GB2312" w:eastAsia="仿宋_GB2312" w:cs="仿宋_GB2312"/>
          <w:color w:val="000000"/>
          <w:sz w:val="32"/>
          <w:szCs w:val="32"/>
          <w:lang w:val="en-US" w:eastAsia="zh-CN"/>
        </w:rPr>
        <w:t>室内篮球场1200㎡</w:t>
      </w:r>
      <w:r>
        <w:rPr>
          <w:rFonts w:hint="eastAsia" w:ascii="仿宋_GB2312" w:hAnsi="仿宋_GB2312" w:eastAsia="仿宋_GB2312" w:cs="仿宋_GB2312"/>
          <w:color w:val="000000"/>
          <w:sz w:val="32"/>
          <w:szCs w:val="32"/>
          <w:lang w:val="en-US" w:eastAsia="zh-CN"/>
        </w:rPr>
        <w:t>，该项目业主为县民政局。</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9.农村电网提升改造项目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由州国网电力公司投入资金350.63万元对农村老旧电网进行改造维修,新建10KV线路5.144KM，改造低压线路16.491KM，户表改造310户等。</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10.历年安全饮水工程缺口资金</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由县水务局投入资金177万元用于解决历年供水管网建设缺口资金等，资金来源为红原县2019年脱贫攻坚项目资金（第二批）。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11.太阳能路灯采购安装项目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由县民宗局投入资金10万元用于采购安装太阳能路灯40盏。资金来源为2019年民族事业发展资金。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12.查尔玛乡基础设施恢复建设项目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由县扶贫开发局投入资金180万元用于查尔玛乡基础设施排水沟及排涝设施建设维修5.5公里。资金来源为红原县2019年脱贫攻坚项目资金（第三批）。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13.</w:t>
      </w:r>
      <w:r>
        <w:rPr>
          <w:rFonts w:hint="default" w:ascii="仿宋" w:hAnsi="仿宋" w:eastAsia="仿宋" w:cs="仿宋"/>
          <w:b/>
          <w:bCs/>
          <w:sz w:val="32"/>
          <w:szCs w:val="32"/>
          <w:lang w:val="en-US" w:eastAsia="zh-CN"/>
        </w:rPr>
        <w:t>红原县查尔玛乡2018年基础设施牧道维修及板涵桥建设项目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投入资金150万，完成查尔玛乡</w:t>
      </w:r>
      <w:r>
        <w:rPr>
          <w:rFonts w:hint="default" w:ascii="仿宋_GB2312" w:hAnsi="仿宋_GB2312" w:eastAsia="仿宋_GB2312" w:cs="仿宋_GB2312"/>
          <w:color w:val="000000"/>
          <w:sz w:val="32"/>
          <w:szCs w:val="32"/>
          <w:lang w:val="en-US" w:eastAsia="zh-CN"/>
        </w:rPr>
        <w:t>维修牧道35公里</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新建板涵桥8座</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14.查尔玛乡村级保障性住房建设项目</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由县扶贫开发局投入资金12万元完成查尔玛乡达尔龙村新建村级保障性住房3套，每套25㎡。资金来源为红原县2019年脱贫攻坚项目资金（第二批）。</w:t>
      </w:r>
    </w:p>
    <w:p>
      <w:pPr>
        <w:pStyle w:val="5"/>
        <w:rPr>
          <w:rStyle w:val="28"/>
          <w:b w:val="0"/>
          <w:bCs w:val="0"/>
        </w:rPr>
      </w:pPr>
      <w:bookmarkStart w:id="24" w:name="_Toc15396601"/>
      <w:bookmarkStart w:id="25" w:name="_Toc26390"/>
      <w:bookmarkStart w:id="26"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查尔玛乡人民政府下属二级单位2个，其中行政单位1个，参照公务员法管理的事业单位1个，其他事业单位0个。</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纳入查尔玛乡人民政府2019年度部门决算编制范围的二级预算单位包括：</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中共红原县查尔玛乡委员会</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红原县查尔玛乡人民政府</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7"/>
          <w:rFonts w:ascii="黑体" w:hAnsi="黑体" w:eastAsia="黑体"/>
          <w:b w:val="0"/>
          <w:bCs w:val="0"/>
        </w:rPr>
      </w:pPr>
      <w:bookmarkStart w:id="27" w:name="_Toc24131"/>
      <w:bookmarkStart w:id="28" w:name="_Toc15396602"/>
      <w:bookmarkStart w:id="2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7"/>
      <w:bookmarkEnd w:id="28"/>
      <w:bookmarkEnd w:id="29"/>
    </w:p>
    <w:p/>
    <w:p>
      <w:pPr>
        <w:pStyle w:val="26"/>
        <w:numPr>
          <w:ilvl w:val="0"/>
          <w:numId w:val="1"/>
        </w:numPr>
        <w:spacing w:line="600" w:lineRule="exact"/>
        <w:ind w:firstLineChars="0"/>
        <w:outlineLvl w:val="1"/>
        <w:rPr>
          <w:rStyle w:val="28"/>
          <w:rFonts w:ascii="黑体" w:hAnsi="黑体" w:eastAsia="黑体"/>
          <w:b w:val="0"/>
        </w:rPr>
      </w:pPr>
      <w:bookmarkStart w:id="30" w:name="_Toc15396603"/>
      <w:bookmarkStart w:id="31" w:name="_Toc15377205"/>
      <w:bookmarkStart w:id="32" w:name="_Toc28896"/>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0"/>
      <w:bookmarkEnd w:id="31"/>
      <w:bookmarkEnd w:id="32"/>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2019年度收总计683.57，支总计980.07万元。与2018年相比，收总计减少253.98万元、下降27%。支总计增加90.54万元、增长10%。主要变动原因是项目增多。</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（图1：收、支决算总计变动情况图）（柱状图）</w:t>
      </w:r>
    </w:p>
    <w:p>
      <w:pPr>
        <w:pStyle w:val="2"/>
        <w:ind w:left="0" w:leftChars="0" w:firstLine="0" w:firstLineChars="0"/>
        <w:jc w:val="center"/>
      </w:pPr>
      <w:r>
        <w:rPr>
          <w:rFonts w:hint="eastAsia" w:eastAsia="仿宋"/>
          <w:lang w:eastAsia="zh-CN"/>
        </w:rPr>
        <w:drawing>
          <wp:inline distT="0" distB="0" distL="114300" distR="114300">
            <wp:extent cx="4613910" cy="2799080"/>
            <wp:effectExtent l="4445" t="4445" r="10795" b="1587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6"/>
        <w:numPr>
          <w:ilvl w:val="0"/>
          <w:numId w:val="1"/>
        </w:numPr>
        <w:spacing w:line="600" w:lineRule="exact"/>
        <w:ind w:firstLineChars="0"/>
        <w:outlineLvl w:val="1"/>
        <w:rPr>
          <w:rStyle w:val="28"/>
          <w:rFonts w:ascii="黑体" w:hAnsi="黑体" w:eastAsia="黑体"/>
          <w:b w:val="0"/>
        </w:rPr>
      </w:pPr>
      <w:bookmarkStart w:id="33" w:name="_Toc24075"/>
      <w:bookmarkStart w:id="34" w:name="_Toc15396604"/>
      <w:bookmarkStart w:id="3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3"/>
      <w:bookmarkEnd w:id="34"/>
      <w:bookmarkEnd w:id="35"/>
    </w:p>
    <w:p>
      <w:pPr>
        <w:spacing w:line="640" w:lineRule="exact"/>
        <w:ind w:firstLine="640" w:firstLineChars="200"/>
        <w:rPr>
          <w:rFonts w:hint="eastAsia" w:ascii="仿宋_GB2312" w:hAnsi="仿宋_GB2312" w:eastAsia="仿宋_GB2312" w:cs="仿宋_GB2312"/>
          <w:color w:val="000000"/>
          <w:sz w:val="32"/>
          <w:szCs w:val="32"/>
          <w:lang w:val="en-US" w:eastAsia="zh-CN"/>
        </w:rPr>
      </w:pPr>
      <w:bookmarkStart w:id="36" w:name="_Toc16180"/>
      <w:r>
        <w:rPr>
          <w:rFonts w:hint="eastAsia" w:ascii="仿宋_GB2312" w:hAnsi="仿宋_GB2312" w:eastAsia="仿宋_GB2312" w:cs="仿宋_GB2312"/>
          <w:color w:val="000000"/>
          <w:sz w:val="32"/>
          <w:szCs w:val="32"/>
          <w:lang w:val="en-US" w:eastAsia="zh-CN"/>
        </w:rPr>
        <w:t>2019年本年收入合计683.57万元，其中：一般公共预算财政拨款收入683.57万元，占100%；政府性基金预算财政拨款收入0万元，占0%；上级补助收入0万元，占0%；事业收入0万元，占0%；经营收入0万元，占00%；附属单位上缴收入0万元，占0%；其他收入0万元，占0%。</w:t>
      </w:r>
      <w:bookmarkEnd w:id="36"/>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（图2：收入决算结构图）（饼状图）</w:t>
      </w:r>
    </w:p>
    <w:p>
      <w:pPr>
        <w:pStyle w:val="2"/>
        <w:ind w:left="0" w:leftChars="0" w:firstLine="0" w:firstLineChars="0"/>
        <w:jc w:val="center"/>
        <w:rPr>
          <w:rFonts w:ascii="仿宋_GB2312" w:eastAsia="仿宋_GB2312"/>
          <w:color w:val="FF0000"/>
          <w:sz w:val="32"/>
          <w:szCs w:val="32"/>
        </w:rPr>
      </w:pPr>
      <w:r>
        <w:rPr>
          <w:rFonts w:hint="eastAsia" w:eastAsia="仿宋"/>
          <w:lang w:eastAsia="zh-CN"/>
        </w:rPr>
        <w:drawing>
          <wp:inline distT="0" distB="0" distL="114300" distR="114300">
            <wp:extent cx="4218940" cy="2580005"/>
            <wp:effectExtent l="4445" t="5080" r="571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6"/>
        <w:numPr>
          <w:ilvl w:val="0"/>
          <w:numId w:val="1"/>
        </w:numPr>
        <w:spacing w:line="600" w:lineRule="exact"/>
        <w:ind w:firstLineChars="0"/>
        <w:outlineLvl w:val="1"/>
        <w:rPr>
          <w:rStyle w:val="28"/>
          <w:rFonts w:ascii="黑体" w:hAnsi="黑体" w:eastAsia="黑体"/>
          <w:b w:val="0"/>
        </w:rPr>
      </w:pPr>
      <w:bookmarkStart w:id="37" w:name="_Toc6828"/>
      <w:bookmarkStart w:id="38" w:name="_Toc15377207"/>
      <w:bookmarkStart w:id="3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37"/>
      <w:bookmarkEnd w:id="38"/>
      <w:bookmarkEnd w:id="39"/>
    </w:p>
    <w:p>
      <w:pPr>
        <w:spacing w:line="640" w:lineRule="exact"/>
        <w:ind w:firstLine="640" w:firstLineChars="200"/>
        <w:rPr>
          <w:rFonts w:hint="eastAsia" w:ascii="仿宋_GB2312" w:hAnsi="仿宋_GB2312" w:eastAsia="仿宋_GB2312" w:cs="仿宋_GB2312"/>
          <w:color w:val="000000"/>
          <w:sz w:val="32"/>
          <w:szCs w:val="32"/>
          <w:lang w:val="en-US" w:eastAsia="zh-CN"/>
        </w:rPr>
      </w:pPr>
      <w:bookmarkStart w:id="40" w:name="_Toc24729"/>
      <w:r>
        <w:rPr>
          <w:rFonts w:hint="eastAsia" w:ascii="仿宋_GB2312" w:hAnsi="仿宋_GB2312" w:eastAsia="仿宋_GB2312" w:cs="仿宋_GB2312"/>
          <w:color w:val="000000"/>
          <w:sz w:val="32"/>
          <w:szCs w:val="32"/>
          <w:lang w:val="en-US" w:eastAsia="zh-CN"/>
        </w:rPr>
        <w:t>2019年本年支出合计980.07万元，其中：基本支出543.47万元，占55%；项目支出436.6万元，占45%；上缴上级支出0万元，占0%；经营支出0万元，占0%；对附属单位补助支出0万元，占0%。</w:t>
      </w:r>
      <w:bookmarkEnd w:id="40"/>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（图3：支出决算结构图）（饼状图）</w:t>
      </w:r>
    </w:p>
    <w:p>
      <w:pPr>
        <w:pStyle w:val="2"/>
        <w:ind w:left="0" w:leftChars="0" w:firstLine="0" w:firstLineChars="0"/>
        <w:jc w:val="center"/>
      </w:pPr>
      <w:r>
        <w:rPr>
          <w:rFonts w:hint="eastAsia" w:eastAsia="仿宋"/>
          <w:lang w:eastAsia="zh-CN"/>
        </w:rPr>
        <w:drawing>
          <wp:inline distT="0" distB="0" distL="114300" distR="114300">
            <wp:extent cx="4220210" cy="2497455"/>
            <wp:effectExtent l="4445" t="4445" r="23495" b="1270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8"/>
          <w:rFonts w:ascii="黑体" w:hAnsi="黑体" w:eastAsia="黑体"/>
          <w:b w:val="0"/>
        </w:rPr>
      </w:pPr>
      <w:bookmarkStart w:id="41" w:name="_Toc17985"/>
      <w:bookmarkStart w:id="42" w:name="_Toc15377208"/>
      <w:bookmarkStart w:id="43"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1"/>
      <w:bookmarkEnd w:id="42"/>
      <w:bookmarkEnd w:id="43"/>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2019年财政拨款收入总计683.57万元,支总计980.07万元。与2018年相比，收入总计减少253.98万元、下降27%。支出总计增加90.53万元、增长10%，原因是项目增多。</w:t>
      </w:r>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（图4：财政拨款收、支决算总计变动情况）（柱状图）</w:t>
      </w:r>
    </w:p>
    <w:p>
      <w:pPr>
        <w:pStyle w:val="2"/>
        <w:jc w:val="center"/>
      </w:pPr>
      <w:r>
        <w:rPr>
          <w:rFonts w:hint="eastAsia" w:eastAsia="仿宋"/>
          <w:lang w:eastAsia="zh-CN"/>
        </w:rPr>
        <w:drawing>
          <wp:inline distT="0" distB="0" distL="114300" distR="114300">
            <wp:extent cx="4292600" cy="2217420"/>
            <wp:effectExtent l="5080" t="4445" r="7620" b="698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8"/>
          <w:rFonts w:ascii="黑体" w:hAnsi="黑体" w:eastAsia="黑体"/>
          <w:b w:val="0"/>
        </w:rPr>
      </w:pPr>
      <w:bookmarkStart w:id="44" w:name="_Toc15377209"/>
      <w:bookmarkStart w:id="45" w:name="_Toc15396607"/>
      <w:bookmarkStart w:id="46" w:name="_Toc2807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4"/>
      <w:bookmarkEnd w:id="45"/>
      <w:bookmarkEnd w:id="46"/>
    </w:p>
    <w:p>
      <w:pPr>
        <w:spacing w:line="600" w:lineRule="exact"/>
        <w:ind w:firstLine="640"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4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一般公共预算财政拨款支出980.07万元，占本年支出合计的100%。与2018年相比，一般公共预算财政拨款支出增加90.54万元，增长10%，主要变动原因是项目增加。（图5：一般公共预算财政拨款支出决算变动情况）（柱状图）</w:t>
      </w:r>
    </w:p>
    <w:p>
      <w:pPr>
        <w:pStyle w:val="2"/>
        <w:jc w:val="center"/>
      </w:pPr>
      <w:r>
        <w:rPr>
          <w:rFonts w:hint="eastAsia" w:eastAsia="仿宋"/>
          <w:lang w:eastAsia="zh-CN"/>
        </w:rPr>
        <w:drawing>
          <wp:inline distT="0" distB="0" distL="114300" distR="114300">
            <wp:extent cx="4244340" cy="1976120"/>
            <wp:effectExtent l="4445" t="4445" r="18415" b="1968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56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2019年一般公共预算财政拨款支出980.07万元，主要用于以下方面:</w:t>
      </w:r>
      <w:r>
        <w:rPr>
          <w:rFonts w:hint="eastAsia" w:ascii="仿宋_GB2312" w:hAnsi="仿宋_GB2312" w:eastAsia="仿宋_GB2312" w:cs="仿宋_GB2312"/>
          <w:b/>
          <w:bCs/>
          <w:color w:val="000000"/>
          <w:sz w:val="32"/>
          <w:szCs w:val="32"/>
          <w:lang w:val="en-US" w:eastAsia="zh-CN"/>
        </w:rPr>
        <w:t>一般公共服务</w:t>
      </w:r>
      <w:r>
        <w:rPr>
          <w:rFonts w:hint="eastAsia" w:ascii="仿宋_GB2312" w:hAnsi="仿宋_GB2312" w:eastAsia="仿宋_GB2312" w:cs="仿宋_GB2312"/>
          <w:color w:val="000000"/>
          <w:sz w:val="32"/>
          <w:szCs w:val="32"/>
          <w:lang w:val="en-US" w:eastAsia="zh-CN"/>
        </w:rPr>
        <w:t>支出428.56万元，占43.7%；</w:t>
      </w:r>
      <w:r>
        <w:rPr>
          <w:rFonts w:hint="eastAsia" w:ascii="仿宋_GB2312" w:hAnsi="仿宋_GB2312" w:eastAsia="仿宋_GB2312" w:cs="仿宋_GB2312"/>
          <w:b/>
          <w:bCs/>
          <w:color w:val="000000"/>
          <w:sz w:val="32"/>
          <w:szCs w:val="32"/>
          <w:lang w:val="en-US" w:eastAsia="zh-CN"/>
        </w:rPr>
        <w:t xml:space="preserve"> 社会保障和就业</w:t>
      </w:r>
      <w:r>
        <w:rPr>
          <w:rFonts w:hint="eastAsia" w:ascii="仿宋_GB2312" w:hAnsi="仿宋_GB2312" w:eastAsia="仿宋_GB2312" w:cs="仿宋_GB2312"/>
          <w:color w:val="000000"/>
          <w:sz w:val="32"/>
          <w:szCs w:val="32"/>
          <w:lang w:val="en-US" w:eastAsia="zh-CN"/>
        </w:rPr>
        <w:t>支出157.24万元，占16%；</w:t>
      </w:r>
      <w:r>
        <w:rPr>
          <w:rFonts w:hint="eastAsia" w:ascii="仿宋_GB2312" w:hAnsi="仿宋_GB2312" w:eastAsia="仿宋_GB2312" w:cs="仿宋_GB2312"/>
          <w:b/>
          <w:bCs/>
          <w:color w:val="000000"/>
          <w:sz w:val="32"/>
          <w:szCs w:val="32"/>
          <w:lang w:val="en-US" w:eastAsia="zh-CN"/>
        </w:rPr>
        <w:t>医疗卫生</w:t>
      </w:r>
      <w:r>
        <w:rPr>
          <w:rFonts w:hint="eastAsia" w:ascii="仿宋_GB2312" w:hAnsi="仿宋_GB2312" w:eastAsia="仿宋_GB2312" w:cs="仿宋_GB2312"/>
          <w:color w:val="000000"/>
          <w:sz w:val="32"/>
          <w:szCs w:val="32"/>
          <w:lang w:val="en-US" w:eastAsia="zh-CN"/>
        </w:rPr>
        <w:t>支出27.51万元，占2.8%；</w:t>
      </w:r>
      <w:r>
        <w:rPr>
          <w:rFonts w:hint="eastAsia" w:ascii="仿宋_GB2312" w:hAnsi="仿宋_GB2312" w:eastAsia="仿宋_GB2312" w:cs="仿宋_GB2312"/>
          <w:b/>
          <w:bCs/>
          <w:color w:val="000000"/>
          <w:sz w:val="32"/>
          <w:szCs w:val="32"/>
          <w:lang w:val="en-US" w:eastAsia="zh-CN"/>
        </w:rPr>
        <w:t>住房保障</w:t>
      </w:r>
      <w:r>
        <w:rPr>
          <w:rFonts w:hint="eastAsia" w:ascii="仿宋_GB2312" w:hAnsi="仿宋_GB2312" w:eastAsia="仿宋_GB2312" w:cs="仿宋_GB2312"/>
          <w:color w:val="000000"/>
          <w:sz w:val="32"/>
          <w:szCs w:val="32"/>
          <w:lang w:val="en-US" w:eastAsia="zh-CN"/>
        </w:rPr>
        <w:t>支出59.22万元，占6%；</w:t>
      </w:r>
      <w:r>
        <w:rPr>
          <w:rFonts w:hint="eastAsia" w:ascii="仿宋_GB2312" w:hAnsi="仿宋_GB2312" w:eastAsia="仿宋_GB2312" w:cs="仿宋_GB2312"/>
          <w:b/>
          <w:bCs/>
          <w:color w:val="000000"/>
          <w:sz w:val="32"/>
          <w:szCs w:val="32"/>
          <w:lang w:val="en-US" w:eastAsia="zh-CN"/>
        </w:rPr>
        <w:t>文化旅游体育与传媒</w:t>
      </w:r>
      <w:r>
        <w:rPr>
          <w:rFonts w:hint="eastAsia" w:ascii="仿宋_GB2312" w:hAnsi="仿宋_GB2312" w:eastAsia="仿宋_GB2312" w:cs="仿宋_GB2312"/>
          <w:color w:val="000000"/>
          <w:sz w:val="32"/>
          <w:szCs w:val="32"/>
          <w:lang w:val="en-US" w:eastAsia="zh-CN"/>
        </w:rPr>
        <w:t>支出：4.41万元，占0.45%；</w:t>
      </w:r>
      <w:r>
        <w:rPr>
          <w:rFonts w:hint="eastAsia" w:ascii="仿宋_GB2312" w:hAnsi="仿宋_GB2312" w:eastAsia="仿宋_GB2312" w:cs="仿宋_GB2312"/>
          <w:b/>
          <w:bCs/>
          <w:color w:val="000000"/>
          <w:sz w:val="32"/>
          <w:szCs w:val="32"/>
          <w:lang w:val="en-US" w:eastAsia="zh-CN"/>
        </w:rPr>
        <w:t>农林水</w:t>
      </w:r>
      <w:r>
        <w:rPr>
          <w:rFonts w:hint="eastAsia" w:ascii="仿宋_GB2312" w:hAnsi="仿宋_GB2312" w:eastAsia="仿宋_GB2312" w:cs="仿宋_GB2312"/>
          <w:color w:val="000000"/>
          <w:sz w:val="32"/>
          <w:szCs w:val="32"/>
          <w:lang w:val="en-US" w:eastAsia="zh-CN"/>
        </w:rPr>
        <w:t>支出288.26万元，占29%；</w:t>
      </w:r>
      <w:r>
        <w:rPr>
          <w:rFonts w:hint="eastAsia" w:ascii="仿宋_GB2312" w:hAnsi="仿宋_GB2312" w:eastAsia="仿宋_GB2312" w:cs="仿宋_GB2312"/>
          <w:b/>
          <w:bCs/>
          <w:color w:val="000000"/>
          <w:sz w:val="32"/>
          <w:szCs w:val="32"/>
          <w:lang w:val="en-US" w:eastAsia="zh-CN"/>
        </w:rPr>
        <w:t>其他</w:t>
      </w:r>
      <w:r>
        <w:rPr>
          <w:rFonts w:hint="eastAsia" w:ascii="仿宋_GB2312" w:hAnsi="仿宋_GB2312" w:eastAsia="仿宋_GB2312" w:cs="仿宋_GB2312"/>
          <w:color w:val="000000"/>
          <w:sz w:val="32"/>
          <w:szCs w:val="32"/>
          <w:lang w:val="en-US" w:eastAsia="zh-CN"/>
        </w:rPr>
        <w:t>支出：14.85万元，占1.5%</w:t>
      </w:r>
    </w:p>
    <w:p>
      <w:pPr>
        <w:spacing w:line="560" w:lineRule="exact"/>
        <w:ind w:firstLine="640"/>
        <w:rPr>
          <w:rFonts w:hint="eastAsia" w:ascii="仿宋_GB2312" w:hAnsi="仿宋_GB2312" w:eastAsia="仿宋_GB2312" w:cs="仿宋_GB2312"/>
          <w:color w:val="000000"/>
          <w:sz w:val="32"/>
          <w:szCs w:val="32"/>
          <w:lang w:val="en-US" w:eastAsia="zh-CN"/>
        </w:rPr>
      </w:pPr>
    </w:p>
    <w:p>
      <w:pPr>
        <w:spacing w:line="56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（图6：一般公共预算财政拨款支出决算结构）（饼状图）</w:t>
      </w:r>
    </w:p>
    <w:p>
      <w:pPr>
        <w:pStyle w:val="2"/>
        <w:jc w:val="center"/>
      </w:pPr>
      <w:r>
        <w:rPr>
          <w:rFonts w:hint="eastAsia" w:eastAsia="仿宋"/>
          <w:lang w:eastAsia="zh-CN"/>
        </w:rPr>
        <w:drawing>
          <wp:inline distT="0" distB="0" distL="114300" distR="114300">
            <wp:extent cx="3890010" cy="2410460"/>
            <wp:effectExtent l="5080" t="5080" r="10160" b="2286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2019年一般公共预算支出决算数为980.07，完成预算88%。其中：</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b/>
          <w:bCs/>
          <w:color w:val="000000"/>
          <w:sz w:val="32"/>
          <w:szCs w:val="32"/>
          <w:lang w:val="en-US" w:eastAsia="zh-CN"/>
        </w:rPr>
        <w:t>一般公共服务201:</w:t>
      </w:r>
      <w:r>
        <w:rPr>
          <w:rFonts w:hint="eastAsia" w:ascii="仿宋_GB2312" w:hAnsi="仿宋_GB2312" w:eastAsia="仿宋_GB2312" w:cs="仿宋_GB2312"/>
          <w:color w:val="000000"/>
          <w:sz w:val="32"/>
          <w:szCs w:val="32"/>
          <w:lang w:val="en-US" w:eastAsia="zh-CN"/>
        </w:rPr>
        <w:t xml:space="preserve"> 支出决算为428.56万元，完成预算100%，决算数与预算数持平。</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b/>
          <w:bCs/>
          <w:color w:val="000000"/>
          <w:sz w:val="32"/>
          <w:szCs w:val="32"/>
          <w:lang w:val="en-US" w:eastAsia="zh-CN"/>
        </w:rPr>
        <w:t>人大事务20101：</w:t>
      </w:r>
      <w:r>
        <w:rPr>
          <w:rFonts w:hint="eastAsia" w:ascii="仿宋_GB2312" w:hAnsi="仿宋_GB2312" w:eastAsia="仿宋_GB2312" w:cs="仿宋_GB2312"/>
          <w:color w:val="000000"/>
          <w:sz w:val="32"/>
          <w:szCs w:val="32"/>
          <w:lang w:val="en-US" w:eastAsia="zh-CN"/>
        </w:rPr>
        <w:t>支出决算为19.04万元，完成预算100%。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b/>
          <w:bCs/>
          <w:color w:val="000000"/>
          <w:sz w:val="32"/>
          <w:szCs w:val="32"/>
          <w:lang w:val="en-US" w:eastAsia="zh-CN"/>
        </w:rPr>
        <w:t>行政运行2010101：</w:t>
      </w:r>
      <w:r>
        <w:rPr>
          <w:rFonts w:hint="eastAsia" w:ascii="仿宋_GB2312" w:hAnsi="仿宋_GB2312" w:eastAsia="仿宋_GB2312" w:cs="仿宋_GB2312"/>
          <w:color w:val="000000"/>
          <w:sz w:val="32"/>
          <w:szCs w:val="32"/>
          <w:lang w:val="en-US" w:eastAsia="zh-CN"/>
        </w:rPr>
        <w:t>支出决算为19.04万元，完成预算100%。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b/>
          <w:bCs/>
          <w:color w:val="000000"/>
          <w:sz w:val="32"/>
          <w:szCs w:val="32"/>
          <w:lang w:val="en-US" w:eastAsia="zh-CN"/>
        </w:rPr>
        <w:t>政府办公厅（室）及相关机构事务20103：</w:t>
      </w:r>
      <w:r>
        <w:rPr>
          <w:rFonts w:hint="eastAsia" w:ascii="仿宋_GB2312" w:hAnsi="仿宋_GB2312" w:eastAsia="仿宋_GB2312" w:cs="仿宋_GB2312"/>
          <w:color w:val="000000"/>
          <w:sz w:val="32"/>
          <w:szCs w:val="32"/>
          <w:lang w:val="en-US" w:eastAsia="zh-CN"/>
        </w:rPr>
        <w:t>支出决算为366.27万元，完成预算100%。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b/>
          <w:bCs/>
          <w:color w:val="000000"/>
          <w:sz w:val="32"/>
          <w:szCs w:val="32"/>
          <w:lang w:val="en-US" w:eastAsia="zh-CN"/>
        </w:rPr>
        <w:t>行政运行2010301：</w:t>
      </w:r>
      <w:r>
        <w:rPr>
          <w:rFonts w:hint="eastAsia" w:ascii="仿宋_GB2312" w:hAnsi="仿宋_GB2312" w:eastAsia="仿宋_GB2312" w:cs="仿宋_GB2312"/>
          <w:color w:val="000000"/>
          <w:sz w:val="32"/>
          <w:szCs w:val="32"/>
          <w:lang w:val="en-US" w:eastAsia="zh-CN"/>
        </w:rPr>
        <w:t>支出决算为271.13万元，完成预算100%。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b/>
          <w:bCs/>
          <w:color w:val="000000"/>
          <w:sz w:val="32"/>
          <w:szCs w:val="32"/>
          <w:lang w:val="en-US" w:eastAsia="zh-CN"/>
        </w:rPr>
        <w:t>一般行政管理事务2010302：</w:t>
      </w:r>
      <w:r>
        <w:rPr>
          <w:rFonts w:hint="eastAsia" w:ascii="仿宋_GB2312" w:hAnsi="仿宋_GB2312" w:eastAsia="仿宋_GB2312" w:cs="仿宋_GB2312"/>
          <w:color w:val="000000"/>
          <w:sz w:val="32"/>
          <w:szCs w:val="32"/>
          <w:lang w:val="en-US" w:eastAsia="zh-CN"/>
        </w:rPr>
        <w:t>支出决算为8.16万元，完成预算100%。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b/>
          <w:bCs/>
          <w:color w:val="000000"/>
          <w:sz w:val="32"/>
          <w:szCs w:val="32"/>
          <w:lang w:val="en-US" w:eastAsia="zh-CN"/>
        </w:rPr>
        <w:t>财政事务20106：</w:t>
      </w:r>
      <w:r>
        <w:rPr>
          <w:rFonts w:hint="eastAsia" w:ascii="仿宋_GB2312" w:hAnsi="仿宋_GB2312" w:eastAsia="仿宋_GB2312" w:cs="仿宋_GB2312"/>
          <w:color w:val="000000"/>
          <w:sz w:val="32"/>
          <w:szCs w:val="32"/>
          <w:lang w:val="en-US" w:eastAsia="zh-CN"/>
        </w:rPr>
        <w:t>支出决算为16.68万元，完成预算100%。</w:t>
      </w:r>
    </w:p>
    <w:p>
      <w:pPr>
        <w:spacing w:line="60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b/>
          <w:bCs/>
          <w:color w:val="000000"/>
          <w:sz w:val="32"/>
          <w:szCs w:val="32"/>
          <w:lang w:val="en-US" w:eastAsia="zh-CN"/>
        </w:rPr>
        <w:t>群众团体事务20129：</w:t>
      </w:r>
      <w:r>
        <w:rPr>
          <w:rFonts w:hint="eastAsia" w:ascii="仿宋_GB2312" w:hAnsi="仿宋_GB2312" w:eastAsia="仿宋_GB2312" w:cs="仿宋_GB2312"/>
          <w:color w:val="000000"/>
          <w:sz w:val="32"/>
          <w:szCs w:val="32"/>
          <w:lang w:val="en-US" w:eastAsia="zh-CN"/>
        </w:rPr>
        <w:t>支出决算为3万元。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b/>
          <w:bCs/>
          <w:color w:val="000000"/>
          <w:sz w:val="32"/>
          <w:szCs w:val="32"/>
          <w:lang w:val="en-US" w:eastAsia="zh-CN"/>
        </w:rPr>
        <w:t>党委办公厅（室）及相关机构事务20131：</w:t>
      </w:r>
      <w:r>
        <w:rPr>
          <w:rFonts w:hint="eastAsia" w:ascii="仿宋_GB2312" w:hAnsi="仿宋_GB2312" w:eastAsia="仿宋_GB2312" w:cs="仿宋_GB2312"/>
          <w:color w:val="000000"/>
          <w:sz w:val="32"/>
          <w:szCs w:val="32"/>
          <w:lang w:val="en-US" w:eastAsia="zh-CN"/>
        </w:rPr>
        <w:t>支出决算为23.57万元，完成预算100%。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b/>
          <w:bCs/>
          <w:color w:val="000000"/>
          <w:sz w:val="32"/>
          <w:szCs w:val="32"/>
          <w:lang w:val="en-US" w:eastAsia="zh-CN"/>
        </w:rPr>
        <w:t>文化体育与传媒207:</w:t>
      </w:r>
      <w:r>
        <w:rPr>
          <w:rFonts w:hint="eastAsia" w:ascii="仿宋_GB2312" w:hAnsi="仿宋_GB2312" w:eastAsia="仿宋_GB2312" w:cs="仿宋_GB2312"/>
          <w:color w:val="000000"/>
          <w:sz w:val="32"/>
          <w:szCs w:val="32"/>
          <w:lang w:val="en-US" w:eastAsia="zh-CN"/>
        </w:rPr>
        <w:t xml:space="preserve"> 支出决算为4.41万元，完成预算100%。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b/>
          <w:bCs/>
          <w:color w:val="000000"/>
          <w:sz w:val="32"/>
          <w:szCs w:val="32"/>
          <w:lang w:val="en-US" w:eastAsia="zh-CN"/>
        </w:rPr>
        <w:t>其他文化支出2070199：</w:t>
      </w:r>
      <w:r>
        <w:rPr>
          <w:rFonts w:hint="eastAsia" w:ascii="仿宋_GB2312" w:hAnsi="仿宋_GB2312" w:eastAsia="仿宋_GB2312" w:cs="仿宋_GB2312"/>
          <w:color w:val="000000"/>
          <w:sz w:val="32"/>
          <w:szCs w:val="32"/>
          <w:lang w:val="en-US" w:eastAsia="zh-CN"/>
        </w:rPr>
        <w:t>支出决算为3.55万元，完成预算100%。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b/>
          <w:bCs/>
          <w:color w:val="000000"/>
          <w:sz w:val="32"/>
          <w:szCs w:val="32"/>
          <w:lang w:val="en-US" w:eastAsia="zh-CN"/>
        </w:rPr>
        <w:t>社会保障和就业208:</w:t>
      </w:r>
      <w:r>
        <w:rPr>
          <w:rFonts w:hint="eastAsia" w:ascii="仿宋_GB2312" w:hAnsi="仿宋_GB2312" w:eastAsia="仿宋_GB2312" w:cs="仿宋_GB2312"/>
          <w:color w:val="000000"/>
          <w:sz w:val="32"/>
          <w:szCs w:val="32"/>
          <w:lang w:val="en-US" w:eastAsia="zh-CN"/>
        </w:rPr>
        <w:t xml:space="preserve"> 支出决算为157.24万元，完成预算84%，决算数小于预算数，主要原因是有经费结余。</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b/>
          <w:bCs/>
          <w:color w:val="000000"/>
          <w:sz w:val="32"/>
          <w:szCs w:val="32"/>
          <w:lang w:val="en-US" w:eastAsia="zh-CN"/>
        </w:rPr>
        <w:t>基层政权和社区建设2080208：</w:t>
      </w:r>
      <w:r>
        <w:rPr>
          <w:rFonts w:hint="eastAsia" w:ascii="仿宋_GB2312" w:hAnsi="仿宋_GB2312" w:eastAsia="仿宋_GB2312" w:cs="仿宋_GB2312"/>
          <w:color w:val="000000"/>
          <w:sz w:val="32"/>
          <w:szCs w:val="32"/>
          <w:lang w:val="en-US" w:eastAsia="zh-CN"/>
        </w:rPr>
        <w:t>支出决算为97.37万元，完成预算60.5%，决算数小于预算数，主要原因是有经费结余。</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b/>
          <w:bCs/>
          <w:color w:val="000000"/>
          <w:sz w:val="32"/>
          <w:szCs w:val="32"/>
          <w:lang w:val="en-US" w:eastAsia="zh-CN"/>
        </w:rPr>
        <w:t>行政事业单位离退休20805：</w:t>
      </w:r>
      <w:r>
        <w:rPr>
          <w:rFonts w:hint="eastAsia" w:ascii="仿宋_GB2312" w:hAnsi="仿宋_GB2312" w:eastAsia="仿宋_GB2312" w:cs="仿宋_GB2312"/>
          <w:color w:val="000000"/>
          <w:sz w:val="32"/>
          <w:szCs w:val="32"/>
          <w:lang w:val="en-US" w:eastAsia="zh-CN"/>
        </w:rPr>
        <w:t>支出决算为59.63万元，完成预算100%。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b/>
          <w:bCs/>
          <w:color w:val="000000"/>
          <w:sz w:val="32"/>
          <w:szCs w:val="32"/>
          <w:lang w:val="en-US" w:eastAsia="zh-CN"/>
        </w:rPr>
        <w:t>机关事业单位基本养老保险缴费2080505：</w:t>
      </w:r>
      <w:r>
        <w:rPr>
          <w:rFonts w:hint="eastAsia" w:ascii="仿宋_GB2312" w:hAnsi="仿宋_GB2312" w:eastAsia="仿宋_GB2312" w:cs="仿宋_GB2312"/>
          <w:color w:val="000000"/>
          <w:sz w:val="32"/>
          <w:szCs w:val="32"/>
          <w:lang w:val="en-US" w:eastAsia="zh-CN"/>
        </w:rPr>
        <w:t>支出决算为40.84万元，完成预算100%。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b/>
          <w:bCs/>
          <w:color w:val="000000"/>
          <w:sz w:val="32"/>
          <w:szCs w:val="32"/>
          <w:lang w:val="en-US" w:eastAsia="zh-CN"/>
        </w:rPr>
        <w:t>机关事业单位职业年金缴费2080506：</w:t>
      </w:r>
      <w:r>
        <w:rPr>
          <w:rFonts w:hint="eastAsia" w:ascii="仿宋_GB2312" w:hAnsi="仿宋_GB2312" w:eastAsia="仿宋_GB2312" w:cs="仿宋_GB2312"/>
          <w:color w:val="000000"/>
          <w:sz w:val="32"/>
          <w:szCs w:val="32"/>
          <w:lang w:val="en-US" w:eastAsia="zh-CN"/>
        </w:rPr>
        <w:t>支出决算为18.79万元，完成预算100%。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b/>
          <w:bCs/>
          <w:color w:val="000000"/>
          <w:sz w:val="32"/>
          <w:szCs w:val="32"/>
          <w:lang w:val="en-US" w:eastAsia="zh-CN"/>
        </w:rPr>
        <w:t>特困人员救助供养20821：</w:t>
      </w:r>
      <w:r>
        <w:rPr>
          <w:rFonts w:hint="eastAsia" w:ascii="仿宋_GB2312" w:hAnsi="仿宋_GB2312" w:eastAsia="仿宋_GB2312" w:cs="仿宋_GB2312"/>
          <w:color w:val="000000"/>
          <w:sz w:val="32"/>
          <w:szCs w:val="32"/>
          <w:lang w:val="en-US" w:eastAsia="zh-CN"/>
        </w:rPr>
        <w:t>支出决算为0.24万元，完成预算100%。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b/>
          <w:bCs/>
          <w:color w:val="000000"/>
          <w:sz w:val="32"/>
          <w:szCs w:val="32"/>
          <w:lang w:val="en-US" w:eastAsia="zh-CN"/>
        </w:rPr>
        <w:t>医疗卫生与计划生育210:</w:t>
      </w:r>
      <w:r>
        <w:rPr>
          <w:rFonts w:hint="eastAsia" w:ascii="仿宋_GB2312" w:hAnsi="仿宋_GB2312" w:eastAsia="仿宋_GB2312" w:cs="仿宋_GB2312"/>
          <w:color w:val="000000"/>
          <w:sz w:val="32"/>
          <w:szCs w:val="32"/>
          <w:lang w:val="en-US" w:eastAsia="zh-CN"/>
        </w:rPr>
        <w:t>支出决算为27.51万元，完成预算100%。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b/>
          <w:bCs/>
          <w:color w:val="000000"/>
          <w:sz w:val="32"/>
          <w:szCs w:val="32"/>
          <w:lang w:val="en-US" w:eastAsia="zh-CN"/>
        </w:rPr>
        <w:t>基层医疗卫生机构21003：</w:t>
      </w:r>
      <w:r>
        <w:rPr>
          <w:rFonts w:hint="eastAsia" w:ascii="仿宋_GB2312" w:hAnsi="仿宋_GB2312" w:eastAsia="仿宋_GB2312" w:cs="仿宋_GB2312"/>
          <w:color w:val="000000"/>
          <w:sz w:val="32"/>
          <w:szCs w:val="32"/>
          <w:lang w:val="en-US" w:eastAsia="zh-CN"/>
        </w:rPr>
        <w:t>支出决算为2.5万元，完成预算100%。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b/>
          <w:bCs/>
          <w:color w:val="000000"/>
          <w:sz w:val="32"/>
          <w:szCs w:val="32"/>
          <w:lang w:val="en-US" w:eastAsia="zh-CN"/>
        </w:rPr>
        <w:t>行政事业单位医疗21011：</w:t>
      </w:r>
      <w:r>
        <w:rPr>
          <w:rFonts w:hint="eastAsia" w:ascii="仿宋_GB2312" w:hAnsi="仿宋_GB2312" w:eastAsia="仿宋_GB2312" w:cs="仿宋_GB2312"/>
          <w:color w:val="000000"/>
          <w:sz w:val="32"/>
          <w:szCs w:val="32"/>
          <w:lang w:val="en-US" w:eastAsia="zh-CN"/>
        </w:rPr>
        <w:t>支出决算为25.01万元，完成预算100%。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b/>
          <w:bCs/>
          <w:color w:val="000000"/>
          <w:sz w:val="32"/>
          <w:szCs w:val="32"/>
          <w:lang w:val="en-US" w:eastAsia="zh-CN"/>
        </w:rPr>
        <w:t>行政单位医疗2101101：</w:t>
      </w:r>
      <w:r>
        <w:rPr>
          <w:rFonts w:hint="eastAsia" w:ascii="仿宋_GB2312" w:hAnsi="仿宋_GB2312" w:eastAsia="仿宋_GB2312" w:cs="仿宋_GB2312"/>
          <w:color w:val="000000"/>
          <w:sz w:val="32"/>
          <w:szCs w:val="32"/>
          <w:lang w:val="en-US" w:eastAsia="zh-CN"/>
        </w:rPr>
        <w:t>支出决算为21.03万元，完成预算100%。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b/>
          <w:bCs/>
          <w:color w:val="000000"/>
          <w:sz w:val="32"/>
          <w:szCs w:val="32"/>
          <w:lang w:val="en-US" w:eastAsia="zh-CN"/>
        </w:rPr>
        <w:t>公务员医疗救助2101103：</w:t>
      </w:r>
      <w:r>
        <w:rPr>
          <w:rFonts w:hint="eastAsia" w:ascii="仿宋_GB2312" w:hAnsi="仿宋_GB2312" w:eastAsia="仿宋_GB2312" w:cs="仿宋_GB2312"/>
          <w:color w:val="000000"/>
          <w:sz w:val="32"/>
          <w:szCs w:val="32"/>
          <w:lang w:val="en-US" w:eastAsia="zh-CN"/>
        </w:rPr>
        <w:t>支出决算为3.98万元，完成预算100%。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b/>
          <w:bCs/>
          <w:color w:val="000000"/>
          <w:sz w:val="32"/>
          <w:szCs w:val="32"/>
          <w:lang w:val="en-US" w:eastAsia="zh-CN"/>
        </w:rPr>
        <w:t>农林水213：</w:t>
      </w:r>
      <w:r>
        <w:rPr>
          <w:rFonts w:hint="eastAsia" w:ascii="仿宋_GB2312" w:hAnsi="仿宋_GB2312" w:eastAsia="仿宋_GB2312" w:cs="仿宋_GB2312"/>
          <w:color w:val="000000"/>
          <w:sz w:val="32"/>
          <w:szCs w:val="32"/>
          <w:lang w:val="en-US" w:eastAsia="zh-CN"/>
        </w:rPr>
        <w:t>支出决算为288.26万元，决算数小于预算数，主要原因是有经费结余。</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b/>
          <w:bCs/>
          <w:color w:val="000000"/>
          <w:sz w:val="32"/>
          <w:szCs w:val="32"/>
          <w:lang w:val="en-US" w:eastAsia="zh-CN"/>
        </w:rPr>
        <w:t>扶贫支出21305：</w:t>
      </w:r>
      <w:r>
        <w:rPr>
          <w:rFonts w:hint="eastAsia" w:ascii="仿宋_GB2312" w:hAnsi="仿宋_GB2312" w:eastAsia="仿宋_GB2312" w:cs="仿宋_GB2312"/>
          <w:color w:val="000000"/>
          <w:sz w:val="32"/>
          <w:szCs w:val="32"/>
          <w:lang w:val="en-US" w:eastAsia="zh-CN"/>
        </w:rPr>
        <w:t>支出决算为122.75万元，完成预算84%，决算数小于预算数，主要原因是有经费结余。</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b/>
          <w:bCs/>
          <w:color w:val="000000"/>
          <w:sz w:val="32"/>
          <w:szCs w:val="32"/>
          <w:lang w:val="en-US" w:eastAsia="zh-CN"/>
        </w:rPr>
        <w:t>农村基础设施建设2130504：</w:t>
      </w:r>
      <w:r>
        <w:rPr>
          <w:rFonts w:hint="eastAsia" w:ascii="仿宋_GB2312" w:hAnsi="仿宋_GB2312" w:eastAsia="仿宋_GB2312" w:cs="仿宋_GB2312"/>
          <w:color w:val="000000"/>
          <w:sz w:val="32"/>
          <w:szCs w:val="32"/>
          <w:lang w:val="en-US" w:eastAsia="zh-CN"/>
        </w:rPr>
        <w:t>支出决算为119.75万元，完成预算100%。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b/>
          <w:bCs/>
          <w:color w:val="000000"/>
          <w:sz w:val="32"/>
          <w:szCs w:val="32"/>
          <w:lang w:val="en-US" w:eastAsia="zh-CN"/>
        </w:rPr>
        <w:t>农村综合改革21307：</w:t>
      </w:r>
      <w:r>
        <w:rPr>
          <w:rFonts w:hint="eastAsia" w:ascii="仿宋_GB2312" w:hAnsi="仿宋_GB2312" w:eastAsia="仿宋_GB2312" w:cs="仿宋_GB2312"/>
          <w:color w:val="000000"/>
          <w:sz w:val="32"/>
          <w:szCs w:val="32"/>
          <w:lang w:val="en-US" w:eastAsia="zh-CN"/>
        </w:rPr>
        <w:t>支出决算为113.64万元，完成预算100%。</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b/>
          <w:bCs/>
          <w:color w:val="000000"/>
          <w:sz w:val="32"/>
          <w:szCs w:val="32"/>
          <w:lang w:val="en-US" w:eastAsia="zh-CN"/>
        </w:rPr>
        <w:t>住房保障221：</w:t>
      </w:r>
      <w:r>
        <w:rPr>
          <w:rFonts w:hint="eastAsia" w:ascii="仿宋_GB2312" w:hAnsi="仿宋_GB2312" w:eastAsia="仿宋_GB2312" w:cs="仿宋_GB2312"/>
          <w:color w:val="000000"/>
          <w:sz w:val="32"/>
          <w:szCs w:val="32"/>
          <w:lang w:val="en-US" w:eastAsia="zh-CN"/>
        </w:rPr>
        <w:t>支出决算为59.22万元，完成预算100%，决算数大于预算数，主要原因是项目增加。</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b/>
          <w:bCs/>
          <w:color w:val="000000"/>
          <w:sz w:val="32"/>
          <w:szCs w:val="32"/>
          <w:lang w:val="en-US" w:eastAsia="zh-CN"/>
        </w:rPr>
        <w:t>住房公积金2210201：</w:t>
      </w:r>
      <w:r>
        <w:rPr>
          <w:rFonts w:hint="eastAsia" w:ascii="仿宋_GB2312" w:hAnsi="仿宋_GB2312" w:eastAsia="仿宋_GB2312" w:cs="仿宋_GB2312"/>
          <w:color w:val="000000"/>
          <w:sz w:val="32"/>
          <w:szCs w:val="32"/>
          <w:lang w:val="en-US" w:eastAsia="zh-CN"/>
        </w:rPr>
        <w:t>支出决算为41.41万元，完成预算100%。</w:t>
      </w:r>
    </w:p>
    <w:p>
      <w:pPr>
        <w:tabs>
          <w:tab w:val="right" w:pos="8306"/>
        </w:tabs>
        <w:spacing w:line="600" w:lineRule="exact"/>
        <w:ind w:firstLine="640"/>
        <w:outlineLvl w:val="1"/>
        <w:rPr>
          <w:rStyle w:val="28"/>
        </w:rPr>
      </w:pPr>
      <w:bookmarkStart w:id="50" w:name="_Toc15396608"/>
      <w:bookmarkStart w:id="51" w:name="_Toc15377214"/>
      <w:bookmarkStart w:id="52" w:name="_Toc1286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0"/>
      <w:bookmarkEnd w:id="51"/>
      <w:bookmarkEnd w:id="52"/>
      <w:r>
        <w:rPr>
          <w:rStyle w:val="28"/>
          <w:rFonts w:ascii="黑体" w:hAnsi="黑体" w:eastAsia="黑体"/>
          <w:b w:val="0"/>
        </w:rPr>
        <w:tab/>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一般公共预算财政拨款基本支出543.47万元，其中：人员经费500.5万元，主要包括：基本工资83.24万元、津贴补贴201.74万元、奖金74.07万元、绩效工资6.99万元、机关事业单位基本养老保险缴费40.84万元、职业年金缴费18.79万元、职工基本医疗保险缴费21.03万元、公务员医疗补助缴费3.98万元、医疗费2.48万元、住房公积金41.41万元等。</w:t>
      </w:r>
      <w:r>
        <w:rPr>
          <w:rFonts w:hint="eastAsia" w:ascii="仿宋_GB2312" w:hAnsi="仿宋_GB2312" w:eastAsia="仿宋_GB2312" w:cs="仿宋_GB2312"/>
          <w:color w:val="000000"/>
          <w:sz w:val="32"/>
          <w:szCs w:val="32"/>
          <w:lang w:val="en-US" w:eastAsia="zh-CN"/>
        </w:rPr>
        <w:br w:type="textWrapping"/>
      </w:r>
      <w:r>
        <w:rPr>
          <w:rFonts w:hint="eastAsia" w:ascii="仿宋_GB2312" w:hAnsi="仿宋_GB2312" w:eastAsia="仿宋_GB2312" w:cs="仿宋_GB2312"/>
          <w:color w:val="000000"/>
          <w:sz w:val="32"/>
          <w:szCs w:val="32"/>
          <w:lang w:val="en-US" w:eastAsia="zh-CN"/>
        </w:rPr>
        <w:t>　　日常公用经费42.97万元，主要包括：办公费17.72万元、印刷费3万元、咨询费0.3万元、手续费0.2万元、水费0万元、电费2.1万元、邮电费0.1万元、取暖费1.5万元、物业管理费0万元、差旅费2万元、因公出国（境）费用0万元、维修（护）费0.86、租赁费0万元、会议费0.3万元、培训费0.3万元、公务接待费0.3万元、劳务费5.2万元、委托业务费0万元、工会经费0万元、福利费0万元、公务用车运行维护费9.1万元、其他交通费0万元、税金及附加费用0万元、其他商品和服务支出0万元、办公设备购置0万元、专用设备购置0万元、信息网络及软件购置更新0万元、其他资本性支出0万元。</w:t>
      </w:r>
    </w:p>
    <w:p>
      <w:pPr>
        <w:spacing w:line="600" w:lineRule="exact"/>
        <w:ind w:firstLine="640"/>
        <w:outlineLvl w:val="1"/>
        <w:rPr>
          <w:rStyle w:val="28"/>
          <w:rFonts w:ascii="黑体" w:hAnsi="黑体" w:eastAsia="黑体"/>
          <w:b w:val="0"/>
        </w:rPr>
      </w:pPr>
      <w:bookmarkStart w:id="53" w:name="_Toc10307"/>
      <w:bookmarkStart w:id="54" w:name="_Toc15377215"/>
      <w:bookmarkStart w:id="55"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3"/>
      <w:bookmarkEnd w:id="54"/>
      <w:bookmarkEnd w:id="55"/>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bookmarkStart w:id="56" w:name="_Toc15377216"/>
      <w:r>
        <w:rPr>
          <w:rFonts w:hint="eastAsia" w:ascii="仿宋_GB2312" w:hAnsi="仿宋_GB2312" w:eastAsia="仿宋_GB2312" w:cs="仿宋_GB2312"/>
          <w:b/>
          <w:bCs/>
          <w:color w:val="000000"/>
          <w:sz w:val="32"/>
          <w:szCs w:val="32"/>
          <w:lang w:val="en-US" w:eastAsia="zh-CN"/>
        </w:rPr>
        <w:t>（一）“三公”经费财政拨款支出决算总体情况说明</w:t>
      </w:r>
      <w:bookmarkEnd w:id="56"/>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2019年“三公”经费财政拨款支出决算为9.4万元，完成预算100%，决算数与预算数持平。</w:t>
      </w:r>
    </w:p>
    <w:p>
      <w:pPr>
        <w:spacing w:line="600" w:lineRule="exact"/>
        <w:ind w:firstLine="643" w:firstLineChars="200"/>
        <w:rPr>
          <w:rFonts w:hint="eastAsia" w:ascii="仿宋_GB2312" w:hAnsi="仿宋_GB2312" w:eastAsia="仿宋_GB2312" w:cs="仿宋_GB2312"/>
          <w:b/>
          <w:bCs/>
          <w:color w:val="000000"/>
          <w:sz w:val="32"/>
          <w:szCs w:val="32"/>
          <w:lang w:val="en-US" w:eastAsia="zh-CN"/>
        </w:rPr>
      </w:pPr>
      <w:bookmarkStart w:id="57" w:name="_Toc15377217"/>
      <w:r>
        <w:rPr>
          <w:rFonts w:hint="eastAsia" w:ascii="仿宋_GB2312" w:hAnsi="仿宋_GB2312" w:eastAsia="仿宋_GB2312" w:cs="仿宋_GB2312"/>
          <w:b/>
          <w:bCs/>
          <w:color w:val="000000"/>
          <w:sz w:val="32"/>
          <w:szCs w:val="32"/>
          <w:lang w:val="en-US" w:eastAsia="zh-CN"/>
        </w:rPr>
        <w:t>（二）“三公”经费财政拨款支出决算具体情况说明</w:t>
      </w:r>
      <w:bookmarkEnd w:id="57"/>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三公”经费财政拨款支出决算中，因公出国（境）费支出决算0万元，占0%；公务用车购置及运行维护费支出决算9.1万元、其中公务用车运行维护费9.1万元，占97%；公务接待费支出决算0.3万元，占3%。具体情况如下：</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（图7：“三公”经费财政拨款支出结构）（饼状图）</w:t>
      </w:r>
    </w:p>
    <w:p>
      <w:pPr>
        <w:pStyle w:val="2"/>
        <w:jc w:val="center"/>
      </w:pPr>
      <w:r>
        <w:rPr>
          <w:rFonts w:hint="eastAsia" w:eastAsia="仿宋"/>
          <w:lang w:eastAsia="zh-CN"/>
        </w:rPr>
        <w:drawing>
          <wp:inline distT="0" distB="0" distL="114300" distR="114300">
            <wp:extent cx="4343400" cy="2329815"/>
            <wp:effectExtent l="4445" t="4445" r="14605" b="8890"/>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1134"/>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年持平。</w:t>
      </w: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textAlignment w:val="auto"/>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95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未发生购置公务用车。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万元。主要用于到县城开会、办事等所需的公务用车燃料费、维修费、过路过桥费、保险费等支出。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0.3</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98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接待减少</w:t>
      </w:r>
      <w:r>
        <w:rPr>
          <w:rFonts w:hint="eastAsia" w:ascii="仿宋_GB2312" w:eastAsia="仿宋_GB2312"/>
          <w:color w:val="000000"/>
          <w:sz w:val="32"/>
          <w:szCs w:val="32"/>
        </w:rPr>
        <w:t>其中：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olor w:val="000000"/>
          <w:sz w:val="32"/>
          <w:szCs w:val="32"/>
        </w:rPr>
      </w:pPr>
      <w:r>
        <w:rPr>
          <w:rFonts w:hint="eastAsia" w:ascii="仿宋_GB2312" w:eastAsia="仿宋_GB2312"/>
          <w:b/>
          <w:bCs/>
          <w:color w:val="000000"/>
          <w:sz w:val="32"/>
          <w:szCs w:val="32"/>
        </w:rPr>
        <w:t>国内公务接待支出</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万元，具体内容包括：开展业务活动开支的交通费、住宿费、用餐费。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olor w:val="000000"/>
          <w:sz w:val="32"/>
          <w:szCs w:val="32"/>
          <w:lang w:eastAsia="zh-CN"/>
        </w:rPr>
      </w:pPr>
      <w:r>
        <w:rPr>
          <w:rFonts w:hint="eastAsia" w:ascii="仿宋_GB2312" w:eastAsia="仿宋_GB2312"/>
          <w:b/>
          <w:bCs/>
          <w:color w:val="000000"/>
          <w:sz w:val="32"/>
          <w:szCs w:val="32"/>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黑体" w:eastAsia="黑体"/>
          <w:color w:val="000000"/>
          <w:sz w:val="32"/>
          <w:szCs w:val="32"/>
        </w:rPr>
      </w:pPr>
      <w:bookmarkStart w:id="58" w:name="_Toc15377218"/>
      <w:bookmarkStart w:id="59" w:name="_Toc15396610"/>
    </w:p>
    <w:p>
      <w:pPr>
        <w:keepNext w:val="0"/>
        <w:keepLines w:val="0"/>
        <w:pageBreakBefore w:val="0"/>
        <w:widowControl w:val="0"/>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rPr>
      </w:pPr>
      <w:bookmarkStart w:id="60" w:name="_Toc24159"/>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b w:val="0"/>
        </w:rPr>
      </w:pPr>
      <w:bookmarkStart w:id="61" w:name="_Toc15377219"/>
      <w:bookmarkStart w:id="62" w:name="_Toc15396611"/>
      <w:bookmarkStart w:id="63" w:name="_Toc2368"/>
      <w:r>
        <w:rPr>
          <w:rStyle w:val="28"/>
          <w:rFonts w:hint="eastAsia" w:ascii="黑体" w:hAnsi="黑体" w:eastAsia="黑体"/>
          <w:b w:val="0"/>
          <w:lang w:eastAsia="zh-CN"/>
        </w:rPr>
        <w:t>九、</w:t>
      </w:r>
      <w:r>
        <w:rPr>
          <w:rStyle w:val="28"/>
          <w:rFonts w:hint="eastAsia" w:ascii="黑体" w:hAnsi="黑体" w:eastAsia="黑体"/>
          <w:b w:val="0"/>
        </w:rPr>
        <w:t>国有资本经营预算支出决算情况说明</w:t>
      </w:r>
      <w:bookmarkEnd w:id="61"/>
      <w:bookmarkEnd w:id="62"/>
      <w:bookmarkEnd w:id="6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358" w:firstLineChars="112"/>
        <w:textAlignment w:val="auto"/>
        <w:outlineLvl w:val="1"/>
        <w:rPr>
          <w:rStyle w:val="28"/>
          <w:rFonts w:ascii="黑体" w:hAnsi="黑体" w:eastAsia="黑体"/>
        </w:rPr>
      </w:pPr>
      <w:bookmarkStart w:id="64" w:name="_Toc15396612"/>
      <w:bookmarkStart w:id="65" w:name="_Toc15377221"/>
      <w:bookmarkStart w:id="66" w:name="_Toc8180"/>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64"/>
      <w:bookmarkEnd w:id="65"/>
      <w:bookmarkEnd w:id="66"/>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7" w:name="_Toc15377222"/>
      <w:r>
        <w:rPr>
          <w:rFonts w:hint="eastAsia" w:ascii="仿宋_GB2312" w:eastAsia="仿宋_GB2312"/>
          <w:b/>
          <w:bCs/>
          <w:color w:val="000000"/>
          <w:sz w:val="32"/>
          <w:szCs w:val="32"/>
        </w:rPr>
        <w:t>（一）机关运行经费支出情况</w:t>
      </w:r>
      <w:bookmarkEnd w:id="67"/>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2019年，</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万元，比2018年增加</w:t>
      </w:r>
      <w:r>
        <w:rPr>
          <w:rFonts w:hint="eastAsia" w:ascii="仿宋_GB2312" w:eastAsia="仿宋_GB2312"/>
          <w:color w:val="000000"/>
          <w:sz w:val="32"/>
          <w:szCs w:val="32"/>
          <w:lang w:val="en-US" w:eastAsia="zh-CN"/>
        </w:rPr>
        <w:t>0.18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脱贫攻坚导致费用增加。</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8" w:name="_Toc15377223"/>
      <w:r>
        <w:rPr>
          <w:rFonts w:hint="eastAsia" w:ascii="仿宋_GB2312" w:eastAsia="仿宋_GB2312"/>
          <w:b/>
          <w:bCs/>
          <w:color w:val="000000"/>
          <w:sz w:val="32"/>
          <w:szCs w:val="32"/>
        </w:rPr>
        <w:t>（二）政府采购支出情况</w:t>
      </w:r>
      <w:bookmarkEnd w:id="68"/>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b/>
          <w:bCs/>
          <w:color w:val="000000"/>
          <w:sz w:val="32"/>
          <w:szCs w:val="32"/>
        </w:rPr>
      </w:pPr>
      <w:bookmarkStart w:id="69" w:name="_Toc15377224"/>
      <w:r>
        <w:rPr>
          <w:rFonts w:hint="eastAsia" w:ascii="仿宋_GB2312" w:eastAsia="仿宋_GB2312"/>
          <w:b/>
          <w:bCs/>
          <w:color w:val="000000"/>
          <w:sz w:val="32"/>
          <w:szCs w:val="32"/>
        </w:rPr>
        <w:t>（三）国有资产占有使用情况</w:t>
      </w:r>
      <w:bookmarkEnd w:id="69"/>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，价值</w:t>
      </w:r>
      <w:r>
        <w:rPr>
          <w:rFonts w:hint="eastAsia" w:ascii="仿宋_GB2312" w:eastAsia="仿宋_GB2312"/>
          <w:color w:val="000000"/>
          <w:sz w:val="32"/>
          <w:szCs w:val="32"/>
          <w:lang w:val="en-US" w:eastAsia="zh-CN"/>
        </w:rPr>
        <w:t>27.26万元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房屋</w:t>
      </w:r>
      <w:r>
        <w:rPr>
          <w:rFonts w:hint="eastAsia" w:ascii="仿宋_GB2312" w:eastAsia="仿宋_GB2312"/>
          <w:color w:val="000000"/>
          <w:sz w:val="32"/>
          <w:szCs w:val="32"/>
          <w:lang w:val="en-US" w:eastAsia="zh-CN"/>
        </w:rPr>
        <w:t>1182平方米，价值100.68万元；其他固定资产1.95万元</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bidi w:val="0"/>
        <w:snapToGrid/>
        <w:spacing w:line="600" w:lineRule="exact"/>
        <w:ind w:left="0" w:righ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（四）预算绩效管理情况。</w:t>
      </w:r>
    </w:p>
    <w:p>
      <w:pPr>
        <w:keepNext w:val="0"/>
        <w:keepLines w:val="0"/>
        <w:pageBreakBefore w:val="0"/>
        <w:widowControl w:val="0"/>
        <w:kinsoku/>
        <w:wordWrap/>
        <w:overflowPunct/>
        <w:topLinePunct w:val="0"/>
        <w:autoSpaceDE/>
        <w:bidi w:val="0"/>
        <w:snapToGrid/>
        <w:spacing w:line="600" w:lineRule="exact"/>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Cs/>
          <w:kern w:val="2"/>
          <w:sz w:val="32"/>
          <w:szCs w:val="32"/>
          <w:lang w:val="en-US" w:eastAsia="zh-CN" w:bidi="ar-SA"/>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Cs/>
          <w:kern w:val="2"/>
          <w:sz w:val="32"/>
          <w:szCs w:val="32"/>
          <w:lang w:val="zh-CN" w:eastAsia="zh-CN" w:bidi="ar-SA"/>
        </w:rPr>
        <w:t>本部门在201</w:t>
      </w:r>
      <w:r>
        <w:rPr>
          <w:rFonts w:hint="eastAsia" w:ascii="仿宋_GB2312" w:hAnsi="仿宋_GB2312" w:eastAsia="仿宋_GB2312" w:cs="仿宋_GB2312"/>
          <w:bCs/>
          <w:kern w:val="2"/>
          <w:sz w:val="32"/>
          <w:szCs w:val="32"/>
          <w:lang w:val="en-US" w:eastAsia="zh-CN" w:bidi="ar-SA"/>
        </w:rPr>
        <w:t>9</w:t>
      </w:r>
      <w:r>
        <w:rPr>
          <w:rFonts w:hint="eastAsia" w:ascii="仿宋_GB2312" w:hAnsi="仿宋_GB2312" w:eastAsia="仿宋_GB2312" w:cs="仿宋_GB2312"/>
          <w:bCs/>
          <w:kern w:val="2"/>
          <w:sz w:val="32"/>
          <w:szCs w:val="32"/>
          <w:lang w:val="zh-CN" w:eastAsia="zh-CN" w:bidi="ar-SA"/>
        </w:rPr>
        <w:t>年度部门决算中反映“</w:t>
      </w:r>
      <w:r>
        <w:rPr>
          <w:rFonts w:hint="eastAsia" w:ascii="仿宋_GB2312" w:hAnsi="仿宋_GB2312" w:eastAsia="仿宋_GB2312" w:cs="仿宋_GB2312"/>
          <w:bCs/>
          <w:kern w:val="2"/>
          <w:sz w:val="32"/>
          <w:szCs w:val="32"/>
          <w:lang w:val="en-US" w:eastAsia="zh-CN" w:bidi="ar-SA"/>
        </w:rPr>
        <w:t>查尔玛乡查龙村村内新建排水沟等设施建设项目</w:t>
      </w:r>
      <w:r>
        <w:rPr>
          <w:rFonts w:hint="eastAsia"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动态调整建档立卡贫困人员到户产业项目</w:t>
      </w:r>
      <w:r>
        <w:rPr>
          <w:rFonts w:hint="eastAsia"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查尔玛乡藏区新居建设项目</w:t>
      </w:r>
      <w:r>
        <w:rPr>
          <w:rFonts w:hint="eastAsia" w:ascii="仿宋_GB2312" w:hAnsi="仿宋_GB2312" w:eastAsia="仿宋_GB2312" w:cs="仿宋_GB2312"/>
          <w:bCs/>
          <w:kern w:val="2"/>
          <w:sz w:val="32"/>
          <w:szCs w:val="32"/>
          <w:lang w:val="zh-CN" w:eastAsia="zh-CN" w:bidi="ar-SA"/>
        </w:rPr>
        <w:t>”等</w:t>
      </w:r>
      <w:r>
        <w:rPr>
          <w:rFonts w:hint="eastAsia" w:ascii="仿宋_GB2312" w:hAnsi="仿宋_GB2312" w:eastAsia="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zh-CN" w:eastAsia="zh-CN" w:bidi="ar-SA"/>
        </w:rPr>
        <w:t>个项目</w:t>
      </w:r>
      <w:r>
        <w:rPr>
          <w:rFonts w:hint="eastAsia" w:ascii="仿宋_GB2312" w:hAnsi="仿宋_GB2312" w:eastAsia="仿宋_GB2312" w:cs="仿宋_GB2312"/>
          <w:sz w:val="32"/>
          <w:szCs w:val="32"/>
        </w:rPr>
        <w:t>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个以下的，全部进行公开，公开内容包括完成情况综述和完成情况表）。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 w:hAnsi="仿宋" w:eastAsia="仿宋" w:cs="仿宋"/>
          <w:b w:val="0"/>
          <w:bCs w:val="0"/>
          <w:sz w:val="32"/>
          <w:szCs w:val="32"/>
          <w:lang w:val="en-US" w:eastAsia="zh-CN"/>
        </w:rPr>
        <w:t>脱贫攻坚涉农整合资金（第一批）投入资金10万元，完成查尔玛乡查龙村村内新建排水沟230米，涵洞1处及附属设施建设，该项目业主为查尔玛乡人民政府。</w:t>
      </w:r>
      <w:r>
        <w:rPr>
          <w:rFonts w:hint="eastAsia" w:ascii="仿宋_GB2312" w:hAnsi="宋体" w:eastAsia="仿宋_GB2312" w:cs="仿宋_GB2312"/>
          <w:kern w:val="2"/>
          <w:sz w:val="32"/>
          <w:szCs w:val="24"/>
          <w:lang w:val="en-US" w:eastAsia="zh-CN" w:bidi="ar"/>
        </w:rPr>
        <w:t>该项目良好完成计划目标，截止评价时已完成任务量100%，符合相关质量标准，符合成本控制目标。</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 w:hAnsi="仿宋" w:eastAsia="仿宋" w:cs="仿宋"/>
          <w:b w:val="0"/>
          <w:bCs w:val="0"/>
          <w:sz w:val="32"/>
          <w:szCs w:val="32"/>
          <w:lang w:val="en-US" w:eastAsia="zh-CN"/>
        </w:rPr>
        <w:t>动态调整建档立卡贫困人员到户产业项目</w:t>
      </w:r>
      <w:r>
        <w:rPr>
          <w:rFonts w:hint="eastAsia" w:ascii="仿宋_GB2312" w:hAnsi="仿宋_GB2312" w:eastAsia="仿宋_GB2312" w:cs="仿宋_GB2312"/>
          <w:sz w:val="32"/>
          <w:szCs w:val="32"/>
        </w:rPr>
        <w:t>绩效目标完成情况综述。项目全年预算数</w:t>
      </w:r>
      <w:r>
        <w:rPr>
          <w:rFonts w:hint="eastAsia" w:ascii="仿宋" w:hAnsi="仿宋" w:eastAsia="仿宋" w:cs="仿宋"/>
          <w:b w:val="0"/>
          <w:bCs w:val="0"/>
          <w:sz w:val="32"/>
          <w:szCs w:val="32"/>
          <w:lang w:val="en-US" w:eastAsia="zh-CN"/>
        </w:rPr>
        <w:t>2.4</w:t>
      </w:r>
      <w:r>
        <w:rPr>
          <w:rFonts w:hint="eastAsia" w:ascii="仿宋_GB2312" w:hAnsi="仿宋_GB2312" w:eastAsia="仿宋_GB2312" w:cs="仿宋_GB2312"/>
          <w:sz w:val="32"/>
          <w:szCs w:val="32"/>
        </w:rPr>
        <w:t>万元，执行数为</w:t>
      </w:r>
      <w:r>
        <w:rPr>
          <w:rFonts w:hint="eastAsia" w:ascii="仿宋" w:hAnsi="仿宋" w:eastAsia="仿宋" w:cs="仿宋"/>
          <w:b w:val="0"/>
          <w:bCs w:val="0"/>
          <w:sz w:val="32"/>
          <w:szCs w:val="32"/>
          <w:lang w:val="en-US" w:eastAsia="zh-CN"/>
        </w:rPr>
        <w:t>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%。通过项目实施，保障（支持、促进、提高</w:t>
      </w:r>
      <w:r>
        <w:rPr>
          <w:rFonts w:hint="eastAsia" w:ascii="仿宋_GB2312" w:hAnsi="仿宋_GB2312" w:eastAsia="仿宋_GB2312" w:cs="仿宋_GB2312"/>
          <w:sz w:val="32"/>
          <w:szCs w:val="32"/>
          <w:lang w:eastAsia="zh-CN"/>
        </w:rPr>
        <w:t>经济发展</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贫困人员生活质量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为我乡贫困人员提高了一定的生活质量</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继续发展扶</w:t>
      </w:r>
      <w:r>
        <w:rPr>
          <w:rFonts w:hint="eastAsia" w:ascii="仿宋_GB2312" w:hAnsi="仿宋_GB2312" w:eastAsia="仿宋_GB2312" w:cs="仿宋_GB2312"/>
          <w:sz w:val="32"/>
          <w:szCs w:val="32"/>
          <w:lang w:val="en-US" w:eastAsia="zh-CN"/>
        </w:rPr>
        <w:t>贫资金支持贫困村（户）产业发展、壮大集体经济。</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 w:hAnsi="仿宋" w:eastAsia="仿宋" w:cs="仿宋"/>
          <w:b w:val="0"/>
          <w:bCs w:val="0"/>
          <w:sz w:val="32"/>
          <w:szCs w:val="32"/>
          <w:lang w:val="en-US" w:eastAsia="zh-CN"/>
        </w:rPr>
        <w:t>红原县查尔玛乡藏区新居建设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%。通过项目实施，保障（支持、促进、提高</w:t>
      </w:r>
      <w:r>
        <w:rPr>
          <w:rFonts w:hint="eastAsia" w:ascii="仿宋_GB2312" w:hAnsi="仿宋_GB2312" w:eastAsia="仿宋_GB2312" w:cs="仿宋_GB2312"/>
          <w:sz w:val="32"/>
          <w:szCs w:val="32"/>
          <w:lang w:eastAsia="zh-CN"/>
        </w:rPr>
        <w:t>生活质量</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藏区牧民住房问题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新建</w:t>
      </w:r>
      <w:r>
        <w:rPr>
          <w:rFonts w:hint="eastAsia" w:ascii="仿宋_GB2312" w:hAnsi="仿宋_GB2312" w:eastAsia="仿宋_GB2312" w:cs="仿宋_GB2312"/>
          <w:sz w:val="32"/>
          <w:szCs w:val="32"/>
          <w:lang w:val="en-US" w:eastAsia="zh-CN"/>
        </w:rPr>
        <w:t>17户藏区新居房极大改善了农牧民生活条件</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建议在脱贫攻坚的工作计划中加大权重，但要重视项目建设效益分析和长远发展。</w:t>
      </w:r>
    </w:p>
    <w:p>
      <w:pPr>
        <w:spacing w:line="580" w:lineRule="exact"/>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28"/>
                <w:szCs w:val="28"/>
                <w:lang w:val="en-US" w:eastAsia="zh-CN"/>
              </w:rPr>
              <w:t>查龙村村内新建排水沟</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10万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10万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10万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10万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28"/>
                <w:szCs w:val="28"/>
                <w:lang w:val="en-US" w:eastAsia="zh-CN"/>
              </w:rPr>
              <w:t>新建排水沟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cs="宋体"/>
                <w:color w:val="000000"/>
                <w:sz w:val="24"/>
                <w:lang w:eastAsia="zh-CN"/>
              </w:rPr>
              <w:t>改善民生生活保障，提高生活水平。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反映相关产出对自然环境带来的影响和效果，根据项目实际细化具体指标。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调整建档立卡贫困人员到户产业项目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2.4</w:t>
            </w:r>
            <w:r>
              <w:rPr>
                <w:rFonts w:hint="eastAsia" w:ascii="仿宋_GB2312" w:hAnsi="宋体" w:eastAsia="仿宋_GB2312" w:cs="仿宋_GB2312"/>
                <w:kern w:val="2"/>
                <w:sz w:val="32"/>
                <w:szCs w:val="24"/>
                <w:lang w:val="en-US" w:eastAsia="zh-CN" w:bidi="ar"/>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2.4</w:t>
            </w:r>
            <w:r>
              <w:rPr>
                <w:rFonts w:hint="eastAsia" w:ascii="仿宋_GB2312" w:hAnsi="宋体" w:eastAsia="仿宋_GB2312" w:cs="仿宋_GB2312"/>
                <w:kern w:val="2"/>
                <w:sz w:val="32"/>
                <w:szCs w:val="24"/>
                <w:lang w:val="en-US" w:eastAsia="zh-CN" w:bidi="ar"/>
              </w:rPr>
              <w:t>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2.4</w:t>
            </w:r>
            <w:r>
              <w:rPr>
                <w:rFonts w:hint="eastAsia" w:ascii="仿宋_GB2312" w:hAnsi="宋体" w:eastAsia="仿宋_GB2312" w:cs="仿宋_GB2312"/>
                <w:kern w:val="2"/>
                <w:sz w:val="32"/>
                <w:szCs w:val="24"/>
                <w:lang w:val="en-US" w:eastAsia="zh-CN" w:bidi="ar"/>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2.4</w:t>
            </w:r>
            <w:r>
              <w:rPr>
                <w:rFonts w:hint="eastAsia" w:ascii="仿宋_GB2312" w:hAnsi="宋体" w:eastAsia="仿宋_GB2312" w:cs="仿宋_GB2312"/>
                <w:kern w:val="2"/>
                <w:sz w:val="32"/>
                <w:szCs w:val="24"/>
                <w:lang w:val="en-US" w:eastAsia="zh-CN" w:bidi="ar"/>
              </w:rPr>
              <w:t>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28"/>
                <w:szCs w:val="28"/>
                <w:lang w:val="en-US" w:eastAsia="zh-CN"/>
              </w:rPr>
              <w:t>新建排水沟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cs="宋体"/>
                <w:color w:val="000000"/>
                <w:sz w:val="24"/>
                <w:lang w:eastAsia="zh-CN"/>
              </w:rPr>
              <w:t>改善民生生活保障，提高生活水平。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反映相关产出对自然环境带来的影响和效果，根据项目实际细化具体指标。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32"/>
                <w:szCs w:val="32"/>
                <w:lang w:val="en-US" w:eastAsia="zh-CN"/>
              </w:rPr>
              <w:t>藏区新居建设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51万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51万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51万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仿宋_GB2312"/>
                <w:kern w:val="2"/>
                <w:sz w:val="32"/>
                <w:szCs w:val="24"/>
                <w:lang w:val="en-US" w:eastAsia="zh-CN" w:bidi="ar"/>
              </w:rPr>
              <w:t>51万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 w:hAnsi="仿宋" w:eastAsia="仿宋" w:cs="仿宋"/>
                <w:b w:val="0"/>
                <w:bCs w:val="0"/>
                <w:sz w:val="28"/>
                <w:szCs w:val="28"/>
                <w:lang w:val="en-US" w:eastAsia="zh-CN"/>
              </w:rPr>
              <w:t>新建排水沟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cs="宋体"/>
                <w:color w:val="000000"/>
                <w:sz w:val="24"/>
                <w:lang w:eastAsia="zh-CN"/>
              </w:rPr>
              <w:t>改善民生生活保障，提高生活水平。</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及时</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体" w:hAnsi="宋体" w:cs="宋体"/>
                <w:color w:val="000000"/>
                <w:sz w:val="24"/>
              </w:rPr>
            </w:pPr>
            <w:r>
              <w:rPr>
                <w:rFonts w:hint="eastAsia" w:ascii="宋体" w:hAnsi="宋体" w:cs="宋体"/>
                <w:color w:val="000000"/>
                <w:kern w:val="0"/>
                <w:sz w:val="20"/>
                <w:szCs w:val="20"/>
                <w:lang w:bidi="ar"/>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反映相关产出对自然环境带来的影响和效果，根据项目实际细化具体指标。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hint="eastAsia" w:ascii="宋体" w:hAnsi="宋体" w:cs="宋体"/>
                <w:color w:val="000000"/>
                <w:sz w:val="20"/>
                <w:szCs w:val="20"/>
                <w:lang w:eastAsia="zh-CN"/>
              </w:rPr>
              <w:t>无</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0"/>
                <w:szCs w:val="20"/>
                <w:lang w:bidi="ar"/>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000000"/>
                <w:sz w:val="24"/>
              </w:rPr>
            </w:pPr>
            <w:r>
              <w:rPr>
                <w:rFonts w:ascii="宋体" w:hAnsi="宋体" w:cs="宋体"/>
                <w:color w:val="000000"/>
                <w:sz w:val="20"/>
                <w:szCs w:val="20"/>
              </w:rPr>
              <w:t>满意</w:t>
            </w:r>
          </w:p>
        </w:tc>
      </w:tr>
    </w:tbl>
    <w:p>
      <w:pPr>
        <w:spacing w:line="580" w:lineRule="exact"/>
        <w:rPr>
          <w:rFonts w:hint="eastAsia" w:ascii="楷体_GB2312" w:hAnsi="楷体_GB2312" w:eastAsia="楷体_GB2312" w:cs="楷体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查尔玛乡人民政府</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红原县查尔玛乡查龙村</w:t>
      </w:r>
      <w:r>
        <w:rPr>
          <w:rFonts w:hint="eastAsia" w:ascii="仿宋_GB2312" w:hAnsi="仿宋_GB2312" w:eastAsia="仿宋_GB2312" w:cs="仿宋_GB2312"/>
          <w:sz w:val="32"/>
          <w:szCs w:val="32"/>
          <w:lang w:val="en-US" w:eastAsia="zh-CN"/>
        </w:rPr>
        <w:t>内新建排水沟等设施建设项目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红原县查尔玛乡查龙村</w:t>
      </w:r>
      <w:r>
        <w:rPr>
          <w:rFonts w:hint="eastAsia" w:ascii="仿宋_GB2312" w:hAnsi="仿宋_GB2312" w:eastAsia="仿宋_GB2312" w:cs="仿宋_GB2312"/>
          <w:sz w:val="32"/>
          <w:szCs w:val="32"/>
          <w:lang w:val="en-US" w:eastAsia="zh-CN"/>
        </w:rPr>
        <w:t>内新建排水沟等设施建设项目</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27"/>
          <w:rFonts w:ascii="黑体" w:hAnsi="黑体" w:eastAsia="黑体"/>
          <w:b w:val="0"/>
        </w:rPr>
      </w:pPr>
      <w:bookmarkStart w:id="70" w:name="_Toc22786"/>
      <w:bookmarkStart w:id="71" w:name="_Toc15377225"/>
      <w:bookmarkStart w:id="72"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70"/>
      <w:bookmarkEnd w:id="71"/>
      <w:bookmarkEnd w:id="72"/>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项目收入</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hint="eastAsia"/>
          <w:lang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（项）01：行政运行指反映行政单位（包括实行公务员管理的事业单位）的基本支出反映行政单位（包括实行公务员管理的事业单位）的基本支出。</w:t>
      </w:r>
    </w:p>
    <w:p>
      <w:pPr>
        <w:pStyle w:val="2"/>
        <w:ind w:left="0" w:leftChars="0"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02</w:t>
      </w:r>
      <w:r>
        <w:rPr>
          <w:rFonts w:hint="eastAsia" w:ascii="仿宋_GB2312" w:eastAsia="仿宋_GB2312"/>
          <w:b w:val="0"/>
          <w:bCs w:val="0"/>
          <w:color w:val="000000"/>
          <w:sz w:val="32"/>
          <w:szCs w:val="32"/>
        </w:rPr>
        <w:t>： 一般行政管理事务</w:t>
      </w:r>
      <w:r>
        <w:rPr>
          <w:rFonts w:hint="eastAsia" w:ascii="仿宋_GB2312" w:eastAsia="仿宋_GB2312"/>
          <w:b w:val="0"/>
          <w:bCs w:val="0"/>
          <w:color w:val="000000"/>
          <w:sz w:val="32"/>
          <w:szCs w:val="32"/>
          <w:lang w:eastAsia="zh-CN"/>
        </w:rPr>
        <w:t>指作为行政机关的政府为了有地管理社会公共事务面而维持自身组织活动所从事的所有管理实务的支出</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50</w:t>
      </w:r>
      <w:r>
        <w:rPr>
          <w:rFonts w:hint="eastAsia" w:ascii="仿宋_GB2312" w:eastAsia="仿宋_GB2312"/>
          <w:b w:val="0"/>
          <w:bCs w:val="0"/>
          <w:color w:val="000000"/>
          <w:sz w:val="32"/>
          <w:szCs w:val="32"/>
        </w:rPr>
        <w:t>：事业运行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反映</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：行政运行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pStyle w:val="2"/>
        <w:ind w:left="0" w:leftChars="0" w:firstLine="640" w:firstLineChars="200"/>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其他</w:t>
      </w:r>
      <w:r>
        <w:rPr>
          <w:rFonts w:hint="eastAsia" w:ascii="仿宋_GB2312" w:eastAsia="仿宋_GB2312"/>
          <w:b w:val="0"/>
          <w:bCs w:val="0"/>
          <w:color w:val="000000"/>
          <w:sz w:val="32"/>
          <w:szCs w:val="32"/>
        </w:rPr>
        <w:t>群众团体事务</w:t>
      </w:r>
      <w:r>
        <w:rPr>
          <w:rFonts w:hint="eastAsia" w:ascii="仿宋_GB2312" w:eastAsia="仿宋_GB2312"/>
          <w:b w:val="0"/>
          <w:bCs w:val="0"/>
          <w:color w:val="000000"/>
          <w:sz w:val="32"/>
          <w:szCs w:val="32"/>
          <w:lang w:eastAsia="zh-CN"/>
        </w:rPr>
        <w:t>指用于其他群众团体事务方面的支出，包括保障机构正常运转、完成日常和特定的工作任务或事业发展目标的支出。</w:t>
      </w:r>
    </w:p>
    <w:p>
      <w:pPr>
        <w:pStyle w:val="2"/>
        <w:ind w:left="0" w:leftChars="0" w:firstLine="640" w:firstLineChars="200"/>
        <w:jc w:val="left"/>
        <w:rPr>
          <w:rFonts w:hint="eastAsia" w:ascii="仿宋_GB2312" w:eastAsia="仿宋_GB2312"/>
          <w:b w:val="0"/>
          <w:bCs w:val="0"/>
          <w:color w:val="000000"/>
          <w:sz w:val="32"/>
          <w:szCs w:val="32"/>
          <w:lang w:eastAsia="zh-CN"/>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b w:val="0"/>
          <w:bCs w:val="0"/>
          <w:color w:val="000000"/>
          <w:sz w:val="32"/>
          <w:szCs w:val="32"/>
        </w:rPr>
        <w:t xml:space="preserve"> 行政运行</w:t>
      </w:r>
      <w:r>
        <w:rPr>
          <w:rFonts w:hint="eastAsia" w:ascii="仿宋_GB2312" w:eastAsia="仿宋_GB2312"/>
          <w:b w:val="0"/>
          <w:bCs w:val="0"/>
          <w:color w:val="000000"/>
          <w:sz w:val="32"/>
          <w:szCs w:val="32"/>
          <w:lang w:eastAsia="zh-CN"/>
        </w:rPr>
        <w:t>指</w:t>
      </w:r>
      <w:r>
        <w:rPr>
          <w:rFonts w:hint="eastAsia" w:ascii="仿宋_GB2312" w:eastAsia="仿宋_GB2312"/>
          <w:color w:val="000000"/>
          <w:sz w:val="32"/>
          <w:szCs w:val="32"/>
        </w:rPr>
        <w:t>行政运行指反映行政单位（包括实行公务员管理的事业单位）的基本支出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文化体育与传媒（类）</w:t>
      </w:r>
      <w:r>
        <w:rPr>
          <w:rFonts w:hint="eastAsia" w:ascii="仿宋_GB2312" w:eastAsia="仿宋_GB2312"/>
          <w:color w:val="000000"/>
          <w:sz w:val="32"/>
          <w:szCs w:val="32"/>
          <w:lang w:val="en-US" w:eastAsia="zh-CN"/>
        </w:rPr>
        <w:t>207</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：其他文化和旅游支出指用于组织职进行文化活动、体育活动的其他支出</w:t>
      </w:r>
      <w:r>
        <w:rPr>
          <w:rFonts w:hint="eastAsia" w:ascii="仿宋_GB2312" w:eastAsia="仿宋_GB2312"/>
          <w:color w:val="000000"/>
          <w:sz w:val="32"/>
          <w:szCs w:val="32"/>
        </w:rPr>
        <w:t>。</w:t>
      </w:r>
    </w:p>
    <w:p>
      <w:pPr>
        <w:pStyle w:val="2"/>
        <w:ind w:left="0" w:leftChars="0"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文化体育与传媒（类）</w:t>
      </w:r>
      <w:r>
        <w:rPr>
          <w:rFonts w:hint="eastAsia" w:ascii="仿宋_GB2312" w:eastAsia="仿宋_GB2312"/>
          <w:color w:val="000000"/>
          <w:sz w:val="32"/>
          <w:szCs w:val="32"/>
          <w:lang w:val="en-US" w:eastAsia="zh-CN"/>
        </w:rPr>
        <w:t>207</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：其他文化体育与传媒支出指用于组织职进行文化活动、体育活动、宣传等的其他支出</w:t>
      </w:r>
      <w:r>
        <w:rPr>
          <w:rFonts w:hint="eastAsia" w:ascii="仿宋_GB2312" w:eastAsia="仿宋_GB2312"/>
          <w:color w:val="000000"/>
          <w:sz w:val="32"/>
          <w:szCs w:val="32"/>
        </w:rPr>
        <w:t>。</w:t>
      </w:r>
    </w:p>
    <w:p>
      <w:pPr>
        <w:pStyle w:val="2"/>
        <w:ind w:left="0" w:leftChars="0"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：基层政权和社区建设</w:t>
      </w:r>
      <w:r>
        <w:rPr>
          <w:rFonts w:hint="eastAsia" w:ascii="仿宋_GB2312" w:eastAsia="仿宋_GB2312"/>
          <w:color w:val="000000"/>
          <w:sz w:val="32"/>
          <w:szCs w:val="32"/>
          <w:lang w:eastAsia="zh-CN"/>
        </w:rPr>
        <w:t>指完善居民自治，推进基层社会民主；加强社会管理等方面的支出。</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：机关事业单位基本养老保险缴费支出指反映机关事业单位实施养老保险制度的单位缴纳的基本养老保险费支出。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：机关事业单位职业年金缴费支出指反映机关事业单位实施养老保险制度匝单位缴纳的职业年金支出。</w:t>
      </w:r>
    </w:p>
    <w:p>
      <w:pPr>
        <w:pStyle w:val="2"/>
        <w:ind w:left="0" w:leftChars="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02：农村特困人员救助供养支出指农村无劳动力、无生活来源、无法定赡养等的特困人员供养支出。</w:t>
      </w:r>
    </w:p>
    <w:p>
      <w:pPr>
        <w:pStyle w:val="2"/>
        <w:ind w:left="0" w:leftChars="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 重大公共卫生专项</w:t>
      </w:r>
      <w:r>
        <w:rPr>
          <w:rFonts w:hint="eastAsia" w:ascii="仿宋_GB2312" w:eastAsia="仿宋_GB2312"/>
          <w:color w:val="000000"/>
          <w:sz w:val="32"/>
          <w:szCs w:val="32"/>
          <w:lang w:eastAsia="zh-CN"/>
        </w:rPr>
        <w:t>指面城乡居民患有重大疾病的专项服务政策方面的支出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：行政单位医疗指反映财政部门集中安排的公务员医疗补助经费。</w:t>
      </w:r>
    </w:p>
    <w:p>
      <w:pPr>
        <w:pStyle w:val="2"/>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指反映除为行政单位（包括实行公务员管理的事业单位）提供后勤服务的各类后勤服务中心、医务室等附属事业单位外的其他事业单位基本支出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其他农业支出</w:t>
      </w:r>
      <w:r>
        <w:rPr>
          <w:rFonts w:hint="eastAsia" w:ascii="仿宋_GB2312" w:eastAsia="仿宋_GB2312"/>
          <w:color w:val="000000"/>
          <w:sz w:val="32"/>
          <w:szCs w:val="32"/>
        </w:rPr>
        <w:t>指反映用于农村公路、乡村道路建设方面</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农村基础设施建设指用于扶贫的农村基础设施建设的支出。</w:t>
      </w:r>
    </w:p>
    <w:p>
      <w:pPr>
        <w:pStyle w:val="2"/>
        <w:ind w:left="0" w:leftChars="0"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27</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其他扶贫支出指用于农业扶贫方面其他方面的扶民。</w:t>
      </w:r>
      <w:r>
        <w:rPr>
          <w:rFonts w:hint="eastAsia" w:ascii="仿宋_GB2312" w:eastAsia="仿宋_GB2312"/>
          <w:color w:val="000000"/>
          <w:sz w:val="32"/>
          <w:szCs w:val="32"/>
          <w:lang w:val="en-US" w:eastAsia="zh-CN"/>
        </w:rPr>
        <w:tab/>
      </w:r>
    </w:p>
    <w:p>
      <w:pPr>
        <w:ind w:firstLine="640" w:firstLineChars="200"/>
        <w:rPr>
          <w:rFonts w:hint="eastAsia" w:eastAsia="仿宋_GB2312"/>
          <w:lang w:eastAsia="zh-CN"/>
        </w:rPr>
      </w:pPr>
      <w:r>
        <w:rPr>
          <w:rFonts w:hint="eastAsia" w:ascii="仿宋_GB2312" w:eastAsia="仿宋_GB2312"/>
          <w:color w:val="000000"/>
          <w:sz w:val="32"/>
          <w:szCs w:val="32"/>
          <w:lang w:val="en-US" w:eastAsia="zh-CN"/>
        </w:rPr>
        <w:t>28</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：对村民委员会和村党支部的补助</w:t>
      </w:r>
      <w:r>
        <w:rPr>
          <w:rFonts w:hint="eastAsia" w:ascii="仿宋_GB2312" w:eastAsia="仿宋_GB2312"/>
          <w:color w:val="000000"/>
          <w:sz w:val="32"/>
          <w:szCs w:val="32"/>
          <w:lang w:eastAsia="zh-CN"/>
        </w:rPr>
        <w:t>指各级财政对村民委员会和村党支部的补助，以及支持机构运转保障基本机制的支出。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：农村危房改造指</w:t>
      </w:r>
      <w:r>
        <w:rPr>
          <w:rFonts w:hint="eastAsia" w:ascii="仿宋_GB2312" w:eastAsia="仿宋_GB2312"/>
          <w:color w:val="000000"/>
          <w:sz w:val="32"/>
          <w:szCs w:val="32"/>
          <w:lang w:eastAsia="zh-CN"/>
        </w:rPr>
        <w:t>各级财政对农村存在的危房进行改造的支出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：住房公积金指</w:t>
      </w:r>
      <w:r>
        <w:rPr>
          <w:rFonts w:hint="eastAsia" w:ascii="仿宋_GB2312" w:eastAsia="仿宋_GB2312"/>
          <w:color w:val="000000"/>
          <w:sz w:val="32"/>
          <w:szCs w:val="32"/>
          <w:lang w:eastAsia="zh-CN"/>
        </w:rPr>
        <w:t>国家机关、国有企业等社会团体及其在职职工缴存的长期住房储金支出</w:t>
      </w:r>
      <w:r>
        <w:rPr>
          <w:rFonts w:hint="eastAsia" w:ascii="仿宋_GB2312" w:eastAsia="仿宋_GB2312"/>
          <w:color w:val="000000"/>
          <w:sz w:val="32"/>
          <w:szCs w:val="32"/>
        </w:rPr>
        <w:t>。</w:t>
      </w:r>
    </w:p>
    <w:p>
      <w:pPr>
        <w:pStyle w:val="2"/>
        <w:ind w:left="0" w:leftChars="0" w:firstLine="0" w:firstLineChars="0"/>
        <w:rPr>
          <w:rFonts w:hint="default" w:eastAsia="仿宋_GB2312"/>
          <w:lang w:val="en-US" w:eastAsia="zh-CN"/>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：其他支出指</w:t>
      </w:r>
      <w:r>
        <w:rPr>
          <w:rFonts w:hint="eastAsia" w:ascii="仿宋_GB2312" w:eastAsia="仿宋_GB2312"/>
          <w:color w:val="000000"/>
          <w:sz w:val="32"/>
          <w:szCs w:val="32"/>
          <w:lang w:eastAsia="zh-CN"/>
        </w:rPr>
        <w:t>除事业支出、上缴上级支出、对附属单位补助支出、经营支出以外的各项支出</w:t>
      </w:r>
      <w:r>
        <w:rPr>
          <w:rFonts w:hint="eastAsia" w:ascii="仿宋_GB2312" w:eastAsia="仿宋_GB2312"/>
          <w:color w:val="000000"/>
          <w:sz w:val="32"/>
          <w:szCs w:val="32"/>
        </w:rPr>
        <w:t>。</w:t>
      </w:r>
    </w:p>
    <w:p>
      <w:pPr>
        <w:ind w:firstLine="643" w:firstLineChars="200"/>
        <w:rPr>
          <w:rFonts w:hint="eastAsia" w:ascii="仿宋_GB2312" w:eastAsia="仿宋_GB2312"/>
          <w:b/>
          <w:bCs/>
          <w:color w:val="000000"/>
          <w:sz w:val="32"/>
          <w:szCs w:val="32"/>
        </w:rPr>
      </w:pPr>
      <w:r>
        <w:rPr>
          <w:rFonts w:hint="eastAsia" w:ascii="仿宋_GB2312" w:eastAsia="仿宋_GB2312"/>
          <w:b/>
          <w:bCs/>
          <w:color w:val="000000"/>
          <w:sz w:val="32"/>
          <w:szCs w:val="32"/>
        </w:rPr>
        <w:t>（解释本部门决算报表中全部功能分类科目至项级，请参照《2019年政府收支分类科目》增减内容。）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jc w:val="center"/>
        <w:rPr>
          <w:rStyle w:val="27"/>
          <w:rFonts w:ascii="黑体" w:hAnsi="黑体" w:eastAsia="黑体"/>
          <w:b w:val="0"/>
        </w:rPr>
      </w:pPr>
      <w:r>
        <w:rPr>
          <w:rFonts w:ascii="仿宋_GB2312" w:eastAsia="仿宋_GB2312"/>
          <w:sz w:val="32"/>
          <w:szCs w:val="32"/>
        </w:rPr>
        <w:t>32.</w:t>
      </w:r>
      <w:r>
        <w:rPr>
          <w:rFonts w:hint="eastAsia" w:ascii="仿宋_GB2312" w:eastAsia="仿宋_GB2312"/>
          <w:sz w:val="32"/>
          <w:szCs w:val="32"/>
        </w:rPr>
        <w:t>……。</w:t>
      </w:r>
      <w:bookmarkStart w:id="73" w:name="_Toc15377226"/>
      <w:r>
        <w:rPr>
          <w:rFonts w:ascii="宋体"/>
          <w:b/>
          <w:color w:val="000000"/>
          <w:sz w:val="44"/>
          <w:szCs w:val="44"/>
        </w:rPr>
        <w:br w:type="page"/>
      </w:r>
      <w:bookmarkStart w:id="74" w:name="_Toc15396614"/>
      <w:bookmarkStart w:id="75" w:name="_Toc11463"/>
      <w:r>
        <w:rPr>
          <w:rFonts w:hint="eastAsia" w:ascii="黑体" w:hAnsi="黑体" w:eastAsia="黑体"/>
          <w:color w:val="000000"/>
          <w:sz w:val="44"/>
          <w:szCs w:val="44"/>
        </w:rPr>
        <w:t>第</w:t>
      </w:r>
      <w:r>
        <w:rPr>
          <w:rStyle w:val="27"/>
          <w:rFonts w:hint="eastAsia" w:ascii="黑体" w:hAnsi="黑体" w:eastAsia="黑体"/>
          <w:b w:val="0"/>
        </w:rPr>
        <w:t>四部分 附件</w:t>
      </w:r>
      <w:bookmarkEnd w:id="74"/>
      <w:bookmarkEnd w:id="75"/>
    </w:p>
    <w:p>
      <w:pPr>
        <w:spacing w:line="600" w:lineRule="exact"/>
        <w:jc w:val="left"/>
        <w:outlineLvl w:val="0"/>
        <w:rPr>
          <w:rFonts w:ascii="方正小标宋简体" w:hAnsi="方正小标宋简体" w:eastAsia="方正小标宋简体" w:cs="方正小标宋简体"/>
          <w:sz w:val="32"/>
          <w:szCs w:val="32"/>
        </w:rPr>
      </w:pPr>
      <w:bookmarkStart w:id="76" w:name="_Toc4442"/>
      <w:r>
        <w:rPr>
          <w:rFonts w:hint="eastAsia" w:ascii="黑体" w:hAnsi="黑体" w:eastAsia="黑体" w:cs="黑体"/>
          <w:sz w:val="32"/>
          <w:szCs w:val="32"/>
        </w:rPr>
        <w:t>附件1</w:t>
      </w:r>
      <w:bookmarkEnd w:id="76"/>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查尔玛乡人民政府</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w:t>
      </w:r>
      <w:r>
        <w:rPr>
          <w:rFonts w:hint="eastAsia" w:ascii="仿宋_GB2312" w:hAnsi="宋体" w:eastAsia="仿宋_GB2312" w:cs="宋体"/>
          <w:color w:val="000000"/>
          <w:kern w:val="0"/>
          <w:sz w:val="32"/>
          <w:szCs w:val="32"/>
          <w:shd w:val="clear" w:color="auto" w:fill="FFFFFF"/>
          <w:lang w:val="zh-CN"/>
        </w:rPr>
        <w:t>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s="宋体"/>
          <w:sz w:val="32"/>
          <w:szCs w:val="32"/>
          <w:lang w:val="zh-CN"/>
        </w:rPr>
        <w:t>查尔玛乡为独立核算编制的</w:t>
      </w:r>
      <w:r>
        <w:rPr>
          <w:rFonts w:hint="eastAsia" w:ascii="仿宋_GB2312" w:hAnsi="仿宋_GB2312" w:eastAsia="仿宋_GB2312" w:cs="仿宋_GB2312"/>
          <w:bCs/>
          <w:sz w:val="32"/>
          <w:szCs w:val="32"/>
        </w:rPr>
        <w:t>行政</w:t>
      </w:r>
      <w:r>
        <w:rPr>
          <w:rFonts w:hint="eastAsia" w:ascii="仿宋_GB2312" w:hAnsi="仿宋_GB2312" w:eastAsia="仿宋_GB2312" w:cs="仿宋_GB2312"/>
          <w:bCs/>
          <w:sz w:val="32"/>
          <w:szCs w:val="32"/>
          <w:lang w:eastAsia="zh-CN"/>
        </w:rPr>
        <w:t>单位。</w:t>
      </w:r>
    </w:p>
    <w:p>
      <w:pPr>
        <w:widowControl/>
        <w:numPr>
          <w:ilvl w:val="0"/>
          <w:numId w:val="3"/>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adjustRightInd w:val="0"/>
        <w:snapToGrid w:val="0"/>
        <w:spacing w:line="580" w:lineRule="exact"/>
        <w:ind w:firstLine="640" w:firstLineChars="200"/>
        <w:contextualSpacing/>
        <w:jc w:val="left"/>
        <w:rPr>
          <w:rFonts w:hint="eastAsia" w:ascii="仿宋_GB2312" w:eastAsia="仿宋_GB2312" w:cs="宋体"/>
          <w:sz w:val="32"/>
          <w:szCs w:val="32"/>
          <w:lang w:val="zh-CN"/>
        </w:rPr>
      </w:pPr>
      <w:r>
        <w:rPr>
          <w:rFonts w:hint="eastAsia" w:ascii="仿宋_GB2312" w:eastAsia="仿宋_GB2312" w:cs="宋体"/>
          <w:sz w:val="32"/>
          <w:szCs w:val="32"/>
          <w:lang w:val="zh-CN"/>
        </w:rPr>
        <w:t>根据查尔玛乡三定方案（红委办法【</w:t>
      </w:r>
      <w:r>
        <w:rPr>
          <w:rFonts w:hint="eastAsia" w:ascii="仿宋_GB2312" w:eastAsia="仿宋_GB2312" w:cs="宋体"/>
          <w:sz w:val="32"/>
          <w:szCs w:val="32"/>
          <w:lang w:val="en-US" w:eastAsia="zh-CN"/>
        </w:rPr>
        <w:t>2009</w:t>
      </w:r>
      <w:r>
        <w:rPr>
          <w:rFonts w:hint="eastAsia" w:ascii="仿宋_GB2312" w:eastAsia="仿宋_GB2312" w:cs="宋体"/>
          <w:sz w:val="32"/>
          <w:szCs w:val="32"/>
          <w:lang w:val="zh-CN"/>
        </w:rPr>
        <w:t>】</w:t>
      </w:r>
      <w:r>
        <w:rPr>
          <w:rFonts w:hint="eastAsia" w:ascii="仿宋_GB2312" w:eastAsia="仿宋_GB2312" w:cs="宋体"/>
          <w:sz w:val="32"/>
          <w:szCs w:val="32"/>
          <w:lang w:val="en-US" w:eastAsia="zh-CN"/>
        </w:rPr>
        <w:t>96号</w:t>
      </w:r>
      <w:r>
        <w:rPr>
          <w:rFonts w:hint="eastAsia" w:ascii="仿宋_GB2312" w:eastAsia="仿宋_GB2312" w:cs="宋体"/>
          <w:sz w:val="32"/>
          <w:szCs w:val="32"/>
          <w:lang w:val="zh-CN"/>
        </w:rPr>
        <w:t>）</w:t>
      </w:r>
    </w:p>
    <w:p>
      <w:pPr>
        <w:numPr>
          <w:ilvl w:val="0"/>
          <w:numId w:val="3"/>
        </w:numPr>
        <w:spacing w:line="576" w:lineRule="exact"/>
        <w:ind w:left="0" w:leftChars="0"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hint="eastAsia" w:ascii="仿宋_GB2312" w:eastAsia="仿宋_GB2312" w:cs="宋体"/>
          <w:sz w:val="32"/>
          <w:szCs w:val="32"/>
          <w:lang w:val="zh-CN"/>
        </w:rPr>
      </w:pPr>
      <w:r>
        <w:rPr>
          <w:rFonts w:hint="eastAsia" w:ascii="仿宋_GB2312" w:eastAsia="仿宋_GB2312" w:cs="宋体"/>
          <w:sz w:val="32"/>
          <w:szCs w:val="32"/>
          <w:lang w:val="zh-CN"/>
        </w:rPr>
        <w:t>201</w:t>
      </w:r>
      <w:r>
        <w:rPr>
          <w:rFonts w:hint="eastAsia" w:ascii="仿宋_GB2312" w:eastAsia="仿宋_GB2312" w:cs="宋体"/>
          <w:sz w:val="32"/>
          <w:szCs w:val="32"/>
          <w:lang w:val="en-US" w:eastAsia="zh-CN"/>
        </w:rPr>
        <w:t>9</w:t>
      </w:r>
      <w:r>
        <w:rPr>
          <w:rFonts w:hint="eastAsia" w:ascii="仿宋_GB2312" w:eastAsia="仿宋_GB2312" w:cs="宋体"/>
          <w:sz w:val="32"/>
          <w:szCs w:val="32"/>
          <w:lang w:val="zh-CN"/>
        </w:rPr>
        <w:t>年财政供养人员编制为</w:t>
      </w:r>
      <w:r>
        <w:rPr>
          <w:rFonts w:hint="eastAsia" w:ascii="仿宋_GB2312" w:eastAsia="仿宋_GB2312" w:cs="宋体"/>
          <w:sz w:val="32"/>
          <w:szCs w:val="32"/>
          <w:lang w:val="en-US" w:eastAsia="zh-CN"/>
        </w:rPr>
        <w:t>27</w:t>
      </w:r>
      <w:r>
        <w:rPr>
          <w:rFonts w:hint="eastAsia" w:ascii="仿宋_GB2312" w:eastAsia="仿宋_GB2312" w:cs="宋体"/>
          <w:sz w:val="32"/>
          <w:szCs w:val="32"/>
          <w:lang w:val="zh-CN"/>
        </w:rPr>
        <w:t>名，其中行政编制</w:t>
      </w:r>
      <w:r>
        <w:rPr>
          <w:rFonts w:hint="eastAsia" w:ascii="仿宋_GB2312" w:eastAsia="仿宋_GB2312" w:cs="宋体"/>
          <w:sz w:val="32"/>
          <w:szCs w:val="32"/>
          <w:lang w:val="en-US" w:eastAsia="zh-CN"/>
        </w:rPr>
        <w:t>17</w:t>
      </w:r>
      <w:r>
        <w:rPr>
          <w:rFonts w:hint="eastAsia" w:ascii="仿宋_GB2312" w:eastAsia="仿宋_GB2312" w:cs="宋体"/>
          <w:sz w:val="32"/>
          <w:szCs w:val="32"/>
          <w:lang w:val="zh-CN"/>
        </w:rPr>
        <w:t>名，行政工勤编制2名，事业编制</w:t>
      </w:r>
      <w:r>
        <w:rPr>
          <w:rFonts w:hint="eastAsia" w:ascii="仿宋_GB2312" w:eastAsia="仿宋_GB2312" w:cs="宋体"/>
          <w:sz w:val="32"/>
          <w:szCs w:val="32"/>
          <w:lang w:val="en-US" w:eastAsia="zh-CN"/>
        </w:rPr>
        <w:t>8</w:t>
      </w:r>
      <w:r>
        <w:rPr>
          <w:rFonts w:hint="eastAsia" w:ascii="仿宋_GB2312" w:eastAsia="仿宋_GB2312" w:cs="宋体"/>
          <w:sz w:val="32"/>
          <w:szCs w:val="32"/>
          <w:lang w:val="zh-CN"/>
        </w:rPr>
        <w:t>名（其中参照公务员法管理人员编制 0人）。201</w:t>
      </w:r>
      <w:r>
        <w:rPr>
          <w:rFonts w:hint="eastAsia" w:ascii="仿宋_GB2312" w:eastAsia="仿宋_GB2312" w:cs="宋体"/>
          <w:sz w:val="32"/>
          <w:szCs w:val="32"/>
          <w:lang w:val="en-US" w:eastAsia="zh-CN"/>
        </w:rPr>
        <w:t>9</w:t>
      </w:r>
      <w:r>
        <w:rPr>
          <w:rFonts w:hint="eastAsia" w:ascii="仿宋_GB2312" w:eastAsia="仿宋_GB2312" w:cs="宋体"/>
          <w:sz w:val="32"/>
          <w:szCs w:val="32"/>
          <w:lang w:val="zh-CN"/>
        </w:rPr>
        <w:t>年实际财政供养人员</w:t>
      </w:r>
      <w:r>
        <w:rPr>
          <w:rFonts w:hint="eastAsia" w:ascii="仿宋_GB2312" w:eastAsia="仿宋_GB2312" w:cs="宋体"/>
          <w:sz w:val="32"/>
          <w:szCs w:val="32"/>
          <w:lang w:val="en-US" w:eastAsia="zh-CN"/>
        </w:rPr>
        <w:t>24</w:t>
      </w:r>
      <w:r>
        <w:rPr>
          <w:rFonts w:hint="eastAsia" w:ascii="仿宋_GB2312" w:eastAsia="仿宋_GB2312" w:cs="宋体"/>
          <w:sz w:val="32"/>
          <w:szCs w:val="32"/>
          <w:lang w:val="zh-CN"/>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eastAsia="仿宋_GB2312" w:cs="宋体"/>
          <w:sz w:val="32"/>
          <w:szCs w:val="32"/>
          <w:lang w:val="zh-CN"/>
        </w:rPr>
      </w:pPr>
      <w:r>
        <w:rPr>
          <w:rFonts w:hint="eastAsia" w:ascii="仿宋_GB2312" w:eastAsia="仿宋_GB2312" w:cs="宋体"/>
          <w:sz w:val="32"/>
          <w:szCs w:val="32"/>
          <w:lang w:val="zh-CN"/>
        </w:rPr>
        <w:t>201</w:t>
      </w:r>
      <w:r>
        <w:rPr>
          <w:rFonts w:hint="eastAsia" w:ascii="仿宋_GB2312" w:eastAsia="仿宋_GB2312" w:cs="宋体"/>
          <w:sz w:val="32"/>
          <w:szCs w:val="32"/>
          <w:lang w:val="en-US" w:eastAsia="zh-CN"/>
        </w:rPr>
        <w:t>9</w:t>
      </w:r>
      <w:r>
        <w:rPr>
          <w:rFonts w:hint="eastAsia" w:ascii="仿宋_GB2312" w:eastAsia="仿宋_GB2312" w:cs="宋体"/>
          <w:sz w:val="32"/>
          <w:szCs w:val="32"/>
          <w:lang w:val="zh-CN"/>
        </w:rPr>
        <w:t>年</w:t>
      </w:r>
      <w:r>
        <w:rPr>
          <w:rFonts w:hint="eastAsia" w:ascii="仿宋_GB2312" w:eastAsia="仿宋_GB2312" w:cs="宋体"/>
          <w:sz w:val="32"/>
          <w:szCs w:val="32"/>
          <w:lang w:val="zh-CN" w:eastAsia="zh-CN"/>
        </w:rPr>
        <w:t>查尔玛乡</w:t>
      </w:r>
      <w:r>
        <w:rPr>
          <w:rFonts w:hint="eastAsia" w:ascii="仿宋_GB2312" w:eastAsia="仿宋_GB2312" w:cs="宋体"/>
          <w:sz w:val="32"/>
          <w:szCs w:val="32"/>
          <w:lang w:val="zh-CN"/>
        </w:rPr>
        <w:t>财政拨款收</w:t>
      </w:r>
      <w:r>
        <w:rPr>
          <w:rFonts w:hint="eastAsia" w:ascii="仿宋_GB2312" w:eastAsia="仿宋_GB2312" w:cs="宋体"/>
          <w:sz w:val="32"/>
          <w:szCs w:val="32"/>
          <w:lang w:val="zh-CN" w:eastAsia="zh-CN"/>
        </w:rPr>
        <w:t>入</w:t>
      </w:r>
      <w:r>
        <w:rPr>
          <w:rFonts w:hint="eastAsia" w:ascii="仿宋_GB2312" w:eastAsia="仿宋_GB2312" w:cs="宋体"/>
          <w:sz w:val="32"/>
          <w:szCs w:val="32"/>
          <w:lang w:val="zh-CN"/>
        </w:rPr>
        <w:t>总计</w:t>
      </w:r>
      <w:r>
        <w:rPr>
          <w:rFonts w:hint="eastAsia" w:ascii="仿宋_GB2312" w:eastAsia="仿宋_GB2312" w:cs="宋体"/>
          <w:sz w:val="32"/>
          <w:szCs w:val="32"/>
          <w:lang w:val="en-US" w:eastAsia="zh-CN"/>
        </w:rPr>
        <w:t>687.57万</w:t>
      </w:r>
      <w:r>
        <w:rPr>
          <w:rFonts w:hint="eastAsia" w:ascii="仿宋_GB2312" w:eastAsia="仿宋_GB2312" w:cs="宋体"/>
          <w:sz w:val="32"/>
          <w:szCs w:val="32"/>
          <w:lang w:val="zh-CN" w:eastAsia="zh-CN"/>
        </w:rPr>
        <w:t>元</w:t>
      </w:r>
      <w:r>
        <w:rPr>
          <w:rFonts w:hint="eastAsia" w:ascii="仿宋_GB2312" w:eastAsia="仿宋_GB2312" w:cs="宋体"/>
          <w:sz w:val="32"/>
          <w:szCs w:val="32"/>
          <w:lang w:val="en-US" w:eastAsia="zh-CN"/>
        </w:rPr>
        <w:t>,</w:t>
      </w:r>
      <w:r>
        <w:rPr>
          <w:rFonts w:hint="eastAsia" w:ascii="仿宋_GB2312" w:eastAsia="仿宋_GB2312" w:cs="宋体"/>
          <w:sz w:val="32"/>
          <w:szCs w:val="32"/>
          <w:lang w:val="zh-CN"/>
        </w:rPr>
        <w:t>其中：一般公共预算财政拨款收入</w:t>
      </w:r>
      <w:r>
        <w:rPr>
          <w:rFonts w:hint="eastAsia" w:ascii="仿宋_GB2312" w:eastAsia="仿宋_GB2312" w:cs="宋体"/>
          <w:sz w:val="32"/>
          <w:szCs w:val="32"/>
          <w:lang w:val="en-US" w:eastAsia="zh-CN"/>
        </w:rPr>
        <w:t>687.57</w:t>
      </w:r>
      <w:r>
        <w:rPr>
          <w:rFonts w:hint="eastAsia" w:ascii="仿宋_GB2312" w:eastAsia="仿宋_GB2312" w:cs="宋体"/>
          <w:sz w:val="32"/>
          <w:szCs w:val="32"/>
          <w:lang w:val="zh-CN"/>
        </w:rPr>
        <w:t>万元。</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查尔玛乡</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980.07万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r>
        <w:rPr>
          <w:rFonts w:hint="eastAsia" w:ascii="仿宋_GB2312" w:eastAsia="仿宋_GB2312"/>
          <w:color w:val="000000"/>
          <w:sz w:val="32"/>
          <w:szCs w:val="32"/>
          <w:lang w:eastAsia="zh-CN"/>
        </w:rPr>
        <w:t>基本支出</w:t>
      </w:r>
      <w:r>
        <w:rPr>
          <w:rFonts w:hint="eastAsia" w:ascii="仿宋_GB2312" w:eastAsia="仿宋_GB2312"/>
          <w:color w:val="000000"/>
          <w:sz w:val="32"/>
          <w:szCs w:val="32"/>
          <w:lang w:val="en-US" w:eastAsia="zh-CN"/>
        </w:rPr>
        <w:t>543.47</w:t>
      </w:r>
      <w:r>
        <w:rPr>
          <w:rFonts w:hint="eastAsia" w:ascii="仿宋_GB2312" w:eastAsia="仿宋_GB2312"/>
          <w:color w:val="000000"/>
          <w:sz w:val="32"/>
          <w:szCs w:val="32"/>
          <w:lang w:eastAsia="zh-CN"/>
        </w:rPr>
        <w:t>万元，占</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lang w:eastAsia="zh-CN"/>
        </w:rPr>
        <w:t>%；项目支出</w:t>
      </w:r>
      <w:r>
        <w:rPr>
          <w:rFonts w:hint="eastAsia" w:ascii="仿宋_GB2312" w:eastAsia="仿宋_GB2312"/>
          <w:color w:val="000000"/>
          <w:sz w:val="32"/>
          <w:szCs w:val="32"/>
          <w:lang w:val="en-US" w:eastAsia="zh-CN"/>
        </w:rPr>
        <w:t>436.60</w:t>
      </w:r>
      <w:r>
        <w:rPr>
          <w:rFonts w:hint="eastAsia" w:ascii="仿宋_GB2312" w:eastAsia="仿宋_GB2312"/>
          <w:color w:val="000000"/>
          <w:sz w:val="32"/>
          <w:szCs w:val="32"/>
          <w:lang w:eastAsia="zh-CN"/>
        </w:rPr>
        <w:t>万元，占</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bidi w:val="0"/>
        <w:spacing w:line="560" w:lineRule="exact"/>
        <w:ind w:left="0" w:leftChars="0" w:right="0" w:rightChars="0" w:firstLine="643" w:firstLineChars="200"/>
        <w:textAlignment w:val="auto"/>
        <w:outlineLvl w:val="9"/>
        <w:rPr>
          <w:rFonts w:hint="eastAsia" w:ascii="仿宋_GB2312" w:eastAsia="仿宋_GB2312"/>
          <w:b/>
          <w:bCs/>
          <w:color w:val="000000"/>
          <w:sz w:val="32"/>
          <w:szCs w:val="32"/>
          <w:lang w:val="zh-CN" w:eastAsia="zh-CN"/>
        </w:rPr>
      </w:pPr>
      <w:r>
        <w:rPr>
          <w:rFonts w:hint="eastAsia" w:ascii="仿宋_GB2312" w:eastAsia="仿宋_GB2312"/>
          <w:b/>
          <w:bCs/>
          <w:color w:val="000000"/>
          <w:sz w:val="32"/>
          <w:szCs w:val="32"/>
          <w:lang w:val="zh-CN" w:eastAsia="zh-CN"/>
        </w:rPr>
        <w:t>（一）部门预算管理。</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按照县财政预算编制工作要求，我乡组织财务人员积极参与预算编制培训会，及时掌握预算编制口径等相关知识，结合单位工作实际，按照“两上两下”编制方式，全面、及时、完整地编制了单位预算，并经财政部门审核下达。</w:t>
      </w:r>
    </w:p>
    <w:p>
      <w:pPr>
        <w:keepNext w:val="0"/>
        <w:keepLines w:val="0"/>
        <w:pageBreakBefore w:val="0"/>
        <w:kinsoku/>
        <w:wordWrap/>
        <w:overflowPunct/>
        <w:topLinePunct w:val="0"/>
        <w:bidi w:val="0"/>
        <w:spacing w:line="560" w:lineRule="exact"/>
        <w:ind w:left="0" w:leftChars="0" w:right="0" w:rightChars="0" w:firstLine="643" w:firstLineChars="200"/>
        <w:textAlignment w:val="auto"/>
        <w:outlineLvl w:val="9"/>
        <w:rPr>
          <w:rFonts w:hint="eastAsia" w:ascii="仿宋_GB2312" w:eastAsia="仿宋_GB2312"/>
          <w:b/>
          <w:bCs/>
          <w:color w:val="000000"/>
          <w:sz w:val="32"/>
          <w:szCs w:val="32"/>
          <w:lang w:val="zh-CN" w:eastAsia="zh-CN"/>
        </w:rPr>
      </w:pPr>
      <w:r>
        <w:rPr>
          <w:rFonts w:hint="eastAsia" w:ascii="仿宋_GB2312" w:eastAsia="仿宋_GB2312"/>
          <w:b/>
          <w:bCs/>
          <w:color w:val="000000"/>
          <w:sz w:val="32"/>
          <w:szCs w:val="32"/>
          <w:lang w:val="zh-CN" w:eastAsia="zh-CN"/>
        </w:rPr>
        <w:t>（二）结果应用情况。</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在预算执行中，我乡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四、评价结论及建议</w:t>
      </w:r>
    </w:p>
    <w:p>
      <w:pPr>
        <w:keepNext w:val="0"/>
        <w:keepLines w:val="0"/>
        <w:pageBreakBefore w:val="0"/>
        <w:kinsoku/>
        <w:wordWrap/>
        <w:overflowPunct/>
        <w:topLinePunct w:val="0"/>
        <w:bidi w:val="0"/>
        <w:spacing w:line="560" w:lineRule="exact"/>
        <w:ind w:left="0" w:leftChars="0" w:right="0" w:rightChars="0" w:firstLine="643" w:firstLineChars="200"/>
        <w:textAlignment w:val="auto"/>
        <w:outlineLvl w:val="9"/>
        <w:rPr>
          <w:rFonts w:hint="eastAsia" w:ascii="仿宋_GB2312" w:eastAsia="仿宋_GB2312"/>
          <w:b/>
          <w:bCs/>
          <w:color w:val="000000"/>
          <w:sz w:val="32"/>
          <w:szCs w:val="32"/>
          <w:lang w:val="zh-CN" w:eastAsia="zh-CN"/>
        </w:rPr>
      </w:pPr>
      <w:r>
        <w:rPr>
          <w:rFonts w:hint="eastAsia" w:ascii="仿宋_GB2312" w:eastAsia="仿宋_GB2312"/>
          <w:b/>
          <w:bCs/>
          <w:color w:val="000000"/>
          <w:sz w:val="32"/>
          <w:szCs w:val="32"/>
          <w:lang w:val="zh-CN" w:eastAsia="zh-CN"/>
        </w:rPr>
        <w:t>（一）评价结论。</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在自评过程发现问题，查找原因，及时纠正偏差，为下一步工作夯实基础。我乡评价得分</w:t>
      </w:r>
      <w:r>
        <w:rPr>
          <w:rFonts w:hint="eastAsia" w:ascii="仿宋_GB2312" w:eastAsia="仿宋_GB2312"/>
          <w:color w:val="000000"/>
          <w:sz w:val="32"/>
          <w:szCs w:val="32"/>
          <w:lang w:val="en-US" w:eastAsia="zh-CN"/>
        </w:rPr>
        <w:t>94</w:t>
      </w:r>
      <w:r>
        <w:rPr>
          <w:rFonts w:hint="eastAsia" w:ascii="仿宋_GB2312" w:eastAsia="仿宋_GB2312"/>
          <w:color w:val="000000"/>
          <w:sz w:val="32"/>
          <w:szCs w:val="32"/>
          <w:lang w:val="zh-CN" w:eastAsia="zh-CN"/>
        </w:rPr>
        <w:t>分，整体评价良好，预算收入和支出相符。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（二）存在问题。</w:t>
      </w:r>
    </w:p>
    <w:p>
      <w:pPr>
        <w:pStyle w:val="2"/>
        <w:numPr>
          <w:ilvl w:val="0"/>
          <w:numId w:val="0"/>
        </w:numPr>
        <w:rPr>
          <w:rFonts w:hint="default" w:eastAsia="宋体"/>
          <w:lang w:val="en-US" w:eastAsia="zh-CN"/>
        </w:rPr>
      </w:pPr>
      <w:r>
        <w:rPr>
          <w:rFonts w:hint="eastAsia"/>
          <w:lang w:val="en-US" w:eastAsia="zh-CN"/>
        </w:rPr>
        <w:t xml:space="preserve">      </w:t>
      </w:r>
      <w:r>
        <w:rPr>
          <w:rFonts w:hint="eastAsia" w:ascii="仿宋_GB2312" w:hAnsi="仿宋_GB2312" w:eastAsia="仿宋_GB2312" w:cs="仿宋_GB2312"/>
          <w:bCs/>
          <w:kern w:val="2"/>
          <w:sz w:val="32"/>
          <w:szCs w:val="32"/>
          <w:lang w:val="zh-CN" w:eastAsia="zh-CN" w:bidi="ar-SA"/>
        </w:rPr>
        <w:t>一是资金使用效益有待进一步提高；二是预算编制先见性不足，与实际支出存在偏差；三是绩效目标设立不够明确、细化和量化。虽然设立了项目资金绩效目标，但目标不够明确、细化和量化。</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eastAsia="仿宋_GB2312"/>
          <w:b/>
          <w:bCs/>
          <w:color w:val="000000"/>
          <w:sz w:val="32"/>
          <w:szCs w:val="32"/>
          <w:lang w:val="zh-CN" w:eastAsia="zh-CN"/>
        </w:rPr>
      </w:pPr>
      <w:r>
        <w:rPr>
          <w:rFonts w:hint="eastAsia" w:ascii="仿宋_GB2312" w:eastAsia="仿宋_GB2312"/>
          <w:b/>
          <w:bCs/>
          <w:color w:val="000000"/>
          <w:sz w:val="32"/>
          <w:szCs w:val="32"/>
          <w:lang w:val="zh-CN" w:eastAsia="zh-CN"/>
        </w:rPr>
        <w:t>（三）改进建议。</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 xml:space="preserve"> </w:t>
      </w:r>
      <w:r>
        <w:rPr>
          <w:rFonts w:hint="eastAsia" w:ascii="仿宋_GB2312" w:eastAsia="仿宋_GB2312"/>
          <w:color w:val="000000"/>
          <w:sz w:val="32"/>
          <w:szCs w:val="32"/>
        </w:rPr>
        <w:t>一是</w:t>
      </w:r>
      <w:r>
        <w:rPr>
          <w:rFonts w:hint="eastAsia" w:ascii="仿宋_GB2312" w:eastAsia="仿宋_GB2312"/>
          <w:color w:val="000000"/>
          <w:sz w:val="32"/>
          <w:szCs w:val="32"/>
          <w:lang w:eastAsia="zh-CN"/>
        </w:rPr>
        <w:t>提高资金使用效益</w:t>
      </w:r>
      <w:r>
        <w:rPr>
          <w:rFonts w:hint="eastAsia" w:ascii="仿宋_GB2312" w:eastAsia="仿宋_GB2312"/>
          <w:color w:val="000000"/>
          <w:sz w:val="32"/>
          <w:szCs w:val="32"/>
        </w:rPr>
        <w:t>，二是认真做好预算的编制，细化预算编制</w:t>
      </w:r>
      <w:r>
        <w:rPr>
          <w:rFonts w:hint="eastAsia" w:ascii="仿宋_GB2312" w:eastAsia="仿宋_GB2312"/>
          <w:color w:val="000000"/>
          <w:sz w:val="32"/>
          <w:szCs w:val="32"/>
          <w:lang w:eastAsia="zh-CN"/>
        </w:rPr>
        <w:t>，三是</w:t>
      </w:r>
      <w:r>
        <w:rPr>
          <w:rFonts w:hint="eastAsia" w:ascii="仿宋_GB2312" w:eastAsia="仿宋_GB2312"/>
          <w:color w:val="000000"/>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keepNext w:val="0"/>
        <w:keepLines w:val="0"/>
        <w:widowControl w:val="0"/>
        <w:suppressLineNumbers w:val="0"/>
        <w:adjustRightInd w:val="0"/>
        <w:snapToGrid w:val="0"/>
        <w:spacing w:before="0" w:beforeAutospacing="0" w:after="0" w:afterAutospacing="0" w:line="580" w:lineRule="exact"/>
        <w:ind w:right="0"/>
        <w:jc w:val="center"/>
        <w:rPr>
          <w:rFonts w:hint="eastAsia" w:ascii="方正小标宋简体" w:hAnsi="方正小标宋简体" w:eastAsia="方正小标宋简体" w:cs="方正小标宋简体"/>
          <w:b w:val="0"/>
          <w:bCs w:val="0"/>
          <w:kern w:val="2"/>
          <w:sz w:val="44"/>
          <w:szCs w:val="44"/>
          <w:lang w:val="en-US" w:eastAsia="zh-CN" w:bidi="ar"/>
        </w:rPr>
      </w:pPr>
      <w:r>
        <w:rPr>
          <w:rFonts w:hint="eastAsia" w:ascii="方正小标宋简体" w:hAnsi="方正小标宋简体" w:eastAsia="方正小标宋简体" w:cs="方正小标宋简体"/>
          <w:b w:val="0"/>
          <w:bCs w:val="0"/>
          <w:kern w:val="2"/>
          <w:sz w:val="44"/>
          <w:szCs w:val="44"/>
          <w:lang w:val="en-US" w:eastAsia="zh-CN" w:bidi="ar"/>
        </w:rPr>
        <w:t>红原县查尔玛乡人民政府</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方正小标宋简体" w:eastAsia="方正小标宋简体" w:cs="方正小标宋简体"/>
          <w:b w:val="0"/>
          <w:bCs w:val="0"/>
          <w:kern w:val="2"/>
          <w:sz w:val="44"/>
          <w:szCs w:val="44"/>
          <w:lang w:val="en-US" w:eastAsia="zh-CN" w:bidi="ar"/>
        </w:rPr>
        <w:t>红原县查尔玛乡2019年查龙村排水沟等附属设施建设</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hint="eastAsia" w:ascii="仿宋_GB2312" w:hAnsi="宋体" w:eastAsia="仿宋_GB2312" w:cs="仿宋_GB2312"/>
          <w:b/>
          <w:bCs/>
          <w:kern w:val="2"/>
          <w:sz w:val="32"/>
          <w:szCs w:val="24"/>
          <w:lang w:val="zh-CN" w:eastAsia="zh-CN" w:bidi="ar"/>
        </w:rPr>
      </w:pPr>
      <w:r>
        <w:rPr>
          <w:rFonts w:hint="eastAsia" w:ascii="仿宋_GB2312" w:hAnsi="宋体" w:eastAsia="仿宋_GB2312" w:cs="仿宋_GB2312"/>
          <w:b/>
          <w:bCs/>
          <w:kern w:val="2"/>
          <w:sz w:val="32"/>
          <w:szCs w:val="24"/>
          <w:lang w:val="zh-CN" w:eastAsia="zh-CN" w:bidi="ar"/>
        </w:rPr>
        <w:t>（一）项目基本情况。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严格执行涉农补助项目建设管理相关要求</w:t>
      </w:r>
      <w:r>
        <w:rPr>
          <w:rFonts w:hint="eastAsia" w:ascii="仿宋_GB2312" w:hAnsi="仿宋_GB2312" w:eastAsia="仿宋_GB2312" w:cs="仿宋_GB2312"/>
          <w:spacing w:val="6"/>
          <w:sz w:val="32"/>
          <w:szCs w:val="32"/>
          <w:lang w:eastAsia="zh-CN"/>
        </w:rPr>
        <w:t>，</w:t>
      </w:r>
      <w:r>
        <w:rPr>
          <w:rFonts w:hint="eastAsia" w:ascii="仿宋_GB2312" w:hAnsi="宋体" w:eastAsia="仿宋_GB2312" w:cs="仿宋_GB2312"/>
          <w:kern w:val="2"/>
          <w:sz w:val="32"/>
          <w:szCs w:val="24"/>
          <w:lang w:val="en-US" w:eastAsia="zh-CN" w:bidi="ar"/>
        </w:rPr>
        <w:t>成立了由乡党委书记、乡长任组长的领导小组，</w:t>
      </w:r>
      <w:r>
        <w:rPr>
          <w:rFonts w:hint="eastAsia" w:ascii="仿宋_GB2312" w:hAnsi="宋体" w:eastAsia="仿宋_GB2312" w:cs="仿宋_GB2312"/>
          <w:kern w:val="2"/>
          <w:sz w:val="32"/>
          <w:szCs w:val="24"/>
          <w:lang w:val="zh-CN" w:eastAsia="zh-CN" w:bidi="ar"/>
        </w:rPr>
        <w:t>严格项目管理及实施。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cs="仿宋_GB2312"/>
          <w:kern w:val="2"/>
          <w:sz w:val="32"/>
          <w:szCs w:val="24"/>
          <w:lang w:val="zh-CN" w:eastAsia="zh-CN" w:bidi="ar"/>
        </w:rPr>
        <w:t>项目申报内容实施内容相符、合理可行。</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cs="仿宋_GB2312"/>
          <w:kern w:val="2"/>
          <w:sz w:val="32"/>
          <w:szCs w:val="24"/>
          <w:lang w:val="zh-CN" w:eastAsia="zh-CN" w:bidi="ar"/>
        </w:rPr>
        <w:t>该项目资金申报、批复等符合资金管理办法等相关规定。</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600" w:lineRule="exact"/>
        <w:ind w:firstLine="720"/>
        <w:rPr>
          <w:rFonts w:hint="eastAsia" w:ascii="仿宋_GB2312" w:hAnsi="仿宋_GB2312" w:eastAsia="仿宋_GB2312" w:cs="仿宋_GB2312"/>
          <w:b/>
          <w:bCs w:val="0"/>
          <w:sz w:val="32"/>
          <w:lang w:val="zh-CN" w:eastAsia="zh-CN"/>
        </w:rPr>
      </w:pPr>
      <w:r>
        <w:rPr>
          <w:rFonts w:hint="eastAsia" w:ascii="仿宋_GB2312" w:hAnsi="仿宋_GB2312" w:eastAsia="仿宋_GB2312" w:cs="仿宋_GB2312"/>
          <w:b/>
          <w:bCs w:val="0"/>
          <w:sz w:val="32"/>
          <w:lang w:val="zh-CN" w:eastAsia="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en-US" w:eastAsia="zh-CN" w:bidi="ar"/>
        </w:rPr>
        <w:t>完成了新</w:t>
      </w:r>
      <w:r>
        <w:rPr>
          <w:rFonts w:hint="eastAsia" w:ascii="仿宋_GB2312" w:hAnsi="仿宋_GB2312" w:eastAsia="仿宋_GB2312" w:cs="仿宋_GB2312"/>
          <w:bCs/>
          <w:sz w:val="32"/>
          <w:lang w:val="en-US" w:eastAsia="zh-CN"/>
        </w:rPr>
        <w:t>建排水沟230米，涵洞1处及附属设施建设。该项目于2019年6月签订合同，于2019年10月完成项目建设内</w:t>
      </w:r>
      <w:r>
        <w:rPr>
          <w:rFonts w:hint="eastAsia" w:ascii="仿宋_GB2312" w:hAnsi="宋体" w:eastAsia="仿宋_GB2312" w:cs="仿宋_GB2312"/>
          <w:kern w:val="2"/>
          <w:sz w:val="32"/>
          <w:szCs w:val="24"/>
          <w:lang w:val="en-US" w:eastAsia="zh-CN" w:bidi="ar"/>
        </w:rPr>
        <w:t>容并完成95%的资金拨付。该项目良好完成计划目标，截止评价时已完成任务量100%，符合相关质量标准，符合成本控制目标。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kern w:val="2"/>
          <w:sz w:val="32"/>
          <w:szCs w:val="24"/>
          <w:lang w:val="en-US" w:eastAsia="zh-CN" w:bidi="ar"/>
        </w:rPr>
        <w:t>该项目于2019年6月签订合同，于2019年10月完成项目建设内容并完成95%的资金拨付。该项目良好完成计划目标，截止评价时已完成任务量100%，符合相关质量标准，符合成本控制目标。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kern w:val="2"/>
          <w:sz w:val="32"/>
          <w:szCs w:val="24"/>
          <w:lang w:val="zh-CN" w:eastAsia="zh-CN" w:bidi="ar"/>
        </w:rPr>
        <w:t>项目申报内容与实施内容相符、合理可行。</w:t>
      </w:r>
    </w:p>
    <w:p>
      <w:pPr>
        <w:adjustRightInd w:val="0"/>
        <w:snapToGrid w:val="0"/>
        <w:spacing w:line="600" w:lineRule="exact"/>
        <w:ind w:firstLine="72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hint="eastAsia" w:ascii="仿宋_GB2312" w:hAnsi="宋体" w:eastAsia="仿宋_GB2312" w:cs="仿宋_GB2312"/>
          <w:b/>
          <w:bCs/>
          <w:kern w:val="2"/>
          <w:sz w:val="32"/>
          <w:szCs w:val="24"/>
          <w:lang w:val="zh-CN" w:eastAsia="zh-CN" w:bidi="ar"/>
        </w:rPr>
      </w:pPr>
      <w:r>
        <w:rPr>
          <w:rFonts w:hint="eastAsia" w:ascii="仿宋_GB2312" w:hAnsi="宋体" w:eastAsia="仿宋_GB2312" w:cs="仿宋_GB2312"/>
          <w:b/>
          <w:bCs/>
          <w:kern w:val="2"/>
          <w:sz w:val="32"/>
          <w:szCs w:val="24"/>
          <w:lang w:val="zh-CN" w:eastAsia="zh-CN" w:bidi="ar"/>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cs="仿宋_GB2312"/>
          <w:kern w:val="2"/>
          <w:sz w:val="32"/>
          <w:szCs w:val="24"/>
          <w:lang w:val="zh-CN" w:eastAsia="zh-CN" w:bidi="ar"/>
        </w:rPr>
        <w:t>该项目资金申报、批复等符合资金管理办法等相关规定。</w:t>
      </w:r>
    </w:p>
    <w:p>
      <w:pPr>
        <w:adjustRightInd w:val="0"/>
        <w:snapToGrid w:val="0"/>
        <w:spacing w:line="600" w:lineRule="exact"/>
        <w:ind w:firstLine="720"/>
        <w:rPr>
          <w:rFonts w:hint="eastAsia" w:ascii="仿宋_GB2312" w:hAnsi="宋体" w:eastAsia="仿宋_GB2312" w:cs="仿宋_GB2312"/>
          <w:b/>
          <w:bCs/>
          <w:kern w:val="2"/>
          <w:sz w:val="32"/>
          <w:szCs w:val="24"/>
          <w:lang w:val="zh-CN" w:eastAsia="zh-CN" w:bidi="ar"/>
        </w:rPr>
      </w:pPr>
      <w:r>
        <w:rPr>
          <w:rFonts w:hint="eastAsia" w:ascii="仿宋_GB2312" w:hAnsi="宋体" w:eastAsia="仿宋_GB2312" w:cs="仿宋_GB2312"/>
          <w:b/>
          <w:bCs/>
          <w:kern w:val="2"/>
          <w:sz w:val="32"/>
          <w:szCs w:val="24"/>
          <w:lang w:val="zh-CN" w:eastAsia="zh-CN" w:bidi="ar"/>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cs="仿宋_GB2312"/>
          <w:kern w:val="2"/>
          <w:sz w:val="32"/>
          <w:szCs w:val="24"/>
          <w:lang w:val="zh-CN" w:eastAsia="zh-CN" w:bidi="ar"/>
        </w:rPr>
        <w:t>该项目资金来源于</w:t>
      </w:r>
      <w:r>
        <w:rPr>
          <w:rFonts w:hint="eastAsia" w:ascii="仿宋_GB2312" w:hAnsi="宋体" w:eastAsia="仿宋_GB2312" w:cs="仿宋_GB2312"/>
          <w:kern w:val="2"/>
          <w:sz w:val="32"/>
          <w:szCs w:val="24"/>
          <w:lang w:val="en-US" w:eastAsia="zh-CN" w:bidi="ar"/>
        </w:rPr>
        <w:t>2019年</w:t>
      </w:r>
      <w:r>
        <w:rPr>
          <w:rFonts w:hint="eastAsia" w:ascii="仿宋_GB2312" w:hAnsi="宋体" w:eastAsia="仿宋_GB2312" w:cs="仿宋_GB2312"/>
          <w:kern w:val="2"/>
          <w:sz w:val="32"/>
          <w:szCs w:val="24"/>
          <w:lang w:val="zh-CN" w:eastAsia="zh-CN" w:bidi="ar"/>
        </w:rPr>
        <w:t>年脱贫攻坚资金计划第一批</w:t>
      </w:r>
      <w:r>
        <w:rPr>
          <w:rFonts w:hint="eastAsia" w:ascii="仿宋_GB2312" w:hAnsi="仿宋" w:eastAsia="仿宋_GB2312"/>
          <w:sz w:val="32"/>
          <w:szCs w:val="32"/>
          <w:lang w:eastAsia="zh-CN"/>
        </w:rPr>
        <w:t>，</w:t>
      </w:r>
      <w:r>
        <w:rPr>
          <w:rFonts w:hint="eastAsia" w:ascii="仿宋_GB2312" w:hAnsi="宋体" w:eastAsia="仿宋_GB2312" w:cs="仿宋_GB2312"/>
          <w:kern w:val="2"/>
          <w:sz w:val="32"/>
          <w:szCs w:val="24"/>
          <w:lang w:val="en-US" w:eastAsia="zh-CN" w:bidi="ar"/>
        </w:rPr>
        <w:t xml:space="preserve"> 资金下达10万元</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2．资金到位。该项目资金来源于</w:t>
      </w:r>
      <w:r>
        <w:rPr>
          <w:rFonts w:hint="eastAsia" w:ascii="仿宋_GB2312" w:hAnsi="宋体" w:eastAsia="仿宋_GB2312" w:cs="仿宋_GB2312"/>
          <w:kern w:val="2"/>
          <w:sz w:val="32"/>
          <w:szCs w:val="24"/>
          <w:lang w:val="en-US" w:eastAsia="zh-CN" w:bidi="ar"/>
        </w:rPr>
        <w:t>2019年</w:t>
      </w:r>
      <w:r>
        <w:rPr>
          <w:rFonts w:hint="eastAsia" w:ascii="仿宋_GB2312" w:hAnsi="宋体" w:eastAsia="仿宋_GB2312" w:cs="仿宋_GB2312"/>
          <w:kern w:val="2"/>
          <w:sz w:val="32"/>
          <w:szCs w:val="24"/>
          <w:lang w:val="zh-CN" w:eastAsia="zh-CN" w:bidi="ar"/>
        </w:rPr>
        <w:t>年脱贫攻坚资金计划第一批，</w:t>
      </w:r>
      <w:r>
        <w:rPr>
          <w:rFonts w:hint="eastAsia" w:ascii="仿宋_GB2312" w:hAnsi="宋体" w:eastAsia="仿宋_GB2312" w:cs="仿宋_GB2312"/>
          <w:kern w:val="2"/>
          <w:sz w:val="32"/>
          <w:szCs w:val="24"/>
          <w:lang w:val="en-US" w:eastAsia="zh-CN" w:bidi="ar"/>
        </w:rPr>
        <w:t xml:space="preserve"> 资金下达10万元，</w:t>
      </w:r>
      <w:r>
        <w:rPr>
          <w:rFonts w:hint="eastAsia" w:ascii="仿宋_GB2312" w:hAnsi="宋体" w:eastAsia="仿宋_GB2312" w:cs="仿宋_GB2312"/>
          <w:kern w:val="2"/>
          <w:sz w:val="32"/>
          <w:szCs w:val="24"/>
          <w:lang w:val="zh-CN" w:eastAsia="zh-CN" w:bidi="ar"/>
        </w:rPr>
        <w:t>资金到位资金到位率</w:t>
      </w:r>
      <w:r>
        <w:rPr>
          <w:rFonts w:hint="eastAsia" w:ascii="仿宋_GB2312" w:hAnsi="宋体" w:eastAsia="仿宋_GB2312" w:cs="仿宋_GB2312"/>
          <w:kern w:val="2"/>
          <w:sz w:val="32"/>
          <w:szCs w:val="24"/>
          <w:lang w:val="en-US" w:eastAsia="zh-CN" w:bidi="ar"/>
        </w:rPr>
        <w:t>100%</w:t>
      </w:r>
      <w:r>
        <w:rPr>
          <w:rFonts w:hint="eastAsia" w:ascii="仿宋_GB2312" w:hAnsi="宋体" w:eastAsia="仿宋_GB2312" w:cs="仿宋_GB2312"/>
          <w:kern w:val="2"/>
          <w:sz w:val="32"/>
          <w:szCs w:val="24"/>
          <w:lang w:val="zh-CN" w:eastAsia="zh-CN" w:bidi="ar"/>
        </w:rPr>
        <w:t>，下达及时。</w:t>
      </w:r>
    </w:p>
    <w:p>
      <w:pPr>
        <w:adjustRightInd w:val="0"/>
        <w:snapToGrid w:val="0"/>
        <w:spacing w:line="600" w:lineRule="exact"/>
        <w:ind w:firstLine="720"/>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3．资金使用。截止目前，项目使用</w:t>
      </w:r>
      <w:r>
        <w:rPr>
          <w:rFonts w:hint="eastAsia" w:ascii="仿宋_GB2312" w:hAnsi="宋体" w:eastAsia="仿宋_GB2312" w:cs="仿宋_GB2312"/>
          <w:kern w:val="2"/>
          <w:sz w:val="32"/>
          <w:szCs w:val="24"/>
          <w:lang w:val="en-US" w:eastAsia="zh-CN" w:bidi="ar"/>
        </w:rPr>
        <w:t>100000元，其中</w:t>
      </w:r>
      <w:r>
        <w:rPr>
          <w:rFonts w:hint="eastAsia" w:ascii="仿宋_GB2312" w:hAnsi="宋体" w:eastAsia="仿宋_GB2312" w:cs="仿宋_GB2312"/>
          <w:kern w:val="2"/>
          <w:sz w:val="32"/>
          <w:szCs w:val="24"/>
          <w:lang w:val="zh-CN" w:eastAsia="zh-CN" w:bidi="ar"/>
        </w:rPr>
        <w:t>已拨付项目资金</w:t>
      </w:r>
      <w:r>
        <w:rPr>
          <w:rFonts w:hint="eastAsia" w:ascii="仿宋_GB2312" w:hAnsi="宋体" w:eastAsia="仿宋_GB2312" w:cs="仿宋_GB2312"/>
          <w:kern w:val="2"/>
          <w:sz w:val="32"/>
          <w:szCs w:val="24"/>
          <w:lang w:val="en-US" w:eastAsia="zh-CN" w:bidi="ar"/>
        </w:rPr>
        <w:t>95000元占95%，质保金剩余5000元占5%</w:t>
      </w:r>
      <w:r>
        <w:rPr>
          <w:rFonts w:hint="eastAsia" w:ascii="仿宋_GB2312" w:hAnsi="宋体" w:eastAsia="仿宋_GB2312" w:cs="仿宋_GB2312"/>
          <w:kern w:val="2"/>
          <w:sz w:val="32"/>
          <w:szCs w:val="24"/>
          <w:lang w:val="zh-CN" w:eastAsia="zh-CN" w:bidi="ar"/>
        </w:rPr>
        <w:t>，支付依据合规合法，资金支付与预算相符。</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b/>
          <w:bCs/>
          <w:kern w:val="2"/>
          <w:sz w:val="32"/>
          <w:szCs w:val="24"/>
          <w:lang w:val="zh-CN" w:eastAsia="zh-CN" w:bidi="ar"/>
        </w:rPr>
      </w:pPr>
      <w:r>
        <w:rPr>
          <w:rFonts w:hint="eastAsia" w:ascii="仿宋_GB2312" w:hAnsi="宋体" w:eastAsia="仿宋_GB2312" w:cs="仿宋_GB2312"/>
          <w:b/>
          <w:bCs/>
          <w:kern w:val="2"/>
          <w:sz w:val="32"/>
          <w:szCs w:val="24"/>
          <w:lang w:val="zh-CN" w:eastAsia="zh-CN" w:bidi="ar"/>
        </w:rPr>
        <w:t>（三）项目财务管理情况。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lang w:val="zh-CN" w:eastAsia="zh-CN"/>
        </w:rPr>
      </w:pP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严格执行涉农补助项目建设管理相关要求</w:t>
      </w:r>
      <w:r>
        <w:rPr>
          <w:rFonts w:hint="eastAsia" w:ascii="仿宋_GB2312" w:hAnsi="仿宋_GB2312" w:eastAsia="仿宋_GB2312" w:cs="仿宋_GB2312"/>
          <w:spacing w:val="6"/>
          <w:sz w:val="32"/>
          <w:szCs w:val="32"/>
          <w:lang w:eastAsia="zh-CN"/>
        </w:rPr>
        <w:t>，</w:t>
      </w:r>
      <w:r>
        <w:rPr>
          <w:rFonts w:hint="eastAsia" w:ascii="仿宋_GB2312" w:hAnsi="宋体" w:eastAsia="仿宋_GB2312" w:cs="仿宋_GB2312"/>
          <w:kern w:val="2"/>
          <w:sz w:val="32"/>
          <w:szCs w:val="24"/>
          <w:lang w:val="zh-CN" w:eastAsia="zh-CN" w:bidi="ar"/>
        </w:rPr>
        <w:t>建立健全了财务管理制度</w:t>
      </w:r>
      <w:r>
        <w:rPr>
          <w:rFonts w:hint="eastAsia" w:ascii="仿宋_GB2312" w:hAnsi="宋体" w:eastAsia="仿宋_GB2312" w:cs="仿宋_GB2312"/>
          <w:kern w:val="2"/>
          <w:sz w:val="32"/>
          <w:szCs w:val="24"/>
          <w:lang w:val="en-US" w:eastAsia="zh-CN" w:bidi="ar"/>
        </w:rPr>
        <w:t xml:space="preserve"> ，并成立了由乡党委书记、乡长任组长的领导小组，</w:t>
      </w:r>
      <w:r>
        <w:rPr>
          <w:rFonts w:hint="eastAsia" w:ascii="仿宋_GB2312" w:hAnsi="宋体" w:eastAsia="仿宋_GB2312" w:cs="仿宋_GB2312"/>
          <w:kern w:val="2"/>
          <w:sz w:val="32"/>
          <w:szCs w:val="24"/>
          <w:lang w:val="zh-CN" w:eastAsia="zh-CN" w:bidi="ar"/>
        </w:rPr>
        <w:t>严格执行财务管理制度，督促项目管理及实施，财务处理及时、会计核算规范。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hAnsi="宋体" w:eastAsia="仿宋_GB2312"/>
          <w:sz w:val="32"/>
          <w:szCs w:val="32"/>
          <w:lang w:val="zh-CN"/>
        </w:rPr>
      </w:pPr>
      <w:r>
        <w:rPr>
          <w:rFonts w:hint="eastAsia" w:ascii="仿宋_GB2312" w:hAnsi="宋体" w:eastAsia="仿宋_GB2312" w:cs="仿宋_GB2312"/>
          <w:kern w:val="2"/>
          <w:sz w:val="32"/>
          <w:szCs w:val="24"/>
          <w:lang w:val="en-US" w:eastAsia="zh-CN" w:bidi="ar"/>
        </w:rPr>
        <w:t>根据该项目开展的实际情况和</w:t>
      </w:r>
      <w:r>
        <w:rPr>
          <w:rFonts w:hint="eastAsia" w:ascii="仿宋_GB2312" w:hAnsi="宋体" w:eastAsia="仿宋_GB2312" w:cs="仿宋_GB2312"/>
          <w:kern w:val="2"/>
          <w:sz w:val="32"/>
          <w:szCs w:val="24"/>
          <w:lang w:val="zh-CN" w:eastAsia="zh-CN" w:bidi="ar"/>
        </w:rPr>
        <w:t>项目特点，</w:t>
      </w:r>
      <w:r>
        <w:rPr>
          <w:rFonts w:hint="eastAsia" w:ascii="仿宋_GB2312" w:hAnsi="宋体" w:eastAsia="仿宋_GB2312" w:cs="仿宋_GB2312"/>
          <w:kern w:val="2"/>
          <w:sz w:val="32"/>
          <w:szCs w:val="24"/>
          <w:lang w:val="en-US" w:eastAsia="zh-CN" w:bidi="ar"/>
        </w:rPr>
        <w:t>在项目实施过程中县科学技术和农业畜牧局、县扶贫移民局、县财政局、县发改局、查尔玛人民政府的管理是到位的，是严格执行相关流程和符合法律规范的。该</w:t>
      </w:r>
      <w:r>
        <w:rPr>
          <w:rFonts w:hint="eastAsia" w:ascii="仿宋_GB2312" w:hAnsi="宋体" w:eastAsia="仿宋_GB2312" w:cs="仿宋_GB2312"/>
          <w:kern w:val="2"/>
          <w:sz w:val="32"/>
          <w:szCs w:val="24"/>
          <w:lang w:val="zh-CN" w:eastAsia="zh-CN" w:bidi="ar"/>
        </w:rPr>
        <w:t>项目主管部门为加强项目管理</w:t>
      </w:r>
      <w:r>
        <w:rPr>
          <w:rFonts w:hint="eastAsia" w:ascii="仿宋_GB2312" w:hAnsi="宋体" w:eastAsia="仿宋_GB2312" w:cs="仿宋_GB2312"/>
          <w:kern w:val="2"/>
          <w:sz w:val="32"/>
          <w:szCs w:val="24"/>
          <w:lang w:val="en-US" w:eastAsia="zh-CN" w:bidi="ar"/>
        </w:rPr>
        <w:t>高度重视开展项目监督工作</w:t>
      </w:r>
      <w:r>
        <w:rPr>
          <w:rFonts w:hint="eastAsia" w:ascii="仿宋_GB2312" w:hAnsi="宋体" w:eastAsia="仿宋_GB2312" w:cs="仿宋_GB2312"/>
          <w:kern w:val="2"/>
          <w:sz w:val="32"/>
          <w:szCs w:val="24"/>
          <w:lang w:val="zh-CN" w:eastAsia="zh-CN" w:bidi="ar"/>
        </w:rPr>
        <w:t>、</w:t>
      </w:r>
      <w:r>
        <w:rPr>
          <w:rFonts w:hint="eastAsia" w:ascii="仿宋_GB2312" w:hAnsi="宋体" w:eastAsia="仿宋_GB2312" w:cs="仿宋_GB2312"/>
          <w:kern w:val="2"/>
          <w:sz w:val="32"/>
          <w:szCs w:val="24"/>
          <w:lang w:val="en-US" w:eastAsia="zh-CN" w:bidi="ar"/>
        </w:rPr>
        <w:t>严把</w:t>
      </w:r>
      <w:r>
        <w:rPr>
          <w:rFonts w:hint="eastAsia" w:ascii="仿宋_GB2312" w:hAnsi="宋体" w:eastAsia="仿宋_GB2312" w:cs="仿宋_GB2312"/>
          <w:kern w:val="2"/>
          <w:sz w:val="32"/>
          <w:szCs w:val="24"/>
          <w:lang w:val="zh-CN" w:eastAsia="zh-CN" w:bidi="ar"/>
        </w:rPr>
        <w:t>监管程序，</w:t>
      </w:r>
      <w:r>
        <w:rPr>
          <w:rFonts w:hint="eastAsia" w:ascii="仿宋_GB2312" w:hAnsi="宋体" w:eastAsia="仿宋_GB2312" w:cs="仿宋_GB2312"/>
          <w:kern w:val="2"/>
          <w:sz w:val="32"/>
          <w:szCs w:val="24"/>
          <w:lang w:val="en-US" w:eastAsia="zh-CN" w:bidi="ar"/>
        </w:rPr>
        <w:t>对项目实施过程中达到了良好的监管效果。</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仿宋_GB2312" w:eastAsia="仿宋_GB2312" w:cs="仿宋_GB2312"/>
          <w:b/>
          <w:bCs/>
          <w:spacing w:val="6"/>
          <w:sz w:val="32"/>
          <w:szCs w:val="32"/>
          <w:lang w:val="zh-CN"/>
        </w:rPr>
        <w:t>（一）项目组织架构及实施流程。</w:t>
      </w: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严格执行涉农补助项目建设管理相关要求</w:t>
      </w:r>
      <w:r>
        <w:rPr>
          <w:rFonts w:hint="eastAsia" w:ascii="仿宋_GB2312" w:hAnsi="仿宋_GB2312" w:eastAsia="仿宋_GB2312" w:cs="仿宋_GB2312"/>
          <w:spacing w:val="6"/>
          <w:sz w:val="32"/>
          <w:szCs w:val="32"/>
          <w:lang w:eastAsia="zh-CN"/>
        </w:rPr>
        <w:t>，</w:t>
      </w:r>
      <w:r>
        <w:rPr>
          <w:rFonts w:hint="eastAsia" w:ascii="仿宋_GB2312" w:hAnsi="宋体" w:eastAsia="仿宋_GB2312" w:cs="仿宋_GB2312"/>
          <w:kern w:val="2"/>
          <w:sz w:val="32"/>
          <w:szCs w:val="24"/>
          <w:lang w:val="zh-CN" w:eastAsia="zh-CN" w:bidi="ar"/>
        </w:rPr>
        <w:t>建立健全了财务管理制度</w:t>
      </w:r>
      <w:r>
        <w:rPr>
          <w:rFonts w:hint="eastAsia" w:ascii="仿宋_GB2312" w:hAnsi="宋体" w:eastAsia="仿宋_GB2312" w:cs="仿宋_GB2312"/>
          <w:kern w:val="2"/>
          <w:sz w:val="32"/>
          <w:szCs w:val="24"/>
          <w:lang w:val="en-US" w:eastAsia="zh-CN" w:bidi="ar"/>
        </w:rPr>
        <w:t xml:space="preserve"> ，并成立了由乡党委书记、乡长任组长的领导小组，</w:t>
      </w:r>
      <w:r>
        <w:rPr>
          <w:rFonts w:hint="eastAsia" w:ascii="仿宋_GB2312" w:hAnsi="宋体" w:eastAsia="仿宋_GB2312" w:cs="仿宋_GB2312"/>
          <w:kern w:val="2"/>
          <w:sz w:val="32"/>
          <w:szCs w:val="24"/>
          <w:lang w:val="zh-CN" w:eastAsia="zh-CN" w:bidi="ar"/>
        </w:rPr>
        <w:t>严格执行财务管理制度，督促项目管理及实施。</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hAnsi="宋体" w:eastAsia="仿宋_GB2312"/>
          <w:sz w:val="32"/>
          <w:szCs w:val="32"/>
          <w:lang w:val="zh-CN"/>
        </w:rPr>
      </w:pPr>
      <w:r>
        <w:rPr>
          <w:rFonts w:hint="eastAsia" w:ascii="仿宋_GB2312" w:hAnsi="宋体" w:eastAsia="仿宋_GB2312" w:cs="仿宋_GB2312"/>
          <w:b/>
          <w:bCs/>
          <w:kern w:val="2"/>
          <w:sz w:val="32"/>
          <w:szCs w:val="24"/>
          <w:lang w:val="zh-CN" w:eastAsia="zh-CN" w:bidi="ar"/>
        </w:rPr>
        <w:t>（二）项目管理情况。</w:t>
      </w: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zh-CN" w:eastAsia="zh-CN" w:bidi="ar"/>
        </w:rPr>
        <w:t>实施单位</w:t>
      </w:r>
      <w:r>
        <w:rPr>
          <w:rFonts w:hint="eastAsia" w:ascii="仿宋_GB2312" w:hAnsi="宋体" w:eastAsia="仿宋_GB2312" w:cs="仿宋_GB2312"/>
          <w:kern w:val="2"/>
          <w:sz w:val="32"/>
          <w:szCs w:val="24"/>
          <w:lang w:val="en-US" w:eastAsia="zh-CN" w:bidi="ar"/>
        </w:rPr>
        <w:t>红原县查尔玛乡人民政府</w:t>
      </w:r>
      <w:r>
        <w:rPr>
          <w:rFonts w:hint="eastAsia" w:ascii="仿宋_GB2312" w:hAnsi="仿宋_GB2312" w:eastAsia="仿宋_GB2312" w:cs="仿宋_GB2312"/>
          <w:spacing w:val="6"/>
          <w:sz w:val="32"/>
          <w:szCs w:val="32"/>
        </w:rPr>
        <w:t>严格执行涉农补助项目建设管理相关要求</w:t>
      </w:r>
      <w:r>
        <w:rPr>
          <w:rFonts w:hint="eastAsia" w:ascii="仿宋_GB2312" w:hAnsi="宋体" w:eastAsia="仿宋_GB2312" w:cs="仿宋_GB2312"/>
          <w:kern w:val="2"/>
          <w:sz w:val="32"/>
          <w:szCs w:val="24"/>
          <w:lang w:val="en-US" w:eastAsia="zh-CN" w:bidi="ar"/>
        </w:rPr>
        <w:t>，成立了由乡党委书记、乡长任组长的领导小组，</w:t>
      </w:r>
      <w:r>
        <w:rPr>
          <w:rFonts w:hint="eastAsia" w:ascii="仿宋_GB2312" w:hAnsi="宋体" w:eastAsia="仿宋_GB2312" w:cs="仿宋_GB2312"/>
          <w:kern w:val="2"/>
          <w:sz w:val="32"/>
          <w:szCs w:val="24"/>
          <w:lang w:val="zh-CN" w:eastAsia="zh-CN" w:bidi="ar"/>
        </w:rPr>
        <w:t>严格督促项目管理及实施，财务等的规范。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ascii="仿宋_GB2312" w:hAnsi="宋体" w:eastAsia="仿宋_GB2312"/>
          <w:sz w:val="32"/>
          <w:szCs w:val="32"/>
          <w:lang w:val="zh-CN"/>
        </w:rPr>
      </w:pPr>
      <w:r>
        <w:rPr>
          <w:rFonts w:hint="eastAsia" w:ascii="仿宋_GB2312" w:hAnsi="宋体" w:eastAsia="仿宋_GB2312" w:cs="仿宋_GB2312"/>
          <w:b/>
          <w:bCs/>
          <w:kern w:val="2"/>
          <w:sz w:val="32"/>
          <w:szCs w:val="24"/>
          <w:lang w:val="zh-CN" w:eastAsia="zh-CN" w:bidi="ar"/>
        </w:rPr>
        <w:t>（三）项目监管情况。</w:t>
      </w:r>
      <w:r>
        <w:rPr>
          <w:rFonts w:hint="eastAsia" w:ascii="仿宋_GB2312" w:hAnsi="宋体" w:eastAsia="仿宋_GB2312" w:cs="仿宋_GB2312"/>
          <w:kern w:val="2"/>
          <w:sz w:val="32"/>
          <w:szCs w:val="24"/>
          <w:lang w:val="en-US" w:eastAsia="zh-CN" w:bidi="ar"/>
        </w:rPr>
        <w:t>根据该项目开展的实际情况和</w:t>
      </w:r>
      <w:r>
        <w:rPr>
          <w:rFonts w:hint="eastAsia" w:ascii="仿宋_GB2312" w:hAnsi="宋体" w:eastAsia="仿宋_GB2312" w:cs="仿宋_GB2312"/>
          <w:kern w:val="2"/>
          <w:sz w:val="32"/>
          <w:szCs w:val="24"/>
          <w:lang w:val="zh-CN" w:eastAsia="zh-CN" w:bidi="ar"/>
        </w:rPr>
        <w:t>项目特点，</w:t>
      </w:r>
      <w:r>
        <w:rPr>
          <w:rFonts w:hint="eastAsia" w:ascii="仿宋_GB2312" w:hAnsi="宋体" w:eastAsia="仿宋_GB2312" w:cs="仿宋_GB2312"/>
          <w:kern w:val="2"/>
          <w:sz w:val="32"/>
          <w:szCs w:val="24"/>
          <w:lang w:val="en-US" w:eastAsia="zh-CN" w:bidi="ar"/>
        </w:rPr>
        <w:t>在项目实施过程中县科学技术和农业畜牧局、县扶贫移民局、县财政局、县发改局、查尔玛人民政府的管理是到位的，是严格执行相关流程和符合法律规范的。该</w:t>
      </w:r>
      <w:r>
        <w:rPr>
          <w:rFonts w:hint="eastAsia" w:ascii="仿宋_GB2312" w:hAnsi="宋体" w:eastAsia="仿宋_GB2312" w:cs="仿宋_GB2312"/>
          <w:kern w:val="2"/>
          <w:sz w:val="32"/>
          <w:szCs w:val="24"/>
          <w:lang w:val="zh-CN" w:eastAsia="zh-CN" w:bidi="ar"/>
        </w:rPr>
        <w:t>项目主管部门为加强项目管理</w:t>
      </w:r>
      <w:r>
        <w:rPr>
          <w:rFonts w:hint="eastAsia" w:ascii="仿宋_GB2312" w:hAnsi="宋体" w:eastAsia="仿宋_GB2312" w:cs="仿宋_GB2312"/>
          <w:kern w:val="2"/>
          <w:sz w:val="32"/>
          <w:szCs w:val="24"/>
          <w:lang w:val="en-US" w:eastAsia="zh-CN" w:bidi="ar"/>
        </w:rPr>
        <w:t>高度重视开展项目监督工作</w:t>
      </w:r>
      <w:r>
        <w:rPr>
          <w:rFonts w:hint="eastAsia" w:ascii="仿宋_GB2312" w:hAnsi="宋体" w:eastAsia="仿宋_GB2312" w:cs="仿宋_GB2312"/>
          <w:kern w:val="2"/>
          <w:sz w:val="32"/>
          <w:szCs w:val="24"/>
          <w:lang w:val="zh-CN" w:eastAsia="zh-CN" w:bidi="ar"/>
        </w:rPr>
        <w:t>、</w:t>
      </w:r>
      <w:r>
        <w:rPr>
          <w:rFonts w:hint="eastAsia" w:ascii="仿宋_GB2312" w:hAnsi="宋体" w:eastAsia="仿宋_GB2312" w:cs="仿宋_GB2312"/>
          <w:kern w:val="2"/>
          <w:sz w:val="32"/>
          <w:szCs w:val="24"/>
          <w:lang w:val="en-US" w:eastAsia="zh-CN" w:bidi="ar"/>
        </w:rPr>
        <w:t>严把</w:t>
      </w:r>
      <w:r>
        <w:rPr>
          <w:rFonts w:hint="eastAsia" w:ascii="仿宋_GB2312" w:hAnsi="宋体" w:eastAsia="仿宋_GB2312" w:cs="仿宋_GB2312"/>
          <w:kern w:val="2"/>
          <w:sz w:val="32"/>
          <w:szCs w:val="24"/>
          <w:lang w:val="zh-CN" w:eastAsia="zh-CN" w:bidi="ar"/>
        </w:rPr>
        <w:t>监管程序，</w:t>
      </w:r>
      <w:r>
        <w:rPr>
          <w:rFonts w:hint="eastAsia" w:ascii="仿宋_GB2312" w:hAnsi="宋体" w:eastAsia="仿宋_GB2312" w:cs="仿宋_GB2312"/>
          <w:kern w:val="2"/>
          <w:sz w:val="32"/>
          <w:szCs w:val="24"/>
          <w:lang w:val="en-US" w:eastAsia="zh-CN" w:bidi="ar"/>
        </w:rPr>
        <w:t>对项目实施过程中达到了良好的监管效果。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bCs w:val="0"/>
          <w:sz w:val="32"/>
          <w:lang w:val="zh-CN" w:eastAsia="zh-CN"/>
        </w:rPr>
      </w:pPr>
      <w:r>
        <w:rPr>
          <w:rFonts w:hint="eastAsia" w:ascii="仿宋_GB2312" w:hAnsi="仿宋_GB2312" w:eastAsia="仿宋_GB2312" w:cs="仿宋_GB2312"/>
          <w:b/>
          <w:bCs w:val="0"/>
          <w:sz w:val="32"/>
          <w:lang w:val="zh-CN" w:eastAsia="zh-CN"/>
        </w:rPr>
        <w:t>（一）项目完成情况。</w:t>
      </w:r>
    </w:p>
    <w:p>
      <w:pPr>
        <w:adjustRightInd w:val="0"/>
        <w:snapToGrid w:val="0"/>
        <w:spacing w:line="600" w:lineRule="exact"/>
        <w:ind w:firstLine="720"/>
        <w:rPr>
          <w:rFonts w:hint="eastAsia" w:ascii="仿宋_GB2312" w:hAnsi="宋体" w:eastAsia="仿宋_GB2312" w:cs="仿宋_GB2312"/>
          <w:kern w:val="2"/>
          <w:sz w:val="32"/>
          <w:szCs w:val="24"/>
          <w:lang w:val="en-US" w:eastAsia="zh-CN" w:bidi="ar"/>
        </w:rPr>
      </w:pPr>
      <w:r>
        <w:rPr>
          <w:rFonts w:hint="eastAsia" w:ascii="仿宋_GB2312" w:hAnsi="仿宋_GB2312" w:eastAsia="仿宋_GB2312" w:cs="仿宋_GB2312"/>
          <w:bCs/>
          <w:sz w:val="32"/>
          <w:lang w:eastAsia="zh-CN"/>
        </w:rPr>
        <w:t>红原县查尔玛乡查龙村排水沟等附属设施建设项目</w:t>
      </w:r>
      <w:r>
        <w:rPr>
          <w:rFonts w:hint="eastAsia" w:ascii="仿宋_GB2312" w:hAnsi="宋体" w:eastAsia="仿宋_GB2312" w:cs="仿宋_GB2312"/>
          <w:kern w:val="2"/>
          <w:sz w:val="32"/>
          <w:szCs w:val="24"/>
          <w:lang w:val="en-US" w:eastAsia="zh-CN" w:bidi="ar"/>
        </w:rPr>
        <w:t>完成了新</w:t>
      </w:r>
      <w:r>
        <w:rPr>
          <w:rFonts w:hint="eastAsia" w:ascii="仿宋_GB2312" w:hAnsi="仿宋_GB2312" w:eastAsia="仿宋_GB2312" w:cs="仿宋_GB2312"/>
          <w:bCs/>
          <w:sz w:val="32"/>
          <w:lang w:val="en-US" w:eastAsia="zh-CN"/>
        </w:rPr>
        <w:t>建排水沟230米，涵洞1处及附属设施建设。该项目于2019年6月签订合同，于2019年10月完成项目建设内</w:t>
      </w:r>
      <w:r>
        <w:rPr>
          <w:rFonts w:hint="eastAsia" w:ascii="仿宋_GB2312" w:hAnsi="宋体" w:eastAsia="仿宋_GB2312" w:cs="仿宋_GB2312"/>
          <w:kern w:val="2"/>
          <w:sz w:val="32"/>
          <w:szCs w:val="24"/>
          <w:lang w:val="en-US" w:eastAsia="zh-CN" w:bidi="ar"/>
        </w:rPr>
        <w:t>容并完成95%的资金拨付。该项目良好完成计划目标，截止评价时已完成任务量100%，符合相关质量标准，符合成本控制目标。</w:t>
      </w:r>
    </w:p>
    <w:p>
      <w:pPr>
        <w:adjustRightInd w:val="0"/>
        <w:snapToGrid w:val="0"/>
        <w:spacing w:line="600" w:lineRule="exact"/>
        <w:ind w:firstLine="720"/>
        <w:rPr>
          <w:rFonts w:hint="eastAsia" w:ascii="仿宋_GB2312" w:hAnsi="仿宋" w:eastAsia="仿宋_GB2312"/>
          <w:b/>
          <w:bCs/>
          <w:spacing w:val="-10"/>
          <w:sz w:val="32"/>
          <w:szCs w:val="32"/>
          <w:lang w:val="zh-CN" w:eastAsia="zh-CN"/>
        </w:rPr>
      </w:pPr>
      <w:r>
        <w:rPr>
          <w:rFonts w:hint="eastAsia" w:ascii="仿宋_GB2312" w:hAnsi="仿宋" w:eastAsia="仿宋_GB2312"/>
          <w:b/>
          <w:bCs/>
          <w:spacing w:val="-10"/>
          <w:sz w:val="32"/>
          <w:szCs w:val="32"/>
          <w:lang w:val="zh-CN" w:eastAsia="zh-CN"/>
        </w:rPr>
        <w:t>（二）项目效益情况。</w:t>
      </w:r>
    </w:p>
    <w:p>
      <w:pPr>
        <w:adjustRightInd w:val="0"/>
        <w:snapToGrid w:val="0"/>
        <w:spacing w:line="600" w:lineRule="exact"/>
        <w:ind w:firstLine="720"/>
        <w:rPr>
          <w:rFonts w:hint="eastAsia" w:ascii="仿宋_GB2312" w:eastAsia="仿宋_GB2312" w:cs="仿宋_GB2312"/>
          <w:b w:val="0"/>
          <w:bCs w:val="0"/>
          <w:sz w:val="32"/>
          <w:szCs w:val="32"/>
          <w:lang w:val="en-US" w:eastAsia="zh-CN"/>
        </w:rPr>
      </w:pPr>
      <w:r>
        <w:rPr>
          <w:rFonts w:hint="eastAsia" w:ascii="仿宋_GB2312" w:hAnsi="仿宋" w:eastAsia="仿宋_GB2312"/>
          <w:spacing w:val="-10"/>
          <w:sz w:val="32"/>
          <w:szCs w:val="32"/>
          <w:lang w:val="en-US" w:eastAsia="zh-CN"/>
        </w:rPr>
        <w:t>保障了我乡农牧民生活安全，促进了乡镇发展。抗御洪水灾害，除直接减免淹没经济损失外，还可以保障我乡农牧民经济稳定发展、保护老百姓生活安全， 有利于文化、教育、科学卫生等事业的发展；</w:t>
      </w:r>
      <w:r>
        <w:rPr>
          <w:rFonts w:hint="eastAsia" w:ascii="仿宋_GB2312" w:hAnsi="仿宋_GB2312" w:eastAsia="仿宋_GB2312" w:cs="仿宋_GB2312"/>
          <w:bCs/>
          <w:sz w:val="32"/>
          <w:lang w:eastAsia="zh-CN"/>
        </w:rPr>
        <w:t>可以在</w:t>
      </w:r>
      <w:r>
        <w:rPr>
          <w:rFonts w:hint="eastAsia" w:ascii="仿宋_GB2312" w:eastAsia="仿宋_GB2312"/>
          <w:sz w:val="32"/>
          <w:szCs w:val="32"/>
        </w:rPr>
        <w:t>加速当地农牧民脱贫致富奔小康及当地相关经济快速发展发挥推动带头作用，并为</w:t>
      </w:r>
      <w:r>
        <w:rPr>
          <w:rFonts w:hint="eastAsia" w:ascii="仿宋_GB2312" w:eastAsia="仿宋_GB2312"/>
          <w:sz w:val="32"/>
          <w:szCs w:val="32"/>
          <w:lang w:eastAsia="zh-CN"/>
        </w:rPr>
        <w:t>查尔玛乡</w:t>
      </w:r>
      <w:r>
        <w:rPr>
          <w:rFonts w:hint="eastAsia" w:ascii="仿宋_GB2312" w:eastAsia="仿宋_GB2312"/>
          <w:sz w:val="32"/>
          <w:szCs w:val="32"/>
        </w:rPr>
        <w:t>畜牧养殖、生态旅游产业发展创造条件，从而推动藏区农牧村产业发展，为实现“十</w:t>
      </w:r>
      <w:r>
        <w:rPr>
          <w:rFonts w:hint="eastAsia" w:ascii="仿宋_GB2312" w:eastAsia="仿宋_GB2312"/>
          <w:sz w:val="32"/>
          <w:szCs w:val="32"/>
          <w:lang w:eastAsia="zh-CN"/>
        </w:rPr>
        <w:t>三</w:t>
      </w:r>
      <w:r>
        <w:rPr>
          <w:rFonts w:hint="eastAsia" w:ascii="仿宋_GB2312" w:eastAsia="仿宋_GB2312"/>
          <w:sz w:val="32"/>
          <w:szCs w:val="32"/>
        </w:rPr>
        <w:t>五”规划目标创造条件，为维护藏区社会跨越式发展和社会长治久安打好基础。</w:t>
      </w:r>
      <w:r>
        <w:rPr>
          <w:rFonts w:hint="eastAsia" w:ascii="仿宋_GB2312" w:hAnsi="仿宋_GB2312" w:eastAsia="仿宋_GB2312" w:cs="仿宋_GB2312"/>
          <w:sz w:val="32"/>
          <w:szCs w:val="32"/>
          <w:lang w:val="en-US" w:eastAsia="zh-CN"/>
        </w:rPr>
        <w:t>该项目从立项、施工等，严格遵守环境保护要求和规范。</w:t>
      </w:r>
      <w:r>
        <w:rPr>
          <w:rFonts w:hint="eastAsia" w:ascii="仿宋_GB2312" w:eastAsia="仿宋_GB2312" w:cs="仿宋_GB2312"/>
          <w:b w:val="0"/>
          <w:bCs w:val="0"/>
          <w:sz w:val="32"/>
          <w:szCs w:val="32"/>
          <w:lang w:val="en-US" w:eastAsia="zh-CN"/>
        </w:rPr>
        <w:t>项目建设群众满意度在96%以上。</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643" w:firstLineChars="20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643" w:firstLineChars="200"/>
        <w:rPr>
          <w:rFonts w:hint="eastAsia" w:ascii="仿宋_GB2312" w:hAnsi="宋体" w:eastAsia="仿宋_GB2312"/>
          <w:b/>
          <w:bCs/>
          <w:sz w:val="32"/>
          <w:szCs w:val="32"/>
          <w:lang w:val="zh-CN"/>
        </w:rPr>
      </w:pPr>
      <w:r>
        <w:rPr>
          <w:rFonts w:hint="eastAsia" w:ascii="仿宋_GB2312" w:hAnsi="宋体" w:eastAsia="仿宋_GB2312"/>
          <w:b/>
          <w:bCs/>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ind w:firstLine="640"/>
        <w:jc w:val="both"/>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（三）相关建议。</w:t>
      </w:r>
    </w:p>
    <w:p>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扶贫资金支持贫困村（户）产业发展、壮大集体经济，是极为可行和有效的扶贫方式，建议在脱贫攻坚的工作计划中加大权重，但要重视项目建设效益分析和长远发展。</w:t>
      </w:r>
    </w:p>
    <w:p>
      <w:pPr>
        <w:widowControl/>
        <w:jc w:val="left"/>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spacing w:line="600" w:lineRule="exact"/>
        <w:jc w:val="center"/>
        <w:outlineLvl w:val="9"/>
        <w:rPr>
          <w:rStyle w:val="27"/>
          <w:rFonts w:ascii="黑体" w:hAnsi="黑体" w:eastAsia="黑体"/>
          <w:b w:val="0"/>
        </w:rPr>
      </w:pPr>
    </w:p>
    <w:p>
      <w:pPr>
        <w:spacing w:line="600" w:lineRule="exact"/>
        <w:jc w:val="center"/>
        <w:outlineLvl w:val="0"/>
        <w:rPr>
          <w:rStyle w:val="27"/>
          <w:rFonts w:ascii="黑体" w:hAnsi="黑体" w:eastAsia="黑体"/>
          <w:b w:val="0"/>
        </w:rPr>
      </w:pPr>
      <w:bookmarkStart w:id="77" w:name="_Toc15396618"/>
      <w:bookmarkStart w:id="78" w:name="_Toc28138"/>
      <w:r>
        <w:rPr>
          <w:rFonts w:hint="eastAsia" w:ascii="黑体" w:hAnsi="黑体" w:eastAsia="黑体"/>
          <w:color w:val="000000"/>
          <w:sz w:val="44"/>
          <w:szCs w:val="44"/>
        </w:rPr>
        <w:t>第</w:t>
      </w:r>
      <w:r>
        <w:rPr>
          <w:rStyle w:val="27"/>
          <w:rFonts w:hint="eastAsia" w:ascii="黑体" w:hAnsi="黑体" w:eastAsia="黑体"/>
          <w:b w:val="0"/>
        </w:rPr>
        <w:t>五部分 附表</w:t>
      </w:r>
      <w:bookmarkEnd w:id="73"/>
      <w:bookmarkEnd w:id="77"/>
      <w:bookmarkEnd w:id="78"/>
    </w:p>
    <w:p>
      <w:pPr>
        <w:spacing w:line="600" w:lineRule="exact"/>
        <w:jc w:val="center"/>
        <w:outlineLvl w:val="9"/>
        <w:rPr>
          <w:rFonts w:ascii="仿宋" w:hAnsi="仿宋" w:eastAsia="仿宋"/>
          <w:b/>
          <w:color w:val="000000"/>
          <w:sz w:val="44"/>
          <w:szCs w:val="44"/>
        </w:rPr>
      </w:pPr>
    </w:p>
    <w:p>
      <w:pPr>
        <w:ind w:firstLine="640"/>
        <w:jc w:val="both"/>
        <w:rPr>
          <w:rFonts w:hint="eastAsia" w:ascii="仿宋_GB2312" w:hAnsi="仿宋_GB2312" w:eastAsia="仿宋_GB2312" w:cs="仿宋_GB2312"/>
          <w:sz w:val="32"/>
          <w:szCs w:val="32"/>
          <w:lang w:val="en-US" w:eastAsia="zh-CN"/>
        </w:rPr>
      </w:pPr>
      <w:bookmarkStart w:id="79" w:name="_Toc15396619"/>
      <w:bookmarkStart w:id="80" w:name="_Toc31626"/>
      <w:r>
        <w:rPr>
          <w:rFonts w:hint="eastAsia" w:ascii="仿宋_GB2312" w:hAnsi="仿宋_GB2312" w:eastAsia="仿宋_GB2312" w:cs="仿宋_GB2312"/>
          <w:sz w:val="32"/>
          <w:szCs w:val="32"/>
          <w:lang w:val="en-US" w:eastAsia="zh-CN"/>
        </w:rPr>
        <w:t>一、收入支出决算总表</w:t>
      </w:r>
      <w:bookmarkEnd w:id="79"/>
      <w:bookmarkEnd w:id="80"/>
    </w:p>
    <w:p>
      <w:pPr>
        <w:ind w:firstLine="640"/>
        <w:jc w:val="both"/>
        <w:rPr>
          <w:rFonts w:hint="eastAsia" w:ascii="仿宋_GB2312" w:hAnsi="仿宋_GB2312" w:eastAsia="仿宋_GB2312" w:cs="仿宋_GB2312"/>
          <w:sz w:val="32"/>
          <w:szCs w:val="32"/>
          <w:lang w:val="en-US" w:eastAsia="zh-CN"/>
        </w:rPr>
      </w:pPr>
      <w:bookmarkStart w:id="81" w:name="_Toc15396620"/>
      <w:bookmarkStart w:id="82" w:name="_Toc25132"/>
      <w:r>
        <w:rPr>
          <w:rFonts w:hint="eastAsia" w:ascii="仿宋_GB2312" w:hAnsi="仿宋_GB2312" w:eastAsia="仿宋_GB2312" w:cs="仿宋_GB2312"/>
          <w:sz w:val="32"/>
          <w:szCs w:val="32"/>
          <w:lang w:val="en-US" w:eastAsia="zh-CN"/>
        </w:rPr>
        <w:t>二、收入决算表</w:t>
      </w:r>
      <w:bookmarkEnd w:id="81"/>
      <w:bookmarkEnd w:id="82"/>
    </w:p>
    <w:p>
      <w:pPr>
        <w:ind w:firstLine="640"/>
        <w:jc w:val="both"/>
        <w:rPr>
          <w:rFonts w:hint="eastAsia" w:ascii="仿宋_GB2312" w:hAnsi="仿宋_GB2312" w:eastAsia="仿宋_GB2312" w:cs="仿宋_GB2312"/>
          <w:sz w:val="32"/>
          <w:szCs w:val="32"/>
          <w:lang w:val="en-US" w:eastAsia="zh-CN"/>
        </w:rPr>
      </w:pPr>
      <w:bookmarkStart w:id="83" w:name="_Toc15396621"/>
      <w:bookmarkStart w:id="84" w:name="_Toc21363"/>
      <w:r>
        <w:rPr>
          <w:rFonts w:hint="eastAsia" w:ascii="仿宋_GB2312" w:hAnsi="仿宋_GB2312" w:eastAsia="仿宋_GB2312" w:cs="仿宋_GB2312"/>
          <w:sz w:val="32"/>
          <w:szCs w:val="32"/>
          <w:lang w:val="en-US" w:eastAsia="zh-CN"/>
        </w:rPr>
        <w:t>三、支出决算表</w:t>
      </w:r>
      <w:bookmarkEnd w:id="83"/>
      <w:bookmarkEnd w:id="84"/>
    </w:p>
    <w:p>
      <w:pPr>
        <w:ind w:firstLine="640"/>
        <w:jc w:val="both"/>
        <w:rPr>
          <w:rFonts w:hint="eastAsia" w:ascii="仿宋_GB2312" w:hAnsi="仿宋_GB2312" w:eastAsia="仿宋_GB2312" w:cs="仿宋_GB2312"/>
          <w:sz w:val="32"/>
          <w:szCs w:val="32"/>
          <w:lang w:val="en-US" w:eastAsia="zh-CN"/>
        </w:rPr>
      </w:pPr>
      <w:bookmarkStart w:id="85" w:name="_Toc15396622"/>
      <w:bookmarkStart w:id="86" w:name="_Toc21770"/>
      <w:r>
        <w:rPr>
          <w:rFonts w:hint="eastAsia" w:ascii="仿宋_GB2312" w:hAnsi="仿宋_GB2312" w:eastAsia="仿宋_GB2312" w:cs="仿宋_GB2312"/>
          <w:sz w:val="32"/>
          <w:szCs w:val="32"/>
          <w:lang w:val="en-US" w:eastAsia="zh-CN"/>
        </w:rPr>
        <w:t>四、财政拨款收入支出决算总表</w:t>
      </w:r>
      <w:bookmarkEnd w:id="85"/>
      <w:bookmarkEnd w:id="86"/>
    </w:p>
    <w:p>
      <w:pPr>
        <w:ind w:firstLine="640"/>
        <w:jc w:val="both"/>
        <w:rPr>
          <w:rFonts w:hint="eastAsia" w:ascii="仿宋_GB2312" w:hAnsi="仿宋_GB2312" w:eastAsia="仿宋_GB2312" w:cs="仿宋_GB2312"/>
          <w:sz w:val="32"/>
          <w:szCs w:val="32"/>
          <w:lang w:val="en-US" w:eastAsia="zh-CN"/>
        </w:rPr>
      </w:pPr>
      <w:bookmarkStart w:id="87" w:name="_Toc15396623"/>
      <w:bookmarkStart w:id="88" w:name="_Toc16692"/>
      <w:r>
        <w:rPr>
          <w:rFonts w:hint="eastAsia" w:ascii="仿宋_GB2312" w:hAnsi="仿宋_GB2312" w:eastAsia="仿宋_GB2312" w:cs="仿宋_GB2312"/>
          <w:sz w:val="32"/>
          <w:szCs w:val="32"/>
          <w:lang w:val="en-US" w:eastAsia="zh-CN"/>
        </w:rPr>
        <w:t>五、财政拨款支出决算明细表</w:t>
      </w:r>
      <w:bookmarkEnd w:id="87"/>
      <w:bookmarkEnd w:id="88"/>
      <w:bookmarkStart w:id="89" w:name="_Toc15396624"/>
    </w:p>
    <w:p>
      <w:pPr>
        <w:ind w:firstLine="640"/>
        <w:jc w:val="both"/>
        <w:rPr>
          <w:rFonts w:hint="eastAsia" w:ascii="仿宋_GB2312" w:hAnsi="仿宋_GB2312" w:eastAsia="仿宋_GB2312" w:cs="仿宋_GB2312"/>
          <w:sz w:val="32"/>
          <w:szCs w:val="32"/>
          <w:lang w:val="en-US" w:eastAsia="zh-CN"/>
        </w:rPr>
      </w:pPr>
      <w:bookmarkStart w:id="90" w:name="_Toc5717"/>
      <w:r>
        <w:rPr>
          <w:rFonts w:hint="eastAsia" w:ascii="仿宋_GB2312" w:hAnsi="仿宋_GB2312" w:eastAsia="仿宋_GB2312" w:cs="仿宋_GB2312"/>
          <w:sz w:val="32"/>
          <w:szCs w:val="32"/>
          <w:lang w:val="en-US" w:eastAsia="zh-CN"/>
        </w:rPr>
        <w:t>六、一般公共预算财政拨款支出决算表</w:t>
      </w:r>
      <w:bookmarkEnd w:id="89"/>
      <w:bookmarkEnd w:id="90"/>
    </w:p>
    <w:p>
      <w:pPr>
        <w:ind w:firstLine="640"/>
        <w:jc w:val="both"/>
        <w:rPr>
          <w:rFonts w:hint="eastAsia" w:ascii="仿宋_GB2312" w:hAnsi="仿宋_GB2312" w:eastAsia="仿宋_GB2312" w:cs="仿宋_GB2312"/>
          <w:sz w:val="32"/>
          <w:szCs w:val="32"/>
          <w:lang w:val="en-US" w:eastAsia="zh-CN"/>
        </w:rPr>
      </w:pPr>
      <w:bookmarkStart w:id="91" w:name="_Toc15396625"/>
      <w:bookmarkStart w:id="92" w:name="_Toc17606"/>
      <w:r>
        <w:rPr>
          <w:rFonts w:hint="eastAsia" w:ascii="仿宋_GB2312" w:hAnsi="仿宋_GB2312" w:eastAsia="仿宋_GB2312" w:cs="仿宋_GB2312"/>
          <w:sz w:val="32"/>
          <w:szCs w:val="32"/>
          <w:lang w:val="en-US" w:eastAsia="zh-CN"/>
        </w:rPr>
        <w:t>七、一般公共预算财政拨款支出决算明细表</w:t>
      </w:r>
      <w:bookmarkEnd w:id="91"/>
      <w:bookmarkEnd w:id="92"/>
    </w:p>
    <w:p>
      <w:pPr>
        <w:ind w:firstLine="640"/>
        <w:jc w:val="both"/>
        <w:rPr>
          <w:rFonts w:hint="eastAsia" w:ascii="仿宋_GB2312" w:hAnsi="仿宋_GB2312" w:eastAsia="仿宋_GB2312" w:cs="仿宋_GB2312"/>
          <w:sz w:val="32"/>
          <w:szCs w:val="32"/>
          <w:lang w:val="en-US" w:eastAsia="zh-CN"/>
        </w:rPr>
      </w:pPr>
      <w:bookmarkStart w:id="93" w:name="_Toc15396626"/>
      <w:bookmarkStart w:id="94" w:name="_Toc32744"/>
      <w:r>
        <w:rPr>
          <w:rFonts w:hint="eastAsia" w:ascii="仿宋_GB2312" w:hAnsi="仿宋_GB2312" w:eastAsia="仿宋_GB2312" w:cs="仿宋_GB2312"/>
          <w:sz w:val="32"/>
          <w:szCs w:val="32"/>
          <w:lang w:val="en-US" w:eastAsia="zh-CN"/>
        </w:rPr>
        <w:t>八、一般公共预算财政拨款基本支出决算表</w:t>
      </w:r>
      <w:bookmarkEnd w:id="93"/>
      <w:bookmarkEnd w:id="94"/>
    </w:p>
    <w:p>
      <w:pPr>
        <w:ind w:firstLine="640"/>
        <w:jc w:val="both"/>
        <w:rPr>
          <w:rFonts w:hint="eastAsia" w:ascii="仿宋_GB2312" w:hAnsi="仿宋_GB2312" w:eastAsia="仿宋_GB2312" w:cs="仿宋_GB2312"/>
          <w:sz w:val="32"/>
          <w:szCs w:val="32"/>
          <w:lang w:val="en-US" w:eastAsia="zh-CN"/>
        </w:rPr>
      </w:pPr>
      <w:bookmarkStart w:id="95" w:name="_Toc15396627"/>
      <w:bookmarkStart w:id="96" w:name="_Toc19281"/>
      <w:r>
        <w:rPr>
          <w:rFonts w:hint="eastAsia" w:ascii="仿宋_GB2312" w:hAnsi="仿宋_GB2312" w:eastAsia="仿宋_GB2312" w:cs="仿宋_GB2312"/>
          <w:sz w:val="32"/>
          <w:szCs w:val="32"/>
          <w:lang w:val="en-US" w:eastAsia="zh-CN"/>
        </w:rPr>
        <w:t>九、一般公共预算财政拨款项目支出决算表</w:t>
      </w:r>
      <w:bookmarkEnd w:id="95"/>
      <w:bookmarkEnd w:id="96"/>
    </w:p>
    <w:p>
      <w:pPr>
        <w:ind w:firstLine="640"/>
        <w:jc w:val="both"/>
        <w:rPr>
          <w:rFonts w:hint="eastAsia" w:ascii="仿宋_GB2312" w:hAnsi="仿宋_GB2312" w:eastAsia="仿宋_GB2312" w:cs="仿宋_GB2312"/>
          <w:sz w:val="32"/>
          <w:szCs w:val="32"/>
          <w:lang w:val="en-US" w:eastAsia="zh-CN"/>
        </w:rPr>
      </w:pPr>
      <w:bookmarkStart w:id="97" w:name="_Toc15396628"/>
      <w:bookmarkStart w:id="98" w:name="_Toc16925"/>
      <w:r>
        <w:rPr>
          <w:rFonts w:hint="eastAsia" w:ascii="仿宋_GB2312" w:hAnsi="仿宋_GB2312" w:eastAsia="仿宋_GB2312" w:cs="仿宋_GB2312"/>
          <w:sz w:val="32"/>
          <w:szCs w:val="32"/>
          <w:lang w:val="en-US" w:eastAsia="zh-CN"/>
        </w:rPr>
        <w:t>十、一般公共预算财政拨款“三公”经费支出决算表</w:t>
      </w:r>
      <w:bookmarkEnd w:id="97"/>
      <w:bookmarkEnd w:id="98"/>
    </w:p>
    <w:p>
      <w:pPr>
        <w:ind w:firstLine="640"/>
        <w:jc w:val="both"/>
        <w:rPr>
          <w:rFonts w:hint="eastAsia" w:ascii="仿宋_GB2312" w:hAnsi="仿宋_GB2312" w:eastAsia="仿宋_GB2312" w:cs="仿宋_GB2312"/>
          <w:sz w:val="32"/>
          <w:szCs w:val="32"/>
          <w:lang w:val="en-US" w:eastAsia="zh-CN"/>
        </w:rPr>
      </w:pPr>
      <w:bookmarkStart w:id="99" w:name="_Toc15396629"/>
      <w:bookmarkStart w:id="100" w:name="_Toc9294"/>
      <w:r>
        <w:rPr>
          <w:rFonts w:hint="eastAsia" w:ascii="仿宋_GB2312" w:hAnsi="仿宋_GB2312" w:eastAsia="仿宋_GB2312" w:cs="仿宋_GB2312"/>
          <w:sz w:val="32"/>
          <w:szCs w:val="32"/>
          <w:lang w:val="en-US" w:eastAsia="zh-CN"/>
        </w:rPr>
        <w:t>十一、政府性基金预算财政拨款收入支出决算表</w:t>
      </w:r>
      <w:bookmarkEnd w:id="99"/>
      <w:bookmarkEnd w:id="100"/>
    </w:p>
    <w:p>
      <w:pPr>
        <w:ind w:firstLine="640"/>
        <w:jc w:val="both"/>
        <w:rPr>
          <w:rFonts w:hint="eastAsia" w:ascii="仿宋_GB2312" w:hAnsi="仿宋_GB2312" w:eastAsia="仿宋_GB2312" w:cs="仿宋_GB2312"/>
          <w:sz w:val="32"/>
          <w:szCs w:val="32"/>
          <w:lang w:val="en-US" w:eastAsia="zh-CN"/>
        </w:rPr>
      </w:pPr>
      <w:bookmarkStart w:id="101" w:name="_Toc15396630"/>
      <w:bookmarkStart w:id="102" w:name="_Toc29929"/>
      <w:r>
        <w:rPr>
          <w:rFonts w:hint="eastAsia" w:ascii="仿宋_GB2312" w:hAnsi="仿宋_GB2312" w:eastAsia="仿宋_GB2312" w:cs="仿宋_GB2312"/>
          <w:sz w:val="32"/>
          <w:szCs w:val="32"/>
          <w:lang w:val="en-US" w:eastAsia="zh-CN"/>
        </w:rPr>
        <w:t>十二、政府性基金预算财政拨款“三公”经费支出决算表</w:t>
      </w:r>
      <w:bookmarkEnd w:id="101"/>
      <w:bookmarkEnd w:id="102"/>
    </w:p>
    <w:p>
      <w:pPr>
        <w:ind w:firstLine="640"/>
        <w:jc w:val="both"/>
        <w:rPr>
          <w:rFonts w:hint="eastAsia" w:ascii="仿宋_GB2312" w:hAnsi="仿宋_GB2312" w:eastAsia="仿宋_GB2312" w:cs="仿宋_GB2312"/>
          <w:sz w:val="32"/>
          <w:szCs w:val="32"/>
          <w:lang w:val="en-US" w:eastAsia="zh-CN"/>
        </w:rPr>
      </w:pPr>
      <w:bookmarkStart w:id="103" w:name="_Toc15396631"/>
      <w:bookmarkStart w:id="104" w:name="_Toc31934"/>
      <w:r>
        <w:rPr>
          <w:rFonts w:hint="eastAsia" w:ascii="仿宋_GB2312" w:hAnsi="仿宋_GB2312" w:eastAsia="仿宋_GB2312" w:cs="仿宋_GB2312"/>
          <w:sz w:val="32"/>
          <w:szCs w:val="32"/>
          <w:lang w:val="en-US" w:eastAsia="zh-CN"/>
        </w:rPr>
        <w:t>十三、国有资本经营预算支出决算表</w:t>
      </w:r>
      <w:bookmarkEnd w:id="103"/>
      <w:bookmarkEnd w:id="10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57495"/>
    <w:rsid w:val="08B90703"/>
    <w:rsid w:val="092E7116"/>
    <w:rsid w:val="0EC22BB9"/>
    <w:rsid w:val="10C055FF"/>
    <w:rsid w:val="13491AC7"/>
    <w:rsid w:val="14C926DC"/>
    <w:rsid w:val="159E0439"/>
    <w:rsid w:val="16BB723D"/>
    <w:rsid w:val="19112E2A"/>
    <w:rsid w:val="1D3909B0"/>
    <w:rsid w:val="205A2D41"/>
    <w:rsid w:val="240371BF"/>
    <w:rsid w:val="29FD04D3"/>
    <w:rsid w:val="2C2E4AE9"/>
    <w:rsid w:val="2C5404F4"/>
    <w:rsid w:val="319F7F4E"/>
    <w:rsid w:val="351C09C1"/>
    <w:rsid w:val="3DE47B94"/>
    <w:rsid w:val="413A50D7"/>
    <w:rsid w:val="44F704CE"/>
    <w:rsid w:val="4B1931D8"/>
    <w:rsid w:val="4D3F3BB6"/>
    <w:rsid w:val="4ECE2238"/>
    <w:rsid w:val="52285730"/>
    <w:rsid w:val="57315319"/>
    <w:rsid w:val="57A70DE1"/>
    <w:rsid w:val="591B691A"/>
    <w:rsid w:val="5E672D8A"/>
    <w:rsid w:val="61864F43"/>
    <w:rsid w:val="62D456F0"/>
    <w:rsid w:val="672F270C"/>
    <w:rsid w:val="67C30BB0"/>
    <w:rsid w:val="69365AC7"/>
    <w:rsid w:val="6BA727E8"/>
    <w:rsid w:val="6EED6176"/>
    <w:rsid w:val="72734D90"/>
    <w:rsid w:val="72D90A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next w:val="9"/>
    <w:qFormat/>
    <w:uiPriority w:val="0"/>
    <w:pPr>
      <w:widowControl w:val="0"/>
      <w:spacing w:before="100" w:beforeAutospacing="1" w:after="100" w:afterAutospacing="1"/>
    </w:pPr>
    <w:rPr>
      <w:rFonts w:ascii="宋体" w:eastAsia="宋体"/>
      <w:kern w:val="2"/>
      <w:sz w:val="24"/>
      <w:lang w:val="en-US" w:eastAsia="zh-CN" w:bidi="ar-SA"/>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0214056659654"/>
          <c:y val="0.101158850861665"/>
          <c:w val="0.910925"/>
          <c:h val="0.716566666666667"/>
        </c:manualLayout>
      </c:layout>
      <c:barChart>
        <c:barDir val="col"/>
        <c:grouping val="clustered"/>
        <c:varyColors val="0"/>
        <c:ser>
          <c:idx val="0"/>
          <c:order val="0"/>
          <c:tx>
            <c:strRef>
              <c:f>Sheet1!$B$1</c:f>
              <c:strCache>
                <c:ptCount val="1"/>
                <c:pt idx="0">
                  <c:v>2018</c:v>
                </c:pt>
              </c:strCache>
            </c:strRef>
          </c:tx>
          <c:spPr>
            <a:solidFill>
              <a:schemeClr val="accent6"/>
            </a:solidFill>
            <a:ln>
              <a:noFill/>
            </a:ln>
            <a:effectLst/>
          </c:spPr>
          <c:invertIfNegative val="0"/>
          <c:dPt>
            <c:idx val="0"/>
            <c:invertIfNegative val="0"/>
            <c:bubble3D val="0"/>
          </c:dPt>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937.55</c:v>
                </c:pt>
                <c:pt idx="1">
                  <c:v>889.54</c:v>
                </c:pt>
              </c:numCache>
            </c:numRef>
          </c:val>
        </c:ser>
        <c:ser>
          <c:idx val="1"/>
          <c:order val="1"/>
          <c:tx>
            <c:strRef>
              <c:f>Sheet1!$C$1</c:f>
              <c:strCache>
                <c:ptCount val="1"/>
                <c:pt idx="0">
                  <c:v>2019</c:v>
                </c:pt>
              </c:strCache>
            </c:strRef>
          </c:tx>
          <c:spPr>
            <a:solidFill>
              <a:schemeClr val="bg1">
                <a:lumMod val="5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683.57</c:v>
                </c:pt>
                <c:pt idx="1">
                  <c:v>980.07</c:v>
                </c:pt>
              </c:numCache>
            </c:numRef>
          </c:val>
        </c:ser>
        <c:dLbls>
          <c:showLegendKey val="0"/>
          <c:showVal val="0"/>
          <c:showCatName val="0"/>
          <c:showSerName val="0"/>
          <c:showPercent val="0"/>
          <c:showBubbleSize val="0"/>
        </c:dLbls>
        <c:gapWidth val="219"/>
        <c:overlap val="-27"/>
        <c:axId val="561511574"/>
        <c:axId val="44826673"/>
      </c:barChart>
      <c:catAx>
        <c:axId val="5615115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826673"/>
        <c:crosses val="autoZero"/>
        <c:auto val="1"/>
        <c:lblAlgn val="ctr"/>
        <c:lblOffset val="100"/>
        <c:noMultiLvlLbl val="0"/>
      </c:catAx>
      <c:valAx>
        <c:axId val="448266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15115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pt idx="2">
                  <c:v>第三季度</c:v>
                </c:pt>
                <c:pt idx="3">
                  <c:v>第四季度</c:v>
                </c:pt>
              </c:strCache>
            </c:strRef>
          </c:cat>
          <c:val>
            <c:numRef>
              <c:f>Sheet1!$B$2:$B$5</c:f>
              <c:numCache>
                <c:formatCode>General</c:formatCode>
                <c:ptCount val="4"/>
                <c:pt idx="0">
                  <c:v>683.57</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第三季度</c:v>
                </c:pt>
                <c:pt idx="3">
                  <c:v>第四季度</c:v>
                </c:pt>
              </c:strCache>
            </c:strRef>
          </c:cat>
          <c:val>
            <c:numRef>
              <c:f>Sheet1!$B$2:$B$5</c:f>
              <c:numCache>
                <c:formatCode>General</c:formatCode>
                <c:ptCount val="4"/>
                <c:pt idx="0">
                  <c:v>572.2</c:v>
                </c:pt>
                <c:pt idx="1">
                  <c:v>317.34</c:v>
                </c:pt>
                <c:pt idx="2">
                  <c:v>1.4</c:v>
                </c:pt>
                <c:pt idx="3">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manualLayout>
          <c:xMode val="edge"/>
          <c:yMode val="edge"/>
          <c:x val="0.331321710624348"/>
          <c:y val="0.91126418152350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68099331423114"/>
          <c:y val="0.0421294523171198"/>
          <c:w val="0.916507384882711"/>
          <c:h val="0.778130984297204"/>
        </c:manualLayout>
      </c:layout>
      <c:barChart>
        <c:barDir val="col"/>
        <c:grouping val="clustered"/>
        <c:varyColors val="0"/>
        <c:ser>
          <c:idx val="0"/>
          <c:order val="0"/>
          <c:tx>
            <c:strRef>
              <c:f>Sheet1!$B$1</c:f>
              <c:strCache>
                <c:ptCount val="1"/>
                <c:pt idx="0">
                  <c:v>2018</c:v>
                </c:pt>
              </c:strCache>
            </c:strRef>
          </c:tx>
          <c:spPr>
            <a:solidFill>
              <a:schemeClr val="accent6"/>
            </a:solidFill>
            <a:ln>
              <a:solidFill>
                <a:schemeClr val="bg1"/>
              </a:solidFill>
            </a:ln>
            <a:effectLst/>
          </c:spPr>
          <c:invertIfNegative val="0"/>
          <c:dPt>
            <c:idx val="0"/>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937.52</c:v>
                </c:pt>
                <c:pt idx="1">
                  <c:v>889.54</c:v>
                </c:pt>
              </c:numCache>
            </c:numRef>
          </c:val>
        </c:ser>
        <c:ser>
          <c:idx val="1"/>
          <c:order val="1"/>
          <c:tx>
            <c:strRef>
              <c:f>Sheet1!$C$1</c:f>
              <c:strCache>
                <c:ptCount val="1"/>
                <c:pt idx="0">
                  <c:v>2019</c:v>
                </c:pt>
              </c:strCache>
            </c:strRef>
          </c:tx>
          <c:spPr>
            <a:solidFill>
              <a:schemeClr val="bg1">
                <a:lumMod val="65000"/>
              </a:schemeClr>
            </a:solidFill>
            <a:ln>
              <a:noFill/>
            </a:ln>
            <a:effectLst/>
          </c:spPr>
          <c:invertIfNegative val="0"/>
          <c:dPt>
            <c:idx val="0"/>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683.57</c:v>
                </c:pt>
                <c:pt idx="1">
                  <c:v>980.07</c:v>
                </c:pt>
              </c:numCache>
            </c:numRef>
          </c:val>
        </c:ser>
        <c:dLbls>
          <c:showLegendKey val="0"/>
          <c:showVal val="0"/>
          <c:showCatName val="0"/>
          <c:showSerName val="0"/>
          <c:showPercent val="0"/>
          <c:showBubbleSize val="0"/>
        </c:dLbls>
        <c:gapWidth val="219"/>
        <c:overlap val="-27"/>
        <c:axId val="519295936"/>
        <c:axId val="996699964"/>
      </c:barChart>
      <c:catAx>
        <c:axId val="5192959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6699964"/>
        <c:crosses val="autoZero"/>
        <c:auto val="1"/>
        <c:lblAlgn val="ctr"/>
        <c:lblOffset val="100"/>
        <c:noMultiLvlLbl val="0"/>
      </c:catAx>
      <c:valAx>
        <c:axId val="9966999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92959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一般公共预算财政拨款支出变动图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xmlns:c15="http://schemas.microsoft.com/office/drawing/2012/chart" uri="{02D57815-91ED-43cb-92C2-25804820EDAC}">
                  <c15:fullRef>
                    <c15:sqref>Sheet1!$A$2:$A$5</c15:sqref>
                  </c15:fullRef>
                </c:ext>
              </c:extLst>
              <c:f>Sheet1!$A$2:$A$3</c:f>
              <c:numCache>
                <c:formatCode>General</c:formatCode>
                <c:ptCount val="2"/>
                <c:pt idx="0">
                  <c:v>2018</c:v>
                </c:pt>
                <c:pt idx="1">
                  <c:v>2019</c:v>
                </c:pt>
              </c:numCache>
            </c:numRef>
          </c:cat>
          <c:val>
            <c:numRef>
              <c:extLst>
                <c:ext xmlns:c15="http://schemas.microsoft.com/office/drawing/2012/chart" uri="{02D57815-91ED-43cb-92C2-25804820EDAC}">
                  <c15:fullRef>
                    <c15:sqref>Sheet1!$B$2:$B$5</c15:sqref>
                  </c15:fullRef>
                </c:ext>
              </c:extLst>
              <c:f>Sheet1!$B$2:$B$3</c:f>
              <c:numCache>
                <c:formatCode>General</c:formatCode>
                <c:ptCount val="2"/>
                <c:pt idx="0">
                  <c:v>889.54</c:v>
                </c:pt>
                <c:pt idx="1">
                  <c:v>980.07</c:v>
                </c:pt>
              </c:numCache>
            </c:numRef>
          </c:val>
        </c:ser>
        <c:dLbls>
          <c:showLegendKey val="0"/>
          <c:showVal val="1"/>
          <c:showCatName val="0"/>
          <c:showSerName val="0"/>
          <c:showPercent val="0"/>
          <c:showBubbleSize val="0"/>
        </c:dLbls>
        <c:gapWidth val="219"/>
        <c:overlap val="-27"/>
        <c:axId val="325862875"/>
        <c:axId val="403735226"/>
      </c:barChart>
      <c:catAx>
        <c:axId val="3258628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3735226"/>
        <c:crosses val="autoZero"/>
        <c:auto val="1"/>
        <c:lblAlgn val="ctr"/>
        <c:lblOffset val="100"/>
        <c:noMultiLvlLbl val="0"/>
      </c:catAx>
      <c:valAx>
        <c:axId val="40373522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5862875"/>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manualLayout>
          <c:xMode val="edge"/>
          <c:yMode val="edge"/>
          <c:x val="0.219434465175571"/>
          <c:y val="0.0237388724035608"/>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lumMod val="75000"/>
                </a:schemeClr>
              </a:solidFill>
              <a:ln w="19050">
                <a:solidFill>
                  <a:schemeClr val="lt1"/>
                </a:solidFill>
              </a:ln>
              <a:effectLst/>
            </c:spPr>
          </c:dPt>
          <c:dPt>
            <c:idx val="3"/>
            <c:bubble3D val="0"/>
            <c:spPr>
              <a:solidFill>
                <a:schemeClr val="accent2">
                  <a:lumMod val="50000"/>
                </a:schemeClr>
              </a:solidFill>
              <a:ln w="19050">
                <a:solidFill>
                  <a:schemeClr val="lt1"/>
                </a:solidFill>
              </a:ln>
              <a:effectLst/>
            </c:spPr>
          </c:dPt>
          <c:dPt>
            <c:idx val="4"/>
            <c:bubble3D val="0"/>
            <c:explosion val="0"/>
            <c:spPr>
              <a:solidFill>
                <a:schemeClr val="tx1">
                  <a:lumMod val="75000"/>
                  <a:lumOff val="25000"/>
                </a:schemeClr>
              </a:solidFill>
              <a:ln w="19050">
                <a:solidFill>
                  <a:schemeClr val="lt1"/>
                </a:solidFill>
              </a:ln>
              <a:effectLst/>
            </c:spPr>
          </c:dPt>
          <c:dPt>
            <c:idx val="5"/>
            <c:bubble3D val="0"/>
            <c:explosion val="0"/>
            <c:spPr>
              <a:solidFill>
                <a:schemeClr val="accent6">
                  <a:lumMod val="50000"/>
                </a:schemeClr>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43.7%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0.45%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158128711315069"/>
                  <c:y val="-0.086853224100338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0.00778018566931334"/>
                  <c:y val="-0.009088744370438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文化体育与传媒支出</c:v>
                </c:pt>
                <c:pt idx="2">
                  <c:v>社会保障就业支出</c:v>
                </c:pt>
                <c:pt idx="3">
                  <c:v>医疗卫生支出</c:v>
                </c:pt>
                <c:pt idx="4">
                  <c:v>住房保障支出</c:v>
                </c:pt>
                <c:pt idx="5">
                  <c:v>农林水支出</c:v>
                </c:pt>
                <c:pt idx="6">
                  <c:v>其他支出</c:v>
                </c:pt>
              </c:strCache>
            </c:strRef>
          </c:cat>
          <c:val>
            <c:numRef>
              <c:f>Sheet1!$B$2:$B$8</c:f>
              <c:numCache>
                <c:formatCode>General</c:formatCode>
                <c:ptCount val="7"/>
                <c:pt idx="0">
                  <c:v>428.56</c:v>
                </c:pt>
                <c:pt idx="1">
                  <c:v>4.41</c:v>
                </c:pt>
                <c:pt idx="2">
                  <c:v>157.24</c:v>
                </c:pt>
                <c:pt idx="3">
                  <c:v>27.51</c:v>
                </c:pt>
                <c:pt idx="4">
                  <c:v>59.22</c:v>
                </c:pt>
                <c:pt idx="5">
                  <c:v>288.26</c:v>
                </c:pt>
                <c:pt idx="6">
                  <c:v>14.85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899293081469463"/>
          <c:y val="0.808704253214639"/>
          <c:w val="0.839610615366786"/>
          <c:h val="0.12007912957467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223"/>
          <c:y val="0.0490697505746063"/>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a:solidFill>
              <a:schemeClr val="accent2">
                <a:lumMod val="75000"/>
              </a:schemeClr>
            </a:solidFill>
          </c:spPr>
          <c:explosion val="0"/>
          <c:dPt>
            <c:idx val="0"/>
            <c:bubble3D val="0"/>
            <c:spPr>
              <a:solidFill>
                <a:schemeClr val="tx1"/>
              </a:solidFill>
              <a:ln w="19050">
                <a:solidFill>
                  <a:schemeClr val="lt1"/>
                </a:solidFill>
              </a:ln>
              <a:effectLst/>
            </c:spPr>
          </c:dPt>
          <c:dPt>
            <c:idx val="1"/>
            <c:bubble3D val="0"/>
            <c:spPr>
              <a:solidFill>
                <a:schemeClr val="accent1"/>
              </a:solidFill>
              <a:ln w="19050">
                <a:solidFill>
                  <a:schemeClr val="lt1"/>
                </a:solidFill>
              </a:ln>
              <a:effectLst/>
            </c:spPr>
          </c:dPt>
          <c:dPt>
            <c:idx val="2"/>
            <c:bubble3D val="0"/>
            <c:explosion val="0"/>
            <c:spPr>
              <a:solidFill>
                <a:schemeClr val="accent6">
                  <a:lumMod val="75000"/>
                </a:schemeClr>
              </a:solidFill>
              <a:ln w="19050">
                <a:solidFill>
                  <a:schemeClr val="lt1"/>
                </a:solidFill>
              </a:ln>
              <a:effectLst/>
            </c:spPr>
          </c:dPt>
          <c:dLbls>
            <c:dLbl>
              <c:idx val="0"/>
              <c:layout>
                <c:manualLayout>
                  <c:x val="0.0101508620689655"/>
                  <c:y val="0.02132233223872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0951714066550834"/>
                  <c:y val="0.022694036480739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因公出国（境）经费支出</c:v>
                </c:pt>
                <c:pt idx="1">
                  <c:v>公务用车购置及运行维护费支出</c:v>
                </c:pt>
                <c:pt idx="2">
                  <c:v>公务接待费支出</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v>9.1</c:v>
                </c:pt>
                <c:pt idx="2">
                  <c:v>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72827586206897"/>
          <c:y val="0.836730534039951"/>
          <c:w val="0.755862068965517"/>
          <c:h val="0.13799429270281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44</TotalTime>
  <ScaleCrop>false</ScaleCrop>
  <LinksUpToDate>false</LinksUpToDate>
  <CharactersWithSpaces>8587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余 sir</cp:lastModifiedBy>
  <cp:lastPrinted>2020-07-23T02:58:00Z</cp:lastPrinted>
  <dcterms:modified xsi:type="dcterms:W3CDTF">2020-12-02T02:57:41Z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