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outlineLvl w:val="0"/>
        <w:rPr>
          <w:rFonts w:ascii="宋体" w:hAnsi="宋体"/>
          <w:color w:val="000000"/>
          <w:sz w:val="72"/>
          <w:szCs w:val="72"/>
        </w:rPr>
      </w:pPr>
      <w:bookmarkStart w:id="0" w:name="_Toc15396475"/>
      <w:bookmarkStart w:id="1" w:name="_Toc15396597"/>
      <w:bookmarkStart w:id="2" w:name="_Toc15378441"/>
      <w:bookmarkStart w:id="3" w:name="_Toc15377193"/>
      <w:bookmarkStart w:id="4" w:name="_Toc15377425"/>
      <w:bookmarkStart w:id="5" w:name="_Toc15377197"/>
      <w:bookmarkStart w:id="6" w:name="_Toc15396600"/>
    </w:p>
    <w:p>
      <w:pPr>
        <w:adjustRightInd w:val="0"/>
        <w:snapToGrid w:val="0"/>
        <w:spacing w:line="360" w:lineRule="auto"/>
        <w:jc w:val="center"/>
        <w:outlineLvl w:val="0"/>
        <w:rPr>
          <w:rFonts w:ascii="宋体" w:hAnsi="宋体"/>
          <w:color w:val="000000"/>
          <w:sz w:val="72"/>
          <w:szCs w:val="72"/>
        </w:rPr>
      </w:pPr>
    </w:p>
    <w:p>
      <w:pPr>
        <w:adjustRightInd w:val="0"/>
        <w:snapToGrid w:val="0"/>
        <w:spacing w:line="360" w:lineRule="auto"/>
        <w:jc w:val="center"/>
        <w:outlineLvl w:val="0"/>
        <w:rPr>
          <w:rFonts w:ascii="宋体" w:hAnsi="宋体"/>
          <w:color w:val="000000"/>
          <w:sz w:val="72"/>
          <w:szCs w:val="72"/>
        </w:rPr>
      </w:pPr>
    </w:p>
    <w:p>
      <w:pPr>
        <w:adjustRightInd w:val="0"/>
        <w:snapToGrid w:val="0"/>
        <w:spacing w:line="360" w:lineRule="auto"/>
        <w:jc w:val="center"/>
        <w:outlineLvl w:val="0"/>
        <w:rPr>
          <w:rFonts w:ascii="宋体" w:hAnsi="宋体"/>
          <w:color w:val="000000"/>
          <w:sz w:val="72"/>
          <w:szCs w:val="72"/>
        </w:rPr>
      </w:pPr>
    </w:p>
    <w:p>
      <w:pPr>
        <w:adjustRightInd w:val="0"/>
        <w:snapToGrid w:val="0"/>
        <w:spacing w:line="360" w:lineRule="auto"/>
        <w:jc w:val="center"/>
        <w:outlineLvl w:val="0"/>
        <w:rPr>
          <w:rFonts w:hint="eastAsia" w:ascii="宋体" w:hAnsi="宋体"/>
          <w:color w:val="000000"/>
          <w:sz w:val="72"/>
          <w:szCs w:val="72"/>
        </w:rPr>
      </w:pPr>
      <w:r>
        <w:rPr>
          <w:rFonts w:ascii="宋体" w:hAnsi="宋体"/>
          <w:color w:val="000000"/>
          <w:sz w:val="72"/>
          <w:szCs w:val="72"/>
        </w:rPr>
        <w:t>2018</w:t>
      </w:r>
      <w:r>
        <w:rPr>
          <w:rFonts w:hint="eastAsia" w:ascii="宋体" w:hAnsi="宋体"/>
          <w:color w:val="000000"/>
          <w:sz w:val="72"/>
          <w:szCs w:val="72"/>
        </w:rPr>
        <w:t>年度</w:t>
      </w:r>
      <w:bookmarkEnd w:id="0"/>
      <w:bookmarkEnd w:id="1"/>
      <w:bookmarkEnd w:id="2"/>
      <w:bookmarkEnd w:id="3"/>
      <w:bookmarkEnd w:id="4"/>
      <w:bookmarkStart w:id="7" w:name="_Toc15377426"/>
      <w:bookmarkStart w:id="8" w:name="_Toc15396476"/>
      <w:bookmarkStart w:id="9" w:name="_Toc15396598"/>
      <w:bookmarkStart w:id="10" w:name="_Toc15377194"/>
      <w:bookmarkStart w:id="11" w:name="_Toc15378442"/>
      <w:r>
        <w:rPr>
          <w:rFonts w:hint="eastAsia" w:ascii="宋体" w:hAnsi="宋体"/>
          <w:color w:val="000000"/>
          <w:sz w:val="72"/>
          <w:szCs w:val="72"/>
        </w:rPr>
        <w:t>四川省</w:t>
      </w:r>
      <w:bookmarkStart w:id="12" w:name="_Toc15306268"/>
      <w:r>
        <w:rPr>
          <w:rFonts w:hint="eastAsia" w:ascii="宋体" w:hAnsi="宋体"/>
          <w:color w:val="000000"/>
          <w:sz w:val="72"/>
          <w:szCs w:val="72"/>
        </w:rPr>
        <w:t>红原县</w:t>
      </w:r>
    </w:p>
    <w:p>
      <w:pPr>
        <w:adjustRightInd w:val="0"/>
        <w:snapToGrid w:val="0"/>
        <w:spacing w:line="360" w:lineRule="auto"/>
        <w:jc w:val="center"/>
        <w:outlineLvl w:val="0"/>
        <w:rPr>
          <w:rFonts w:hint="eastAsia" w:ascii="宋体" w:hAnsi="宋体"/>
          <w:color w:val="000000"/>
          <w:sz w:val="72"/>
          <w:szCs w:val="72"/>
          <w:lang w:eastAsia="zh-CN"/>
        </w:rPr>
      </w:pPr>
      <w:r>
        <w:rPr>
          <w:rFonts w:hint="eastAsia" w:ascii="宋体" w:hAnsi="宋体"/>
          <w:color w:val="000000"/>
          <w:sz w:val="72"/>
          <w:szCs w:val="72"/>
          <w:lang w:eastAsia="zh-CN"/>
        </w:rPr>
        <w:t>查尔玛乡人民政府</w:t>
      </w:r>
    </w:p>
    <w:p>
      <w:pPr>
        <w:adjustRightInd w:val="0"/>
        <w:snapToGrid w:val="0"/>
        <w:spacing w:line="360" w:lineRule="auto"/>
        <w:jc w:val="center"/>
        <w:outlineLvl w:val="0"/>
        <w:rPr>
          <w:rFonts w:ascii="宋体"/>
          <w:color w:val="000000"/>
          <w:sz w:val="72"/>
          <w:szCs w:val="72"/>
        </w:rPr>
      </w:pPr>
      <w:r>
        <w:rPr>
          <w:rFonts w:hint="eastAsia" w:ascii="宋体" w:hAnsi="宋体"/>
          <w:color w:val="000000"/>
          <w:sz w:val="72"/>
          <w:szCs w:val="72"/>
        </w:rPr>
        <w:t>部门决算</w:t>
      </w:r>
      <w:bookmarkEnd w:id="7"/>
      <w:bookmarkEnd w:id="8"/>
      <w:bookmarkEnd w:id="9"/>
      <w:bookmarkEnd w:id="10"/>
      <w:bookmarkEnd w:id="11"/>
      <w:bookmarkEnd w:id="12"/>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keepNext w:val="0"/>
        <w:keepLines w:val="0"/>
        <w:pageBreakBefore w:val="0"/>
        <w:kinsoku/>
        <w:wordWrap/>
        <w:overflowPunct/>
        <w:topLinePunct w:val="0"/>
        <w:bidi w:val="0"/>
        <w:spacing w:line="560" w:lineRule="exact"/>
        <w:ind w:left="0" w:leftChars="0" w:right="0" w:rightChars="0"/>
        <w:jc w:val="center"/>
        <w:textAlignment w:val="auto"/>
        <w:outlineLvl w:val="9"/>
        <w:rPr>
          <w:rFonts w:hint="eastAsia" w:ascii="宋体" w:hAnsi="宋体" w:eastAsia="宋体" w:cs="宋体"/>
          <w:b/>
          <w:bCs/>
          <w:sz w:val="32"/>
          <w:szCs w:val="32"/>
        </w:rPr>
      </w:pPr>
    </w:p>
    <w:p>
      <w:pPr>
        <w:widowControl/>
        <w:jc w:val="center"/>
        <w:rPr>
          <w:rFonts w:ascii="黑体" w:hAnsi="黑体" w:eastAsia="黑体"/>
          <w:color w:val="000000"/>
          <w:sz w:val="48"/>
          <w:szCs w:val="48"/>
        </w:rPr>
      </w:pPr>
      <w:r>
        <w:rPr>
          <w:rFonts w:hint="eastAsia" w:ascii="黑体" w:hAnsi="黑体" w:eastAsia="黑体"/>
          <w:color w:val="000000"/>
          <w:sz w:val="48"/>
          <w:szCs w:val="48"/>
        </w:rPr>
        <w:t>目录</w:t>
      </w:r>
    </w:p>
    <w:p>
      <w:pPr>
        <w:widowControl/>
        <w:jc w:val="center"/>
        <w:rPr>
          <w:rFonts w:ascii="黑体" w:hAnsi="黑体" w:eastAsia="黑体" w:cstheme="minorBidi"/>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
      <w:pPr>
        <w:pStyle w:val="10"/>
        <w:rPr>
          <w:rFonts w:cstheme="minorBidi"/>
        </w:rPr>
      </w:pPr>
      <w:r>
        <w:fldChar w:fldCharType="begin"/>
      </w:r>
      <w:r>
        <w:instrText xml:space="preserve"> HYPERLINK \l "_Toc15396599" </w:instrText>
      </w:r>
      <w:r>
        <w:fldChar w:fldCharType="separate"/>
      </w:r>
      <w:r>
        <w:rPr>
          <w:rStyle w:val="15"/>
          <w:rFonts w:hint="eastAsia"/>
        </w:rPr>
        <w:t>第一部分</w:t>
      </w:r>
      <w:r>
        <w:rPr>
          <w:rStyle w:val="15"/>
        </w:rPr>
        <w:t xml:space="preserve"> </w:t>
      </w:r>
      <w:r>
        <w:rPr>
          <w:rStyle w:val="15"/>
          <w:rFonts w:hint="eastAsia"/>
        </w:rPr>
        <w:t>部门概况</w:t>
      </w:r>
      <w:r>
        <w:rPr>
          <w:rFonts w:hint="eastAsia"/>
        </w:rPr>
        <w:fldChar w:fldCharType="end"/>
      </w:r>
    </w:p>
    <w:p>
      <w:pPr>
        <w:pStyle w:val="11"/>
        <w:rPr>
          <w:rFonts w:ascii="仿宋" w:hAnsi="仿宋" w:eastAsia="仿宋" w:cstheme="minorBidi"/>
          <w:sz w:val="28"/>
          <w:szCs w:val="28"/>
        </w:rPr>
      </w:pPr>
      <w:r>
        <w:fldChar w:fldCharType="begin"/>
      </w:r>
      <w:r>
        <w:instrText xml:space="preserve"> HYPERLINK \l "_Toc15396600" </w:instrText>
      </w:r>
      <w:r>
        <w:fldChar w:fldCharType="separate"/>
      </w:r>
      <w:r>
        <w:rPr>
          <w:rStyle w:val="15"/>
          <w:rFonts w:hint="eastAsia" w:ascii="仿宋" w:hAnsi="仿宋" w:eastAsia="仿宋"/>
          <w:sz w:val="28"/>
          <w:szCs w:val="28"/>
        </w:rPr>
        <w:t>一、基本职能及主要工作</w:t>
      </w:r>
      <w:r>
        <w:rPr>
          <w:rFonts w:hint="eastAsia"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"_Toc15396601" </w:instrText>
      </w:r>
      <w:r>
        <w:fldChar w:fldCharType="separate"/>
      </w:r>
      <w:r>
        <w:rPr>
          <w:rStyle w:val="15"/>
          <w:rFonts w:hint="eastAsia" w:ascii="仿宋" w:hAnsi="仿宋" w:eastAsia="仿宋"/>
          <w:sz w:val="28"/>
          <w:szCs w:val="28"/>
        </w:rPr>
        <w:t>二、机构设置</w:t>
      </w:r>
      <w:r>
        <w:rPr>
          <w:rFonts w:ascii="仿宋" w:hAnsi="仿宋" w:eastAsia="仿宋"/>
          <w:sz w:val="28"/>
          <w:szCs w:val="28"/>
        </w:rPr>
        <w:fldChar w:fldCharType="end"/>
      </w:r>
    </w:p>
    <w:p>
      <w:pPr>
        <w:pStyle w:val="10"/>
      </w:pPr>
      <w:r>
        <w:fldChar w:fldCharType="begin"/>
      </w:r>
      <w:r>
        <w:instrText xml:space="preserve"> HYPERLINK \l "_Toc15396602" </w:instrText>
      </w:r>
      <w:r>
        <w:fldChar w:fldCharType="separate"/>
      </w:r>
      <w:r>
        <w:rPr>
          <w:rStyle w:val="15"/>
          <w:rFonts w:hint="eastAsia"/>
        </w:rPr>
        <w:t>第二部分</w:t>
      </w:r>
      <w:r>
        <w:rPr>
          <w:rStyle w:val="15"/>
        </w:rPr>
        <w:t xml:space="preserve"> 2018</w:t>
      </w:r>
      <w:r>
        <w:rPr>
          <w:rStyle w:val="15"/>
          <w:rFonts w:hint="eastAsia"/>
        </w:rPr>
        <w:t>年度部门决算情况说明</w:t>
      </w:r>
      <w:r>
        <w:fldChar w:fldCharType="end"/>
      </w:r>
    </w:p>
    <w:p>
      <w:pPr>
        <w:pStyle w:val="11"/>
        <w:rPr>
          <w:rFonts w:ascii="仿宋" w:hAnsi="仿宋" w:eastAsia="仿宋" w:cstheme="minorBidi"/>
          <w:sz w:val="28"/>
          <w:szCs w:val="28"/>
        </w:rPr>
      </w:pPr>
      <w:r>
        <w:fldChar w:fldCharType="begin"/>
      </w:r>
      <w:r>
        <w:instrText xml:space="preserve"> HYPERLINK \l "_Toc15396603" </w:instrText>
      </w:r>
      <w:r>
        <w:fldChar w:fldCharType="separate"/>
      </w:r>
      <w:r>
        <w:rPr>
          <w:rStyle w:val="15"/>
          <w:rFonts w:hint="eastAsia" w:ascii="仿宋" w:hAnsi="仿宋" w:eastAsia="仿宋" w:cstheme="majorBidi"/>
          <w:bCs/>
          <w:sz w:val="28"/>
          <w:szCs w:val="28"/>
        </w:rPr>
        <w:t>一、</w:t>
      </w:r>
      <w:r>
        <w:rPr>
          <w:rStyle w:val="15"/>
          <w:rFonts w:hint="eastAsia" w:ascii="仿宋" w:hAnsi="仿宋" w:eastAsia="仿宋"/>
          <w:sz w:val="28"/>
          <w:szCs w:val="28"/>
        </w:rPr>
        <w:t>收</w:t>
      </w:r>
      <w:r>
        <w:rPr>
          <w:rStyle w:val="15"/>
          <w:rFonts w:hint="eastAsia" w:ascii="仿宋" w:hAnsi="仿宋" w:eastAsia="仿宋" w:cstheme="majorBidi"/>
          <w:bCs/>
          <w:sz w:val="28"/>
          <w:szCs w:val="28"/>
        </w:rPr>
        <w:t>入支出决算总体情况说明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"_Toc15396604" </w:instrText>
      </w:r>
      <w:r>
        <w:fldChar w:fldCharType="separate"/>
      </w:r>
      <w:r>
        <w:rPr>
          <w:rStyle w:val="15"/>
          <w:rFonts w:hint="eastAsia" w:ascii="仿宋" w:hAnsi="仿宋" w:eastAsia="仿宋" w:cstheme="majorBidi"/>
          <w:bCs/>
          <w:sz w:val="28"/>
          <w:szCs w:val="28"/>
        </w:rPr>
        <w:t>二、</w:t>
      </w:r>
      <w:r>
        <w:rPr>
          <w:rStyle w:val="15"/>
          <w:rFonts w:hint="eastAsia" w:ascii="仿宋" w:hAnsi="仿宋" w:eastAsia="仿宋"/>
          <w:sz w:val="28"/>
          <w:szCs w:val="28"/>
        </w:rPr>
        <w:t>收</w:t>
      </w:r>
      <w:r>
        <w:rPr>
          <w:rStyle w:val="15"/>
          <w:rFonts w:hint="eastAsia" w:ascii="仿宋" w:hAnsi="仿宋" w:eastAsia="仿宋" w:cstheme="majorBidi"/>
          <w:bCs/>
          <w:sz w:val="28"/>
          <w:szCs w:val="28"/>
        </w:rPr>
        <w:t>入决算情况说明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"_Toc15396605" </w:instrText>
      </w:r>
      <w:r>
        <w:fldChar w:fldCharType="separate"/>
      </w:r>
      <w:r>
        <w:rPr>
          <w:rStyle w:val="15"/>
          <w:rFonts w:hint="eastAsia" w:ascii="仿宋" w:hAnsi="仿宋" w:eastAsia="仿宋" w:cstheme="majorBidi"/>
          <w:bCs/>
          <w:sz w:val="28"/>
          <w:szCs w:val="28"/>
        </w:rPr>
        <w:t>三、</w:t>
      </w:r>
      <w:r>
        <w:rPr>
          <w:rStyle w:val="15"/>
          <w:rFonts w:hint="eastAsia" w:ascii="仿宋" w:hAnsi="仿宋" w:eastAsia="仿宋"/>
          <w:sz w:val="28"/>
          <w:szCs w:val="28"/>
        </w:rPr>
        <w:t>支</w:t>
      </w:r>
      <w:r>
        <w:rPr>
          <w:rStyle w:val="15"/>
          <w:rFonts w:hint="eastAsia" w:ascii="仿宋" w:hAnsi="仿宋" w:eastAsia="仿宋" w:cstheme="majorBidi"/>
          <w:bCs/>
          <w:sz w:val="28"/>
          <w:szCs w:val="28"/>
        </w:rPr>
        <w:t>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"_Toc15396606" </w:instrText>
      </w:r>
      <w:r>
        <w:fldChar w:fldCharType="separate"/>
      </w:r>
      <w:r>
        <w:rPr>
          <w:rStyle w:val="15"/>
          <w:rFonts w:hint="eastAsia" w:ascii="仿宋" w:hAnsi="仿宋" w:eastAsia="仿宋"/>
          <w:sz w:val="28"/>
          <w:szCs w:val="28"/>
        </w:rPr>
        <w:t>四、财</w:t>
      </w:r>
      <w:r>
        <w:rPr>
          <w:rStyle w:val="15"/>
          <w:rFonts w:hint="eastAsia" w:ascii="仿宋" w:hAnsi="仿宋" w:eastAsia="仿宋" w:cstheme="majorBidi"/>
          <w:bCs/>
          <w:sz w:val="28"/>
          <w:szCs w:val="28"/>
        </w:rPr>
        <w:t>政拨款收入支出决算总体情况说明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"_Toc15396607" </w:instrText>
      </w:r>
      <w:r>
        <w:fldChar w:fldCharType="separate"/>
      </w:r>
      <w:r>
        <w:rPr>
          <w:rStyle w:val="15"/>
          <w:rFonts w:hint="eastAsia" w:ascii="仿宋" w:hAnsi="仿宋" w:eastAsia="仿宋"/>
          <w:sz w:val="28"/>
          <w:szCs w:val="28"/>
        </w:rPr>
        <w:t>五、一</w:t>
      </w:r>
      <w:r>
        <w:rPr>
          <w:rStyle w:val="15"/>
          <w:rFonts w:hint="eastAsia" w:ascii="仿宋" w:hAnsi="仿宋" w:eastAsia="仿宋" w:cstheme="majorBidi"/>
          <w:bCs/>
          <w:sz w:val="28"/>
          <w:szCs w:val="28"/>
        </w:rPr>
        <w:t>般公共预算财政拨款支出决算情况说明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"_Toc15396608" </w:instrText>
      </w:r>
      <w:r>
        <w:fldChar w:fldCharType="separate"/>
      </w:r>
      <w:r>
        <w:rPr>
          <w:rStyle w:val="15"/>
          <w:rFonts w:hint="eastAsia" w:ascii="仿宋" w:hAnsi="仿宋" w:eastAsia="仿宋"/>
          <w:sz w:val="28"/>
          <w:szCs w:val="28"/>
        </w:rPr>
        <w:t>六、一</w:t>
      </w:r>
      <w:r>
        <w:rPr>
          <w:rStyle w:val="15"/>
          <w:rFonts w:hint="eastAsia" w:ascii="仿宋" w:hAnsi="仿宋" w:eastAsia="仿宋" w:cstheme="majorBidi"/>
          <w:bCs/>
          <w:sz w:val="28"/>
          <w:szCs w:val="28"/>
        </w:rPr>
        <w:t>般公共预算财政拨款基本支出决算情况说明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"_Toc15396609" </w:instrText>
      </w:r>
      <w:r>
        <w:fldChar w:fldCharType="separate"/>
      </w:r>
      <w:r>
        <w:rPr>
          <w:rStyle w:val="15"/>
          <w:rFonts w:hint="eastAsia" w:ascii="仿宋" w:hAnsi="仿宋" w:eastAsia="仿宋"/>
          <w:sz w:val="28"/>
          <w:szCs w:val="28"/>
        </w:rPr>
        <w:t>七、</w:t>
      </w:r>
      <w:r>
        <w:rPr>
          <w:rStyle w:val="15"/>
          <w:rFonts w:ascii="仿宋" w:hAnsi="仿宋" w:eastAsia="仿宋"/>
          <w:sz w:val="28"/>
          <w:szCs w:val="28"/>
        </w:rPr>
        <w:t>“</w:t>
      </w:r>
      <w:r>
        <w:rPr>
          <w:rStyle w:val="15"/>
          <w:rFonts w:hint="eastAsia" w:ascii="仿宋" w:hAnsi="仿宋" w:eastAsia="仿宋" w:cstheme="majorBidi"/>
          <w:bCs/>
          <w:sz w:val="28"/>
          <w:szCs w:val="28"/>
        </w:rPr>
        <w:t>三公”经费财政拨款支出决算情况说明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"_Toc15396610" </w:instrText>
      </w:r>
      <w:r>
        <w:fldChar w:fldCharType="separate"/>
      </w:r>
      <w:r>
        <w:rPr>
          <w:rStyle w:val="15"/>
          <w:rFonts w:hint="eastAsia" w:ascii="仿宋" w:hAnsi="仿宋" w:eastAsia="仿宋"/>
          <w:sz w:val="28"/>
          <w:szCs w:val="28"/>
        </w:rPr>
        <w:t>八、</w:t>
      </w:r>
      <w:r>
        <w:rPr>
          <w:rStyle w:val="15"/>
          <w:rFonts w:hint="eastAsia" w:ascii="仿宋" w:hAnsi="仿宋" w:eastAsia="仿宋" w:cstheme="majorBidi"/>
          <w:bCs/>
          <w:sz w:val="28"/>
          <w:szCs w:val="28"/>
        </w:rPr>
        <w:t>政府性基金预算支出决算情况说明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"_Toc15396611" </w:instrText>
      </w:r>
      <w:r>
        <w:fldChar w:fldCharType="separate"/>
      </w:r>
      <w:r>
        <w:rPr>
          <w:rStyle w:val="15"/>
          <w:rFonts w:hint="eastAsia" w:ascii="仿宋" w:hAnsi="仿宋" w:eastAsia="仿宋" w:cstheme="majorBidi"/>
          <w:bCs/>
          <w:sz w:val="28"/>
          <w:szCs w:val="28"/>
        </w:rPr>
        <w:t>九、</w:t>
      </w:r>
      <w:r>
        <w:rPr>
          <w:rStyle w:val="15"/>
          <w:rFonts w:hint="eastAsia" w:ascii="仿宋" w:hAnsi="仿宋" w:eastAsia="仿宋"/>
          <w:sz w:val="28"/>
          <w:szCs w:val="28"/>
        </w:rPr>
        <w:t xml:space="preserve"> 国</w:t>
      </w:r>
      <w:r>
        <w:rPr>
          <w:rStyle w:val="15"/>
          <w:rFonts w:hint="eastAsia" w:ascii="仿宋" w:hAnsi="仿宋" w:eastAsia="仿宋" w:cstheme="majorBidi"/>
          <w:bCs/>
          <w:sz w:val="28"/>
          <w:szCs w:val="28"/>
        </w:rPr>
        <w:t>有资本经营预算支出决算情况说明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"_Toc15396612" </w:instrText>
      </w:r>
      <w:r>
        <w:fldChar w:fldCharType="separate"/>
      </w:r>
      <w:r>
        <w:rPr>
          <w:rStyle w:val="15"/>
          <w:rFonts w:hint="eastAsia" w:ascii="仿宋" w:hAnsi="仿宋" w:eastAsia="仿宋"/>
          <w:sz w:val="28"/>
          <w:szCs w:val="28"/>
        </w:rPr>
        <w:t>十</w:t>
      </w:r>
      <w:r>
        <w:rPr>
          <w:rStyle w:val="15"/>
          <w:rFonts w:hint="eastAsia" w:ascii="仿宋" w:hAnsi="仿宋" w:eastAsia="仿宋" w:cstheme="majorBidi"/>
          <w:bCs/>
          <w:sz w:val="28"/>
          <w:szCs w:val="28"/>
        </w:rPr>
        <w:t>一、其他重要事项的情况说明</w:t>
      </w:r>
      <w:r>
        <w:rPr>
          <w:rFonts w:ascii="仿宋" w:hAnsi="仿宋" w:eastAsia="仿宋"/>
          <w:sz w:val="28"/>
          <w:szCs w:val="28"/>
        </w:rPr>
        <w:fldChar w:fldCharType="end"/>
      </w:r>
    </w:p>
    <w:p>
      <w:pPr>
        <w:pStyle w:val="10"/>
        <w:rPr>
          <w:rFonts w:cstheme="minorBidi"/>
        </w:rPr>
      </w:pPr>
      <w:r>
        <w:fldChar w:fldCharType="begin"/>
      </w:r>
      <w:r>
        <w:instrText xml:space="preserve"> HYPERLINK \l "_Toc15396613" </w:instrText>
      </w:r>
      <w:r>
        <w:fldChar w:fldCharType="separate"/>
      </w:r>
      <w:r>
        <w:rPr>
          <w:rStyle w:val="15"/>
          <w:rFonts w:hint="eastAsia"/>
          <w:bCs/>
          <w:kern w:val="44"/>
        </w:rPr>
        <w:t>第三部分</w:t>
      </w:r>
      <w:r>
        <w:rPr>
          <w:rStyle w:val="15"/>
          <w:rFonts w:hint="eastAsia"/>
        </w:rPr>
        <w:t xml:space="preserve"> 名</w:t>
      </w:r>
      <w:r>
        <w:rPr>
          <w:rStyle w:val="15"/>
          <w:rFonts w:hint="eastAsia"/>
          <w:bCs/>
          <w:kern w:val="44"/>
        </w:rPr>
        <w:t>词解释</w:t>
      </w:r>
      <w:r>
        <w:fldChar w:fldCharType="end"/>
      </w:r>
    </w:p>
    <w:p>
      <w:pPr>
        <w:pStyle w:val="10"/>
        <w:rPr>
          <w:rFonts w:cstheme="minorBidi"/>
        </w:rPr>
      </w:pPr>
      <w:r>
        <w:fldChar w:fldCharType="begin"/>
      </w:r>
      <w:r>
        <w:instrText xml:space="preserve"> HYPERLINK \l "_Toc15396614" </w:instrText>
      </w:r>
      <w:r>
        <w:fldChar w:fldCharType="separate"/>
      </w:r>
      <w:r>
        <w:rPr>
          <w:rStyle w:val="15"/>
          <w:rFonts w:hint="eastAsia"/>
        </w:rPr>
        <w:t>第</w:t>
      </w:r>
      <w:r>
        <w:rPr>
          <w:rStyle w:val="15"/>
          <w:rFonts w:hint="eastAsia"/>
          <w:bCs/>
          <w:kern w:val="44"/>
        </w:rPr>
        <w:t>四部分</w:t>
      </w:r>
      <w:r>
        <w:rPr>
          <w:rStyle w:val="15"/>
          <w:bCs/>
          <w:kern w:val="44"/>
        </w:rPr>
        <w:t xml:space="preserve"> </w:t>
      </w:r>
      <w:r>
        <w:rPr>
          <w:rStyle w:val="15"/>
          <w:rFonts w:hint="eastAsia"/>
          <w:bCs/>
          <w:kern w:val="44"/>
        </w:rPr>
        <w:t>附件</w:t>
      </w:r>
      <w:r>
        <w:fldChar w:fldCharType="end"/>
      </w:r>
    </w:p>
    <w:p>
      <w:pPr>
        <w:pStyle w:val="11"/>
        <w:rPr>
          <w:rFonts w:ascii="仿宋" w:hAnsi="仿宋" w:eastAsia="仿宋" w:cstheme="minorBidi"/>
          <w:sz w:val="28"/>
          <w:szCs w:val="28"/>
        </w:rPr>
      </w:pPr>
      <w:r>
        <w:fldChar w:fldCharType="begin"/>
      </w:r>
      <w:r>
        <w:instrText xml:space="preserve"> HYPERLINK \l "_Toc15396615" </w:instrText>
      </w:r>
      <w:r>
        <w:fldChar w:fldCharType="separate"/>
      </w:r>
      <w:r>
        <w:rPr>
          <w:rStyle w:val="15"/>
          <w:rFonts w:hint="eastAsia" w:ascii="仿宋" w:hAnsi="仿宋" w:eastAsia="仿宋"/>
          <w:kern w:val="44"/>
          <w:sz w:val="28"/>
          <w:szCs w:val="28"/>
        </w:rPr>
        <w:t>附件</w:t>
      </w:r>
      <w:r>
        <w:rPr>
          <w:rStyle w:val="15"/>
          <w:rFonts w:ascii="仿宋" w:hAnsi="仿宋" w:eastAsia="仿宋"/>
          <w:kern w:val="44"/>
          <w:sz w:val="28"/>
          <w:szCs w:val="28"/>
        </w:rPr>
        <w:t>1</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"_Toc15396617" </w:instrText>
      </w:r>
      <w:r>
        <w:fldChar w:fldCharType="separate"/>
      </w:r>
      <w:r>
        <w:rPr>
          <w:rStyle w:val="15"/>
          <w:rFonts w:hint="eastAsia" w:ascii="仿宋" w:hAnsi="仿宋" w:eastAsia="仿宋"/>
          <w:kern w:val="44"/>
          <w:sz w:val="28"/>
          <w:szCs w:val="28"/>
        </w:rPr>
        <w:t>附件</w:t>
      </w:r>
      <w:r>
        <w:rPr>
          <w:rStyle w:val="15"/>
          <w:rFonts w:ascii="仿宋" w:hAnsi="仿宋" w:eastAsia="仿宋"/>
          <w:kern w:val="44"/>
          <w:sz w:val="28"/>
          <w:szCs w:val="28"/>
        </w:rPr>
        <w:t>2</w:t>
      </w:r>
      <w:r>
        <w:rPr>
          <w:rFonts w:ascii="仿宋" w:hAnsi="仿宋" w:eastAsia="仿宋"/>
          <w:sz w:val="28"/>
          <w:szCs w:val="28"/>
        </w:rPr>
        <w:fldChar w:fldCharType="end"/>
      </w:r>
    </w:p>
    <w:p>
      <w:pPr>
        <w:pStyle w:val="10"/>
        <w:rPr>
          <w:rFonts w:cstheme="minorBidi"/>
        </w:rPr>
      </w:pPr>
      <w:r>
        <w:fldChar w:fldCharType="begin"/>
      </w:r>
      <w:r>
        <w:instrText xml:space="preserve"> HYPERLINK \l "_Toc15396618" </w:instrText>
      </w:r>
      <w:r>
        <w:fldChar w:fldCharType="separate"/>
      </w:r>
      <w:r>
        <w:rPr>
          <w:rStyle w:val="15"/>
          <w:rFonts w:hint="eastAsia"/>
        </w:rPr>
        <w:t>第</w:t>
      </w:r>
      <w:r>
        <w:rPr>
          <w:rStyle w:val="15"/>
          <w:rFonts w:hint="eastAsia"/>
          <w:bCs/>
          <w:kern w:val="44"/>
        </w:rPr>
        <w:t>五部分</w:t>
      </w:r>
      <w:r>
        <w:rPr>
          <w:rStyle w:val="15"/>
          <w:bCs/>
          <w:kern w:val="44"/>
        </w:rPr>
        <w:t xml:space="preserve"> </w:t>
      </w:r>
      <w:r>
        <w:rPr>
          <w:rStyle w:val="15"/>
          <w:rFonts w:hint="eastAsia"/>
          <w:bCs/>
          <w:kern w:val="44"/>
        </w:rPr>
        <w:t>附表</w:t>
      </w:r>
      <w:r>
        <w:fldChar w:fldCharType="end"/>
      </w:r>
    </w:p>
    <w:p>
      <w:pPr>
        <w:pStyle w:val="11"/>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5"/>
          <w:rFonts w:hint="eastAsia" w:ascii="仿宋" w:hAnsi="仿宋" w:eastAsia="仿宋"/>
          <w:sz w:val="28"/>
          <w:szCs w:val="28"/>
        </w:rPr>
        <w:t>收入支出决算总表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5"/>
          <w:rFonts w:hint="eastAsia" w:ascii="仿宋" w:hAnsi="仿宋" w:eastAsia="仿宋"/>
          <w:sz w:val="28"/>
          <w:szCs w:val="28"/>
        </w:rPr>
        <w:t>收入总表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5"/>
          <w:rFonts w:hint="eastAsia" w:ascii="仿宋" w:hAnsi="仿宋" w:eastAsia="仿宋"/>
          <w:sz w:val="28"/>
          <w:szCs w:val="28"/>
        </w:rPr>
        <w:t>支出总表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5"/>
          <w:rFonts w:hint="eastAsia" w:ascii="仿宋" w:hAnsi="仿宋" w:eastAsia="仿宋"/>
          <w:sz w:val="28"/>
          <w:szCs w:val="28"/>
        </w:rPr>
        <w:t>财政拨款收入支出决算总表</w:t>
      </w:r>
      <w:r>
        <w:rPr>
          <w:rFonts w:ascii="仿宋" w:hAnsi="仿宋" w:eastAsia="仿宋"/>
          <w:sz w:val="28"/>
          <w:szCs w:val="28"/>
        </w:rPr>
        <w:fldChar w:fldCharType="end"/>
      </w:r>
    </w:p>
    <w:p>
      <w:pPr>
        <w:pStyle w:val="11"/>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5"/>
          <w:rFonts w:hint="eastAsia" w:ascii="仿宋" w:hAnsi="仿宋" w:eastAsia="仿宋"/>
          <w:sz w:val="28"/>
          <w:szCs w:val="28"/>
        </w:rPr>
        <w:t>一般公共预算财政拨款支出决算表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5"/>
          <w:rFonts w:hint="eastAsia" w:ascii="仿宋" w:hAnsi="仿宋" w:eastAsia="仿宋"/>
          <w:sz w:val="28"/>
          <w:szCs w:val="28"/>
        </w:rPr>
        <w:t>一般公共预算财政拨款支出决算明细表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5"/>
          <w:rFonts w:hint="eastAsia" w:ascii="仿宋" w:hAnsi="仿宋" w:eastAsia="仿宋"/>
          <w:sz w:val="28"/>
          <w:szCs w:val="28"/>
        </w:rPr>
        <w:t>一般公共预算财政拨款基本支出决算表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5"/>
          <w:rFonts w:hint="eastAsia" w:ascii="仿宋" w:hAnsi="仿宋" w:eastAsia="仿宋"/>
          <w:sz w:val="28"/>
          <w:szCs w:val="28"/>
        </w:rPr>
        <w:t>一般公共预算财政拨款项目支出决算表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5"/>
          <w:rFonts w:hint="eastAsia" w:ascii="仿宋" w:hAnsi="仿宋" w:eastAsia="仿宋"/>
          <w:sz w:val="28"/>
          <w:szCs w:val="28"/>
        </w:rPr>
        <w:t>一般公共预算财政拨款“三公”经费支出决算表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5"/>
          <w:rFonts w:hint="eastAsia" w:ascii="仿宋" w:hAnsi="仿宋" w:eastAsia="仿宋"/>
          <w:sz w:val="28"/>
          <w:szCs w:val="28"/>
        </w:rPr>
        <w:t>政府性基金预算财政拨款收入支出决算表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5"/>
          <w:rFonts w:hint="eastAsia" w:ascii="仿宋" w:hAnsi="仿宋" w:eastAsia="仿宋"/>
          <w:sz w:val="28"/>
          <w:szCs w:val="28"/>
        </w:rPr>
        <w:t>政府性基金预算财政拨款“三公”经费支出决算表</w:t>
      </w:r>
      <w:r>
        <w:rPr>
          <w:rFonts w:ascii="仿宋" w:hAnsi="仿宋" w:eastAsia="仿宋"/>
          <w:sz w:val="28"/>
          <w:szCs w:val="28"/>
        </w:rPr>
        <w:fldChar w:fldCharType="end"/>
      </w:r>
    </w:p>
    <w:p>
      <w:pPr>
        <w:pStyle w:val="11"/>
        <w:rPr>
          <w:rFonts w:ascii="仿宋" w:hAnsi="仿宋" w:eastAsia="仿宋"/>
          <w:sz w:val="28"/>
          <w:szCs w:val="28"/>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5"/>
          <w:rFonts w:hint="eastAsia" w:ascii="仿宋" w:hAnsi="仿宋" w:eastAsia="仿宋"/>
          <w:sz w:val="28"/>
          <w:szCs w:val="28"/>
        </w:rPr>
        <w:t>国有资本经营预算支出决算表</w:t>
      </w:r>
      <w:r>
        <w:rPr>
          <w:rFonts w:ascii="仿宋" w:hAnsi="仿宋" w:eastAsia="仿宋"/>
          <w:sz w:val="28"/>
          <w:szCs w:val="28"/>
        </w:rPr>
        <w:fldChar w:fldCharType="end"/>
      </w:r>
    </w:p>
    <w:p>
      <w:pPr>
        <w:rPr>
          <w:rStyle w:val="23"/>
          <w:rFonts w:hint="eastAsia" w:ascii="仿宋" w:hAnsi="仿宋" w:eastAsia="仿宋"/>
          <w:b w:val="0"/>
          <w:bCs w:val="0"/>
          <w:lang w:val="en-US" w:eastAsia="zh-CN"/>
        </w:rPr>
      </w:pPr>
      <w:bookmarkStart w:id="67" w:name="_GoBack"/>
      <w:bookmarkEnd w:id="67"/>
      <w:r>
        <w:rPr>
          <w:rStyle w:val="23"/>
          <w:rFonts w:hint="eastAsia" w:ascii="仿宋" w:hAnsi="仿宋" w:eastAsia="仿宋"/>
          <w:b w:val="0"/>
          <w:bCs w:val="0"/>
          <w:lang w:val="en-US" w:eastAsia="zh-CN"/>
        </w:rPr>
        <w:t>十四、整体支出绩效评价打分表</w:t>
      </w:r>
    </w:p>
    <w:p>
      <w:pPr>
        <w:rPr>
          <w:rStyle w:val="23"/>
          <w:rFonts w:hint="eastAsia" w:ascii="仿宋" w:hAnsi="仿宋" w:eastAsia="仿宋"/>
          <w:b w:val="0"/>
          <w:bCs w:val="0"/>
          <w:lang w:val="en-US" w:eastAsia="zh-CN"/>
        </w:rPr>
      </w:pPr>
      <w:r>
        <w:rPr>
          <w:rStyle w:val="23"/>
          <w:rFonts w:hint="eastAsia" w:ascii="仿宋" w:hAnsi="仿宋" w:eastAsia="仿宋"/>
          <w:b w:val="0"/>
          <w:bCs w:val="0"/>
          <w:lang w:val="en-US" w:eastAsia="zh-CN"/>
        </w:rPr>
        <w:t>十五、项目支出绩效评价打分表</w:t>
      </w:r>
    </w:p>
    <w:p/>
    <w:p>
      <w:pPr>
        <w:widowControl/>
        <w:jc w:val="left"/>
        <w:rPr>
          <w:rFonts w:ascii="仿宋" w:hAnsi="仿宋" w:eastAsia="仿宋"/>
          <w:color w:val="000000"/>
          <w:sz w:val="24"/>
        </w:rPr>
      </w:pPr>
      <w:r>
        <w:rPr>
          <w:rFonts w:ascii="仿宋" w:hAnsi="仿宋" w:eastAsia="仿宋"/>
          <w:color w:val="000000"/>
          <w:sz w:val="24"/>
        </w:rPr>
        <w:fldChar w:fldCharType="end"/>
      </w:r>
    </w:p>
    <w:p>
      <w:pPr>
        <w:widowControl/>
        <w:jc w:val="left"/>
        <w:rPr>
          <w:rFonts w:ascii="黑体" w:hAnsi="黑体" w:eastAsia="黑体" w:cs="黑体"/>
          <w:sz w:val="36"/>
          <w:szCs w:val="36"/>
        </w:rPr>
      </w:pPr>
    </w:p>
    <w:p>
      <w:pPr>
        <w:widowControl/>
        <w:jc w:val="left"/>
        <w:rPr>
          <w:rFonts w:ascii="黑体" w:hAnsi="黑体" w:eastAsia="黑体" w:cs="黑体"/>
          <w:sz w:val="36"/>
          <w:szCs w:val="36"/>
        </w:rPr>
      </w:pPr>
    </w:p>
    <w:p>
      <w:pPr>
        <w:widowControl/>
        <w:jc w:val="left"/>
        <w:rPr>
          <w:rFonts w:ascii="黑体" w:hAnsi="黑体" w:eastAsia="黑体" w:cs="黑体"/>
          <w:sz w:val="36"/>
          <w:szCs w:val="36"/>
        </w:rPr>
      </w:pPr>
    </w:p>
    <w:p>
      <w:pPr>
        <w:widowControl/>
        <w:jc w:val="left"/>
        <w:rPr>
          <w:rFonts w:ascii="黑体" w:hAnsi="黑体" w:eastAsia="黑体" w:cs="黑体"/>
          <w:sz w:val="36"/>
          <w:szCs w:val="36"/>
        </w:rPr>
      </w:pPr>
    </w:p>
    <w:p>
      <w:pPr>
        <w:pStyle w:val="4"/>
        <w:jc w:val="center"/>
        <w:rPr>
          <w:rFonts w:ascii="黑体" w:hAnsi="黑体" w:eastAsia="黑体" w:cs="黑体"/>
          <w:b/>
          <w:bCs/>
          <w:sz w:val="36"/>
          <w:szCs w:val="36"/>
        </w:rPr>
      </w:pPr>
      <w:r>
        <w:rPr>
          <w:rFonts w:hint="eastAsia" w:ascii="黑体" w:hAnsi="黑体" w:eastAsia="黑体"/>
          <w:b w:val="0"/>
        </w:rPr>
        <w:t>第一部分</w:t>
      </w:r>
      <w:r>
        <w:rPr>
          <w:rFonts w:ascii="黑体" w:hAnsi="黑体" w:eastAsia="黑体"/>
          <w:b w:val="0"/>
        </w:rPr>
        <w:t xml:space="preserve"> </w:t>
      </w:r>
      <w:r>
        <w:rPr>
          <w:rStyle w:val="17"/>
          <w:rFonts w:hint="eastAsia" w:ascii="黑体" w:hAnsi="黑体" w:eastAsia="黑体"/>
          <w:b w:val="0"/>
          <w:bCs w:val="0"/>
        </w:rPr>
        <w:t>部门概况</w:t>
      </w:r>
    </w:p>
    <w:p>
      <w:pPr>
        <w:pStyle w:val="5"/>
        <w:rPr>
          <w:rStyle w:val="18"/>
          <w:rFonts w:ascii="仿宋" w:hAnsi="仿宋" w:eastAsia="仿宋"/>
          <w:b w:val="0"/>
          <w:bCs w:val="0"/>
        </w:rPr>
      </w:pPr>
      <w:r>
        <w:rPr>
          <w:rFonts w:hint="eastAsia" w:ascii="黑体" w:hAnsi="黑体" w:eastAsia="黑体"/>
          <w:b w:val="0"/>
          <w:color w:val="000000"/>
        </w:rPr>
        <w:t>一、基</w:t>
      </w:r>
      <w:r>
        <w:rPr>
          <w:rStyle w:val="18"/>
          <w:rFonts w:hint="eastAsia" w:ascii="黑体" w:hAnsi="黑体" w:eastAsia="黑体"/>
          <w:b w:val="0"/>
          <w:bCs w:val="0"/>
        </w:rPr>
        <w:t>本职能及主要工作</w:t>
      </w:r>
      <w:bookmarkEnd w:id="5"/>
      <w:bookmarkEnd w:id="6"/>
    </w:p>
    <w:p>
      <w:pPr>
        <w:pStyle w:val="6"/>
        <w:numPr>
          <w:ilvl w:val="0"/>
          <w:numId w:val="1"/>
        </w:numPr>
        <w:adjustRightInd w:val="0"/>
        <w:snapToGrid w:val="0"/>
        <w:spacing w:before="93" w:line="560" w:lineRule="exact"/>
        <w:ind w:firstLine="672" w:firstLineChars="210"/>
        <w:rPr>
          <w:bCs/>
          <w:color w:val="000000"/>
          <w:sz w:val="32"/>
          <w:szCs w:val="32"/>
        </w:rPr>
      </w:pPr>
      <w:bookmarkStart w:id="13" w:name="_Toc15378445"/>
      <w:bookmarkStart w:id="14" w:name="_Toc15377198"/>
      <w:r>
        <w:rPr>
          <w:rFonts w:hint="eastAsia"/>
          <w:bCs/>
          <w:color w:val="000000"/>
          <w:sz w:val="32"/>
          <w:szCs w:val="32"/>
        </w:rPr>
        <w:t>主要职能</w:t>
      </w:r>
    </w:p>
    <w:p>
      <w:pPr>
        <w:snapToGrid w:val="0"/>
        <w:spacing w:line="560" w:lineRule="exact"/>
        <w:ind w:firstLine="640" w:firstLineChars="200"/>
        <w:rPr>
          <w:rFonts w:ascii="仿宋_GB2312" w:hAnsi="仿宋" w:eastAsia="仿宋_GB2312"/>
          <w:bCs/>
          <w:sz w:val="32"/>
          <w:szCs w:val="32"/>
        </w:rPr>
      </w:pPr>
      <w:r>
        <w:rPr>
          <w:rFonts w:hint="eastAsia" w:ascii="仿宋_GB2312" w:hAnsi="仿宋_GB2312" w:eastAsia="仿宋_GB2312" w:cs="仿宋_GB2312"/>
          <w:bCs/>
          <w:sz w:val="32"/>
          <w:szCs w:val="32"/>
        </w:rPr>
        <w:t>一是制定并组织实施乡村建设规划</w:t>
      </w:r>
      <w:r>
        <w:rPr>
          <w:rFonts w:ascii="仿宋_GB2312" w:hAnsi="仿宋_GB2312" w:eastAsia="仿宋_GB2312" w:cs="仿宋_GB2312"/>
          <w:bCs/>
          <w:sz w:val="32"/>
          <w:szCs w:val="32"/>
        </w:rPr>
        <w:t>,</w:t>
      </w:r>
      <w:r>
        <w:rPr>
          <w:rFonts w:hint="eastAsia" w:ascii="仿宋_GB2312" w:hAnsi="仿宋_GB2312" w:eastAsia="仿宋_GB2312" w:cs="仿宋_GB2312"/>
          <w:bCs/>
          <w:sz w:val="32"/>
          <w:szCs w:val="32"/>
        </w:rPr>
        <w:t>部署重点项目建设、地方道路建设、水利设施管理、自然资源和生态环境的保护，做好护林防火工作；二是负责本乡区域内民政、计划生育、体育文化卫生等社会公益事业的综合性工作，维护群众合法权益，调节民事纠纷，打击刑事犯罪维护社会稳定；三是做好本乡账务资金管理工作；四是抓好精神文明建设；五是完成上级部门交办的其他事项</w:t>
      </w:r>
      <w:r>
        <w:rPr>
          <w:rFonts w:hint="eastAsia" w:hAnsi="仿宋_GB2312" w:cs="仿宋_GB2312"/>
          <w:bCs/>
          <w:sz w:val="32"/>
          <w:szCs w:val="32"/>
        </w:rPr>
        <w:t>。</w:t>
      </w:r>
    </w:p>
    <w:bookmarkEnd w:id="13"/>
    <w:bookmarkEnd w:id="14"/>
    <w:p>
      <w:pPr>
        <w:pStyle w:val="6"/>
        <w:adjustRightInd w:val="0"/>
        <w:snapToGrid w:val="0"/>
        <w:spacing w:before="93" w:line="600" w:lineRule="exact"/>
        <w:ind w:firstLine="672" w:firstLineChars="210"/>
        <w:outlineLvl w:val="2"/>
        <w:rPr>
          <w:rFonts w:ascii="仿宋" w:hAnsi="仿宋" w:eastAsia="仿宋"/>
          <w:bCs/>
          <w:color w:val="000000"/>
          <w:sz w:val="32"/>
          <w:szCs w:val="32"/>
        </w:rPr>
      </w:pPr>
      <w:bookmarkStart w:id="15" w:name="_Toc15377199"/>
      <w:bookmarkStart w:id="16" w:name="_Toc15378446"/>
      <w:r>
        <w:rPr>
          <w:rFonts w:hint="eastAsia" w:ascii="仿宋" w:hAnsi="仿宋" w:eastAsia="仿宋"/>
          <w:bCs/>
          <w:color w:val="000000"/>
          <w:sz w:val="32"/>
          <w:szCs w:val="32"/>
        </w:rPr>
        <w:t>（二）</w:t>
      </w:r>
      <w:r>
        <w:rPr>
          <w:rFonts w:ascii="仿宋" w:hAnsi="仿宋" w:eastAsia="仿宋"/>
          <w:bCs/>
          <w:color w:val="000000"/>
          <w:sz w:val="32"/>
          <w:szCs w:val="32"/>
        </w:rPr>
        <w:t>2018</w:t>
      </w:r>
      <w:r>
        <w:rPr>
          <w:rFonts w:hint="eastAsia" w:ascii="仿宋" w:hAnsi="仿宋" w:eastAsia="仿宋"/>
          <w:bCs/>
          <w:color w:val="000000"/>
          <w:sz w:val="32"/>
          <w:szCs w:val="32"/>
        </w:rPr>
        <w:t>年重点工作完成情况。</w:t>
      </w:r>
      <w:bookmarkEnd w:id="15"/>
      <w:bookmarkEnd w:id="16"/>
    </w:p>
    <w:p>
      <w:pPr>
        <w:keepNext w:val="0"/>
        <w:keepLines w:val="0"/>
        <w:pageBreakBefore w:val="0"/>
        <w:numPr>
          <w:ilvl w:val="0"/>
          <w:numId w:val="0"/>
        </w:numPr>
        <w:kinsoku/>
        <w:wordWrap/>
        <w:overflowPunct/>
        <w:topLinePunct w:val="0"/>
        <w:autoSpaceDE/>
        <w:autoSpaceDN/>
        <w:bidi w:val="0"/>
        <w:spacing w:line="576" w:lineRule="exact"/>
        <w:ind w:left="0" w:leftChars="0" w:right="0" w:rightChars="0" w:firstLine="640" w:firstLineChars="200"/>
        <w:textAlignment w:val="auto"/>
        <w:outlineLvl w:val="9"/>
        <w:rPr>
          <w:rFonts w:hint="eastAsia" w:ascii="仿宋_GB2312" w:eastAsia="仿宋_GB2312"/>
          <w:color w:val="000000"/>
          <w:sz w:val="32"/>
          <w:szCs w:val="32"/>
          <w:lang w:val="en-US" w:eastAsia="zh-CN"/>
        </w:rPr>
      </w:pPr>
      <w:bookmarkStart w:id="17" w:name="_Toc15377200"/>
      <w:bookmarkStart w:id="18" w:name="_Toc15396601"/>
      <w:r>
        <w:rPr>
          <w:rFonts w:hint="eastAsia" w:ascii="仿宋_GB2312" w:eastAsia="仿宋_GB2312"/>
          <w:color w:val="000000"/>
          <w:sz w:val="32"/>
          <w:szCs w:val="32"/>
          <w:lang w:val="en-US" w:eastAsia="zh-CN"/>
        </w:rPr>
        <w:t>2018年，查尔玛乡共有各类建设项目14个，总投资1176.9万元。其中，已完成项目11个，在建项目3个，储备项目7个。</w:t>
      </w:r>
    </w:p>
    <w:p>
      <w:pPr>
        <w:keepNext w:val="0"/>
        <w:keepLines w:val="0"/>
        <w:pageBreakBefore w:val="0"/>
        <w:numPr>
          <w:ilvl w:val="0"/>
          <w:numId w:val="0"/>
        </w:numPr>
        <w:kinsoku/>
        <w:wordWrap/>
        <w:overflowPunct/>
        <w:topLinePunct w:val="0"/>
        <w:autoSpaceDE/>
        <w:autoSpaceDN/>
        <w:bidi w:val="0"/>
        <w:spacing w:line="576" w:lineRule="exact"/>
        <w:ind w:left="0" w:leftChars="0" w:right="0" w:rightChars="0" w:firstLine="640" w:firstLineChars="200"/>
        <w:textAlignment w:val="auto"/>
        <w:outlineLvl w:val="9"/>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已完成项目包括：</w:t>
      </w:r>
    </w:p>
    <w:p>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红原县2018年少数民族发展资金查尔玛乡查龙村牧道建设项目，新建牧道5公里，投入资金30万元，已竣工。</w:t>
      </w:r>
    </w:p>
    <w:p>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红原县寺庙大民生带小民生查龙寺维修改造项目，投入资金30万元（财政补助20万元，寺庙僧众自筹10万元），维修查龙寺大经堂，已竣工。</w:t>
      </w:r>
    </w:p>
    <w:p>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红原县查尔玛乡新建党员活动中心建设项目，新建党员活动中心127.89㎡及装修，投入资金40万元，已竣工。</w:t>
      </w:r>
    </w:p>
    <w:p>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2017年脱贫攻坚资金计划第二批查尔玛乡建档立卡户电网维修改造项目，投入资金25万元，已竣工。</w:t>
      </w:r>
    </w:p>
    <w:p>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红原县查尔玛乡村级文化活动中心维修改造项目，新建文化中心活动室78㎡及装修、围墙、院内硬化等，投入资金20万元，已竣工。</w:t>
      </w:r>
    </w:p>
    <w:p>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红原县查尔玛乡什布龙村贮草库建设项目，新建草料库200㎡，投入资金20万元，已竣工。</w:t>
      </w:r>
    </w:p>
    <w:p>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红原县查尔玛乡旅游公共厕所维修项目，维修公共旅游厕所大门、通水通电、窗户、地砖等，投入资金4.9万元，已竣工。</w:t>
      </w:r>
    </w:p>
    <w:p>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红原县查尔玛乡2018年洪涝灾害灾后恢复建设项目，本项目建设内容所需资金来源于第二批涉农整合资金和牧户自筹资金，总投资167万元。其中，财政补助资金128.39万元，牧户自筹38.61万元。已竣工。</w:t>
      </w:r>
    </w:p>
    <w:p>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红原县查尔玛乡2018年脱贫攻坚统筹整合财政涉农资金到户产业项目，投入资金6000元购买牦母牛带崽1头，已竣工。</w:t>
      </w:r>
    </w:p>
    <w:p>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红原县查尔玛乡党员活动中心采购项目，投入资金6万元。</w:t>
      </w:r>
    </w:p>
    <w:p>
      <w:pPr>
        <w:keepNext w:val="0"/>
        <w:keepLines w:val="0"/>
        <w:pageBreakBefore w:val="0"/>
        <w:widowControl w:val="0"/>
        <w:numPr>
          <w:ilvl w:val="0"/>
          <w:numId w:val="2"/>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红原县查尔玛乡查龙村村道维修项目，维修村道35公里，投入资金13万元，已竣工。</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3" w:firstLineChars="200"/>
        <w:textAlignment w:val="auto"/>
        <w:outlineLvl w:val="9"/>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正在施工：</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1.红原县查尔玛乡人民政府总平面铺装绿化工程及大门门卫厕所建设项目二期，投入资金49万元。</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2.红原县查尔玛乡基层政权建设维修项目（二期），投入资金22万元。</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3.红原县查尔玛乡2018年基础设施牧道维修及板涵桥建设项目，投入资金150万元，已完成前期，已停工，2019年继续实施。</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储备项目包括：一是查尔玛乡桥梁建设项目总投资180万元。</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二是查尔玛乡草原防火通道维修改造1040万元。</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三是查尔玛乡草原防火通道新建，共投资2888万元。</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四是查尔玛乡定居点内道路提升改造，共计投资1000万元。五是查尔玛乡农牧业生产点基础设施建设，共计投资1000万元。</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六是查尔玛乡防洪沟渠建设，共计投资40万元。</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outlineLvl w:val="9"/>
        <w:rPr>
          <w:rStyle w:val="18"/>
          <w:rFonts w:hint="eastAsia" w:ascii="黑体" w:hAnsi="黑体" w:eastAsia="黑体"/>
          <w:b w:val="0"/>
          <w:bCs w:val="0"/>
        </w:rPr>
      </w:pPr>
      <w:r>
        <w:rPr>
          <w:rFonts w:hint="eastAsia" w:ascii="仿宋" w:hAnsi="仿宋" w:eastAsia="仿宋" w:cs="仿宋"/>
          <w:sz w:val="32"/>
          <w:szCs w:val="32"/>
          <w:lang w:val="en-US" w:eastAsia="zh-CN"/>
        </w:rPr>
        <w:t>七是查尔玛乡供水设施维护，共计投资50万元。</w:t>
      </w:r>
    </w:p>
    <w:p>
      <w:pPr>
        <w:adjustRightInd w:val="0"/>
        <w:snapToGrid w:val="0"/>
        <w:spacing w:line="560" w:lineRule="exact"/>
        <w:ind w:firstLine="640" w:firstLineChars="200"/>
        <w:rPr>
          <w:rStyle w:val="18"/>
          <w:rFonts w:hint="eastAsia" w:ascii="黑体" w:hAnsi="黑体" w:eastAsia="黑体"/>
          <w:b w:val="0"/>
          <w:bCs w:val="0"/>
        </w:rPr>
      </w:pPr>
      <w:r>
        <w:rPr>
          <w:rStyle w:val="18"/>
          <w:rFonts w:hint="eastAsia" w:ascii="黑体" w:hAnsi="黑体" w:eastAsia="黑体"/>
          <w:b w:val="0"/>
          <w:bCs w:val="0"/>
        </w:rPr>
        <w:t>二、机构设置</w:t>
      </w:r>
      <w:bookmarkEnd w:id="17"/>
      <w:bookmarkEnd w:id="18"/>
    </w:p>
    <w:p>
      <w:pPr>
        <w:adjustRightInd w:val="0"/>
        <w:snapToGrid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我单位为独立核算全额拨款行政单位，截止2018年底我单位共有编制29个，其中公务员编制19个，其中行政工勤编制2个，事业编制8个，在职2</w:t>
      </w:r>
      <w:r>
        <w:rPr>
          <w:rFonts w:hint="eastAsia" w:ascii="仿宋_GB2312" w:hAnsi="仿宋_GB2312" w:eastAsia="仿宋_GB2312" w:cs="仿宋_GB2312"/>
          <w:color w:val="000000"/>
          <w:sz w:val="32"/>
          <w:szCs w:val="32"/>
          <w:lang w:val="en-US" w:eastAsia="zh-CN"/>
        </w:rPr>
        <w:t>9</w:t>
      </w:r>
      <w:r>
        <w:rPr>
          <w:rFonts w:hint="eastAsia" w:ascii="仿宋_GB2312" w:hAnsi="仿宋_GB2312" w:eastAsia="仿宋_GB2312" w:cs="仿宋_GB2312"/>
          <w:color w:val="000000"/>
          <w:sz w:val="32"/>
          <w:szCs w:val="32"/>
        </w:rPr>
        <w:t>人，其中参公0人，公务员2</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人，2018年新录入公务员</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人，转</w:t>
      </w:r>
      <w:r>
        <w:rPr>
          <w:rFonts w:hint="eastAsia" w:ascii="仿宋_GB2312" w:hAnsi="仿宋_GB2312" w:eastAsia="仿宋_GB2312" w:cs="仿宋_GB2312"/>
          <w:color w:val="000000"/>
          <w:sz w:val="32"/>
          <w:szCs w:val="32"/>
          <w:lang w:eastAsia="zh-CN"/>
        </w:rPr>
        <w:t>出</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人，事业编制</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人，2018年减少1人，行政工勤1人，退休</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人。</w:t>
      </w:r>
      <w:bookmarkStart w:id="19" w:name="_Toc15396602"/>
      <w:bookmarkStart w:id="20" w:name="_Toc15377204"/>
    </w:p>
    <w:bookmarkEnd w:id="19"/>
    <w:bookmarkEnd w:id="20"/>
    <w:p>
      <w:pPr>
        <w:pStyle w:val="4"/>
        <w:ind w:right="440"/>
        <w:jc w:val="right"/>
        <w:rPr>
          <w:rStyle w:val="17"/>
          <w:rFonts w:ascii="黑体" w:hAnsi="黑体" w:eastAsia="黑体"/>
          <w:b w:val="0"/>
          <w:bCs w:val="0"/>
        </w:rPr>
      </w:pPr>
      <w:bookmarkStart w:id="21" w:name="_Toc15396603"/>
      <w:bookmarkStart w:id="22" w:name="_Toc15377205"/>
      <w:r>
        <w:rPr>
          <w:rFonts w:hint="eastAsia" w:ascii="黑体" w:hAnsi="黑体" w:eastAsia="黑体"/>
          <w:b w:val="0"/>
          <w:color w:val="000000"/>
        </w:rPr>
        <w:t>第二部分</w:t>
      </w:r>
      <w:r>
        <w:rPr>
          <w:rFonts w:ascii="黑体" w:hAnsi="黑体" w:eastAsia="黑体"/>
          <w:color w:val="000000"/>
        </w:rPr>
        <w:t xml:space="preserve"> </w:t>
      </w:r>
      <w:r>
        <w:rPr>
          <w:rStyle w:val="17"/>
          <w:rFonts w:ascii="黑体" w:hAnsi="黑体" w:eastAsia="黑体"/>
          <w:b w:val="0"/>
          <w:bCs w:val="0"/>
        </w:rPr>
        <w:t>2018</w:t>
      </w:r>
      <w:r>
        <w:rPr>
          <w:rStyle w:val="17"/>
          <w:rFonts w:hint="eastAsia" w:ascii="黑体" w:hAnsi="黑体" w:eastAsia="黑体"/>
          <w:b w:val="0"/>
          <w:bCs w:val="0"/>
        </w:rPr>
        <w:t>年度部门决算情况说明</w:t>
      </w:r>
    </w:p>
    <w:p>
      <w:pPr>
        <w:pStyle w:val="20"/>
        <w:spacing w:line="600" w:lineRule="exact"/>
        <w:ind w:firstLine="640"/>
        <w:outlineLvl w:val="1"/>
        <w:rPr>
          <w:rStyle w:val="18"/>
          <w:rFonts w:ascii="黑体" w:hAnsi="黑体" w:eastAsia="黑体"/>
          <w:b w:val="0"/>
        </w:rPr>
      </w:pPr>
      <w:r>
        <w:rPr>
          <w:rFonts w:hint="eastAsia" w:ascii="黑体" w:hAnsi="黑体" w:eastAsia="黑体"/>
          <w:color w:val="000000"/>
          <w:sz w:val="32"/>
          <w:szCs w:val="32"/>
        </w:rPr>
        <w:t>一、收</w:t>
      </w:r>
      <w:r>
        <w:rPr>
          <w:rStyle w:val="18"/>
          <w:rFonts w:hint="eastAsia" w:ascii="黑体" w:hAnsi="黑体" w:eastAsia="黑体"/>
          <w:b w:val="0"/>
        </w:rPr>
        <w:t>入支出决算总体情况说明</w:t>
      </w:r>
      <w:bookmarkEnd w:id="21"/>
      <w:bookmarkEnd w:id="22"/>
    </w:p>
    <w:p>
      <w:pPr>
        <w:snapToGrid w:val="0"/>
        <w:spacing w:line="560" w:lineRule="exact"/>
        <w:ind w:firstLine="640" w:firstLineChars="200"/>
        <w:rPr>
          <w:rFonts w:ascii="仿宋_GB2312" w:eastAsia="仿宋_GB2312"/>
          <w:color w:val="000000"/>
          <w:sz w:val="32"/>
          <w:szCs w:val="32"/>
        </w:rPr>
      </w:pPr>
      <w:r>
        <w:rPr>
          <w:rFonts w:ascii="仿宋_GB2312" w:hAnsi="仿宋" w:eastAsia="仿宋_GB2312"/>
          <w:sz w:val="32"/>
          <w:szCs w:val="32"/>
        </w:rPr>
        <w:t>2018</w:t>
      </w:r>
      <w:r>
        <w:rPr>
          <w:rFonts w:hint="eastAsia" w:ascii="仿宋_GB2312" w:hAnsi="仿宋" w:eastAsia="仿宋_GB2312"/>
          <w:sz w:val="32"/>
          <w:szCs w:val="32"/>
        </w:rPr>
        <w:t>年收入</w:t>
      </w:r>
      <w:r>
        <w:rPr>
          <w:rFonts w:hint="eastAsia" w:ascii="仿宋_GB2312" w:hAnsi="仿宋" w:eastAsia="仿宋_GB2312"/>
          <w:sz w:val="32"/>
          <w:szCs w:val="32"/>
          <w:lang w:eastAsia="zh-CN"/>
        </w:rPr>
        <w:t>总计</w:t>
      </w:r>
      <w:r>
        <w:rPr>
          <w:rFonts w:hint="eastAsia" w:ascii="仿宋_GB2312" w:hAnsi="仿宋" w:eastAsia="仿宋_GB2312"/>
          <w:sz w:val="32"/>
          <w:szCs w:val="32"/>
          <w:lang w:val="en-US" w:eastAsia="zh-CN"/>
        </w:rPr>
        <w:t>937.55万</w:t>
      </w:r>
      <w:r>
        <w:rPr>
          <w:rFonts w:hint="eastAsia" w:ascii="仿宋_GB2312" w:hAnsi="仿宋" w:eastAsia="仿宋_GB2312"/>
          <w:sz w:val="32"/>
          <w:szCs w:val="32"/>
        </w:rPr>
        <w:t>元</w:t>
      </w:r>
      <w:r>
        <w:rPr>
          <w:rFonts w:ascii="仿宋_GB2312" w:hAnsi="仿宋" w:eastAsia="仿宋_GB2312"/>
          <w:sz w:val="32"/>
          <w:szCs w:val="32"/>
        </w:rPr>
        <w:t>,</w:t>
      </w:r>
      <w:r>
        <w:rPr>
          <w:rFonts w:hint="eastAsia" w:ascii="仿宋_GB2312" w:hAnsi="仿宋" w:eastAsia="仿宋_GB2312"/>
          <w:sz w:val="32"/>
          <w:szCs w:val="32"/>
          <w:lang w:eastAsia="zh-CN"/>
        </w:rPr>
        <w:t>支总计</w:t>
      </w:r>
      <w:r>
        <w:rPr>
          <w:rFonts w:hint="eastAsia" w:ascii="仿宋_GB2312" w:hAnsi="仿宋" w:eastAsia="仿宋_GB2312"/>
          <w:sz w:val="32"/>
          <w:szCs w:val="32"/>
          <w:lang w:val="en-US" w:eastAsia="zh-CN"/>
        </w:rPr>
        <w:t>889.54万元。</w:t>
      </w:r>
      <w:r>
        <w:rPr>
          <w:rFonts w:hint="eastAsia" w:ascii="仿宋_GB2312" w:hAnsi="仿宋" w:eastAsia="仿宋_GB2312"/>
          <w:sz w:val="32"/>
          <w:szCs w:val="32"/>
        </w:rPr>
        <w:t>与</w:t>
      </w:r>
      <w:r>
        <w:rPr>
          <w:rFonts w:ascii="仿宋_GB2312" w:hAnsi="仿宋" w:eastAsia="仿宋_GB2312"/>
          <w:sz w:val="32"/>
          <w:szCs w:val="32"/>
        </w:rPr>
        <w:t>2017</w:t>
      </w:r>
      <w:r>
        <w:rPr>
          <w:rFonts w:hint="eastAsia" w:ascii="仿宋_GB2312" w:hAnsi="仿宋" w:eastAsia="仿宋_GB2312"/>
          <w:sz w:val="32"/>
          <w:szCs w:val="32"/>
        </w:rPr>
        <w:t>年相比，</w:t>
      </w:r>
      <w:r>
        <w:rPr>
          <w:rFonts w:hint="eastAsia" w:ascii="仿宋_GB2312" w:hAnsi="仿宋" w:eastAsia="仿宋_GB2312"/>
          <w:sz w:val="32"/>
          <w:szCs w:val="32"/>
          <w:lang w:val="en-US" w:eastAsia="zh-CN"/>
        </w:rPr>
        <w:t>收入总计增长150.74万元、增长19.1%。支出总计增长102.73万元、增长13%。</w:t>
      </w:r>
      <w:r>
        <w:rPr>
          <w:rFonts w:hint="eastAsia" w:ascii="仿宋_GB2312" w:hAnsi="仿宋" w:eastAsia="仿宋_GB2312"/>
          <w:sz w:val="32"/>
          <w:szCs w:val="32"/>
        </w:rPr>
        <w:t>原因是项目增多。</w:t>
      </w:r>
    </w:p>
    <w:p>
      <w:pPr>
        <w:spacing w:line="600" w:lineRule="exact"/>
        <w:ind w:firstLine="420" w:firstLineChars="200"/>
        <w:rPr>
          <w:rFonts w:hint="eastAsia" w:ascii="黑体" w:hAnsi="黑体" w:eastAsia="黑体"/>
          <w:color w:val="000000"/>
          <w:sz w:val="32"/>
          <w:szCs w:val="32"/>
          <w:lang w:eastAsia="zh-CN"/>
        </w:rPr>
      </w:pPr>
      <w:bookmarkStart w:id="23" w:name="_Toc15396604"/>
      <w:bookmarkStart w:id="24" w:name="_Toc15377206"/>
      <w:r>
        <w:drawing>
          <wp:anchor distT="0" distB="0" distL="114300" distR="114300" simplePos="0" relativeHeight="251658240" behindDoc="0" locked="0" layoutInCell="1" allowOverlap="1">
            <wp:simplePos x="0" y="0"/>
            <wp:positionH relativeFrom="column">
              <wp:posOffset>97155</wp:posOffset>
            </wp:positionH>
            <wp:positionV relativeFrom="paragraph">
              <wp:posOffset>544830</wp:posOffset>
            </wp:positionV>
            <wp:extent cx="4835525" cy="2855595"/>
            <wp:effectExtent l="4445" t="4445" r="17780" b="16510"/>
            <wp:wrapTopAndBottom/>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anchor>
        </w:drawing>
      </w:r>
      <w:r>
        <w:rPr>
          <w:rFonts w:hint="eastAsia" w:ascii="仿宋" w:hAnsi="仿宋" w:eastAsia="仿宋"/>
          <w:color w:val="000000"/>
          <w:sz w:val="32"/>
          <w:szCs w:val="32"/>
        </w:rPr>
        <w:t>（图</w:t>
      </w:r>
      <w:r>
        <w:rPr>
          <w:rFonts w:ascii="仿宋" w:hAnsi="仿宋" w:eastAsia="仿宋"/>
          <w:color w:val="000000"/>
          <w:sz w:val="32"/>
          <w:szCs w:val="32"/>
        </w:rPr>
        <w:t>1</w:t>
      </w:r>
      <w:r>
        <w:rPr>
          <w:rFonts w:hint="eastAsia" w:ascii="仿宋" w:hAnsi="仿宋" w:eastAsia="仿宋"/>
          <w:color w:val="000000"/>
          <w:sz w:val="32"/>
          <w:szCs w:val="32"/>
        </w:rPr>
        <w:t>：收、支决算总计变动情况图）（柱状图）</w:t>
      </w:r>
    </w:p>
    <w:p>
      <w:pPr>
        <w:pStyle w:val="20"/>
        <w:spacing w:line="600" w:lineRule="exact"/>
        <w:ind w:left="640" w:firstLine="0" w:firstLineChars="0"/>
        <w:outlineLvl w:val="1"/>
        <w:rPr>
          <w:rFonts w:hint="eastAsia" w:ascii="黑体" w:hAnsi="黑体" w:eastAsia="黑体"/>
          <w:color w:val="000000"/>
          <w:sz w:val="32"/>
          <w:szCs w:val="32"/>
        </w:rPr>
      </w:pPr>
    </w:p>
    <w:p>
      <w:pPr>
        <w:pStyle w:val="20"/>
        <w:spacing w:line="600" w:lineRule="exact"/>
        <w:ind w:left="640" w:firstLine="0" w:firstLineChars="0"/>
        <w:outlineLvl w:val="1"/>
        <w:rPr>
          <w:rStyle w:val="18"/>
          <w:rFonts w:ascii="黑体" w:hAnsi="黑体" w:eastAsia="黑体"/>
          <w:b w:val="0"/>
        </w:rPr>
      </w:pPr>
      <w:r>
        <w:rPr>
          <w:rFonts w:hint="eastAsia" w:ascii="黑体" w:hAnsi="黑体" w:eastAsia="黑体"/>
          <w:color w:val="000000"/>
          <w:sz w:val="32"/>
          <w:szCs w:val="32"/>
        </w:rPr>
        <w:t>二、收</w:t>
      </w:r>
      <w:r>
        <w:rPr>
          <w:rStyle w:val="18"/>
          <w:rFonts w:hint="eastAsia" w:ascii="黑体" w:hAnsi="黑体" w:eastAsia="黑体"/>
          <w:b w:val="0"/>
        </w:rPr>
        <w:t>入决算情况说明</w:t>
      </w:r>
      <w:bookmarkEnd w:id="23"/>
      <w:bookmarkEnd w:id="24"/>
    </w:p>
    <w:p>
      <w:pPr>
        <w:snapToGrid w:val="0"/>
        <w:spacing w:line="560" w:lineRule="exact"/>
        <w:ind w:firstLine="640" w:firstLineChars="200"/>
        <w:rPr>
          <w:rFonts w:hint="eastAsia" w:ascii="仿宋" w:hAnsi="仿宋" w:eastAsia="仿宋"/>
          <w:color w:val="000000"/>
          <w:sz w:val="32"/>
          <w:szCs w:val="32"/>
        </w:rPr>
      </w:pPr>
      <w:r>
        <w:rPr>
          <w:rFonts w:ascii="仿宋_GB2312" w:hAnsi="仿宋" w:eastAsia="仿宋_GB2312"/>
          <w:sz w:val="32"/>
          <w:szCs w:val="32"/>
        </w:rPr>
        <w:t>2018</w:t>
      </w:r>
      <w:r>
        <w:rPr>
          <w:rFonts w:hint="eastAsia" w:ascii="仿宋_GB2312" w:hAnsi="仿宋" w:eastAsia="仿宋_GB2312"/>
          <w:sz w:val="32"/>
          <w:szCs w:val="32"/>
        </w:rPr>
        <w:t>年本年收入合计</w:t>
      </w:r>
      <w:r>
        <w:rPr>
          <w:rFonts w:hint="eastAsia" w:ascii="仿宋_GB2312" w:hAnsi="仿宋" w:eastAsia="仿宋_GB2312"/>
          <w:sz w:val="32"/>
          <w:szCs w:val="32"/>
          <w:lang w:val="en-US" w:eastAsia="zh-CN"/>
        </w:rPr>
        <w:t>937.55</w:t>
      </w:r>
      <w:r>
        <w:rPr>
          <w:rFonts w:hint="eastAsia" w:ascii="仿宋_GB2312" w:hAnsi="仿宋" w:eastAsia="仿宋_GB2312"/>
          <w:sz w:val="32"/>
          <w:szCs w:val="32"/>
        </w:rPr>
        <w:t>万元，其中：一般公共预算财政拨款收入937.52万元，占</w:t>
      </w:r>
      <w:r>
        <w:rPr>
          <w:rFonts w:ascii="仿宋_GB2312" w:hAnsi="仿宋" w:eastAsia="仿宋_GB2312"/>
          <w:sz w:val="32"/>
          <w:szCs w:val="32"/>
        </w:rPr>
        <w:t>99%</w:t>
      </w:r>
      <w:r>
        <w:rPr>
          <w:rFonts w:hint="eastAsia" w:ascii="仿宋_GB2312" w:hAnsi="仿宋" w:eastAsia="仿宋_GB2312"/>
          <w:sz w:val="32"/>
          <w:szCs w:val="32"/>
        </w:rPr>
        <w:t>；政</w:t>
      </w:r>
      <w:r>
        <w:rPr>
          <w:rFonts w:hint="eastAsia" w:ascii="仿宋_GB2312" w:hAnsi="仿宋" w:eastAsia="仿宋_GB2312"/>
          <w:sz w:val="32"/>
          <w:szCs w:val="32"/>
          <w:lang w:val="en-US" w:eastAsia="zh-CN"/>
        </w:rPr>
        <w:tab/>
      </w:r>
      <w:r>
        <w:rPr>
          <w:rFonts w:hint="eastAsia" w:ascii="仿宋_GB2312" w:hAnsi="仿宋" w:eastAsia="仿宋_GB2312"/>
          <w:sz w:val="32"/>
          <w:szCs w:val="32"/>
        </w:rPr>
        <w:t>府性基金预算财政拨款收入</w:t>
      </w:r>
      <w:r>
        <w:rPr>
          <w:rFonts w:ascii="仿宋_GB2312" w:hAnsi="仿宋" w:eastAsia="仿宋_GB2312"/>
          <w:sz w:val="32"/>
          <w:szCs w:val="32"/>
        </w:rPr>
        <w:t>0</w:t>
      </w:r>
      <w:r>
        <w:rPr>
          <w:rFonts w:hint="eastAsia" w:ascii="仿宋_GB2312" w:hAnsi="仿宋" w:eastAsia="仿宋_GB2312"/>
          <w:sz w:val="32"/>
          <w:szCs w:val="32"/>
        </w:rPr>
        <w:t>万元，占</w:t>
      </w:r>
      <w:r>
        <w:rPr>
          <w:rFonts w:ascii="仿宋_GB2312" w:hAnsi="仿宋" w:eastAsia="仿宋_GB2312"/>
          <w:sz w:val="32"/>
          <w:szCs w:val="32"/>
        </w:rPr>
        <w:t>0%</w:t>
      </w:r>
      <w:r>
        <w:rPr>
          <w:rFonts w:hint="eastAsia" w:ascii="仿宋_GB2312" w:hAnsi="仿宋" w:eastAsia="仿宋_GB2312"/>
          <w:sz w:val="32"/>
          <w:szCs w:val="32"/>
        </w:rPr>
        <w:t>；国有资本经营预算财政拨款收入</w:t>
      </w:r>
      <w:r>
        <w:rPr>
          <w:rFonts w:ascii="仿宋_GB2312" w:hAnsi="仿宋" w:eastAsia="仿宋_GB2312"/>
          <w:sz w:val="32"/>
          <w:szCs w:val="32"/>
        </w:rPr>
        <w:t>0</w:t>
      </w:r>
      <w:r>
        <w:rPr>
          <w:rFonts w:hint="eastAsia" w:ascii="仿宋_GB2312" w:hAnsi="仿宋" w:eastAsia="仿宋_GB2312"/>
          <w:sz w:val="32"/>
          <w:szCs w:val="32"/>
        </w:rPr>
        <w:t>万元，占</w:t>
      </w:r>
      <w:r>
        <w:rPr>
          <w:rFonts w:ascii="仿宋_GB2312" w:hAnsi="仿宋" w:eastAsia="仿宋_GB2312"/>
          <w:sz w:val="32"/>
          <w:szCs w:val="32"/>
        </w:rPr>
        <w:t>0%</w:t>
      </w:r>
      <w:r>
        <w:rPr>
          <w:rFonts w:hint="eastAsia" w:ascii="仿宋_GB2312" w:hAnsi="仿宋" w:eastAsia="仿宋_GB2312"/>
          <w:sz w:val="32"/>
          <w:szCs w:val="32"/>
        </w:rPr>
        <w:t>；事业收入</w:t>
      </w:r>
      <w:r>
        <w:rPr>
          <w:rFonts w:ascii="仿宋_GB2312" w:hAnsi="仿宋" w:eastAsia="仿宋_GB2312"/>
          <w:sz w:val="32"/>
          <w:szCs w:val="32"/>
        </w:rPr>
        <w:t>0</w:t>
      </w:r>
      <w:r>
        <w:rPr>
          <w:rFonts w:hint="eastAsia" w:ascii="仿宋_GB2312" w:hAnsi="仿宋" w:eastAsia="仿宋_GB2312"/>
          <w:sz w:val="32"/>
          <w:szCs w:val="32"/>
        </w:rPr>
        <w:t>万元，占</w:t>
      </w:r>
      <w:r>
        <w:rPr>
          <w:rFonts w:ascii="仿宋_GB2312" w:hAnsi="仿宋" w:eastAsia="仿宋_GB2312"/>
          <w:sz w:val="32"/>
          <w:szCs w:val="32"/>
        </w:rPr>
        <w:t>0%</w:t>
      </w:r>
      <w:r>
        <w:rPr>
          <w:rFonts w:hint="eastAsia" w:ascii="仿宋_GB2312" w:hAnsi="仿宋" w:eastAsia="仿宋_GB2312"/>
          <w:sz w:val="32"/>
          <w:szCs w:val="32"/>
        </w:rPr>
        <w:t>；经营收入</w:t>
      </w:r>
      <w:r>
        <w:rPr>
          <w:rFonts w:ascii="仿宋_GB2312" w:hAnsi="仿宋" w:eastAsia="仿宋_GB2312"/>
          <w:sz w:val="32"/>
          <w:szCs w:val="32"/>
        </w:rPr>
        <w:t>0</w:t>
      </w:r>
      <w:r>
        <w:rPr>
          <w:rFonts w:hint="eastAsia" w:ascii="仿宋_GB2312" w:hAnsi="仿宋" w:eastAsia="仿宋_GB2312"/>
          <w:sz w:val="32"/>
          <w:szCs w:val="32"/>
        </w:rPr>
        <w:t>万元，占</w:t>
      </w:r>
      <w:r>
        <w:rPr>
          <w:rFonts w:ascii="仿宋_GB2312" w:hAnsi="仿宋" w:eastAsia="仿宋_GB2312"/>
          <w:sz w:val="32"/>
          <w:szCs w:val="32"/>
        </w:rPr>
        <w:t>0%</w:t>
      </w:r>
      <w:r>
        <w:rPr>
          <w:rFonts w:hint="eastAsia" w:ascii="仿宋_GB2312" w:hAnsi="仿宋" w:eastAsia="仿宋_GB2312"/>
          <w:sz w:val="32"/>
          <w:szCs w:val="32"/>
        </w:rPr>
        <w:t>；附属单位上缴收入</w:t>
      </w:r>
      <w:r>
        <w:rPr>
          <w:rFonts w:ascii="仿宋_GB2312" w:hAnsi="仿宋" w:eastAsia="仿宋_GB2312"/>
          <w:sz w:val="32"/>
          <w:szCs w:val="32"/>
        </w:rPr>
        <w:t>0</w:t>
      </w:r>
      <w:r>
        <w:rPr>
          <w:rFonts w:hint="eastAsia" w:ascii="仿宋_GB2312" w:hAnsi="仿宋" w:eastAsia="仿宋_GB2312"/>
          <w:sz w:val="32"/>
          <w:szCs w:val="32"/>
        </w:rPr>
        <w:t>万元，占</w:t>
      </w:r>
      <w:r>
        <w:rPr>
          <w:rFonts w:ascii="仿宋_GB2312" w:hAnsi="仿宋" w:eastAsia="仿宋_GB2312"/>
          <w:sz w:val="32"/>
          <w:szCs w:val="32"/>
        </w:rPr>
        <w:t>0%</w:t>
      </w:r>
      <w:r>
        <w:rPr>
          <w:rFonts w:hint="eastAsia" w:ascii="仿宋_GB2312" w:hAnsi="仿宋" w:eastAsia="仿宋_GB2312"/>
          <w:sz w:val="32"/>
          <w:szCs w:val="32"/>
        </w:rPr>
        <w:t>；其他收入</w:t>
      </w:r>
      <w:r>
        <w:rPr>
          <w:rFonts w:hint="eastAsia" w:ascii="仿宋_GB2312" w:hAnsi="仿宋" w:eastAsia="仿宋_GB2312"/>
          <w:sz w:val="32"/>
          <w:szCs w:val="32"/>
          <w:lang w:val="en-US" w:eastAsia="zh-CN"/>
        </w:rPr>
        <w:t>0.03</w:t>
      </w:r>
      <w:r>
        <w:rPr>
          <w:rFonts w:hint="eastAsia" w:ascii="仿宋_GB2312" w:hAnsi="仿宋" w:eastAsia="仿宋_GB2312"/>
          <w:sz w:val="32"/>
          <w:szCs w:val="32"/>
        </w:rPr>
        <w:t>万元，占</w:t>
      </w:r>
      <w:r>
        <w:rPr>
          <w:rFonts w:hint="eastAsia" w:ascii="仿宋_GB2312" w:hAnsi="仿宋" w:eastAsia="仿宋_GB2312"/>
          <w:sz w:val="32"/>
          <w:szCs w:val="32"/>
          <w:lang w:val="en-US" w:eastAsia="zh-CN"/>
        </w:rPr>
        <w:t>0.01</w:t>
      </w:r>
      <w:r>
        <w:rPr>
          <w:rFonts w:ascii="仿宋_GB2312" w:hAnsi="仿宋" w:eastAsia="仿宋_GB2312"/>
          <w:sz w:val="32"/>
          <w:szCs w:val="32"/>
        </w:rPr>
        <w:t>%</w:t>
      </w:r>
      <w:r>
        <w:rPr>
          <w:rFonts w:hint="eastAsia" w:ascii="仿宋_GB2312" w:hAnsi="仿宋" w:eastAsia="仿宋_GB2312"/>
          <w:sz w:val="32"/>
          <w:szCs w:val="32"/>
        </w:rPr>
        <w:t>。</w:t>
      </w:r>
    </w:p>
    <w:p>
      <w:pPr>
        <w:spacing w:line="600" w:lineRule="exact"/>
        <w:rPr>
          <w:rFonts w:hint="eastAsia" w:ascii="黑体" w:hAnsi="黑体" w:eastAsia="黑体"/>
          <w:color w:val="000000"/>
          <w:sz w:val="32"/>
          <w:szCs w:val="32"/>
        </w:rPr>
      </w:pPr>
      <w:r>
        <w:drawing>
          <wp:anchor distT="0" distB="0" distL="114300" distR="114300" simplePos="0" relativeHeight="251659264" behindDoc="0" locked="0" layoutInCell="1" allowOverlap="1">
            <wp:simplePos x="0" y="0"/>
            <wp:positionH relativeFrom="column">
              <wp:posOffset>354330</wp:posOffset>
            </wp:positionH>
            <wp:positionV relativeFrom="paragraph">
              <wp:posOffset>457200</wp:posOffset>
            </wp:positionV>
            <wp:extent cx="4752340" cy="2743835"/>
            <wp:effectExtent l="13970" t="13970" r="15240" b="23495"/>
            <wp:wrapTopAndBottom/>
            <wp:docPr id="2" name="图片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Pr>
          <w:rFonts w:hint="eastAsia" w:ascii="仿宋" w:hAnsi="仿宋" w:eastAsia="仿宋"/>
          <w:color w:val="000000"/>
          <w:sz w:val="32"/>
          <w:szCs w:val="32"/>
        </w:rPr>
        <w:t>（图</w:t>
      </w:r>
      <w:r>
        <w:rPr>
          <w:rFonts w:ascii="仿宋" w:hAnsi="仿宋" w:eastAsia="仿宋"/>
          <w:color w:val="000000"/>
          <w:sz w:val="32"/>
          <w:szCs w:val="32"/>
        </w:rPr>
        <w:t>2</w:t>
      </w:r>
      <w:r>
        <w:rPr>
          <w:rFonts w:hint="eastAsia" w:ascii="仿宋" w:hAnsi="仿宋" w:eastAsia="仿宋"/>
          <w:color w:val="000000"/>
          <w:sz w:val="32"/>
          <w:szCs w:val="32"/>
        </w:rPr>
        <w:t>：收入决算结构图）（饼状图）</w:t>
      </w:r>
      <w:bookmarkStart w:id="25" w:name="_Toc15396605"/>
      <w:bookmarkStart w:id="26" w:name="_Toc15377207"/>
    </w:p>
    <w:p>
      <w:pPr>
        <w:pStyle w:val="20"/>
        <w:spacing w:line="600" w:lineRule="exact"/>
        <w:ind w:left="640" w:firstLine="0" w:firstLineChars="0"/>
        <w:outlineLvl w:val="1"/>
        <w:rPr>
          <w:rFonts w:hint="eastAsia" w:ascii="黑体" w:hAnsi="黑体" w:eastAsia="黑体"/>
          <w:color w:val="000000"/>
          <w:sz w:val="32"/>
          <w:szCs w:val="32"/>
        </w:rPr>
      </w:pPr>
    </w:p>
    <w:p>
      <w:pPr>
        <w:pStyle w:val="20"/>
        <w:spacing w:line="600" w:lineRule="exact"/>
        <w:ind w:left="640" w:firstLine="0" w:firstLineChars="0"/>
        <w:outlineLvl w:val="1"/>
        <w:rPr>
          <w:rStyle w:val="18"/>
          <w:rFonts w:ascii="黑体" w:hAnsi="黑体" w:eastAsia="黑体"/>
          <w:b w:val="0"/>
        </w:rPr>
      </w:pPr>
      <w:r>
        <w:rPr>
          <w:rFonts w:hint="eastAsia" w:ascii="黑体" w:hAnsi="黑体" w:eastAsia="黑体"/>
          <w:color w:val="000000"/>
          <w:sz w:val="32"/>
          <w:szCs w:val="32"/>
        </w:rPr>
        <w:t>三、支</w:t>
      </w:r>
      <w:r>
        <w:rPr>
          <w:rStyle w:val="18"/>
          <w:rFonts w:hint="eastAsia" w:ascii="黑体" w:hAnsi="黑体" w:eastAsia="黑体"/>
          <w:b w:val="0"/>
        </w:rPr>
        <w:t>出决算情况说明</w:t>
      </w:r>
      <w:bookmarkEnd w:id="25"/>
      <w:bookmarkEnd w:id="26"/>
    </w:p>
    <w:p>
      <w:pPr>
        <w:spacing w:line="600" w:lineRule="exact"/>
        <w:ind w:firstLine="640"/>
        <w:rPr>
          <w:rFonts w:hint="eastAsia"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年本年支出合计889.54万元，其中：基本支出572.2万元，占</w:t>
      </w:r>
      <w:r>
        <w:rPr>
          <w:rFonts w:ascii="仿宋" w:hAnsi="仿宋" w:eastAsia="仿宋"/>
          <w:color w:val="000000"/>
          <w:sz w:val="32"/>
          <w:szCs w:val="32"/>
        </w:rPr>
        <w:t>60%</w:t>
      </w:r>
      <w:r>
        <w:rPr>
          <w:rFonts w:hint="eastAsia" w:ascii="仿宋" w:hAnsi="仿宋" w:eastAsia="仿宋"/>
          <w:color w:val="000000"/>
          <w:sz w:val="32"/>
          <w:szCs w:val="32"/>
        </w:rPr>
        <w:t>；项目支出317.34万元，占</w:t>
      </w:r>
      <w:r>
        <w:rPr>
          <w:rFonts w:ascii="仿宋" w:hAnsi="仿宋" w:eastAsia="仿宋"/>
          <w:color w:val="000000"/>
          <w:sz w:val="32"/>
          <w:szCs w:val="32"/>
        </w:rPr>
        <w:t>40%</w:t>
      </w:r>
      <w:r>
        <w:rPr>
          <w:rFonts w:hint="eastAsia" w:ascii="仿宋" w:hAnsi="仿宋" w:eastAsia="仿宋"/>
          <w:color w:val="000000"/>
          <w:sz w:val="32"/>
          <w:szCs w:val="32"/>
        </w:rPr>
        <w:t>；上缴上级支出</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；经营支出</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；对附属单位补助支出</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w:t>
      </w:r>
    </w:p>
    <w:p>
      <w:pPr>
        <w:spacing w:line="600" w:lineRule="exact"/>
        <w:ind w:firstLine="640" w:firstLineChars="200"/>
        <w:rPr>
          <w:rFonts w:hint="eastAsia" w:ascii="仿宋" w:hAnsi="仿宋" w:eastAsia="仿宋"/>
          <w:color w:val="000000"/>
          <w:sz w:val="32"/>
          <w:szCs w:val="32"/>
          <w:lang w:eastAsia="zh-CN"/>
        </w:rPr>
      </w:pPr>
      <w:r>
        <w:rPr>
          <w:rFonts w:hint="eastAsia" w:ascii="仿宋" w:hAnsi="仿宋" w:eastAsia="仿宋"/>
          <w:color w:val="000000"/>
          <w:sz w:val="32"/>
          <w:szCs w:val="32"/>
        </w:rPr>
        <w:t>（图</w:t>
      </w:r>
      <w:r>
        <w:rPr>
          <w:rFonts w:ascii="仿宋" w:hAnsi="仿宋" w:eastAsia="仿宋"/>
          <w:color w:val="000000"/>
          <w:sz w:val="32"/>
          <w:szCs w:val="32"/>
        </w:rPr>
        <w:t>3</w:t>
      </w:r>
      <w:r>
        <w:rPr>
          <w:rFonts w:hint="eastAsia" w:ascii="仿宋" w:hAnsi="仿宋" w:eastAsia="仿宋"/>
          <w:color w:val="000000"/>
          <w:sz w:val="32"/>
          <w:szCs w:val="32"/>
        </w:rPr>
        <w:t>：支出决算结构图）（饼状图）</w:t>
      </w:r>
    </w:p>
    <w:p>
      <w:pPr>
        <w:spacing w:line="600" w:lineRule="exact"/>
        <w:ind w:firstLine="420" w:firstLineChars="200"/>
        <w:outlineLvl w:val="1"/>
        <w:rPr>
          <w:rFonts w:hint="eastAsia" w:ascii="黑体" w:hAnsi="黑体" w:eastAsia="黑体"/>
          <w:color w:val="000000"/>
          <w:sz w:val="32"/>
          <w:szCs w:val="32"/>
        </w:rPr>
      </w:pPr>
      <w:bookmarkStart w:id="27" w:name="_Toc15377208"/>
      <w:bookmarkStart w:id="28" w:name="_Toc15396606"/>
      <w:r>
        <w:drawing>
          <wp:anchor distT="0" distB="0" distL="114300" distR="114300" simplePos="0" relativeHeight="251664384" behindDoc="0" locked="0" layoutInCell="1" allowOverlap="1">
            <wp:simplePos x="0" y="0"/>
            <wp:positionH relativeFrom="column">
              <wp:posOffset>520700</wp:posOffset>
            </wp:positionH>
            <wp:positionV relativeFrom="paragraph">
              <wp:posOffset>191770</wp:posOffset>
            </wp:positionV>
            <wp:extent cx="3994150" cy="2384425"/>
            <wp:effectExtent l="4445" t="4445" r="20955" b="11430"/>
            <wp:wrapTopAndBottom/>
            <wp:docPr id="3" name="图片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spacing w:line="600" w:lineRule="exact"/>
        <w:ind w:firstLine="640" w:firstLineChars="200"/>
        <w:outlineLvl w:val="1"/>
        <w:rPr>
          <w:rStyle w:val="18"/>
          <w:rFonts w:ascii="黑体" w:hAnsi="黑体" w:eastAsia="黑体"/>
          <w:b w:val="0"/>
        </w:rPr>
      </w:pPr>
      <w:r>
        <w:rPr>
          <w:rFonts w:hint="eastAsia" w:ascii="黑体" w:hAnsi="黑体" w:eastAsia="黑体"/>
          <w:color w:val="000000"/>
          <w:sz w:val="32"/>
          <w:szCs w:val="32"/>
        </w:rPr>
        <w:t>四、财</w:t>
      </w:r>
      <w:r>
        <w:rPr>
          <w:rStyle w:val="18"/>
          <w:rFonts w:hint="eastAsia" w:ascii="黑体" w:hAnsi="黑体" w:eastAsia="黑体"/>
          <w:b w:val="0"/>
        </w:rPr>
        <w:t>政拨款收入支出决算总体情况说明</w:t>
      </w:r>
      <w:bookmarkEnd w:id="27"/>
      <w:bookmarkEnd w:id="28"/>
    </w:p>
    <w:p>
      <w:pPr>
        <w:snapToGrid w:val="0"/>
        <w:spacing w:line="56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lang w:val="en-US" w:eastAsia="zh-CN"/>
        </w:rPr>
        <w:t>2018</w:t>
      </w:r>
      <w:r>
        <w:rPr>
          <w:rFonts w:hint="eastAsia" w:ascii="仿宋_GB2312" w:hAnsi="仿宋" w:eastAsia="仿宋_GB2312"/>
          <w:sz w:val="32"/>
          <w:szCs w:val="32"/>
        </w:rPr>
        <w:t>年财政拨款收入</w:t>
      </w:r>
      <w:r>
        <w:rPr>
          <w:rFonts w:hint="eastAsia" w:ascii="仿宋_GB2312" w:hAnsi="仿宋" w:eastAsia="仿宋_GB2312"/>
          <w:sz w:val="32"/>
          <w:szCs w:val="32"/>
          <w:lang w:eastAsia="zh-CN"/>
        </w:rPr>
        <w:t>总计</w:t>
      </w:r>
      <w:r>
        <w:rPr>
          <w:rFonts w:hint="eastAsia" w:ascii="仿宋_GB2312" w:hAnsi="仿宋" w:eastAsia="仿宋_GB2312"/>
          <w:sz w:val="32"/>
          <w:szCs w:val="32"/>
        </w:rPr>
        <w:t>937.52</w:t>
      </w:r>
      <w:r>
        <w:rPr>
          <w:rFonts w:hint="eastAsia" w:ascii="仿宋_GB2312" w:hAnsi="仿宋" w:eastAsia="仿宋_GB2312"/>
          <w:sz w:val="32"/>
          <w:szCs w:val="32"/>
          <w:lang w:val="en-US" w:eastAsia="zh-CN"/>
        </w:rPr>
        <w:t>万</w:t>
      </w:r>
      <w:r>
        <w:rPr>
          <w:rFonts w:hint="eastAsia" w:ascii="仿宋_GB2312" w:hAnsi="仿宋" w:eastAsia="仿宋_GB2312"/>
          <w:sz w:val="32"/>
          <w:szCs w:val="32"/>
        </w:rPr>
        <w:t>元</w:t>
      </w:r>
      <w:r>
        <w:rPr>
          <w:rFonts w:ascii="仿宋_GB2312" w:hAnsi="仿宋" w:eastAsia="仿宋_GB2312"/>
          <w:sz w:val="32"/>
          <w:szCs w:val="32"/>
        </w:rPr>
        <w:t>,</w:t>
      </w:r>
      <w:r>
        <w:rPr>
          <w:rFonts w:hint="eastAsia" w:ascii="仿宋_GB2312" w:hAnsi="仿宋" w:eastAsia="仿宋_GB2312"/>
          <w:sz w:val="32"/>
          <w:szCs w:val="32"/>
          <w:lang w:eastAsia="zh-CN"/>
        </w:rPr>
        <w:t>支总计</w:t>
      </w:r>
      <w:r>
        <w:rPr>
          <w:rFonts w:hint="eastAsia" w:ascii="仿宋" w:hAnsi="仿宋" w:eastAsia="仿宋"/>
          <w:color w:val="000000"/>
          <w:sz w:val="32"/>
          <w:szCs w:val="32"/>
        </w:rPr>
        <w:t>889.54</w:t>
      </w:r>
      <w:r>
        <w:rPr>
          <w:rFonts w:hint="eastAsia" w:ascii="仿宋_GB2312" w:hAnsi="仿宋" w:eastAsia="仿宋_GB2312"/>
          <w:sz w:val="32"/>
          <w:szCs w:val="32"/>
          <w:lang w:val="en-US" w:eastAsia="zh-CN"/>
        </w:rPr>
        <w:t>万元。</w:t>
      </w:r>
      <w:r>
        <w:rPr>
          <w:rFonts w:hint="eastAsia" w:ascii="仿宋_GB2312" w:hAnsi="仿宋" w:eastAsia="仿宋_GB2312"/>
          <w:sz w:val="32"/>
          <w:szCs w:val="32"/>
        </w:rPr>
        <w:t>与</w:t>
      </w:r>
      <w:r>
        <w:rPr>
          <w:rFonts w:ascii="仿宋_GB2312" w:hAnsi="仿宋" w:eastAsia="仿宋_GB2312"/>
          <w:sz w:val="32"/>
          <w:szCs w:val="32"/>
        </w:rPr>
        <w:t>2017</w:t>
      </w:r>
      <w:r>
        <w:rPr>
          <w:rFonts w:hint="eastAsia" w:ascii="仿宋_GB2312" w:hAnsi="仿宋" w:eastAsia="仿宋_GB2312"/>
          <w:sz w:val="32"/>
          <w:szCs w:val="32"/>
        </w:rPr>
        <w:t>年相比，</w:t>
      </w:r>
      <w:r>
        <w:rPr>
          <w:rFonts w:hint="eastAsia" w:ascii="仿宋_GB2312" w:hAnsi="仿宋" w:eastAsia="仿宋_GB2312"/>
          <w:sz w:val="32"/>
          <w:szCs w:val="32"/>
          <w:lang w:val="en-US" w:eastAsia="zh-CN"/>
        </w:rPr>
        <w:t>收入总计增长150.74万元、增长19.1%。支出总计增长102.73万元、增长13%。</w:t>
      </w:r>
      <w:r>
        <w:rPr>
          <w:rFonts w:hint="eastAsia" w:ascii="仿宋_GB2312" w:hAnsi="仿宋" w:eastAsia="仿宋_GB2312"/>
          <w:sz w:val="32"/>
          <w:szCs w:val="32"/>
        </w:rPr>
        <w:t>原因是项目增多。</w:t>
      </w:r>
    </w:p>
    <w:p>
      <w:pPr>
        <w:spacing w:line="600" w:lineRule="exact"/>
        <w:ind w:firstLine="640" w:firstLineChars="200"/>
        <w:rPr>
          <w:rFonts w:hint="eastAsia" w:ascii="黑体" w:hAnsi="黑体" w:eastAsia="黑体"/>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4</w:t>
      </w:r>
      <w:r>
        <w:rPr>
          <w:rFonts w:hint="eastAsia" w:ascii="仿宋" w:hAnsi="仿宋" w:eastAsia="仿宋"/>
          <w:color w:val="000000"/>
          <w:sz w:val="32"/>
          <w:szCs w:val="32"/>
        </w:rPr>
        <w:t>：财政拨款收、支决算总计变动情况）（柱状图）</w:t>
      </w:r>
      <w:bookmarkStart w:id="29" w:name="_Toc15396607"/>
      <w:bookmarkStart w:id="30" w:name="_Toc15377209"/>
    </w:p>
    <w:p>
      <w:pPr>
        <w:spacing w:line="600" w:lineRule="exact"/>
        <w:ind w:firstLine="420" w:firstLineChars="200"/>
        <w:outlineLvl w:val="1"/>
        <w:rPr>
          <w:rStyle w:val="18"/>
          <w:rFonts w:ascii="黑体" w:hAnsi="黑体" w:eastAsia="黑体"/>
          <w:b w:val="0"/>
        </w:rPr>
      </w:pPr>
      <w:r>
        <w:drawing>
          <wp:anchor distT="0" distB="0" distL="114300" distR="114300" simplePos="0" relativeHeight="251665408" behindDoc="0" locked="0" layoutInCell="1" allowOverlap="1">
            <wp:simplePos x="0" y="0"/>
            <wp:positionH relativeFrom="column">
              <wp:posOffset>144780</wp:posOffset>
            </wp:positionH>
            <wp:positionV relativeFrom="paragraph">
              <wp:posOffset>66675</wp:posOffset>
            </wp:positionV>
            <wp:extent cx="4835525" cy="2677160"/>
            <wp:effectExtent l="4445" t="4445" r="17780" b="23495"/>
            <wp:wrapTopAndBottom/>
            <wp:docPr id="4" name="图片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18"/>
          <w:rFonts w:hint="eastAsia" w:ascii="黑体" w:hAnsi="黑体" w:eastAsia="黑体"/>
          <w:b w:val="0"/>
        </w:rPr>
        <w:t>般公共预算财政拨款支出决算情况说明</w:t>
      </w:r>
      <w:bookmarkEnd w:id="29"/>
      <w:bookmarkEnd w:id="30"/>
    </w:p>
    <w:p>
      <w:pPr>
        <w:spacing w:line="600" w:lineRule="exact"/>
        <w:ind w:firstLine="643" w:firstLineChars="200"/>
        <w:outlineLvl w:val="2"/>
        <w:rPr>
          <w:rFonts w:ascii="仿宋" w:hAnsi="仿宋" w:eastAsia="仿宋"/>
          <w:b/>
          <w:color w:val="000000"/>
          <w:sz w:val="32"/>
          <w:szCs w:val="32"/>
        </w:rPr>
      </w:pPr>
      <w:bookmarkStart w:id="31" w:name="_Toc15377210"/>
      <w:r>
        <w:rPr>
          <w:rFonts w:hint="eastAsia" w:ascii="仿宋" w:hAnsi="仿宋" w:eastAsia="仿宋"/>
          <w:b/>
          <w:color w:val="000000"/>
          <w:sz w:val="32"/>
          <w:szCs w:val="32"/>
        </w:rPr>
        <w:t>（一）一般公共预算财政拨款支出决算总体情况</w:t>
      </w:r>
      <w:bookmarkEnd w:id="31"/>
    </w:p>
    <w:p>
      <w:pPr>
        <w:spacing w:line="600" w:lineRule="exact"/>
        <w:ind w:firstLine="420" w:firstLineChars="200"/>
        <w:rPr>
          <w:rFonts w:hint="eastAsia" w:ascii="仿宋" w:hAnsi="仿宋" w:eastAsia="仿宋"/>
          <w:color w:val="000000"/>
          <w:sz w:val="32"/>
          <w:szCs w:val="32"/>
          <w:lang w:eastAsia="zh-CN"/>
        </w:rPr>
      </w:pPr>
      <w:r>
        <w:drawing>
          <wp:anchor distT="0" distB="0" distL="114300" distR="114300" simplePos="0" relativeHeight="251666432" behindDoc="0" locked="0" layoutInCell="1" allowOverlap="1">
            <wp:simplePos x="0" y="0"/>
            <wp:positionH relativeFrom="column">
              <wp:posOffset>671195</wp:posOffset>
            </wp:positionH>
            <wp:positionV relativeFrom="paragraph">
              <wp:posOffset>1686560</wp:posOffset>
            </wp:positionV>
            <wp:extent cx="3750945" cy="2375535"/>
            <wp:effectExtent l="4445" t="4445" r="16510" b="20320"/>
            <wp:wrapTopAndBottom/>
            <wp:docPr id="5" name="图片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ascii="仿宋" w:hAnsi="仿宋" w:eastAsia="仿宋"/>
          <w:color w:val="000000"/>
          <w:sz w:val="32"/>
          <w:szCs w:val="32"/>
        </w:rPr>
        <w:t>2018</w:t>
      </w:r>
      <w:r>
        <w:rPr>
          <w:rFonts w:hint="eastAsia" w:ascii="仿宋" w:hAnsi="仿宋" w:eastAsia="仿宋"/>
          <w:color w:val="000000"/>
          <w:sz w:val="32"/>
          <w:szCs w:val="32"/>
        </w:rPr>
        <w:t>年一般公共预算财政拨款支出889.54万元，占本年支出合计的</w:t>
      </w:r>
      <w:r>
        <w:rPr>
          <w:rFonts w:hint="eastAsia" w:ascii="仿宋" w:hAnsi="仿宋" w:eastAsia="仿宋"/>
          <w:color w:val="000000"/>
          <w:sz w:val="32"/>
          <w:szCs w:val="32"/>
          <w:lang w:val="en-US" w:eastAsia="zh-CN"/>
        </w:rPr>
        <w:t>99</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2017</w:t>
      </w:r>
      <w:r>
        <w:rPr>
          <w:rFonts w:hint="eastAsia" w:ascii="仿宋" w:hAnsi="仿宋" w:eastAsia="仿宋"/>
          <w:color w:val="000000"/>
          <w:sz w:val="32"/>
          <w:szCs w:val="32"/>
        </w:rPr>
        <w:t>年相比，一般公共预算财政拨款</w:t>
      </w:r>
      <w:r>
        <w:rPr>
          <w:rFonts w:hint="eastAsia" w:ascii="仿宋" w:hAnsi="仿宋" w:eastAsia="仿宋"/>
          <w:color w:val="000000"/>
          <w:sz w:val="32"/>
          <w:szCs w:val="32"/>
          <w:lang w:eastAsia="zh-CN"/>
        </w:rPr>
        <w:t>支出</w:t>
      </w:r>
      <w:r>
        <w:rPr>
          <w:rFonts w:hint="eastAsia" w:ascii="仿宋" w:hAnsi="仿宋" w:eastAsia="仿宋"/>
          <w:color w:val="000000"/>
          <w:sz w:val="32"/>
          <w:szCs w:val="32"/>
        </w:rPr>
        <w:t>增加</w:t>
      </w:r>
      <w:r>
        <w:rPr>
          <w:rFonts w:hint="eastAsia" w:ascii="仿宋_GB2312" w:hAnsi="仿宋" w:eastAsia="仿宋_GB2312"/>
          <w:sz w:val="32"/>
          <w:szCs w:val="32"/>
          <w:lang w:val="en-US" w:eastAsia="zh-CN"/>
        </w:rPr>
        <w:t>102.73</w:t>
      </w:r>
      <w:r>
        <w:rPr>
          <w:rFonts w:hint="eastAsia" w:ascii="仿宋" w:hAnsi="仿宋" w:eastAsia="仿宋"/>
          <w:color w:val="000000"/>
          <w:sz w:val="32"/>
          <w:szCs w:val="32"/>
        </w:rPr>
        <w:t>万元，增长</w:t>
      </w:r>
      <w:r>
        <w:rPr>
          <w:rFonts w:hint="eastAsia" w:ascii="仿宋_GB2312" w:hAnsi="仿宋" w:eastAsia="仿宋_GB2312"/>
          <w:sz w:val="32"/>
          <w:szCs w:val="32"/>
          <w:lang w:val="en-US" w:eastAsia="zh-CN"/>
        </w:rPr>
        <w:t>13%</w:t>
      </w:r>
      <w:r>
        <w:rPr>
          <w:rFonts w:hint="eastAsia" w:ascii="仿宋" w:hAnsi="仿宋" w:eastAsia="仿宋"/>
          <w:color w:val="000000"/>
          <w:sz w:val="32"/>
          <w:szCs w:val="32"/>
          <w:lang w:eastAsia="zh-CN"/>
        </w:rPr>
        <w:t>，</w:t>
      </w:r>
      <w:r>
        <w:rPr>
          <w:rFonts w:hint="eastAsia" w:ascii="仿宋" w:hAnsi="仿宋" w:eastAsia="仿宋"/>
          <w:color w:val="000000"/>
          <w:sz w:val="32"/>
          <w:szCs w:val="32"/>
        </w:rPr>
        <w:t>主要变动原因是项目增加</w:t>
      </w:r>
      <w:r>
        <w:rPr>
          <w:rFonts w:hint="eastAsia" w:ascii="仿宋" w:hAnsi="仿宋" w:eastAsia="仿宋"/>
          <w:color w:val="000000"/>
          <w:sz w:val="32"/>
          <w:szCs w:val="32"/>
          <w:lang w:eastAsia="zh-CN"/>
        </w:rPr>
        <w:t>。</w:t>
      </w:r>
    </w:p>
    <w:p>
      <w:pPr>
        <w:spacing w:line="600" w:lineRule="exact"/>
        <w:rPr>
          <w:rFonts w:hint="eastAsia" w:ascii="仿宋" w:hAnsi="仿宋" w:eastAsia="仿宋"/>
          <w:color w:val="000000"/>
          <w:sz w:val="32"/>
          <w:szCs w:val="32"/>
          <w:lang w:eastAsia="zh-CN"/>
        </w:rPr>
      </w:pPr>
      <w:r>
        <w:rPr>
          <w:rFonts w:hint="eastAsia" w:ascii="仿宋" w:hAnsi="仿宋" w:eastAsia="仿宋"/>
          <w:color w:val="000000"/>
          <w:sz w:val="32"/>
          <w:szCs w:val="32"/>
        </w:rPr>
        <w:t>（图</w:t>
      </w:r>
      <w:r>
        <w:rPr>
          <w:rFonts w:ascii="仿宋" w:hAnsi="仿宋" w:eastAsia="仿宋"/>
          <w:color w:val="000000"/>
          <w:sz w:val="32"/>
          <w:szCs w:val="32"/>
        </w:rPr>
        <w:t>5</w:t>
      </w:r>
      <w:r>
        <w:rPr>
          <w:rFonts w:hint="eastAsia" w:ascii="仿宋" w:hAnsi="仿宋" w:eastAsia="仿宋"/>
          <w:color w:val="000000"/>
          <w:sz w:val="32"/>
          <w:szCs w:val="32"/>
        </w:rPr>
        <w:t>：一般公共预算财政拨款支出决算变动情况）（柱状图）</w:t>
      </w:r>
    </w:p>
    <w:p>
      <w:pPr>
        <w:spacing w:line="600" w:lineRule="exact"/>
        <w:ind w:firstLine="643" w:firstLineChars="200"/>
        <w:outlineLvl w:val="2"/>
        <w:rPr>
          <w:rFonts w:ascii="仿宋" w:hAnsi="仿宋" w:eastAsia="仿宋"/>
          <w:b/>
          <w:color w:val="000000"/>
          <w:sz w:val="32"/>
          <w:szCs w:val="32"/>
        </w:rPr>
      </w:pPr>
      <w:bookmarkStart w:id="32" w:name="_Toc15377211"/>
      <w:r>
        <w:rPr>
          <w:rFonts w:hint="eastAsia" w:ascii="仿宋" w:hAnsi="仿宋" w:eastAsia="仿宋"/>
          <w:b/>
          <w:color w:val="000000"/>
          <w:sz w:val="32"/>
          <w:szCs w:val="32"/>
        </w:rPr>
        <w:t>（二）一般公共预算财政拨款支出决算结构情况</w:t>
      </w:r>
      <w:bookmarkEnd w:id="32"/>
    </w:p>
    <w:p>
      <w:pPr>
        <w:spacing w:line="560" w:lineRule="exact"/>
        <w:ind w:firstLine="640"/>
        <w:rPr>
          <w:rFonts w:hint="eastAsia" w:ascii="仿宋" w:hAnsi="仿宋" w:eastAsia="仿宋"/>
          <w:color w:val="000000"/>
          <w:sz w:val="32"/>
          <w:szCs w:val="32"/>
          <w:lang w:eastAsia="zh-CN"/>
        </w:rPr>
      </w:pPr>
      <w:r>
        <w:rPr>
          <w:rFonts w:ascii="仿宋" w:hAnsi="仿宋" w:eastAsia="仿宋"/>
          <w:color w:val="000000"/>
          <w:sz w:val="32"/>
          <w:szCs w:val="32"/>
        </w:rPr>
        <w:t>2018</w:t>
      </w:r>
      <w:r>
        <w:rPr>
          <w:rFonts w:hint="eastAsia" w:ascii="仿宋" w:hAnsi="仿宋" w:eastAsia="仿宋"/>
          <w:color w:val="000000"/>
          <w:sz w:val="32"/>
          <w:szCs w:val="32"/>
        </w:rPr>
        <w:t>年一般公共预算财政拨款支出889.54万元，主要用于以下方面</w:t>
      </w:r>
      <w:r>
        <w:rPr>
          <w:rFonts w:ascii="仿宋" w:hAnsi="仿宋" w:eastAsia="仿宋"/>
          <w:color w:val="000000"/>
          <w:sz w:val="32"/>
          <w:szCs w:val="32"/>
        </w:rPr>
        <w:t>:</w:t>
      </w:r>
      <w:r>
        <w:rPr>
          <w:rFonts w:hint="eastAsia" w:ascii="仿宋" w:hAnsi="仿宋" w:eastAsia="仿宋"/>
          <w:b/>
          <w:color w:val="000000"/>
          <w:sz w:val="32"/>
          <w:szCs w:val="32"/>
        </w:rPr>
        <w:t>一般公共服务</w:t>
      </w:r>
      <w:r>
        <w:rPr>
          <w:rFonts w:hint="eastAsia" w:ascii="仿宋" w:hAnsi="仿宋" w:eastAsia="仿宋"/>
          <w:color w:val="000000"/>
          <w:sz w:val="32"/>
          <w:szCs w:val="32"/>
        </w:rPr>
        <w:t>支出476.45万元，占</w:t>
      </w:r>
      <w:r>
        <w:rPr>
          <w:rFonts w:ascii="仿宋" w:hAnsi="仿宋" w:eastAsia="仿宋"/>
          <w:color w:val="000000"/>
          <w:sz w:val="32"/>
          <w:szCs w:val="32"/>
        </w:rPr>
        <w:t>47.1%</w:t>
      </w:r>
      <w:r>
        <w:rPr>
          <w:rFonts w:hint="eastAsia" w:ascii="仿宋" w:hAnsi="仿宋" w:eastAsia="仿宋"/>
          <w:color w:val="000000"/>
          <w:sz w:val="32"/>
          <w:szCs w:val="32"/>
        </w:rPr>
        <w:t>；</w:t>
      </w:r>
      <w:r>
        <w:rPr>
          <w:rFonts w:ascii="仿宋" w:hAnsi="仿宋" w:eastAsia="仿宋"/>
          <w:color w:val="000000"/>
          <w:sz w:val="32"/>
          <w:szCs w:val="32"/>
        </w:rPr>
        <w:t xml:space="preserve"> </w:t>
      </w:r>
      <w:r>
        <w:rPr>
          <w:rFonts w:hint="eastAsia" w:ascii="仿宋" w:hAnsi="仿宋" w:eastAsia="仿宋"/>
          <w:b/>
          <w:bCs/>
          <w:color w:val="000000"/>
          <w:sz w:val="32"/>
          <w:szCs w:val="32"/>
        </w:rPr>
        <w:t>社会保障和就业支出</w:t>
      </w:r>
      <w:r>
        <w:rPr>
          <w:rFonts w:hint="eastAsia" w:ascii="仿宋" w:hAnsi="仿宋" w:eastAsia="仿宋"/>
          <w:color w:val="000000"/>
          <w:sz w:val="32"/>
          <w:szCs w:val="32"/>
        </w:rPr>
        <w:t>支出104.59万元，占</w:t>
      </w:r>
      <w:r>
        <w:rPr>
          <w:rFonts w:ascii="仿宋" w:hAnsi="仿宋" w:eastAsia="仿宋"/>
          <w:color w:val="000000"/>
          <w:sz w:val="32"/>
          <w:szCs w:val="32"/>
        </w:rPr>
        <w:t>0.4%</w:t>
      </w:r>
      <w:r>
        <w:rPr>
          <w:rFonts w:hint="eastAsia" w:ascii="仿宋" w:hAnsi="仿宋" w:eastAsia="仿宋"/>
          <w:color w:val="000000"/>
          <w:sz w:val="32"/>
          <w:szCs w:val="32"/>
        </w:rPr>
        <w:t>；</w:t>
      </w:r>
      <w:r>
        <w:rPr>
          <w:rFonts w:hint="eastAsia" w:ascii="仿宋" w:hAnsi="仿宋" w:eastAsia="仿宋"/>
          <w:b/>
          <w:bCs/>
          <w:color w:val="000000"/>
          <w:sz w:val="32"/>
          <w:szCs w:val="32"/>
        </w:rPr>
        <w:t>医疗卫生</w:t>
      </w:r>
      <w:r>
        <w:rPr>
          <w:rFonts w:hint="eastAsia" w:ascii="仿宋" w:hAnsi="仿宋" w:eastAsia="仿宋"/>
          <w:color w:val="000000"/>
          <w:sz w:val="32"/>
          <w:szCs w:val="32"/>
        </w:rPr>
        <w:t>支出21.21万元，占</w:t>
      </w:r>
      <w:r>
        <w:rPr>
          <w:rFonts w:ascii="仿宋" w:hAnsi="仿宋" w:eastAsia="仿宋"/>
          <w:color w:val="000000"/>
          <w:sz w:val="32"/>
          <w:szCs w:val="32"/>
        </w:rPr>
        <w:t>2.2%</w:t>
      </w:r>
      <w:r>
        <w:rPr>
          <w:rFonts w:hint="eastAsia" w:ascii="仿宋" w:hAnsi="仿宋" w:eastAsia="仿宋"/>
          <w:color w:val="000000"/>
          <w:sz w:val="32"/>
          <w:szCs w:val="32"/>
        </w:rPr>
        <w:t>；</w:t>
      </w:r>
      <w:r>
        <w:rPr>
          <w:rFonts w:hint="eastAsia" w:ascii="仿宋" w:hAnsi="仿宋" w:eastAsia="仿宋"/>
          <w:b/>
          <w:bCs/>
          <w:color w:val="000000"/>
          <w:sz w:val="32"/>
          <w:szCs w:val="32"/>
        </w:rPr>
        <w:t>住房保障</w:t>
      </w:r>
      <w:r>
        <w:rPr>
          <w:rFonts w:hint="eastAsia" w:ascii="仿宋" w:hAnsi="仿宋" w:eastAsia="仿宋"/>
          <w:color w:val="000000"/>
          <w:sz w:val="32"/>
          <w:szCs w:val="32"/>
        </w:rPr>
        <w:t>支出119.73万元，占</w:t>
      </w:r>
      <w:r>
        <w:rPr>
          <w:rFonts w:ascii="仿宋" w:hAnsi="仿宋" w:eastAsia="仿宋"/>
          <w:color w:val="000000"/>
          <w:sz w:val="32"/>
          <w:szCs w:val="32"/>
        </w:rPr>
        <w:t>4%</w:t>
      </w:r>
      <w:r>
        <w:rPr>
          <w:rFonts w:hint="eastAsia" w:ascii="仿宋" w:hAnsi="仿宋" w:eastAsia="仿宋"/>
          <w:color w:val="000000"/>
          <w:sz w:val="32"/>
          <w:szCs w:val="32"/>
        </w:rPr>
        <w:t>；</w:t>
      </w:r>
      <w:r>
        <w:rPr>
          <w:rFonts w:hint="eastAsia" w:ascii="仿宋" w:hAnsi="仿宋" w:eastAsia="仿宋"/>
          <w:b/>
          <w:bCs/>
          <w:color w:val="000000"/>
          <w:sz w:val="32"/>
          <w:szCs w:val="32"/>
          <w:lang w:eastAsia="zh-CN"/>
        </w:rPr>
        <w:t>交通运输支出</w:t>
      </w:r>
      <w:r>
        <w:rPr>
          <w:rFonts w:hint="eastAsia" w:ascii="仿宋" w:hAnsi="仿宋" w:eastAsia="仿宋"/>
          <w:color w:val="000000"/>
          <w:sz w:val="32"/>
          <w:szCs w:val="32"/>
          <w:lang w:eastAsia="zh-CN"/>
        </w:rPr>
        <w:t>：22.04万元，占</w:t>
      </w:r>
      <w:r>
        <w:rPr>
          <w:rFonts w:hint="eastAsia" w:ascii="仿宋" w:hAnsi="仿宋" w:eastAsia="仿宋"/>
          <w:color w:val="000000"/>
          <w:sz w:val="32"/>
          <w:szCs w:val="32"/>
          <w:lang w:val="en-US" w:eastAsia="zh-CN"/>
        </w:rPr>
        <w:t>1.4%；</w:t>
      </w:r>
      <w:r>
        <w:rPr>
          <w:rFonts w:hint="eastAsia" w:ascii="仿宋" w:hAnsi="仿宋" w:eastAsia="仿宋"/>
          <w:b/>
          <w:bCs/>
          <w:color w:val="000000"/>
          <w:sz w:val="32"/>
          <w:szCs w:val="32"/>
        </w:rPr>
        <w:t>城乡社区</w:t>
      </w:r>
      <w:r>
        <w:rPr>
          <w:rFonts w:hint="eastAsia" w:ascii="仿宋" w:hAnsi="仿宋" w:eastAsia="仿宋"/>
          <w:color w:val="000000"/>
          <w:sz w:val="32"/>
          <w:szCs w:val="32"/>
        </w:rPr>
        <w:t>支出：4.89万元，占</w:t>
      </w:r>
      <w:r>
        <w:rPr>
          <w:rFonts w:ascii="仿宋" w:hAnsi="仿宋" w:eastAsia="仿宋"/>
          <w:color w:val="000000"/>
          <w:sz w:val="32"/>
          <w:szCs w:val="32"/>
        </w:rPr>
        <w:t>16%</w:t>
      </w:r>
      <w:r>
        <w:rPr>
          <w:rFonts w:hint="eastAsia" w:ascii="仿宋" w:hAnsi="仿宋" w:eastAsia="仿宋"/>
          <w:color w:val="000000"/>
          <w:sz w:val="32"/>
          <w:szCs w:val="32"/>
        </w:rPr>
        <w:t>；</w:t>
      </w:r>
      <w:r>
        <w:rPr>
          <w:rFonts w:hint="eastAsia" w:ascii="仿宋" w:hAnsi="仿宋" w:eastAsia="仿宋"/>
          <w:b/>
          <w:bCs/>
          <w:color w:val="000000"/>
          <w:sz w:val="32"/>
          <w:szCs w:val="32"/>
        </w:rPr>
        <w:t>农林水</w:t>
      </w:r>
      <w:r>
        <w:rPr>
          <w:rFonts w:hint="eastAsia" w:ascii="仿宋" w:hAnsi="仿宋" w:eastAsia="仿宋"/>
          <w:color w:val="000000"/>
          <w:sz w:val="32"/>
          <w:szCs w:val="32"/>
        </w:rPr>
        <w:t>支出119.65万元，占</w:t>
      </w:r>
      <w:r>
        <w:rPr>
          <w:rFonts w:ascii="仿宋" w:hAnsi="仿宋" w:eastAsia="仿宋"/>
          <w:color w:val="000000"/>
          <w:sz w:val="32"/>
          <w:szCs w:val="32"/>
        </w:rPr>
        <w:t>17.6%</w:t>
      </w:r>
      <w:r>
        <w:rPr>
          <w:rFonts w:hint="eastAsia" w:ascii="仿宋" w:hAnsi="仿宋" w:eastAsia="仿宋"/>
          <w:color w:val="000000"/>
          <w:sz w:val="32"/>
          <w:szCs w:val="32"/>
        </w:rPr>
        <w:t>；</w:t>
      </w:r>
    </w:p>
    <w:p>
      <w:pPr>
        <w:spacing w:line="600" w:lineRule="exact"/>
        <w:ind w:firstLine="640" w:firstLineChars="200"/>
        <w:rPr>
          <w:rFonts w:hint="eastAsia" w:ascii="仿宋" w:hAnsi="仿宋" w:eastAsia="仿宋"/>
          <w:color w:val="000000"/>
          <w:sz w:val="32"/>
          <w:szCs w:val="32"/>
          <w:lang w:eastAsia="zh-CN"/>
        </w:rPr>
      </w:pPr>
      <w:r>
        <w:rPr>
          <w:rFonts w:hint="eastAsia" w:ascii="仿宋" w:hAnsi="仿宋" w:eastAsia="仿宋"/>
          <w:color w:val="000000"/>
          <w:sz w:val="32"/>
          <w:szCs w:val="32"/>
        </w:rPr>
        <w:t>（图</w:t>
      </w:r>
      <w:r>
        <w:rPr>
          <w:rFonts w:ascii="仿宋" w:hAnsi="仿宋" w:eastAsia="仿宋"/>
          <w:color w:val="000000"/>
          <w:sz w:val="32"/>
          <w:szCs w:val="32"/>
        </w:rPr>
        <w:t>6</w:t>
      </w:r>
      <w:r>
        <w:rPr>
          <w:rFonts w:hint="eastAsia" w:ascii="仿宋" w:hAnsi="仿宋" w:eastAsia="仿宋"/>
          <w:color w:val="000000"/>
          <w:sz w:val="32"/>
          <w:szCs w:val="32"/>
        </w:rPr>
        <w:t>：一般公共预算财政拨款支出决算结构）（饼状图）</w:t>
      </w:r>
    </w:p>
    <w:p>
      <w:pPr>
        <w:spacing w:line="560" w:lineRule="exact"/>
        <w:ind w:firstLine="640"/>
        <w:rPr>
          <w:rFonts w:hint="eastAsia" w:ascii="仿宋" w:hAnsi="仿宋" w:eastAsia="仿宋"/>
          <w:color w:val="000000"/>
          <w:sz w:val="32"/>
          <w:szCs w:val="32"/>
        </w:rPr>
      </w:pPr>
      <w:r>
        <w:drawing>
          <wp:anchor distT="0" distB="0" distL="114300" distR="114300" simplePos="0" relativeHeight="251667456" behindDoc="0" locked="0" layoutInCell="1" allowOverlap="1">
            <wp:simplePos x="0" y="0"/>
            <wp:positionH relativeFrom="column">
              <wp:posOffset>-194945</wp:posOffset>
            </wp:positionH>
            <wp:positionV relativeFrom="paragraph">
              <wp:posOffset>119380</wp:posOffset>
            </wp:positionV>
            <wp:extent cx="5570855" cy="2864485"/>
            <wp:effectExtent l="4445" t="4445" r="6350" b="7620"/>
            <wp:wrapTopAndBottom/>
            <wp:docPr id="6" name="图片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spacing w:line="600" w:lineRule="exact"/>
        <w:ind w:firstLine="643" w:firstLineChars="200"/>
        <w:outlineLvl w:val="2"/>
        <w:rPr>
          <w:rFonts w:ascii="仿宋" w:hAnsi="仿宋" w:eastAsia="仿宋"/>
          <w:b/>
          <w:color w:val="000000"/>
          <w:sz w:val="32"/>
          <w:szCs w:val="32"/>
        </w:rPr>
      </w:pPr>
      <w:bookmarkStart w:id="33" w:name="_Toc15377212"/>
      <w:r>
        <w:rPr>
          <w:rFonts w:hint="eastAsia" w:ascii="仿宋" w:hAnsi="仿宋" w:eastAsia="仿宋"/>
          <w:b/>
          <w:color w:val="000000"/>
          <w:sz w:val="32"/>
          <w:szCs w:val="32"/>
        </w:rPr>
        <w:t>（三）一般公共预算财政拨款支出决算具体情况</w:t>
      </w:r>
      <w:bookmarkEnd w:id="33"/>
    </w:p>
    <w:p>
      <w:pPr>
        <w:spacing w:line="600" w:lineRule="exact"/>
        <w:ind w:firstLine="643" w:firstLineChars="200"/>
        <w:outlineLvl w:val="2"/>
        <w:rPr>
          <w:rFonts w:ascii="仿宋" w:hAnsi="仿宋" w:eastAsia="仿宋"/>
          <w:color w:val="FF0000"/>
          <w:sz w:val="32"/>
          <w:szCs w:val="32"/>
        </w:rPr>
      </w:pPr>
      <w:bookmarkStart w:id="34" w:name="_Toc15377444"/>
      <w:bookmarkStart w:id="35" w:name="_Toc15378460"/>
      <w:bookmarkStart w:id="36" w:name="_Toc15377213"/>
      <w:r>
        <w:rPr>
          <w:rFonts w:ascii="仿宋" w:hAnsi="仿宋" w:eastAsia="仿宋"/>
          <w:b/>
          <w:color w:val="000000"/>
          <w:sz w:val="32"/>
          <w:szCs w:val="32"/>
        </w:rPr>
        <w:t>2018</w:t>
      </w:r>
      <w:r>
        <w:rPr>
          <w:rFonts w:hint="eastAsia" w:ascii="仿宋" w:hAnsi="仿宋" w:eastAsia="仿宋"/>
          <w:b/>
          <w:color w:val="000000"/>
          <w:sz w:val="32"/>
          <w:szCs w:val="32"/>
        </w:rPr>
        <w:t>年一般公共预算支出决算数为889.54</w:t>
      </w:r>
      <w:r>
        <w:rPr>
          <w:rFonts w:hint="eastAsia" w:ascii="仿宋" w:hAnsi="仿宋" w:eastAsia="仿宋"/>
          <w:color w:val="000000"/>
          <w:sz w:val="32"/>
          <w:szCs w:val="32"/>
        </w:rPr>
        <w:t>，</w:t>
      </w:r>
      <w:r>
        <w:rPr>
          <w:rStyle w:val="14"/>
          <w:rFonts w:hint="eastAsia" w:ascii="仿宋" w:hAnsi="仿宋" w:eastAsia="仿宋"/>
          <w:bCs/>
          <w:color w:val="000000"/>
          <w:sz w:val="32"/>
          <w:szCs w:val="32"/>
        </w:rPr>
        <w:t>完成预算</w:t>
      </w:r>
      <w:r>
        <w:rPr>
          <w:rStyle w:val="14"/>
          <w:rFonts w:ascii="仿宋" w:hAnsi="仿宋" w:eastAsia="仿宋"/>
          <w:bCs/>
          <w:color w:val="000000"/>
          <w:sz w:val="32"/>
          <w:szCs w:val="32"/>
        </w:rPr>
        <w:t>88%</w:t>
      </w:r>
      <w:r>
        <w:rPr>
          <w:rStyle w:val="14"/>
          <w:rFonts w:hint="eastAsia" w:ascii="仿宋" w:hAnsi="仿宋" w:eastAsia="仿宋"/>
          <w:bCs/>
          <w:color w:val="000000"/>
          <w:sz w:val="32"/>
          <w:szCs w:val="32"/>
        </w:rPr>
        <w:t>。其中：</w:t>
      </w:r>
      <w:bookmarkEnd w:id="34"/>
      <w:bookmarkEnd w:id="35"/>
      <w:bookmarkEnd w:id="36"/>
    </w:p>
    <w:p>
      <w:pPr>
        <w:spacing w:line="600" w:lineRule="exact"/>
        <w:ind w:firstLine="640" w:firstLineChars="200"/>
        <w:rPr>
          <w:rFonts w:ascii="仿宋" w:hAnsi="仿宋" w:eastAsia="仿宋"/>
          <w:b/>
          <w:color w:val="000000"/>
          <w:sz w:val="32"/>
          <w:szCs w:val="32"/>
        </w:rPr>
      </w:pPr>
      <w:r>
        <w:rPr>
          <w:rStyle w:val="14"/>
          <w:rFonts w:ascii="仿宋" w:hAnsi="仿宋" w:eastAsia="仿宋"/>
          <w:b w:val="0"/>
          <w:bCs w:val="0"/>
          <w:color w:val="000000"/>
          <w:sz w:val="32"/>
          <w:szCs w:val="32"/>
        </w:rPr>
        <w:t>1.</w:t>
      </w:r>
      <w:r>
        <w:rPr>
          <w:rStyle w:val="14"/>
          <w:rFonts w:hint="eastAsia" w:ascii="仿宋" w:hAnsi="仿宋" w:eastAsia="仿宋"/>
          <w:bCs/>
          <w:color w:val="000000"/>
          <w:sz w:val="32"/>
          <w:szCs w:val="32"/>
        </w:rPr>
        <w:t>一般公共服务</w:t>
      </w:r>
      <w:r>
        <w:rPr>
          <w:rStyle w:val="14"/>
          <w:rFonts w:ascii="仿宋" w:hAnsi="仿宋" w:eastAsia="仿宋"/>
          <w:bCs/>
          <w:color w:val="000000"/>
          <w:sz w:val="32"/>
          <w:szCs w:val="32"/>
        </w:rPr>
        <w:t>201:</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支出决算为476.45万元，完成预算</w:t>
      </w:r>
      <w:r>
        <w:rPr>
          <w:rStyle w:val="14"/>
          <w:rFonts w:ascii="仿宋" w:hAnsi="仿宋" w:eastAsia="仿宋"/>
          <w:b w:val="0"/>
          <w:bCs/>
          <w:color w:val="000000"/>
          <w:sz w:val="32"/>
          <w:szCs w:val="32"/>
        </w:rPr>
        <w:t>100%</w:t>
      </w:r>
      <w:r>
        <w:rPr>
          <w:rStyle w:val="14"/>
          <w:rFonts w:hint="eastAsia" w:ascii="仿宋" w:hAnsi="仿宋" w:eastAsia="仿宋"/>
          <w:b w:val="0"/>
          <w:bCs/>
          <w:color w:val="000000"/>
          <w:sz w:val="32"/>
          <w:szCs w:val="32"/>
        </w:rPr>
        <w:t>，决算数与预算数持平。</w:t>
      </w:r>
    </w:p>
    <w:p>
      <w:pPr>
        <w:spacing w:line="600" w:lineRule="exact"/>
        <w:ind w:firstLine="640" w:firstLineChars="200"/>
        <w:rPr>
          <w:rStyle w:val="14"/>
          <w:rFonts w:hint="eastAsia" w:ascii="仿宋" w:hAnsi="仿宋" w:eastAsia="仿宋"/>
          <w:b w:val="0"/>
          <w:bCs/>
          <w:color w:val="000000"/>
          <w:sz w:val="32"/>
          <w:szCs w:val="32"/>
        </w:rPr>
      </w:pPr>
      <w:r>
        <w:rPr>
          <w:rStyle w:val="14"/>
          <w:rFonts w:ascii="仿宋" w:hAnsi="仿宋" w:eastAsia="仿宋"/>
          <w:b w:val="0"/>
          <w:bCs w:val="0"/>
          <w:color w:val="000000"/>
          <w:sz w:val="32"/>
          <w:szCs w:val="32"/>
        </w:rPr>
        <w:t>2.</w:t>
      </w:r>
      <w:r>
        <w:rPr>
          <w:rStyle w:val="14"/>
          <w:rFonts w:hint="eastAsia" w:ascii="仿宋" w:hAnsi="仿宋" w:eastAsia="仿宋"/>
          <w:bCs/>
          <w:color w:val="000000"/>
          <w:sz w:val="32"/>
          <w:szCs w:val="32"/>
          <w:lang w:eastAsia="zh-CN"/>
        </w:rPr>
        <w:t>人大事务</w:t>
      </w:r>
      <w:r>
        <w:rPr>
          <w:rStyle w:val="14"/>
          <w:rFonts w:hint="eastAsia" w:ascii="仿宋" w:hAnsi="仿宋" w:eastAsia="仿宋"/>
          <w:bCs/>
          <w:color w:val="000000"/>
          <w:sz w:val="32"/>
          <w:szCs w:val="32"/>
          <w:lang w:val="en-US" w:eastAsia="zh-CN"/>
        </w:rPr>
        <w:t>20101：支出决算为</w:t>
      </w:r>
      <w:r>
        <w:rPr>
          <w:rStyle w:val="14"/>
          <w:rFonts w:hint="eastAsia" w:ascii="仿宋" w:hAnsi="仿宋" w:eastAsia="仿宋"/>
          <w:b w:val="0"/>
          <w:bCs/>
          <w:color w:val="000000"/>
          <w:sz w:val="32"/>
          <w:szCs w:val="32"/>
          <w:lang w:val="en-US" w:eastAsia="zh-CN"/>
        </w:rPr>
        <w:t>27.69万元，</w:t>
      </w:r>
      <w:r>
        <w:rPr>
          <w:rStyle w:val="14"/>
          <w:rFonts w:hint="eastAsia" w:ascii="仿宋" w:hAnsi="仿宋" w:eastAsia="仿宋"/>
          <w:b w:val="0"/>
          <w:bCs/>
          <w:color w:val="000000"/>
          <w:sz w:val="32"/>
          <w:szCs w:val="32"/>
        </w:rPr>
        <w:t>完成预算</w:t>
      </w:r>
      <w:r>
        <w:rPr>
          <w:rStyle w:val="14"/>
          <w:rFonts w:ascii="仿宋" w:hAnsi="仿宋" w:eastAsia="仿宋"/>
          <w:b w:val="0"/>
          <w:bCs/>
          <w:color w:val="000000"/>
          <w:sz w:val="32"/>
          <w:szCs w:val="32"/>
        </w:rPr>
        <w:t>100%</w:t>
      </w:r>
      <w:r>
        <w:rPr>
          <w:rStyle w:val="14"/>
          <w:rFonts w:hint="eastAsia" w:ascii="仿宋" w:hAnsi="仿宋" w:eastAsia="仿宋"/>
          <w:b w:val="0"/>
          <w:bCs/>
          <w:color w:val="000000"/>
          <w:sz w:val="32"/>
          <w:szCs w:val="32"/>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3.</w:t>
      </w:r>
      <w:r>
        <w:rPr>
          <w:rStyle w:val="14"/>
          <w:rFonts w:hint="eastAsia" w:ascii="仿宋" w:hAnsi="仿宋" w:eastAsia="仿宋"/>
          <w:b/>
          <w:bCs w:val="0"/>
          <w:color w:val="000000"/>
          <w:sz w:val="32"/>
          <w:szCs w:val="32"/>
          <w:lang w:val="en-US" w:eastAsia="zh-CN"/>
        </w:rPr>
        <w:t>行政运行2010101：</w:t>
      </w:r>
      <w:r>
        <w:rPr>
          <w:rStyle w:val="14"/>
          <w:rFonts w:hint="eastAsia" w:ascii="仿宋" w:hAnsi="仿宋" w:eastAsia="仿宋"/>
          <w:b w:val="0"/>
          <w:bCs/>
          <w:color w:val="000000"/>
          <w:sz w:val="32"/>
          <w:szCs w:val="32"/>
          <w:lang w:val="en-US" w:eastAsia="zh-CN"/>
        </w:rPr>
        <w:t>支出决算为23.61万元，完成预算100%。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4.</w:t>
      </w:r>
      <w:r>
        <w:rPr>
          <w:rStyle w:val="14"/>
          <w:rFonts w:hint="eastAsia" w:ascii="仿宋" w:hAnsi="仿宋" w:eastAsia="仿宋"/>
          <w:b/>
          <w:bCs w:val="0"/>
          <w:color w:val="000000"/>
          <w:sz w:val="32"/>
          <w:szCs w:val="32"/>
          <w:lang w:val="en-US" w:eastAsia="zh-CN"/>
        </w:rPr>
        <w:t>代表工作2010108：</w:t>
      </w:r>
      <w:r>
        <w:rPr>
          <w:rStyle w:val="14"/>
          <w:rFonts w:hint="eastAsia" w:ascii="仿宋" w:hAnsi="仿宋" w:eastAsia="仿宋"/>
          <w:b w:val="0"/>
          <w:bCs/>
          <w:color w:val="000000"/>
          <w:sz w:val="32"/>
          <w:szCs w:val="32"/>
          <w:lang w:val="en-US" w:eastAsia="zh-CN"/>
        </w:rPr>
        <w:t>支出决算为2万元，完成预算100%。</w:t>
      </w:r>
    </w:p>
    <w:p>
      <w:pPr>
        <w:numPr>
          <w:ilvl w:val="0"/>
          <w:numId w:val="0"/>
        </w:num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5.</w:t>
      </w:r>
      <w:r>
        <w:rPr>
          <w:rStyle w:val="14"/>
          <w:rFonts w:hint="eastAsia" w:ascii="仿宋" w:hAnsi="仿宋" w:eastAsia="仿宋"/>
          <w:b/>
          <w:bCs w:val="0"/>
          <w:color w:val="000000"/>
          <w:sz w:val="32"/>
          <w:szCs w:val="32"/>
          <w:lang w:val="en-US" w:eastAsia="zh-CN"/>
        </w:rPr>
        <w:t>政府办公厅（室）及相关机构事务20103</w:t>
      </w:r>
      <w:r>
        <w:rPr>
          <w:rStyle w:val="14"/>
          <w:rFonts w:hint="eastAsia" w:ascii="仿宋" w:hAnsi="仿宋" w:eastAsia="仿宋"/>
          <w:b w:val="0"/>
          <w:bCs/>
          <w:color w:val="000000"/>
          <w:sz w:val="32"/>
          <w:szCs w:val="32"/>
          <w:lang w:val="en-US" w:eastAsia="zh-CN"/>
        </w:rPr>
        <w:t>：支出决算为399.34万元，完成预算100%。</w:t>
      </w:r>
    </w:p>
    <w:p>
      <w:pPr>
        <w:numPr>
          <w:ilvl w:val="0"/>
          <w:numId w:val="0"/>
        </w:num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6.</w:t>
      </w:r>
      <w:r>
        <w:rPr>
          <w:rStyle w:val="14"/>
          <w:rFonts w:hint="eastAsia" w:ascii="仿宋" w:hAnsi="仿宋" w:eastAsia="仿宋"/>
          <w:b/>
          <w:bCs w:val="0"/>
          <w:color w:val="000000"/>
          <w:sz w:val="32"/>
          <w:szCs w:val="32"/>
          <w:lang w:val="en-US" w:eastAsia="zh-CN"/>
        </w:rPr>
        <w:t>行政运行2010301：</w:t>
      </w:r>
      <w:r>
        <w:rPr>
          <w:rStyle w:val="14"/>
          <w:rFonts w:hint="eastAsia" w:ascii="仿宋" w:hAnsi="仿宋" w:eastAsia="仿宋"/>
          <w:b w:val="0"/>
          <w:bCs/>
          <w:color w:val="000000"/>
          <w:sz w:val="32"/>
          <w:szCs w:val="32"/>
          <w:lang w:val="en-US" w:eastAsia="zh-CN"/>
        </w:rPr>
        <w:t>支出决算为378.43万元，完成预算100%。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7.</w:t>
      </w:r>
      <w:r>
        <w:rPr>
          <w:rStyle w:val="14"/>
          <w:rFonts w:hint="eastAsia" w:ascii="仿宋" w:hAnsi="仿宋" w:eastAsia="仿宋"/>
          <w:b/>
          <w:bCs w:val="0"/>
          <w:color w:val="000000"/>
          <w:sz w:val="32"/>
          <w:szCs w:val="32"/>
          <w:lang w:val="en-US" w:eastAsia="zh-CN"/>
        </w:rPr>
        <w:t>一般行政管理事务2010302</w:t>
      </w:r>
      <w:r>
        <w:rPr>
          <w:rStyle w:val="14"/>
          <w:rFonts w:hint="eastAsia" w:ascii="仿宋" w:hAnsi="仿宋" w:eastAsia="仿宋"/>
          <w:b w:val="0"/>
          <w:bCs/>
          <w:color w:val="000000"/>
          <w:sz w:val="32"/>
          <w:szCs w:val="32"/>
          <w:lang w:val="en-US" w:eastAsia="zh-CN"/>
        </w:rPr>
        <w:t>：支出决算为20.91万元，完成预算100%。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8.</w:t>
      </w:r>
      <w:r>
        <w:rPr>
          <w:rStyle w:val="14"/>
          <w:rFonts w:hint="eastAsia" w:ascii="仿宋" w:hAnsi="仿宋" w:eastAsia="仿宋"/>
          <w:b/>
          <w:bCs w:val="0"/>
          <w:color w:val="000000"/>
          <w:sz w:val="32"/>
          <w:szCs w:val="32"/>
          <w:lang w:val="en-US" w:eastAsia="zh-CN"/>
        </w:rPr>
        <w:t>财政事务20106：</w:t>
      </w:r>
      <w:r>
        <w:rPr>
          <w:rStyle w:val="14"/>
          <w:rFonts w:hint="eastAsia" w:ascii="仿宋" w:hAnsi="仿宋" w:eastAsia="仿宋"/>
          <w:b w:val="0"/>
          <w:bCs/>
          <w:color w:val="000000"/>
          <w:sz w:val="32"/>
          <w:szCs w:val="32"/>
          <w:lang w:val="en-US" w:eastAsia="zh-CN"/>
        </w:rPr>
        <w:t>支出决算为21.55万元，完成预算100%。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9.</w:t>
      </w:r>
      <w:r>
        <w:rPr>
          <w:rStyle w:val="14"/>
          <w:rFonts w:hint="eastAsia" w:ascii="仿宋" w:hAnsi="仿宋" w:eastAsia="仿宋"/>
          <w:b/>
          <w:bCs w:val="0"/>
          <w:color w:val="000000"/>
          <w:sz w:val="32"/>
          <w:szCs w:val="32"/>
          <w:lang w:val="en-US" w:eastAsia="zh-CN"/>
        </w:rPr>
        <w:t>党委办公厅（室）及相关机构事务20131：</w:t>
      </w:r>
      <w:r>
        <w:rPr>
          <w:rStyle w:val="14"/>
          <w:rFonts w:hint="eastAsia" w:ascii="仿宋" w:hAnsi="仿宋" w:eastAsia="仿宋"/>
          <w:b w:val="0"/>
          <w:bCs/>
          <w:color w:val="000000"/>
          <w:sz w:val="32"/>
          <w:szCs w:val="32"/>
          <w:lang w:val="en-US" w:eastAsia="zh-CN"/>
        </w:rPr>
        <w:t>支出决算为27.87万元，完成预算100%。</w:t>
      </w:r>
    </w:p>
    <w:p>
      <w:pPr>
        <w:spacing w:line="600" w:lineRule="exact"/>
        <w:ind w:firstLine="640" w:firstLineChars="200"/>
        <w:rPr>
          <w:rStyle w:val="14"/>
          <w:rFonts w:hint="eastAsia" w:ascii="仿宋" w:hAnsi="仿宋" w:eastAsia="仿宋"/>
          <w:b w:val="0"/>
          <w:bCs/>
          <w:color w:val="000000"/>
          <w:sz w:val="32"/>
          <w:szCs w:val="32"/>
        </w:rPr>
      </w:pPr>
      <w:r>
        <w:rPr>
          <w:rStyle w:val="14"/>
          <w:rFonts w:hint="eastAsia" w:ascii="仿宋" w:hAnsi="仿宋" w:eastAsia="仿宋"/>
          <w:b w:val="0"/>
          <w:bCs/>
          <w:color w:val="000000"/>
          <w:sz w:val="32"/>
          <w:szCs w:val="32"/>
          <w:lang w:val="en-US" w:eastAsia="zh-CN"/>
        </w:rPr>
        <w:t>10.</w:t>
      </w:r>
      <w:r>
        <w:rPr>
          <w:rStyle w:val="14"/>
          <w:rFonts w:hint="eastAsia" w:ascii="仿宋" w:hAnsi="仿宋" w:eastAsia="仿宋"/>
          <w:bCs/>
          <w:color w:val="000000"/>
          <w:sz w:val="32"/>
          <w:szCs w:val="32"/>
        </w:rPr>
        <w:t>文化体育与传媒</w:t>
      </w:r>
      <w:r>
        <w:rPr>
          <w:rStyle w:val="14"/>
          <w:rFonts w:ascii="仿宋" w:hAnsi="仿宋" w:eastAsia="仿宋"/>
          <w:bCs/>
          <w:color w:val="000000"/>
          <w:sz w:val="32"/>
          <w:szCs w:val="32"/>
        </w:rPr>
        <w:t>207:</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支出决算为20.97万元，完成预算</w:t>
      </w:r>
      <w:r>
        <w:rPr>
          <w:rStyle w:val="14"/>
          <w:rFonts w:ascii="仿宋" w:hAnsi="仿宋" w:eastAsia="仿宋"/>
          <w:b w:val="0"/>
          <w:bCs/>
          <w:color w:val="000000"/>
          <w:sz w:val="32"/>
          <w:szCs w:val="32"/>
        </w:rPr>
        <w:t>100%</w:t>
      </w:r>
      <w:r>
        <w:rPr>
          <w:rStyle w:val="14"/>
          <w:rFonts w:hint="eastAsia" w:ascii="仿宋" w:hAnsi="仿宋" w:eastAsia="仿宋"/>
          <w:b w:val="0"/>
          <w:bCs/>
          <w:color w:val="000000"/>
          <w:sz w:val="32"/>
          <w:szCs w:val="32"/>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11.</w:t>
      </w:r>
      <w:r>
        <w:rPr>
          <w:rStyle w:val="14"/>
          <w:rFonts w:hint="eastAsia" w:ascii="仿宋" w:hAnsi="仿宋" w:eastAsia="仿宋"/>
          <w:b/>
          <w:bCs w:val="0"/>
          <w:color w:val="000000"/>
          <w:sz w:val="32"/>
          <w:szCs w:val="32"/>
          <w:lang w:val="en-US" w:eastAsia="zh-CN"/>
        </w:rPr>
        <w:t>其他文化支出2070199：</w:t>
      </w:r>
      <w:r>
        <w:rPr>
          <w:rStyle w:val="14"/>
          <w:rFonts w:hint="eastAsia" w:ascii="仿宋" w:hAnsi="仿宋" w:eastAsia="仿宋"/>
          <w:b w:val="0"/>
          <w:bCs/>
          <w:color w:val="000000"/>
          <w:sz w:val="32"/>
          <w:szCs w:val="32"/>
          <w:lang w:val="en-US" w:eastAsia="zh-CN"/>
        </w:rPr>
        <w:t>支出决算为4.6万元，完成预算100%。</w:t>
      </w:r>
    </w:p>
    <w:p>
      <w:pPr>
        <w:spacing w:line="600" w:lineRule="exact"/>
        <w:ind w:firstLine="640" w:firstLineChars="200"/>
        <w:rPr>
          <w:rStyle w:val="14"/>
          <w:rFonts w:hint="eastAsia" w:ascii="仿宋" w:hAnsi="仿宋" w:eastAsia="仿宋"/>
          <w:b w:val="0"/>
          <w:bCs/>
          <w:color w:val="000000"/>
          <w:sz w:val="32"/>
          <w:szCs w:val="32"/>
        </w:rPr>
      </w:pPr>
      <w:r>
        <w:rPr>
          <w:rStyle w:val="14"/>
          <w:rFonts w:hint="eastAsia" w:ascii="仿宋" w:hAnsi="仿宋" w:eastAsia="仿宋"/>
          <w:b w:val="0"/>
          <w:bCs w:val="0"/>
          <w:color w:val="000000"/>
          <w:sz w:val="32"/>
          <w:szCs w:val="32"/>
          <w:lang w:val="en-US" w:eastAsia="zh-CN"/>
        </w:rPr>
        <w:t>12.</w:t>
      </w:r>
      <w:r>
        <w:rPr>
          <w:rStyle w:val="14"/>
          <w:rFonts w:hint="eastAsia" w:ascii="仿宋" w:hAnsi="仿宋" w:eastAsia="仿宋"/>
          <w:bCs/>
          <w:color w:val="000000"/>
          <w:sz w:val="32"/>
          <w:szCs w:val="32"/>
        </w:rPr>
        <w:t>社会保障和就业</w:t>
      </w:r>
      <w:r>
        <w:rPr>
          <w:rStyle w:val="14"/>
          <w:rFonts w:ascii="仿宋" w:hAnsi="仿宋" w:eastAsia="仿宋"/>
          <w:bCs/>
          <w:color w:val="000000"/>
          <w:sz w:val="32"/>
          <w:szCs w:val="32"/>
        </w:rPr>
        <w:t>208:</w:t>
      </w:r>
      <w:r>
        <w:rPr>
          <w:rStyle w:val="14"/>
          <w:rFonts w:ascii="仿宋" w:hAnsi="仿宋" w:eastAsia="仿宋"/>
          <w:b w:val="0"/>
          <w:bCs/>
          <w:color w:val="000000"/>
          <w:sz w:val="32"/>
          <w:szCs w:val="32"/>
        </w:rPr>
        <w:t xml:space="preserve"> </w:t>
      </w:r>
      <w:r>
        <w:rPr>
          <w:rStyle w:val="14"/>
          <w:rFonts w:hint="eastAsia" w:ascii="仿宋" w:hAnsi="仿宋" w:eastAsia="仿宋"/>
          <w:b w:val="0"/>
          <w:bCs/>
          <w:color w:val="000000"/>
          <w:sz w:val="32"/>
          <w:szCs w:val="32"/>
        </w:rPr>
        <w:t>支出决算为104.59万元，完成预算</w:t>
      </w:r>
      <w:r>
        <w:rPr>
          <w:rStyle w:val="14"/>
          <w:rFonts w:hint="eastAsia" w:ascii="仿宋" w:hAnsi="仿宋" w:eastAsia="仿宋"/>
          <w:b w:val="0"/>
          <w:bCs/>
          <w:color w:val="000000"/>
          <w:sz w:val="32"/>
          <w:szCs w:val="32"/>
          <w:lang w:val="en-US" w:eastAsia="zh-CN"/>
        </w:rPr>
        <w:t>84</w:t>
      </w:r>
      <w:r>
        <w:rPr>
          <w:rStyle w:val="14"/>
          <w:rFonts w:ascii="仿宋" w:hAnsi="仿宋" w:eastAsia="仿宋"/>
          <w:b w:val="0"/>
          <w:bCs/>
          <w:color w:val="000000"/>
          <w:sz w:val="32"/>
          <w:szCs w:val="32"/>
        </w:rPr>
        <w:t>%</w:t>
      </w:r>
      <w:r>
        <w:rPr>
          <w:rStyle w:val="14"/>
          <w:rFonts w:hint="eastAsia" w:ascii="仿宋" w:hAnsi="仿宋" w:eastAsia="仿宋"/>
          <w:b w:val="0"/>
          <w:bCs/>
          <w:color w:val="000000"/>
          <w:sz w:val="32"/>
          <w:szCs w:val="32"/>
        </w:rPr>
        <w:t>，</w:t>
      </w:r>
      <w:r>
        <w:rPr>
          <w:rStyle w:val="14"/>
          <w:rFonts w:hint="eastAsia" w:ascii="仿宋_GB2312" w:hAnsi="仿宋_GB2312" w:eastAsia="仿宋_GB2312" w:cs="仿宋_GB2312"/>
          <w:b w:val="0"/>
          <w:color w:val="000000"/>
          <w:sz w:val="32"/>
          <w:szCs w:val="32"/>
        </w:rPr>
        <w:t>决算数小于预算数，主要原因是</w:t>
      </w:r>
      <w:r>
        <w:rPr>
          <w:rFonts w:hint="eastAsia" w:ascii="仿宋_GB2312" w:hAnsi="仿宋_GB2312" w:eastAsia="仿宋_GB2312" w:cs="仿宋_GB2312"/>
          <w:color w:val="000000"/>
          <w:sz w:val="32"/>
          <w:szCs w:val="32"/>
          <w:shd w:val="clear" w:color="auto" w:fill="FFFFFF"/>
        </w:rPr>
        <w:t>有经费结余</w:t>
      </w:r>
      <w:r>
        <w:rPr>
          <w:rStyle w:val="14"/>
          <w:rFonts w:hint="eastAsia" w:ascii="仿宋" w:hAnsi="仿宋" w:eastAsia="仿宋"/>
          <w:b w:val="0"/>
          <w:bCs/>
          <w:color w:val="000000"/>
          <w:sz w:val="32"/>
          <w:szCs w:val="32"/>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13.</w:t>
      </w:r>
      <w:r>
        <w:rPr>
          <w:rStyle w:val="14"/>
          <w:rFonts w:hint="eastAsia" w:ascii="仿宋" w:hAnsi="仿宋" w:eastAsia="仿宋"/>
          <w:b/>
          <w:bCs w:val="0"/>
          <w:color w:val="000000"/>
          <w:sz w:val="32"/>
          <w:szCs w:val="32"/>
          <w:lang w:val="en-US" w:eastAsia="zh-CN"/>
        </w:rPr>
        <w:t>基层政权和社区建设2080208：</w:t>
      </w:r>
      <w:r>
        <w:rPr>
          <w:rStyle w:val="14"/>
          <w:rFonts w:hint="eastAsia" w:ascii="仿宋" w:hAnsi="仿宋" w:eastAsia="仿宋"/>
          <w:b w:val="0"/>
          <w:bCs/>
          <w:color w:val="000000"/>
          <w:sz w:val="32"/>
          <w:szCs w:val="32"/>
          <w:lang w:val="en-US" w:eastAsia="zh-CN"/>
        </w:rPr>
        <w:t>支出决算为31.68万元，完成预算60.5%，</w:t>
      </w:r>
      <w:r>
        <w:rPr>
          <w:rStyle w:val="14"/>
          <w:rFonts w:hint="eastAsia" w:ascii="仿宋_GB2312" w:hAnsi="仿宋_GB2312" w:eastAsia="仿宋_GB2312" w:cs="仿宋_GB2312"/>
          <w:b w:val="0"/>
          <w:color w:val="000000"/>
          <w:sz w:val="32"/>
          <w:szCs w:val="32"/>
        </w:rPr>
        <w:t>决算数小于预算数，主要原因是</w:t>
      </w:r>
      <w:r>
        <w:rPr>
          <w:rFonts w:hint="eastAsia" w:ascii="仿宋_GB2312" w:hAnsi="仿宋_GB2312" w:eastAsia="仿宋_GB2312" w:cs="仿宋_GB2312"/>
          <w:color w:val="000000"/>
          <w:sz w:val="32"/>
          <w:szCs w:val="32"/>
          <w:shd w:val="clear" w:color="auto" w:fill="FFFFFF"/>
        </w:rPr>
        <w:t>有经费结余</w:t>
      </w:r>
      <w:r>
        <w:rPr>
          <w:rStyle w:val="14"/>
          <w:rFonts w:hint="eastAsia" w:ascii="仿宋" w:hAnsi="仿宋" w:eastAsia="仿宋"/>
          <w:b w:val="0"/>
          <w:bCs/>
          <w:color w:val="000000"/>
          <w:sz w:val="32"/>
          <w:szCs w:val="32"/>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14.</w:t>
      </w:r>
      <w:r>
        <w:rPr>
          <w:rStyle w:val="14"/>
          <w:rFonts w:hint="eastAsia" w:ascii="仿宋" w:hAnsi="仿宋" w:eastAsia="仿宋"/>
          <w:b/>
          <w:bCs w:val="0"/>
          <w:color w:val="000000"/>
          <w:sz w:val="32"/>
          <w:szCs w:val="32"/>
          <w:lang w:val="en-US" w:eastAsia="zh-CN"/>
        </w:rPr>
        <w:t>行政事业单位离退休20805：</w:t>
      </w:r>
      <w:r>
        <w:rPr>
          <w:rStyle w:val="14"/>
          <w:rFonts w:hint="eastAsia" w:ascii="仿宋" w:hAnsi="仿宋" w:eastAsia="仿宋"/>
          <w:b w:val="0"/>
          <w:bCs/>
          <w:color w:val="000000"/>
          <w:sz w:val="32"/>
          <w:szCs w:val="32"/>
          <w:lang w:val="en-US" w:eastAsia="zh-CN"/>
        </w:rPr>
        <w:t>支出决算为69.17万元，完成预算100%。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15.</w:t>
      </w:r>
      <w:r>
        <w:rPr>
          <w:rStyle w:val="14"/>
          <w:rFonts w:hint="eastAsia" w:ascii="仿宋" w:hAnsi="仿宋" w:eastAsia="仿宋"/>
          <w:b/>
          <w:bCs w:val="0"/>
          <w:color w:val="000000"/>
          <w:sz w:val="32"/>
          <w:szCs w:val="32"/>
          <w:lang w:val="en-US" w:eastAsia="zh-CN"/>
        </w:rPr>
        <w:t>机关事业单位基本养老保险缴费2080505：</w:t>
      </w:r>
      <w:r>
        <w:rPr>
          <w:rStyle w:val="14"/>
          <w:rFonts w:hint="eastAsia" w:ascii="仿宋" w:hAnsi="仿宋" w:eastAsia="仿宋"/>
          <w:b w:val="0"/>
          <w:bCs/>
          <w:color w:val="000000"/>
          <w:sz w:val="32"/>
          <w:szCs w:val="32"/>
          <w:lang w:val="en-US" w:eastAsia="zh-CN"/>
        </w:rPr>
        <w:t>支出决算为49.41万元，完成预算100%。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16.</w:t>
      </w:r>
      <w:r>
        <w:rPr>
          <w:rStyle w:val="14"/>
          <w:rFonts w:hint="eastAsia" w:ascii="仿宋" w:hAnsi="仿宋" w:eastAsia="仿宋"/>
          <w:b/>
          <w:bCs w:val="0"/>
          <w:color w:val="000000"/>
          <w:sz w:val="32"/>
          <w:szCs w:val="32"/>
          <w:lang w:val="en-US" w:eastAsia="zh-CN"/>
        </w:rPr>
        <w:t>机关事业单位职业年金缴费2080506：</w:t>
      </w:r>
      <w:r>
        <w:rPr>
          <w:rStyle w:val="14"/>
          <w:rFonts w:hint="eastAsia" w:ascii="仿宋" w:hAnsi="仿宋" w:eastAsia="仿宋"/>
          <w:b w:val="0"/>
          <w:bCs/>
          <w:color w:val="000000"/>
          <w:sz w:val="32"/>
          <w:szCs w:val="32"/>
          <w:lang w:val="en-US" w:eastAsia="zh-CN"/>
        </w:rPr>
        <w:t>支出决算为19.76万元，完成预算100%。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17.</w:t>
      </w:r>
      <w:r>
        <w:rPr>
          <w:rStyle w:val="14"/>
          <w:rFonts w:hint="eastAsia" w:ascii="仿宋" w:hAnsi="仿宋" w:eastAsia="仿宋"/>
          <w:b/>
          <w:bCs w:val="0"/>
          <w:color w:val="000000"/>
          <w:sz w:val="32"/>
          <w:szCs w:val="32"/>
          <w:lang w:val="en-US" w:eastAsia="zh-CN"/>
        </w:rPr>
        <w:t>残疾人事业20811:</w:t>
      </w:r>
      <w:r>
        <w:rPr>
          <w:rStyle w:val="14"/>
          <w:rFonts w:hint="eastAsia" w:ascii="仿宋" w:hAnsi="仿宋" w:eastAsia="仿宋"/>
          <w:b w:val="0"/>
          <w:bCs/>
          <w:color w:val="000000"/>
          <w:sz w:val="32"/>
          <w:szCs w:val="32"/>
          <w:lang w:val="en-US" w:eastAsia="zh-CN"/>
        </w:rPr>
        <w:t>支出决算为2.66万元，完成预算100%。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18.</w:t>
      </w:r>
      <w:r>
        <w:rPr>
          <w:rStyle w:val="14"/>
          <w:rFonts w:hint="eastAsia" w:ascii="仿宋" w:hAnsi="仿宋" w:eastAsia="仿宋"/>
          <w:b/>
          <w:bCs w:val="0"/>
          <w:color w:val="000000"/>
          <w:sz w:val="32"/>
          <w:szCs w:val="32"/>
          <w:lang w:val="en-US" w:eastAsia="zh-CN"/>
        </w:rPr>
        <w:t>特困人员救助供养20821：</w:t>
      </w:r>
      <w:r>
        <w:rPr>
          <w:rStyle w:val="14"/>
          <w:rFonts w:hint="eastAsia" w:ascii="仿宋" w:hAnsi="仿宋" w:eastAsia="仿宋"/>
          <w:b w:val="0"/>
          <w:bCs/>
          <w:color w:val="000000"/>
          <w:sz w:val="32"/>
          <w:szCs w:val="32"/>
          <w:lang w:val="en-US" w:eastAsia="zh-CN"/>
        </w:rPr>
        <w:t>支出决算为1.08万元，完成预算100%。</w:t>
      </w:r>
    </w:p>
    <w:p>
      <w:pPr>
        <w:spacing w:line="600" w:lineRule="exact"/>
        <w:ind w:firstLine="640" w:firstLineChars="200"/>
        <w:rPr>
          <w:rStyle w:val="14"/>
          <w:rFonts w:hint="eastAsia" w:ascii="仿宋" w:hAnsi="仿宋" w:eastAsia="仿宋"/>
          <w:b w:val="0"/>
          <w:bCs/>
          <w:color w:val="000000"/>
          <w:sz w:val="32"/>
          <w:szCs w:val="32"/>
        </w:rPr>
      </w:pPr>
      <w:r>
        <w:rPr>
          <w:rStyle w:val="14"/>
          <w:rFonts w:hint="eastAsia" w:ascii="仿宋" w:hAnsi="仿宋" w:eastAsia="仿宋"/>
          <w:b w:val="0"/>
          <w:bCs/>
          <w:color w:val="000000"/>
          <w:sz w:val="32"/>
          <w:szCs w:val="32"/>
          <w:lang w:val="en-US" w:eastAsia="zh-CN"/>
        </w:rPr>
        <w:t>19.</w:t>
      </w:r>
      <w:r>
        <w:rPr>
          <w:rStyle w:val="14"/>
          <w:rFonts w:hint="eastAsia" w:ascii="仿宋" w:hAnsi="仿宋" w:eastAsia="仿宋"/>
          <w:bCs/>
          <w:color w:val="000000"/>
          <w:sz w:val="32"/>
          <w:szCs w:val="32"/>
        </w:rPr>
        <w:t>医疗卫生与计划生育</w:t>
      </w:r>
      <w:r>
        <w:rPr>
          <w:rStyle w:val="14"/>
          <w:rFonts w:ascii="仿宋" w:hAnsi="仿宋" w:eastAsia="仿宋"/>
          <w:bCs/>
          <w:color w:val="000000"/>
          <w:sz w:val="32"/>
          <w:szCs w:val="32"/>
        </w:rPr>
        <w:t>210:</w:t>
      </w:r>
      <w:r>
        <w:rPr>
          <w:rStyle w:val="14"/>
          <w:rFonts w:hint="eastAsia" w:ascii="仿宋" w:hAnsi="仿宋" w:eastAsia="仿宋"/>
          <w:b w:val="0"/>
          <w:bCs/>
          <w:color w:val="000000"/>
          <w:sz w:val="32"/>
          <w:szCs w:val="32"/>
        </w:rPr>
        <w:t>支出决算为21.21万元，完成预算</w:t>
      </w:r>
      <w:r>
        <w:rPr>
          <w:rStyle w:val="14"/>
          <w:rFonts w:ascii="仿宋" w:hAnsi="仿宋" w:eastAsia="仿宋"/>
          <w:b w:val="0"/>
          <w:bCs/>
          <w:color w:val="000000"/>
          <w:sz w:val="32"/>
          <w:szCs w:val="32"/>
        </w:rPr>
        <w:t>100%</w:t>
      </w:r>
      <w:r>
        <w:rPr>
          <w:rStyle w:val="14"/>
          <w:rFonts w:hint="eastAsia" w:ascii="仿宋" w:hAnsi="仿宋" w:eastAsia="仿宋"/>
          <w:b w:val="0"/>
          <w:bCs/>
          <w:color w:val="000000"/>
          <w:sz w:val="32"/>
          <w:szCs w:val="32"/>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20.</w:t>
      </w:r>
      <w:r>
        <w:rPr>
          <w:rStyle w:val="14"/>
          <w:rFonts w:hint="eastAsia" w:ascii="仿宋" w:hAnsi="仿宋" w:eastAsia="仿宋"/>
          <w:b/>
          <w:bCs w:val="0"/>
          <w:color w:val="000000"/>
          <w:sz w:val="32"/>
          <w:szCs w:val="32"/>
          <w:lang w:val="en-US" w:eastAsia="zh-CN"/>
        </w:rPr>
        <w:t>基层医疗卫生机构21003：</w:t>
      </w:r>
      <w:r>
        <w:rPr>
          <w:rStyle w:val="14"/>
          <w:rFonts w:hint="eastAsia" w:ascii="仿宋" w:hAnsi="仿宋" w:eastAsia="仿宋"/>
          <w:b w:val="0"/>
          <w:bCs/>
          <w:color w:val="000000"/>
          <w:sz w:val="32"/>
          <w:szCs w:val="32"/>
          <w:lang w:val="en-US" w:eastAsia="zh-CN"/>
        </w:rPr>
        <w:t>支出决算为0.6万元，完成预算100%。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21.</w:t>
      </w:r>
      <w:r>
        <w:rPr>
          <w:rStyle w:val="14"/>
          <w:rFonts w:hint="eastAsia" w:ascii="仿宋" w:hAnsi="仿宋" w:eastAsia="仿宋"/>
          <w:b/>
          <w:bCs w:val="0"/>
          <w:color w:val="000000"/>
          <w:sz w:val="32"/>
          <w:szCs w:val="32"/>
          <w:lang w:val="en-US" w:eastAsia="zh-CN"/>
        </w:rPr>
        <w:t>行政事业单位医疗21011：</w:t>
      </w:r>
      <w:r>
        <w:rPr>
          <w:rStyle w:val="14"/>
          <w:rFonts w:hint="eastAsia" w:ascii="仿宋" w:hAnsi="仿宋" w:eastAsia="仿宋"/>
          <w:b w:val="0"/>
          <w:bCs/>
          <w:color w:val="000000"/>
          <w:sz w:val="32"/>
          <w:szCs w:val="32"/>
          <w:lang w:val="en-US" w:eastAsia="zh-CN"/>
        </w:rPr>
        <w:t>支出决算为20.61万元，完成预算100%。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22.</w:t>
      </w:r>
      <w:r>
        <w:rPr>
          <w:rStyle w:val="14"/>
          <w:rFonts w:hint="eastAsia" w:ascii="仿宋" w:hAnsi="仿宋" w:eastAsia="仿宋"/>
          <w:b/>
          <w:bCs w:val="0"/>
          <w:color w:val="000000"/>
          <w:sz w:val="32"/>
          <w:szCs w:val="32"/>
          <w:lang w:val="en-US" w:eastAsia="zh-CN"/>
        </w:rPr>
        <w:t>行政单位医疗2101101：</w:t>
      </w:r>
      <w:r>
        <w:rPr>
          <w:rStyle w:val="14"/>
          <w:rFonts w:hint="eastAsia" w:ascii="仿宋" w:hAnsi="仿宋" w:eastAsia="仿宋"/>
          <w:b w:val="0"/>
          <w:bCs/>
          <w:color w:val="000000"/>
          <w:sz w:val="32"/>
          <w:szCs w:val="32"/>
          <w:lang w:val="en-US" w:eastAsia="zh-CN"/>
        </w:rPr>
        <w:t>支出决算为16.38万元，完成预算100%。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23.</w:t>
      </w:r>
      <w:r>
        <w:rPr>
          <w:rStyle w:val="14"/>
          <w:rFonts w:hint="eastAsia" w:ascii="仿宋" w:hAnsi="仿宋" w:eastAsia="仿宋"/>
          <w:b/>
          <w:bCs w:val="0"/>
          <w:color w:val="000000"/>
          <w:sz w:val="32"/>
          <w:szCs w:val="32"/>
          <w:lang w:val="en-US" w:eastAsia="zh-CN"/>
        </w:rPr>
        <w:t>公务员医疗救助2101103：</w:t>
      </w:r>
      <w:r>
        <w:rPr>
          <w:rStyle w:val="14"/>
          <w:rFonts w:hint="eastAsia" w:ascii="仿宋" w:hAnsi="仿宋" w:eastAsia="仿宋"/>
          <w:b w:val="0"/>
          <w:bCs/>
          <w:color w:val="000000"/>
          <w:sz w:val="32"/>
          <w:szCs w:val="32"/>
          <w:lang w:val="en-US" w:eastAsia="zh-CN"/>
        </w:rPr>
        <w:t>支出决算为4.23万元，完成预算100%。</w:t>
      </w:r>
    </w:p>
    <w:p>
      <w:pPr>
        <w:spacing w:line="600" w:lineRule="exact"/>
        <w:ind w:firstLine="640" w:firstLineChars="200"/>
        <w:rPr>
          <w:rFonts w:hint="eastAsia" w:ascii="仿宋_GB2312" w:hAnsi="仿宋_GB2312" w:eastAsia="仿宋_GB2312" w:cs="仿宋_GB2312"/>
          <w:color w:val="000000"/>
          <w:sz w:val="32"/>
          <w:szCs w:val="32"/>
          <w:shd w:val="clear" w:color="auto" w:fill="FFFFFF"/>
        </w:rPr>
      </w:pPr>
      <w:r>
        <w:rPr>
          <w:rStyle w:val="14"/>
          <w:rFonts w:hint="eastAsia" w:ascii="仿宋" w:hAnsi="仿宋" w:eastAsia="仿宋"/>
          <w:b w:val="0"/>
          <w:bCs/>
          <w:color w:val="000000"/>
          <w:sz w:val="32"/>
          <w:szCs w:val="32"/>
          <w:lang w:val="en-US" w:eastAsia="zh-CN"/>
        </w:rPr>
        <w:t>24.</w:t>
      </w:r>
      <w:r>
        <w:rPr>
          <w:rStyle w:val="14"/>
          <w:rFonts w:hint="eastAsia" w:ascii="仿宋" w:hAnsi="仿宋" w:eastAsia="仿宋"/>
          <w:color w:val="000000"/>
          <w:sz w:val="32"/>
          <w:szCs w:val="32"/>
        </w:rPr>
        <w:t>城乡社区支出</w:t>
      </w:r>
      <w:r>
        <w:rPr>
          <w:rStyle w:val="14"/>
          <w:rFonts w:ascii="仿宋" w:hAnsi="仿宋" w:eastAsia="仿宋"/>
          <w:color w:val="000000"/>
          <w:sz w:val="32"/>
          <w:szCs w:val="32"/>
        </w:rPr>
        <w:t>212</w:t>
      </w:r>
      <w:r>
        <w:rPr>
          <w:rStyle w:val="14"/>
          <w:rFonts w:hint="eastAsia" w:ascii="仿宋" w:hAnsi="仿宋" w:eastAsia="仿宋"/>
          <w:color w:val="000000"/>
          <w:sz w:val="32"/>
          <w:szCs w:val="32"/>
        </w:rPr>
        <w:t>：</w:t>
      </w:r>
      <w:r>
        <w:rPr>
          <w:rStyle w:val="14"/>
          <w:rFonts w:hint="eastAsia" w:ascii="仿宋" w:hAnsi="仿宋" w:eastAsia="仿宋"/>
          <w:b w:val="0"/>
          <w:bCs/>
          <w:color w:val="000000"/>
          <w:sz w:val="32"/>
          <w:szCs w:val="32"/>
        </w:rPr>
        <w:t>支出决算为4.89万元，完成预算</w:t>
      </w:r>
      <w:r>
        <w:rPr>
          <w:rStyle w:val="14"/>
          <w:rFonts w:hint="eastAsia" w:ascii="仿宋" w:hAnsi="仿宋" w:eastAsia="仿宋"/>
          <w:b w:val="0"/>
          <w:bCs/>
          <w:color w:val="000000"/>
          <w:sz w:val="32"/>
          <w:szCs w:val="32"/>
          <w:lang w:val="en-US" w:eastAsia="zh-CN"/>
        </w:rPr>
        <w:t>100</w:t>
      </w:r>
      <w:r>
        <w:rPr>
          <w:rStyle w:val="14"/>
          <w:rFonts w:ascii="仿宋" w:hAnsi="仿宋" w:eastAsia="仿宋"/>
          <w:b w:val="0"/>
          <w:bCs/>
          <w:color w:val="000000"/>
          <w:sz w:val="32"/>
          <w:szCs w:val="32"/>
        </w:rPr>
        <w:t>%</w:t>
      </w:r>
      <w:r>
        <w:rPr>
          <w:rFonts w:hint="eastAsia" w:ascii="仿宋_GB2312" w:hAnsi="仿宋_GB2312" w:eastAsia="仿宋_GB2312" w:cs="仿宋_GB2312"/>
          <w:color w:val="000000"/>
          <w:sz w:val="32"/>
          <w:szCs w:val="32"/>
          <w:shd w:val="clear" w:color="auto" w:fill="FFFFFF"/>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25.</w:t>
      </w:r>
      <w:r>
        <w:rPr>
          <w:rFonts w:hint="eastAsia" w:ascii="仿宋_GB2312" w:hAnsi="仿宋_GB2312" w:eastAsia="仿宋_GB2312" w:cs="仿宋_GB2312"/>
          <w:b/>
          <w:bCs/>
          <w:color w:val="000000"/>
          <w:sz w:val="32"/>
          <w:szCs w:val="32"/>
          <w:shd w:val="clear" w:color="auto" w:fill="FFFFFF"/>
          <w:lang w:val="en-US" w:eastAsia="zh-CN"/>
        </w:rPr>
        <w:t>其他城乡社区公共设施支出2120399：</w:t>
      </w:r>
      <w:r>
        <w:rPr>
          <w:rStyle w:val="14"/>
          <w:rFonts w:hint="eastAsia" w:ascii="仿宋" w:hAnsi="仿宋" w:eastAsia="仿宋"/>
          <w:b w:val="0"/>
          <w:bCs/>
          <w:color w:val="000000"/>
          <w:sz w:val="32"/>
          <w:szCs w:val="32"/>
          <w:lang w:val="en-US" w:eastAsia="zh-CN"/>
        </w:rPr>
        <w:t>支出决算为133.59万元，完成预算67%，</w:t>
      </w:r>
      <w:r>
        <w:rPr>
          <w:rStyle w:val="14"/>
          <w:rFonts w:hint="eastAsia" w:ascii="仿宋_GB2312" w:hAnsi="仿宋_GB2312" w:eastAsia="仿宋_GB2312" w:cs="仿宋_GB2312"/>
          <w:b w:val="0"/>
          <w:color w:val="000000"/>
          <w:sz w:val="32"/>
          <w:szCs w:val="32"/>
        </w:rPr>
        <w:t>决算数小于预算数，主要原因是</w:t>
      </w:r>
      <w:r>
        <w:rPr>
          <w:rFonts w:hint="eastAsia" w:ascii="仿宋_GB2312" w:hAnsi="仿宋_GB2312" w:eastAsia="仿宋_GB2312" w:cs="仿宋_GB2312"/>
          <w:color w:val="000000"/>
          <w:sz w:val="32"/>
          <w:szCs w:val="32"/>
          <w:shd w:val="clear" w:color="auto" w:fill="FFFFFF"/>
        </w:rPr>
        <w:t>有经费结余</w:t>
      </w:r>
      <w:r>
        <w:rPr>
          <w:rStyle w:val="14"/>
          <w:rFonts w:hint="eastAsia" w:ascii="仿宋" w:hAnsi="仿宋" w:eastAsia="仿宋"/>
          <w:b w:val="0"/>
          <w:bCs/>
          <w:color w:val="000000"/>
          <w:sz w:val="32"/>
          <w:szCs w:val="32"/>
          <w:lang w:val="en-US" w:eastAsia="zh-CN"/>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26.</w:t>
      </w:r>
      <w:r>
        <w:rPr>
          <w:rFonts w:hint="eastAsia" w:ascii="仿宋_GB2312" w:hAnsi="仿宋_GB2312" w:eastAsia="仿宋_GB2312" w:cs="仿宋_GB2312"/>
          <w:b/>
          <w:bCs/>
          <w:color w:val="000000"/>
          <w:sz w:val="32"/>
          <w:szCs w:val="32"/>
          <w:shd w:val="clear" w:color="auto" w:fill="FFFFFF"/>
          <w:lang w:val="en-US" w:eastAsia="zh-CN"/>
        </w:rPr>
        <w:t>城乡社区环境卫生2120501：</w:t>
      </w:r>
      <w:r>
        <w:rPr>
          <w:rStyle w:val="14"/>
          <w:rFonts w:hint="eastAsia" w:ascii="仿宋" w:hAnsi="仿宋" w:eastAsia="仿宋"/>
          <w:b w:val="0"/>
          <w:bCs/>
          <w:color w:val="000000"/>
          <w:sz w:val="32"/>
          <w:szCs w:val="32"/>
          <w:lang w:val="en-US" w:eastAsia="zh-CN"/>
        </w:rPr>
        <w:t>支出决算为4.89万元，完成预算100%。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27.</w:t>
      </w:r>
      <w:r>
        <w:rPr>
          <w:rFonts w:hint="eastAsia" w:ascii="仿宋_GB2312" w:hAnsi="仿宋_GB2312" w:eastAsia="仿宋_GB2312" w:cs="仿宋_GB2312"/>
          <w:b/>
          <w:bCs/>
          <w:color w:val="000000"/>
          <w:sz w:val="32"/>
          <w:szCs w:val="32"/>
          <w:shd w:val="clear" w:color="auto" w:fill="FFFFFF"/>
        </w:rPr>
        <w:t>农林水</w:t>
      </w:r>
      <w:r>
        <w:rPr>
          <w:rFonts w:ascii="仿宋_GB2312" w:hAnsi="仿宋_GB2312" w:eastAsia="仿宋_GB2312" w:cs="仿宋_GB2312"/>
          <w:b/>
          <w:bCs/>
          <w:color w:val="000000"/>
          <w:sz w:val="32"/>
          <w:szCs w:val="32"/>
          <w:shd w:val="clear" w:color="auto" w:fill="FFFFFF"/>
        </w:rPr>
        <w:t>213</w:t>
      </w:r>
      <w:r>
        <w:rPr>
          <w:rFonts w:hint="eastAsia" w:ascii="仿宋_GB2312" w:hAnsi="仿宋_GB2312" w:eastAsia="仿宋_GB2312" w:cs="仿宋_GB2312"/>
          <w:b/>
          <w:bCs/>
          <w:color w:val="000000"/>
          <w:sz w:val="32"/>
          <w:szCs w:val="32"/>
          <w:shd w:val="clear" w:color="auto" w:fill="FFFFFF"/>
        </w:rPr>
        <w:t>：</w:t>
      </w:r>
      <w:r>
        <w:rPr>
          <w:rFonts w:hint="eastAsia" w:ascii="仿宋_GB2312" w:hAnsi="仿宋_GB2312" w:eastAsia="仿宋_GB2312" w:cs="仿宋_GB2312"/>
          <w:color w:val="000000"/>
          <w:sz w:val="32"/>
          <w:szCs w:val="32"/>
          <w:shd w:val="clear" w:color="auto" w:fill="FFFFFF"/>
        </w:rPr>
        <w:t>支出决算为119.65万元，</w:t>
      </w:r>
      <w:r>
        <w:rPr>
          <w:rStyle w:val="14"/>
          <w:rFonts w:hint="eastAsia" w:ascii="仿宋_GB2312" w:hAnsi="仿宋_GB2312" w:eastAsia="仿宋_GB2312" w:cs="仿宋_GB2312"/>
          <w:b w:val="0"/>
          <w:color w:val="000000"/>
          <w:sz w:val="32"/>
          <w:szCs w:val="32"/>
        </w:rPr>
        <w:t>决算数小于预算数，主要原因是</w:t>
      </w:r>
      <w:r>
        <w:rPr>
          <w:rFonts w:hint="eastAsia" w:ascii="仿宋_GB2312" w:hAnsi="仿宋_GB2312" w:eastAsia="仿宋_GB2312" w:cs="仿宋_GB2312"/>
          <w:color w:val="000000"/>
          <w:sz w:val="32"/>
          <w:szCs w:val="32"/>
          <w:shd w:val="clear" w:color="auto" w:fill="FFFFFF"/>
        </w:rPr>
        <w:t>有经费结余</w:t>
      </w:r>
      <w:r>
        <w:rPr>
          <w:rStyle w:val="14"/>
          <w:rFonts w:hint="eastAsia" w:ascii="仿宋" w:hAnsi="仿宋" w:eastAsia="仿宋"/>
          <w:b w:val="0"/>
          <w:bCs/>
          <w:color w:val="000000"/>
          <w:sz w:val="32"/>
          <w:szCs w:val="32"/>
          <w:lang w:val="en-US" w:eastAsia="zh-CN"/>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28.</w:t>
      </w:r>
      <w:r>
        <w:rPr>
          <w:rFonts w:hint="eastAsia" w:ascii="仿宋_GB2312" w:hAnsi="仿宋_GB2312" w:eastAsia="仿宋_GB2312" w:cs="仿宋_GB2312"/>
          <w:b/>
          <w:bCs/>
          <w:color w:val="000000"/>
          <w:sz w:val="32"/>
          <w:szCs w:val="32"/>
          <w:shd w:val="clear" w:color="auto" w:fill="FFFFFF"/>
          <w:lang w:val="en-US" w:eastAsia="zh-CN"/>
        </w:rPr>
        <w:t>扶贫支出21305</w:t>
      </w:r>
      <w:r>
        <w:rPr>
          <w:rFonts w:hint="eastAsia" w:ascii="仿宋_GB2312" w:hAnsi="仿宋_GB2312" w:eastAsia="仿宋_GB2312" w:cs="仿宋_GB2312"/>
          <w:color w:val="000000"/>
          <w:sz w:val="32"/>
          <w:szCs w:val="32"/>
          <w:shd w:val="clear" w:color="auto" w:fill="FFFFFF"/>
          <w:lang w:val="en-US" w:eastAsia="zh-CN"/>
        </w:rPr>
        <w:t>：</w:t>
      </w:r>
      <w:r>
        <w:rPr>
          <w:rStyle w:val="14"/>
          <w:rFonts w:hint="eastAsia" w:ascii="仿宋" w:hAnsi="仿宋" w:eastAsia="仿宋"/>
          <w:b w:val="0"/>
          <w:bCs/>
          <w:color w:val="000000"/>
          <w:sz w:val="32"/>
          <w:szCs w:val="32"/>
          <w:lang w:val="en-US" w:eastAsia="zh-CN"/>
        </w:rPr>
        <w:t>支出决算为56.77万元，完成预算84%，</w:t>
      </w:r>
      <w:r>
        <w:rPr>
          <w:rStyle w:val="14"/>
          <w:rFonts w:hint="eastAsia" w:ascii="仿宋_GB2312" w:hAnsi="仿宋_GB2312" w:eastAsia="仿宋_GB2312" w:cs="仿宋_GB2312"/>
          <w:b w:val="0"/>
          <w:color w:val="000000"/>
          <w:sz w:val="32"/>
          <w:szCs w:val="32"/>
        </w:rPr>
        <w:t>决算数小于预算数，主要原因是</w:t>
      </w:r>
      <w:r>
        <w:rPr>
          <w:rFonts w:hint="eastAsia" w:ascii="仿宋_GB2312" w:hAnsi="仿宋_GB2312" w:eastAsia="仿宋_GB2312" w:cs="仿宋_GB2312"/>
          <w:color w:val="000000"/>
          <w:sz w:val="32"/>
          <w:szCs w:val="32"/>
          <w:shd w:val="clear" w:color="auto" w:fill="FFFFFF"/>
        </w:rPr>
        <w:t>有经费结余</w:t>
      </w:r>
      <w:r>
        <w:rPr>
          <w:rStyle w:val="14"/>
          <w:rFonts w:hint="eastAsia" w:ascii="仿宋" w:hAnsi="仿宋" w:eastAsia="仿宋"/>
          <w:b w:val="0"/>
          <w:bCs/>
          <w:color w:val="000000"/>
          <w:sz w:val="32"/>
          <w:szCs w:val="32"/>
          <w:lang w:val="en-US" w:eastAsia="zh-CN"/>
        </w:rPr>
        <w:t>。</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29.</w:t>
      </w:r>
      <w:r>
        <w:rPr>
          <w:rFonts w:hint="eastAsia" w:ascii="仿宋_GB2312" w:hAnsi="仿宋_GB2312" w:eastAsia="仿宋_GB2312" w:cs="仿宋_GB2312"/>
          <w:b/>
          <w:bCs/>
          <w:color w:val="000000"/>
          <w:sz w:val="32"/>
          <w:szCs w:val="32"/>
          <w:shd w:val="clear" w:color="auto" w:fill="FFFFFF"/>
          <w:lang w:val="en-US" w:eastAsia="zh-CN"/>
        </w:rPr>
        <w:t>农村基础设施建设2130504：</w:t>
      </w:r>
      <w:r>
        <w:rPr>
          <w:rStyle w:val="14"/>
          <w:rFonts w:hint="eastAsia" w:ascii="仿宋" w:hAnsi="仿宋" w:eastAsia="仿宋"/>
          <w:b w:val="0"/>
          <w:bCs/>
          <w:color w:val="000000"/>
          <w:sz w:val="32"/>
          <w:szCs w:val="32"/>
          <w:lang w:val="en-US" w:eastAsia="zh-CN"/>
        </w:rPr>
        <w:t>支出决算为49.8万元，完成预算100%。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30.</w:t>
      </w:r>
      <w:r>
        <w:rPr>
          <w:rFonts w:hint="eastAsia" w:ascii="仿宋_GB2312" w:hAnsi="仿宋_GB2312" w:eastAsia="仿宋_GB2312" w:cs="仿宋_GB2312"/>
          <w:b/>
          <w:bCs/>
          <w:color w:val="000000"/>
          <w:sz w:val="32"/>
          <w:szCs w:val="32"/>
          <w:shd w:val="clear" w:color="auto" w:fill="FFFFFF"/>
          <w:lang w:val="en-US" w:eastAsia="zh-CN"/>
        </w:rPr>
        <w:t>生产发展2130505</w:t>
      </w:r>
      <w:r>
        <w:rPr>
          <w:rFonts w:hint="eastAsia" w:ascii="仿宋_GB2312" w:hAnsi="仿宋_GB2312" w:eastAsia="仿宋_GB2312" w:cs="仿宋_GB2312"/>
          <w:color w:val="000000"/>
          <w:sz w:val="32"/>
          <w:szCs w:val="32"/>
          <w:shd w:val="clear" w:color="auto" w:fill="FFFFFF"/>
          <w:lang w:val="en-US" w:eastAsia="zh-CN"/>
        </w:rPr>
        <w:t>：</w:t>
      </w:r>
      <w:r>
        <w:rPr>
          <w:rStyle w:val="14"/>
          <w:rFonts w:hint="eastAsia" w:ascii="仿宋" w:hAnsi="仿宋" w:eastAsia="仿宋"/>
          <w:b w:val="0"/>
          <w:bCs/>
          <w:color w:val="000000"/>
          <w:sz w:val="32"/>
          <w:szCs w:val="32"/>
          <w:lang w:val="en-US" w:eastAsia="zh-CN"/>
        </w:rPr>
        <w:t>支出决算为6.97万元，完成预算100%，决算数大于预算数，主要原因是项目增加。</w:t>
      </w:r>
    </w:p>
    <w:p>
      <w:pPr>
        <w:spacing w:line="600" w:lineRule="exact"/>
        <w:ind w:firstLine="640" w:firstLineChars="200"/>
        <w:rPr>
          <w:rStyle w:val="14"/>
          <w:rFonts w:hint="eastAsia" w:ascii="仿宋" w:hAnsi="仿宋" w:eastAsia="仿宋"/>
          <w:b w:val="0"/>
          <w:bCs/>
          <w:color w:val="000000"/>
          <w:sz w:val="32"/>
          <w:szCs w:val="32"/>
          <w:lang w:val="en-US" w:eastAsia="zh-CN"/>
        </w:rPr>
      </w:pPr>
      <w:r>
        <w:rPr>
          <w:rFonts w:hint="eastAsia" w:ascii="仿宋_GB2312" w:hAnsi="仿宋_GB2312" w:eastAsia="仿宋_GB2312" w:cs="仿宋_GB2312"/>
          <w:color w:val="000000"/>
          <w:sz w:val="32"/>
          <w:szCs w:val="32"/>
          <w:shd w:val="clear" w:color="auto" w:fill="FFFFFF"/>
          <w:lang w:val="en-US" w:eastAsia="zh-CN"/>
        </w:rPr>
        <w:t>31</w:t>
      </w:r>
      <w:r>
        <w:rPr>
          <w:rFonts w:hint="eastAsia" w:ascii="仿宋_GB2312" w:hAnsi="仿宋_GB2312" w:eastAsia="仿宋_GB2312" w:cs="仿宋_GB2312"/>
          <w:b/>
          <w:bCs/>
          <w:color w:val="000000"/>
          <w:sz w:val="32"/>
          <w:szCs w:val="32"/>
          <w:shd w:val="clear" w:color="auto" w:fill="FFFFFF"/>
          <w:lang w:val="en-US" w:eastAsia="zh-CN"/>
        </w:rPr>
        <w:t>.交通运输支出214：</w:t>
      </w:r>
      <w:r>
        <w:rPr>
          <w:rStyle w:val="14"/>
          <w:rFonts w:hint="eastAsia" w:ascii="仿宋" w:hAnsi="仿宋" w:eastAsia="仿宋"/>
          <w:b w:val="0"/>
          <w:bCs/>
          <w:color w:val="000000"/>
          <w:sz w:val="32"/>
          <w:szCs w:val="32"/>
          <w:lang w:val="en-US" w:eastAsia="zh-CN"/>
        </w:rPr>
        <w:t>支出决算为22.04万元，完成预算100%。</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32.</w:t>
      </w:r>
      <w:r>
        <w:rPr>
          <w:rFonts w:hint="eastAsia" w:ascii="仿宋_GB2312" w:hAnsi="仿宋_GB2312" w:eastAsia="仿宋_GB2312" w:cs="仿宋_GB2312"/>
          <w:b/>
          <w:bCs/>
          <w:color w:val="000000"/>
          <w:sz w:val="32"/>
          <w:szCs w:val="32"/>
          <w:shd w:val="clear" w:color="auto" w:fill="FFFFFF"/>
          <w:lang w:val="en-US" w:eastAsia="zh-CN"/>
        </w:rPr>
        <w:t>农村综合改革21307：</w:t>
      </w:r>
      <w:r>
        <w:rPr>
          <w:rStyle w:val="14"/>
          <w:rFonts w:hint="eastAsia" w:ascii="仿宋" w:hAnsi="仿宋" w:eastAsia="仿宋"/>
          <w:b w:val="0"/>
          <w:bCs/>
          <w:color w:val="000000"/>
          <w:sz w:val="32"/>
          <w:szCs w:val="32"/>
          <w:lang w:val="en-US" w:eastAsia="zh-CN"/>
        </w:rPr>
        <w:t>支出决算为62.88万元，完成预算100%。</w:t>
      </w:r>
    </w:p>
    <w:p>
      <w:pPr>
        <w:spacing w:line="600" w:lineRule="exact"/>
        <w:ind w:firstLine="640" w:firstLineChars="200"/>
        <w:rPr>
          <w:rStyle w:val="14"/>
          <w:rFonts w:hint="eastAsia" w:ascii="仿宋" w:hAnsi="仿宋" w:eastAsia="仿宋"/>
          <w:b w:val="0"/>
          <w:bCs/>
          <w:color w:val="000000"/>
          <w:sz w:val="32"/>
          <w:szCs w:val="32"/>
        </w:rPr>
      </w:pPr>
      <w:r>
        <w:rPr>
          <w:rFonts w:hint="eastAsia" w:ascii="仿宋_GB2312" w:hAnsi="仿宋_GB2312" w:eastAsia="仿宋_GB2312" w:cs="仿宋_GB2312"/>
          <w:color w:val="000000"/>
          <w:sz w:val="32"/>
          <w:szCs w:val="32"/>
          <w:shd w:val="clear" w:color="auto" w:fill="FFFFFF"/>
          <w:lang w:val="en-US" w:eastAsia="zh-CN"/>
        </w:rPr>
        <w:t>33.</w:t>
      </w:r>
      <w:r>
        <w:rPr>
          <w:rFonts w:hint="eastAsia" w:ascii="仿宋_GB2312" w:hAnsi="仿宋_GB2312" w:eastAsia="仿宋_GB2312" w:cs="仿宋_GB2312"/>
          <w:b/>
          <w:bCs/>
          <w:color w:val="000000"/>
          <w:sz w:val="32"/>
          <w:szCs w:val="32"/>
          <w:shd w:val="clear" w:color="auto" w:fill="FFFFFF"/>
        </w:rPr>
        <w:t>住房保障</w:t>
      </w:r>
      <w:r>
        <w:rPr>
          <w:rFonts w:ascii="仿宋_GB2312" w:hAnsi="仿宋_GB2312" w:eastAsia="仿宋_GB2312" w:cs="仿宋_GB2312"/>
          <w:b/>
          <w:bCs/>
          <w:color w:val="000000"/>
          <w:sz w:val="32"/>
          <w:szCs w:val="32"/>
          <w:shd w:val="clear" w:color="auto" w:fill="FFFFFF"/>
        </w:rPr>
        <w:t>221</w:t>
      </w:r>
      <w:r>
        <w:rPr>
          <w:rFonts w:hint="eastAsia" w:ascii="仿宋_GB2312" w:hAnsi="仿宋_GB2312" w:eastAsia="仿宋_GB2312" w:cs="仿宋_GB2312"/>
          <w:b/>
          <w:bCs/>
          <w:color w:val="000000"/>
          <w:sz w:val="32"/>
          <w:szCs w:val="32"/>
          <w:shd w:val="clear" w:color="auto" w:fill="FFFFFF"/>
        </w:rPr>
        <w:t>：</w:t>
      </w:r>
      <w:r>
        <w:rPr>
          <w:rFonts w:hint="eastAsia" w:ascii="仿宋_GB2312" w:hAnsi="仿宋_GB2312" w:eastAsia="仿宋_GB2312" w:cs="仿宋_GB2312"/>
          <w:color w:val="000000"/>
          <w:sz w:val="32"/>
          <w:szCs w:val="32"/>
          <w:shd w:val="clear" w:color="auto" w:fill="FFFFFF"/>
        </w:rPr>
        <w:t>支出决算为119.73万元，完成预算</w:t>
      </w:r>
      <w:r>
        <w:rPr>
          <w:rFonts w:ascii="仿宋_GB2312" w:hAnsi="仿宋_GB2312" w:eastAsia="仿宋_GB2312" w:cs="仿宋_GB2312"/>
          <w:color w:val="000000"/>
          <w:sz w:val="32"/>
          <w:szCs w:val="32"/>
          <w:shd w:val="clear" w:color="auto" w:fill="FFFFFF"/>
        </w:rPr>
        <w:t>100%</w:t>
      </w:r>
      <w:r>
        <w:rPr>
          <w:rFonts w:hint="eastAsia" w:ascii="仿宋_GB2312" w:hAnsi="仿宋_GB2312" w:eastAsia="仿宋_GB2312" w:cs="仿宋_GB2312"/>
          <w:color w:val="000000"/>
          <w:sz w:val="32"/>
          <w:szCs w:val="32"/>
          <w:shd w:val="clear" w:color="auto" w:fill="FFFFFF"/>
          <w:lang w:eastAsia="zh-CN"/>
        </w:rPr>
        <w:t>，</w:t>
      </w:r>
      <w:r>
        <w:rPr>
          <w:rStyle w:val="14"/>
          <w:rFonts w:hint="eastAsia" w:ascii="仿宋" w:hAnsi="仿宋" w:eastAsia="仿宋"/>
          <w:b w:val="0"/>
          <w:bCs/>
          <w:color w:val="000000"/>
          <w:sz w:val="32"/>
          <w:szCs w:val="32"/>
          <w:lang w:val="en-US" w:eastAsia="zh-CN"/>
        </w:rPr>
        <w:t>决算数大于预算数，主要原因是项目增加。</w:t>
      </w:r>
    </w:p>
    <w:p>
      <w:pPr>
        <w:spacing w:line="600" w:lineRule="exact"/>
        <w:ind w:firstLine="640" w:firstLineChars="200"/>
        <w:rPr>
          <w:rStyle w:val="14"/>
          <w:rFonts w:hint="eastAsia" w:ascii="仿宋" w:hAnsi="仿宋" w:eastAsia="仿宋"/>
          <w:b w:val="0"/>
          <w:bCs/>
          <w:color w:val="000000"/>
          <w:sz w:val="32"/>
          <w:szCs w:val="32"/>
          <w:lang w:val="en-US" w:eastAsia="zh-CN"/>
        </w:rPr>
      </w:pPr>
      <w:r>
        <w:rPr>
          <w:rStyle w:val="14"/>
          <w:rFonts w:hint="eastAsia" w:ascii="仿宋" w:hAnsi="仿宋" w:eastAsia="仿宋"/>
          <w:b w:val="0"/>
          <w:bCs/>
          <w:color w:val="000000"/>
          <w:sz w:val="32"/>
          <w:szCs w:val="32"/>
          <w:lang w:val="en-US" w:eastAsia="zh-CN"/>
        </w:rPr>
        <w:t>34.</w:t>
      </w:r>
      <w:r>
        <w:rPr>
          <w:rStyle w:val="14"/>
          <w:rFonts w:hint="eastAsia" w:ascii="仿宋" w:hAnsi="仿宋" w:eastAsia="仿宋"/>
          <w:b/>
          <w:bCs w:val="0"/>
          <w:color w:val="000000"/>
          <w:sz w:val="32"/>
          <w:szCs w:val="32"/>
          <w:lang w:val="en-US" w:eastAsia="zh-CN"/>
        </w:rPr>
        <w:t>住房公积金2210201</w:t>
      </w:r>
      <w:r>
        <w:rPr>
          <w:rStyle w:val="14"/>
          <w:rFonts w:hint="eastAsia" w:ascii="仿宋" w:hAnsi="仿宋" w:eastAsia="仿宋"/>
          <w:b w:val="0"/>
          <w:bCs/>
          <w:color w:val="000000"/>
          <w:sz w:val="32"/>
          <w:szCs w:val="32"/>
          <w:lang w:val="en-US" w:eastAsia="zh-CN"/>
        </w:rPr>
        <w:t>：支出决算为38.29万元，完成预算100%。</w:t>
      </w:r>
    </w:p>
    <w:p>
      <w:pPr>
        <w:pStyle w:val="2"/>
        <w:rPr>
          <w:rStyle w:val="14"/>
          <w:rFonts w:hint="eastAsia" w:ascii="仿宋" w:hAnsi="仿宋" w:eastAsia="仿宋"/>
          <w:b w:val="0"/>
          <w:bCs/>
          <w:color w:val="000000"/>
          <w:sz w:val="32"/>
          <w:szCs w:val="32"/>
          <w:lang w:val="en-US" w:eastAsia="zh-CN"/>
        </w:rPr>
      </w:pPr>
    </w:p>
    <w:p>
      <w:pPr>
        <w:pStyle w:val="2"/>
        <w:ind w:left="0" w:leftChars="0" w:firstLine="0" w:firstLineChars="0"/>
        <w:rPr>
          <w:rStyle w:val="14"/>
          <w:rFonts w:hint="eastAsia" w:ascii="仿宋" w:hAnsi="仿宋" w:eastAsia="仿宋"/>
          <w:b w:val="0"/>
          <w:bCs/>
          <w:color w:val="000000"/>
          <w:sz w:val="32"/>
          <w:szCs w:val="32"/>
          <w:lang w:val="en-US" w:eastAsia="zh-CN"/>
        </w:rPr>
      </w:pPr>
    </w:p>
    <w:p>
      <w:pPr>
        <w:tabs>
          <w:tab w:val="right" w:pos="8306"/>
        </w:tabs>
        <w:spacing w:line="600" w:lineRule="exact"/>
        <w:ind w:firstLine="640"/>
        <w:outlineLvl w:val="1"/>
        <w:rPr>
          <w:rStyle w:val="18"/>
        </w:rPr>
      </w:pPr>
      <w:bookmarkStart w:id="37" w:name="_Toc15377214"/>
      <w:bookmarkStart w:id="38" w:name="_Toc1539660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18"/>
          <w:rFonts w:hint="eastAsia" w:ascii="黑体" w:hAnsi="黑体" w:eastAsia="黑体"/>
          <w:b w:val="0"/>
        </w:rPr>
        <w:t>般公共预算财政拨款基本支出决算情况说明</w:t>
      </w:r>
      <w:bookmarkEnd w:id="37"/>
      <w:bookmarkEnd w:id="38"/>
      <w:r>
        <w:rPr>
          <w:rStyle w:val="18"/>
          <w:rFonts w:ascii="黑体" w:hAnsi="黑体" w:eastAsia="黑体"/>
          <w:b w:val="0"/>
        </w:rPr>
        <w:tab/>
      </w:r>
    </w:p>
    <w:p>
      <w:pPr>
        <w:spacing w:line="600" w:lineRule="exact"/>
        <w:ind w:firstLine="645"/>
        <w:rPr>
          <w:rFonts w:ascii="仿宋" w:hAnsi="仿宋" w:eastAsia="仿宋"/>
          <w:b/>
          <w:color w:val="FF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年一般公共预算财政拨款基本支出572.2万元，其中：人员经费529.54万元，主要包括：基本工资</w:t>
      </w:r>
      <w:r>
        <w:rPr>
          <w:rFonts w:hint="eastAsia" w:ascii="仿宋" w:hAnsi="仿宋" w:eastAsia="仿宋"/>
          <w:color w:val="000000"/>
          <w:sz w:val="32"/>
          <w:szCs w:val="32"/>
          <w:lang w:val="en-US" w:eastAsia="zh-CN"/>
        </w:rPr>
        <w:t>81.6万元</w:t>
      </w:r>
      <w:r>
        <w:rPr>
          <w:rFonts w:hint="eastAsia" w:ascii="仿宋" w:hAnsi="仿宋" w:eastAsia="仿宋"/>
          <w:color w:val="000000"/>
          <w:sz w:val="32"/>
          <w:szCs w:val="32"/>
        </w:rPr>
        <w:t>、津贴补贴</w:t>
      </w:r>
      <w:r>
        <w:rPr>
          <w:rFonts w:hint="eastAsia" w:ascii="仿宋" w:hAnsi="仿宋" w:eastAsia="仿宋"/>
          <w:color w:val="000000"/>
          <w:sz w:val="32"/>
          <w:szCs w:val="32"/>
          <w:lang w:val="en-US" w:eastAsia="zh-CN"/>
        </w:rPr>
        <w:t>237.05万元</w:t>
      </w:r>
      <w:r>
        <w:rPr>
          <w:rFonts w:hint="eastAsia" w:ascii="仿宋" w:hAnsi="仿宋" w:eastAsia="仿宋"/>
          <w:color w:val="000000"/>
          <w:sz w:val="32"/>
          <w:szCs w:val="32"/>
        </w:rPr>
        <w:t>、奖金</w:t>
      </w:r>
      <w:r>
        <w:rPr>
          <w:rFonts w:hint="eastAsia" w:ascii="仿宋" w:hAnsi="仿宋" w:eastAsia="仿宋"/>
          <w:color w:val="000000"/>
          <w:sz w:val="32"/>
          <w:szCs w:val="32"/>
          <w:lang w:val="en-US" w:eastAsia="zh-CN"/>
        </w:rPr>
        <w:t>61.67万元</w:t>
      </w:r>
      <w:r>
        <w:rPr>
          <w:rFonts w:hint="eastAsia" w:ascii="仿宋" w:hAnsi="仿宋" w:eastAsia="仿宋"/>
          <w:color w:val="000000"/>
          <w:sz w:val="32"/>
          <w:szCs w:val="32"/>
        </w:rPr>
        <w:t>、绩效工资</w:t>
      </w:r>
      <w:r>
        <w:rPr>
          <w:rFonts w:hint="eastAsia" w:ascii="仿宋" w:hAnsi="仿宋" w:eastAsia="仿宋"/>
          <w:color w:val="000000"/>
          <w:sz w:val="32"/>
          <w:szCs w:val="32"/>
          <w:lang w:val="en-US" w:eastAsia="zh-CN"/>
        </w:rPr>
        <w:t>9.32万元</w:t>
      </w:r>
      <w:r>
        <w:rPr>
          <w:rFonts w:hint="eastAsia" w:ascii="仿宋" w:hAnsi="仿宋" w:eastAsia="仿宋"/>
          <w:color w:val="000000"/>
          <w:sz w:val="32"/>
          <w:szCs w:val="32"/>
        </w:rPr>
        <w:t>、机关事业单位基本养老保险缴费</w:t>
      </w:r>
      <w:r>
        <w:rPr>
          <w:rFonts w:hint="eastAsia" w:ascii="仿宋" w:hAnsi="仿宋" w:eastAsia="仿宋"/>
          <w:color w:val="000000"/>
          <w:sz w:val="32"/>
          <w:szCs w:val="32"/>
          <w:lang w:val="en-US" w:eastAsia="zh-CN"/>
        </w:rPr>
        <w:t>49.41万元</w:t>
      </w:r>
      <w:r>
        <w:rPr>
          <w:rFonts w:hint="eastAsia" w:ascii="仿宋" w:hAnsi="仿宋" w:eastAsia="仿宋"/>
          <w:color w:val="000000"/>
          <w:sz w:val="32"/>
          <w:szCs w:val="32"/>
        </w:rPr>
        <w:t>、职业年金缴费</w:t>
      </w:r>
      <w:r>
        <w:rPr>
          <w:rFonts w:hint="eastAsia" w:ascii="仿宋" w:hAnsi="仿宋" w:eastAsia="仿宋"/>
          <w:color w:val="000000"/>
          <w:sz w:val="32"/>
          <w:szCs w:val="32"/>
          <w:lang w:val="en-US" w:eastAsia="zh-CN"/>
        </w:rPr>
        <w:t>19.76万元</w:t>
      </w:r>
      <w:r>
        <w:rPr>
          <w:rFonts w:hint="eastAsia" w:ascii="仿宋" w:hAnsi="仿宋" w:eastAsia="仿宋"/>
          <w:color w:val="000000"/>
          <w:sz w:val="32"/>
          <w:szCs w:val="32"/>
        </w:rPr>
        <w:t>、</w:t>
      </w:r>
      <w:r>
        <w:rPr>
          <w:rFonts w:hint="eastAsia" w:ascii="仿宋" w:hAnsi="仿宋" w:eastAsia="仿宋"/>
          <w:color w:val="000000"/>
          <w:sz w:val="32"/>
          <w:szCs w:val="32"/>
          <w:lang w:eastAsia="zh-CN"/>
        </w:rPr>
        <w:t>职工基本医疗保险缴费</w:t>
      </w:r>
      <w:r>
        <w:rPr>
          <w:rFonts w:hint="eastAsia" w:ascii="仿宋" w:hAnsi="仿宋" w:eastAsia="仿宋"/>
          <w:color w:val="000000"/>
          <w:sz w:val="32"/>
          <w:szCs w:val="32"/>
          <w:lang w:val="en-US" w:eastAsia="zh-CN"/>
        </w:rPr>
        <w:t>16.38万元、</w:t>
      </w:r>
      <w:r>
        <w:rPr>
          <w:rFonts w:hint="eastAsia" w:ascii="仿宋" w:hAnsi="仿宋" w:eastAsia="仿宋"/>
          <w:color w:val="000000"/>
          <w:sz w:val="32"/>
          <w:szCs w:val="32"/>
          <w:lang w:eastAsia="zh-CN"/>
        </w:rPr>
        <w:t>公务员医疗补助缴费</w:t>
      </w:r>
      <w:r>
        <w:rPr>
          <w:rFonts w:hint="eastAsia" w:ascii="仿宋" w:hAnsi="仿宋" w:eastAsia="仿宋"/>
          <w:color w:val="000000"/>
          <w:sz w:val="32"/>
          <w:szCs w:val="32"/>
          <w:lang w:val="en-US" w:eastAsia="zh-CN"/>
        </w:rPr>
        <w:t>4.23万元</w:t>
      </w:r>
      <w:r>
        <w:rPr>
          <w:rFonts w:hint="eastAsia" w:ascii="仿宋" w:hAnsi="仿宋" w:eastAsia="仿宋"/>
          <w:color w:val="000000"/>
          <w:sz w:val="32"/>
          <w:szCs w:val="32"/>
        </w:rPr>
        <w:t>、医疗费</w:t>
      </w:r>
      <w:r>
        <w:rPr>
          <w:rFonts w:hint="eastAsia" w:ascii="仿宋" w:hAnsi="仿宋" w:eastAsia="仿宋"/>
          <w:color w:val="000000"/>
          <w:sz w:val="32"/>
          <w:szCs w:val="32"/>
          <w:lang w:val="en-US" w:eastAsia="zh-CN"/>
        </w:rPr>
        <w:t>2.62万元</w:t>
      </w:r>
      <w:r>
        <w:rPr>
          <w:rFonts w:hint="eastAsia" w:ascii="仿宋" w:hAnsi="仿宋" w:eastAsia="仿宋"/>
          <w:color w:val="000000"/>
          <w:sz w:val="32"/>
          <w:szCs w:val="32"/>
        </w:rPr>
        <w:t>、住房公积金</w:t>
      </w:r>
      <w:r>
        <w:rPr>
          <w:rFonts w:hint="eastAsia" w:ascii="仿宋" w:hAnsi="仿宋" w:eastAsia="仿宋"/>
          <w:color w:val="000000"/>
          <w:sz w:val="32"/>
          <w:szCs w:val="32"/>
          <w:lang w:val="en-US" w:eastAsia="zh-CN"/>
        </w:rPr>
        <w:t>38.29万元、对个人和家庭补助62.38万元</w:t>
      </w:r>
      <w:r>
        <w:rPr>
          <w:rFonts w:hint="eastAsia" w:ascii="仿宋" w:hAnsi="仿宋" w:eastAsia="仿宋"/>
          <w:color w:val="000000"/>
          <w:sz w:val="32"/>
          <w:szCs w:val="32"/>
        </w:rPr>
        <w:t>等。</w:t>
      </w:r>
      <w:r>
        <w:rPr>
          <w:rFonts w:ascii="仿宋" w:hAnsi="仿宋" w:eastAsia="仿宋"/>
          <w:color w:val="000000"/>
          <w:sz w:val="32"/>
          <w:szCs w:val="32"/>
        </w:rPr>
        <w:br w:type="textWrapping"/>
      </w:r>
      <w:r>
        <w:rPr>
          <w:rFonts w:hint="eastAsia" w:ascii="仿宋" w:hAnsi="仿宋" w:eastAsia="仿宋"/>
          <w:color w:val="000000"/>
          <w:sz w:val="32"/>
          <w:szCs w:val="32"/>
        </w:rPr>
        <w:t>　　公用经费66.01万元，主要包括：办公费</w:t>
      </w:r>
      <w:r>
        <w:rPr>
          <w:rFonts w:hint="eastAsia" w:ascii="仿宋" w:hAnsi="仿宋" w:eastAsia="仿宋"/>
          <w:color w:val="000000"/>
          <w:sz w:val="32"/>
          <w:szCs w:val="32"/>
          <w:lang w:val="en-US" w:eastAsia="zh-CN"/>
        </w:rPr>
        <w:t>29.33万元</w:t>
      </w:r>
      <w:r>
        <w:rPr>
          <w:rFonts w:hint="eastAsia" w:ascii="仿宋" w:hAnsi="仿宋" w:eastAsia="仿宋"/>
          <w:color w:val="000000"/>
          <w:sz w:val="32"/>
          <w:szCs w:val="32"/>
        </w:rPr>
        <w:t>、印刷费</w:t>
      </w:r>
      <w:r>
        <w:rPr>
          <w:rFonts w:hint="eastAsia" w:ascii="仿宋" w:hAnsi="仿宋" w:eastAsia="仿宋"/>
          <w:color w:val="000000"/>
          <w:sz w:val="32"/>
          <w:szCs w:val="32"/>
          <w:lang w:val="en-US" w:eastAsia="zh-CN"/>
        </w:rPr>
        <w:t>3.35万元</w:t>
      </w:r>
      <w:r>
        <w:rPr>
          <w:rFonts w:hint="eastAsia" w:ascii="仿宋" w:hAnsi="仿宋" w:eastAsia="仿宋"/>
          <w:color w:val="000000"/>
          <w:sz w:val="32"/>
          <w:szCs w:val="32"/>
        </w:rPr>
        <w:t>、电费</w:t>
      </w:r>
      <w:r>
        <w:rPr>
          <w:rFonts w:hint="eastAsia" w:ascii="仿宋" w:hAnsi="仿宋" w:eastAsia="仿宋"/>
          <w:color w:val="000000"/>
          <w:sz w:val="32"/>
          <w:szCs w:val="32"/>
          <w:lang w:val="en-US" w:eastAsia="zh-CN"/>
        </w:rPr>
        <w:t>2万元</w:t>
      </w:r>
      <w:r>
        <w:rPr>
          <w:rFonts w:hint="eastAsia" w:ascii="仿宋" w:hAnsi="仿宋" w:eastAsia="仿宋"/>
          <w:color w:val="000000"/>
          <w:sz w:val="32"/>
          <w:szCs w:val="32"/>
        </w:rPr>
        <w:t>、邮电费</w:t>
      </w:r>
      <w:r>
        <w:rPr>
          <w:rFonts w:hint="eastAsia" w:ascii="仿宋" w:hAnsi="仿宋" w:eastAsia="仿宋"/>
          <w:color w:val="000000"/>
          <w:sz w:val="32"/>
          <w:szCs w:val="32"/>
          <w:lang w:val="en-US" w:eastAsia="zh-CN"/>
        </w:rPr>
        <w:t>3.78万元</w:t>
      </w:r>
      <w:r>
        <w:rPr>
          <w:rFonts w:hint="eastAsia" w:ascii="仿宋" w:hAnsi="仿宋" w:eastAsia="仿宋"/>
          <w:color w:val="000000"/>
          <w:sz w:val="32"/>
          <w:szCs w:val="32"/>
        </w:rPr>
        <w:t>、取暖费</w:t>
      </w:r>
      <w:r>
        <w:rPr>
          <w:rFonts w:hint="eastAsia" w:ascii="仿宋" w:hAnsi="仿宋" w:eastAsia="仿宋"/>
          <w:color w:val="000000"/>
          <w:sz w:val="32"/>
          <w:szCs w:val="32"/>
          <w:lang w:val="en-US" w:eastAsia="zh-CN"/>
        </w:rPr>
        <w:t>0.5万元</w:t>
      </w:r>
      <w:r>
        <w:rPr>
          <w:rFonts w:hint="eastAsia" w:ascii="仿宋" w:hAnsi="仿宋" w:eastAsia="仿宋"/>
          <w:color w:val="000000"/>
          <w:sz w:val="32"/>
          <w:szCs w:val="32"/>
        </w:rPr>
        <w:t>、差旅费</w:t>
      </w:r>
      <w:r>
        <w:rPr>
          <w:rFonts w:hint="eastAsia" w:ascii="仿宋" w:hAnsi="仿宋" w:eastAsia="仿宋"/>
          <w:color w:val="000000"/>
          <w:sz w:val="32"/>
          <w:szCs w:val="32"/>
          <w:lang w:val="en-US" w:eastAsia="zh-CN"/>
        </w:rPr>
        <w:t>2万元</w:t>
      </w:r>
      <w:r>
        <w:rPr>
          <w:rFonts w:hint="eastAsia" w:ascii="仿宋" w:hAnsi="仿宋" w:eastAsia="仿宋"/>
          <w:color w:val="000000"/>
          <w:sz w:val="32"/>
          <w:szCs w:val="32"/>
        </w:rPr>
        <w:t>、维修（护）费</w:t>
      </w:r>
      <w:r>
        <w:rPr>
          <w:rFonts w:hint="eastAsia" w:ascii="仿宋" w:hAnsi="仿宋" w:eastAsia="仿宋"/>
          <w:color w:val="000000"/>
          <w:sz w:val="32"/>
          <w:szCs w:val="32"/>
          <w:lang w:val="en-US" w:eastAsia="zh-CN"/>
        </w:rPr>
        <w:t>2.97万元</w:t>
      </w:r>
      <w:r>
        <w:rPr>
          <w:rFonts w:hint="eastAsia" w:ascii="仿宋" w:hAnsi="仿宋" w:eastAsia="仿宋"/>
          <w:color w:val="000000"/>
          <w:sz w:val="32"/>
          <w:szCs w:val="32"/>
        </w:rPr>
        <w:t>、培训费2</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、劳务费</w:t>
      </w:r>
      <w:r>
        <w:rPr>
          <w:rFonts w:hint="eastAsia" w:ascii="仿宋" w:hAnsi="仿宋" w:eastAsia="仿宋"/>
          <w:color w:val="000000"/>
          <w:sz w:val="32"/>
          <w:szCs w:val="32"/>
          <w:lang w:val="en-US" w:eastAsia="zh-CN"/>
        </w:rPr>
        <w:t>2万元</w:t>
      </w:r>
      <w:r>
        <w:rPr>
          <w:rFonts w:hint="eastAsia" w:ascii="仿宋" w:hAnsi="仿宋" w:eastAsia="仿宋"/>
          <w:color w:val="000000"/>
          <w:sz w:val="32"/>
          <w:szCs w:val="32"/>
        </w:rPr>
        <w:t>、</w:t>
      </w:r>
      <w:r>
        <w:rPr>
          <w:rFonts w:hint="eastAsia" w:ascii="仿宋" w:hAnsi="仿宋" w:eastAsia="仿宋"/>
          <w:color w:val="000000"/>
          <w:sz w:val="32"/>
          <w:szCs w:val="32"/>
          <w:lang w:eastAsia="zh-CN"/>
        </w:rPr>
        <w:t>会议费4.08万元、公务接待肥0.4万元、劳务费5.89万元、</w:t>
      </w:r>
      <w:r>
        <w:rPr>
          <w:rFonts w:hint="eastAsia" w:ascii="仿宋" w:hAnsi="仿宋" w:eastAsia="仿宋"/>
          <w:color w:val="000000"/>
          <w:sz w:val="32"/>
          <w:szCs w:val="32"/>
        </w:rPr>
        <w:t>公务用车运行维护费</w:t>
      </w:r>
      <w:r>
        <w:rPr>
          <w:rFonts w:hint="eastAsia" w:ascii="仿宋" w:hAnsi="仿宋" w:eastAsia="仿宋"/>
          <w:color w:val="000000"/>
          <w:sz w:val="32"/>
          <w:szCs w:val="32"/>
          <w:lang w:val="en-US" w:eastAsia="zh-CN"/>
        </w:rPr>
        <w:t>9.42万元</w:t>
      </w:r>
      <w:r>
        <w:rPr>
          <w:rFonts w:hint="eastAsia" w:ascii="仿宋" w:hAnsi="仿宋" w:eastAsia="仿宋"/>
          <w:color w:val="000000"/>
          <w:sz w:val="32"/>
          <w:szCs w:val="32"/>
        </w:rPr>
        <w:t>支出等。</w:t>
      </w:r>
    </w:p>
    <w:p>
      <w:pPr>
        <w:spacing w:line="600" w:lineRule="exact"/>
        <w:ind w:firstLine="640"/>
        <w:outlineLvl w:val="1"/>
        <w:rPr>
          <w:rStyle w:val="18"/>
          <w:rFonts w:ascii="黑体" w:hAnsi="黑体" w:eastAsia="黑体"/>
          <w:b w:val="0"/>
        </w:rPr>
      </w:pPr>
      <w:bookmarkStart w:id="39" w:name="_Toc15377215"/>
      <w:bookmarkStart w:id="40" w:name="_Toc15396609"/>
      <w:r>
        <w:rPr>
          <w:rFonts w:hint="eastAsia" w:ascii="黑体" w:eastAsia="黑体"/>
          <w:color w:val="000000"/>
          <w:sz w:val="32"/>
          <w:szCs w:val="32"/>
        </w:rPr>
        <w:t>七、</w:t>
      </w:r>
      <w:r>
        <w:rPr>
          <w:rStyle w:val="18"/>
          <w:rFonts w:hint="eastAsia" w:ascii="黑体" w:hAnsi="黑体" w:eastAsia="黑体"/>
        </w:rPr>
        <w:t>“</w:t>
      </w:r>
      <w:r>
        <w:rPr>
          <w:rStyle w:val="18"/>
          <w:rFonts w:hint="eastAsia" w:ascii="黑体" w:hAnsi="黑体" w:eastAsia="黑体"/>
          <w:b w:val="0"/>
        </w:rPr>
        <w:t>三公”经费财政拨款支出决算情况说明</w:t>
      </w:r>
      <w:bookmarkEnd w:id="39"/>
      <w:bookmarkEnd w:id="40"/>
    </w:p>
    <w:p>
      <w:pPr>
        <w:spacing w:line="600" w:lineRule="exact"/>
        <w:ind w:firstLine="640"/>
        <w:outlineLvl w:val="2"/>
        <w:rPr>
          <w:rFonts w:ascii="仿宋" w:hAnsi="仿宋" w:eastAsia="仿宋"/>
          <w:b/>
          <w:color w:val="000000"/>
          <w:sz w:val="32"/>
          <w:szCs w:val="32"/>
        </w:rPr>
      </w:pPr>
      <w:bookmarkStart w:id="41" w:name="_Toc15377216"/>
      <w:r>
        <w:rPr>
          <w:rFonts w:hint="eastAsia" w:ascii="仿宋" w:hAnsi="仿宋" w:eastAsia="仿宋"/>
          <w:b/>
          <w:color w:val="000000"/>
          <w:sz w:val="32"/>
          <w:szCs w:val="32"/>
        </w:rPr>
        <w:t>（一）“三公”经费财政拨款支出决算总体情况说明</w:t>
      </w:r>
      <w:bookmarkEnd w:id="41"/>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年“三公”经费财政拨款支出决算为29.1万元，完成预算</w:t>
      </w:r>
      <w:r>
        <w:rPr>
          <w:rFonts w:ascii="仿宋" w:hAnsi="仿宋" w:eastAsia="仿宋"/>
          <w:color w:val="000000"/>
          <w:sz w:val="32"/>
          <w:szCs w:val="32"/>
        </w:rPr>
        <w:t>100%</w:t>
      </w:r>
      <w:r>
        <w:rPr>
          <w:rFonts w:hint="eastAsia" w:ascii="仿宋" w:hAnsi="仿宋" w:eastAsia="仿宋"/>
          <w:color w:val="000000"/>
          <w:sz w:val="32"/>
          <w:szCs w:val="32"/>
        </w:rPr>
        <w:t>，决算数与预算数持平。</w:t>
      </w:r>
    </w:p>
    <w:p>
      <w:pPr>
        <w:spacing w:line="600" w:lineRule="exact"/>
        <w:ind w:firstLine="640"/>
        <w:outlineLvl w:val="2"/>
        <w:rPr>
          <w:rFonts w:ascii="仿宋" w:hAnsi="仿宋" w:eastAsia="仿宋"/>
          <w:b/>
          <w:color w:val="000000"/>
          <w:sz w:val="32"/>
          <w:szCs w:val="32"/>
        </w:rPr>
      </w:pPr>
      <w:bookmarkStart w:id="42" w:name="_Toc15377217"/>
      <w:r>
        <w:rPr>
          <w:rFonts w:hint="eastAsia" w:ascii="仿宋" w:hAnsi="仿宋" w:eastAsia="仿宋"/>
          <w:b/>
          <w:color w:val="000000"/>
          <w:sz w:val="32"/>
          <w:szCs w:val="32"/>
        </w:rPr>
        <w:t>（二）“三公”经费财政拨款支出决算具体情况说明</w:t>
      </w:r>
      <w:bookmarkEnd w:id="42"/>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年“三公”经费财政拨款支出决算中，因公出国（境）费支出决算</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；公务用车购置及运行维护费支出决算28.7万元</w:t>
      </w:r>
      <w:r>
        <w:rPr>
          <w:rFonts w:hint="eastAsia" w:ascii="仿宋" w:hAnsi="仿宋" w:eastAsia="仿宋"/>
          <w:color w:val="000000"/>
          <w:sz w:val="32"/>
          <w:szCs w:val="32"/>
          <w:lang w:eastAsia="zh-CN"/>
        </w:rPr>
        <w:t>、其中公务用车购置19.28万元、公务用车运行维护费9.42万元</w:t>
      </w:r>
      <w:r>
        <w:rPr>
          <w:rFonts w:hint="eastAsia" w:ascii="仿宋" w:hAnsi="仿宋" w:eastAsia="仿宋"/>
          <w:color w:val="000000"/>
          <w:sz w:val="32"/>
          <w:szCs w:val="32"/>
        </w:rPr>
        <w:t>，占</w:t>
      </w:r>
      <w:r>
        <w:rPr>
          <w:rFonts w:ascii="仿宋" w:hAnsi="仿宋" w:eastAsia="仿宋"/>
          <w:color w:val="000000"/>
          <w:sz w:val="32"/>
          <w:szCs w:val="32"/>
        </w:rPr>
        <w:t>100%</w:t>
      </w:r>
      <w:r>
        <w:rPr>
          <w:rFonts w:hint="eastAsia" w:ascii="仿宋" w:hAnsi="仿宋" w:eastAsia="仿宋"/>
          <w:color w:val="000000"/>
          <w:sz w:val="32"/>
          <w:szCs w:val="32"/>
        </w:rPr>
        <w:t>；公务接待费支出决算0.4万元，占</w:t>
      </w:r>
      <w:r>
        <w:rPr>
          <w:rFonts w:hint="eastAsia" w:ascii="仿宋" w:hAnsi="仿宋" w:eastAsia="仿宋"/>
          <w:color w:val="000000"/>
          <w:sz w:val="32"/>
          <w:szCs w:val="32"/>
          <w:lang w:val="en-US" w:eastAsia="zh-CN"/>
        </w:rPr>
        <w:t>10</w:t>
      </w:r>
      <w:r>
        <w:rPr>
          <w:rFonts w:ascii="仿宋" w:hAnsi="仿宋" w:eastAsia="仿宋"/>
          <w:color w:val="000000"/>
          <w:sz w:val="32"/>
          <w:szCs w:val="32"/>
        </w:rPr>
        <w:t>0%</w:t>
      </w:r>
      <w:r>
        <w:rPr>
          <w:rFonts w:hint="eastAsia" w:ascii="仿宋" w:hAnsi="仿宋" w:eastAsia="仿宋"/>
          <w:color w:val="000000"/>
          <w:sz w:val="32"/>
          <w:szCs w:val="32"/>
        </w:rPr>
        <w:t>。具体情况如下：</w:t>
      </w:r>
    </w:p>
    <w:p>
      <w:pPr>
        <w:spacing w:line="600" w:lineRule="exact"/>
        <w:ind w:firstLine="640"/>
        <w:rPr>
          <w:rFonts w:hint="eastAsia" w:ascii="仿宋" w:hAnsi="仿宋" w:eastAsia="仿宋"/>
          <w:color w:val="000000"/>
          <w:sz w:val="32"/>
          <w:szCs w:val="32"/>
          <w:lang w:eastAsia="zh-CN"/>
        </w:rPr>
      </w:pPr>
      <w:r>
        <w:drawing>
          <wp:anchor distT="0" distB="0" distL="114300" distR="114300" simplePos="0" relativeHeight="251668480" behindDoc="0" locked="0" layoutInCell="1" allowOverlap="1">
            <wp:simplePos x="0" y="0"/>
            <wp:positionH relativeFrom="column">
              <wp:posOffset>392430</wp:posOffset>
            </wp:positionH>
            <wp:positionV relativeFrom="paragraph">
              <wp:posOffset>566420</wp:posOffset>
            </wp:positionV>
            <wp:extent cx="4303395" cy="2743200"/>
            <wp:effectExtent l="4445" t="4445" r="16510" b="14605"/>
            <wp:wrapTopAndBottom/>
            <wp:docPr id="7" name="图片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ascii="仿宋" w:hAnsi="仿宋" w:eastAsia="仿宋"/>
          <w:color w:val="000000"/>
          <w:sz w:val="32"/>
          <w:szCs w:val="32"/>
        </w:rPr>
        <w:t>（图</w:t>
      </w:r>
      <w:r>
        <w:rPr>
          <w:rFonts w:ascii="仿宋" w:hAnsi="仿宋" w:eastAsia="仿宋"/>
          <w:color w:val="000000"/>
          <w:sz w:val="32"/>
          <w:szCs w:val="32"/>
        </w:rPr>
        <w:t>8</w:t>
      </w:r>
      <w:r>
        <w:rPr>
          <w:rFonts w:hint="eastAsia" w:ascii="仿宋" w:hAnsi="仿宋" w:eastAsia="仿宋"/>
          <w:color w:val="000000"/>
          <w:sz w:val="32"/>
          <w:szCs w:val="32"/>
        </w:rPr>
        <w:t>：“三公”经费财政拨款支出结构）（饼状图）</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1.</w:t>
      </w:r>
      <w:r>
        <w:rPr>
          <w:rFonts w:hint="eastAsia" w:ascii="仿宋_GB2312" w:eastAsia="仿宋_GB2312"/>
          <w:b/>
          <w:color w:val="000000"/>
          <w:sz w:val="32"/>
          <w:szCs w:val="32"/>
        </w:rPr>
        <w:t>因公出国（境）经费支出</w:t>
      </w:r>
      <w:r>
        <w:rPr>
          <w:rFonts w:ascii="仿宋_GB2312" w:eastAsia="仿宋_GB2312"/>
          <w:color w:val="000000"/>
          <w:sz w:val="32"/>
          <w:szCs w:val="32"/>
        </w:rPr>
        <w:t>0</w:t>
      </w:r>
      <w:r>
        <w:rPr>
          <w:rFonts w:hint="eastAsia" w:ascii="仿宋_GB2312" w:eastAsia="仿宋_GB2312"/>
          <w:color w:val="000000"/>
          <w:sz w:val="32"/>
          <w:szCs w:val="32"/>
        </w:rPr>
        <w:t>万元，</w:t>
      </w:r>
      <w:r>
        <w:rPr>
          <w:rStyle w:val="14"/>
          <w:rFonts w:hint="eastAsia" w:ascii="仿宋" w:hAnsi="仿宋" w:eastAsia="仿宋"/>
          <w:b w:val="0"/>
          <w:bCs/>
          <w:color w:val="000000"/>
          <w:sz w:val="32"/>
          <w:szCs w:val="32"/>
        </w:rPr>
        <w:t>完成预算</w:t>
      </w:r>
      <w:r>
        <w:rPr>
          <w:rStyle w:val="14"/>
          <w:rFonts w:ascii="仿宋" w:hAnsi="仿宋" w:eastAsia="仿宋"/>
          <w:b w:val="0"/>
          <w:bCs/>
          <w:color w:val="000000"/>
          <w:sz w:val="32"/>
          <w:szCs w:val="32"/>
        </w:rPr>
        <w:t>0%</w:t>
      </w:r>
      <w:r>
        <w:rPr>
          <w:rStyle w:val="14"/>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ascii="仿宋_GB2312" w:eastAsia="仿宋_GB2312"/>
          <w:color w:val="000000"/>
          <w:sz w:val="32"/>
          <w:szCs w:val="32"/>
        </w:rPr>
        <w:t>0</w:t>
      </w:r>
      <w:r>
        <w:rPr>
          <w:rFonts w:hint="eastAsia" w:ascii="仿宋_GB2312" w:eastAsia="仿宋_GB2312"/>
          <w:color w:val="000000"/>
          <w:sz w:val="32"/>
          <w:szCs w:val="32"/>
        </w:rPr>
        <w:t>次，出国（境）</w:t>
      </w:r>
      <w:r>
        <w:rPr>
          <w:rFonts w:ascii="仿宋_GB2312" w:eastAsia="仿宋_GB2312"/>
          <w:color w:val="000000"/>
          <w:sz w:val="32"/>
          <w:szCs w:val="32"/>
        </w:rPr>
        <w:t>0</w:t>
      </w:r>
      <w:r>
        <w:rPr>
          <w:rFonts w:hint="eastAsia" w:ascii="仿宋_GB2312" w:eastAsia="仿宋_GB2312"/>
          <w:color w:val="000000"/>
          <w:sz w:val="32"/>
          <w:szCs w:val="32"/>
        </w:rPr>
        <w:t>人。因公出国（境）支出决算</w:t>
      </w:r>
      <w:r>
        <w:rPr>
          <w:rFonts w:hint="eastAsia" w:ascii="仿宋_GB2312" w:eastAsia="仿宋_GB2312"/>
          <w:color w:val="000000"/>
          <w:sz w:val="32"/>
          <w:szCs w:val="32"/>
          <w:lang w:eastAsia="zh-CN"/>
        </w:rPr>
        <w:t>与</w:t>
      </w:r>
      <w:r>
        <w:rPr>
          <w:rFonts w:ascii="仿宋_GB2312" w:eastAsia="仿宋_GB2312"/>
          <w:color w:val="000000"/>
          <w:sz w:val="32"/>
          <w:szCs w:val="32"/>
        </w:rPr>
        <w:t>2017</w:t>
      </w:r>
      <w:r>
        <w:rPr>
          <w:rFonts w:hint="eastAsia" w:ascii="仿宋_GB2312" w:eastAsia="仿宋_GB2312"/>
          <w:color w:val="000000"/>
          <w:sz w:val="32"/>
          <w:szCs w:val="32"/>
        </w:rPr>
        <w:t>年持平。</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 w:hAnsi="仿宋" w:eastAsia="仿宋"/>
          <w:color w:val="000000"/>
          <w:sz w:val="32"/>
          <w:szCs w:val="32"/>
        </w:rPr>
        <w:t>公务用车购置及运行维护费支出决算28.7万元</w:t>
      </w:r>
      <w:r>
        <w:rPr>
          <w:rFonts w:hint="eastAsia" w:ascii="仿宋" w:hAnsi="仿宋" w:eastAsia="仿宋"/>
          <w:color w:val="000000"/>
          <w:sz w:val="32"/>
          <w:szCs w:val="32"/>
          <w:lang w:eastAsia="zh-CN"/>
        </w:rPr>
        <w:t>、其中公务用车购置19.28万元、公务用车运行维护费9.42万元</w:t>
      </w:r>
      <w:r>
        <w:rPr>
          <w:rFonts w:hint="eastAsia" w:ascii="仿宋" w:hAnsi="仿宋" w:eastAsia="仿宋"/>
          <w:color w:val="000000"/>
          <w:sz w:val="32"/>
          <w:szCs w:val="32"/>
        </w:rPr>
        <w:t>，</w:t>
      </w:r>
      <w:r>
        <w:rPr>
          <w:rStyle w:val="14"/>
          <w:rFonts w:hint="eastAsia" w:ascii="仿宋" w:hAnsi="仿宋" w:eastAsia="仿宋"/>
          <w:b w:val="0"/>
          <w:bCs/>
          <w:color w:val="000000"/>
          <w:sz w:val="32"/>
          <w:szCs w:val="32"/>
        </w:rPr>
        <w:t>完成预算</w:t>
      </w:r>
      <w:r>
        <w:rPr>
          <w:rStyle w:val="14"/>
          <w:rFonts w:ascii="仿宋" w:hAnsi="仿宋" w:eastAsia="仿宋"/>
          <w:b w:val="0"/>
          <w:bCs/>
          <w:color w:val="000000"/>
          <w:sz w:val="32"/>
          <w:szCs w:val="32"/>
        </w:rPr>
        <w:t>100%</w:t>
      </w:r>
      <w:r>
        <w:rPr>
          <w:rStyle w:val="14"/>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2017</w:t>
      </w:r>
      <w:r>
        <w:rPr>
          <w:rFonts w:hint="eastAsia" w:ascii="仿宋_GB2312" w:eastAsia="仿宋_GB2312"/>
          <w:color w:val="000000"/>
          <w:sz w:val="32"/>
          <w:szCs w:val="32"/>
        </w:rPr>
        <w:t>年增加</w:t>
      </w:r>
      <w:r>
        <w:rPr>
          <w:rFonts w:hint="eastAsia" w:ascii="仿宋_GB2312" w:eastAsia="仿宋_GB2312"/>
          <w:color w:val="000000"/>
          <w:sz w:val="32"/>
          <w:szCs w:val="32"/>
          <w:lang w:val="en-US" w:eastAsia="zh-CN"/>
        </w:rPr>
        <w:t>21.5</w:t>
      </w:r>
      <w:r>
        <w:rPr>
          <w:rFonts w:hint="eastAsia" w:ascii="仿宋_GB2312" w:eastAsia="仿宋_GB2312"/>
          <w:color w:val="000000"/>
          <w:sz w:val="32"/>
          <w:szCs w:val="32"/>
        </w:rPr>
        <w:t>万元，增长</w:t>
      </w:r>
      <w:r>
        <w:rPr>
          <w:rFonts w:ascii="仿宋_GB2312" w:eastAsia="仿宋_GB2312"/>
          <w:color w:val="000000"/>
          <w:sz w:val="32"/>
          <w:szCs w:val="32"/>
        </w:rPr>
        <w:t>3</w:t>
      </w:r>
      <w:r>
        <w:rPr>
          <w:rFonts w:hint="eastAsia" w:ascii="仿宋_GB2312" w:eastAsia="仿宋_GB2312"/>
          <w:color w:val="000000"/>
          <w:sz w:val="32"/>
          <w:szCs w:val="32"/>
          <w:lang w:val="en-US" w:eastAsia="zh-CN"/>
        </w:rPr>
        <w:t>9</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购置公务用车</w:t>
      </w:r>
      <w:r>
        <w:rPr>
          <w:rFonts w:hint="eastAsia" w:ascii="仿宋_GB2312" w:eastAsia="仿宋_GB2312"/>
          <w:color w:val="000000"/>
          <w:sz w:val="32"/>
          <w:szCs w:val="32"/>
        </w:rPr>
        <w:t>。</w:t>
      </w:r>
    </w:p>
    <w:p>
      <w:pPr>
        <w:spacing w:line="600" w:lineRule="exact"/>
        <w:ind w:firstLine="640" w:firstLineChars="200"/>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b/>
          <w:color w:val="000000"/>
          <w:sz w:val="32"/>
          <w:szCs w:val="32"/>
          <w:lang w:val="en-US" w:eastAsia="zh-CN"/>
        </w:rPr>
        <w:t>19.28</w:t>
      </w:r>
      <w:r>
        <w:rPr>
          <w:rFonts w:hint="eastAsia" w:ascii="仿宋_GB2312" w:eastAsia="仿宋_GB2312"/>
          <w:color w:val="000000"/>
          <w:sz w:val="32"/>
          <w:szCs w:val="32"/>
        </w:rPr>
        <w:t>万元。全年按规定更新购置公务用车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辆，其中：轿车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万元，越野车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辆、金额19.28万元，载客汽车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万元。截至</w:t>
      </w:r>
      <w:r>
        <w:rPr>
          <w:rFonts w:ascii="仿宋_GB2312" w:eastAsia="仿宋_GB2312"/>
          <w:color w:val="000000"/>
          <w:sz w:val="32"/>
          <w:szCs w:val="32"/>
        </w:rPr>
        <w:t>2018</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ascii="仿宋_GB2312" w:eastAsia="仿宋_GB2312"/>
          <w:color w:val="000000"/>
          <w:sz w:val="32"/>
          <w:szCs w:val="32"/>
        </w:rPr>
        <w:t>2</w:t>
      </w:r>
      <w:r>
        <w:rPr>
          <w:rFonts w:hint="eastAsia" w:ascii="仿宋_GB2312" w:eastAsia="仿宋_GB2312"/>
          <w:color w:val="000000"/>
          <w:sz w:val="32"/>
          <w:szCs w:val="32"/>
        </w:rPr>
        <w:t>辆，其中：轿车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辆、越野车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辆、载客汽车</w:t>
      </w:r>
      <w:r>
        <w:rPr>
          <w:rFonts w:ascii="仿宋_GB2312" w:eastAsia="仿宋_GB2312"/>
          <w:color w:val="000000"/>
          <w:sz w:val="32"/>
          <w:szCs w:val="32"/>
        </w:rPr>
        <w:t>0</w:t>
      </w:r>
      <w:r>
        <w:rPr>
          <w:rFonts w:hint="eastAsia" w:ascii="仿宋_GB2312" w:eastAsia="仿宋_GB2312"/>
          <w:color w:val="000000"/>
          <w:sz w:val="32"/>
          <w:szCs w:val="32"/>
        </w:rPr>
        <w:t>辆。</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rPr>
        <w:t>9.42万元。主要用于主要用于到县城开会、办事等所需的公务用车燃料费、维修费、保险费等支出。</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rPr>
        <w:t>0.4万元，</w:t>
      </w:r>
      <w:r>
        <w:rPr>
          <w:rStyle w:val="14"/>
          <w:rFonts w:hint="eastAsia" w:ascii="仿宋" w:hAnsi="仿宋" w:eastAsia="仿宋"/>
          <w:b w:val="0"/>
          <w:bCs/>
          <w:color w:val="000000"/>
          <w:sz w:val="32"/>
          <w:szCs w:val="32"/>
        </w:rPr>
        <w:t>完成预算</w:t>
      </w:r>
      <w:r>
        <w:rPr>
          <w:rStyle w:val="14"/>
          <w:rFonts w:ascii="仿宋" w:hAnsi="仿宋" w:eastAsia="仿宋"/>
          <w:b w:val="0"/>
          <w:bCs/>
          <w:color w:val="000000"/>
          <w:sz w:val="32"/>
          <w:szCs w:val="32"/>
        </w:rPr>
        <w:t>0%</w:t>
      </w:r>
      <w:r>
        <w:rPr>
          <w:rStyle w:val="14"/>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2017</w:t>
      </w:r>
      <w:r>
        <w:rPr>
          <w:rFonts w:hint="eastAsia" w:ascii="仿宋_GB2312" w:eastAsia="仿宋_GB2312"/>
          <w:color w:val="000000"/>
          <w:sz w:val="32"/>
          <w:szCs w:val="32"/>
        </w:rPr>
        <w:t>年持平。</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主要用于执行公务、开展业务活动开支的交通费、住宿费、用餐费等。国内公务接待</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15</w:t>
      </w:r>
      <w:r>
        <w:rPr>
          <w:rFonts w:hint="eastAsia" w:ascii="仿宋_GB2312" w:eastAsia="仿宋_GB2312"/>
          <w:color w:val="000000"/>
          <w:sz w:val="32"/>
          <w:szCs w:val="32"/>
        </w:rPr>
        <w:t>人次，共计支出</w:t>
      </w:r>
      <w:r>
        <w:rPr>
          <w:rFonts w:hint="eastAsia" w:ascii="仿宋_GB2312" w:eastAsia="仿宋_GB2312"/>
          <w:color w:val="000000"/>
          <w:sz w:val="32"/>
          <w:szCs w:val="32"/>
          <w:lang w:val="en-US" w:eastAsia="zh-CN"/>
        </w:rPr>
        <w:t>0.4</w:t>
      </w:r>
      <w:r>
        <w:rPr>
          <w:rFonts w:hint="eastAsia" w:ascii="仿宋_GB2312" w:eastAsia="仿宋_GB2312"/>
          <w:color w:val="000000"/>
          <w:sz w:val="32"/>
          <w:szCs w:val="32"/>
        </w:rPr>
        <w:t>万元。其中：</w:t>
      </w:r>
    </w:p>
    <w:p>
      <w:pPr>
        <w:spacing w:line="600" w:lineRule="exact"/>
        <w:ind w:firstLine="643" w:firstLineChars="200"/>
        <w:rPr>
          <w:rFonts w:ascii="仿宋_GB2312" w:eastAsia="仿宋_GB2312"/>
          <w:color w:val="000000"/>
          <w:sz w:val="32"/>
          <w:szCs w:val="32"/>
        </w:rPr>
      </w:pPr>
      <w:r>
        <w:rPr>
          <w:rFonts w:hint="eastAsia" w:ascii="仿宋" w:hAnsi="仿宋" w:eastAsia="仿宋"/>
          <w:b/>
          <w:color w:val="000000"/>
          <w:sz w:val="32"/>
          <w:szCs w:val="32"/>
        </w:rPr>
        <w:t>外事接待支出</w:t>
      </w:r>
      <w:r>
        <w:rPr>
          <w:rFonts w:ascii="仿宋" w:hAnsi="仿宋" w:eastAsia="仿宋"/>
          <w:color w:val="000000"/>
          <w:sz w:val="32"/>
          <w:szCs w:val="32"/>
        </w:rPr>
        <w:t>0</w:t>
      </w:r>
      <w:r>
        <w:rPr>
          <w:rFonts w:hint="eastAsia" w:ascii="仿宋_GB2312" w:eastAsia="仿宋_GB2312"/>
          <w:color w:val="000000"/>
          <w:sz w:val="32"/>
          <w:szCs w:val="32"/>
        </w:rPr>
        <w:t>万元，外事接待</w:t>
      </w:r>
      <w:r>
        <w:rPr>
          <w:rFonts w:ascii="仿宋_GB2312" w:eastAsia="仿宋_GB2312"/>
          <w:color w:val="000000"/>
          <w:sz w:val="32"/>
          <w:szCs w:val="32"/>
        </w:rPr>
        <w:t>0</w:t>
      </w:r>
      <w:r>
        <w:rPr>
          <w:rFonts w:hint="eastAsia" w:ascii="仿宋_GB2312" w:eastAsia="仿宋_GB2312"/>
          <w:color w:val="000000"/>
          <w:sz w:val="32"/>
          <w:szCs w:val="32"/>
        </w:rPr>
        <w:t>批次，</w:t>
      </w:r>
      <w:r>
        <w:rPr>
          <w:rFonts w:ascii="仿宋_GB2312" w:eastAsia="仿宋_GB2312"/>
          <w:color w:val="000000"/>
          <w:sz w:val="32"/>
          <w:szCs w:val="32"/>
        </w:rPr>
        <w:t>0</w:t>
      </w:r>
      <w:r>
        <w:rPr>
          <w:rFonts w:hint="eastAsia" w:ascii="仿宋_GB2312" w:eastAsia="仿宋_GB2312"/>
          <w:color w:val="000000"/>
          <w:sz w:val="32"/>
          <w:szCs w:val="32"/>
        </w:rPr>
        <w:t>人，共计支出</w:t>
      </w:r>
      <w:r>
        <w:rPr>
          <w:rFonts w:ascii="仿宋_GB2312" w:eastAsia="仿宋_GB2312"/>
          <w:color w:val="000000"/>
          <w:sz w:val="32"/>
          <w:szCs w:val="32"/>
        </w:rPr>
        <w:t>0</w:t>
      </w:r>
      <w:r>
        <w:rPr>
          <w:rFonts w:hint="eastAsia" w:ascii="仿宋_GB2312" w:eastAsia="仿宋_GB2312"/>
          <w:color w:val="000000"/>
          <w:sz w:val="32"/>
          <w:szCs w:val="32"/>
        </w:rPr>
        <w:t>万元，主要用于接待</w:t>
      </w:r>
      <w:r>
        <w:rPr>
          <w:rFonts w:ascii="仿宋_GB2312" w:eastAsia="仿宋_GB2312"/>
          <w:color w:val="000000"/>
          <w:sz w:val="32"/>
          <w:szCs w:val="32"/>
        </w:rPr>
        <w:t>0</w:t>
      </w:r>
      <w:r>
        <w:rPr>
          <w:rFonts w:hint="eastAsia" w:ascii="仿宋_GB2312" w:eastAsia="仿宋_GB2312"/>
          <w:color w:val="000000"/>
          <w:sz w:val="32"/>
          <w:szCs w:val="32"/>
        </w:rPr>
        <w:t>。</w:t>
      </w:r>
      <w:r>
        <w:rPr>
          <w:rFonts w:ascii="仿宋_GB2312" w:eastAsia="仿宋_GB2312"/>
          <w:color w:val="000000"/>
          <w:sz w:val="32"/>
          <w:szCs w:val="32"/>
        </w:rPr>
        <w:t>0</w:t>
      </w:r>
    </w:p>
    <w:p>
      <w:pPr>
        <w:spacing w:line="600" w:lineRule="exact"/>
        <w:ind w:firstLine="640"/>
        <w:rPr>
          <w:rFonts w:ascii="黑体" w:eastAsia="黑体"/>
          <w:color w:val="000000"/>
          <w:sz w:val="32"/>
          <w:szCs w:val="32"/>
        </w:rPr>
      </w:pPr>
      <w:r>
        <w:rPr>
          <w:rFonts w:hint="eastAsia" w:ascii="仿宋" w:hAnsi="仿宋" w:eastAsia="仿宋"/>
          <w:b/>
          <w:color w:val="000000"/>
          <w:sz w:val="32"/>
          <w:szCs w:val="32"/>
        </w:rPr>
        <w:t>其他国内公务接待支出</w:t>
      </w:r>
      <w:r>
        <w:rPr>
          <w:rFonts w:ascii="仿宋" w:hAnsi="仿宋" w:eastAsia="仿宋"/>
          <w:color w:val="000000"/>
          <w:sz w:val="32"/>
          <w:szCs w:val="32"/>
        </w:rPr>
        <w:t>0</w:t>
      </w:r>
      <w:r>
        <w:rPr>
          <w:rFonts w:hint="eastAsia" w:ascii="仿宋_GB2312" w:eastAsia="仿宋_GB2312"/>
          <w:color w:val="000000"/>
          <w:sz w:val="32"/>
          <w:szCs w:val="32"/>
        </w:rPr>
        <w:t>万元。</w:t>
      </w:r>
      <w:bookmarkStart w:id="43" w:name="_Toc15396610"/>
      <w:bookmarkStart w:id="44" w:name="_Toc15377218"/>
    </w:p>
    <w:p>
      <w:pPr>
        <w:spacing w:line="600" w:lineRule="exact"/>
        <w:ind w:firstLine="640"/>
        <w:outlineLvl w:val="1"/>
        <w:rPr>
          <w:rStyle w:val="18"/>
          <w:rFonts w:ascii="黑体" w:hAnsi="黑体" w:eastAsia="黑体"/>
        </w:rPr>
      </w:pPr>
      <w:r>
        <w:rPr>
          <w:rFonts w:hint="eastAsia" w:ascii="黑体" w:eastAsia="黑体"/>
          <w:color w:val="000000"/>
          <w:sz w:val="32"/>
          <w:szCs w:val="32"/>
        </w:rPr>
        <w:t>八、</w:t>
      </w:r>
      <w:r>
        <w:rPr>
          <w:rStyle w:val="18"/>
          <w:rFonts w:hint="eastAsia" w:ascii="黑体" w:hAnsi="黑体" w:eastAsia="黑体"/>
          <w:b w:val="0"/>
        </w:rPr>
        <w:t>政府性基金预算支出决算情况说明</w:t>
      </w:r>
      <w:bookmarkEnd w:id="43"/>
      <w:bookmarkEnd w:id="44"/>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年政府性基金预算拨款支出</w:t>
      </w:r>
      <w:r>
        <w:rPr>
          <w:rFonts w:ascii="仿宋_GB2312" w:eastAsia="仿宋_GB2312"/>
          <w:color w:val="000000"/>
          <w:sz w:val="32"/>
          <w:szCs w:val="32"/>
        </w:rPr>
        <w:t>0</w:t>
      </w:r>
      <w:r>
        <w:rPr>
          <w:rFonts w:hint="eastAsia" w:ascii="仿宋_GB2312" w:eastAsia="仿宋_GB2312"/>
          <w:color w:val="000000"/>
          <w:sz w:val="32"/>
          <w:szCs w:val="32"/>
        </w:rPr>
        <w:t>万元。</w:t>
      </w:r>
    </w:p>
    <w:p>
      <w:pPr>
        <w:numPr>
          <w:ilvl w:val="0"/>
          <w:numId w:val="3"/>
        </w:numPr>
        <w:spacing w:line="600" w:lineRule="exact"/>
        <w:ind w:firstLine="640"/>
        <w:outlineLvl w:val="1"/>
        <w:rPr>
          <w:rStyle w:val="18"/>
          <w:rFonts w:ascii="黑体" w:hAnsi="黑体" w:eastAsia="黑体"/>
          <w:b w:val="0"/>
        </w:rPr>
      </w:pPr>
      <w:bookmarkStart w:id="45" w:name="_Toc15377219"/>
      <w:bookmarkStart w:id="46" w:name="_Toc15396611"/>
      <w:r>
        <w:rPr>
          <w:rStyle w:val="18"/>
          <w:rFonts w:hint="eastAsia" w:ascii="黑体" w:hAnsi="黑体" w:eastAsia="黑体"/>
          <w:b w:val="0"/>
        </w:rPr>
        <w:t>国有资本经营预算支出决算情况说明</w:t>
      </w:r>
      <w:bookmarkEnd w:id="45"/>
      <w:bookmarkEnd w:id="46"/>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年国有资本经营预算拨款支出</w:t>
      </w:r>
      <w:r>
        <w:rPr>
          <w:rFonts w:ascii="仿宋_GB2312" w:eastAsia="仿宋_GB2312"/>
          <w:color w:val="000000"/>
          <w:sz w:val="32"/>
          <w:szCs w:val="32"/>
        </w:rPr>
        <w:t>0</w:t>
      </w:r>
      <w:r>
        <w:rPr>
          <w:rFonts w:hint="eastAsia" w:ascii="仿宋_GB2312" w:eastAsia="仿宋_GB2312"/>
          <w:color w:val="000000"/>
          <w:sz w:val="32"/>
          <w:szCs w:val="32"/>
        </w:rPr>
        <w:t>万元。</w:t>
      </w:r>
    </w:p>
    <w:p>
      <w:pPr>
        <w:pStyle w:val="20"/>
        <w:numPr>
          <w:ilvl w:val="0"/>
          <w:numId w:val="4"/>
        </w:numPr>
        <w:spacing w:line="580" w:lineRule="exact"/>
        <w:ind w:firstLineChars="0"/>
        <w:rPr>
          <w:rStyle w:val="18"/>
          <w:rFonts w:ascii="黑体" w:hAnsi="黑体" w:eastAsia="黑体"/>
          <w:b w:val="0"/>
        </w:rPr>
      </w:pPr>
      <w:r>
        <w:rPr>
          <w:rStyle w:val="18"/>
          <w:rFonts w:hint="eastAsia" w:ascii="黑体" w:hAnsi="黑体" w:eastAsia="黑体"/>
          <w:b w:val="0"/>
        </w:rPr>
        <w:t>预算绩效情况说明</w:t>
      </w:r>
    </w:p>
    <w:p>
      <w:pPr>
        <w:numPr>
          <w:ilvl w:val="0"/>
          <w:numId w:val="5"/>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pageBreakBefore w:val="0"/>
        <w:kinsoku/>
        <w:wordWrap/>
        <w:overflowPunct/>
        <w:topLinePunct w:val="0"/>
        <w:autoSpaceDE/>
        <w:bidi w:val="0"/>
        <w:spacing w:line="520" w:lineRule="exact"/>
        <w:ind w:left="0" w:right="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根据预算绩效管理要求，本部门在年初预算编制阶段，组织对</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项目开展了预算事前绩效评估，对</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个项目开展绩效监控，年终执行完毕后，对</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个项目开展了绩效目标完成情况梳理填报。</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年部门整体支出开展绩效自评，从评价情况来看</w:t>
      </w:r>
      <w:r>
        <w:rPr>
          <w:rFonts w:hint="eastAsia" w:ascii="仿宋_GB2312" w:hAnsi="仿宋_GB2312" w:eastAsia="仿宋_GB2312" w:cs="仿宋_GB2312"/>
          <w:bCs/>
          <w:kern w:val="2"/>
          <w:sz w:val="32"/>
          <w:szCs w:val="32"/>
          <w:lang w:val="zh-CN" w:eastAsia="zh-CN" w:bidi="ar-SA"/>
        </w:rPr>
        <w:t>，我乡严格按照年初预算进行部门整体支出，预算资金覆盖我乡工作的各个方面，按照保工资、保运转、保民生的保障序列科学编制，分配办法科学，考虑的因素必要合理，分配的结果合理，保障了人员经费及单位正常运转。在支出过程中，能严格遵守各项规章制度，“三公经费”有所下降。所有项目都详细制定了方案，严格按方案组织实施，并加强了监督。尤其是在专项经费支出上，我们能专款专用，严格审批程序，按项目实施计划的进度情况进行资金拨付，无截留、无挪用等现象，保障了资金安全</w:t>
      </w:r>
      <w:r>
        <w:rPr>
          <w:rFonts w:hint="eastAsia" w:ascii="仿宋_GB2312" w:hAnsi="仿宋_GB2312" w:eastAsia="仿宋_GB2312" w:cs="仿宋_GB2312"/>
          <w:sz w:val="32"/>
          <w:szCs w:val="32"/>
        </w:rPr>
        <w:t>。</w:t>
      </w:r>
    </w:p>
    <w:p>
      <w:pPr>
        <w:numPr>
          <w:ilvl w:val="0"/>
          <w:numId w:val="5"/>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ascii="楷体_GB2312" w:hAnsi="楷体_GB2312" w:eastAsia="楷体_GB2312" w:cs="楷体_GB2312"/>
          <w:b/>
          <w:bCs/>
          <w:sz w:val="32"/>
          <w:szCs w:val="32"/>
        </w:rPr>
        <w:br w:type="textWrapping"/>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本部门在</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年度部门决算中反映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Cs/>
          <w:sz w:val="32"/>
          <w:lang w:eastAsia="zh-CN"/>
        </w:rPr>
        <w:t>查尔玛乡建档立卡户电网维修改造项目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Cs/>
          <w:sz w:val="32"/>
          <w:lang w:eastAsia="zh-CN"/>
        </w:rPr>
        <w:t>红原县查尔玛乡2018年洪涝灾害灾后恢复建设项目</w:t>
      </w:r>
      <w:r>
        <w:rPr>
          <w:rFonts w:hint="eastAsia" w:ascii="仿宋_GB2312" w:hAnsi="仿宋_GB2312" w:eastAsia="仿宋_GB2312" w:cs="仿宋_GB2312"/>
          <w:sz w:val="32"/>
          <w:szCs w:val="32"/>
          <w:lang w:eastAsia="zh-CN"/>
        </w:rPr>
        <w:t>”、“</w:t>
      </w:r>
      <w:r>
        <w:rPr>
          <w:rFonts w:hint="eastAsia" w:ascii="仿宋_GB2312" w:hAnsi="宋体" w:eastAsia="仿宋_GB2312" w:cs="仿宋_GB2312"/>
          <w:kern w:val="2"/>
          <w:sz w:val="32"/>
          <w:szCs w:val="24"/>
          <w:lang w:val="zh-CN" w:eastAsia="zh-CN" w:bidi="ar"/>
        </w:rPr>
        <w:t>农特产品销售中心建设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Cs/>
          <w:sz w:val="32"/>
          <w:lang w:eastAsia="zh-CN"/>
        </w:rPr>
        <w:t>红原县查尔玛乡什布龙村草料库建设项目”</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个项目绩效目标实际完成情况。（本单位部门项目绩效目标个数在</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个以上的，选取</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个项目进行公开，目标个数在</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个以下的，全部进行公开，公开内容包括完成情况综述和完成情况表）。</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default" w:ascii="仿宋_GB2312" w:hAnsi="宋体" w:eastAsia="仿宋_GB2312" w:cs="仿宋_GB2312"/>
          <w:kern w:val="2"/>
          <w:sz w:val="32"/>
          <w:szCs w:val="24"/>
          <w:lang w:val="en-US" w:eastAsia="zh-CN" w:bidi="ar"/>
        </w:rPr>
      </w:pPr>
      <w:r>
        <w:rPr>
          <w:rFonts w:hint="eastAsia" w:ascii="仿宋_GB2312" w:hAnsi="仿宋_GB2312" w:eastAsia="仿宋_GB2312" w:cs="仿宋_GB2312"/>
          <w:sz w:val="32"/>
          <w:szCs w:val="32"/>
          <w:lang w:val="en-US" w:eastAsia="zh-CN"/>
        </w:rPr>
        <w:t>1</w:t>
      </w:r>
      <w:r>
        <w:rPr>
          <w:rFonts w:ascii="仿宋_GB2312" w:hAnsi="仿宋_GB2312" w:eastAsia="仿宋_GB2312" w:cs="仿宋_GB2312"/>
          <w:sz w:val="32"/>
          <w:szCs w:val="32"/>
        </w:rPr>
        <w:t>.</w:t>
      </w:r>
      <w:r>
        <w:rPr>
          <w:rFonts w:hint="eastAsia" w:ascii="仿宋_GB2312" w:hAnsi="仿宋_GB2312" w:eastAsia="仿宋_GB2312" w:cs="仿宋_GB2312"/>
          <w:bCs/>
          <w:sz w:val="32"/>
          <w:lang w:eastAsia="zh-CN"/>
        </w:rPr>
        <w:t>红原县查尔玛乡什布龙村草料库建设项目</w:t>
      </w:r>
      <w:r>
        <w:rPr>
          <w:rFonts w:hint="eastAsia" w:ascii="仿宋_GB2312" w:hAnsi="宋体" w:eastAsia="仿宋_GB2312" w:cs="仿宋_GB2312"/>
          <w:kern w:val="2"/>
          <w:sz w:val="32"/>
          <w:szCs w:val="24"/>
          <w:lang w:val="en-US" w:eastAsia="zh-CN" w:bidi="ar"/>
        </w:rPr>
        <w:t>完成了新建</w:t>
      </w:r>
      <w:r>
        <w:rPr>
          <w:rFonts w:hint="eastAsia" w:ascii="仿宋_GB2312" w:hAnsi="仿宋_GB2312" w:eastAsia="仿宋_GB2312" w:cs="仿宋_GB2312"/>
          <w:sz w:val="32"/>
          <w:szCs w:val="32"/>
          <w:lang w:eastAsia="zh-CN"/>
        </w:rPr>
        <w:t>草料库</w:t>
      </w:r>
      <w:r>
        <w:rPr>
          <w:rFonts w:hint="eastAsia" w:ascii="仿宋_GB2312" w:hAnsi="仿宋_GB2312" w:eastAsia="仿宋_GB2312" w:cs="仿宋_GB2312"/>
          <w:sz w:val="32"/>
          <w:szCs w:val="32"/>
          <w:lang w:val="en-US" w:eastAsia="zh-CN"/>
        </w:rPr>
        <w:t>200㎡</w:t>
      </w:r>
      <w:r>
        <w:rPr>
          <w:rFonts w:hint="eastAsia" w:ascii="仿宋_GB2312" w:hAnsi="宋体" w:eastAsia="仿宋_GB2312" w:cs="仿宋_GB2312"/>
          <w:kern w:val="2"/>
          <w:sz w:val="32"/>
          <w:szCs w:val="24"/>
          <w:lang w:val="en-US" w:eastAsia="zh-CN" w:bidi="ar"/>
        </w:rPr>
        <w:t>。该项目于2018年7月2日签订合同，于2018年10月完成项目建设内容并完成95%的资金拨付。该项目良好完成计划目标，截止评价时已完成任务量100%，符合相关质量标准，符合成本控制目标。</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ascii="仿宋_GB2312" w:hAnsi="仿宋_GB2312" w:eastAsia="仿宋_GB2312" w:cs="仿宋_GB2312"/>
          <w:sz w:val="32"/>
          <w:szCs w:val="32"/>
        </w:rPr>
      </w:pPr>
    </w:p>
    <w:p>
      <w:pPr>
        <w:tabs>
          <w:tab w:val="left" w:pos="312"/>
        </w:tabs>
        <w:spacing w:line="580" w:lineRule="exact"/>
        <w:rPr>
          <w:rFonts w:ascii="仿宋_GB2312" w:hAnsi="仿宋_GB2312" w:eastAsia="仿宋_GB2312" w:cs="仿宋_GB2312"/>
          <w:sz w:val="32"/>
          <w:szCs w:val="32"/>
        </w:rPr>
      </w:pPr>
    </w:p>
    <w:p>
      <w:pPr>
        <w:tabs>
          <w:tab w:val="left" w:pos="312"/>
        </w:tabs>
        <w:spacing w:line="580" w:lineRule="exact"/>
        <w:rPr>
          <w:rFonts w:ascii="仿宋_GB2312" w:hAnsi="仿宋_GB2312" w:eastAsia="仿宋_GB2312" w:cs="仿宋_GB2312"/>
          <w:sz w:val="32"/>
          <w:szCs w:val="32"/>
        </w:rPr>
      </w:pPr>
    </w:p>
    <w:tbl>
      <w:tblPr>
        <w:tblStyle w:val="16"/>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2392"/>
        <w:gridCol w:w="2392"/>
        <w:gridCol w:w="2394"/>
        <w:gridCol w:w="2392"/>
      </w:tblGrid>
      <w:tr>
        <w:tblPrEx>
          <w:tblLayout w:type="fixed"/>
          <w:tblCellMar>
            <w:top w:w="0" w:type="dxa"/>
            <w:left w:w="0" w:type="dxa"/>
            <w:bottom w:w="0" w:type="dxa"/>
            <w:right w:w="0" w:type="dxa"/>
          </w:tblCellMar>
        </w:tblPrEx>
        <w:trPr>
          <w:trHeight w:val="1034" w:hRule="atLeast"/>
        </w:trPr>
        <w:tc>
          <w:tcPr>
            <w:tcW w:w="9960" w:type="dxa"/>
            <w:gridSpan w:val="5"/>
            <w:tcMar>
              <w:top w:w="15" w:type="dxa"/>
              <w:left w:w="15" w:type="dxa"/>
              <w:bottom w:w="0" w:type="dxa"/>
              <w:right w:w="15" w:type="dxa"/>
            </w:tcMar>
            <w:vAlign w:val="center"/>
          </w:tcPr>
          <w:p>
            <w:pPr>
              <w:pStyle w:val="20"/>
              <w:widowControl/>
              <w:ind w:left="4173" w:leftChars="1310" w:hanging="1422" w:hangingChars="395"/>
              <w:textAlignment w:val="center"/>
              <w:rPr>
                <w:rFonts w:ascii="宋体" w:cs="宋体"/>
                <w:color w:val="000000"/>
                <w:sz w:val="36"/>
                <w:szCs w:val="36"/>
              </w:rPr>
            </w:pPr>
            <w:r>
              <w:rPr>
                <w:rFonts w:hint="eastAsia" w:ascii="黑体" w:hAnsi="黑体" w:eastAsia="黑体" w:cs="宋体"/>
                <w:bCs/>
                <w:color w:val="000000"/>
                <w:kern w:val="0"/>
                <w:sz w:val="36"/>
                <w:szCs w:val="36"/>
              </w:rPr>
              <w:t>项目支出绩效目标完成情况表</w:t>
            </w:r>
            <w:r>
              <w:rPr>
                <w:rFonts w:ascii="宋体" w:cs="宋体"/>
                <w:b/>
                <w:bCs/>
                <w:color w:val="000000"/>
                <w:kern w:val="0"/>
                <w:sz w:val="36"/>
                <w:szCs w:val="36"/>
              </w:rPr>
              <w:br w:type="textWrapping"/>
            </w:r>
            <w:r>
              <w:rPr>
                <w:rFonts w:ascii="宋体" w:hAnsi="宋体" w:cs="宋体"/>
                <w:color w:val="000000"/>
                <w:kern w:val="0"/>
                <w:sz w:val="36"/>
                <w:szCs w:val="36"/>
              </w:rPr>
              <w:t xml:space="preserve">(2018 </w:t>
            </w:r>
            <w:r>
              <w:rPr>
                <w:rFonts w:hint="eastAsia" w:ascii="宋体" w:hAnsi="宋体" w:cs="宋体"/>
                <w:color w:val="000000"/>
                <w:kern w:val="0"/>
                <w:sz w:val="36"/>
                <w:szCs w:val="36"/>
              </w:rPr>
              <w:t>年度</w:t>
            </w:r>
            <w:r>
              <w:rPr>
                <w:rFonts w:ascii="宋体" w:hAnsi="宋体" w:cs="宋体"/>
                <w:color w:val="000000"/>
                <w:kern w:val="0"/>
                <w:sz w:val="36"/>
                <w:szCs w:val="36"/>
              </w:rPr>
              <w:t>)</w:t>
            </w:r>
          </w:p>
        </w:tc>
      </w:tr>
      <w:tr>
        <w:tblPrEx>
          <w:tblLayout w:type="fixed"/>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项目名称</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eastAsia="宋体" w:cs="宋体"/>
                <w:color w:val="000000"/>
                <w:kern w:val="0"/>
                <w:sz w:val="24"/>
                <w:lang w:eastAsia="zh-CN"/>
              </w:rPr>
              <w:t>红原县查尔玛乡什布龙村草料库建设项目</w:t>
            </w:r>
          </w:p>
        </w:tc>
      </w:tr>
      <w:tr>
        <w:tblPrEx>
          <w:tblLayout w:type="fixed"/>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预算单位</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p>
        </w:tc>
      </w:tr>
      <w:tr>
        <w:tblPrEx>
          <w:tblLayout w:type="fixed"/>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预算执行情况</w:t>
            </w:r>
            <w:r>
              <w:rPr>
                <w:rFonts w:ascii="宋体" w:hAnsi="宋体" w:cs="宋体"/>
                <w:color w:val="000000"/>
                <w:kern w:val="0"/>
                <w:sz w:val="24"/>
              </w:rPr>
              <w:t>(</w:t>
            </w:r>
            <w:r>
              <w:rPr>
                <w:rFonts w:hint="eastAsia" w:ascii="宋体" w:hAnsi="宋体" w:cs="宋体"/>
                <w:color w:val="000000"/>
                <w:kern w:val="0"/>
                <w:sz w:val="24"/>
              </w:rPr>
              <w:t>万元</w:t>
            </w:r>
            <w:r>
              <w:rPr>
                <w:rFonts w:ascii="宋体" w:hAnsi="宋体" w:cs="宋体"/>
                <w:color w:val="000000"/>
                <w:kern w:val="0"/>
                <w:sz w:val="24"/>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预算数</w:t>
            </w:r>
            <w:r>
              <w:rPr>
                <w:rFonts w:ascii="宋体" w:hAnsi="宋体" w:cs="宋体"/>
                <w:color w:val="000000"/>
                <w:kern w:val="0"/>
                <w:sz w:val="24"/>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仿宋_GB2312" w:hAnsi="宋体" w:eastAsia="仿宋_GB2312" w:cs="仿宋_GB2312"/>
                <w:kern w:val="2"/>
                <w:sz w:val="32"/>
                <w:szCs w:val="24"/>
                <w:lang w:val="en-US" w:eastAsia="zh-CN" w:bidi="ar"/>
              </w:rPr>
              <w:t>20万</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执行数</w:t>
            </w:r>
            <w:r>
              <w:rPr>
                <w:rFonts w:ascii="宋体" w:hAnsi="宋体" w:cs="宋体"/>
                <w:color w:val="000000"/>
                <w:kern w:val="0"/>
                <w:sz w:val="24"/>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仿宋_GB2312" w:hAnsi="宋体" w:eastAsia="仿宋_GB2312" w:cs="仿宋_GB2312"/>
                <w:kern w:val="2"/>
                <w:sz w:val="32"/>
                <w:szCs w:val="24"/>
                <w:lang w:val="en-US" w:eastAsia="zh-CN" w:bidi="ar"/>
              </w:rPr>
              <w:t>20万</w:t>
            </w:r>
          </w:p>
        </w:tc>
      </w:tr>
      <w:tr>
        <w:tblPrEx>
          <w:tblLayout w:type="fixed"/>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其中</w:t>
            </w:r>
            <w:r>
              <w:rPr>
                <w:rFonts w:ascii="宋体" w:cs="宋体"/>
                <w:color w:val="000000"/>
                <w:kern w:val="0"/>
                <w:sz w:val="24"/>
              </w:rPr>
              <w:t>-</w:t>
            </w:r>
            <w:r>
              <w:rPr>
                <w:rFonts w:hint="eastAsia" w:ascii="宋体" w:hAnsi="宋体" w:cs="宋体"/>
                <w:color w:val="000000"/>
                <w:kern w:val="0"/>
                <w:sz w:val="24"/>
              </w:rPr>
              <w:t>财政拨款</w:t>
            </w:r>
            <w:r>
              <w:rPr>
                <w:rFonts w:ascii="宋体" w:hAnsi="宋体" w:cs="宋体"/>
                <w:color w:val="000000"/>
                <w:kern w:val="0"/>
                <w:sz w:val="24"/>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仿宋_GB2312" w:hAnsi="宋体" w:eastAsia="仿宋_GB2312" w:cs="仿宋_GB2312"/>
                <w:kern w:val="2"/>
                <w:sz w:val="32"/>
                <w:szCs w:val="24"/>
                <w:lang w:val="en-US" w:eastAsia="zh-CN" w:bidi="ar"/>
              </w:rPr>
              <w:t>20万</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其中</w:t>
            </w:r>
            <w:r>
              <w:rPr>
                <w:rFonts w:ascii="宋体" w:cs="宋体"/>
                <w:color w:val="000000"/>
                <w:kern w:val="0"/>
                <w:sz w:val="24"/>
              </w:rPr>
              <w:t>-</w:t>
            </w:r>
            <w:r>
              <w:rPr>
                <w:rFonts w:hint="eastAsia" w:ascii="宋体" w:hAnsi="宋体" w:cs="宋体"/>
                <w:color w:val="000000"/>
                <w:kern w:val="0"/>
                <w:sz w:val="24"/>
              </w:rPr>
              <w:t>财政拨款</w:t>
            </w:r>
            <w:r>
              <w:rPr>
                <w:rFonts w:ascii="宋体" w:hAnsi="宋体" w:cs="宋体"/>
                <w:color w:val="000000"/>
                <w:kern w:val="0"/>
                <w:sz w:val="24"/>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仿宋_GB2312" w:hAnsi="宋体" w:eastAsia="仿宋_GB2312" w:cs="仿宋_GB2312"/>
                <w:kern w:val="2"/>
                <w:sz w:val="32"/>
                <w:szCs w:val="24"/>
                <w:lang w:val="en-US" w:eastAsia="zh-CN" w:bidi="ar"/>
              </w:rPr>
              <w:t>20万</w:t>
            </w:r>
          </w:p>
        </w:tc>
      </w:tr>
      <w:tr>
        <w:tblPrEx>
          <w:tblLayout w:type="fixed"/>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其它资金</w:t>
            </w:r>
            <w:r>
              <w:rPr>
                <w:rFonts w:ascii="宋体" w:hAnsi="宋体" w:cs="宋体"/>
                <w:color w:val="000000"/>
                <w:kern w:val="0"/>
                <w:sz w:val="24"/>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ascii="宋体" w:cs="宋体"/>
                <w:color w:val="000000"/>
                <w:kern w:val="0"/>
                <w:sz w:val="24"/>
              </w:rPr>
              <w:t>0</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其它资金</w:t>
            </w:r>
            <w:r>
              <w:rPr>
                <w:rFonts w:ascii="宋体" w:hAnsi="宋体" w:cs="宋体"/>
                <w:color w:val="000000"/>
                <w:kern w:val="0"/>
                <w:sz w:val="24"/>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rFonts w:hint="eastAsia" w:ascii="宋体" w:eastAsia="宋体" w:cs="宋体"/>
                <w:color w:val="000000"/>
                <w:sz w:val="24"/>
                <w:lang w:val="en-US" w:eastAsia="zh-CN"/>
              </w:rPr>
            </w:pPr>
            <w:r>
              <w:rPr>
                <w:rFonts w:hint="eastAsia" w:ascii="宋体" w:cs="宋体"/>
                <w:color w:val="000000"/>
                <w:sz w:val="24"/>
                <w:lang w:val="en-US" w:eastAsia="zh-CN"/>
              </w:rPr>
              <w:t>0</w:t>
            </w:r>
          </w:p>
        </w:tc>
      </w:tr>
      <w:tr>
        <w:tblPrEx>
          <w:tblLayout w:type="fixed"/>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年度目标完成情况</w:t>
            </w:r>
          </w:p>
        </w:tc>
        <w:tc>
          <w:tcPr>
            <w:tcW w:w="4784"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预期目标</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rPr>
              <w:t>实际完成目标</w:t>
            </w:r>
          </w:p>
        </w:tc>
      </w:tr>
      <w:tr>
        <w:tblPrEx>
          <w:tblLayout w:type="fixed"/>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cs="宋体"/>
                <w:color w:val="000000"/>
                <w:sz w:val="24"/>
              </w:rPr>
            </w:pPr>
          </w:p>
        </w:tc>
        <w:tc>
          <w:tcPr>
            <w:tcW w:w="4784"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eastAsia="宋体" w:cs="宋体"/>
                <w:color w:val="000000"/>
                <w:sz w:val="24"/>
                <w:lang w:eastAsia="zh-CN"/>
              </w:rPr>
            </w:pPr>
            <w:r>
              <w:rPr>
                <w:rFonts w:hint="eastAsia" w:ascii="宋体" w:cs="宋体"/>
                <w:color w:val="000000"/>
                <w:sz w:val="24"/>
                <w:lang w:eastAsia="zh-CN"/>
              </w:rPr>
              <w:t>修建草库项目款</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color w:val="000000"/>
                <w:sz w:val="24"/>
              </w:rPr>
            </w:pPr>
            <w:r>
              <w:rPr>
                <w:rFonts w:hint="eastAsia" w:ascii="宋体" w:hAnsi="宋体" w:cs="宋体"/>
                <w:color w:val="000000"/>
                <w:kern w:val="0"/>
                <w:sz w:val="24"/>
                <w:lang w:val="en-US" w:eastAsia="zh-CN"/>
              </w:rPr>
              <w:t>预计每年屯草70吨左右，可以为村民提供牲畜越冬物资，同时可</w:t>
            </w:r>
            <w:r>
              <w:rPr>
                <w:rFonts w:hint="eastAsia" w:ascii="宋体" w:hAnsi="宋体" w:cs="宋体"/>
                <w:color w:val="000000"/>
                <w:kern w:val="0"/>
                <w:sz w:val="24"/>
              </w:rPr>
              <w:t>缩短出栏周期2年</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预计可产生经济效益300万元</w:t>
            </w:r>
            <w:r>
              <w:rPr>
                <w:rFonts w:hint="eastAsia" w:ascii="宋体" w:hAnsi="宋体" w:cs="宋体"/>
                <w:color w:val="000000"/>
                <w:kern w:val="0"/>
                <w:sz w:val="24"/>
                <w:lang w:eastAsia="zh-CN"/>
              </w:rPr>
              <w:t>。</w:t>
            </w:r>
          </w:p>
        </w:tc>
      </w:tr>
    </w:tbl>
    <w:tbl>
      <w:tblPr>
        <w:tblStyle w:val="16"/>
        <w:tblpPr w:leftFromText="180" w:rightFromText="180" w:vertAnchor="text" w:horzAnchor="page" w:tblpX="981" w:tblpY="2219"/>
        <w:tblOverlap w:val="never"/>
        <w:tblW w:w="9969"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2378"/>
      </w:tblGrid>
      <w:tr>
        <w:tblPrEx>
          <w:tblLayout w:type="fixed"/>
          <w:tblCellMar>
            <w:top w:w="15" w:type="dxa"/>
            <w:left w:w="15" w:type="dxa"/>
            <w:bottom w:w="15" w:type="dxa"/>
            <w:right w:w="15" w:type="dxa"/>
          </w:tblCellMar>
        </w:tblPrEx>
        <w:trPr>
          <w:trHeight w:val="312"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lang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预期指标值(包含数字及文字描述)</w:t>
            </w:r>
          </w:p>
        </w:tc>
        <w:tc>
          <w:tcPr>
            <w:tcW w:w="237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实际完成指标值(包含数字及文字描述)</w:t>
            </w:r>
          </w:p>
        </w:tc>
      </w:tr>
      <w:tr>
        <w:tblPrEx>
          <w:tblLayout w:type="fixed"/>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237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r>
      <w:tr>
        <w:tblPrEx>
          <w:tblLayout w:type="fixed"/>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237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cs="宋体"/>
                <w:color w:val="000000"/>
                <w:sz w:val="20"/>
                <w:szCs w:val="20"/>
              </w:rPr>
            </w:pPr>
            <w:r>
              <w:rPr>
                <w:rFonts w:hint="eastAsia" w:ascii="宋体" w:hAnsi="宋体" w:cs="宋体"/>
                <w:color w:val="000000"/>
                <w:sz w:val="20"/>
                <w:szCs w:val="20"/>
              </w:rPr>
              <w:t xml:space="preserve">        1个</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 xml:space="preserve">     1个</w:t>
            </w:r>
          </w:p>
        </w:tc>
      </w:tr>
      <w:tr>
        <w:tblPrEx>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明确</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明确</w:t>
            </w:r>
          </w:p>
        </w:tc>
      </w:tr>
      <w:tr>
        <w:tblPrEx>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有</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有</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是</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是</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明确</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明确</w:t>
            </w:r>
          </w:p>
        </w:tc>
      </w:tr>
      <w:tr>
        <w:tblPrEx>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合理</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合理</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r>
      <w:tr>
        <w:tblPrEx>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合理</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合理</w:t>
            </w:r>
          </w:p>
        </w:tc>
      </w:tr>
      <w:tr>
        <w:tblPrEx>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r>
      <w:tr>
        <w:tblPrEx>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是</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规范</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规范</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规范</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规范</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履行</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履行</w:t>
            </w:r>
          </w:p>
        </w:tc>
      </w:tr>
      <w:tr>
        <w:tblPrEx>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否</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否</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严格</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严格</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好</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好</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无</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lang w:eastAsia="zh-CN"/>
              </w:rPr>
              <w:t>无</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lang w:eastAsia="zh-CN"/>
              </w:rPr>
              <w:t>无</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lang w:eastAsia="zh-CN"/>
              </w:rPr>
              <w:t>无</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lang w:eastAsia="zh-CN"/>
              </w:rPr>
              <w:t>无</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lang w:eastAsia="zh-CN"/>
              </w:rPr>
              <w:t>无</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lang w:eastAsia="zh-CN"/>
              </w:rPr>
              <w:t>无</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lang w:eastAsia="zh-CN"/>
              </w:rPr>
              <w:t>无</w:t>
            </w:r>
          </w:p>
        </w:tc>
      </w:tr>
      <w:tr>
        <w:tblPrEx>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满意</w:t>
            </w:r>
          </w:p>
        </w:tc>
        <w:tc>
          <w:tcPr>
            <w:tcW w:w="2378"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满意</w:t>
            </w:r>
          </w:p>
        </w:tc>
      </w:tr>
    </w:tbl>
    <w:p>
      <w:pPr>
        <w:rPr>
          <w:rFonts w:ascii="Calibri" w:hAnsi="Calibri"/>
        </w:rPr>
      </w:pPr>
    </w:p>
    <w:p>
      <w:pPr>
        <w:spacing w:line="580" w:lineRule="exact"/>
        <w:rPr>
          <w:rFonts w:ascii="仿宋_GB2312" w:hAnsi="仿宋_GB2312" w:eastAsia="仿宋_GB2312" w:cs="仿宋_GB2312"/>
          <w:sz w:val="32"/>
          <w:szCs w:val="32"/>
        </w:rPr>
      </w:pPr>
    </w:p>
    <w:p>
      <w:pPr>
        <w:numPr>
          <w:ilvl w:val="0"/>
          <w:numId w:val="5"/>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年部门整体支出绩效评价情况开展自评，《</w:t>
      </w:r>
      <w:r>
        <w:rPr>
          <w:rFonts w:hint="eastAsia" w:ascii="仿宋_GB2312" w:hAnsi="仿宋_GB2312" w:eastAsia="仿宋_GB2312" w:cs="仿宋_GB2312"/>
          <w:sz w:val="32"/>
          <w:szCs w:val="32"/>
          <w:lang w:eastAsia="zh-CN"/>
        </w:rPr>
        <w:t>查尔玛乡人民政府</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年部门整体支出绩效评价报告》见附件。</w:t>
      </w:r>
    </w:p>
    <w:p>
      <w:pPr>
        <w:spacing w:line="580" w:lineRule="exact"/>
        <w:ind w:firstLine="640" w:firstLineChars="200"/>
        <w:rPr>
          <w:rFonts w:ascii="方正小标宋简体" w:hAnsi="方正小标宋简体" w:eastAsia="方正小标宋简体" w:cs="方正小标宋简体"/>
          <w:sz w:val="44"/>
          <w:szCs w:val="44"/>
        </w:rPr>
      </w:pPr>
      <w:r>
        <w:rPr>
          <w:rFonts w:hint="eastAsia" w:ascii="仿宋_GB2312" w:hAnsi="仿宋_GB2312" w:eastAsia="仿宋_GB2312" w:cs="仿宋_GB2312"/>
          <w:sz w:val="32"/>
          <w:szCs w:val="32"/>
        </w:rPr>
        <w:t>本部门自行组织对</w:t>
      </w:r>
      <w:r>
        <w:rPr>
          <w:rFonts w:hint="eastAsia" w:ascii="仿宋_GB2312" w:hAnsi="仿宋_GB2312" w:eastAsia="仿宋_GB2312" w:cs="仿宋_GB2312"/>
          <w:sz w:val="32"/>
          <w:szCs w:val="32"/>
          <w:lang w:eastAsia="zh-CN"/>
        </w:rPr>
        <w:t>红原县查尔玛乡什布龙村草料库建设项目</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红原县查尔玛乡什布龙村草料库建设项目</w:t>
      </w:r>
      <w:r>
        <w:rPr>
          <w:rFonts w:hint="eastAsia" w:ascii="仿宋_GB2312" w:hAnsi="仿宋_GB2312" w:eastAsia="仿宋_GB2312" w:cs="仿宋_GB2312"/>
          <w:sz w:val="32"/>
          <w:szCs w:val="32"/>
        </w:rPr>
        <w:t>开展了绩效评价，《</w:t>
      </w:r>
      <w:r>
        <w:rPr>
          <w:rFonts w:hint="eastAsia" w:ascii="仿宋_GB2312" w:hAnsi="仿宋_GB2312" w:eastAsia="仿宋_GB2312" w:cs="仿宋_GB2312"/>
          <w:sz w:val="32"/>
          <w:szCs w:val="32"/>
          <w:lang w:eastAsia="zh-CN"/>
        </w:rPr>
        <w:t>红原县查尔玛乡什布龙村草料库建设项目</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年绩效评价报告》见附件。（非涉密部门均需公开部门整体支出评价报告，部门自行组织的绩效评价情况根据部门实际公开）</w:t>
      </w:r>
    </w:p>
    <w:p>
      <w:pPr>
        <w:spacing w:line="600" w:lineRule="exact"/>
        <w:ind w:firstLine="800" w:firstLineChars="250"/>
        <w:outlineLvl w:val="1"/>
        <w:rPr>
          <w:rStyle w:val="18"/>
          <w:rFonts w:ascii="黑体" w:hAnsi="黑体" w:eastAsia="黑体"/>
        </w:rPr>
      </w:pPr>
      <w:bookmarkStart w:id="47" w:name="_Toc15377221"/>
      <w:bookmarkStart w:id="48" w:name="_Toc15396612"/>
      <w:r>
        <w:rPr>
          <w:rFonts w:hint="eastAsia" w:ascii="黑体" w:hAnsi="黑体" w:eastAsia="黑体"/>
          <w:color w:val="000000"/>
          <w:sz w:val="32"/>
          <w:szCs w:val="32"/>
        </w:rPr>
        <w:t>十</w:t>
      </w:r>
      <w:r>
        <w:rPr>
          <w:rStyle w:val="18"/>
          <w:rFonts w:hint="eastAsia" w:ascii="黑体" w:hAnsi="黑体" w:eastAsia="黑体"/>
        </w:rPr>
        <w:t>一、</w:t>
      </w:r>
      <w:r>
        <w:rPr>
          <w:rStyle w:val="18"/>
          <w:rFonts w:hint="eastAsia" w:ascii="黑体" w:hAnsi="黑体" w:eastAsia="黑体"/>
          <w:b w:val="0"/>
        </w:rPr>
        <w:t>其他重要事项的情况说明</w:t>
      </w:r>
      <w:bookmarkEnd w:id="47"/>
      <w:bookmarkEnd w:id="48"/>
    </w:p>
    <w:p>
      <w:pPr>
        <w:spacing w:line="600" w:lineRule="exact"/>
        <w:ind w:firstLine="643" w:firstLineChars="200"/>
        <w:outlineLvl w:val="2"/>
        <w:rPr>
          <w:rFonts w:ascii="仿宋" w:hAnsi="仿宋" w:eastAsia="仿宋"/>
          <w:color w:val="000000"/>
          <w:sz w:val="32"/>
          <w:szCs w:val="32"/>
        </w:rPr>
      </w:pPr>
      <w:bookmarkStart w:id="49" w:name="_Toc15377222"/>
      <w:r>
        <w:rPr>
          <w:rFonts w:hint="eastAsia" w:ascii="仿宋" w:hAnsi="仿宋" w:eastAsia="仿宋"/>
          <w:b/>
          <w:color w:val="000000"/>
          <w:sz w:val="32"/>
          <w:szCs w:val="32"/>
        </w:rPr>
        <w:t>（一）机关运行经费支出情况</w:t>
      </w:r>
      <w:bookmarkEnd w:id="49"/>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w:t>
      </w:r>
      <w:r>
        <w:rPr>
          <w:rFonts w:hint="eastAsia" w:ascii="仿宋_GB2312" w:eastAsia="仿宋_GB2312"/>
          <w:color w:val="000000"/>
          <w:sz w:val="32"/>
          <w:szCs w:val="32"/>
          <w:lang w:eastAsia="zh-CN"/>
        </w:rPr>
        <w:t>查尔玛乡</w:t>
      </w:r>
      <w:r>
        <w:rPr>
          <w:rFonts w:hint="eastAsia" w:ascii="仿宋_GB2312" w:eastAsia="仿宋_GB2312"/>
          <w:color w:val="000000"/>
          <w:sz w:val="32"/>
          <w:szCs w:val="32"/>
        </w:rPr>
        <w:t>机关运行经费支出</w:t>
      </w:r>
      <w:r>
        <w:rPr>
          <w:rFonts w:ascii="仿宋_GB2312" w:eastAsia="仿宋_GB2312"/>
          <w:color w:val="000000"/>
          <w:sz w:val="32"/>
          <w:szCs w:val="32"/>
        </w:rPr>
        <w:t>8.92</w:t>
      </w:r>
      <w:r>
        <w:rPr>
          <w:rFonts w:hint="eastAsia" w:ascii="仿宋_GB2312" w:eastAsia="仿宋_GB2312"/>
          <w:color w:val="000000"/>
          <w:sz w:val="32"/>
          <w:szCs w:val="32"/>
        </w:rPr>
        <w:t>万元，比</w:t>
      </w:r>
      <w:r>
        <w:rPr>
          <w:rFonts w:ascii="仿宋_GB2312" w:eastAsia="仿宋_GB2312"/>
          <w:color w:val="000000"/>
          <w:sz w:val="32"/>
          <w:szCs w:val="32"/>
        </w:rPr>
        <w:t>2017</w:t>
      </w:r>
      <w:r>
        <w:rPr>
          <w:rFonts w:hint="eastAsia" w:ascii="仿宋_GB2312" w:eastAsia="仿宋_GB2312"/>
          <w:color w:val="000000"/>
          <w:sz w:val="32"/>
          <w:szCs w:val="32"/>
        </w:rPr>
        <w:t>年增加</w:t>
      </w:r>
      <w:r>
        <w:rPr>
          <w:rFonts w:ascii="仿宋_GB2312" w:eastAsia="仿宋_GB2312"/>
          <w:color w:val="000000"/>
          <w:sz w:val="32"/>
          <w:szCs w:val="32"/>
        </w:rPr>
        <w:t>8.92</w:t>
      </w:r>
      <w:r>
        <w:rPr>
          <w:rFonts w:hint="eastAsia" w:ascii="仿宋_GB2312" w:eastAsia="仿宋_GB2312"/>
          <w:color w:val="000000"/>
          <w:sz w:val="32"/>
          <w:szCs w:val="32"/>
        </w:rPr>
        <w:t>万元，增长</w:t>
      </w:r>
      <w:r>
        <w:rPr>
          <w:rFonts w:ascii="仿宋_GB2312" w:eastAsia="仿宋_GB2312"/>
          <w:color w:val="000000"/>
          <w:sz w:val="32"/>
          <w:szCs w:val="32"/>
        </w:rPr>
        <w:t>100%</w:t>
      </w:r>
      <w:r>
        <w:rPr>
          <w:rFonts w:hint="eastAsia" w:ascii="仿宋_GB2312" w:eastAsia="仿宋_GB2312"/>
          <w:color w:val="000000"/>
          <w:sz w:val="32"/>
          <w:szCs w:val="32"/>
        </w:rPr>
        <w:t>。主要原因是公务用车维修维护费用增加。</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0" w:name="_Toc15377223"/>
      <w:r>
        <w:rPr>
          <w:rFonts w:hint="eastAsia" w:ascii="仿宋" w:hAnsi="仿宋" w:eastAsia="仿宋"/>
          <w:b/>
          <w:color w:val="000000"/>
          <w:sz w:val="32"/>
          <w:szCs w:val="32"/>
        </w:rPr>
        <w:t>（二）政府采购支出情况</w:t>
      </w:r>
      <w:bookmarkEnd w:id="50"/>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w:t>
      </w:r>
      <w:r>
        <w:rPr>
          <w:rFonts w:hint="eastAsia" w:ascii="仿宋_GB2312" w:eastAsia="仿宋_GB2312"/>
          <w:color w:val="000000"/>
          <w:sz w:val="32"/>
          <w:szCs w:val="32"/>
          <w:lang w:eastAsia="zh-CN"/>
        </w:rPr>
        <w:t>查尔玛乡</w:t>
      </w:r>
      <w:r>
        <w:rPr>
          <w:rFonts w:hint="eastAsia" w:ascii="仿宋_GB2312" w:eastAsia="仿宋_GB2312"/>
          <w:color w:val="000000"/>
          <w:sz w:val="32"/>
          <w:szCs w:val="32"/>
        </w:rPr>
        <w:t>政府采购支出总额</w:t>
      </w:r>
      <w:r>
        <w:rPr>
          <w:rFonts w:ascii="仿宋_GB2312" w:eastAsia="仿宋_GB2312"/>
          <w:color w:val="000000"/>
          <w:sz w:val="32"/>
          <w:szCs w:val="32"/>
        </w:rPr>
        <w:t>0</w:t>
      </w:r>
      <w:r>
        <w:rPr>
          <w:rFonts w:hint="eastAsia" w:ascii="仿宋_GB2312" w:eastAsia="仿宋_GB2312"/>
          <w:color w:val="000000"/>
          <w:sz w:val="32"/>
          <w:szCs w:val="32"/>
        </w:rPr>
        <w:t>万元，其中：政府采购货物支出</w:t>
      </w:r>
      <w:r>
        <w:rPr>
          <w:rFonts w:ascii="仿宋_GB2312" w:eastAsia="仿宋_GB2312"/>
          <w:color w:val="000000"/>
          <w:sz w:val="32"/>
          <w:szCs w:val="32"/>
        </w:rPr>
        <w:t>0</w:t>
      </w:r>
      <w:r>
        <w:rPr>
          <w:rFonts w:hint="eastAsia" w:ascii="仿宋_GB2312" w:eastAsia="仿宋_GB2312"/>
          <w:color w:val="000000"/>
          <w:sz w:val="32"/>
          <w:szCs w:val="32"/>
        </w:rPr>
        <w:t>万元、政府采购工程支出</w:t>
      </w:r>
      <w:r>
        <w:rPr>
          <w:rFonts w:ascii="仿宋_GB2312" w:eastAsia="仿宋_GB2312"/>
          <w:color w:val="000000"/>
          <w:sz w:val="32"/>
          <w:szCs w:val="32"/>
        </w:rPr>
        <w:t>0</w:t>
      </w:r>
      <w:r>
        <w:rPr>
          <w:rFonts w:hint="eastAsia" w:ascii="仿宋_GB2312" w:eastAsia="仿宋_GB2312"/>
          <w:color w:val="000000"/>
          <w:sz w:val="32"/>
          <w:szCs w:val="32"/>
        </w:rPr>
        <w:t>万元、政府采购服务支出</w:t>
      </w:r>
      <w:r>
        <w:rPr>
          <w:rFonts w:ascii="仿宋_GB2312" w:eastAsia="仿宋_GB2312"/>
          <w:color w:val="000000"/>
          <w:sz w:val="32"/>
          <w:szCs w:val="32"/>
        </w:rPr>
        <w:t>0</w:t>
      </w:r>
      <w:r>
        <w:rPr>
          <w:rFonts w:hint="eastAsia" w:ascii="仿宋_GB2312" w:eastAsia="仿宋_GB2312"/>
          <w:color w:val="000000"/>
          <w:sz w:val="32"/>
          <w:szCs w:val="32"/>
        </w:rPr>
        <w:t>万元。授予中小企业合同金额</w:t>
      </w:r>
      <w:r>
        <w:rPr>
          <w:rFonts w:ascii="仿宋_GB2312" w:eastAsia="仿宋_GB2312"/>
          <w:color w:val="000000"/>
          <w:sz w:val="32"/>
          <w:szCs w:val="32"/>
        </w:rPr>
        <w:t>0</w:t>
      </w:r>
      <w:r>
        <w:rPr>
          <w:rFonts w:hint="eastAsia" w:ascii="仿宋_GB2312" w:eastAsia="仿宋_GB2312"/>
          <w:color w:val="000000"/>
          <w:sz w:val="32"/>
          <w:szCs w:val="32"/>
        </w:rPr>
        <w:t>万元，占政府采购支出总额的</w:t>
      </w:r>
      <w:r>
        <w:rPr>
          <w:rFonts w:ascii="仿宋_GB2312" w:eastAsia="仿宋_GB2312"/>
          <w:color w:val="000000"/>
          <w:sz w:val="32"/>
          <w:szCs w:val="32"/>
        </w:rPr>
        <w:t>0%</w:t>
      </w:r>
      <w:r>
        <w:rPr>
          <w:rFonts w:hint="eastAsia" w:ascii="仿宋_GB2312" w:eastAsia="仿宋_GB2312"/>
          <w:color w:val="000000"/>
          <w:sz w:val="32"/>
          <w:szCs w:val="32"/>
        </w:rPr>
        <w:t>，其中：授予小微企业合同金额</w:t>
      </w:r>
      <w:r>
        <w:rPr>
          <w:rFonts w:ascii="仿宋_GB2312" w:eastAsia="仿宋_GB2312"/>
          <w:color w:val="000000"/>
          <w:sz w:val="32"/>
          <w:szCs w:val="32"/>
        </w:rPr>
        <w:t>0</w:t>
      </w:r>
      <w:r>
        <w:rPr>
          <w:rFonts w:hint="eastAsia" w:ascii="仿宋_GB2312" w:eastAsia="仿宋_GB2312"/>
          <w:color w:val="000000"/>
          <w:sz w:val="32"/>
          <w:szCs w:val="32"/>
        </w:rPr>
        <w:t>万元，占政府采购支出总额的</w:t>
      </w:r>
      <w:r>
        <w:rPr>
          <w:rFonts w:ascii="仿宋_GB2312" w:eastAsia="仿宋_GB2312"/>
          <w:color w:val="000000"/>
          <w:sz w:val="32"/>
          <w:szCs w:val="32"/>
        </w:rPr>
        <w:t>0%</w:t>
      </w:r>
      <w:r>
        <w:rPr>
          <w:rFonts w:hint="eastAsia" w:ascii="仿宋_GB2312" w:eastAsia="仿宋_GB2312"/>
          <w:color w:val="000000"/>
          <w:sz w:val="32"/>
          <w:szCs w:val="32"/>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1" w:name="_Toc15377224"/>
      <w:r>
        <w:rPr>
          <w:rFonts w:hint="eastAsia" w:ascii="仿宋" w:hAnsi="仿宋" w:eastAsia="仿宋"/>
          <w:b/>
          <w:color w:val="000000"/>
          <w:sz w:val="32"/>
          <w:szCs w:val="32"/>
        </w:rPr>
        <w:t>（三）国有资产占有使用情况</w:t>
      </w:r>
      <w:bookmarkEnd w:id="51"/>
    </w:p>
    <w:p>
      <w:pPr>
        <w:autoSpaceDE w:val="0"/>
        <w:autoSpaceDN w:val="0"/>
        <w:adjustRightInd w:val="0"/>
        <w:spacing w:line="60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2018</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查尔玛乡</w:t>
      </w:r>
      <w:r>
        <w:rPr>
          <w:rFonts w:hint="eastAsia" w:ascii="仿宋_GB2312" w:eastAsia="仿宋_GB2312"/>
          <w:color w:val="000000"/>
          <w:sz w:val="32"/>
          <w:szCs w:val="32"/>
        </w:rPr>
        <w:t>共有车辆</w:t>
      </w:r>
      <w:r>
        <w:rPr>
          <w:rFonts w:ascii="仿宋_GB2312" w:eastAsia="仿宋_GB2312"/>
          <w:color w:val="000000"/>
          <w:sz w:val="32"/>
          <w:szCs w:val="32"/>
        </w:rPr>
        <w:t>2</w:t>
      </w:r>
      <w:r>
        <w:rPr>
          <w:rFonts w:hint="eastAsia" w:ascii="仿宋_GB2312" w:eastAsia="仿宋_GB2312"/>
          <w:color w:val="000000"/>
          <w:sz w:val="32"/>
          <w:szCs w:val="32"/>
        </w:rPr>
        <w:t>辆，其中：部级领导干部用车</w:t>
      </w:r>
      <w:r>
        <w:rPr>
          <w:rFonts w:ascii="仿宋_GB2312" w:eastAsia="仿宋_GB2312"/>
          <w:color w:val="000000"/>
          <w:sz w:val="32"/>
          <w:szCs w:val="32"/>
        </w:rPr>
        <w:t>0</w:t>
      </w:r>
      <w:r>
        <w:rPr>
          <w:rFonts w:hint="eastAsia" w:ascii="仿宋_GB2312" w:eastAsia="仿宋_GB2312"/>
          <w:color w:val="000000"/>
          <w:sz w:val="32"/>
          <w:szCs w:val="32"/>
        </w:rPr>
        <w:t>辆、一般公务用车</w:t>
      </w:r>
      <w:r>
        <w:rPr>
          <w:rFonts w:ascii="仿宋_GB2312" w:eastAsia="仿宋_GB2312"/>
          <w:color w:val="000000"/>
          <w:sz w:val="32"/>
          <w:szCs w:val="32"/>
        </w:rPr>
        <w:t>2</w:t>
      </w:r>
      <w:r>
        <w:rPr>
          <w:rFonts w:hint="eastAsia" w:ascii="仿宋_GB2312" w:eastAsia="仿宋_GB2312"/>
          <w:color w:val="000000"/>
          <w:sz w:val="32"/>
          <w:szCs w:val="32"/>
        </w:rPr>
        <w:t>辆、一般执法执勤用车</w:t>
      </w:r>
      <w:r>
        <w:rPr>
          <w:rFonts w:ascii="仿宋_GB2312" w:eastAsia="仿宋_GB2312"/>
          <w:color w:val="000000"/>
          <w:sz w:val="32"/>
          <w:szCs w:val="32"/>
        </w:rPr>
        <w:t>0</w:t>
      </w:r>
      <w:r>
        <w:rPr>
          <w:rFonts w:hint="eastAsia" w:ascii="仿宋_GB2312" w:eastAsia="仿宋_GB2312"/>
          <w:color w:val="000000"/>
          <w:sz w:val="32"/>
          <w:szCs w:val="32"/>
        </w:rPr>
        <w:t>辆、特种专业技术用车</w:t>
      </w:r>
      <w:r>
        <w:rPr>
          <w:rFonts w:ascii="仿宋_GB2312" w:eastAsia="仿宋_GB2312"/>
          <w:color w:val="000000"/>
          <w:sz w:val="32"/>
          <w:szCs w:val="32"/>
        </w:rPr>
        <w:t>0</w:t>
      </w:r>
      <w:r>
        <w:rPr>
          <w:rFonts w:hint="eastAsia" w:ascii="仿宋_GB2312" w:eastAsia="仿宋_GB2312"/>
          <w:color w:val="000000"/>
          <w:sz w:val="32"/>
          <w:szCs w:val="32"/>
        </w:rPr>
        <w:t>辆、其他用车</w:t>
      </w:r>
      <w:r>
        <w:rPr>
          <w:rFonts w:ascii="仿宋_GB2312" w:eastAsia="仿宋_GB2312"/>
          <w:color w:val="000000"/>
          <w:sz w:val="32"/>
          <w:szCs w:val="32"/>
        </w:rPr>
        <w:t>0</w:t>
      </w:r>
      <w:r>
        <w:rPr>
          <w:rFonts w:hint="eastAsia" w:ascii="仿宋_GB2312" w:eastAsia="仿宋_GB2312"/>
          <w:color w:val="000000"/>
          <w:sz w:val="32"/>
          <w:szCs w:val="32"/>
        </w:rPr>
        <w:t>辆</w:t>
      </w:r>
      <w:r>
        <w:rPr>
          <w:rFonts w:hint="eastAsia" w:ascii="仿宋_GB2312" w:eastAsia="仿宋_GB2312"/>
          <w:color w:val="000000"/>
          <w:sz w:val="32"/>
          <w:szCs w:val="32"/>
          <w:lang w:eastAsia="zh-CN"/>
        </w:rPr>
        <w:t>，价值</w:t>
      </w:r>
      <w:r>
        <w:rPr>
          <w:rFonts w:hint="eastAsia" w:ascii="仿宋_GB2312" w:eastAsia="仿宋_GB2312"/>
          <w:color w:val="000000"/>
          <w:sz w:val="32"/>
          <w:szCs w:val="32"/>
          <w:lang w:val="en-US" w:eastAsia="zh-CN"/>
        </w:rPr>
        <w:t>27.26万元</w:t>
      </w:r>
      <w:r>
        <w:rPr>
          <w:rFonts w:hint="eastAsia" w:ascii="仿宋_GB2312" w:eastAsia="仿宋_GB2312"/>
          <w:color w:val="000000"/>
          <w:sz w:val="32"/>
          <w:szCs w:val="32"/>
        </w:rPr>
        <w:t>。</w:t>
      </w:r>
      <w:r>
        <w:rPr>
          <w:rFonts w:hint="eastAsia" w:ascii="仿宋_GB2312" w:eastAsia="仿宋_GB2312"/>
          <w:color w:val="000000"/>
          <w:sz w:val="32"/>
          <w:szCs w:val="32"/>
          <w:lang w:eastAsia="zh-CN"/>
        </w:rPr>
        <w:t>房屋</w:t>
      </w:r>
      <w:r>
        <w:rPr>
          <w:rFonts w:hint="eastAsia" w:ascii="仿宋_GB2312" w:eastAsia="仿宋_GB2312"/>
          <w:color w:val="000000"/>
          <w:sz w:val="32"/>
          <w:szCs w:val="32"/>
          <w:lang w:val="en-US" w:eastAsia="zh-CN"/>
        </w:rPr>
        <w:t>1182平方米，价值100.68万元；其他固定资产1.95万元。</w:t>
      </w:r>
    </w:p>
    <w:p>
      <w:pPr>
        <w:pStyle w:val="2"/>
        <w:rPr>
          <w:rFonts w:hint="eastAsia" w:ascii="仿宋" w:hAnsi="仿宋" w:eastAsia="仿宋"/>
          <w:b/>
          <w:color w:val="000000"/>
          <w:sz w:val="32"/>
          <w:szCs w:val="32"/>
        </w:rPr>
      </w:pPr>
    </w:p>
    <w:p>
      <w:pPr>
        <w:pStyle w:val="2"/>
        <w:rPr>
          <w:rFonts w:hint="eastAsia" w:ascii="仿宋" w:hAnsi="仿宋" w:eastAsia="仿宋"/>
          <w:b/>
          <w:color w:val="000000"/>
          <w:sz w:val="32"/>
          <w:szCs w:val="32"/>
        </w:rPr>
      </w:pPr>
    </w:p>
    <w:p>
      <w:pPr>
        <w:pStyle w:val="2"/>
        <w:rPr>
          <w:rFonts w:hint="eastAsia" w:ascii="仿宋" w:hAnsi="仿宋" w:eastAsia="仿宋"/>
          <w:b/>
          <w:color w:val="000000"/>
          <w:sz w:val="32"/>
          <w:szCs w:val="32"/>
        </w:rPr>
      </w:pPr>
    </w:p>
    <w:p>
      <w:pPr>
        <w:numPr>
          <w:ilvl w:val="0"/>
          <w:numId w:val="6"/>
        </w:numPr>
        <w:spacing w:line="600" w:lineRule="exact"/>
        <w:ind w:firstLine="663" w:firstLineChars="150"/>
        <w:jc w:val="center"/>
        <w:outlineLvl w:val="0"/>
        <w:rPr>
          <w:rStyle w:val="17"/>
          <w:rFonts w:ascii="黑体" w:hAnsi="黑体" w:eastAsia="黑体"/>
          <w:b w:val="0"/>
        </w:rPr>
      </w:pPr>
      <w:bookmarkStart w:id="52" w:name="_Toc15396613"/>
      <w:bookmarkStart w:id="53" w:name="_Toc15377225"/>
      <w:r>
        <w:rPr>
          <w:rFonts w:hint="eastAsia" w:ascii="黑体" w:hAnsi="黑体" w:eastAsia="黑体"/>
          <w:b/>
          <w:color w:val="000000"/>
          <w:sz w:val="44"/>
          <w:szCs w:val="44"/>
        </w:rPr>
        <w:t>名</w:t>
      </w:r>
      <w:r>
        <w:rPr>
          <w:rStyle w:val="17"/>
          <w:rFonts w:hint="eastAsia" w:ascii="黑体" w:hAnsi="黑体" w:eastAsia="黑体"/>
          <w:b w:val="0"/>
        </w:rPr>
        <w:t>词解释</w:t>
      </w:r>
      <w:bookmarkEnd w:id="52"/>
      <w:bookmarkEnd w:id="53"/>
    </w:p>
    <w:p>
      <w:pPr>
        <w:spacing w:line="600" w:lineRule="exact"/>
        <w:jc w:val="left"/>
        <w:rPr>
          <w:rFonts w:ascii="宋体"/>
          <w:b/>
          <w:color w:val="000000"/>
          <w:sz w:val="44"/>
          <w:szCs w:val="44"/>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1.财政拨款收入：指单位从同级财政部门取得的财政预算资金。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2.其他收入：指单位取得财政拨款收入以外的各项收入。主要是</w:t>
      </w:r>
      <w:r>
        <w:rPr>
          <w:rFonts w:hint="eastAsia" w:ascii="仿宋_GB2312" w:eastAsia="仿宋_GB2312"/>
          <w:color w:val="000000"/>
          <w:sz w:val="32"/>
          <w:szCs w:val="32"/>
          <w:lang w:eastAsia="zh-CN"/>
        </w:rPr>
        <w:t>眉山援建项目收入</w:t>
      </w:r>
      <w:r>
        <w:rPr>
          <w:rFonts w:hint="eastAsia" w:ascii="仿宋_GB2312" w:eastAsia="仿宋_GB2312"/>
          <w:color w:val="000000"/>
          <w:sz w:val="32"/>
          <w:szCs w:val="32"/>
        </w:rPr>
        <w:t>等。</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3.年初结转和结余：指以前年度尚未完成、结转到本年按有关规定继续使用的资金。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4、年末结转和结余：指单位按有关规定结转到下年或以后年度继续使用的资金。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5. 一般公共服务（类）201（款）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（项）01——行政运行：反映行政单位（包括实行公务员管理的事业单位）的基本支出反映行政单位（包括实行公务员管理的事业单位）的基本支出。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6. 一般公共服务（类）201（款）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04</w:t>
      </w:r>
      <w:r>
        <w:rPr>
          <w:rFonts w:hint="eastAsia" w:ascii="仿宋_GB2312" w:eastAsia="仿宋_GB2312"/>
          <w:color w:val="000000"/>
          <w:sz w:val="32"/>
          <w:szCs w:val="32"/>
        </w:rPr>
        <w:t>——</w:t>
      </w:r>
      <w:r>
        <w:rPr>
          <w:rFonts w:hint="eastAsia" w:ascii="仿宋_GB2312" w:eastAsia="仿宋_GB2312"/>
          <w:color w:val="000000"/>
          <w:sz w:val="32"/>
          <w:szCs w:val="32"/>
          <w:lang w:eastAsia="zh-CN"/>
        </w:rPr>
        <w:t>人大会议费</w:t>
      </w:r>
      <w:r>
        <w:rPr>
          <w:rFonts w:hint="eastAsia" w:ascii="仿宋_GB2312" w:eastAsia="仿宋_GB2312"/>
          <w:color w:val="000000"/>
          <w:sz w:val="32"/>
          <w:szCs w:val="32"/>
        </w:rPr>
        <w:t>：反映各级人大召开"人代会"等专门会议的支出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7. 一般公共服务（类）201（款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（项）0</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w:t>
      </w:r>
      <w:r>
        <w:rPr>
          <w:rFonts w:hint="eastAsia" w:ascii="仿宋_GB2312" w:eastAsia="仿宋_GB2312"/>
          <w:color w:val="000000"/>
          <w:sz w:val="32"/>
          <w:szCs w:val="32"/>
          <w:lang w:eastAsia="zh-CN"/>
        </w:rPr>
        <w:t>行政运行</w:t>
      </w:r>
      <w:r>
        <w:rPr>
          <w:rFonts w:hint="eastAsia" w:ascii="仿宋_GB2312" w:eastAsia="仿宋_GB2312"/>
          <w:color w:val="000000"/>
          <w:sz w:val="32"/>
          <w:szCs w:val="32"/>
        </w:rPr>
        <w:t>：反映各级政府办公厅（室）及相关机构的支出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8. 一般公共服务（类）201（款）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（项）99——其他政府办公厅（室）及相关机构事务支出：反映除上述项目以外的其他政府办公厅（室）及相关机构事务支出</w:t>
      </w:r>
      <w:r>
        <w:rPr>
          <w:rFonts w:hint="eastAsia" w:ascii="仿宋_GB2312" w:eastAsia="仿宋_GB2312"/>
          <w:color w:val="000000"/>
          <w:sz w:val="32"/>
          <w:szCs w:val="32"/>
          <w:lang w:eastAsia="zh-CN"/>
        </w:rPr>
        <w:t>。</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 一般公共服务（类）201（款）</w:t>
      </w:r>
      <w:r>
        <w:rPr>
          <w:rFonts w:hint="eastAsia" w:ascii="仿宋_GB2312" w:eastAsia="仿宋_GB2312"/>
          <w:color w:val="000000"/>
          <w:sz w:val="32"/>
          <w:szCs w:val="32"/>
          <w:lang w:val="en-US" w:eastAsia="zh-CN"/>
        </w:rPr>
        <w:t>06</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w:t>
      </w:r>
      <w:r>
        <w:rPr>
          <w:rFonts w:hint="eastAsia" w:ascii="仿宋_GB2312" w:eastAsia="仿宋_GB2312"/>
          <w:color w:val="000000"/>
          <w:sz w:val="32"/>
          <w:szCs w:val="32"/>
          <w:lang w:eastAsia="zh-CN"/>
        </w:rPr>
        <w:t>行政运行</w:t>
      </w:r>
      <w:r>
        <w:rPr>
          <w:rFonts w:hint="eastAsia" w:ascii="仿宋_GB2312" w:eastAsia="仿宋_GB2312"/>
          <w:color w:val="000000"/>
          <w:sz w:val="32"/>
          <w:szCs w:val="32"/>
        </w:rPr>
        <w:t>: 反映财政事务方面的支出。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10</w:t>
      </w:r>
      <w:r>
        <w:rPr>
          <w:rFonts w:hint="eastAsia" w:ascii="仿宋_GB2312" w:eastAsia="仿宋_GB2312"/>
          <w:color w:val="000000"/>
          <w:sz w:val="32"/>
          <w:szCs w:val="32"/>
        </w:rPr>
        <w:t>. 一般公共服务（类）201（款）</w:t>
      </w:r>
      <w:r>
        <w:rPr>
          <w:rFonts w:hint="eastAsia" w:ascii="仿宋_GB2312" w:eastAsia="仿宋_GB2312"/>
          <w:color w:val="000000"/>
          <w:sz w:val="32"/>
          <w:szCs w:val="32"/>
          <w:lang w:val="en-US" w:eastAsia="zh-CN"/>
        </w:rPr>
        <w:t>31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w:t>
      </w:r>
      <w:r>
        <w:rPr>
          <w:rFonts w:hint="eastAsia" w:ascii="仿宋_GB2312" w:eastAsia="仿宋_GB2312"/>
          <w:color w:val="000000"/>
          <w:sz w:val="32"/>
          <w:szCs w:val="32"/>
          <w:lang w:eastAsia="zh-CN"/>
        </w:rPr>
        <w:t>其它政府办公厅及相关事务支出</w:t>
      </w:r>
      <w:r>
        <w:rPr>
          <w:rFonts w:hint="eastAsia" w:ascii="仿宋_GB2312" w:eastAsia="仿宋_GB2312"/>
          <w:color w:val="000000"/>
          <w:sz w:val="32"/>
          <w:szCs w:val="32"/>
        </w:rPr>
        <w:t xml:space="preserve">:反映行政单位（包括实行公务员管理的事业单位）的基本支出 </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.社会保障和就业支出（类）208（款）05（项）05——机关事业单位基本养老保险缴费支出：反映机关事业单位实施养老保险制度的单位缴纳的基本养老保险费支出。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 社会保障和就业支出（类）208（款）05（项）06——机关事业单位职业年金缴费支出：反映机关事业单位实施养老保险制度匝单位缴纳的职业年金支出。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.医疗卫生与计划生育支出(类）210（款）</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（项）01——行政单位医疗：反映财政部门集中安排的公务员医疗补助经费。</w:t>
      </w:r>
    </w:p>
    <w:p>
      <w:pPr>
        <w:autoSpaceDE w:val="0"/>
        <w:autoSpaceDN w:val="0"/>
        <w:adjustRightInd w:val="0"/>
        <w:spacing w:line="600"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.医疗卫生与计划生育支出(类）210（款）</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（项）0</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w:t>
      </w:r>
      <w:r>
        <w:rPr>
          <w:rFonts w:hint="eastAsia" w:ascii="仿宋_GB2312" w:eastAsia="仿宋_GB2312"/>
          <w:color w:val="000000"/>
          <w:sz w:val="32"/>
          <w:szCs w:val="32"/>
          <w:lang w:eastAsia="zh-CN"/>
        </w:rPr>
        <w:t>事业</w:t>
      </w:r>
      <w:r>
        <w:rPr>
          <w:rFonts w:hint="eastAsia" w:ascii="仿宋_GB2312" w:eastAsia="仿宋_GB2312"/>
          <w:color w:val="000000"/>
          <w:sz w:val="32"/>
          <w:szCs w:val="32"/>
        </w:rPr>
        <w:t>单位医疗</w:t>
      </w:r>
      <w:r>
        <w:rPr>
          <w:rFonts w:hint="eastAsia" w:ascii="仿宋_GB2312" w:eastAsia="仿宋_GB2312"/>
          <w:color w:val="000000"/>
          <w:sz w:val="32"/>
          <w:szCs w:val="32"/>
          <w:lang w:eastAsia="zh-CN"/>
        </w:rPr>
        <w:t>：</w:t>
      </w:r>
      <w:r>
        <w:rPr>
          <w:rFonts w:hint="eastAsia" w:ascii="仿宋_GB2312" w:eastAsia="仿宋_GB2312"/>
          <w:color w:val="000000"/>
          <w:sz w:val="32"/>
          <w:szCs w:val="32"/>
        </w:rPr>
        <w:t>反映除为行政单位（包括实行公务员管理的事业单位）提供后勤服务的各类后勤服务中心、医务室等附属事业单位外的其他事业单位基本支出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42</w:t>
      </w:r>
      <w:r>
        <w:rPr>
          <w:rFonts w:hint="eastAsia" w:ascii="仿宋_GB2312" w:eastAsia="仿宋_GB2312"/>
          <w:color w:val="000000"/>
          <w:sz w:val="32"/>
          <w:szCs w:val="32"/>
        </w:rPr>
        <w:t>—</w:t>
      </w:r>
      <w:r>
        <w:rPr>
          <w:rFonts w:hint="eastAsia" w:ascii="仿宋_GB2312" w:eastAsia="仿宋_GB2312"/>
          <w:color w:val="000000"/>
          <w:sz w:val="32"/>
          <w:szCs w:val="32"/>
          <w:lang w:eastAsia="zh-CN"/>
        </w:rPr>
        <w:t>农村道路建设：</w:t>
      </w:r>
      <w:r>
        <w:rPr>
          <w:rFonts w:hint="eastAsia" w:ascii="仿宋_GB2312" w:eastAsia="仿宋_GB2312"/>
          <w:color w:val="000000"/>
          <w:sz w:val="32"/>
          <w:szCs w:val="32"/>
        </w:rPr>
        <w:t>反映用于农村公路、乡村道路建设方面的支出。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52</w:t>
      </w:r>
      <w:r>
        <w:rPr>
          <w:rFonts w:hint="eastAsia" w:ascii="仿宋_GB2312" w:eastAsia="仿宋_GB2312"/>
          <w:color w:val="000000"/>
          <w:sz w:val="32"/>
          <w:szCs w:val="32"/>
        </w:rPr>
        <w:t>—</w:t>
      </w:r>
      <w:r>
        <w:rPr>
          <w:rFonts w:hint="eastAsia" w:ascii="仿宋_GB2312" w:eastAsia="仿宋_GB2312"/>
          <w:color w:val="000000"/>
          <w:sz w:val="32"/>
          <w:szCs w:val="32"/>
          <w:lang w:eastAsia="zh-CN"/>
        </w:rPr>
        <w:t>对高校毕业生到基层任职补助：</w:t>
      </w:r>
      <w:r>
        <w:rPr>
          <w:rFonts w:hint="eastAsia" w:ascii="仿宋_GB2312" w:eastAsia="仿宋_GB2312"/>
          <w:color w:val="000000"/>
          <w:sz w:val="32"/>
          <w:szCs w:val="32"/>
        </w:rPr>
        <w:t>反映按规定对高校毕业生到基层任职的补助支出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lang w:val="en-US"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02</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04</w:t>
      </w:r>
      <w:r>
        <w:rPr>
          <w:rFonts w:hint="eastAsia" w:ascii="仿宋_GB2312" w:eastAsia="仿宋_GB2312"/>
          <w:color w:val="000000"/>
          <w:sz w:val="32"/>
          <w:szCs w:val="32"/>
        </w:rPr>
        <w:t>—</w:t>
      </w:r>
      <w:r>
        <w:rPr>
          <w:rFonts w:hint="eastAsia" w:ascii="仿宋_GB2312" w:eastAsia="仿宋_GB2312"/>
          <w:color w:val="000000"/>
          <w:sz w:val="32"/>
          <w:szCs w:val="32"/>
          <w:lang w:eastAsia="zh-CN"/>
        </w:rPr>
        <w:t>林业事业机构：</w:t>
      </w:r>
      <w:r>
        <w:rPr>
          <w:rFonts w:hint="eastAsia" w:ascii="仿宋_GB2312" w:eastAsia="仿宋_GB2312"/>
          <w:color w:val="000000"/>
          <w:sz w:val="32"/>
          <w:szCs w:val="32"/>
        </w:rPr>
        <w:t>反映用于林业事业单位的基本支出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18</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14</w:t>
      </w:r>
      <w:r>
        <w:rPr>
          <w:rFonts w:hint="eastAsia" w:ascii="仿宋_GB2312" w:eastAsia="仿宋_GB2312"/>
          <w:color w:val="000000"/>
          <w:sz w:val="32"/>
          <w:szCs w:val="32"/>
        </w:rPr>
        <w:t>—</w:t>
      </w:r>
      <w:r>
        <w:rPr>
          <w:rFonts w:hint="eastAsia" w:ascii="仿宋_GB2312" w:eastAsia="仿宋_GB2312"/>
          <w:color w:val="000000"/>
          <w:sz w:val="32"/>
          <w:szCs w:val="32"/>
          <w:lang w:eastAsia="zh-CN"/>
        </w:rPr>
        <w:t>防汛：</w:t>
      </w:r>
      <w:r>
        <w:rPr>
          <w:rFonts w:hint="eastAsia" w:ascii="仿宋_GB2312" w:eastAsia="仿宋_GB2312"/>
          <w:color w:val="000000"/>
          <w:sz w:val="32"/>
          <w:szCs w:val="32"/>
        </w:rPr>
        <w:t>反映防汛业务支出。有关事项包括防汛物资购置管护，防汛通信设施设备、网络系统、车船设备运行维护，防汛值班、水情报汛、防汛指挥系统运行维护、水毁修复以及防汛组织（如防汛预案编制、检查、演习、宣传、培训、会议等），汛期调用民工及劳动保护，水利设施灾后重建，退田还湖，蓄滞洪区补偿、水情、雨情、决策支持，防汛视频会商，山洪灾害防治等。。</w:t>
      </w:r>
    </w:p>
    <w:p>
      <w:pPr>
        <w:autoSpaceDE w:val="0"/>
        <w:autoSpaceDN w:val="0"/>
        <w:adjustRightInd w:val="0"/>
        <w:spacing w:line="600"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lang w:val="en-US" w:eastAsia="zh-CN"/>
        </w:rPr>
        <w:t>19</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07</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05</w:t>
      </w:r>
      <w:r>
        <w:rPr>
          <w:rFonts w:hint="eastAsia" w:ascii="仿宋_GB2312" w:eastAsia="仿宋_GB2312"/>
          <w:color w:val="000000"/>
          <w:sz w:val="32"/>
          <w:szCs w:val="32"/>
        </w:rPr>
        <w:t>—</w:t>
      </w:r>
      <w:r>
        <w:rPr>
          <w:rFonts w:hint="eastAsia" w:ascii="仿宋_GB2312" w:eastAsia="仿宋_GB2312"/>
          <w:color w:val="000000"/>
          <w:sz w:val="32"/>
          <w:szCs w:val="32"/>
          <w:lang w:eastAsia="zh-CN"/>
        </w:rPr>
        <w:t>对村民委员会和党支部补助：</w:t>
      </w:r>
      <w:r>
        <w:rPr>
          <w:rFonts w:hint="eastAsia" w:ascii="仿宋_GB2312" w:eastAsia="仿宋_GB2312"/>
          <w:color w:val="000000"/>
          <w:sz w:val="32"/>
          <w:szCs w:val="32"/>
        </w:rPr>
        <w:t>反映各级财政对村民委员会和村党支部的补助支出，以及支持建立县级基本财力保障机制安排的村级组织运转奖补资金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.住房保障支出(类）221（款）02（项）01—住房公积金：反映行政事业单位按人力资源和社会保障部、财政部规定的基本工资和津贴补贴以及规定比例为职工缴纳的住房公积金。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21</w:t>
      </w:r>
      <w:r>
        <w:rPr>
          <w:rFonts w:hint="eastAsia" w:ascii="仿宋_GB2312" w:eastAsia="仿宋_GB2312"/>
          <w:color w:val="000000"/>
          <w:sz w:val="32"/>
          <w:szCs w:val="32"/>
        </w:rPr>
        <w:t>.</w:t>
      </w:r>
      <w:r>
        <w:rPr>
          <w:rFonts w:hint="eastAsia" w:ascii="仿宋_GB2312" w:eastAsia="仿宋_GB2312"/>
          <w:color w:val="000000"/>
          <w:sz w:val="32"/>
          <w:szCs w:val="32"/>
          <w:lang w:eastAsia="zh-CN"/>
        </w:rPr>
        <w:t>其他支出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229</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99</w:t>
      </w:r>
      <w:r>
        <w:rPr>
          <w:rFonts w:hint="eastAsia" w:ascii="仿宋_GB2312" w:eastAsia="仿宋_GB2312"/>
          <w:color w:val="000000"/>
          <w:sz w:val="32"/>
          <w:szCs w:val="32"/>
        </w:rPr>
        <w:t>（项）01—</w:t>
      </w:r>
      <w:r>
        <w:rPr>
          <w:rFonts w:hint="eastAsia" w:ascii="仿宋_GB2312" w:eastAsia="仿宋_GB2312"/>
          <w:color w:val="000000"/>
          <w:sz w:val="32"/>
          <w:szCs w:val="32"/>
          <w:lang w:eastAsia="zh-CN"/>
        </w:rPr>
        <w:t>其他支出</w:t>
      </w:r>
      <w:r>
        <w:rPr>
          <w:rFonts w:hint="eastAsia" w:ascii="仿宋_GB2312" w:eastAsia="仿宋_GB2312"/>
          <w:color w:val="000000"/>
          <w:sz w:val="32"/>
          <w:szCs w:val="32"/>
        </w:rPr>
        <w:t>：反映除上述项目以外其他不能划分到具体功能科目中的支出项目</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22</w:t>
      </w:r>
      <w:r>
        <w:rPr>
          <w:rFonts w:hint="eastAsia" w:ascii="仿宋_GB2312" w:eastAsia="仿宋_GB2312"/>
          <w:color w:val="000000"/>
          <w:sz w:val="32"/>
          <w:szCs w:val="32"/>
        </w:rPr>
        <w:t>.年末结转和结余：指本年度或以前年度预算安排、因客观条件发生变化无法按原计划实施，需延迟到以后年度按有关规定继续使用的资金。</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23</w:t>
      </w:r>
      <w:r>
        <w:rPr>
          <w:rFonts w:hint="eastAsia" w:ascii="仿宋_GB2312" w:eastAsia="仿宋_GB2312"/>
          <w:color w:val="000000"/>
          <w:sz w:val="32"/>
          <w:szCs w:val="32"/>
        </w:rPr>
        <w:t>.基本支出：指为保障机构正常运转、完成日常工作任务而发生的人员支出和公用支出。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24</w:t>
      </w:r>
      <w:r>
        <w:rPr>
          <w:rFonts w:hint="eastAsia" w:ascii="仿宋_GB2312" w:eastAsia="仿宋_GB2312"/>
          <w:color w:val="000000"/>
          <w:sz w:val="32"/>
          <w:szCs w:val="32"/>
        </w:rPr>
        <w:t>.项目支出：指在基本支出之外为完成特定行政任务和事业发展目标所发生的支出。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25</w:t>
      </w:r>
      <w:r>
        <w:rPr>
          <w:rFonts w:hint="eastAsia" w:ascii="仿宋_GB2312" w:eastAsia="仿宋_GB2312"/>
          <w:color w:val="000000"/>
          <w:sz w:val="32"/>
          <w:szCs w:val="32"/>
        </w:rPr>
        <w:t>.“三公”经费：纳入</w:t>
      </w:r>
      <w:r>
        <w:rPr>
          <w:rFonts w:hint="eastAsia" w:ascii="仿宋_GB2312" w:eastAsia="仿宋_GB2312"/>
          <w:color w:val="000000"/>
          <w:sz w:val="32"/>
          <w:szCs w:val="32"/>
          <w:lang w:eastAsia="zh-CN"/>
        </w:rPr>
        <w:t>县</w:t>
      </w:r>
      <w:r>
        <w:rPr>
          <w:rFonts w:hint="eastAsia" w:ascii="仿宋_GB2312" w:eastAsia="仿宋_GB2312"/>
          <w:color w:val="000000"/>
          <w:sz w:val="32"/>
          <w:szCs w:val="32"/>
        </w:rPr>
        <w:t>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26</w:t>
      </w:r>
      <w:r>
        <w:rPr>
          <w:rFonts w:hint="eastAsia" w:ascii="仿宋_GB2312" w:eastAsia="仿宋_GB2312"/>
          <w:color w:val="000000"/>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公务用车运行维护费以及其他费用。</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27.基本支出：指为保障机构正常运转、完成日常工作任务而发生的人员支出和公用支出。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 xml:space="preserve">28.项目支出：指在基本支出之外为完成特定行政任务和事业发展目标所发生的支出。 </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29.经营支出：指事业单位在专业业务活动及其辅助活动之外开展非独立核算经营活动发生的支出。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pStyle w:val="2"/>
        <w:rPr>
          <w:rFonts w:hint="eastAsia"/>
        </w:rPr>
      </w:pPr>
    </w:p>
    <w:p>
      <w:pPr>
        <w:pStyle w:val="2"/>
        <w:rPr>
          <w:rFonts w:hint="eastAsia"/>
        </w:rPr>
      </w:pPr>
    </w:p>
    <w:p>
      <w:pPr>
        <w:spacing w:line="600" w:lineRule="exact"/>
        <w:jc w:val="center"/>
        <w:outlineLvl w:val="0"/>
        <w:rPr>
          <w:rStyle w:val="17"/>
          <w:rFonts w:ascii="黑体" w:hAnsi="黑体" w:eastAsia="黑体"/>
          <w:b w:val="0"/>
        </w:rPr>
      </w:pPr>
      <w:r>
        <w:rPr>
          <w:rFonts w:hint="eastAsia" w:ascii="黑体" w:hAnsi="黑体" w:eastAsia="黑体"/>
          <w:color w:val="000000"/>
          <w:sz w:val="44"/>
          <w:szCs w:val="44"/>
        </w:rPr>
        <w:t>第</w:t>
      </w:r>
      <w:r>
        <w:rPr>
          <w:rStyle w:val="17"/>
          <w:rFonts w:hint="eastAsia" w:ascii="黑体" w:hAnsi="黑体" w:eastAsia="黑体"/>
          <w:b w:val="0"/>
        </w:rPr>
        <w:t>四部分</w:t>
      </w:r>
      <w:r>
        <w:rPr>
          <w:rStyle w:val="17"/>
          <w:rFonts w:ascii="黑体" w:hAnsi="黑体" w:eastAsia="黑体"/>
          <w:b w:val="0"/>
        </w:rPr>
        <w:t xml:space="preserve"> </w:t>
      </w:r>
      <w:r>
        <w:rPr>
          <w:rStyle w:val="17"/>
          <w:rFonts w:hint="eastAsia" w:ascii="黑体" w:hAnsi="黑体" w:eastAsia="黑体"/>
          <w:b w:val="0"/>
        </w:rPr>
        <w:t>附件</w:t>
      </w:r>
    </w:p>
    <w:p>
      <w:pPr>
        <w:spacing w:line="600" w:lineRule="exact"/>
        <w:jc w:val="center"/>
        <w:outlineLvl w:val="0"/>
        <w:rPr>
          <w:rStyle w:val="17"/>
        </w:rPr>
      </w:pPr>
    </w:p>
    <w:p>
      <w:pPr>
        <w:pStyle w:val="5"/>
        <w:rPr>
          <w:rStyle w:val="17"/>
          <w:rFonts w:ascii="仿宋" w:hAnsi="仿宋" w:eastAsia="仿宋" w:cs="Microsoft Himalaya"/>
          <w:b w:val="0"/>
          <w:bCs w:val="0"/>
          <w:sz w:val="32"/>
          <w:szCs w:val="32"/>
        </w:rPr>
      </w:pPr>
      <w:bookmarkStart w:id="54" w:name="_Toc15396615"/>
      <w:r>
        <w:rPr>
          <w:rStyle w:val="17"/>
          <w:rFonts w:hint="eastAsia" w:ascii="仿宋" w:hAnsi="仿宋" w:eastAsia="仿宋" w:cs="Microsoft Himalaya"/>
          <w:b w:val="0"/>
          <w:bCs w:val="0"/>
          <w:sz w:val="32"/>
          <w:szCs w:val="32"/>
        </w:rPr>
        <w:t>附件</w:t>
      </w:r>
      <w:r>
        <w:rPr>
          <w:rStyle w:val="17"/>
          <w:rFonts w:ascii="仿宋" w:hAnsi="仿宋" w:eastAsia="仿宋" w:cs="Microsoft Himalaya"/>
          <w:b w:val="0"/>
          <w:bCs w:val="0"/>
          <w:sz w:val="32"/>
          <w:szCs w:val="32"/>
        </w:rPr>
        <w:t>1</w:t>
      </w:r>
      <w:bookmarkEnd w:id="54"/>
    </w:p>
    <w:p>
      <w:pPr>
        <w:widowControl/>
        <w:spacing w:line="480" w:lineRule="exact"/>
        <w:jc w:val="center"/>
        <w:rPr>
          <w:rFonts w:ascii="方正小标宋简体" w:hAnsi="宋体" w:eastAsia="方正小标宋简体" w:cs="方正小标宋简体"/>
          <w:sz w:val="44"/>
          <w:szCs w:val="44"/>
        </w:rPr>
      </w:pPr>
      <w:r>
        <w:rPr>
          <w:rFonts w:hint="eastAsia" w:ascii="方正小标宋简体" w:hAnsi="宋体" w:eastAsia="方正小标宋简体" w:cs="方正小标宋简体"/>
          <w:sz w:val="44"/>
          <w:szCs w:val="44"/>
        </w:rPr>
        <w:t>部门整体支出绩效报告</w:t>
      </w:r>
    </w:p>
    <w:p/>
    <w:p>
      <w:pPr>
        <w:rPr>
          <w:rFonts w:hint="eastAsia" w:ascii="黑体" w:hAnsi="黑体" w:eastAsia="黑体" w:cs="黑体"/>
          <w:sz w:val="32"/>
          <w:szCs w:val="32"/>
          <w:lang w:val="zh-CN"/>
        </w:rPr>
      </w:pPr>
      <w:r>
        <w:rPr>
          <w:rFonts w:hint="eastAsia" w:ascii="黑体" w:hAnsi="黑体" w:eastAsia="黑体" w:cs="黑体"/>
          <w:sz w:val="32"/>
          <w:szCs w:val="32"/>
          <w:lang w:val="zh-CN"/>
        </w:rPr>
        <w:t>一、单位概况</w:t>
      </w:r>
    </w:p>
    <w:p>
      <w:pPr>
        <w:ind w:firstLine="320" w:firstLineChars="100"/>
        <w:rPr>
          <w:rFonts w:hint="eastAsia" w:eastAsia="仿宋_GB2312"/>
          <w:lang w:val="zh-CN" w:eastAsia="zh-CN"/>
        </w:rPr>
      </w:pPr>
      <w:r>
        <w:rPr>
          <w:rFonts w:hint="eastAsia" w:ascii="仿宋_GB2312" w:eastAsia="仿宋_GB2312" w:cs="宋体"/>
          <w:sz w:val="32"/>
          <w:szCs w:val="32"/>
          <w:lang w:val="zh-CN"/>
        </w:rPr>
        <w:t>（一）</w:t>
      </w:r>
      <w:r>
        <w:rPr>
          <w:rFonts w:hint="eastAsia" w:ascii="仿宋_GB2312" w:eastAsia="仿宋_GB2312" w:cs="宋体"/>
          <w:b/>
          <w:bCs/>
          <w:sz w:val="32"/>
          <w:szCs w:val="32"/>
          <w:lang w:val="zh-CN"/>
        </w:rPr>
        <w:t>机构组成。</w:t>
      </w:r>
      <w:r>
        <w:rPr>
          <w:rFonts w:hint="eastAsia" w:ascii="仿宋_GB2312" w:eastAsia="仿宋_GB2312" w:cs="宋体"/>
          <w:sz w:val="32"/>
          <w:szCs w:val="32"/>
          <w:lang w:val="zh-CN"/>
        </w:rPr>
        <w:t>查尔玛乡为独立核算编制的</w:t>
      </w:r>
      <w:r>
        <w:rPr>
          <w:rFonts w:hint="eastAsia" w:ascii="仿宋_GB2312" w:hAnsi="仿宋_GB2312" w:eastAsia="仿宋_GB2312" w:cs="仿宋_GB2312"/>
          <w:bCs/>
          <w:sz w:val="32"/>
          <w:szCs w:val="32"/>
        </w:rPr>
        <w:t>行政</w:t>
      </w:r>
      <w:r>
        <w:rPr>
          <w:rFonts w:hint="eastAsia" w:ascii="仿宋_GB2312" w:hAnsi="仿宋_GB2312" w:eastAsia="仿宋_GB2312" w:cs="仿宋_GB2312"/>
          <w:bCs/>
          <w:sz w:val="32"/>
          <w:szCs w:val="32"/>
          <w:lang w:eastAsia="zh-CN"/>
        </w:rPr>
        <w:t>单位。</w:t>
      </w:r>
    </w:p>
    <w:p>
      <w:pPr>
        <w:widowControl/>
        <w:adjustRightInd w:val="0"/>
        <w:snapToGrid w:val="0"/>
        <w:spacing w:line="576" w:lineRule="exact"/>
        <w:ind w:firstLine="320" w:firstLineChars="100"/>
        <w:jc w:val="left"/>
        <w:rPr>
          <w:rFonts w:hint="eastAsia" w:ascii="仿宋" w:hAnsi="仿宋" w:eastAsia="仿宋" w:cs="仿宋"/>
          <w:b w:val="0"/>
          <w:bCs w:val="0"/>
          <w:color w:val="000000"/>
          <w:kern w:val="0"/>
          <w:sz w:val="32"/>
          <w:szCs w:val="32"/>
          <w:lang w:val="zh-CN"/>
        </w:rPr>
      </w:pPr>
      <w:r>
        <w:rPr>
          <w:rFonts w:ascii="??_GB2312" w:hAnsi="宋体" w:eastAsia="Times New Roman" w:cs="宋体"/>
          <w:b/>
          <w:bCs/>
          <w:color w:val="000000"/>
          <w:kern w:val="0"/>
          <w:sz w:val="32"/>
          <w:lang w:val="zh-CN"/>
        </w:rPr>
        <w:t>（二）机构职能。</w:t>
      </w:r>
      <w:r>
        <w:rPr>
          <w:rFonts w:hint="eastAsia" w:ascii="仿宋" w:hAnsi="仿宋" w:eastAsia="仿宋" w:cs="仿宋"/>
          <w:b w:val="0"/>
          <w:bCs w:val="0"/>
          <w:color w:val="000000"/>
          <w:kern w:val="0"/>
          <w:sz w:val="32"/>
          <w:szCs w:val="32"/>
          <w:lang w:val="zh-CN"/>
        </w:rPr>
        <w:t>根据查尔玛乡三定方案（红委办法【</w:t>
      </w:r>
      <w:r>
        <w:rPr>
          <w:rFonts w:hint="eastAsia" w:ascii="仿宋" w:hAnsi="仿宋" w:eastAsia="仿宋" w:cs="仿宋"/>
          <w:b w:val="0"/>
          <w:bCs w:val="0"/>
          <w:color w:val="000000"/>
          <w:kern w:val="0"/>
          <w:sz w:val="32"/>
          <w:szCs w:val="32"/>
          <w:lang w:val="en-US" w:eastAsia="zh-CN"/>
        </w:rPr>
        <w:t>2009</w:t>
      </w:r>
      <w:r>
        <w:rPr>
          <w:rFonts w:hint="eastAsia" w:ascii="仿宋" w:hAnsi="仿宋" w:eastAsia="仿宋" w:cs="仿宋"/>
          <w:b w:val="0"/>
          <w:bCs w:val="0"/>
          <w:color w:val="000000"/>
          <w:kern w:val="0"/>
          <w:sz w:val="32"/>
          <w:szCs w:val="32"/>
          <w:lang w:val="zh-CN"/>
        </w:rPr>
        <w:t>】</w:t>
      </w:r>
      <w:r>
        <w:rPr>
          <w:rFonts w:hint="eastAsia" w:ascii="仿宋" w:hAnsi="仿宋" w:eastAsia="仿宋" w:cs="仿宋"/>
          <w:b w:val="0"/>
          <w:bCs w:val="0"/>
          <w:color w:val="000000"/>
          <w:kern w:val="0"/>
          <w:sz w:val="32"/>
          <w:szCs w:val="32"/>
          <w:lang w:val="en-US" w:eastAsia="zh-CN"/>
        </w:rPr>
        <w:t>96号</w:t>
      </w:r>
      <w:r>
        <w:rPr>
          <w:rFonts w:hint="eastAsia" w:ascii="仿宋" w:hAnsi="仿宋" w:eastAsia="仿宋" w:cs="仿宋"/>
          <w:b w:val="0"/>
          <w:bCs w:val="0"/>
          <w:color w:val="000000"/>
          <w:kern w:val="0"/>
          <w:sz w:val="32"/>
          <w:szCs w:val="32"/>
          <w:lang w:val="zh-CN"/>
        </w:rPr>
        <w:t>）</w:t>
      </w:r>
    </w:p>
    <w:p>
      <w:pPr>
        <w:shd w:val="clear" w:color="auto" w:fill="FFFFFF"/>
        <w:snapToGrid w:val="0"/>
        <w:spacing w:line="576" w:lineRule="exact"/>
        <w:ind w:left="420" w:leftChars="200"/>
        <w:rPr>
          <w:rFonts w:hint="eastAsia" w:ascii="仿宋_GB2312" w:hAnsi="仿宋" w:eastAsia="仿宋_GB2312"/>
          <w:sz w:val="32"/>
          <w:szCs w:val="32"/>
        </w:rPr>
      </w:pPr>
      <w:r>
        <w:rPr>
          <w:rFonts w:hint="eastAsia" w:ascii="仿宋_GB2312" w:hAnsi="仿宋" w:eastAsia="仿宋_GB2312"/>
          <w:b/>
          <w:bCs/>
          <w:sz w:val="32"/>
          <w:szCs w:val="32"/>
        </w:rPr>
        <w:t>（</w:t>
      </w:r>
      <w:r>
        <w:rPr>
          <w:rFonts w:hint="eastAsia" w:ascii="仿宋_GB2312" w:hAnsi="仿宋" w:eastAsia="仿宋_GB2312"/>
          <w:b/>
          <w:bCs/>
          <w:sz w:val="32"/>
          <w:szCs w:val="32"/>
          <w:lang w:val="en-US" w:eastAsia="zh-CN"/>
        </w:rPr>
        <w:t>1</w:t>
      </w:r>
      <w:r>
        <w:rPr>
          <w:rFonts w:hint="eastAsia" w:ascii="仿宋_GB2312" w:hAnsi="仿宋" w:eastAsia="仿宋_GB2312"/>
          <w:b/>
          <w:bCs/>
          <w:sz w:val="32"/>
          <w:szCs w:val="32"/>
        </w:rPr>
        <w:t>）</w:t>
      </w:r>
      <w:r>
        <w:rPr>
          <w:rFonts w:hint="eastAsia" w:ascii="仿宋_GB2312" w:hAnsi="仿宋" w:eastAsia="仿宋_GB2312"/>
          <w:b/>
          <w:bCs/>
          <w:sz w:val="32"/>
          <w:szCs w:val="32"/>
          <w:lang w:eastAsia="zh-CN"/>
        </w:rPr>
        <w:t>乡</w:t>
      </w:r>
      <w:r>
        <w:rPr>
          <w:rFonts w:hint="eastAsia" w:ascii="仿宋_GB2312" w:hAnsi="仿宋" w:eastAsia="仿宋_GB2312"/>
          <w:b/>
          <w:bCs/>
          <w:sz w:val="32"/>
          <w:szCs w:val="32"/>
        </w:rPr>
        <w:t>党委工作职责</w:t>
      </w:r>
    </w:p>
    <w:p>
      <w:p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lang w:eastAsia="zh-CN"/>
        </w:rPr>
        <w:t>乡</w:t>
      </w:r>
      <w:r>
        <w:rPr>
          <w:rFonts w:hint="eastAsia" w:ascii="仿宋_GB2312" w:hAnsi="仿宋" w:eastAsia="仿宋_GB2312"/>
          <w:sz w:val="32"/>
          <w:szCs w:val="32"/>
        </w:rPr>
        <w:t>党委是本</w:t>
      </w:r>
      <w:r>
        <w:rPr>
          <w:rFonts w:hint="eastAsia" w:ascii="仿宋_GB2312" w:hAnsi="仿宋" w:eastAsia="仿宋_GB2312"/>
          <w:sz w:val="32"/>
          <w:szCs w:val="32"/>
          <w:lang w:eastAsia="zh-CN"/>
        </w:rPr>
        <w:t>乡</w:t>
      </w:r>
      <w:r>
        <w:rPr>
          <w:rFonts w:hint="eastAsia" w:ascii="仿宋_GB2312" w:hAnsi="仿宋" w:eastAsia="仿宋_GB2312"/>
          <w:sz w:val="32"/>
          <w:szCs w:val="32"/>
        </w:rPr>
        <w:t>各项工作的领导核心，是农村改革和经济建设的直接组织者和领导者，主要职责：</w:t>
      </w:r>
    </w:p>
    <w:p>
      <w:pPr>
        <w:numPr>
          <w:ilvl w:val="0"/>
          <w:numId w:val="7"/>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负责贯彻执行党的路线方针政策和上级党组织及本</w:t>
      </w:r>
      <w:r>
        <w:rPr>
          <w:rFonts w:hint="eastAsia" w:ascii="仿宋_GB2312" w:hAnsi="仿宋" w:eastAsia="仿宋_GB2312"/>
          <w:sz w:val="32"/>
          <w:szCs w:val="32"/>
          <w:lang w:eastAsia="zh-CN"/>
        </w:rPr>
        <w:t>乡</w:t>
      </w:r>
      <w:r>
        <w:rPr>
          <w:rFonts w:hint="eastAsia" w:ascii="仿宋_GB2312" w:hAnsi="仿宋" w:eastAsia="仿宋_GB2312"/>
          <w:sz w:val="32"/>
          <w:szCs w:val="32"/>
        </w:rPr>
        <w:t>党员代表大会的决议；</w:t>
      </w:r>
    </w:p>
    <w:p>
      <w:pPr>
        <w:numPr>
          <w:ilvl w:val="0"/>
          <w:numId w:val="7"/>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讨论决定本</w:t>
      </w:r>
      <w:r>
        <w:rPr>
          <w:rFonts w:hint="eastAsia" w:ascii="仿宋_GB2312" w:hAnsi="仿宋" w:eastAsia="仿宋_GB2312"/>
          <w:sz w:val="32"/>
          <w:szCs w:val="32"/>
          <w:lang w:eastAsia="zh-CN"/>
        </w:rPr>
        <w:t>乡</w:t>
      </w:r>
      <w:r>
        <w:rPr>
          <w:rFonts w:hint="eastAsia" w:ascii="仿宋_GB2312" w:hAnsi="仿宋" w:eastAsia="仿宋_GB2312"/>
          <w:sz w:val="32"/>
          <w:szCs w:val="32"/>
        </w:rPr>
        <w:t>经济建设和社会发展的重大问题；</w:t>
      </w:r>
    </w:p>
    <w:p>
      <w:pPr>
        <w:numPr>
          <w:ilvl w:val="0"/>
          <w:numId w:val="7"/>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领导</w:t>
      </w:r>
      <w:r>
        <w:rPr>
          <w:rFonts w:hint="eastAsia" w:ascii="仿宋_GB2312" w:hAnsi="仿宋" w:eastAsia="仿宋_GB2312"/>
          <w:sz w:val="32"/>
          <w:szCs w:val="32"/>
          <w:lang w:eastAsia="zh-CN"/>
        </w:rPr>
        <w:t>乡</w:t>
      </w:r>
      <w:r>
        <w:rPr>
          <w:rFonts w:hint="eastAsia" w:ascii="仿宋_GB2312" w:hAnsi="仿宋" w:eastAsia="仿宋_GB2312"/>
          <w:sz w:val="32"/>
          <w:szCs w:val="32"/>
        </w:rPr>
        <w:t>政权机关和群众组织，支持和保证这些机关和组织依照国家法律法规及各自章程充分行使职权；</w:t>
      </w:r>
    </w:p>
    <w:p>
      <w:pPr>
        <w:numPr>
          <w:ilvl w:val="0"/>
          <w:numId w:val="7"/>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加强</w:t>
      </w:r>
      <w:r>
        <w:rPr>
          <w:rFonts w:hint="eastAsia" w:ascii="仿宋_GB2312" w:hAnsi="仿宋" w:eastAsia="仿宋_GB2312"/>
          <w:sz w:val="32"/>
          <w:szCs w:val="32"/>
          <w:lang w:eastAsia="zh-CN"/>
        </w:rPr>
        <w:t>乡</w:t>
      </w:r>
      <w:r>
        <w:rPr>
          <w:rFonts w:hint="eastAsia" w:ascii="仿宋_GB2312" w:hAnsi="仿宋" w:eastAsia="仿宋_GB2312"/>
          <w:sz w:val="32"/>
          <w:szCs w:val="32"/>
        </w:rPr>
        <w:t>党委自身建设和以党支部为核心的村级组织建设；</w:t>
      </w:r>
    </w:p>
    <w:p>
      <w:pPr>
        <w:numPr>
          <w:ilvl w:val="0"/>
          <w:numId w:val="7"/>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按照干部管理权限，负责对干部的教育、培养、选拔、考核和监督工作；</w:t>
      </w:r>
    </w:p>
    <w:p>
      <w:pPr>
        <w:numPr>
          <w:ilvl w:val="0"/>
          <w:numId w:val="7"/>
        </w:numPr>
        <w:shd w:val="clear" w:color="auto" w:fill="FFFFFF"/>
        <w:snapToGrid w:val="0"/>
        <w:spacing w:line="576" w:lineRule="exact"/>
        <w:ind w:firstLine="642"/>
        <w:rPr>
          <w:rFonts w:hint="eastAsia" w:ascii="仿宋_GB2312" w:hAnsi="仿宋" w:eastAsia="仿宋_GB2312"/>
          <w:sz w:val="32"/>
          <w:szCs w:val="32"/>
        </w:rPr>
      </w:pPr>
      <w:r>
        <w:rPr>
          <w:rFonts w:hint="eastAsia" w:ascii="仿宋_GB2312" w:hAnsi="仿宋" w:eastAsia="仿宋_GB2312"/>
          <w:sz w:val="32"/>
          <w:szCs w:val="32"/>
        </w:rPr>
        <w:t>领导本</w:t>
      </w:r>
      <w:r>
        <w:rPr>
          <w:rFonts w:hint="eastAsia" w:ascii="仿宋_GB2312" w:hAnsi="仿宋" w:eastAsia="仿宋_GB2312"/>
          <w:sz w:val="32"/>
          <w:szCs w:val="32"/>
          <w:lang w:eastAsia="zh-CN"/>
        </w:rPr>
        <w:t>乡</w:t>
      </w:r>
      <w:r>
        <w:rPr>
          <w:rFonts w:hint="eastAsia" w:ascii="仿宋_GB2312" w:hAnsi="仿宋" w:eastAsia="仿宋_GB2312"/>
          <w:sz w:val="32"/>
          <w:szCs w:val="32"/>
        </w:rPr>
        <w:t>的社会主义民主法制建设和精神文明建设，做好社会治安综合治理和计划生育等工作。</w:t>
      </w:r>
    </w:p>
    <w:p>
      <w:pPr>
        <w:shd w:val="clear" w:color="auto" w:fill="FFFFFF"/>
        <w:snapToGrid w:val="0"/>
        <w:spacing w:line="576" w:lineRule="exact"/>
        <w:ind w:firstLine="640"/>
        <w:rPr>
          <w:rFonts w:hint="eastAsia" w:ascii="仿宋_GB2312" w:hAnsi="仿宋" w:eastAsia="仿宋_GB2312"/>
          <w:b/>
          <w:bCs/>
          <w:sz w:val="32"/>
          <w:szCs w:val="32"/>
        </w:rPr>
      </w:pPr>
      <w:r>
        <w:rPr>
          <w:rFonts w:hint="eastAsia" w:ascii="仿宋_GB2312" w:hAnsi="仿宋" w:eastAsia="仿宋_GB2312"/>
          <w:b/>
          <w:bCs/>
          <w:sz w:val="32"/>
          <w:szCs w:val="32"/>
        </w:rPr>
        <w:t>（</w:t>
      </w:r>
      <w:r>
        <w:rPr>
          <w:rFonts w:hint="eastAsia" w:ascii="仿宋_GB2312" w:hAnsi="仿宋" w:eastAsia="仿宋_GB2312"/>
          <w:b/>
          <w:bCs/>
          <w:sz w:val="32"/>
          <w:szCs w:val="32"/>
          <w:lang w:val="en-US" w:eastAsia="zh-CN"/>
        </w:rPr>
        <w:t>2</w:t>
      </w:r>
      <w:r>
        <w:rPr>
          <w:rFonts w:hint="eastAsia" w:ascii="仿宋_GB2312" w:hAnsi="仿宋" w:eastAsia="仿宋_GB2312"/>
          <w:b/>
          <w:bCs/>
          <w:sz w:val="32"/>
          <w:szCs w:val="32"/>
        </w:rPr>
        <w:t>）人大主席团工作职责</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1.负责召开本级人民代表大会会议的具体准备工作；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2.负责联系本级人民代表大会代表，组织代表开展活动，总结交流代表小组活动经验；</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3.反映代表和群众对本级人民政府工作的建议、批评和意见；</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4.参加本级人民政府的重要会议；</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5.组织实施本级人民代表大会和主席团决定的有关事项；</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6.督促办理代表和人民群众的来信来访。</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b/>
          <w:bCs/>
          <w:sz w:val="32"/>
          <w:szCs w:val="32"/>
        </w:rPr>
        <w:t>（</w:t>
      </w:r>
      <w:r>
        <w:rPr>
          <w:rFonts w:hint="eastAsia" w:ascii="仿宋_GB2312" w:hAnsi="仿宋" w:eastAsia="仿宋_GB2312"/>
          <w:b/>
          <w:bCs/>
          <w:sz w:val="32"/>
          <w:szCs w:val="32"/>
          <w:lang w:val="en-US" w:eastAsia="zh-CN"/>
        </w:rPr>
        <w:t>3</w:t>
      </w:r>
      <w:r>
        <w:rPr>
          <w:rFonts w:hint="eastAsia" w:ascii="仿宋_GB2312" w:hAnsi="仿宋" w:eastAsia="仿宋_GB2312"/>
          <w:b/>
          <w:bCs/>
          <w:sz w:val="32"/>
          <w:szCs w:val="32"/>
        </w:rPr>
        <w:t>）政府工作职责</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1.贯彻执行党的路线方针政策和国家法律法规，贯彻执行上级行政机关的决议、命令及同级党委的决定，执行</w:t>
      </w:r>
      <w:r>
        <w:rPr>
          <w:rFonts w:hint="eastAsia" w:ascii="仿宋_GB2312" w:hAnsi="仿宋" w:eastAsia="仿宋_GB2312"/>
          <w:sz w:val="32"/>
          <w:szCs w:val="32"/>
          <w:lang w:eastAsia="zh-CN"/>
        </w:rPr>
        <w:t>乡</w:t>
      </w:r>
      <w:r>
        <w:rPr>
          <w:rFonts w:hint="eastAsia" w:ascii="仿宋_GB2312" w:hAnsi="仿宋" w:eastAsia="仿宋_GB2312"/>
          <w:sz w:val="32"/>
          <w:szCs w:val="32"/>
        </w:rPr>
        <w:t>人民代表大会的决议；</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2.对</w:t>
      </w:r>
      <w:r>
        <w:rPr>
          <w:rFonts w:hint="eastAsia" w:ascii="仿宋_GB2312" w:hAnsi="仿宋" w:eastAsia="仿宋_GB2312"/>
          <w:sz w:val="32"/>
          <w:szCs w:val="32"/>
          <w:lang w:eastAsia="zh-CN"/>
        </w:rPr>
        <w:t>乡</w:t>
      </w:r>
      <w:r>
        <w:rPr>
          <w:rFonts w:hint="eastAsia" w:ascii="仿宋_GB2312" w:hAnsi="仿宋" w:eastAsia="仿宋_GB2312"/>
          <w:sz w:val="32"/>
          <w:szCs w:val="32"/>
        </w:rPr>
        <w:t>人民代表大会及其主席团和上级行政机关负责并报告工作；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3.编制和执行</w:t>
      </w:r>
      <w:r>
        <w:rPr>
          <w:rFonts w:hint="eastAsia" w:ascii="仿宋_GB2312" w:hAnsi="仿宋" w:eastAsia="仿宋_GB2312"/>
          <w:sz w:val="32"/>
          <w:szCs w:val="32"/>
          <w:lang w:eastAsia="zh-CN"/>
        </w:rPr>
        <w:t>乡</w:t>
      </w:r>
      <w:r>
        <w:rPr>
          <w:rFonts w:hint="eastAsia" w:ascii="仿宋_GB2312" w:hAnsi="仿宋" w:eastAsia="仿宋_GB2312"/>
          <w:sz w:val="32"/>
          <w:szCs w:val="32"/>
        </w:rPr>
        <w:t>国民经济和社会发展计划，编制并执行财政预算；</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4.管理本行政区域经济和各项社会事业的行政工作；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5.负责辖区内行政执法工作，维护社会秩序，保护公民人身、民主、财产等合法权利，保护各种经济组织的合法权益；</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6.指导、支持和帮助村民委员会工作；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7.法律规定赋予烦人其它职责。</w:t>
      </w:r>
    </w:p>
    <w:p>
      <w:pPr>
        <w:shd w:val="clear" w:color="auto" w:fill="FFFFFF"/>
        <w:snapToGrid w:val="0"/>
        <w:spacing w:line="576" w:lineRule="exact"/>
        <w:ind w:firstLine="640"/>
        <w:rPr>
          <w:rFonts w:hint="eastAsia" w:ascii="仿宋_GB2312" w:hAnsi="仿宋" w:eastAsia="仿宋_GB2312"/>
          <w:b/>
          <w:bCs/>
          <w:sz w:val="32"/>
          <w:szCs w:val="32"/>
        </w:rPr>
      </w:pPr>
      <w:r>
        <w:rPr>
          <w:rFonts w:hint="eastAsia" w:ascii="仿宋_GB2312" w:hAnsi="仿宋" w:eastAsia="仿宋_GB2312"/>
          <w:b/>
          <w:bCs/>
          <w:sz w:val="32"/>
          <w:szCs w:val="32"/>
        </w:rPr>
        <w:t>（</w:t>
      </w:r>
      <w:r>
        <w:rPr>
          <w:rFonts w:hint="eastAsia" w:ascii="仿宋_GB2312" w:hAnsi="仿宋" w:eastAsia="仿宋_GB2312"/>
          <w:b/>
          <w:bCs/>
          <w:sz w:val="32"/>
          <w:szCs w:val="32"/>
          <w:lang w:val="en-US" w:eastAsia="zh-CN"/>
        </w:rPr>
        <w:t>4</w:t>
      </w:r>
      <w:r>
        <w:rPr>
          <w:rFonts w:hint="eastAsia" w:ascii="仿宋_GB2312" w:hAnsi="仿宋" w:eastAsia="仿宋_GB2312"/>
          <w:b/>
          <w:bCs/>
          <w:sz w:val="32"/>
          <w:szCs w:val="32"/>
        </w:rPr>
        <w:t>）人民武装部工作职责</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1.负责民兵组织建设、政治教育、军事训练；</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2.为本系统自主择业转业干部提供管理和服务；</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3.组织带领民兵完成战备执勤任务，配合公安部门维护社会治安；</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4.战时组织带领民兵参军参战，支援前线；</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5.负责征兵工作和预备役士兵、预备役军官登记统计工作；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6.协同预备役部（分）队落实参训人员，做好兵员的管理、动员集结等工作；</w:t>
      </w:r>
    </w:p>
    <w:p>
      <w:pPr>
        <w:shd w:val="clear" w:color="auto" w:fill="FFFFFF"/>
        <w:snapToGrid w:val="0"/>
        <w:spacing w:line="576" w:lineRule="exact"/>
        <w:ind w:firstLine="640"/>
        <w:rPr>
          <w:rFonts w:hint="eastAsia" w:ascii="仿宋_GB2312" w:hAnsi="仿宋" w:eastAsia="仿宋_GB2312"/>
          <w:sz w:val="32"/>
          <w:szCs w:val="32"/>
        </w:rPr>
      </w:pPr>
      <w:r>
        <w:rPr>
          <w:rFonts w:hint="eastAsia" w:ascii="仿宋_GB2312" w:hAnsi="仿宋" w:eastAsia="仿宋_GB2312"/>
          <w:sz w:val="32"/>
          <w:szCs w:val="32"/>
        </w:rPr>
        <w:t>7.协助有关部门开展国防教育，做好退伍人员的安置和烈军属的优抚工作；</w:t>
      </w:r>
    </w:p>
    <w:p>
      <w:pPr>
        <w:ind w:firstLine="640" w:firstLineChars="200"/>
        <w:jc w:val="left"/>
        <w:rPr>
          <w:rFonts w:hint="eastAsia" w:ascii="仿宋_GB2312" w:hAnsi="仿宋_GB2312" w:eastAsia="仿宋_GB2312" w:cs="仿宋_GB2312"/>
          <w:bCs/>
          <w:sz w:val="32"/>
          <w:szCs w:val="32"/>
        </w:rPr>
      </w:pPr>
      <w:r>
        <w:rPr>
          <w:rFonts w:hint="eastAsia" w:ascii="仿宋_GB2312" w:hAnsi="仿宋" w:eastAsia="仿宋_GB2312"/>
          <w:sz w:val="32"/>
          <w:szCs w:val="32"/>
        </w:rPr>
        <w:t>8.完成地方党委、人民政府和上级军事机关交给的其他工作任务。</w:t>
      </w:r>
    </w:p>
    <w:p>
      <w:pPr>
        <w:widowControl/>
        <w:adjustRightInd w:val="0"/>
        <w:snapToGrid w:val="0"/>
        <w:spacing w:line="576" w:lineRule="exact"/>
        <w:ind w:left="720"/>
        <w:jc w:val="left"/>
        <w:rPr>
          <w:rFonts w:ascii="??_GB2312" w:hAnsi="宋体" w:eastAsia="Times New Roman" w:cs="宋体"/>
          <w:b/>
          <w:bCs/>
          <w:color w:val="000000"/>
          <w:kern w:val="0"/>
          <w:sz w:val="32"/>
          <w:lang w:val="zh-CN"/>
        </w:rPr>
      </w:pPr>
      <w:r>
        <w:rPr>
          <w:rFonts w:ascii="??_GB2312" w:hAnsi="宋体" w:eastAsia="Times New Roman" w:cs="宋体"/>
          <w:b/>
          <w:bCs/>
          <w:color w:val="000000"/>
          <w:kern w:val="0"/>
          <w:sz w:val="32"/>
          <w:lang w:val="zh-CN"/>
        </w:rPr>
        <w:t>（三）人员概况。</w:t>
      </w:r>
    </w:p>
    <w:p>
      <w:pPr>
        <w:spacing w:line="576" w:lineRule="exact"/>
        <w:ind w:firstLine="584" w:firstLineChars="200"/>
        <w:rPr>
          <w:rFonts w:hint="eastAsia" w:ascii="仿宋_GB2312" w:hAnsi="仿宋_GB2312" w:eastAsia="仿宋_GB2312" w:cs="仿宋_GB2312"/>
          <w:color w:val="000000"/>
          <w:sz w:val="32"/>
          <w:szCs w:val="32"/>
        </w:rPr>
      </w:pPr>
      <w:r>
        <w:rPr>
          <w:rFonts w:ascii="仿宋" w:hAnsi="仿宋" w:eastAsia="仿宋" w:cs="仿宋"/>
          <w:color w:val="000000"/>
          <w:spacing w:val="-14"/>
          <w:sz w:val="32"/>
          <w:szCs w:val="32"/>
        </w:rPr>
        <w:t>2018</w:t>
      </w:r>
      <w:r>
        <w:rPr>
          <w:rFonts w:hint="eastAsia" w:ascii="仿宋" w:hAnsi="仿宋" w:eastAsia="仿宋" w:cs="仿宋"/>
          <w:color w:val="000000"/>
          <w:spacing w:val="-14"/>
          <w:sz w:val="32"/>
          <w:szCs w:val="32"/>
        </w:rPr>
        <w:t>年财政供养人员编制为</w:t>
      </w:r>
      <w:r>
        <w:rPr>
          <w:rFonts w:ascii="仿宋" w:hAnsi="仿宋" w:eastAsia="仿宋" w:cs="仿宋"/>
          <w:color w:val="000000"/>
          <w:spacing w:val="-14"/>
          <w:sz w:val="32"/>
          <w:szCs w:val="32"/>
        </w:rPr>
        <w:t>2</w:t>
      </w:r>
      <w:r>
        <w:rPr>
          <w:rFonts w:hint="eastAsia" w:ascii="仿宋" w:hAnsi="仿宋" w:eastAsia="仿宋" w:cs="仿宋"/>
          <w:color w:val="000000"/>
          <w:spacing w:val="-14"/>
          <w:sz w:val="32"/>
          <w:szCs w:val="32"/>
          <w:lang w:val="en-US" w:eastAsia="zh-CN"/>
        </w:rPr>
        <w:t>9</w:t>
      </w:r>
      <w:r>
        <w:rPr>
          <w:rFonts w:hint="eastAsia" w:ascii="仿宋" w:hAnsi="仿宋" w:eastAsia="仿宋" w:cs="仿宋"/>
          <w:color w:val="000000"/>
          <w:spacing w:val="-14"/>
          <w:sz w:val="32"/>
          <w:szCs w:val="32"/>
        </w:rPr>
        <w:t>名，其中行政编制</w:t>
      </w:r>
      <w:r>
        <w:rPr>
          <w:rFonts w:hint="eastAsia" w:ascii="仿宋" w:hAnsi="仿宋" w:eastAsia="仿宋" w:cs="仿宋"/>
          <w:color w:val="000000"/>
          <w:spacing w:val="-14"/>
          <w:sz w:val="32"/>
          <w:szCs w:val="32"/>
          <w:lang w:val="en-US" w:eastAsia="zh-CN"/>
        </w:rPr>
        <w:t>19</w:t>
      </w:r>
      <w:r>
        <w:rPr>
          <w:rFonts w:hint="eastAsia" w:ascii="仿宋" w:hAnsi="仿宋" w:eastAsia="仿宋" w:cs="仿宋"/>
          <w:color w:val="000000"/>
          <w:spacing w:val="-14"/>
          <w:sz w:val="32"/>
          <w:szCs w:val="32"/>
        </w:rPr>
        <w:t>名，行政工勤编制</w:t>
      </w:r>
      <w:r>
        <w:rPr>
          <w:rFonts w:ascii="仿宋" w:hAnsi="仿宋" w:eastAsia="仿宋" w:cs="仿宋"/>
          <w:color w:val="000000"/>
          <w:spacing w:val="-14"/>
          <w:sz w:val="32"/>
          <w:szCs w:val="32"/>
        </w:rPr>
        <w:t>2</w:t>
      </w:r>
      <w:r>
        <w:rPr>
          <w:rFonts w:hint="eastAsia" w:ascii="仿宋" w:hAnsi="仿宋" w:eastAsia="仿宋" w:cs="仿宋"/>
          <w:color w:val="000000"/>
          <w:spacing w:val="-14"/>
          <w:sz w:val="32"/>
          <w:szCs w:val="32"/>
        </w:rPr>
        <w:t>名，事业编制</w:t>
      </w:r>
      <w:r>
        <w:rPr>
          <w:rFonts w:ascii="仿宋" w:hAnsi="仿宋" w:eastAsia="仿宋" w:cs="仿宋"/>
          <w:color w:val="000000"/>
          <w:spacing w:val="-14"/>
          <w:sz w:val="32"/>
          <w:szCs w:val="32"/>
        </w:rPr>
        <w:t>8</w:t>
      </w:r>
      <w:r>
        <w:rPr>
          <w:rFonts w:hint="eastAsia" w:ascii="仿宋" w:hAnsi="仿宋" w:eastAsia="仿宋" w:cs="仿宋"/>
          <w:color w:val="000000"/>
          <w:spacing w:val="-14"/>
          <w:sz w:val="32"/>
          <w:szCs w:val="32"/>
        </w:rPr>
        <w:t>名（其中参照公务员法管理人员编制</w:t>
      </w:r>
      <w:r>
        <w:rPr>
          <w:rFonts w:ascii="仿宋" w:hAnsi="仿宋" w:eastAsia="仿宋" w:cs="仿宋"/>
          <w:color w:val="000000"/>
          <w:spacing w:val="-14"/>
          <w:sz w:val="32"/>
          <w:szCs w:val="32"/>
        </w:rPr>
        <w:t xml:space="preserve"> 0</w:t>
      </w:r>
      <w:r>
        <w:rPr>
          <w:rFonts w:hint="eastAsia" w:ascii="仿宋" w:hAnsi="仿宋" w:eastAsia="仿宋" w:cs="仿宋"/>
          <w:color w:val="000000"/>
          <w:spacing w:val="-14"/>
          <w:sz w:val="32"/>
          <w:szCs w:val="32"/>
        </w:rPr>
        <w:t>人）。</w:t>
      </w:r>
      <w:r>
        <w:rPr>
          <w:rFonts w:ascii="仿宋" w:hAnsi="仿宋" w:eastAsia="仿宋" w:cs="仿宋"/>
          <w:color w:val="000000"/>
          <w:spacing w:val="-14"/>
          <w:sz w:val="32"/>
          <w:szCs w:val="32"/>
        </w:rPr>
        <w:t>2018</w:t>
      </w:r>
      <w:r>
        <w:rPr>
          <w:rFonts w:hint="eastAsia" w:ascii="仿宋" w:hAnsi="仿宋" w:eastAsia="仿宋" w:cs="仿宋"/>
          <w:color w:val="000000"/>
          <w:spacing w:val="-14"/>
          <w:sz w:val="32"/>
          <w:szCs w:val="32"/>
        </w:rPr>
        <w:t>年实际财政供养人员</w:t>
      </w:r>
      <w:r>
        <w:rPr>
          <w:rFonts w:ascii="仿宋" w:hAnsi="仿宋" w:eastAsia="仿宋" w:cs="仿宋"/>
          <w:color w:val="000000"/>
          <w:spacing w:val="-14"/>
          <w:sz w:val="32"/>
          <w:szCs w:val="32"/>
        </w:rPr>
        <w:t>2</w:t>
      </w:r>
      <w:r>
        <w:rPr>
          <w:rFonts w:hint="eastAsia" w:ascii="仿宋" w:hAnsi="仿宋" w:eastAsia="仿宋" w:cs="仿宋"/>
          <w:color w:val="000000"/>
          <w:spacing w:val="-14"/>
          <w:sz w:val="32"/>
          <w:szCs w:val="32"/>
          <w:lang w:val="en-US" w:eastAsia="zh-CN"/>
        </w:rPr>
        <w:t>9</w:t>
      </w:r>
      <w:r>
        <w:rPr>
          <w:rFonts w:hint="eastAsia" w:ascii="仿宋" w:hAnsi="仿宋" w:eastAsia="仿宋" w:cs="仿宋"/>
          <w:color w:val="000000"/>
          <w:spacing w:val="-14"/>
          <w:sz w:val="32"/>
          <w:szCs w:val="32"/>
        </w:rPr>
        <w:t>人。</w:t>
      </w:r>
    </w:p>
    <w:p>
      <w:pPr>
        <w:ind w:left="420" w:leftChars="200" w:firstLine="160" w:firstLineChars="50"/>
        <w:rPr>
          <w:rFonts w:hint="eastAsia" w:ascii="黑体" w:hAnsi="黑体" w:eastAsia="黑体" w:cs="黑体"/>
          <w:sz w:val="32"/>
          <w:szCs w:val="32"/>
          <w:lang w:val="zh-CN"/>
        </w:rPr>
      </w:pPr>
      <w:r>
        <w:rPr>
          <w:rFonts w:hint="eastAsia" w:ascii="黑体" w:hAnsi="黑体" w:eastAsia="黑体" w:cs="黑体"/>
          <w:sz w:val="32"/>
          <w:szCs w:val="32"/>
          <w:lang w:val="zh-CN"/>
        </w:rPr>
        <w:t>二、部门财政资金收支情况</w:t>
      </w:r>
    </w:p>
    <w:p>
      <w:pPr>
        <w:widowControl/>
        <w:adjustRightInd w:val="0"/>
        <w:snapToGrid w:val="0"/>
        <w:spacing w:line="576" w:lineRule="exact"/>
        <w:ind w:firstLine="320" w:firstLineChars="100"/>
        <w:jc w:val="left"/>
        <w:rPr>
          <w:rFonts w:hint="eastAsia" w:ascii="楷体" w:hAnsi="楷体" w:eastAsia="楷体" w:cs="楷体"/>
        </w:rPr>
      </w:pPr>
      <w:r>
        <w:rPr>
          <w:rFonts w:ascii="??_GB2312" w:hAnsi="宋体" w:eastAsia="Times New Roman" w:cs="宋体"/>
          <w:b/>
          <w:bCs/>
          <w:color w:val="000000"/>
          <w:kern w:val="0"/>
          <w:sz w:val="32"/>
          <w:lang w:val="zh-CN"/>
        </w:rPr>
        <w:t>（一）部门财政资金收入情况。</w:t>
      </w:r>
    </w:p>
    <w:p>
      <w:pPr>
        <w:spacing w:line="576" w:lineRule="exact"/>
        <w:ind w:firstLine="640"/>
        <w:rPr>
          <w:rFonts w:hint="eastAsia" w:ascii="仿宋_GB2312" w:hAnsi="仿宋_GB2312" w:eastAsia="仿宋_GB2312" w:cs="仿宋_GB2312"/>
          <w:bCs/>
          <w:sz w:val="32"/>
          <w:szCs w:val="32"/>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w:t>
      </w:r>
      <w:r>
        <w:rPr>
          <w:rFonts w:hint="eastAsia" w:ascii="仿宋_GB2312" w:eastAsia="仿宋_GB2312"/>
          <w:color w:val="000000"/>
          <w:sz w:val="32"/>
          <w:szCs w:val="32"/>
          <w:lang w:eastAsia="zh-CN"/>
        </w:rPr>
        <w:t>查尔玛乡</w:t>
      </w:r>
      <w:r>
        <w:rPr>
          <w:rFonts w:hint="eastAsia" w:ascii="仿宋_GB2312" w:eastAsia="仿宋_GB2312"/>
          <w:color w:val="000000"/>
          <w:sz w:val="32"/>
          <w:szCs w:val="32"/>
        </w:rPr>
        <w:t>财政拨款收</w:t>
      </w:r>
      <w:r>
        <w:rPr>
          <w:rFonts w:hint="eastAsia" w:ascii="仿宋_GB2312" w:eastAsia="仿宋_GB2312"/>
          <w:color w:val="000000"/>
          <w:sz w:val="32"/>
          <w:szCs w:val="32"/>
          <w:lang w:eastAsia="zh-CN"/>
        </w:rPr>
        <w:t>入</w:t>
      </w:r>
      <w:r>
        <w:rPr>
          <w:rFonts w:hint="eastAsia" w:ascii="仿宋_GB2312" w:eastAsia="仿宋_GB2312"/>
          <w:color w:val="000000"/>
          <w:sz w:val="32"/>
          <w:szCs w:val="32"/>
        </w:rPr>
        <w:t>总计</w:t>
      </w:r>
      <w:r>
        <w:rPr>
          <w:rFonts w:hint="eastAsia" w:ascii="仿宋_GB2312" w:hAnsi="仿宋" w:eastAsia="仿宋_GB2312"/>
          <w:sz w:val="32"/>
          <w:szCs w:val="32"/>
          <w:lang w:val="en-US" w:eastAsia="zh-CN"/>
        </w:rPr>
        <w:t>937.55</w:t>
      </w:r>
      <w:r>
        <w:rPr>
          <w:rFonts w:hint="eastAsia" w:ascii="仿宋_GB2312" w:eastAsia="仿宋_GB2312"/>
          <w:color w:val="000000"/>
          <w:sz w:val="32"/>
          <w:szCs w:val="32"/>
          <w:lang w:val="en-US" w:eastAsia="zh-CN"/>
        </w:rPr>
        <w:t>万</w:t>
      </w:r>
      <w:r>
        <w:rPr>
          <w:rFonts w:hint="eastAsia" w:ascii="仿宋_GB2312" w:eastAsia="仿宋_GB2312"/>
          <w:color w:val="000000"/>
          <w:sz w:val="32"/>
          <w:szCs w:val="32"/>
          <w:lang w:eastAsia="zh-CN"/>
        </w:rPr>
        <w:t>元</w:t>
      </w:r>
      <w:r>
        <w:rPr>
          <w:rFonts w:hint="eastAsia" w:ascii="仿宋_GB2312" w:eastAsia="仿宋_GB2312"/>
          <w:color w:val="000000"/>
          <w:sz w:val="32"/>
          <w:szCs w:val="32"/>
          <w:lang w:val="en-US" w:eastAsia="zh-CN"/>
        </w:rPr>
        <w:t>,</w:t>
      </w:r>
      <w:r>
        <w:rPr>
          <w:rFonts w:hint="eastAsia" w:ascii="仿宋_GB2312" w:hAnsi="仿宋_GB2312" w:eastAsia="仿宋_GB2312" w:cs="仿宋_GB2312"/>
          <w:bCs/>
          <w:sz w:val="32"/>
          <w:szCs w:val="32"/>
        </w:rPr>
        <w:t>其中：一般公共预算财政拨款收入</w:t>
      </w:r>
      <w:r>
        <w:rPr>
          <w:rFonts w:hint="eastAsia" w:ascii="仿宋_GB2312" w:hAnsi="仿宋" w:eastAsia="仿宋_GB2312"/>
          <w:sz w:val="32"/>
          <w:szCs w:val="32"/>
          <w:lang w:val="en-US" w:eastAsia="zh-CN"/>
        </w:rPr>
        <w:t>937.55</w:t>
      </w:r>
      <w:r>
        <w:rPr>
          <w:rFonts w:hint="eastAsia" w:ascii="仿宋_GB2312" w:hAnsi="仿宋_GB2312" w:eastAsia="仿宋_GB2312" w:cs="仿宋_GB2312"/>
          <w:bCs/>
          <w:sz w:val="32"/>
          <w:szCs w:val="32"/>
        </w:rPr>
        <w:t>万元。</w:t>
      </w:r>
    </w:p>
    <w:p>
      <w:pPr>
        <w:pStyle w:val="6"/>
        <w:spacing w:before="72"/>
        <w:ind w:firstLine="640" w:firstLineChars="200"/>
        <w:rPr>
          <w:rFonts w:hint="eastAsia" w:ascii="楷体" w:hAnsi="楷体" w:eastAsia="楷体" w:cs="楷体"/>
        </w:rPr>
      </w:pPr>
      <w:r>
        <w:rPr>
          <w:rFonts w:hint="eastAsia" w:ascii="楷体" w:hAnsi="楷体" w:eastAsia="楷体" w:cs="楷体"/>
          <w:color w:val="000000"/>
          <w:sz w:val="32"/>
          <w:szCs w:val="32"/>
        </w:rPr>
        <w:t>（二）</w:t>
      </w:r>
      <w:r>
        <w:rPr>
          <w:rFonts w:hint="eastAsia" w:ascii="楷体" w:hAnsi="楷体" w:eastAsia="楷体" w:cs="楷体"/>
          <w:b/>
          <w:sz w:val="32"/>
          <w:szCs w:val="32"/>
        </w:rPr>
        <w:t>部门财政资金支出情况</w:t>
      </w:r>
    </w:p>
    <w:p>
      <w:pPr>
        <w:keepNext w:val="0"/>
        <w:keepLines w:val="0"/>
        <w:pageBreakBefore w:val="0"/>
        <w:kinsoku/>
        <w:wordWrap/>
        <w:overflowPunct/>
        <w:topLinePunct w:val="0"/>
        <w:bidi w:val="0"/>
        <w:spacing w:line="560" w:lineRule="exact"/>
        <w:ind w:left="0" w:leftChars="0" w:right="0" w:rightChars="0" w:firstLine="640" w:firstLineChars="200"/>
        <w:textAlignment w:val="auto"/>
        <w:outlineLvl w:val="9"/>
        <w:rPr>
          <w:rFonts w:hint="eastAsia" w:ascii="仿宋_GB2312" w:eastAsia="仿宋"/>
          <w:color w:val="000000"/>
          <w:sz w:val="32"/>
          <w:szCs w:val="32"/>
          <w:lang w:eastAsia="zh-CN"/>
        </w:rPr>
      </w:pP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w:t>
      </w:r>
      <w:r>
        <w:rPr>
          <w:rFonts w:hint="eastAsia" w:ascii="仿宋_GB2312" w:eastAsia="仿宋_GB2312"/>
          <w:color w:val="000000"/>
          <w:sz w:val="32"/>
          <w:szCs w:val="32"/>
          <w:lang w:eastAsia="zh-CN"/>
        </w:rPr>
        <w:t>查尔玛乡</w:t>
      </w:r>
      <w:r>
        <w:rPr>
          <w:rFonts w:hint="eastAsia" w:ascii="仿宋_GB2312" w:eastAsia="仿宋_GB2312"/>
          <w:color w:val="000000"/>
          <w:sz w:val="32"/>
          <w:szCs w:val="32"/>
        </w:rPr>
        <w:t>本年支出合计</w:t>
      </w:r>
      <w:r>
        <w:rPr>
          <w:rFonts w:hint="eastAsia" w:ascii="仿宋_GB2312" w:eastAsia="仿宋_GB2312"/>
          <w:color w:val="000000"/>
          <w:sz w:val="32"/>
          <w:szCs w:val="32"/>
          <w:lang w:val="en-US" w:eastAsia="zh-CN"/>
        </w:rPr>
        <w:t>889.54万</w:t>
      </w:r>
      <w:r>
        <w:rPr>
          <w:rFonts w:hint="eastAsia" w:ascii="仿宋_GB2312" w:eastAsia="仿宋_GB2312"/>
          <w:color w:val="000000"/>
          <w:sz w:val="32"/>
          <w:szCs w:val="32"/>
          <w:lang w:eastAsia="zh-CN"/>
        </w:rPr>
        <w:t>元</w:t>
      </w:r>
      <w:r>
        <w:rPr>
          <w:rFonts w:hint="eastAsia" w:ascii="仿宋_GB2312" w:eastAsia="仿宋_GB2312"/>
          <w:color w:val="000000"/>
          <w:sz w:val="32"/>
          <w:szCs w:val="32"/>
        </w:rPr>
        <w:t>，其中：</w:t>
      </w:r>
      <w:r>
        <w:rPr>
          <w:rFonts w:hint="eastAsia" w:ascii="仿宋" w:hAnsi="仿宋" w:eastAsia="仿宋"/>
          <w:color w:val="000000"/>
          <w:sz w:val="32"/>
          <w:szCs w:val="32"/>
        </w:rPr>
        <w:t>基本支出572.2万元，占</w:t>
      </w:r>
      <w:r>
        <w:rPr>
          <w:rFonts w:ascii="仿宋" w:hAnsi="仿宋" w:eastAsia="仿宋"/>
          <w:color w:val="000000"/>
          <w:sz w:val="32"/>
          <w:szCs w:val="32"/>
        </w:rPr>
        <w:t>60%</w:t>
      </w:r>
      <w:r>
        <w:rPr>
          <w:rFonts w:hint="eastAsia" w:ascii="仿宋" w:hAnsi="仿宋" w:eastAsia="仿宋"/>
          <w:color w:val="000000"/>
          <w:sz w:val="32"/>
          <w:szCs w:val="32"/>
        </w:rPr>
        <w:t>；项目支出317.34万元，占</w:t>
      </w:r>
      <w:r>
        <w:rPr>
          <w:rFonts w:ascii="仿宋" w:hAnsi="仿宋" w:eastAsia="仿宋"/>
          <w:color w:val="000000"/>
          <w:sz w:val="32"/>
          <w:szCs w:val="32"/>
        </w:rPr>
        <w:t>40%</w:t>
      </w:r>
      <w:r>
        <w:rPr>
          <w:rFonts w:hint="eastAsia" w:ascii="仿宋" w:hAnsi="仿宋" w:eastAsia="仿宋"/>
          <w:color w:val="000000"/>
          <w:sz w:val="32"/>
          <w:szCs w:val="32"/>
          <w:lang w:eastAsia="zh-CN"/>
        </w:rPr>
        <w:t>。</w:t>
      </w:r>
    </w:p>
    <w:p>
      <w:pPr>
        <w:ind w:left="420" w:leftChars="200" w:firstLine="320" w:firstLineChars="100"/>
        <w:rPr>
          <w:rFonts w:hint="eastAsia" w:ascii="黑体" w:hAnsi="黑体" w:eastAsia="黑体" w:cs="黑体"/>
          <w:sz w:val="32"/>
          <w:szCs w:val="32"/>
        </w:rPr>
      </w:pPr>
      <w:r>
        <w:rPr>
          <w:rFonts w:hint="eastAsia" w:ascii="黑体" w:hAnsi="黑体" w:eastAsia="黑体" w:cs="黑体"/>
          <w:sz w:val="32"/>
          <w:szCs w:val="32"/>
        </w:rPr>
        <w:t>三、部门财政支出管理情况</w:t>
      </w:r>
    </w:p>
    <w:p>
      <w:pPr>
        <w:pStyle w:val="6"/>
        <w:numPr>
          <w:ilvl w:val="0"/>
          <w:numId w:val="8"/>
        </w:numPr>
        <w:spacing w:before="72"/>
        <w:ind w:left="420" w:leftChars="200"/>
        <w:rPr>
          <w:rFonts w:hint="eastAsia" w:ascii="楷体" w:hAnsi="楷体" w:eastAsia="楷体" w:cs="楷体"/>
          <w:sz w:val="32"/>
          <w:szCs w:val="32"/>
        </w:rPr>
      </w:pPr>
      <w:r>
        <w:rPr>
          <w:rFonts w:hint="eastAsia" w:ascii="楷体" w:hAnsi="楷体" w:eastAsia="楷体" w:cs="楷体"/>
          <w:sz w:val="32"/>
          <w:szCs w:val="32"/>
        </w:rPr>
        <w:t>预算编制情况</w:t>
      </w:r>
    </w:p>
    <w:p>
      <w:pPr>
        <w:pStyle w:val="6"/>
        <w:spacing w:before="72"/>
        <w:rPr>
          <w:rFonts w:hint="eastAsia" w:hAnsi="仿宋_GB2312" w:cs="仿宋_GB2312"/>
          <w:sz w:val="32"/>
          <w:szCs w:val="32"/>
        </w:rPr>
      </w:pPr>
      <w:r>
        <w:rPr>
          <w:rFonts w:hint="eastAsia" w:ascii="楷体" w:hAnsi="楷体" w:eastAsia="楷体" w:cs="楷体"/>
          <w:sz w:val="32"/>
          <w:szCs w:val="32"/>
        </w:rPr>
        <w:t xml:space="preserve">    </w:t>
      </w:r>
      <w:r>
        <w:rPr>
          <w:rFonts w:hint="eastAsia" w:hAnsi="仿宋_GB2312" w:cs="仿宋_GB2312"/>
          <w:sz w:val="32"/>
          <w:szCs w:val="32"/>
        </w:rPr>
        <w:t>按照县财政预算编制工作要求，我</w:t>
      </w:r>
      <w:r>
        <w:rPr>
          <w:rFonts w:hint="eastAsia" w:hAnsi="仿宋_GB2312" w:cs="仿宋_GB2312"/>
          <w:sz w:val="32"/>
          <w:szCs w:val="32"/>
          <w:lang w:eastAsia="zh-CN"/>
        </w:rPr>
        <w:t>乡</w:t>
      </w:r>
      <w:r>
        <w:rPr>
          <w:rFonts w:hint="eastAsia" w:hAnsi="仿宋_GB2312" w:cs="仿宋_GB2312"/>
          <w:sz w:val="32"/>
          <w:szCs w:val="32"/>
        </w:rPr>
        <w:t>组织财务人员积极参与预算编制培训会，及时掌握预算编制口径等相关知识，结合单位工作实际，按照“两上两下”编制方式，全面、及时、完整地编制了单位预算，并经财政部门审核下达。</w:t>
      </w:r>
    </w:p>
    <w:p>
      <w:pPr>
        <w:pStyle w:val="6"/>
        <w:numPr>
          <w:ilvl w:val="0"/>
          <w:numId w:val="8"/>
        </w:numPr>
        <w:spacing w:before="72"/>
        <w:ind w:left="420" w:leftChars="200"/>
        <w:rPr>
          <w:rFonts w:hint="eastAsia" w:ascii="楷体" w:hAnsi="楷体" w:eastAsia="楷体" w:cs="楷体"/>
          <w:sz w:val="32"/>
          <w:szCs w:val="32"/>
        </w:rPr>
      </w:pPr>
      <w:r>
        <w:rPr>
          <w:rFonts w:hint="eastAsia" w:ascii="楷体" w:hAnsi="楷体" w:eastAsia="楷体" w:cs="楷体"/>
          <w:sz w:val="32"/>
          <w:szCs w:val="32"/>
        </w:rPr>
        <w:t>执行管理情况</w:t>
      </w:r>
    </w:p>
    <w:p>
      <w:pPr>
        <w:pStyle w:val="6"/>
        <w:spacing w:before="72"/>
        <w:ind w:firstLine="640"/>
        <w:rPr>
          <w:rFonts w:hint="eastAsia" w:hAnsi="仿宋_GB2312" w:cs="仿宋_GB2312"/>
          <w:sz w:val="32"/>
          <w:szCs w:val="32"/>
        </w:rPr>
      </w:pPr>
      <w:r>
        <w:rPr>
          <w:rFonts w:hint="eastAsia" w:hAnsi="仿宋_GB2312" w:cs="仿宋_GB2312"/>
          <w:sz w:val="32"/>
          <w:szCs w:val="32"/>
        </w:rPr>
        <w:t>在预算执行中，我</w:t>
      </w:r>
      <w:r>
        <w:rPr>
          <w:rFonts w:hint="eastAsia" w:hAnsi="仿宋_GB2312" w:cs="仿宋_GB2312"/>
          <w:sz w:val="32"/>
          <w:szCs w:val="32"/>
          <w:lang w:eastAsia="zh-CN"/>
        </w:rPr>
        <w:t>乡</w:t>
      </w:r>
      <w:r>
        <w:rPr>
          <w:rFonts w:hint="eastAsia" w:hAnsi="仿宋_GB2312" w:cs="仿宋_GB2312"/>
          <w:sz w:val="32"/>
          <w:szCs w:val="32"/>
        </w:rPr>
        <w:t>严格按工作开展进度、预算资金计划等执行，分管财务领导定期不定期督查单位预算执行情况，并加强与财政部门的衔接沟通。对涉及的项目资金严格按项目实施进度拨付预算资金，加强了财政资金的事前、事中、事后监管，无超进度、超预算拨付资金。</w:t>
      </w:r>
    </w:p>
    <w:p>
      <w:pPr>
        <w:pStyle w:val="6"/>
        <w:spacing w:before="72"/>
        <w:ind w:firstLine="640"/>
        <w:rPr>
          <w:rFonts w:hint="eastAsia" w:hAnsi="仿宋_GB2312" w:eastAsia="仿宋_GB2312" w:cs="仿宋_GB2312"/>
          <w:sz w:val="32"/>
          <w:szCs w:val="32"/>
          <w:lang w:val="en-US" w:eastAsia="zh-CN"/>
        </w:rPr>
      </w:pPr>
      <w:r>
        <w:rPr>
          <w:rFonts w:hint="eastAsia" w:hAnsi="仿宋_GB2312" w:cs="仿宋_GB2312"/>
          <w:sz w:val="32"/>
          <w:szCs w:val="32"/>
        </w:rPr>
        <w:t>2017度“三公“经费支出情况：无出国出境及接待费用；公务用车运行费为</w:t>
      </w:r>
      <w:r>
        <w:rPr>
          <w:rFonts w:ascii="仿宋" w:hAnsi="仿宋" w:eastAsia="仿宋"/>
          <w:color w:val="000000"/>
          <w:sz w:val="32"/>
          <w:szCs w:val="32"/>
        </w:rPr>
        <w:t>8.92</w:t>
      </w:r>
      <w:r>
        <w:rPr>
          <w:rFonts w:hint="eastAsia" w:hAnsi="仿宋_GB2312" w:cs="仿宋_GB2312"/>
          <w:sz w:val="32"/>
          <w:szCs w:val="32"/>
        </w:rPr>
        <w:t>元</w:t>
      </w:r>
      <w:r>
        <w:rPr>
          <w:rFonts w:hint="eastAsia" w:hAnsi="仿宋_GB2312" w:cs="仿宋_GB2312"/>
          <w:sz w:val="32"/>
          <w:szCs w:val="32"/>
          <w:lang w:eastAsia="zh-CN"/>
        </w:rPr>
        <w:t>，</w:t>
      </w:r>
      <w:r>
        <w:rPr>
          <w:rFonts w:hint="eastAsia" w:ascii="仿宋_GB2312" w:eastAsia="仿宋_GB2312"/>
          <w:color w:val="000000"/>
          <w:sz w:val="32"/>
          <w:szCs w:val="32"/>
        </w:rPr>
        <w:t>公务接待费</w:t>
      </w:r>
      <w:r>
        <w:rPr>
          <w:rFonts w:hint="eastAsia"/>
          <w:color w:val="000000"/>
          <w:sz w:val="32"/>
          <w:szCs w:val="32"/>
          <w:lang w:val="en-US" w:eastAsia="zh-CN"/>
        </w:rPr>
        <w:t>0元。</w:t>
      </w:r>
    </w:p>
    <w:p>
      <w:pPr>
        <w:pStyle w:val="6"/>
        <w:spacing w:before="72"/>
        <w:ind w:firstLine="640"/>
        <w:rPr>
          <w:rFonts w:hint="eastAsia" w:hAnsi="仿宋_GB2312" w:eastAsia="仿宋_GB2312" w:cs="仿宋_GB2312"/>
          <w:sz w:val="32"/>
          <w:szCs w:val="32"/>
          <w:lang w:val="en-US" w:eastAsia="zh-CN"/>
        </w:rPr>
      </w:pPr>
      <w:r>
        <w:rPr>
          <w:rFonts w:hint="eastAsia" w:hAnsi="仿宋_GB2312" w:cs="仿宋_GB2312"/>
          <w:sz w:val="32"/>
          <w:szCs w:val="32"/>
        </w:rPr>
        <w:t>2018年度“三公“经费支出情况：无出国出境及接待费用；公务用车运行费为</w:t>
      </w:r>
      <w:r>
        <w:rPr>
          <w:rFonts w:ascii="仿宋" w:hAnsi="仿宋" w:eastAsia="仿宋"/>
          <w:color w:val="000000"/>
          <w:sz w:val="32"/>
          <w:szCs w:val="32"/>
        </w:rPr>
        <w:t>8.92</w:t>
      </w:r>
      <w:r>
        <w:rPr>
          <w:rFonts w:hint="eastAsia" w:hAnsi="仿宋_GB2312" w:cs="仿宋_GB2312"/>
          <w:sz w:val="32"/>
          <w:szCs w:val="32"/>
        </w:rPr>
        <w:t>元</w:t>
      </w:r>
      <w:r>
        <w:rPr>
          <w:rFonts w:hint="eastAsia" w:hAnsi="仿宋_GB2312" w:cs="仿宋_GB2312"/>
          <w:sz w:val="32"/>
          <w:szCs w:val="32"/>
          <w:lang w:val="en-US" w:eastAsia="zh-CN"/>
        </w:rPr>
        <w:t>。</w:t>
      </w:r>
    </w:p>
    <w:p>
      <w:pPr>
        <w:widowControl/>
        <w:adjustRightInd w:val="0"/>
        <w:snapToGrid w:val="0"/>
        <w:spacing w:line="576" w:lineRule="exact"/>
        <w:ind w:firstLine="720"/>
        <w:jc w:val="left"/>
        <w:rPr>
          <w:rFonts w:ascii="??_GB2312" w:hAnsi="宋体" w:eastAsia="Times New Roman" w:cs="宋体"/>
          <w:b/>
          <w:bCs/>
          <w:color w:val="000000"/>
          <w:kern w:val="0"/>
          <w:sz w:val="32"/>
          <w:lang w:val="zh-CN"/>
        </w:rPr>
      </w:pPr>
      <w:r>
        <w:rPr>
          <w:rFonts w:ascii="??_GB2312" w:hAnsi="宋体" w:eastAsia="Times New Roman" w:cs="宋体"/>
          <w:b/>
          <w:bCs/>
          <w:color w:val="000000"/>
          <w:kern w:val="0"/>
          <w:sz w:val="32"/>
          <w:lang w:val="zh-CN"/>
        </w:rPr>
        <w:t>（三）综合管理情况。</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Cs/>
          <w:kern w:val="2"/>
          <w:sz w:val="32"/>
          <w:szCs w:val="32"/>
          <w:lang w:val="zh-CN" w:eastAsia="zh-CN" w:bidi="ar-SA"/>
        </w:rPr>
      </w:pPr>
      <w:r>
        <w:rPr>
          <w:rFonts w:hint="eastAsia" w:ascii="宋体" w:hAnsi="宋体" w:cs="宋体"/>
          <w:b/>
          <w:bCs/>
          <w:color w:val="000000"/>
          <w:sz w:val="32"/>
          <w:szCs w:val="32"/>
          <w:shd w:val="clear" w:color="auto" w:fill="FFFFFF"/>
        </w:rPr>
        <w:t>预决算公开：</w:t>
      </w:r>
      <w:r>
        <w:rPr>
          <w:rFonts w:hint="eastAsia" w:ascii="仿宋_GB2312" w:hAnsi="仿宋_GB2312" w:eastAsia="仿宋_GB2312" w:cs="仿宋_GB2312"/>
          <w:bCs/>
          <w:kern w:val="2"/>
          <w:sz w:val="32"/>
          <w:szCs w:val="32"/>
          <w:lang w:val="zh-CN" w:eastAsia="zh-CN" w:bidi="ar-SA"/>
        </w:rPr>
        <w:t>2018年，我乡按照上级的要求，我乡在财政批复后20日内在指定网站公开预决算信息。</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Cs/>
          <w:kern w:val="2"/>
          <w:sz w:val="32"/>
          <w:szCs w:val="32"/>
          <w:lang w:val="zh-CN" w:eastAsia="zh-CN" w:bidi="ar-SA"/>
        </w:rPr>
      </w:pPr>
      <w:r>
        <w:rPr>
          <w:rFonts w:hint="eastAsia" w:ascii="宋体" w:hAnsi="宋体" w:cs="宋体"/>
          <w:b/>
          <w:bCs/>
          <w:color w:val="000000"/>
          <w:sz w:val="32"/>
          <w:szCs w:val="32"/>
          <w:shd w:val="clear" w:color="auto" w:fill="FFFFFF"/>
        </w:rPr>
        <w:t>资产管理：</w:t>
      </w:r>
      <w:r>
        <w:rPr>
          <w:rFonts w:hint="eastAsia" w:ascii="仿宋_GB2312" w:hAnsi="仿宋_GB2312" w:eastAsia="仿宋_GB2312" w:cs="仿宋_GB2312"/>
          <w:bCs/>
          <w:kern w:val="2"/>
          <w:sz w:val="32"/>
          <w:szCs w:val="32"/>
          <w:lang w:val="zh-CN" w:eastAsia="zh-CN" w:bidi="ar-SA"/>
        </w:rPr>
        <w:t>乡机关建立了资产管理制度，组织开展资产盘点和清查，并就清查中发现的问题进行全面整改。</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Cs/>
          <w:kern w:val="2"/>
          <w:sz w:val="32"/>
          <w:szCs w:val="32"/>
          <w:lang w:val="zh-CN" w:eastAsia="zh-CN" w:bidi="ar-SA"/>
        </w:rPr>
      </w:pPr>
      <w:r>
        <w:rPr>
          <w:rFonts w:hint="eastAsia" w:ascii="宋体" w:hAnsi="宋体" w:cs="宋体"/>
          <w:b/>
          <w:bCs/>
          <w:color w:val="000000"/>
          <w:sz w:val="32"/>
          <w:szCs w:val="32"/>
          <w:shd w:val="clear" w:color="auto" w:fill="FFFFFF"/>
        </w:rPr>
        <w:t>内部管理制度建设情况：</w:t>
      </w:r>
      <w:r>
        <w:rPr>
          <w:rFonts w:hint="eastAsia" w:ascii="仿宋_GB2312" w:hAnsi="仿宋_GB2312" w:eastAsia="仿宋_GB2312" w:cs="仿宋_GB2312"/>
          <w:bCs/>
          <w:kern w:val="2"/>
          <w:sz w:val="32"/>
          <w:szCs w:val="32"/>
          <w:lang w:val="zh-CN" w:eastAsia="zh-CN" w:bidi="ar-SA"/>
        </w:rPr>
        <w:t>201</w:t>
      </w:r>
      <w:r>
        <w:rPr>
          <w:rFonts w:hint="eastAsia" w:ascii="仿宋_GB2312" w:hAnsi="仿宋_GB2312" w:eastAsia="仿宋_GB2312" w:cs="仿宋_GB2312"/>
          <w:bCs/>
          <w:kern w:val="2"/>
          <w:sz w:val="32"/>
          <w:szCs w:val="32"/>
          <w:lang w:val="en-US" w:eastAsia="zh-CN" w:bidi="ar-SA"/>
        </w:rPr>
        <w:t>8</w:t>
      </w:r>
      <w:r>
        <w:rPr>
          <w:rFonts w:hint="eastAsia" w:ascii="仿宋_GB2312" w:hAnsi="仿宋_GB2312" w:eastAsia="仿宋_GB2312" w:cs="仿宋_GB2312"/>
          <w:bCs/>
          <w:kern w:val="2"/>
          <w:sz w:val="32"/>
          <w:szCs w:val="32"/>
          <w:lang w:val="zh-CN" w:eastAsia="zh-CN" w:bidi="ar-SA"/>
        </w:rPr>
        <w:t>年以来，我乡制定了乡机关内部控制工作实施方案，并不断完善了“预算管理办法”、“合同管理制度”、“收支管理办法”、“资产管理制度”等一系列内部制度。</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Cs/>
          <w:kern w:val="2"/>
          <w:sz w:val="32"/>
          <w:szCs w:val="32"/>
          <w:lang w:val="zh-CN" w:eastAsia="zh-CN" w:bidi="ar-SA"/>
        </w:rPr>
      </w:pPr>
      <w:r>
        <w:rPr>
          <w:rFonts w:hint="eastAsia" w:ascii="宋体" w:hAnsi="宋体" w:cs="宋体"/>
          <w:b/>
          <w:bCs/>
          <w:color w:val="000000"/>
          <w:sz w:val="32"/>
          <w:szCs w:val="32"/>
          <w:shd w:val="clear" w:color="auto" w:fill="FFFFFF"/>
        </w:rPr>
        <w:t>绩效评价：</w:t>
      </w:r>
      <w:r>
        <w:rPr>
          <w:rFonts w:hint="eastAsia" w:ascii="仿宋_GB2312" w:hAnsi="仿宋_GB2312" w:eastAsia="仿宋_GB2312" w:cs="仿宋_GB2312"/>
          <w:bCs/>
          <w:kern w:val="2"/>
          <w:sz w:val="32"/>
          <w:szCs w:val="32"/>
          <w:lang w:val="zh-CN" w:eastAsia="zh-CN" w:bidi="ar-SA"/>
        </w:rPr>
        <w:t>根据绩效评价的要求，我们成立了自评工作领导小组，对照自评方案进行研究和布署，按照自评方案的要求，对照各实施项目的内容逐条逐项自评。</w:t>
      </w:r>
    </w:p>
    <w:p>
      <w:pPr>
        <w:widowControl/>
        <w:numPr>
          <w:ilvl w:val="0"/>
          <w:numId w:val="9"/>
        </w:numPr>
        <w:adjustRightInd w:val="0"/>
        <w:snapToGrid w:val="0"/>
        <w:spacing w:line="576" w:lineRule="exact"/>
        <w:ind w:firstLine="720"/>
        <w:jc w:val="left"/>
        <w:rPr>
          <w:rFonts w:ascii="??_GB2312" w:hAnsi="宋体" w:eastAsia="Times New Roman" w:cs="宋体"/>
          <w:b/>
          <w:bCs/>
          <w:color w:val="000000"/>
          <w:kern w:val="0"/>
          <w:sz w:val="32"/>
          <w:lang w:val="zh-CN"/>
        </w:rPr>
      </w:pPr>
      <w:r>
        <w:rPr>
          <w:rFonts w:ascii="??_GB2312" w:hAnsi="宋体" w:eastAsia="Times New Roman" w:cs="宋体"/>
          <w:b/>
          <w:bCs/>
          <w:color w:val="000000"/>
          <w:kern w:val="0"/>
          <w:sz w:val="32"/>
          <w:lang w:val="zh-CN"/>
        </w:rPr>
        <w:t>整体绩效。</w:t>
      </w:r>
    </w:p>
    <w:p>
      <w:pPr>
        <w:pStyle w:val="12"/>
        <w:widowControl/>
        <w:shd w:val="clear" w:color="auto" w:fill="FFFFFF"/>
        <w:spacing w:beforeAutospacing="0" w:afterAutospacing="0" w:line="576"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从整体情况来看，我乡严格按照年初预算进行部门整体支出，预算资金覆盖我乡工作的各个方面，按照保工资、保运转、保民生的保障序列科学编制，分配办法科学，考虑的因素必要合理，分配的结果合理，保障了人员经费及单位正常运转。在支出过程中，能严格遵守各项规章制度，“三公经费”有所下降。所有项目都详细制定了方案，严格按方案组织实施，并加强了监督。尤其是在专项经费支出上，我们能专款专用，严格审批程序，按项目实施计划的进度情况进行资金拨付，无截留、无挪用等现象，保障了资金安全。</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
          <w:bCs w:val="0"/>
          <w:kern w:val="2"/>
          <w:sz w:val="32"/>
          <w:szCs w:val="32"/>
          <w:lang w:val="zh-CN" w:eastAsia="zh-CN" w:bidi="ar-SA"/>
        </w:rPr>
      </w:pPr>
      <w:r>
        <w:rPr>
          <w:rFonts w:hint="eastAsia" w:ascii="仿宋_GB2312" w:hAnsi="仿宋_GB2312" w:eastAsia="仿宋_GB2312" w:cs="仿宋_GB2312"/>
          <w:b/>
          <w:bCs w:val="0"/>
          <w:kern w:val="2"/>
          <w:sz w:val="32"/>
          <w:szCs w:val="32"/>
          <w:lang w:val="zh-CN" w:eastAsia="zh-CN" w:bidi="ar-SA"/>
        </w:rPr>
        <w:t>四、评价结论及建议</w:t>
      </w:r>
    </w:p>
    <w:p>
      <w:pPr>
        <w:pStyle w:val="12"/>
        <w:widowControl/>
        <w:shd w:val="clear" w:color="auto" w:fill="FFFFFF"/>
        <w:spacing w:beforeAutospacing="0" w:afterAutospacing="0" w:line="576" w:lineRule="exact"/>
        <w:ind w:firstLine="643" w:firstLineChars="200"/>
        <w:rPr>
          <w:rFonts w:hint="eastAsia" w:ascii="仿宋_GB2312" w:hAnsi="仿宋_GB2312" w:eastAsia="仿宋_GB2312" w:cs="仿宋_GB2312"/>
          <w:b/>
          <w:bCs w:val="0"/>
          <w:kern w:val="2"/>
          <w:sz w:val="32"/>
          <w:szCs w:val="32"/>
          <w:lang w:val="zh-CN" w:eastAsia="zh-CN" w:bidi="ar-SA"/>
        </w:rPr>
      </w:pPr>
      <w:r>
        <w:rPr>
          <w:rFonts w:hint="eastAsia" w:ascii="仿宋_GB2312" w:hAnsi="仿宋_GB2312" w:eastAsia="仿宋_GB2312" w:cs="仿宋_GB2312"/>
          <w:b/>
          <w:bCs w:val="0"/>
          <w:kern w:val="2"/>
          <w:sz w:val="32"/>
          <w:szCs w:val="32"/>
          <w:lang w:val="zh-CN" w:eastAsia="zh-CN" w:bidi="ar-SA"/>
        </w:rPr>
        <w:t>（一）评价结论。</w:t>
      </w:r>
    </w:p>
    <w:p>
      <w:pPr>
        <w:pStyle w:val="12"/>
        <w:widowControl/>
        <w:shd w:val="clear" w:color="auto" w:fill="FFFFFF"/>
        <w:spacing w:beforeAutospacing="0" w:afterAutospacing="0" w:line="576"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在自评过程发现问题，查找原因，及时纠正偏差，为下一步工作夯实基础。我乡评价得分</w:t>
      </w:r>
      <w:r>
        <w:rPr>
          <w:rFonts w:hint="eastAsia" w:ascii="仿宋_GB2312" w:hAnsi="仿宋_GB2312" w:eastAsia="仿宋_GB2312" w:cs="仿宋_GB2312"/>
          <w:bCs/>
          <w:kern w:val="2"/>
          <w:sz w:val="32"/>
          <w:szCs w:val="32"/>
          <w:lang w:val="en-US" w:eastAsia="zh-CN" w:bidi="ar-SA"/>
        </w:rPr>
        <w:t>92</w:t>
      </w:r>
      <w:r>
        <w:rPr>
          <w:rFonts w:hint="eastAsia" w:ascii="仿宋_GB2312" w:hAnsi="仿宋_GB2312" w:eastAsia="仿宋_GB2312" w:cs="仿宋_GB2312"/>
          <w:bCs/>
          <w:kern w:val="2"/>
          <w:sz w:val="32"/>
          <w:szCs w:val="32"/>
          <w:lang w:val="zh-CN" w:eastAsia="zh-CN" w:bidi="ar-SA"/>
        </w:rPr>
        <w:t>分，整体评价良好，预算收入和支出相符。</w:t>
      </w:r>
    </w:p>
    <w:p>
      <w:pPr>
        <w:widowControl/>
        <w:adjustRightInd w:val="0"/>
        <w:snapToGrid w:val="0"/>
        <w:spacing w:line="576" w:lineRule="exact"/>
        <w:ind w:left="720"/>
        <w:jc w:val="left"/>
        <w:rPr>
          <w:rFonts w:ascii="??_GB2312" w:hAnsi="宋体" w:eastAsia="Times New Roman" w:cs="宋体"/>
          <w:b/>
          <w:bCs/>
          <w:color w:val="000000"/>
          <w:kern w:val="0"/>
          <w:sz w:val="32"/>
          <w:lang w:val="zh-CN"/>
        </w:rPr>
      </w:pPr>
      <w:r>
        <w:rPr>
          <w:rFonts w:ascii="??_GB2312" w:hAnsi="宋体" w:eastAsia="Times New Roman" w:cs="宋体"/>
          <w:b/>
          <w:bCs/>
          <w:color w:val="000000"/>
          <w:kern w:val="0"/>
          <w:sz w:val="32"/>
          <w:lang w:val="zh-CN"/>
        </w:rPr>
        <w:t>（二）存在问题。</w:t>
      </w:r>
    </w:p>
    <w:p>
      <w:pPr>
        <w:widowControl/>
        <w:adjustRightInd w:val="0"/>
        <w:snapToGrid w:val="0"/>
        <w:spacing w:line="576" w:lineRule="exact"/>
        <w:jc w:val="left"/>
        <w:rPr>
          <w:rFonts w:hint="eastAsia" w:ascii="仿宋_GB2312" w:hAnsi="仿宋_GB2312" w:eastAsia="仿宋_GB2312" w:cs="仿宋_GB2312"/>
          <w:bCs/>
          <w:kern w:val="2"/>
          <w:sz w:val="32"/>
          <w:szCs w:val="32"/>
          <w:lang w:val="zh-CN" w:eastAsia="zh-CN" w:bidi="ar-SA"/>
        </w:rPr>
      </w:pPr>
      <w:r>
        <w:rPr>
          <w:rFonts w:ascii="??_GB2312" w:hAnsi="宋体" w:eastAsia="Times New Roman" w:cs="宋体"/>
          <w:b/>
          <w:bCs/>
          <w:color w:val="000000"/>
          <w:kern w:val="0"/>
          <w:sz w:val="32"/>
        </w:rPr>
        <w:t xml:space="preserve">   </w:t>
      </w:r>
      <w:r>
        <w:rPr>
          <w:rFonts w:hint="eastAsia" w:ascii="仿宋_GB2312" w:hAnsi="仿宋_GB2312" w:eastAsia="仿宋_GB2312" w:cs="仿宋_GB2312"/>
          <w:bCs/>
          <w:kern w:val="2"/>
          <w:sz w:val="32"/>
          <w:szCs w:val="32"/>
          <w:lang w:val="zh-CN" w:eastAsia="zh-CN" w:bidi="ar-SA"/>
        </w:rPr>
        <w:t xml:space="preserve"> 一是资金使用效益有待进一步提高；二是预算编制先见性不足，与实际支出存在偏差；三是绩效目标设立不够明确、细化和量化。虽然设立了项目资金绩效目标，但目标不够明确、细化和量化。</w:t>
      </w:r>
    </w:p>
    <w:p>
      <w:pPr>
        <w:widowControl/>
        <w:adjustRightInd w:val="0"/>
        <w:snapToGrid w:val="0"/>
        <w:spacing w:line="576" w:lineRule="exact"/>
        <w:ind w:left="720"/>
        <w:jc w:val="left"/>
        <w:rPr>
          <w:rFonts w:hint="eastAsia" w:ascii="仿宋_GB2312" w:hAnsi="仿宋_GB2312" w:eastAsia="仿宋_GB2312" w:cs="仿宋_GB2312"/>
          <w:b/>
          <w:bCs w:val="0"/>
          <w:kern w:val="2"/>
          <w:sz w:val="32"/>
          <w:szCs w:val="32"/>
          <w:lang w:val="zh-CN" w:eastAsia="zh-CN" w:bidi="ar-SA"/>
        </w:rPr>
      </w:pPr>
      <w:r>
        <w:rPr>
          <w:rFonts w:hint="eastAsia" w:ascii="仿宋_GB2312" w:hAnsi="仿宋_GB2312" w:eastAsia="仿宋_GB2312" w:cs="仿宋_GB2312"/>
          <w:b/>
          <w:bCs w:val="0"/>
          <w:kern w:val="2"/>
          <w:sz w:val="32"/>
          <w:szCs w:val="32"/>
          <w:lang w:val="zh-CN" w:eastAsia="zh-CN" w:bidi="ar-SA"/>
        </w:rPr>
        <w:t>（三）改进建议。</w:t>
      </w:r>
    </w:p>
    <w:p>
      <w:pPr>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一是</w:t>
      </w:r>
      <w:r>
        <w:rPr>
          <w:rFonts w:hint="eastAsia" w:ascii="仿宋_GB2312" w:eastAsia="仿宋_GB2312"/>
          <w:color w:val="000000"/>
          <w:sz w:val="32"/>
          <w:szCs w:val="32"/>
          <w:lang w:eastAsia="zh-CN"/>
        </w:rPr>
        <w:t>提高资金使用效益</w:t>
      </w:r>
      <w:r>
        <w:rPr>
          <w:rFonts w:hint="eastAsia" w:ascii="仿宋_GB2312" w:eastAsia="仿宋_GB2312"/>
          <w:color w:val="000000"/>
          <w:sz w:val="32"/>
          <w:szCs w:val="32"/>
        </w:rPr>
        <w:t>，二是认真做好预算的编制，细化预算编制</w:t>
      </w:r>
      <w:r>
        <w:rPr>
          <w:rFonts w:hint="eastAsia" w:ascii="仿宋_GB2312" w:eastAsia="仿宋_GB2312"/>
          <w:color w:val="000000"/>
          <w:sz w:val="32"/>
          <w:szCs w:val="32"/>
          <w:lang w:eastAsia="zh-CN"/>
        </w:rPr>
        <w:t>，三是</w:t>
      </w:r>
      <w:r>
        <w:rPr>
          <w:rFonts w:hint="eastAsia" w:ascii="仿宋_GB2312" w:eastAsia="仿宋_GB2312"/>
          <w:color w:val="000000"/>
          <w:sz w:val="32"/>
          <w:szCs w:val="32"/>
        </w:rPr>
        <w:t>不断加强新《预算法》、《行政单位会计制度》等学习，规范部门预算收支核算，制定和完善基本支出、项目支出等各项支出标准，严格按项目和进度执行预算，增强预算的约束力和严肃性。落实预算执行分析，及时了解预算执行差异，合理调整、纠正预算执行偏差，切实提高部门预算收支管理水平。</w:t>
      </w:r>
    </w:p>
    <w:p>
      <w:pPr>
        <w:pStyle w:val="2"/>
        <w:rPr>
          <w:rFonts w:hint="eastAsia" w:ascii="仿宋_GB2312" w:eastAsia="仿宋_GB2312"/>
          <w:color w:val="000000"/>
          <w:sz w:val="32"/>
          <w:szCs w:val="32"/>
        </w:rPr>
      </w:pPr>
    </w:p>
    <w:p>
      <w:pPr>
        <w:pStyle w:val="2"/>
        <w:rPr>
          <w:rFonts w:hint="eastAsia" w:ascii="仿宋_GB2312" w:eastAsia="仿宋_GB2312"/>
          <w:color w:val="000000"/>
          <w:sz w:val="32"/>
          <w:szCs w:val="32"/>
        </w:rPr>
      </w:pPr>
    </w:p>
    <w:p>
      <w:pPr>
        <w:pStyle w:val="2"/>
        <w:rPr>
          <w:rFonts w:hint="eastAsia" w:ascii="仿宋_GB2312" w:eastAsia="仿宋_GB2312"/>
          <w:color w:val="000000"/>
          <w:sz w:val="32"/>
          <w:szCs w:val="32"/>
        </w:rPr>
      </w:pPr>
    </w:p>
    <w:p>
      <w:pPr>
        <w:pStyle w:val="2"/>
        <w:rPr>
          <w:rFonts w:hint="eastAsia" w:ascii="仿宋_GB2312" w:eastAsia="仿宋_GB2312"/>
          <w:color w:val="000000"/>
          <w:sz w:val="32"/>
          <w:szCs w:val="32"/>
        </w:rPr>
      </w:pPr>
    </w:p>
    <w:p>
      <w:pPr>
        <w:pStyle w:val="2"/>
        <w:rPr>
          <w:rFonts w:hint="eastAsia" w:ascii="仿宋_GB2312" w:eastAsia="仿宋_GB2312"/>
          <w:color w:val="000000"/>
          <w:sz w:val="32"/>
          <w:szCs w:val="32"/>
        </w:rPr>
      </w:pPr>
    </w:p>
    <w:p>
      <w:pPr>
        <w:pStyle w:val="5"/>
        <w:rPr>
          <w:rStyle w:val="21"/>
          <w:rFonts w:ascii="仿宋" w:hAnsi="仿宋" w:eastAsia="仿宋"/>
          <w:b w:val="0"/>
          <w:bCs w:val="0"/>
          <w:color w:val="auto"/>
          <w:sz w:val="32"/>
          <w:szCs w:val="32"/>
        </w:rPr>
      </w:pPr>
      <w:r>
        <w:rPr>
          <w:rStyle w:val="21"/>
          <w:rFonts w:hint="eastAsia" w:ascii="仿宋" w:hAnsi="仿宋" w:eastAsia="仿宋"/>
          <w:b w:val="0"/>
          <w:bCs w:val="0"/>
          <w:color w:val="auto"/>
          <w:sz w:val="32"/>
          <w:szCs w:val="32"/>
        </w:rPr>
        <w:t>附件2</w:t>
      </w:r>
    </w:p>
    <w:p>
      <w:pPr>
        <w:keepNext w:val="0"/>
        <w:keepLines w:val="0"/>
        <w:widowControl w:val="0"/>
        <w:suppressLineNumbers w:val="0"/>
        <w:adjustRightInd w:val="0"/>
        <w:snapToGrid w:val="0"/>
        <w:spacing w:before="0" w:beforeAutospacing="0" w:after="0" w:afterAutospacing="0" w:line="580" w:lineRule="exact"/>
        <w:ind w:right="0"/>
        <w:jc w:val="center"/>
        <w:rPr>
          <w:rFonts w:hint="eastAsia" w:ascii="方正小标宋简体" w:hAnsi="方正小标宋简体" w:eastAsia="方正小标宋简体" w:cs="方正小标宋简体"/>
          <w:b/>
          <w:bCs/>
          <w:kern w:val="2"/>
          <w:sz w:val="44"/>
          <w:szCs w:val="44"/>
          <w:lang w:val="en-US" w:eastAsia="zh-CN" w:bidi="ar"/>
        </w:rPr>
      </w:pPr>
      <w:r>
        <w:rPr>
          <w:rFonts w:hint="eastAsia" w:ascii="方正小标宋简体" w:hAnsi="方正小标宋简体" w:eastAsia="方正小标宋简体" w:cs="方正小标宋简体"/>
          <w:b/>
          <w:bCs/>
          <w:kern w:val="2"/>
          <w:sz w:val="44"/>
          <w:szCs w:val="44"/>
          <w:lang w:val="en-US" w:eastAsia="zh-CN" w:bidi="ar"/>
        </w:rPr>
        <w:t>红原县查尔玛乡人民政府</w:t>
      </w:r>
    </w:p>
    <w:p>
      <w:pPr>
        <w:keepNext w:val="0"/>
        <w:keepLines w:val="0"/>
        <w:widowControl w:val="0"/>
        <w:suppressLineNumbers w:val="0"/>
        <w:adjustRightInd w:val="0"/>
        <w:snapToGrid w:val="0"/>
        <w:spacing w:before="0" w:beforeAutospacing="0" w:after="0" w:afterAutospacing="0" w:line="580" w:lineRule="exact"/>
        <w:ind w:right="0"/>
        <w:jc w:val="center"/>
        <w:rPr>
          <w:rFonts w:hint="eastAsia" w:ascii="方正小标宋简体" w:hAnsi="方正小标宋简体" w:eastAsia="方正小标宋简体" w:cs="方正小标宋简体"/>
          <w:b/>
          <w:bCs/>
          <w:kern w:val="2"/>
          <w:sz w:val="44"/>
          <w:szCs w:val="44"/>
          <w:lang w:val="en-US" w:eastAsia="zh-CN" w:bidi="ar"/>
        </w:rPr>
      </w:pPr>
      <w:r>
        <w:rPr>
          <w:rFonts w:hint="eastAsia" w:ascii="方正小标宋简体" w:hAnsi="方正小标宋简体" w:eastAsia="方正小标宋简体" w:cs="方正小标宋简体"/>
          <w:b/>
          <w:bCs/>
          <w:kern w:val="2"/>
          <w:sz w:val="44"/>
          <w:szCs w:val="44"/>
          <w:lang w:val="en-US" w:eastAsia="zh-CN" w:bidi="ar"/>
        </w:rPr>
        <w:t>红原县查尔玛乡什布龙村贮草库建设项目支出绩效自评报告</w:t>
      </w:r>
    </w:p>
    <w:p>
      <w:pPr>
        <w:keepNext w:val="0"/>
        <w:keepLines w:val="0"/>
        <w:widowControl w:val="0"/>
        <w:suppressLineNumbers w:val="0"/>
        <w:spacing w:before="0" w:beforeAutospacing="0" w:after="0" w:afterAutospacing="0" w:line="580" w:lineRule="exact"/>
        <w:ind w:left="0" w:right="0"/>
        <w:jc w:val="center"/>
        <w:rPr>
          <w:rFonts w:hint="eastAsia" w:ascii="仿宋_GB2312" w:hAnsi="宋体" w:eastAsia="仿宋_GB2312" w:cs="仿宋_GB2312"/>
          <w:lang w:val="en-US"/>
        </w:rPr>
      </w:pPr>
      <w:r>
        <w:rPr>
          <w:rFonts w:hint="eastAsia" w:ascii="仿宋_GB2312" w:hAnsi="宋体" w:eastAsia="仿宋_GB2312" w:cs="仿宋_GB2312"/>
          <w:kern w:val="2"/>
          <w:sz w:val="32"/>
          <w:szCs w:val="24"/>
          <w:lang w:val="en-US" w:eastAsia="zh-CN" w:bidi="ar"/>
        </w:rPr>
        <w:t>（产业发展建设项目）</w:t>
      </w:r>
    </w:p>
    <w:p>
      <w:pPr>
        <w:keepNext w:val="0"/>
        <w:keepLines w:val="0"/>
        <w:widowControl w:val="0"/>
        <w:suppressLineNumbers w:val="0"/>
        <w:adjustRightInd w:val="0"/>
        <w:snapToGrid w:val="0"/>
        <w:spacing w:before="0" w:beforeAutospacing="0" w:after="0" w:afterAutospacing="0" w:line="580" w:lineRule="exact"/>
        <w:ind w:right="0" w:firstLine="640" w:firstLineChars="200"/>
        <w:jc w:val="both"/>
        <w:rPr>
          <w:rFonts w:hint="eastAsia" w:ascii="黑体" w:hAnsi="宋体" w:eastAsia="黑体" w:cs="黑体"/>
          <w:lang w:val="zh-CN" w:eastAsia="zh-CN"/>
        </w:rPr>
      </w:pPr>
      <w:r>
        <w:rPr>
          <w:rFonts w:hint="eastAsia" w:ascii="黑体" w:hAnsi="宋体" w:eastAsia="黑体" w:cs="黑体"/>
          <w:kern w:val="2"/>
          <w:sz w:val="32"/>
          <w:szCs w:val="24"/>
          <w:lang w:val="en-US" w:eastAsia="zh-CN" w:bidi="ar"/>
        </w:rPr>
        <w:t>一、</w:t>
      </w:r>
      <w:r>
        <w:rPr>
          <w:rFonts w:hint="eastAsia" w:ascii="黑体" w:hAnsi="宋体" w:eastAsia="黑体" w:cs="黑体"/>
          <w:kern w:val="2"/>
          <w:sz w:val="32"/>
          <w:szCs w:val="24"/>
          <w:lang w:val="zh-CN" w:eastAsia="zh-CN" w:bidi="ar"/>
        </w:rPr>
        <w:t>项目概况</w:t>
      </w:r>
    </w:p>
    <w:p>
      <w:pPr>
        <w:pageBreakBefore w:val="0"/>
        <w:kinsoku/>
        <w:wordWrap/>
        <w:overflowPunct/>
        <w:topLinePunct w:val="0"/>
        <w:autoSpaceDE/>
        <w:autoSpaceDN/>
        <w:bidi w:val="0"/>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为加快查尔玛乡基础设施建设步伐，同步全面实现小康社会，</w:t>
      </w:r>
      <w:r>
        <w:rPr>
          <w:rFonts w:hint="eastAsia" w:ascii="仿宋_GB2312" w:hAnsi="仿宋_GB2312" w:eastAsia="仿宋_GB2312" w:cs="仿宋_GB2312"/>
          <w:bCs/>
          <w:sz w:val="32"/>
          <w:lang w:eastAsia="zh-CN"/>
        </w:rPr>
        <w:t>201</w:t>
      </w:r>
      <w:r>
        <w:rPr>
          <w:rFonts w:hint="eastAsia" w:ascii="仿宋_GB2312" w:hAnsi="仿宋_GB2312" w:eastAsia="仿宋_GB2312" w:cs="仿宋_GB2312"/>
          <w:bCs/>
          <w:sz w:val="32"/>
          <w:lang w:val="en-US" w:eastAsia="zh-CN"/>
        </w:rPr>
        <w:t>8</w:t>
      </w:r>
      <w:r>
        <w:rPr>
          <w:rFonts w:hint="eastAsia" w:ascii="仿宋_GB2312" w:hAnsi="仿宋_GB2312" w:eastAsia="仿宋_GB2312" w:cs="仿宋_GB2312"/>
          <w:bCs/>
          <w:sz w:val="32"/>
          <w:lang w:eastAsia="zh-CN"/>
        </w:rPr>
        <w:t>年脱贫攻坚资金计划第一批文件安排，确定实施红原县查尔玛乡什布龙村草料库建设项目</w:t>
      </w:r>
      <w:r>
        <w:rPr>
          <w:rFonts w:hint="eastAsia" w:ascii="仿宋_GB2312" w:hAnsi="仿宋_GB2312" w:eastAsia="仿宋_GB2312" w:cs="仿宋_GB2312"/>
          <w:bCs/>
          <w:sz w:val="32"/>
        </w:rPr>
        <w:t>。</w:t>
      </w:r>
    </w:p>
    <w:p>
      <w:pPr>
        <w:keepNext w:val="0"/>
        <w:keepLines w:val="0"/>
        <w:widowControl w:val="0"/>
        <w:suppressLineNumbers w:val="0"/>
        <w:adjustRightInd w:val="0"/>
        <w:snapToGrid w:val="0"/>
        <w:spacing w:before="0" w:beforeAutospacing="0" w:after="0" w:afterAutospacing="0" w:line="580" w:lineRule="exact"/>
        <w:ind w:right="0" w:firstLine="643" w:firstLineChars="200"/>
        <w:jc w:val="both"/>
        <w:rPr>
          <w:rFonts w:hint="default" w:ascii="仿宋_GB2312" w:hAnsi="宋体" w:eastAsia="仿宋_GB2312" w:cs="仿宋_GB2312"/>
          <w:lang w:val="en-US" w:eastAsia="zh-CN"/>
        </w:rPr>
      </w:pPr>
      <w:r>
        <w:rPr>
          <w:rFonts w:hint="eastAsia" w:ascii="楷体_GB2312" w:hAnsi="宋体" w:eastAsia="楷体_GB2312" w:cs="楷体_GB2312"/>
          <w:b/>
          <w:bCs w:val="0"/>
          <w:kern w:val="2"/>
          <w:sz w:val="32"/>
          <w:szCs w:val="24"/>
          <w:lang w:val="zh-CN" w:eastAsia="zh-CN" w:bidi="ar"/>
        </w:rPr>
        <w:t>（一）项目资金申报及批复情况。</w:t>
      </w:r>
      <w:r>
        <w:rPr>
          <w:rFonts w:hint="eastAsia" w:ascii="仿宋_GB2312" w:hAnsi="宋体" w:eastAsia="仿宋_GB2312" w:cs="仿宋_GB2312"/>
          <w:kern w:val="2"/>
          <w:sz w:val="32"/>
          <w:szCs w:val="24"/>
          <w:lang w:val="zh-CN" w:eastAsia="zh-CN" w:bidi="ar"/>
        </w:rPr>
        <w:t>该项目资金申报、批复等符合资金管理办法等相关规定。</w:t>
      </w:r>
    </w:p>
    <w:p>
      <w:pPr>
        <w:spacing w:line="520" w:lineRule="exact"/>
        <w:ind w:firstLine="643" w:firstLineChars="200"/>
        <w:rPr>
          <w:rFonts w:hint="eastAsia" w:ascii="仿宋_GB2312" w:hAnsi="宋体" w:eastAsia="仿宋_GB2312" w:cs="仿宋_GB2312"/>
          <w:lang w:val="zh-CN" w:eastAsia="zh-CN"/>
        </w:rPr>
      </w:pPr>
      <w:r>
        <w:rPr>
          <w:rFonts w:hint="eastAsia" w:ascii="楷体_GB2312" w:hAnsi="宋体" w:eastAsia="楷体_GB2312" w:cs="楷体_GB2312"/>
          <w:b/>
          <w:bCs w:val="0"/>
          <w:kern w:val="2"/>
          <w:sz w:val="32"/>
          <w:szCs w:val="24"/>
          <w:lang w:val="zh-CN" w:eastAsia="zh-CN" w:bidi="ar"/>
        </w:rPr>
        <w:t>（二）项目绩效目标。</w:t>
      </w:r>
      <w:r>
        <w:rPr>
          <w:rFonts w:hint="eastAsia" w:ascii="仿宋_GB2312" w:hAnsi="宋体" w:eastAsia="仿宋_GB2312" w:cs="仿宋_GB2312"/>
          <w:kern w:val="2"/>
          <w:sz w:val="32"/>
          <w:szCs w:val="24"/>
          <w:lang w:val="zh-CN" w:eastAsia="zh-CN" w:bidi="ar"/>
        </w:rPr>
        <w:t>项目主要内容为：</w:t>
      </w:r>
      <w:r>
        <w:rPr>
          <w:rFonts w:hint="eastAsia" w:ascii="仿宋_GB2312" w:hAnsi="仿宋_GB2312" w:eastAsia="仿宋_GB2312" w:cs="仿宋_GB2312"/>
          <w:sz w:val="32"/>
          <w:szCs w:val="32"/>
          <w:lang w:eastAsia="zh-CN"/>
        </w:rPr>
        <w:t>新建草料库</w:t>
      </w:r>
      <w:r>
        <w:rPr>
          <w:rFonts w:hint="eastAsia" w:ascii="仿宋_GB2312" w:hAnsi="仿宋_GB2312" w:eastAsia="仿宋_GB2312" w:cs="仿宋_GB2312"/>
          <w:sz w:val="32"/>
          <w:szCs w:val="32"/>
          <w:lang w:val="en-US" w:eastAsia="zh-CN"/>
        </w:rPr>
        <w:t>200㎡</w:t>
      </w:r>
      <w:r>
        <w:rPr>
          <w:rFonts w:hint="eastAsia" w:ascii="仿宋_GB2312" w:hAnsi="仿宋_GB2312" w:eastAsia="仿宋_GB2312" w:cs="仿宋_GB2312"/>
          <w:sz w:val="32"/>
          <w:szCs w:val="32"/>
        </w:rPr>
        <w:t>。</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仿宋_GB2312" w:hAnsi="宋体" w:eastAsia="仿宋_GB2312" w:cs="仿宋_GB2312"/>
          <w:lang w:val="zh-CN" w:eastAsia="zh-CN"/>
        </w:rPr>
      </w:pPr>
      <w:r>
        <w:rPr>
          <w:rFonts w:hint="eastAsia" w:ascii="楷体_GB2312" w:hAnsi="宋体" w:eastAsia="楷体_GB2312" w:cs="楷体_GB2312"/>
          <w:b/>
          <w:bCs w:val="0"/>
          <w:kern w:val="2"/>
          <w:sz w:val="32"/>
          <w:szCs w:val="24"/>
          <w:lang w:val="zh-CN" w:eastAsia="zh-CN" w:bidi="ar"/>
        </w:rPr>
        <w:t>（三）项目资金申报相符性。</w:t>
      </w:r>
      <w:r>
        <w:rPr>
          <w:rFonts w:hint="eastAsia" w:ascii="仿宋_GB2312" w:hAnsi="宋体" w:eastAsia="仿宋_GB2312" w:cs="仿宋_GB2312"/>
          <w:kern w:val="2"/>
          <w:sz w:val="32"/>
          <w:szCs w:val="24"/>
          <w:lang w:val="zh-CN" w:eastAsia="zh-CN" w:bidi="ar"/>
        </w:rPr>
        <w:t>项目申报内容实施内容相符、合理可行。</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黑体" w:hAnsi="宋体" w:eastAsia="黑体" w:cs="黑体"/>
          <w:lang w:val="en-US"/>
        </w:rPr>
      </w:pPr>
      <w:r>
        <w:rPr>
          <w:rFonts w:hint="eastAsia" w:ascii="黑体" w:hAnsi="宋体" w:eastAsia="黑体" w:cs="黑体"/>
          <w:kern w:val="2"/>
          <w:sz w:val="32"/>
          <w:szCs w:val="24"/>
          <w:lang w:val="en-US" w:eastAsia="zh-CN" w:bidi="ar"/>
        </w:rPr>
        <w:t>二、项目实施及管理情况</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楷体_GB2312" w:hAnsi="宋体" w:eastAsia="楷体_GB2312" w:cs="楷体_GB2312"/>
          <w:b/>
          <w:bCs w:val="0"/>
          <w:lang w:val="zh-CN" w:eastAsia="zh-CN"/>
        </w:rPr>
      </w:pPr>
      <w:r>
        <w:rPr>
          <w:rFonts w:hint="eastAsia" w:ascii="仿宋_GB2312" w:hAnsi="宋体" w:eastAsia="仿宋_GB2312" w:cs="仿宋_GB2312"/>
          <w:kern w:val="2"/>
          <w:sz w:val="32"/>
          <w:szCs w:val="24"/>
          <w:lang w:val="zh-CN" w:eastAsia="zh-CN" w:bidi="ar"/>
        </w:rPr>
        <w:tab/>
      </w:r>
      <w:r>
        <w:rPr>
          <w:rFonts w:hint="eastAsia" w:ascii="楷体_GB2312" w:hAnsi="宋体" w:eastAsia="楷体_GB2312" w:cs="楷体_GB2312"/>
          <w:b/>
          <w:bCs w:val="0"/>
          <w:kern w:val="2"/>
          <w:sz w:val="32"/>
          <w:szCs w:val="24"/>
          <w:lang w:val="zh-CN" w:eastAsia="zh-CN" w:bidi="ar"/>
        </w:rPr>
        <w:t>（一）资金计划、到位及使用情况。</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仿宋_GB2312" w:hAnsi="宋体" w:eastAsia="仿宋_GB2312" w:cs="仿宋_GB2312"/>
          <w:lang w:val="zh-CN" w:eastAsia="zh-CN"/>
        </w:rPr>
      </w:pPr>
      <w:r>
        <w:rPr>
          <w:rFonts w:hint="eastAsia" w:ascii="楷体_GB2312" w:hAnsi="宋体" w:eastAsia="楷体_GB2312" w:cs="楷体_GB2312"/>
          <w:kern w:val="2"/>
          <w:sz w:val="32"/>
          <w:szCs w:val="24"/>
          <w:lang w:val="zh-CN" w:eastAsia="zh-CN" w:bidi="ar"/>
        </w:rPr>
        <w:t>1．资金计划及到位。</w:t>
      </w:r>
      <w:r>
        <w:rPr>
          <w:rFonts w:hint="eastAsia" w:ascii="仿宋_GB2312" w:hAnsi="宋体" w:eastAsia="仿宋_GB2312" w:cs="仿宋_GB2312"/>
          <w:kern w:val="2"/>
          <w:sz w:val="32"/>
          <w:szCs w:val="24"/>
          <w:lang w:val="zh-CN" w:eastAsia="zh-CN" w:bidi="ar"/>
        </w:rPr>
        <w:t>该项目资金来源于201</w:t>
      </w:r>
      <w:r>
        <w:rPr>
          <w:rFonts w:hint="eastAsia" w:ascii="仿宋_GB2312" w:hAnsi="宋体" w:eastAsia="仿宋_GB2312" w:cs="仿宋_GB2312"/>
          <w:kern w:val="2"/>
          <w:sz w:val="32"/>
          <w:szCs w:val="24"/>
          <w:lang w:val="en-US" w:eastAsia="zh-CN" w:bidi="ar"/>
        </w:rPr>
        <w:t>8</w:t>
      </w:r>
      <w:r>
        <w:rPr>
          <w:rFonts w:hint="eastAsia" w:ascii="仿宋_GB2312" w:hAnsi="宋体" w:eastAsia="仿宋_GB2312" w:cs="仿宋_GB2312"/>
          <w:kern w:val="2"/>
          <w:sz w:val="32"/>
          <w:szCs w:val="24"/>
          <w:lang w:val="zh-CN" w:eastAsia="zh-CN" w:bidi="ar"/>
        </w:rPr>
        <w:t>年脱贫攻坚资金计划第一批</w:t>
      </w:r>
      <w:r>
        <w:rPr>
          <w:rFonts w:hint="eastAsia" w:ascii="仿宋_GB2312" w:hAnsi="仿宋" w:eastAsia="仿宋_GB2312"/>
          <w:sz w:val="32"/>
          <w:szCs w:val="32"/>
          <w:lang w:eastAsia="zh-CN"/>
        </w:rPr>
        <w:t>，</w:t>
      </w:r>
      <w:r>
        <w:rPr>
          <w:rFonts w:hint="eastAsia" w:ascii="仿宋_GB2312" w:hAnsi="宋体" w:eastAsia="仿宋_GB2312" w:cs="仿宋_GB2312"/>
          <w:kern w:val="2"/>
          <w:sz w:val="32"/>
          <w:szCs w:val="24"/>
          <w:lang w:val="en-US" w:eastAsia="zh-CN" w:bidi="ar"/>
        </w:rPr>
        <w:t xml:space="preserve"> 资金下达20万元，</w:t>
      </w:r>
      <w:r>
        <w:rPr>
          <w:rFonts w:hint="eastAsia" w:ascii="仿宋_GB2312" w:hAnsi="宋体" w:eastAsia="仿宋_GB2312" w:cs="仿宋_GB2312"/>
          <w:kern w:val="2"/>
          <w:sz w:val="32"/>
          <w:szCs w:val="24"/>
          <w:lang w:val="zh-CN" w:eastAsia="zh-CN" w:bidi="ar"/>
        </w:rPr>
        <w:t>资金到位资金到位率</w:t>
      </w:r>
      <w:r>
        <w:rPr>
          <w:rFonts w:hint="eastAsia" w:ascii="仿宋_GB2312" w:hAnsi="宋体" w:eastAsia="仿宋_GB2312" w:cs="仿宋_GB2312"/>
          <w:kern w:val="2"/>
          <w:sz w:val="32"/>
          <w:szCs w:val="24"/>
          <w:lang w:val="en-US" w:eastAsia="zh-CN" w:bidi="ar"/>
        </w:rPr>
        <w:t>100%</w:t>
      </w:r>
      <w:r>
        <w:rPr>
          <w:rFonts w:hint="eastAsia" w:ascii="仿宋_GB2312" w:hAnsi="宋体" w:eastAsia="仿宋_GB2312" w:cs="仿宋_GB2312"/>
          <w:kern w:val="2"/>
          <w:sz w:val="32"/>
          <w:szCs w:val="24"/>
          <w:lang w:val="zh-CN" w:eastAsia="zh-CN" w:bidi="ar"/>
        </w:rPr>
        <w:t>，下达及时。</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仿宋_GB2312" w:hAnsi="宋体" w:eastAsia="仿宋_GB2312" w:cs="仿宋_GB2312"/>
          <w:lang w:val="zh-CN" w:eastAsia="zh-CN"/>
        </w:rPr>
      </w:pPr>
      <w:r>
        <w:rPr>
          <w:rFonts w:hint="eastAsia" w:ascii="楷体_GB2312" w:hAnsi="宋体" w:eastAsia="楷体_GB2312" w:cs="楷体_GB2312"/>
          <w:kern w:val="2"/>
          <w:sz w:val="32"/>
          <w:szCs w:val="24"/>
          <w:lang w:val="zh-CN" w:eastAsia="zh-CN" w:bidi="ar"/>
        </w:rPr>
        <w:t>2．资金使用。</w:t>
      </w:r>
      <w:r>
        <w:rPr>
          <w:rFonts w:hint="eastAsia" w:ascii="仿宋_GB2312" w:hAnsi="宋体" w:eastAsia="仿宋_GB2312" w:cs="仿宋_GB2312"/>
          <w:kern w:val="2"/>
          <w:sz w:val="32"/>
          <w:szCs w:val="24"/>
          <w:lang w:val="zh-CN" w:eastAsia="zh-CN" w:bidi="ar"/>
        </w:rPr>
        <w:t>截止目前，项目使用</w:t>
      </w:r>
      <w:r>
        <w:rPr>
          <w:rFonts w:hint="eastAsia" w:ascii="仿宋_GB2312" w:hAnsi="仿宋" w:eastAsia="仿宋_GB2312"/>
          <w:sz w:val="32"/>
          <w:szCs w:val="32"/>
          <w:lang w:val="en-US" w:eastAsia="zh-CN"/>
        </w:rPr>
        <w:t>183913.00</w:t>
      </w:r>
      <w:r>
        <w:rPr>
          <w:rFonts w:hint="eastAsia" w:ascii="仿宋_GB2312" w:hAnsi="宋体" w:eastAsia="仿宋_GB2312" w:cs="仿宋_GB2312"/>
          <w:kern w:val="2"/>
          <w:sz w:val="32"/>
          <w:szCs w:val="24"/>
          <w:lang w:val="en-US" w:eastAsia="zh-CN" w:bidi="ar"/>
        </w:rPr>
        <w:t>元，其中</w:t>
      </w:r>
      <w:r>
        <w:rPr>
          <w:rFonts w:hint="eastAsia" w:ascii="仿宋_GB2312" w:hAnsi="宋体" w:eastAsia="仿宋_GB2312" w:cs="仿宋_GB2312"/>
          <w:kern w:val="2"/>
          <w:sz w:val="32"/>
          <w:szCs w:val="24"/>
          <w:lang w:val="zh-CN" w:eastAsia="zh-CN" w:bidi="ar"/>
        </w:rPr>
        <w:t>已拨付项目资金</w:t>
      </w:r>
      <w:r>
        <w:rPr>
          <w:rFonts w:hint="eastAsia" w:ascii="仿宋_GB2312" w:hAnsi="仿宋" w:eastAsia="仿宋_GB2312"/>
          <w:sz w:val="32"/>
          <w:szCs w:val="32"/>
          <w:lang w:val="en-US" w:eastAsia="zh-CN"/>
        </w:rPr>
        <w:t>174717.35</w:t>
      </w:r>
      <w:r>
        <w:rPr>
          <w:rFonts w:hint="eastAsia" w:ascii="仿宋_GB2312" w:hAnsi="宋体" w:eastAsia="仿宋_GB2312" w:cs="仿宋_GB2312"/>
          <w:kern w:val="2"/>
          <w:sz w:val="32"/>
          <w:szCs w:val="24"/>
          <w:lang w:val="en-US" w:eastAsia="zh-CN" w:bidi="ar"/>
        </w:rPr>
        <w:t>元占95%，质保金剩余</w:t>
      </w:r>
      <w:r>
        <w:rPr>
          <w:rFonts w:hint="eastAsia" w:ascii="仿宋_GB2312" w:hAnsi="仿宋" w:eastAsia="仿宋_GB2312"/>
          <w:sz w:val="32"/>
          <w:szCs w:val="32"/>
          <w:lang w:val="en-US" w:eastAsia="zh-CN"/>
        </w:rPr>
        <w:t>9195.65</w:t>
      </w:r>
      <w:r>
        <w:rPr>
          <w:rFonts w:hint="eastAsia" w:ascii="仿宋_GB2312" w:hAnsi="宋体" w:eastAsia="仿宋_GB2312" w:cs="仿宋_GB2312"/>
          <w:kern w:val="2"/>
          <w:sz w:val="32"/>
          <w:szCs w:val="24"/>
          <w:lang w:val="en-US" w:eastAsia="zh-CN" w:bidi="ar"/>
        </w:rPr>
        <w:t>元占5%</w:t>
      </w:r>
      <w:r>
        <w:rPr>
          <w:rFonts w:hint="eastAsia" w:ascii="仿宋_GB2312" w:hAnsi="宋体" w:eastAsia="仿宋_GB2312" w:cs="仿宋_GB2312"/>
          <w:kern w:val="2"/>
          <w:sz w:val="32"/>
          <w:szCs w:val="24"/>
          <w:lang w:val="zh-CN" w:eastAsia="zh-CN" w:bidi="ar"/>
        </w:rPr>
        <w:t>，支付依据合规合法，资金支付与预算相符。</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（二）项目财务管理情况。</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仿宋_GB2312" w:hAnsi="宋体" w:eastAsia="仿宋_GB2312" w:cs="仿宋_GB2312"/>
          <w:lang w:val="zh-CN" w:eastAsia="zh-CN"/>
        </w:rPr>
      </w:pPr>
      <w:r>
        <w:rPr>
          <w:rFonts w:hint="eastAsia" w:ascii="仿宋_GB2312" w:hAnsi="仿宋_GB2312" w:eastAsia="仿宋_GB2312" w:cs="仿宋_GB2312"/>
          <w:bCs/>
          <w:sz w:val="32"/>
          <w:lang w:eastAsia="zh-CN"/>
        </w:rPr>
        <w:t>红原县查尔玛乡什布龙村草料库建设项目</w:t>
      </w:r>
      <w:r>
        <w:rPr>
          <w:rFonts w:hint="eastAsia" w:ascii="仿宋_GB2312" w:hAnsi="宋体" w:eastAsia="仿宋_GB2312" w:cs="仿宋_GB2312"/>
          <w:kern w:val="2"/>
          <w:sz w:val="32"/>
          <w:szCs w:val="24"/>
          <w:lang w:val="zh-CN" w:eastAsia="zh-CN" w:bidi="ar"/>
        </w:rPr>
        <w:t>实施单位</w:t>
      </w:r>
      <w:r>
        <w:rPr>
          <w:rFonts w:hint="eastAsia" w:ascii="仿宋_GB2312" w:hAnsi="宋体" w:eastAsia="仿宋_GB2312" w:cs="仿宋_GB2312"/>
          <w:kern w:val="2"/>
          <w:sz w:val="32"/>
          <w:szCs w:val="24"/>
          <w:lang w:val="en-US" w:eastAsia="zh-CN" w:bidi="ar"/>
        </w:rPr>
        <w:t>红原县查尔玛乡人民政府</w:t>
      </w:r>
      <w:r>
        <w:rPr>
          <w:rFonts w:hint="eastAsia" w:ascii="仿宋_GB2312" w:hAnsi="仿宋_GB2312" w:eastAsia="仿宋_GB2312" w:cs="仿宋_GB2312"/>
          <w:spacing w:val="6"/>
          <w:sz w:val="32"/>
          <w:szCs w:val="32"/>
        </w:rPr>
        <w:t>严格执行涉农补助项目建设管理相关要求</w:t>
      </w:r>
      <w:r>
        <w:rPr>
          <w:rFonts w:hint="eastAsia" w:ascii="仿宋_GB2312" w:hAnsi="仿宋_GB2312" w:eastAsia="仿宋_GB2312" w:cs="仿宋_GB2312"/>
          <w:spacing w:val="6"/>
          <w:sz w:val="32"/>
          <w:szCs w:val="32"/>
          <w:lang w:eastAsia="zh-CN"/>
        </w:rPr>
        <w:t>，</w:t>
      </w:r>
      <w:r>
        <w:rPr>
          <w:rFonts w:hint="eastAsia" w:ascii="仿宋_GB2312" w:hAnsi="宋体" w:eastAsia="仿宋_GB2312" w:cs="仿宋_GB2312"/>
          <w:kern w:val="2"/>
          <w:sz w:val="32"/>
          <w:szCs w:val="24"/>
          <w:lang w:val="zh-CN" w:eastAsia="zh-CN" w:bidi="ar"/>
        </w:rPr>
        <w:t>建立健全了财务管理制度</w:t>
      </w:r>
      <w:r>
        <w:rPr>
          <w:rFonts w:hint="eastAsia" w:ascii="仿宋_GB2312" w:hAnsi="宋体" w:eastAsia="仿宋_GB2312" w:cs="仿宋_GB2312"/>
          <w:kern w:val="2"/>
          <w:sz w:val="32"/>
          <w:szCs w:val="24"/>
          <w:lang w:val="en-US" w:eastAsia="zh-CN" w:bidi="ar"/>
        </w:rPr>
        <w:t xml:space="preserve"> ，并成立了由乡党委书记、乡长任组长的领导小组，</w:t>
      </w:r>
      <w:r>
        <w:rPr>
          <w:rFonts w:hint="eastAsia" w:ascii="仿宋_GB2312" w:hAnsi="宋体" w:eastAsia="仿宋_GB2312" w:cs="仿宋_GB2312"/>
          <w:kern w:val="2"/>
          <w:sz w:val="32"/>
          <w:szCs w:val="24"/>
          <w:lang w:val="zh-CN" w:eastAsia="zh-CN" w:bidi="ar"/>
        </w:rPr>
        <w:t>严格执行财务管理制度，督促项目管理及实施，财务处理及时、会计核算规范。</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（三）项目组织实施情况。</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lang w:val="en-US" w:eastAsia="zh-CN"/>
        </w:rPr>
      </w:pPr>
      <w:r>
        <w:rPr>
          <w:rFonts w:hint="eastAsia" w:ascii="仿宋_GB2312" w:hAnsi="宋体" w:eastAsia="仿宋_GB2312" w:cs="仿宋_GB2312"/>
          <w:kern w:val="2"/>
          <w:sz w:val="32"/>
          <w:szCs w:val="24"/>
          <w:lang w:val="en-US" w:eastAsia="zh-CN" w:bidi="ar"/>
        </w:rPr>
        <w:t>根据该项目开展的实际情况和</w:t>
      </w:r>
      <w:r>
        <w:rPr>
          <w:rFonts w:hint="eastAsia" w:ascii="仿宋_GB2312" w:hAnsi="宋体" w:eastAsia="仿宋_GB2312" w:cs="仿宋_GB2312"/>
          <w:kern w:val="2"/>
          <w:sz w:val="32"/>
          <w:szCs w:val="24"/>
          <w:lang w:val="zh-CN" w:eastAsia="zh-CN" w:bidi="ar"/>
        </w:rPr>
        <w:t>项目特点，</w:t>
      </w:r>
      <w:r>
        <w:rPr>
          <w:rFonts w:hint="eastAsia" w:ascii="仿宋_GB2312" w:hAnsi="宋体" w:eastAsia="仿宋_GB2312" w:cs="仿宋_GB2312"/>
          <w:kern w:val="2"/>
          <w:sz w:val="32"/>
          <w:szCs w:val="24"/>
          <w:lang w:val="en-US" w:eastAsia="zh-CN" w:bidi="ar"/>
        </w:rPr>
        <w:t>在项目实施过程中县科学技术和农业畜牧局、县扶贫移民局、县财政局、县发改局、查尔玛人民政府的管理是到位的，是严格执行相关流程和符合法律规范的。该</w:t>
      </w:r>
      <w:r>
        <w:rPr>
          <w:rFonts w:hint="eastAsia" w:ascii="仿宋_GB2312" w:hAnsi="宋体" w:eastAsia="仿宋_GB2312" w:cs="仿宋_GB2312"/>
          <w:kern w:val="2"/>
          <w:sz w:val="32"/>
          <w:szCs w:val="24"/>
          <w:lang w:val="zh-CN" w:eastAsia="zh-CN" w:bidi="ar"/>
        </w:rPr>
        <w:t>项目主管部门为加强项目管理</w:t>
      </w:r>
      <w:r>
        <w:rPr>
          <w:rFonts w:hint="eastAsia" w:ascii="仿宋_GB2312" w:hAnsi="宋体" w:eastAsia="仿宋_GB2312" w:cs="仿宋_GB2312"/>
          <w:kern w:val="2"/>
          <w:sz w:val="32"/>
          <w:szCs w:val="24"/>
          <w:lang w:val="en-US" w:eastAsia="zh-CN" w:bidi="ar"/>
        </w:rPr>
        <w:t>高度重视开展项目监督工作</w:t>
      </w:r>
      <w:r>
        <w:rPr>
          <w:rFonts w:hint="eastAsia" w:ascii="仿宋_GB2312" w:hAnsi="宋体" w:eastAsia="仿宋_GB2312" w:cs="仿宋_GB2312"/>
          <w:kern w:val="2"/>
          <w:sz w:val="32"/>
          <w:szCs w:val="24"/>
          <w:lang w:val="zh-CN" w:eastAsia="zh-CN" w:bidi="ar"/>
        </w:rPr>
        <w:t>、</w:t>
      </w:r>
      <w:r>
        <w:rPr>
          <w:rFonts w:hint="eastAsia" w:ascii="仿宋_GB2312" w:hAnsi="宋体" w:eastAsia="仿宋_GB2312" w:cs="仿宋_GB2312"/>
          <w:kern w:val="2"/>
          <w:sz w:val="32"/>
          <w:szCs w:val="24"/>
          <w:lang w:val="en-US" w:eastAsia="zh-CN" w:bidi="ar"/>
        </w:rPr>
        <w:t>严把</w:t>
      </w:r>
      <w:r>
        <w:rPr>
          <w:rFonts w:hint="eastAsia" w:ascii="仿宋_GB2312" w:hAnsi="宋体" w:eastAsia="仿宋_GB2312" w:cs="仿宋_GB2312"/>
          <w:kern w:val="2"/>
          <w:sz w:val="32"/>
          <w:szCs w:val="24"/>
          <w:lang w:val="zh-CN" w:eastAsia="zh-CN" w:bidi="ar"/>
        </w:rPr>
        <w:t>监管程序，</w:t>
      </w:r>
      <w:r>
        <w:rPr>
          <w:rFonts w:hint="eastAsia" w:ascii="仿宋_GB2312" w:hAnsi="宋体" w:eastAsia="仿宋_GB2312" w:cs="仿宋_GB2312"/>
          <w:kern w:val="2"/>
          <w:sz w:val="32"/>
          <w:szCs w:val="24"/>
          <w:lang w:val="en-US" w:eastAsia="zh-CN" w:bidi="ar"/>
        </w:rPr>
        <w:t>对项目实施过程中达到了良好的监管效果。</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仿宋_GB2312" w:hAnsi="宋体" w:eastAsia="仿宋_GB2312" w:cs="仿宋_GB2312"/>
          <w:lang w:val="zh-CN" w:eastAsia="zh-CN"/>
        </w:rPr>
      </w:pPr>
      <w:r>
        <w:rPr>
          <w:rFonts w:hint="eastAsia" w:ascii="黑体" w:hAnsi="宋体" w:eastAsia="黑体" w:cs="黑体"/>
          <w:kern w:val="2"/>
          <w:sz w:val="32"/>
          <w:szCs w:val="24"/>
          <w:lang w:val="en-US" w:eastAsia="zh-CN" w:bidi="ar"/>
        </w:rPr>
        <w:t>三、项目绩效情况</w:t>
      </w:r>
      <w:r>
        <w:rPr>
          <w:rFonts w:hint="eastAsia" w:ascii="仿宋_GB2312" w:hAnsi="宋体" w:eastAsia="仿宋_GB2312" w:cs="仿宋_GB2312"/>
          <w:kern w:val="2"/>
          <w:sz w:val="32"/>
          <w:szCs w:val="24"/>
          <w:lang w:val="zh-CN" w:eastAsia="zh-CN" w:bidi="ar"/>
        </w:rPr>
        <w:tab/>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（一）项目完成情况。</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default" w:ascii="仿宋_GB2312" w:hAnsi="宋体" w:eastAsia="仿宋_GB2312" w:cs="仿宋_GB2312"/>
          <w:kern w:val="2"/>
          <w:sz w:val="32"/>
          <w:szCs w:val="24"/>
          <w:lang w:val="en-US" w:eastAsia="zh-CN" w:bidi="ar"/>
        </w:rPr>
      </w:pPr>
      <w:r>
        <w:rPr>
          <w:rFonts w:hint="eastAsia" w:ascii="仿宋_GB2312" w:hAnsi="仿宋_GB2312" w:eastAsia="仿宋_GB2312" w:cs="仿宋_GB2312"/>
          <w:bCs/>
          <w:sz w:val="32"/>
          <w:lang w:eastAsia="zh-CN"/>
        </w:rPr>
        <w:t>红原县查尔玛乡什布龙村草料库建设项目</w:t>
      </w:r>
      <w:r>
        <w:rPr>
          <w:rFonts w:hint="eastAsia" w:ascii="仿宋_GB2312" w:hAnsi="宋体" w:eastAsia="仿宋_GB2312" w:cs="仿宋_GB2312"/>
          <w:kern w:val="2"/>
          <w:sz w:val="32"/>
          <w:szCs w:val="24"/>
          <w:lang w:val="en-US" w:eastAsia="zh-CN" w:bidi="ar"/>
        </w:rPr>
        <w:t>完成了新建</w:t>
      </w:r>
      <w:r>
        <w:rPr>
          <w:rFonts w:hint="eastAsia" w:ascii="仿宋_GB2312" w:hAnsi="仿宋_GB2312" w:eastAsia="仿宋_GB2312" w:cs="仿宋_GB2312"/>
          <w:sz w:val="32"/>
          <w:szCs w:val="32"/>
          <w:lang w:eastAsia="zh-CN"/>
        </w:rPr>
        <w:t>草料库</w:t>
      </w:r>
      <w:r>
        <w:rPr>
          <w:rFonts w:hint="eastAsia" w:ascii="仿宋_GB2312" w:hAnsi="仿宋_GB2312" w:eastAsia="仿宋_GB2312" w:cs="仿宋_GB2312"/>
          <w:sz w:val="32"/>
          <w:szCs w:val="32"/>
          <w:lang w:val="en-US" w:eastAsia="zh-CN"/>
        </w:rPr>
        <w:t>200㎡</w:t>
      </w:r>
      <w:r>
        <w:rPr>
          <w:rFonts w:hint="eastAsia" w:ascii="仿宋_GB2312" w:hAnsi="宋体" w:eastAsia="仿宋_GB2312" w:cs="仿宋_GB2312"/>
          <w:kern w:val="2"/>
          <w:sz w:val="32"/>
          <w:szCs w:val="24"/>
          <w:lang w:val="en-US" w:eastAsia="zh-CN" w:bidi="ar"/>
        </w:rPr>
        <w:t>。该项目于2018年7月2日签订合同，于2018年10月完成项目建设内容并完成95%的资金拨付。该项目良好完成计划目标，截止评价时已完成任务量100%，符合相关质量标准，符合成本控制目标。</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（二）项目效益情况。</w:t>
      </w:r>
    </w:p>
    <w:p>
      <w:pPr>
        <w:numPr>
          <w:ilvl w:val="0"/>
          <w:numId w:val="0"/>
        </w:numPr>
        <w:spacing w:line="600" w:lineRule="auto"/>
        <w:ind w:firstLine="643" w:firstLineChars="200"/>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1、项目的经济效益分析</w:t>
      </w:r>
    </w:p>
    <w:p>
      <w:pPr>
        <w:spacing w:line="560" w:lineRule="exact"/>
        <w:ind w:firstLine="640" w:firstLineChars="200"/>
        <w:rPr>
          <w:rFonts w:hint="eastAsia" w:ascii="仿宋_GB2312" w:eastAsia="仿宋_GB2312"/>
          <w:sz w:val="32"/>
          <w:szCs w:val="32"/>
        </w:rPr>
      </w:pPr>
      <w:r>
        <w:rPr>
          <w:rFonts w:hint="eastAsia" w:ascii="仿宋_GB2312" w:eastAsia="仿宋_GB2312" w:cs="仿宋_GB2312"/>
          <w:b w:val="0"/>
          <w:bCs w:val="0"/>
          <w:sz w:val="32"/>
          <w:szCs w:val="32"/>
          <w:lang w:val="en-US" w:eastAsia="zh-CN"/>
        </w:rPr>
        <w:t>因我乡</w:t>
      </w:r>
      <w:r>
        <w:rPr>
          <w:rFonts w:hint="eastAsia" w:ascii="仿宋_GB2312" w:hAnsi="仿宋" w:eastAsia="仿宋_GB2312" w:cs="仿宋"/>
          <w:sz w:val="32"/>
          <w:szCs w:val="32"/>
        </w:rPr>
        <w:t>全年无绝对无霜期，冬春季节雪灾频繁，尤以寒潮连阴雪最为剧烈，造成牲畜急剧掉膘和大量死亡，正常年景下，牲畜冷季掉膘损失达到其体重的20—30%，渡春后掉膘牲畜需采食3个月左右青草才能恢复到上年秋末体重，造成牦牛需饲养6年左右才能出售；成畜死亡率在4%以上，全</w:t>
      </w:r>
      <w:r>
        <w:rPr>
          <w:rFonts w:hint="eastAsia" w:ascii="仿宋_GB2312" w:hAnsi="仿宋" w:eastAsia="仿宋_GB2312" w:cs="仿宋"/>
          <w:sz w:val="32"/>
          <w:szCs w:val="32"/>
          <w:lang w:eastAsia="zh-CN"/>
        </w:rPr>
        <w:t>乡</w:t>
      </w:r>
      <w:r>
        <w:rPr>
          <w:rFonts w:hint="eastAsia" w:ascii="仿宋_GB2312" w:hAnsi="仿宋" w:eastAsia="仿宋_GB2312" w:cs="仿宋"/>
          <w:sz w:val="32"/>
          <w:szCs w:val="32"/>
        </w:rPr>
        <w:t>成年牲畜死亡达</w:t>
      </w:r>
      <w:r>
        <w:rPr>
          <w:rFonts w:hint="eastAsia" w:ascii="仿宋_GB2312" w:hAnsi="仿宋" w:eastAsia="仿宋_GB2312" w:cs="仿宋"/>
          <w:sz w:val="32"/>
          <w:szCs w:val="32"/>
          <w:lang w:val="en-US" w:eastAsia="zh-CN"/>
        </w:rPr>
        <w:t>1</w:t>
      </w:r>
      <w:r>
        <w:rPr>
          <w:rFonts w:hint="eastAsia" w:ascii="仿宋_GB2312" w:hAnsi="仿宋" w:eastAsia="仿宋_GB2312" w:cs="仿宋"/>
          <w:sz w:val="32"/>
          <w:szCs w:val="32"/>
        </w:rPr>
        <w:t>000头以上，直接经济损失达</w:t>
      </w:r>
      <w:r>
        <w:rPr>
          <w:rFonts w:hint="eastAsia" w:ascii="仿宋_GB2312" w:hAnsi="仿宋" w:eastAsia="仿宋_GB2312" w:cs="仿宋"/>
          <w:sz w:val="32"/>
          <w:szCs w:val="32"/>
          <w:lang w:val="en-US" w:eastAsia="zh-CN"/>
        </w:rPr>
        <w:t>4</w:t>
      </w:r>
      <w:r>
        <w:rPr>
          <w:rFonts w:hint="eastAsia" w:ascii="仿宋_GB2312" w:hAnsi="仿宋" w:eastAsia="仿宋_GB2312" w:cs="仿宋"/>
          <w:sz w:val="32"/>
          <w:szCs w:val="32"/>
        </w:rPr>
        <w:t>00万元左右。</w:t>
      </w:r>
      <w:r>
        <w:rPr>
          <w:rFonts w:hint="eastAsia" w:ascii="仿宋_GB2312" w:hAnsi="仿宋_GB2312" w:eastAsia="仿宋_GB2312" w:cs="仿宋_GB2312"/>
          <w:bCs/>
          <w:sz w:val="32"/>
          <w:lang w:eastAsia="zh-CN"/>
        </w:rPr>
        <w:t>红原县查尔玛乡什布龙村草料库建设项目</w:t>
      </w:r>
      <w:r>
        <w:rPr>
          <w:rFonts w:hint="eastAsia" w:ascii="仿宋_GB2312" w:eastAsia="仿宋_GB2312" w:cs="仿宋_GB2312"/>
          <w:b w:val="0"/>
          <w:bCs w:val="0"/>
          <w:sz w:val="32"/>
          <w:szCs w:val="32"/>
          <w:lang w:val="en-US" w:eastAsia="zh-CN"/>
        </w:rPr>
        <w:t>完成后，预计每年屯草70吨左右，可以为村民提供牲畜越冬物资，同时可</w:t>
      </w:r>
      <w:r>
        <w:rPr>
          <w:rFonts w:hint="eastAsia" w:ascii="仿宋_GB2312" w:hAnsi="仿宋" w:eastAsia="仿宋_GB2312" w:cs="仿宋"/>
          <w:sz w:val="32"/>
          <w:szCs w:val="32"/>
        </w:rPr>
        <w:t>缩短出栏周期2年</w:t>
      </w:r>
      <w:r>
        <w:rPr>
          <w:rFonts w:hint="eastAsia" w:ascii="仿宋_GB2312" w:hAnsi="仿宋" w:eastAsia="仿宋_GB2312" w:cs="仿宋"/>
          <w:sz w:val="32"/>
          <w:szCs w:val="32"/>
          <w:lang w:eastAsia="zh-CN"/>
        </w:rPr>
        <w:t>，</w:t>
      </w:r>
      <w:r>
        <w:rPr>
          <w:rFonts w:hint="eastAsia" w:ascii="仿宋_GB2312" w:eastAsia="仿宋_GB2312" w:cs="仿宋_GB2312"/>
          <w:b w:val="0"/>
          <w:bCs w:val="0"/>
          <w:sz w:val="32"/>
          <w:szCs w:val="32"/>
          <w:lang w:val="en-US" w:eastAsia="zh-CN"/>
        </w:rPr>
        <w:t>预计可产生经济效益300万元</w:t>
      </w:r>
      <w:r>
        <w:rPr>
          <w:rFonts w:hint="eastAsia" w:ascii="仿宋_GB2312" w:hAnsi="仿宋" w:eastAsia="仿宋_GB2312" w:cs="仿宋"/>
          <w:sz w:val="32"/>
          <w:szCs w:val="32"/>
          <w:lang w:eastAsia="zh-CN"/>
        </w:rPr>
        <w:t>。</w:t>
      </w:r>
      <w:r>
        <w:rPr>
          <w:rFonts w:hint="eastAsia" w:ascii="仿宋_GB2312" w:hAnsi="仿宋" w:eastAsia="仿宋_GB2312"/>
          <w:spacing w:val="-10"/>
          <w:sz w:val="32"/>
          <w:szCs w:val="32"/>
          <w:lang w:val="en-US" w:eastAsia="zh-CN"/>
        </w:rPr>
        <w:t xml:space="preserve"> </w:t>
      </w:r>
    </w:p>
    <w:p>
      <w:pPr>
        <w:numPr>
          <w:ilvl w:val="0"/>
          <w:numId w:val="0"/>
        </w:numPr>
        <w:spacing w:line="600" w:lineRule="auto"/>
        <w:ind w:firstLine="643" w:firstLineChars="200"/>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2、项目建设的社会效益分析</w:t>
      </w:r>
    </w:p>
    <w:p>
      <w:pPr>
        <w:numPr>
          <w:ilvl w:val="0"/>
          <w:numId w:val="0"/>
        </w:numPr>
        <w:spacing w:line="600" w:lineRule="auto"/>
        <w:ind w:firstLine="640" w:firstLineChars="200"/>
        <w:jc w:val="both"/>
        <w:rPr>
          <w:rFonts w:hint="eastAsia" w:ascii="仿宋_GB2312" w:eastAsia="仿宋_GB2312"/>
          <w:sz w:val="32"/>
          <w:szCs w:val="32"/>
        </w:rPr>
      </w:pPr>
      <w:r>
        <w:rPr>
          <w:rFonts w:hint="eastAsia" w:ascii="仿宋_GB2312" w:hAnsi="仿宋_GB2312" w:eastAsia="仿宋_GB2312" w:cs="仿宋_GB2312"/>
          <w:bCs/>
          <w:sz w:val="32"/>
          <w:lang w:eastAsia="zh-CN"/>
        </w:rPr>
        <w:t>红原县查尔玛乡什布龙村草料库建设项目完成后，可以在</w:t>
      </w:r>
      <w:r>
        <w:rPr>
          <w:rFonts w:hint="eastAsia" w:ascii="仿宋_GB2312" w:eastAsia="仿宋_GB2312"/>
          <w:sz w:val="32"/>
          <w:szCs w:val="32"/>
        </w:rPr>
        <w:t>加速当地农牧民脱贫致富奔小康及当地相关经济快速发展发挥推动带头作用，为</w:t>
      </w:r>
      <w:r>
        <w:rPr>
          <w:rFonts w:hint="eastAsia" w:ascii="仿宋_GB2312" w:eastAsia="仿宋_GB2312"/>
          <w:sz w:val="32"/>
          <w:szCs w:val="32"/>
          <w:lang w:eastAsia="zh-CN"/>
        </w:rPr>
        <w:t>查尔玛乡</w:t>
      </w:r>
      <w:r>
        <w:rPr>
          <w:rFonts w:hint="eastAsia" w:ascii="仿宋_GB2312" w:eastAsia="仿宋_GB2312"/>
          <w:sz w:val="32"/>
          <w:szCs w:val="32"/>
          <w:lang w:val="en-US" w:eastAsia="zh-CN"/>
        </w:rPr>
        <w:t>466</w:t>
      </w:r>
      <w:r>
        <w:rPr>
          <w:rFonts w:hint="eastAsia" w:ascii="仿宋_GB2312" w:eastAsia="仿宋_GB2312"/>
          <w:sz w:val="32"/>
          <w:szCs w:val="32"/>
        </w:rPr>
        <w:t>户群众可实现每户增加收入</w:t>
      </w:r>
      <w:r>
        <w:rPr>
          <w:rFonts w:hint="eastAsia" w:ascii="仿宋_GB2312" w:eastAsia="仿宋_GB2312"/>
          <w:sz w:val="32"/>
          <w:szCs w:val="32"/>
          <w:lang w:val="en-US" w:eastAsia="zh-CN"/>
        </w:rPr>
        <w:t>0.3</w:t>
      </w:r>
      <w:r>
        <w:rPr>
          <w:rFonts w:hint="eastAsia" w:ascii="仿宋_GB2312" w:eastAsia="仿宋_GB2312"/>
          <w:sz w:val="32"/>
          <w:szCs w:val="32"/>
        </w:rPr>
        <w:t>万元，从而带动</w:t>
      </w:r>
      <w:r>
        <w:rPr>
          <w:rFonts w:hint="eastAsia" w:ascii="仿宋_GB2312" w:eastAsia="仿宋_GB2312"/>
          <w:sz w:val="32"/>
          <w:szCs w:val="32"/>
          <w:lang w:eastAsia="zh-CN"/>
        </w:rPr>
        <w:t>查尔玛乡</w:t>
      </w:r>
      <w:r>
        <w:rPr>
          <w:rFonts w:hint="eastAsia" w:ascii="仿宋_GB2312" w:eastAsia="仿宋_GB2312"/>
          <w:sz w:val="32"/>
          <w:szCs w:val="32"/>
          <w:lang w:val="en-US" w:eastAsia="zh-CN"/>
        </w:rPr>
        <w:t>5</w:t>
      </w:r>
      <w:r>
        <w:rPr>
          <w:rFonts w:hint="eastAsia" w:ascii="仿宋_GB2312" w:eastAsia="仿宋_GB2312"/>
          <w:sz w:val="32"/>
          <w:szCs w:val="32"/>
        </w:rPr>
        <w:t>00多牧民群众投入畜牧养殖，并为</w:t>
      </w:r>
      <w:r>
        <w:rPr>
          <w:rFonts w:hint="eastAsia" w:ascii="仿宋_GB2312" w:eastAsia="仿宋_GB2312"/>
          <w:sz w:val="32"/>
          <w:szCs w:val="32"/>
          <w:lang w:eastAsia="zh-CN"/>
        </w:rPr>
        <w:t>查尔玛乡</w:t>
      </w:r>
      <w:r>
        <w:rPr>
          <w:rFonts w:hint="eastAsia" w:ascii="仿宋_GB2312" w:eastAsia="仿宋_GB2312"/>
          <w:sz w:val="32"/>
          <w:szCs w:val="32"/>
        </w:rPr>
        <w:t>畜牧养殖、生态旅游产业发展创造条件，从而推动藏区农牧村产业发展，为实现“十</w:t>
      </w:r>
      <w:r>
        <w:rPr>
          <w:rFonts w:hint="eastAsia" w:ascii="仿宋_GB2312" w:eastAsia="仿宋_GB2312"/>
          <w:sz w:val="32"/>
          <w:szCs w:val="32"/>
          <w:lang w:eastAsia="zh-CN"/>
        </w:rPr>
        <w:t>三</w:t>
      </w:r>
      <w:r>
        <w:rPr>
          <w:rFonts w:hint="eastAsia" w:ascii="仿宋_GB2312" w:eastAsia="仿宋_GB2312"/>
          <w:sz w:val="32"/>
          <w:szCs w:val="32"/>
        </w:rPr>
        <w:t>五”规划目标创造条件，为维护藏区社会跨越式发展和社会长治久安打好基础。</w:t>
      </w:r>
    </w:p>
    <w:p>
      <w:pPr>
        <w:numPr>
          <w:ilvl w:val="0"/>
          <w:numId w:val="0"/>
        </w:numPr>
        <w:spacing w:line="600" w:lineRule="auto"/>
        <w:ind w:firstLine="643" w:firstLineChars="200"/>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3、生态环境影响分析</w:t>
      </w:r>
    </w:p>
    <w:p>
      <w:pPr>
        <w:spacing w:line="360" w:lineRule="auto"/>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该项目从立项、施工等，严格遵守环境保护要求和规范。</w:t>
      </w:r>
    </w:p>
    <w:p>
      <w:pPr>
        <w:numPr>
          <w:ilvl w:val="0"/>
          <w:numId w:val="0"/>
        </w:numPr>
        <w:spacing w:line="600" w:lineRule="auto"/>
        <w:ind w:firstLine="643" w:firstLineChars="200"/>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lang w:val="zh-CN" w:eastAsia="zh-CN"/>
        </w:rPr>
        <w:t>可持续效益以及服务对象满意度</w:t>
      </w:r>
    </w:p>
    <w:p>
      <w:pPr>
        <w:spacing w:line="360" w:lineRule="auto"/>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通过该项目建设，可</w:t>
      </w:r>
      <w:r>
        <w:rPr>
          <w:rFonts w:hint="eastAsia" w:ascii="仿宋_GB2312" w:eastAsia="仿宋_GB2312"/>
          <w:sz w:val="32"/>
          <w:szCs w:val="32"/>
        </w:rPr>
        <w:t>实现减少草场牲畜饱和过载目标，切实转变牧民传统放牧方式，不断增强草原生态保护意识，进一步增强草原草场永续利用，通过转变生产经营方式实行科学化、集约化经营，产业化发展，有效促进草畜平衡、不断提高畜牧业综合效益，实现人与自然和谐及畜牧业可持续发展。</w:t>
      </w:r>
      <w:r>
        <w:rPr>
          <w:rFonts w:hint="eastAsia" w:ascii="仿宋_GB2312" w:eastAsia="仿宋_GB2312" w:cs="仿宋_GB2312"/>
          <w:b w:val="0"/>
          <w:bCs w:val="0"/>
          <w:sz w:val="32"/>
          <w:szCs w:val="32"/>
          <w:lang w:val="en-US" w:eastAsia="zh-CN"/>
        </w:rPr>
        <w:t>项目建设群众满意度在96%以上。</w:t>
      </w:r>
    </w:p>
    <w:p>
      <w:pPr>
        <w:keepNext w:val="0"/>
        <w:keepLines w:val="0"/>
        <w:widowControl w:val="0"/>
        <w:suppressLineNumbers w:val="0"/>
        <w:adjustRightInd w:val="0"/>
        <w:snapToGrid w:val="0"/>
        <w:spacing w:before="0" w:beforeAutospacing="0" w:after="0" w:afterAutospacing="0" w:line="580" w:lineRule="exact"/>
        <w:ind w:right="0" w:firstLine="320" w:firstLineChars="100"/>
        <w:jc w:val="both"/>
        <w:rPr>
          <w:rFonts w:hint="eastAsia" w:ascii="黑体" w:hAnsi="宋体" w:eastAsia="黑体" w:cs="黑体"/>
          <w:lang w:val="en-US"/>
        </w:rPr>
      </w:pPr>
      <w:r>
        <w:rPr>
          <w:rFonts w:hint="eastAsia" w:ascii="黑体" w:hAnsi="宋体" w:eastAsia="黑体" w:cs="黑体"/>
          <w:kern w:val="2"/>
          <w:sz w:val="32"/>
          <w:szCs w:val="24"/>
          <w:lang w:val="en-US" w:eastAsia="zh-CN" w:bidi="ar"/>
        </w:rPr>
        <w:t>四、问题及建议</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楷体_GB2312" w:hAnsi="宋体" w:eastAsia="楷体_GB2312" w:cs="楷体_GB2312"/>
          <w:b/>
          <w:bCs w:val="0"/>
          <w:kern w:val="2"/>
          <w:sz w:val="32"/>
          <w:szCs w:val="24"/>
          <w:lang w:val="zh-CN" w:eastAsia="zh-CN" w:bidi="ar"/>
        </w:rPr>
      </w:pPr>
      <w:r>
        <w:rPr>
          <w:rFonts w:hint="eastAsia" w:ascii="楷体_GB2312" w:hAnsi="宋体" w:eastAsia="楷体_GB2312" w:cs="楷体_GB2312"/>
          <w:b/>
          <w:bCs w:val="0"/>
          <w:kern w:val="2"/>
          <w:sz w:val="32"/>
          <w:szCs w:val="24"/>
          <w:lang w:val="zh-CN" w:eastAsia="zh-CN" w:bidi="ar"/>
        </w:rPr>
        <w:t>（一）存在的问题。</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楷体_GB2312" w:hAnsi="宋体" w:eastAsia="楷体_GB2312" w:cs="楷体_GB2312"/>
          <w:b/>
          <w:bCs w:val="0"/>
          <w:kern w:val="2"/>
          <w:sz w:val="32"/>
          <w:szCs w:val="24"/>
          <w:lang w:val="zh-CN" w:eastAsia="zh-CN" w:bidi="ar"/>
        </w:rPr>
      </w:pPr>
      <w:r>
        <w:rPr>
          <w:rFonts w:hint="eastAsia" w:ascii="楷体_GB2312" w:hAnsi="宋体" w:eastAsia="楷体_GB2312" w:cs="楷体_GB2312"/>
          <w:b/>
          <w:bCs w:val="0"/>
          <w:kern w:val="2"/>
          <w:sz w:val="32"/>
          <w:szCs w:val="24"/>
          <w:lang w:val="zh-CN" w:eastAsia="zh-CN" w:bidi="ar"/>
        </w:rPr>
        <w:t>无</w:t>
      </w:r>
    </w:p>
    <w:p>
      <w:pPr>
        <w:keepNext w:val="0"/>
        <w:keepLines w:val="0"/>
        <w:widowControl w:val="0"/>
        <w:numPr>
          <w:ilvl w:val="0"/>
          <w:numId w:val="10"/>
        </w:numPr>
        <w:suppressLineNumbers w:val="0"/>
        <w:adjustRightInd w:val="0"/>
        <w:snapToGrid w:val="0"/>
        <w:spacing w:before="0" w:beforeAutospacing="0" w:after="0" w:afterAutospacing="0" w:line="580" w:lineRule="exact"/>
        <w:ind w:left="0" w:right="0" w:firstLine="720"/>
        <w:jc w:val="both"/>
        <w:rPr>
          <w:rFonts w:hint="eastAsia" w:ascii="楷体_GB2312" w:hAnsi="宋体" w:eastAsia="楷体_GB2312" w:cs="楷体_GB2312"/>
          <w:b/>
          <w:bCs w:val="0"/>
          <w:kern w:val="2"/>
          <w:sz w:val="32"/>
          <w:szCs w:val="24"/>
          <w:lang w:val="zh-CN" w:eastAsia="zh-CN" w:bidi="ar"/>
        </w:rPr>
      </w:pPr>
      <w:r>
        <w:rPr>
          <w:rFonts w:hint="eastAsia" w:ascii="楷体_GB2312" w:hAnsi="宋体" w:eastAsia="楷体_GB2312" w:cs="楷体_GB2312"/>
          <w:b/>
          <w:bCs w:val="0"/>
          <w:kern w:val="2"/>
          <w:sz w:val="32"/>
          <w:szCs w:val="24"/>
          <w:lang w:val="zh-CN" w:eastAsia="zh-CN" w:bidi="ar"/>
        </w:rPr>
        <w:t>相关建议。</w:t>
      </w:r>
    </w:p>
    <w:p>
      <w:pPr>
        <w:ind w:firstLine="64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扶贫资金支持贫困村（户）产业发展、壮大集体经济，是极为可行和有效的扶贫方式，建议在脱贫攻坚的工作计划中加大权重，但要重视项目建设效益分析和长远发展。</w:t>
      </w:r>
    </w:p>
    <w:p>
      <w:pPr>
        <w:ind w:firstLine="640"/>
        <w:jc w:val="both"/>
        <w:rPr>
          <w:rFonts w:hint="eastAsia" w:ascii="仿宋_GB2312" w:hAnsi="仿宋_GB2312" w:eastAsia="仿宋_GB2312" w:cs="仿宋_GB2312"/>
          <w:sz w:val="32"/>
          <w:szCs w:val="32"/>
          <w:lang w:val="en-US" w:eastAsia="zh-CN"/>
        </w:rPr>
      </w:pPr>
    </w:p>
    <w:p>
      <w:pPr>
        <w:ind w:firstLine="640"/>
        <w:jc w:val="both"/>
        <w:rPr>
          <w:rFonts w:hint="eastAsia" w:ascii="仿宋_GB2312" w:hAnsi="仿宋_GB2312" w:eastAsia="仿宋_GB2312" w:cs="仿宋_GB2312"/>
          <w:sz w:val="32"/>
          <w:szCs w:val="32"/>
          <w:lang w:val="en-US" w:eastAsia="zh-CN"/>
        </w:rPr>
      </w:pPr>
    </w:p>
    <w:p>
      <w:pPr>
        <w:ind w:firstLine="640"/>
        <w:jc w:val="both"/>
        <w:rPr>
          <w:rFonts w:hint="eastAsia" w:ascii="仿宋_GB2312" w:hAnsi="仿宋_GB2312" w:eastAsia="仿宋_GB2312" w:cs="仿宋_GB2312"/>
          <w:sz w:val="32"/>
          <w:szCs w:val="32"/>
          <w:lang w:val="en-US" w:eastAsia="zh-CN"/>
        </w:rPr>
      </w:pPr>
    </w:p>
    <w:p>
      <w:pPr>
        <w:keepNext w:val="0"/>
        <w:keepLines w:val="0"/>
        <w:widowControl w:val="0"/>
        <w:numPr>
          <w:ilvl w:val="0"/>
          <w:numId w:val="0"/>
        </w:numPr>
        <w:suppressLineNumbers w:val="0"/>
        <w:adjustRightInd w:val="0"/>
        <w:snapToGrid w:val="0"/>
        <w:spacing w:before="0" w:beforeAutospacing="0" w:after="0" w:afterAutospacing="0" w:line="580" w:lineRule="exact"/>
        <w:ind w:left="720" w:leftChars="0" w:right="0" w:rightChars="0"/>
        <w:jc w:val="both"/>
      </w:pPr>
    </w:p>
    <w:p>
      <w:pPr>
        <w:pStyle w:val="2"/>
      </w:pPr>
    </w:p>
    <w:p>
      <w:pPr>
        <w:pStyle w:val="2"/>
        <w:rPr>
          <w:rFonts w:hint="eastAsia" w:ascii="仿宋_GB2312" w:eastAsia="仿宋_GB2312"/>
          <w:color w:val="000000"/>
          <w:sz w:val="32"/>
          <w:szCs w:val="32"/>
        </w:rPr>
      </w:pPr>
    </w:p>
    <w:p>
      <w:pPr>
        <w:pStyle w:val="2"/>
        <w:rPr>
          <w:rFonts w:hint="eastAsia" w:ascii="仿宋_GB2312" w:eastAsia="仿宋_GB2312"/>
          <w:color w:val="000000"/>
          <w:sz w:val="32"/>
          <w:szCs w:val="32"/>
        </w:rPr>
      </w:pPr>
    </w:p>
    <w:p>
      <w:pPr>
        <w:pStyle w:val="2"/>
        <w:rPr>
          <w:rFonts w:hint="eastAsia" w:ascii="仿宋_GB2312" w:eastAsia="仿宋_GB2312"/>
          <w:color w:val="000000"/>
          <w:sz w:val="32"/>
          <w:szCs w:val="32"/>
        </w:rPr>
      </w:pPr>
    </w:p>
    <w:p>
      <w:pPr>
        <w:numPr>
          <w:ilvl w:val="0"/>
          <w:numId w:val="0"/>
        </w:numPr>
        <w:spacing w:line="600" w:lineRule="exact"/>
        <w:ind w:leftChars="150" w:firstLine="2200" w:firstLineChars="500"/>
        <w:jc w:val="both"/>
        <w:outlineLvl w:val="0"/>
        <w:rPr>
          <w:rStyle w:val="17"/>
          <w:rFonts w:hint="eastAsia" w:ascii="黑体" w:hAnsi="黑体" w:eastAsia="黑体"/>
          <w:b w:val="0"/>
        </w:rPr>
      </w:pPr>
      <w:r>
        <w:rPr>
          <w:rStyle w:val="17"/>
          <w:rFonts w:hint="eastAsia" w:ascii="黑体" w:hAnsi="黑体" w:eastAsia="黑体"/>
          <w:b w:val="0"/>
          <w:lang w:eastAsia="zh-CN"/>
        </w:rPr>
        <w:t>第五部分</w:t>
      </w:r>
      <w:r>
        <w:rPr>
          <w:rStyle w:val="17"/>
          <w:rFonts w:hint="eastAsia" w:ascii="黑体" w:hAnsi="黑体" w:eastAsia="黑体"/>
          <w:b w:val="0"/>
          <w:lang w:val="en-US" w:eastAsia="zh-CN"/>
        </w:rPr>
        <w:t xml:space="preserve">  </w:t>
      </w:r>
      <w:r>
        <w:rPr>
          <w:rStyle w:val="17"/>
          <w:rFonts w:hint="eastAsia" w:ascii="黑体" w:hAnsi="黑体" w:eastAsia="黑体"/>
          <w:b w:val="0"/>
        </w:rPr>
        <w:t>附表</w:t>
      </w:r>
      <w:bookmarkStart w:id="55" w:name="_Toc15396620"/>
    </w:p>
    <w:p>
      <w:pPr>
        <w:rPr>
          <w:rFonts w:hint="eastAsia" w:ascii="仿宋_GB2312" w:eastAsia="仿宋_GB2312"/>
          <w:color w:val="000000"/>
          <w:sz w:val="32"/>
          <w:szCs w:val="32"/>
        </w:rPr>
      </w:pPr>
      <w:r>
        <w:rPr>
          <w:rFonts w:hint="eastAsia" w:ascii="仿宋_GB2312" w:eastAsia="仿宋_GB2312"/>
          <w:color w:val="000000"/>
          <w:sz w:val="32"/>
          <w:szCs w:val="32"/>
          <w:lang w:eastAsia="zh-CN"/>
        </w:rPr>
        <w:t>一、</w:t>
      </w:r>
      <w:r>
        <w:rPr>
          <w:rFonts w:hint="eastAsia" w:ascii="仿宋_GB2312" w:eastAsia="仿宋_GB2312"/>
          <w:color w:val="000000"/>
          <w:sz w:val="32"/>
          <w:szCs w:val="32"/>
        </w:rPr>
        <w:t>收入支出决算总表</w:t>
      </w:r>
    </w:p>
    <w:p>
      <w:pPr>
        <w:rPr>
          <w:rFonts w:hint="eastAsia" w:ascii="仿宋_GB2312" w:eastAsia="仿宋_GB2312"/>
          <w:color w:val="000000"/>
          <w:sz w:val="32"/>
          <w:szCs w:val="32"/>
        </w:rPr>
      </w:pPr>
      <w:r>
        <w:rPr>
          <w:rFonts w:hint="eastAsia" w:ascii="仿宋_GB2312" w:eastAsia="仿宋_GB2312"/>
          <w:color w:val="000000"/>
          <w:sz w:val="32"/>
          <w:szCs w:val="32"/>
          <w:lang w:eastAsia="zh-CN"/>
        </w:rPr>
        <w:t>二、</w:t>
      </w:r>
      <w:r>
        <w:rPr>
          <w:rFonts w:hint="eastAsia" w:ascii="仿宋_GB2312" w:eastAsia="仿宋_GB2312"/>
          <w:color w:val="000000"/>
          <w:sz w:val="32"/>
          <w:szCs w:val="32"/>
        </w:rPr>
        <w:t>收入总表</w:t>
      </w:r>
      <w:bookmarkEnd w:id="55"/>
      <w:bookmarkStart w:id="56" w:name="_Toc15396621"/>
    </w:p>
    <w:p>
      <w:pPr>
        <w:rPr>
          <w:rFonts w:hint="eastAsia" w:ascii="仿宋_GB2312" w:eastAsia="仿宋_GB2312"/>
          <w:color w:val="000000"/>
          <w:sz w:val="32"/>
          <w:szCs w:val="32"/>
        </w:rPr>
      </w:pPr>
      <w:r>
        <w:rPr>
          <w:rFonts w:hint="eastAsia" w:ascii="仿宋_GB2312" w:eastAsia="仿宋_GB2312"/>
          <w:color w:val="000000"/>
          <w:sz w:val="32"/>
          <w:szCs w:val="32"/>
          <w:lang w:eastAsia="zh-CN"/>
        </w:rPr>
        <w:t>三、</w:t>
      </w:r>
      <w:r>
        <w:rPr>
          <w:rFonts w:hint="eastAsia" w:ascii="仿宋_GB2312" w:eastAsia="仿宋_GB2312"/>
          <w:color w:val="000000"/>
          <w:sz w:val="32"/>
          <w:szCs w:val="32"/>
        </w:rPr>
        <w:t>支出总表</w:t>
      </w:r>
      <w:bookmarkEnd w:id="56"/>
      <w:bookmarkStart w:id="57" w:name="_Toc15396622"/>
    </w:p>
    <w:p>
      <w:pPr>
        <w:rPr>
          <w:rFonts w:hint="eastAsia" w:ascii="仿宋_GB2312" w:eastAsia="仿宋_GB2312"/>
          <w:color w:val="000000"/>
          <w:sz w:val="32"/>
          <w:szCs w:val="32"/>
        </w:rPr>
      </w:pPr>
      <w:r>
        <w:rPr>
          <w:rFonts w:hint="eastAsia" w:ascii="仿宋_GB2312" w:eastAsia="仿宋_GB2312"/>
          <w:color w:val="000000"/>
          <w:sz w:val="32"/>
          <w:szCs w:val="32"/>
          <w:lang w:eastAsia="zh-CN"/>
        </w:rPr>
        <w:t>四、</w:t>
      </w:r>
      <w:r>
        <w:rPr>
          <w:rFonts w:hint="eastAsia" w:ascii="仿宋_GB2312" w:eastAsia="仿宋_GB2312"/>
          <w:color w:val="000000"/>
          <w:sz w:val="32"/>
          <w:szCs w:val="32"/>
        </w:rPr>
        <w:t>财政拨款收入支出决算总表</w:t>
      </w:r>
      <w:bookmarkEnd w:id="57"/>
      <w:bookmarkStart w:id="58" w:name="_Toc15396623"/>
    </w:p>
    <w:p>
      <w:pPr>
        <w:rPr>
          <w:rFonts w:hint="eastAsia" w:ascii="仿宋_GB2312" w:eastAsia="仿宋_GB2312"/>
          <w:color w:val="000000"/>
          <w:sz w:val="32"/>
          <w:szCs w:val="32"/>
        </w:rPr>
      </w:pPr>
      <w:r>
        <w:rPr>
          <w:rFonts w:hint="eastAsia" w:ascii="仿宋_GB2312" w:eastAsia="仿宋_GB2312"/>
          <w:color w:val="000000"/>
          <w:sz w:val="32"/>
          <w:szCs w:val="32"/>
          <w:lang w:eastAsia="zh-CN"/>
        </w:rPr>
        <w:t>五、</w:t>
      </w:r>
      <w:r>
        <w:rPr>
          <w:rFonts w:hint="eastAsia" w:ascii="仿宋_GB2312" w:eastAsia="仿宋_GB2312"/>
          <w:color w:val="000000"/>
          <w:sz w:val="32"/>
          <w:szCs w:val="32"/>
        </w:rPr>
        <w:t>财政拨款支出决算明细表（政府经济分类科目）</w:t>
      </w:r>
      <w:bookmarkEnd w:id="58"/>
      <w:bookmarkStart w:id="59" w:name="_Toc15396624"/>
    </w:p>
    <w:p>
      <w:pPr>
        <w:rPr>
          <w:rFonts w:hint="eastAsia" w:ascii="仿宋_GB2312" w:eastAsia="仿宋_GB2312"/>
          <w:color w:val="000000"/>
          <w:sz w:val="32"/>
          <w:szCs w:val="32"/>
        </w:rPr>
      </w:pPr>
      <w:r>
        <w:rPr>
          <w:rFonts w:hint="eastAsia" w:ascii="仿宋_GB2312" w:eastAsia="仿宋_GB2312"/>
          <w:color w:val="000000"/>
          <w:sz w:val="32"/>
          <w:szCs w:val="32"/>
          <w:lang w:eastAsia="zh-CN"/>
        </w:rPr>
        <w:t>六、</w:t>
      </w:r>
      <w:r>
        <w:rPr>
          <w:rFonts w:hint="eastAsia" w:ascii="仿宋_GB2312" w:eastAsia="仿宋_GB2312"/>
          <w:color w:val="000000"/>
          <w:sz w:val="32"/>
          <w:szCs w:val="32"/>
        </w:rPr>
        <w:t>一般公共预算财政拨款支出决算表</w:t>
      </w:r>
      <w:bookmarkEnd w:id="59"/>
      <w:bookmarkStart w:id="60" w:name="_Toc15396625"/>
    </w:p>
    <w:p>
      <w:pPr>
        <w:rPr>
          <w:rFonts w:hint="eastAsia" w:ascii="仿宋_GB2312" w:eastAsia="仿宋_GB2312"/>
          <w:color w:val="000000"/>
          <w:sz w:val="32"/>
          <w:szCs w:val="32"/>
        </w:rPr>
      </w:pPr>
      <w:r>
        <w:rPr>
          <w:rFonts w:hint="eastAsia" w:ascii="仿宋_GB2312" w:eastAsia="仿宋_GB2312"/>
          <w:color w:val="000000"/>
          <w:sz w:val="32"/>
          <w:szCs w:val="32"/>
          <w:lang w:eastAsia="zh-CN"/>
        </w:rPr>
        <w:t>七、</w:t>
      </w:r>
      <w:r>
        <w:rPr>
          <w:rFonts w:hint="eastAsia" w:ascii="仿宋_GB2312" w:eastAsia="仿宋_GB2312"/>
          <w:color w:val="000000"/>
          <w:sz w:val="32"/>
          <w:szCs w:val="32"/>
        </w:rPr>
        <w:t>一般公共预算财政拨款支出决算明细表</w:t>
      </w:r>
      <w:bookmarkEnd w:id="60"/>
      <w:bookmarkStart w:id="61" w:name="_Toc15396626"/>
    </w:p>
    <w:p>
      <w:pPr>
        <w:rPr>
          <w:rFonts w:hint="eastAsia" w:ascii="仿宋_GB2312" w:eastAsia="仿宋_GB2312"/>
          <w:color w:val="000000"/>
          <w:sz w:val="32"/>
          <w:szCs w:val="32"/>
        </w:rPr>
      </w:pPr>
      <w:r>
        <w:rPr>
          <w:rFonts w:hint="eastAsia" w:ascii="仿宋_GB2312" w:eastAsia="仿宋_GB2312"/>
          <w:color w:val="000000"/>
          <w:sz w:val="32"/>
          <w:szCs w:val="32"/>
          <w:lang w:eastAsia="zh-CN"/>
        </w:rPr>
        <w:t>八、</w:t>
      </w:r>
      <w:r>
        <w:rPr>
          <w:rFonts w:hint="eastAsia" w:ascii="仿宋_GB2312" w:eastAsia="仿宋_GB2312"/>
          <w:color w:val="000000"/>
          <w:sz w:val="32"/>
          <w:szCs w:val="32"/>
        </w:rPr>
        <w:t>一般公共预算财政拨款基本支出决算表</w:t>
      </w:r>
      <w:bookmarkEnd w:id="61"/>
      <w:bookmarkStart w:id="62" w:name="_Toc15396627"/>
    </w:p>
    <w:p>
      <w:pPr>
        <w:rPr>
          <w:rFonts w:hint="eastAsia" w:ascii="仿宋_GB2312" w:eastAsia="仿宋_GB2312"/>
          <w:color w:val="000000"/>
          <w:sz w:val="32"/>
          <w:szCs w:val="32"/>
        </w:rPr>
      </w:pPr>
      <w:r>
        <w:rPr>
          <w:rFonts w:hint="eastAsia" w:ascii="仿宋_GB2312" w:eastAsia="仿宋_GB2312"/>
          <w:color w:val="000000"/>
          <w:sz w:val="32"/>
          <w:szCs w:val="32"/>
          <w:lang w:eastAsia="zh-CN"/>
        </w:rPr>
        <w:t>九、</w:t>
      </w:r>
      <w:r>
        <w:rPr>
          <w:rFonts w:hint="eastAsia" w:ascii="仿宋_GB2312" w:eastAsia="仿宋_GB2312"/>
          <w:color w:val="000000"/>
          <w:sz w:val="32"/>
          <w:szCs w:val="32"/>
        </w:rPr>
        <w:t>一般公共预算财政拨款项目支出决算表</w:t>
      </w:r>
      <w:bookmarkEnd w:id="62"/>
      <w:bookmarkStart w:id="63" w:name="_Toc15396628"/>
    </w:p>
    <w:p>
      <w:pPr>
        <w:rPr>
          <w:rFonts w:hint="eastAsia" w:ascii="仿宋_GB2312" w:eastAsia="仿宋_GB2312"/>
          <w:color w:val="000000"/>
          <w:sz w:val="32"/>
          <w:szCs w:val="32"/>
        </w:rPr>
      </w:pPr>
      <w:r>
        <w:rPr>
          <w:rFonts w:hint="eastAsia" w:ascii="仿宋_GB2312" w:eastAsia="仿宋_GB2312"/>
          <w:color w:val="000000"/>
          <w:sz w:val="32"/>
          <w:szCs w:val="32"/>
          <w:lang w:eastAsia="zh-CN"/>
        </w:rPr>
        <w:t>十、</w:t>
      </w:r>
      <w:r>
        <w:rPr>
          <w:rFonts w:hint="eastAsia" w:ascii="仿宋_GB2312" w:eastAsia="仿宋_GB2312"/>
          <w:color w:val="000000"/>
          <w:sz w:val="32"/>
          <w:szCs w:val="32"/>
        </w:rPr>
        <w:t>一般公共预算财政拨款“三公”经费支出决算表</w:t>
      </w:r>
      <w:bookmarkEnd w:id="63"/>
      <w:bookmarkStart w:id="64" w:name="_Toc15396629"/>
    </w:p>
    <w:p>
      <w:pPr>
        <w:rPr>
          <w:rFonts w:hint="eastAsia" w:ascii="仿宋_GB2312" w:eastAsia="仿宋_GB2312"/>
          <w:color w:val="000000"/>
          <w:sz w:val="32"/>
          <w:szCs w:val="32"/>
        </w:rPr>
      </w:pPr>
      <w:r>
        <w:rPr>
          <w:rFonts w:hint="eastAsia" w:ascii="仿宋_GB2312" w:eastAsia="仿宋_GB2312"/>
          <w:color w:val="000000"/>
          <w:sz w:val="32"/>
          <w:szCs w:val="32"/>
          <w:lang w:eastAsia="zh-CN"/>
        </w:rPr>
        <w:t>十一、</w:t>
      </w:r>
      <w:r>
        <w:rPr>
          <w:rFonts w:hint="eastAsia" w:ascii="仿宋_GB2312" w:eastAsia="仿宋_GB2312"/>
          <w:color w:val="000000"/>
          <w:sz w:val="32"/>
          <w:szCs w:val="32"/>
        </w:rPr>
        <w:t>政府性基金预算财政拨款收入支出决算表</w:t>
      </w:r>
      <w:bookmarkEnd w:id="64"/>
      <w:bookmarkStart w:id="65" w:name="_Toc15396630"/>
    </w:p>
    <w:p>
      <w:pPr>
        <w:rPr>
          <w:rFonts w:hint="eastAsia" w:ascii="仿宋_GB2312" w:eastAsia="仿宋_GB2312"/>
          <w:color w:val="000000"/>
          <w:sz w:val="32"/>
          <w:szCs w:val="32"/>
        </w:rPr>
      </w:pPr>
      <w:r>
        <w:rPr>
          <w:rFonts w:hint="eastAsia" w:ascii="仿宋_GB2312" w:eastAsia="仿宋_GB2312"/>
          <w:color w:val="000000"/>
          <w:sz w:val="32"/>
          <w:szCs w:val="32"/>
          <w:lang w:eastAsia="zh-CN"/>
        </w:rPr>
        <w:t>十二、</w:t>
      </w:r>
      <w:r>
        <w:rPr>
          <w:rFonts w:hint="eastAsia" w:ascii="仿宋_GB2312" w:eastAsia="仿宋_GB2312"/>
          <w:color w:val="000000"/>
          <w:sz w:val="32"/>
          <w:szCs w:val="32"/>
        </w:rPr>
        <w:t>政府性基金预算财政拨款“三公”经费支出决算表</w:t>
      </w:r>
      <w:bookmarkEnd w:id="65"/>
      <w:bookmarkStart w:id="66" w:name="_Toc15396631"/>
    </w:p>
    <w:p>
      <w:pPr>
        <w:rPr>
          <w:rFonts w:hint="eastAsia" w:ascii="仿宋_GB2312" w:eastAsia="仿宋_GB2312"/>
          <w:color w:val="000000"/>
          <w:sz w:val="32"/>
          <w:szCs w:val="32"/>
        </w:rPr>
      </w:pPr>
      <w:r>
        <w:rPr>
          <w:rFonts w:hint="eastAsia" w:ascii="仿宋_GB2312" w:eastAsia="仿宋_GB2312"/>
          <w:color w:val="000000"/>
          <w:sz w:val="32"/>
          <w:szCs w:val="32"/>
          <w:lang w:eastAsia="zh-CN"/>
        </w:rPr>
        <w:t>十三、</w:t>
      </w:r>
      <w:r>
        <w:rPr>
          <w:rFonts w:hint="eastAsia" w:ascii="仿宋_GB2312" w:eastAsia="仿宋_GB2312"/>
          <w:color w:val="000000"/>
          <w:sz w:val="32"/>
          <w:szCs w:val="32"/>
        </w:rPr>
        <w:t>国有资本经营预算支出决算表</w:t>
      </w:r>
      <w:bookmarkEnd w:id="66"/>
    </w:p>
    <w:p>
      <w:pPr>
        <w:rPr>
          <w:rStyle w:val="23"/>
          <w:rFonts w:hint="eastAsia" w:ascii="仿宋" w:hAnsi="仿宋" w:eastAsia="仿宋"/>
          <w:b w:val="0"/>
          <w:bCs w:val="0"/>
          <w:lang w:val="en-US" w:eastAsia="zh-CN"/>
        </w:rPr>
      </w:pPr>
      <w:r>
        <w:rPr>
          <w:rStyle w:val="23"/>
          <w:rFonts w:hint="eastAsia" w:ascii="仿宋" w:hAnsi="仿宋" w:eastAsia="仿宋"/>
          <w:b w:val="0"/>
          <w:bCs w:val="0"/>
          <w:lang w:val="en-US" w:eastAsia="zh-CN"/>
        </w:rPr>
        <w:t>十四、整体支出绩效评价打分表</w:t>
      </w:r>
    </w:p>
    <w:p>
      <w:pPr>
        <w:rPr>
          <w:rStyle w:val="23"/>
          <w:rFonts w:hint="eastAsia" w:ascii="仿宋" w:hAnsi="仿宋" w:eastAsia="仿宋"/>
          <w:b w:val="0"/>
          <w:bCs w:val="0"/>
          <w:lang w:val="en-US" w:eastAsia="zh-CN"/>
        </w:rPr>
      </w:pPr>
      <w:r>
        <w:rPr>
          <w:rStyle w:val="23"/>
          <w:rFonts w:hint="eastAsia" w:ascii="仿宋" w:hAnsi="仿宋" w:eastAsia="仿宋"/>
          <w:b w:val="0"/>
          <w:bCs w:val="0"/>
          <w:lang w:val="en-US" w:eastAsia="zh-CN"/>
        </w:rPr>
        <w:t>十五、项目支出绩效评价打分表</w:t>
      </w:r>
    </w:p>
    <w:p>
      <w:pPr>
        <w:pStyle w:val="2"/>
        <w:ind w:left="0" w:leftChars="0" w:firstLine="0" w:firstLineChars="0"/>
        <w:rPr>
          <w:rFonts w:hint="eastAsia"/>
        </w:rPr>
      </w:pP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Microsoft Himalaya">
    <w:panose1 w:val="01010100010101010101"/>
    <w:charset w:val="00"/>
    <w:family w:val="auto"/>
    <w:pitch w:val="default"/>
    <w:sig w:usb0="80000003" w:usb1="00010000" w:usb2="00000040" w:usb3="00000000" w:csb0="00000001" w:csb1="00000000"/>
  </w:font>
  <w:font w:name="??_GB2312">
    <w:altName w:val="Times New Roman"/>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auto"/>
    <w:pitch w:val="default"/>
    <w:sig w:usb0="00000000" w:usb1="00000000" w:usb2="00000000" w:usb3="00000000" w:csb0="00040001"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003" w:usb1="288F0000" w:usb2="00000006" w:usb3="00000000" w:csb0="00040001" w:csb1="00000000"/>
  </w:font>
  <w:font w:name="Book Antiqua">
    <w:altName w:val="Segoe Print"/>
    <w:panose1 w:val="02040602050305030304"/>
    <w:charset w:val="00"/>
    <w:family w:val="auto"/>
    <w:pitch w:val="default"/>
    <w:sig w:usb0="00000000" w:usb1="00000000" w:usb2="00000000" w:usb3="00000000" w:csb0="2000009F" w:csb1="DFD70000"/>
  </w:font>
  <w:font w:name="华文仿宋">
    <w:altName w:val="仿宋"/>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Courier New">
    <w:panose1 w:val="020703090202050204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EE84DD"/>
    <w:multiLevelType w:val="singleLevel"/>
    <w:tmpl w:val="99EE84DD"/>
    <w:lvl w:ilvl="0" w:tentative="0">
      <w:start w:val="2"/>
      <w:numFmt w:val="chineseCounting"/>
      <w:suff w:val="nothing"/>
      <w:lvlText w:val="（%1）"/>
      <w:lvlJc w:val="left"/>
      <w:rPr>
        <w:rFonts w:hint="eastAsia" w:cs="Times New Roman"/>
      </w:rPr>
    </w:lvl>
  </w:abstractNum>
  <w:abstractNum w:abstractNumId="1">
    <w:nsid w:val="9B0E93F2"/>
    <w:multiLevelType w:val="singleLevel"/>
    <w:tmpl w:val="9B0E93F2"/>
    <w:lvl w:ilvl="0" w:tentative="0">
      <w:start w:val="2"/>
      <w:numFmt w:val="chineseCounting"/>
      <w:suff w:val="nothing"/>
      <w:lvlText w:val="（%1）"/>
      <w:lvlJc w:val="left"/>
      <w:rPr>
        <w:rFonts w:hint="eastAsia"/>
      </w:rPr>
    </w:lvl>
  </w:abstractNum>
  <w:abstractNum w:abstractNumId="2">
    <w:nsid w:val="CF652CEC"/>
    <w:multiLevelType w:val="singleLevel"/>
    <w:tmpl w:val="CF652CEC"/>
    <w:lvl w:ilvl="0" w:tentative="0">
      <w:start w:val="9"/>
      <w:numFmt w:val="chineseCounting"/>
      <w:suff w:val="nothing"/>
      <w:lvlText w:val="%1、"/>
      <w:lvlJc w:val="left"/>
      <w:rPr>
        <w:rFonts w:hint="eastAsia" w:cs="Times New Roman"/>
      </w:rPr>
    </w:lvl>
  </w:abstractNum>
  <w:abstractNum w:abstractNumId="3">
    <w:nsid w:val="E2FA047D"/>
    <w:multiLevelType w:val="singleLevel"/>
    <w:tmpl w:val="E2FA047D"/>
    <w:lvl w:ilvl="0" w:tentative="0">
      <w:start w:val="3"/>
      <w:numFmt w:val="chineseCounting"/>
      <w:suff w:val="space"/>
      <w:lvlText w:val="第%1部分"/>
      <w:lvlJc w:val="left"/>
      <w:rPr>
        <w:rFonts w:hint="eastAsia"/>
      </w:rPr>
    </w:lvl>
  </w:abstractNum>
  <w:abstractNum w:abstractNumId="4">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5">
    <w:nsid w:val="FE8D7AA4"/>
    <w:multiLevelType w:val="singleLevel"/>
    <w:tmpl w:val="FE8D7AA4"/>
    <w:lvl w:ilvl="0" w:tentative="0">
      <w:start w:val="1"/>
      <w:numFmt w:val="decimal"/>
      <w:lvlText w:val="%1."/>
      <w:lvlJc w:val="left"/>
      <w:pPr>
        <w:tabs>
          <w:tab w:val="left" w:pos="312"/>
        </w:tabs>
      </w:pPr>
    </w:lvl>
  </w:abstractNum>
  <w:abstractNum w:abstractNumId="6">
    <w:nsid w:val="17F426B7"/>
    <w:multiLevelType w:val="multilevel"/>
    <w:tmpl w:val="17F426B7"/>
    <w:lvl w:ilvl="0" w:tentative="0">
      <w:start w:val="10"/>
      <w:numFmt w:val="japaneseCounting"/>
      <w:lvlText w:val="%1、"/>
      <w:lvlJc w:val="left"/>
      <w:pPr>
        <w:ind w:left="1429" w:hanging="720"/>
      </w:pPr>
      <w:rPr>
        <w:rFonts w:hint="default" w:cs="Times New Roman"/>
      </w:rPr>
    </w:lvl>
    <w:lvl w:ilvl="1" w:tentative="0">
      <w:start w:val="1"/>
      <w:numFmt w:val="lowerLetter"/>
      <w:lvlText w:val="%2)"/>
      <w:lvlJc w:val="left"/>
      <w:pPr>
        <w:ind w:left="1549" w:hanging="420"/>
      </w:pPr>
      <w:rPr>
        <w:rFonts w:cs="Times New Roman"/>
      </w:rPr>
    </w:lvl>
    <w:lvl w:ilvl="2" w:tentative="0">
      <w:start w:val="1"/>
      <w:numFmt w:val="lowerRoman"/>
      <w:lvlText w:val="%3."/>
      <w:lvlJc w:val="right"/>
      <w:pPr>
        <w:ind w:left="1969" w:hanging="420"/>
      </w:pPr>
      <w:rPr>
        <w:rFonts w:cs="Times New Roman"/>
      </w:rPr>
    </w:lvl>
    <w:lvl w:ilvl="3" w:tentative="0">
      <w:start w:val="1"/>
      <w:numFmt w:val="decimal"/>
      <w:lvlText w:val="%4."/>
      <w:lvlJc w:val="left"/>
      <w:pPr>
        <w:ind w:left="2389" w:hanging="420"/>
      </w:pPr>
      <w:rPr>
        <w:rFonts w:cs="Times New Roman"/>
      </w:rPr>
    </w:lvl>
    <w:lvl w:ilvl="4" w:tentative="0">
      <w:start w:val="1"/>
      <w:numFmt w:val="lowerLetter"/>
      <w:lvlText w:val="%5)"/>
      <w:lvlJc w:val="left"/>
      <w:pPr>
        <w:ind w:left="2809" w:hanging="420"/>
      </w:pPr>
      <w:rPr>
        <w:rFonts w:cs="Times New Roman"/>
      </w:rPr>
    </w:lvl>
    <w:lvl w:ilvl="5" w:tentative="0">
      <w:start w:val="1"/>
      <w:numFmt w:val="lowerRoman"/>
      <w:lvlText w:val="%6."/>
      <w:lvlJc w:val="right"/>
      <w:pPr>
        <w:ind w:left="3229" w:hanging="420"/>
      </w:pPr>
      <w:rPr>
        <w:rFonts w:cs="Times New Roman"/>
      </w:rPr>
    </w:lvl>
    <w:lvl w:ilvl="6" w:tentative="0">
      <w:start w:val="1"/>
      <w:numFmt w:val="decimal"/>
      <w:lvlText w:val="%7."/>
      <w:lvlJc w:val="left"/>
      <w:pPr>
        <w:ind w:left="3649" w:hanging="420"/>
      </w:pPr>
      <w:rPr>
        <w:rFonts w:cs="Times New Roman"/>
      </w:rPr>
    </w:lvl>
    <w:lvl w:ilvl="7" w:tentative="0">
      <w:start w:val="1"/>
      <w:numFmt w:val="lowerLetter"/>
      <w:lvlText w:val="%8)"/>
      <w:lvlJc w:val="left"/>
      <w:pPr>
        <w:ind w:left="4069" w:hanging="420"/>
      </w:pPr>
      <w:rPr>
        <w:rFonts w:cs="Times New Roman"/>
      </w:rPr>
    </w:lvl>
    <w:lvl w:ilvl="8" w:tentative="0">
      <w:start w:val="1"/>
      <w:numFmt w:val="lowerRoman"/>
      <w:lvlText w:val="%9."/>
      <w:lvlJc w:val="right"/>
      <w:pPr>
        <w:ind w:left="4489" w:hanging="420"/>
      </w:pPr>
      <w:rPr>
        <w:rFonts w:cs="Times New Roman"/>
      </w:rPr>
    </w:lvl>
  </w:abstractNum>
  <w:abstractNum w:abstractNumId="7">
    <w:nsid w:val="2F57F50F"/>
    <w:multiLevelType w:val="singleLevel"/>
    <w:tmpl w:val="2F57F50F"/>
    <w:lvl w:ilvl="0" w:tentative="0">
      <w:start w:val="1"/>
      <w:numFmt w:val="chineseCounting"/>
      <w:suff w:val="nothing"/>
      <w:lvlText w:val="（%1）"/>
      <w:lvlJc w:val="left"/>
      <w:rPr>
        <w:rFonts w:hint="eastAsia" w:cs="Times New Roman"/>
      </w:rPr>
    </w:lvl>
  </w:abstractNum>
  <w:abstractNum w:abstractNumId="8">
    <w:nsid w:val="4D9AF260"/>
    <w:multiLevelType w:val="singleLevel"/>
    <w:tmpl w:val="4D9AF260"/>
    <w:lvl w:ilvl="0" w:tentative="0">
      <w:start w:val="1"/>
      <w:numFmt w:val="chineseCounting"/>
      <w:suff w:val="nothing"/>
      <w:lvlText w:val="（%1）"/>
      <w:lvlJc w:val="left"/>
      <w:rPr>
        <w:rFonts w:hint="eastAsia"/>
        <w:lang w:val="en-US"/>
      </w:rPr>
    </w:lvl>
  </w:abstractNum>
  <w:abstractNum w:abstractNumId="9">
    <w:nsid w:val="579EF9E7"/>
    <w:multiLevelType w:val="singleLevel"/>
    <w:tmpl w:val="579EF9E7"/>
    <w:lvl w:ilvl="0" w:tentative="0">
      <w:start w:val="1"/>
      <w:numFmt w:val="decimal"/>
      <w:suff w:val="nothing"/>
      <w:lvlText w:val="%1."/>
      <w:lvlJc w:val="left"/>
    </w:lvl>
  </w:abstractNum>
  <w:num w:numId="1">
    <w:abstractNumId w:val="7"/>
  </w:num>
  <w:num w:numId="2">
    <w:abstractNumId w:val="5"/>
  </w:num>
  <w:num w:numId="3">
    <w:abstractNumId w:val="2"/>
  </w:num>
  <w:num w:numId="4">
    <w:abstractNumId w:val="6"/>
  </w:num>
  <w:num w:numId="5">
    <w:abstractNumId w:val="4"/>
  </w:num>
  <w:num w:numId="6">
    <w:abstractNumId w:val="3"/>
  </w:num>
  <w:num w:numId="7">
    <w:abstractNumId w:val="9"/>
  </w:num>
  <w:num w:numId="8">
    <w:abstractNumId w:val="8"/>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2B28A1"/>
    <w:rsid w:val="0080532E"/>
    <w:rsid w:val="008645A0"/>
    <w:rsid w:val="00956C40"/>
    <w:rsid w:val="00D96B3A"/>
    <w:rsid w:val="00E674D7"/>
    <w:rsid w:val="0AC31E85"/>
    <w:rsid w:val="0CE6408A"/>
    <w:rsid w:val="125D303F"/>
    <w:rsid w:val="162D77CE"/>
    <w:rsid w:val="1CAC741A"/>
    <w:rsid w:val="24A40F19"/>
    <w:rsid w:val="25DE1960"/>
    <w:rsid w:val="2D223F86"/>
    <w:rsid w:val="2DB25A40"/>
    <w:rsid w:val="312B28A1"/>
    <w:rsid w:val="319A4297"/>
    <w:rsid w:val="31AC7EFF"/>
    <w:rsid w:val="345476FE"/>
    <w:rsid w:val="3616676A"/>
    <w:rsid w:val="39495C15"/>
    <w:rsid w:val="3DB61AD3"/>
    <w:rsid w:val="41D904F5"/>
    <w:rsid w:val="46AC1627"/>
    <w:rsid w:val="46D6443D"/>
    <w:rsid w:val="4C27254C"/>
    <w:rsid w:val="5110316D"/>
    <w:rsid w:val="5ACF7B3C"/>
    <w:rsid w:val="5C5E07BE"/>
    <w:rsid w:val="65AF5532"/>
    <w:rsid w:val="685B08C9"/>
    <w:rsid w:val="70B84E1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1"/>
    <w:qFormat/>
    <w:uiPriority w:val="99"/>
    <w:pPr>
      <w:keepNext/>
      <w:keepLines/>
      <w:spacing w:before="340" w:after="330" w:line="578" w:lineRule="auto"/>
      <w:outlineLvl w:val="0"/>
    </w:pPr>
    <w:rPr>
      <w:b/>
      <w:bCs/>
      <w:kern w:val="44"/>
      <w:sz w:val="44"/>
      <w:szCs w:val="44"/>
    </w:rPr>
  </w:style>
  <w:style w:type="paragraph" w:styleId="5">
    <w:name w:val="heading 2"/>
    <w:basedOn w:val="1"/>
    <w:next w:val="1"/>
    <w:link w:val="23"/>
    <w:qFormat/>
    <w:uiPriority w:val="99"/>
    <w:pPr>
      <w:keepNext/>
      <w:keepLines/>
      <w:spacing w:before="260" w:after="260" w:line="416" w:lineRule="auto"/>
      <w:outlineLvl w:val="1"/>
    </w:pPr>
    <w:rPr>
      <w:rFonts w:ascii="Calibri Light" w:hAnsi="Calibri Light"/>
      <w:b/>
      <w:bCs/>
      <w:sz w:val="32"/>
      <w:szCs w:val="32"/>
    </w:rPr>
  </w:style>
  <w:style w:type="character" w:default="1" w:styleId="13">
    <w:name w:val="Default Paragraph Font"/>
    <w:semiHidden/>
    <w:qFormat/>
    <w:uiPriority w:val="99"/>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qFormat/>
    <w:uiPriority w:val="99"/>
    <w:pPr>
      <w:ind w:firstLine="420" w:firstLineChars="200"/>
    </w:pPr>
  </w:style>
  <w:style w:type="paragraph" w:styleId="3">
    <w:name w:val="Body Text Indent"/>
    <w:basedOn w:val="1"/>
    <w:qFormat/>
    <w:uiPriority w:val="99"/>
    <w:pPr>
      <w:spacing w:after="120"/>
      <w:ind w:left="420" w:leftChars="200"/>
    </w:pPr>
    <w:rPr>
      <w:szCs w:val="20"/>
    </w:rPr>
  </w:style>
  <w:style w:type="paragraph" w:styleId="6">
    <w:name w:val="Body Text"/>
    <w:basedOn w:val="1"/>
    <w:link w:val="19"/>
    <w:qFormat/>
    <w:uiPriority w:val="99"/>
    <w:pPr>
      <w:spacing w:beforeLines="30"/>
    </w:pPr>
    <w:rPr>
      <w:rFonts w:ascii="仿宋_GB2312" w:eastAsia="仿宋_GB2312"/>
      <w:kern w:val="0"/>
      <w:sz w:val="30"/>
    </w:rPr>
  </w:style>
  <w:style w:type="paragraph" w:styleId="7">
    <w:name w:val="Balloon Text"/>
    <w:basedOn w:val="1"/>
    <w:qFormat/>
    <w:uiPriority w:val="0"/>
    <w:rPr>
      <w:rFonts w:ascii="Times New Roman" w:hAnsi="Times New Roman" w:eastAsia="华文中宋" w:cs="Times New Roman"/>
      <w:sz w:val="18"/>
      <w:szCs w:val="18"/>
      <w:lang w:bidi="ar-SA"/>
    </w:rPr>
  </w:style>
  <w:style w:type="paragraph" w:styleId="8">
    <w:name w:val="footer"/>
    <w:basedOn w:val="1"/>
    <w:qFormat/>
    <w:uiPriority w:val="99"/>
    <w:pPr>
      <w:tabs>
        <w:tab w:val="center" w:pos="4153"/>
        <w:tab w:val="right" w:pos="8306"/>
      </w:tabs>
      <w:snapToGrid w:val="0"/>
      <w:jc w:val="left"/>
    </w:pPr>
    <w:rPr>
      <w:rFonts w:ascii="Calibri" w:hAnsi="Calibri" w:cs="Arial Unicode MS"/>
      <w:kern w:val="0"/>
      <w:sz w:val="18"/>
      <w:szCs w:val="20"/>
      <w:lang w:bidi="bo-CN"/>
    </w:rPr>
  </w:style>
  <w:style w:type="paragraph" w:styleId="9">
    <w:name w:val="header"/>
    <w:basedOn w:val="1"/>
    <w:semiHidden/>
    <w:qFormat/>
    <w:uiPriority w:val="99"/>
    <w:pPr>
      <w:pBdr>
        <w:bottom w:val="single" w:color="auto" w:sz="6" w:space="1"/>
      </w:pBdr>
      <w:tabs>
        <w:tab w:val="center" w:pos="4153"/>
        <w:tab w:val="right" w:pos="8306"/>
      </w:tabs>
      <w:snapToGrid w:val="0"/>
      <w:jc w:val="center"/>
    </w:pPr>
    <w:rPr>
      <w:rFonts w:ascii="Calibri" w:hAnsi="Calibri" w:cs="Arial Unicode MS"/>
      <w:kern w:val="0"/>
      <w:sz w:val="18"/>
      <w:szCs w:val="20"/>
      <w:lang w:bidi="bo-CN"/>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toc 2"/>
    <w:basedOn w:val="1"/>
    <w:next w:val="1"/>
    <w:unhideWhenUsed/>
    <w:qFormat/>
    <w:uiPriority w:val="39"/>
    <w:pPr>
      <w:tabs>
        <w:tab w:val="right" w:leader="dot" w:pos="8296"/>
      </w:tabs>
      <w:ind w:left="420" w:leftChars="200"/>
    </w:pPr>
  </w:style>
  <w:style w:type="paragraph" w:styleId="12">
    <w:name w:val="Normal (Web)"/>
    <w:basedOn w:val="1"/>
    <w:next w:val="7"/>
    <w:qFormat/>
    <w:uiPriority w:val="0"/>
    <w:pPr>
      <w:widowControl w:val="0"/>
      <w:spacing w:before="100" w:beforeAutospacing="1" w:after="100" w:afterAutospacing="1"/>
    </w:pPr>
    <w:rPr>
      <w:rFonts w:ascii="宋体" w:eastAsia="宋体"/>
      <w:kern w:val="2"/>
      <w:sz w:val="24"/>
      <w:lang w:val="en-US" w:eastAsia="zh-CN" w:bidi="ar-SA"/>
    </w:rPr>
  </w:style>
  <w:style w:type="character" w:styleId="14">
    <w:name w:val="Strong"/>
    <w:basedOn w:val="13"/>
    <w:qFormat/>
    <w:uiPriority w:val="99"/>
    <w:rPr>
      <w:rFonts w:cs="Times New Roman"/>
      <w:b/>
    </w:rPr>
  </w:style>
  <w:style w:type="character" w:styleId="15">
    <w:name w:val="Hyperlink"/>
    <w:basedOn w:val="13"/>
    <w:unhideWhenUsed/>
    <w:qFormat/>
    <w:uiPriority w:val="99"/>
    <w:rPr>
      <w:color w:val="0000FF" w:themeColor="hyperlink"/>
      <w:u w:val="single"/>
      <w14:textFill>
        <w14:solidFill>
          <w14:schemeClr w14:val="hlink"/>
        </w14:solidFill>
      </w14:textFill>
    </w:rPr>
  </w:style>
  <w:style w:type="character" w:customStyle="1" w:styleId="17">
    <w:name w:val="Heading 1 Char"/>
    <w:basedOn w:val="13"/>
    <w:link w:val="4"/>
    <w:qFormat/>
    <w:locked/>
    <w:uiPriority w:val="99"/>
    <w:rPr>
      <w:rFonts w:cs="Times New Roman"/>
      <w:b/>
      <w:bCs/>
      <w:kern w:val="44"/>
      <w:sz w:val="44"/>
      <w:szCs w:val="44"/>
    </w:rPr>
  </w:style>
  <w:style w:type="character" w:customStyle="1" w:styleId="18">
    <w:name w:val="Heading 2 Char"/>
    <w:basedOn w:val="13"/>
    <w:link w:val="5"/>
    <w:qFormat/>
    <w:locked/>
    <w:uiPriority w:val="99"/>
    <w:rPr>
      <w:rFonts w:ascii="Calibri Light" w:hAnsi="Calibri Light" w:eastAsia="宋体" w:cs="Times New Roman"/>
      <w:b/>
      <w:bCs/>
      <w:sz w:val="32"/>
      <w:szCs w:val="32"/>
    </w:rPr>
  </w:style>
  <w:style w:type="character" w:customStyle="1" w:styleId="19">
    <w:name w:val="Body Text Char"/>
    <w:basedOn w:val="13"/>
    <w:link w:val="6"/>
    <w:semiHidden/>
    <w:qFormat/>
    <w:uiPriority w:val="99"/>
    <w:rPr>
      <w:szCs w:val="24"/>
    </w:rPr>
  </w:style>
  <w:style w:type="paragraph" w:styleId="20">
    <w:name w:val="List Paragraph"/>
    <w:basedOn w:val="1"/>
    <w:qFormat/>
    <w:uiPriority w:val="99"/>
    <w:pPr>
      <w:ind w:firstLine="420" w:firstLineChars="200"/>
    </w:pPr>
  </w:style>
  <w:style w:type="character" w:customStyle="1" w:styleId="21">
    <w:name w:val="标题 1 Char"/>
    <w:basedOn w:val="13"/>
    <w:link w:val="4"/>
    <w:qFormat/>
    <w:uiPriority w:val="9"/>
    <w:rPr>
      <w:rFonts w:ascii="Times New Roman" w:hAnsi="Times New Roman"/>
      <w:b/>
      <w:bCs/>
      <w:kern w:val="44"/>
      <w:sz w:val="44"/>
      <w:szCs w:val="44"/>
    </w:rPr>
  </w:style>
  <w:style w:type="paragraph" w:customStyle="1" w:styleId="22">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23">
    <w:name w:val="标题 2 Char"/>
    <w:basedOn w:val="13"/>
    <w:link w:val="5"/>
    <w:qFormat/>
    <w:uiPriority w:val="9"/>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hart" Target="charts/chart6.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chart" Target="charts/chart7.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22270;&#34920;%20&#22312;%20&#32418;&#21407;&#21439;&#27743;&#33592;&#20065;&#20154;&#27665;&#25919;&#24220;.doc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22270;&#34920;%20&#22312;%20&#32418;&#21407;&#21439;&#27743;&#33592;&#20065;&#20154;&#27665;&#25919;&#24220;.doc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22270;&#34920;%20&#22312;%20&#32418;&#21407;&#21439;&#27743;&#33592;&#20065;&#20154;&#27665;&#25919;&#24220;.doc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22270;&#34920;%20&#22312;%20&#32418;&#21407;&#21439;&#27743;&#33592;&#20065;&#20154;&#27665;&#25919;&#24220;.doc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22270;&#34920;%20&#22312;%20&#32418;&#21407;&#21439;&#27743;&#33592;&#20065;&#20154;&#27665;&#25919;&#24220;.doc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22270;&#34920;%20&#22312;%20&#32418;&#21407;&#21439;&#27743;&#33592;&#20065;&#20154;&#27665;&#25919;&#24220;.doc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22270;&#34920;%20&#22312;%20&#32418;&#21407;&#21439;&#27743;&#33592;&#20065;&#20154;&#27665;&#25919;&#24220;.doc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'[图表 在 红原县江茸乡人民政府.docx]Sheet1'!#REF!</c:f>
              <c:strCache>
                <c:ptCount val="1"/>
                <c:pt idx="0">
                  <c:v/>
                </c:pt>
              </c:strCache>
            </c:strRef>
          </c:tx>
          <c:spPr>
            <a:solidFill>
              <a:srgbClr val="5B9BD5">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收入</c:v>
                </c:pt>
                <c:pt idx="1">
                  <c:v>支出</c:v>
                </c:pt>
              </c:strCache>
            </c:strRef>
          </c:cat>
          <c:val>
            <c:numRef>
              <c:f>[0045e0221]Sheet1!#REF!</c:f>
              <c:numCache>
                <c:formatCode>General</c:formatCode>
                <c:ptCount val="1"/>
              </c:numCache>
            </c:numRef>
          </c:val>
        </c:ser>
        <c:ser>
          <c:idx val="1"/>
          <c:order val="1"/>
          <c:tx>
            <c:strRef>
              <c:f>'[图表 在 红原县江茸乡人民政府.docx]Sheet1'!$B$3</c:f>
              <c:strCache>
                <c:ptCount val="1"/>
                <c:pt idx="0">
                  <c:v>2017年</c:v>
                </c:pt>
              </c:strCache>
            </c:strRef>
          </c:tx>
          <c:spPr>
            <a:solidFill>
              <a:srgbClr val="ED7D31">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收入</c:v>
                </c:pt>
                <c:pt idx="1">
                  <c:v>支出</c:v>
                </c:pt>
              </c:strCache>
            </c:strRef>
          </c:cat>
          <c:val>
            <c:numRef>
              <c:f>'[图表 在 红原县江茸乡人民政府.docx]Sheet1'!$C$3:$D$3</c:f>
              <c:numCache>
                <c:formatCode>General</c:formatCode>
                <c:ptCount val="2"/>
                <c:pt idx="0">
                  <c:v>628.68</c:v>
                </c:pt>
                <c:pt idx="1">
                  <c:v>599.68</c:v>
                </c:pt>
              </c:numCache>
            </c:numRef>
          </c:val>
        </c:ser>
        <c:ser>
          <c:idx val="2"/>
          <c:order val="2"/>
          <c:tx>
            <c:strRef>
              <c:f>'[图表 在 红原县江茸乡人民政府.docx]Sheet1'!$B$4</c:f>
              <c:strCache>
                <c:ptCount val="1"/>
                <c:pt idx="0">
                  <c:v>2018年</c:v>
                </c:pt>
              </c:strCache>
            </c:strRef>
          </c:tx>
          <c:spPr>
            <a:solidFill>
              <a:srgbClr val="A5A5A5">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收入</c:v>
                </c:pt>
                <c:pt idx="1">
                  <c:v>支出</c:v>
                </c:pt>
              </c:strCache>
            </c:strRef>
          </c:cat>
          <c:val>
            <c:numRef>
              <c:f>'[图表 在 红原县江茸乡人民政府.docx]Sheet1'!$C$4:$D$4</c:f>
              <c:numCache>
                <c:formatCode>General</c:formatCode>
                <c:ptCount val="2"/>
                <c:pt idx="0">
                  <c:v>926.3</c:v>
                </c:pt>
                <c:pt idx="1">
                  <c:v>880.85</c:v>
                </c:pt>
              </c:numCache>
            </c:numRef>
          </c:val>
        </c:ser>
        <c:dLbls>
          <c:showLegendKey val="0"/>
          <c:showVal val="1"/>
          <c:showCatName val="0"/>
          <c:showSerName val="0"/>
          <c:showPercent val="0"/>
          <c:showBubbleSize val="0"/>
        </c:dLbls>
        <c:gapWidth val="219"/>
        <c:overlap val="-27"/>
        <c:axId val="325471251"/>
        <c:axId val="881444161"/>
      </c:barChart>
      <c:catAx>
        <c:axId val="325471251"/>
        <c:scaling>
          <c:orientation val="minMax"/>
        </c:scaling>
        <c:delete val="0"/>
        <c:axPos val="b"/>
        <c:majorTickMark val="none"/>
        <c:minorTickMark val="none"/>
        <c:tickLblPos val="nextTo"/>
        <c:spPr>
          <a:noFill/>
          <a:ln w="9525" cap="flat" cmpd="sng" algn="ctr">
            <a:solidFill>
              <a:srgbClr val="D9D9D9">
                <a:lumMod val="15000"/>
                <a:lumOff val="85000"/>
              </a:srgbClr>
            </a:solidFill>
            <a:prstDash val="solid"/>
            <a:round/>
          </a:ln>
          <a:effectLst/>
        </c:spPr>
        <c:txPr>
          <a:bodyPr rot="-6000000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881444161"/>
        <c:crosses val="autoZero"/>
        <c:auto val="1"/>
        <c:lblAlgn val="ctr"/>
        <c:lblOffset val="100"/>
        <c:noMultiLvlLbl val="0"/>
      </c:catAx>
      <c:valAx>
        <c:axId val="881444161"/>
        <c:scaling>
          <c:orientation val="minMax"/>
        </c:scaling>
        <c:delete val="0"/>
        <c:axPos val="l"/>
        <c:majorGridlines>
          <c:spPr>
            <a:ln w="9525" cap="flat" cmpd="sng" algn="ctr">
              <a:solidFill>
                <a:srgbClr val="D9D9D9">
                  <a:lumMod val="15000"/>
                  <a:lumOff val="85000"/>
                </a:srgbClr>
              </a:solidFill>
              <a:prstDash val="solid"/>
              <a:round/>
            </a:ln>
            <a:effectLst/>
          </c:spPr>
        </c:majorGridlines>
        <c:numFmt formatCode="General" sourceLinked="1"/>
        <c:majorTickMark val="none"/>
        <c:minorTickMark val="none"/>
        <c:tickLblPos val="nextTo"/>
        <c:spPr>
          <a:ln w="3175" cap="flat" cmpd="sng" algn="ctr">
            <a:noFill/>
            <a:prstDash val="solid"/>
            <a:round/>
          </a:ln>
        </c:spPr>
        <c:txPr>
          <a:bodyPr rot="-6000000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325471251"/>
        <c:crosses val="autoZero"/>
        <c:crossBetween val="between"/>
      </c:valAx>
      <c:spPr>
        <a:noFill/>
        <a:ln w="3175">
          <a:noFill/>
        </a:ln>
      </c:spPr>
    </c:plotArea>
    <c:legend>
      <c:legendPos val="b"/>
      <c:legendEntry>
        <c:idx val="0"/>
        <c:delete val="1"/>
      </c:legendEntry>
      <c:layout/>
      <c:overlay val="0"/>
      <c:spPr>
        <a:noFill/>
        <a:ln w="3175">
          <a:noFill/>
        </a:ln>
      </c:spPr>
      <c:txPr>
        <a:bodyPr rot="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legend>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wrap="square"/>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zh-CN" sz="1400" b="0" i="0" u="none" strike="noStrike" kern="1200" spc="0" baseline="0">
                <a:solidFill>
                  <a:srgbClr val="595959">
                    <a:lumMod val="65000"/>
                    <a:lumOff val="35000"/>
                  </a:srgbClr>
                </a:solidFill>
                <a:latin typeface="+mn-lt"/>
                <a:ea typeface="+mn-ea"/>
                <a:cs typeface="+mn-cs"/>
              </a:defRPr>
            </a:pPr>
            <a:r>
              <a:t> 收入决算结构图</a:t>
            </a:r>
          </a:p>
        </c:rich>
      </c:tx>
      <c:layout/>
      <c:overlay val="0"/>
    </c:title>
    <c:autoTitleDeleted val="0"/>
    <c:plotArea>
      <c:layout/>
      <c:pieChart>
        <c:varyColors val="1"/>
        <c:ser>
          <c:idx val="0"/>
          <c:order val="0"/>
          <c:tx>
            <c:strRef>
              <c:f>'[图表 在 红原县江茸乡人民政府.docx]Sheet1'!$B$3</c:f>
              <c:strCache>
                <c:ptCount val="1"/>
                <c:pt idx="0">
                  <c:v/>
                </c:pt>
              </c:strCache>
            </c:strRef>
          </c:tx>
          <c:spPr>
            <a:pattFill prst="pct5">
              <a:fgClr>
                <a:srgbClr val="4F81BD"/>
              </a:fgClr>
              <a:bgClr>
                <a:srgbClr val="4F81BD"/>
              </a:bgClr>
            </a:pattFill>
          </c:spPr>
          <c:explosion val="0"/>
          <c:dPt>
            <c:idx val="0"/>
            <c:bubble3D val="0"/>
            <c:spPr>
              <a:pattFill prst="pct5">
                <a:fgClr>
                  <a:srgbClr val="4F81BD"/>
                </a:fgClr>
                <a:bgClr>
                  <a:srgbClr val="4F81BD"/>
                </a:bgClr>
              </a:pattFill>
            </c:spPr>
          </c:dPt>
          <c:dPt>
            <c:idx val="1"/>
            <c:bubble3D val="0"/>
            <c:spPr>
              <a:solidFill>
                <a:srgbClr val="000000"/>
              </a:solidFill>
            </c:spPr>
          </c:dPt>
          <c:dLbls>
            <c:dLbl>
              <c:idx val="1"/>
              <c:layout/>
              <c:dLblPos val="bestFit"/>
              <c:showLegendKey val="0"/>
              <c:showVal val="1"/>
              <c:showCatName val="0"/>
              <c:showSerName val="0"/>
              <c:showPercent val="0"/>
              <c:showBubbleSize val="0"/>
              <c:extLst>
                <c:ext xmlns:c15="http://schemas.microsoft.com/office/drawing/2012/chart" uri="{CE6537A1-D6FC-4f65-9D91-7224C49458BB}">
                  <c15:layout>
                    <c:manualLayout>
                      <c:w val="0.211507936507937"/>
                      <c:h val="0.0699074074074074"/>
                    </c:manualLayout>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一般公共预算财政拨款收入</c:v>
                </c:pt>
                <c:pt idx="1">
                  <c:v>其他收入</c:v>
                </c:pt>
              </c:strCache>
            </c:strRef>
          </c:cat>
          <c:val>
            <c:numRef>
              <c:f>'[图表 在 红原县江茸乡人民政府.docx]Sheet1'!$C$3:$D$3</c:f>
              <c:numCache>
                <c:formatCode>0%</c:formatCode>
                <c:ptCount val="2"/>
                <c:pt idx="0">
                  <c:v>0.99</c:v>
                </c:pt>
                <c:pt idx="1" c:formatCode="0.00%">
                  <c:v>0.0001</c:v>
                </c:pt>
              </c:numCache>
            </c:numRef>
          </c:val>
        </c:ser>
        <c:ser>
          <c:idx val="1"/>
          <c:order val="1"/>
          <c:tx>
            <c:strRef>
              <c:f>'[图表 在 红原县江茸乡人民政府.docx]Sheet1'!#REF!</c:f>
              <c:strCache>
                <c:ptCount val="1"/>
                <c:pt idx="0">
                  <c:v/>
                </c:pt>
              </c:strCache>
            </c:strRef>
          </c:tx>
          <c:explosion val="0"/>
          <c:dPt>
            <c:idx val="0"/>
            <c:bubble3D val="0"/>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一般公共预算财政拨款收入</c:v>
                </c:pt>
                <c:pt idx="1">
                  <c:v>其他收入</c:v>
                </c:pt>
              </c:strCache>
            </c:strRef>
          </c:cat>
          <c:val>
            <c:numRef>
              <c:f>'[图表 在 红原县江茸乡人民政府.docx]Sheet1'!#REF!</c:f>
              <c:numCache>
                <c:formatCode>General</c:formatCode>
                <c:ptCount val="1"/>
                <c:pt idx="0">
                  <c:v>1</c:v>
                </c:pt>
              </c:numCache>
            </c:numRef>
          </c:val>
        </c:ser>
        <c:ser>
          <c:idx val="2"/>
          <c:order val="2"/>
          <c:tx>
            <c:strRef>
              <c:f>'[图表 在 红原县江茸乡人民政府.docx]Sheet1'!#REF!</c:f>
              <c:strCache>
                <c:ptCount val="1"/>
                <c:pt idx="0">
                  <c:v/>
                </c:pt>
              </c:strCache>
            </c:strRef>
          </c:tx>
          <c:explosion val="0"/>
          <c:dPt>
            <c:idx val="0"/>
            <c:bubble3D val="0"/>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一般公共预算财政拨款收入</c:v>
                </c:pt>
                <c:pt idx="1">
                  <c:v>其他收入</c:v>
                </c:pt>
              </c:strCache>
            </c:strRef>
          </c:cat>
          <c:val>
            <c:numRef>
              <c:f>'[图表 在 红原县江茸乡人民政府.docx]Sheet1'!#REF!</c:f>
              <c:numCache>
                <c:formatCode>General</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w="3175">
          <a:noFill/>
        </a:ln>
      </c:spPr>
      <c:txPr>
        <a:bodyPr rot="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legend>
    <c:plotVisOnly val="1"/>
    <c:dispBlanksAs val="gap"/>
    <c:showDLblsOverMax val="0"/>
  </c:chart>
  <c:spPr>
    <a:solidFill>
      <a:srgbClr val="FFFFFF"/>
    </a:solidFill>
    <a:ln w="28575" cap="flat" cmpd="sng" algn="ctr">
      <a:solidFill>
        <a:srgbClr val="D9D9D9">
          <a:lumMod val="15000"/>
          <a:lumOff val="85000"/>
        </a:srgbClr>
      </a:solidFill>
      <a:prstDash val="solid"/>
      <a:round/>
    </a:ln>
    <a:effectLst/>
  </c:spPr>
  <c:txPr>
    <a:bodyPr wrap="square"/>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c:spPr>
      <c:txPr>
        <a:bodyPr rot="0" spcFirstLastPara="1" vertOverflow="ellipsis" vert="horz" wrap="square" anchor="ctr" anchorCtr="1"/>
        <a:lstStyle/>
        <a:p>
          <a:pPr>
            <a:defRPr lang="zh-CN" sz="1400" b="0" i="0" u="none" strike="noStrike" kern="1200" spc="0" baseline="0">
              <a:solidFill>
                <a:srgbClr val="595959">
                  <a:lumMod val="65000"/>
                  <a:lumOff val="35000"/>
                </a:srgbClr>
              </a:solidFill>
              <a:latin typeface="+mn-lt"/>
              <a:ea typeface="+mn-ea"/>
              <a:cs typeface="+mn-cs"/>
            </a:defRPr>
          </a:pPr>
        </a:p>
      </c:txPr>
    </c:title>
    <c:autoTitleDeleted val="0"/>
    <c:plotArea>
      <c:layout/>
      <c:pieChart>
        <c:varyColors val="1"/>
        <c:ser>
          <c:idx val="0"/>
          <c:order val="0"/>
          <c:tx>
            <c:strRef>
              <c:f>'[图表 在 红原县江茸乡人民政府.docx]Sheet1'!$B$3</c:f>
              <c:strCache>
                <c:ptCount val="1"/>
                <c:pt idx="0">
                  <c:v>支出决算结构图</c:v>
                </c:pt>
              </c:strCache>
            </c:strRef>
          </c:tx>
          <c:spPr>
            <a:solidFill>
              <a:srgbClr val="5B9BD5">
                <a:alpha val="100000"/>
              </a:srgbClr>
            </a:solidFill>
            <a:ln w="3175">
              <a:noFill/>
            </a:ln>
          </c:spPr>
          <c:explosion val="0"/>
          <c:dPt>
            <c:idx val="0"/>
            <c:bubble3D val="0"/>
            <c:spPr>
              <a:solidFill>
                <a:srgbClr val="C0504D">
                  <a:alpha val="100000"/>
                </a:srgbClr>
              </a:solidFill>
              <a:ln w="3175">
                <a:noFill/>
              </a:ln>
            </c:spPr>
          </c:dPt>
          <c:dPt>
            <c:idx val="1"/>
            <c:bubble3D val="0"/>
            <c:spPr>
              <a:solidFill>
                <a:srgbClr val="5B9BD5">
                  <a:alpha val="100000"/>
                </a:srgbClr>
              </a:solidFill>
              <a:ln w="3175">
                <a:noFill/>
              </a:ln>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项目支出</c:v>
                </c:pt>
                <c:pt idx="1">
                  <c:v>基本支出</c:v>
                </c:pt>
              </c:strCache>
            </c:strRef>
          </c:cat>
          <c:val>
            <c:numRef>
              <c:f>'[图表 在 红原县江茸乡人民政府.docx]Sheet1'!$C$3:$D$3</c:f>
              <c:numCache>
                <c:formatCode>General</c:formatCode>
                <c:ptCount val="2"/>
                <c:pt idx="0">
                  <c:v>355.34</c:v>
                </c:pt>
                <c:pt idx="1">
                  <c:v>525.61</c:v>
                </c:pt>
              </c:numCache>
            </c:numRef>
          </c:val>
        </c:ser>
        <c:ser>
          <c:idx val="1"/>
          <c:order val="1"/>
          <c:tx>
            <c:strRef>
              <c:f>'[图表 在 红原县江茸乡人民政府.docx]Sheet1'!#REF!</c:f>
              <c:strCache>
                <c:ptCount val="1"/>
                <c:pt idx="0">
                  <c:v/>
                </c:pt>
              </c:strCache>
            </c:strRef>
          </c:tx>
          <c:spPr>
            <a:solidFill>
              <a:srgbClr val="ED7D31">
                <a:alpha val="100000"/>
              </a:srgbClr>
            </a:solidFill>
            <a:ln w="3175">
              <a:noFill/>
            </a:ln>
          </c:spPr>
          <c:explosion val="0"/>
          <c:dPt>
            <c:idx val="0"/>
            <c:bubble3D val="0"/>
            <c:spPr>
              <a:solidFill>
                <a:srgbClr val="ED7D31">
                  <a:alpha val="100000"/>
                </a:srgbClr>
              </a:solidFill>
              <a:ln w="3175">
                <a:noFill/>
              </a:ln>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项目支出</c:v>
                </c:pt>
                <c:pt idx="1">
                  <c:v>基本支出</c:v>
                </c:pt>
              </c:strCache>
            </c:strRef>
          </c:cat>
          <c:val>
            <c:numRef>
              <c:f>'[图表 在 红原县江茸乡人民政府.docx]Sheet1'!#REF!</c:f>
              <c:numCache>
                <c:formatCode>General</c:formatCode>
                <c:ptCount val="1"/>
                <c:pt idx="0">
                  <c:v>1</c:v>
                </c:pt>
              </c:numCache>
            </c:numRef>
          </c:val>
        </c:ser>
        <c:ser>
          <c:idx val="2"/>
          <c:order val="2"/>
          <c:tx>
            <c:strRef>
              <c:f>'[图表 在 红原县江茸乡人民政府.docx]Sheet1'!#REF!</c:f>
              <c:strCache>
                <c:ptCount val="1"/>
                <c:pt idx="0">
                  <c:v/>
                </c:pt>
              </c:strCache>
            </c:strRef>
          </c:tx>
          <c:spPr>
            <a:solidFill>
              <a:srgbClr val="A5A5A5">
                <a:alpha val="100000"/>
              </a:srgbClr>
            </a:solidFill>
            <a:ln w="3175">
              <a:noFill/>
            </a:ln>
          </c:spPr>
          <c:explosion val="0"/>
          <c:dPt>
            <c:idx val="0"/>
            <c:bubble3D val="0"/>
            <c:spPr>
              <a:solidFill>
                <a:srgbClr val="A5A5A5">
                  <a:alpha val="100000"/>
                </a:srgbClr>
              </a:solidFill>
              <a:ln w="3175">
                <a:noFill/>
              </a:ln>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项目支出</c:v>
                </c:pt>
                <c:pt idx="1">
                  <c:v>基本支出</c:v>
                </c:pt>
              </c:strCache>
            </c:strRef>
          </c:cat>
          <c:val>
            <c:numRef>
              <c:f>'[图表 在 红原县江茸乡人民政府.docx]Sheet1'!#REF!</c:f>
              <c:numCache>
                <c:formatCode>General</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wrap="square"/>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'[图表 在 红原县江茸乡人民政府.docx]Sheet1'!#REF!</c:f>
              <c:strCache>
                <c:ptCount val="1"/>
                <c:pt idx="0">
                  <c:v/>
                </c:pt>
              </c:strCache>
            </c:strRef>
          </c:tx>
          <c:spPr>
            <a:solidFill>
              <a:srgbClr val="5B9BD5">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收入</c:v>
                </c:pt>
                <c:pt idx="1">
                  <c:v>支出</c:v>
                </c:pt>
              </c:strCache>
            </c:strRef>
          </c:cat>
          <c:val>
            <c:numRef>
              <c:f>[0045e0221]Sheet1!#REF!</c:f>
              <c:numCache>
                <c:formatCode>General</c:formatCode>
                <c:ptCount val="1"/>
              </c:numCache>
            </c:numRef>
          </c:val>
        </c:ser>
        <c:ser>
          <c:idx val="1"/>
          <c:order val="1"/>
          <c:tx>
            <c:strRef>
              <c:f>'[图表 在 红原县江茸乡人民政府.docx]Sheet1'!$B$3</c:f>
              <c:strCache>
                <c:ptCount val="1"/>
                <c:pt idx="0">
                  <c:v>2017年</c:v>
                </c:pt>
              </c:strCache>
            </c:strRef>
          </c:tx>
          <c:spPr>
            <a:solidFill>
              <a:srgbClr val="ED7D31">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收入</c:v>
                </c:pt>
                <c:pt idx="1">
                  <c:v>支出</c:v>
                </c:pt>
              </c:strCache>
            </c:strRef>
          </c:cat>
          <c:val>
            <c:numRef>
              <c:f>'[图表 在 红原县江茸乡人民政府.docx]Sheet1'!$C$3:$D$3</c:f>
              <c:numCache>
                <c:formatCode>General</c:formatCode>
                <c:ptCount val="2"/>
                <c:pt idx="0">
                  <c:v>628.68</c:v>
                </c:pt>
                <c:pt idx="1">
                  <c:v>599.68</c:v>
                </c:pt>
              </c:numCache>
            </c:numRef>
          </c:val>
        </c:ser>
        <c:ser>
          <c:idx val="2"/>
          <c:order val="2"/>
          <c:tx>
            <c:strRef>
              <c:f>'[图表 在 红原县江茸乡人民政府.docx]Sheet1'!$B$4</c:f>
              <c:strCache>
                <c:ptCount val="1"/>
                <c:pt idx="0">
                  <c:v>2018年</c:v>
                </c:pt>
              </c:strCache>
            </c:strRef>
          </c:tx>
          <c:spPr>
            <a:solidFill>
              <a:srgbClr val="A5A5A5">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收入</c:v>
                </c:pt>
                <c:pt idx="1">
                  <c:v>支出</c:v>
                </c:pt>
              </c:strCache>
            </c:strRef>
          </c:cat>
          <c:val>
            <c:numRef>
              <c:f>'[图表 在 红原县江茸乡人民政府.docx]Sheet1'!$C$4:$D$4</c:f>
              <c:numCache>
                <c:formatCode>General</c:formatCode>
                <c:ptCount val="2"/>
                <c:pt idx="0">
                  <c:v>926.3</c:v>
                </c:pt>
                <c:pt idx="1">
                  <c:v>880.85</c:v>
                </c:pt>
              </c:numCache>
            </c:numRef>
          </c:val>
        </c:ser>
        <c:dLbls>
          <c:showLegendKey val="0"/>
          <c:showVal val="1"/>
          <c:showCatName val="0"/>
          <c:showSerName val="0"/>
          <c:showPercent val="0"/>
          <c:showBubbleSize val="0"/>
        </c:dLbls>
        <c:gapWidth val="219"/>
        <c:overlap val="-27"/>
        <c:axId val="325471251"/>
        <c:axId val="881444161"/>
      </c:barChart>
      <c:catAx>
        <c:axId val="325471251"/>
        <c:scaling>
          <c:orientation val="minMax"/>
        </c:scaling>
        <c:delete val="0"/>
        <c:axPos val="b"/>
        <c:majorTickMark val="none"/>
        <c:minorTickMark val="none"/>
        <c:tickLblPos val="nextTo"/>
        <c:spPr>
          <a:noFill/>
          <a:ln w="9525" cap="flat" cmpd="sng" algn="ctr">
            <a:solidFill>
              <a:srgbClr val="D9D9D9">
                <a:lumMod val="15000"/>
                <a:lumOff val="85000"/>
              </a:srgbClr>
            </a:solidFill>
            <a:prstDash val="solid"/>
            <a:round/>
          </a:ln>
          <a:effectLst/>
        </c:spPr>
        <c:txPr>
          <a:bodyPr rot="-6000000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881444161"/>
        <c:crosses val="autoZero"/>
        <c:auto val="1"/>
        <c:lblAlgn val="ctr"/>
        <c:lblOffset val="100"/>
        <c:noMultiLvlLbl val="0"/>
      </c:catAx>
      <c:valAx>
        <c:axId val="881444161"/>
        <c:scaling>
          <c:orientation val="minMax"/>
        </c:scaling>
        <c:delete val="0"/>
        <c:axPos val="l"/>
        <c:majorGridlines>
          <c:spPr>
            <a:ln w="9525" cap="flat" cmpd="sng" algn="ctr">
              <a:solidFill>
                <a:srgbClr val="D9D9D9">
                  <a:lumMod val="15000"/>
                  <a:lumOff val="85000"/>
                </a:srgbClr>
              </a:solidFill>
              <a:prstDash val="solid"/>
              <a:round/>
            </a:ln>
            <a:effectLst/>
          </c:spPr>
        </c:majorGridlines>
        <c:numFmt formatCode="General" sourceLinked="1"/>
        <c:majorTickMark val="none"/>
        <c:minorTickMark val="none"/>
        <c:tickLblPos val="nextTo"/>
        <c:spPr>
          <a:ln w="3175" cap="flat" cmpd="sng" algn="ctr">
            <a:noFill/>
            <a:prstDash val="solid"/>
            <a:round/>
          </a:ln>
        </c:spPr>
        <c:txPr>
          <a:bodyPr rot="-6000000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325471251"/>
        <c:crosses val="autoZero"/>
        <c:crossBetween val="between"/>
      </c:valAx>
      <c:spPr>
        <a:noFill/>
        <a:ln w="3175">
          <a:noFill/>
        </a:ln>
      </c:spPr>
    </c:plotArea>
    <c:legend>
      <c:legendPos val="b"/>
      <c:legendEntry>
        <c:idx val="0"/>
        <c:delete val="1"/>
      </c:legendEntry>
      <c:layout/>
      <c:overlay val="0"/>
      <c:spPr>
        <a:noFill/>
        <a:ln w="3175">
          <a:noFill/>
        </a:ln>
      </c:spPr>
      <c:txPr>
        <a:bodyPr rot="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legend>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wrap="square"/>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zh-CN" sz="1400" b="0" i="0" u="none" strike="noStrike" kern="1200" spc="0" baseline="0">
                <a:solidFill>
                  <a:srgbClr val="595959">
                    <a:lumMod val="65000"/>
                    <a:lumOff val="35000"/>
                  </a:srgbClr>
                </a:solidFill>
                <a:latin typeface="+mn-lt"/>
                <a:ea typeface="+mn-ea"/>
                <a:cs typeface="+mn-cs"/>
              </a:defRPr>
            </a:pPr>
            <a:r>
              <a:t>一般公共预算财政拨款支出变动图</a:t>
            </a:r>
          </a:p>
        </c:rich>
      </c:tx>
      <c:layout/>
      <c:overlay val="0"/>
    </c:title>
    <c:autoTitleDeleted val="0"/>
    <c:plotArea>
      <c:layout/>
      <c:barChart>
        <c:barDir val="col"/>
        <c:grouping val="clustered"/>
        <c:varyColors val="0"/>
        <c:ser>
          <c:idx val="0"/>
          <c:order val="0"/>
          <c:tx>
            <c:strRef>
              <c:f>'[图表 在 红原县江茸乡人民政府.docx]Sheet1'!$B$3</c:f>
              <c:strCache>
                <c:ptCount val="1"/>
                <c:pt idx="0">
                  <c:v>支出</c:v>
                </c:pt>
              </c:strCache>
            </c:strRef>
          </c:tx>
          <c:spPr>
            <a:solidFill>
              <a:srgbClr val="5B9BD5">
                <a:alpha val="100000"/>
              </a:srgbClr>
            </a:solidFill>
            <a:ln w="3175">
              <a:noFill/>
            </a:ln>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'[图表 在 红原县江茸乡人民政府.docx]Sheet1'!$C$2:$D$2</c:f>
              <c:strCache>
                <c:ptCount val="2"/>
                <c:pt idx="0">
                  <c:v>2017年</c:v>
                </c:pt>
                <c:pt idx="1">
                  <c:v>2018年</c:v>
                </c:pt>
              </c:strCache>
            </c:strRef>
          </c:cat>
          <c:val>
            <c:numRef>
              <c:f>'[图表 在 红原县江茸乡人民政府.docx]Sheet1'!$C$3:$D$3</c:f>
              <c:numCache>
                <c:formatCode>General</c:formatCode>
                <c:ptCount val="2"/>
                <c:pt idx="0">
                  <c:v>599.68</c:v>
                </c:pt>
                <c:pt idx="1">
                  <c:v>880.81</c:v>
                </c:pt>
              </c:numCache>
            </c:numRef>
          </c:val>
        </c:ser>
        <c:dLbls>
          <c:showLegendKey val="0"/>
          <c:showVal val="1"/>
          <c:showCatName val="0"/>
          <c:showSerName val="0"/>
          <c:showPercent val="0"/>
          <c:showBubbleSize val="0"/>
        </c:dLbls>
        <c:gapWidth val="150"/>
        <c:overlap val="0"/>
        <c:axId val="200358079"/>
        <c:axId val="733392603"/>
      </c:barChart>
      <c:catAx>
        <c:axId val="200358079"/>
        <c:scaling>
          <c:orientation val="minMax"/>
        </c:scaling>
        <c:delete val="0"/>
        <c:axPos val="b"/>
        <c:majorTickMark val="none"/>
        <c:minorTickMark val="none"/>
        <c:tickLblPos val="nextTo"/>
        <c:spPr>
          <a:noFill/>
          <a:ln w="9525" cap="flat" cmpd="sng" algn="ctr">
            <a:solidFill>
              <a:srgbClr val="D9D9D9">
                <a:lumMod val="15000"/>
                <a:lumOff val="85000"/>
              </a:srgbClr>
            </a:solidFill>
            <a:prstDash val="solid"/>
            <a:round/>
          </a:ln>
          <a:effectLst/>
        </c:spPr>
        <c:txPr>
          <a:bodyPr rot="-6000000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733392603"/>
        <c:crosses val="autoZero"/>
        <c:auto val="1"/>
        <c:lblAlgn val="ctr"/>
        <c:lblOffset val="100"/>
        <c:noMultiLvlLbl val="0"/>
      </c:catAx>
      <c:valAx>
        <c:axId val="733392603"/>
        <c:scaling>
          <c:orientation val="minMax"/>
        </c:scaling>
        <c:delete val="0"/>
        <c:axPos val="l"/>
        <c:majorGridlines>
          <c:spPr>
            <a:ln w="9525" cap="flat" cmpd="sng" algn="ctr">
              <a:solidFill>
                <a:srgbClr val="D9D9D9">
                  <a:lumMod val="15000"/>
                  <a:lumOff val="85000"/>
                </a:srgbClr>
              </a:solidFill>
              <a:prstDash val="solid"/>
              <a:round/>
            </a:ln>
            <a:effectLst/>
          </c:spPr>
        </c:majorGridlines>
        <c:numFmt formatCode="General" sourceLinked="1"/>
        <c:majorTickMark val="none"/>
        <c:minorTickMark val="none"/>
        <c:tickLblPos val="nextTo"/>
        <c:spPr>
          <a:ln w="3175" cap="flat" cmpd="sng" algn="ctr">
            <a:noFill/>
            <a:prstDash val="solid"/>
            <a:round/>
          </a:ln>
        </c:spPr>
        <c:txPr>
          <a:bodyPr rot="-6000000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200358079"/>
        <c:crosses val="autoZero"/>
        <c:crossBetween val="between"/>
      </c:valAx>
      <c:spPr>
        <a:noFill/>
        <a:ln>
          <a:noFill/>
        </a:ln>
        <a:effectLst/>
      </c:spPr>
    </c:plotArea>
    <c:legend>
      <c:legendPos val="r"/>
      <c:layout/>
      <c:overlay val="0"/>
      <c:spPr>
        <a:noFill/>
        <a:ln w="3175">
          <a:noFill/>
        </a:ln>
      </c:spPr>
      <c:txPr>
        <a:bodyPr rot="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legend>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wrap="square"/>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Pr>
        <a:bodyPr rot="0" spcFirstLastPara="1" vertOverflow="ellipsis" vert="horz" wrap="square" anchor="ctr" anchorCtr="1"/>
        <a:lstStyle/>
        <a:p>
          <a:pPr>
            <a:defRPr lang="zh-CN" sz="1400" b="0" i="0" u="none" strike="noStrike" kern="1200" spc="0" baseline="0">
              <a:solidFill>
                <a:srgbClr val="595959">
                  <a:lumMod val="65000"/>
                  <a:lumOff val="35000"/>
                </a:srgbClr>
              </a:solidFill>
              <a:latin typeface="+mn-lt"/>
              <a:ea typeface="+mn-ea"/>
              <a:cs typeface="+mn-cs"/>
            </a:defRPr>
          </a:pPr>
        </a:p>
      </c:txPr>
    </c:title>
    <c:autoTitleDeleted val="0"/>
    <c:plotArea>
      <c:layout/>
      <c:pieChart>
        <c:varyColors val="1"/>
        <c:ser>
          <c:idx val="0"/>
          <c:order val="0"/>
          <c:tx>
            <c:strRef>
              <c:f>'[图表 在 红原县江茸乡人民政府.docx]Sheet1'!$B$3</c:f>
              <c:strCache>
                <c:ptCount val="1"/>
                <c:pt idx="0">
                  <c:v>一般公共预算财政拨款支出决算结构图</c:v>
                </c:pt>
              </c:strCache>
            </c:strRef>
          </c:tx>
          <c:spPr>
            <a:solidFill>
              <a:srgbClr val="5B9BD5">
                <a:alpha val="100000"/>
              </a:srgbClr>
            </a:solidFill>
            <a:ln w="3175">
              <a:noFill/>
            </a:ln>
          </c:spPr>
          <c:explosion val="0"/>
          <c:dPt>
            <c:idx val="0"/>
            <c:bubble3D val="0"/>
            <c:spPr>
              <a:solidFill>
                <a:srgbClr val="4F81BD">
                  <a:alpha val="100000"/>
                </a:srgbClr>
              </a:solidFill>
              <a:ln w="3175">
                <a:noFill/>
              </a:ln>
            </c:spPr>
          </c:dPt>
          <c:dPt>
            <c:idx val="1"/>
            <c:bubble3D val="0"/>
            <c:spPr>
              <a:solidFill>
                <a:srgbClr val="C0504D">
                  <a:alpha val="100000"/>
                </a:srgbClr>
              </a:solidFill>
              <a:ln w="3175">
                <a:noFill/>
              </a:ln>
            </c:spPr>
          </c:dPt>
          <c:dPt>
            <c:idx val="2"/>
            <c:bubble3D val="0"/>
            <c:spPr>
              <a:solidFill>
                <a:srgbClr val="9BBB59">
                  <a:alpha val="100000"/>
                </a:srgbClr>
              </a:solidFill>
              <a:ln w="3175">
                <a:noFill/>
              </a:ln>
            </c:spPr>
          </c:dPt>
          <c:dPt>
            <c:idx val="3"/>
            <c:bubble3D val="0"/>
            <c:spPr>
              <a:solidFill>
                <a:srgbClr val="953735">
                  <a:lumMod val="75000"/>
                  <a:alpha val="100000"/>
                </a:srgbClr>
              </a:solidFill>
              <a:ln w="3175">
                <a:noFill/>
              </a:ln>
            </c:spPr>
          </c:dPt>
          <c:dPt>
            <c:idx val="4"/>
            <c:bubble3D val="0"/>
            <c:spPr>
              <a:solidFill>
                <a:srgbClr val="262626">
                  <a:lumMod val="85000"/>
                  <a:lumOff val="15000"/>
                  <a:alpha val="100000"/>
                </a:srgbClr>
              </a:solidFill>
              <a:ln w="3175">
                <a:noFill/>
              </a:ln>
            </c:spPr>
          </c:dPt>
          <c:dPt>
            <c:idx val="5"/>
            <c:bubble3D val="0"/>
            <c:spPr>
              <a:gradFill>
                <a:gsLst>
                  <a:gs pos="0">
                    <a:srgbClr val="FE4444"/>
                  </a:gs>
                  <a:gs pos="100000">
                    <a:srgbClr val="832B2B"/>
                  </a:gs>
                </a:gsLst>
                <a:lin ang="5400000" scaled="0"/>
              </a:gradFill>
              <a:ln w="3175">
                <a:noFill/>
              </a:ln>
            </c:spPr>
          </c:dPt>
          <c:dPt>
            <c:idx val="6"/>
            <c:bubble3D val="0"/>
            <c:spPr>
              <a:solidFill>
                <a:srgbClr val="E46C0A">
                  <a:lumMod val="75000"/>
                  <a:alpha val="100000"/>
                </a:srgbClr>
              </a:solidFill>
              <a:ln w="3175">
                <a:noFill/>
              </a:ln>
            </c:spPr>
          </c:dPt>
          <c:dPt>
            <c:idx val="7"/>
            <c:bubble3D val="0"/>
            <c:spPr>
              <a:gradFill>
                <a:gsLst>
                  <a:gs pos="0">
                    <a:srgbClr val="012D86"/>
                  </a:gs>
                  <a:gs pos="100000">
                    <a:srgbClr val="0E2557"/>
                  </a:gs>
                </a:gsLst>
                <a:lin ang="5400000" scaled="0"/>
              </a:gradFill>
              <a:ln w="3175">
                <a:noFill/>
              </a:ln>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红原县江茸乡人民政府.docx]Sheet1'!$C$2:$J$2</c:f>
              <c:strCache>
                <c:ptCount val="8"/>
                <c:pt idx="0">
                  <c:v>一般公共服务支出</c:v>
                </c:pt>
                <c:pt idx="1">
                  <c:v>文化体育与传媒支出</c:v>
                </c:pt>
                <c:pt idx="2">
                  <c:v>社会保障和就业支出</c:v>
                </c:pt>
                <c:pt idx="3">
                  <c:v>医疗卫生支出</c:v>
                </c:pt>
                <c:pt idx="4">
                  <c:v>住房保障支出</c:v>
                </c:pt>
                <c:pt idx="5">
                  <c:v>城乡社区支出</c:v>
                </c:pt>
                <c:pt idx="6">
                  <c:v>农林水支出</c:v>
                </c:pt>
                <c:pt idx="7">
                  <c:v>其他支出</c:v>
                </c:pt>
              </c:strCache>
            </c:strRef>
          </c:cat>
          <c:val>
            <c:numRef>
              <c:f>'[图表 在 红原县江茸乡人民政府.docx]Sheet1'!$C$3:$J$3</c:f>
              <c:numCache>
                <c:formatCode>0.00%</c:formatCode>
                <c:ptCount val="8"/>
                <c:pt idx="0">
                  <c:v>0.471</c:v>
                </c:pt>
                <c:pt idx="1">
                  <c:v>0.004</c:v>
                </c:pt>
                <c:pt idx="2">
                  <c:v>0.105</c:v>
                </c:pt>
                <c:pt idx="3">
                  <c:v>0.022</c:v>
                </c:pt>
                <c:pt idx="4" c:formatCode="0%">
                  <c:v>0.04</c:v>
                </c:pt>
                <c:pt idx="5" c:formatCode="0%">
                  <c:v>0.16</c:v>
                </c:pt>
                <c:pt idx="6">
                  <c:v>0.176</c:v>
                </c:pt>
                <c:pt idx="7">
                  <c:v>0.022</c:v>
                </c:pt>
              </c:numCache>
            </c:numRef>
          </c:val>
        </c:ser>
        <c:ser>
          <c:idx val="1"/>
          <c:order val="1"/>
          <c:tx>
            <c:strRef>
              <c:f>'[图表 在 红原县江茸乡人民政府.docx]Sheet1'!#REF!</c:f>
              <c:strCache>
                <c:ptCount val="1"/>
                <c:pt idx="0">
                  <c:v/>
                </c:pt>
              </c:strCache>
            </c:strRef>
          </c:tx>
          <c:spPr>
            <a:solidFill>
              <a:srgbClr val="ED7D31">
                <a:alpha val="100000"/>
              </a:srgbClr>
            </a:solidFill>
            <a:ln w="3175">
              <a:noFill/>
            </a:ln>
          </c:spPr>
          <c:explosion val="0"/>
          <c:dPt>
            <c:idx val="0"/>
            <c:bubble3D val="0"/>
            <c:spPr>
              <a:solidFill>
                <a:srgbClr val="ED7D31">
                  <a:alpha val="100000"/>
                </a:srgbClr>
              </a:solidFill>
              <a:ln w="3175">
                <a:noFill/>
              </a:ln>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红原县江茸乡人民政府.docx]Sheet1'!$C$2:$J$2</c:f>
              <c:strCache>
                <c:ptCount val="8"/>
                <c:pt idx="0">
                  <c:v>一般公共服务支出</c:v>
                </c:pt>
                <c:pt idx="1">
                  <c:v>文化体育与传媒支出</c:v>
                </c:pt>
                <c:pt idx="2">
                  <c:v>社会保障和就业支出</c:v>
                </c:pt>
                <c:pt idx="3">
                  <c:v>医疗卫生支出</c:v>
                </c:pt>
                <c:pt idx="4">
                  <c:v>住房保障支出</c:v>
                </c:pt>
                <c:pt idx="5">
                  <c:v>城乡社区支出</c:v>
                </c:pt>
                <c:pt idx="6">
                  <c:v>农林水支出</c:v>
                </c:pt>
                <c:pt idx="7">
                  <c:v>其他支出</c:v>
                </c:pt>
              </c:strCache>
            </c:strRef>
          </c:cat>
          <c:val>
            <c:numRef>
              <c:f>'[图表 在 红原县江茸乡人民政府.docx]Sheet1'!#REF!</c:f>
              <c:numCache>
                <c:formatCode>General</c:formatCode>
                <c:ptCount val="1"/>
                <c:pt idx="0">
                  <c:v>1</c:v>
                </c:pt>
              </c:numCache>
            </c:numRef>
          </c:val>
        </c:ser>
        <c:ser>
          <c:idx val="2"/>
          <c:order val="2"/>
          <c:tx>
            <c:strRef>
              <c:f>'[图表 在 红原县江茸乡人民政府.docx]Sheet1'!#REF!</c:f>
              <c:strCache>
                <c:ptCount val="1"/>
                <c:pt idx="0">
                  <c:v/>
                </c:pt>
              </c:strCache>
            </c:strRef>
          </c:tx>
          <c:spPr>
            <a:solidFill>
              <a:srgbClr val="A5A5A5">
                <a:alpha val="100000"/>
              </a:srgbClr>
            </a:solidFill>
            <a:ln w="3175">
              <a:noFill/>
            </a:ln>
          </c:spPr>
          <c:explosion val="0"/>
          <c:dPt>
            <c:idx val="0"/>
            <c:bubble3D val="0"/>
            <c:spPr>
              <a:solidFill>
                <a:srgbClr val="A5A5A5">
                  <a:alpha val="100000"/>
                </a:srgbClr>
              </a:solidFill>
              <a:ln w="3175">
                <a:noFill/>
              </a:ln>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红原县江茸乡人民政府.docx]Sheet1'!$C$2:$J$2</c:f>
              <c:strCache>
                <c:ptCount val="8"/>
                <c:pt idx="0">
                  <c:v>一般公共服务支出</c:v>
                </c:pt>
                <c:pt idx="1">
                  <c:v>文化体育与传媒支出</c:v>
                </c:pt>
                <c:pt idx="2">
                  <c:v>社会保障和就业支出</c:v>
                </c:pt>
                <c:pt idx="3">
                  <c:v>医疗卫生支出</c:v>
                </c:pt>
                <c:pt idx="4">
                  <c:v>住房保障支出</c:v>
                </c:pt>
                <c:pt idx="5">
                  <c:v>城乡社区支出</c:v>
                </c:pt>
                <c:pt idx="6">
                  <c:v>农林水支出</c:v>
                </c:pt>
                <c:pt idx="7">
                  <c:v>其他支出</c:v>
                </c:pt>
              </c:strCache>
            </c:strRef>
          </c:cat>
          <c:val>
            <c:numRef>
              <c:f>'[图表 在 红原县江茸乡人民政府.docx]Sheet1'!#REF!</c:f>
              <c:numCache>
                <c:formatCode>General</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w="3175">
          <a:noFill/>
        </a:ln>
      </c:spPr>
      <c:txPr>
        <a:bodyPr rot="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legend>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wrap="square"/>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Pr>
        <a:bodyPr rot="0" spcFirstLastPara="1" vertOverflow="ellipsis" vert="horz" wrap="square" anchor="ctr" anchorCtr="1"/>
        <a:lstStyle/>
        <a:p>
          <a:pPr>
            <a:defRPr lang="zh-CN" sz="1400" b="0" i="0" u="none" strike="noStrike" kern="1200" spc="0" baseline="0">
              <a:solidFill>
                <a:srgbClr val="595959">
                  <a:lumMod val="65000"/>
                  <a:lumOff val="35000"/>
                </a:srgbClr>
              </a:solidFill>
              <a:latin typeface="+mn-lt"/>
              <a:ea typeface="+mn-ea"/>
              <a:cs typeface="+mn-cs"/>
            </a:defRPr>
          </a:pPr>
        </a:p>
      </c:txPr>
    </c:title>
    <c:autoTitleDeleted val="0"/>
    <c:plotArea>
      <c:layout/>
      <c:pieChart>
        <c:varyColors val="1"/>
        <c:ser>
          <c:idx val="0"/>
          <c:order val="0"/>
          <c:tx>
            <c:strRef>
              <c:f>'[图表 在 红原县江茸乡人民政府.docx]Sheet1'!$B$3</c:f>
              <c:strCache>
                <c:ptCount val="1"/>
                <c:pt idx="0">
                  <c:v>“三公”经费财政拨款支出结构图</c:v>
                </c:pt>
              </c:strCache>
            </c:strRef>
          </c:tx>
          <c:spPr>
            <a:solidFill>
              <a:srgbClr val="5B9BD5">
                <a:alpha val="100000"/>
              </a:srgbClr>
            </a:solidFill>
            <a:ln w="3175">
              <a:noFill/>
            </a:ln>
          </c:spPr>
          <c:explosion val="0"/>
          <c:dPt>
            <c:idx val="0"/>
            <c:bubble3D val="0"/>
            <c:spPr>
              <a:solidFill>
                <a:srgbClr val="C0504D">
                  <a:alpha val="100000"/>
                </a:srgbClr>
              </a:solidFill>
              <a:ln w="3175">
                <a:noFill/>
              </a:ln>
            </c:spPr>
          </c:dPt>
          <c:dPt>
            <c:idx val="1"/>
            <c:bubble3D val="0"/>
            <c:spPr>
              <a:solidFill>
                <a:srgbClr val="4F81BD">
                  <a:alpha val="100000"/>
                </a:srgbClr>
              </a:solidFill>
              <a:ln w="3175">
                <a:noFill/>
              </a:ln>
            </c:spPr>
          </c:dPt>
          <c:dPt>
            <c:idx val="2"/>
            <c:bubble3D val="0"/>
            <c:spPr>
              <a:solidFill>
                <a:srgbClr val="F79646">
                  <a:alpha val="100000"/>
                </a:srgbClr>
              </a:solidFill>
              <a:ln w="3175">
                <a:noFill/>
              </a:ln>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红原县江茸乡人民政府.docx]Sheet1'!$C$2:$E$2</c:f>
              <c:strCache>
                <c:ptCount val="3"/>
                <c:pt idx="0">
                  <c:v>因公出国（境）费支出</c:v>
                </c:pt>
                <c:pt idx="1">
                  <c:v>公务用车购置及运行维护费支出</c:v>
                </c:pt>
                <c:pt idx="2">
                  <c:v>公务接待费支出</c:v>
                </c:pt>
              </c:strCache>
            </c:strRef>
          </c:cat>
          <c:val>
            <c:numRef>
              <c:f>'[图表 在 红原县江茸乡人民政府.docx]Sheet1'!$C$3:$E$3</c:f>
              <c:numCache>
                <c:formatCode>0%</c:formatCode>
                <c:ptCount val="3"/>
                <c:pt idx="0">
                  <c:v>0</c:v>
                </c:pt>
                <c:pt idx="1">
                  <c:v>1</c:v>
                </c:pt>
                <c:pt idx="2">
                  <c:v>0</c:v>
                </c:pt>
              </c:numCache>
            </c:numRef>
          </c:val>
        </c:ser>
        <c:ser>
          <c:idx val="1"/>
          <c:order val="1"/>
          <c:tx>
            <c:strRef>
              <c:f>'[图表 在 红原县江茸乡人民政府.docx]Sheet1'!#REF!</c:f>
              <c:strCache>
                <c:ptCount val="1"/>
                <c:pt idx="0">
                  <c:v/>
                </c:pt>
              </c:strCache>
            </c:strRef>
          </c:tx>
          <c:spPr>
            <a:solidFill>
              <a:srgbClr val="ED7D31">
                <a:alpha val="100000"/>
              </a:srgbClr>
            </a:solidFill>
            <a:ln w="3175">
              <a:noFill/>
            </a:ln>
          </c:spPr>
          <c:explosion val="0"/>
          <c:dPt>
            <c:idx val="0"/>
            <c:bubble3D val="0"/>
            <c:spPr>
              <a:solidFill>
                <a:srgbClr val="ED7D31">
                  <a:alpha val="100000"/>
                </a:srgbClr>
              </a:solidFill>
              <a:ln w="3175">
                <a:noFill/>
              </a:ln>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红原县江茸乡人民政府.docx]Sheet1'!$C$2:$E$2</c:f>
              <c:strCache>
                <c:ptCount val="3"/>
                <c:pt idx="0">
                  <c:v>因公出国（境）费支出</c:v>
                </c:pt>
                <c:pt idx="1">
                  <c:v>公务用车购置及运行维护费支出</c:v>
                </c:pt>
                <c:pt idx="2">
                  <c:v>公务接待费支出</c:v>
                </c:pt>
              </c:strCache>
            </c:strRef>
          </c:cat>
          <c:val>
            <c:numRef>
              <c:f>'[图表 在 红原县江茸乡人民政府.docx]Sheet1'!#REF!</c:f>
              <c:numCache>
                <c:formatCode>General</c:formatCode>
                <c:ptCount val="1"/>
                <c:pt idx="0">
                  <c:v>1</c:v>
                </c:pt>
              </c:numCache>
            </c:numRef>
          </c:val>
        </c:ser>
        <c:ser>
          <c:idx val="2"/>
          <c:order val="2"/>
          <c:tx>
            <c:strRef>
              <c:f>'[图表 在 红原县江茸乡人民政府.docx]Sheet1'!#REF!</c:f>
              <c:strCache>
                <c:ptCount val="1"/>
                <c:pt idx="0">
                  <c:v/>
                </c:pt>
              </c:strCache>
            </c:strRef>
          </c:tx>
          <c:spPr>
            <a:solidFill>
              <a:srgbClr val="A5A5A5">
                <a:alpha val="100000"/>
              </a:srgbClr>
            </a:solidFill>
            <a:ln w="3175">
              <a:noFill/>
            </a:ln>
          </c:spPr>
          <c:explosion val="0"/>
          <c:dPt>
            <c:idx val="0"/>
            <c:bubble3D val="0"/>
            <c:spPr>
              <a:solidFill>
                <a:srgbClr val="A5A5A5">
                  <a:alpha val="100000"/>
                </a:srgbClr>
              </a:solidFill>
              <a:ln w="3175">
                <a:noFill/>
              </a:ln>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'[图表 在 红原县江茸乡人民政府.docx]Sheet1'!$C$2:$E$2</c:f>
              <c:strCache>
                <c:ptCount val="3"/>
                <c:pt idx="0">
                  <c:v>因公出国（境）费支出</c:v>
                </c:pt>
                <c:pt idx="1">
                  <c:v>公务用车购置及运行维护费支出</c:v>
                </c:pt>
                <c:pt idx="2">
                  <c:v>公务接待费支出</c:v>
                </c:pt>
              </c:strCache>
            </c:strRef>
          </c:cat>
          <c:val>
            <c:numRef>
              <c:f>'[图表 在 红原县江茸乡人民政府.docx]Sheet1'!#REF!</c:f>
              <c:numCache>
                <c:formatCode>General</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w="3175">
          <a:noFill/>
        </a:ln>
      </c:spPr>
      <c:txPr>
        <a:bodyPr rot="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legend>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wrap="square"/>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14</Pages>
  <Words>990</Words>
  <Characters>5644</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2019-08-26T12:52:00Z</dcterms:created>
  <dc:creator>hj</dc:creator>
  <cp:lastModifiedBy>LENOVO</cp:lastModifiedBy>
  <dcterms:modified xsi:type="dcterms:W3CDTF">2019-09-17T11:30:15Z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