
<file path=[Content_Types].xml><?xml version="1.0" encoding="utf-8"?>
<Types xmlns="http://schemas.openxmlformats.org/package/2006/content-types">
  <Default Extension="xlsx" ContentType="application/vnd.openxmlformats-officedocument.spreadsheetml.sheet"/>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Style w:val="10"/>
          <w:rFonts w:ascii="Arial" w:hAnsi="Arial" w:eastAsia="Arial" w:cs="Arial"/>
          <w:i w:val="0"/>
          <w:caps w:val="0"/>
          <w:smallCaps w:val="0"/>
          <w:color w:val="000000"/>
          <w:spacing w:val="0"/>
          <w:sz w:val="24"/>
          <w:szCs w:val="24"/>
          <w:shd w:val="clear" w:color="auto" w:fill="FFFFFF"/>
        </w:rPr>
      </w:pPr>
      <w:bookmarkStart w:id="0" w:name="_GoBack"/>
      <w:bookmarkEnd w:id="0"/>
      <w:r>
        <w:rPr>
          <w:rStyle w:val="10"/>
          <w:rFonts w:ascii="Arial" w:hAnsi="Arial" w:eastAsia="Arial" w:cs="Arial"/>
          <w:i w:val="0"/>
          <w:caps w:val="0"/>
          <w:smallCaps w:val="0"/>
          <w:color w:val="000000"/>
          <w:spacing w:val="0"/>
          <w:sz w:val="24"/>
          <w:szCs w:val="24"/>
          <w:shd w:val="clear" w:color="auto" w:fill="FFFFFF"/>
        </w:rPr>
        <w:t>阿坝州红原县</w:t>
      </w:r>
      <w:r>
        <w:rPr>
          <w:rStyle w:val="10"/>
          <w:rFonts w:ascii="Arial" w:hAnsi="Arial" w:eastAsia="宋体" w:cs="Arial"/>
          <w:i w:val="0"/>
          <w:caps w:val="0"/>
          <w:smallCaps w:val="0"/>
          <w:color w:val="000000"/>
          <w:spacing w:val="0"/>
          <w:sz w:val="24"/>
          <w:szCs w:val="24"/>
          <w:shd w:val="clear" w:color="auto" w:fill="FFFFFF"/>
        </w:rPr>
        <w:t>色地镇</w:t>
      </w:r>
      <w:r>
        <w:rPr>
          <w:rStyle w:val="10"/>
          <w:rFonts w:ascii="Arial" w:hAnsi="Arial" w:eastAsia="Arial" w:cs="Arial"/>
          <w:i w:val="0"/>
          <w:caps w:val="0"/>
          <w:smallCaps w:val="0"/>
          <w:color w:val="000000"/>
          <w:spacing w:val="0"/>
          <w:sz w:val="24"/>
          <w:szCs w:val="24"/>
          <w:shd w:val="clear" w:color="auto" w:fill="FFFFFF"/>
        </w:rPr>
        <w:t>人民政府</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2021年度部门决算分析报告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一、单位情况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（一）基本情况。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1．主要职能。</w:t>
      </w:r>
    </w:p>
    <w:p>
      <w:pPr>
        <w:pStyle w:val="7"/>
        <w:keepNext w:val="0"/>
        <w:keepLines w:val="0"/>
        <w:widowControl/>
        <w:suppressLineNumbers w:val="0"/>
        <w:ind w:left="480"/>
        <w:rPr>
          <w:rFonts w:hint="eastAsia" w:ascii="宋体" w:cs="仿宋_GB2312"/>
          <w:b/>
          <w:bCs/>
        </w:rPr>
      </w:pPr>
      <w:r>
        <w:rPr>
          <w:rFonts w:hint="eastAsia" w:ascii="宋体" w:cs="仿宋_GB2312"/>
          <w:b/>
          <w:bCs/>
        </w:rPr>
        <w:t xml:space="preserve">（一） 镇党委工作职责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（1） 宣传和贯彻执行党的路线方针政策和党中央、 上级党组织及本镇党员代表大会（党员大会） 的决议；（2） 讨论和决定本镇经济建设、 政治建设、 文化建设、 社会建设、 生态文明建设和党的建设以及乡 村振兴中重大问题。需由镇政权机关或者集体经济组织决定的重要事项， 经镇党委研究讨论后， 由镇政权机关或者集体经济组织依照法律和有关规定作出决定；（3） 领导镇政权机关、 群团组织和其他各类组织， 加强指导和规范， 支持和保证这些机关和组织依照国家法律法规以及各自章程履行职责；（4） 加强镇党委自身建设和村党组织建设， 以及其他隶属镇党委的党组织建设， 抓好发展党员工作， 加强党员队伍建设。维护和执行党的纪律， 监督党员干部和其他任何工作人员严格遵守国家法律法规；（5） 按照干部管理权限， 负责对干部的教育、 培训、 选拔、考核和监督工作。 协助管理上级有关部门驻镇单位的干部。 做好人才服务和引进工作；（6） 领导本镇的基层治理， 加强社会主义民主法治建设和精神文明建设， 加强社会治安综合治理， 做好生态环保、 美丽乡村建设、 民生保障、 脱贫致富、 民族宗教等工作（7） 完成上级党委、 政府交办的其他工作任务。 </w:t>
      </w:r>
      <w:r>
        <w:rPr>
          <w:rFonts w:hint="eastAsia" w:ascii="宋体" w:cs="仿宋_GB2312"/>
        </w:rPr>
        <w:br w:type="textWrapping"/>
      </w:r>
      <w:r>
        <w:rPr>
          <w:rFonts w:hint="eastAsia" w:ascii="宋体" w:cs="仿宋_GB2312"/>
          <w:lang w:val="en-US" w:eastAsia="zh-CN"/>
        </w:rPr>
        <w:t xml:space="preserve">   </w:t>
      </w:r>
      <w:r>
        <w:rPr>
          <w:rFonts w:hint="eastAsia" w:ascii="宋体" w:cs="仿宋_GB2312"/>
          <w:b/>
          <w:bCs/>
        </w:rPr>
        <w:t xml:space="preserve">（二） 镇人民代表大会工作职责 </w:t>
      </w:r>
      <w:r>
        <w:rPr>
          <w:rFonts w:hint="eastAsia" w:ascii="宋体" w:cs="仿宋_GB2312"/>
          <w:b/>
          <w:bCs/>
        </w:rPr>
        <w:br w:type="textWrapping"/>
      </w:r>
      <w:r>
        <w:rPr>
          <w:rFonts w:hint="eastAsia" w:ascii="宋体" w:cs="仿宋_GB2312"/>
          <w:b/>
          <w:bCs/>
          <w:lang w:val="en-US" w:eastAsia="zh-CN"/>
        </w:rPr>
        <w:t xml:space="preserve"> </w:t>
      </w:r>
      <w:r>
        <w:rPr>
          <w:rFonts w:hint="eastAsia" w:ascii="宋体" w:cs="仿宋_GB2312"/>
        </w:rPr>
        <w:t>（1）检查和督促宪法、 法律、 法规和上级人民代表大会及其常务委员会决议在本镇内的执行；（2）决定召集和主持本届人民代表大会会议， 对本届人民代表大会负责并报告工作，决定召集下届人民代表大会第一次会议；（3）听取镇人民政府工作情况的报告，检查和督促镇人民政府对镇人民代表大会决议、决定的贯彻执行（4）讨论本镇内的重大事项， 向镇人民政府提出建议或者提请镇人民代表大会会议审议决定；（5）根据镇人民政府的建议，决定镇人民代表大会通过的建设计划、财政预算的部分变更；（6）督促镇人民政府研究办理镇人民代表大会代表的视察和调查，指导代表小组开展活动密切联系代表，听取和反映他们的意见和要求；（7）受理人民群众对本级国家机关和工作人员的申诉和</w:t>
      </w:r>
      <w:r>
        <w:rPr>
          <w:rFonts w:hint="eastAsia" w:ascii="宋体" w:cs="仿宋_GB2312"/>
          <w:lang w:val="en-US" w:eastAsia="zh-CN"/>
        </w:rPr>
        <w:t>意见</w:t>
      </w:r>
      <w:r>
        <w:rPr>
          <w:rFonts w:hint="eastAsia" w:ascii="宋体" w:cs="仿宋_GB2312"/>
        </w:rPr>
        <w:t>（8）决定接受镇长、副镇长的辞职，并报下一次人民代表大会会议备案。 镇长因故不能担任职务的时候，从副镇长中决定代理人选；（9）指导选区依法罢免和补选人民</w:t>
      </w:r>
      <w:r>
        <w:rPr>
          <w:rFonts w:hint="eastAsia" w:ascii="宋体" w:cs="仿宋_GB2312"/>
          <w:lang w:eastAsia="zh-CN"/>
        </w:rPr>
        <w:t>代</w:t>
      </w:r>
      <w:r>
        <w:rPr>
          <w:rFonts w:hint="eastAsia" w:ascii="宋体" w:cs="仿宋_GB2312"/>
        </w:rPr>
        <w:t xml:space="preserve">表大会代表；（10）办理镇人民代表大会和上级人民代表大会常务委员会交办的其他事项。 </w:t>
      </w:r>
    </w:p>
    <w:p>
      <w:pPr>
        <w:pStyle w:val="7"/>
        <w:keepNext w:val="0"/>
        <w:keepLines w:val="0"/>
        <w:pageBreakBefore w:val="0"/>
        <w:widowControl/>
        <w:numPr>
          <w:ilvl w:val="0"/>
          <w:numId w:val="1"/>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b/>
          <w:bCs/>
        </w:rPr>
      </w:pPr>
      <w:r>
        <w:rPr>
          <w:rFonts w:hint="eastAsia" w:ascii="宋体" w:cs="仿宋_GB2312"/>
          <w:b/>
          <w:bCs/>
        </w:rPr>
        <w:t xml:space="preserve">镇人民政府工作职责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0" w:firstLineChars="200"/>
        <w:textAlignment w:val="auto"/>
        <w:rPr>
          <w:rFonts w:hint="eastAsia" w:ascii="宋体" w:cs="仿宋_GB2312"/>
        </w:rPr>
      </w:pPr>
      <w:r>
        <w:rPr>
          <w:rFonts w:hint="eastAsia" w:ascii="宋体" w:cs="仿宋_GB2312"/>
        </w:rPr>
        <w:t xml:space="preserve">（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2）执行本级人民代表大会的决议和上级国家行政机关的决定和命令，发布决定和命令；（3）执行本行政区域内的经济和社会发展计划、预算，管理本行政区域内的经济、教育、科学、化、 卫生、体育事业和财政、民政、公安、司法行政、计划生育等行政工作；（4）保护社会主义的全民所有的财产和劳动群众集体所有的财产，保护公民私人所有的合法财产，维护社会秩序，保障公民的人身权利、民主权利和其他权利；（5）保护各种经济组织的合法权益（6）保障少数民族的权利和尊重少数民族的风俗习惯（7）办理上级人民政府交办的其他事项。 </w:t>
      </w:r>
      <w:r>
        <w:rPr>
          <w:rFonts w:hint="eastAsia" w:ascii="宋体" w:cs="仿宋_GB2312"/>
        </w:rPr>
        <w:br w:type="textWrapping"/>
      </w:r>
      <w:r>
        <w:rPr>
          <w:rFonts w:hint="eastAsia" w:ascii="宋体" w:cs="仿宋_GB2312"/>
          <w:lang w:val="en-US" w:eastAsia="zh-CN"/>
        </w:rPr>
        <w:t xml:space="preserve">   </w:t>
      </w:r>
      <w:r>
        <w:rPr>
          <w:rFonts w:hint="eastAsia" w:ascii="宋体" w:cs="楷体_GB2312"/>
          <w:b/>
          <w:bCs/>
        </w:rPr>
        <w:t xml:space="preserve">（四） 镇纪检监察工作职责 </w:t>
      </w:r>
      <w:r>
        <w:rPr>
          <w:rFonts w:hint="eastAsia" w:ascii="宋体" w:cs="楷体_GB2312"/>
          <w:b/>
          <w:bCs/>
        </w:rPr>
        <w:br w:type="textWrapping"/>
      </w:r>
      <w:r>
        <w:rPr>
          <w:rFonts w:hint="eastAsia" w:ascii="宋体" w:cs="楷体_GB2312"/>
          <w:b/>
          <w:bCs/>
          <w:lang w:val="en-US" w:eastAsia="zh-CN"/>
        </w:rPr>
        <w:t xml:space="preserve">   </w:t>
      </w:r>
      <w:r>
        <w:rPr>
          <w:rFonts w:hint="eastAsia" w:ascii="宋体" w:cs="仿宋_GB2312"/>
        </w:rPr>
        <w:t xml:space="preserve">（1）监督检查基层党支部、党员干部贯彻执行国家的法律法规、党的方针政策、镇党委、政府各种规章制度的情况；（2）协助镇党委抓好农村基层党风廉政建设工作， 监督检查落实党风廉政建设责任制的情况；（3）受理基层党支部、党员和领导干部违反党纪政纪的信访和举报（4）调查处理基层党支部和党员、领导干部违反党纪政纪的行为或提出处理建议；（5）受理党员、党员领导干部及行政干部不服党纪政纪处分的申诉；（6）会同有关部门做好党风党纪和廉洁从政的教育、宣传、调研等工作；（7）做好执法监察工作；（8）承办好镇党委、政府和上级纪检监察机关交办的有关工作。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2" w:firstLineChars="200"/>
        <w:textAlignment w:val="auto"/>
        <w:rPr>
          <w:rFonts w:hint="eastAsia" w:ascii="宋体" w:cs="仿宋_GB2312"/>
          <w:b/>
          <w:bCs/>
        </w:rPr>
      </w:pPr>
      <w:r>
        <w:rPr>
          <w:rFonts w:hint="eastAsia" w:ascii="宋体" w:cs="仿宋_GB2312"/>
          <w:b/>
          <w:bCs/>
        </w:rPr>
        <w:t xml:space="preserve">（五） 镇人民武装部工作职责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（1）负责本区域的民兵组织建设、 政治建设、 军事训练和武装装备管理；（2）组织带领民兵完成战备执勤任务， 配合公安部门维护社会治安；（3）发动和组织民兵参加两个文明建设， 开展以劳养武活动，完成急难险重任务；（4）战时组织带领民兵参军参战，支援前线；</w:t>
      </w:r>
      <w:r>
        <w:rPr>
          <w:rFonts w:hint="eastAsia" w:ascii="宋体" w:cs="仿宋_GB2312"/>
        </w:rPr>
        <w:br w:type="textWrapping"/>
      </w:r>
      <w:r>
        <w:rPr>
          <w:rFonts w:hint="eastAsia" w:ascii="宋体" w:cs="仿宋_GB2312"/>
        </w:rPr>
        <w:t xml:space="preserve">（5） 负责本区域的征兵工作和预备役士兵，预备役军官登记统计工作；（6）会同有关部门进行战争潜力调查， 做好相关的动员准备工作；（7）协同预备役部（分） 队落实参训人员，做好兵役管理、动员集结等工作；（8）协助有关部门开展国防教育，做好退伍军人的安置和烈军属的优抚工作；（9）协助军队做好本区域的军事设施保护工作；（10）完成地方党委、政府和上级军事机关交办的其他工作任务。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黑体"/>
          <w:b/>
          <w:bCs/>
        </w:rPr>
      </w:pPr>
      <w:r>
        <w:rPr>
          <w:rFonts w:hint="eastAsia" w:ascii="宋体" w:cs="黑体"/>
          <w:b/>
          <w:bCs/>
        </w:rPr>
        <w:t xml:space="preserve">二、 内设机构及职责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仿宋_GB2312"/>
        </w:rPr>
      </w:pPr>
      <w:r>
        <w:rPr>
          <w:rFonts w:hint="eastAsia" w:ascii="宋体" w:cs="仿宋_GB2312"/>
        </w:rPr>
        <w:t xml:space="preserve">根据上述职责， 色地镇设 6 个内设机构； </w:t>
      </w:r>
    </w:p>
    <w:p>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仿宋_GB2312"/>
        </w:rPr>
      </w:pPr>
      <w:r>
        <w:rPr>
          <w:rFonts w:hint="eastAsia" w:ascii="宋体" w:cs="仿宋_GB2312"/>
          <w:b/>
          <w:bCs/>
        </w:rPr>
        <w:t xml:space="preserve">党政办公室（挂群团工作办公室牌子）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480" w:firstLineChars="200"/>
        <w:textAlignment w:val="auto"/>
        <w:rPr>
          <w:rFonts w:hint="eastAsia" w:ascii="宋体" w:cs="仿宋_GB2312"/>
        </w:rPr>
      </w:pPr>
      <w:r>
        <w:rPr>
          <w:rFonts w:hint="eastAsia" w:ascii="宋体" w:cs="仿宋_GB2312"/>
        </w:rPr>
        <w:t xml:space="preserve">综合协调机关政务工作， 负责党委、 人民代表大会、 政府、纪检监察、群团等日常事务性工作；负责重大问题归口报告，认真做好上传下达工作；根据镇党委、政府意见组织起草党委、政府工作计划、报告、决定总结等文件或材料；负责征集、整理、组织编写本镇党史、 年鉴等资料；负责文件收发、公文处理、组织制订各项规章制度，发布行政事务通知、通告；负责安排各类办公会议和职工大会；政务信息、政务公开、机要档案、 机关人事工作；严格按照国家有关规定管理，做好机要事务处理和保密工作；负责宣传、信息工作；负责机关日常考勤、公车管理、食堂管理等后勤保障工作；完成镇党委、政府交办的其它工作任务。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仿宋_GB2312"/>
        </w:rPr>
      </w:pPr>
      <w:r>
        <w:rPr>
          <w:rFonts w:hint="eastAsia" w:ascii="宋体" w:cs="仿宋_GB2312"/>
          <w:b/>
          <w:bCs/>
        </w:rPr>
        <w:t xml:space="preserve">党建工作办公室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480" w:firstLineChars="200"/>
        <w:textAlignment w:val="auto"/>
        <w:rPr>
          <w:rFonts w:hint="eastAsia" w:ascii="宋体" w:cs="仿宋_GB2312"/>
        </w:rPr>
      </w:pPr>
      <w:r>
        <w:rPr>
          <w:rFonts w:hint="eastAsia" w:ascii="宋体" w:cs="仿宋_GB2312"/>
        </w:rPr>
        <w:t xml:space="preserve">负责指导基层党组织建设、 党风廉政建设工作； 负责宣传和执行党的路线、 方针、 政策， 宣传和执行党中央、 上级组织部门的决议； 负责协助抓好党的思想、 组织建设和党的检等各项工作； 对基层党组织换届选举工作进行指导； 指导村委会的民主选举、 民主决策、 民主管理和民主监督工作； 指导做好党员的教育、管理和发展工作； 负责本镇党内统计、 组织关系接转等工作， 做好党费收缴、 管理和使用工作； 负责推进“两学一做” 学习教育常态化制度化， 检查指导基层党组织坚持党的民主生活会制度、组织生活会制度及“三会一课” 等各项党内制度的执行； 完成本镇党委、 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rPr>
      </w:pPr>
      <w:r>
        <w:rPr>
          <w:rFonts w:hint="eastAsia" w:ascii="宋体" w:cs="仿宋_GB2312"/>
          <w:b/>
          <w:bCs/>
        </w:rPr>
        <w:t xml:space="preserve">维护稳定办公室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0" w:firstLineChars="200"/>
        <w:textAlignment w:val="auto"/>
        <w:rPr>
          <w:rFonts w:hint="eastAsia" w:ascii="宋体" w:cs="仿宋_GB2312"/>
        </w:rPr>
      </w:pPr>
      <w:r>
        <w:rPr>
          <w:rFonts w:hint="eastAsia" w:ascii="宋体" w:cs="仿宋_GB2312"/>
        </w:rPr>
        <w:t>负责社会治安综合治理、 维护稳定、 群众信访等工作； 负责贯彻落实国家有关社会治安综合治理的法律、法规和方针政策，制订本镇综治年度工作计划和阶段性工作方案； 负责制定并完善本辖区社会治安综合治理各项相应的工作制度和运行机制， 确保各项工作规范运行； 加强辖区内社会治安综合治理、 平安建设、法治建设等各种相关组织建设； 负责开展矛盾纠纷排查化解， 治安突出地区和突出治安问题排查治理、 协调解决影响社会稳定和社会治安的重点、难点、 热点问题； 定期检查、 指导、 督促辖区</w:t>
      </w:r>
      <w:r>
        <w:rPr>
          <w:rFonts w:hint="eastAsia" w:ascii="宋体" w:cs="仿宋_GB2312"/>
        </w:rPr>
        <w:br w:type="textWrapping"/>
      </w:r>
      <w:r>
        <w:rPr>
          <w:rFonts w:hint="eastAsia" w:ascii="宋体" w:cs="仿宋_GB2312"/>
        </w:rPr>
        <w:t xml:space="preserve">内综治工作落实情况。 完成镇党委、 政府交办的其它工作任务。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2" w:firstLineChars="200"/>
        <w:textAlignment w:val="auto"/>
        <w:rPr>
          <w:rFonts w:ascii="宋体" w:cs="仿宋_GB2312"/>
          <w:b/>
          <w:bCs/>
        </w:rPr>
      </w:pPr>
      <w:r>
        <w:rPr>
          <w:rFonts w:hint="eastAsia" w:ascii="宋体" w:cs="仿宋_GB2312"/>
          <w:b/>
          <w:bCs/>
        </w:rPr>
        <w:t xml:space="preserve">（四）经济发展和乡 村振兴办公室（挂生态环境办公室牌子）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负责乡 镇经济发展、 乡 村振兴、 扶贫开发等工作； 负责集体资产与村级财务的管理指导、 管理乡 镇行政事业单位和其他组织的各类财政资金等工作； 负责辖区内生态环境保护等工作。 负责贯彻落实上级机关单位关于经济发展工作的方针、 政策； 负责提出经济发展规划并组织实施； 负责调研开发符合产业政策及资源优势的招商引资项目， 并向外推介； 完成镇党委、 政府交办的其它工作任务。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2" w:firstLineChars="200"/>
        <w:textAlignment w:val="auto"/>
        <w:rPr>
          <w:rFonts w:ascii="宋体" w:cs="仿宋_GB2312"/>
          <w:b/>
          <w:bCs/>
        </w:rPr>
      </w:pPr>
      <w:r>
        <w:rPr>
          <w:rFonts w:hint="eastAsia" w:ascii="宋体" w:cs="仿宋_GB2312"/>
          <w:b/>
          <w:bCs/>
        </w:rPr>
        <w:t>（五）社会事务和应急管理办公室（挂综合行政执法办公室、安全生产监督管理办公室牌子）</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 努力发展社会福利事业， 建立社会保障体系； 负责救灾救济，拥军优属， 社会保障工作， 做好五保户 、 特困户救济款物、 居民最低生活保障金等发放工作； 指导村委会民主政治建设； 抓好社团建设。 负责辖区内综合行政执法工作； 负责安全生产工作和应 急管理等工作； 负责组织编制本镇应急总体预案和规划， 建立灾情报告系统并统一发布灾情， 统筹应急力量建设和物资储备并在救灾时统一调度， 组织灾害救助体系建设； 完成镇党委、 政府交办的其它工作任务。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480"/>
        <w:textAlignment w:val="auto"/>
        <w:rPr>
          <w:rFonts w:hint="eastAsia" w:ascii="宋体" w:cs="仿宋_GB2312"/>
          <w:b/>
          <w:bCs/>
        </w:rPr>
      </w:pPr>
      <w:r>
        <w:rPr>
          <w:rFonts w:hint="eastAsia" w:ascii="宋体" w:cs="仿宋_GB2312"/>
          <w:b/>
          <w:bCs/>
        </w:rPr>
        <w:t xml:space="preserve">（六） 财政工作办公室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执行财务规章制度， 负责本镇所有财务工作； 负责集体资产与村级财务的管理指导、 管理镇行政事业单位和其他组织的各类财政资金等工作； 完成镇党委、 政府交办的其它工作任务。 </w:t>
      </w:r>
    </w:p>
    <w:p>
      <w:pPr>
        <w:pStyle w:val="7"/>
        <w:keepNext w:val="0"/>
        <w:keepLines w:val="0"/>
        <w:pageBreakBefore w:val="0"/>
        <w:widowControl/>
        <w:numPr>
          <w:ilvl w:val="0"/>
          <w:numId w:val="3"/>
        </w:numPr>
        <w:suppressLineNumbers w:val="0"/>
        <w:kinsoku/>
        <w:wordWrap/>
        <w:overflowPunct/>
        <w:topLinePunct w:val="0"/>
        <w:autoSpaceDE/>
        <w:autoSpaceDN/>
        <w:bidi w:val="0"/>
        <w:spacing w:before="0" w:beforeAutospacing="0" w:afterAutospacing="0" w:line="576" w:lineRule="exact"/>
        <w:ind w:left="480"/>
        <w:textAlignment w:val="auto"/>
        <w:rPr>
          <w:rFonts w:hint="eastAsia" w:ascii="宋体" w:cs="仿宋_GB2312"/>
          <w:b/>
          <w:bCs/>
        </w:rPr>
      </w:pPr>
      <w:r>
        <w:rPr>
          <w:rFonts w:hint="eastAsia" w:ascii="宋体" w:cs="仿宋_GB2312"/>
          <w:b/>
          <w:bCs/>
        </w:rPr>
        <w:t xml:space="preserve">直属事业机构及职能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2" w:firstLineChars="200"/>
        <w:textAlignment w:val="auto"/>
        <w:rPr>
          <w:rFonts w:hint="eastAsia" w:ascii="宋体" w:cs="仿宋_GB2312"/>
        </w:rPr>
      </w:pPr>
      <w:r>
        <w:rPr>
          <w:rFonts w:hint="eastAsia" w:ascii="宋体" w:cs="仿宋_GB2312"/>
          <w:b/>
          <w:bCs/>
        </w:rPr>
        <w:t xml:space="preserve">（一） 便民服务中心（挂退役军人服务站牌子） </w:t>
      </w:r>
      <w:r>
        <w:rPr>
          <w:rFonts w:hint="eastAsia" w:ascii="宋体" w:cs="仿宋_GB2312"/>
        </w:rPr>
        <w:br w:type="textWrapping"/>
      </w:r>
      <w:r>
        <w:rPr>
          <w:rFonts w:hint="eastAsia" w:ascii="宋体" w:cs="仿宋_GB2312"/>
        </w:rPr>
        <w:t>负责宣传各项惠民政策和法律法规， 受理各类有关便民服务的咨询、 投诉、 发布有关公开信息； 简化工作流程, 规范提高便民、 利民服务水平； 负责便民服务窗口 的日常管理； 负责党群日常服务等工作； 宣传贯彻退役军人有关政策法规, 保障退役军人合法权益落实； 做好信访接待, 资料建档归类工作； 建立健全本辖区退役军人基本信息台账, 实行动态管理； 收集退役军人就业创业需求, 提供政策咨询和信息服务, 对就业创业情况进行跟踪和指导； 组织建立退役军人联系制度, 掌握本辖区退役军人政策落实、 主要诉求、 帮扶解困等方面情况, 开展常态化走访慰问、</w:t>
      </w:r>
      <w:r>
        <w:rPr>
          <w:rFonts w:hint="eastAsia" w:ascii="宋体" w:cs="仿宋_GB2312"/>
        </w:rPr>
        <w:br w:type="textWrapping"/>
      </w:r>
      <w:r>
        <w:rPr>
          <w:rFonts w:hint="eastAsia" w:ascii="宋体" w:cs="仿宋_GB2312"/>
        </w:rPr>
        <w:t xml:space="preserve">帮扶解困、 化解矛盾和思想教育工作； 加强日常报告和应急反馈；完成本镇党委、 政府交办的其它工作任务。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480"/>
        <w:textAlignment w:val="auto"/>
        <w:rPr>
          <w:rFonts w:hint="eastAsia" w:ascii="宋体" w:cs="仿宋_GB2312"/>
          <w:b/>
          <w:bCs/>
        </w:rPr>
      </w:pPr>
      <w:r>
        <w:rPr>
          <w:rFonts w:hint="eastAsia" w:ascii="宋体" w:cs="仿宋_GB2312"/>
          <w:b/>
          <w:bCs/>
        </w:rPr>
        <w:t xml:space="preserve">（二） 社会事业服务中心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负责教育、 科学、 卫生健康、 劳动就业、 社会保障、 社会事务等社会事业服务工作； 制定本镇社会事业发展规划及年度工作计划， 并组织实施； 负责司法、 劳保、 法制、 民政、 老龄、 残联、计划生育等工作； 做好群众来信来访的接待、 处理工作； 负责村务公开工作； 完成镇党委、 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b/>
          <w:bCs/>
        </w:rPr>
      </w:pPr>
      <w:r>
        <w:rPr>
          <w:rFonts w:hint="eastAsia" w:ascii="宋体" w:cs="仿宋_GB2312"/>
          <w:b/>
          <w:bCs/>
        </w:rPr>
        <w:t xml:space="preserve">农业农村服务中心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0" w:firstLineChars="200"/>
        <w:textAlignment w:val="auto"/>
        <w:rPr>
          <w:rFonts w:hint="eastAsia" w:ascii="宋体" w:cs="仿宋_GB2312"/>
        </w:rPr>
      </w:pPr>
      <w:r>
        <w:rPr>
          <w:rFonts w:hint="eastAsia" w:ascii="宋体" w:cs="仿宋_GB2312"/>
        </w:rPr>
        <w:t xml:space="preserve">承担农技推广、 农业产品质量安全技术服务， 负责本镇动物防疫的组织与实施； 动物和动物产品的检疫、 畜牧兽医等涉农服务工作。 负责村务公开工作； 完成镇党委、 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rPr>
      </w:pPr>
      <w:r>
        <w:rPr>
          <w:rFonts w:hint="eastAsia" w:ascii="宋体" w:cs="仿宋_GB2312"/>
          <w:b/>
          <w:bCs/>
        </w:rPr>
        <w:t>综合文化服务中心</w:t>
      </w:r>
      <w:r>
        <w:rPr>
          <w:rFonts w:hint="eastAsia" w:ascii="宋体" w:cs="仿宋_GB2312"/>
        </w:rPr>
        <w:t xml:space="preserve"> </w:t>
      </w:r>
    </w:p>
    <w:p>
      <w:pPr>
        <w:pStyle w:val="7"/>
        <w:keepNext w:val="0"/>
        <w:keepLines w:val="0"/>
        <w:pageBreakBefore w:val="0"/>
        <w:widowControl/>
        <w:suppressLineNumbers w:val="0"/>
        <w:kinsoku/>
        <w:wordWrap/>
        <w:overflowPunct/>
        <w:topLinePunct w:val="0"/>
        <w:autoSpaceDE/>
        <w:autoSpaceDN/>
        <w:spacing w:beforeAutospacing="0" w:afterAutospacing="0" w:line="576" w:lineRule="exact"/>
        <w:ind w:left="0" w:firstLine="480" w:firstLineChars="200"/>
        <w:rPr>
          <w:rFonts w:hint="eastAsia" w:ascii="宋体" w:cs="仿宋_GB2312"/>
        </w:rPr>
      </w:pPr>
      <w:r>
        <w:rPr>
          <w:rFonts w:hint="eastAsia" w:ascii="宋体" w:cs="仿宋_GB2312"/>
        </w:rPr>
        <w:t xml:space="preserve">主要承担宣传思想教育、 基层公共文化服务等工作； 通过群众性文化体育活动， 向广大群众进行社会主义思想道德、 党的方针政策、 科技教育和法制教育。 负责组织开展群众性文化体育活动， 活跃群众文化生活， 指导村文化室工作； 普及科技文化知识，为群众致富和搞好经济服务； 搜集整理民族民间文化遗产， 进行文物保护。 完成镇党委、 政府交办的其它工作任务。 </w:t>
      </w:r>
    </w:p>
    <w:p>
      <w:pPr>
        <w:pStyle w:val="7"/>
        <w:keepNext w:val="0"/>
        <w:keepLines w:val="0"/>
        <w:widowControl/>
        <w:suppressLineNumbers w:val="0"/>
        <w:ind w:firstLine="480" w:firstLineChars="200"/>
        <w:rPr>
          <w:rFonts w:hint="eastAsia" w:ascii="宋体"/>
        </w:rPr>
      </w:pPr>
      <w:r>
        <w:rPr>
          <w:rFonts w:hint="eastAsia" w:ascii="宋体" w:cs="宋体"/>
        </w:rPr>
        <w:t>2．本单位本年度纳入本套决算编制范围的独立编制机构数共5个，比上年增加3个，</w:t>
      </w:r>
      <w:r>
        <w:rPr>
          <w:rStyle w:val="10"/>
          <w:rFonts w:hint="eastAsia" w:ascii="宋体" w:cs="宋体"/>
          <w:b w:val="0"/>
        </w:rPr>
        <w:t>变动情况及原因为</w:t>
      </w:r>
      <w:r>
        <w:rPr>
          <w:rStyle w:val="10"/>
          <w:rFonts w:hint="eastAsia" w:ascii="宋体" w:cs="宋体"/>
          <w:b w:val="0"/>
          <w:lang w:eastAsia="zh-CN"/>
        </w:rPr>
        <w:t>机构增加</w:t>
      </w:r>
      <w:r>
        <w:rPr>
          <w:rFonts w:hint="eastAsia" w:ascii="宋体" w:cs="宋体"/>
        </w:rPr>
        <w:t>；独立核算机构数共5个，比上年增加3个，</w:t>
      </w:r>
      <w:r>
        <w:rPr>
          <w:rStyle w:val="10"/>
          <w:rFonts w:hint="eastAsia" w:ascii="宋体" w:cs="宋体"/>
          <w:b w:val="0"/>
        </w:rPr>
        <w:t>变动情况及原因为</w:t>
      </w:r>
      <w:r>
        <w:rPr>
          <w:rStyle w:val="10"/>
          <w:rFonts w:hint="eastAsia" w:ascii="宋体" w:cs="宋体"/>
          <w:b w:val="0"/>
          <w:lang w:eastAsia="zh-CN"/>
        </w:rPr>
        <w:t>机构增加</w:t>
      </w:r>
      <w:r>
        <w:rPr>
          <w:rStyle w:val="10"/>
          <w:rFonts w:hint="eastAsia" w:ascii="宋体" w:cs="宋体"/>
          <w:b w:val="0"/>
        </w:rPr>
        <w:t>。</w:t>
      </w:r>
    </w:p>
    <w:p>
      <w:pPr>
        <w:pStyle w:val="7"/>
        <w:keepNext w:val="0"/>
        <w:keepLines w:val="0"/>
        <w:widowControl/>
        <w:suppressLineNumbers w:val="0"/>
        <w:rPr>
          <w:rFonts w:ascii="宋体"/>
        </w:rPr>
      </w:pPr>
      <w:r>
        <w:rPr>
          <w:rFonts w:hint="eastAsia" w:ascii="宋体"/>
        </w:rPr>
        <w:t> </w:t>
      </w:r>
      <w:r>
        <w:rPr>
          <w:rFonts w:ascii="宋体"/>
        </w:rPr>
        <w:t xml:space="preserve">  </w:t>
      </w:r>
      <w:r>
        <w:rPr>
          <w:rFonts w:hint="eastAsia" w:ascii="宋体" w:cs="宋体"/>
        </w:rPr>
        <w:t>3． 本单位本年度年末实有人数为38人，比上年增加5人；年末实有离退休人数为5人，比上年增加5人；</w:t>
      </w:r>
      <w:r>
        <w:rPr>
          <w:rStyle w:val="10"/>
          <w:rFonts w:hint="eastAsia" w:ascii="宋体" w:cs="宋体"/>
          <w:b w:val="0"/>
        </w:rPr>
        <w:t>变动情况及原因为</w:t>
      </w:r>
      <w:r>
        <w:rPr>
          <w:rStyle w:val="10"/>
          <w:rFonts w:hint="eastAsia" w:ascii="宋体" w:cs="宋体"/>
          <w:b w:val="0"/>
          <w:lang w:eastAsia="zh-CN"/>
        </w:rPr>
        <w:t>在职人员增加、退休人员增加</w:t>
      </w:r>
      <w:r>
        <w:rPr>
          <w:rStyle w:val="10"/>
          <w:rFonts w:hint="eastAsia" w:ascii="宋体" w:cs="宋体"/>
          <w:b w:val="0"/>
        </w:rPr>
        <w:t>。</w:t>
      </w:r>
      <w:r>
        <w:rPr>
          <w:rFonts w:hint="eastAsia" w:ascii="宋体" w:cs="宋体"/>
        </w:rPr>
        <w:t>年末实有其他人数为0人，比上年增加0人</w:t>
      </w:r>
      <w:r>
        <w:rPr>
          <w:rFonts w:hint="eastAsia" w:ascii="宋体"/>
        </w:rPr>
        <w:t> </w:t>
      </w:r>
    </w:p>
    <w:p>
      <w:pPr>
        <w:pStyle w:val="7"/>
        <w:keepNext w:val="0"/>
        <w:keepLines w:val="0"/>
        <w:widowControl/>
        <w:suppressLineNumbers w:val="0"/>
        <w:rPr>
          <w:rFonts w:hint="eastAsia" w:ascii="宋体"/>
        </w:rPr>
      </w:pPr>
      <w:r>
        <w:rPr>
          <w:rStyle w:val="10"/>
          <w:rFonts w:ascii="Arial" w:hAnsi="Arial" w:eastAsia="Arial" w:cs="Arial"/>
          <w:i w:val="0"/>
          <w:caps w:val="0"/>
          <w:smallCaps w:val="0"/>
          <w:color w:val="000000"/>
          <w:spacing w:val="0"/>
          <w:sz w:val="24"/>
          <w:szCs w:val="24"/>
          <w:shd w:val="clear" w:color="auto" w:fill="FFFFFF"/>
        </w:rPr>
        <w:t>（二）当年取得的主要事业成效。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一、概述单位工作开展情况及主要事业成效。</w:t>
      </w:r>
    </w:p>
    <w:p>
      <w:pPr>
        <w:pStyle w:val="11"/>
        <w:spacing w:line="520" w:lineRule="exact"/>
        <w:ind w:firstLine="480" w:firstLineChars="200"/>
        <w:rPr>
          <w:rFonts w:ascii="宋体" w:eastAsia="宋体"/>
          <w:color w:val="auto"/>
          <w:szCs w:val="24"/>
        </w:rPr>
      </w:pPr>
      <w:r>
        <w:rPr>
          <w:rFonts w:ascii="宋体" w:eastAsia="宋体"/>
          <w:color w:val="auto"/>
          <w:szCs w:val="24"/>
        </w:rPr>
        <w:t>在县委、县政府和镇党委的坚强领导下，在镇人大监督下，</w:t>
      </w:r>
      <w:r>
        <w:rPr>
          <w:rFonts w:ascii="宋体" w:eastAsia="宋体"/>
          <w:color w:val="auto"/>
          <w:szCs w:val="24"/>
          <w:lang w:val="en-US" w:eastAsia="zh-CN"/>
        </w:rPr>
        <w:t>镇政府</w:t>
      </w:r>
      <w:r>
        <w:rPr>
          <w:rFonts w:ascii="宋体" w:eastAsia="宋体"/>
          <w:color w:val="auto"/>
          <w:szCs w:val="24"/>
        </w:rPr>
        <w:t>坚持以习近平新时代中国特色社会主义思想为指导，全面贯彻党的十九大精神，深入落实习近平总书记</w:t>
      </w:r>
      <w:r>
        <w:rPr>
          <w:rFonts w:ascii="宋体" w:eastAsia="宋体"/>
          <w:color w:val="auto"/>
          <w:szCs w:val="24"/>
          <w:lang w:val="en-US" w:eastAsia="zh-CN"/>
        </w:rPr>
        <w:t>关于四川、阿坝工作重要指示批示</w:t>
      </w:r>
      <w:r>
        <w:rPr>
          <w:rFonts w:ascii="宋体" w:eastAsia="宋体"/>
          <w:color w:val="auto"/>
          <w:szCs w:val="24"/>
        </w:rPr>
        <w:t>精神，</w:t>
      </w:r>
      <w:r>
        <w:rPr>
          <w:rFonts w:ascii="宋体" w:eastAsia="宋体"/>
          <w:color w:val="auto"/>
          <w:szCs w:val="24"/>
          <w:lang w:val="en-US" w:eastAsia="zh-CN"/>
        </w:rPr>
        <w:t>紧扣“生态、发展、稳定、民生、作风”五个关键，认真贯彻“创新、协调、绿色、开放、共享”五大理念，扎实推进脱贫攻坚、基层治理、生态保护、环境治理等重点工作</w:t>
      </w:r>
      <w:r>
        <w:rPr>
          <w:rFonts w:ascii="宋体" w:eastAsia="宋体"/>
          <w:color w:val="auto"/>
          <w:szCs w:val="24"/>
        </w:rPr>
        <w:t>，整体呈现出脱贫攻坚成效显著、产业发展提质增效、项目建设持续加力、民生改善成效明显、社会大局和谐稳定、自身建设不断加强的良好态势，</w:t>
      </w:r>
      <w:r>
        <w:rPr>
          <w:rFonts w:ascii="宋体" w:eastAsia="宋体"/>
          <w:color w:val="auto"/>
          <w:szCs w:val="24"/>
          <w:lang w:val="en-US" w:eastAsia="zh-CN"/>
        </w:rPr>
        <w:t>平安和谐幸福美丽新色地建设迈入新阶段。</w:t>
      </w:r>
      <w:r>
        <w:rPr>
          <w:rFonts w:ascii="宋体" w:eastAsia="宋体"/>
          <w:color w:val="auto"/>
          <w:szCs w:val="24"/>
        </w:rPr>
        <w:t xml:space="preserve"> </w:t>
      </w:r>
    </w:p>
    <w:p>
      <w:pPr>
        <w:pStyle w:val="11"/>
        <w:spacing w:line="520" w:lineRule="exact"/>
        <w:ind w:firstLine="480" w:firstLineChars="200"/>
        <w:rPr>
          <w:rFonts w:ascii="宋体" w:eastAsia="宋体" w:cs="黑体"/>
          <w:szCs w:val="24"/>
        </w:rPr>
      </w:pPr>
      <w:r>
        <w:rPr>
          <w:rFonts w:ascii="宋体" w:eastAsia="宋体" w:cs="黑体"/>
          <w:szCs w:val="24"/>
        </w:rPr>
        <w:t>一、20</w:t>
      </w:r>
      <w:r>
        <w:rPr>
          <w:rFonts w:ascii="宋体" w:eastAsia="宋体" w:cs="黑体"/>
          <w:szCs w:val="24"/>
          <w:lang w:val="en-US" w:eastAsia="zh-CN"/>
        </w:rPr>
        <w:t>21</w:t>
      </w:r>
      <w:r>
        <w:rPr>
          <w:rFonts w:ascii="宋体" w:eastAsia="宋体" w:cs="黑体"/>
          <w:szCs w:val="24"/>
        </w:rPr>
        <w:t>年和“十三五”</w:t>
      </w:r>
      <w:r>
        <w:rPr>
          <w:rFonts w:ascii="宋体" w:eastAsia="宋体" w:cs="黑体"/>
          <w:szCs w:val="24"/>
          <w:lang w:val="en-US" w:eastAsia="zh-CN"/>
        </w:rPr>
        <w:t>期间工作</w:t>
      </w:r>
      <w:r>
        <w:rPr>
          <w:rFonts w:ascii="宋体" w:eastAsia="宋体" w:cs="黑体"/>
          <w:szCs w:val="24"/>
        </w:rPr>
        <w:t xml:space="preserve">回顾 </w:t>
      </w:r>
    </w:p>
    <w:p>
      <w:pPr>
        <w:pStyle w:val="11"/>
        <w:spacing w:line="520" w:lineRule="exact"/>
        <w:ind w:firstLine="480" w:firstLineChars="200"/>
        <w:rPr>
          <w:rFonts w:ascii="宋体" w:eastAsia="宋体"/>
          <w:color w:val="auto"/>
          <w:szCs w:val="24"/>
        </w:rPr>
      </w:pPr>
      <w:r>
        <w:rPr>
          <w:rFonts w:ascii="宋体" w:eastAsia="宋体"/>
          <w:color w:val="auto"/>
          <w:szCs w:val="24"/>
        </w:rPr>
        <w:t>（一）凝心聚力抓攻坚，</w:t>
      </w:r>
      <w:r>
        <w:rPr>
          <w:rFonts w:ascii="宋体" w:eastAsia="宋体"/>
          <w:color w:val="auto"/>
          <w:szCs w:val="24"/>
          <w:lang w:val="en-US" w:eastAsia="zh-CN"/>
        </w:rPr>
        <w:t>乡村振兴</w:t>
      </w:r>
      <w:r>
        <w:rPr>
          <w:rFonts w:ascii="宋体" w:eastAsia="宋体"/>
          <w:color w:val="auto"/>
          <w:szCs w:val="24"/>
        </w:rPr>
        <w:t>成效显著。面</w:t>
      </w:r>
      <w:r>
        <w:rPr>
          <w:rFonts w:ascii="宋体" w:eastAsia="宋体"/>
          <w:color w:val="auto"/>
          <w:szCs w:val="24"/>
          <w:lang w:val="en-US" w:eastAsia="zh-CN"/>
        </w:rPr>
        <w:t>对</w:t>
      </w:r>
      <w:r>
        <w:rPr>
          <w:rFonts w:ascii="宋体" w:eastAsia="宋体"/>
          <w:color w:val="auto"/>
          <w:szCs w:val="24"/>
        </w:rPr>
        <w:t>疫情防控和脱贫攻坚收官验收双重压力，</w:t>
      </w:r>
      <w:r>
        <w:rPr>
          <w:rFonts w:ascii="宋体" w:eastAsia="宋体"/>
          <w:color w:val="auto"/>
          <w:szCs w:val="24"/>
          <w:lang w:val="en-US" w:eastAsia="zh-CN"/>
        </w:rPr>
        <w:t>我们笃定定力，</w:t>
      </w:r>
      <w:r>
        <w:rPr>
          <w:rFonts w:ascii="宋体" w:eastAsia="宋体"/>
          <w:color w:val="auto"/>
          <w:szCs w:val="24"/>
        </w:rPr>
        <w:t>战斗一线，振奋士气，全力以赴投入到收官验收工作中。一是紧紧围绕“两不愁、三保障”和脱贫攻坚“回头看”，对贫困户基本医疗、义务教育、住房安全、饮水安全等重点领域再次展开“</w:t>
      </w:r>
      <w:r>
        <w:rPr>
          <w:rFonts w:ascii="宋体" w:eastAsia="宋体"/>
          <w:color w:val="auto"/>
          <w:szCs w:val="24"/>
          <w:lang w:val="en-US" w:eastAsia="zh-CN"/>
        </w:rPr>
        <w:t>提质工程</w:t>
      </w:r>
      <w:r>
        <w:rPr>
          <w:rFonts w:ascii="宋体" w:eastAsia="宋体"/>
          <w:color w:val="auto"/>
          <w:szCs w:val="24"/>
        </w:rPr>
        <w:t>”，</w:t>
      </w:r>
      <w:r>
        <w:rPr>
          <w:rFonts w:ascii="宋体" w:eastAsia="宋体"/>
          <w:color w:val="auto"/>
          <w:szCs w:val="24"/>
          <w:lang w:val="en-US" w:eastAsia="zh-CN"/>
        </w:rPr>
        <w:t>全面排解</w:t>
      </w:r>
      <w:r>
        <w:rPr>
          <w:rFonts w:ascii="宋体" w:eastAsia="宋体"/>
          <w:color w:val="auto"/>
          <w:szCs w:val="24"/>
        </w:rPr>
        <w:t>影响脱贫的</w:t>
      </w:r>
      <w:r>
        <w:rPr>
          <w:rFonts w:ascii="宋体" w:eastAsia="宋体"/>
          <w:color w:val="auto"/>
          <w:szCs w:val="24"/>
          <w:lang w:val="en-US" w:eastAsia="zh-CN"/>
        </w:rPr>
        <w:t>难点问题</w:t>
      </w:r>
      <w:r>
        <w:rPr>
          <w:rFonts w:ascii="宋体" w:eastAsia="宋体"/>
          <w:color w:val="auto"/>
          <w:szCs w:val="24"/>
        </w:rPr>
        <w:t>，以督查和自查相结合的方式，</w:t>
      </w:r>
      <w:r>
        <w:rPr>
          <w:rFonts w:ascii="宋体" w:eastAsia="宋体"/>
          <w:color w:val="auto"/>
          <w:szCs w:val="24"/>
          <w:lang w:val="en-US" w:eastAsia="zh-CN"/>
        </w:rPr>
        <w:t>规范</w:t>
      </w:r>
      <w:r>
        <w:rPr>
          <w:rFonts w:ascii="宋体" w:eastAsia="宋体"/>
          <w:color w:val="auto"/>
          <w:szCs w:val="24"/>
        </w:rPr>
        <w:t>完善户村两级资料，修改完善国扶办系统数据，详细制定一户一策精准帮扶计划，</w:t>
      </w:r>
      <w:r>
        <w:rPr>
          <w:rFonts w:ascii="宋体" w:eastAsia="宋体"/>
          <w:color w:val="auto"/>
          <w:szCs w:val="24"/>
          <w:lang w:val="en-US" w:eastAsia="zh-CN"/>
        </w:rPr>
        <w:t>217户992人脱贫成效稳定，顺利通过</w:t>
      </w:r>
      <w:r>
        <w:rPr>
          <w:rFonts w:ascii="宋体" w:eastAsia="宋体"/>
          <w:color w:val="auto"/>
          <w:szCs w:val="24"/>
        </w:rPr>
        <w:t>脱贫攻坚全国普查、脱贫成果</w:t>
      </w:r>
      <w:r>
        <w:rPr>
          <w:rFonts w:ascii="宋体" w:eastAsia="宋体"/>
          <w:color w:val="auto"/>
          <w:szCs w:val="24"/>
          <w:lang w:val="en-US" w:eastAsia="zh-CN"/>
        </w:rPr>
        <w:t>省州验收</w:t>
      </w:r>
      <w:r>
        <w:rPr>
          <w:rFonts w:ascii="宋体" w:eastAsia="宋体"/>
          <w:color w:val="auto"/>
          <w:szCs w:val="24"/>
        </w:rPr>
        <w:t>、成效考核等工作。二是坚持问题导向，全面完成巡视</w:t>
      </w:r>
      <w:r>
        <w:rPr>
          <w:rFonts w:ascii="宋体" w:eastAsia="宋体"/>
          <w:color w:val="auto"/>
          <w:szCs w:val="24"/>
          <w:lang w:val="en-US" w:eastAsia="zh-CN"/>
        </w:rPr>
        <w:t>巡察</w:t>
      </w:r>
      <w:r>
        <w:rPr>
          <w:rFonts w:ascii="宋体" w:eastAsia="宋体"/>
          <w:color w:val="auto"/>
          <w:szCs w:val="24"/>
        </w:rPr>
        <w:t>整改工作。针对中央</w:t>
      </w:r>
      <w:r>
        <w:rPr>
          <w:rFonts w:ascii="宋体" w:eastAsia="宋体"/>
          <w:color w:val="auto"/>
          <w:szCs w:val="24"/>
          <w:lang w:eastAsia="zh-CN"/>
        </w:rPr>
        <w:t>、</w:t>
      </w:r>
      <w:r>
        <w:rPr>
          <w:rFonts w:ascii="宋体" w:eastAsia="宋体"/>
          <w:color w:val="auto"/>
          <w:szCs w:val="24"/>
          <w:lang w:val="en-US" w:eastAsia="zh-CN"/>
        </w:rPr>
        <w:t>省、州、县巡视巡察和专项督导反馈的问题</w:t>
      </w:r>
      <w:r>
        <w:rPr>
          <w:rFonts w:ascii="宋体" w:eastAsia="宋体"/>
          <w:color w:val="auto"/>
          <w:szCs w:val="24"/>
        </w:rPr>
        <w:t>,</w:t>
      </w:r>
      <w:r>
        <w:rPr>
          <w:rFonts w:ascii="宋体" w:eastAsia="宋体"/>
          <w:color w:val="auto"/>
          <w:szCs w:val="24"/>
          <w:lang w:val="en-US" w:eastAsia="zh-CN"/>
        </w:rPr>
        <w:t>逐一制定整改方案、</w:t>
      </w:r>
      <w:r>
        <w:rPr>
          <w:rFonts w:ascii="宋体" w:eastAsia="宋体"/>
          <w:color w:val="auto"/>
          <w:szCs w:val="24"/>
        </w:rPr>
        <w:t xml:space="preserve">建立整改台账，明确整改责任，限定整改时限，对单销号，全部完成整改。三是找准群众“不满意点”为指标，再次压实帮扶责任，做深、做实群众工作，从思想引导、感情疏通厘清解决各类问题，打通服务群众“最后一公里”，通过帮扶干部、村两委共同努力，进一步疏通干群间“经络”，群众满意度、认可度明显提升。 </w:t>
      </w:r>
    </w:p>
    <w:p>
      <w:pPr>
        <w:pStyle w:val="11"/>
        <w:spacing w:line="520" w:lineRule="exact"/>
        <w:ind w:firstLine="480" w:firstLineChars="200"/>
        <w:rPr>
          <w:rFonts w:ascii="宋体" w:eastAsia="宋体"/>
          <w:color w:val="auto"/>
          <w:szCs w:val="24"/>
        </w:rPr>
      </w:pPr>
      <w:r>
        <w:rPr>
          <w:rFonts w:ascii="宋体" w:eastAsia="宋体"/>
          <w:color w:val="auto"/>
          <w:szCs w:val="24"/>
        </w:rPr>
        <w:t>（二）多措并举抓落实，产业发展稳中有进</w:t>
      </w:r>
    </w:p>
    <w:p>
      <w:pPr>
        <w:pStyle w:val="11"/>
        <w:spacing w:line="520" w:lineRule="exact"/>
        <w:ind w:firstLine="480" w:firstLineChars="200"/>
        <w:rPr>
          <w:rFonts w:ascii="宋体" w:eastAsia="宋体"/>
          <w:color w:val="auto"/>
          <w:szCs w:val="24"/>
        </w:rPr>
      </w:pPr>
      <w:r>
        <w:rPr>
          <w:rFonts w:ascii="宋体" w:eastAsia="宋体"/>
          <w:color w:val="auto"/>
          <w:szCs w:val="24"/>
        </w:rPr>
        <w:t>一是乡村旅游发展亮点突出。我</w:t>
      </w:r>
      <w:r>
        <w:rPr>
          <w:rFonts w:ascii="宋体" w:eastAsia="宋体"/>
          <w:color w:val="auto"/>
          <w:szCs w:val="24"/>
          <w:lang w:val="en-US" w:eastAsia="zh-CN"/>
        </w:rPr>
        <w:t>们坚持聚焦“草原、交通、民俗、文化”等方面挖掘旅游潜力</w:t>
      </w:r>
      <w:r>
        <w:rPr>
          <w:rFonts w:ascii="宋体" w:eastAsia="宋体"/>
          <w:color w:val="auto"/>
          <w:szCs w:val="24"/>
        </w:rPr>
        <w:t>，以下</w:t>
      </w:r>
      <w:r>
        <w:rPr>
          <w:rFonts w:ascii="宋体" w:eastAsia="宋体"/>
          <w:color w:val="auto"/>
          <w:szCs w:val="24"/>
          <w:lang w:val="en-US" w:eastAsia="zh-CN"/>
        </w:rPr>
        <w:t>茸塔玛村、日西村为重点，深化开展规范牧家乐规范经营整治，</w:t>
      </w:r>
      <w:r>
        <w:rPr>
          <w:rFonts w:ascii="宋体" w:eastAsia="宋体"/>
          <w:color w:val="auto"/>
          <w:szCs w:val="24"/>
        </w:rPr>
        <w:t>将地域特色与文化禀赋、农业资源与旅游要素相结合，</w:t>
      </w:r>
      <w:r>
        <w:rPr>
          <w:rFonts w:ascii="宋体" w:eastAsia="宋体"/>
          <w:color w:val="auto"/>
          <w:szCs w:val="24"/>
          <w:lang w:val="en-US" w:eastAsia="zh-CN"/>
        </w:rPr>
        <w:t>将管理服务融入旅游配套设施提升全过程。五年</w:t>
      </w:r>
      <w:r>
        <w:rPr>
          <w:rFonts w:ascii="宋体" w:eastAsia="宋体"/>
          <w:color w:val="auto"/>
          <w:szCs w:val="24"/>
        </w:rPr>
        <w:t>来，</w:t>
      </w:r>
      <w:r>
        <w:rPr>
          <w:rFonts w:ascii="宋体" w:eastAsia="宋体"/>
          <w:color w:val="auto"/>
          <w:szCs w:val="24"/>
          <w:lang w:val="en-US" w:eastAsia="zh-CN"/>
        </w:rPr>
        <w:t>我们整治牧家乐28家</w:t>
      </w:r>
      <w:r>
        <w:rPr>
          <w:rFonts w:ascii="宋体" w:eastAsia="宋体"/>
          <w:color w:val="auto"/>
          <w:szCs w:val="24"/>
        </w:rPr>
        <w:t>，让群众在家门口吃上了旅游饭。</w:t>
      </w:r>
    </w:p>
    <w:p>
      <w:pPr>
        <w:pStyle w:val="11"/>
        <w:spacing w:line="520" w:lineRule="exact"/>
        <w:ind w:firstLine="480" w:firstLineChars="200"/>
        <w:rPr>
          <w:rFonts w:ascii="宋体" w:eastAsia="宋体"/>
          <w:color w:val="auto"/>
          <w:szCs w:val="24"/>
          <w:lang w:val="en-US" w:eastAsia="zh-CN"/>
        </w:rPr>
      </w:pPr>
      <w:r>
        <w:rPr>
          <w:rFonts w:ascii="宋体" w:eastAsia="宋体"/>
          <w:color w:val="auto"/>
          <w:szCs w:val="24"/>
          <w:lang w:val="en-US" w:eastAsia="zh-CN"/>
        </w:rPr>
        <w:t>二</w:t>
      </w:r>
      <w:r>
        <w:rPr>
          <w:rFonts w:ascii="宋体" w:eastAsia="宋体"/>
          <w:color w:val="auto"/>
          <w:szCs w:val="24"/>
        </w:rPr>
        <w:t>是</w:t>
      </w:r>
      <w:r>
        <w:rPr>
          <w:rFonts w:ascii="宋体" w:eastAsia="宋体"/>
          <w:color w:val="auto"/>
          <w:szCs w:val="24"/>
          <w:lang w:val="en-US" w:eastAsia="zh-CN"/>
        </w:rPr>
        <w:t>现代草原畜牧业</w:t>
      </w:r>
      <w:r>
        <w:rPr>
          <w:rFonts w:ascii="宋体" w:eastAsia="宋体"/>
          <w:color w:val="auto"/>
          <w:szCs w:val="24"/>
        </w:rPr>
        <w:t>效益凸显。</w:t>
      </w:r>
      <w:r>
        <w:rPr>
          <w:rFonts w:ascii="宋体" w:eastAsia="宋体"/>
          <w:color w:val="auto"/>
          <w:szCs w:val="24"/>
          <w:lang w:eastAsia="zh-CN"/>
        </w:rPr>
        <w:t>色地</w:t>
      </w:r>
      <w:r>
        <w:rPr>
          <w:rFonts w:ascii="宋体" w:eastAsia="宋体"/>
          <w:color w:val="auto"/>
          <w:szCs w:val="24"/>
        </w:rPr>
        <w:t>土地广袤，我们坚持绿色生态可持续的发展模式，</w:t>
      </w:r>
      <w:r>
        <w:rPr>
          <w:rFonts w:ascii="宋体" w:eastAsia="宋体"/>
          <w:color w:val="auto"/>
          <w:szCs w:val="24"/>
          <w:lang w:val="en-US" w:eastAsia="zh-CN"/>
        </w:rPr>
        <w:t>大力推进草畜平衡，辖区存栏牲畜已突破7.6293万头，群众增收更有保障。</w:t>
      </w:r>
    </w:p>
    <w:p>
      <w:pPr>
        <w:pStyle w:val="11"/>
        <w:spacing w:line="520" w:lineRule="exact"/>
        <w:ind w:firstLine="480" w:firstLineChars="200"/>
        <w:rPr>
          <w:rFonts w:ascii="宋体" w:eastAsia="宋体"/>
          <w:color w:val="auto"/>
          <w:szCs w:val="24"/>
          <w:lang w:val="en-US" w:eastAsia="zh-CN"/>
        </w:rPr>
      </w:pPr>
      <w:r>
        <w:rPr>
          <w:rFonts w:ascii="宋体" w:eastAsia="宋体"/>
          <w:color w:val="auto"/>
          <w:szCs w:val="24"/>
          <w:lang w:val="en-US" w:eastAsia="zh-CN"/>
        </w:rPr>
        <w:t>三</w:t>
      </w:r>
      <w:r>
        <w:rPr>
          <w:rFonts w:ascii="宋体" w:eastAsia="宋体"/>
          <w:color w:val="auto"/>
          <w:szCs w:val="24"/>
        </w:rPr>
        <w:t>是集体经济日益壮大。</w:t>
      </w:r>
      <w:r>
        <w:rPr>
          <w:rFonts w:ascii="宋体" w:eastAsia="宋体"/>
          <w:color w:val="auto"/>
          <w:szCs w:val="24"/>
          <w:lang w:eastAsia="zh-CN"/>
        </w:rPr>
        <w:t>色地</w:t>
      </w:r>
      <w:r>
        <w:rPr>
          <w:rFonts w:ascii="宋体" w:eastAsia="宋体"/>
          <w:color w:val="auto"/>
          <w:szCs w:val="24"/>
        </w:rPr>
        <w:t>镇始终坚持问题导向、党建引领，鼓励引导各村党支部充分发挥主观能动性，积极谋划集体经济发展，按照“一村一品”和统筹发展相结合的方式，</w:t>
      </w:r>
      <w:r>
        <w:rPr>
          <w:rFonts w:ascii="宋体" w:eastAsia="宋体"/>
          <w:color w:val="auto"/>
          <w:szCs w:val="24"/>
          <w:lang w:val="en-US" w:eastAsia="zh-CN"/>
        </w:rPr>
        <w:t>以2019年7月的农村人口数据为基准，高效完成集体经济确权工作</w:t>
      </w:r>
      <w:r>
        <w:rPr>
          <w:rFonts w:ascii="宋体" w:eastAsia="宋体"/>
          <w:color w:val="auto"/>
          <w:szCs w:val="24"/>
        </w:rPr>
        <w:t>。</w:t>
      </w:r>
      <w:r>
        <w:rPr>
          <w:rFonts w:ascii="宋体" w:eastAsia="宋体"/>
          <w:color w:val="auto"/>
          <w:szCs w:val="24"/>
          <w:lang w:val="en-US" w:eastAsia="zh-CN"/>
        </w:rPr>
        <w:t>合理布局机具租赁、牦牛养殖、固定资产等项目，</w:t>
      </w:r>
      <w:r>
        <w:rPr>
          <w:rFonts w:ascii="宋体" w:eastAsia="宋体"/>
          <w:color w:val="auto"/>
          <w:szCs w:val="24"/>
        </w:rPr>
        <w:t>产业链条不断延伸，全镇群众稳定脱贫致富，实现产业振兴</w:t>
      </w:r>
      <w:r>
        <w:rPr>
          <w:rFonts w:ascii="宋体" w:eastAsia="宋体"/>
          <w:color w:val="auto"/>
          <w:szCs w:val="24"/>
          <w:lang w:val="en-US" w:eastAsia="zh-CN"/>
        </w:rPr>
        <w:t>更可持续。</w:t>
      </w:r>
    </w:p>
    <w:p>
      <w:pPr>
        <w:pStyle w:val="11"/>
        <w:spacing w:line="520" w:lineRule="exact"/>
        <w:ind w:firstLine="480" w:firstLineChars="200"/>
        <w:rPr>
          <w:rFonts w:ascii="宋体" w:eastAsia="宋体"/>
          <w:color w:val="auto"/>
          <w:szCs w:val="24"/>
        </w:rPr>
      </w:pPr>
      <w:r>
        <w:rPr>
          <w:rFonts w:ascii="宋体" w:eastAsia="宋体"/>
          <w:color w:val="auto"/>
          <w:szCs w:val="24"/>
        </w:rPr>
        <w:t>（三）一以贯之抓重点，基础设施持续完善。</w:t>
      </w:r>
    </w:p>
    <w:p>
      <w:pPr>
        <w:pStyle w:val="11"/>
        <w:spacing w:line="520" w:lineRule="exact"/>
        <w:ind w:firstLine="480" w:firstLineChars="200"/>
        <w:rPr>
          <w:rFonts w:ascii="宋体" w:eastAsia="宋体"/>
          <w:color w:val="auto"/>
          <w:szCs w:val="24"/>
          <w:lang w:val="en-US" w:eastAsia="zh-CN"/>
        </w:rPr>
      </w:pPr>
      <w:r>
        <w:rPr>
          <w:rFonts w:ascii="宋体" w:eastAsia="宋体"/>
          <w:color w:val="auto"/>
          <w:szCs w:val="24"/>
        </w:rPr>
        <w:t>一是着力推进民生工程建设。</w:t>
      </w:r>
      <w:r>
        <w:rPr>
          <w:rFonts w:ascii="宋体" w:eastAsia="宋体"/>
          <w:color w:val="auto"/>
          <w:szCs w:val="24"/>
          <w:lang w:val="en-US" w:eastAsia="zh-CN"/>
        </w:rPr>
        <w:t>5</w:t>
      </w:r>
      <w:r>
        <w:rPr>
          <w:rFonts w:ascii="宋体" w:eastAsia="宋体"/>
          <w:color w:val="auto"/>
          <w:szCs w:val="24"/>
        </w:rPr>
        <w:t>年以来，我们致力于统筹协调发展，突出抓项目、夯基础，乡村振兴战略在统筹推进中迈出新步伐。</w:t>
      </w:r>
      <w:r>
        <w:rPr>
          <w:rFonts w:ascii="宋体" w:eastAsia="宋体"/>
          <w:color w:val="auto"/>
          <w:szCs w:val="24"/>
          <w:lang w:val="en-US" w:eastAsia="zh-CN"/>
        </w:rPr>
        <w:t>黑色化主干道路3.5公里，新建通村通畅道路120公里，采购按照太阳能路灯100盏，新建易地扶贫搬迁、藏区新居、村级保障性住房等住房54套，综合文化活动中心、自来水管网维护、农网改造等项目按期投运，群众用水、用电、出行、住房等条件全面提升。</w:t>
      </w:r>
    </w:p>
    <w:p>
      <w:pPr>
        <w:pStyle w:val="11"/>
        <w:spacing w:line="520" w:lineRule="exact"/>
        <w:ind w:firstLine="480" w:firstLineChars="200"/>
        <w:rPr>
          <w:rFonts w:ascii="宋体" w:eastAsia="宋体"/>
          <w:color w:val="auto"/>
          <w:szCs w:val="24"/>
        </w:rPr>
      </w:pPr>
      <w:r>
        <w:rPr>
          <w:rFonts w:ascii="宋体" w:eastAsia="宋体"/>
          <w:color w:val="auto"/>
          <w:szCs w:val="24"/>
        </w:rPr>
        <w:t>二是加强</w:t>
      </w:r>
      <w:r>
        <w:rPr>
          <w:rFonts w:ascii="宋体" w:eastAsia="宋体"/>
          <w:color w:val="auto"/>
          <w:szCs w:val="24"/>
          <w:lang w:val="en-US" w:eastAsia="zh-CN"/>
        </w:rPr>
        <w:t>畜牧业</w:t>
      </w:r>
      <w:r>
        <w:rPr>
          <w:rFonts w:ascii="宋体" w:eastAsia="宋体"/>
          <w:color w:val="auto"/>
          <w:szCs w:val="24"/>
        </w:rPr>
        <w:t>设施建设</w:t>
      </w:r>
      <w:r>
        <w:rPr>
          <w:rFonts w:ascii="宋体" w:eastAsia="宋体"/>
          <w:color w:val="auto"/>
          <w:szCs w:val="24"/>
          <w:lang w:eastAsia="zh-CN"/>
        </w:rPr>
        <w:t>。</w:t>
      </w:r>
      <w:r>
        <w:rPr>
          <w:rFonts w:ascii="宋体" w:eastAsia="宋体"/>
          <w:color w:val="auto"/>
          <w:szCs w:val="24"/>
        </w:rPr>
        <w:t>着力补齐</w:t>
      </w:r>
      <w:r>
        <w:rPr>
          <w:rFonts w:ascii="宋体" w:eastAsia="宋体"/>
          <w:color w:val="auto"/>
          <w:szCs w:val="24"/>
          <w:lang w:val="en-US" w:eastAsia="zh-CN"/>
        </w:rPr>
        <w:t>畜牧业</w:t>
      </w:r>
      <w:r>
        <w:rPr>
          <w:rFonts w:ascii="宋体" w:eastAsia="宋体"/>
          <w:color w:val="auto"/>
          <w:szCs w:val="24"/>
        </w:rPr>
        <w:t>基础设施短板,</w:t>
      </w:r>
      <w:r>
        <w:rPr>
          <w:rFonts w:ascii="宋体" w:eastAsia="宋体"/>
          <w:color w:val="auto"/>
          <w:szCs w:val="24"/>
          <w:lang w:val="en-US" w:eastAsia="zh-CN"/>
        </w:rPr>
        <w:t>累计修建牧道110公里，群众生产更加便利</w:t>
      </w:r>
      <w:r>
        <w:rPr>
          <w:rFonts w:ascii="宋体" w:eastAsia="宋体"/>
          <w:color w:val="auto"/>
          <w:szCs w:val="24"/>
        </w:rPr>
        <w:t>。</w:t>
      </w:r>
    </w:p>
    <w:p>
      <w:pPr>
        <w:pStyle w:val="11"/>
        <w:spacing w:line="520" w:lineRule="exact"/>
        <w:ind w:firstLine="480" w:firstLineChars="200"/>
        <w:rPr>
          <w:rFonts w:ascii="宋体" w:eastAsia="宋体"/>
          <w:color w:val="auto"/>
          <w:szCs w:val="24"/>
        </w:rPr>
      </w:pPr>
      <w:r>
        <w:rPr>
          <w:rFonts w:ascii="宋体" w:eastAsia="宋体"/>
          <w:color w:val="auto"/>
          <w:szCs w:val="24"/>
        </w:rPr>
        <w:t>三是</w:t>
      </w:r>
      <w:r>
        <w:rPr>
          <w:rFonts w:ascii="宋体" w:eastAsia="宋体"/>
          <w:color w:val="auto"/>
          <w:szCs w:val="24"/>
          <w:lang w:val="en-US" w:eastAsia="zh-CN"/>
        </w:rPr>
        <w:t>抓实项目储备。</w:t>
      </w:r>
      <w:r>
        <w:rPr>
          <w:rFonts w:ascii="宋体" w:eastAsia="宋体"/>
          <w:color w:val="auto"/>
          <w:szCs w:val="24"/>
        </w:rPr>
        <w:t>结合人大代表提出的建议和意见不断充实</w:t>
      </w:r>
      <w:r>
        <w:rPr>
          <w:rFonts w:ascii="宋体" w:eastAsia="宋体"/>
          <w:color w:val="auto"/>
          <w:szCs w:val="24"/>
          <w:lang w:val="en-US" w:eastAsia="zh-CN"/>
        </w:rPr>
        <w:t>乡村振兴</w:t>
      </w:r>
      <w:r>
        <w:rPr>
          <w:rFonts w:ascii="宋体" w:eastAsia="宋体"/>
          <w:color w:val="auto"/>
          <w:szCs w:val="24"/>
        </w:rPr>
        <w:t>项目库建设</w:t>
      </w:r>
      <w:r>
        <w:rPr>
          <w:rFonts w:ascii="宋体" w:eastAsia="宋体"/>
          <w:color w:val="auto"/>
          <w:szCs w:val="24"/>
          <w:lang w:val="en-US" w:eastAsia="zh-CN"/>
        </w:rPr>
        <w:t>和</w:t>
      </w:r>
      <w:r>
        <w:rPr>
          <w:rFonts w:ascii="宋体" w:eastAsia="宋体"/>
          <w:color w:val="auto"/>
          <w:szCs w:val="24"/>
        </w:rPr>
        <w:t>“十四五”规划重点项目建设</w:t>
      </w:r>
      <w:r>
        <w:rPr>
          <w:rFonts w:ascii="宋体" w:eastAsia="宋体"/>
          <w:color w:val="auto"/>
          <w:szCs w:val="24"/>
          <w:lang w:val="en-US" w:eastAsia="zh-CN"/>
        </w:rPr>
        <w:t>储备</w:t>
      </w:r>
      <w:r>
        <w:rPr>
          <w:rFonts w:ascii="宋体" w:eastAsia="宋体"/>
          <w:color w:val="auto"/>
          <w:szCs w:val="24"/>
        </w:rPr>
        <w:t>工作</w:t>
      </w:r>
      <w:r>
        <w:rPr>
          <w:rFonts w:ascii="宋体" w:eastAsia="宋体"/>
          <w:color w:val="auto"/>
          <w:szCs w:val="24"/>
          <w:lang w:eastAsia="zh-CN"/>
        </w:rPr>
        <w:t>，</w:t>
      </w:r>
      <w:r>
        <w:rPr>
          <w:rFonts w:ascii="宋体" w:eastAsia="宋体"/>
          <w:color w:val="auto"/>
          <w:szCs w:val="24"/>
          <w:lang w:val="en-US" w:eastAsia="zh-CN"/>
        </w:rPr>
        <w:t>储备乡村振兴项目25个</w:t>
      </w:r>
      <w:r>
        <w:rPr>
          <w:rFonts w:ascii="宋体" w:eastAsia="宋体"/>
          <w:color w:val="FF0000"/>
          <w:szCs w:val="24"/>
          <w:lang w:val="en-US" w:eastAsia="zh-CN"/>
        </w:rPr>
        <w:t>，</w:t>
      </w:r>
      <w:r>
        <w:rPr>
          <w:rFonts w:ascii="宋体" w:eastAsia="宋体"/>
          <w:color w:val="auto"/>
          <w:szCs w:val="24"/>
          <w:lang w:val="en-US" w:eastAsia="zh-CN"/>
        </w:rPr>
        <w:t>未来基础设施建设投入更可持续</w:t>
      </w:r>
      <w:r>
        <w:rPr>
          <w:rFonts w:ascii="宋体" w:eastAsia="宋体"/>
          <w:color w:val="auto"/>
          <w:szCs w:val="24"/>
        </w:rPr>
        <w:t xml:space="preserve">。 </w:t>
      </w:r>
    </w:p>
    <w:p>
      <w:pPr>
        <w:pStyle w:val="11"/>
        <w:spacing w:line="520" w:lineRule="exact"/>
        <w:ind w:firstLine="480" w:firstLineChars="200"/>
        <w:rPr>
          <w:rFonts w:ascii="宋体" w:eastAsia="宋体"/>
          <w:color w:val="auto"/>
          <w:szCs w:val="24"/>
        </w:rPr>
      </w:pPr>
      <w:r>
        <w:rPr>
          <w:rFonts w:ascii="宋体" w:eastAsia="宋体"/>
          <w:color w:val="auto"/>
          <w:szCs w:val="24"/>
        </w:rPr>
        <w:t>（四）持之以恒补短板，人居环境明显改善。</w:t>
      </w:r>
    </w:p>
    <w:p>
      <w:pPr>
        <w:pStyle w:val="11"/>
        <w:spacing w:line="520" w:lineRule="exact"/>
        <w:ind w:firstLine="480" w:firstLineChars="200"/>
        <w:rPr>
          <w:rFonts w:ascii="宋体" w:eastAsia="宋体"/>
          <w:color w:val="auto"/>
          <w:szCs w:val="24"/>
          <w:lang w:val="en-US" w:eastAsia="zh-CN"/>
        </w:rPr>
      </w:pPr>
      <w:r>
        <w:rPr>
          <w:rFonts w:ascii="宋体" w:eastAsia="宋体"/>
          <w:color w:val="auto"/>
          <w:szCs w:val="24"/>
        </w:rPr>
        <w:t>一是</w:t>
      </w:r>
      <w:r>
        <w:rPr>
          <w:rFonts w:ascii="宋体" w:eastAsia="宋体"/>
          <w:color w:val="auto"/>
          <w:szCs w:val="24"/>
          <w:lang w:val="en-US" w:eastAsia="zh-CN"/>
        </w:rPr>
        <w:t>全域环境治理深入推进</w:t>
      </w:r>
      <w:r>
        <w:rPr>
          <w:rFonts w:ascii="宋体" w:eastAsia="宋体"/>
          <w:color w:val="auto"/>
          <w:szCs w:val="24"/>
        </w:rPr>
        <w:t>。在全县率先开展环境</w:t>
      </w:r>
      <w:r>
        <w:rPr>
          <w:rFonts w:ascii="宋体" w:eastAsia="宋体"/>
          <w:color w:val="auto"/>
          <w:szCs w:val="24"/>
          <w:lang w:val="en-US" w:eastAsia="zh-CN"/>
        </w:rPr>
        <w:t>卫生</w:t>
      </w:r>
      <w:r>
        <w:rPr>
          <w:rFonts w:ascii="宋体" w:eastAsia="宋体"/>
          <w:color w:val="auto"/>
          <w:szCs w:val="24"/>
        </w:rPr>
        <w:t>治理网格化，</w:t>
      </w:r>
      <w:r>
        <w:rPr>
          <w:rFonts w:ascii="宋体" w:eastAsia="宋体"/>
          <w:color w:val="auto"/>
          <w:szCs w:val="24"/>
          <w:lang w:val="en-US" w:eastAsia="zh-CN"/>
        </w:rPr>
        <w:t>将</w:t>
      </w:r>
      <w:r>
        <w:rPr>
          <w:rFonts w:ascii="宋体" w:eastAsia="宋体"/>
          <w:color w:val="auto"/>
          <w:szCs w:val="24"/>
        </w:rPr>
        <w:t>全镇</w:t>
      </w:r>
      <w:r>
        <w:rPr>
          <w:rFonts w:ascii="宋体" w:eastAsia="宋体"/>
          <w:color w:val="auto"/>
          <w:szCs w:val="24"/>
          <w:lang w:val="en-US" w:eastAsia="zh-CN"/>
        </w:rPr>
        <w:t>3</w:t>
      </w:r>
      <w:r>
        <w:rPr>
          <w:rFonts w:ascii="宋体" w:eastAsia="宋体"/>
          <w:color w:val="auto"/>
          <w:szCs w:val="24"/>
        </w:rPr>
        <w:t>个行政村</w:t>
      </w:r>
      <w:r>
        <w:rPr>
          <w:rFonts w:ascii="宋体" w:eastAsia="宋体"/>
          <w:color w:val="auto"/>
          <w:szCs w:val="24"/>
          <w:lang w:val="en-US" w:eastAsia="zh-CN"/>
        </w:rPr>
        <w:t>划</w:t>
      </w:r>
      <w:r>
        <w:rPr>
          <w:rFonts w:ascii="宋体" w:eastAsia="宋体"/>
          <w:color w:val="auto"/>
          <w:szCs w:val="24"/>
        </w:rPr>
        <w:t>分</w:t>
      </w:r>
      <w:r>
        <w:rPr>
          <w:rFonts w:ascii="宋体" w:eastAsia="宋体"/>
          <w:color w:val="auto"/>
          <w:szCs w:val="24"/>
          <w:lang w:val="en-US" w:eastAsia="zh-CN"/>
        </w:rPr>
        <w:t>3</w:t>
      </w:r>
      <w:r>
        <w:rPr>
          <w:rFonts w:ascii="宋体" w:eastAsia="宋体"/>
          <w:color w:val="auto"/>
          <w:szCs w:val="24"/>
        </w:rPr>
        <w:t>个网格</w:t>
      </w:r>
      <w:r>
        <w:rPr>
          <w:rFonts w:ascii="宋体" w:eastAsia="宋体"/>
          <w:color w:val="auto"/>
          <w:szCs w:val="24"/>
          <w:lang w:eastAsia="zh-CN"/>
        </w:rPr>
        <w:t>、</w:t>
      </w:r>
      <w:r>
        <w:rPr>
          <w:rFonts w:ascii="宋体" w:eastAsia="宋体"/>
          <w:color w:val="auto"/>
          <w:szCs w:val="24"/>
          <w:lang w:val="en-US" w:eastAsia="zh-CN"/>
        </w:rPr>
        <w:t>212个片区</w:t>
      </w:r>
      <w:r>
        <w:rPr>
          <w:rFonts w:ascii="宋体" w:eastAsia="宋体"/>
          <w:color w:val="auto"/>
          <w:szCs w:val="24"/>
        </w:rPr>
        <w:t>，结合公益性岗位，每个网格</w:t>
      </w:r>
      <w:r>
        <w:rPr>
          <w:rFonts w:ascii="宋体" w:eastAsia="宋体"/>
          <w:color w:val="auto"/>
          <w:szCs w:val="24"/>
          <w:lang w:val="en-US" w:eastAsia="zh-CN"/>
        </w:rPr>
        <w:t>片区</w:t>
      </w:r>
      <w:r>
        <w:rPr>
          <w:rFonts w:ascii="宋体" w:eastAsia="宋体"/>
          <w:color w:val="auto"/>
          <w:szCs w:val="24"/>
        </w:rPr>
        <w:t>设定一名</w:t>
      </w:r>
      <w:r>
        <w:rPr>
          <w:rFonts w:ascii="宋体" w:eastAsia="宋体"/>
          <w:color w:val="auto"/>
          <w:szCs w:val="24"/>
          <w:lang w:val="en-US" w:eastAsia="zh-CN"/>
        </w:rPr>
        <w:t>责任人</w:t>
      </w:r>
      <w:r>
        <w:rPr>
          <w:rFonts w:ascii="宋体" w:eastAsia="宋体"/>
          <w:color w:val="auto"/>
          <w:szCs w:val="24"/>
        </w:rPr>
        <w:t>，拧紧环境治理责任链条；开展</w:t>
      </w:r>
      <w:r>
        <w:rPr>
          <w:rFonts w:ascii="宋体" w:eastAsia="宋体"/>
          <w:color w:val="auto"/>
          <w:szCs w:val="24"/>
          <w:lang w:val="en-US" w:eastAsia="zh-CN"/>
        </w:rPr>
        <w:t>牧户庭院卫生整治专项行动</w:t>
      </w:r>
      <w:r>
        <w:rPr>
          <w:rFonts w:ascii="宋体" w:eastAsia="宋体"/>
          <w:color w:val="auto"/>
          <w:szCs w:val="24"/>
        </w:rPr>
        <w:t>，</w:t>
      </w:r>
      <w:r>
        <w:rPr>
          <w:rFonts w:ascii="宋体" w:eastAsia="宋体"/>
          <w:color w:val="auto"/>
          <w:szCs w:val="24"/>
          <w:lang w:val="en-US" w:eastAsia="zh-CN"/>
        </w:rPr>
        <w:t>以点带面</w:t>
      </w:r>
      <w:r>
        <w:rPr>
          <w:rFonts w:ascii="宋体" w:eastAsia="宋体"/>
          <w:color w:val="auto"/>
          <w:szCs w:val="24"/>
        </w:rPr>
        <w:t>，实现</w:t>
      </w:r>
      <w:r>
        <w:rPr>
          <w:rFonts w:ascii="宋体" w:eastAsia="宋体"/>
          <w:color w:val="auto"/>
          <w:szCs w:val="24"/>
          <w:lang w:val="en-US" w:eastAsia="zh-CN"/>
        </w:rPr>
        <w:t>卫生面貌整体改观</w:t>
      </w:r>
      <w:r>
        <w:rPr>
          <w:rFonts w:ascii="宋体" w:eastAsia="宋体"/>
          <w:color w:val="auto"/>
          <w:szCs w:val="24"/>
        </w:rPr>
        <w:t>。二是厕所革命成效显著。</w:t>
      </w:r>
      <w:r>
        <w:rPr>
          <w:rFonts w:ascii="宋体" w:eastAsia="宋体"/>
          <w:color w:val="auto"/>
          <w:szCs w:val="24"/>
          <w:lang w:val="en-US" w:eastAsia="zh-CN"/>
        </w:rPr>
        <w:t>累计</w:t>
      </w:r>
      <w:r>
        <w:rPr>
          <w:rFonts w:ascii="宋体" w:eastAsia="宋体"/>
          <w:color w:val="auto"/>
          <w:szCs w:val="24"/>
        </w:rPr>
        <w:t>完成厕所改造</w:t>
      </w:r>
      <w:r>
        <w:rPr>
          <w:rFonts w:ascii="宋体" w:eastAsia="宋体"/>
          <w:color w:val="auto"/>
          <w:szCs w:val="24"/>
          <w:lang w:val="en-US" w:eastAsia="zh-CN"/>
        </w:rPr>
        <w:t>33</w:t>
      </w:r>
      <w:r>
        <w:rPr>
          <w:rFonts w:ascii="宋体" w:eastAsia="宋体"/>
          <w:color w:val="auto"/>
          <w:szCs w:val="24"/>
        </w:rPr>
        <w:t>座，完成率达100%。三是违建治理稳步推进。抓住问题关键对症下药，力争违法建设存量递减、杜绝新增。</w:t>
      </w:r>
      <w:r>
        <w:rPr>
          <w:rFonts w:ascii="宋体" w:eastAsia="宋体"/>
          <w:color w:val="auto"/>
          <w:szCs w:val="24"/>
          <w:lang w:val="en-US" w:eastAsia="zh-CN"/>
        </w:rPr>
        <w:t>5年来</w:t>
      </w:r>
      <w:r>
        <w:rPr>
          <w:rFonts w:ascii="宋体" w:eastAsia="宋体"/>
          <w:color w:val="auto"/>
          <w:szCs w:val="24"/>
        </w:rPr>
        <w:t>，全镇</w:t>
      </w:r>
      <w:r>
        <w:rPr>
          <w:rFonts w:ascii="宋体" w:eastAsia="宋体"/>
          <w:color w:val="auto"/>
          <w:szCs w:val="24"/>
          <w:lang w:val="en-US" w:eastAsia="zh-CN"/>
        </w:rPr>
        <w:t>劝阻违建行为600余起，整治</w:t>
      </w:r>
      <w:r>
        <w:rPr>
          <w:rFonts w:ascii="宋体" w:eastAsia="宋体"/>
          <w:color w:val="auto"/>
          <w:szCs w:val="24"/>
        </w:rPr>
        <w:t>彩钢房</w:t>
      </w:r>
      <w:r>
        <w:rPr>
          <w:rFonts w:ascii="宋体" w:eastAsia="宋体"/>
          <w:color w:val="auto"/>
          <w:szCs w:val="24"/>
          <w:lang w:val="en-US" w:eastAsia="zh-CN"/>
        </w:rPr>
        <w:t>200余</w:t>
      </w:r>
      <w:r>
        <w:rPr>
          <w:rFonts w:ascii="宋体" w:eastAsia="宋体"/>
          <w:color w:val="auto"/>
          <w:szCs w:val="24"/>
        </w:rPr>
        <w:t>间。四是生态环境不断改善。全面落实“河</w:t>
      </w:r>
      <w:r>
        <w:rPr>
          <w:rFonts w:ascii="宋体" w:eastAsia="宋体"/>
          <w:color w:val="auto"/>
          <w:szCs w:val="24"/>
          <w:lang w:val="en-US" w:eastAsia="zh-CN"/>
        </w:rPr>
        <w:t>湖</w:t>
      </w:r>
      <w:r>
        <w:rPr>
          <w:rFonts w:ascii="宋体" w:eastAsia="宋体"/>
          <w:color w:val="auto"/>
          <w:szCs w:val="24"/>
        </w:rPr>
        <w:t>长制”，坚持领导带头，定期召开“河长制”会议，强化</w:t>
      </w:r>
      <w:r>
        <w:rPr>
          <w:rFonts w:ascii="宋体" w:eastAsia="宋体"/>
          <w:color w:val="auto"/>
          <w:szCs w:val="24"/>
          <w:lang w:val="en-US" w:eastAsia="zh-CN"/>
        </w:rPr>
        <w:t>巡河</w:t>
      </w:r>
      <w:r>
        <w:rPr>
          <w:rFonts w:ascii="宋体" w:eastAsia="宋体"/>
          <w:color w:val="auto"/>
          <w:szCs w:val="24"/>
        </w:rPr>
        <w:t>责任，强力开展侵占河道、堤坡等清理行动，确保水资源治理常态化。</w:t>
      </w:r>
      <w:r>
        <w:rPr>
          <w:rFonts w:ascii="宋体" w:eastAsia="宋体"/>
          <w:color w:val="auto"/>
          <w:szCs w:val="24"/>
          <w:lang w:val="en-US" w:eastAsia="zh-CN"/>
        </w:rPr>
        <w:t>高效完成了省州县反馈的环保问题整改工作。</w:t>
      </w:r>
    </w:p>
    <w:p>
      <w:pPr>
        <w:pStyle w:val="11"/>
        <w:spacing w:line="520" w:lineRule="exact"/>
        <w:ind w:firstLine="480" w:firstLineChars="200"/>
        <w:rPr>
          <w:rFonts w:ascii="宋体" w:eastAsia="宋体"/>
          <w:color w:val="auto"/>
          <w:szCs w:val="24"/>
        </w:rPr>
      </w:pPr>
      <w:r>
        <w:rPr>
          <w:rFonts w:ascii="宋体" w:eastAsia="宋体"/>
          <w:color w:val="auto"/>
          <w:szCs w:val="24"/>
        </w:rPr>
        <w:t>(五）千方百计惠民生，社会事业全面进步。</w:t>
      </w:r>
    </w:p>
    <w:p>
      <w:pPr>
        <w:pStyle w:val="11"/>
        <w:spacing w:line="520" w:lineRule="exact"/>
        <w:ind w:firstLine="480" w:firstLineChars="200"/>
        <w:rPr>
          <w:rFonts w:ascii="宋体" w:eastAsia="宋体"/>
          <w:color w:val="auto"/>
          <w:szCs w:val="24"/>
        </w:rPr>
      </w:pPr>
      <w:r>
        <w:rPr>
          <w:rFonts w:ascii="宋体" w:eastAsia="宋体"/>
          <w:color w:val="auto"/>
          <w:szCs w:val="24"/>
        </w:rPr>
        <w:t>一是疫情防控建立常态化机制。坚持外防输入、内防反弹，切实做好重点人群排查管控、健康监测和预防诊治，严把“分类隔离观察、排查管控、发热门诊筛查”三道关口。</w:t>
      </w:r>
      <w:r>
        <w:rPr>
          <w:rFonts w:ascii="宋体" w:eastAsia="宋体"/>
          <w:color w:val="auto"/>
          <w:szCs w:val="24"/>
          <w:lang w:val="en-US" w:eastAsia="zh-CN"/>
        </w:rPr>
        <w:t>以定居点、</w:t>
      </w:r>
      <w:r>
        <w:rPr>
          <w:rFonts w:ascii="宋体" w:eastAsia="宋体"/>
          <w:color w:val="auto"/>
          <w:szCs w:val="24"/>
        </w:rPr>
        <w:t>学校</w:t>
      </w:r>
      <w:r>
        <w:rPr>
          <w:rFonts w:ascii="宋体" w:eastAsia="宋体"/>
          <w:color w:val="auto"/>
          <w:szCs w:val="24"/>
          <w:lang w:eastAsia="zh-CN"/>
        </w:rPr>
        <w:t>、</w:t>
      </w:r>
      <w:r>
        <w:rPr>
          <w:rFonts w:ascii="宋体" w:eastAsia="宋体"/>
          <w:color w:val="auto"/>
          <w:szCs w:val="24"/>
          <w:lang w:val="en-US" w:eastAsia="zh-CN"/>
        </w:rPr>
        <w:t>寺庙</w:t>
      </w:r>
      <w:r>
        <w:rPr>
          <w:rFonts w:ascii="宋体" w:eastAsia="宋体"/>
          <w:color w:val="auto"/>
          <w:szCs w:val="24"/>
        </w:rPr>
        <w:t>为重点，全面落实属地防控责任，推行日常监测管理常态化、网格化、信息化，</w:t>
      </w:r>
      <w:r>
        <w:rPr>
          <w:rFonts w:ascii="宋体" w:eastAsia="宋体"/>
          <w:color w:val="auto"/>
          <w:szCs w:val="24"/>
          <w:lang w:val="en-US" w:eastAsia="zh-CN"/>
        </w:rPr>
        <w:t>围绕冷链管理、活动管控、疫苗接种等方面</w:t>
      </w:r>
      <w:r>
        <w:rPr>
          <w:rFonts w:ascii="宋体" w:eastAsia="宋体"/>
          <w:color w:val="auto"/>
          <w:szCs w:val="24"/>
        </w:rPr>
        <w:t>切实</w:t>
      </w:r>
      <w:r>
        <w:rPr>
          <w:rFonts w:ascii="宋体" w:eastAsia="宋体"/>
          <w:color w:val="auto"/>
          <w:szCs w:val="24"/>
          <w:lang w:val="en-US" w:eastAsia="zh-CN"/>
        </w:rPr>
        <w:t>加强</w:t>
      </w:r>
      <w:r>
        <w:rPr>
          <w:rFonts w:ascii="宋体" w:eastAsia="宋体"/>
          <w:color w:val="auto"/>
          <w:szCs w:val="24"/>
        </w:rPr>
        <w:t>疫情防控，确保无盲区、无死角，不断总结完善常态化防控的制度机制，巩固稳定向防控态势。</w:t>
      </w:r>
      <w:r>
        <w:rPr>
          <w:rFonts w:ascii="宋体" w:eastAsia="宋体"/>
          <w:color w:val="auto"/>
          <w:szCs w:val="24"/>
          <w:lang w:val="en-US" w:eastAsia="zh-CN"/>
        </w:rPr>
        <w:t>二</w:t>
      </w:r>
      <w:r>
        <w:rPr>
          <w:rFonts w:ascii="宋体" w:eastAsia="宋体"/>
          <w:color w:val="auto"/>
          <w:szCs w:val="24"/>
        </w:rPr>
        <w:t>是社会保障全面提升。始终坚持“以人为本、规范管理”的工作理念，城乡社会养老保险</w:t>
      </w:r>
      <w:r>
        <w:rPr>
          <w:rFonts w:ascii="宋体" w:eastAsia="宋体"/>
          <w:color w:val="auto"/>
          <w:szCs w:val="24"/>
          <w:lang w:val="en-US" w:eastAsia="zh-CN"/>
        </w:rPr>
        <w:t>和</w:t>
      </w:r>
      <w:r>
        <w:rPr>
          <w:rFonts w:ascii="宋体" w:eastAsia="宋体"/>
          <w:color w:val="auto"/>
          <w:szCs w:val="24"/>
        </w:rPr>
        <w:t>农村医疗保险</w:t>
      </w:r>
      <w:r>
        <w:rPr>
          <w:rFonts w:ascii="宋体" w:eastAsia="宋体"/>
          <w:color w:val="auto"/>
          <w:szCs w:val="24"/>
          <w:lang w:val="en-US" w:eastAsia="zh-CN"/>
        </w:rPr>
        <w:t>参保率稳步提升。医疗救助、社会救助、教育资助、残疾关爱、五保低保等工作常态推进。完成一卡通专项治理。</w:t>
      </w:r>
      <w:r>
        <w:rPr>
          <w:rFonts w:ascii="宋体" w:eastAsia="宋体"/>
          <w:color w:val="auto"/>
          <w:szCs w:val="24"/>
        </w:rPr>
        <w:t>省州县各项强农惠农</w:t>
      </w:r>
      <w:r>
        <w:rPr>
          <w:rFonts w:ascii="宋体" w:eastAsia="宋体"/>
          <w:color w:val="auto"/>
          <w:szCs w:val="24"/>
          <w:lang w:val="en-US" w:eastAsia="zh-CN"/>
        </w:rPr>
        <w:t>补贴</w:t>
      </w:r>
      <w:r>
        <w:rPr>
          <w:rFonts w:ascii="宋体" w:eastAsia="宋体"/>
          <w:color w:val="auto"/>
          <w:szCs w:val="24"/>
        </w:rPr>
        <w:t>资金</w:t>
      </w:r>
      <w:r>
        <w:rPr>
          <w:rFonts w:ascii="宋体" w:eastAsia="宋体"/>
          <w:color w:val="auto"/>
          <w:szCs w:val="24"/>
          <w:lang w:val="en-US" w:eastAsia="zh-CN"/>
        </w:rPr>
        <w:t>全部按期发放到位</w:t>
      </w:r>
      <w:r>
        <w:rPr>
          <w:rFonts w:ascii="宋体" w:eastAsia="宋体"/>
          <w:color w:val="auto"/>
          <w:szCs w:val="24"/>
        </w:rPr>
        <w:t>。</w:t>
      </w:r>
      <w:r>
        <w:rPr>
          <w:rFonts w:ascii="宋体" w:eastAsia="宋体"/>
          <w:color w:val="auto"/>
          <w:szCs w:val="24"/>
          <w:lang w:val="en-US" w:eastAsia="zh-CN"/>
        </w:rPr>
        <w:t>三是</w:t>
      </w:r>
      <w:r>
        <w:rPr>
          <w:rFonts w:ascii="宋体" w:eastAsia="宋体"/>
          <w:color w:val="auto"/>
          <w:szCs w:val="24"/>
        </w:rPr>
        <w:t>安全生产常抓不懈。牢固树立安全发展理念，大力推行“党政同责、一岗双责”制度，强化重点领域隐患排查整治，强化各个领域的安全生产监管，扎实推进安全生产标准化提升工程，深入宣传贯彻《安全生产法》，全镇安全生产形势总体保持稳定。</w:t>
      </w:r>
      <w:r>
        <w:rPr>
          <w:rFonts w:ascii="宋体" w:eastAsia="宋体"/>
          <w:color w:val="auto"/>
          <w:szCs w:val="24"/>
          <w:lang w:val="en-US" w:eastAsia="zh-CN"/>
        </w:rPr>
        <w:t>四是</w:t>
      </w:r>
      <w:r>
        <w:rPr>
          <w:rFonts w:ascii="宋体" w:eastAsia="宋体"/>
          <w:color w:val="auto"/>
          <w:szCs w:val="24"/>
        </w:rPr>
        <w:t>文化事业蓬勃发展。大力推进社会主义核心价值观教育，持续开展对党的十九大精神、</w:t>
      </w:r>
      <w:r>
        <w:rPr>
          <w:rFonts w:ascii="宋体" w:eastAsia="宋体"/>
          <w:color w:val="auto"/>
          <w:szCs w:val="24"/>
          <w:lang w:val="en-US" w:eastAsia="zh-CN"/>
        </w:rPr>
        <w:t>省州全会精神和</w:t>
      </w:r>
      <w:r>
        <w:rPr>
          <w:rFonts w:ascii="宋体" w:eastAsia="宋体"/>
          <w:color w:val="auto"/>
          <w:szCs w:val="24"/>
        </w:rPr>
        <w:t>习近平总书记关于打赢打好脱贫攻坚战的相关指示精神、脱贫攻坚</w:t>
      </w:r>
      <w:r>
        <w:rPr>
          <w:rFonts w:ascii="宋体" w:eastAsia="宋体"/>
          <w:color w:val="auto"/>
          <w:szCs w:val="24"/>
          <w:lang w:eastAsia="zh-CN"/>
        </w:rPr>
        <w:t>、</w:t>
      </w:r>
      <w:r>
        <w:rPr>
          <w:rFonts w:ascii="宋体" w:eastAsia="宋体"/>
          <w:color w:val="auto"/>
          <w:szCs w:val="24"/>
          <w:lang w:val="en-US" w:eastAsia="zh-CN"/>
        </w:rPr>
        <w:t>基层治理</w:t>
      </w:r>
      <w:r>
        <w:rPr>
          <w:rFonts w:ascii="宋体" w:eastAsia="宋体"/>
          <w:color w:val="auto"/>
          <w:szCs w:val="24"/>
        </w:rPr>
        <w:t>等重大主题的宣传报道。</w:t>
      </w:r>
      <w:r>
        <w:rPr>
          <w:rFonts w:ascii="宋体" w:eastAsia="宋体"/>
          <w:color w:val="auto"/>
          <w:szCs w:val="24"/>
          <w:lang w:val="en-US" w:eastAsia="zh-CN"/>
        </w:rPr>
        <w:t>纵深推进</w:t>
      </w:r>
      <w:r>
        <w:rPr>
          <w:rFonts w:hint="eastAsia" w:ascii="宋体" w:eastAsia="宋体"/>
          <w:color w:val="auto"/>
          <w:szCs w:val="24"/>
          <w:lang w:eastAsia="zh-CN"/>
        </w:rPr>
        <w:t>“七五”普法</w:t>
      </w:r>
      <w:r>
        <w:rPr>
          <w:rFonts w:ascii="宋体" w:eastAsia="宋体"/>
          <w:color w:val="auto"/>
          <w:szCs w:val="24"/>
          <w:lang w:val="en-US" w:eastAsia="zh-CN"/>
        </w:rPr>
        <w:t>深化</w:t>
      </w:r>
      <w:r>
        <w:rPr>
          <w:rFonts w:ascii="宋体" w:eastAsia="宋体"/>
          <w:color w:val="auto"/>
          <w:szCs w:val="24"/>
        </w:rPr>
        <w:t xml:space="preserve">法治建设、禁毒、普法等宣传，同时在各行政村全覆盖宣传标语，使尚法、守法、用法的观念深入人心，并加大对镇文化站基础设施和农牧村文化书屋建设。 </w:t>
      </w:r>
    </w:p>
    <w:p>
      <w:pPr>
        <w:pStyle w:val="11"/>
        <w:spacing w:line="520" w:lineRule="exact"/>
        <w:ind w:firstLine="480" w:firstLineChars="200"/>
        <w:rPr>
          <w:rFonts w:ascii="宋体" w:eastAsia="宋体"/>
          <w:color w:val="auto"/>
          <w:szCs w:val="24"/>
        </w:rPr>
      </w:pPr>
      <w:r>
        <w:rPr>
          <w:rFonts w:ascii="宋体" w:eastAsia="宋体"/>
          <w:color w:val="auto"/>
          <w:szCs w:val="24"/>
        </w:rPr>
        <w:t>（六）锲而不舍保稳定，社会大局和谐安宁。一是完善矛盾化解机制。按照“属地管理、分级负责”的原则，积极推行信访、司法、民调、综治</w:t>
      </w:r>
      <w:r>
        <w:rPr>
          <w:rFonts w:ascii="宋体" w:eastAsia="宋体"/>
          <w:color w:val="auto"/>
          <w:szCs w:val="24"/>
          <w:lang w:eastAsia="zh-CN"/>
        </w:rPr>
        <w:t>、</w:t>
      </w:r>
      <w:r>
        <w:rPr>
          <w:rFonts w:ascii="宋体" w:eastAsia="宋体"/>
          <w:color w:val="auto"/>
          <w:szCs w:val="24"/>
          <w:lang w:val="en-US" w:eastAsia="zh-CN"/>
        </w:rPr>
        <w:t>网格</w:t>
      </w:r>
      <w:r>
        <w:rPr>
          <w:rFonts w:ascii="宋体" w:eastAsia="宋体"/>
          <w:color w:val="auto"/>
          <w:szCs w:val="24"/>
        </w:rPr>
        <w:t>“</w:t>
      </w:r>
      <w:r>
        <w:rPr>
          <w:rFonts w:ascii="宋体" w:eastAsia="宋体"/>
          <w:color w:val="auto"/>
          <w:szCs w:val="24"/>
          <w:lang w:val="en-US" w:eastAsia="zh-CN"/>
        </w:rPr>
        <w:t>五</w:t>
      </w:r>
      <w:r>
        <w:rPr>
          <w:rFonts w:ascii="宋体" w:eastAsia="宋体"/>
          <w:color w:val="auto"/>
          <w:szCs w:val="24"/>
        </w:rPr>
        <w:t>位一体”的工作机制，认真开展各类矛盾纠纷排查化解，及时解决各种信访问题，群体上访和越级上访事件的发生，确保小事不出村，大事不出镇，矛盾不上交。</w:t>
      </w:r>
      <w:r>
        <w:rPr>
          <w:rFonts w:ascii="宋体" w:eastAsia="宋体"/>
          <w:color w:val="auto"/>
          <w:szCs w:val="24"/>
          <w:lang w:val="en-US" w:eastAsia="zh-CN"/>
        </w:rPr>
        <w:t>累计</w:t>
      </w:r>
      <w:r>
        <w:rPr>
          <w:rFonts w:ascii="宋体" w:eastAsia="宋体"/>
          <w:color w:val="auto"/>
          <w:szCs w:val="24"/>
        </w:rPr>
        <w:t>化解案件</w:t>
      </w:r>
      <w:r>
        <w:rPr>
          <w:rFonts w:ascii="宋体" w:eastAsia="宋体"/>
          <w:color w:val="auto"/>
          <w:szCs w:val="24"/>
          <w:lang w:val="en-US" w:eastAsia="zh-CN"/>
        </w:rPr>
        <w:t>12</w:t>
      </w:r>
      <w:r>
        <w:rPr>
          <w:rFonts w:ascii="宋体" w:eastAsia="宋体"/>
          <w:color w:val="auto"/>
          <w:szCs w:val="24"/>
        </w:rPr>
        <w:t>件。二是社会管理体系全面加强。建立健全生产安全、食品药品安全、环境安全、网络安全“四位一体”的公共安全体系。依托镇综治办、司法所和派出所等职能部门，全面推进网格化管理，深入推进平安</w:t>
      </w:r>
      <w:r>
        <w:rPr>
          <w:rFonts w:ascii="宋体" w:eastAsia="宋体"/>
          <w:color w:val="auto"/>
          <w:szCs w:val="24"/>
          <w:lang w:eastAsia="zh-CN"/>
        </w:rPr>
        <w:t>色地</w:t>
      </w:r>
      <w:r>
        <w:rPr>
          <w:rFonts w:ascii="宋体" w:eastAsia="宋体"/>
          <w:color w:val="auto"/>
          <w:szCs w:val="24"/>
        </w:rPr>
        <w:t xml:space="preserve">建设。深入开展“七五”普法工作，特别加强对青少年、未成年人的公德教育和法制教育，持续推进“扫黑除恶”专项斗争，严厉打击各类违法犯罪，坚决防止各类公共安全事故的发生，有效巩固平安建设成果。 </w:t>
      </w:r>
    </w:p>
    <w:p>
      <w:pPr>
        <w:pStyle w:val="11"/>
        <w:spacing w:line="520" w:lineRule="exact"/>
        <w:ind w:firstLine="480" w:firstLineChars="200"/>
        <w:rPr>
          <w:rFonts w:ascii="宋体" w:eastAsia="宋体"/>
          <w:color w:val="auto"/>
          <w:szCs w:val="24"/>
        </w:rPr>
      </w:pPr>
      <w:r>
        <w:rPr>
          <w:rFonts w:ascii="宋体" w:eastAsia="宋体"/>
          <w:color w:val="auto"/>
          <w:szCs w:val="24"/>
        </w:rPr>
        <w:t>（七）坚定不移守初心，自身建设不断加强。</w:t>
      </w:r>
      <w:r>
        <w:rPr>
          <w:rFonts w:ascii="宋体" w:eastAsia="宋体"/>
          <w:color w:val="auto"/>
          <w:szCs w:val="24"/>
          <w:lang w:val="en-US" w:eastAsia="zh-CN"/>
        </w:rPr>
        <w:t>5年</w:t>
      </w:r>
      <w:r>
        <w:rPr>
          <w:rFonts w:ascii="宋体" w:eastAsia="宋体"/>
          <w:color w:val="auto"/>
          <w:szCs w:val="24"/>
        </w:rPr>
        <w:t>来，我们致力于提高行政效能，突出改作风、转职能、促落实，自身建设在职能转变中展现新气象。一是全面深化依法行政。制定出台重大事项议事决策规则，自觉接受镇人大法律监督、工作监督，高标准办结人大代表建议</w:t>
      </w:r>
      <w:r>
        <w:rPr>
          <w:rFonts w:ascii="宋体" w:eastAsia="宋体"/>
          <w:color w:val="auto"/>
          <w:szCs w:val="24"/>
          <w:lang w:val="en-US" w:eastAsia="zh-CN"/>
        </w:rPr>
        <w:t>33</w:t>
      </w:r>
      <w:r>
        <w:rPr>
          <w:rFonts w:ascii="宋体" w:eastAsia="宋体"/>
          <w:color w:val="auto"/>
          <w:szCs w:val="24"/>
        </w:rPr>
        <w:t>件,办结率100%，人大代表满意率达到100%。二是扎实改进工作作风。围绕重点项目、脱贫攻坚、厕所革命等重点工作，开展各类察访，广泛深入各村开展调研，在一线发现问题、解决问题，促进了政府工作提速增效。三是深入开展党风廉政建设。严格落实一岗双责、党政同责，坚持立足全面，既突出关键少数又面向全体党员，强化班子成员对各自分管领域党风廉政建设责任，确保管党治党有重点、无盲区。旗帜鲜明支持镇纪委执纪问责，</w:t>
      </w:r>
      <w:r>
        <w:rPr>
          <w:rFonts w:ascii="宋体" w:eastAsia="宋体"/>
          <w:color w:val="auto"/>
          <w:szCs w:val="24"/>
          <w:lang w:val="en-US" w:eastAsia="zh-CN"/>
        </w:rPr>
        <w:t>以“三察三治”为载体，</w:t>
      </w:r>
      <w:r>
        <w:rPr>
          <w:rFonts w:ascii="宋体" w:eastAsia="宋体"/>
          <w:color w:val="auto"/>
          <w:szCs w:val="24"/>
        </w:rPr>
        <w:t xml:space="preserve">加大对脱贫攻坚、项目建设等重点工作以及涉及群众利益问题监督检查力度，做到问题早发现、早提醒、早处置。 </w:t>
      </w:r>
    </w:p>
    <w:p>
      <w:pPr>
        <w:pStyle w:val="11"/>
        <w:spacing w:line="520" w:lineRule="exact"/>
        <w:ind w:firstLine="480" w:firstLineChars="200"/>
        <w:rPr>
          <w:rFonts w:ascii="宋体" w:eastAsia="宋体"/>
          <w:color w:val="auto"/>
          <w:szCs w:val="24"/>
        </w:rPr>
      </w:pPr>
      <w:r>
        <w:rPr>
          <w:rFonts w:ascii="宋体" w:eastAsia="宋体"/>
          <w:color w:val="auto"/>
          <w:szCs w:val="24"/>
          <w:lang w:val="en-US" w:eastAsia="zh-CN"/>
        </w:rPr>
        <w:t>5年</w:t>
      </w:r>
      <w:r>
        <w:rPr>
          <w:rFonts w:ascii="宋体" w:eastAsia="宋体"/>
          <w:color w:val="auto"/>
          <w:szCs w:val="24"/>
        </w:rPr>
        <w:t>来经济社会发展和今年取得的成绩，归功于县委县政府和镇党委的正确领导，归功于镇人大有效监督、大力支持和全体代表的共同努力，归功于全镇干部群众及社会各界的大力支持。我代表镇政府，向全镇干部群众表示崇高的敬意！向关心</w:t>
      </w:r>
      <w:r>
        <w:rPr>
          <w:rFonts w:ascii="宋体" w:eastAsia="宋体"/>
          <w:color w:val="auto"/>
          <w:szCs w:val="24"/>
          <w:lang w:eastAsia="zh-CN"/>
        </w:rPr>
        <w:t>色地</w:t>
      </w:r>
      <w:r>
        <w:rPr>
          <w:rFonts w:ascii="宋体" w:eastAsia="宋体"/>
          <w:color w:val="auto"/>
          <w:szCs w:val="24"/>
        </w:rPr>
        <w:t>发展的领导及社会各界人士表示衷心的感谢！</w:t>
      </w:r>
    </w:p>
    <w:p>
      <w:pPr>
        <w:pStyle w:val="11"/>
        <w:spacing w:line="520" w:lineRule="exact"/>
        <w:ind w:firstLine="480" w:firstLineChars="200"/>
        <w:rPr>
          <w:rFonts w:ascii="宋体" w:eastAsia="宋体"/>
          <w:color w:val="auto"/>
          <w:szCs w:val="24"/>
        </w:rPr>
      </w:pPr>
      <w:r>
        <w:rPr>
          <w:rFonts w:ascii="宋体" w:eastAsia="宋体"/>
          <w:color w:val="auto"/>
          <w:szCs w:val="24"/>
        </w:rPr>
        <w:t>在充分肯定成绩的同时，我们也清醒地认识到当前的困难和挑战，主要表现在：</w:t>
      </w:r>
      <w:r>
        <w:rPr>
          <w:rFonts w:ascii="宋体" w:eastAsia="宋体"/>
          <w:color w:val="auto"/>
          <w:szCs w:val="24"/>
          <w:lang w:val="en-US" w:eastAsia="zh-CN"/>
        </w:rPr>
        <w:t>乡村振兴</w:t>
      </w:r>
      <w:r>
        <w:rPr>
          <w:rFonts w:ascii="宋体" w:eastAsia="宋体"/>
          <w:color w:val="auto"/>
          <w:szCs w:val="24"/>
        </w:rPr>
        <w:t>还存在一些急需整改的问题</w:t>
      </w:r>
      <w:r>
        <w:rPr>
          <w:rFonts w:ascii="宋体" w:eastAsia="宋体"/>
          <w:color w:val="auto"/>
          <w:szCs w:val="24"/>
          <w:lang w:eastAsia="zh-CN"/>
        </w:rPr>
        <w:t>，</w:t>
      </w:r>
      <w:r>
        <w:rPr>
          <w:rFonts w:ascii="宋体" w:eastAsia="宋体"/>
          <w:color w:val="auto"/>
          <w:szCs w:val="24"/>
          <w:lang w:val="en-US" w:eastAsia="zh-CN"/>
        </w:rPr>
        <w:t>返贫风险依然存在，集体经济发展、群众就业增收</w:t>
      </w:r>
      <w:r>
        <w:rPr>
          <w:rFonts w:ascii="宋体" w:eastAsia="宋体"/>
          <w:color w:val="auto"/>
          <w:szCs w:val="24"/>
        </w:rPr>
        <w:t>等方面还有短板弱项</w:t>
      </w:r>
      <w:r>
        <w:rPr>
          <w:rFonts w:ascii="宋体" w:eastAsia="宋体"/>
          <w:color w:val="auto"/>
          <w:szCs w:val="24"/>
          <w:lang w:eastAsia="zh-CN"/>
        </w:rPr>
        <w:t>，</w:t>
      </w:r>
      <w:r>
        <w:rPr>
          <w:rFonts w:ascii="宋体" w:eastAsia="宋体"/>
          <w:color w:val="auto"/>
          <w:szCs w:val="24"/>
        </w:rPr>
        <w:t>脱贫成果还需进一步巩固提升</w:t>
      </w:r>
      <w:r>
        <w:rPr>
          <w:rFonts w:ascii="宋体" w:eastAsia="宋体"/>
          <w:color w:val="auto"/>
          <w:szCs w:val="24"/>
          <w:lang w:eastAsia="zh-CN"/>
        </w:rPr>
        <w:t>。</w:t>
      </w:r>
      <w:r>
        <w:rPr>
          <w:rFonts w:ascii="宋体" w:eastAsia="宋体"/>
          <w:color w:val="auto"/>
          <w:szCs w:val="24"/>
        </w:rPr>
        <w:t>由于基本公共服务不平衡、不充分，基础设施和公共服务还有</w:t>
      </w:r>
      <w:r>
        <w:rPr>
          <w:rFonts w:ascii="宋体" w:eastAsia="宋体"/>
          <w:color w:val="auto"/>
          <w:szCs w:val="24"/>
          <w:lang w:val="en-US" w:eastAsia="zh-CN"/>
        </w:rPr>
        <w:t>一些</w:t>
      </w:r>
      <w:r>
        <w:rPr>
          <w:rFonts w:ascii="宋体" w:eastAsia="宋体"/>
          <w:color w:val="auto"/>
          <w:szCs w:val="24"/>
        </w:rPr>
        <w:t xml:space="preserve">短板，应急能力建设有待加强，民生保障水平有待提高，一些工作还没有很好完成，自身建设方面，少数干部主动思考、主动履职的意识不强，解决问题、服务为民的能力不够，积极作为、争先进位的工作氛围不浓。对于这些问题，我们一定要高度重视、深入研究、迎难而上，采取更加务实有效的举措切实加以解决。 </w:t>
      </w:r>
    </w:p>
    <w:p>
      <w:pPr>
        <w:pStyle w:val="11"/>
        <w:spacing w:line="520" w:lineRule="exact"/>
        <w:ind w:firstLine="480" w:firstLineChars="200"/>
        <w:rPr>
          <w:rFonts w:ascii="宋体" w:eastAsia="宋体"/>
          <w:color w:val="auto"/>
          <w:szCs w:val="24"/>
        </w:rPr>
      </w:pPr>
      <w:r>
        <w:rPr>
          <w:rFonts w:ascii="宋体" w:eastAsia="宋体"/>
          <w:color w:val="auto"/>
          <w:szCs w:val="24"/>
          <w:lang w:val="en-US" w:eastAsia="zh-CN"/>
        </w:rPr>
        <w:t>今后五年</w:t>
      </w:r>
      <w:r>
        <w:rPr>
          <w:rFonts w:ascii="宋体" w:eastAsia="宋体"/>
          <w:color w:val="auto"/>
          <w:szCs w:val="24"/>
        </w:rPr>
        <w:t>政府主要工作目标（一）凝心聚力</w:t>
      </w:r>
      <w:r>
        <w:rPr>
          <w:rFonts w:ascii="宋体" w:eastAsia="宋体"/>
          <w:color w:val="auto"/>
          <w:szCs w:val="24"/>
          <w:lang w:val="en-US" w:eastAsia="zh-CN"/>
        </w:rPr>
        <w:t>抓实成效巩固</w:t>
      </w:r>
      <w:r>
        <w:rPr>
          <w:rFonts w:ascii="宋体" w:eastAsia="宋体"/>
          <w:color w:val="auto"/>
          <w:szCs w:val="24"/>
        </w:rPr>
        <w:t>，让</w:t>
      </w:r>
      <w:r>
        <w:rPr>
          <w:rFonts w:ascii="宋体" w:eastAsia="宋体"/>
          <w:color w:val="auto"/>
          <w:szCs w:val="24"/>
          <w:lang w:val="en-US" w:eastAsia="zh-CN"/>
        </w:rPr>
        <w:t>脱贫成果</w:t>
      </w:r>
      <w:r>
        <w:rPr>
          <w:rFonts w:ascii="宋体" w:eastAsia="宋体"/>
          <w:color w:val="auto"/>
          <w:szCs w:val="24"/>
        </w:rPr>
        <w:t>在长效机制中</w:t>
      </w:r>
      <w:r>
        <w:rPr>
          <w:rFonts w:ascii="宋体" w:eastAsia="宋体"/>
          <w:color w:val="auto"/>
          <w:szCs w:val="24"/>
          <w:lang w:val="en-US" w:eastAsia="zh-CN"/>
        </w:rPr>
        <w:t>巩固拓展</w:t>
      </w:r>
      <w:r>
        <w:rPr>
          <w:rFonts w:ascii="宋体" w:eastAsia="宋体"/>
          <w:color w:val="auto"/>
          <w:szCs w:val="24"/>
        </w:rPr>
        <w:t>。</w:t>
      </w:r>
      <w:r>
        <w:rPr>
          <w:rFonts w:ascii="宋体" w:eastAsia="宋体"/>
          <w:color w:val="auto"/>
          <w:szCs w:val="24"/>
          <w:lang w:val="en-US" w:eastAsia="zh-CN"/>
        </w:rPr>
        <w:t>把握乡村振兴省级重点帮扶机遇，</w:t>
      </w:r>
      <w:r>
        <w:rPr>
          <w:rFonts w:ascii="宋体" w:eastAsia="宋体"/>
          <w:color w:val="auto"/>
          <w:szCs w:val="24"/>
        </w:rPr>
        <w:t>对照</w:t>
      </w:r>
      <w:r>
        <w:rPr>
          <w:rFonts w:ascii="宋体" w:eastAsia="宋体"/>
          <w:color w:val="auto"/>
          <w:szCs w:val="24"/>
          <w:lang w:eastAsia="zh-CN"/>
        </w:rPr>
        <w:t>“</w:t>
      </w:r>
      <w:r>
        <w:rPr>
          <w:rFonts w:ascii="宋体" w:eastAsia="宋体"/>
          <w:color w:val="auto"/>
          <w:szCs w:val="24"/>
          <w:lang w:val="en-US" w:eastAsia="zh-CN"/>
        </w:rPr>
        <w:t>五大振兴</w:t>
      </w:r>
      <w:r>
        <w:rPr>
          <w:rFonts w:ascii="宋体" w:eastAsia="宋体"/>
          <w:color w:val="auto"/>
          <w:szCs w:val="24"/>
          <w:lang w:eastAsia="zh-CN"/>
        </w:rPr>
        <w:t>”</w:t>
      </w:r>
      <w:r>
        <w:rPr>
          <w:rFonts w:ascii="宋体" w:eastAsia="宋体"/>
          <w:color w:val="auto"/>
          <w:szCs w:val="24"/>
          <w:lang w:val="en-US" w:eastAsia="zh-CN"/>
        </w:rPr>
        <w:t>指标</w:t>
      </w:r>
      <w:r>
        <w:rPr>
          <w:rFonts w:ascii="宋体" w:eastAsia="宋体"/>
          <w:color w:val="auto"/>
          <w:szCs w:val="24"/>
        </w:rPr>
        <w:t>，细化梳理、精准施策、集中攻坚，扎实做好脱贫攻坚与乡村振兴的有效衔接。巩固控辍保学成果，确保适龄儿童少年</w:t>
      </w:r>
      <w:r>
        <w:rPr>
          <w:rFonts w:ascii="宋体" w:eastAsia="宋体"/>
          <w:color w:val="auto"/>
          <w:szCs w:val="24"/>
          <w:lang w:val="en-US" w:eastAsia="zh-CN"/>
        </w:rPr>
        <w:t>应学尽学</w:t>
      </w:r>
      <w:r>
        <w:rPr>
          <w:rFonts w:ascii="宋体" w:eastAsia="宋体"/>
          <w:color w:val="auto"/>
          <w:szCs w:val="24"/>
        </w:rPr>
        <w:t>；</w:t>
      </w:r>
      <w:r>
        <w:rPr>
          <w:rFonts w:ascii="宋体" w:eastAsia="宋体"/>
          <w:color w:val="auto"/>
          <w:szCs w:val="24"/>
          <w:lang w:val="en-US" w:eastAsia="zh-CN"/>
        </w:rPr>
        <w:t>支持镇卫生院、村卫生室推进标准化</w:t>
      </w:r>
      <w:r>
        <w:rPr>
          <w:rFonts w:ascii="宋体" w:eastAsia="宋体"/>
          <w:color w:val="auto"/>
          <w:szCs w:val="24"/>
        </w:rPr>
        <w:t>建设</w:t>
      </w:r>
      <w:r>
        <w:rPr>
          <w:rFonts w:ascii="宋体" w:eastAsia="宋体"/>
          <w:color w:val="auto"/>
          <w:szCs w:val="24"/>
          <w:lang w:eastAsia="zh-CN"/>
        </w:rPr>
        <w:t>，</w:t>
      </w:r>
      <w:r>
        <w:rPr>
          <w:rFonts w:ascii="宋体" w:eastAsia="宋体"/>
          <w:color w:val="auto"/>
          <w:szCs w:val="24"/>
          <w:lang w:val="en-US" w:eastAsia="zh-CN"/>
        </w:rPr>
        <w:t>提高医疗水平</w:t>
      </w:r>
      <w:r>
        <w:rPr>
          <w:rFonts w:ascii="宋体" w:eastAsia="宋体"/>
          <w:color w:val="auto"/>
          <w:szCs w:val="24"/>
        </w:rPr>
        <w:t>，巩固提升农牧村饮水安全，</w:t>
      </w:r>
      <w:r>
        <w:rPr>
          <w:rFonts w:ascii="宋体" w:eastAsia="宋体"/>
          <w:color w:val="auto"/>
          <w:szCs w:val="24"/>
          <w:lang w:val="en-US" w:eastAsia="zh-CN"/>
        </w:rPr>
        <w:t>对接争取自来水厂改造提升项目</w:t>
      </w:r>
      <w:r>
        <w:rPr>
          <w:rFonts w:ascii="宋体" w:eastAsia="宋体"/>
          <w:color w:val="auto"/>
          <w:szCs w:val="24"/>
        </w:rPr>
        <w:t>，保障饮水安全；全面改造贫困群众新增危房，实现安全住房向美而“生”；提升易地扶贫搬迁后续产业发展</w:t>
      </w:r>
      <w:r>
        <w:rPr>
          <w:rFonts w:ascii="宋体" w:eastAsia="宋体"/>
          <w:color w:val="auto"/>
          <w:szCs w:val="24"/>
          <w:lang w:val="en-US" w:eastAsia="zh-CN"/>
        </w:rPr>
        <w:t>和就业帮扶</w:t>
      </w:r>
      <w:r>
        <w:rPr>
          <w:rFonts w:ascii="宋体" w:eastAsia="宋体"/>
          <w:color w:val="auto"/>
          <w:szCs w:val="24"/>
        </w:rPr>
        <w:t>，确保群众“搬得出、稳得住、能致富”；精准认定低保对象，做到应保尽保、应退尽退；抢抓国家和省州重点支持</w:t>
      </w:r>
      <w:r>
        <w:rPr>
          <w:rFonts w:ascii="宋体" w:eastAsia="宋体"/>
          <w:color w:val="auto"/>
          <w:szCs w:val="24"/>
          <w:lang w:val="en-US" w:eastAsia="zh-CN"/>
        </w:rPr>
        <w:t>涉藏地区</w:t>
      </w:r>
      <w:r>
        <w:rPr>
          <w:rFonts w:ascii="宋体" w:eastAsia="宋体"/>
          <w:color w:val="auto"/>
          <w:szCs w:val="24"/>
        </w:rPr>
        <w:t>的政策机遇，落实好产业扶持、就业培训、教育扶贫、健康扶贫</w:t>
      </w:r>
      <w:r>
        <w:rPr>
          <w:rFonts w:ascii="宋体" w:eastAsia="宋体"/>
          <w:color w:val="auto"/>
          <w:szCs w:val="24"/>
          <w:lang w:val="en-US" w:eastAsia="zh-CN"/>
        </w:rPr>
        <w:t>等帮扶措施</w:t>
      </w:r>
      <w:r>
        <w:rPr>
          <w:rFonts w:ascii="宋体" w:eastAsia="宋体"/>
          <w:color w:val="auto"/>
          <w:szCs w:val="24"/>
        </w:rPr>
        <w:t>；严格落实“四个不摘”要求，建立稳定脱贫长效机制，关注低收入群体，有针对性地制定“回头帮”措施，加强跟踪监测和相关服务，减少和防止</w:t>
      </w:r>
      <w:r>
        <w:rPr>
          <w:rFonts w:ascii="宋体" w:eastAsia="宋体"/>
          <w:color w:val="auto"/>
          <w:szCs w:val="24"/>
          <w:lang w:val="en-US" w:eastAsia="zh-CN"/>
        </w:rPr>
        <w:t>已</w:t>
      </w:r>
      <w:r>
        <w:rPr>
          <w:rFonts w:ascii="宋体" w:eastAsia="宋体"/>
          <w:color w:val="auto"/>
          <w:szCs w:val="24"/>
        </w:rPr>
        <w:t>贫困人口返贫，巩固好“两不愁三保障”脱贫成果；紧紧围绕增收目标，不断健全完善组织生产、投入保障、产销对接、风险防范体系，多措并举做大做强产业，促进农畜产品综合开发。健全合作社奖补制度，实现合作社规范化经营，深</w:t>
      </w:r>
    </w:p>
    <w:p>
      <w:pPr>
        <w:pStyle w:val="11"/>
        <w:spacing w:line="520" w:lineRule="exact"/>
        <w:jc w:val="both"/>
        <w:rPr>
          <w:rFonts w:ascii="宋体" w:eastAsia="宋体"/>
          <w:color w:val="auto"/>
          <w:szCs w:val="24"/>
        </w:rPr>
      </w:pPr>
      <w:r>
        <w:rPr>
          <w:rFonts w:ascii="宋体" w:eastAsia="宋体"/>
          <w:color w:val="auto"/>
          <w:szCs w:val="24"/>
        </w:rPr>
        <w:t xml:space="preserve">推进“一千两万”工程，促进特色产业持续发展。 </w:t>
      </w:r>
    </w:p>
    <w:p>
      <w:pPr>
        <w:pStyle w:val="11"/>
        <w:spacing w:line="520" w:lineRule="exact"/>
        <w:ind w:firstLine="480" w:firstLineChars="200"/>
        <w:jc w:val="both"/>
        <w:rPr>
          <w:rFonts w:ascii="宋体" w:eastAsia="宋体"/>
          <w:color w:val="auto"/>
          <w:szCs w:val="24"/>
        </w:rPr>
      </w:pPr>
      <w:r>
        <w:rPr>
          <w:rFonts w:ascii="宋体" w:eastAsia="宋体"/>
          <w:color w:val="auto"/>
          <w:szCs w:val="24"/>
        </w:rPr>
        <w:t>（二）坚定实施乡村振兴战略，让农村蝶变在</w:t>
      </w:r>
      <w:r>
        <w:rPr>
          <w:rFonts w:ascii="宋体" w:eastAsia="宋体"/>
          <w:color w:val="auto"/>
          <w:szCs w:val="24"/>
          <w:lang w:val="en-US" w:eastAsia="zh-CN"/>
        </w:rPr>
        <w:t>色地</w:t>
      </w:r>
      <w:r>
        <w:rPr>
          <w:rFonts w:ascii="宋体" w:eastAsia="宋体"/>
          <w:color w:val="auto"/>
          <w:szCs w:val="24"/>
        </w:rPr>
        <w:t>实践中落地生根。全面推进乡村振兴战略，坚持高质量发展、坚持农业农村优先发展、坚持城乡融合发展，深入推进</w:t>
      </w:r>
      <w:r>
        <w:rPr>
          <w:rFonts w:ascii="宋体" w:eastAsia="宋体"/>
          <w:color w:val="auto"/>
          <w:szCs w:val="24"/>
          <w:lang w:val="en-US" w:eastAsia="zh-CN"/>
        </w:rPr>
        <w:t>辖区文牧旅产业融合</w:t>
      </w:r>
      <w:r>
        <w:rPr>
          <w:rFonts w:ascii="宋体" w:eastAsia="宋体"/>
          <w:color w:val="auto"/>
          <w:szCs w:val="24"/>
        </w:rPr>
        <w:t>发展</w:t>
      </w:r>
      <w:r>
        <w:rPr>
          <w:rFonts w:ascii="宋体" w:eastAsia="宋体"/>
          <w:color w:val="auto"/>
          <w:szCs w:val="24"/>
          <w:lang w:eastAsia="zh-CN"/>
        </w:rPr>
        <w:t>，</w:t>
      </w:r>
      <w:r>
        <w:rPr>
          <w:rFonts w:ascii="宋体" w:eastAsia="宋体"/>
          <w:color w:val="auto"/>
          <w:szCs w:val="24"/>
          <w:lang w:val="en-US" w:eastAsia="zh-CN"/>
        </w:rPr>
        <w:t>推动产业</w:t>
      </w:r>
      <w:r>
        <w:rPr>
          <w:rFonts w:ascii="宋体" w:eastAsia="宋体"/>
          <w:color w:val="auto"/>
          <w:szCs w:val="24"/>
        </w:rPr>
        <w:t>绿色化、优质化、特色化、品牌化，切实打造“一村一品”的发展格局，厚植</w:t>
      </w:r>
      <w:r>
        <w:rPr>
          <w:rFonts w:ascii="宋体" w:eastAsia="宋体"/>
          <w:color w:val="auto"/>
          <w:szCs w:val="24"/>
          <w:lang w:val="en-US" w:eastAsia="zh-CN"/>
        </w:rPr>
        <w:t>现代草原畜牧业</w:t>
      </w:r>
      <w:r>
        <w:rPr>
          <w:rFonts w:ascii="宋体" w:eastAsia="宋体"/>
          <w:color w:val="auto"/>
          <w:szCs w:val="24"/>
        </w:rPr>
        <w:t>发展优势</w:t>
      </w:r>
      <w:r>
        <w:rPr>
          <w:rFonts w:ascii="宋体" w:eastAsia="宋体"/>
          <w:color w:val="auto"/>
          <w:szCs w:val="24"/>
          <w:lang w:eastAsia="zh-CN"/>
        </w:rPr>
        <w:t>，</w:t>
      </w:r>
      <w:r>
        <w:rPr>
          <w:rFonts w:ascii="宋体" w:eastAsia="宋体"/>
          <w:color w:val="auto"/>
          <w:szCs w:val="24"/>
        </w:rPr>
        <w:t>推进农业农村经济提质增效。以农村垃圾、污水治理和村容村貌提升为主攻方向，大力开展卫生厕所建设和改造，全力做好污水治理、畜禽养殖废弃物</w:t>
      </w:r>
      <w:r>
        <w:rPr>
          <w:rFonts w:ascii="宋体" w:eastAsia="宋体"/>
          <w:color w:val="auto"/>
          <w:szCs w:val="24"/>
          <w:lang w:eastAsia="zh-CN"/>
        </w:rPr>
        <w:t>。</w:t>
      </w:r>
      <w:r>
        <w:rPr>
          <w:rFonts w:ascii="宋体" w:eastAsia="宋体"/>
          <w:color w:val="auto"/>
          <w:szCs w:val="24"/>
        </w:rPr>
        <w:t>利用村庄规划、农村“四好”公路建设和村级公益性设施共享共管等工作，加强面</w:t>
      </w:r>
      <w:r>
        <w:rPr>
          <w:rFonts w:ascii="宋体" w:eastAsia="宋体"/>
          <w:color w:val="auto"/>
          <w:szCs w:val="24"/>
          <w:lang w:val="en-US" w:eastAsia="zh-CN"/>
        </w:rPr>
        <w:t>上</w:t>
      </w:r>
      <w:r>
        <w:rPr>
          <w:rFonts w:ascii="宋体" w:eastAsia="宋体"/>
          <w:color w:val="auto"/>
          <w:szCs w:val="24"/>
        </w:rPr>
        <w:t>污染治理，建设生态宜居的美丽乡村。坚持依法用地、农地农用</w:t>
      </w:r>
      <w:r>
        <w:rPr>
          <w:rFonts w:ascii="宋体" w:eastAsia="宋体"/>
          <w:color w:val="auto"/>
          <w:szCs w:val="24"/>
          <w:lang w:eastAsia="zh-CN"/>
        </w:rPr>
        <w:t>，</w:t>
      </w:r>
      <w:r>
        <w:rPr>
          <w:rFonts w:ascii="宋体" w:eastAsia="宋体"/>
          <w:color w:val="auto"/>
          <w:szCs w:val="24"/>
        </w:rPr>
        <w:t>守住基本</w:t>
      </w:r>
      <w:r>
        <w:rPr>
          <w:rFonts w:ascii="宋体" w:eastAsia="宋体"/>
          <w:color w:val="auto"/>
          <w:szCs w:val="24"/>
          <w:lang w:val="en-US" w:eastAsia="zh-CN"/>
        </w:rPr>
        <w:t>生态</w:t>
      </w:r>
      <w:r>
        <w:rPr>
          <w:rFonts w:ascii="宋体" w:eastAsia="宋体"/>
          <w:color w:val="auto"/>
          <w:szCs w:val="24"/>
        </w:rPr>
        <w:t>红线。</w:t>
      </w:r>
      <w:r>
        <w:rPr>
          <w:rFonts w:ascii="宋体" w:eastAsia="宋体"/>
          <w:color w:val="auto"/>
          <w:szCs w:val="24"/>
          <w:lang w:val="en-US" w:eastAsia="zh-CN"/>
        </w:rPr>
        <w:t>认真贯彻中央、省州县黄河上游生态保护和高质量发展工作部署，认真落实“河湖长”制，全力实施好辖区</w:t>
      </w:r>
      <w:r>
        <w:rPr>
          <w:rFonts w:ascii="宋体" w:eastAsia="宋体"/>
          <w:color w:val="auto"/>
          <w:szCs w:val="24"/>
        </w:rPr>
        <w:t>流域水环境综合治理、水源涵养保护与建设工程等生态类项目，切实提升黄河上游水源涵养能力。</w:t>
      </w:r>
      <w:r>
        <w:rPr>
          <w:rFonts w:ascii="宋体" w:eastAsia="宋体"/>
          <w:color w:val="auto"/>
          <w:szCs w:val="24"/>
          <w:lang w:val="en-US" w:eastAsia="zh-CN"/>
        </w:rPr>
        <w:t>不断</w:t>
      </w:r>
      <w:r>
        <w:rPr>
          <w:rFonts w:ascii="宋体" w:eastAsia="宋体"/>
          <w:color w:val="auto"/>
          <w:szCs w:val="24"/>
        </w:rPr>
        <w:t>加强水、土壤污染防治，不断改善区域环境质量。进一步落实河长责任制，扎实开展“清四乱”专项行动，维护</w:t>
      </w:r>
      <w:r>
        <w:rPr>
          <w:rFonts w:ascii="宋体" w:eastAsia="宋体"/>
          <w:color w:val="auto"/>
          <w:szCs w:val="24"/>
          <w:lang w:val="en-US" w:eastAsia="zh-CN"/>
        </w:rPr>
        <w:t>黑河</w:t>
      </w:r>
      <w:r>
        <w:rPr>
          <w:rFonts w:ascii="宋体" w:eastAsia="宋体"/>
          <w:color w:val="auto"/>
          <w:szCs w:val="24"/>
        </w:rPr>
        <w:t>及各支流水体健康。加强水土流失防治，加大植树造林力度。强化污染土壤管控与修复</w:t>
      </w:r>
      <w:r>
        <w:rPr>
          <w:rFonts w:ascii="宋体" w:eastAsia="宋体"/>
          <w:color w:val="auto"/>
          <w:szCs w:val="24"/>
          <w:lang w:eastAsia="zh-CN"/>
        </w:rPr>
        <w:t>。</w:t>
      </w:r>
      <w:r>
        <w:rPr>
          <w:rFonts w:ascii="宋体" w:eastAsia="宋体"/>
          <w:color w:val="auto"/>
          <w:szCs w:val="24"/>
        </w:rPr>
        <w:t>不断完善综合整治机制，继续推行环境</w:t>
      </w:r>
      <w:r>
        <w:rPr>
          <w:rFonts w:ascii="宋体" w:eastAsia="宋体"/>
          <w:color w:val="auto"/>
          <w:szCs w:val="24"/>
          <w:lang w:val="en-US" w:eastAsia="zh-CN"/>
        </w:rPr>
        <w:t>卫生</w:t>
      </w:r>
      <w:r>
        <w:rPr>
          <w:rFonts w:ascii="宋体" w:eastAsia="宋体"/>
          <w:color w:val="auto"/>
          <w:szCs w:val="24"/>
        </w:rPr>
        <w:t>网格化整治模式，将城乡环境综合整治与全域旅游、产业发展等工作有机结合，全面实现全域有风景、全域新业态、全域旺人气。全力推进</w:t>
      </w:r>
      <w:r>
        <w:rPr>
          <w:rFonts w:ascii="宋体" w:eastAsia="宋体"/>
          <w:color w:val="auto"/>
          <w:szCs w:val="24"/>
          <w:lang w:val="en-US" w:eastAsia="zh-CN"/>
        </w:rPr>
        <w:t>乱圈乱占乱建</w:t>
      </w:r>
      <w:r>
        <w:rPr>
          <w:rFonts w:ascii="宋体" w:eastAsia="宋体"/>
          <w:color w:val="auto"/>
          <w:szCs w:val="24"/>
        </w:rPr>
        <w:t xml:space="preserve">工作，建立长效监管机制，坚决遏制新增建设，不断规范城乡建设秩序。 </w:t>
      </w:r>
    </w:p>
    <w:p>
      <w:pPr>
        <w:pStyle w:val="11"/>
        <w:spacing w:line="520" w:lineRule="exact"/>
        <w:ind w:firstLine="480" w:firstLineChars="200"/>
        <w:jc w:val="both"/>
        <w:rPr>
          <w:rFonts w:ascii="宋体" w:eastAsia="宋体"/>
          <w:color w:val="auto"/>
          <w:szCs w:val="24"/>
        </w:rPr>
      </w:pPr>
      <w:r>
        <w:rPr>
          <w:rFonts w:ascii="宋体" w:eastAsia="宋体"/>
          <w:color w:val="auto"/>
          <w:szCs w:val="24"/>
        </w:rPr>
        <w:t>（三）聚焦项目建设提升品质，让</w:t>
      </w:r>
      <w:r>
        <w:rPr>
          <w:rFonts w:ascii="宋体" w:eastAsia="宋体"/>
          <w:color w:val="auto"/>
          <w:szCs w:val="24"/>
          <w:lang w:val="en-US" w:eastAsia="zh-CN"/>
        </w:rPr>
        <w:t>色地</w:t>
      </w:r>
      <w:r>
        <w:rPr>
          <w:rFonts w:ascii="宋体" w:eastAsia="宋体"/>
          <w:color w:val="auto"/>
          <w:szCs w:val="24"/>
        </w:rPr>
        <w:t>在提档升级中争创城乡融合新标杆。结合“十四五”规划</w:t>
      </w:r>
      <w:r>
        <w:rPr>
          <w:rFonts w:ascii="宋体" w:eastAsia="宋体"/>
          <w:color w:val="auto"/>
          <w:szCs w:val="24"/>
          <w:lang w:val="en-US" w:eastAsia="zh-CN"/>
        </w:rPr>
        <w:t>和“乡村振兴”战略</w:t>
      </w:r>
      <w:r>
        <w:rPr>
          <w:rFonts w:ascii="宋体" w:eastAsia="宋体"/>
          <w:color w:val="auto"/>
          <w:szCs w:val="24"/>
        </w:rPr>
        <w:t>，加大争取力度，力争规划内项目全部落地实施，最大限度得到上级财政支持。聚焦交通、水利、社会民生、公共文化服务等基础设施重点项目，努力补齐经济社会发展短板，</w:t>
      </w:r>
      <w:r>
        <w:rPr>
          <w:rFonts w:ascii="宋体" w:eastAsia="宋体"/>
          <w:color w:val="auto"/>
          <w:szCs w:val="24"/>
          <w:lang w:val="en-US" w:eastAsia="zh-CN"/>
        </w:rPr>
        <w:t>全面改善群众生活条件</w:t>
      </w:r>
      <w:r>
        <w:rPr>
          <w:rFonts w:ascii="宋体" w:eastAsia="宋体"/>
          <w:color w:val="auto"/>
          <w:szCs w:val="24"/>
        </w:rPr>
        <w:t>，有效助推乡村振兴。继续配合省州</w:t>
      </w:r>
      <w:r>
        <w:rPr>
          <w:rFonts w:ascii="宋体" w:eastAsia="宋体"/>
          <w:color w:val="auto"/>
          <w:szCs w:val="24"/>
          <w:lang w:val="en-US" w:eastAsia="zh-CN"/>
        </w:rPr>
        <w:t>县</w:t>
      </w:r>
      <w:r>
        <w:rPr>
          <w:rFonts w:ascii="宋体" w:eastAsia="宋体"/>
          <w:color w:val="auto"/>
          <w:szCs w:val="24"/>
        </w:rPr>
        <w:t>部门做好</w:t>
      </w:r>
      <w:r>
        <w:rPr>
          <w:rFonts w:ascii="宋体" w:eastAsia="宋体"/>
          <w:color w:val="auto"/>
          <w:szCs w:val="24"/>
          <w:lang w:val="en-US" w:eastAsia="zh-CN"/>
        </w:rPr>
        <w:t>西成铁路镰刀坝站、镰刀坝至色地镇快速通道、国道248线、省道301线改扩建项目建设，</w:t>
      </w:r>
      <w:r>
        <w:rPr>
          <w:rFonts w:ascii="宋体" w:eastAsia="宋体"/>
          <w:color w:val="auto"/>
          <w:szCs w:val="24"/>
        </w:rPr>
        <w:t>卓尼至合作高速公路、S326卓尼至碌曲二级公路项目建设</w:t>
      </w:r>
      <w:r>
        <w:rPr>
          <w:rFonts w:ascii="宋体" w:eastAsia="宋体"/>
          <w:color w:val="auto"/>
          <w:szCs w:val="24"/>
          <w:lang w:val="en-US" w:eastAsia="zh-CN"/>
        </w:rPr>
        <w:t>尽快补齐乡村发展短板</w:t>
      </w:r>
      <w:r>
        <w:rPr>
          <w:rFonts w:ascii="宋体" w:eastAsia="宋体"/>
          <w:color w:val="auto"/>
          <w:szCs w:val="24"/>
        </w:rPr>
        <w:t xml:space="preserve">。 </w:t>
      </w:r>
    </w:p>
    <w:p>
      <w:pPr>
        <w:pStyle w:val="11"/>
        <w:spacing w:line="520" w:lineRule="exact"/>
        <w:ind w:firstLine="480" w:firstLineChars="200"/>
        <w:jc w:val="both"/>
        <w:rPr>
          <w:rFonts w:ascii="宋体" w:eastAsia="宋体"/>
          <w:color w:val="auto"/>
          <w:szCs w:val="24"/>
        </w:rPr>
      </w:pPr>
      <w:r>
        <w:rPr>
          <w:rFonts w:ascii="宋体" w:eastAsia="宋体"/>
          <w:color w:val="auto"/>
          <w:szCs w:val="24"/>
        </w:rPr>
        <w:t>（四）激发文化旅游发展活力，让经济在质速双赢中稳步提升。</w:t>
      </w:r>
      <w:r>
        <w:rPr>
          <w:rFonts w:ascii="宋体" w:eastAsia="宋体"/>
          <w:color w:val="auto"/>
          <w:szCs w:val="24"/>
          <w:lang w:val="en-US" w:eastAsia="zh-CN"/>
        </w:rPr>
        <w:t>以镰刀坝牧家乐规范经营整顿为契机，以违建整治为抓手，规范化培育</w:t>
      </w:r>
      <w:r>
        <w:rPr>
          <w:rFonts w:ascii="宋体" w:eastAsia="宋体"/>
          <w:color w:val="auto"/>
          <w:szCs w:val="24"/>
        </w:rPr>
        <w:t>民宿</w:t>
      </w:r>
      <w:r>
        <w:rPr>
          <w:rFonts w:ascii="宋体" w:eastAsia="宋体"/>
          <w:color w:val="auto"/>
          <w:szCs w:val="24"/>
          <w:lang w:val="en-US" w:eastAsia="zh-CN"/>
        </w:rPr>
        <w:t>经济，推动牧</w:t>
      </w:r>
      <w:r>
        <w:rPr>
          <w:rFonts w:ascii="宋体" w:eastAsia="宋体"/>
          <w:color w:val="auto"/>
          <w:szCs w:val="24"/>
        </w:rPr>
        <w:t>家乐特色化、品牌化、集聚化发展</w:t>
      </w:r>
      <w:r>
        <w:rPr>
          <w:rFonts w:ascii="宋体" w:eastAsia="宋体"/>
          <w:color w:val="auto"/>
          <w:szCs w:val="24"/>
          <w:lang w:val="en-US" w:eastAsia="zh-CN"/>
        </w:rPr>
        <w:t>打造一批效益高、形象好、带富能力强的旅游节点</w:t>
      </w:r>
      <w:r>
        <w:rPr>
          <w:rFonts w:ascii="宋体" w:eastAsia="宋体"/>
          <w:color w:val="auto"/>
          <w:szCs w:val="24"/>
        </w:rPr>
        <w:t>。</w:t>
      </w:r>
      <w:r>
        <w:rPr>
          <w:rFonts w:ascii="宋体" w:eastAsia="宋体"/>
          <w:color w:val="auto"/>
          <w:szCs w:val="24"/>
          <w:lang w:val="en-US" w:eastAsia="zh-CN"/>
        </w:rPr>
        <w:t>对接抓好辖区镰刀坝、麦多岗、定居点旅游资源挖掘，</w:t>
      </w:r>
      <w:r>
        <w:rPr>
          <w:rFonts w:ascii="宋体" w:eastAsia="宋体"/>
          <w:color w:val="auto"/>
          <w:szCs w:val="24"/>
        </w:rPr>
        <w:t>提升旅游综合服务能力和基础设施水平，充分挖掘利用辖区自然风光、历史遗迹、民俗风情等各类资源，打造</w:t>
      </w:r>
      <w:r>
        <w:rPr>
          <w:rFonts w:ascii="宋体" w:eastAsia="宋体"/>
          <w:color w:val="auto"/>
          <w:szCs w:val="24"/>
          <w:lang w:eastAsia="zh-CN"/>
        </w:rPr>
        <w:t>色地</w:t>
      </w:r>
      <w:r>
        <w:rPr>
          <w:rFonts w:ascii="宋体" w:eastAsia="宋体"/>
          <w:color w:val="auto"/>
          <w:szCs w:val="24"/>
        </w:rPr>
        <w:t>文旅品牌形象，依托</w:t>
      </w:r>
      <w:r>
        <w:rPr>
          <w:rFonts w:ascii="宋体" w:eastAsia="宋体"/>
          <w:color w:val="auto"/>
          <w:szCs w:val="24"/>
          <w:lang w:val="en-US" w:eastAsia="zh-CN"/>
        </w:rPr>
        <w:t>九红草原风光路</w:t>
      </w:r>
      <w:r>
        <w:rPr>
          <w:rFonts w:ascii="宋体" w:eastAsia="宋体"/>
          <w:color w:val="auto"/>
          <w:szCs w:val="24"/>
        </w:rPr>
        <w:t>、</w:t>
      </w:r>
      <w:r>
        <w:rPr>
          <w:rFonts w:ascii="宋体" w:eastAsia="宋体"/>
          <w:color w:val="auto"/>
          <w:szCs w:val="24"/>
          <w:lang w:val="en-US" w:eastAsia="zh-CN"/>
        </w:rPr>
        <w:t>红军长征路</w:t>
      </w:r>
      <w:r>
        <w:rPr>
          <w:rFonts w:ascii="宋体" w:eastAsia="宋体"/>
          <w:color w:val="auto"/>
          <w:szCs w:val="24"/>
        </w:rPr>
        <w:t>线</w:t>
      </w:r>
      <w:r>
        <w:rPr>
          <w:rFonts w:ascii="宋体" w:eastAsia="宋体"/>
          <w:color w:val="auto"/>
          <w:szCs w:val="24"/>
          <w:lang w:val="en-US" w:eastAsia="zh-CN"/>
        </w:rPr>
        <w:t>红色</w:t>
      </w:r>
      <w:r>
        <w:rPr>
          <w:rFonts w:ascii="宋体" w:eastAsia="宋体"/>
          <w:color w:val="auto"/>
          <w:szCs w:val="24"/>
        </w:rPr>
        <w:t xml:space="preserve">旅游带区位优势，加快打造有特色、有吸引力、有经济增长点的精品旅游线路，扩大乡村旅游规模，大力发展观光采摘、农耕体验、休闲生态等旅游新业态。 </w:t>
      </w:r>
    </w:p>
    <w:p>
      <w:pPr>
        <w:pStyle w:val="11"/>
        <w:spacing w:line="520" w:lineRule="exact"/>
        <w:ind w:firstLine="480" w:firstLineChars="200"/>
        <w:jc w:val="both"/>
        <w:rPr>
          <w:rFonts w:ascii="宋体" w:eastAsia="宋体"/>
          <w:color w:val="auto"/>
          <w:szCs w:val="24"/>
        </w:rPr>
      </w:pPr>
      <w:r>
        <w:rPr>
          <w:rFonts w:ascii="宋体" w:eastAsia="宋体"/>
          <w:color w:val="auto"/>
          <w:szCs w:val="24"/>
        </w:rPr>
        <w:t>（五）聚焦初心惠民生，让群众获得感在以民为本中稳步增强。积极搭建转移就业服务平台，持续开展职业技能培训，不断提升就业服务水平。高度重视高校毕业生、农民工、退役军人、残疾人等重点群体的就业工作，科学</w:t>
      </w:r>
      <w:r>
        <w:rPr>
          <w:rFonts w:ascii="宋体" w:eastAsia="宋体"/>
          <w:color w:val="auto"/>
          <w:szCs w:val="24"/>
          <w:lang w:val="en-US" w:eastAsia="zh-CN"/>
        </w:rPr>
        <w:t>公平推进</w:t>
      </w:r>
      <w:r>
        <w:rPr>
          <w:rFonts w:ascii="宋体" w:eastAsia="宋体"/>
          <w:color w:val="auto"/>
          <w:szCs w:val="24"/>
        </w:rPr>
        <w:t>公益性</w:t>
      </w:r>
      <w:r>
        <w:rPr>
          <w:rFonts w:ascii="宋体" w:eastAsia="宋体"/>
          <w:color w:val="auto"/>
          <w:szCs w:val="24"/>
          <w:lang w:val="en-US" w:eastAsia="zh-CN"/>
        </w:rPr>
        <w:t>岗位开发安置</w:t>
      </w:r>
      <w:r>
        <w:rPr>
          <w:rFonts w:ascii="宋体" w:eastAsia="宋体"/>
          <w:color w:val="auto"/>
          <w:szCs w:val="24"/>
        </w:rPr>
        <w:t>。持续推进义务教育均衡发展，全面落实立德树人根本任务，补齐短板弱项，提高教育教学质量。加快推进教育现代化，着力开创新时代教育事业发展新局面。坚持全覆盖、保基本、多层次、可持续方针，统筹推进城乡居民医疗全覆盖、养老</w:t>
      </w:r>
      <w:r>
        <w:rPr>
          <w:rFonts w:ascii="宋体" w:eastAsia="宋体"/>
          <w:color w:val="auto"/>
          <w:szCs w:val="24"/>
          <w:lang w:val="en-US" w:eastAsia="zh-CN"/>
        </w:rPr>
        <w:t>保险广覆盖</w:t>
      </w:r>
      <w:r>
        <w:rPr>
          <w:rFonts w:ascii="宋体" w:eastAsia="宋体"/>
          <w:color w:val="auto"/>
          <w:szCs w:val="24"/>
        </w:rPr>
        <w:t>。健全城乡低保、大病医疗救助等社会救助制度，积极完善农牧村留守儿童、妇女老人、残疾人、特困群众关爱服务体系，持续提高保障救助水平。持续</w:t>
      </w:r>
      <w:r>
        <w:rPr>
          <w:rFonts w:ascii="宋体" w:eastAsia="宋体"/>
          <w:color w:val="auto"/>
          <w:szCs w:val="24"/>
          <w:lang w:val="en-US" w:eastAsia="zh-CN"/>
        </w:rPr>
        <w:t>推进集体经济发展</w:t>
      </w:r>
      <w:r>
        <w:rPr>
          <w:rFonts w:ascii="宋体" w:eastAsia="宋体"/>
          <w:color w:val="auto"/>
          <w:szCs w:val="24"/>
        </w:rPr>
        <w:t xml:space="preserve">，保障农牧村群众的基本权益。 </w:t>
      </w:r>
    </w:p>
    <w:p>
      <w:pPr>
        <w:pStyle w:val="11"/>
        <w:spacing w:line="520" w:lineRule="exact"/>
        <w:ind w:firstLine="480" w:firstLineChars="200"/>
        <w:jc w:val="both"/>
        <w:rPr>
          <w:rFonts w:ascii="宋体" w:eastAsia="宋体"/>
          <w:color w:val="auto"/>
          <w:szCs w:val="24"/>
        </w:rPr>
      </w:pPr>
      <w:r>
        <w:rPr>
          <w:rFonts w:ascii="宋体" w:eastAsia="宋体"/>
          <w:color w:val="auto"/>
          <w:szCs w:val="24"/>
        </w:rPr>
        <w:t>（六）加强社会治理创新，让社会大局在科学治理中和谐有序。坚决贯彻落实</w:t>
      </w:r>
      <w:r>
        <w:rPr>
          <w:rFonts w:ascii="宋体" w:eastAsia="宋体"/>
          <w:color w:val="auto"/>
          <w:szCs w:val="24"/>
          <w:lang w:val="en-US" w:eastAsia="zh-CN"/>
        </w:rPr>
        <w:t>中央第七次西藏工作座谈会和四川省委涉藏工作会议决策部署和州县工作安排</w:t>
      </w:r>
      <w:r>
        <w:rPr>
          <w:rFonts w:ascii="宋体" w:eastAsia="宋体"/>
          <w:color w:val="auto"/>
          <w:szCs w:val="24"/>
        </w:rPr>
        <w:t>，</w:t>
      </w:r>
      <w:r>
        <w:rPr>
          <w:rFonts w:ascii="宋体" w:eastAsia="宋体"/>
          <w:color w:val="auto"/>
          <w:szCs w:val="24"/>
          <w:lang w:val="en-US" w:eastAsia="zh-CN"/>
        </w:rPr>
        <w:t>靠前</w:t>
      </w:r>
      <w:r>
        <w:rPr>
          <w:rFonts w:ascii="宋体" w:eastAsia="宋体"/>
          <w:color w:val="auto"/>
          <w:szCs w:val="24"/>
        </w:rPr>
        <w:t>落实维稳工作责任制，做到守土有责、守土尽责。持续深入推进扫黑除恶专项斗争，集中整治</w:t>
      </w:r>
      <w:r>
        <w:rPr>
          <w:rFonts w:ascii="宋体" w:eastAsia="宋体"/>
          <w:color w:val="auto"/>
          <w:szCs w:val="24"/>
          <w:lang w:val="en-US" w:eastAsia="zh-CN"/>
        </w:rPr>
        <w:t>辖区偷牛盗马、聚众赌博、乱圈乱占、打架斗殴等乱点乱象</w:t>
      </w:r>
      <w:r>
        <w:rPr>
          <w:rFonts w:ascii="宋体" w:eastAsia="宋体"/>
          <w:color w:val="auto"/>
          <w:szCs w:val="24"/>
        </w:rPr>
        <w:t>，以“零容忍”态度深挖彻查严打各种黑恶势力</w:t>
      </w:r>
      <w:r>
        <w:rPr>
          <w:rFonts w:ascii="宋体" w:eastAsia="宋体"/>
          <w:color w:val="auto"/>
          <w:szCs w:val="24"/>
          <w:lang w:eastAsia="zh-CN"/>
        </w:rPr>
        <w:t>。</w:t>
      </w:r>
      <w:r>
        <w:rPr>
          <w:rFonts w:ascii="宋体" w:eastAsia="宋体"/>
          <w:color w:val="auto"/>
          <w:szCs w:val="24"/>
        </w:rPr>
        <w:t>加强社会治安管理，妥善处置各种突发事件。继续开展“八五”普法宣传，提高全社会法治意识。高度重视信访工作，把人民调解、行政调解、司法调解有机结合，共同化解矛盾。深入推进“网格化+十户联防”边界矛盾纠纷调处等工作，为</w:t>
      </w:r>
      <w:r>
        <w:rPr>
          <w:rFonts w:ascii="宋体" w:eastAsia="宋体"/>
          <w:color w:val="auto"/>
          <w:szCs w:val="24"/>
          <w:lang w:val="en-US" w:eastAsia="zh-CN"/>
        </w:rPr>
        <w:t>和谐色地</w:t>
      </w:r>
      <w:r>
        <w:rPr>
          <w:rFonts w:ascii="宋体" w:eastAsia="宋体"/>
          <w:color w:val="auto"/>
          <w:szCs w:val="24"/>
        </w:rPr>
        <w:t>创造安全稳定的社会环境。坚持“党政同责、一岗双责、齐抓共管、失职追责”的原则，严格落实安全生产责任制规定。持续开展重点行业领域隐患排查、“打非治违”等整治行动。完善村</w:t>
      </w:r>
      <w:r>
        <w:rPr>
          <w:rFonts w:ascii="宋体" w:eastAsia="宋体"/>
          <w:color w:val="auto"/>
          <w:szCs w:val="24"/>
          <w:lang w:val="en-US" w:eastAsia="zh-CN"/>
        </w:rPr>
        <w:t>级</w:t>
      </w:r>
      <w:r>
        <w:rPr>
          <w:rFonts w:ascii="宋体" w:eastAsia="宋体"/>
          <w:color w:val="auto"/>
          <w:szCs w:val="24"/>
        </w:rPr>
        <w:t xml:space="preserve">道路安全设施，强化对人、车、路的安全监管力度。扎实推进森林、草原、民房、人员密集场所火灾隐患排查。加强市场监管，实施食品安全战略，健全食品药品监管体系，确保群众饮食用药安全。 </w:t>
      </w:r>
    </w:p>
    <w:p>
      <w:pPr>
        <w:pStyle w:val="11"/>
        <w:spacing w:line="520" w:lineRule="exact"/>
        <w:ind w:firstLine="480" w:firstLineChars="200"/>
        <w:jc w:val="both"/>
        <w:rPr>
          <w:rFonts w:ascii="宋体" w:eastAsia="宋体"/>
          <w:color w:val="auto"/>
          <w:szCs w:val="24"/>
        </w:rPr>
      </w:pPr>
      <w:r>
        <w:rPr>
          <w:rFonts w:ascii="宋体" w:eastAsia="宋体"/>
          <w:color w:val="auto"/>
          <w:szCs w:val="24"/>
          <w:lang w:eastAsia="zh-CN"/>
        </w:rPr>
        <w:t>色地</w:t>
      </w:r>
      <w:r>
        <w:rPr>
          <w:rFonts w:ascii="宋体" w:eastAsia="宋体"/>
          <w:color w:val="auto"/>
          <w:szCs w:val="24"/>
        </w:rPr>
        <w:t>正处在历史发展的新时期，</w:t>
      </w:r>
      <w:r>
        <w:rPr>
          <w:rFonts w:ascii="宋体" w:eastAsia="宋体"/>
          <w:color w:val="auto"/>
          <w:szCs w:val="24"/>
          <w:lang w:val="en-US" w:eastAsia="zh-CN"/>
        </w:rPr>
        <w:t>5年</w:t>
      </w:r>
      <w:r>
        <w:rPr>
          <w:rFonts w:ascii="宋体" w:eastAsia="宋体"/>
          <w:color w:val="auto"/>
          <w:szCs w:val="24"/>
        </w:rPr>
        <w:t>的发展让我们越来越自信，也让人民群众的生活越来越幸福。我们要始终把人民群众对美好生活的追求和愿望放在首位，坚持不懈加快发展，不论有什么样的挑战，我们都要充满信心，只要努力付出，就会战胜挑战。我们要更加紧密地团结在以习近平同志为核心的党中央周围，在县委、县政府</w:t>
      </w:r>
      <w:r>
        <w:rPr>
          <w:rFonts w:ascii="宋体" w:eastAsia="宋体"/>
          <w:color w:val="auto"/>
          <w:szCs w:val="24"/>
          <w:lang w:val="en-US" w:eastAsia="zh-CN"/>
        </w:rPr>
        <w:t>和镇党委</w:t>
      </w:r>
      <w:r>
        <w:rPr>
          <w:rFonts w:ascii="宋体" w:eastAsia="宋体"/>
          <w:color w:val="auto"/>
          <w:szCs w:val="24"/>
        </w:rPr>
        <w:t>的坚强领导下，坚定信心，攻坚克难，统筹推进经济社会</w:t>
      </w:r>
      <w:r>
        <w:rPr>
          <w:rFonts w:ascii="宋体" w:eastAsia="宋体"/>
          <w:color w:val="auto"/>
          <w:szCs w:val="24"/>
          <w:lang w:val="en-US" w:eastAsia="zh-CN"/>
        </w:rPr>
        <w:t>事业全面进步</w:t>
      </w:r>
      <w:r>
        <w:rPr>
          <w:rFonts w:ascii="宋体" w:eastAsia="宋体"/>
          <w:color w:val="auto"/>
          <w:szCs w:val="24"/>
        </w:rPr>
        <w:t>发展，努力完成</w:t>
      </w:r>
      <w:r>
        <w:rPr>
          <w:rFonts w:ascii="宋体" w:eastAsia="宋体"/>
          <w:color w:val="auto"/>
          <w:szCs w:val="24"/>
          <w:lang w:val="en-US" w:eastAsia="zh-CN"/>
        </w:rPr>
        <w:t>2021年</w:t>
      </w:r>
      <w:r>
        <w:rPr>
          <w:rFonts w:ascii="宋体" w:eastAsia="宋体"/>
          <w:color w:val="auto"/>
          <w:szCs w:val="24"/>
        </w:rPr>
        <w:t>目标任务，为建设幸福美丽</w:t>
      </w:r>
      <w:r>
        <w:rPr>
          <w:rFonts w:ascii="宋体" w:eastAsia="宋体"/>
          <w:color w:val="auto"/>
          <w:szCs w:val="24"/>
          <w:lang w:val="en-US" w:eastAsia="zh-CN"/>
        </w:rPr>
        <w:t>平安和谐新</w:t>
      </w:r>
      <w:r>
        <w:rPr>
          <w:rFonts w:ascii="宋体" w:eastAsia="宋体"/>
          <w:color w:val="auto"/>
          <w:szCs w:val="24"/>
          <w:lang w:eastAsia="zh-CN"/>
        </w:rPr>
        <w:t>色地</w:t>
      </w:r>
      <w:r>
        <w:rPr>
          <w:rFonts w:ascii="宋体" w:eastAsia="宋体"/>
          <w:color w:val="auto"/>
          <w:szCs w:val="24"/>
        </w:rPr>
        <w:t xml:space="preserve">而不懈奋斗！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二、收入支出预算执行情况分析。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（一）收入支出预算安排情况。</w:t>
      </w:r>
    </w:p>
    <w:p>
      <w:pPr>
        <w:pStyle w:val="7"/>
        <w:keepNext w:val="0"/>
        <w:keepLines w:val="0"/>
        <w:widowControl/>
        <w:suppressLineNumbers w:val="0"/>
        <w:ind w:firstLine="480" w:firstLineChars="200"/>
        <w:rPr>
          <w:rStyle w:val="10"/>
          <w:rFonts w:ascii="宋体" w:eastAsia="宋体" w:cs="宋体"/>
          <w:sz w:val="24"/>
          <w:szCs w:val="24"/>
        </w:rPr>
      </w:pPr>
      <w:r>
        <w:rPr>
          <w:rFonts w:hint="eastAsia" w:ascii="宋体" w:eastAsia="宋体" w:cs="宋体"/>
          <w:sz w:val="24"/>
          <w:szCs w:val="24"/>
        </w:rPr>
        <w:t>本单位本年度收入的年初预算数为643.85万元，上年度收入的年初预算数为668.55万元，差异为-24.70万元；</w:t>
      </w:r>
      <w:r>
        <w:rPr>
          <w:rStyle w:val="10"/>
          <w:rFonts w:hint="eastAsia" w:ascii="宋体" w:eastAsia="宋体" w:cs="宋体"/>
          <w:b w:val="0"/>
          <w:sz w:val="24"/>
          <w:szCs w:val="24"/>
        </w:rPr>
        <w:t>主要原因</w:t>
      </w:r>
      <w:r>
        <w:rPr>
          <w:rStyle w:val="10"/>
          <w:rFonts w:hint="eastAsia" w:ascii="宋体" w:eastAsia="宋体" w:cs="宋体"/>
          <w:b w:val="0"/>
          <w:sz w:val="24"/>
          <w:szCs w:val="24"/>
          <w:lang w:eastAsia="zh-CN"/>
        </w:rPr>
        <w:t>为人员变动</w:t>
      </w:r>
      <w:r>
        <w:rPr>
          <w:rFonts w:hint="eastAsia" w:ascii="宋体" w:eastAsia="宋体" w:cs="宋体"/>
          <w:sz w:val="24"/>
          <w:szCs w:val="24"/>
        </w:rPr>
        <w:t>。本年度支出的年初预算数为 677.94万元，上年度支出的年初预算数为668.55万元，差异为9.39万元；</w:t>
      </w:r>
      <w:r>
        <w:rPr>
          <w:rStyle w:val="10"/>
          <w:rFonts w:hint="eastAsia" w:ascii="宋体" w:eastAsia="宋体" w:cs="宋体"/>
          <w:b w:val="0"/>
          <w:sz w:val="24"/>
          <w:szCs w:val="24"/>
        </w:rPr>
        <w:t>主要原因为原因</w:t>
      </w:r>
      <w:r>
        <w:rPr>
          <w:rStyle w:val="10"/>
          <w:rFonts w:ascii="宋体" w:eastAsia="宋体" w:cs="宋体"/>
          <w:b w:val="0"/>
          <w:sz w:val="24"/>
          <w:szCs w:val="24"/>
          <w:lang w:eastAsia="zh-CN"/>
        </w:rPr>
        <w:t>办公费增加</w:t>
      </w:r>
      <w:r>
        <w:rPr>
          <w:rStyle w:val="10"/>
          <w:rFonts w:hint="eastAsia" w:ascii="宋体" w:eastAsia="宋体" w:cs="宋体"/>
          <w:b w:val="0"/>
          <w:sz w:val="24"/>
          <w:szCs w:val="24"/>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Style w:val="10"/>
          <w:rFonts w:ascii="Arial" w:hAnsi="Arial" w:eastAsia="Arial" w:cs="Arial"/>
          <w:i w:val="0"/>
          <w:caps w:val="0"/>
          <w:smallCaps w:val="0"/>
          <w:color w:val="000000"/>
          <w:spacing w:val="0"/>
          <w:sz w:val="24"/>
          <w:szCs w:val="24"/>
          <w:shd w:val="clear" w:color="auto" w:fill="FFFFFF"/>
        </w:rPr>
      </w:pPr>
      <w:r>
        <w:rPr>
          <w:rStyle w:val="10"/>
          <w:rFonts w:ascii="Arial" w:hAnsi="Arial" w:eastAsia="Arial" w:cs="Arial"/>
          <w:i w:val="0"/>
          <w:caps w:val="0"/>
          <w:smallCaps w:val="0"/>
          <w:color w:val="000000"/>
          <w:spacing w:val="0"/>
          <w:sz w:val="24"/>
          <w:szCs w:val="24"/>
          <w:shd w:val="clear" w:color="auto" w:fill="FFFFFF"/>
        </w:rPr>
        <w:t>(可用柱形图或折线图)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2" w:firstLineChars="200"/>
        <w:rPr>
          <w:rStyle w:val="10"/>
          <w:rFonts w:ascii="Arial" w:hAnsi="Arial" w:eastAsia="Arial" w:cs="Arial"/>
          <w:i w:val="0"/>
          <w:caps w:val="0"/>
          <w:smallCaps w:val="0"/>
          <w:color w:val="000000"/>
          <w:spacing w:val="0"/>
          <w:sz w:val="24"/>
          <w:szCs w:val="24"/>
          <w:shd w:val="clear" w:color="auto" w:fill="FFFFFF"/>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5022850" cy="2978150"/>
            <wp:effectExtent l="0" t="0" r="0"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7"/>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r>
        <w:rPr>
          <w:rStyle w:val="10"/>
          <w:rFonts w:ascii="Arial" w:hAnsi="Arial" w:eastAsia="Arial" w:cs="Arial"/>
          <w:i w:val="0"/>
          <w:caps w:val="0"/>
          <w:smallCaps w:val="0"/>
          <w:color w:val="000000"/>
          <w:spacing w:val="0"/>
          <w:sz w:val="24"/>
          <w:szCs w:val="24"/>
          <w:shd w:val="clear" w:color="auto" w:fill="FFFFFF"/>
        </w:rPr>
        <w:t>收入支出预算执行情况。</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0" w:right="0" w:rightChars="0" w:firstLine="480" w:firstLineChars="200"/>
        <w:rPr>
          <w:rFonts w:ascii="宋体" w:eastAsia="宋体" w:cs="宋体"/>
          <w:sz w:val="24"/>
          <w:szCs w:val="24"/>
        </w:rPr>
      </w:pPr>
      <w:r>
        <w:rPr>
          <w:rFonts w:hint="eastAsia" w:ascii="宋体" w:eastAsia="宋体" w:cs="宋体"/>
          <w:sz w:val="24"/>
          <w:szCs w:val="24"/>
        </w:rPr>
        <w:t>本单位本年度收入调整预算数为1,038.09万元，收入决算数为1,038.09万元，预算完成度为100.00%，上年度预算完成度为100.00% 本年度支出调整预算数为1,038.09万元，支出决算数为1,038.09万元，预算完成度为100.00%，上年度预算完成度为96.24%，</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Style w:val="10"/>
          <w:rFonts w:ascii="Arial" w:hAnsi="Arial" w:eastAsia="Arial" w:cs="Arial"/>
          <w:i w:val="0"/>
          <w:caps w:val="0"/>
          <w:smallCaps w:val="0"/>
          <w:color w:val="000000"/>
          <w:spacing w:val="0"/>
          <w:sz w:val="24"/>
          <w:szCs w:val="24"/>
          <w:shd w:val="clear" w:color="auto" w:fill="FFFFFF"/>
        </w:rPr>
      </w:pPr>
      <w:r>
        <w:rPr>
          <w:rStyle w:val="10"/>
          <w:rFonts w:ascii="Arial" w:hAnsi="Arial" w:eastAsia="Arial" w:cs="Arial"/>
          <w:i w:val="0"/>
          <w:caps w:val="0"/>
          <w:smallCaps w:val="0"/>
          <w:color w:val="000000"/>
          <w:spacing w:val="0"/>
          <w:sz w:val="24"/>
          <w:szCs w:val="24"/>
          <w:shd w:val="clear" w:color="auto" w:fill="FFFFFF"/>
        </w:rPr>
        <w:t>(可用柱形图或折线图)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2" w:firstLineChars="200"/>
        <w:rPr>
          <w:rStyle w:val="10"/>
          <w:rFonts w:ascii="Arial" w:hAnsi="Arial" w:eastAsia="Arial" w:cs="Arial"/>
          <w:i w:val="0"/>
          <w:caps w:val="0"/>
          <w:smallCaps w:val="0"/>
          <w:color w:val="000000"/>
          <w:spacing w:val="0"/>
          <w:sz w:val="24"/>
          <w:szCs w:val="24"/>
          <w:shd w:val="clear" w:color="auto" w:fill="FFFFFF"/>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5022850" cy="2978150"/>
            <wp:effectExtent l="4445" t="4445" r="20955" b="8255"/>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1．收入支出与预算对比分析。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r>
        <w:rPr>
          <w:rFonts w:hint="eastAsia" w:ascii="宋体" w:eastAsia="宋体" w:cs="宋体"/>
          <w:i w:val="0"/>
          <w:caps w:val="0"/>
          <w:smallCaps w:val="0"/>
          <w:color w:val="000000"/>
          <w:spacing w:val="0"/>
          <w:sz w:val="24"/>
          <w:szCs w:val="24"/>
          <w:shd w:val="clear" w:color="auto" w:fill="FFFFFF"/>
        </w:rPr>
        <w:t>（1）预、决算差异情况，可分收入支出功能科目、分单位、分收入支出具体项目逐项对比</w:t>
      </w:r>
      <w:r>
        <w:rPr>
          <w:rStyle w:val="10"/>
          <w:rFonts w:ascii="Arial" w:hAnsi="Arial" w:eastAsia="Arial" w:cs="Arial"/>
          <w:i w:val="0"/>
          <w:caps w:val="0"/>
          <w:smallCaps w:val="0"/>
          <w:color w:val="000000"/>
          <w:spacing w:val="0"/>
          <w:sz w:val="24"/>
          <w:szCs w:val="24"/>
          <w:shd w:val="clear" w:color="auto" w:fill="FFFFFF"/>
        </w:rPr>
        <w:t>（可列表）</w:t>
      </w:r>
      <w:r>
        <w:rPr>
          <w:rFonts w:hint="eastAsia" w:ascii="宋体" w:eastAsia="宋体" w:cs="宋体"/>
          <w:i w:val="0"/>
          <w:caps w:val="0"/>
          <w:smallCaps w:val="0"/>
          <w:color w:val="000000"/>
          <w:spacing w:val="0"/>
          <w:sz w:val="24"/>
          <w:szCs w:val="24"/>
          <w:shd w:val="clear" w:color="auto" w:fill="FFFFFF"/>
        </w:rPr>
        <w:t>。</w:t>
      </w:r>
      <w:r>
        <w:rPr>
          <w:rFonts w:ascii="宋体" w:eastAsia="宋体" w:cs="宋体"/>
          <w:i w:val="0"/>
          <w:caps w:val="0"/>
          <w:smallCaps w:val="0"/>
          <w:color w:val="000000"/>
          <w:spacing w:val="0"/>
          <w:sz w:val="24"/>
          <w:szCs w:val="24"/>
          <w:shd w:val="clear" w:color="auto" w:fill="FFFFFF"/>
        </w:rPr>
        <w:t xml:space="preserve"> </w:t>
      </w:r>
      <w:r>
        <w:rPr>
          <w:rFonts w:ascii="Arial" w:hAnsi="Arial" w:eastAsia="宋体" w:cs="Arial"/>
          <w:i w:val="0"/>
          <w:caps w:val="0"/>
          <w:smallCaps w:val="0"/>
          <w:color w:val="000000"/>
          <w:spacing w:val="0"/>
          <w:sz w:val="18"/>
          <w:szCs w:val="18"/>
          <w:lang w:val="en-US" w:eastAsia="zh-CN"/>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sectPr>
          <w:pgSz w:w="11906" w:h="16838"/>
          <w:pgMar w:top="1440" w:right="1800" w:bottom="1440" w:left="1800" w:header="851" w:footer="992" w:gutter="0"/>
          <w:cols w:space="720" w:num="1"/>
          <w:docGrid w:type="lines" w:linePitch="312" w:charSpace="0"/>
        </w:sect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r>
        <w:rPr>
          <w:rFonts w:ascii="Arial" w:hAnsi="Arial" w:eastAsia="宋体" w:cs="Arial"/>
          <w:i w:val="0"/>
          <w:caps w:val="0"/>
          <w:smallCaps w:val="0"/>
          <w:color w:val="000000"/>
          <w:spacing w:val="0"/>
          <w:sz w:val="18"/>
          <w:szCs w:val="18"/>
          <w:lang w:val="en-US" w:eastAsia="zh-CN"/>
        </w:rPr>
        <w:drawing>
          <wp:anchor distT="0" distB="0" distL="114300" distR="114300" simplePos="0" relativeHeight="251659264" behindDoc="1" locked="0" layoutInCell="1" allowOverlap="1">
            <wp:simplePos x="0" y="0"/>
            <wp:positionH relativeFrom="column">
              <wp:posOffset>-683895</wp:posOffset>
            </wp:positionH>
            <wp:positionV relativeFrom="paragraph">
              <wp:posOffset>74295</wp:posOffset>
            </wp:positionV>
            <wp:extent cx="10031730" cy="4100195"/>
            <wp:effectExtent l="0" t="0" r="7620" b="0"/>
            <wp:wrapThrough wrapText="bothSides">
              <wp:wrapPolygon>
                <wp:start x="0" y="0"/>
                <wp:lineTo x="0" y="21476"/>
                <wp:lineTo x="21575" y="21476"/>
                <wp:lineTo x="21575" y="0"/>
                <wp:lineTo x="0" y="0"/>
              </wp:wrapPolygon>
            </wp:wrapThrough>
            <wp:docPr id="8" name="图片 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
                    <pic:cNvPicPr>
                      <a:picLocks noChangeAspect="1"/>
                    </pic:cNvPicPr>
                  </pic:nvPicPr>
                  <pic:blipFill>
                    <a:blip r:embed="rId6"/>
                    <a:stretch>
                      <a:fillRect/>
                    </a:stretch>
                  </pic:blipFill>
                  <pic:spPr>
                    <a:xfrm>
                      <a:off x="0" y="0"/>
                      <a:ext cx="10031730" cy="4100195"/>
                    </a:xfrm>
                    <a:prstGeom prst="rect">
                      <a:avLst/>
                    </a:prstGeom>
                  </pic:spPr>
                </pic:pic>
              </a:graphicData>
            </a:graphic>
          </wp:anchor>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sectPr>
          <w:pgSz w:w="16838" w:h="11906" w:orient="landscape"/>
          <w:pgMar w:top="1800" w:right="1440" w:bottom="1800" w:left="1440" w:header="851" w:footer="992" w:gutter="0"/>
          <w:cols w:space="720" w:num="1"/>
          <w:docGrid w:type="lines" w:linePitch="312" w:charSpace="0"/>
        </w:sect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宋体" w:cs="Arial"/>
          <w:i w:val="0"/>
          <w:caps w:val="0"/>
          <w:smallCaps w:val="0"/>
          <w:color w:val="000000"/>
          <w:spacing w:val="0"/>
          <w:sz w:val="18"/>
          <w:szCs w:val="18"/>
          <w:lang w:val="en-US" w:eastAsia="zh-CN"/>
        </w:rPr>
      </w:pPr>
      <w:r>
        <w:rPr>
          <w:rFonts w:ascii="Arial" w:hAnsi="Arial" w:eastAsia="宋体" w:cs="Arial"/>
          <w:i w:val="0"/>
          <w:caps w:val="0"/>
          <w:smallCaps w:val="0"/>
          <w:color w:val="000000"/>
          <w:spacing w:val="0"/>
          <w:sz w:val="18"/>
          <w:szCs w:val="18"/>
          <w:lang w:val="en-US" w:eastAsia="zh-CN"/>
        </w:rPr>
        <w:t xml:space="preserve">          </w:t>
      </w:r>
    </w:p>
    <w:p>
      <w:pPr>
        <w:pStyle w:val="7"/>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eastAsia="宋体" w:cs="宋体"/>
          <w:i w:val="0"/>
          <w:caps w:val="0"/>
          <w:smallCaps w:val="0"/>
          <w:color w:val="000000"/>
          <w:spacing w:val="0"/>
          <w:sz w:val="24"/>
          <w:szCs w:val="24"/>
          <w:shd w:val="clear" w:color="auto" w:fill="FFFFFF"/>
        </w:rPr>
      </w:pPr>
      <w:r>
        <w:rPr>
          <w:rFonts w:hint="eastAsia" w:ascii="宋体" w:eastAsia="宋体" w:cs="宋体"/>
          <w:i w:val="0"/>
          <w:caps w:val="0"/>
          <w:smallCaps w:val="0"/>
          <w:color w:val="000000"/>
          <w:spacing w:val="0"/>
          <w:sz w:val="24"/>
          <w:szCs w:val="24"/>
          <w:shd w:val="clear" w:color="auto" w:fill="FFFFFF"/>
        </w:rPr>
        <w:t>差异原因分析。差异较大的应分析到具体收入支出功能科目和具体单位。</w:t>
      </w:r>
    </w:p>
    <w:p>
      <w:pPr>
        <w:pStyle w:val="2"/>
        <w:rPr>
          <w:rFonts w:ascii="宋体" w:eastAsia="宋体" w:cs="宋体"/>
          <w:i w:val="0"/>
          <w:caps w:val="0"/>
          <w:smallCaps w:val="0"/>
          <w:color w:val="000000"/>
          <w:spacing w:val="0"/>
          <w:kern w:val="0"/>
          <w:sz w:val="24"/>
          <w:szCs w:val="24"/>
          <w:shd w:val="clear" w:color="auto" w:fill="FFFFFF"/>
          <w:lang w:val="en-US" w:eastAsia="zh-CN"/>
        </w:rPr>
      </w:pPr>
      <w:r>
        <w:rPr>
          <w:rFonts w:hint="eastAsia" w:ascii="宋体" w:eastAsia="宋体" w:cs="宋体"/>
          <w:i w:val="0"/>
          <w:caps w:val="0"/>
          <w:smallCaps w:val="0"/>
          <w:color w:val="000000"/>
          <w:spacing w:val="0"/>
          <w:sz w:val="24"/>
          <w:szCs w:val="24"/>
          <w:shd w:val="clear" w:color="auto" w:fill="FFFFFF"/>
          <w:lang w:val="en-US" w:eastAsia="zh-CN"/>
        </w:rPr>
        <w:t xml:space="preserve">  </w:t>
      </w:r>
      <w:r>
        <w:rPr>
          <w:rFonts w:hint="eastAsia" w:ascii="宋体" w:eastAsia="宋体" w:cs="宋体"/>
          <w:i w:val="0"/>
          <w:caps w:val="0"/>
          <w:smallCaps w:val="0"/>
          <w:color w:val="000000"/>
          <w:spacing w:val="0"/>
          <w:kern w:val="0"/>
          <w:sz w:val="24"/>
          <w:szCs w:val="24"/>
          <w:shd w:val="clear" w:color="auto" w:fill="FFFFFF"/>
          <w:lang w:val="en-US" w:eastAsia="zh-CN"/>
        </w:rPr>
        <w:t>差异原因：2021年人员工资调整，人员增加，车辆增加。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2．收入支出结构分析。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r>
        <w:rPr>
          <w:rFonts w:hint="eastAsia" w:ascii="宋体" w:eastAsia="宋体" w:cs="宋体"/>
          <w:sz w:val="24"/>
          <w:szCs w:val="24"/>
        </w:rPr>
        <w:t>（1） 本单位本年度总收入为1,038.09万元。其中：一般公共预算财政拨款收入为1,030.12万元，占比99.23%；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7.97万元，占比0.77%。本年度总支出为1,038.09万元。其中：一般公共服务支出为766.82万元，占比73.87%；外交支出为0.00万元，占比0.00%；国防支出为0.00万元，占比0.00%；公共安全支出为0.00万元，占比0.00%；教育支出为0.00万元，占比0.00%；科学技术支出为0.00万元，占比0.00%；文化旅游体育与传媒支出为6.00万元，占比0.58%；社会保障和就业支出为77.35万元，占比7.45%；卫生健康支出为38.81万元，占比3.74%；节能环保支出为0.00万元，占比0.00%；城乡社区支出为10.96万元，占比1.06%；农林水支出为82.76万元，占比7.97%；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55.38万元，占比5.33%；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r>
        <w:rPr>
          <w:rStyle w:val="10"/>
          <w:rFonts w:ascii="Arial" w:hAnsi="Arial" w:eastAsia="Arial" w:cs="Arial"/>
          <w:i w:val="0"/>
          <w:caps w:val="0"/>
          <w:smallCaps w:val="0"/>
          <w:color w:val="000000"/>
          <w:spacing w:val="0"/>
          <w:sz w:val="24"/>
          <w:szCs w:val="24"/>
          <w:shd w:val="clear" w:color="auto" w:fill="FFFFFF"/>
        </w:rPr>
        <w:t>（可分别制作饼状图）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i w:val="0"/>
          <w:caps w:val="0"/>
          <w:smallCaps w:val="0"/>
          <w:color w:val="000000"/>
          <w:spacing w:val="0"/>
          <w:sz w:val="24"/>
          <w:szCs w:val="24"/>
          <w:shd w:val="clear" w:color="auto" w:fill="FFFFFF"/>
          <w:lang w:eastAsia="zh-CN"/>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5346065" cy="2527300"/>
            <wp:effectExtent l="0" t="0" r="0" b="0"/>
            <wp:docPr id="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Style w:val="10"/>
          <w:rFonts w:hint="eastAsia" w:ascii="Arial" w:hAnsi="Arial" w:eastAsia="宋体" w:cs="Arial"/>
          <w:i w:val="0"/>
          <w:caps w:val="0"/>
          <w:smallCaps w:val="0"/>
          <w:color w:val="000000"/>
          <w:spacing w:val="0"/>
          <w:sz w:val="24"/>
          <w:szCs w:val="24"/>
          <w:shd w:val="clear" w:color="auto" w:fill="FFFFFF"/>
          <w:lang w:val="en-US" w:eastAsia="zh-CN"/>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5487035" cy="2998470"/>
            <wp:effectExtent l="0" t="0" r="0" b="0"/>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0"/>
        <w:rPr>
          <w:rStyle w:val="10"/>
          <w:rFonts w:ascii="Arial" w:hAnsi="Arial" w:eastAsia="Arial" w:cs="Arial"/>
          <w:i w:val="0"/>
          <w:caps w:val="0"/>
          <w:smallCaps w:val="0"/>
          <w:color w:val="000000"/>
          <w:spacing w:val="0"/>
          <w:sz w:val="24"/>
          <w:szCs w:val="24"/>
          <w:shd w:val="clear" w:color="auto" w:fill="FFFFFF"/>
        </w:rPr>
      </w:pPr>
      <w:r>
        <w:rPr>
          <w:rFonts w:hint="eastAsia" w:ascii="宋体" w:eastAsia="宋体" w:cs="宋体"/>
          <w:sz w:val="24"/>
          <w:szCs w:val="24"/>
        </w:rPr>
        <w:t>（2）本年度一般公共预算财政拨款收入相比上年度增加231.97万元，政府性基金预算财政拨款收入相比上年度增加0.00万元，国有资本经营预算财政拨款收入相比上年度增加0.00万元，上级补助收入相比上年度增加0.00万元，事业收入相比上年度增加0.00万元，；经营收入相比上年度增加0.00万元，；附属单位上缴收入相比上年度增加0.00万元，；其他收入相比上年度增加7.97万元，。本年度一般公共服务支出相比上年度增加287.48万元，外交支出相比上年度增加0.00万元；国防支出相比上年度增加0.00万元；公共安全支出相比上年度增加0.00万元；教育支出相比上年度增加0.00万元；科学技术支出相比上年度增加0.00万元；文化旅游体育与传媒支出相比上年度增加2.00万元；社会保障和就业支出相比上年度增加-72.20万元；卫生健康支出相比上年度增加6.23万元；节能环保支出相比上年度增加0.00万元；城乡社区支出相比上年度增加-10.00万元；农林水支出相比上年度增加-52.70万元；交通运输支出相比上年度增加0.00万元；资源勘探工业信息等支出相比上年度增加0.00万元；商业服务业等支出相比上年度增加-1.00万元；金融支出相比上年度增加0.00万元；援助其他地区支出相比上年度增加0.00万元；自然资源海洋气象等支出相比上年度增加0.00万元；住房保障支出相比上年度增加6.91万元，；粮油物资储备支出相比上年度增加0.00万元；国有资本经营预算支出相比上年度增加0.00万元；灾害防治及应急管理支出相比上年度增加0.00万元；其他支出相比上年度增加0.00万元；债务还本支出相比上年度增加0.00万元；债务付息支出相比上年度增加0.00万元；抗疫特别国债安排的支出相比上年度增加0.00万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Style w:val="10"/>
          <w:rFonts w:hint="eastAsia" w:ascii="Arial" w:hAnsi="Arial" w:eastAsia="宋体" w:cs="Arial"/>
          <w:i w:val="0"/>
          <w:caps w:val="0"/>
          <w:smallCaps w:val="0"/>
          <w:color w:val="000000"/>
          <w:spacing w:val="0"/>
          <w:sz w:val="24"/>
          <w:szCs w:val="24"/>
          <w:shd w:val="clear" w:color="auto" w:fill="FFFFFF"/>
          <w:lang w:eastAsia="zh-CN"/>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5060950" cy="2775585"/>
            <wp:effectExtent l="0" t="0" r="0" b="0"/>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3．支出按经济分类科目分析。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r>
        <w:rPr>
          <w:rFonts w:hint="eastAsia" w:ascii="宋体" w:eastAsia="宋体" w:cs="宋体"/>
          <w:sz w:val="24"/>
          <w:szCs w:val="24"/>
        </w:rPr>
        <w:t>（1） “三公”经费支出情况：本单位本年度“三公”经费支出决算数为14.60万元。其中:因公出国（境）费支出决算数为0.00万元，相比上年度增加0.00万元，公务用车购置及运行维护费支出决算数为14.50万元，相比上年度增加2.08万元，</w:t>
      </w:r>
      <w:r>
        <w:rPr>
          <w:rStyle w:val="10"/>
          <w:rFonts w:hint="eastAsia" w:ascii="宋体" w:eastAsia="宋体" w:cs="宋体"/>
          <w:sz w:val="24"/>
          <w:szCs w:val="24"/>
        </w:rPr>
        <w:t>主要原因为</w:t>
      </w:r>
      <w:r>
        <w:rPr>
          <w:rStyle w:val="10"/>
          <w:rFonts w:ascii="宋体" w:eastAsia="宋体" w:cs="宋体"/>
          <w:sz w:val="24"/>
          <w:szCs w:val="24"/>
        </w:rPr>
        <w:t>：车辆增加</w:t>
      </w:r>
      <w:r>
        <w:rPr>
          <w:rFonts w:hint="eastAsia" w:ascii="宋体" w:eastAsia="宋体" w:cs="宋体"/>
          <w:sz w:val="24"/>
          <w:szCs w:val="24"/>
        </w:rPr>
        <w:t>；公务接待费支出决算数为0.10万元，相比上年度增加-0.09万元，</w:t>
      </w:r>
      <w:r>
        <w:rPr>
          <w:rStyle w:val="10"/>
          <w:rFonts w:hint="eastAsia" w:ascii="宋体" w:eastAsia="宋体" w:cs="宋体"/>
          <w:sz w:val="24"/>
          <w:szCs w:val="24"/>
        </w:rPr>
        <w:t>主要原因为</w:t>
      </w:r>
      <w:r>
        <w:rPr>
          <w:rStyle w:val="10"/>
          <w:rFonts w:ascii="宋体" w:eastAsia="宋体" w:cs="宋体"/>
          <w:sz w:val="24"/>
          <w:szCs w:val="24"/>
        </w:rPr>
        <w:t>：公务接待减少</w:t>
      </w:r>
      <w:r>
        <w:rPr>
          <w:rFonts w:hint="eastAsia" w:ascii="宋体" w:eastAsia="宋体" w:cs="宋体"/>
          <w:sz w:val="24"/>
          <w:szCs w:val="24"/>
        </w:rPr>
        <w:t>。 本年度“三公”经费支出预算数为14.60万元，决算数为14.60万元，预算完成度为100.00%，本年度因 公出国（境）费人均支出为0.00万元，公务用车购置及运行维护费人均支出为0.38万元，公务接待费人均支出为0.00万元。</w:t>
      </w:r>
      <w:r>
        <w:rPr>
          <w:rStyle w:val="10"/>
          <w:rFonts w:ascii="Arial" w:hAnsi="Arial" w:eastAsia="Arial" w:cs="Arial"/>
          <w:i w:val="0"/>
          <w:caps w:val="0"/>
          <w:smallCaps w:val="0"/>
          <w:color w:val="000000"/>
          <w:spacing w:val="0"/>
          <w:sz w:val="24"/>
          <w:szCs w:val="24"/>
          <w:shd w:val="clear" w:color="auto" w:fill="FFFFFF"/>
        </w:rPr>
        <w:t>（可做表、柱图、折线图）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i w:val="0"/>
          <w:caps w:val="0"/>
          <w:smallCaps w:val="0"/>
          <w:color w:val="000000"/>
          <w:spacing w:val="0"/>
          <w:sz w:val="24"/>
          <w:szCs w:val="24"/>
          <w:shd w:val="clear" w:color="auto" w:fill="FFFFFF"/>
          <w:lang w:eastAsia="zh-CN"/>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2413000" cy="2020570"/>
            <wp:effectExtent l="0" t="0" r="0" b="0"/>
            <wp:docPr id="6"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Style w:val="10"/>
          <w:rFonts w:hint="eastAsia" w:ascii="Arial" w:hAnsi="Arial" w:eastAsia="宋体" w:cs="Arial"/>
          <w:i w:val="0"/>
          <w:caps w:val="0"/>
          <w:smallCaps w:val="0"/>
          <w:color w:val="000000"/>
          <w:spacing w:val="0"/>
          <w:sz w:val="24"/>
          <w:szCs w:val="24"/>
          <w:shd w:val="clear" w:color="auto" w:fill="FFFFFF"/>
          <w:lang w:val="en-US" w:eastAsia="zh-CN"/>
        </w:rPr>
        <w:t xml:space="preserve">      </w:t>
      </w: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2332990" cy="2276475"/>
            <wp:effectExtent l="4445" t="4445" r="5715" b="5080"/>
            <wp:docPr id="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宋体" w:eastAsia="宋体" w:cs="宋体"/>
          <w:sz w:val="24"/>
          <w:szCs w:val="24"/>
        </w:rPr>
      </w:pPr>
      <w:r>
        <w:rPr>
          <w:rFonts w:hint="eastAsia" w:ascii="宋体" w:eastAsia="宋体" w:cs="宋体"/>
          <w:i w:val="0"/>
          <w:caps w:val="0"/>
          <w:smallCaps w:val="0"/>
          <w:color w:val="000000"/>
          <w:spacing w:val="0"/>
          <w:sz w:val="24"/>
          <w:szCs w:val="24"/>
          <w:shd w:val="clear" w:color="auto" w:fill="FFFFFF"/>
        </w:rPr>
        <w:t xml:space="preserve">（2） </w:t>
      </w:r>
      <w:r>
        <w:rPr>
          <w:rFonts w:hint="eastAsia" w:ascii="宋体" w:eastAsia="宋体" w:cs="宋体"/>
          <w:sz w:val="24"/>
          <w:szCs w:val="24"/>
        </w:rPr>
        <w:t>会议费支出情况：本单位本年度会议费支出决算数为1.70万元，相比上年度增加0.41万元，</w:t>
      </w:r>
      <w:r>
        <w:rPr>
          <w:rStyle w:val="10"/>
          <w:rFonts w:hint="eastAsia" w:ascii="宋体" w:eastAsia="宋体" w:cs="宋体"/>
          <w:sz w:val="24"/>
          <w:szCs w:val="24"/>
        </w:rPr>
        <w:t>主要原因为</w:t>
      </w:r>
      <w:r>
        <w:rPr>
          <w:rStyle w:val="10"/>
          <w:rFonts w:ascii="宋体" w:eastAsia="宋体" w:cs="宋体"/>
          <w:sz w:val="24"/>
          <w:szCs w:val="24"/>
        </w:rPr>
        <w:t>：会议增加</w:t>
      </w:r>
      <w:r>
        <w:rPr>
          <w:rFonts w:hint="eastAsia" w:ascii="宋体" w:eastAsia="宋体" w:cs="宋体"/>
          <w:sz w:val="24"/>
          <w:szCs w:val="24"/>
        </w:rPr>
        <w:t>；会议费人均支出为0.04万元。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r>
        <w:rPr>
          <w:rFonts w:hint="eastAsia" w:ascii="宋体" w:eastAsia="宋体" w:cs="宋体"/>
          <w:i w:val="0"/>
          <w:caps w:val="0"/>
          <w:smallCaps w:val="0"/>
          <w:color w:val="000000"/>
          <w:spacing w:val="0"/>
          <w:sz w:val="24"/>
          <w:szCs w:val="24"/>
          <w:shd w:val="clear" w:color="auto" w:fill="FFFFFF"/>
        </w:rPr>
        <w:t>（3）</w:t>
      </w:r>
      <w:r>
        <w:rPr>
          <w:rFonts w:hint="eastAsia" w:ascii="宋体" w:eastAsia="宋体" w:cs="宋体"/>
          <w:sz w:val="24"/>
          <w:szCs w:val="24"/>
        </w:rPr>
        <w:t>培训费支出情况：本单位本年度培训费支出决算数为0.50万元，相比上年度增加0.33万元，</w:t>
      </w:r>
      <w:r>
        <w:rPr>
          <w:rStyle w:val="10"/>
          <w:rFonts w:hint="eastAsia" w:ascii="宋体" w:eastAsia="宋体" w:cs="宋体"/>
          <w:sz w:val="24"/>
          <w:szCs w:val="24"/>
        </w:rPr>
        <w:t>主要原因为</w:t>
      </w:r>
      <w:r>
        <w:rPr>
          <w:rStyle w:val="10"/>
          <w:rFonts w:ascii="宋体" w:eastAsia="宋体" w:cs="宋体"/>
          <w:sz w:val="24"/>
          <w:szCs w:val="24"/>
        </w:rPr>
        <w:t>：培训增加</w:t>
      </w:r>
      <w:r>
        <w:rPr>
          <w:rFonts w:hint="eastAsia" w:ascii="宋体" w:eastAsia="宋体" w:cs="宋体"/>
          <w:sz w:val="24"/>
          <w:szCs w:val="24"/>
        </w:rPr>
        <w:t>；培训费人均支出为0.01万元。</w:t>
      </w:r>
      <w:r>
        <w:rPr>
          <w:rStyle w:val="10"/>
          <w:rFonts w:ascii="Arial" w:hAnsi="Arial" w:eastAsia="Arial" w:cs="Arial"/>
          <w:i w:val="0"/>
          <w:caps w:val="0"/>
          <w:smallCaps w:val="0"/>
          <w:color w:val="000000"/>
          <w:spacing w:val="0"/>
          <w:sz w:val="24"/>
          <w:szCs w:val="24"/>
          <w:shd w:val="clear" w:color="auto" w:fill="FFFFFF"/>
        </w:rPr>
        <w:t>（可做表、柱图、折线图）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i w:val="0"/>
          <w:caps w:val="0"/>
          <w:smallCaps w:val="0"/>
          <w:color w:val="000000"/>
          <w:spacing w:val="0"/>
          <w:sz w:val="24"/>
          <w:szCs w:val="24"/>
          <w:shd w:val="clear" w:color="auto" w:fill="FFFFFF"/>
          <w:lang w:eastAsia="zh-CN"/>
        </w:rPr>
      </w:pPr>
      <w:r>
        <w:rPr>
          <w:rStyle w:val="10"/>
          <w:rFonts w:hint="eastAsia" w:ascii="Arial" w:hAnsi="Arial" w:eastAsia="宋体" w:cs="Arial"/>
          <w:i w:val="0"/>
          <w:caps w:val="0"/>
          <w:smallCaps w:val="0"/>
          <w:color w:val="000000"/>
          <w:spacing w:val="0"/>
          <w:sz w:val="24"/>
          <w:szCs w:val="24"/>
          <w:shd w:val="clear" w:color="auto" w:fill="FFFFFF"/>
          <w:lang w:eastAsia="zh-CN"/>
        </w:rPr>
        <w:drawing>
          <wp:inline distT="0" distB="0" distL="114300" distR="114300">
            <wp:extent cx="4692015" cy="3079750"/>
            <wp:effectExtent l="4445" t="4445" r="8890" b="59055"/>
            <wp:docPr id="9" name="图表 9" descr="7b0a202020202263686172745265734964223a202232303437323139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ascii="Arial" w:hAnsi="Arial" w:eastAsia="Arial" w:cs="Arial"/>
          <w:i w:val="0"/>
          <w:caps w:val="0"/>
          <w:smallCaps w:val="0"/>
          <w:color w:val="000000"/>
          <w:spacing w:val="0"/>
          <w:sz w:val="24"/>
          <w:szCs w:val="24"/>
          <w:shd w:val="clear" w:color="auto"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i w:val="0"/>
          <w:caps w:val="0"/>
          <w:smallCaps w:val="0"/>
          <w:color w:val="000000"/>
          <w:spacing w:val="0"/>
          <w:sz w:val="24"/>
          <w:szCs w:val="24"/>
          <w:shd w:val="clear" w:color="auto"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（4）其他对单位影响较大的支出情况。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i w:val="0"/>
          <w:caps w:val="0"/>
          <w:smallCaps w:val="0"/>
          <w:color w:val="000000"/>
          <w:spacing w:val="0"/>
          <w:sz w:val="24"/>
          <w:szCs w:val="24"/>
          <w:shd w:val="clear" w:color="auto" w:fill="FFFFFF"/>
          <w:lang w:eastAsia="zh-CN"/>
        </w:rPr>
      </w:pPr>
      <w:r>
        <w:rPr>
          <w:rStyle w:val="10"/>
          <w:rFonts w:hint="eastAsia" w:ascii="Arial" w:hAnsi="Arial" w:eastAsia="宋体" w:cs="Arial"/>
          <w:i w:val="0"/>
          <w:caps w:val="0"/>
          <w:smallCaps w:val="0"/>
          <w:color w:val="000000"/>
          <w:spacing w:val="0"/>
          <w:sz w:val="24"/>
          <w:szCs w:val="24"/>
          <w:shd w:val="clear" w:color="auto" w:fill="FFFFFF"/>
          <w:lang w:eastAsia="zh-CN"/>
        </w:rPr>
        <w:t>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（5）重点经济分类支出中存在的问题及改进措施。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i w:val="0"/>
          <w:caps w:val="0"/>
          <w:smallCaps w:val="0"/>
          <w:color w:val="000000"/>
          <w:spacing w:val="0"/>
          <w:sz w:val="24"/>
          <w:szCs w:val="24"/>
          <w:shd w:val="clear" w:color="auto" w:fill="FFFFFF"/>
          <w:lang w:eastAsia="zh-CN"/>
        </w:rPr>
      </w:pPr>
      <w:r>
        <w:rPr>
          <w:rStyle w:val="10"/>
          <w:rFonts w:hint="eastAsia" w:ascii="Arial" w:hAnsi="Arial" w:eastAsia="宋体" w:cs="Arial"/>
          <w:i w:val="0"/>
          <w:caps w:val="0"/>
          <w:smallCaps w:val="0"/>
          <w:color w:val="000000"/>
          <w:spacing w:val="0"/>
          <w:sz w:val="24"/>
          <w:szCs w:val="24"/>
          <w:shd w:val="clear" w:color="auto" w:fill="FFFFFF"/>
          <w:lang w:eastAsia="zh-CN"/>
        </w:rPr>
        <w:t>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Style w:val="10"/>
          <w:rFonts w:ascii="Arial" w:hAnsi="Arial" w:eastAsia="Arial" w:cs="Arial"/>
          <w:i w:val="0"/>
          <w:caps w:val="0"/>
          <w:smallCaps w:val="0"/>
          <w:color w:val="000000"/>
          <w:spacing w:val="0"/>
          <w:sz w:val="24"/>
          <w:szCs w:val="24"/>
          <w:shd w:val="clear" w:color="auto" w:fill="FFFFFF"/>
        </w:rPr>
        <w:t>4.财政拨款收入、支出分析。</w:t>
      </w:r>
    </w:p>
    <w:p>
      <w:pPr>
        <w:pStyle w:val="7"/>
        <w:keepNext w:val="0"/>
        <w:keepLines w:val="0"/>
        <w:widowControl/>
        <w:suppressLineNumbers w:val="0"/>
      </w:pPr>
      <w:r>
        <w:rPr>
          <w:rFonts w:hint="eastAsia" w:ascii="宋体" w:eastAsia="宋体" w:cs="宋体"/>
          <w:sz w:val="24"/>
          <w:szCs w:val="24"/>
        </w:rPr>
        <w:t>本单位本年度财政拨款收入为1,030.12万元，财政拨款支出为1,030.12万元，其中：基本支出中人员经费支出为794.41万元，公用经费支出为47.89万元。项目支出中基本建设类项目支出为187.81万元，</w:t>
      </w:r>
    </w:p>
    <w:p>
      <w:pPr>
        <w:pStyle w:val="7"/>
        <w:keepNext w:val="0"/>
        <w:keepLines w:val="0"/>
        <w:widowControl/>
        <w:suppressLineNumbers w:val="0"/>
      </w:pPr>
      <w:r>
        <w:rPr>
          <w:rFonts w:hint="eastAsia" w:ascii="宋体" w:eastAsia="宋体" w:cs="宋体"/>
          <w:sz w:val="24"/>
          <w:szCs w:val="24"/>
        </w:rPr>
        <w:t>1．分资金来源、资金性质结转和结余情况，特别是项目经费结转和结余情况。</w:t>
      </w:r>
    </w:p>
    <w:p>
      <w:pPr>
        <w:pStyle w:val="7"/>
        <w:keepNext w:val="0"/>
        <w:keepLines w:val="0"/>
        <w:widowControl/>
        <w:suppressLineNumbers w:val="0"/>
      </w:pPr>
      <w:r>
        <w:rPr>
          <w:rFonts w:hint="eastAsia" w:ascii="宋体" w:eastAsia="宋体" w:cs="宋体"/>
          <w:sz w:val="24"/>
          <w:szCs w:val="24"/>
        </w:rPr>
        <w:t>2．结转和结余规模较大的原因分析及消化结转和结余的对策。</w:t>
      </w:r>
    </w:p>
    <w:p>
      <w:pPr>
        <w:pStyle w:val="7"/>
        <w:keepNext w:val="0"/>
        <w:keepLines w:val="0"/>
        <w:widowControl/>
        <w:suppressLineNumbers w:val="0"/>
      </w:pPr>
      <w:r>
        <w:rPr>
          <w:rFonts w:hint="eastAsia" w:ascii="宋体" w:eastAsia="宋体" w:cs="宋体"/>
          <w:sz w:val="24"/>
          <w:szCs w:val="24"/>
        </w:rPr>
        <w:t>对资产、负债信息进行分析，主要分析与上年度对比情况，包括增减绝对值与幅度，增减变动主要原因(可用柱形图或折线图)，对预算编制和执行的影响等。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1.概述项目绩效目标完成情况。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240" w:firstLineChars="100"/>
        <w:rPr>
          <w:rFonts w:hint="eastAsia" w:ascii="宋体" w:eastAsia="宋体" w:cs="宋体"/>
          <w:i w:val="0"/>
          <w:caps w:val="0"/>
          <w:smallCaps w:val="0"/>
          <w:color w:val="000000"/>
          <w:spacing w:val="0"/>
          <w:sz w:val="24"/>
          <w:szCs w:val="24"/>
          <w:shd w:val="clear" w:color="auto" w:fill="FFFFFF"/>
          <w:lang w:val="en-US" w:eastAsia="zh-CN"/>
        </w:rPr>
      </w:pPr>
      <w:r>
        <w:rPr>
          <w:rFonts w:hint="eastAsia" w:ascii="宋体" w:eastAsia="宋体" w:cs="宋体"/>
          <w:i w:val="0"/>
          <w:caps w:val="0"/>
          <w:smallCaps w:val="0"/>
          <w:color w:val="000000"/>
          <w:spacing w:val="0"/>
          <w:sz w:val="24"/>
          <w:szCs w:val="24"/>
          <w:shd w:val="clear" w:color="auto" w:fill="FFFFFF"/>
          <w:lang w:val="en-US" w:eastAsia="zh-CN"/>
        </w:rPr>
        <w:t>经核实本单位2021年项目支出</w:t>
      </w:r>
      <w:r>
        <w:rPr>
          <w:rFonts w:ascii="宋体" w:eastAsia="宋体" w:cs="宋体"/>
          <w:i w:val="0"/>
          <w:caps w:val="0"/>
          <w:smallCaps w:val="0"/>
          <w:color w:val="000000"/>
          <w:spacing w:val="0"/>
          <w:sz w:val="24"/>
          <w:szCs w:val="24"/>
          <w:shd w:val="clear" w:color="auto" w:fill="FFFFFF"/>
          <w:lang w:val="en-US" w:eastAsia="zh-CN"/>
        </w:rPr>
        <w:t>195.78万</w:t>
      </w:r>
      <w:r>
        <w:rPr>
          <w:rFonts w:hint="eastAsia" w:ascii="宋体" w:eastAsia="宋体" w:cs="宋体"/>
          <w:i w:val="0"/>
          <w:caps w:val="0"/>
          <w:smallCaps w:val="0"/>
          <w:color w:val="000000"/>
          <w:spacing w:val="0"/>
          <w:sz w:val="24"/>
          <w:szCs w:val="24"/>
          <w:shd w:val="clear" w:color="auto" w:fill="FFFFFF"/>
          <w:lang w:val="en-US" w:eastAsia="zh-CN"/>
        </w:rPr>
        <w:t>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2.概述本单位整体支出绩效目标实现情况（如有）。</w:t>
      </w:r>
    </w:p>
    <w:p>
      <w:pPr>
        <w:snapToGrid w:val="0"/>
        <w:spacing w:line="588" w:lineRule="exact"/>
        <w:ind w:firstLine="480" w:firstLineChars="200"/>
        <w:rPr>
          <w:rFonts w:hint="eastAsia" w:ascii="仿宋_GB2312" w:eastAsia="仿宋_GB2312" w:cs="Times New Roman"/>
          <w:kern w:val="2"/>
          <w:sz w:val="32"/>
          <w:szCs w:val="32"/>
          <w:lang w:val="en-US" w:eastAsia="zh-CN" w:bidi="ar-SA"/>
        </w:rPr>
      </w:pPr>
      <w:r>
        <w:rPr>
          <w:rFonts w:hint="eastAsia" w:ascii="宋体" w:eastAsia="宋体" w:cs="宋体"/>
          <w:i w:val="0"/>
          <w:caps w:val="0"/>
          <w:smallCaps w:val="0"/>
          <w:color w:val="000000"/>
          <w:spacing w:val="0"/>
          <w:kern w:val="0"/>
          <w:sz w:val="24"/>
          <w:szCs w:val="24"/>
          <w:shd w:val="clear" w:color="auto" w:fill="FFFFFF"/>
          <w:lang w:val="en-US" w:eastAsia="zh-CN"/>
        </w:rPr>
        <w:t>我</w:t>
      </w:r>
      <w:r>
        <w:rPr>
          <w:rFonts w:ascii="宋体" w:eastAsia="宋体" w:cs="宋体"/>
          <w:i w:val="0"/>
          <w:caps w:val="0"/>
          <w:smallCaps w:val="0"/>
          <w:color w:val="000000"/>
          <w:spacing w:val="0"/>
          <w:kern w:val="0"/>
          <w:sz w:val="24"/>
          <w:szCs w:val="24"/>
          <w:shd w:val="clear" w:color="auto" w:fill="FFFFFF"/>
          <w:lang w:val="en-US" w:eastAsia="zh-CN"/>
        </w:rPr>
        <w:t>镇</w:t>
      </w:r>
      <w:r>
        <w:rPr>
          <w:rFonts w:hint="eastAsia" w:ascii="宋体" w:eastAsia="宋体" w:cs="宋体"/>
          <w:i w:val="0"/>
          <w:caps w:val="0"/>
          <w:smallCaps w:val="0"/>
          <w:color w:val="000000"/>
          <w:spacing w:val="0"/>
          <w:kern w:val="0"/>
          <w:sz w:val="24"/>
          <w:szCs w:val="24"/>
          <w:shd w:val="clear" w:color="auto" w:fill="FFFFFF"/>
          <w:lang w:val="en-US" w:eastAsia="zh-CN"/>
        </w:rPr>
        <w:t>今年根据财政资金的安排情况，加强了资金使用的管理工作，对我</w:t>
      </w:r>
      <w:r>
        <w:rPr>
          <w:rFonts w:ascii="宋体" w:eastAsia="宋体" w:cs="宋体"/>
          <w:i w:val="0"/>
          <w:caps w:val="0"/>
          <w:smallCaps w:val="0"/>
          <w:color w:val="000000"/>
          <w:spacing w:val="0"/>
          <w:kern w:val="0"/>
          <w:sz w:val="24"/>
          <w:szCs w:val="24"/>
          <w:shd w:val="clear" w:color="auto" w:fill="FFFFFF"/>
          <w:lang w:val="en-US" w:eastAsia="zh-CN"/>
        </w:rPr>
        <w:t>镇</w:t>
      </w:r>
      <w:r>
        <w:rPr>
          <w:rFonts w:hint="eastAsia" w:ascii="宋体" w:eastAsia="宋体" w:cs="宋体"/>
          <w:i w:val="0"/>
          <w:caps w:val="0"/>
          <w:smallCaps w:val="0"/>
          <w:color w:val="000000"/>
          <w:spacing w:val="0"/>
          <w:kern w:val="0"/>
          <w:sz w:val="24"/>
          <w:szCs w:val="24"/>
          <w:shd w:val="clear" w:color="auto" w:fill="FFFFFF"/>
          <w:lang w:val="en-US" w:eastAsia="zh-CN"/>
        </w:rPr>
        <w:t>各大平台数据进行了定期的上报。加强了对各平台的管理及使用，对我县服务于民生工作全面发展发挥了积极作用，完成了上级要求的绩效目标任务。</w:t>
      </w:r>
    </w:p>
    <w:p>
      <w:pPr>
        <w:snapToGrid w:val="0"/>
        <w:spacing w:line="588" w:lineRule="exact"/>
        <w:ind w:firstLine="480" w:firstLineChars="200"/>
        <w:rPr>
          <w:rStyle w:val="10"/>
          <w:rFonts w:hint="eastAsia" w:ascii="宋体" w:cs="Arial"/>
          <w:b w:val="0"/>
          <w:i w:val="0"/>
          <w:caps w:val="0"/>
          <w:smallCaps w:val="0"/>
          <w:color w:val="000000"/>
          <w:spacing w:val="0"/>
          <w:kern w:val="0"/>
          <w:sz w:val="24"/>
          <w:szCs w:val="24"/>
          <w:shd w:val="clear" w:color="auto" w:fill="FFFFFF"/>
          <w:lang w:val="en-US" w:eastAsia="zh-CN"/>
        </w:rPr>
      </w:pPr>
      <w:r>
        <w:rPr>
          <w:rStyle w:val="10"/>
          <w:rFonts w:hint="eastAsia" w:ascii="宋体" w:cs="Arial"/>
          <w:b w:val="0"/>
          <w:i w:val="0"/>
          <w:caps w:val="0"/>
          <w:smallCaps w:val="0"/>
          <w:color w:val="000000"/>
          <w:spacing w:val="0"/>
          <w:kern w:val="0"/>
          <w:sz w:val="24"/>
          <w:szCs w:val="24"/>
          <w:shd w:val="clear" w:color="auto" w:fill="FFFFFF"/>
          <w:lang w:val="en-US" w:eastAsia="zh-CN"/>
        </w:rPr>
        <w:t>存在的问题：一是财务人员业务不够精通，二是部分报表上报时间不够及时</w:t>
      </w:r>
      <w:r>
        <w:rPr>
          <w:rStyle w:val="10"/>
          <w:rFonts w:ascii="宋体" w:cs="Arial"/>
          <w:b w:val="0"/>
          <w:i w:val="0"/>
          <w:caps w:val="0"/>
          <w:smallCaps w:val="0"/>
          <w:color w:val="000000"/>
          <w:spacing w:val="0"/>
          <w:kern w:val="0"/>
          <w:sz w:val="24"/>
          <w:szCs w:val="24"/>
          <w:shd w:val="clear" w:color="auto" w:fill="FFFFFF"/>
          <w:lang w:val="en-US" w:eastAsia="zh-CN"/>
        </w:rPr>
        <w:t>。</w:t>
      </w:r>
      <w:r>
        <w:rPr>
          <w:rStyle w:val="10"/>
          <w:rFonts w:hint="eastAsia" w:ascii="宋体" w:cs="Arial"/>
          <w:b w:val="0"/>
          <w:i w:val="0"/>
          <w:caps w:val="0"/>
          <w:smallCaps w:val="0"/>
          <w:color w:val="000000"/>
          <w:spacing w:val="0"/>
          <w:kern w:val="0"/>
          <w:sz w:val="24"/>
          <w:szCs w:val="24"/>
          <w:shd w:val="clear" w:color="auto" w:fill="FFFFFF"/>
          <w:lang w:val="en-US" w:eastAsia="zh-CN"/>
        </w:rPr>
        <w:t>下一步改进措施：一是加强对财务人员的业务知识培训，二是加强与财政部门的沟通，圆满完成各项定期和不定期报表工作。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三、本年度部门决算等财务工作开展情况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（一）本单位财务管理、绩效管理、决算组织、编报、审核情况。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cs="Times New Roman"/>
          <w:kern w:val="2"/>
          <w:lang w:val="en-US" w:eastAsia="zh-CN" w:bidi="ar-SA"/>
        </w:rPr>
      </w:pPr>
      <w:r>
        <w:rPr>
          <w:rFonts w:hint="eastAsia" w:ascii="宋体" w:cs="Times New Roman"/>
          <w:kern w:val="2"/>
          <w:lang w:val="en-US" w:eastAsia="zh-CN" w:bidi="ar-SA"/>
        </w:rPr>
        <w:t>2021年度在做好和出纳的对账工作的基础上，认真完成了定期与银行、财政等部门的收支对账工作。一方面，及时编制财务报表，如月报、季报、年报、部门预算报表、决算报表等，保证了财务数据的准确性。另一方面，加强与财政的沟通，圆满完成各项定期和不定期报表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（二）本单位决算及绩效信息公开工作开展情况。</w:t>
      </w:r>
    </w:p>
    <w:p>
      <w:pPr>
        <w:pStyle w:val="2"/>
        <w:ind w:firstLine="480" w:firstLineChars="200"/>
        <w:rPr>
          <w:rFonts w:hint="eastAsia" w:ascii="仿宋_GB2312" w:eastAsia="仿宋_GB2312"/>
          <w:sz w:val="30"/>
          <w:szCs w:val="30"/>
        </w:rPr>
      </w:pPr>
      <w:r>
        <w:rPr>
          <w:rFonts w:hint="eastAsia" w:ascii="宋体"/>
          <w:sz w:val="24"/>
          <w:szCs w:val="24"/>
        </w:rPr>
        <w:t>已按要求公开</w:t>
      </w:r>
      <w:r>
        <w:rPr>
          <w:rFonts w:hint="eastAsia" w:ascii="仿宋_GB2312" w:eastAsia="仿宋_GB2312"/>
          <w:sz w:val="30"/>
          <w:szCs w:val="30"/>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宋体" w:eastAsia="宋体" w:cs="宋体"/>
          <w:i w:val="0"/>
          <w:caps w:val="0"/>
          <w:smallCaps w:val="0"/>
          <w:color w:val="000000"/>
          <w:spacing w:val="0"/>
          <w:sz w:val="24"/>
          <w:szCs w:val="24"/>
          <w:shd w:val="clear" w:color="auto" w:fill="FFFFFF"/>
        </w:rPr>
      </w:pPr>
      <w:r>
        <w:rPr>
          <w:rFonts w:hint="eastAsia" w:ascii="宋体" w:eastAsia="宋体" w:cs="宋体"/>
          <w:i w:val="0"/>
          <w:caps w:val="0"/>
          <w:smallCaps w:val="0"/>
          <w:color w:val="000000"/>
          <w:spacing w:val="0"/>
          <w:sz w:val="24"/>
          <w:szCs w:val="24"/>
          <w:shd w:val="clear" w:color="auto" w:fill="FFFFFF"/>
        </w:rPr>
        <w:t>（三）对单位决算管理及报表设计的意见建议。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olor w:val="000000"/>
          <w:sz w:val="18"/>
          <w:szCs w:val="18"/>
        </w:rPr>
      </w:pPr>
      <w:r>
        <w:rPr>
          <w:rStyle w:val="10"/>
          <w:rFonts w:hint="eastAsia" w:ascii="Arial" w:hAnsi="Arial" w:eastAsia="宋体" w:cs="Arial"/>
          <w:b w:val="0"/>
          <w:i w:val="0"/>
          <w:caps w:val="0"/>
          <w:smallCaps w:val="0"/>
          <w:color w:val="000000"/>
          <w:spacing w:val="0"/>
          <w:sz w:val="24"/>
          <w:szCs w:val="24"/>
          <w:shd w:val="clear" w:color="auto" w:fill="FFFFFF"/>
          <w:lang w:eastAsia="zh-CN"/>
        </w:rPr>
        <w:t>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（四）对加强部门决算数据分析利用工作的建议。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10"/>
          <w:rFonts w:hint="eastAsia" w:ascii="Arial" w:hAnsi="Arial" w:eastAsia="宋体" w:cs="Arial"/>
          <w:b w:val="0"/>
          <w:i w:val="0"/>
          <w:caps w:val="0"/>
          <w:smallCaps w:val="0"/>
          <w:color w:val="000000"/>
          <w:spacing w:val="0"/>
          <w:sz w:val="24"/>
          <w:szCs w:val="24"/>
          <w:shd w:val="clear" w:color="auto" w:fill="FFFFFF"/>
          <w:lang w:eastAsia="zh-CN"/>
        </w:rPr>
      </w:pPr>
      <w:r>
        <w:rPr>
          <w:rStyle w:val="10"/>
          <w:rFonts w:hint="eastAsia" w:ascii="Arial" w:hAnsi="Arial" w:eastAsia="宋体" w:cs="Arial"/>
          <w:b w:val="0"/>
          <w:i w:val="0"/>
          <w:caps w:val="0"/>
          <w:smallCaps w:val="0"/>
          <w:color w:val="000000"/>
          <w:spacing w:val="0"/>
          <w:sz w:val="24"/>
          <w:szCs w:val="24"/>
          <w:shd w:val="clear" w:color="auto" w:fill="FFFFFF"/>
          <w:lang w:eastAsia="zh-CN"/>
        </w:rPr>
        <w:t>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注：收入支出预算执行情况分析可参考部门决算分析评价表（见软件查询模板）及行政事业单位财务分析指标（附后）。</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br w:type="textWrapping"/>
      </w:r>
      <w:r>
        <w:rPr>
          <w:rFonts w:hint="eastAsia" w:ascii="宋体" w:eastAsia="宋体" w:cs="宋体"/>
          <w:i w:val="0"/>
          <w:caps w:val="0"/>
          <w:smallCaps w:val="0"/>
          <w:color w:val="000000"/>
          <w:spacing w:val="0"/>
          <w:sz w:val="24"/>
          <w:szCs w:val="24"/>
          <w:shd w:val="clear" w:color="auto" w:fill="FFFFFF"/>
        </w:rPr>
        <w:t>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行政事业单位财务分析指标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一、行政单位财务分析指标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1.支出增长率，衡量行政单位支出的增长水平。计算公式为：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支出增长率＝(本期支出总额÷上期支出总额-1)×100%=28.54%</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2.当年预算支出完成率，衡量行政单位当年支出总预算及分项预算完成的程度。计算公式为：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当年预算支出完成率＝年终执行数÷调整预算数×100%=100.00%</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3.人均开支，衡量行政单位人均年消耗经费水平。计算公式为：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人均开支＝本期支出数÷本期平均在职人员数=22.81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4.项目支出占总支出的比率，衡量行政单位的支出结构。计算公式为：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项目支出比率=本期项目支出数÷本期支出总数×100%=23.82%</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5.人员支出、公用支出占总支出的比率，衡量行政单位的支出结构。计算公式为：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人员支出比率=本期人员支出数÷本期支出总数×100%=71.15%</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公用支出比率=本期公用支出数÷本期支出总数×100%=4.82%</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6.人均办公使用面积，衡量行政单位办公用房配备情况。计算公式为：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人均办公使用面积=本期末单位办公用房使用面积÷本期末在职人员数=9.68</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7.人车比例，衡量行政单位公务用车配备情况。计算公式为：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人车比例=本期末在职人员数÷本期末公务用车实有数=5.17</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二、事业单位财务分析指标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1.预算收入和支出完成率，衡量事业单位收入和支出总预算及分项预算完成的程度。计算公式为：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预算收入完成率＝年终执行数÷调整预算数×100%=100.00%</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预算支出完成率＝年终执行数÷调整预算数×100%=100.00%</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2.人员支出、公用支出占事业支出的比率，衡量事业单位事业支出结构。计算公式为：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人员支出比率＝人员支出÷事业支出×100%=71.15%</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公用支出比率＝公用支出÷事业支出×100%=4.82%</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3.人均基本支出，衡量事业单位按照实际在编人数平均的基本支出水平。计算公式为：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人均基本支出＝（基本支出-离退休人员支出）÷实际在编人数=213,674.59</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此外，行业事业单位还可根据相关财务制度规定和分析需要增加相关分析指标，如：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1.财政拨款依存度, 衡量部门（单位）对财政拨款的依赖程度。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hint="eastAsia" w:ascii="宋体" w:eastAsia="宋体" w:cs="宋体"/>
          <w:i w:val="0"/>
          <w:caps w:val="0"/>
          <w:smallCaps w:val="0"/>
          <w:color w:val="000000"/>
          <w:spacing w:val="0"/>
          <w:sz w:val="24"/>
          <w:szCs w:val="24"/>
          <w:shd w:val="clear" w:color="auto" w:fill="FFFFFF"/>
        </w:rPr>
        <w:t>财政拨款依存度＝财政拨款收入÷收入总额×100%=99.79%</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ascii="Arial" w:hAnsi="Arial" w:eastAsia="Arial" w:cs="Arial"/>
          <w:i w:val="0"/>
          <w:caps w:val="0"/>
          <w:smallCaps w:val="0"/>
          <w:color w:val="000000"/>
          <w:spacing w:val="0"/>
          <w:sz w:val="18"/>
          <w:szCs w:val="18"/>
        </w:rPr>
      </w:pPr>
      <w:r>
        <w:rPr>
          <w:rFonts w:ascii="Arial" w:hAnsi="Arial" w:eastAsia="Arial" w:cs="Arial"/>
          <w:i w:val="0"/>
          <w:caps w:val="0"/>
          <w:smallCaps w:val="0"/>
          <w:color w:val="000000"/>
          <w:spacing w:val="0"/>
          <w:sz w:val="18"/>
          <w:szCs w:val="18"/>
          <w:shd w:val="clear" w:color="auto" w:fill="FFFFFF"/>
        </w:rPr>
        <w:t>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603706"/>
    <w:multiLevelType w:val="singleLevel"/>
    <w:tmpl w:val="C2603706"/>
    <w:lvl w:ilvl="0" w:tentative="0">
      <w:start w:val="3"/>
      <w:numFmt w:val="chineseCounting"/>
      <w:suff w:val="space"/>
      <w:lvlText w:val="（%1）"/>
      <w:lvlJc w:val="left"/>
      <w:pPr>
        <w:ind w:left="0" w:firstLine="0"/>
      </w:pPr>
      <w:rPr>
        <w:rFonts w:hint="eastAsia"/>
      </w:rPr>
    </w:lvl>
  </w:abstractNum>
  <w:abstractNum w:abstractNumId="1">
    <w:nsid w:val="12E2B4A1"/>
    <w:multiLevelType w:val="singleLevel"/>
    <w:tmpl w:val="12E2B4A1"/>
    <w:lvl w:ilvl="0" w:tentative="0">
      <w:start w:val="3"/>
      <w:numFmt w:val="chineseCounting"/>
      <w:suff w:val="space"/>
      <w:lvlText w:val="%1、"/>
      <w:lvlJc w:val="left"/>
      <w:pPr>
        <w:ind w:left="0" w:firstLine="0"/>
      </w:pPr>
      <w:rPr>
        <w:rFonts w:hint="eastAsia"/>
      </w:rPr>
    </w:lvl>
  </w:abstractNum>
  <w:abstractNum w:abstractNumId="2">
    <w:nsid w:val="144BB528"/>
    <w:multiLevelType w:val="singleLevel"/>
    <w:tmpl w:val="144BB528"/>
    <w:lvl w:ilvl="0" w:tentative="0">
      <w:start w:val="2"/>
      <w:numFmt w:val="chineseCounting"/>
      <w:suff w:val="nothing"/>
      <w:lvlText w:val="（%1）"/>
      <w:lvlJc w:val="left"/>
      <w:rPr>
        <w:rFonts w:hint="eastAsia"/>
      </w:rPr>
    </w:lvl>
  </w:abstractNum>
  <w:abstractNum w:abstractNumId="3">
    <w:nsid w:val="16803D79"/>
    <w:multiLevelType w:val="singleLevel"/>
    <w:tmpl w:val="16803D79"/>
    <w:lvl w:ilvl="0" w:tentative="0">
      <w:start w:val="2"/>
      <w:numFmt w:val="decimal"/>
      <w:suff w:val="nothing"/>
      <w:lvlText w:val="（%1）"/>
      <w:lvlJc w:val="left"/>
      <w:pPr>
        <w:ind w:left="0" w:firstLine="0"/>
      </w:pPr>
    </w:lvl>
  </w:abstractNum>
  <w:abstractNum w:abstractNumId="4">
    <w:nsid w:val="603B8713"/>
    <w:multiLevelType w:val="singleLevel"/>
    <w:tmpl w:val="603B8713"/>
    <w:lvl w:ilvl="0" w:tentative="0">
      <w:start w:val="1"/>
      <w:numFmt w:val="chineseCounting"/>
      <w:suff w:val="nothing"/>
      <w:lvlText w:val="（%1）"/>
      <w:lvlJc w:val="left"/>
      <w:pPr>
        <w:ind w:left="0" w:firstLine="0"/>
      </w:pPr>
      <w:rPr>
        <w:rFonts w:hint="eastAsi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E642CCD"/>
    <w:rsid w:val="56425FED"/>
    <w:rsid w:val="7AF523FC"/>
    <w:rsid w:val="8BD77001"/>
    <w:rsid w:val="BFFF9C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6">
    <w:name w:val="index 9"/>
    <w:basedOn w:val="1"/>
    <w:next w:val="1"/>
    <w:qFormat/>
    <w:uiPriority w:val="0"/>
    <w:pPr>
      <w:ind w:left="3360"/>
    </w:p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Strong"/>
    <w:basedOn w:val="9"/>
    <w:qFormat/>
    <w:uiPriority w:val="0"/>
    <w:rPr>
      <w:b/>
    </w:rPr>
  </w:style>
  <w:style w:type="paragraph" w:customStyle="1" w:styleId="11">
    <w:name w:val="Default"/>
    <w:qFormat/>
    <w:uiPriority w:val="0"/>
    <w:pPr>
      <w:widowControl w:val="0"/>
      <w:autoSpaceDE w:val="0"/>
      <w:autoSpaceDN w:val="0"/>
      <w:adjustRightInd w:val="0"/>
    </w:pPr>
    <w:rPr>
      <w:rFonts w:ascii="微软雅黑" w:hAnsi="Times New Roman" w:eastAsia="微软雅黑" w:cs="宋体"/>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image" Target="media/image1.jpe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8.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8.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Arial" panose="020B0604020202020204" pitchFamily="2"/>
              </a:defRPr>
            </a:pPr>
            <a:r>
              <a:rPr lang="zh-CN"/>
              <a:t>收入支出预算安排情况（万元）</a:t>
            </a:r>
            <a:endParaRPr lang="zh-CN"/>
          </a:p>
        </c:rich>
      </c:tx>
      <c:layout/>
      <c:overlay val="0"/>
      <c:spPr>
        <a:noFill/>
        <a:ln>
          <a:noFill/>
        </a:ln>
      </c:spPr>
    </c:title>
    <c:autoTitleDeleted val="0"/>
    <c:plotArea>
      <c:layout/>
      <c:barChart>
        <c:barDir val="col"/>
        <c:grouping val="clustered"/>
        <c:varyColors val="0"/>
        <c:ser>
          <c:idx val="0"/>
          <c:order val="0"/>
          <c:tx>
            <c:strRef>
              <c:f>Sheet1!$B$1</c:f>
              <c:strCache>
                <c:ptCount val="1"/>
                <c:pt idx="0">
                  <c:v>2021</c:v>
                </c:pt>
              </c:strCache>
            </c:strRef>
          </c:tx>
          <c:spPr>
            <a:solidFill>
              <a:srgbClr val="5B9BD5"/>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差异</c:v>
                </c:pt>
              </c:strCache>
            </c:strRef>
          </c:cat>
          <c:val>
            <c:numRef>
              <c:f>Sheet1!$B$2:$B$5</c:f>
              <c:numCache>
                <c:formatCode>General</c:formatCode>
                <c:ptCount val="4"/>
                <c:pt idx="0">
                  <c:v>645.85</c:v>
                </c:pt>
                <c:pt idx="1">
                  <c:v>677.94</c:v>
                </c:pt>
                <c:pt idx="2">
                  <c:v>-24.7</c:v>
                </c:pt>
              </c:numCache>
            </c:numRef>
          </c:val>
        </c:ser>
        <c:ser>
          <c:idx val="1"/>
          <c:order val="1"/>
          <c:tx>
            <c:strRef>
              <c:f>Sheet1!$C$1</c:f>
              <c:strCache>
                <c:ptCount val="1"/>
                <c:pt idx="0">
                  <c:v>2020</c:v>
                </c:pt>
              </c:strCache>
            </c:strRef>
          </c:tx>
          <c:spPr>
            <a:solidFill>
              <a:srgbClr val="ED7D31"/>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差异</c:v>
                </c:pt>
              </c:strCache>
            </c:strRef>
          </c:cat>
          <c:val>
            <c:numRef>
              <c:f>Sheet1!$C$2:$C$5</c:f>
              <c:numCache>
                <c:formatCode>General</c:formatCode>
                <c:ptCount val="4"/>
                <c:pt idx="0">
                  <c:v>668.55</c:v>
                </c:pt>
                <c:pt idx="1">
                  <c:v>668.55</c:v>
                </c:pt>
                <c:pt idx="2">
                  <c:v>9.39</c:v>
                </c:pt>
              </c:numCache>
            </c:numRef>
          </c:val>
        </c:ser>
        <c:ser>
          <c:idx val="2"/>
          <c:order val="2"/>
          <c:tx>
            <c:strRef>
              <c:f>Sheet1!$D$1</c:f>
              <c:strCache>
                <c:ptCount val="1"/>
                <c:pt idx="0">
                  <c:v/>
                </c:pt>
              </c:strCache>
            </c:strRef>
          </c:tx>
          <c:spPr>
            <a:solidFill>
              <a:srgbClr val="A5A5A5"/>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差异</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Arial" panose="020B0604020202020204" pitchFamily="2"/>
              </a:defRPr>
            </a:pPr>
            <a:r>
              <a:rPr lang="zh-CN"/>
              <a:t>收入支出预算执行情况（万元）</a:t>
            </a:r>
            <a:endParaRPr lang="zh-CN"/>
          </a:p>
        </c:rich>
      </c:tx>
      <c:layout/>
      <c:overlay val="0"/>
      <c:spPr>
        <a:noFill/>
        <a:ln>
          <a:noFill/>
        </a:ln>
      </c:spPr>
    </c:title>
    <c:autoTitleDeleted val="0"/>
    <c:plotArea>
      <c:layout/>
      <c:barChart>
        <c:barDir val="col"/>
        <c:grouping val="clustered"/>
        <c:varyColors val="0"/>
        <c:ser>
          <c:idx val="0"/>
          <c:order val="0"/>
          <c:tx>
            <c:strRef>
              <c:f>'Sheet1 (2)'!$B$1</c:f>
              <c:strCache>
                <c:ptCount val="1"/>
                <c:pt idx="0">
                  <c:v>收入预算</c:v>
                </c:pt>
              </c:strCache>
            </c:strRef>
          </c:tx>
          <c:spPr>
            <a:solidFill>
              <a:srgbClr val="5B9BD5"/>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(2)'!$A$2:$A$5</c:f>
              <c:strCache>
                <c:ptCount val="4"/>
                <c:pt idx="0">
                  <c:v>收入</c:v>
                </c:pt>
                <c:pt idx="1">
                  <c:v>支出</c:v>
                </c:pt>
                <c:pt idx="2">
                  <c:v>完成度</c:v>
                </c:pt>
              </c:strCache>
            </c:strRef>
          </c:cat>
          <c:val>
            <c:numRef>
              <c:f>'Sheet1 (2)'!$B$2:$B$5</c:f>
              <c:numCache>
                <c:formatCode>General</c:formatCode>
                <c:ptCount val="4"/>
                <c:pt idx="0">
                  <c:v>1038.09</c:v>
                </c:pt>
                <c:pt idx="1">
                  <c:v>1038.09</c:v>
                </c:pt>
                <c:pt idx="2">
                  <c:v>930.93</c:v>
                </c:pt>
              </c:numCache>
            </c:numRef>
          </c:val>
        </c:ser>
        <c:ser>
          <c:idx val="1"/>
          <c:order val="1"/>
          <c:tx>
            <c:strRef>
              <c:f>'Sheet1 (2)'!$C$1</c:f>
              <c:strCache>
                <c:ptCount val="1"/>
                <c:pt idx="0">
                  <c:v>收入决算</c:v>
                </c:pt>
              </c:strCache>
            </c:strRef>
          </c:tx>
          <c:spPr>
            <a:solidFill>
              <a:srgbClr val="ED7D31"/>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(2)'!$A$2:$A$5</c:f>
              <c:strCache>
                <c:ptCount val="4"/>
                <c:pt idx="0">
                  <c:v>收入</c:v>
                </c:pt>
                <c:pt idx="1">
                  <c:v>支出</c:v>
                </c:pt>
                <c:pt idx="2">
                  <c:v>完成度</c:v>
                </c:pt>
              </c:strCache>
            </c:strRef>
          </c:cat>
          <c:val>
            <c:numRef>
              <c:f>'Sheet1 (2)'!$C$2:$C$5</c:f>
              <c:numCache>
                <c:formatCode>General</c:formatCode>
                <c:ptCount val="4"/>
                <c:pt idx="0">
                  <c:v>1038.09</c:v>
                </c:pt>
                <c:pt idx="1">
                  <c:v>1038.09</c:v>
                </c:pt>
                <c:pt idx="2">
                  <c:v>999.06</c:v>
                </c:pt>
              </c:numCache>
            </c:numRef>
          </c:val>
        </c:ser>
        <c:ser>
          <c:idx val="2"/>
          <c:order val="2"/>
          <c:tx>
            <c:strRef>
              <c:f>'Sheet1 (2)'!$D$1</c:f>
              <c:strCache>
                <c:ptCount val="1"/>
                <c:pt idx="0">
                  <c:v/>
                </c:pt>
              </c:strCache>
            </c:strRef>
          </c:tx>
          <c:spPr>
            <a:solidFill>
              <a:srgbClr val="A5A5A5"/>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(2)'!$A$2:$A$5</c:f>
              <c:strCache>
                <c:ptCount val="4"/>
                <c:pt idx="0">
                  <c:v>收入</c:v>
                </c:pt>
                <c:pt idx="1">
                  <c:v>支出</c:v>
                </c:pt>
                <c:pt idx="2">
                  <c:v>完成度</c:v>
                </c:pt>
              </c:strCache>
            </c:strRef>
          </c:cat>
          <c:val>
            <c:numRef>
              <c:f>'Sheet1 (2)'!$D$2:$D$5</c:f>
              <c:numCache>
                <c:formatCode>General</c:formatCode>
                <c:ptCount val="4"/>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charset="-122"/>
                <a:cs typeface="Arial" panose="020B0604020202020204" pitchFamily="2"/>
              </a:defRPr>
            </a:pPr>
            <a:r>
              <a:rPr lang="zh-CN"/>
              <a:t>收入结构分析（万元）</a:t>
            </a:r>
            <a:endParaRPr lang="zh-CN"/>
          </a:p>
        </c:rich>
      </c:tx>
      <c:layout>
        <c:manualLayout>
          <c:xMode val="edge"/>
          <c:yMode val="edge"/>
          <c:x val="0.1252961"/>
          <c:y val="0.028720627"/>
        </c:manualLayout>
      </c:layout>
      <c:overlay val="0"/>
      <c:spPr>
        <a:noFill/>
        <a:ln>
          <a:noFill/>
        </a:ln>
      </c:spPr>
    </c:title>
    <c:autoTitleDeleted val="0"/>
    <c:plotArea>
      <c:layout/>
      <c:pieChart>
        <c:varyColors val="1"/>
        <c:ser>
          <c:idx val="0"/>
          <c:order val="0"/>
          <c:tx>
            <c:strRef>
              <c:f>'Sheet1 (3)'!$B$1</c:f>
              <c:strCache>
                <c:ptCount val="1"/>
                <c:pt idx="0">
                  <c:v>销售额</c:v>
                </c:pt>
              </c:strCache>
            </c:strRef>
          </c:tx>
          <c:spPr>
            <a:ln>
              <a:noFill/>
            </a:ln>
          </c:spPr>
          <c:explosion val="0"/>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Pt>
            <c:idx val="2"/>
            <c:bubble3D val="0"/>
            <c:spPr>
              <a:solidFill>
                <a:srgbClr val="A5A5A5"/>
              </a:solidFill>
              <a:ln>
                <a:noFill/>
              </a:ln>
              <a:effectLst>
                <a:outerShdw dist="35921" dir="2700000" algn="br">
                  <a:srgbClr val="000000"/>
                </a:outerShdw>
              </a:effectLst>
            </c:spPr>
          </c:dPt>
          <c:dPt>
            <c:idx val="3"/>
            <c:bubble3D val="0"/>
            <c:spPr>
              <a:solidFill>
                <a:srgbClr val="FFC000"/>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charset="-122"/>
                        <a:cs typeface="Arial" panose="020B0604020202020204" pitchFamily="2"/>
                      </a:defRPr>
                    </a:pPr>
                    <a:r>
                      <a:rPr lang="zh-CN" sz="1000" b="1" i="0" u="none" strike="noStrike" baseline="0">
                        <a:solidFill>
                          <a:srgbClr val="FFFFFF"/>
                        </a:solidFill>
                        <a:latin typeface="Times New Roman" panose="02020603050405020304"/>
                        <a:ea typeface="宋体" charset="-122"/>
                        <a:cs typeface="Arial" panose="020B0604020202020204" pitchFamily="2"/>
                      </a:rPr>
                      <a:t>99.79%</a:t>
                    </a:r>
                    <a:endParaRPr lang="zh-CN" sz="1000" b="1" i="0" u="none" strike="noStrike" baseline="0">
                      <a:solidFill>
                        <a:srgbClr val="FFFFFF"/>
                      </a:solidFill>
                      <a:latin typeface="Times New Roman" panose="02020603050405020304"/>
                      <a:ea typeface="宋体" charset="-122"/>
                      <a:cs typeface="Arial" panose="020B0604020202020204" pitchFamily="2"/>
                    </a:endParaRPr>
                  </a:p>
                </c:rich>
              </c:tx>
              <c:numFmt formatCode="General" sourceLinked="1"/>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charset="-122"/>
                      <a:cs typeface="Arial" panose="020B0604020202020204" pitchFamily="2"/>
                    </a:defRPr>
                  </a:pPr>
                </a:p>
              </c:txPr>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charset="-122"/>
                        <a:cs typeface="Arial" panose="020B0604020202020204" pitchFamily="2"/>
                      </a:defRPr>
                    </a:pPr>
                    <a:r>
                      <a:rPr lang="zh-CN" sz="1000" b="1" i="0" u="none" strike="noStrike" baseline="0">
                        <a:solidFill>
                          <a:srgbClr val="FFFFFF"/>
                        </a:solidFill>
                        <a:latin typeface="Times New Roman" panose="02020603050405020304"/>
                        <a:ea typeface="宋体" charset="-122"/>
                        <a:cs typeface="Arial" panose="020B0604020202020204" pitchFamily="2"/>
                      </a:rPr>
                      <a:t>0.21%</a:t>
                    </a:r>
                    <a:endParaRPr lang="zh-CN" sz="1000" b="1" i="0" u="none" strike="noStrike" baseline="0">
                      <a:solidFill>
                        <a:srgbClr val="FFFFFF"/>
                      </a:solidFill>
                      <a:latin typeface="Times New Roman" panose="02020603050405020304"/>
                      <a:ea typeface="宋体" charset="-122"/>
                      <a:cs typeface="Arial" panose="020B0604020202020204" pitchFamily="2"/>
                    </a:endParaRPr>
                  </a:p>
                </c:rich>
              </c:tx>
              <c:numFmt formatCode="General" sourceLinked="1"/>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charset="-122"/>
                      <a:cs typeface="Arial" panose="020B0604020202020204" pitchFamily="2"/>
                    </a:defRPr>
                  </a:pPr>
                </a:p>
              </c:txPr>
              <c:dLblPos val="ctr"/>
              <c:showLegendKey val="0"/>
              <c:showVal val="0"/>
              <c:showCatName val="0"/>
              <c:showSerName val="0"/>
              <c:showPercent val="1"/>
              <c:showBubbleSize val="0"/>
              <c:extLst>
                <c:ext xmlns:c15="http://schemas.microsoft.com/office/drawing/2012/chart" uri="{CE6537A1-D6FC-4f65-9D91-7224C49458BB}"/>
              </c:extLst>
            </c:dLbl>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charset="-122"/>
                    <a:cs typeface="Arial" panose="020B0604020202020204" pitchFamily="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(3)'!$A$2:$A$5</c:f>
              <c:strCache>
                <c:ptCount val="4"/>
                <c:pt idx="0">
                  <c:v>一般公共预算财政拨款收入</c:v>
                </c:pt>
                <c:pt idx="1">
                  <c:v>其他收入</c:v>
                </c:pt>
              </c:strCache>
            </c:strRef>
          </c:cat>
          <c:val>
            <c:numRef>
              <c:f>'Sheet1 (3)'!$B$2:$B$5</c:f>
              <c:numCache>
                <c:formatCode>General</c:formatCode>
                <c:ptCount val="4"/>
                <c:pt idx="0">
                  <c:v>99.23</c:v>
                </c:pt>
                <c:pt idx="1">
                  <c:v>0.77</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Arial" panose="020B0604020202020204" pitchFamily="2"/>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9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Arial" panose="020B0604020202020204" pitchFamily="2"/>
              </a:defRPr>
            </a:pPr>
            <a:r>
              <a:rPr lang="zh-CN"/>
              <a:t>支出结构分析（万元）</a:t>
            </a:r>
            <a:endParaRPr lang="zh-CN"/>
          </a:p>
        </c:rich>
      </c:tx>
      <c:layout>
        <c:manualLayout>
          <c:xMode val="edge"/>
          <c:yMode val="edge"/>
          <c:x val="0.3865417"/>
          <c:y val="0.021396615"/>
        </c:manualLayout>
      </c:layout>
      <c:overlay val="0"/>
      <c:spPr>
        <a:noFill/>
        <a:ln>
          <a:noFill/>
        </a:ln>
      </c:spPr>
    </c:title>
    <c:autoTitleDeleted val="0"/>
    <c:plotArea>
      <c:layout/>
      <c:pieChart>
        <c:varyColors val="1"/>
        <c:ser>
          <c:idx val="0"/>
          <c:order val="0"/>
          <c:tx>
            <c:strRef>
              <c:f>'Sheet1 (4)'!$B$1</c:f>
              <c:strCache>
                <c:ptCount val="1"/>
                <c:pt idx="0">
                  <c:v>销售额</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Lbls>
            <c:dLbl>
              <c:idx val="0"/>
              <c:layout>
                <c:manualLayout>
                  <c:x val="0.0590209466496933"/>
                  <c:y val="-0.0247776365946633"/>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04386066427497"/>
                  <c:y val="0.0493434985175773"/>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07857886818655"/>
                  <c:y val="-0.027954256670902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792732322647842"/>
                  <c:y val="-0.021601016518424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0.114570072908228"/>
                  <c:y val="-0.0832274459974587"/>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5"/>
              <c:layout>
                <c:manualLayout>
                  <c:x val="-0.0724453188288393"/>
                  <c:y val="-0.067767894959762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6"/>
              <c:layout>
                <c:manualLayout>
                  <c:x val="0.0523087605601204"/>
                  <c:y val="-0.02456586192291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Arial" panose="020B0604020202020204" pitchFamily="2"/>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(4)'!$A$2:$A$8</c:f>
              <c:strCache>
                <c:ptCount val="7"/>
                <c:pt idx="0">
                  <c:v>一般公共服务支出</c:v>
                </c:pt>
                <c:pt idx="1">
                  <c:v>文化旅游体育与传媒支出</c:v>
                </c:pt>
                <c:pt idx="2">
                  <c:v>社会保障和就业支出</c:v>
                </c:pt>
                <c:pt idx="3">
                  <c:v>卫生健康支出</c:v>
                </c:pt>
                <c:pt idx="4">
                  <c:v>城乡社区支出</c:v>
                </c:pt>
                <c:pt idx="5">
                  <c:v>农林水支出</c:v>
                </c:pt>
                <c:pt idx="6">
                  <c:v>住房保障支出</c:v>
                </c:pt>
              </c:strCache>
            </c:strRef>
          </c:cat>
          <c:val>
            <c:numRef>
              <c:f>'Sheet1 (4)'!$B$2:$B$8</c:f>
              <c:numCache>
                <c:formatCode>General</c:formatCode>
                <c:ptCount val="7"/>
                <c:pt idx="0">
                  <c:v>766.82</c:v>
                </c:pt>
                <c:pt idx="1">
                  <c:v>6</c:v>
                </c:pt>
                <c:pt idx="2">
                  <c:v>77.35</c:v>
                </c:pt>
                <c:pt idx="3">
                  <c:v>38.81</c:v>
                </c:pt>
                <c:pt idx="4">
                  <c:v>10.96</c:v>
                </c:pt>
                <c:pt idx="5">
                  <c:v>82.76</c:v>
                </c:pt>
                <c:pt idx="6">
                  <c:v>55.38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9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Arial" panose="020B0604020202020204" pitchFamily="2"/>
              </a:defRPr>
            </a:pPr>
            <a:r>
              <a:rPr lang="zh-CN"/>
              <a:t>公共预算财政拨款收入相比上年对比图（万元）</a:t>
            </a:r>
            <a:endParaRPr lang="zh-CN"/>
          </a:p>
        </c:rich>
      </c:tx>
      <c:layout/>
      <c:overlay val="0"/>
      <c:spPr>
        <a:noFill/>
        <a:ln>
          <a:noFill/>
        </a:ln>
      </c:spPr>
    </c:title>
    <c:autoTitleDeleted val="0"/>
    <c:plotArea>
      <c:layout>
        <c:manualLayout>
          <c:layoutTarget val="inner"/>
          <c:xMode val="edge"/>
          <c:yMode val="edge"/>
          <c:x val="0.070711516"/>
          <c:y val="0.0076903356"/>
          <c:w val="0.9254075"/>
          <c:h val="0.5636265"/>
        </c:manualLayout>
      </c:layout>
      <c:lineChart>
        <c:grouping val="standard"/>
        <c:varyColors val="0"/>
        <c:ser>
          <c:idx val="0"/>
          <c:order val="0"/>
          <c:tx>
            <c:strRef>
              <c:f>'Sheet1 (5)'!$B$1</c:f>
              <c:strCache>
                <c:ptCount val="1"/>
                <c:pt idx="0">
                  <c:v>2021</c:v>
                </c:pt>
              </c:strCache>
            </c:strRef>
          </c:tx>
          <c:spPr>
            <a:ln w="25400" cap="rnd" cmpd="sng" algn="ctr">
              <a:solidFill>
                <a:srgbClr val="5B9BD5"/>
              </a:solidFill>
              <a:prstDash val="solid"/>
              <a:round/>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(5)'!$A$2:$A$11</c:f>
              <c:strCache>
                <c:ptCount val="10"/>
                <c:pt idx="0">
                  <c:v>一般公共预算财政拨款收入</c:v>
                </c:pt>
                <c:pt idx="1">
                  <c:v>其他收入</c:v>
                </c:pt>
                <c:pt idx="2">
                  <c:v>一般公共服务支出</c:v>
                </c:pt>
                <c:pt idx="3">
                  <c:v>文化旅游体育与传媒支出</c:v>
                </c:pt>
                <c:pt idx="4">
                  <c:v>社会保障和就业支出</c:v>
                </c:pt>
                <c:pt idx="5">
                  <c:v>卫生健康支出</c:v>
                </c:pt>
                <c:pt idx="6">
                  <c:v>节能环保支出</c:v>
                </c:pt>
                <c:pt idx="7">
                  <c:v>城乡社区支出</c:v>
                </c:pt>
                <c:pt idx="8">
                  <c:v>农林水支出</c:v>
                </c:pt>
                <c:pt idx="9">
                  <c:v>住房保障支出</c:v>
                </c:pt>
              </c:strCache>
            </c:strRef>
          </c:cat>
          <c:val>
            <c:numRef>
              <c:f>'Sheet1 (5)'!$B$2:$B$11</c:f>
              <c:numCache>
                <c:formatCode>#,##0.00</c:formatCode>
                <c:ptCount val="10"/>
                <c:pt idx="0">
                  <c:v>1030.12</c:v>
                </c:pt>
                <c:pt idx="1" c:formatCode="General">
                  <c:v>7.97</c:v>
                </c:pt>
                <c:pt idx="2" c:formatCode="General">
                  <c:v>768.82</c:v>
                </c:pt>
                <c:pt idx="3" c:formatCode="General">
                  <c:v>6</c:v>
                </c:pt>
                <c:pt idx="4" c:formatCode="General">
                  <c:v>77.35</c:v>
                </c:pt>
                <c:pt idx="5" c:formatCode="General">
                  <c:v>0</c:v>
                </c:pt>
                <c:pt idx="6" c:formatCode="General">
                  <c:v>38.81</c:v>
                </c:pt>
                <c:pt idx="7" c:formatCode="General">
                  <c:v>10.96</c:v>
                </c:pt>
                <c:pt idx="8" c:formatCode="General">
                  <c:v>82.76</c:v>
                </c:pt>
                <c:pt idx="9" c:formatCode="General">
                  <c:v>55.38</c:v>
                </c:pt>
              </c:numCache>
            </c:numRef>
          </c:val>
          <c:smooth val="0"/>
        </c:ser>
        <c:ser>
          <c:idx val="1"/>
          <c:order val="1"/>
          <c:tx>
            <c:strRef>
              <c:f>'Sheet1 (5)'!$C$1</c:f>
              <c:strCache>
                <c:ptCount val="1"/>
                <c:pt idx="0">
                  <c:v>2020</c:v>
                </c:pt>
              </c:strCache>
            </c:strRef>
          </c:tx>
          <c:spPr>
            <a:ln w="25400" cap="rnd" cmpd="sng" algn="ctr">
              <a:solidFill>
                <a:srgbClr val="ED7D31"/>
              </a:solidFill>
              <a:prstDash val="solid"/>
              <a:round/>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(5)'!$A$2:$A$11</c:f>
              <c:strCache>
                <c:ptCount val="10"/>
                <c:pt idx="0">
                  <c:v>一般公共预算财政拨款收入</c:v>
                </c:pt>
                <c:pt idx="1">
                  <c:v>其他收入</c:v>
                </c:pt>
                <c:pt idx="2">
                  <c:v>一般公共服务支出</c:v>
                </c:pt>
                <c:pt idx="3">
                  <c:v>文化旅游体育与传媒支出</c:v>
                </c:pt>
                <c:pt idx="4">
                  <c:v>社会保障和就业支出</c:v>
                </c:pt>
                <c:pt idx="5">
                  <c:v>卫生健康支出</c:v>
                </c:pt>
                <c:pt idx="6">
                  <c:v>节能环保支出</c:v>
                </c:pt>
                <c:pt idx="7">
                  <c:v>城乡社区支出</c:v>
                </c:pt>
                <c:pt idx="8">
                  <c:v>农林水支出</c:v>
                </c:pt>
                <c:pt idx="9">
                  <c:v>住房保障支出</c:v>
                </c:pt>
              </c:strCache>
            </c:strRef>
          </c:cat>
          <c:val>
            <c:numRef>
              <c:f>'Sheet1 (5)'!$C$2:$C$11</c:f>
              <c:numCache>
                <c:formatCode>General</c:formatCode>
                <c:ptCount val="10"/>
                <c:pt idx="0">
                  <c:v>798.15</c:v>
                </c:pt>
                <c:pt idx="1">
                  <c:v>0</c:v>
                </c:pt>
                <c:pt idx="2">
                  <c:v>481.34</c:v>
                </c:pt>
                <c:pt idx="3">
                  <c:v>4</c:v>
                </c:pt>
                <c:pt idx="4">
                  <c:v>149.55</c:v>
                </c:pt>
                <c:pt idx="5">
                  <c:v>331.56</c:v>
                </c:pt>
                <c:pt idx="6">
                  <c:v>32.58</c:v>
                </c:pt>
                <c:pt idx="7">
                  <c:v>20.96</c:v>
                </c:pt>
                <c:pt idx="8">
                  <c:v>135.46</c:v>
                </c:pt>
                <c:pt idx="9">
                  <c:v>48.47</c:v>
                </c:pt>
              </c:numCache>
            </c:numRef>
          </c:val>
          <c:smooth val="0"/>
        </c:ser>
        <c:ser>
          <c:idx val="2"/>
          <c:order val="2"/>
          <c:tx>
            <c:strRef>
              <c:f>'Sheet1 (5)'!$D$1</c:f>
              <c:strCache>
                <c:ptCount val="1"/>
                <c:pt idx="0">
                  <c:v>差异</c:v>
                </c:pt>
              </c:strCache>
            </c:strRef>
          </c:tx>
          <c:spPr>
            <a:ln w="25400" cap="rnd" cmpd="sng" algn="ctr">
              <a:solidFill>
                <a:srgbClr val="A5A5A5"/>
              </a:solidFill>
              <a:prstDash val="solid"/>
              <a:round/>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(5)'!$A$2:$A$11</c:f>
              <c:strCache>
                <c:ptCount val="10"/>
                <c:pt idx="0">
                  <c:v>一般公共预算财政拨款收入</c:v>
                </c:pt>
                <c:pt idx="1">
                  <c:v>其他收入</c:v>
                </c:pt>
                <c:pt idx="2">
                  <c:v>一般公共服务支出</c:v>
                </c:pt>
                <c:pt idx="3">
                  <c:v>文化旅游体育与传媒支出</c:v>
                </c:pt>
                <c:pt idx="4">
                  <c:v>社会保障和就业支出</c:v>
                </c:pt>
                <c:pt idx="5">
                  <c:v>卫生健康支出</c:v>
                </c:pt>
                <c:pt idx="6">
                  <c:v>节能环保支出</c:v>
                </c:pt>
                <c:pt idx="7">
                  <c:v>城乡社区支出</c:v>
                </c:pt>
                <c:pt idx="8">
                  <c:v>农林水支出</c:v>
                </c:pt>
                <c:pt idx="9">
                  <c:v>住房保障支出</c:v>
                </c:pt>
              </c:strCache>
            </c:strRef>
          </c:cat>
          <c:val>
            <c:numRef>
              <c:f>'Sheet1 (5)'!$D$2:$D$11</c:f>
              <c:numCache>
                <c:formatCode>General</c:formatCode>
                <c:ptCount val="10"/>
                <c:pt idx="0">
                  <c:v>23.197</c:v>
                </c:pt>
                <c:pt idx="1">
                  <c:v>7.97</c:v>
                </c:pt>
                <c:pt idx="2">
                  <c:v>287.48</c:v>
                </c:pt>
                <c:pt idx="3">
                  <c:v>2</c:v>
                </c:pt>
                <c:pt idx="4">
                  <c:v>72.2</c:v>
                </c:pt>
                <c:pt idx="5">
                  <c:v>1.28</c:v>
                </c:pt>
                <c:pt idx="6">
                  <c:v>6.23</c:v>
                </c:pt>
                <c:pt idx="7">
                  <c:v>-10</c:v>
                </c:pt>
                <c:pt idx="8">
                  <c:v>-52.7</c:v>
                </c:pt>
                <c:pt idx="9">
                  <c:v>6.91</c:v>
                </c:pt>
              </c:numCache>
            </c:numRef>
          </c:val>
          <c:smooth val="0"/>
        </c:ser>
        <c:dLbls>
          <c:showLegendKey val="0"/>
          <c:showVal val="0"/>
          <c:showCatName val="0"/>
          <c:showSerName val="0"/>
          <c:showPercent val="0"/>
          <c:showBubbleSize val="0"/>
        </c:dLbls>
        <c:marker val="0"/>
        <c:smooth val="0"/>
        <c:axId val="0"/>
        <c:axId val="1"/>
      </c:line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0.00"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Arial" panose="020B0604020202020204" pitchFamily="2"/>
              </a:defRPr>
            </a:pPr>
            <a:r>
              <a:rPr lang="zh-CN"/>
              <a:t>支出经济分类科目分析</a:t>
            </a:r>
            <a:endParaRPr lang="zh-CN"/>
          </a:p>
        </c:rich>
      </c:tx>
      <c:layout/>
      <c:overlay val="0"/>
      <c:spPr>
        <a:noFill/>
        <a:ln>
          <a:noFill/>
        </a:ln>
      </c:spPr>
    </c:title>
    <c:autoTitleDeleted val="0"/>
    <c:plotArea>
      <c:layout/>
      <c:lineChart>
        <c:grouping val="standard"/>
        <c:varyColors val="0"/>
        <c:ser>
          <c:idx val="0"/>
          <c:order val="0"/>
          <c:tx>
            <c:strRef>
              <c:f>'Sheet1 (6)'!$B$1</c:f>
              <c:strCache>
                <c:ptCount val="1"/>
                <c:pt idx="0">
                  <c:v>2021</c:v>
                </c:pt>
              </c:strCache>
            </c:strRef>
          </c:tx>
          <c:spPr>
            <a:ln w="25400" cap="rnd" cmpd="sng" algn="ctr">
              <a:solidFill>
                <a:srgbClr val="5B9BD5"/>
              </a:solidFill>
              <a:prstDash val="solid"/>
              <a:round/>
            </a:ln>
          </c:spPr>
          <c:marker>
            <c:symbol val="none"/>
          </c:marker>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(6)'!$A$2:$A$3</c:f>
              <c:strCache>
                <c:ptCount val="2"/>
                <c:pt idx="0">
                  <c:v>“三公”经费支出决算</c:v>
                </c:pt>
                <c:pt idx="1">
                  <c:v>公务用车购置及运行维护费支出决算数</c:v>
                </c:pt>
              </c:strCache>
            </c:strRef>
          </c:cat>
          <c:val>
            <c:numRef>
              <c:f>'Sheet1 (6)'!$B$2:$B$3</c:f>
              <c:numCache>
                <c:formatCode>General</c:formatCode>
                <c:ptCount val="2"/>
                <c:pt idx="0">
                  <c:v>14.6</c:v>
                </c:pt>
                <c:pt idx="1">
                  <c:v>14.5</c:v>
                </c:pt>
              </c:numCache>
            </c:numRef>
          </c:val>
          <c:smooth val="0"/>
        </c:ser>
        <c:ser>
          <c:idx val="1"/>
          <c:order val="1"/>
          <c:tx>
            <c:strRef>
              <c:f>'Sheet1 (6)'!$C$1</c:f>
              <c:strCache>
                <c:ptCount val="1"/>
                <c:pt idx="0">
                  <c:v>2020</c:v>
                </c:pt>
              </c:strCache>
            </c:strRef>
          </c:tx>
          <c:spPr>
            <a:ln w="25400" cap="rnd" cmpd="sng" algn="ctr">
              <a:solidFill>
                <a:srgbClr val="ED7D31"/>
              </a:solidFill>
              <a:prstDash val="solid"/>
              <a:round/>
            </a:ln>
          </c:spPr>
          <c:marker>
            <c:symbol val="none"/>
          </c:marker>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(6)'!$A$2:$A$3</c:f>
              <c:strCache>
                <c:ptCount val="2"/>
                <c:pt idx="0">
                  <c:v>“三公”经费支出决算</c:v>
                </c:pt>
                <c:pt idx="1">
                  <c:v>公务用车购置及运行维护费支出决算数</c:v>
                </c:pt>
              </c:strCache>
            </c:strRef>
          </c:cat>
          <c:val>
            <c:numRef>
              <c:f>'Sheet1 (6)'!$C$2:$C$3</c:f>
              <c:numCache>
                <c:formatCode>General</c:formatCode>
                <c:ptCount val="2"/>
                <c:pt idx="0">
                  <c:v>14.2</c:v>
                </c:pt>
                <c:pt idx="1">
                  <c:v>12.42</c:v>
                </c:pt>
              </c:numCache>
            </c:numRef>
          </c:val>
          <c:smooth val="0"/>
        </c:ser>
        <c:ser>
          <c:idx val="2"/>
          <c:order val="2"/>
          <c:tx>
            <c:strRef>
              <c:f>'Sheet1 (6)'!$D$1</c:f>
              <c:strCache>
                <c:ptCount val="1"/>
                <c:pt idx="0">
                  <c:v>差异</c:v>
                </c:pt>
              </c:strCache>
            </c:strRef>
          </c:tx>
          <c:spPr>
            <a:ln w="25400" cap="rnd" cmpd="sng" algn="ctr">
              <a:solidFill>
                <a:srgbClr val="A5A5A5"/>
              </a:solidFill>
              <a:prstDash val="solid"/>
              <a:round/>
            </a:ln>
          </c:spPr>
          <c:marker>
            <c:symbol val="none"/>
          </c:marker>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(6)'!$A$2:$A$3</c:f>
              <c:strCache>
                <c:ptCount val="2"/>
                <c:pt idx="0">
                  <c:v>“三公”经费支出决算</c:v>
                </c:pt>
                <c:pt idx="1">
                  <c:v>公务用车购置及运行维护费支出决算数</c:v>
                </c:pt>
              </c:strCache>
            </c:strRef>
          </c:cat>
          <c:val>
            <c:numRef>
              <c:f>'Sheet1 (6)'!$D$2:$D$3</c:f>
              <c:numCache>
                <c:formatCode>General</c:formatCode>
                <c:ptCount val="2"/>
                <c:pt idx="0">
                  <c:v>0</c:v>
                </c:pt>
                <c:pt idx="1">
                  <c:v>2.08</c:v>
                </c:pt>
              </c:numCache>
            </c:numRef>
          </c:val>
          <c:smooth val="0"/>
        </c:ser>
        <c:dLbls>
          <c:showLegendKey val="0"/>
          <c:showVal val="0"/>
          <c:showCatName val="0"/>
          <c:showSerName val="0"/>
          <c:showPercent val="0"/>
          <c:showBubbleSize val="0"/>
        </c:dLbls>
        <c:marker val="0"/>
        <c:smooth val="0"/>
        <c:axId val="0"/>
        <c:axId val="1"/>
      </c:line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000000"/>
                </a:solidFill>
                <a:latin typeface="Times New Roman" panose="02020603050405020304"/>
                <a:ea typeface="宋体" charset="-122"/>
                <a:cs typeface="Arial" panose="020B0604020202020204" pitchFamily="2"/>
              </a:defRPr>
            </a:pPr>
            <a:r>
              <a:rPr lang="zh-CN" sz="1400" b="0" i="0" u="none" strike="noStrike" baseline="0">
                <a:solidFill>
                  <a:srgbClr val="595959"/>
                </a:solidFill>
                <a:latin typeface="Times New Roman" panose="02020603050405020304"/>
                <a:ea typeface="宋体" charset="-122"/>
                <a:cs typeface="Arial" panose="020B0604020202020204" pitchFamily="2"/>
              </a:rPr>
              <a:t>“三公”经费（万元）</a:t>
            </a:r>
            <a:endParaRPr lang="zh-CN" sz="1400" b="0" i="0" u="none" strike="noStrike" baseline="0">
              <a:solidFill>
                <a:srgbClr val="595959"/>
              </a:solidFill>
              <a:latin typeface="Times New Roman" panose="02020603050405020304"/>
              <a:ea typeface="宋体" charset="-122"/>
              <a:cs typeface="Arial" panose="020B0604020202020204" pitchFamily="2"/>
            </a:endParaRPr>
          </a:p>
        </c:rich>
      </c:tx>
      <c:layout/>
      <c:overlay val="0"/>
      <c:spPr>
        <a:noFill/>
        <a:ln>
          <a:noFill/>
        </a:ln>
      </c:spPr>
    </c:title>
    <c:autoTitleDeleted val="0"/>
    <c:plotArea>
      <c:layout/>
      <c:barChart>
        <c:barDir val="col"/>
        <c:grouping val="clustered"/>
        <c:varyColors val="0"/>
        <c:ser>
          <c:idx val="0"/>
          <c:order val="0"/>
          <c:tx>
            <c:strRef>
              <c:f>'Sheet1 (7)'!$B$1</c:f>
              <c:strCache>
                <c:ptCount val="1"/>
                <c:pt idx="0">
                  <c:v>费用</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(7)'!$A$2:$A$3</c:f>
              <c:strCache>
                <c:ptCount val="2"/>
                <c:pt idx="0">
                  <c:v>“三公”经费支出预算数</c:v>
                </c:pt>
                <c:pt idx="1">
                  <c:v>“三公”经费支出决算算数</c:v>
                </c:pt>
              </c:strCache>
            </c:strRef>
          </c:cat>
          <c:val>
            <c:numRef>
              <c:f>'Sheet1 (7)'!$B$2:$B$3</c:f>
              <c:numCache>
                <c:formatCode>General</c:formatCode>
                <c:ptCount val="2"/>
                <c:pt idx="0">
                  <c:v>14.6</c:v>
                </c:pt>
                <c:pt idx="1">
                  <c:v>14.6</c:v>
                </c:pt>
              </c:numCache>
            </c:numRef>
          </c:val>
        </c:ser>
        <c:ser>
          <c:idx val="1"/>
          <c:order val="1"/>
          <c:tx>
            <c:strRef>
              <c:f>'Sheet1 (7)'!$C$1</c:f>
              <c:strCache>
                <c:ptCount val="1"/>
                <c:pt idx="0">
                  <c:v>完成度</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(7)'!$A$2:$A$3</c:f>
              <c:strCache>
                <c:ptCount val="2"/>
                <c:pt idx="0">
                  <c:v>“三公”经费支出预算数</c:v>
                </c:pt>
                <c:pt idx="1">
                  <c:v>“三公”经费支出决算算数</c:v>
                </c:pt>
              </c:strCache>
            </c:strRef>
          </c:cat>
          <c:val>
            <c:numRef>
              <c:f>'Sheet1 (7)'!$C$2:$C$3</c:f>
              <c:numCache>
                <c:formatCode>General</c:formatCode>
                <c:ptCount val="2"/>
                <c:pt idx="0">
                  <c:v>14.6</c:v>
                </c:pt>
                <c:pt idx="1">
                  <c:v>14.6</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支出情况</a:t>
            </a:r>
          </a:p>
        </c:rich>
      </c:tx>
      <c:layout/>
      <c:overlay val="0"/>
      <c:spPr>
        <a:noFill/>
        <a:ln>
          <a:noFill/>
        </a:ln>
        <a:effectLst/>
      </c:spPr>
    </c:title>
    <c:autoTitleDeleted val="0"/>
    <c:plotArea>
      <c:layout>
        <c:manualLayout>
          <c:layoutTarget val="inner"/>
          <c:xMode val="edge"/>
          <c:yMode val="edge"/>
          <c:x val="0.0874836686699765"/>
          <c:y val="0.258855885588559"/>
          <c:w val="0.85738176117063"/>
          <c:h val="0.608338833883388"/>
        </c:manualLayout>
      </c:layout>
      <c:lineChart>
        <c:grouping val="standard"/>
        <c:varyColors val="0"/>
        <c:ser>
          <c:idx val="0"/>
          <c:order val="0"/>
          <c:tx>
            <c:strRef>
              <c:f>Sheet1!$B$1</c:f>
              <c:strCache>
                <c:ptCount val="1"/>
                <c:pt idx="0">
                  <c:v>2021</c:v>
                </c:pt>
              </c:strCache>
            </c:strRef>
          </c:tx>
          <c:spPr>
            <a:ln w="28575" cap="rnd">
              <a:solidFill>
                <a:srgbClr val="365B7C"/>
              </a:solidFill>
              <a:round/>
            </a:ln>
            <a:effectLst/>
          </c:spPr>
          <c:marker>
            <c:symbol val="none"/>
          </c:marker>
          <c:dLbls>
            <c:delete val="1"/>
          </c:dLbls>
          <c:cat>
            <c:strRef>
              <c:f>Sheet1!$A$2:$A$4</c:f>
              <c:strCache>
                <c:ptCount val="3"/>
                <c:pt idx="0">
                  <c:v>会议费支出情况</c:v>
                </c:pt>
                <c:pt idx="1">
                  <c:v>培训费支出情况</c:v>
                </c:pt>
              </c:strCache>
            </c:strRef>
          </c:cat>
          <c:val>
            <c:numRef>
              <c:f>Sheet1!$B$2:$B$4</c:f>
              <c:numCache>
                <c:formatCode>General</c:formatCode>
                <c:ptCount val="3"/>
                <c:pt idx="0">
                  <c:v>1.7</c:v>
                </c:pt>
                <c:pt idx="1">
                  <c:v>0.5</c:v>
                </c:pt>
              </c:numCache>
            </c:numRef>
          </c:val>
          <c:smooth val="1"/>
        </c:ser>
        <c:ser>
          <c:idx val="1"/>
          <c:order val="1"/>
          <c:tx>
            <c:strRef>
              <c:f>Sheet1!$C$1</c:f>
              <c:strCache>
                <c:ptCount val="1"/>
                <c:pt idx="0">
                  <c:v>2020</c:v>
                </c:pt>
              </c:strCache>
            </c:strRef>
          </c:tx>
          <c:spPr>
            <a:ln w="28575" cap="rnd">
              <a:solidFill>
                <a:srgbClr val="966480"/>
              </a:solidFill>
              <a:round/>
            </a:ln>
            <a:effectLst/>
          </c:spPr>
          <c:marker>
            <c:symbol val="none"/>
          </c:marker>
          <c:dLbls>
            <c:delete val="1"/>
          </c:dLbls>
          <c:cat>
            <c:strRef>
              <c:f>Sheet1!$A$2:$A$4</c:f>
              <c:strCache>
                <c:ptCount val="3"/>
                <c:pt idx="0">
                  <c:v>会议费支出情况</c:v>
                </c:pt>
                <c:pt idx="1">
                  <c:v>培训费支出情况</c:v>
                </c:pt>
              </c:strCache>
            </c:strRef>
          </c:cat>
          <c:val>
            <c:numRef>
              <c:f>Sheet1!$C$2:$C$4</c:f>
              <c:numCache>
                <c:formatCode>General</c:formatCode>
                <c:ptCount val="3"/>
                <c:pt idx="0">
                  <c:v>1.21</c:v>
                </c:pt>
                <c:pt idx="1">
                  <c:v>0.17</c:v>
                </c:pt>
              </c:numCache>
            </c:numRef>
          </c:val>
          <c:smooth val="1"/>
        </c:ser>
        <c:ser>
          <c:idx val="2"/>
          <c:order val="2"/>
          <c:tx>
            <c:strRef>
              <c:f>Sheet1!$D$1</c:f>
              <c:strCache>
                <c:ptCount val="1"/>
                <c:pt idx="0">
                  <c:v>差异</c:v>
                </c:pt>
              </c:strCache>
            </c:strRef>
          </c:tx>
          <c:spPr>
            <a:ln w="28575" cap="rnd">
              <a:solidFill>
                <a:srgbClr val="DD5F71"/>
              </a:solidFill>
              <a:round/>
            </a:ln>
            <a:effectLst/>
          </c:spPr>
          <c:marker>
            <c:symbol val="none"/>
          </c:marker>
          <c:dLbls>
            <c:delete val="1"/>
          </c:dLbls>
          <c:cat>
            <c:strRef>
              <c:f>Sheet1!$A$2:$A$4</c:f>
              <c:strCache>
                <c:ptCount val="3"/>
                <c:pt idx="0">
                  <c:v>会议费支出情况</c:v>
                </c:pt>
                <c:pt idx="1">
                  <c:v>培训费支出情况</c:v>
                </c:pt>
              </c:strCache>
            </c:strRef>
          </c:cat>
          <c:val>
            <c:numRef>
              <c:f>Sheet1!$D$2:$D$4</c:f>
              <c:numCache>
                <c:formatCode>General</c:formatCode>
                <c:ptCount val="3"/>
                <c:pt idx="0">
                  <c:v>0.49</c:v>
                </c:pt>
                <c:pt idx="1">
                  <c:v>0.33</c:v>
                </c:pt>
              </c:numCache>
            </c:numRef>
          </c:val>
          <c:smooth val="1"/>
        </c:ser>
        <c:dLbls>
          <c:showLegendKey val="0"/>
          <c:showVal val="0"/>
          <c:showCatName val="0"/>
          <c:showSerName val="0"/>
          <c:showPercent val="0"/>
          <c:showBubbleSize val="0"/>
        </c:dLbls>
        <c:marker val="0"/>
        <c:smooth val="1"/>
        <c:axId val="236938490"/>
        <c:axId val="465733222"/>
      </c:lineChart>
      <c:catAx>
        <c:axId val="236938490"/>
        <c:scaling>
          <c:orientation val="minMax"/>
        </c:scaling>
        <c:delete val="0"/>
        <c:axPos val="b"/>
        <c:majorGridlines>
          <c:spPr>
            <a:ln w="9525" cap="flat" cmpd="sng" algn="ctr">
              <a:solidFill>
                <a:schemeClr val="tx1">
                  <a:lumMod val="15000"/>
                  <a:lumOff val="85000"/>
                  <a:alpha val="69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65733222"/>
        <c:crosses val="autoZero"/>
        <c:auto val="1"/>
        <c:lblAlgn val="ctr"/>
        <c:lblOffset val="100"/>
        <c:noMultiLvlLbl val="0"/>
      </c:catAx>
      <c:valAx>
        <c:axId val="465733222"/>
        <c:scaling>
          <c:orientation val="minMax"/>
        </c:scaling>
        <c:delete val="0"/>
        <c:axPos val="l"/>
        <c:majorGridlines>
          <c:spPr>
            <a:ln w="9525" cap="flat" cmpd="sng" algn="ctr">
              <a:solidFill>
                <a:schemeClr val="tx1">
                  <a:lumMod val="15000"/>
                  <a:lumOff val="85000"/>
                  <a:alpha val="69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3693849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Normal.eit</Template>
  <Pages>21</Pages>
  <Words>13895</Words>
  <Characters>14660</Characters>
  <Lines>526</Lines>
  <Paragraphs>137</Paragraphs>
  <TotalTime>0</TotalTime>
  <ScaleCrop>false</ScaleCrop>
  <LinksUpToDate>false</LinksUpToDate>
  <CharactersWithSpaces>15065</CharactersWithSpaces>
  <Application>WPS Office_11.8.2.1121_F1E327BC-269C-435d-A152-05C5408002CA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ruijie</cp:lastModifiedBy>
  <dcterms:modified xsi:type="dcterms:W3CDTF">2025-04-11T14:39:47Z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FA588DD60242468AB5BC418BC94A67DD</vt:lpwstr>
  </property>
</Properties>
</file>