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themeColor="text1"/>
          <w:sz w:val="72"/>
          <w:szCs w:val="72"/>
          <w14:textFill>
            <w14:solidFill>
              <w14:schemeClr w14:val="tx1"/>
            </w14:solidFill>
          </w14:textFill>
        </w:rPr>
      </w:pPr>
      <w:bookmarkStart w:id="0" w:name="_Toc15306267"/>
    </w:p>
    <w:p>
      <w:pPr>
        <w:spacing w:line="600" w:lineRule="exact"/>
        <w:jc w:val="center"/>
        <w:outlineLvl w:val="9"/>
        <w:rPr>
          <w:rFonts w:ascii="方正小标宋简体" w:hAnsi="宋体" w:eastAsia="方正小标宋简体"/>
          <w:color w:val="000000" w:themeColor="text1"/>
          <w:sz w:val="72"/>
          <w:szCs w:val="72"/>
          <w14:textFill>
            <w14:solidFill>
              <w14:schemeClr w14:val="tx1"/>
            </w14:solidFill>
          </w14:textFill>
        </w:rPr>
      </w:pPr>
    </w:p>
    <w:p>
      <w:pPr>
        <w:spacing w:line="600" w:lineRule="exact"/>
        <w:jc w:val="center"/>
        <w:outlineLvl w:val="9"/>
        <w:rPr>
          <w:rFonts w:ascii="方正小标宋简体" w:hAnsi="宋体" w:eastAsia="方正小标宋简体"/>
          <w:color w:val="000000" w:themeColor="text1"/>
          <w:sz w:val="72"/>
          <w:szCs w:val="72"/>
          <w14:textFill>
            <w14:solidFill>
              <w14:schemeClr w14:val="tx1"/>
            </w14:solidFill>
          </w14:textFill>
        </w:rPr>
      </w:pPr>
    </w:p>
    <w:p>
      <w:pPr>
        <w:spacing w:line="600" w:lineRule="exact"/>
        <w:jc w:val="center"/>
        <w:outlineLvl w:val="9"/>
        <w:rPr>
          <w:rFonts w:ascii="方正小标宋简体" w:hAnsi="宋体" w:eastAsia="方正小标宋简体"/>
          <w:color w:val="000000" w:themeColor="text1"/>
          <w:sz w:val="72"/>
          <w:szCs w:val="72"/>
          <w14:textFill>
            <w14:solidFill>
              <w14:schemeClr w14:val="tx1"/>
            </w14:solidFill>
          </w14:textFill>
        </w:rPr>
      </w:pPr>
    </w:p>
    <w:p>
      <w:pPr>
        <w:adjustRightInd w:val="0"/>
        <w:snapToGrid w:val="0"/>
        <w:spacing w:line="360" w:lineRule="auto"/>
        <w:jc w:val="center"/>
        <w:outlineLvl w:val="0"/>
        <w:rPr>
          <w:rFonts w:hint="eastAsia" w:ascii="方正小标宋简体" w:hAnsi="宋体" w:eastAsia="方正小标宋简体"/>
          <w:color w:val="000000" w:themeColor="text1"/>
          <w:sz w:val="56"/>
          <w:szCs w:val="56"/>
          <w:lang w:eastAsia="zh-CN"/>
          <w14:textFill>
            <w14:solidFill>
              <w14:schemeClr w14:val="tx1"/>
            </w14:solidFill>
          </w14:textFill>
        </w:rPr>
      </w:pPr>
      <w:bookmarkStart w:id="1" w:name="_Toc15396475"/>
      <w:bookmarkStart w:id="2" w:name="_Toc3235"/>
      <w:bookmarkStart w:id="3" w:name="_Toc15377193"/>
      <w:bookmarkStart w:id="4" w:name="_Toc15396597"/>
      <w:bookmarkStart w:id="5" w:name="_Toc15378441"/>
      <w:bookmarkStart w:id="6" w:name="_Toc15377425"/>
      <w:r>
        <w:rPr>
          <w:rFonts w:hint="eastAsia" w:ascii="方正小标宋简体" w:hAnsi="宋体" w:eastAsia="方正小标宋简体"/>
          <w:color w:val="000000" w:themeColor="text1"/>
          <w:sz w:val="56"/>
          <w:szCs w:val="56"/>
          <w:lang w:eastAsia="zh-CN"/>
          <w14:textFill>
            <w14:solidFill>
              <w14:schemeClr w14:val="tx1"/>
            </w14:solidFill>
          </w14:textFill>
        </w:rPr>
        <w:t>2019年度</w:t>
      </w:r>
      <w:bookmarkEnd w:id="1"/>
      <w:bookmarkEnd w:id="2"/>
      <w:bookmarkEnd w:id="3"/>
      <w:bookmarkEnd w:id="4"/>
      <w:bookmarkEnd w:id="5"/>
      <w:bookmarkEnd w:id="6"/>
      <w:bookmarkStart w:id="7" w:name="_Toc15396598"/>
      <w:bookmarkStart w:id="8" w:name="_Toc15378442"/>
      <w:bookmarkStart w:id="9" w:name="_Toc15377194"/>
      <w:bookmarkStart w:id="10" w:name="_Toc15377426"/>
      <w:bookmarkStart w:id="11" w:name="_Toc15396476"/>
    </w:p>
    <w:p>
      <w:pPr>
        <w:adjustRightInd w:val="0"/>
        <w:snapToGrid w:val="0"/>
        <w:spacing w:line="360" w:lineRule="auto"/>
        <w:jc w:val="center"/>
        <w:outlineLvl w:val="0"/>
        <w:rPr>
          <w:rFonts w:ascii="方正小标宋简体" w:hAnsi="宋体" w:eastAsia="方正小标宋简体"/>
          <w:color w:val="000000" w:themeColor="text1"/>
          <w:sz w:val="56"/>
          <w:szCs w:val="56"/>
          <w14:textFill>
            <w14:solidFill>
              <w14:schemeClr w14:val="tx1"/>
            </w14:solidFill>
          </w14:textFill>
        </w:rPr>
      </w:pPr>
      <w:bookmarkStart w:id="12" w:name="_Toc23685"/>
      <w:r>
        <w:rPr>
          <w:rFonts w:hint="eastAsia" w:ascii="方正小标宋简体" w:hAnsi="宋体" w:eastAsia="方正小标宋简体"/>
          <w:color w:val="000000" w:themeColor="text1"/>
          <w:sz w:val="56"/>
          <w:szCs w:val="56"/>
          <w14:textFill>
            <w14:solidFill>
              <w14:schemeClr w14:val="tx1"/>
            </w14:solidFill>
          </w14:textFill>
        </w:rPr>
        <w:t>四川省阿坝州</w:t>
      </w:r>
      <w:r>
        <w:rPr>
          <w:rFonts w:hint="eastAsia" w:ascii="方正小标宋简体" w:hAnsi="宋体" w:eastAsia="方正小标宋简体"/>
          <w:color w:val="000000" w:themeColor="text1"/>
          <w:sz w:val="56"/>
          <w:szCs w:val="56"/>
          <w:lang w:eastAsia="zh-CN"/>
          <w14:textFill>
            <w14:solidFill>
              <w14:schemeClr w14:val="tx1"/>
            </w14:solidFill>
          </w14:textFill>
        </w:rPr>
        <w:t>红原县</w:t>
      </w:r>
      <w:bookmarkEnd w:id="0"/>
      <w:bookmarkStart w:id="13" w:name="_Toc15306268"/>
      <w:r>
        <w:rPr>
          <w:rFonts w:hint="eastAsia" w:ascii="方正小标宋简体" w:hAnsi="宋体" w:eastAsia="方正小标宋简体"/>
          <w:color w:val="000000" w:themeColor="text1"/>
          <w:sz w:val="56"/>
          <w:szCs w:val="56"/>
          <w:lang w:eastAsia="zh-CN"/>
          <w14:textFill>
            <w14:solidFill>
              <w14:schemeClr w14:val="tx1"/>
            </w14:solidFill>
          </w14:textFill>
        </w:rPr>
        <w:t>色地镇人民政府</w:t>
      </w:r>
      <w:r>
        <w:rPr>
          <w:rFonts w:hint="eastAsia" w:ascii="方正小标宋简体" w:hAnsi="宋体" w:eastAsia="方正小标宋简体"/>
          <w:color w:val="000000" w:themeColor="text1"/>
          <w:sz w:val="56"/>
          <w:szCs w:val="56"/>
          <w14:textFill>
            <w14:solidFill>
              <w14:schemeClr w14:val="tx1"/>
            </w14:solidFill>
          </w14:textFill>
        </w:rPr>
        <w:t>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autoSpaceDE w:val="0"/>
        <w:autoSpaceDN w:val="0"/>
        <w:adjustRightInd w:val="0"/>
        <w:ind w:firstLine="1276"/>
        <w:jc w:val="left"/>
        <w:rPr>
          <w:rFonts w:eastAsia="仿宋_GB2312"/>
          <w:color w:val="000000" w:themeColor="text1"/>
          <w:sz w:val="32"/>
          <w:szCs w:val="32"/>
          <w14:textFill>
            <w14:solidFill>
              <w14:schemeClr w14:val="tx1"/>
            </w14:solidFill>
          </w14:textFill>
        </w:rPr>
      </w:pPr>
      <w:r>
        <w:rPr>
          <w:rFonts w:hint="eastAsia" w:ascii="仿宋_GB2312" w:hAnsi="Calibri" w:eastAsia="仿宋_GB2312" w:cs="仿宋_GB2312"/>
          <w:color w:val="000000" w:themeColor="text1"/>
          <w:sz w:val="32"/>
          <w:szCs w:val="32"/>
          <w14:textFill>
            <w14:solidFill>
              <w14:schemeClr w14:val="tx1"/>
            </w14:solidFill>
          </w14:textFill>
        </w:rPr>
        <w:t>保密审查情况：已审查，内容审定</w:t>
      </w:r>
    </w:p>
    <w:p>
      <w:pPr>
        <w:autoSpaceDE w:val="0"/>
        <w:autoSpaceDN w:val="0"/>
        <w:adjustRightInd w:val="0"/>
        <w:ind w:firstLine="1276"/>
        <w:jc w:val="left"/>
        <w:rPr>
          <w:rFonts w:eastAsia="仿宋_GB2312"/>
          <w:color w:val="000000" w:themeColor="text1"/>
          <w:sz w:val="32"/>
          <w:szCs w:val="32"/>
          <w14:textFill>
            <w14:solidFill>
              <w14:schemeClr w14:val="tx1"/>
            </w14:solidFill>
          </w14:textFill>
        </w:rPr>
      </w:pPr>
      <w:r>
        <w:rPr>
          <w:rFonts w:hint="eastAsia" w:ascii="仿宋_GB2312" w:eastAsia="仿宋_GB2312" w:cs="仿宋_GB2312"/>
          <w:color w:val="000000" w:themeColor="text1"/>
          <w:sz w:val="32"/>
          <w:szCs w:val="32"/>
          <w14:textFill>
            <w14:solidFill>
              <w14:schemeClr w14:val="tx1"/>
            </w14:solidFill>
          </w14:textFill>
        </w:rPr>
        <w:t>部门主要负责人审签情况：已审签</w:t>
      </w:r>
      <w:r>
        <w:rPr>
          <w:rFonts w:hint="eastAsia" w:ascii="仿宋_GB2312" w:hAnsi="Calibri" w:eastAsia="仿宋_GB2312" w:cs="仿宋_GB2312"/>
          <w:color w:val="000000" w:themeColor="text1"/>
          <w:sz w:val="32"/>
          <w:szCs w:val="32"/>
          <w14:textFill>
            <w14:solidFill>
              <w14:schemeClr w14:val="tx1"/>
            </w14:solidFill>
          </w14:textFill>
        </w:rPr>
        <w:t>，同意对外公开</w:t>
      </w:r>
    </w:p>
    <w:p>
      <w:pPr>
        <w:widowControl/>
        <w:jc w:val="center"/>
        <w:rPr>
          <w:rFonts w:ascii="方正小标宋简体" w:hAnsi="宋体" w:eastAsia="方正小标宋简体"/>
          <w:color w:val="000000" w:themeColor="text1"/>
          <w:sz w:val="36"/>
          <w:szCs w:val="36"/>
          <w14:textFill>
            <w14:solidFill>
              <w14:schemeClr w14:val="tx1"/>
            </w14:solidFill>
          </w14:textFill>
        </w:rPr>
      </w:pPr>
    </w:p>
    <w:p>
      <w:pPr>
        <w:widowControl/>
        <w:spacing w:line="440" w:lineRule="exact"/>
        <w:jc w:val="left"/>
        <w:rPr>
          <w:rFonts w:ascii="方正小标宋简体" w:hAnsi="宋体" w:eastAsia="方正小标宋简体"/>
          <w:color w:val="000000" w:themeColor="text1"/>
          <w:sz w:val="36"/>
          <w:szCs w:val="36"/>
          <w14:textFill>
            <w14:solidFill>
              <w14:schemeClr w14:val="tx1"/>
            </w14:solidFill>
          </w14:textFill>
        </w:rPr>
      </w:pPr>
      <w:r>
        <w:rPr>
          <w:rFonts w:ascii="方正小标宋简体" w:hAnsi="宋体" w:eastAsia="方正小标宋简体"/>
          <w:color w:val="000000" w:themeColor="text1"/>
          <w:sz w:val="36"/>
          <w:szCs w:val="36"/>
          <w14:textFill>
            <w14:solidFill>
              <w14:schemeClr w14:val="tx1"/>
            </w14:solidFill>
          </w14:textFill>
        </w:rPr>
        <w:br w:type="page"/>
      </w:r>
      <w:bookmarkStart w:id="14" w:name="_Toc15377196"/>
      <w:bookmarkStart w:id="15" w:name="_Toc15396599"/>
    </w:p>
    <w:sdt>
      <w:sdtPr>
        <w:rPr>
          <w:rFonts w:hint="eastAsia" w:ascii="黑体" w:hAnsi="黑体" w:eastAsia="黑体"/>
          <w:color w:val="000000"/>
          <w:sz w:val="48"/>
          <w:szCs w:val="48"/>
          <w:lang w:val="en-US" w:eastAsia="zh-CN"/>
        </w:rPr>
        <w:id w:val="147480395"/>
        <w15:color w:val="DBDBDB"/>
        <w:docPartObj>
          <w:docPartGallery w:val="Table of Contents"/>
          <w:docPartUnique/>
        </w:docPartObj>
      </w:sdtPr>
      <w:sdtEndPr>
        <w:rPr>
          <w:rFonts w:hint="eastAsia" w:ascii="Calibri" w:hAnsi="Calibri" w:eastAsia="宋体" w:cs="Times New Roman"/>
          <w:b/>
          <w:color w:val="000000"/>
          <w:kern w:val="0"/>
          <w:sz w:val="18"/>
          <w:szCs w:val="18"/>
          <w:lang w:val="en-US" w:eastAsia="zh-CN" w:bidi="ar-SA"/>
        </w:rPr>
      </w:sdtEndPr>
      <w:sdtContent>
        <w:p>
          <w:pPr>
            <w:widowControl/>
            <w:jc w:val="center"/>
            <w:rPr>
              <w:rFonts w:hint="eastAsia" w:ascii="黑体" w:hAnsi="黑体" w:eastAsia="黑体"/>
              <w:color w:val="000000"/>
              <w:sz w:val="48"/>
              <w:szCs w:val="48"/>
            </w:rPr>
          </w:pPr>
          <w:r>
            <w:rPr>
              <w:rFonts w:hint="eastAsia" w:ascii="黑体" w:hAnsi="黑体" w:eastAsia="黑体"/>
              <w:color w:val="000000"/>
              <w:sz w:val="48"/>
              <w:szCs w:val="48"/>
            </w:rPr>
            <w:t>目录</w:t>
          </w:r>
        </w:p>
        <w:p>
          <w:pPr>
            <w:pStyle w:val="2"/>
          </w:pPr>
        </w:p>
        <w:p>
          <w:pPr>
            <w:pStyle w:val="33"/>
            <w:tabs>
              <w:tab w:val="right" w:leader="dot" w:pos="8306"/>
            </w:tabs>
            <w:rPr>
              <w:b/>
            </w:rPr>
          </w:pPr>
          <w:r>
            <w:fldChar w:fldCharType="begin"/>
          </w:r>
          <w:r>
            <w:instrText xml:space="preserve">TOC \o "1-2" \h \u </w:instrText>
          </w:r>
          <w:r>
            <w:fldChar w:fldCharType="separate"/>
          </w:r>
          <w:r>
            <w:rPr>
              <w:b/>
            </w:rPr>
            <w:fldChar w:fldCharType="begin"/>
          </w:r>
          <w:r>
            <w:rPr>
              <w:b/>
            </w:rPr>
            <w:instrText xml:space="preserve"> HYPERLINK \l _Toc3235 </w:instrText>
          </w:r>
          <w:r>
            <w:rPr>
              <w:b/>
            </w:rPr>
            <w:fldChar w:fldCharType="separate"/>
          </w:r>
          <w:r>
            <w:rPr>
              <w:rFonts w:hint="eastAsia" w:ascii="方正小标宋简体" w:hAnsi="宋体" w:eastAsia="方正小标宋简体"/>
              <w:b/>
              <w:szCs w:val="56"/>
              <w:lang w:eastAsia="zh-CN"/>
            </w:rPr>
            <w:t>2019年度</w:t>
          </w:r>
          <w:r>
            <w:rPr>
              <w:b/>
            </w:rPr>
            <w:tab/>
          </w:r>
          <w:r>
            <w:rPr>
              <w:b/>
            </w:rPr>
            <w:fldChar w:fldCharType="begin"/>
          </w:r>
          <w:r>
            <w:rPr>
              <w:b/>
            </w:rPr>
            <w:instrText xml:space="preserve"> PAGEREF _Toc3235 </w:instrText>
          </w:r>
          <w:r>
            <w:rPr>
              <w:b/>
            </w:rPr>
            <w:fldChar w:fldCharType="separate"/>
          </w:r>
          <w:r>
            <w:rPr>
              <w:b/>
            </w:rPr>
            <w:t>1</w:t>
          </w:r>
          <w:r>
            <w:rPr>
              <w:b/>
            </w:rPr>
            <w:fldChar w:fldCharType="end"/>
          </w:r>
          <w:r>
            <w:rPr>
              <w:b/>
            </w:rPr>
            <w:fldChar w:fldCharType="end"/>
          </w:r>
        </w:p>
        <w:p>
          <w:pPr>
            <w:pStyle w:val="33"/>
            <w:tabs>
              <w:tab w:val="right" w:leader="dot" w:pos="8306"/>
            </w:tabs>
            <w:rPr>
              <w:b/>
            </w:rPr>
          </w:pPr>
          <w:r>
            <w:rPr>
              <w:b/>
            </w:rPr>
            <w:fldChar w:fldCharType="begin"/>
          </w:r>
          <w:r>
            <w:rPr>
              <w:b/>
            </w:rPr>
            <w:instrText xml:space="preserve"> HYPERLINK \l _Toc23685 </w:instrText>
          </w:r>
          <w:r>
            <w:rPr>
              <w:b/>
            </w:rPr>
            <w:fldChar w:fldCharType="separate"/>
          </w:r>
          <w:r>
            <w:rPr>
              <w:rFonts w:hint="eastAsia" w:ascii="方正小标宋简体" w:hAnsi="宋体" w:eastAsia="方正小标宋简体"/>
              <w:b/>
              <w:szCs w:val="56"/>
            </w:rPr>
            <w:t>四川省阿坝州</w:t>
          </w:r>
          <w:r>
            <w:rPr>
              <w:rFonts w:hint="eastAsia" w:ascii="方正小标宋简体" w:hAnsi="宋体" w:eastAsia="方正小标宋简体"/>
              <w:b/>
              <w:szCs w:val="56"/>
              <w:lang w:eastAsia="zh-CN"/>
            </w:rPr>
            <w:t>红原县色地镇人民政府</w:t>
          </w:r>
          <w:r>
            <w:rPr>
              <w:rFonts w:hint="eastAsia" w:ascii="方正小标宋简体" w:hAnsi="宋体" w:eastAsia="方正小标宋简体"/>
              <w:b/>
              <w:szCs w:val="56"/>
            </w:rPr>
            <w:t>部门决算</w:t>
          </w:r>
          <w:r>
            <w:rPr>
              <w:b/>
            </w:rPr>
            <w:tab/>
          </w:r>
          <w:r>
            <w:rPr>
              <w:b/>
            </w:rPr>
            <w:fldChar w:fldCharType="begin"/>
          </w:r>
          <w:r>
            <w:rPr>
              <w:b/>
            </w:rPr>
            <w:instrText xml:space="preserve"> PAGEREF _Toc23685 </w:instrText>
          </w:r>
          <w:r>
            <w:rPr>
              <w:b/>
            </w:rPr>
            <w:fldChar w:fldCharType="separate"/>
          </w:r>
          <w:r>
            <w:rPr>
              <w:b/>
            </w:rPr>
            <w:t>1</w:t>
          </w:r>
          <w:r>
            <w:rPr>
              <w:b/>
            </w:rPr>
            <w:fldChar w:fldCharType="end"/>
          </w:r>
          <w:r>
            <w:rPr>
              <w:b/>
            </w:rPr>
            <w:fldChar w:fldCharType="end"/>
          </w:r>
        </w:p>
        <w:p>
          <w:pPr>
            <w:pStyle w:val="33"/>
            <w:tabs>
              <w:tab w:val="right" w:leader="dot" w:pos="8306"/>
            </w:tabs>
            <w:rPr>
              <w:b/>
            </w:rPr>
          </w:pPr>
          <w:r>
            <w:rPr>
              <w:b/>
            </w:rPr>
            <w:fldChar w:fldCharType="begin"/>
          </w:r>
          <w:r>
            <w:rPr>
              <w:b/>
            </w:rPr>
            <w:instrText xml:space="preserve"> HYPERLINK \l _Toc6767 </w:instrText>
          </w:r>
          <w:r>
            <w:rPr>
              <w:b/>
            </w:rPr>
            <w:fldChar w:fldCharType="separate"/>
          </w:r>
          <w:r>
            <w:rPr>
              <w:rFonts w:hint="eastAsia" w:ascii="黑体" w:hAnsi="黑体" w:eastAsia="黑体"/>
              <w:b/>
            </w:rPr>
            <w:t xml:space="preserve">第一部分 </w:t>
          </w:r>
          <w:r>
            <w:rPr>
              <w:rFonts w:hint="eastAsia" w:ascii="黑体" w:hAnsi="黑体" w:eastAsia="黑体"/>
              <w:b/>
              <w:bCs w:val="0"/>
            </w:rPr>
            <w:t>部门概况</w:t>
          </w:r>
          <w:r>
            <w:rPr>
              <w:b/>
            </w:rPr>
            <w:tab/>
          </w:r>
          <w:r>
            <w:rPr>
              <w:b/>
            </w:rPr>
            <w:fldChar w:fldCharType="begin"/>
          </w:r>
          <w:r>
            <w:rPr>
              <w:b/>
            </w:rPr>
            <w:instrText xml:space="preserve"> PAGEREF _Toc6767 </w:instrText>
          </w:r>
          <w:r>
            <w:rPr>
              <w:b/>
            </w:rPr>
            <w:fldChar w:fldCharType="separate"/>
          </w:r>
          <w:r>
            <w:rPr>
              <w:b/>
            </w:rPr>
            <w:t>3</w:t>
          </w:r>
          <w:r>
            <w:rPr>
              <w:b/>
            </w:rPr>
            <w:fldChar w:fldCharType="end"/>
          </w:r>
          <w:r>
            <w:rPr>
              <w:b/>
            </w:rPr>
            <w:fldChar w:fldCharType="end"/>
          </w:r>
        </w:p>
        <w:p>
          <w:pPr>
            <w:pStyle w:val="34"/>
            <w:tabs>
              <w:tab w:val="right" w:leader="dot" w:pos="8306"/>
            </w:tabs>
          </w:pPr>
          <w:r>
            <w:fldChar w:fldCharType="begin"/>
          </w:r>
          <w:r>
            <w:instrText xml:space="preserve"> HYPERLINK \l _Toc24880 </w:instrText>
          </w:r>
          <w: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_Toc24880 </w:instrText>
          </w:r>
          <w:r>
            <w:fldChar w:fldCharType="separate"/>
          </w:r>
          <w:r>
            <w:t>3</w:t>
          </w:r>
          <w:r>
            <w:fldChar w:fldCharType="end"/>
          </w:r>
          <w:r>
            <w:fldChar w:fldCharType="end"/>
          </w:r>
        </w:p>
        <w:p>
          <w:pPr>
            <w:pStyle w:val="34"/>
            <w:tabs>
              <w:tab w:val="right" w:leader="dot" w:pos="8306"/>
            </w:tabs>
          </w:pPr>
          <w:r>
            <w:fldChar w:fldCharType="begin"/>
          </w:r>
          <w:r>
            <w:instrText xml:space="preserve"> HYPERLINK \l _Toc12259 </w:instrText>
          </w:r>
          <w: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_Toc12259 </w:instrText>
          </w:r>
          <w:r>
            <w:fldChar w:fldCharType="separate"/>
          </w:r>
          <w:r>
            <w:t>13</w:t>
          </w:r>
          <w:r>
            <w:fldChar w:fldCharType="end"/>
          </w:r>
          <w:r>
            <w:fldChar w:fldCharType="end"/>
          </w:r>
        </w:p>
        <w:p>
          <w:pPr>
            <w:pStyle w:val="33"/>
            <w:tabs>
              <w:tab w:val="right" w:leader="dot" w:pos="8306"/>
            </w:tabs>
            <w:rPr>
              <w:b/>
            </w:rPr>
          </w:pPr>
          <w:r>
            <w:rPr>
              <w:b/>
            </w:rPr>
            <w:fldChar w:fldCharType="begin"/>
          </w:r>
          <w:r>
            <w:rPr>
              <w:b/>
            </w:rPr>
            <w:instrText xml:space="preserve"> HYPERLINK \l _Toc11674 </w:instrText>
          </w:r>
          <w:r>
            <w:rPr>
              <w:b/>
            </w:rPr>
            <w:fldChar w:fldCharType="separate"/>
          </w:r>
          <w:r>
            <w:rPr>
              <w:rFonts w:hint="eastAsia" w:ascii="黑体" w:hAnsi="黑体" w:eastAsia="黑体"/>
              <w:b/>
            </w:rPr>
            <w:t xml:space="preserve">第二部分 </w:t>
          </w:r>
          <w:r>
            <w:rPr>
              <w:rFonts w:hint="eastAsia" w:ascii="黑体" w:hAnsi="黑体" w:eastAsia="黑体"/>
              <w:b/>
              <w:bCs w:val="0"/>
            </w:rPr>
            <w:t>2019年度部门决算情况说明</w:t>
          </w:r>
          <w:r>
            <w:rPr>
              <w:b/>
            </w:rPr>
            <w:tab/>
          </w:r>
          <w:r>
            <w:rPr>
              <w:b/>
            </w:rPr>
            <w:fldChar w:fldCharType="begin"/>
          </w:r>
          <w:r>
            <w:rPr>
              <w:b/>
            </w:rPr>
            <w:instrText xml:space="preserve"> PAGEREF _Toc11674 </w:instrText>
          </w:r>
          <w:r>
            <w:rPr>
              <w:b/>
            </w:rPr>
            <w:fldChar w:fldCharType="separate"/>
          </w:r>
          <w:r>
            <w:rPr>
              <w:b/>
            </w:rPr>
            <w:t>14</w:t>
          </w:r>
          <w:r>
            <w:rPr>
              <w:b/>
            </w:rPr>
            <w:fldChar w:fldCharType="end"/>
          </w:r>
          <w:r>
            <w:rPr>
              <w:b/>
            </w:rPr>
            <w:fldChar w:fldCharType="end"/>
          </w:r>
        </w:p>
        <w:p>
          <w:pPr>
            <w:pStyle w:val="34"/>
            <w:tabs>
              <w:tab w:val="right" w:leader="dot" w:pos="8306"/>
            </w:tabs>
          </w:pPr>
          <w:r>
            <w:fldChar w:fldCharType="begin"/>
          </w:r>
          <w:r>
            <w:instrText xml:space="preserve"> HYPERLINK \l _Toc16113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_Toc16113 </w:instrText>
          </w:r>
          <w:r>
            <w:fldChar w:fldCharType="separate"/>
          </w:r>
          <w:r>
            <w:t>14</w:t>
          </w:r>
          <w:r>
            <w:fldChar w:fldCharType="end"/>
          </w:r>
          <w:r>
            <w:fldChar w:fldCharType="end"/>
          </w:r>
        </w:p>
        <w:p>
          <w:pPr>
            <w:pStyle w:val="34"/>
            <w:tabs>
              <w:tab w:val="right" w:leader="dot" w:pos="8306"/>
            </w:tabs>
          </w:pPr>
          <w:r>
            <w:fldChar w:fldCharType="begin"/>
          </w:r>
          <w:r>
            <w:instrText xml:space="preserve"> HYPERLINK \l _Toc21414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_Toc21414 </w:instrText>
          </w:r>
          <w:r>
            <w:fldChar w:fldCharType="separate"/>
          </w:r>
          <w:r>
            <w:t>14</w:t>
          </w:r>
          <w:r>
            <w:fldChar w:fldCharType="end"/>
          </w:r>
          <w:r>
            <w:fldChar w:fldCharType="end"/>
          </w:r>
        </w:p>
        <w:p>
          <w:pPr>
            <w:pStyle w:val="34"/>
            <w:tabs>
              <w:tab w:val="right" w:leader="dot" w:pos="8306"/>
            </w:tabs>
          </w:pPr>
          <w:r>
            <w:fldChar w:fldCharType="begin"/>
          </w:r>
          <w:r>
            <w:instrText xml:space="preserve"> HYPERLINK \l _Toc5979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_Toc5979 </w:instrText>
          </w:r>
          <w:r>
            <w:fldChar w:fldCharType="separate"/>
          </w:r>
          <w:r>
            <w:t>15</w:t>
          </w:r>
          <w:r>
            <w:fldChar w:fldCharType="end"/>
          </w:r>
          <w:r>
            <w:fldChar w:fldCharType="end"/>
          </w:r>
        </w:p>
        <w:p>
          <w:pPr>
            <w:pStyle w:val="34"/>
            <w:tabs>
              <w:tab w:val="right" w:leader="dot" w:pos="8306"/>
            </w:tabs>
          </w:pPr>
          <w:r>
            <w:fldChar w:fldCharType="begin"/>
          </w:r>
          <w:r>
            <w:instrText xml:space="preserve"> HYPERLINK \l _Toc14502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_Toc14502 </w:instrText>
          </w:r>
          <w:r>
            <w:fldChar w:fldCharType="separate"/>
          </w:r>
          <w:r>
            <w:t>15</w:t>
          </w:r>
          <w:r>
            <w:fldChar w:fldCharType="end"/>
          </w:r>
          <w:r>
            <w:fldChar w:fldCharType="end"/>
          </w:r>
        </w:p>
        <w:p>
          <w:pPr>
            <w:pStyle w:val="34"/>
            <w:tabs>
              <w:tab w:val="right" w:leader="dot" w:pos="8306"/>
            </w:tabs>
          </w:pPr>
          <w:r>
            <w:fldChar w:fldCharType="begin"/>
          </w:r>
          <w:r>
            <w:instrText xml:space="preserve"> HYPERLINK \l _Toc11606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_Toc11606 </w:instrText>
          </w:r>
          <w:r>
            <w:fldChar w:fldCharType="separate"/>
          </w:r>
          <w:r>
            <w:t>16</w:t>
          </w:r>
          <w:r>
            <w:fldChar w:fldCharType="end"/>
          </w:r>
          <w:r>
            <w:fldChar w:fldCharType="end"/>
          </w:r>
        </w:p>
        <w:p>
          <w:pPr>
            <w:pStyle w:val="34"/>
            <w:tabs>
              <w:tab w:val="right" w:leader="dot" w:pos="8306"/>
            </w:tabs>
          </w:pPr>
          <w:r>
            <w:fldChar w:fldCharType="begin"/>
          </w:r>
          <w:r>
            <w:instrText xml:space="preserve"> HYPERLINK \l _Toc20538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_Toc20538 </w:instrText>
          </w:r>
          <w:r>
            <w:fldChar w:fldCharType="separate"/>
          </w:r>
          <w:r>
            <w:t>19</w:t>
          </w:r>
          <w:r>
            <w:fldChar w:fldCharType="end"/>
          </w:r>
          <w:r>
            <w:fldChar w:fldCharType="end"/>
          </w:r>
        </w:p>
        <w:p>
          <w:pPr>
            <w:pStyle w:val="34"/>
            <w:tabs>
              <w:tab w:val="right" w:leader="dot" w:pos="8306"/>
            </w:tabs>
          </w:pPr>
          <w:r>
            <w:fldChar w:fldCharType="begin"/>
          </w:r>
          <w:r>
            <w:instrText xml:space="preserve"> HYPERLINK \l _Toc4775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_Toc4775 </w:instrText>
          </w:r>
          <w:r>
            <w:fldChar w:fldCharType="separate"/>
          </w:r>
          <w:r>
            <w:t>19</w:t>
          </w:r>
          <w:r>
            <w:fldChar w:fldCharType="end"/>
          </w:r>
          <w:r>
            <w:fldChar w:fldCharType="end"/>
          </w:r>
        </w:p>
        <w:p>
          <w:pPr>
            <w:pStyle w:val="34"/>
            <w:tabs>
              <w:tab w:val="right" w:leader="dot" w:pos="8306"/>
            </w:tabs>
          </w:pPr>
          <w:r>
            <w:fldChar w:fldCharType="begin"/>
          </w:r>
          <w:r>
            <w:instrText xml:space="preserve"> HYPERLINK \l _Toc71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_Toc71 </w:instrText>
          </w:r>
          <w:r>
            <w:fldChar w:fldCharType="separate"/>
          </w:r>
          <w:r>
            <w:t>21</w:t>
          </w:r>
          <w:r>
            <w:fldChar w:fldCharType="end"/>
          </w:r>
          <w:r>
            <w:fldChar w:fldCharType="end"/>
          </w:r>
        </w:p>
        <w:p>
          <w:pPr>
            <w:pStyle w:val="34"/>
            <w:tabs>
              <w:tab w:val="right" w:leader="dot" w:pos="8306"/>
            </w:tabs>
          </w:pPr>
          <w:r>
            <w:fldChar w:fldCharType="begin"/>
          </w:r>
          <w:r>
            <w:instrText xml:space="preserve"> HYPERLINK \l _Toc13853 </w:instrText>
          </w:r>
          <w:r>
            <w:fldChar w:fldCharType="separate"/>
          </w:r>
          <w:r>
            <w:rPr>
              <w:rFonts w:hint="eastAsia" w:ascii="黑体" w:hAnsi="黑体" w:eastAsia="黑体"/>
            </w:rPr>
            <w:t>九、 国有资本经营预算支出决算情况说明</w:t>
          </w:r>
          <w:r>
            <w:tab/>
          </w:r>
          <w:r>
            <w:fldChar w:fldCharType="begin"/>
          </w:r>
          <w:r>
            <w:instrText xml:space="preserve"> PAGEREF _Toc13853 </w:instrText>
          </w:r>
          <w:r>
            <w:fldChar w:fldCharType="separate"/>
          </w:r>
          <w:r>
            <w:t>21</w:t>
          </w:r>
          <w:r>
            <w:fldChar w:fldCharType="end"/>
          </w:r>
          <w:r>
            <w:fldChar w:fldCharType="end"/>
          </w:r>
        </w:p>
        <w:p>
          <w:pPr>
            <w:pStyle w:val="34"/>
            <w:tabs>
              <w:tab w:val="right" w:leader="dot" w:pos="8306"/>
            </w:tabs>
          </w:pPr>
          <w:r>
            <w:fldChar w:fldCharType="begin"/>
          </w:r>
          <w:r>
            <w:instrText xml:space="preserve"> HYPERLINK \l _Toc40 </w:instrText>
          </w:r>
          <w:r>
            <w:fldChar w:fldCharType="separate"/>
          </w:r>
          <w:r>
            <w:rPr>
              <w:rFonts w:hint="eastAsia" w:ascii="黑体" w:hAnsi="黑体" w:eastAsia="黑体"/>
            </w:rPr>
            <w:t>十、 其他重要事项的情况说明</w:t>
          </w:r>
          <w:r>
            <w:tab/>
          </w:r>
          <w:r>
            <w:fldChar w:fldCharType="begin"/>
          </w:r>
          <w:r>
            <w:instrText xml:space="preserve"> PAGEREF _Toc40 </w:instrText>
          </w:r>
          <w:r>
            <w:fldChar w:fldCharType="separate"/>
          </w:r>
          <w:r>
            <w:t>21</w:t>
          </w:r>
          <w:r>
            <w:fldChar w:fldCharType="end"/>
          </w:r>
          <w:r>
            <w:fldChar w:fldCharType="end"/>
          </w:r>
        </w:p>
        <w:p>
          <w:pPr>
            <w:pStyle w:val="33"/>
            <w:tabs>
              <w:tab w:val="right" w:leader="dot" w:pos="8306"/>
            </w:tabs>
            <w:rPr>
              <w:b/>
            </w:rPr>
          </w:pPr>
          <w:r>
            <w:rPr>
              <w:b/>
            </w:rPr>
            <w:fldChar w:fldCharType="begin"/>
          </w:r>
          <w:r>
            <w:rPr>
              <w:b/>
            </w:rPr>
            <w:instrText xml:space="preserve"> HYPERLINK \l _Toc26703 </w:instrText>
          </w:r>
          <w:r>
            <w:rPr>
              <w:b/>
            </w:rPr>
            <w:fldChar w:fldCharType="separate"/>
          </w:r>
          <w:r>
            <w:rPr>
              <w:rFonts w:hint="eastAsia" w:ascii="黑体" w:hAnsi="黑体" w:eastAsia="黑体"/>
              <w:b/>
            </w:rPr>
            <w:t xml:space="preserve">第三部分 </w:t>
          </w:r>
          <w:r>
            <w:rPr>
              <w:rFonts w:hint="eastAsia" w:ascii="黑体" w:hAnsi="黑体" w:eastAsia="黑体"/>
              <w:b/>
              <w:szCs w:val="44"/>
            </w:rPr>
            <w:t>名</w:t>
          </w:r>
          <w:r>
            <w:rPr>
              <w:rFonts w:hint="eastAsia" w:ascii="黑体" w:hAnsi="黑体" w:eastAsia="黑体"/>
              <w:b/>
            </w:rPr>
            <w:t>词解释</w:t>
          </w:r>
          <w:r>
            <w:rPr>
              <w:b/>
            </w:rPr>
            <w:tab/>
          </w:r>
          <w:r>
            <w:rPr>
              <w:b/>
            </w:rPr>
            <w:fldChar w:fldCharType="begin"/>
          </w:r>
          <w:r>
            <w:rPr>
              <w:b/>
            </w:rPr>
            <w:instrText xml:space="preserve"> PAGEREF _Toc26703 </w:instrText>
          </w:r>
          <w:r>
            <w:rPr>
              <w:b/>
            </w:rPr>
            <w:fldChar w:fldCharType="separate"/>
          </w:r>
          <w:r>
            <w:rPr>
              <w:b/>
            </w:rPr>
            <w:t>33</w:t>
          </w:r>
          <w:r>
            <w:rPr>
              <w:b/>
            </w:rPr>
            <w:fldChar w:fldCharType="end"/>
          </w:r>
          <w:r>
            <w:rPr>
              <w:b/>
            </w:rPr>
            <w:fldChar w:fldCharType="end"/>
          </w:r>
        </w:p>
        <w:p>
          <w:pPr>
            <w:pStyle w:val="33"/>
            <w:tabs>
              <w:tab w:val="right" w:leader="dot" w:pos="8306"/>
            </w:tabs>
            <w:rPr>
              <w:b/>
            </w:rPr>
          </w:pPr>
          <w:r>
            <w:rPr>
              <w:b/>
            </w:rPr>
            <w:fldChar w:fldCharType="begin"/>
          </w:r>
          <w:r>
            <w:rPr>
              <w:b/>
            </w:rPr>
            <w:instrText xml:space="preserve"> HYPERLINK \l _Toc564 </w:instrText>
          </w:r>
          <w:r>
            <w:rPr>
              <w:b/>
            </w:rPr>
            <w:fldChar w:fldCharType="separate"/>
          </w:r>
          <w:r>
            <w:rPr>
              <w:rFonts w:hint="eastAsia" w:ascii="黑体" w:hAnsi="黑体" w:eastAsia="黑体"/>
              <w:b/>
              <w:szCs w:val="44"/>
            </w:rPr>
            <w:t>第</w:t>
          </w:r>
          <w:r>
            <w:rPr>
              <w:rFonts w:hint="eastAsia" w:ascii="黑体" w:hAnsi="黑体" w:eastAsia="黑体"/>
              <w:b/>
            </w:rPr>
            <w:t>四部分 附件</w:t>
          </w:r>
          <w:r>
            <w:rPr>
              <w:b/>
            </w:rPr>
            <w:tab/>
          </w:r>
          <w:r>
            <w:rPr>
              <w:b/>
            </w:rPr>
            <w:fldChar w:fldCharType="begin"/>
          </w:r>
          <w:r>
            <w:rPr>
              <w:b/>
            </w:rPr>
            <w:instrText xml:space="preserve"> PAGEREF _Toc564 </w:instrText>
          </w:r>
          <w:r>
            <w:rPr>
              <w:b/>
            </w:rPr>
            <w:fldChar w:fldCharType="separate"/>
          </w:r>
          <w:r>
            <w:rPr>
              <w:b/>
            </w:rPr>
            <w:t>36</w:t>
          </w:r>
          <w:r>
            <w:rPr>
              <w:b/>
            </w:rPr>
            <w:fldChar w:fldCharType="end"/>
          </w:r>
          <w:r>
            <w:rPr>
              <w:b/>
            </w:rPr>
            <w:fldChar w:fldCharType="end"/>
          </w:r>
        </w:p>
        <w:p>
          <w:pPr>
            <w:pStyle w:val="33"/>
            <w:tabs>
              <w:tab w:val="right" w:leader="dot" w:pos="8306"/>
            </w:tabs>
            <w:rPr>
              <w:b/>
            </w:rPr>
          </w:pPr>
          <w:r>
            <w:rPr>
              <w:b/>
            </w:rPr>
            <w:fldChar w:fldCharType="begin"/>
          </w:r>
          <w:r>
            <w:rPr>
              <w:b/>
            </w:rPr>
            <w:instrText xml:space="preserve"> HYPERLINK \l _Toc3560 </w:instrText>
          </w:r>
          <w:r>
            <w:rPr>
              <w:b/>
            </w:rPr>
            <w:fldChar w:fldCharType="separate"/>
          </w:r>
          <w:r>
            <w:rPr>
              <w:rFonts w:hint="eastAsia" w:ascii="黑体" w:hAnsi="黑体" w:eastAsia="黑体" w:cs="黑体"/>
              <w:b/>
              <w:szCs w:val="32"/>
            </w:rPr>
            <w:t>附件1</w:t>
          </w:r>
          <w:r>
            <w:rPr>
              <w:b/>
            </w:rPr>
            <w:tab/>
          </w:r>
          <w:r>
            <w:rPr>
              <w:b/>
            </w:rPr>
            <w:fldChar w:fldCharType="begin"/>
          </w:r>
          <w:r>
            <w:rPr>
              <w:b/>
            </w:rPr>
            <w:instrText xml:space="preserve"> PAGEREF _Toc3560 </w:instrText>
          </w:r>
          <w:r>
            <w:rPr>
              <w:b/>
            </w:rPr>
            <w:fldChar w:fldCharType="separate"/>
          </w:r>
          <w:r>
            <w:rPr>
              <w:b/>
            </w:rPr>
            <w:t>36</w:t>
          </w:r>
          <w:r>
            <w:rPr>
              <w:b/>
            </w:rPr>
            <w:fldChar w:fldCharType="end"/>
          </w:r>
          <w:r>
            <w:rPr>
              <w:b/>
            </w:rPr>
            <w:fldChar w:fldCharType="end"/>
          </w:r>
        </w:p>
        <w:p>
          <w:pPr>
            <w:pStyle w:val="33"/>
            <w:tabs>
              <w:tab w:val="right" w:leader="dot" w:pos="8306"/>
            </w:tabs>
            <w:rPr>
              <w:b/>
            </w:rPr>
          </w:pPr>
          <w:r>
            <w:rPr>
              <w:b/>
            </w:rPr>
            <w:fldChar w:fldCharType="begin"/>
          </w:r>
          <w:r>
            <w:rPr>
              <w:b/>
            </w:rPr>
            <w:instrText xml:space="preserve"> HYPERLINK \l _Toc11600 </w:instrText>
          </w:r>
          <w:r>
            <w:rPr>
              <w:b/>
            </w:rPr>
            <w:fldChar w:fldCharType="separate"/>
          </w:r>
          <w:r>
            <w:rPr>
              <w:rFonts w:hint="eastAsia" w:ascii="黑体" w:hAnsi="黑体" w:eastAsia="黑体"/>
              <w:b/>
              <w:szCs w:val="44"/>
            </w:rPr>
            <w:t>第</w:t>
          </w:r>
          <w:r>
            <w:rPr>
              <w:rFonts w:hint="eastAsia" w:ascii="黑体" w:hAnsi="黑体" w:eastAsia="黑体"/>
              <w:b/>
            </w:rPr>
            <w:t>五部分 附表</w:t>
          </w:r>
          <w:r>
            <w:rPr>
              <w:b/>
            </w:rPr>
            <w:tab/>
          </w:r>
          <w:r>
            <w:rPr>
              <w:b/>
            </w:rPr>
            <w:fldChar w:fldCharType="begin"/>
          </w:r>
          <w:r>
            <w:rPr>
              <w:b/>
            </w:rPr>
            <w:instrText xml:space="preserve"> PAGEREF _Toc11600 </w:instrText>
          </w:r>
          <w:r>
            <w:rPr>
              <w:b/>
            </w:rPr>
            <w:fldChar w:fldCharType="separate"/>
          </w:r>
          <w:r>
            <w:rPr>
              <w:b/>
            </w:rPr>
            <w:t>45</w:t>
          </w:r>
          <w:r>
            <w:rPr>
              <w:b/>
            </w:rPr>
            <w:fldChar w:fldCharType="end"/>
          </w:r>
          <w:r>
            <w:rPr>
              <w:b/>
            </w:rPr>
            <w:fldChar w:fldCharType="end"/>
          </w:r>
        </w:p>
        <w:p>
          <w:pPr>
            <w:pStyle w:val="34"/>
            <w:tabs>
              <w:tab w:val="right" w:leader="dot" w:pos="8306"/>
            </w:tabs>
          </w:pPr>
          <w:r>
            <w:fldChar w:fldCharType="begin"/>
          </w:r>
          <w:r>
            <w:instrText xml:space="preserve"> HYPERLINK \l _Toc23419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_Toc23419 </w:instrText>
          </w:r>
          <w:r>
            <w:fldChar w:fldCharType="separate"/>
          </w:r>
          <w:r>
            <w:t>45</w:t>
          </w:r>
          <w:r>
            <w:fldChar w:fldCharType="end"/>
          </w:r>
          <w:r>
            <w:fldChar w:fldCharType="end"/>
          </w:r>
        </w:p>
        <w:p>
          <w:pPr>
            <w:pStyle w:val="34"/>
            <w:tabs>
              <w:tab w:val="right" w:leader="dot" w:pos="8306"/>
            </w:tabs>
          </w:pPr>
          <w:r>
            <w:fldChar w:fldCharType="begin"/>
          </w:r>
          <w:r>
            <w:instrText xml:space="preserve"> HYPERLINK \l _Toc28674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_Toc28674 </w:instrText>
          </w:r>
          <w:r>
            <w:fldChar w:fldCharType="separate"/>
          </w:r>
          <w:r>
            <w:t>45</w:t>
          </w:r>
          <w:r>
            <w:fldChar w:fldCharType="end"/>
          </w:r>
          <w:r>
            <w:fldChar w:fldCharType="end"/>
          </w:r>
        </w:p>
        <w:p>
          <w:pPr>
            <w:pStyle w:val="34"/>
            <w:tabs>
              <w:tab w:val="right" w:leader="dot" w:pos="8306"/>
            </w:tabs>
          </w:pPr>
          <w:r>
            <w:fldChar w:fldCharType="begin"/>
          </w:r>
          <w:r>
            <w:instrText xml:space="preserve"> HYPERLINK \l _Toc18635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_Toc18635 </w:instrText>
          </w:r>
          <w:r>
            <w:fldChar w:fldCharType="separate"/>
          </w:r>
          <w:r>
            <w:t>45</w:t>
          </w:r>
          <w:r>
            <w:fldChar w:fldCharType="end"/>
          </w:r>
          <w:r>
            <w:fldChar w:fldCharType="end"/>
          </w:r>
        </w:p>
        <w:p>
          <w:pPr>
            <w:pStyle w:val="34"/>
            <w:tabs>
              <w:tab w:val="right" w:leader="dot" w:pos="8306"/>
            </w:tabs>
          </w:pPr>
          <w:r>
            <w:fldChar w:fldCharType="begin"/>
          </w:r>
          <w:r>
            <w:instrText xml:space="preserve"> HYPERLINK \l _Toc24838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_Toc24838 </w:instrText>
          </w:r>
          <w:r>
            <w:fldChar w:fldCharType="separate"/>
          </w:r>
          <w:r>
            <w:t>45</w:t>
          </w:r>
          <w:r>
            <w:fldChar w:fldCharType="end"/>
          </w:r>
          <w:r>
            <w:fldChar w:fldCharType="end"/>
          </w:r>
        </w:p>
        <w:p>
          <w:pPr>
            <w:pStyle w:val="34"/>
            <w:tabs>
              <w:tab w:val="right" w:leader="dot" w:pos="8306"/>
            </w:tabs>
          </w:pPr>
          <w:r>
            <w:fldChar w:fldCharType="begin"/>
          </w:r>
          <w:r>
            <w:instrText xml:space="preserve"> HYPERLINK \l _Toc16256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_Toc16256 </w:instrText>
          </w:r>
          <w:r>
            <w:fldChar w:fldCharType="separate"/>
          </w:r>
          <w:r>
            <w:t>45</w:t>
          </w:r>
          <w:r>
            <w:fldChar w:fldCharType="end"/>
          </w:r>
          <w:r>
            <w:fldChar w:fldCharType="end"/>
          </w:r>
        </w:p>
        <w:p>
          <w:pPr>
            <w:pStyle w:val="34"/>
            <w:tabs>
              <w:tab w:val="right" w:leader="dot" w:pos="8306"/>
            </w:tabs>
          </w:pPr>
          <w:r>
            <w:fldChar w:fldCharType="begin"/>
          </w:r>
          <w:r>
            <w:instrText xml:space="preserve"> HYPERLINK \l _Toc16832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_Toc16832 </w:instrText>
          </w:r>
          <w:r>
            <w:fldChar w:fldCharType="separate"/>
          </w:r>
          <w:r>
            <w:t>45</w:t>
          </w:r>
          <w:r>
            <w:fldChar w:fldCharType="end"/>
          </w:r>
          <w:r>
            <w:fldChar w:fldCharType="end"/>
          </w:r>
        </w:p>
        <w:p>
          <w:pPr>
            <w:pStyle w:val="34"/>
            <w:tabs>
              <w:tab w:val="right" w:leader="dot" w:pos="8306"/>
            </w:tabs>
          </w:pPr>
          <w:r>
            <w:fldChar w:fldCharType="begin"/>
          </w:r>
          <w:r>
            <w:instrText xml:space="preserve"> HYPERLINK \l _Toc26725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_Toc26725 </w:instrText>
          </w:r>
          <w:r>
            <w:fldChar w:fldCharType="separate"/>
          </w:r>
          <w:r>
            <w:t>45</w:t>
          </w:r>
          <w:r>
            <w:fldChar w:fldCharType="end"/>
          </w:r>
          <w:r>
            <w:fldChar w:fldCharType="end"/>
          </w:r>
        </w:p>
        <w:p>
          <w:pPr>
            <w:pStyle w:val="34"/>
            <w:tabs>
              <w:tab w:val="right" w:leader="dot" w:pos="8306"/>
            </w:tabs>
          </w:pPr>
          <w:r>
            <w:fldChar w:fldCharType="begin"/>
          </w:r>
          <w:r>
            <w:instrText xml:space="preserve"> HYPERLINK \l _Toc6394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_Toc6394 </w:instrText>
          </w:r>
          <w:r>
            <w:fldChar w:fldCharType="separate"/>
          </w:r>
          <w:r>
            <w:t>45</w:t>
          </w:r>
          <w:r>
            <w:fldChar w:fldCharType="end"/>
          </w:r>
          <w:r>
            <w:fldChar w:fldCharType="end"/>
          </w:r>
        </w:p>
        <w:p>
          <w:pPr>
            <w:pStyle w:val="34"/>
            <w:tabs>
              <w:tab w:val="right" w:leader="dot" w:pos="8306"/>
            </w:tabs>
          </w:pPr>
          <w:r>
            <w:fldChar w:fldCharType="begin"/>
          </w:r>
          <w:r>
            <w:instrText xml:space="preserve"> HYPERLINK \l _Toc21402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_Toc21402 </w:instrText>
          </w:r>
          <w:r>
            <w:fldChar w:fldCharType="separate"/>
          </w:r>
          <w:r>
            <w:t>45</w:t>
          </w:r>
          <w:r>
            <w:fldChar w:fldCharType="end"/>
          </w:r>
          <w:r>
            <w:fldChar w:fldCharType="end"/>
          </w:r>
        </w:p>
        <w:p>
          <w:pPr>
            <w:pStyle w:val="34"/>
            <w:tabs>
              <w:tab w:val="right" w:leader="dot" w:pos="8306"/>
            </w:tabs>
          </w:pPr>
          <w:r>
            <w:fldChar w:fldCharType="begin"/>
          </w:r>
          <w:r>
            <w:instrText xml:space="preserve"> HYPERLINK \l _Toc20687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_Toc20687 </w:instrText>
          </w:r>
          <w:r>
            <w:fldChar w:fldCharType="separate"/>
          </w:r>
          <w:r>
            <w:t>45</w:t>
          </w:r>
          <w:r>
            <w:fldChar w:fldCharType="end"/>
          </w:r>
          <w:r>
            <w:fldChar w:fldCharType="end"/>
          </w:r>
        </w:p>
        <w:p>
          <w:pPr>
            <w:pStyle w:val="34"/>
            <w:tabs>
              <w:tab w:val="right" w:leader="dot" w:pos="8306"/>
            </w:tabs>
          </w:pPr>
          <w:r>
            <w:fldChar w:fldCharType="begin"/>
          </w:r>
          <w:r>
            <w:instrText xml:space="preserve"> HYPERLINK \l _Toc23397 </w:instrText>
          </w:r>
          <w: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_Toc23397 </w:instrText>
          </w:r>
          <w:r>
            <w:fldChar w:fldCharType="separate"/>
          </w:r>
          <w:r>
            <w:t>45</w:t>
          </w:r>
          <w:r>
            <w:fldChar w:fldCharType="end"/>
          </w:r>
          <w:r>
            <w:fldChar w:fldCharType="end"/>
          </w:r>
        </w:p>
        <w:p>
          <w:pPr>
            <w:pStyle w:val="34"/>
            <w:tabs>
              <w:tab w:val="right" w:leader="dot" w:pos="8306"/>
            </w:tabs>
          </w:pPr>
          <w:r>
            <w:fldChar w:fldCharType="begin"/>
          </w:r>
          <w:r>
            <w:instrText xml:space="preserve"> HYPERLINK \l _Toc22706 </w:instrText>
          </w:r>
          <w: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_Toc22706 </w:instrText>
          </w:r>
          <w:r>
            <w:fldChar w:fldCharType="separate"/>
          </w:r>
          <w:r>
            <w:t>45</w:t>
          </w:r>
          <w:r>
            <w:fldChar w:fldCharType="end"/>
          </w:r>
          <w:r>
            <w:fldChar w:fldCharType="end"/>
          </w:r>
        </w:p>
        <w:p>
          <w:pPr>
            <w:pStyle w:val="34"/>
            <w:tabs>
              <w:tab w:val="right" w:leader="dot" w:pos="8306"/>
            </w:tabs>
          </w:pPr>
          <w:r>
            <w:fldChar w:fldCharType="begin"/>
          </w:r>
          <w:r>
            <w:instrText xml:space="preserve"> HYPERLINK \l _Toc24203 </w:instrText>
          </w:r>
          <w: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_Toc24203 </w:instrText>
          </w:r>
          <w:r>
            <w:fldChar w:fldCharType="separate"/>
          </w:r>
          <w:r>
            <w:t>45</w:t>
          </w:r>
          <w:r>
            <w:fldChar w:fldCharType="end"/>
          </w:r>
          <w:r>
            <w:fldChar w:fldCharType="end"/>
          </w:r>
        </w:p>
        <w:p>
          <w:pPr>
            <w:pStyle w:val="2"/>
          </w:pPr>
          <w:r>
            <w:rPr>
              <w:b/>
            </w:rPr>
            <w:fldChar w:fldCharType="end"/>
          </w:r>
        </w:p>
      </w:sdtContent>
    </w:sdt>
    <w:p>
      <w:pPr>
        <w:pStyle w:val="3"/>
        <w:jc w:val="center"/>
        <w:rPr>
          <w:rFonts w:hint="eastAsia" w:ascii="黑体" w:hAnsi="黑体" w:eastAsia="黑体"/>
          <w:b w:val="0"/>
          <w:color w:val="000000" w:themeColor="text1"/>
          <w14:textFill>
            <w14:solidFill>
              <w14:schemeClr w14:val="tx1"/>
            </w14:solidFill>
          </w14:textFill>
        </w:rPr>
      </w:pPr>
      <w:bookmarkStart w:id="16" w:name="_Toc6767"/>
    </w:p>
    <w:p>
      <w:pPr>
        <w:pStyle w:val="3"/>
        <w:jc w:val="center"/>
        <w:rPr>
          <w:rStyle w:val="27"/>
          <w:rFonts w:ascii="黑体" w:hAnsi="黑体" w:eastAsia="黑体"/>
          <w:b/>
          <w:bCs w:val="0"/>
          <w:color w:val="000000" w:themeColor="text1"/>
          <w14:textFill>
            <w14:solidFill>
              <w14:schemeClr w14:val="tx1"/>
            </w14:solidFill>
          </w14:textFill>
        </w:rPr>
      </w:pPr>
      <w:r>
        <w:rPr>
          <w:rFonts w:hint="eastAsia" w:ascii="黑体" w:hAnsi="黑体" w:eastAsia="黑体"/>
          <w:b w:val="0"/>
          <w:color w:val="000000" w:themeColor="text1"/>
          <w14:textFill>
            <w14:solidFill>
              <w14:schemeClr w14:val="tx1"/>
            </w14:solidFill>
          </w14:textFill>
        </w:rPr>
        <w:t xml:space="preserve">第一部分 </w:t>
      </w:r>
      <w:r>
        <w:rPr>
          <w:rStyle w:val="27"/>
          <w:rFonts w:hint="eastAsia" w:ascii="黑体" w:hAnsi="黑体" w:eastAsia="黑体"/>
          <w:b w:val="0"/>
          <w:bCs w:val="0"/>
          <w:color w:val="000000" w:themeColor="text1"/>
          <w14:textFill>
            <w14:solidFill>
              <w14:schemeClr w14:val="tx1"/>
            </w14:solidFill>
          </w14:textFill>
        </w:rPr>
        <w:t>部门概况</w:t>
      </w:r>
      <w:bookmarkEnd w:id="14"/>
      <w:bookmarkEnd w:id="15"/>
      <w:bookmarkEnd w:id="16"/>
    </w:p>
    <w:p>
      <w:pPr>
        <w:widowControl/>
        <w:jc w:val="left"/>
        <w:rPr>
          <w:rFonts w:ascii="黑体" w:eastAsia="黑体"/>
          <w:color w:val="000000" w:themeColor="text1"/>
          <w:sz w:val="32"/>
          <w:szCs w:val="32"/>
          <w14:textFill>
            <w14:solidFill>
              <w14:schemeClr w14:val="tx1"/>
            </w14:solidFill>
          </w14:textFill>
        </w:rPr>
      </w:pPr>
    </w:p>
    <w:p>
      <w:pPr>
        <w:pStyle w:val="4"/>
        <w:rPr>
          <w:rStyle w:val="28"/>
          <w:rFonts w:ascii="仿宋" w:hAnsi="仿宋" w:eastAsia="仿宋"/>
          <w:b w:val="0"/>
          <w:bCs w:val="0"/>
          <w:color w:val="000000" w:themeColor="text1"/>
          <w14:textFill>
            <w14:solidFill>
              <w14:schemeClr w14:val="tx1"/>
            </w14:solidFill>
          </w14:textFill>
        </w:rPr>
      </w:pPr>
      <w:bookmarkStart w:id="17" w:name="_Toc15396600"/>
      <w:bookmarkStart w:id="18" w:name="_Toc24880"/>
      <w:bookmarkStart w:id="19" w:name="_Toc15377197"/>
      <w:r>
        <w:rPr>
          <w:rFonts w:hint="eastAsia" w:ascii="黑体" w:hAnsi="黑体" w:eastAsia="黑体"/>
          <w:b w:val="0"/>
          <w:color w:val="000000" w:themeColor="text1"/>
          <w14:textFill>
            <w14:solidFill>
              <w14:schemeClr w14:val="tx1"/>
            </w14:solidFill>
          </w14:textFill>
        </w:rPr>
        <w:t>一、基</w:t>
      </w:r>
      <w:r>
        <w:rPr>
          <w:rStyle w:val="28"/>
          <w:rFonts w:hint="eastAsia" w:ascii="黑体" w:hAnsi="黑体" w:eastAsia="黑体"/>
          <w:b w:val="0"/>
          <w:bCs w:val="0"/>
          <w:color w:val="000000" w:themeColor="text1"/>
          <w14:textFill>
            <w14:solidFill>
              <w14:schemeClr w14:val="tx1"/>
            </w14:solidFill>
          </w14:textFill>
        </w:rPr>
        <w:t>本职能及主要工作</w:t>
      </w:r>
      <w:bookmarkEnd w:id="17"/>
      <w:bookmarkEnd w:id="18"/>
      <w:bookmarkEnd w:id="19"/>
    </w:p>
    <w:p>
      <w:pPr>
        <w:pStyle w:val="6"/>
        <w:adjustRightInd w:val="0"/>
        <w:snapToGrid w:val="0"/>
        <w:spacing w:before="93" w:line="600" w:lineRule="exact"/>
        <w:ind w:firstLine="672" w:firstLineChars="210"/>
        <w:outlineLvl w:val="2"/>
        <w:rPr>
          <w:rFonts w:hint="eastAsia" w:ascii="仿宋" w:hAnsi="仿宋" w:eastAsia="仿宋"/>
          <w:bCs/>
          <w:color w:val="000000" w:themeColor="text1"/>
          <w:sz w:val="32"/>
          <w:szCs w:val="32"/>
          <w14:textFill>
            <w14:solidFill>
              <w14:schemeClr w14:val="tx1"/>
            </w14:solidFill>
          </w14:textFill>
        </w:rPr>
      </w:pPr>
      <w:bookmarkStart w:id="20" w:name="_Toc15377198"/>
      <w:bookmarkStart w:id="21" w:name="_Toc15378445"/>
      <w:r>
        <w:rPr>
          <w:rFonts w:hint="eastAsia" w:ascii="仿宋" w:hAnsi="仿宋" w:eastAsia="仿宋"/>
          <w:bCs/>
          <w:color w:val="000000" w:themeColor="text1"/>
          <w:sz w:val="32"/>
          <w:szCs w:val="32"/>
          <w14:textFill>
            <w14:solidFill>
              <w14:schemeClr w14:val="tx1"/>
            </w14:solidFill>
          </w14:textFill>
        </w:rPr>
        <w:t>（一）主要职能。（职能参照省政府批准的三定方案）</w:t>
      </w:r>
      <w:bookmarkEnd w:id="20"/>
      <w:bookmarkEnd w:id="21"/>
    </w:p>
    <w:p>
      <w:pPr>
        <w:pStyle w:val="6"/>
        <w:adjustRightInd w:val="0"/>
        <w:snapToGrid w:val="0"/>
        <w:spacing w:before="93" w:line="600" w:lineRule="exact"/>
        <w:ind w:firstLine="675" w:firstLineChars="210"/>
        <w:outlineLvl w:val="2"/>
        <w:rPr>
          <w:rFonts w:hint="eastAsia" w:ascii="仿宋" w:hAnsi="仿宋" w:eastAsia="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一是</w:t>
      </w:r>
      <w:r>
        <w:rPr>
          <w:rFonts w:hint="eastAsia" w:ascii="仿宋_GB2312" w:hAnsi="仿宋_GB2312" w:eastAsia="仿宋_GB2312" w:cs="仿宋_GB2312"/>
          <w:bCs/>
          <w:color w:val="000000" w:themeColor="text1"/>
          <w:sz w:val="32"/>
          <w:szCs w:val="32"/>
          <w14:textFill>
            <w14:solidFill>
              <w14:schemeClr w14:val="tx1"/>
            </w14:solidFill>
          </w14:textFill>
        </w:rPr>
        <w:t>制定并组织实施</w:t>
      </w:r>
      <w:r>
        <w:rPr>
          <w:rFonts w:hint="eastAsia" w:hAnsi="仿宋_GB2312" w:cs="仿宋_GB2312"/>
          <w:bCs/>
          <w:color w:val="000000" w:themeColor="text1"/>
          <w:sz w:val="32"/>
          <w:szCs w:val="32"/>
          <w:lang w:eastAsia="zh-CN"/>
          <w14:textFill>
            <w14:solidFill>
              <w14:schemeClr w14:val="tx1"/>
            </w14:solidFill>
          </w14:textFill>
        </w:rPr>
        <w:t>镇</w:t>
      </w:r>
      <w:r>
        <w:rPr>
          <w:rFonts w:hint="eastAsia" w:ascii="仿宋_GB2312" w:hAnsi="仿宋_GB2312" w:eastAsia="仿宋_GB2312" w:cs="仿宋_GB2312"/>
          <w:bCs/>
          <w:color w:val="000000" w:themeColor="text1"/>
          <w:sz w:val="32"/>
          <w:szCs w:val="32"/>
          <w14:textFill>
            <w14:solidFill>
              <w14:schemeClr w14:val="tx1"/>
            </w14:solidFill>
          </w14:textFill>
        </w:rPr>
        <w:t>村建设规划,部署重点项目建设、地方道路建设、水利设施管理、自然资源和生态环境的保护，做好护林防火工作；</w:t>
      </w:r>
      <w:r>
        <w:rPr>
          <w:rFonts w:hint="eastAsia" w:ascii="仿宋_GB2312" w:hAnsi="仿宋_GB2312" w:eastAsia="仿宋_GB2312" w:cs="仿宋_GB2312"/>
          <w:b/>
          <w:color w:val="000000" w:themeColor="text1"/>
          <w:sz w:val="32"/>
          <w:szCs w:val="32"/>
          <w14:textFill>
            <w14:solidFill>
              <w14:schemeClr w14:val="tx1"/>
            </w14:solidFill>
          </w14:textFill>
        </w:rPr>
        <w:t>二是</w:t>
      </w:r>
      <w:r>
        <w:rPr>
          <w:rFonts w:hint="eastAsia" w:ascii="仿宋_GB2312" w:hAnsi="仿宋_GB2312" w:eastAsia="仿宋_GB2312" w:cs="仿宋_GB2312"/>
          <w:bCs/>
          <w:color w:val="000000" w:themeColor="text1"/>
          <w:sz w:val="32"/>
          <w:szCs w:val="32"/>
          <w14:textFill>
            <w14:solidFill>
              <w14:schemeClr w14:val="tx1"/>
            </w14:solidFill>
          </w14:textFill>
        </w:rPr>
        <w:t>负责本</w:t>
      </w:r>
      <w:r>
        <w:rPr>
          <w:rFonts w:hint="eastAsia" w:hAnsi="仿宋_GB2312" w:cs="仿宋_GB2312"/>
          <w:bCs/>
          <w:color w:val="000000" w:themeColor="text1"/>
          <w:sz w:val="32"/>
          <w:szCs w:val="32"/>
          <w:lang w:eastAsia="zh-CN"/>
          <w14:textFill>
            <w14:solidFill>
              <w14:schemeClr w14:val="tx1"/>
            </w14:solidFill>
          </w14:textFill>
        </w:rPr>
        <w:t>镇</w:t>
      </w:r>
      <w:r>
        <w:rPr>
          <w:rFonts w:hint="eastAsia" w:ascii="仿宋_GB2312" w:hAnsi="仿宋_GB2312" w:eastAsia="仿宋_GB2312" w:cs="仿宋_GB2312"/>
          <w:bCs/>
          <w:color w:val="000000" w:themeColor="text1"/>
          <w:sz w:val="32"/>
          <w:szCs w:val="32"/>
          <w14:textFill>
            <w14:solidFill>
              <w14:schemeClr w14:val="tx1"/>
            </w14:solidFill>
          </w14:textFill>
        </w:rPr>
        <w:t>区域内民政、计划生育、体育文化卫生等社会公益事业的综合性工作，维护群众合法权益，调节民事纠纷，打击刑事犯罪维护社会稳定；</w:t>
      </w:r>
      <w:r>
        <w:rPr>
          <w:rFonts w:hint="eastAsia" w:ascii="仿宋_GB2312" w:hAnsi="仿宋_GB2312" w:eastAsia="仿宋_GB2312" w:cs="仿宋_GB2312"/>
          <w:b/>
          <w:color w:val="000000" w:themeColor="text1"/>
          <w:sz w:val="32"/>
          <w:szCs w:val="32"/>
          <w14:textFill>
            <w14:solidFill>
              <w14:schemeClr w14:val="tx1"/>
            </w14:solidFill>
          </w14:textFill>
        </w:rPr>
        <w:t>三是</w:t>
      </w:r>
      <w:r>
        <w:rPr>
          <w:rFonts w:hint="eastAsia" w:ascii="仿宋_GB2312" w:hAnsi="仿宋_GB2312" w:eastAsia="仿宋_GB2312" w:cs="仿宋_GB2312"/>
          <w:bCs/>
          <w:color w:val="000000" w:themeColor="text1"/>
          <w:sz w:val="32"/>
          <w:szCs w:val="32"/>
          <w14:textFill>
            <w14:solidFill>
              <w14:schemeClr w14:val="tx1"/>
            </w14:solidFill>
          </w14:textFill>
        </w:rPr>
        <w:t>做好本</w:t>
      </w:r>
      <w:r>
        <w:rPr>
          <w:rFonts w:hint="eastAsia" w:hAnsi="仿宋_GB2312" w:cs="仿宋_GB2312"/>
          <w:bCs/>
          <w:color w:val="000000" w:themeColor="text1"/>
          <w:sz w:val="32"/>
          <w:szCs w:val="32"/>
          <w:lang w:eastAsia="zh-CN"/>
          <w14:textFill>
            <w14:solidFill>
              <w14:schemeClr w14:val="tx1"/>
            </w14:solidFill>
          </w14:textFill>
        </w:rPr>
        <w:t>镇</w:t>
      </w:r>
      <w:r>
        <w:rPr>
          <w:rFonts w:hint="eastAsia" w:ascii="仿宋_GB2312" w:hAnsi="仿宋_GB2312" w:eastAsia="仿宋_GB2312" w:cs="仿宋_GB2312"/>
          <w:bCs/>
          <w:color w:val="000000" w:themeColor="text1"/>
          <w:sz w:val="32"/>
          <w:szCs w:val="32"/>
          <w14:textFill>
            <w14:solidFill>
              <w14:schemeClr w14:val="tx1"/>
            </w14:solidFill>
          </w14:textFill>
        </w:rPr>
        <w:t>账务资金管理工作；</w:t>
      </w:r>
      <w:r>
        <w:rPr>
          <w:rFonts w:hint="eastAsia" w:ascii="仿宋_GB2312" w:hAnsi="仿宋_GB2312" w:eastAsia="仿宋_GB2312" w:cs="仿宋_GB2312"/>
          <w:b/>
          <w:color w:val="000000" w:themeColor="text1"/>
          <w:sz w:val="32"/>
          <w:szCs w:val="32"/>
          <w14:textFill>
            <w14:solidFill>
              <w14:schemeClr w14:val="tx1"/>
            </w14:solidFill>
          </w14:textFill>
        </w:rPr>
        <w:t>四是</w:t>
      </w:r>
      <w:r>
        <w:rPr>
          <w:rFonts w:hint="eastAsia" w:ascii="仿宋_GB2312" w:hAnsi="仿宋_GB2312" w:eastAsia="仿宋_GB2312" w:cs="仿宋_GB2312"/>
          <w:bCs/>
          <w:color w:val="000000" w:themeColor="text1"/>
          <w:sz w:val="32"/>
          <w:szCs w:val="32"/>
          <w14:textFill>
            <w14:solidFill>
              <w14:schemeClr w14:val="tx1"/>
            </w14:solidFill>
          </w14:textFill>
        </w:rPr>
        <w:t>抓好精神文明建设；</w:t>
      </w:r>
      <w:r>
        <w:rPr>
          <w:rFonts w:hint="eastAsia" w:ascii="仿宋_GB2312" w:hAnsi="仿宋_GB2312" w:eastAsia="仿宋_GB2312" w:cs="仿宋_GB2312"/>
          <w:b/>
          <w:color w:val="000000" w:themeColor="text1"/>
          <w:sz w:val="32"/>
          <w:szCs w:val="32"/>
          <w14:textFill>
            <w14:solidFill>
              <w14:schemeClr w14:val="tx1"/>
            </w14:solidFill>
          </w14:textFill>
        </w:rPr>
        <w:t>五是</w:t>
      </w:r>
      <w:r>
        <w:rPr>
          <w:rFonts w:hint="eastAsia" w:ascii="仿宋_GB2312" w:hAnsi="仿宋_GB2312" w:eastAsia="仿宋_GB2312" w:cs="仿宋_GB2312"/>
          <w:bCs/>
          <w:color w:val="000000" w:themeColor="text1"/>
          <w:sz w:val="32"/>
          <w:szCs w:val="32"/>
          <w14:textFill>
            <w14:solidFill>
              <w14:schemeClr w14:val="tx1"/>
            </w14:solidFill>
          </w14:textFill>
        </w:rPr>
        <w:t>完成上级部门交办的其他事项</w:t>
      </w:r>
      <w:r>
        <w:rPr>
          <w:rFonts w:hint="eastAsia" w:hAnsi="仿宋_GB2312" w:cs="仿宋_GB2312"/>
          <w:bCs/>
          <w:color w:val="000000" w:themeColor="text1"/>
          <w:sz w:val="32"/>
          <w:szCs w:val="32"/>
          <w:lang w:eastAsia="zh-CN"/>
          <w14:textFill>
            <w14:solidFill>
              <w14:schemeClr w14:val="tx1"/>
            </w14:solidFill>
          </w14:textFill>
        </w:rPr>
        <w:t>。</w:t>
      </w:r>
    </w:p>
    <w:p>
      <w:pPr>
        <w:pStyle w:val="4"/>
        <w:rPr>
          <w:rStyle w:val="28"/>
          <w:b w:val="0"/>
          <w:bCs w:val="0"/>
          <w:color w:val="000000" w:themeColor="text1"/>
          <w14:textFill>
            <w14:solidFill>
              <w14:schemeClr w14:val="tx1"/>
            </w14:solidFill>
          </w14:textFill>
        </w:rPr>
      </w:pPr>
      <w:bookmarkStart w:id="22" w:name="_Toc15396601"/>
      <w:bookmarkStart w:id="23" w:name="_Toc15377200"/>
      <w:bookmarkStart w:id="24" w:name="_Toc12259"/>
      <w:r>
        <w:rPr>
          <w:rFonts w:hint="eastAsia" w:ascii="黑体" w:eastAsia="黑体"/>
          <w:b w:val="0"/>
          <w:color w:val="000000" w:themeColor="text1"/>
          <w14:textFill>
            <w14:solidFill>
              <w14:schemeClr w14:val="tx1"/>
            </w14:solidFill>
          </w14:textFill>
        </w:rPr>
        <w:t>二、</w:t>
      </w:r>
      <w:r>
        <w:rPr>
          <w:rFonts w:hint="eastAsia" w:ascii="黑体" w:hAnsi="黑体" w:eastAsia="黑体"/>
          <w:b w:val="0"/>
          <w:color w:val="000000" w:themeColor="text1"/>
          <w14:textFill>
            <w14:solidFill>
              <w14:schemeClr w14:val="tx1"/>
            </w14:solidFill>
          </w14:textFill>
        </w:rPr>
        <w:t>机</w:t>
      </w:r>
      <w:r>
        <w:rPr>
          <w:rStyle w:val="28"/>
          <w:rFonts w:hint="eastAsia" w:ascii="黑体" w:hAnsi="黑体" w:eastAsia="黑体"/>
          <w:b w:val="0"/>
          <w:bCs w:val="0"/>
          <w:color w:val="000000" w:themeColor="text1"/>
          <w14:textFill>
            <w14:solidFill>
              <w14:schemeClr w14:val="tx1"/>
            </w14:solidFill>
          </w14:textFill>
        </w:rPr>
        <w:t>构设置</w:t>
      </w:r>
      <w:bookmarkEnd w:id="22"/>
      <w:bookmarkEnd w:id="23"/>
      <w:bookmarkEnd w:id="24"/>
    </w:p>
    <w:p>
      <w:pPr>
        <w:pStyle w:val="6"/>
        <w:adjustRightInd w:val="0"/>
        <w:snapToGrid w:val="0"/>
        <w:spacing w:before="93" w:line="600" w:lineRule="exact"/>
        <w:ind w:firstLine="672" w:firstLineChars="210"/>
        <w:outlineLvl w:val="2"/>
        <w:rPr>
          <w:rFonts w:hint="eastAsia" w:ascii="仿宋" w:hAnsi="仿宋" w:eastAsia="仿宋"/>
          <w:bCs/>
          <w:color w:val="000000" w:themeColor="text1"/>
          <w:sz w:val="32"/>
          <w:szCs w:val="32"/>
          <w14:textFill>
            <w14:solidFill>
              <w14:schemeClr w14:val="tx1"/>
            </w14:solidFill>
          </w14:textFill>
        </w:rPr>
      </w:pPr>
      <w:r>
        <w:rPr>
          <w:rFonts w:hint="eastAsia" w:ascii="仿宋" w:hAnsi="仿宋" w:eastAsia="仿宋"/>
          <w:bCs/>
          <w:color w:val="000000" w:themeColor="text1"/>
          <w:sz w:val="32"/>
          <w:szCs w:val="32"/>
          <w:lang w:eastAsia="zh-CN"/>
          <w14:textFill>
            <w14:solidFill>
              <w14:schemeClr w14:val="tx1"/>
            </w14:solidFill>
          </w14:textFill>
        </w:rPr>
        <w:t>色地镇人民政府</w:t>
      </w:r>
      <w:r>
        <w:rPr>
          <w:rFonts w:hint="eastAsia" w:ascii="仿宋" w:hAnsi="仿宋" w:eastAsia="仿宋"/>
          <w:bCs/>
          <w:color w:val="000000" w:themeColor="text1"/>
          <w:sz w:val="32"/>
          <w:szCs w:val="32"/>
          <w14:textFill>
            <w14:solidFill>
              <w14:schemeClr w14:val="tx1"/>
            </w14:solidFill>
          </w14:textFill>
        </w:rPr>
        <w:t>下属二级单位</w:t>
      </w:r>
      <w:r>
        <w:rPr>
          <w:rFonts w:hint="eastAsia" w:ascii="仿宋" w:hAnsi="仿宋" w:eastAsia="仿宋"/>
          <w:bCs/>
          <w:color w:val="000000" w:themeColor="text1"/>
          <w:sz w:val="32"/>
          <w:szCs w:val="32"/>
          <w:lang w:val="en-US" w:eastAsia="zh-CN"/>
          <w14:textFill>
            <w14:solidFill>
              <w14:schemeClr w14:val="tx1"/>
            </w14:solidFill>
          </w14:textFill>
        </w:rPr>
        <w:t>0</w:t>
      </w:r>
      <w:r>
        <w:rPr>
          <w:rFonts w:hint="eastAsia" w:ascii="仿宋" w:hAnsi="仿宋" w:eastAsia="仿宋"/>
          <w:bCs/>
          <w:color w:val="000000" w:themeColor="text1"/>
          <w:sz w:val="32"/>
          <w:szCs w:val="32"/>
          <w14:textFill>
            <w14:solidFill>
              <w14:schemeClr w14:val="tx1"/>
            </w14:solidFill>
          </w14:textFill>
        </w:rPr>
        <w:t>个，其中行政单位</w:t>
      </w:r>
      <w:r>
        <w:rPr>
          <w:rFonts w:hint="eastAsia" w:ascii="仿宋" w:hAnsi="仿宋" w:eastAsia="仿宋"/>
          <w:bCs/>
          <w:color w:val="000000" w:themeColor="text1"/>
          <w:sz w:val="32"/>
          <w:szCs w:val="32"/>
          <w:lang w:val="en-US" w:eastAsia="zh-CN"/>
          <w14:textFill>
            <w14:solidFill>
              <w14:schemeClr w14:val="tx1"/>
            </w14:solidFill>
          </w14:textFill>
        </w:rPr>
        <w:t>0</w:t>
      </w:r>
      <w:r>
        <w:rPr>
          <w:rFonts w:hint="eastAsia" w:ascii="仿宋" w:hAnsi="仿宋" w:eastAsia="仿宋"/>
          <w:bCs/>
          <w:color w:val="000000" w:themeColor="text1"/>
          <w:sz w:val="32"/>
          <w:szCs w:val="32"/>
          <w14:textFill>
            <w14:solidFill>
              <w14:schemeClr w14:val="tx1"/>
            </w14:solidFill>
          </w14:textFill>
        </w:rPr>
        <w:t>个，参照公务员法管理的事业单位</w:t>
      </w:r>
      <w:r>
        <w:rPr>
          <w:rFonts w:hint="eastAsia" w:ascii="仿宋" w:hAnsi="仿宋" w:eastAsia="仿宋"/>
          <w:bCs/>
          <w:color w:val="000000" w:themeColor="text1"/>
          <w:sz w:val="32"/>
          <w:szCs w:val="32"/>
          <w:lang w:val="en-US" w:eastAsia="zh-CN"/>
          <w14:textFill>
            <w14:solidFill>
              <w14:schemeClr w14:val="tx1"/>
            </w14:solidFill>
          </w14:textFill>
        </w:rPr>
        <w:t>0</w:t>
      </w:r>
      <w:r>
        <w:rPr>
          <w:rFonts w:hint="eastAsia" w:ascii="仿宋" w:hAnsi="仿宋" w:eastAsia="仿宋"/>
          <w:bCs/>
          <w:color w:val="000000" w:themeColor="text1"/>
          <w:sz w:val="32"/>
          <w:szCs w:val="32"/>
          <w14:textFill>
            <w14:solidFill>
              <w14:schemeClr w14:val="tx1"/>
            </w14:solidFill>
          </w14:textFill>
        </w:rPr>
        <w:t>个，其他事业单位</w:t>
      </w:r>
      <w:r>
        <w:rPr>
          <w:rFonts w:hint="eastAsia" w:ascii="仿宋" w:hAnsi="仿宋" w:eastAsia="仿宋"/>
          <w:bCs/>
          <w:color w:val="000000" w:themeColor="text1"/>
          <w:sz w:val="32"/>
          <w:szCs w:val="32"/>
          <w:lang w:val="en-US" w:eastAsia="zh-CN"/>
          <w14:textFill>
            <w14:solidFill>
              <w14:schemeClr w14:val="tx1"/>
            </w14:solidFill>
          </w14:textFill>
        </w:rPr>
        <w:t>0</w:t>
      </w:r>
      <w:r>
        <w:rPr>
          <w:rFonts w:hint="eastAsia" w:ascii="仿宋" w:hAnsi="仿宋" w:eastAsia="仿宋"/>
          <w:bCs/>
          <w:color w:val="000000" w:themeColor="text1"/>
          <w:sz w:val="32"/>
          <w:szCs w:val="32"/>
          <w14:textFill>
            <w14:solidFill>
              <w14:schemeClr w14:val="tx1"/>
            </w14:solidFill>
          </w14:textFill>
        </w:rPr>
        <w:t>个。</w:t>
      </w:r>
      <w:bookmarkStart w:id="25" w:name="_Toc15377201"/>
      <w:bookmarkStart w:id="26" w:name="_Toc15378448"/>
      <w:bookmarkStart w:id="27" w:name="_Toc15377432"/>
      <w:bookmarkStart w:id="28" w:name="_Toc15306275"/>
    </w:p>
    <w:p>
      <w:pPr>
        <w:pStyle w:val="6"/>
        <w:adjustRightInd w:val="0"/>
        <w:snapToGrid w:val="0"/>
        <w:spacing w:before="93" w:line="600" w:lineRule="exact"/>
        <w:ind w:firstLine="672" w:firstLineChars="210"/>
        <w:outlineLvl w:val="2"/>
        <w:rPr>
          <w:rFonts w:hint="eastAsia" w:ascii="仿宋" w:hAnsi="仿宋" w:eastAsia="仿宋"/>
          <w:bCs/>
          <w:color w:val="000000" w:themeColor="text1"/>
          <w:sz w:val="32"/>
          <w:szCs w:val="32"/>
          <w14:textFill>
            <w14:solidFill>
              <w14:schemeClr w14:val="tx1"/>
            </w14:solidFill>
          </w14:textFill>
        </w:rPr>
      </w:pPr>
      <w:r>
        <w:rPr>
          <w:rFonts w:hint="eastAsia" w:ascii="仿宋" w:hAnsi="仿宋" w:eastAsia="仿宋"/>
          <w:bCs/>
          <w:color w:val="000000" w:themeColor="text1"/>
          <w:sz w:val="32"/>
          <w:szCs w:val="32"/>
          <w14:textFill>
            <w14:solidFill>
              <w14:schemeClr w14:val="tx1"/>
            </w14:solidFill>
          </w14:textFill>
        </w:rPr>
        <w:t>我单位为独立核算全额拨款行政单位，2个机构，一个共产党机关，一个政府机关。</w:t>
      </w:r>
      <w:bookmarkEnd w:id="25"/>
      <w:bookmarkEnd w:id="26"/>
      <w:bookmarkEnd w:id="27"/>
      <w:bookmarkEnd w:id="28"/>
    </w:p>
    <w:p>
      <w:pPr>
        <w:pStyle w:val="6"/>
        <w:adjustRightInd w:val="0"/>
        <w:snapToGrid w:val="0"/>
        <w:spacing w:before="93" w:line="600" w:lineRule="exact"/>
        <w:ind w:firstLine="672" w:firstLineChars="210"/>
        <w:outlineLvl w:val="2"/>
        <w:rPr>
          <w:rFonts w:hint="eastAsia" w:ascii="仿宋" w:hAnsi="仿宋" w:eastAsia="仿宋"/>
          <w:bCs/>
          <w:color w:val="000000" w:themeColor="text1"/>
          <w:sz w:val="32"/>
          <w:szCs w:val="32"/>
          <w14:textFill>
            <w14:solidFill>
              <w14:schemeClr w14:val="tx1"/>
            </w14:solidFill>
          </w14:textFill>
        </w:rPr>
      </w:pPr>
      <w:r>
        <w:rPr>
          <w:rFonts w:hint="eastAsia" w:ascii="仿宋" w:hAnsi="仿宋" w:eastAsia="仿宋"/>
          <w:bCs/>
          <w:color w:val="000000" w:themeColor="text1"/>
          <w:sz w:val="32"/>
          <w:szCs w:val="32"/>
          <w14:textFill>
            <w14:solidFill>
              <w14:schemeClr w14:val="tx1"/>
            </w14:solidFill>
          </w14:textFill>
        </w:rPr>
        <w:br w:type="page"/>
      </w:r>
      <w:r>
        <w:rPr>
          <w:rFonts w:hint="eastAsia" w:ascii="仿宋" w:hAnsi="仿宋" w:eastAsia="仿宋"/>
          <w:bCs/>
          <w:color w:val="000000" w:themeColor="text1"/>
          <w:sz w:val="32"/>
          <w:szCs w:val="32"/>
          <w:lang w:val="en-US" w:eastAsia="zh-CN"/>
          <w14:textFill>
            <w14:solidFill>
              <w14:schemeClr w14:val="tx1"/>
            </w14:solidFill>
          </w14:textFill>
        </w:rPr>
        <w:t>2019年，色地镇在县委、县政府的坚强领导下，</w:t>
      </w:r>
      <w:r>
        <w:rPr>
          <w:rFonts w:hint="eastAsia" w:ascii="仿宋" w:hAnsi="仿宋" w:eastAsia="仿宋"/>
          <w:bCs/>
          <w:color w:val="000000" w:themeColor="text1"/>
          <w:sz w:val="32"/>
          <w:szCs w:val="32"/>
          <w14:textFill>
            <w14:solidFill>
              <w14:schemeClr w14:val="tx1"/>
            </w14:solidFill>
          </w14:textFill>
        </w:rPr>
        <w:t>以习近平新时代中国特色社会主义思想为指引，深入学习贯彻</w:t>
      </w:r>
      <w:r>
        <w:rPr>
          <w:rFonts w:hint="eastAsia" w:ascii="仿宋" w:hAnsi="仿宋" w:eastAsia="仿宋"/>
          <w:bCs/>
          <w:color w:val="000000" w:themeColor="text1"/>
          <w:sz w:val="32"/>
          <w:szCs w:val="32"/>
          <w:lang w:eastAsia="zh-CN"/>
          <w14:textFill>
            <w14:solidFill>
              <w14:schemeClr w14:val="tx1"/>
            </w14:solidFill>
          </w14:textFill>
        </w:rPr>
        <w:t>省委、州委、县委全会精神</w:t>
      </w:r>
      <w:r>
        <w:rPr>
          <w:rFonts w:hint="eastAsia" w:ascii="仿宋" w:hAnsi="仿宋" w:eastAsia="仿宋"/>
          <w:bCs/>
          <w:color w:val="000000" w:themeColor="text1"/>
          <w:sz w:val="32"/>
          <w:szCs w:val="32"/>
          <w14:textFill>
            <w14:solidFill>
              <w14:schemeClr w14:val="tx1"/>
            </w14:solidFill>
          </w14:textFill>
        </w:rPr>
        <w:t>，</w:t>
      </w:r>
      <w:r>
        <w:rPr>
          <w:rFonts w:hint="eastAsia" w:ascii="仿宋" w:hAnsi="仿宋" w:eastAsia="仿宋"/>
          <w:bCs/>
          <w:color w:val="000000" w:themeColor="text1"/>
          <w:sz w:val="32"/>
          <w:szCs w:val="32"/>
          <w:lang w:eastAsia="zh-CN"/>
          <w14:textFill>
            <w14:solidFill>
              <w14:schemeClr w14:val="tx1"/>
            </w14:solidFill>
          </w14:textFill>
        </w:rPr>
        <w:t>扎实落实省委彭清华书记来县调研考察重要指示要求</w:t>
      </w:r>
      <w:r>
        <w:rPr>
          <w:rFonts w:hint="eastAsia" w:ascii="仿宋" w:hAnsi="仿宋" w:eastAsia="仿宋"/>
          <w:bCs/>
          <w:color w:val="000000" w:themeColor="text1"/>
          <w:sz w:val="32"/>
          <w:szCs w:val="32"/>
          <w14:textFill>
            <w14:solidFill>
              <w14:schemeClr w14:val="tx1"/>
            </w14:solidFill>
          </w14:textFill>
        </w:rPr>
        <w:t>，</w:t>
      </w:r>
      <w:r>
        <w:rPr>
          <w:rFonts w:hint="eastAsia" w:ascii="仿宋" w:hAnsi="仿宋" w:eastAsia="仿宋"/>
          <w:bCs/>
          <w:color w:val="000000" w:themeColor="text1"/>
          <w:sz w:val="32"/>
          <w:szCs w:val="32"/>
          <w:lang w:eastAsia="zh-CN"/>
          <w14:textFill>
            <w14:solidFill>
              <w14:schemeClr w14:val="tx1"/>
            </w14:solidFill>
          </w14:textFill>
        </w:rPr>
        <w:t>聚焦“发展、稳定、民生、环境、作风”五件大事，</w:t>
      </w:r>
      <w:r>
        <w:rPr>
          <w:rFonts w:hint="eastAsia" w:ascii="仿宋" w:hAnsi="仿宋" w:eastAsia="仿宋"/>
          <w:bCs/>
          <w:color w:val="000000" w:themeColor="text1"/>
          <w:sz w:val="32"/>
          <w:szCs w:val="32"/>
          <w:lang w:val="en-US" w:eastAsia="zh-CN"/>
          <w14:textFill>
            <w14:solidFill>
              <w14:schemeClr w14:val="tx1"/>
            </w14:solidFill>
          </w14:textFill>
        </w:rPr>
        <w:t>带领全镇干群脚踏实地、真抓实干、开拓创新，不断推动辖区社会大局持续稳定，经济发展平稳向好，镇村面貌整洁卫生，人民群众安居乐业，全年工作稳中有进。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both"/>
        <w:rPr>
          <w:rFonts w:hint="eastAsia" w:ascii="仿宋_GB2312" w:hAnsi="Times New Roman"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b/>
          <w:i w:val="0"/>
          <w:caps w:val="0"/>
          <w:color w:val="000000" w:themeColor="text1"/>
          <w:spacing w:val="0"/>
          <w:kern w:val="0"/>
          <w:sz w:val="32"/>
          <w:szCs w:val="32"/>
          <w:shd w:val="clear" w:fill="FFFFFF"/>
          <w:lang w:val="en-US" w:eastAsia="zh-CN" w:bidi="ar"/>
          <w14:textFill>
            <w14:solidFill>
              <w14:schemeClr w14:val="tx1"/>
            </w14:solidFill>
          </w14:textFill>
        </w:rPr>
        <w:t>（一）</w:t>
      </w:r>
      <w:r>
        <w:rPr>
          <w:rFonts w:hint="eastAsia" w:ascii="楷体_GB2312" w:hAnsi="Times New Roman" w:eastAsia="楷体_GB2312" w:cs="楷体_GB2312"/>
          <w:b/>
          <w:bCs/>
          <w:color w:val="000000" w:themeColor="text1"/>
          <w:sz w:val="32"/>
          <w:szCs w:val="32"/>
          <w:u w:val="none"/>
          <w:lang w:val="en-US" w:eastAsia="zh-CN"/>
          <w14:textFill>
            <w14:solidFill>
              <w14:schemeClr w14:val="tx1"/>
            </w14:solidFill>
          </w14:textFill>
        </w:rPr>
        <w:t>脱贫攻坚成效明显。</w:t>
      </w:r>
      <w:r>
        <w:rPr>
          <w:rFonts w:hint="eastAsia" w:ascii="仿宋_GB2312" w:hAnsi="Times New Roman" w:eastAsia="仿宋_GB2312" w:cs="仿宋_GB2312"/>
          <w:b/>
          <w:bCs/>
          <w:color w:val="000000" w:themeColor="text1"/>
          <w:sz w:val="32"/>
          <w:szCs w:val="32"/>
          <w:u w:val="none"/>
          <w:lang w:val="en-US" w:eastAsia="zh-CN"/>
          <w14:textFill>
            <w14:solidFill>
              <w14:schemeClr w14:val="tx1"/>
            </w14:solidFill>
          </w14:textFill>
        </w:rPr>
        <w:t>基本保障方面：</w:t>
      </w:r>
      <w:r>
        <w:rPr>
          <w:rFonts w:hint="eastAsia" w:ascii="仿宋_GB2312" w:hAnsi="Times New Roman" w:eastAsia="仿宋_GB2312" w:cs="仿宋_GB2312"/>
          <w:color w:val="000000" w:themeColor="text1"/>
          <w:sz w:val="32"/>
          <w:szCs w:val="32"/>
          <w:u w:val="none"/>
          <w:lang w:val="en-US" w:eastAsia="zh-CN"/>
          <w14:textFill>
            <w14:solidFill>
              <w14:schemeClr w14:val="tx1"/>
            </w14:solidFill>
          </w14:textFill>
        </w:rPr>
        <w:t>对接县水务局申请解决群众安全饮水保障问题5次，对接县住建局开展危房鉴定工作1次，对接电力公司开展用电保障活动5次，群众用水用电、住房保障各类问题得到妥善解决。</w:t>
      </w:r>
      <w:r>
        <w:rPr>
          <w:rFonts w:hint="eastAsia" w:ascii="仿宋_GB2312" w:hAnsi="Times New Roman" w:eastAsia="仿宋_GB2312" w:cs="仿宋_GB2312"/>
          <w:b/>
          <w:bCs/>
          <w:color w:val="000000" w:themeColor="text1"/>
          <w:sz w:val="32"/>
          <w:szCs w:val="32"/>
          <w:u w:val="none"/>
          <w:lang w:val="en-US" w:eastAsia="zh-CN"/>
          <w14:textFill>
            <w14:solidFill>
              <w14:schemeClr w14:val="tx1"/>
            </w14:solidFill>
          </w14:textFill>
        </w:rPr>
        <w:t>产业扶贫方面：</w:t>
      </w:r>
      <w:r>
        <w:rPr>
          <w:rFonts w:hint="eastAsia" w:ascii="仿宋_GB2312" w:hAnsi="Times New Roman" w:eastAsia="仿宋_GB2312" w:cs="仿宋_GB2312"/>
          <w:color w:val="000000" w:themeColor="text1"/>
          <w:sz w:val="32"/>
          <w:szCs w:val="32"/>
          <w:u w:val="none"/>
          <w:lang w:val="en-US" w:eastAsia="zh-CN"/>
          <w14:textFill>
            <w14:solidFill>
              <w14:schemeClr w14:val="tx1"/>
            </w14:solidFill>
          </w14:textFill>
        </w:rPr>
        <w:t>完成了36人动态产业到户项目，群众脱贫信心更加稳固；让里村集体经济全年实现6万元运营收入。</w:t>
      </w:r>
      <w:r>
        <w:rPr>
          <w:rFonts w:hint="eastAsia" w:ascii="仿宋_GB2312" w:hAnsi="Times New Roman" w:eastAsia="仿宋_GB2312" w:cs="仿宋_GB2312"/>
          <w:b/>
          <w:bCs/>
          <w:color w:val="000000" w:themeColor="text1"/>
          <w:sz w:val="32"/>
          <w:szCs w:val="32"/>
          <w:u w:val="none"/>
          <w:lang w:val="en-US" w:eastAsia="zh-CN"/>
          <w14:textFill>
            <w14:solidFill>
              <w14:schemeClr w14:val="tx1"/>
            </w14:solidFill>
          </w14:textFill>
        </w:rPr>
        <w:t>医疗扶贫方面：</w:t>
      </w:r>
      <w:r>
        <w:rPr>
          <w:rFonts w:hint="eastAsia" w:ascii="仿宋_GB2312" w:hAnsi="Times New Roman" w:eastAsia="仿宋_GB2312" w:cs="仿宋_GB2312"/>
          <w:color w:val="000000" w:themeColor="text1"/>
          <w:sz w:val="32"/>
          <w:szCs w:val="32"/>
          <w:u w:val="none"/>
          <w:lang w:val="en-US" w:eastAsia="zh-CN"/>
          <w14:textFill>
            <w14:solidFill>
              <w14:schemeClr w14:val="tx1"/>
            </w14:solidFill>
          </w14:textFill>
        </w:rPr>
        <w:t>协助州藏医院、县人民医院、镇卫生院开展巡诊义诊和药品发放活动4次，群众卫生条件进一步改善。</w:t>
      </w:r>
      <w:r>
        <w:rPr>
          <w:rFonts w:hint="eastAsia" w:ascii="仿宋_GB2312" w:hAnsi="Times New Roman" w:eastAsia="仿宋_GB2312" w:cs="仿宋_GB2312"/>
          <w:b/>
          <w:bCs/>
          <w:color w:val="000000" w:themeColor="text1"/>
          <w:sz w:val="32"/>
          <w:szCs w:val="32"/>
          <w:u w:val="none"/>
          <w:lang w:val="en-US" w:eastAsia="zh-CN"/>
          <w14:textFill>
            <w14:solidFill>
              <w14:schemeClr w14:val="tx1"/>
            </w14:solidFill>
          </w14:textFill>
        </w:rPr>
        <w:t>东西部扶贫协助结对帮扶方面：</w:t>
      </w:r>
      <w:r>
        <w:rPr>
          <w:rFonts w:hint="eastAsia" w:ascii="仿宋_GB2312" w:hAnsi="Times New Roman" w:eastAsia="仿宋_GB2312" w:cs="仿宋_GB2312"/>
          <w:color w:val="000000" w:themeColor="text1"/>
          <w:sz w:val="32"/>
          <w:szCs w:val="32"/>
          <w:u w:val="none"/>
          <w:lang w:val="en-US" w:eastAsia="zh-CN"/>
          <w14:textFill>
            <w14:solidFill>
              <w14:schemeClr w14:val="tx1"/>
            </w14:solidFill>
          </w14:textFill>
        </w:rPr>
        <w:t>新争取浙江援建资金10万元；4人通过援建招聘会在浙江实现稳定就业。</w:t>
      </w:r>
      <w:r>
        <w:rPr>
          <w:rFonts w:hint="eastAsia" w:ascii="仿宋_GB2312" w:hAnsi="Times New Roman" w:eastAsia="仿宋_GB2312" w:cs="仿宋_GB2312"/>
          <w:b/>
          <w:bCs/>
          <w:color w:val="000000" w:themeColor="text1"/>
          <w:sz w:val="32"/>
          <w:szCs w:val="32"/>
          <w:u w:val="none"/>
          <w:lang w:val="en-US" w:eastAsia="zh-CN"/>
          <w14:textFill>
            <w14:solidFill>
              <w14:schemeClr w14:val="tx1"/>
            </w14:solidFill>
          </w14:textFill>
        </w:rPr>
        <w:t>教育扶贫方面：</w:t>
      </w:r>
      <w:r>
        <w:rPr>
          <w:rFonts w:hint="eastAsia" w:ascii="仿宋_GB2312" w:hAnsi="Times New Roman" w:eastAsia="仿宋_GB2312" w:cs="仿宋_GB2312"/>
          <w:b w:val="0"/>
          <w:bCs w:val="0"/>
          <w:color w:val="000000" w:themeColor="text1"/>
          <w:sz w:val="32"/>
          <w:szCs w:val="32"/>
          <w:u w:val="none"/>
          <w:lang w:val="en-US" w:eastAsia="zh-CN"/>
          <w14:textFill>
            <w14:solidFill>
              <w14:schemeClr w14:val="tx1"/>
            </w14:solidFill>
          </w14:textFill>
        </w:rPr>
        <w:t>1.改革开放四十周年之际向全镇在校大学生发放教育基金共计4万5千元，2.让里村通过扶贫项目基金资助让里村贫困学生100名发放5万元，日西村通过扶贫项目资金，向日西村19名贫困大学生发放教育基金2万元。</w:t>
      </w:r>
      <w:r>
        <w:rPr>
          <w:rFonts w:hint="eastAsia" w:ascii="仿宋_GB2312" w:hAnsi="Times New Roman" w:eastAsia="仿宋_GB2312" w:cs="仿宋_GB2312"/>
          <w:b/>
          <w:bCs/>
          <w:color w:val="000000" w:themeColor="text1"/>
          <w:sz w:val="32"/>
          <w:szCs w:val="32"/>
          <w:u w:val="none"/>
          <w:lang w:val="en-US" w:eastAsia="zh-CN"/>
          <w14:textFill>
            <w14:solidFill>
              <w14:schemeClr w14:val="tx1"/>
            </w14:solidFill>
          </w14:textFill>
        </w:rPr>
        <w:t>政策宣讲方面：</w:t>
      </w:r>
      <w:r>
        <w:rPr>
          <w:rFonts w:hint="eastAsia" w:ascii="仿宋_GB2312" w:hAnsi="Times New Roman" w:eastAsia="仿宋_GB2312" w:cs="仿宋_GB2312"/>
          <w:color w:val="000000" w:themeColor="text1"/>
          <w:sz w:val="32"/>
          <w:szCs w:val="32"/>
          <w:u w:val="none"/>
          <w:lang w:val="en-US" w:eastAsia="zh-CN"/>
          <w14:textFill>
            <w14:solidFill>
              <w14:schemeClr w14:val="tx1"/>
            </w14:solidFill>
          </w14:textFill>
        </w:rPr>
        <w:t>组织开展涵盖教育、医疗、住房、生态奖补、民政低保、社会治安等内容的群众政策宣讲活动9次，群众对扶贫工作及惠民政策的知晓度、满意度不断提升。</w:t>
      </w:r>
    </w:p>
    <w:p>
      <w:pPr>
        <w:pStyle w:val="1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right="0" w:firstLine="643"/>
        <w:jc w:val="both"/>
        <w:textAlignment w:val="auto"/>
        <w:rPr>
          <w:rFonts w:hint="eastAsia" w:ascii="仿宋_GB2312" w:hAnsi="仿宋_GB2312" w:eastAsia="仿宋_GB2312" w:cs="仿宋_GB2312"/>
          <w:b/>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楷体_GB2312" w:hAnsi="Times New Roman" w:eastAsia="楷体_GB2312" w:cs="楷体_GB2312"/>
          <w:b/>
          <w:bCs/>
          <w:color w:val="000000" w:themeColor="text1"/>
          <w:sz w:val="32"/>
          <w:szCs w:val="32"/>
          <w:u w:val="none"/>
          <w:lang w:val="en-US" w:eastAsia="zh-CN"/>
          <w14:textFill>
            <w14:solidFill>
              <w14:schemeClr w14:val="tx1"/>
            </w14:solidFill>
          </w14:textFill>
        </w:rPr>
        <w:t>（二）项目建设高效完工。</w:t>
      </w:r>
      <w:r>
        <w:rPr>
          <w:rFonts w:hint="eastAsia" w:ascii="仿宋_GB2312" w:hAnsi="Times New Roman" w:eastAsia="仿宋_GB2312" w:cs="仿宋_GB2312"/>
          <w:b/>
          <w:bCs/>
          <w:color w:val="000000" w:themeColor="text1"/>
          <w:sz w:val="32"/>
          <w:szCs w:val="32"/>
          <w:u w:val="none"/>
          <w:lang w:val="en-US" w:eastAsia="zh-CN"/>
          <w14:textFill>
            <w14:solidFill>
              <w14:schemeClr w14:val="tx1"/>
            </w14:solidFill>
          </w14:textFill>
        </w:rPr>
        <w:t>基层政权项目实施方面</w:t>
      </w:r>
      <w:r>
        <w:rPr>
          <w:rFonts w:hint="eastAsia" w:ascii="仿宋_GB2312" w:hAnsi="Times New Roman" w:eastAsia="仿宋_GB2312" w:cs="仿宋_GB2312"/>
          <w:color w:val="000000" w:themeColor="text1"/>
          <w:sz w:val="32"/>
          <w:szCs w:val="32"/>
          <w:u w:val="none"/>
          <w:lang w:val="en-US" w:eastAsia="zh-CN"/>
          <w14:textFill>
            <w14:solidFill>
              <w14:schemeClr w14:val="tx1"/>
            </w14:solidFill>
          </w14:textFill>
        </w:rPr>
        <w:t>：下拨资金86万元，已完工验收，政府服务环境更加优化。</w:t>
      </w:r>
      <w:r>
        <w:rPr>
          <w:rFonts w:hint="eastAsia" w:ascii="仿宋_GB2312" w:hAnsi="Times New Roman" w:eastAsia="仿宋_GB2312" w:cs="仿宋_GB2312"/>
          <w:b/>
          <w:bCs/>
          <w:color w:val="000000" w:themeColor="text1"/>
          <w:sz w:val="32"/>
          <w:szCs w:val="32"/>
          <w:u w:val="none"/>
          <w:lang w:val="en-US" w:eastAsia="zh-CN"/>
          <w14:textFill>
            <w14:solidFill>
              <w14:schemeClr w14:val="tx1"/>
            </w14:solidFill>
          </w14:textFill>
        </w:rPr>
        <w:t>藏区新居建设项目方面：</w:t>
      </w:r>
      <w:r>
        <w:rPr>
          <w:rFonts w:hint="eastAsia" w:ascii="仿宋_GB2312" w:hAnsi="Times New Roman" w:eastAsia="仿宋_GB2312" w:cs="仿宋_GB2312"/>
          <w:color w:val="000000" w:themeColor="text1"/>
          <w:sz w:val="32"/>
          <w:szCs w:val="32"/>
          <w:u w:val="none"/>
          <w:lang w:val="en-US" w:eastAsia="zh-CN"/>
          <w14:textFill>
            <w14:solidFill>
              <w14:schemeClr w14:val="tx1"/>
            </w14:solidFill>
          </w14:textFill>
        </w:rPr>
        <w:t>下拨资金33万元，采取统筹自建方式进行，目前已经全完工并验收，困难群众居住环境进一步提升。</w:t>
      </w:r>
      <w:r>
        <w:rPr>
          <w:rFonts w:hint="eastAsia" w:ascii="仿宋_GB2312" w:hAnsi="Times New Roman" w:eastAsia="仿宋_GB2312" w:cs="仿宋_GB2312"/>
          <w:b/>
          <w:bCs/>
          <w:color w:val="000000" w:themeColor="text1"/>
          <w:sz w:val="32"/>
          <w:szCs w:val="32"/>
          <w:u w:val="none"/>
          <w:lang w:val="en-US" w:eastAsia="zh-CN"/>
          <w14:textFill>
            <w14:solidFill>
              <w14:schemeClr w14:val="tx1"/>
            </w14:solidFill>
          </w14:textFill>
        </w:rPr>
        <w:t>色地镇日西村革命老区项目方面：</w:t>
      </w:r>
      <w:r>
        <w:rPr>
          <w:rFonts w:hint="eastAsia" w:ascii="仿宋_GB2312" w:hAnsi="Times New Roman" w:eastAsia="仿宋_GB2312" w:cs="仿宋_GB2312"/>
          <w:color w:val="000000" w:themeColor="text1"/>
          <w:sz w:val="32"/>
          <w:szCs w:val="32"/>
          <w:u w:val="none"/>
          <w:lang w:val="en-US" w:eastAsia="zh-CN"/>
          <w14:textFill>
            <w14:solidFill>
              <w14:schemeClr w14:val="tx1"/>
            </w14:solidFill>
          </w14:textFill>
        </w:rPr>
        <w:t>涉及资金30万元，目前已完工验收，村级硬件设施全面提升。</w:t>
      </w:r>
      <w:r>
        <w:rPr>
          <w:rFonts w:hint="eastAsia" w:ascii="仿宋_GB2312" w:hAnsi="Times New Roman" w:eastAsia="仿宋_GB2312" w:cs="仿宋_GB2312"/>
          <w:b/>
          <w:bCs/>
          <w:color w:val="000000" w:themeColor="text1"/>
          <w:sz w:val="32"/>
          <w:szCs w:val="32"/>
          <w:u w:val="none"/>
          <w:lang w:val="en-US" w:eastAsia="zh-CN"/>
          <w14:textFill>
            <w14:solidFill>
              <w14:schemeClr w14:val="tx1"/>
            </w14:solidFill>
          </w14:textFill>
        </w:rPr>
        <w:t>茸塔寺农村书屋方面：</w:t>
      </w:r>
      <w:r>
        <w:rPr>
          <w:rFonts w:hint="eastAsia" w:ascii="仿宋_GB2312" w:hAnsi="Times New Roman" w:eastAsia="仿宋_GB2312" w:cs="仿宋_GB2312"/>
          <w:color w:val="000000" w:themeColor="text1"/>
          <w:sz w:val="32"/>
          <w:szCs w:val="32"/>
          <w:u w:val="none"/>
          <w:lang w:val="en-US" w:eastAsia="zh-CN"/>
          <w14:textFill>
            <w14:solidFill>
              <w14:schemeClr w14:val="tx1"/>
            </w14:solidFill>
          </w14:textFill>
        </w:rPr>
        <w:t>涉及资金20万元，已完工验收，僧人学法更加便捷。</w:t>
      </w:r>
      <w:r>
        <w:rPr>
          <w:rFonts w:hint="eastAsia" w:ascii="仿宋_GB2312" w:hAnsi="Times New Roman" w:eastAsia="仿宋_GB2312" w:cs="仿宋_GB2312"/>
          <w:b/>
          <w:bCs/>
          <w:color w:val="000000" w:themeColor="text1"/>
          <w:sz w:val="32"/>
          <w:szCs w:val="32"/>
          <w:u w:val="none"/>
          <w:lang w:val="en-US" w:eastAsia="zh-CN"/>
          <w14:textFill>
            <w14:solidFill>
              <w14:schemeClr w14:val="tx1"/>
            </w14:solidFill>
          </w14:textFill>
        </w:rPr>
        <w:t>暖棚项目建设方面：</w:t>
      </w:r>
      <w:r>
        <w:rPr>
          <w:rFonts w:hint="eastAsia" w:ascii="仿宋_GB2312" w:hAnsi="Times New Roman" w:eastAsia="仿宋_GB2312" w:cs="仿宋_GB2312"/>
          <w:color w:val="000000" w:themeColor="text1"/>
          <w:sz w:val="32"/>
          <w:szCs w:val="32"/>
          <w:u w:val="none"/>
          <w:lang w:val="en-US" w:eastAsia="zh-CN"/>
          <w14:textFill>
            <w14:solidFill>
              <w14:schemeClr w14:val="tx1"/>
            </w14:solidFill>
          </w14:textFill>
        </w:rPr>
        <w:t>辖区共建33个，全部建成完工并验收，群众生产条件有效改善。</w:t>
      </w:r>
    </w:p>
    <w:p>
      <w:pPr>
        <w:keepNext w:val="0"/>
        <w:keepLines w:val="0"/>
        <w:pageBreakBefore w:val="0"/>
        <w:kinsoku/>
        <w:wordWrap/>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000000" w:themeColor="text1"/>
          <w:spacing w:val="-5"/>
          <w:sz w:val="32"/>
          <w:szCs w:val="32"/>
          <w:lang w:val="en-US" w:eastAsia="zh-CN"/>
          <w14:textFill>
            <w14:solidFill>
              <w14:schemeClr w14:val="tx1"/>
            </w14:solidFill>
          </w14:textFill>
        </w:rPr>
      </w:pPr>
      <w:r>
        <w:rPr>
          <w:rFonts w:hint="eastAsia" w:ascii="楷体_GB2312" w:hAnsi="Times New Roman" w:eastAsia="楷体_GB2312" w:cs="楷体_GB2312"/>
          <w:b/>
          <w:bCs/>
          <w:color w:val="000000" w:themeColor="text1"/>
          <w:kern w:val="0"/>
          <w:sz w:val="32"/>
          <w:szCs w:val="32"/>
          <w:u w:val="none"/>
          <w:lang w:val="en-US" w:eastAsia="zh-CN" w:bidi="ar"/>
          <w14:textFill>
            <w14:solidFill>
              <w14:schemeClr w14:val="tx1"/>
            </w14:solidFill>
          </w14:textFill>
        </w:rPr>
        <w:t>（三）民生事业扎实推进。</w:t>
      </w:r>
      <w:r>
        <w:rPr>
          <w:rFonts w:hint="eastAsia" w:ascii="仿宋_GB2312" w:hAnsi="仿宋_GB2312" w:eastAsia="仿宋_GB2312" w:cs="仿宋_GB2312"/>
          <w:b/>
          <w:bCs w:val="0"/>
          <w:color w:val="000000" w:themeColor="text1"/>
          <w:spacing w:val="-5"/>
          <w:sz w:val="32"/>
          <w:szCs w:val="32"/>
          <w:lang w:eastAsia="zh-CN"/>
          <w14:textFill>
            <w14:solidFill>
              <w14:schemeClr w14:val="tx1"/>
            </w14:solidFill>
          </w14:textFill>
        </w:rPr>
        <w:t>就业方面：</w:t>
      </w:r>
      <w:r>
        <w:rPr>
          <w:rFonts w:hint="eastAsia" w:ascii="仿宋_GB2312" w:hAnsi="仿宋_GB2312" w:eastAsia="仿宋_GB2312" w:cs="仿宋_GB2312"/>
          <w:b w:val="0"/>
          <w:bCs w:val="0"/>
          <w:color w:val="000000" w:themeColor="text1"/>
          <w:spacing w:val="-5"/>
          <w:sz w:val="32"/>
          <w:szCs w:val="32"/>
          <w:lang w:eastAsia="zh-CN"/>
          <w14:textFill>
            <w14:solidFill>
              <w14:schemeClr w14:val="tx1"/>
            </w14:solidFill>
          </w14:textFill>
        </w:rPr>
        <w:t>组织</w:t>
      </w:r>
      <w:r>
        <w:rPr>
          <w:rFonts w:hint="eastAsia" w:ascii="仿宋_GB2312" w:hAnsi="仿宋_GB2312" w:eastAsia="仿宋_GB2312" w:cs="仿宋_GB2312"/>
          <w:b w:val="0"/>
          <w:bCs w:val="0"/>
          <w:color w:val="000000" w:themeColor="text1"/>
          <w:spacing w:val="-5"/>
          <w:sz w:val="32"/>
          <w:szCs w:val="32"/>
          <w:lang w:val="en-US" w:eastAsia="zh-CN"/>
          <w14:textFill>
            <w14:solidFill>
              <w14:schemeClr w14:val="tx1"/>
            </w14:solidFill>
          </w14:textFill>
        </w:rPr>
        <w:t>20人参加东西协作劳务招聘会，达成</w:t>
      </w:r>
      <w:r>
        <w:rPr>
          <w:rFonts w:hint="eastAsia" w:ascii="仿宋_GB2312" w:hAnsi="仿宋_GB2312" w:eastAsia="仿宋_GB2312" w:cs="仿宋_GB2312"/>
          <w:b w:val="0"/>
          <w:bCs w:val="0"/>
          <w:color w:val="000000" w:themeColor="text1"/>
          <w:spacing w:val="-5"/>
          <w:sz w:val="32"/>
          <w:szCs w:val="32"/>
          <w:lang w:eastAsia="zh-CN"/>
          <w14:textFill>
            <w14:solidFill>
              <w14:schemeClr w14:val="tx1"/>
            </w14:solidFill>
          </w14:textFill>
        </w:rPr>
        <w:t>就业意向</w:t>
      </w:r>
      <w:r>
        <w:rPr>
          <w:rFonts w:hint="eastAsia" w:ascii="仿宋_GB2312" w:hAnsi="仿宋_GB2312" w:eastAsia="仿宋_GB2312" w:cs="仿宋_GB2312"/>
          <w:b w:val="0"/>
          <w:bCs w:val="0"/>
          <w:color w:val="000000" w:themeColor="text1"/>
          <w:spacing w:val="-5"/>
          <w:sz w:val="32"/>
          <w:szCs w:val="32"/>
          <w:lang w:val="en-US" w:eastAsia="zh-CN"/>
          <w14:textFill>
            <w14:solidFill>
              <w14:schemeClr w14:val="tx1"/>
            </w14:solidFill>
          </w14:textFill>
        </w:rPr>
        <w:t>4人；安置公益性岗位人员18名，完成225名生态公益性岗位人员动态调整</w:t>
      </w:r>
      <w:r>
        <w:rPr>
          <w:rFonts w:hint="eastAsia" w:ascii="仿宋_GB2312" w:hAnsi="仿宋_GB2312" w:eastAsia="仿宋_GB2312" w:cs="仿宋_GB2312"/>
          <w:color w:val="000000" w:themeColor="text1"/>
          <w:spacing w:val="-5"/>
          <w:sz w:val="32"/>
          <w:szCs w:val="32"/>
          <w:lang w:val="en-US" w:eastAsia="zh-CN"/>
          <w14:textFill>
            <w14:solidFill>
              <w14:schemeClr w14:val="tx1"/>
            </w14:solidFill>
          </w14:textFill>
        </w:rPr>
        <w:t>。</w:t>
      </w:r>
      <w:r>
        <w:rPr>
          <w:rFonts w:hint="eastAsia" w:ascii="仿宋_GB2312" w:hAnsi="仿宋_GB2312" w:eastAsia="仿宋_GB2312" w:cs="仿宋_GB2312"/>
          <w:b/>
          <w:bCs/>
          <w:color w:val="000000" w:themeColor="text1"/>
          <w:spacing w:val="-5"/>
          <w:sz w:val="32"/>
          <w:szCs w:val="32"/>
          <w:lang w:val="en-US" w:eastAsia="zh-CN"/>
          <w14:textFill>
            <w14:solidFill>
              <w14:schemeClr w14:val="tx1"/>
            </w14:solidFill>
          </w14:textFill>
        </w:rPr>
        <w:t>扶贫解困方面：</w:t>
      </w:r>
      <w:r>
        <w:rPr>
          <w:rFonts w:hint="eastAsia" w:ascii="仿宋_GB2312" w:hAnsi="仿宋_GB2312" w:eastAsia="仿宋_GB2312" w:cs="仿宋_GB2312"/>
          <w:b w:val="0"/>
          <w:bCs w:val="0"/>
          <w:color w:val="000000" w:themeColor="text1"/>
          <w:spacing w:val="-5"/>
          <w:sz w:val="32"/>
          <w:szCs w:val="32"/>
          <w:lang w:val="en-US" w:eastAsia="zh-CN"/>
          <w14:textFill>
            <w14:solidFill>
              <w14:schemeClr w14:val="tx1"/>
            </w14:solidFill>
          </w14:textFill>
        </w:rPr>
        <w:t>帮助申办医疗救助资金150人次以上；计划生育奖励扶持所有资金均及时发放到位；协助县红十字会开展先天性心脏病儿童诊疗2人。</w:t>
      </w:r>
      <w:r>
        <w:rPr>
          <w:rFonts w:hint="eastAsia" w:ascii="仿宋_GB2312" w:hAnsi="仿宋_GB2312" w:eastAsia="仿宋_GB2312" w:cs="仿宋_GB2312"/>
          <w:b/>
          <w:bCs/>
          <w:color w:val="000000" w:themeColor="text1"/>
          <w:spacing w:val="-5"/>
          <w:sz w:val="32"/>
          <w:szCs w:val="32"/>
          <w:lang w:val="en-US" w:eastAsia="zh-CN"/>
          <w14:textFill>
            <w14:solidFill>
              <w14:schemeClr w14:val="tx1"/>
            </w14:solidFill>
          </w14:textFill>
        </w:rPr>
        <w:t>教育助学方面：</w:t>
      </w:r>
      <w:r>
        <w:rPr>
          <w:rFonts w:hint="eastAsia" w:ascii="仿宋_GB2312" w:hAnsi="仿宋_GB2312" w:eastAsia="仿宋_GB2312" w:cs="仿宋_GB2312"/>
          <w:b w:val="0"/>
          <w:bCs w:val="0"/>
          <w:color w:val="000000" w:themeColor="text1"/>
          <w:spacing w:val="-5"/>
          <w:sz w:val="32"/>
          <w:szCs w:val="32"/>
          <w:lang w:val="en-US" w:eastAsia="zh-CN"/>
          <w14:textFill>
            <w14:solidFill>
              <w14:schemeClr w14:val="tx1"/>
            </w14:solidFill>
          </w14:textFill>
        </w:rPr>
        <w:t>利用苍南县援建资金设立教育帮扶基金2个，为符合条件贫困群众全部申请教育扶贫资金，惠及辖区建档立卡贫困学生和在读大中专学生。</w:t>
      </w:r>
      <w:r>
        <w:rPr>
          <w:rFonts w:hint="eastAsia" w:ascii="仿宋_GB2312" w:hAnsi="仿宋_GB2312" w:eastAsia="仿宋_GB2312" w:cs="仿宋_GB2312"/>
          <w:b/>
          <w:bCs/>
          <w:color w:val="000000" w:themeColor="text1"/>
          <w:spacing w:val="-5"/>
          <w:sz w:val="32"/>
          <w:szCs w:val="32"/>
          <w:lang w:val="en-US" w:eastAsia="zh-CN"/>
          <w14:textFill>
            <w14:solidFill>
              <w14:schemeClr w14:val="tx1"/>
            </w14:solidFill>
          </w14:textFill>
        </w:rPr>
        <w:t>社会保障方面：</w:t>
      </w:r>
      <w:r>
        <w:rPr>
          <w:rFonts w:hint="eastAsia" w:ascii="仿宋_GB2312" w:hAnsi="仿宋_GB2312" w:eastAsia="仿宋_GB2312" w:cs="仿宋_GB2312"/>
          <w:b w:val="0"/>
          <w:bCs w:val="0"/>
          <w:color w:val="000000" w:themeColor="text1"/>
          <w:spacing w:val="-5"/>
          <w:sz w:val="32"/>
          <w:szCs w:val="32"/>
          <w:lang w:val="en-US" w:eastAsia="zh-CN"/>
          <w14:textFill>
            <w14:solidFill>
              <w14:schemeClr w14:val="tx1"/>
            </w14:solidFill>
          </w14:textFill>
        </w:rPr>
        <w:t>低保新认定、清退工作有序开展，辖区低保人员生活补贴全部足额按时发放；享受重度残疾人护理补贴资金全部及时发放到位，保障了残疾人生活。</w:t>
      </w:r>
      <w:r>
        <w:rPr>
          <w:rFonts w:hint="eastAsia" w:ascii="仿宋_GB2312" w:hAnsi="仿宋_GB2312" w:eastAsia="仿宋_GB2312" w:cs="仿宋_GB2312"/>
          <w:b/>
          <w:bCs/>
          <w:color w:val="000000" w:themeColor="text1"/>
          <w:spacing w:val="-5"/>
          <w:sz w:val="32"/>
          <w:szCs w:val="32"/>
          <w:lang w:val="en-US" w:eastAsia="zh-CN"/>
          <w14:textFill>
            <w14:solidFill>
              <w14:schemeClr w14:val="tx1"/>
            </w14:solidFill>
          </w14:textFill>
        </w:rPr>
        <w:t>民生工程方面：</w:t>
      </w:r>
      <w:r>
        <w:rPr>
          <w:rFonts w:hint="eastAsia" w:ascii="仿宋_GB2312" w:hAnsi="仿宋_GB2312" w:eastAsia="仿宋_GB2312" w:cs="仿宋_GB2312"/>
          <w:b w:val="0"/>
          <w:bCs w:val="0"/>
          <w:color w:val="000000" w:themeColor="text1"/>
          <w:spacing w:val="-5"/>
          <w:sz w:val="32"/>
          <w:szCs w:val="32"/>
          <w:lang w:val="en-US" w:eastAsia="zh-CN"/>
          <w14:textFill>
            <w14:solidFill>
              <w14:schemeClr w14:val="tx1"/>
            </w14:solidFill>
          </w14:textFill>
        </w:rPr>
        <w:t>完成农村道路交通诉求和居民用水诉求上报工作，全镇自来水供水设施得到改善提升。</w:t>
      </w:r>
      <w:r>
        <w:rPr>
          <w:rFonts w:hint="eastAsia" w:ascii="仿宋_GB2312" w:hAnsi="仿宋_GB2312" w:eastAsia="仿宋_GB2312" w:cs="仿宋_GB2312"/>
          <w:b/>
          <w:bCs/>
          <w:color w:val="000000" w:themeColor="text1"/>
          <w:spacing w:val="-5"/>
          <w:sz w:val="32"/>
          <w:szCs w:val="32"/>
          <w:lang w:val="en-US" w:eastAsia="zh-CN"/>
          <w14:textFill>
            <w14:solidFill>
              <w14:schemeClr w14:val="tx1"/>
            </w14:solidFill>
          </w14:textFill>
        </w:rPr>
        <w:t>生态环境方面：</w:t>
      </w:r>
      <w:r>
        <w:rPr>
          <w:rFonts w:hint="eastAsia" w:ascii="仿宋_GB2312" w:hAnsi="仿宋_GB2312" w:eastAsia="仿宋_GB2312" w:cs="仿宋_GB2312"/>
          <w:b w:val="0"/>
          <w:bCs w:val="0"/>
          <w:color w:val="000000" w:themeColor="text1"/>
          <w:spacing w:val="-5"/>
          <w:sz w:val="32"/>
          <w:szCs w:val="32"/>
          <w:lang w:val="en-US" w:eastAsia="zh-CN"/>
          <w14:textFill>
            <w14:solidFill>
              <w14:schemeClr w14:val="tx1"/>
            </w14:solidFill>
          </w14:textFill>
        </w:rPr>
        <w:t>草原禁牧补助和草畜平衡奖励资金均足额按时发放。</w:t>
      </w:r>
      <w:r>
        <w:rPr>
          <w:rFonts w:hint="eastAsia" w:ascii="仿宋_GB2312" w:hAnsi="仿宋_GB2312" w:eastAsia="仿宋_GB2312" w:cs="仿宋_GB2312"/>
          <w:b/>
          <w:bCs/>
          <w:color w:val="000000" w:themeColor="text1"/>
          <w:spacing w:val="-5"/>
          <w:sz w:val="32"/>
          <w:szCs w:val="32"/>
          <w:lang w:val="en-US" w:eastAsia="zh-CN"/>
          <w14:textFill>
            <w14:solidFill>
              <w14:schemeClr w14:val="tx1"/>
            </w14:solidFill>
          </w14:textFill>
        </w:rPr>
        <w:t>文化体育方面：</w:t>
      </w:r>
      <w:r>
        <w:rPr>
          <w:rFonts w:hint="eastAsia" w:ascii="仿宋_GB2312" w:hAnsi="仿宋_GB2312" w:eastAsia="仿宋_GB2312" w:cs="仿宋_GB2312"/>
          <w:b w:val="0"/>
          <w:bCs w:val="0"/>
          <w:color w:val="000000" w:themeColor="text1"/>
          <w:spacing w:val="-5"/>
          <w:sz w:val="32"/>
          <w:szCs w:val="32"/>
          <w:lang w:val="en-US" w:eastAsia="zh-CN"/>
          <w14:textFill>
            <w14:solidFill>
              <w14:schemeClr w14:val="tx1"/>
            </w14:solidFill>
          </w14:textFill>
        </w:rPr>
        <w:t>组织群众参加农牧民篮球赛，配合县文体局开展文艺活动下乡活动，协同镇小学开展传统文化艺术传承活动，4000余名群众参与观看。</w:t>
      </w:r>
      <w:r>
        <w:rPr>
          <w:rFonts w:hint="eastAsia" w:ascii="仿宋_GB2312" w:hAnsi="仿宋_GB2312" w:eastAsia="仿宋_GB2312" w:cs="仿宋_GB2312"/>
          <w:b/>
          <w:bCs/>
          <w:color w:val="000000" w:themeColor="text1"/>
          <w:spacing w:val="-5"/>
          <w:sz w:val="32"/>
          <w:szCs w:val="32"/>
          <w:lang w:val="en-US" w:eastAsia="zh-CN"/>
          <w14:textFill>
            <w14:solidFill>
              <w14:schemeClr w14:val="tx1"/>
            </w14:solidFill>
          </w14:textFill>
        </w:rPr>
        <w:t>民生利益保障方面：</w:t>
      </w:r>
      <w:r>
        <w:rPr>
          <w:rFonts w:hint="eastAsia" w:ascii="仿宋_GB2312" w:hAnsi="仿宋_GB2312" w:eastAsia="仿宋_GB2312" w:cs="仿宋_GB2312"/>
          <w:b w:val="0"/>
          <w:bCs w:val="0"/>
          <w:color w:val="000000" w:themeColor="text1"/>
          <w:spacing w:val="-5"/>
          <w:sz w:val="32"/>
          <w:szCs w:val="32"/>
          <w:lang w:val="en-US" w:eastAsia="zh-CN"/>
          <w14:textFill>
            <w14:solidFill>
              <w14:schemeClr w14:val="tx1"/>
            </w14:solidFill>
          </w14:textFill>
        </w:rPr>
        <w:t>完成</w:t>
      </w:r>
      <w:r>
        <w:rPr>
          <w:rFonts w:hint="eastAsia" w:ascii="仿宋" w:hAnsi="仿宋" w:eastAsia="仿宋" w:cs="仿宋"/>
          <w:b w:val="0"/>
          <w:bCs w:val="0"/>
          <w:color w:val="000000" w:themeColor="text1"/>
          <w:sz w:val="32"/>
          <w:szCs w:val="32"/>
          <w:lang w:val="en-US" w:eastAsia="zh-CN"/>
          <w14:textFill>
            <w14:solidFill>
              <w14:schemeClr w14:val="tx1"/>
            </w14:solidFill>
          </w14:textFill>
        </w:rPr>
        <w:t>1691</w:t>
      </w:r>
      <w:r>
        <w:rPr>
          <w:rFonts w:hint="eastAsia" w:ascii="仿宋" w:hAnsi="仿宋" w:eastAsia="仿宋" w:cs="仿宋"/>
          <w:color w:val="000000" w:themeColor="text1"/>
          <w:sz w:val="32"/>
          <w:szCs w:val="32"/>
          <w:lang w:val="en-US" w:eastAsia="zh-CN"/>
          <w14:textFill>
            <w14:solidFill>
              <w14:schemeClr w14:val="tx1"/>
            </w14:solidFill>
          </w14:textFill>
        </w:rPr>
        <w:t>户7582人一卡通清理任务，未发现腐败问题线索，群众利益保障到位。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both"/>
        <w:rPr>
          <w:rFonts w:hint="eastAsia" w:ascii="仿宋_GB2312" w:hAnsi="仿宋_GB2312" w:eastAsia="仿宋_GB2312" w:cs="仿宋_GB2312"/>
          <w:i w:val="0"/>
          <w:caps w:val="0"/>
          <w:color w:val="000000" w:themeColor="text1"/>
          <w:spacing w:val="0"/>
          <w:sz w:val="32"/>
          <w:szCs w:val="32"/>
          <w14:textFill>
            <w14:solidFill>
              <w14:schemeClr w14:val="tx1"/>
            </w14:solidFill>
          </w14:textFill>
        </w:rPr>
      </w:pPr>
      <w:r>
        <w:rPr>
          <w:rFonts w:hint="eastAsia" w:ascii="楷体_GB2312" w:hAnsi="Times New Roman" w:eastAsia="楷体_GB2312" w:cs="楷体_GB2312"/>
          <w:b/>
          <w:bCs/>
          <w:color w:val="000000" w:themeColor="text1"/>
          <w:kern w:val="0"/>
          <w:sz w:val="32"/>
          <w:szCs w:val="32"/>
          <w:u w:val="none"/>
          <w:lang w:val="en-US" w:eastAsia="zh-CN" w:bidi="ar"/>
          <w14:textFill>
            <w14:solidFill>
              <w14:schemeClr w14:val="tx1"/>
            </w14:solidFill>
          </w14:textFill>
        </w:rPr>
        <w:t>（四）环境整治持续深入。</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我镇采取有力措施，对“两线一域”生活、建筑垃圾及水域漂浮物等进行不间断清理，扎实推进363户彩钢棚整治及风貌改造工作，全面改观了辖区文明整洁的卫生环境风貌。一是成立工作专班，定期对镇域内环境卫生和河道漂浮物整治情况进行督促检查。二是借助生态公益性岗位充实了各村环境卫生清理工作队伍，推行了网格化治理模式，推动了区域卫生保持常扫长清。三是坚持边集中整治边完善管理，解决环境长效管理中存在的问题，实现村庄和街道环境卫生管理常态化。四是全面推行镇村两级“河长制”，制定实施方案，划定责任区域，坚持常抓不懈，着力打造“河畅、水清、岸绿、景美”的生态环境。</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left"/>
        <w:textAlignment w:val="auto"/>
        <w:outlineLvl w:val="9"/>
        <w:rPr>
          <w:rFonts w:hint="default" w:ascii="Calibri" w:hAnsi="Calibri" w:cs="Calibri"/>
          <w:b/>
          <w:bCs/>
          <w:color w:val="000000" w:themeColor="text1"/>
          <w:sz w:val="21"/>
          <w:szCs w:val="21"/>
          <w:lang w:val="en-US"/>
          <w14:textFill>
            <w14:solidFill>
              <w14:schemeClr w14:val="tx1"/>
            </w14:solidFill>
          </w14:textFill>
        </w:rPr>
      </w:pPr>
      <w:r>
        <w:rPr>
          <w:rFonts w:hint="eastAsia" w:ascii="仿宋_GB2312" w:hAnsi="仿宋_GB2312" w:eastAsia="仿宋_GB2312" w:cs="仿宋_GB2312"/>
          <w:b/>
          <w:i w:val="0"/>
          <w:caps w:val="0"/>
          <w:color w:val="000000" w:themeColor="text1"/>
          <w:spacing w:val="0"/>
          <w:kern w:val="0"/>
          <w:sz w:val="32"/>
          <w:szCs w:val="32"/>
          <w:shd w:val="clear" w:fill="FFFFFF"/>
          <w:lang w:val="en-US" w:eastAsia="zh-CN" w:bidi="ar"/>
          <w14:textFill>
            <w14:solidFill>
              <w14:schemeClr w14:val="tx1"/>
            </w14:solidFill>
          </w14:textFill>
        </w:rPr>
        <w:t>（五）</w:t>
      </w:r>
      <w:r>
        <w:rPr>
          <w:rFonts w:hint="eastAsia" w:ascii="楷体_GB2312" w:hAnsi="Times New Roman" w:eastAsia="楷体_GB2312" w:cs="楷体_GB2312"/>
          <w:b/>
          <w:bCs/>
          <w:color w:val="000000" w:themeColor="text1"/>
          <w:sz w:val="32"/>
          <w:szCs w:val="32"/>
          <w:u w:val="none"/>
          <w14:textFill>
            <w14:solidFill>
              <w14:schemeClr w14:val="tx1"/>
            </w14:solidFill>
          </w14:textFill>
        </w:rPr>
        <w:t>基层治理</w:t>
      </w:r>
      <w:r>
        <w:rPr>
          <w:rFonts w:hint="eastAsia" w:ascii="楷体_GB2312" w:hAnsi="Times New Roman" w:eastAsia="楷体_GB2312" w:cs="楷体_GB2312"/>
          <w:b/>
          <w:bCs/>
          <w:color w:val="000000" w:themeColor="text1"/>
          <w:sz w:val="32"/>
          <w:szCs w:val="32"/>
          <w:u w:val="none"/>
          <w:lang w:eastAsia="zh-CN"/>
          <w14:textFill>
            <w14:solidFill>
              <w14:schemeClr w14:val="tx1"/>
            </w14:solidFill>
          </w14:textFill>
        </w:rPr>
        <w:t>成效显著</w:t>
      </w:r>
      <w:r>
        <w:rPr>
          <w:rFonts w:hint="eastAsia" w:ascii="楷体_GB2312" w:hAnsi="Times New Roman" w:eastAsia="楷体_GB2312" w:cs="楷体_GB2312"/>
          <w:b/>
          <w:bCs/>
          <w:color w:val="000000" w:themeColor="text1"/>
          <w:sz w:val="32"/>
          <w:szCs w:val="32"/>
          <w:u w:val="none"/>
          <w14:textFill>
            <w14:solidFill>
              <w14:schemeClr w14:val="tx1"/>
            </w14:solidFill>
          </w14:textFill>
        </w:rPr>
        <w:t>。</w:t>
      </w:r>
      <w:r>
        <w:rPr>
          <w:rFonts w:hint="eastAsia" w:ascii="仿宋_GB2312" w:hAnsi="仿宋_GB2312" w:eastAsia="仿宋_GB2312" w:cs="仿宋_GB2312"/>
          <w:b/>
          <w:bCs/>
          <w:color w:val="000000" w:themeColor="text1"/>
          <w:spacing w:val="-5"/>
          <w:kern w:val="2"/>
          <w:sz w:val="32"/>
          <w:szCs w:val="32"/>
          <w:lang w:val="en-US" w:eastAsia="zh-CN" w:bidi="ar-SA"/>
          <w14:textFill>
            <w14:solidFill>
              <w14:schemeClr w14:val="tx1"/>
            </w14:solidFill>
          </w14:textFill>
        </w:rPr>
        <w:t>常态化治理方面：</w:t>
      </w:r>
      <w:r>
        <w:rPr>
          <w:rFonts w:hint="eastAsia" w:ascii="仿宋_GB2312" w:hAnsi="Times New Roman" w:eastAsia="仿宋_GB2312" w:cs="仿宋_GB2312"/>
          <w:color w:val="000000" w:themeColor="text1"/>
          <w:sz w:val="32"/>
          <w:szCs w:val="32"/>
          <w:u w:val="none"/>
          <w:lang w:val="en-US" w:eastAsia="zh-CN"/>
          <w14:textFill>
            <w14:solidFill>
              <w14:schemeClr w14:val="tx1"/>
            </w14:solidFill>
          </w14:textFill>
        </w:rPr>
        <w:t>网格化管理服务持续深入，累计走访重点特殊人员260余人次，围绕扫黑除恶、安全生产开展政策集中宣讲活动9次，排查登记流动人口82人，录入网格信息300余条。</w:t>
      </w:r>
      <w:r>
        <w:rPr>
          <w:rFonts w:hint="eastAsia" w:ascii="仿宋_GB2312" w:hAnsi="仿宋_GB2312" w:eastAsia="仿宋_GB2312" w:cs="仿宋_GB2312"/>
          <w:b/>
          <w:bCs/>
          <w:color w:val="000000" w:themeColor="text1"/>
          <w:spacing w:val="-5"/>
          <w:kern w:val="2"/>
          <w:sz w:val="32"/>
          <w:szCs w:val="32"/>
          <w:lang w:val="en-US" w:eastAsia="zh-CN" w:bidi="ar-SA"/>
          <w14:textFill>
            <w14:solidFill>
              <w14:schemeClr w14:val="tx1"/>
            </w14:solidFill>
          </w14:textFill>
        </w:rPr>
        <w:t>矛盾纠纷调解方面：</w:t>
      </w:r>
      <w:r>
        <w:rPr>
          <w:rFonts w:hint="eastAsia" w:ascii="仿宋_GB2312" w:hAnsi="仿宋_GB2312" w:eastAsia="仿宋_GB2312" w:cs="仿宋_GB2312"/>
          <w:color w:val="000000" w:themeColor="text1"/>
          <w:sz w:val="32"/>
          <w:szCs w:val="32"/>
          <w14:textFill>
            <w14:solidFill>
              <w14:schemeClr w14:val="tx1"/>
            </w14:solidFill>
          </w14:textFill>
        </w:rPr>
        <w:t>共排查出矛盾纠纷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起，调处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起，调处成功</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起，调处成功率达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90</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pacing w:val="-5"/>
          <w:kern w:val="2"/>
          <w:sz w:val="32"/>
          <w:szCs w:val="32"/>
          <w:lang w:val="en-US" w:eastAsia="zh-CN" w:bidi="ar-SA"/>
          <w14:textFill>
            <w14:solidFill>
              <w14:schemeClr w14:val="tx1"/>
            </w14:solidFill>
          </w14:textFill>
        </w:rPr>
        <w:t>村级公用草场纠纷调解有序推进，</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全镇无因调处不当引发的群体性事件和民转刑案件发生,未发生重大信访案件和较大恶性刑事案件</w:t>
      </w:r>
      <w:r>
        <w:rPr>
          <w:rFonts w:hint="eastAsia" w:ascii="仿宋_GB2312" w:hAnsi="仿宋_GB2312" w:eastAsia="仿宋_GB2312" w:cs="仿宋_GB2312"/>
          <w:b w:val="0"/>
          <w:bCs w:val="0"/>
          <w:color w:val="000000" w:themeColor="text1"/>
          <w:spacing w:val="-5"/>
          <w:kern w:val="2"/>
          <w:sz w:val="32"/>
          <w:szCs w:val="32"/>
          <w:lang w:val="en-US" w:eastAsia="zh-CN" w:bidi="ar-SA"/>
          <w14:textFill>
            <w14:solidFill>
              <w14:schemeClr w14:val="tx1"/>
            </w14:solidFill>
          </w14:textFill>
        </w:rPr>
        <w:t>。</w:t>
      </w:r>
      <w:r>
        <w:rPr>
          <w:rFonts w:hint="eastAsia" w:ascii="仿宋_GB2312" w:hAnsi="仿宋_GB2312" w:eastAsia="仿宋_GB2312" w:cs="仿宋_GB2312"/>
          <w:b/>
          <w:bCs/>
          <w:color w:val="000000" w:themeColor="text1"/>
          <w:spacing w:val="-5"/>
          <w:kern w:val="2"/>
          <w:sz w:val="32"/>
          <w:szCs w:val="32"/>
          <w:lang w:val="en-US" w:eastAsia="zh-CN" w:bidi="ar-SA"/>
          <w14:textFill>
            <w14:solidFill>
              <w14:schemeClr w14:val="tx1"/>
            </w14:solidFill>
          </w14:textFill>
        </w:rPr>
        <w:t>扫黑除恶方面：</w:t>
      </w:r>
      <w:r>
        <w:rPr>
          <w:rFonts w:hint="eastAsia" w:ascii="仿宋_GB2312" w:hAnsi="仿宋_GB2312" w:eastAsia="仿宋_GB2312" w:cs="仿宋_GB2312"/>
          <w:b w:val="0"/>
          <w:bCs w:val="0"/>
          <w:color w:val="000000" w:themeColor="text1"/>
          <w:spacing w:val="-5"/>
          <w:kern w:val="2"/>
          <w:sz w:val="32"/>
          <w:szCs w:val="32"/>
          <w:lang w:val="en-US" w:eastAsia="zh-CN" w:bidi="ar-SA"/>
          <w14:textFill>
            <w14:solidFill>
              <w14:schemeClr w14:val="tx1"/>
            </w14:solidFill>
          </w14:textFill>
        </w:rPr>
        <w:t>配合县委政法委等部门对辖区16-60岁青壮年开展扫黑除恶专项宣讲活动3场次，结合“两联一进”主动开展扫黑除恶宣讲活动5场次。配合</w:t>
      </w:r>
      <w:r>
        <w:rPr>
          <w:rFonts w:hint="eastAsia" w:ascii="仿宋" w:hAnsi="仿宋" w:eastAsia="仿宋"/>
          <w:color w:val="000000" w:themeColor="text1"/>
          <w:sz w:val="32"/>
          <w:szCs w:val="32"/>
          <w:lang w:val="en-US" w:eastAsia="zh-CN"/>
          <w14:textFill>
            <w14:solidFill>
              <w14:schemeClr w14:val="tx1"/>
            </w14:solidFill>
          </w14:textFill>
        </w:rPr>
        <w:t>县公安局开展专项行动1次，成功打掉以德根为首的涉恶、涉赌犯罪团伙。查证参赌人员300余人、依法逮捕8人、行政处罚2人、教育训诫300余人，对涉恶、涉赌等违法犯罪行为形成强力震慑。</w:t>
      </w:r>
      <w:r>
        <w:rPr>
          <w:rFonts w:hint="eastAsia" w:ascii="仿宋" w:hAnsi="仿宋" w:eastAsia="仿宋"/>
          <w:b/>
          <w:bCs/>
          <w:color w:val="000000" w:themeColor="text1"/>
          <w:sz w:val="32"/>
          <w:szCs w:val="32"/>
          <w:lang w:val="en-US" w:eastAsia="zh-CN"/>
          <w14:textFill>
            <w14:solidFill>
              <w14:schemeClr w14:val="tx1"/>
            </w14:solidFill>
          </w14:textFill>
        </w:rPr>
        <w:t>重点人员管理服务方面：</w:t>
      </w:r>
      <w:r>
        <w:rPr>
          <w:rFonts w:hint="eastAsia" w:ascii="仿宋" w:hAnsi="仿宋" w:eastAsia="仿宋"/>
          <w:b w:val="0"/>
          <w:bCs w:val="0"/>
          <w:color w:val="000000" w:themeColor="text1"/>
          <w:sz w:val="32"/>
          <w:szCs w:val="32"/>
          <w:lang w:val="en-US" w:eastAsia="zh-CN"/>
          <w14:textFill>
            <w14:solidFill>
              <w14:schemeClr w14:val="tx1"/>
            </w14:solidFill>
          </w14:textFill>
        </w:rPr>
        <w:t>根据</w:t>
      </w:r>
      <w:r>
        <w:rPr>
          <w:rFonts w:hint="eastAsia" w:ascii="仿宋" w:hAnsi="仿宋" w:eastAsia="仿宋"/>
          <w:color w:val="000000" w:themeColor="text1"/>
          <w:sz w:val="32"/>
          <w:szCs w:val="32"/>
          <w:lang w:val="en-US" w:eastAsia="zh-CN"/>
          <w14:textFill>
            <w14:solidFill>
              <w14:schemeClr w14:val="tx1"/>
            </w14:solidFill>
          </w14:textFill>
        </w:rPr>
        <w:t>现实表现，经过充分研判，对现有7名重点人员中的6名实现了成功转化，取得显著成效。</w:t>
      </w:r>
      <w:r>
        <w:rPr>
          <w:rFonts w:hint="eastAsia" w:ascii="仿宋" w:hAnsi="仿宋" w:eastAsia="仿宋"/>
          <w:b/>
          <w:bCs/>
          <w:color w:val="000000" w:themeColor="text1"/>
          <w:sz w:val="32"/>
          <w:szCs w:val="32"/>
          <w:lang w:val="en-US" w:eastAsia="zh-CN"/>
          <w14:textFill>
            <w14:solidFill>
              <w14:schemeClr w14:val="tx1"/>
            </w14:solidFill>
          </w14:textFill>
        </w:rPr>
        <w:t>依法治寺管僧方面：</w:t>
      </w:r>
      <w:r>
        <w:rPr>
          <w:rFonts w:hint="eastAsia" w:ascii="仿宋" w:hAnsi="仿宋" w:eastAsia="仿宋"/>
          <w:color w:val="000000" w:themeColor="text1"/>
          <w:sz w:val="32"/>
          <w:szCs w:val="32"/>
          <w:lang w:val="en-US" w:eastAsia="zh-CN"/>
          <w14:textFill>
            <w14:solidFill>
              <w14:schemeClr w14:val="tx1"/>
            </w14:solidFill>
          </w14:textFill>
        </w:rPr>
        <w:t>开展法律进寺庙活动2次，对宪法、宗教事务管理条例进行宣讲，发放普法读本100余本，普法挂历60件。规范审批佛事活动6次，僧人外出请销假审批和劝返僧尼的管理与服务进一步加强。</w:t>
      </w:r>
      <w:r>
        <w:rPr>
          <w:rFonts w:hint="eastAsia" w:ascii="仿宋" w:hAnsi="仿宋" w:eastAsia="仿宋"/>
          <w:b/>
          <w:bCs/>
          <w:color w:val="000000" w:themeColor="text1"/>
          <w:sz w:val="32"/>
          <w:szCs w:val="32"/>
          <w:lang w:val="en-US" w:eastAsia="zh-CN"/>
          <w14:textFill>
            <w14:solidFill>
              <w14:schemeClr w14:val="tx1"/>
            </w14:solidFill>
          </w14:textFill>
        </w:rPr>
        <w:t>安全生产方面：</w:t>
      </w:r>
      <w:r>
        <w:rPr>
          <w:rFonts w:hint="eastAsia" w:ascii="仿宋" w:hAnsi="仿宋" w:eastAsia="仿宋"/>
          <w:color w:val="000000" w:themeColor="text1"/>
          <w:sz w:val="32"/>
          <w:szCs w:val="32"/>
          <w:lang w:val="en-US" w:eastAsia="zh-CN"/>
          <w14:textFill>
            <w14:solidFill>
              <w14:schemeClr w14:val="tx1"/>
            </w14:solidFill>
          </w14:textFill>
        </w:rPr>
        <w:t>统筹镇食安办、派出所干警、网格员开展食品安全巡查7次，签订安全生产责任书5份，开出食品安全整改通知书2份，没收过期面粉3袋，未发生安全事故，安全态势平稳。</w:t>
      </w:r>
      <w:r>
        <w:rPr>
          <w:rFonts w:hint="eastAsia" w:ascii="仿宋" w:hAnsi="仿宋" w:eastAsia="仿宋"/>
          <w:b/>
          <w:bCs/>
          <w:color w:val="000000" w:themeColor="text1"/>
          <w:sz w:val="32"/>
          <w:szCs w:val="32"/>
          <w:lang w:val="en-US" w:eastAsia="zh-CN"/>
          <w14:textFill>
            <w14:solidFill>
              <w14:schemeClr w14:val="tx1"/>
            </w14:solidFill>
          </w14:textFill>
        </w:rPr>
        <w:t>意识形态方面：</w:t>
      </w:r>
      <w:r>
        <w:rPr>
          <w:rFonts w:hint="eastAsia" w:ascii="仿宋" w:hAnsi="仿宋" w:eastAsia="仿宋"/>
          <w:color w:val="000000" w:themeColor="text1"/>
          <w:sz w:val="32"/>
          <w:szCs w:val="32"/>
          <w:lang w:val="en-US" w:eastAsia="zh-CN"/>
          <w14:textFill>
            <w14:solidFill>
              <w14:schemeClr w14:val="tx1"/>
            </w14:solidFill>
          </w14:textFill>
        </w:rPr>
        <w:t>聚焦中央、省州县重点工作组织开展学习活动10次以上，聚焦民族团结协助开展文体活动3次，报送宣传简报96期，利用微信平台宣传工作14次，牢牢把握了工作主动权。</w:t>
      </w:r>
    </w:p>
    <w:p>
      <w:pPr>
        <w:pStyle w:val="1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right="0" w:firstLine="643"/>
        <w:jc w:val="both"/>
        <w:textAlignment w:val="auto"/>
        <w:rPr>
          <w:rFonts w:hint="eastAsia" w:ascii="仿宋_GB2312" w:hAnsi="仿宋_GB2312" w:eastAsia="仿宋_GB2312" w:cs="仿宋_GB2312"/>
          <w:b/>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楷体_GB2312" w:hAnsi="Times New Roman" w:eastAsia="楷体_GB2312" w:cs="楷体_GB2312"/>
          <w:b/>
          <w:bCs/>
          <w:color w:val="000000" w:themeColor="text1"/>
          <w:sz w:val="32"/>
          <w:szCs w:val="32"/>
          <w:u w:val="none"/>
          <w:lang w:val="en-US" w:eastAsia="zh-CN"/>
          <w14:textFill>
            <w14:solidFill>
              <w14:schemeClr w14:val="tx1"/>
            </w14:solidFill>
          </w14:textFill>
        </w:rPr>
        <w:t>（六）法治廉洁政府高效建设。</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认真贯彻执行上级党风廉政建设的各项规定，切实转变工作作风，切实规范镇村干部行为，做到警钟长鸣，加强教育，健全制度，强化监督，坚决查处各种违纪违法行为，坚决消除滋生腐败现象的温床。</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累计</w:t>
      </w: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召开党风廉政建设会议10次，专题学习了中央、省、州纪委全会精神和县纪委十二届四次全会精神。镇政府班子与镇党委签订《党风廉政责任书》3份，明确重点工作任务35条，政府主体责任和纪委监督责任进一步明晰。常态推进会前学法，干部法纪意识有效增强。</w:t>
      </w:r>
    </w:p>
    <w:p>
      <w:pPr>
        <w:snapToGrid w:val="0"/>
        <w:spacing w:line="520" w:lineRule="exact"/>
        <w:ind w:firstLine="640" w:firstLineChars="200"/>
        <w:rPr>
          <w:rFonts w:ascii="仿宋" w:hAnsi="仿宋" w:eastAsia="仿宋"/>
          <w:color w:val="000000" w:themeColor="text1"/>
          <w:kern w:val="0"/>
          <w:sz w:val="32"/>
          <w:szCs w:val="32"/>
          <w14:textFill>
            <w14:solidFill>
              <w14:schemeClr w14:val="tx1"/>
            </w14:solidFill>
          </w14:textFill>
        </w:rPr>
      </w:pPr>
    </w:p>
    <w:p>
      <w:pPr>
        <w:pStyle w:val="3"/>
        <w:ind w:right="440" w:firstLine="440" w:firstLineChars="100"/>
        <w:jc w:val="both"/>
        <w:rPr>
          <w:rStyle w:val="27"/>
          <w:rFonts w:hint="eastAsia" w:ascii="黑体" w:hAnsi="黑体" w:eastAsia="黑体" w:cs="黑体"/>
          <w:b w:val="0"/>
          <w:bCs w:val="0"/>
          <w:color w:val="000000" w:themeColor="text1"/>
          <w14:textFill>
            <w14:solidFill>
              <w14:schemeClr w14:val="tx1"/>
            </w14:solidFill>
          </w14:textFill>
        </w:rPr>
      </w:pPr>
      <w:bookmarkStart w:id="29" w:name="_Toc15396602"/>
      <w:bookmarkStart w:id="30" w:name="_Toc15377204"/>
      <w:bookmarkStart w:id="31" w:name="_Toc11674"/>
      <w:r>
        <w:rPr>
          <w:rFonts w:hint="eastAsia" w:ascii="黑体" w:hAnsi="黑体" w:eastAsia="黑体" w:cs="黑体"/>
          <w:b w:val="0"/>
          <w:color w:val="000000" w:themeColor="text1"/>
          <w14:textFill>
            <w14:solidFill>
              <w14:schemeClr w14:val="tx1"/>
            </w14:solidFill>
          </w14:textFill>
        </w:rPr>
        <w:t>第二部分</w:t>
      </w:r>
      <w:r>
        <w:rPr>
          <w:rFonts w:hint="eastAsia" w:ascii="黑体" w:hAnsi="黑体" w:eastAsia="黑体" w:cs="黑体"/>
          <w:color w:val="000000" w:themeColor="text1"/>
          <w14:textFill>
            <w14:solidFill>
              <w14:schemeClr w14:val="tx1"/>
            </w14:solidFill>
          </w14:textFill>
        </w:rPr>
        <w:t xml:space="preserve"> </w:t>
      </w:r>
      <w:r>
        <w:rPr>
          <w:rStyle w:val="27"/>
          <w:rFonts w:hint="eastAsia" w:ascii="黑体" w:hAnsi="黑体" w:eastAsia="黑体" w:cs="黑体"/>
          <w:b w:val="0"/>
          <w:bCs w:val="0"/>
          <w:color w:val="000000" w:themeColor="text1"/>
          <w14:textFill>
            <w14:solidFill>
              <w14:schemeClr w14:val="tx1"/>
            </w14:solidFill>
          </w14:textFill>
        </w:rPr>
        <w:t>2019年度部门决算情况说明</w:t>
      </w:r>
      <w:bookmarkEnd w:id="29"/>
      <w:bookmarkEnd w:id="30"/>
      <w:bookmarkEnd w:id="31"/>
    </w:p>
    <w:p>
      <w:pPr>
        <w:rPr>
          <w:color w:val="000000" w:themeColor="text1"/>
          <w14:textFill>
            <w14:solidFill>
              <w14:schemeClr w14:val="tx1"/>
            </w14:solidFill>
          </w14:textFill>
        </w:rPr>
      </w:pPr>
    </w:p>
    <w:p>
      <w:pPr>
        <w:pStyle w:val="26"/>
        <w:numPr>
          <w:ilvl w:val="0"/>
          <w:numId w:val="1"/>
        </w:numPr>
        <w:spacing w:line="600" w:lineRule="exact"/>
        <w:ind w:firstLineChars="0"/>
        <w:outlineLvl w:val="1"/>
        <w:rPr>
          <w:rStyle w:val="28"/>
          <w:rFonts w:ascii="黑体" w:hAnsi="黑体" w:eastAsia="黑体"/>
          <w:b w:val="0"/>
          <w:color w:val="000000" w:themeColor="text1"/>
          <w14:textFill>
            <w14:solidFill>
              <w14:schemeClr w14:val="tx1"/>
            </w14:solidFill>
          </w14:textFill>
        </w:rPr>
      </w:pPr>
      <w:bookmarkStart w:id="32" w:name="_Toc15377205"/>
      <w:bookmarkStart w:id="33" w:name="_Toc15396603"/>
      <w:bookmarkStart w:id="34" w:name="_Toc16113"/>
      <w:r>
        <w:rPr>
          <w:rFonts w:hint="eastAsia" w:ascii="黑体" w:hAnsi="黑体" w:eastAsia="黑体"/>
          <w:color w:val="000000" w:themeColor="text1"/>
          <w:sz w:val="32"/>
          <w:szCs w:val="32"/>
          <w14:textFill>
            <w14:solidFill>
              <w14:schemeClr w14:val="tx1"/>
            </w14:solidFill>
          </w14:textFill>
        </w:rPr>
        <w:t>收</w:t>
      </w:r>
      <w:r>
        <w:rPr>
          <w:rStyle w:val="28"/>
          <w:rFonts w:hint="eastAsia" w:ascii="黑体" w:hAnsi="黑体" w:eastAsia="黑体"/>
          <w:b w:val="0"/>
          <w:color w:val="000000" w:themeColor="text1"/>
          <w14:textFill>
            <w14:solidFill>
              <w14:schemeClr w14:val="tx1"/>
            </w14:solidFill>
          </w14:textFill>
        </w:rPr>
        <w:t>入支出决算总体情况说明</w:t>
      </w:r>
      <w:bookmarkEnd w:id="32"/>
      <w:bookmarkEnd w:id="33"/>
      <w:bookmarkEnd w:id="34"/>
    </w:p>
    <w:p>
      <w:pPr>
        <w:spacing w:line="600" w:lineRule="exact"/>
        <w:ind w:firstLine="640" w:firstLineChars="200"/>
        <w:rPr>
          <w:rFonts w:hint="eastAsia" w:ascii="仿宋_GB2312" w:hAnsi="仿宋_GB2312" w:eastAsia="仿宋_GB2312" w:cs="仿宋_GB2312"/>
          <w:color w:val="C0504D" w:themeColor="accent2"/>
          <w:sz w:val="32"/>
          <w:szCs w:val="32"/>
          <w:lang w:val="en-US"/>
          <w14:textFill>
            <w14:solidFill>
              <w14:schemeClr w14:val="accent2"/>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年度收</w:t>
      </w:r>
      <w:r>
        <w:rPr>
          <w:rFonts w:hint="eastAsia" w:ascii="仿宋_GB2312" w:hAnsi="仿宋_GB2312" w:eastAsia="仿宋_GB2312" w:cs="仿宋_GB2312"/>
          <w:color w:val="000000" w:themeColor="text1"/>
          <w:sz w:val="32"/>
          <w:szCs w:val="32"/>
          <w:lang w:eastAsia="zh-CN"/>
          <w14:textFill>
            <w14:solidFill>
              <w14:schemeClr w14:val="tx1"/>
            </w14:solidFill>
          </w14:textFill>
        </w:rPr>
        <w:t>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870.61</w:t>
      </w:r>
      <w:r>
        <w:rPr>
          <w:rFonts w:hint="eastAsia" w:ascii="仿宋_GB2312" w:hAnsi="仿宋_GB2312" w:eastAsia="仿宋_GB2312" w:cs="仿宋_GB2312"/>
          <w:color w:val="000000" w:themeColor="text1"/>
          <w:sz w:val="32"/>
          <w:szCs w:val="32"/>
          <w:lang w:eastAsia="zh-CN"/>
          <w14:textFill>
            <w14:solidFill>
              <w14:schemeClr w14:val="tx1"/>
            </w14:solidFill>
          </w14:textFill>
        </w:rPr>
        <w:t>万元，支出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967.24</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auto"/>
          <w:sz w:val="32"/>
          <w:szCs w:val="32"/>
        </w:rPr>
        <w:t>与201</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年相比，</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241.6329万元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，支减少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54.62</w:t>
      </w:r>
      <w:r>
        <w:rPr>
          <w:rFonts w:hint="eastAsia" w:ascii="仿宋_GB2312" w:hAnsi="仿宋_GB2312" w:eastAsia="仿宋_GB2312" w:cs="仿宋_GB2312"/>
          <w:color w:val="000000" w:themeColor="text1"/>
          <w:sz w:val="32"/>
          <w:szCs w:val="32"/>
          <w14:textFill>
            <w14:solidFill>
              <w14:schemeClr w14:val="tx1"/>
            </w14:solidFill>
          </w14:textFill>
        </w:rPr>
        <w:t>万元，分别</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增加24.01</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减少4.73</w:t>
      </w:r>
      <w:r>
        <w:rPr>
          <w:rFonts w:hint="eastAsia" w:ascii="仿宋_GB2312" w:hAnsi="仿宋_GB2312" w:eastAsia="仿宋_GB2312" w:cs="仿宋_GB2312"/>
          <w:color w:val="000000" w:themeColor="text1"/>
          <w:sz w:val="32"/>
          <w:szCs w:val="32"/>
          <w14:textFill>
            <w14:solidFill>
              <w14:schemeClr w14:val="tx1"/>
            </w14:solidFill>
          </w14:textFill>
        </w:rPr>
        <w:t>%。主要变动原因是201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年度</w:t>
      </w:r>
      <w:r>
        <w:rPr>
          <w:rFonts w:hint="eastAsia" w:ascii="仿宋_GB2312" w:hAnsi="仿宋_GB2312" w:eastAsia="仿宋_GB2312" w:cs="仿宋_GB2312"/>
          <w:color w:val="000000" w:themeColor="text1"/>
          <w:sz w:val="32"/>
          <w:szCs w:val="32"/>
          <w:lang w:eastAsia="zh-CN"/>
          <w14:textFill>
            <w14:solidFill>
              <w14:schemeClr w14:val="tx1"/>
            </w14:solidFill>
          </w14:textFill>
        </w:rPr>
        <w:t>我镇建设项目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增加、人员调出。</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59264" behindDoc="1" locked="0" layoutInCell="1" allowOverlap="1">
            <wp:simplePos x="0" y="0"/>
            <wp:positionH relativeFrom="column">
              <wp:posOffset>387350</wp:posOffset>
            </wp:positionH>
            <wp:positionV relativeFrom="paragraph">
              <wp:posOffset>194310</wp:posOffset>
            </wp:positionV>
            <wp:extent cx="4064635" cy="2263140"/>
            <wp:effectExtent l="4445" t="4445" r="7620" b="1841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lang w:eastAsia="zh-CN"/>
          <w14:textFill>
            <w14:solidFill>
              <w14:schemeClr w14:val="tx1"/>
            </w14:solidFill>
          </w14:textFill>
        </w:rPr>
      </w:pPr>
    </w:p>
    <w:p>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（图1：收、支决算总计变动情况图）（柱状图）</w:t>
      </w:r>
    </w:p>
    <w:p>
      <w:pPr>
        <w:pStyle w:val="26"/>
        <w:numPr>
          <w:ilvl w:val="0"/>
          <w:numId w:val="1"/>
        </w:numPr>
        <w:spacing w:line="600" w:lineRule="exact"/>
        <w:ind w:firstLineChars="0"/>
        <w:outlineLvl w:val="1"/>
        <w:rPr>
          <w:rStyle w:val="28"/>
          <w:rFonts w:ascii="黑体" w:hAnsi="黑体" w:eastAsia="黑体"/>
          <w:b w:val="0"/>
          <w:color w:val="000000" w:themeColor="text1"/>
          <w14:textFill>
            <w14:solidFill>
              <w14:schemeClr w14:val="tx1"/>
            </w14:solidFill>
          </w14:textFill>
        </w:rPr>
      </w:pPr>
      <w:bookmarkStart w:id="35" w:name="_Toc15396604"/>
      <w:bookmarkStart w:id="36" w:name="_Toc15377206"/>
      <w:bookmarkStart w:id="37" w:name="_Toc21414"/>
      <w:r>
        <w:rPr>
          <w:rFonts w:hint="eastAsia" w:ascii="黑体" w:hAnsi="黑体" w:eastAsia="黑体"/>
          <w:color w:val="000000" w:themeColor="text1"/>
          <w:sz w:val="32"/>
          <w:szCs w:val="32"/>
          <w14:textFill>
            <w14:solidFill>
              <w14:schemeClr w14:val="tx1"/>
            </w14:solidFill>
          </w14:textFill>
        </w:rPr>
        <w:t>收</w:t>
      </w:r>
      <w:r>
        <w:rPr>
          <w:rStyle w:val="28"/>
          <w:rFonts w:hint="eastAsia" w:ascii="黑体" w:hAnsi="黑体" w:eastAsia="黑体"/>
          <w:b w:val="0"/>
          <w:color w:val="000000" w:themeColor="text1"/>
          <w14:textFill>
            <w14:solidFill>
              <w14:schemeClr w14:val="tx1"/>
            </w14:solidFill>
          </w14:textFill>
        </w:rPr>
        <w:t>入决算情况说明</w:t>
      </w:r>
      <w:bookmarkEnd w:id="35"/>
      <w:bookmarkEnd w:id="36"/>
      <w:bookmarkEnd w:id="37"/>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bookmarkStart w:id="38" w:name="_Toc17094"/>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9年本年收入合计</w:t>
      </w:r>
      <w:r>
        <w:rPr>
          <w:rFonts w:hint="eastAsia" w:ascii="仿宋" w:hAnsi="仿宋" w:eastAsia="仿宋"/>
          <w:color w:val="000000" w:themeColor="text1"/>
          <w:sz w:val="32"/>
          <w:szCs w:val="32"/>
          <w:lang w:val="en-US" w:eastAsia="zh-CN"/>
          <w14:textFill>
            <w14:solidFill>
              <w14:schemeClr w14:val="tx1"/>
            </w14:solidFill>
          </w14:textFill>
        </w:rPr>
        <w:t>870.61</w:t>
      </w:r>
      <w:r>
        <w:rPr>
          <w:rFonts w:hint="eastAsia" w:ascii="仿宋" w:hAnsi="仿宋" w:eastAsia="仿宋"/>
          <w:color w:val="000000" w:themeColor="text1"/>
          <w:sz w:val="32"/>
          <w:szCs w:val="32"/>
          <w14:textFill>
            <w14:solidFill>
              <w14:schemeClr w14:val="tx1"/>
            </w14:solidFill>
          </w14:textFill>
        </w:rPr>
        <w:t>万元，其中：一般公共预算财政拨款收入</w:t>
      </w:r>
      <w:r>
        <w:rPr>
          <w:rFonts w:hint="eastAsia" w:ascii="仿宋" w:hAnsi="仿宋" w:eastAsia="仿宋"/>
          <w:color w:val="000000" w:themeColor="text1"/>
          <w:sz w:val="32"/>
          <w:szCs w:val="32"/>
          <w:lang w:val="en-US" w:eastAsia="zh-CN"/>
          <w14:textFill>
            <w14:solidFill>
              <w14:schemeClr w14:val="tx1"/>
            </w14:solidFill>
          </w14:textFill>
        </w:rPr>
        <w:t>870.61</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100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；政府性基金预算财政拨款收入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；事业收入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；经营收入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；附属单位上缴收入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；其他收入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 xml:space="preserve"> 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bookmarkEnd w:id="38"/>
    </w:p>
    <w:p>
      <w:pPr>
        <w:spacing w:line="600" w:lineRule="exact"/>
        <w:ind w:firstLine="640" w:firstLineChars="200"/>
        <w:outlineLvl w:val="9"/>
        <w:rPr>
          <w:rFonts w:hint="eastAsia" w:ascii="仿宋" w:hAnsi="仿宋" w:eastAsia="仿宋"/>
          <w:color w:val="000000" w:themeColor="text1"/>
          <w:sz w:val="32"/>
          <w:szCs w:val="32"/>
          <w:lang w:eastAsia="zh-CN"/>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0288" behindDoc="1" locked="0" layoutInCell="1" allowOverlap="1">
            <wp:simplePos x="0" y="0"/>
            <wp:positionH relativeFrom="column">
              <wp:posOffset>179705</wp:posOffset>
            </wp:positionH>
            <wp:positionV relativeFrom="paragraph">
              <wp:posOffset>64770</wp:posOffset>
            </wp:positionV>
            <wp:extent cx="4191635" cy="2341245"/>
            <wp:effectExtent l="4445" t="4445" r="13970" b="1651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26"/>
        <w:numPr>
          <w:ilvl w:val="0"/>
          <w:numId w:val="1"/>
        </w:numPr>
        <w:spacing w:line="600" w:lineRule="exact"/>
        <w:ind w:firstLineChars="0"/>
        <w:outlineLvl w:val="1"/>
        <w:rPr>
          <w:rStyle w:val="28"/>
          <w:rFonts w:ascii="黑体" w:hAnsi="黑体" w:eastAsia="黑体"/>
          <w:b w:val="0"/>
          <w:color w:val="000000" w:themeColor="text1"/>
          <w14:textFill>
            <w14:solidFill>
              <w14:schemeClr w14:val="tx1"/>
            </w14:solidFill>
          </w14:textFill>
        </w:rPr>
      </w:pPr>
      <w:bookmarkStart w:id="39" w:name="_Toc15377207"/>
      <w:bookmarkStart w:id="40" w:name="_Toc5979"/>
      <w:bookmarkStart w:id="41" w:name="_Toc15396605"/>
      <w:r>
        <w:rPr>
          <w:rFonts w:hint="eastAsia" w:ascii="黑体" w:hAnsi="黑体" w:eastAsia="黑体"/>
          <w:color w:val="000000" w:themeColor="text1"/>
          <w:sz w:val="32"/>
          <w:szCs w:val="32"/>
          <w14:textFill>
            <w14:solidFill>
              <w14:schemeClr w14:val="tx1"/>
            </w14:solidFill>
          </w14:textFill>
        </w:rPr>
        <w:t>支</w:t>
      </w:r>
      <w:r>
        <w:rPr>
          <w:rStyle w:val="28"/>
          <w:rFonts w:hint="eastAsia" w:ascii="黑体" w:hAnsi="黑体" w:eastAsia="黑体"/>
          <w:b w:val="0"/>
          <w:color w:val="000000" w:themeColor="text1"/>
          <w14:textFill>
            <w14:solidFill>
              <w14:schemeClr w14:val="tx1"/>
            </w14:solidFill>
          </w14:textFill>
        </w:rPr>
        <w:t>出决算情况说明</w:t>
      </w:r>
      <w:bookmarkEnd w:id="39"/>
      <w:bookmarkEnd w:id="40"/>
      <w:bookmarkEnd w:id="41"/>
    </w:p>
    <w:p>
      <w:pPr>
        <w:spacing w:line="600" w:lineRule="exact"/>
        <w:ind w:firstLine="640" w:firstLineChars="200"/>
        <w:outlineLvl w:val="1"/>
        <w:rPr>
          <w:rFonts w:hint="eastAsia" w:ascii="仿宋_GB2312" w:hAnsi="仿宋_GB2312" w:eastAsia="仿宋_GB2312" w:cs="仿宋_GB2312"/>
          <w:color w:val="auto"/>
          <w:sz w:val="32"/>
          <w:szCs w:val="32"/>
        </w:rPr>
      </w:pPr>
      <w:bookmarkStart w:id="42" w:name="_Toc30383"/>
      <w:r>
        <w:rPr>
          <w:rFonts w:hint="eastAsia" w:ascii="仿宋_GB2312" w:hAnsi="仿宋_GB2312" w:eastAsia="仿宋_GB2312" w:cs="仿宋_GB2312"/>
          <w:color w:val="auto"/>
          <w:sz w:val="32"/>
          <w:szCs w:val="32"/>
        </w:rPr>
        <w:t>2019年本年支出合计</w:t>
      </w:r>
      <w:r>
        <w:rPr>
          <w:rFonts w:hint="eastAsia" w:ascii="仿宋_GB2312" w:hAnsi="仿宋_GB2312" w:eastAsia="仿宋_GB2312" w:cs="仿宋_GB2312"/>
          <w:color w:val="auto"/>
          <w:sz w:val="32"/>
          <w:szCs w:val="32"/>
          <w:lang w:val="en-US" w:eastAsia="zh-CN"/>
        </w:rPr>
        <w:t>967.24</w:t>
      </w:r>
      <w:r>
        <w:rPr>
          <w:rFonts w:hint="eastAsia" w:ascii="仿宋_GB2312" w:hAnsi="仿宋_GB2312" w:eastAsia="仿宋_GB2312" w:cs="仿宋_GB2312"/>
          <w:color w:val="auto"/>
          <w:sz w:val="32"/>
          <w:szCs w:val="32"/>
        </w:rPr>
        <w:t>万元，其中：基本支出</w:t>
      </w:r>
      <w:r>
        <w:rPr>
          <w:rFonts w:hint="eastAsia" w:ascii="仿宋_GB2312" w:hAnsi="仿宋_GB2312" w:eastAsia="仿宋_GB2312" w:cs="仿宋_GB2312"/>
          <w:color w:val="auto"/>
          <w:sz w:val="32"/>
          <w:szCs w:val="32"/>
          <w:lang w:val="en-US" w:eastAsia="zh-CN"/>
        </w:rPr>
        <w:t>634.24</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65.57</w:t>
      </w:r>
      <w:r>
        <w:rPr>
          <w:rFonts w:hint="eastAsia" w:ascii="仿宋_GB2312" w:hAnsi="仿宋_GB2312" w:eastAsia="仿宋_GB2312" w:cs="仿宋_GB2312"/>
          <w:color w:val="auto"/>
          <w:sz w:val="32"/>
          <w:szCs w:val="32"/>
        </w:rPr>
        <w:t>%；项目支出</w:t>
      </w:r>
      <w:r>
        <w:rPr>
          <w:rFonts w:hint="eastAsia" w:ascii="仿宋_GB2312" w:hAnsi="仿宋_GB2312" w:eastAsia="仿宋_GB2312" w:cs="仿宋_GB2312"/>
          <w:color w:val="auto"/>
          <w:sz w:val="32"/>
          <w:szCs w:val="32"/>
          <w:lang w:val="en-US" w:eastAsia="zh-CN"/>
        </w:rPr>
        <w:t>333</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34.43</w:t>
      </w:r>
      <w:r>
        <w:rPr>
          <w:rFonts w:hint="eastAsia" w:ascii="仿宋_GB2312" w:hAnsi="仿宋_GB2312" w:eastAsia="仿宋_GB2312" w:cs="仿宋_GB2312"/>
          <w:color w:val="auto"/>
          <w:sz w:val="32"/>
          <w:szCs w:val="32"/>
        </w:rPr>
        <w:t>%；上缴上级支出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%；经营支出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%；对附属单位补助支出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w:t>
      </w:r>
      <w:bookmarkEnd w:id="42"/>
    </w:p>
    <w:p>
      <w:pPr>
        <w:spacing w:line="600" w:lineRule="exact"/>
        <w:ind w:firstLine="640" w:firstLineChars="200"/>
        <w:outlineLvl w:val="9"/>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1312" behindDoc="1" locked="0" layoutInCell="1" allowOverlap="1">
            <wp:simplePos x="0" y="0"/>
            <wp:positionH relativeFrom="column">
              <wp:posOffset>396875</wp:posOffset>
            </wp:positionH>
            <wp:positionV relativeFrom="paragraph">
              <wp:posOffset>61595</wp:posOffset>
            </wp:positionV>
            <wp:extent cx="3740150" cy="2508885"/>
            <wp:effectExtent l="4445" t="5080" r="8255" b="1968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9"/>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9"/>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9"/>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9"/>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9"/>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9"/>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（图3：支出决算结构图）（饼状图）</w:t>
      </w:r>
    </w:p>
    <w:p>
      <w:pPr>
        <w:spacing w:line="600" w:lineRule="exact"/>
        <w:ind w:firstLine="640" w:firstLineChars="200"/>
        <w:outlineLvl w:val="1"/>
        <w:rPr>
          <w:rStyle w:val="28"/>
          <w:rFonts w:ascii="黑体" w:hAnsi="黑体" w:eastAsia="黑体"/>
          <w:b w:val="0"/>
          <w:color w:val="000000" w:themeColor="text1"/>
          <w14:textFill>
            <w14:solidFill>
              <w14:schemeClr w14:val="tx1"/>
            </w14:solidFill>
          </w14:textFill>
        </w:rPr>
      </w:pPr>
      <w:bookmarkStart w:id="43" w:name="_Toc15396606"/>
      <w:bookmarkStart w:id="44" w:name="_Toc14502"/>
      <w:bookmarkStart w:id="45" w:name="_Toc15377208"/>
      <w:r>
        <w:rPr>
          <w:rFonts w:hint="eastAsia" w:ascii="黑体" w:hAnsi="黑体" w:eastAsia="黑体"/>
          <w:color w:val="000000" w:themeColor="text1"/>
          <w:sz w:val="32"/>
          <w:szCs w:val="32"/>
          <w14:textFill>
            <w14:solidFill>
              <w14:schemeClr w14:val="tx1"/>
            </w14:solidFill>
          </w14:textFill>
        </w:rPr>
        <w:t>四、财</w:t>
      </w:r>
      <w:r>
        <w:rPr>
          <w:rStyle w:val="28"/>
          <w:rFonts w:hint="eastAsia" w:ascii="黑体" w:hAnsi="黑体" w:eastAsia="黑体"/>
          <w:b w:val="0"/>
          <w:color w:val="000000" w:themeColor="text1"/>
          <w14:textFill>
            <w14:solidFill>
              <w14:schemeClr w14:val="tx1"/>
            </w14:solidFill>
          </w14:textFill>
        </w:rPr>
        <w:t>政拨款收入支出决算总体情况说明</w:t>
      </w:r>
      <w:bookmarkEnd w:id="43"/>
      <w:bookmarkEnd w:id="44"/>
      <w:bookmarkEnd w:id="45"/>
    </w:p>
    <w:p>
      <w:pPr>
        <w:spacing w:line="600" w:lineRule="exact"/>
        <w:ind w:firstLine="640" w:firstLineChars="200"/>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2019年财政拨款收、支总计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1837.85</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收</w:t>
      </w:r>
      <w:r>
        <w:rPr>
          <w:rFonts w:hint="eastAsia" w:ascii="仿宋_GB2312" w:hAnsi="仿宋_GB2312" w:eastAsia="仿宋_GB2312" w:cs="仿宋_GB2312"/>
          <w:color w:val="000000" w:themeColor="text1"/>
          <w:sz w:val="32"/>
          <w:szCs w:val="32"/>
          <w:lang w:eastAsia="zh-CN"/>
          <w14:textFill>
            <w14:solidFill>
              <w14:schemeClr w14:val="tx1"/>
            </w14:solidFill>
          </w14:textFill>
        </w:rPr>
        <w:t>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870.61</w:t>
      </w:r>
      <w:r>
        <w:rPr>
          <w:rFonts w:hint="eastAsia" w:ascii="仿宋_GB2312" w:hAnsi="仿宋_GB2312" w:eastAsia="仿宋_GB2312" w:cs="仿宋_GB2312"/>
          <w:color w:val="000000" w:themeColor="text1"/>
          <w:sz w:val="32"/>
          <w:szCs w:val="32"/>
          <w:lang w:eastAsia="zh-CN"/>
          <w14:textFill>
            <w14:solidFill>
              <w14:schemeClr w14:val="tx1"/>
            </w14:solidFill>
          </w14:textFill>
        </w:rPr>
        <w:t>万元，支出</w:t>
      </w:r>
      <w:r>
        <w:rPr>
          <w:rFonts w:hint="eastAsia" w:ascii="仿宋_GB2312" w:hAnsi="仿宋_GB2312" w:eastAsia="仿宋_GB2312" w:cs="仿宋_GB2312"/>
          <w:color w:val="auto"/>
          <w:sz w:val="32"/>
          <w:szCs w:val="32"/>
          <w:lang w:val="en-US" w:eastAsia="zh-CN"/>
        </w:rPr>
        <w:t>967.24</w:t>
      </w:r>
      <w:r>
        <w:rPr>
          <w:rFonts w:hint="eastAsia" w:ascii="仿宋_GB2312" w:hAnsi="仿宋_GB2312" w:eastAsia="仿宋_GB2312" w:cs="仿宋_GB2312"/>
          <w:color w:val="000000" w:themeColor="text1"/>
          <w:sz w:val="32"/>
          <w:szCs w:val="32"/>
          <w14:textFill>
            <w14:solidFill>
              <w14:schemeClr w14:val="tx1"/>
            </w14:solidFill>
          </w14:textFill>
        </w:rPr>
        <w:t>万元。与2018年相比，财政拨款收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入增加241.63万元</w:t>
      </w:r>
      <w:r>
        <w:rPr>
          <w:rFonts w:hint="eastAsia" w:ascii="仿宋_GB2312" w:hAnsi="仿宋_GB2312" w:eastAsia="仿宋_GB2312" w:cs="仿宋_GB2312"/>
          <w:color w:val="000000" w:themeColor="text1"/>
          <w:sz w:val="32"/>
          <w:szCs w:val="32"/>
          <w14:textFill>
            <w14:solidFill>
              <w14:schemeClr w14:val="tx1"/>
            </w14:solidFill>
          </w14:textFill>
        </w:rPr>
        <w:t>、支减少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340.95</w:t>
      </w:r>
      <w:r>
        <w:rPr>
          <w:rFonts w:hint="eastAsia" w:ascii="仿宋_GB2312" w:hAnsi="仿宋_GB2312" w:eastAsia="仿宋_GB2312" w:cs="仿宋_GB2312"/>
          <w:color w:val="000000" w:themeColor="text1"/>
          <w:sz w:val="32"/>
          <w:szCs w:val="32"/>
          <w14:textFill>
            <w14:solidFill>
              <w14:schemeClr w14:val="tx1"/>
            </w14:solidFill>
          </w14:textFill>
        </w:rPr>
        <w:t>万元，分别</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增加38.41</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减少26.06</w:t>
      </w:r>
      <w:r>
        <w:rPr>
          <w:rFonts w:hint="eastAsia" w:ascii="仿宋_GB2312" w:hAnsi="仿宋_GB2312" w:eastAsia="仿宋_GB2312" w:cs="仿宋_GB2312"/>
          <w:color w:val="000000" w:themeColor="text1"/>
          <w:sz w:val="32"/>
          <w:szCs w:val="32"/>
          <w14:textFill>
            <w14:solidFill>
              <w14:schemeClr w14:val="tx1"/>
            </w14:solidFill>
          </w14:textFill>
        </w:rPr>
        <w:t>%。主要变动原因是201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年度</w:t>
      </w:r>
      <w:r>
        <w:rPr>
          <w:rFonts w:hint="eastAsia" w:ascii="仿宋_GB2312" w:hAnsi="仿宋_GB2312" w:eastAsia="仿宋_GB2312" w:cs="仿宋_GB2312"/>
          <w:color w:val="000000" w:themeColor="text1"/>
          <w:sz w:val="32"/>
          <w:szCs w:val="32"/>
          <w:lang w:eastAsia="zh-CN"/>
          <w14:textFill>
            <w14:solidFill>
              <w14:schemeClr w14:val="tx1"/>
            </w14:solidFill>
          </w14:textFill>
        </w:rPr>
        <w:t>我镇建设项目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增加、人员调出。</w:t>
      </w:r>
    </w:p>
    <w:p>
      <w:pPr>
        <w:spacing w:line="600" w:lineRule="exact"/>
        <w:ind w:firstLine="640" w:firstLineChars="200"/>
        <w:rPr>
          <w:rFonts w:hint="eastAsia" w:ascii="仿宋" w:hAnsi="仿宋" w:eastAsia="仿宋"/>
          <w:color w:val="000000" w:themeColor="text1"/>
          <w:sz w:val="32"/>
          <w:szCs w:val="32"/>
          <w:lang w:eastAsia="zh-CN"/>
          <w14:textFill>
            <w14:solidFill>
              <w14:schemeClr w14:val="tx1"/>
            </w14:solidFill>
          </w14:textFill>
        </w:rPr>
      </w:pPr>
    </w:p>
    <w:p>
      <w:pPr>
        <w:spacing w:line="600" w:lineRule="exact"/>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2336" behindDoc="1" locked="0" layoutInCell="1" allowOverlap="1">
            <wp:simplePos x="0" y="0"/>
            <wp:positionH relativeFrom="column">
              <wp:posOffset>465455</wp:posOffset>
            </wp:positionH>
            <wp:positionV relativeFrom="paragraph">
              <wp:posOffset>100330</wp:posOffset>
            </wp:positionV>
            <wp:extent cx="3737610" cy="2405380"/>
            <wp:effectExtent l="4445" t="4445" r="10795" b="952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firstLineChars="200"/>
        <w:outlineLvl w:val="1"/>
        <w:rPr>
          <w:rStyle w:val="28"/>
          <w:rFonts w:ascii="黑体" w:hAnsi="黑体" w:eastAsia="黑体"/>
          <w:b w:val="0"/>
          <w:color w:val="000000" w:themeColor="text1"/>
          <w14:textFill>
            <w14:solidFill>
              <w14:schemeClr w14:val="tx1"/>
            </w14:solidFill>
          </w14:textFill>
        </w:rPr>
      </w:pPr>
      <w:bookmarkStart w:id="46" w:name="_Toc11606"/>
      <w:bookmarkStart w:id="47" w:name="_Toc15396607"/>
      <w:bookmarkStart w:id="48" w:name="_Toc15377209"/>
      <w:r>
        <w:rPr>
          <w:rFonts w:hint="eastAsia" w:ascii="黑体" w:hAnsi="黑体" w:eastAsia="黑体"/>
          <w:color w:val="000000" w:themeColor="text1"/>
          <w:sz w:val="32"/>
          <w:szCs w:val="32"/>
          <w14:textFill>
            <w14:solidFill>
              <w14:schemeClr w14:val="tx1"/>
            </w14:solidFill>
          </w14:textFill>
        </w:rPr>
        <w:t>五、</w:t>
      </w:r>
      <w:r>
        <w:rPr>
          <w:rFonts w:hint="eastAsia" w:ascii="黑体" w:hAnsi="黑体" w:eastAsia="黑体"/>
          <w:b/>
          <w:color w:val="000000" w:themeColor="text1"/>
          <w:sz w:val="32"/>
          <w:szCs w:val="32"/>
          <w14:textFill>
            <w14:solidFill>
              <w14:schemeClr w14:val="tx1"/>
            </w14:solidFill>
          </w14:textFill>
        </w:rPr>
        <w:t>一</w:t>
      </w:r>
      <w:r>
        <w:rPr>
          <w:rStyle w:val="28"/>
          <w:rFonts w:hint="eastAsia" w:ascii="黑体" w:hAnsi="黑体" w:eastAsia="黑体"/>
          <w:b w:val="0"/>
          <w:color w:val="000000" w:themeColor="text1"/>
          <w14:textFill>
            <w14:solidFill>
              <w14:schemeClr w14:val="tx1"/>
            </w14:solidFill>
          </w14:textFill>
        </w:rPr>
        <w:t>般公共预算财政拨款支出决算情况说明</w:t>
      </w:r>
      <w:bookmarkEnd w:id="46"/>
      <w:bookmarkEnd w:id="47"/>
      <w:bookmarkEnd w:id="48"/>
    </w:p>
    <w:p>
      <w:pPr>
        <w:spacing w:line="600" w:lineRule="exact"/>
        <w:ind w:firstLine="643" w:firstLineChars="200"/>
        <w:outlineLvl w:val="2"/>
        <w:rPr>
          <w:rFonts w:hint="eastAsia" w:ascii="仿宋_GB2312" w:hAnsi="仿宋_GB2312" w:eastAsia="仿宋_GB2312" w:cs="仿宋_GB2312"/>
          <w:b/>
          <w:color w:val="000000" w:themeColor="text1"/>
          <w:sz w:val="32"/>
          <w:szCs w:val="32"/>
          <w14:textFill>
            <w14:solidFill>
              <w14:schemeClr w14:val="tx1"/>
            </w14:solidFill>
          </w14:textFill>
        </w:rPr>
      </w:pPr>
      <w:bookmarkStart w:id="49" w:name="_Toc15377210"/>
      <w:r>
        <w:rPr>
          <w:rFonts w:hint="eastAsia" w:ascii="仿宋_GB2312" w:hAnsi="仿宋_GB2312" w:eastAsia="仿宋_GB2312" w:cs="仿宋_GB2312"/>
          <w:b/>
          <w:color w:val="000000" w:themeColor="text1"/>
          <w:sz w:val="32"/>
          <w:szCs w:val="32"/>
          <w14:textFill>
            <w14:solidFill>
              <w14:schemeClr w14:val="tx1"/>
            </w14:solidFill>
          </w14:textFill>
        </w:rPr>
        <w:t>（一）一般公共预算财政拨款支出决算总体情况</w:t>
      </w:r>
      <w:bookmarkEnd w:id="49"/>
    </w:p>
    <w:p>
      <w:pPr>
        <w:spacing w:line="600" w:lineRule="exact"/>
        <w:ind w:firstLine="640" w:firstLineChars="200"/>
        <w:rPr>
          <w:rFonts w:hint="eastAsia" w:ascii="仿宋_GB2312" w:hAnsi="仿宋_GB2312" w:eastAsia="仿宋_GB2312" w:cs="仿宋_GB2312"/>
          <w:color w:val="C0504D" w:themeColor="accent2"/>
          <w:sz w:val="32"/>
          <w:szCs w:val="32"/>
          <w:lang w:val="en-US"/>
          <w14:textFill>
            <w14:solidFill>
              <w14:schemeClr w14:val="accent2"/>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2019年一般公共预算财政拨款支出</w:t>
      </w:r>
      <w:r>
        <w:rPr>
          <w:rFonts w:hint="eastAsia" w:ascii="仿宋_GB2312" w:hAnsi="仿宋_GB2312" w:eastAsia="仿宋_GB2312" w:cs="仿宋_GB2312"/>
          <w:color w:val="auto"/>
          <w:sz w:val="32"/>
          <w:szCs w:val="32"/>
          <w:lang w:val="en-US" w:eastAsia="zh-CN"/>
        </w:rPr>
        <w:t>967.24</w:t>
      </w:r>
      <w:r>
        <w:rPr>
          <w:rFonts w:hint="eastAsia" w:ascii="仿宋_GB2312" w:hAnsi="仿宋_GB2312" w:eastAsia="仿宋_GB2312" w:cs="仿宋_GB2312"/>
          <w:color w:val="000000" w:themeColor="text1"/>
          <w:sz w:val="32"/>
          <w:szCs w:val="32"/>
          <w14:textFill>
            <w14:solidFill>
              <w14:schemeClr w14:val="tx1"/>
            </w14:solidFill>
          </w14:textFill>
        </w:rPr>
        <w:t>万元，占本年支出合计的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%。与2018年相比，一般公共预算财政拨支减少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340.95</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减少26.06</w:t>
      </w:r>
      <w:r>
        <w:rPr>
          <w:rFonts w:hint="eastAsia" w:ascii="仿宋_GB2312" w:hAnsi="仿宋_GB2312" w:eastAsia="仿宋_GB2312" w:cs="仿宋_GB2312"/>
          <w:color w:val="000000" w:themeColor="text1"/>
          <w:sz w:val="32"/>
          <w:szCs w:val="32"/>
          <w14:textFill>
            <w14:solidFill>
              <w14:schemeClr w14:val="tx1"/>
            </w14:solidFill>
          </w14:textFill>
        </w:rPr>
        <w:t>%。主要变动原因是201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年度</w:t>
      </w:r>
      <w:r>
        <w:rPr>
          <w:rFonts w:hint="eastAsia" w:ascii="仿宋_GB2312" w:hAnsi="仿宋_GB2312" w:eastAsia="仿宋_GB2312" w:cs="仿宋_GB2312"/>
          <w:color w:val="000000" w:themeColor="text1"/>
          <w:sz w:val="32"/>
          <w:szCs w:val="32"/>
          <w:lang w:eastAsia="zh-CN"/>
          <w14:textFill>
            <w14:solidFill>
              <w14:schemeClr w14:val="tx1"/>
            </w14:solidFill>
          </w14:textFill>
        </w:rPr>
        <w:t>我镇建设项目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增加、人员调出。</w:t>
      </w:r>
    </w:p>
    <w:p>
      <w:pPr>
        <w:spacing w:line="600" w:lineRule="exact"/>
        <w:ind w:firstLine="640" w:firstLineChars="200"/>
        <w:rPr>
          <w:rFonts w:hint="eastAsia" w:ascii="仿宋" w:hAnsi="仿宋" w:eastAsia="仿宋"/>
          <w:color w:val="auto"/>
          <w:sz w:val="32"/>
          <w:szCs w:val="32"/>
          <w:lang w:eastAsia="zh-CN"/>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71552" behindDoc="0" locked="0" layoutInCell="1" allowOverlap="1">
            <wp:simplePos x="0" y="0"/>
            <wp:positionH relativeFrom="column">
              <wp:posOffset>363855</wp:posOffset>
            </wp:positionH>
            <wp:positionV relativeFrom="paragraph">
              <wp:posOffset>-52070</wp:posOffset>
            </wp:positionV>
            <wp:extent cx="3737610" cy="2405380"/>
            <wp:effectExtent l="4445" t="4445" r="10795" b="9525"/>
            <wp:wrapNone/>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hint="eastAsia" w:ascii="仿宋_GB2312" w:hAnsi="仿宋_GB2312" w:eastAsia="仿宋_GB2312" w:cs="仿宋_GB2312"/>
          <w:b/>
          <w:color w:val="000000" w:themeColor="text1"/>
          <w:sz w:val="32"/>
          <w:szCs w:val="32"/>
          <w14:textFill>
            <w14:solidFill>
              <w14:schemeClr w14:val="tx1"/>
            </w14:solidFill>
          </w14:textFill>
        </w:rPr>
      </w:pPr>
      <w:bookmarkStart w:id="50" w:name="_Toc15377211"/>
      <w:r>
        <w:rPr>
          <w:rFonts w:hint="eastAsia" w:ascii="仿宋_GB2312" w:hAnsi="仿宋_GB2312" w:eastAsia="仿宋_GB2312" w:cs="仿宋_GB2312"/>
          <w:b/>
          <w:color w:val="000000" w:themeColor="text1"/>
          <w:sz w:val="32"/>
          <w:szCs w:val="32"/>
          <w14:textFill>
            <w14:solidFill>
              <w14:schemeClr w14:val="tx1"/>
            </w14:solidFill>
          </w14:textFill>
        </w:rPr>
        <w:t>（二）一般公共预算财政拨款支出决算结构情况</w:t>
      </w:r>
      <w:bookmarkEnd w:id="50"/>
    </w:p>
    <w:p>
      <w:pPr>
        <w:spacing w:line="600" w:lineRule="exact"/>
        <w:ind w:firstLine="640"/>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2019年一般公共预算财政拨款支出</w:t>
      </w:r>
      <w:r>
        <w:rPr>
          <w:rFonts w:hint="eastAsia" w:ascii="仿宋_GB2312" w:hAnsi="仿宋_GB2312" w:eastAsia="仿宋_GB2312" w:cs="仿宋_GB2312"/>
          <w:color w:val="auto"/>
          <w:sz w:val="32"/>
          <w:szCs w:val="32"/>
          <w:lang w:val="en-US" w:eastAsia="zh-CN"/>
        </w:rPr>
        <w:t>967.24</w:t>
      </w:r>
      <w:r>
        <w:rPr>
          <w:rFonts w:hint="eastAsia" w:ascii="仿宋_GB2312" w:hAnsi="仿宋_GB2312" w:eastAsia="仿宋_GB2312" w:cs="仿宋_GB2312"/>
          <w:color w:val="000000" w:themeColor="text1"/>
          <w:sz w:val="32"/>
          <w:szCs w:val="32"/>
          <w14:textFill>
            <w14:solidFill>
              <w14:schemeClr w14:val="tx1"/>
            </w14:solidFill>
          </w14:textFill>
        </w:rPr>
        <w:t>万元，主要用于以下方面:</w:t>
      </w:r>
      <w:r>
        <w:rPr>
          <w:rFonts w:hint="eastAsia" w:ascii="仿宋_GB2312" w:hAnsi="仿宋_GB2312" w:eastAsia="仿宋_GB2312" w:cs="仿宋_GB2312"/>
          <w:b/>
          <w:color w:val="000000" w:themeColor="text1"/>
          <w:sz w:val="32"/>
          <w:szCs w:val="32"/>
          <w14:textFill>
            <w14:solidFill>
              <w14:schemeClr w14:val="tx1"/>
            </w14:solidFill>
          </w14:textFill>
        </w:rPr>
        <w:t>一般公共服务（类）</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499.07</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auto"/>
          <w:sz w:val="32"/>
          <w:szCs w:val="32"/>
        </w:rPr>
        <w:t>占</w:t>
      </w:r>
      <w:r>
        <w:rPr>
          <w:rFonts w:hint="eastAsia" w:ascii="仿宋_GB2312" w:hAnsi="仿宋_GB2312" w:eastAsia="仿宋_GB2312" w:cs="仿宋_GB2312"/>
          <w:color w:val="auto"/>
          <w:sz w:val="32"/>
          <w:szCs w:val="32"/>
          <w:lang w:val="en-US" w:eastAsia="zh-CN"/>
        </w:rPr>
        <w:t>51.60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color w:val="000000" w:themeColor="text1"/>
          <w:sz w:val="32"/>
          <w:szCs w:val="32"/>
          <w:lang w:eastAsia="zh-CN"/>
          <w14:textFill>
            <w14:solidFill>
              <w14:schemeClr w14:val="tx1"/>
            </w14:solidFill>
          </w14:textFill>
        </w:rPr>
        <w:t>农林水</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135.89</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14.05</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文化旅游体育与传媒（类）</w:t>
      </w:r>
      <w:r>
        <w:rPr>
          <w:rFonts w:hint="eastAsia" w:ascii="仿宋_GB2312" w:hAnsi="仿宋_GB2312" w:eastAsia="仿宋_GB2312" w:cs="仿宋_GB2312"/>
          <w:b w:val="0"/>
          <w:bCs w:val="0"/>
          <w:color w:val="000000" w:themeColor="text1"/>
          <w:sz w:val="32"/>
          <w:szCs w:val="32"/>
          <w14:textFill>
            <w14:solidFill>
              <w14:schemeClr w14:val="tx1"/>
            </w14:solidFill>
          </w14:textFill>
        </w:rPr>
        <w:t>支出</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23.49</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占</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2.43</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color w:val="000000" w:themeColor="text1"/>
          <w:sz w:val="32"/>
          <w:szCs w:val="32"/>
          <w14:textFill>
            <w14:solidFill>
              <w14:schemeClr w14:val="tx1"/>
            </w14:solidFill>
          </w14:textFill>
        </w:rPr>
        <w:t>社会保障和就业（类）</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192.69</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19.92</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卫生健康支出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30.91</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3.20</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住房保障</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60.14</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6.22</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城乡社区支出12.96万元，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占1.33</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节能环保支出11.11万元，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占1.14%；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其他支出0.99万元，占0.10</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spacing w:line="600" w:lineRule="exact"/>
        <w:ind w:firstLine="64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3360" behindDoc="1" locked="0" layoutInCell="1" allowOverlap="1">
            <wp:simplePos x="0" y="0"/>
            <wp:positionH relativeFrom="column">
              <wp:posOffset>323215</wp:posOffset>
            </wp:positionH>
            <wp:positionV relativeFrom="paragraph">
              <wp:posOffset>99060</wp:posOffset>
            </wp:positionV>
            <wp:extent cx="5080000" cy="2200910"/>
            <wp:effectExtent l="4445" t="4445" r="20955" b="23495"/>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（图6：一般公共预算财政拨款支出决算结构）（饼状图）</w:t>
      </w:r>
    </w:p>
    <w:p>
      <w:pPr>
        <w:spacing w:line="600" w:lineRule="exact"/>
        <w:ind w:firstLine="643" w:firstLineChars="200"/>
        <w:outlineLvl w:val="2"/>
        <w:rPr>
          <w:rFonts w:hint="eastAsia" w:ascii="仿宋_GB2312" w:hAnsi="仿宋_GB2312" w:eastAsia="仿宋_GB2312" w:cs="仿宋_GB2312"/>
          <w:b/>
          <w:color w:val="000000" w:themeColor="text1"/>
          <w:sz w:val="32"/>
          <w:szCs w:val="32"/>
          <w14:textFill>
            <w14:solidFill>
              <w14:schemeClr w14:val="tx1"/>
            </w14:solidFill>
          </w14:textFill>
        </w:rPr>
      </w:pPr>
      <w:bookmarkStart w:id="51" w:name="_Toc15377212"/>
      <w:r>
        <w:rPr>
          <w:rFonts w:hint="eastAsia" w:ascii="仿宋_GB2312" w:hAnsi="仿宋_GB2312" w:eastAsia="仿宋_GB2312" w:cs="仿宋_GB2312"/>
          <w:b/>
          <w:color w:val="000000" w:themeColor="text1"/>
          <w:sz w:val="32"/>
          <w:szCs w:val="32"/>
          <w14:textFill>
            <w14:solidFill>
              <w14:schemeClr w14:val="tx1"/>
            </w14:solidFill>
          </w14:textFill>
        </w:rPr>
        <w:t>（三）一般公共预算财政拨款支出决算具体情况</w:t>
      </w:r>
      <w:bookmarkEnd w:id="51"/>
    </w:p>
    <w:p>
      <w:pPr>
        <w:spacing w:line="600" w:lineRule="exact"/>
        <w:ind w:firstLine="643" w:firstLineChars="200"/>
        <w:outlineLvl w:val="2"/>
        <w:rPr>
          <w:rFonts w:hint="eastAsia" w:ascii="仿宋_GB2312" w:hAnsi="仿宋_GB2312" w:eastAsia="仿宋_GB2312" w:cs="仿宋_GB2312"/>
          <w:color w:val="000000" w:themeColor="text1"/>
          <w:sz w:val="32"/>
          <w:szCs w:val="32"/>
          <w14:textFill>
            <w14:solidFill>
              <w14:schemeClr w14:val="tx1"/>
            </w14:solidFill>
          </w14:textFill>
        </w:rPr>
      </w:pPr>
      <w:bookmarkStart w:id="52" w:name="_Toc15377444"/>
      <w:bookmarkStart w:id="53" w:name="_Toc15378460"/>
      <w:bookmarkStart w:id="54" w:name="_Toc15377213"/>
      <w:r>
        <w:rPr>
          <w:rFonts w:hint="eastAsia" w:ascii="仿宋_GB2312" w:hAnsi="仿宋_GB2312" w:eastAsia="仿宋_GB2312" w:cs="仿宋_GB2312"/>
          <w:b/>
          <w:color w:val="000000" w:themeColor="text1"/>
          <w:sz w:val="32"/>
          <w:szCs w:val="32"/>
          <w14:textFill>
            <w14:solidFill>
              <w14:schemeClr w14:val="tx1"/>
            </w14:solidFill>
          </w14:textFill>
        </w:rPr>
        <w:t>2019年般公共预算支出决算数为</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870.61万元</w:t>
      </w:r>
      <w:r>
        <w:rPr>
          <w:rFonts w:hint="eastAsia" w:ascii="仿宋_GB2312" w:hAnsi="仿宋_GB2312" w:eastAsia="仿宋_GB2312" w:cs="仿宋_GB2312"/>
          <w:b w:val="0"/>
          <w:bCs/>
          <w:color w:val="000000" w:themeColor="text1"/>
          <w:sz w:val="32"/>
          <w:szCs w:val="32"/>
          <w14:textFill>
            <w14:solidFill>
              <w14:schemeClr w14:val="tx1"/>
            </w14:solidFill>
          </w14:textFill>
        </w:rPr>
        <w:t>，</w:t>
      </w:r>
      <w:r>
        <w:rPr>
          <w:rStyle w:val="17"/>
          <w:rFonts w:hint="eastAsia" w:ascii="仿宋_GB2312" w:hAnsi="仿宋_GB2312" w:eastAsia="仿宋_GB2312" w:cs="仿宋_GB2312"/>
          <w:bCs/>
          <w:color w:val="000000" w:themeColor="text1"/>
          <w:sz w:val="32"/>
          <w:szCs w:val="32"/>
          <w14:textFill>
            <w14:solidFill>
              <w14:schemeClr w14:val="tx1"/>
            </w14:solidFill>
          </w14:textFill>
        </w:rPr>
        <w:t>完成预算</w:t>
      </w:r>
      <w:r>
        <w:rPr>
          <w:rStyle w:val="17"/>
          <w:rFonts w:hint="eastAsia" w:ascii="仿宋_GB2312" w:hAnsi="仿宋_GB2312" w:eastAsia="仿宋_GB2312" w:cs="仿宋_GB2312"/>
          <w:bCs/>
          <w:color w:val="000000" w:themeColor="text1"/>
          <w:sz w:val="32"/>
          <w:szCs w:val="32"/>
          <w:lang w:val="en-US" w:eastAsia="zh-CN"/>
          <w14:textFill>
            <w14:solidFill>
              <w14:schemeClr w14:val="tx1"/>
            </w14:solidFill>
          </w14:textFill>
        </w:rPr>
        <w:t>100</w:t>
      </w:r>
      <w:r>
        <w:rPr>
          <w:rStyle w:val="17"/>
          <w:rFonts w:hint="eastAsia" w:ascii="仿宋_GB2312" w:hAnsi="仿宋_GB2312" w:eastAsia="仿宋_GB2312" w:cs="仿宋_GB2312"/>
          <w:bCs/>
          <w:color w:val="000000" w:themeColor="text1"/>
          <w:sz w:val="32"/>
          <w:szCs w:val="32"/>
          <w14:textFill>
            <w14:solidFill>
              <w14:schemeClr w14:val="tx1"/>
            </w14:solidFill>
          </w14:textFill>
        </w:rPr>
        <w:t>%。其中：</w:t>
      </w:r>
      <w:bookmarkEnd w:id="52"/>
      <w:bookmarkEnd w:id="53"/>
      <w:bookmarkEnd w:id="54"/>
    </w:p>
    <w:p>
      <w:pPr>
        <w:spacing w:line="600" w:lineRule="exact"/>
        <w:ind w:firstLine="643" w:firstLineChars="200"/>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Style w:val="17"/>
          <w:rFonts w:hint="eastAsia" w:ascii="仿宋_GB2312" w:hAnsi="仿宋_GB2312" w:eastAsia="仿宋_GB2312" w:cs="仿宋_GB2312"/>
          <w:bCs/>
          <w:color w:val="000000" w:themeColor="text1"/>
          <w:sz w:val="32"/>
          <w:szCs w:val="32"/>
          <w14:textFill>
            <w14:solidFill>
              <w14:schemeClr w14:val="tx1"/>
            </w14:solidFill>
          </w14:textFill>
        </w:rPr>
        <w:t>1.一般公共服务:</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 xml:space="preserve"> 2010101行政运行支出</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16.73</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2010301行政运行</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307.89</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2010350事业运行81.19万元，</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2010601行政运行</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23.6</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元，完成预算100%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2013101行政运行</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60.69</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。2012999其他群众团体事务支出</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4万元，完成预算</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p>
    <w:p>
      <w:pPr>
        <w:spacing w:line="600" w:lineRule="exact"/>
        <w:ind w:firstLine="643" w:firstLineChars="200"/>
        <w:rPr>
          <w:rFonts w:hint="eastAsia" w:ascii="仿宋_GB2312" w:hAnsi="仿宋_GB2312" w:eastAsia="仿宋_GB2312" w:cs="仿宋_GB2312"/>
          <w:b/>
          <w:color w:val="000000" w:themeColor="text1"/>
          <w:sz w:val="32"/>
          <w:szCs w:val="32"/>
          <w14:textFill>
            <w14:solidFill>
              <w14:schemeClr w14:val="tx1"/>
            </w14:solidFill>
          </w14:textFill>
        </w:rPr>
      </w:pPr>
      <w:r>
        <w:rPr>
          <w:rStyle w:val="17"/>
          <w:rFonts w:hint="eastAsia" w:ascii="仿宋_GB2312" w:hAnsi="仿宋_GB2312" w:eastAsia="仿宋_GB2312" w:cs="仿宋_GB2312"/>
          <w:bCs/>
          <w:color w:val="000000" w:themeColor="text1"/>
          <w:sz w:val="32"/>
          <w:szCs w:val="32"/>
          <w:lang w:val="en-US" w:eastAsia="zh-CN"/>
          <w14:textFill>
            <w14:solidFill>
              <w14:schemeClr w14:val="tx1"/>
            </w14:solidFill>
          </w14:textFill>
        </w:rPr>
        <w:t>2</w:t>
      </w:r>
      <w:r>
        <w:rPr>
          <w:rStyle w:val="17"/>
          <w:rFonts w:hint="eastAsia" w:ascii="仿宋_GB2312" w:hAnsi="仿宋_GB2312" w:eastAsia="仿宋_GB2312" w:cs="仿宋_GB2312"/>
          <w:bCs/>
          <w:color w:val="000000" w:themeColor="text1"/>
          <w:sz w:val="32"/>
          <w:szCs w:val="32"/>
          <w14:textFill>
            <w14:solidFill>
              <w14:schemeClr w14:val="tx1"/>
            </w14:solidFill>
          </w14:textFill>
        </w:rPr>
        <w:t xml:space="preserve">.文化体育与传媒: </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2070199 支出决算为</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6</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万元，完成预算</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10</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0%。</w:t>
      </w:r>
    </w:p>
    <w:p>
      <w:pPr>
        <w:spacing w:line="600" w:lineRule="exact"/>
        <w:ind w:firstLine="643" w:firstLineChars="200"/>
        <w:rPr>
          <w:rFonts w:hint="eastAsia" w:ascii="仿宋_GB2312" w:hAnsi="仿宋_GB2312" w:eastAsia="仿宋_GB2312" w:cs="仿宋_GB2312"/>
          <w:b/>
          <w:color w:val="000000" w:themeColor="text1"/>
          <w:sz w:val="32"/>
          <w:szCs w:val="32"/>
          <w14:textFill>
            <w14:solidFill>
              <w14:schemeClr w14:val="tx1"/>
            </w14:solidFill>
          </w14:textFill>
        </w:rPr>
      </w:pPr>
      <w:r>
        <w:rPr>
          <w:rStyle w:val="17"/>
          <w:rFonts w:hint="eastAsia" w:ascii="仿宋_GB2312" w:hAnsi="仿宋_GB2312" w:eastAsia="仿宋_GB2312" w:cs="仿宋_GB2312"/>
          <w:bCs/>
          <w:color w:val="000000" w:themeColor="text1"/>
          <w:sz w:val="32"/>
          <w:szCs w:val="32"/>
          <w:lang w:val="en-US" w:eastAsia="zh-CN"/>
          <w14:textFill>
            <w14:solidFill>
              <w14:schemeClr w14:val="tx1"/>
            </w14:solidFill>
          </w14:textFill>
        </w:rPr>
        <w:t>3</w:t>
      </w:r>
      <w:r>
        <w:rPr>
          <w:rStyle w:val="17"/>
          <w:rFonts w:hint="eastAsia" w:ascii="仿宋_GB2312" w:hAnsi="仿宋_GB2312" w:eastAsia="仿宋_GB2312" w:cs="仿宋_GB2312"/>
          <w:bCs/>
          <w:color w:val="000000" w:themeColor="text1"/>
          <w:sz w:val="32"/>
          <w:szCs w:val="32"/>
          <w14:textFill>
            <w14:solidFill>
              <w14:schemeClr w14:val="tx1"/>
            </w14:solidFill>
          </w14:textFill>
        </w:rPr>
        <w:t>.社会保障和就业:</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 xml:space="preserve"> 2080208基层政权和社区建设</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40.8</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万元，完成预算</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100</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2080505机关事业单位基本养老保险缴费支出</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46.42</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2080506机关事业单位职业年金缴费支出</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21.44</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2082102农村特困人员救助供养支出</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12.84</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p>
    <w:p>
      <w:pPr>
        <w:spacing w:line="600" w:lineRule="exact"/>
        <w:ind w:firstLine="643" w:firstLineChars="200"/>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pPr>
      <w:r>
        <w:rPr>
          <w:rStyle w:val="17"/>
          <w:rFonts w:hint="eastAsia" w:ascii="仿宋_GB2312" w:hAnsi="仿宋_GB2312" w:eastAsia="仿宋_GB2312" w:cs="仿宋_GB2312"/>
          <w:bCs/>
          <w:color w:val="000000" w:themeColor="text1"/>
          <w:sz w:val="32"/>
          <w:szCs w:val="32"/>
          <w:lang w:val="en-US" w:eastAsia="zh-CN"/>
          <w14:textFill>
            <w14:solidFill>
              <w14:schemeClr w14:val="tx1"/>
            </w14:solidFill>
          </w14:textFill>
        </w:rPr>
        <w:t>4</w:t>
      </w:r>
      <w:r>
        <w:rPr>
          <w:rStyle w:val="17"/>
          <w:rFonts w:hint="eastAsia" w:ascii="仿宋_GB2312" w:hAnsi="仿宋_GB2312" w:eastAsia="仿宋_GB2312" w:cs="仿宋_GB2312"/>
          <w:bCs/>
          <w:color w:val="000000" w:themeColor="text1"/>
          <w:sz w:val="32"/>
          <w:szCs w:val="32"/>
          <w14:textFill>
            <w14:solidFill>
              <w14:schemeClr w14:val="tx1"/>
            </w14:solidFill>
          </w14:textFill>
        </w:rPr>
        <w:t>.医疗卫生与计划生育:</w:t>
      </w:r>
      <w:r>
        <w:rPr>
          <w:rStyle w:val="17"/>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2100409重大公共卫生专项2.99万元，</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2101101行政单位医疗支出</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22.6</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2101103公务员医疗补助支出</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5.31</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p>
    <w:p>
      <w:pPr>
        <w:pStyle w:val="2"/>
        <w:ind w:firstLine="643" w:firstLineChars="200"/>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pPr>
      <w:r>
        <w:rPr>
          <w:rStyle w:val="17"/>
          <w:rFonts w:hint="eastAsia" w:ascii="仿宋_GB2312" w:hAnsi="仿宋_GB2312" w:eastAsia="仿宋_GB2312" w:cs="仿宋_GB2312"/>
          <w:bCs/>
          <w:color w:val="000000" w:themeColor="text1"/>
          <w:kern w:val="2"/>
          <w:sz w:val="32"/>
          <w:szCs w:val="32"/>
          <w:lang w:val="en-US" w:eastAsia="zh-CN" w:bidi="ar-SA"/>
          <w14:textFill>
            <w14:solidFill>
              <w14:schemeClr w14:val="tx1"/>
            </w14:solidFill>
          </w14:textFill>
        </w:rPr>
        <w:t>5.自然生态保护：</w:t>
      </w:r>
      <w:r>
        <w:rPr>
          <w:rStyle w:val="17"/>
          <w:rFonts w:hint="eastAsia" w:ascii="仿宋_GB2312" w:hAnsi="仿宋_GB2312" w:eastAsia="仿宋_GB2312" w:cs="仿宋_GB2312"/>
          <w:b w:val="0"/>
          <w:bCs/>
          <w:color w:val="000000" w:themeColor="text1"/>
          <w:kern w:val="2"/>
          <w:sz w:val="32"/>
          <w:szCs w:val="32"/>
          <w:lang w:val="en-US" w:eastAsia="zh-CN" w:bidi="ar-SA"/>
          <w14:textFill>
            <w14:solidFill>
              <w14:schemeClr w14:val="tx1"/>
            </w14:solidFill>
          </w14:textFill>
        </w:rPr>
        <w:t>2110401水体支出11.11万元，</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p>
    <w:p>
      <w:pPr>
        <w:pStyle w:val="2"/>
        <w:ind w:firstLine="640" w:firstLineChars="200"/>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6.城乡社区环境卫生；2120501城乡社区环境卫生支出12.96万元，</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p>
    <w:p>
      <w:pPr>
        <w:spacing w:line="600" w:lineRule="exact"/>
        <w:ind w:firstLine="643" w:firstLineChars="200"/>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b/>
          <w:color w:val="000000" w:themeColor="text1"/>
          <w:sz w:val="32"/>
          <w:szCs w:val="32"/>
          <w14:textFill>
            <w14:solidFill>
              <w14:schemeClr w14:val="tx1"/>
            </w14:solidFill>
          </w14:textFill>
        </w:rPr>
        <w:t>农林水</w:t>
      </w:r>
      <w:r>
        <w:rPr>
          <w:rStyle w:val="17"/>
          <w:rFonts w:hint="eastAsia" w:ascii="仿宋_GB2312" w:hAnsi="仿宋_GB2312" w:eastAsia="仿宋_GB2312" w:cs="仿宋_GB2312"/>
          <w:bCs/>
          <w:color w:val="000000" w:themeColor="text1"/>
          <w:sz w:val="32"/>
          <w:szCs w:val="32"/>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2130504农村基础设施建设支出</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39.79</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2130599</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其他扶贫支出</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2.32</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2130705对村民委员会和村党支部的补助支出</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93.78</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p>
    <w:p>
      <w:pPr>
        <w:spacing w:line="600" w:lineRule="exact"/>
        <w:ind w:firstLine="643" w:firstLineChars="200"/>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pP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b/>
          <w:color w:val="000000" w:themeColor="text1"/>
          <w:sz w:val="32"/>
          <w:szCs w:val="32"/>
          <w14:textFill>
            <w14:solidFill>
              <w14:schemeClr w14:val="tx1"/>
            </w14:solidFill>
          </w14:textFill>
        </w:rPr>
        <w:t>住房保障支出</w:t>
      </w:r>
      <w:r>
        <w:rPr>
          <w:rStyle w:val="17"/>
          <w:rFonts w:hint="eastAsia" w:ascii="仿宋_GB2312" w:hAnsi="仿宋_GB2312" w:eastAsia="仿宋_GB2312" w:cs="仿宋_GB2312"/>
          <w:bCs/>
          <w:color w:val="000000" w:themeColor="text1"/>
          <w:sz w:val="32"/>
          <w:szCs w:val="32"/>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2210201住房公积金支出决算为</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49.14</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万元，完成预算100%。2210105农村危房改造</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支出11万元，</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p>
    <w:p>
      <w:pPr>
        <w:pStyle w:val="2"/>
        <w:ind w:firstLine="640" w:firstLineChars="200"/>
        <w:rPr>
          <w:rFonts w:hint="eastAsia" w:ascii="仿宋_GB2312" w:hAnsi="仿宋_GB2312" w:eastAsia="仿宋_GB2312" w:cs="仿宋_GB2312"/>
          <w:lang w:val="en-US" w:eastAsia="zh-CN"/>
        </w:rPr>
      </w:pP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9.其他支出；2299901其他支出决算数为0.99万元，完成预算</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100%。</w:t>
      </w:r>
    </w:p>
    <w:p>
      <w:pPr>
        <w:tabs>
          <w:tab w:val="right" w:pos="8306"/>
        </w:tabs>
        <w:spacing w:line="600" w:lineRule="exact"/>
        <w:ind w:firstLine="640"/>
        <w:outlineLvl w:val="1"/>
        <w:rPr>
          <w:rStyle w:val="28"/>
          <w:color w:val="000000" w:themeColor="text1"/>
          <w14:textFill>
            <w14:solidFill>
              <w14:schemeClr w14:val="tx1"/>
            </w14:solidFill>
          </w14:textFill>
        </w:rPr>
      </w:pPr>
      <w:bookmarkStart w:id="55" w:name="_Toc15377214"/>
      <w:bookmarkStart w:id="56" w:name="_Toc20538"/>
      <w:bookmarkStart w:id="57" w:name="_Toc15396608"/>
      <w:r>
        <w:rPr>
          <w:rFonts w:hint="eastAsia" w:ascii="黑体" w:eastAsia="黑体"/>
          <w:color w:val="000000" w:themeColor="text1"/>
          <w:sz w:val="32"/>
          <w:szCs w:val="32"/>
          <w14:textFill>
            <w14:solidFill>
              <w14:schemeClr w14:val="tx1"/>
            </w14:solidFill>
          </w14:textFill>
        </w:rPr>
        <w:t>六</w:t>
      </w:r>
      <w:r>
        <w:rPr>
          <w:rFonts w:hint="eastAsia" w:ascii="黑体" w:eastAsia="黑体"/>
          <w:b/>
          <w:color w:val="000000" w:themeColor="text1"/>
          <w:sz w:val="32"/>
          <w:szCs w:val="32"/>
          <w14:textFill>
            <w14:solidFill>
              <w14:schemeClr w14:val="tx1"/>
            </w14:solidFill>
          </w14:textFill>
        </w:rPr>
        <w:t>、</w:t>
      </w:r>
      <w:r>
        <w:rPr>
          <w:rFonts w:hint="eastAsia" w:ascii="黑体" w:hAnsi="黑体" w:eastAsia="黑体"/>
          <w:b/>
          <w:color w:val="000000" w:themeColor="text1"/>
          <w:sz w:val="32"/>
          <w:szCs w:val="32"/>
          <w14:textFill>
            <w14:solidFill>
              <w14:schemeClr w14:val="tx1"/>
            </w14:solidFill>
          </w14:textFill>
        </w:rPr>
        <w:t>一</w:t>
      </w:r>
      <w:r>
        <w:rPr>
          <w:rStyle w:val="28"/>
          <w:rFonts w:hint="eastAsia" w:ascii="黑体" w:hAnsi="黑体" w:eastAsia="黑体"/>
          <w:b w:val="0"/>
          <w:color w:val="000000" w:themeColor="text1"/>
          <w14:textFill>
            <w14:solidFill>
              <w14:schemeClr w14:val="tx1"/>
            </w14:solidFill>
          </w14:textFill>
        </w:rPr>
        <w:t>般公共预算财政拨款基本支出决算情况说明</w:t>
      </w:r>
      <w:bookmarkEnd w:id="55"/>
      <w:bookmarkEnd w:id="56"/>
      <w:bookmarkEnd w:id="57"/>
      <w:r>
        <w:rPr>
          <w:rStyle w:val="28"/>
          <w:rFonts w:ascii="黑体" w:hAnsi="黑体" w:eastAsia="黑体"/>
          <w:b w:val="0"/>
          <w:color w:val="000000" w:themeColor="text1"/>
          <w14:textFill>
            <w14:solidFill>
              <w14:schemeClr w14:val="tx1"/>
            </w14:solidFill>
          </w14:textFill>
        </w:rPr>
        <w:tab/>
      </w:r>
    </w:p>
    <w:p>
      <w:pPr>
        <w:spacing w:line="600" w:lineRule="exact"/>
        <w:ind w:firstLine="645"/>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2019年一般公共预算财政拨款基本支出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967.24</w:t>
      </w:r>
      <w:r>
        <w:rPr>
          <w:rFonts w:hint="eastAsia" w:ascii="仿宋_GB2312" w:hAnsi="仿宋_GB2312" w:eastAsia="仿宋_GB2312" w:cs="仿宋_GB2312"/>
          <w:color w:val="000000" w:themeColor="text1"/>
          <w:sz w:val="32"/>
          <w:szCs w:val="32"/>
          <w14:textFill>
            <w14:solidFill>
              <w14:schemeClr w14:val="tx1"/>
            </w14:solidFill>
          </w14:textFill>
        </w:rPr>
        <w:t>万元，其中：</w:t>
      </w:r>
    </w:p>
    <w:p>
      <w:pPr>
        <w:spacing w:line="600" w:lineRule="exact"/>
        <w:ind w:firstLine="645"/>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人员经费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587.59</w:t>
      </w:r>
      <w:r>
        <w:rPr>
          <w:rFonts w:hint="eastAsia" w:ascii="仿宋_GB2312" w:hAnsi="仿宋_GB2312" w:eastAsia="仿宋_GB2312" w:cs="仿宋_GB2312"/>
          <w:color w:val="000000" w:themeColor="text1"/>
          <w:sz w:val="32"/>
          <w:szCs w:val="32"/>
          <w14:textFill>
            <w14:solidFill>
              <w14:schemeClr w14:val="tx1"/>
            </w14:solidFill>
          </w14:textFill>
        </w:rPr>
        <w:t>万元，主要包括：基本工资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108.02万元</w:t>
      </w:r>
      <w:r>
        <w:rPr>
          <w:rFonts w:hint="eastAsia" w:ascii="仿宋_GB2312" w:hAnsi="仿宋_GB2312" w:eastAsia="仿宋_GB2312" w:cs="仿宋_GB2312"/>
          <w:color w:val="000000" w:themeColor="text1"/>
          <w:sz w:val="32"/>
          <w:szCs w:val="32"/>
          <w14:textFill>
            <w14:solidFill>
              <w14:schemeClr w14:val="tx1"/>
            </w14:solidFill>
          </w14:textFill>
        </w:rPr>
        <w:t>、津贴补贴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237.46万元</w:t>
      </w:r>
      <w:r>
        <w:rPr>
          <w:rFonts w:hint="eastAsia" w:ascii="仿宋_GB2312" w:hAnsi="仿宋_GB2312" w:eastAsia="仿宋_GB2312" w:cs="仿宋_GB2312"/>
          <w:color w:val="000000" w:themeColor="text1"/>
          <w:sz w:val="32"/>
          <w:szCs w:val="32"/>
          <w14:textFill>
            <w14:solidFill>
              <w14:schemeClr w14:val="tx1"/>
            </w14:solidFill>
          </w14:textFill>
        </w:rPr>
        <w:t>、奖金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86.72万元</w:t>
      </w:r>
      <w:r>
        <w:rPr>
          <w:rFonts w:hint="eastAsia" w:ascii="仿宋_GB2312" w:hAnsi="仿宋_GB2312" w:eastAsia="仿宋_GB2312" w:cs="仿宋_GB2312"/>
          <w:color w:val="000000" w:themeColor="text1"/>
          <w:sz w:val="32"/>
          <w:szCs w:val="32"/>
          <w14:textFill>
            <w14:solidFill>
              <w14:schemeClr w14:val="tx1"/>
            </w14:solidFill>
          </w14:textFill>
        </w:rPr>
        <w:t>、绩效工资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6.48万元</w:t>
      </w:r>
      <w:r>
        <w:rPr>
          <w:rFonts w:hint="eastAsia" w:ascii="仿宋_GB2312" w:hAnsi="仿宋_GB2312" w:eastAsia="仿宋_GB2312" w:cs="仿宋_GB2312"/>
          <w:color w:val="000000" w:themeColor="text1"/>
          <w:sz w:val="32"/>
          <w:szCs w:val="32"/>
          <w14:textFill>
            <w14:solidFill>
              <w14:schemeClr w14:val="tx1"/>
            </w14:solidFill>
          </w14:textFill>
        </w:rPr>
        <w:t>、机关事业单位基本养老保险缴费46.42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万元</w:t>
      </w:r>
      <w:r>
        <w:rPr>
          <w:rFonts w:hint="eastAsia" w:ascii="仿宋_GB2312" w:hAnsi="仿宋_GB2312" w:eastAsia="仿宋_GB2312" w:cs="仿宋_GB2312"/>
          <w:color w:val="000000" w:themeColor="text1"/>
          <w:sz w:val="32"/>
          <w:szCs w:val="32"/>
          <w14:textFill>
            <w14:solidFill>
              <w14:schemeClr w14:val="tx1"/>
            </w14:solidFill>
          </w14:textFill>
        </w:rPr>
        <w:t>、职业年金缴费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21.44万元</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职工基本医疗保险缴费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22.60万元、公务员医疗补助缴费5.31万元，</w:t>
      </w:r>
      <w:r>
        <w:rPr>
          <w:rFonts w:hint="eastAsia" w:ascii="仿宋_GB2312" w:hAnsi="仿宋_GB2312" w:eastAsia="仿宋_GB2312" w:cs="仿宋_GB2312"/>
          <w:color w:val="000000" w:themeColor="text1"/>
          <w:sz w:val="32"/>
          <w:szCs w:val="32"/>
          <w14:textFill>
            <w14:solidFill>
              <w14:schemeClr w14:val="tx1"/>
            </w14:solidFill>
          </w14:textFill>
        </w:rPr>
        <w:t>其他社会保障缴费1.14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万元</w:t>
      </w:r>
      <w:r>
        <w:rPr>
          <w:rFonts w:hint="eastAsia" w:ascii="仿宋_GB2312" w:hAnsi="仿宋_GB2312" w:eastAsia="仿宋_GB2312" w:cs="仿宋_GB2312"/>
          <w:color w:val="000000" w:themeColor="text1"/>
          <w:sz w:val="32"/>
          <w:szCs w:val="32"/>
          <w14:textFill>
            <w14:solidFill>
              <w14:schemeClr w14:val="tx1"/>
            </w14:solidFill>
          </w14:textFill>
        </w:rPr>
        <w:t>、住房公积金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49.14万元、医疗费2.87万元。</w:t>
      </w:r>
    </w:p>
    <w:p>
      <w:pPr>
        <w:spacing w:line="600"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日常公用经费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131.84</w:t>
      </w:r>
      <w:r>
        <w:rPr>
          <w:rFonts w:hint="eastAsia" w:ascii="仿宋_GB2312" w:hAnsi="仿宋_GB2312" w:eastAsia="仿宋_GB2312" w:cs="仿宋_GB2312"/>
          <w:color w:val="000000" w:themeColor="text1"/>
          <w:sz w:val="32"/>
          <w:szCs w:val="32"/>
          <w14:textFill>
            <w14:solidFill>
              <w14:schemeClr w14:val="tx1"/>
            </w14:solidFill>
          </w14:textFill>
        </w:rPr>
        <w:t>万元，主要包括：办公费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48.10万元</w:t>
      </w:r>
      <w:r>
        <w:rPr>
          <w:rFonts w:hint="eastAsia" w:ascii="仿宋_GB2312" w:hAnsi="仿宋_GB2312" w:eastAsia="仿宋_GB2312" w:cs="仿宋_GB2312"/>
          <w:color w:val="000000" w:themeColor="text1"/>
          <w:sz w:val="32"/>
          <w:szCs w:val="32"/>
          <w14:textFill>
            <w14:solidFill>
              <w14:schemeClr w14:val="tx1"/>
            </w14:solidFill>
          </w14:textFill>
        </w:rPr>
        <w:t>、印刷费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7万元</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、手续费0.15万元、</w:t>
      </w:r>
      <w:r>
        <w:rPr>
          <w:rFonts w:hint="eastAsia" w:ascii="仿宋_GB2312" w:hAnsi="仿宋_GB2312" w:eastAsia="仿宋_GB2312" w:cs="仿宋_GB2312"/>
          <w:color w:val="000000" w:themeColor="text1"/>
          <w:sz w:val="32"/>
          <w:szCs w:val="32"/>
          <w14:textFill>
            <w14:solidFill>
              <w14:schemeClr w14:val="tx1"/>
            </w14:solidFill>
          </w14:textFill>
        </w:rPr>
        <w:t>电费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3万元</w:t>
      </w:r>
      <w:r>
        <w:rPr>
          <w:rFonts w:hint="eastAsia" w:ascii="仿宋_GB2312" w:hAnsi="仿宋_GB2312" w:eastAsia="仿宋_GB2312" w:cs="仿宋_GB2312"/>
          <w:color w:val="000000" w:themeColor="text1"/>
          <w:sz w:val="32"/>
          <w:szCs w:val="32"/>
          <w14:textFill>
            <w14:solidFill>
              <w14:schemeClr w14:val="tx1"/>
            </w14:solidFill>
          </w14:textFill>
        </w:rPr>
        <w:t>、邮电费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2万元</w:t>
      </w:r>
      <w:r>
        <w:rPr>
          <w:rFonts w:hint="eastAsia" w:ascii="仿宋_GB2312" w:hAnsi="仿宋_GB2312" w:eastAsia="仿宋_GB2312" w:cs="仿宋_GB2312"/>
          <w:color w:val="000000" w:themeColor="text1"/>
          <w:sz w:val="32"/>
          <w:szCs w:val="32"/>
          <w14:textFill>
            <w14:solidFill>
              <w14:schemeClr w14:val="tx1"/>
            </w14:solidFill>
          </w14:textFill>
        </w:rPr>
        <w:t>、取暖费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2.5万元</w:t>
      </w:r>
      <w:r>
        <w:rPr>
          <w:rFonts w:hint="eastAsia" w:ascii="仿宋_GB2312" w:hAnsi="仿宋_GB2312" w:eastAsia="仿宋_GB2312" w:cs="仿宋_GB2312"/>
          <w:color w:val="000000" w:themeColor="text1"/>
          <w:sz w:val="32"/>
          <w:szCs w:val="32"/>
          <w14:textFill>
            <w14:solidFill>
              <w14:schemeClr w14:val="tx1"/>
            </w14:solidFill>
          </w14:textFill>
        </w:rPr>
        <w:t>、差旅费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1.4万元</w:t>
      </w:r>
      <w:r>
        <w:rPr>
          <w:rFonts w:hint="eastAsia" w:ascii="仿宋_GB2312" w:hAnsi="仿宋_GB2312" w:eastAsia="仿宋_GB2312" w:cs="仿宋_GB2312"/>
          <w:color w:val="000000" w:themeColor="text1"/>
          <w:sz w:val="32"/>
          <w:szCs w:val="32"/>
          <w14:textFill>
            <w14:solidFill>
              <w14:schemeClr w14:val="tx1"/>
            </w14:solidFill>
          </w14:textFill>
        </w:rPr>
        <w:t>、维修（护）费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21.10万元</w:t>
      </w:r>
      <w:r>
        <w:rPr>
          <w:rFonts w:hint="eastAsia" w:ascii="仿宋_GB2312" w:hAnsi="仿宋_GB2312" w:eastAsia="仿宋_GB2312" w:cs="仿宋_GB2312"/>
          <w:color w:val="000000" w:themeColor="text1"/>
          <w:sz w:val="32"/>
          <w:szCs w:val="32"/>
          <w14:textFill>
            <w14:solidFill>
              <w14:schemeClr w14:val="tx1"/>
            </w14:solidFill>
          </w14:textFill>
        </w:rPr>
        <w:t>、租赁费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1万元、</w:t>
      </w:r>
      <w:r>
        <w:rPr>
          <w:rFonts w:hint="eastAsia" w:ascii="仿宋_GB2312" w:hAnsi="仿宋_GB2312" w:eastAsia="仿宋_GB2312" w:cs="仿宋_GB2312"/>
          <w:color w:val="000000" w:themeColor="text1"/>
          <w:sz w:val="32"/>
          <w:szCs w:val="32"/>
          <w14:textFill>
            <w14:solidFill>
              <w14:schemeClr w14:val="tx1"/>
            </w14:solidFill>
          </w14:textFill>
        </w:rPr>
        <w:t>会议费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1.76万元</w:t>
      </w:r>
      <w:r>
        <w:rPr>
          <w:rFonts w:hint="eastAsia" w:ascii="仿宋_GB2312" w:hAnsi="仿宋_GB2312" w:eastAsia="仿宋_GB2312" w:cs="仿宋_GB2312"/>
          <w:color w:val="000000" w:themeColor="text1"/>
          <w:sz w:val="32"/>
          <w:szCs w:val="32"/>
          <w14:textFill>
            <w14:solidFill>
              <w14:schemeClr w14:val="tx1"/>
            </w14:solidFill>
          </w14:textFill>
        </w:rPr>
        <w:t>、培训费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1万元</w:t>
      </w:r>
      <w:r>
        <w:rPr>
          <w:rFonts w:hint="eastAsia" w:ascii="仿宋_GB2312" w:hAnsi="仿宋_GB2312" w:eastAsia="仿宋_GB2312" w:cs="仿宋_GB2312"/>
          <w:color w:val="000000" w:themeColor="text1"/>
          <w:sz w:val="32"/>
          <w:szCs w:val="32"/>
          <w14:textFill>
            <w14:solidFill>
              <w14:schemeClr w14:val="tx1"/>
            </w14:solidFill>
          </w14:textFill>
        </w:rPr>
        <w:t>、公务接待费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0.2万元、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劳务费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14.85</w:t>
      </w:r>
      <w:r>
        <w:rPr>
          <w:rFonts w:hint="eastAsia" w:ascii="仿宋_GB2312" w:hAnsi="仿宋_GB2312" w:eastAsia="仿宋_GB2312" w:cs="仿宋_GB2312"/>
          <w:color w:val="000000" w:themeColor="text1"/>
          <w:sz w:val="32"/>
          <w:szCs w:val="32"/>
          <w:lang w:eastAsia="zh-CN"/>
          <w14:textFill>
            <w14:solidFill>
              <w14:schemeClr w14:val="tx1"/>
            </w14:solidFill>
          </w14:textFill>
        </w:rPr>
        <w:t>万元、委托业务费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15.18万元、</w:t>
      </w:r>
      <w:r>
        <w:rPr>
          <w:rFonts w:hint="eastAsia" w:ascii="仿宋_GB2312" w:hAnsi="仿宋_GB2312" w:eastAsia="仿宋_GB2312" w:cs="仿宋_GB2312"/>
          <w:color w:val="000000" w:themeColor="text1"/>
          <w:sz w:val="32"/>
          <w:szCs w:val="32"/>
          <w14:textFill>
            <w14:solidFill>
              <w14:schemeClr w14:val="tx1"/>
            </w14:solidFill>
          </w14:textFill>
        </w:rPr>
        <w:t>公务用车运行维护费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12.6万元</w:t>
      </w:r>
      <w:r>
        <w:rPr>
          <w:rFonts w:hint="eastAsia" w:ascii="仿宋_GB2312" w:hAnsi="仿宋_GB2312" w:eastAsia="仿宋_GB2312" w:cs="仿宋_GB2312"/>
          <w:color w:val="000000" w:themeColor="text1"/>
          <w:sz w:val="32"/>
          <w:szCs w:val="32"/>
          <w14:textFill>
            <w14:solidFill>
              <w14:schemeClr w14:val="tx1"/>
            </w14:solidFill>
          </w14:textFill>
        </w:rPr>
        <w:t>等。</w:t>
      </w:r>
    </w:p>
    <w:p>
      <w:pPr>
        <w:spacing w:line="600" w:lineRule="exact"/>
        <w:ind w:firstLine="640"/>
        <w:outlineLvl w:val="1"/>
        <w:rPr>
          <w:rStyle w:val="28"/>
          <w:rFonts w:ascii="黑体" w:hAnsi="黑体" w:eastAsia="黑体"/>
          <w:b w:val="0"/>
          <w:color w:val="000000" w:themeColor="text1"/>
          <w14:textFill>
            <w14:solidFill>
              <w14:schemeClr w14:val="tx1"/>
            </w14:solidFill>
          </w14:textFill>
        </w:rPr>
      </w:pPr>
      <w:bookmarkStart w:id="58" w:name="_Toc4775"/>
      <w:bookmarkStart w:id="59" w:name="_Toc15377215"/>
      <w:bookmarkStart w:id="60" w:name="_Toc15396609"/>
      <w:r>
        <w:rPr>
          <w:rFonts w:hint="eastAsia" w:ascii="黑体" w:eastAsia="黑体"/>
          <w:color w:val="000000" w:themeColor="text1"/>
          <w:sz w:val="32"/>
          <w:szCs w:val="32"/>
          <w14:textFill>
            <w14:solidFill>
              <w14:schemeClr w14:val="tx1"/>
            </w14:solidFill>
          </w14:textFill>
        </w:rPr>
        <w:t>七、</w:t>
      </w:r>
      <w:r>
        <w:rPr>
          <w:rStyle w:val="28"/>
          <w:rFonts w:hint="eastAsia" w:ascii="黑体" w:hAnsi="黑体" w:eastAsia="黑体"/>
          <w:color w:val="000000" w:themeColor="text1"/>
          <w14:textFill>
            <w14:solidFill>
              <w14:schemeClr w14:val="tx1"/>
            </w14:solidFill>
          </w14:textFill>
        </w:rPr>
        <w:t>“</w:t>
      </w:r>
      <w:r>
        <w:rPr>
          <w:rStyle w:val="28"/>
          <w:rFonts w:hint="eastAsia" w:ascii="黑体" w:hAnsi="黑体" w:eastAsia="黑体"/>
          <w:b w:val="0"/>
          <w:color w:val="000000" w:themeColor="text1"/>
          <w14:textFill>
            <w14:solidFill>
              <w14:schemeClr w14:val="tx1"/>
            </w14:solidFill>
          </w14:textFill>
        </w:rPr>
        <w:t>三公”经费财政拨款支出决算情况说明</w:t>
      </w:r>
      <w:bookmarkEnd w:id="58"/>
      <w:bookmarkEnd w:id="59"/>
      <w:bookmarkEnd w:id="60"/>
    </w:p>
    <w:p>
      <w:pPr>
        <w:spacing w:line="600" w:lineRule="exact"/>
        <w:ind w:firstLine="640"/>
        <w:outlineLvl w:val="2"/>
        <w:rPr>
          <w:rFonts w:hint="eastAsia" w:ascii="仿宋_GB2312" w:hAnsi="仿宋_GB2312" w:eastAsia="仿宋_GB2312" w:cs="仿宋_GB2312"/>
          <w:b/>
          <w:color w:val="000000" w:themeColor="text1"/>
          <w:sz w:val="32"/>
          <w:szCs w:val="32"/>
          <w14:textFill>
            <w14:solidFill>
              <w14:schemeClr w14:val="tx1"/>
            </w14:solidFill>
          </w14:textFill>
        </w:rPr>
      </w:pPr>
      <w:bookmarkStart w:id="61" w:name="_Toc15377216"/>
      <w:r>
        <w:rPr>
          <w:rFonts w:hint="eastAsia" w:ascii="仿宋_GB2312" w:hAnsi="仿宋_GB2312" w:eastAsia="仿宋_GB2312" w:cs="仿宋_GB2312"/>
          <w:b/>
          <w:color w:val="000000" w:themeColor="text1"/>
          <w:sz w:val="32"/>
          <w:szCs w:val="32"/>
          <w14:textFill>
            <w14:solidFill>
              <w14:schemeClr w14:val="tx1"/>
            </w14:solidFill>
          </w14:textFill>
        </w:rPr>
        <w:t>（一）“三公”经费财政拨款支出决算总体情况说明</w:t>
      </w:r>
      <w:bookmarkEnd w:id="61"/>
    </w:p>
    <w:p>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2019年“三公”经费财政拨款支出决算为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12.80</w:t>
      </w:r>
      <w:r>
        <w:rPr>
          <w:rFonts w:hint="eastAsia" w:ascii="仿宋_GB2312" w:hAnsi="仿宋_GB2312" w:eastAsia="仿宋_GB2312" w:cs="仿宋_GB2312"/>
          <w:color w:val="000000" w:themeColor="text1"/>
          <w:sz w:val="32"/>
          <w:szCs w:val="32"/>
          <w14:textFill>
            <w14:solidFill>
              <w14:schemeClr w14:val="tx1"/>
            </w14:solidFill>
          </w14:textFill>
        </w:rPr>
        <w:t>万元，完成预算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%，决算数与预算数持平。</w:t>
      </w:r>
    </w:p>
    <w:p>
      <w:pPr>
        <w:spacing w:line="600" w:lineRule="exact"/>
        <w:ind w:firstLine="640"/>
        <w:outlineLvl w:val="2"/>
        <w:rPr>
          <w:rFonts w:hint="eastAsia" w:ascii="仿宋_GB2312" w:hAnsi="仿宋_GB2312" w:eastAsia="仿宋_GB2312" w:cs="仿宋_GB2312"/>
          <w:b/>
          <w:color w:val="000000" w:themeColor="text1"/>
          <w:sz w:val="32"/>
          <w:szCs w:val="32"/>
          <w14:textFill>
            <w14:solidFill>
              <w14:schemeClr w14:val="tx1"/>
            </w14:solidFill>
          </w14:textFill>
        </w:rPr>
      </w:pPr>
      <w:bookmarkStart w:id="62" w:name="_Toc15377217"/>
      <w:r>
        <w:rPr>
          <w:rFonts w:hint="eastAsia" w:ascii="仿宋_GB2312" w:hAnsi="仿宋_GB2312" w:eastAsia="仿宋_GB2312" w:cs="仿宋_GB2312"/>
          <w:b/>
          <w:color w:val="000000" w:themeColor="text1"/>
          <w:sz w:val="32"/>
          <w:szCs w:val="32"/>
          <w14:textFill>
            <w14:solidFill>
              <w14:schemeClr w14:val="tx1"/>
            </w14:solidFill>
          </w14:textFill>
        </w:rPr>
        <w:t>（二）“三公”经费财政拨款支出决算具体情况说明</w:t>
      </w:r>
      <w:bookmarkEnd w:id="62"/>
    </w:p>
    <w:p>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2019年“三公”经费财政拨款支出决算中，因公出国（境）费支出决算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%；公务用车购置及运行维护费支出决算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12.6</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98.44</w:t>
      </w:r>
      <w:r>
        <w:rPr>
          <w:rFonts w:hint="eastAsia" w:ascii="仿宋_GB2312" w:hAnsi="仿宋_GB2312" w:eastAsia="仿宋_GB2312" w:cs="仿宋_GB2312"/>
          <w:color w:val="000000" w:themeColor="text1"/>
          <w:sz w:val="32"/>
          <w:szCs w:val="32"/>
          <w14:textFill>
            <w14:solidFill>
              <w14:schemeClr w14:val="tx1"/>
            </w14:solidFill>
          </w14:textFill>
        </w:rPr>
        <w:t>%；公务接待费支出决算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0.2</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1.56</w:t>
      </w:r>
      <w:r>
        <w:rPr>
          <w:rFonts w:hint="eastAsia" w:ascii="仿宋_GB2312" w:hAnsi="仿宋_GB2312" w:eastAsia="仿宋_GB2312" w:cs="仿宋_GB2312"/>
          <w:color w:val="000000" w:themeColor="text1"/>
          <w:sz w:val="32"/>
          <w:szCs w:val="32"/>
          <w14:textFill>
            <w14:solidFill>
              <w14:schemeClr w14:val="tx1"/>
            </w14:solidFill>
          </w14:textFill>
        </w:rPr>
        <w:t>%。具体情况如下：</w:t>
      </w:r>
    </w:p>
    <w:p>
      <w:pPr>
        <w:spacing w:line="600" w:lineRule="exact"/>
        <w:ind w:firstLine="64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4384" behindDoc="1" locked="0" layoutInCell="1" allowOverlap="1">
            <wp:simplePos x="0" y="0"/>
            <wp:positionH relativeFrom="column">
              <wp:posOffset>323215</wp:posOffset>
            </wp:positionH>
            <wp:positionV relativeFrom="paragraph">
              <wp:posOffset>146685</wp:posOffset>
            </wp:positionV>
            <wp:extent cx="4103370" cy="2540000"/>
            <wp:effectExtent l="4445" t="4445" r="6985" b="825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（图7：“三公”经费财政拨款支出结构）（饼状图）</w:t>
      </w:r>
    </w:p>
    <w:p>
      <w:pPr>
        <w:spacing w:line="600" w:lineRule="exact"/>
        <w:ind w:firstLine="640"/>
        <w:rPr>
          <w:rFonts w:hint="eastAsia" w:ascii="仿宋_GB2312" w:hAnsi="仿宋_GB2312" w:eastAsia="仿宋_GB2312" w:cs="仿宋_GB2312"/>
          <w:b/>
          <w:color w:val="000000" w:themeColor="text1"/>
          <w:sz w:val="32"/>
          <w:szCs w:val="32"/>
          <w:lang w:eastAsia="zh-CN"/>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1.因公出国（境）经费支出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完成预算</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100</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全年安排因公出国（境）团组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次，出国（境）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人。因公出国（境）支出决算比2018年</w:t>
      </w:r>
      <w:r>
        <w:rPr>
          <w:rFonts w:hint="eastAsia" w:ascii="仿宋_GB2312" w:hAnsi="仿宋_GB2312" w:eastAsia="仿宋_GB2312" w:cs="仿宋_GB2312"/>
          <w:color w:val="000000" w:themeColor="text1"/>
          <w:sz w:val="32"/>
          <w:szCs w:val="32"/>
          <w:lang w:eastAsia="zh-CN"/>
          <w14:textFill>
            <w14:solidFill>
              <w14:schemeClr w14:val="tx1"/>
            </w14:solidFill>
          </w14:textFill>
        </w:rPr>
        <w:t>无变化。</w:t>
      </w:r>
    </w:p>
    <w:p>
      <w:pPr>
        <w:keepNext w:val="0"/>
        <w:keepLines w:val="0"/>
        <w:pageBreakBefore w:val="0"/>
        <w:widowControl w:val="0"/>
        <w:kinsoku/>
        <w:wordWrap/>
        <w:overflowPunct/>
        <w:topLinePunct w:val="0"/>
        <w:autoSpaceDE/>
        <w:autoSpaceDN/>
        <w:bidi w:val="0"/>
        <w:adjustRightInd/>
        <w:spacing w:line="540" w:lineRule="exact"/>
        <w:ind w:firstLine="640"/>
        <w:textAlignment w:val="auto"/>
        <w:rPr>
          <w:rFonts w:hint="eastAsia" w:ascii="仿宋_GB2312" w:hAnsi="仿宋_GB2312" w:eastAsia="仿宋_GB2312" w:cs="仿宋_GB2312"/>
          <w:b/>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2.公务用车购置及运行维护费支出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12.6</w:t>
      </w:r>
      <w:r>
        <w:rPr>
          <w:rFonts w:hint="eastAsia" w:ascii="仿宋_GB2312" w:hAnsi="仿宋_GB2312" w:eastAsia="仿宋_GB2312" w:cs="仿宋_GB2312"/>
          <w:color w:val="000000" w:themeColor="text1"/>
          <w:sz w:val="32"/>
          <w:szCs w:val="32"/>
          <w14:textFill>
            <w14:solidFill>
              <w14:schemeClr w14:val="tx1"/>
            </w14:solidFill>
          </w14:textFill>
        </w:rPr>
        <w:t>万元,</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完成预算</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100</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公务用车购置及运行维护费支出决算比2018年增加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4.92</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auto"/>
          <w:sz w:val="32"/>
          <w:szCs w:val="32"/>
        </w:rPr>
        <w:t>增长</w:t>
      </w:r>
      <w:r>
        <w:rPr>
          <w:rFonts w:hint="eastAsia" w:ascii="仿宋_GB2312" w:hAnsi="仿宋_GB2312" w:eastAsia="仿宋_GB2312" w:cs="仿宋_GB2312"/>
          <w:color w:val="auto"/>
          <w:sz w:val="32"/>
          <w:szCs w:val="32"/>
          <w:lang w:val="en-US" w:eastAsia="zh-CN"/>
        </w:rPr>
        <w:t>49.45</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主要原因是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2019年度公务用车维修费用增加，公务用车使用时间增加。</w:t>
      </w:r>
    </w:p>
    <w:p>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其中：</w:t>
      </w:r>
      <w:r>
        <w:rPr>
          <w:rFonts w:hint="eastAsia" w:ascii="仿宋_GB2312" w:hAnsi="仿宋_GB2312" w:eastAsia="仿宋_GB2312" w:cs="仿宋_GB2312"/>
          <w:b/>
          <w:color w:val="000000" w:themeColor="text1"/>
          <w:sz w:val="32"/>
          <w:szCs w:val="32"/>
          <w14:textFill>
            <w14:solidFill>
              <w14:schemeClr w14:val="tx1"/>
            </w14:solidFill>
          </w14:textFill>
        </w:rPr>
        <w:t>公务用车购置支出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万元。全年按规定更新购置公务用车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辆，金额</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元。截至2019年12月底，单位共有公务用车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辆，其中：主要领导干部用车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辆、机要通信用车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辆、应急保障用车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辆、 执法执勤用车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辆</w:t>
      </w:r>
      <w:r>
        <w:rPr>
          <w:rFonts w:hint="eastAsia" w:ascii="仿宋_GB2312" w:hAnsi="仿宋_GB2312" w:eastAsia="仿宋_GB2312" w:cs="仿宋_GB2312"/>
          <w:color w:val="000000" w:themeColor="text1"/>
          <w:sz w:val="32"/>
          <w:szCs w:val="32"/>
          <w:lang w:eastAsia="zh-CN"/>
          <w14:textFill>
            <w14:solidFill>
              <w14:schemeClr w14:val="tx1"/>
            </w14:solidFill>
          </w14:textFill>
        </w:rPr>
        <w:t>、其他车辆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2辆。</w:t>
      </w:r>
    </w:p>
    <w:p>
      <w:pPr>
        <w:keepNext w:val="0"/>
        <w:keepLines w:val="0"/>
        <w:pageBreakBefore w:val="0"/>
        <w:widowControl w:val="0"/>
        <w:kinsoku/>
        <w:wordWrap/>
        <w:overflowPunct/>
        <w:topLinePunct w:val="0"/>
        <w:autoSpaceDE/>
        <w:autoSpaceDN/>
        <w:bidi w:val="0"/>
        <w:adjustRightInd/>
        <w:spacing w:line="540" w:lineRule="exact"/>
        <w:ind w:firstLine="64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公务用车运行维护费支出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12.6</w:t>
      </w:r>
      <w:r>
        <w:rPr>
          <w:rFonts w:hint="eastAsia" w:ascii="仿宋_GB2312" w:hAnsi="仿宋_GB2312" w:eastAsia="仿宋_GB2312" w:cs="仿宋_GB2312"/>
          <w:color w:val="000000" w:themeColor="text1"/>
          <w:sz w:val="32"/>
          <w:szCs w:val="32"/>
          <w14:textFill>
            <w14:solidFill>
              <w14:schemeClr w14:val="tx1"/>
            </w14:solidFill>
          </w14:textFill>
        </w:rPr>
        <w:t>万元。主要用于</w:t>
      </w:r>
      <w:r>
        <w:rPr>
          <w:rFonts w:hint="eastAsia" w:ascii="仿宋_GB2312" w:hAnsi="仿宋_GB2312" w:eastAsia="仿宋_GB2312" w:cs="仿宋_GB2312"/>
          <w:color w:val="000000" w:themeColor="text1"/>
          <w:sz w:val="32"/>
          <w:szCs w:val="32"/>
          <w:lang w:eastAsia="zh-CN"/>
          <w14:textFill>
            <w14:solidFill>
              <w14:schemeClr w14:val="tx1"/>
            </w14:solidFill>
          </w14:textFill>
        </w:rPr>
        <w:t>下牧业开展工作、到县参加会议、办事、日常辖区巡逻、出差</w:t>
      </w:r>
      <w:r>
        <w:rPr>
          <w:rFonts w:hint="eastAsia" w:ascii="仿宋_GB2312" w:hAnsi="仿宋_GB2312" w:eastAsia="仿宋_GB2312" w:cs="仿宋_GB2312"/>
          <w:color w:val="000000" w:themeColor="text1"/>
          <w:sz w:val="32"/>
          <w:szCs w:val="32"/>
          <w14:textFill>
            <w14:solidFill>
              <w14:schemeClr w14:val="tx1"/>
            </w14:solidFill>
          </w14:textFill>
        </w:rPr>
        <w:t>等所需的公务用车燃料费、维修费、过路过桥费、保险费等支出。</w:t>
      </w:r>
    </w:p>
    <w:p>
      <w:pPr>
        <w:keepNext w:val="0"/>
        <w:keepLines w:val="0"/>
        <w:pageBreakBefore w:val="0"/>
        <w:widowControl w:val="0"/>
        <w:numPr>
          <w:ilvl w:val="0"/>
          <w:numId w:val="2"/>
        </w:numPr>
        <w:kinsoku/>
        <w:wordWrap/>
        <w:overflowPunct/>
        <w:topLinePunct w:val="0"/>
        <w:autoSpaceDE/>
        <w:autoSpaceDN/>
        <w:bidi w:val="0"/>
        <w:adjustRightInd/>
        <w:spacing w:line="540" w:lineRule="exact"/>
        <w:ind w:firstLine="64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公务接待费支出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0.2</w:t>
      </w:r>
      <w:r>
        <w:rPr>
          <w:rFonts w:hint="eastAsia" w:ascii="仿宋_GB2312" w:hAnsi="仿宋_GB2312" w:eastAsia="仿宋_GB2312" w:cs="仿宋_GB2312"/>
          <w:color w:val="000000" w:themeColor="text1"/>
          <w:sz w:val="32"/>
          <w:szCs w:val="32"/>
          <w14:textFill>
            <w14:solidFill>
              <w14:schemeClr w14:val="tx1"/>
            </w14:solidFill>
          </w14:textFill>
        </w:rPr>
        <w:t>万元，</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完成预算</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100</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公务接待费支出决算</w:t>
      </w:r>
      <w:r>
        <w:rPr>
          <w:rFonts w:hint="eastAsia" w:ascii="仿宋_GB2312" w:hAnsi="仿宋_GB2312" w:eastAsia="仿宋_GB2312" w:cs="仿宋_GB2312"/>
          <w:color w:val="auto"/>
          <w:sz w:val="32"/>
          <w:szCs w:val="32"/>
          <w:lang w:val="en-US" w:eastAsia="zh-CN"/>
        </w:rPr>
        <w:t>与相比</w:t>
      </w:r>
      <w:r>
        <w:rPr>
          <w:rFonts w:hint="eastAsia" w:ascii="仿宋_GB2312" w:hAnsi="仿宋_GB2312" w:eastAsia="仿宋_GB2312" w:cs="仿宋_GB2312"/>
          <w:color w:val="auto"/>
          <w:sz w:val="32"/>
          <w:szCs w:val="32"/>
        </w:rPr>
        <w:t>2018年</w:t>
      </w:r>
      <w:r>
        <w:rPr>
          <w:rFonts w:hint="eastAsia" w:ascii="仿宋_GB2312" w:hAnsi="仿宋_GB2312" w:eastAsia="仿宋_GB2312" w:cs="仿宋_GB2312"/>
          <w:color w:val="auto"/>
          <w:sz w:val="32"/>
          <w:szCs w:val="32"/>
          <w:lang w:val="en-US" w:eastAsia="zh-CN"/>
        </w:rPr>
        <w:t>增加</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numPr>
          <w:ilvl w:val="0"/>
          <w:numId w:val="2"/>
        </w:numPr>
        <w:kinsoku/>
        <w:wordWrap/>
        <w:overflowPunct/>
        <w:topLinePunct w:val="0"/>
        <w:autoSpaceDE/>
        <w:autoSpaceDN/>
        <w:bidi w:val="0"/>
        <w:adjustRightInd/>
        <w:spacing w:line="540" w:lineRule="exact"/>
        <w:ind w:firstLine="64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国内公务接待支出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pacing w:line="540" w:lineRule="exact"/>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外事接待支出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bookmarkStart w:id="63" w:name="_Toc15377218"/>
      <w:bookmarkStart w:id="64" w:name="_Toc15396610"/>
    </w:p>
    <w:p>
      <w:pPr>
        <w:keepNext w:val="0"/>
        <w:keepLines w:val="0"/>
        <w:pageBreakBefore w:val="0"/>
        <w:widowControl w:val="0"/>
        <w:kinsoku/>
        <w:wordWrap/>
        <w:overflowPunct/>
        <w:topLinePunct w:val="0"/>
        <w:autoSpaceDE/>
        <w:autoSpaceDN/>
        <w:bidi w:val="0"/>
        <w:adjustRightInd/>
        <w:spacing w:line="540" w:lineRule="exact"/>
        <w:ind w:firstLine="640"/>
        <w:textAlignment w:val="auto"/>
        <w:outlineLvl w:val="1"/>
        <w:rPr>
          <w:rStyle w:val="28"/>
          <w:rFonts w:hint="eastAsia" w:ascii="仿宋_GB2312" w:hAnsi="仿宋_GB2312" w:eastAsia="仿宋_GB2312" w:cs="仿宋_GB2312"/>
          <w:color w:val="000000" w:themeColor="text1"/>
          <w14:textFill>
            <w14:solidFill>
              <w14:schemeClr w14:val="tx1"/>
            </w14:solidFill>
          </w14:textFill>
        </w:rPr>
      </w:pPr>
      <w:bookmarkStart w:id="65" w:name="_Toc71"/>
      <w:r>
        <w:rPr>
          <w:rFonts w:hint="eastAsia" w:ascii="仿宋_GB2312" w:hAnsi="仿宋_GB2312" w:eastAsia="仿宋_GB2312" w:cs="仿宋_GB2312"/>
          <w:color w:val="000000" w:themeColor="text1"/>
          <w:sz w:val="32"/>
          <w:szCs w:val="32"/>
          <w14:textFill>
            <w14:solidFill>
              <w14:schemeClr w14:val="tx1"/>
            </w14:solidFill>
          </w14:textFill>
        </w:rPr>
        <w:t>八、</w:t>
      </w:r>
      <w:r>
        <w:rPr>
          <w:rStyle w:val="28"/>
          <w:rFonts w:hint="eastAsia" w:ascii="仿宋_GB2312" w:hAnsi="仿宋_GB2312" w:eastAsia="仿宋_GB2312" w:cs="仿宋_GB2312"/>
          <w:b w:val="0"/>
          <w:color w:val="000000" w:themeColor="text1"/>
          <w14:textFill>
            <w14:solidFill>
              <w14:schemeClr w14:val="tx1"/>
            </w14:solidFill>
          </w14:textFill>
        </w:rPr>
        <w:t>政府性基金预算支出决算情况说明</w:t>
      </w:r>
      <w:bookmarkEnd w:id="63"/>
      <w:bookmarkEnd w:id="64"/>
      <w:bookmarkEnd w:id="65"/>
    </w:p>
    <w:p>
      <w:pPr>
        <w:keepNext w:val="0"/>
        <w:keepLines w:val="0"/>
        <w:pageBreakBefore w:val="0"/>
        <w:widowControl w:val="0"/>
        <w:kinsoku/>
        <w:wordWrap/>
        <w:overflowPunct/>
        <w:topLinePunct w:val="0"/>
        <w:autoSpaceDE/>
        <w:autoSpaceDN/>
        <w:bidi w:val="0"/>
        <w:adjustRightInd/>
        <w:spacing w:line="540" w:lineRule="exact"/>
        <w:ind w:firstLine="64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2019年政府性基金预算拨款支出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w:t>
      </w:r>
    </w:p>
    <w:p>
      <w:pPr>
        <w:keepNext w:val="0"/>
        <w:keepLines w:val="0"/>
        <w:pageBreakBefore w:val="0"/>
        <w:widowControl w:val="0"/>
        <w:numPr>
          <w:ilvl w:val="0"/>
          <w:numId w:val="3"/>
        </w:numPr>
        <w:kinsoku/>
        <w:wordWrap/>
        <w:overflowPunct/>
        <w:topLinePunct w:val="0"/>
        <w:autoSpaceDE/>
        <w:autoSpaceDN/>
        <w:bidi w:val="0"/>
        <w:adjustRightInd/>
        <w:spacing w:line="540" w:lineRule="exact"/>
        <w:ind w:firstLine="640"/>
        <w:textAlignment w:val="auto"/>
        <w:outlineLvl w:val="1"/>
        <w:rPr>
          <w:rStyle w:val="28"/>
          <w:rFonts w:hint="eastAsia" w:ascii="仿宋_GB2312" w:hAnsi="仿宋_GB2312" w:eastAsia="仿宋_GB2312" w:cs="仿宋_GB2312"/>
          <w:b w:val="0"/>
          <w:color w:val="000000" w:themeColor="text1"/>
          <w14:textFill>
            <w14:solidFill>
              <w14:schemeClr w14:val="tx1"/>
            </w14:solidFill>
          </w14:textFill>
        </w:rPr>
      </w:pPr>
      <w:bookmarkStart w:id="66" w:name="_Toc15377219"/>
      <w:bookmarkStart w:id="67" w:name="_Toc15396611"/>
      <w:bookmarkStart w:id="68" w:name="_Toc13853"/>
      <w:r>
        <w:rPr>
          <w:rStyle w:val="28"/>
          <w:rFonts w:hint="eastAsia" w:ascii="仿宋_GB2312" w:hAnsi="仿宋_GB2312" w:eastAsia="仿宋_GB2312" w:cs="仿宋_GB2312"/>
          <w:b w:val="0"/>
          <w:color w:val="000000" w:themeColor="text1"/>
          <w14:textFill>
            <w14:solidFill>
              <w14:schemeClr w14:val="tx1"/>
            </w14:solidFill>
          </w14:textFill>
        </w:rPr>
        <w:t>国有资本经营预算支出决算情况说明</w:t>
      </w:r>
      <w:bookmarkEnd w:id="66"/>
      <w:bookmarkEnd w:id="67"/>
      <w:bookmarkEnd w:id="68"/>
    </w:p>
    <w:p>
      <w:pPr>
        <w:keepNext w:val="0"/>
        <w:keepLines w:val="0"/>
        <w:pageBreakBefore w:val="0"/>
        <w:widowControl w:val="0"/>
        <w:kinsoku/>
        <w:wordWrap/>
        <w:overflowPunct/>
        <w:topLinePunct w:val="0"/>
        <w:autoSpaceDE/>
        <w:autoSpaceDN/>
        <w:bidi w:val="0"/>
        <w:adjustRightInd/>
        <w:spacing w:line="540" w:lineRule="exact"/>
        <w:ind w:firstLine="640"/>
        <w:textAlignment w:val="auto"/>
        <w:rPr>
          <w:rFonts w:hint="eastAsia" w:ascii="仿宋_GB2312" w:hAnsi="仿宋_GB2312" w:eastAsia="仿宋_GB2312" w:cs="仿宋_GB2312"/>
          <w:color w:val="000000" w:themeColor="text1"/>
          <w:sz w:val="44"/>
          <w:szCs w:val="44"/>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2019年国有资本经营预算拨款支出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w:t>
      </w:r>
    </w:p>
    <w:p>
      <w:pPr>
        <w:keepNext w:val="0"/>
        <w:keepLines w:val="0"/>
        <w:pageBreakBefore w:val="0"/>
        <w:widowControl w:val="0"/>
        <w:numPr>
          <w:ilvl w:val="0"/>
          <w:numId w:val="3"/>
        </w:numPr>
        <w:kinsoku/>
        <w:wordWrap/>
        <w:overflowPunct/>
        <w:topLinePunct w:val="0"/>
        <w:autoSpaceDE/>
        <w:autoSpaceDN/>
        <w:bidi w:val="0"/>
        <w:adjustRightInd/>
        <w:spacing w:line="540" w:lineRule="exact"/>
        <w:ind w:left="0" w:leftChars="0" w:firstLine="640" w:firstLineChars="0"/>
        <w:textAlignment w:val="auto"/>
        <w:outlineLvl w:val="1"/>
        <w:rPr>
          <w:rStyle w:val="28"/>
          <w:rFonts w:hint="eastAsia" w:ascii="仿宋_GB2312" w:hAnsi="仿宋_GB2312" w:eastAsia="仿宋_GB2312" w:cs="仿宋_GB2312"/>
          <w:b w:val="0"/>
          <w:color w:val="000000" w:themeColor="text1"/>
          <w14:textFill>
            <w14:solidFill>
              <w14:schemeClr w14:val="tx1"/>
            </w14:solidFill>
          </w14:textFill>
        </w:rPr>
      </w:pPr>
      <w:bookmarkStart w:id="69" w:name="_Toc15396612"/>
      <w:bookmarkStart w:id="70" w:name="_Toc15377221"/>
      <w:bookmarkStart w:id="71" w:name="_Toc40"/>
      <w:r>
        <w:rPr>
          <w:rStyle w:val="28"/>
          <w:rFonts w:hint="eastAsia" w:ascii="仿宋_GB2312" w:hAnsi="仿宋_GB2312" w:eastAsia="仿宋_GB2312" w:cs="仿宋_GB2312"/>
          <w:b w:val="0"/>
          <w:color w:val="000000" w:themeColor="text1"/>
          <w14:textFill>
            <w14:solidFill>
              <w14:schemeClr w14:val="tx1"/>
            </w14:solidFill>
          </w14:textFill>
        </w:rPr>
        <w:t>其他重要事项的情况说明</w:t>
      </w:r>
      <w:bookmarkEnd w:id="69"/>
      <w:bookmarkEnd w:id="70"/>
      <w:bookmarkEnd w:id="71"/>
    </w:p>
    <w:p>
      <w:pPr>
        <w:keepNext w:val="0"/>
        <w:keepLines w:val="0"/>
        <w:pageBreakBefore w:val="0"/>
        <w:widowControl w:val="0"/>
        <w:kinsoku/>
        <w:wordWrap/>
        <w:overflowPunct/>
        <w:topLinePunct w:val="0"/>
        <w:autoSpaceDE/>
        <w:autoSpaceDN/>
        <w:bidi w:val="0"/>
        <w:adjustRightInd/>
        <w:spacing w:line="540" w:lineRule="exact"/>
        <w:ind w:firstLine="643" w:firstLineChars="200"/>
        <w:textAlignment w:val="auto"/>
        <w:outlineLvl w:val="2"/>
        <w:rPr>
          <w:rFonts w:hint="eastAsia" w:ascii="仿宋_GB2312" w:hAnsi="仿宋_GB2312" w:eastAsia="仿宋_GB2312" w:cs="仿宋_GB2312"/>
          <w:b/>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（一）机关运行经费支出情况</w:t>
      </w:r>
    </w:p>
    <w:p>
      <w:pPr>
        <w:pStyle w:val="2"/>
        <w:keepNext w:val="0"/>
        <w:keepLines w:val="0"/>
        <w:pageBreakBefore w:val="0"/>
        <w:widowControl w:val="0"/>
        <w:numPr>
          <w:ilvl w:val="0"/>
          <w:numId w:val="0"/>
        </w:numPr>
        <w:kinsoku/>
        <w:wordWrap/>
        <w:overflowPunct/>
        <w:topLinePunct w:val="0"/>
        <w:autoSpaceDE/>
        <w:autoSpaceDN/>
        <w:bidi w:val="0"/>
        <w:adjustRightInd/>
        <w:spacing w:line="540" w:lineRule="exact"/>
        <w:ind w:left="630" w:leftChars="0"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2019年本单位机关运行经费支出499.1万元，比2018年减少44.2万元，减少8.13%，主要原因是人员调出。</w:t>
      </w:r>
    </w:p>
    <w:p>
      <w:pPr>
        <w:keepNext w:val="0"/>
        <w:keepLines w:val="0"/>
        <w:pageBreakBefore w:val="0"/>
        <w:widowControl w:val="0"/>
        <w:kinsoku/>
        <w:wordWrap/>
        <w:overflowPunct/>
        <w:topLinePunct w:val="0"/>
        <w:bidi w:val="0"/>
        <w:spacing w:line="520" w:lineRule="exact"/>
        <w:ind w:firstLine="643" w:firstLineChars="200"/>
        <w:textAlignment w:val="auto"/>
        <w:outlineLvl w:val="2"/>
        <w:rPr>
          <w:rFonts w:hint="eastAsia" w:ascii="仿宋_GB2312" w:hAnsi="仿宋_GB2312" w:eastAsia="仿宋_GB2312" w:cs="仿宋_GB2312"/>
          <w:b/>
          <w:color w:val="000000" w:themeColor="text1"/>
          <w:sz w:val="32"/>
          <w:szCs w:val="32"/>
          <w14:textFill>
            <w14:solidFill>
              <w14:schemeClr w14:val="tx1"/>
            </w14:solidFill>
          </w14:textFill>
        </w:rPr>
      </w:pPr>
      <w:bookmarkStart w:id="72" w:name="_Toc15377222"/>
      <w:r>
        <w:rPr>
          <w:rFonts w:hint="eastAsia" w:ascii="仿宋_GB2312" w:hAnsi="仿宋_GB2312" w:eastAsia="仿宋_GB2312" w:cs="仿宋_GB2312"/>
          <w:b/>
          <w:color w:val="000000" w:themeColor="text1"/>
          <w:sz w:val="32"/>
          <w:szCs w:val="32"/>
          <w14:textFill>
            <w14:solidFill>
              <w14:schemeClr w14:val="tx1"/>
            </w14:solidFill>
          </w14:textFill>
        </w:rPr>
        <w:t>（</w:t>
      </w: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二</w:t>
      </w:r>
      <w:r>
        <w:rPr>
          <w:rFonts w:hint="eastAsia" w:ascii="仿宋_GB2312" w:hAnsi="仿宋_GB2312" w:eastAsia="仿宋_GB2312" w:cs="仿宋_GB2312"/>
          <w:b/>
          <w:color w:val="000000" w:themeColor="text1"/>
          <w:sz w:val="32"/>
          <w:szCs w:val="32"/>
          <w14:textFill>
            <w14:solidFill>
              <w14:schemeClr w14:val="tx1"/>
            </w14:solidFill>
          </w14:textFill>
        </w:rPr>
        <w:t>）</w:t>
      </w:r>
      <w:bookmarkEnd w:id="72"/>
      <w:bookmarkStart w:id="73" w:name="_Toc15377223"/>
      <w:r>
        <w:rPr>
          <w:rFonts w:hint="eastAsia" w:ascii="仿宋_GB2312" w:hAnsi="仿宋_GB2312" w:eastAsia="仿宋_GB2312" w:cs="仿宋_GB2312"/>
          <w:b/>
          <w:color w:val="000000" w:themeColor="text1"/>
          <w:sz w:val="32"/>
          <w:szCs w:val="32"/>
          <w14:textFill>
            <w14:solidFill>
              <w14:schemeClr w14:val="tx1"/>
            </w14:solidFill>
          </w14:textFill>
        </w:rPr>
        <w:t>政府采购支出情况</w:t>
      </w:r>
      <w:bookmarkEnd w:id="73"/>
    </w:p>
    <w:p>
      <w:pPr>
        <w:keepNext w:val="0"/>
        <w:keepLines w:val="0"/>
        <w:pageBreakBefore w:val="0"/>
        <w:widowControl w:val="0"/>
        <w:kinsoku/>
        <w:wordWrap/>
        <w:overflowPunct/>
        <w:topLinePunct w:val="0"/>
        <w:bidi w:val="0"/>
        <w:spacing w:line="520" w:lineRule="exact"/>
        <w:ind w:firstLine="960" w:firstLineChars="3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2019年，</w:t>
      </w:r>
      <w:r>
        <w:rPr>
          <w:rFonts w:hint="eastAsia" w:ascii="仿宋_GB2312" w:hAnsi="仿宋_GB2312" w:eastAsia="仿宋_GB2312" w:cs="仿宋_GB2312"/>
          <w:color w:val="000000" w:themeColor="text1"/>
          <w:sz w:val="32"/>
          <w:szCs w:val="32"/>
          <w:lang w:eastAsia="zh-CN"/>
          <w14:textFill>
            <w14:solidFill>
              <w14:schemeClr w14:val="tx1"/>
            </w14:solidFill>
          </w14:textFill>
        </w:rPr>
        <w:t>色地镇人民</w:t>
      </w:r>
      <w:r>
        <w:rPr>
          <w:rFonts w:hint="eastAsia" w:ascii="仿宋_GB2312" w:hAnsi="仿宋_GB2312" w:eastAsia="仿宋_GB2312" w:cs="仿宋_GB2312"/>
          <w:color w:val="000000" w:themeColor="text1"/>
          <w:sz w:val="32"/>
          <w:szCs w:val="32"/>
          <w14:textFill>
            <w14:solidFill>
              <w14:schemeClr w14:val="tx1"/>
            </w14:solidFill>
          </w14:textFill>
        </w:rPr>
        <w:t>政府采购支出总额</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万元，其中：政府采购货物支出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万元、政府采购工程支出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万元、政府采购服务支出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val="0"/>
        <w:autoSpaceDN w:val="0"/>
        <w:bidi w:val="0"/>
        <w:adjustRightInd w:val="0"/>
        <w:spacing w:line="520" w:lineRule="exact"/>
        <w:ind w:firstLine="643" w:firstLineChars="200"/>
        <w:jc w:val="left"/>
        <w:textAlignment w:val="auto"/>
        <w:outlineLvl w:val="2"/>
        <w:rPr>
          <w:rFonts w:hint="eastAsia" w:ascii="仿宋_GB2312" w:hAnsi="仿宋_GB2312" w:eastAsia="仿宋_GB2312" w:cs="仿宋_GB2312"/>
          <w:b/>
          <w:color w:val="000000" w:themeColor="text1"/>
          <w:sz w:val="32"/>
          <w:szCs w:val="32"/>
          <w14:textFill>
            <w14:solidFill>
              <w14:schemeClr w14:val="tx1"/>
            </w14:solidFill>
          </w14:textFill>
        </w:rPr>
      </w:pPr>
      <w:bookmarkStart w:id="74" w:name="_Toc15377224"/>
      <w:r>
        <w:rPr>
          <w:rFonts w:hint="eastAsia" w:ascii="仿宋_GB2312" w:hAnsi="仿宋_GB2312" w:eastAsia="仿宋_GB2312" w:cs="仿宋_GB2312"/>
          <w:b/>
          <w:color w:val="000000" w:themeColor="text1"/>
          <w:sz w:val="32"/>
          <w:szCs w:val="32"/>
          <w14:textFill>
            <w14:solidFill>
              <w14:schemeClr w14:val="tx1"/>
            </w14:solidFill>
          </w14:textFill>
        </w:rPr>
        <w:t>（</w:t>
      </w: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三</w:t>
      </w:r>
      <w:r>
        <w:rPr>
          <w:rFonts w:hint="eastAsia" w:ascii="仿宋_GB2312" w:hAnsi="仿宋_GB2312" w:eastAsia="仿宋_GB2312" w:cs="仿宋_GB2312"/>
          <w:b/>
          <w:color w:val="000000" w:themeColor="text1"/>
          <w:sz w:val="32"/>
          <w:szCs w:val="32"/>
          <w14:textFill>
            <w14:solidFill>
              <w14:schemeClr w14:val="tx1"/>
            </w14:solidFill>
          </w14:textFill>
        </w:rPr>
        <w:t>）国有资产占有使用情况</w:t>
      </w:r>
      <w:bookmarkEnd w:id="74"/>
    </w:p>
    <w:p>
      <w:pPr>
        <w:keepNext w:val="0"/>
        <w:keepLines w:val="0"/>
        <w:pageBreakBefore w:val="0"/>
        <w:widowControl w:val="0"/>
        <w:kinsoku/>
        <w:wordWrap/>
        <w:overflowPunct/>
        <w:topLinePunct w:val="0"/>
        <w:autoSpaceDE w:val="0"/>
        <w:autoSpaceDN w:val="0"/>
        <w:bidi w:val="0"/>
        <w:adjustRightInd w:val="0"/>
        <w:spacing w:line="520" w:lineRule="exact"/>
        <w:ind w:firstLine="640" w:firstLineChars="200"/>
        <w:jc w:val="left"/>
        <w:textAlignment w:val="auto"/>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截至2019年12月31日，</w:t>
      </w:r>
      <w:r>
        <w:rPr>
          <w:rFonts w:hint="eastAsia" w:ascii="仿宋_GB2312" w:hAnsi="仿宋_GB2312" w:eastAsia="仿宋_GB2312" w:cs="仿宋_GB2312"/>
          <w:color w:val="000000" w:themeColor="text1"/>
          <w:sz w:val="32"/>
          <w:szCs w:val="32"/>
          <w:lang w:eastAsia="zh-CN"/>
          <w14:textFill>
            <w14:solidFill>
              <w14:schemeClr w14:val="tx1"/>
            </w14:solidFill>
          </w14:textFill>
        </w:rPr>
        <w:t>色地镇人民政府</w:t>
      </w:r>
      <w:r>
        <w:rPr>
          <w:rFonts w:hint="eastAsia" w:ascii="仿宋_GB2312" w:hAnsi="仿宋_GB2312" w:eastAsia="仿宋_GB2312" w:cs="仿宋_GB2312"/>
          <w:color w:val="000000" w:themeColor="text1"/>
          <w:sz w:val="32"/>
          <w:szCs w:val="32"/>
          <w14:textFill>
            <w14:solidFill>
              <w14:schemeClr w14:val="tx1"/>
            </w14:solidFill>
          </w14:textFill>
        </w:rPr>
        <w:t>共有车辆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辆</w:t>
      </w:r>
      <w:r>
        <w:rPr>
          <w:rFonts w:hint="eastAsia" w:ascii="仿宋_GB2312" w:hAnsi="仿宋_GB2312" w:eastAsia="仿宋_GB2312" w:cs="仿宋_GB2312"/>
          <w:color w:val="C00000"/>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其中：主要领导干部用车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辆、机要通信用车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辆、应急保障用车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辆、其他用车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其他用车主要是用于</w:t>
      </w:r>
      <w:r>
        <w:rPr>
          <w:rFonts w:hint="eastAsia" w:ascii="仿宋_GB2312" w:hAnsi="仿宋_GB2312" w:eastAsia="仿宋_GB2312" w:cs="仿宋_GB2312"/>
          <w:color w:val="000000" w:themeColor="text1"/>
          <w:sz w:val="32"/>
          <w:szCs w:val="32"/>
          <w:lang w:eastAsia="zh-CN"/>
          <w14:textFill>
            <w14:solidFill>
              <w14:schemeClr w14:val="tx1"/>
            </w14:solidFill>
          </w14:textFill>
        </w:rPr>
        <w:t>下牧业开展工作、到县参加会议、办事、日常辖区巡逻、出差</w:t>
      </w:r>
      <w:r>
        <w:rPr>
          <w:rFonts w:hint="eastAsia" w:ascii="仿宋_GB2312" w:hAnsi="仿宋_GB2312" w:eastAsia="仿宋_GB2312" w:cs="仿宋_GB2312"/>
          <w:color w:val="000000" w:themeColor="text1"/>
          <w:sz w:val="32"/>
          <w:szCs w:val="32"/>
          <w14:textFill>
            <w14:solidFill>
              <w14:schemeClr w14:val="tx1"/>
            </w14:solidFill>
          </w14:textFill>
        </w:rPr>
        <w:t>等</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单价50万元以上通用设备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台（套），单价100万元以上专用设备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台（套）。</w:t>
      </w:r>
    </w:p>
    <w:p>
      <w:pPr>
        <w:keepNext w:val="0"/>
        <w:keepLines w:val="0"/>
        <w:pageBreakBefore w:val="0"/>
        <w:widowControl w:val="0"/>
        <w:kinsoku/>
        <w:wordWrap/>
        <w:overflowPunct/>
        <w:topLinePunct w:val="0"/>
        <w:autoSpaceDE w:val="0"/>
        <w:autoSpaceDN w:val="0"/>
        <w:bidi w:val="0"/>
        <w:adjustRightInd w:val="0"/>
        <w:spacing w:line="520" w:lineRule="exact"/>
        <w:ind w:firstLine="643" w:firstLineChars="200"/>
        <w:jc w:val="left"/>
        <w:textAlignment w:val="auto"/>
        <w:outlineLvl w:val="2"/>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b/>
          <w:color w:val="000000" w:themeColor="text1"/>
          <w:sz w:val="32"/>
          <w:szCs w:val="32"/>
          <w14:textFill>
            <w14:solidFill>
              <w14:schemeClr w14:val="tx1"/>
            </w14:solidFill>
          </w14:textFill>
        </w:rPr>
        <w:t>）预算绩效管理情况。</w:t>
      </w:r>
    </w:p>
    <w:p>
      <w:pPr>
        <w:keepNext w:val="0"/>
        <w:keepLines w:val="0"/>
        <w:pageBreakBefore w:val="0"/>
        <w:widowControl w:val="0"/>
        <w:kinsoku/>
        <w:wordWrap/>
        <w:overflowPunct/>
        <w:topLinePunct w:val="0"/>
        <w:bidi w:val="0"/>
        <w:spacing w:line="52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根据预算绩效管理要求，本部门（单位）在年初预算编制阶段</w:t>
      </w:r>
      <w:r>
        <w:rPr>
          <w:rFonts w:hint="eastAsia" w:ascii="仿宋_GB2312" w:hAnsi="仿宋_GB2312" w:eastAsia="仿宋_GB2312" w:cs="仿宋_GB2312"/>
          <w:color w:val="000000" w:themeColor="text1"/>
          <w:sz w:val="32"/>
          <w:szCs w:val="32"/>
          <w:lang w:eastAsia="zh-CN"/>
          <w14:textFill>
            <w14:solidFill>
              <w14:schemeClr w14:val="tx1"/>
            </w14:solidFill>
          </w14:textFill>
        </w:rPr>
        <w:t>色地镇藏区新居建设项目该</w:t>
      </w:r>
      <w:r>
        <w:rPr>
          <w:rFonts w:hint="eastAsia" w:ascii="仿宋_GB2312" w:hAnsi="仿宋_GB2312" w:eastAsia="仿宋_GB2312" w:cs="仿宋_GB2312"/>
          <w:color w:val="000000" w:themeColor="text1"/>
          <w:sz w:val="32"/>
          <w:szCs w:val="32"/>
          <w14:textFill>
            <w14:solidFill>
              <w14:schemeClr w14:val="tx1"/>
            </w14:solidFill>
          </w14:textFill>
        </w:rPr>
        <w:t>项目编制了绩效目标，预算执行过程中，选取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该</w:t>
      </w:r>
      <w:r>
        <w:rPr>
          <w:rFonts w:hint="eastAsia" w:ascii="仿宋_GB2312" w:hAnsi="仿宋_GB2312" w:eastAsia="仿宋_GB2312" w:cs="仿宋_GB2312"/>
          <w:color w:val="000000" w:themeColor="text1"/>
          <w:sz w:val="32"/>
          <w:szCs w:val="32"/>
          <w14:textFill>
            <w14:solidFill>
              <w14:schemeClr w14:val="tx1"/>
            </w14:solidFill>
          </w14:textFill>
        </w:rPr>
        <w:t>项目开展绩效监控，年终执行完毕后，</w:t>
      </w:r>
      <w:r>
        <w:rPr>
          <w:rFonts w:hint="eastAsia" w:ascii="仿宋_GB2312" w:hAnsi="仿宋_GB2312" w:eastAsia="仿宋_GB2312" w:cs="仿宋_GB2312"/>
          <w:color w:val="000000" w:themeColor="text1"/>
          <w:sz w:val="32"/>
          <w:szCs w:val="32"/>
          <w:lang w:eastAsia="zh-CN"/>
          <w14:textFill>
            <w14:solidFill>
              <w14:schemeClr w14:val="tx1"/>
            </w14:solidFill>
          </w14:textFill>
        </w:rPr>
        <w:t>该</w:t>
      </w:r>
      <w:r>
        <w:rPr>
          <w:rFonts w:hint="eastAsia" w:ascii="仿宋_GB2312" w:hAnsi="仿宋_GB2312" w:eastAsia="仿宋_GB2312" w:cs="仿宋_GB2312"/>
          <w:color w:val="000000" w:themeColor="text1"/>
          <w:sz w:val="32"/>
          <w:szCs w:val="32"/>
          <w14:textFill>
            <w14:solidFill>
              <w14:schemeClr w14:val="tx1"/>
            </w14:solidFill>
          </w14:textFill>
        </w:rPr>
        <w:t>项目开展了绩效目标完成情况自评。</w:t>
      </w:r>
    </w:p>
    <w:p>
      <w:pPr>
        <w:keepNext w:val="0"/>
        <w:keepLines w:val="0"/>
        <w:pageBreakBefore w:val="0"/>
        <w:widowControl w:val="0"/>
        <w:kinsoku/>
        <w:wordWrap/>
        <w:overflowPunct/>
        <w:topLinePunct w:val="0"/>
        <w:bidi w:val="0"/>
        <w:spacing w:line="52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本部门按要求对2019年部门整体支出开展绩效自评，从评价情况来看</w:t>
      </w:r>
      <w:r>
        <w:rPr>
          <w:rFonts w:hint="eastAsia" w:ascii="仿宋_GB2312" w:hAnsi="仿宋_GB2312" w:eastAsia="仿宋_GB2312" w:cs="仿宋_GB2312"/>
          <w:color w:val="000000" w:themeColor="text1"/>
          <w:sz w:val="32"/>
          <w:szCs w:val="32"/>
          <w:lang w:eastAsia="zh-CN"/>
          <w14:textFill>
            <w14:solidFill>
              <w14:schemeClr w14:val="tx1"/>
            </w14:solidFill>
          </w14:textFill>
        </w:rPr>
        <w:t>完成效果较好</w:t>
      </w:r>
      <w:r>
        <w:rPr>
          <w:rFonts w:hint="eastAsia" w:ascii="仿宋_GB2312" w:hAnsi="仿宋_GB2312" w:eastAsia="仿宋_GB2312" w:cs="仿宋_GB2312"/>
          <w:color w:val="000000" w:themeColor="text1"/>
          <w:sz w:val="32"/>
          <w:szCs w:val="32"/>
          <w14:textFill>
            <w14:solidFill>
              <w14:schemeClr w14:val="tx1"/>
            </w14:solidFill>
          </w14:textFill>
        </w:rPr>
        <w:t>。本部门还自行组织了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个项目支出绩效评价，从评价情况来看</w:t>
      </w:r>
      <w:r>
        <w:rPr>
          <w:rFonts w:hint="eastAsia" w:ascii="仿宋_GB2312" w:hAnsi="仿宋_GB2312" w:eastAsia="仿宋_GB2312" w:cs="仿宋_GB2312"/>
          <w:color w:val="000000" w:themeColor="text1"/>
          <w:sz w:val="32"/>
          <w:szCs w:val="32"/>
          <w:lang w:eastAsia="zh-CN"/>
          <w14:textFill>
            <w14:solidFill>
              <w14:schemeClr w14:val="tx1"/>
            </w14:solidFill>
          </w14:textFill>
        </w:rPr>
        <w:t>完成情况较好。</w:t>
      </w:r>
    </w:p>
    <w:p>
      <w:pPr>
        <w:keepNext w:val="0"/>
        <w:keepLines w:val="0"/>
        <w:pageBreakBefore w:val="0"/>
        <w:widowControl w:val="0"/>
        <w:numPr>
          <w:ilvl w:val="0"/>
          <w:numId w:val="0"/>
        </w:numPr>
        <w:kinsoku/>
        <w:wordWrap/>
        <w:overflowPunct/>
        <w:topLinePunct w:val="0"/>
        <w:bidi w:val="0"/>
        <w:spacing w:line="52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项目绩效目标完成情况。</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xml:space="preserve">    本部门在2019年度部门决算中反映</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藏区新居房屋</w:t>
      </w:r>
      <w:r>
        <w:rPr>
          <w:rFonts w:hint="eastAsia" w:ascii="仿宋_GB2312" w:hAnsi="仿宋_GB2312" w:eastAsia="仿宋_GB2312" w:cs="仿宋_GB2312"/>
          <w:color w:val="000000" w:themeColor="text1"/>
          <w:sz w:val="32"/>
          <w:szCs w:val="32"/>
          <w:lang w:eastAsia="zh-CN"/>
          <w14:textFill>
            <w14:solidFill>
              <w14:schemeClr w14:val="tx1"/>
            </w14:solidFill>
          </w14:textFill>
        </w:rPr>
        <w:t>建设项目</w:t>
      </w:r>
      <w:r>
        <w:rPr>
          <w:rFonts w:hint="eastAsia" w:ascii="仿宋_GB2312" w:hAnsi="仿宋_GB2312" w:eastAsia="仿宋_GB2312" w:cs="仿宋_GB2312"/>
          <w:color w:val="000000" w:themeColor="text1"/>
          <w:sz w:val="32"/>
          <w:szCs w:val="32"/>
          <w14:textFill>
            <w14:solidFill>
              <w14:schemeClr w14:val="tx1"/>
            </w14:solidFill>
          </w14:textFill>
        </w:rPr>
        <w:t>”绩效目标实际完成情况。</w:t>
      </w:r>
    </w:p>
    <w:p>
      <w:pPr>
        <w:keepNext w:val="0"/>
        <w:keepLines w:val="0"/>
        <w:pageBreakBefore w:val="0"/>
        <w:widowControl w:val="0"/>
        <w:numPr>
          <w:ilvl w:val="0"/>
          <w:numId w:val="0"/>
        </w:numPr>
        <w:kinsoku/>
        <w:wordWrap/>
        <w:overflowPunct/>
        <w:topLinePunct w:val="0"/>
        <w:bidi w:val="0"/>
        <w:spacing w:line="52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藏区新居</w:t>
      </w:r>
      <w:r>
        <w:rPr>
          <w:rFonts w:hint="eastAsia" w:ascii="仿宋_GB2312" w:hAnsi="仿宋_GB2312" w:eastAsia="仿宋_GB2312" w:cs="仿宋_GB2312"/>
          <w:color w:val="000000" w:themeColor="text1"/>
          <w:sz w:val="32"/>
          <w:szCs w:val="32"/>
          <w14:textFill>
            <w14:solidFill>
              <w14:schemeClr w14:val="tx1"/>
            </w14:solidFill>
          </w14:textFill>
        </w:rPr>
        <w:t>项目绩效目标完成情况综述。项目全年预算数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33</w:t>
      </w:r>
      <w:r>
        <w:rPr>
          <w:rFonts w:hint="eastAsia" w:ascii="仿宋_GB2312" w:hAnsi="仿宋_GB2312" w:eastAsia="仿宋_GB2312" w:cs="仿宋_GB2312"/>
          <w:color w:val="000000" w:themeColor="text1"/>
          <w:sz w:val="32"/>
          <w:szCs w:val="32"/>
          <w14:textFill>
            <w14:solidFill>
              <w14:schemeClr w14:val="tx1"/>
            </w14:solidFill>
          </w14:textFill>
        </w:rPr>
        <w:t>万元，执行数为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33</w:t>
      </w:r>
      <w:r>
        <w:rPr>
          <w:rFonts w:hint="eastAsia" w:ascii="仿宋_GB2312" w:hAnsi="仿宋_GB2312" w:eastAsia="仿宋_GB2312" w:cs="仿宋_GB2312"/>
          <w:color w:val="000000" w:themeColor="text1"/>
          <w:sz w:val="32"/>
          <w:szCs w:val="32"/>
          <w14:textFill>
            <w14:solidFill>
              <w14:schemeClr w14:val="tx1"/>
            </w14:solidFill>
          </w14:textFill>
        </w:rPr>
        <w:t>万元，完成预算的100%。通过项目实施，保障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老百姓住房安全保障</w:t>
      </w:r>
      <w:r>
        <w:rPr>
          <w:rFonts w:hint="eastAsia" w:ascii="仿宋_GB2312" w:hAnsi="仿宋_GB2312" w:eastAsia="仿宋_GB2312" w:cs="仿宋_GB2312"/>
          <w:color w:val="000000" w:themeColor="text1"/>
          <w:sz w:val="32"/>
          <w:szCs w:val="32"/>
          <w14:textFill>
            <w14:solidFill>
              <w14:schemeClr w14:val="tx1"/>
            </w14:solidFill>
          </w14:textFill>
        </w:rPr>
        <w:t>。</w:t>
      </w:r>
    </w:p>
    <w:p>
      <w:pPr>
        <w:pStyle w:val="14"/>
        <w:ind w:left="0" w:leftChars="0" w:firstLine="0" w:firstLineChars="0"/>
        <w:rPr>
          <w:color w:val="000000" w:themeColor="text1"/>
          <w14:textFill>
            <w14:solidFill>
              <w14:schemeClr w14:val="tx1"/>
            </w14:solidFill>
          </w14:textFill>
        </w:rPr>
      </w:pPr>
    </w:p>
    <w:p>
      <w:pPr>
        <w:pStyle w:val="14"/>
        <w:ind w:left="0" w:leftChars="0" w:firstLine="0" w:firstLineChars="0"/>
        <w:rPr>
          <w:color w:val="000000" w:themeColor="text1"/>
          <w14:textFill>
            <w14:solidFill>
              <w14:schemeClr w14:val="tx1"/>
            </w14:solidFill>
          </w14:textFill>
        </w:rPr>
      </w:pPr>
    </w:p>
    <w:tbl>
      <w:tblPr>
        <w:tblStyle w:val="15"/>
        <w:tblpPr w:leftFromText="180" w:rightFromText="180" w:vertAnchor="text" w:horzAnchor="page" w:tblpX="1732" w:tblpY="171"/>
        <w:tblOverlap w:val="never"/>
        <w:tblW w:w="9522" w:type="dxa"/>
        <w:tblInd w:w="0" w:type="dxa"/>
        <w:tblLayout w:type="fixed"/>
        <w:tblCellMar>
          <w:top w:w="15" w:type="dxa"/>
          <w:left w:w="15" w:type="dxa"/>
          <w:bottom w:w="15" w:type="dxa"/>
          <w:right w:w="15" w:type="dxa"/>
        </w:tblCellMar>
      </w:tblPr>
      <w:tblGrid>
        <w:gridCol w:w="449"/>
        <w:gridCol w:w="174"/>
        <w:gridCol w:w="1188"/>
        <w:gridCol w:w="450"/>
        <w:gridCol w:w="572"/>
        <w:gridCol w:w="192"/>
        <w:gridCol w:w="545"/>
        <w:gridCol w:w="637"/>
        <w:gridCol w:w="518"/>
        <w:gridCol w:w="1234"/>
        <w:gridCol w:w="477"/>
        <w:gridCol w:w="1465"/>
        <w:gridCol w:w="1468"/>
        <w:gridCol w:w="153"/>
      </w:tblGrid>
      <w:tr>
        <w:tblPrEx>
          <w:tblCellMar>
            <w:top w:w="15" w:type="dxa"/>
            <w:left w:w="15" w:type="dxa"/>
            <w:bottom w:w="15" w:type="dxa"/>
            <w:right w:w="15" w:type="dxa"/>
          </w:tblCellMar>
        </w:tblPrEx>
        <w:trPr>
          <w:trHeight w:val="285" w:hRule="atLeast"/>
        </w:trPr>
        <w:tc>
          <w:tcPr>
            <w:tcW w:w="9522" w:type="dxa"/>
            <w:gridSpan w:val="14"/>
            <w:shd w:val="clear" w:color="auto" w:fill="auto"/>
            <w:vAlign w:val="center"/>
          </w:tcPr>
          <w:p>
            <w:pPr>
              <w:widowControl/>
              <w:jc w:val="center"/>
              <w:textAlignment w:val="center"/>
              <w:rPr>
                <w:rFonts w:hint="eastAsia" w:ascii="宋体" w:hAnsi="宋体" w:eastAsia="宋体" w:cs="宋体"/>
                <w:b/>
                <w:color w:val="000000" w:themeColor="text1"/>
                <w:sz w:val="24"/>
                <w:lang w:eastAsia="zh-CN"/>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项目名称</w:t>
            </w:r>
          </w:p>
        </w:tc>
        <w:tc>
          <w:tcPr>
            <w:tcW w:w="72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themeColor="text1"/>
                <w:sz w:val="24"/>
                <w:lang w:val="en-US" w:eastAsia="zh-CN"/>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藏区新居建设项目</w:t>
            </w:r>
          </w:p>
        </w:tc>
      </w:tr>
      <w:tr>
        <w:tblPrEx>
          <w:tblCellMar>
            <w:top w:w="15" w:type="dxa"/>
            <w:left w:w="15" w:type="dxa"/>
            <w:bottom w:w="15" w:type="dxa"/>
            <w:right w:w="15" w:type="dxa"/>
          </w:tblCellMar>
        </w:tblPrEx>
        <w:trPr>
          <w:trHeight w:val="285" w:hRule="atLeast"/>
        </w:trPr>
        <w:tc>
          <w:tcPr>
            <w:tcW w:w="22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预算单位</w:t>
            </w:r>
          </w:p>
        </w:tc>
        <w:tc>
          <w:tcPr>
            <w:tcW w:w="72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红原县</w:t>
            </w:r>
            <w:r>
              <w:rPr>
                <w:rFonts w:hint="eastAsia" w:ascii="宋体" w:hAnsi="宋体" w:cs="宋体"/>
                <w:b/>
                <w:color w:val="000000" w:themeColor="text1"/>
                <w:sz w:val="24"/>
                <w:lang w:eastAsia="zh-CN"/>
                <w14:textFill>
                  <w14:solidFill>
                    <w14:schemeClr w14:val="tx1"/>
                  </w14:solidFill>
                </w14:textFill>
              </w:rPr>
              <w:t>色地镇</w:t>
            </w:r>
            <w:r>
              <w:rPr>
                <w:rFonts w:hint="eastAsia" w:ascii="宋体" w:hAnsi="宋体" w:cs="宋体"/>
                <w:b/>
                <w:color w:val="000000" w:themeColor="text1"/>
                <w:sz w:val="24"/>
                <w14:textFill>
                  <w14:solidFill>
                    <w14:schemeClr w14:val="tx1"/>
                  </w14:solidFill>
                </w14:textFill>
              </w:rPr>
              <w:t>人民政府</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预算执行情况(万元</w:t>
            </w:r>
          </w:p>
        </w:tc>
        <w:tc>
          <w:tcPr>
            <w:tcW w:w="18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预算数:</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themeColor="text1"/>
                <w:sz w:val="24"/>
                <w:lang w:val="en-US" w:eastAsia="zh-CN"/>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33</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执行数:</w:t>
            </w:r>
          </w:p>
        </w:tc>
        <w:tc>
          <w:tcPr>
            <w:tcW w:w="35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themeColor="text1"/>
                <w:sz w:val="24"/>
                <w:lang w:val="en-US" w:eastAsia="zh-CN"/>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33</w:t>
            </w:r>
          </w:p>
        </w:tc>
      </w:tr>
      <w:tr>
        <w:tblPrEx>
          <w:tblCellMar>
            <w:top w:w="15" w:type="dxa"/>
            <w:left w:w="15" w:type="dxa"/>
            <w:bottom w:w="15" w:type="dxa"/>
            <w:right w:w="15" w:type="dxa"/>
          </w:tblCellMar>
        </w:tblPrEx>
        <w:trPr>
          <w:trHeight w:val="863"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0"/>
                <w:szCs w:val="20"/>
                <w14:textFill>
                  <w14:solidFill>
                    <w14:schemeClr w14:val="tx1"/>
                  </w14:solidFill>
                </w14:textFill>
              </w:rPr>
            </w:pPr>
          </w:p>
        </w:tc>
        <w:tc>
          <w:tcPr>
            <w:tcW w:w="18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其中-财政拨款:</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themeColor="text1"/>
                <w:sz w:val="24"/>
                <w:lang w:val="en-US" w:eastAsia="zh-CN"/>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33</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其中-财政拨款:</w:t>
            </w:r>
          </w:p>
        </w:tc>
        <w:tc>
          <w:tcPr>
            <w:tcW w:w="35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themeColor="text1"/>
                <w:sz w:val="24"/>
                <w:lang w:val="en-US" w:eastAsia="zh-CN"/>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33</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0"/>
                <w:szCs w:val="20"/>
                <w14:textFill>
                  <w14:solidFill>
                    <w14:schemeClr w14:val="tx1"/>
                  </w14:solidFill>
                </w14:textFill>
              </w:rPr>
            </w:pPr>
          </w:p>
        </w:tc>
        <w:tc>
          <w:tcPr>
            <w:tcW w:w="18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其它资金:</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0</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其它资金:</w:t>
            </w:r>
          </w:p>
        </w:tc>
        <w:tc>
          <w:tcPr>
            <w:tcW w:w="35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0</w:t>
            </w:r>
          </w:p>
        </w:tc>
      </w:tr>
      <w:tr>
        <w:tblPrEx>
          <w:tblCellMar>
            <w:top w:w="15" w:type="dxa"/>
            <w:left w:w="15" w:type="dxa"/>
            <w:bottom w:w="15" w:type="dxa"/>
            <w:right w:w="15" w:type="dxa"/>
          </w:tblCellMar>
        </w:tblPrEx>
        <w:trPr>
          <w:trHeight w:val="150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年度目标完成情况</w:t>
            </w:r>
          </w:p>
        </w:tc>
        <w:tc>
          <w:tcPr>
            <w:tcW w:w="2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预期目标</w:t>
            </w:r>
          </w:p>
        </w:tc>
        <w:tc>
          <w:tcPr>
            <w:tcW w:w="649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实际完成目标</w:t>
            </w:r>
          </w:p>
        </w:tc>
      </w:tr>
      <w:tr>
        <w:tblPrEx>
          <w:tblCellMar>
            <w:top w:w="15" w:type="dxa"/>
            <w:left w:w="15" w:type="dxa"/>
            <w:bottom w:w="15" w:type="dxa"/>
            <w:right w:w="15" w:type="dxa"/>
          </w:tblCellMar>
        </w:tblPrEx>
        <w:trPr>
          <w:trHeight w:val="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0"/>
                <w:szCs w:val="20"/>
                <w14:textFill>
                  <w14:solidFill>
                    <w14:schemeClr w14:val="tx1"/>
                  </w14:solidFill>
                </w14:textFill>
              </w:rPr>
            </w:pPr>
          </w:p>
        </w:tc>
        <w:tc>
          <w:tcPr>
            <w:tcW w:w="2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完成年度目标</w:t>
            </w:r>
          </w:p>
        </w:tc>
        <w:tc>
          <w:tcPr>
            <w:tcW w:w="649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藏区新居房屋建设，保障了村民住房安全</w:t>
            </w:r>
          </w:p>
        </w:tc>
      </w:tr>
      <w:tr>
        <w:tblPrEx>
          <w:tblCellMar>
            <w:top w:w="0" w:type="dxa"/>
            <w:left w:w="0" w:type="dxa"/>
            <w:bottom w:w="0" w:type="dxa"/>
            <w:right w:w="0" w:type="dxa"/>
          </w:tblCellMar>
        </w:tblPrEx>
        <w:trPr>
          <w:gridAfter w:val="1"/>
          <w:wAfter w:w="153" w:type="dxa"/>
          <w:trHeight w:val="555" w:hRule="atLeast"/>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绩效指标完成情况</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6540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4" name="直接连接符_10"/>
                  <wp:cNvGraphicFramePr/>
                  <a:graphic xmlns:a="http://schemas.openxmlformats.org/drawingml/2006/main">
                    <a:graphicData uri="http://schemas.openxmlformats.org/drawingml/2006/picture">
                      <pic:pic xmlns:pic="http://schemas.openxmlformats.org/drawingml/2006/picture">
                        <pic:nvPicPr>
                          <pic:cNvPr id="14"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6643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5" name="直接连接符_8"/>
                  <wp:cNvGraphicFramePr/>
                  <a:graphic xmlns:a="http://schemas.openxmlformats.org/drawingml/2006/main">
                    <a:graphicData uri="http://schemas.openxmlformats.org/drawingml/2006/picture">
                      <pic:pic xmlns:pic="http://schemas.openxmlformats.org/drawingml/2006/picture">
                        <pic:nvPicPr>
                          <pic:cNvPr id="15"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6745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6" name="直接连接符_9"/>
                  <wp:cNvGraphicFramePr/>
                  <a:graphic xmlns:a="http://schemas.openxmlformats.org/drawingml/2006/main">
                    <a:graphicData uri="http://schemas.openxmlformats.org/drawingml/2006/picture">
                      <pic:pic xmlns:pic="http://schemas.openxmlformats.org/drawingml/2006/picture">
                        <pic:nvPicPr>
                          <pic:cNvPr id="16"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6848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7" name="直接连接符_7"/>
                  <wp:cNvGraphicFramePr/>
                  <a:graphic xmlns:a="http://schemas.openxmlformats.org/drawingml/2006/main">
                    <a:graphicData uri="http://schemas.openxmlformats.org/drawingml/2006/picture">
                      <pic:pic xmlns:pic="http://schemas.openxmlformats.org/drawingml/2006/picture">
                        <pic:nvPicPr>
                          <pic:cNvPr id="17"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t>一级指标</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二级指标</w:t>
            </w: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三级指标</w:t>
            </w:r>
          </w:p>
        </w:tc>
        <w:tc>
          <w:tcPr>
            <w:tcW w:w="286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指标评价内容</w:t>
            </w:r>
          </w:p>
        </w:tc>
        <w:tc>
          <w:tcPr>
            <w:tcW w:w="14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预期指标值(包含数字及文字描述)</w:t>
            </w:r>
          </w:p>
        </w:tc>
        <w:tc>
          <w:tcPr>
            <w:tcW w:w="14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实际完成指标值(包含数字及文字描述)</w:t>
            </w:r>
          </w:p>
        </w:tc>
      </w:tr>
      <w:tr>
        <w:tblPrEx>
          <w:tblCellMar>
            <w:top w:w="0" w:type="dxa"/>
            <w:left w:w="0" w:type="dxa"/>
            <w:bottom w:w="0" w:type="dxa"/>
            <w:right w:w="0" w:type="dxa"/>
          </w:tblCellMar>
        </w:tblPrEx>
        <w:trPr>
          <w:gridAfter w:val="1"/>
          <w:wAfter w:w="153" w:type="dxa"/>
          <w:trHeight w:val="555"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gridAfter w:val="1"/>
          <w:wAfter w:w="153" w:type="dxa"/>
          <w:trHeight w:val="312"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gridAfter w:val="1"/>
          <w:wAfter w:w="153" w:type="dxa"/>
          <w:trHeight w:val="765"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项目决策</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绩效目标</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目标内容</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项目预期提供的产品、服务、效益或其他目标明确,即绩效目标实际明确个数/应当明确个数×100%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cs="宋体"/>
                <w:color w:val="000000" w:themeColor="text1"/>
                <w:sz w:val="20"/>
                <w:szCs w:val="20"/>
                <w:lang w:val="en-US"/>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房屋修建11户</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房屋修建11户</w:t>
            </w:r>
          </w:p>
        </w:tc>
      </w:tr>
      <w:tr>
        <w:tblPrEx>
          <w:tblCellMar>
            <w:top w:w="0" w:type="dxa"/>
            <w:left w:w="0" w:type="dxa"/>
            <w:bottom w:w="0" w:type="dxa"/>
            <w:right w:w="0" w:type="dxa"/>
          </w:tblCellMar>
        </w:tblPrEx>
        <w:trPr>
          <w:gridAfter w:val="1"/>
          <w:wAfter w:w="153" w:type="dxa"/>
          <w:trHeight w:val="645"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进度计划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项目计划实施进度明确</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按照工期进度表进行</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按时完工</w:t>
            </w:r>
          </w:p>
        </w:tc>
      </w:tr>
      <w:tr>
        <w:tblPrEx>
          <w:tblCellMar>
            <w:top w:w="0" w:type="dxa"/>
            <w:left w:w="0" w:type="dxa"/>
            <w:bottom w:w="0" w:type="dxa"/>
            <w:right w:w="0" w:type="dxa"/>
          </w:tblCellMar>
        </w:tblPrEx>
        <w:trPr>
          <w:gridAfter w:val="1"/>
          <w:wAfter w:w="153" w:type="dxa"/>
          <w:trHeight w:val="690"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目标匹配</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绩效目标设定符合实际需求的抽样项目点个数/抽样项目点总数×100%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11</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11</w:t>
            </w:r>
          </w:p>
        </w:tc>
      </w:tr>
      <w:tr>
        <w:tblPrEx>
          <w:tblCellMar>
            <w:top w:w="0" w:type="dxa"/>
            <w:left w:w="0" w:type="dxa"/>
            <w:bottom w:w="0" w:type="dxa"/>
            <w:right w:w="0" w:type="dxa"/>
          </w:tblCellMar>
        </w:tblPrEx>
        <w:trPr>
          <w:gridAfter w:val="1"/>
          <w:wAfter w:w="153" w:type="dxa"/>
          <w:trHeight w:val="765"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决策依据</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政策依据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项目符合党中央、国务院和省委、省政府决策部署；符合当前经济社会发展需要</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r>
      <w:tr>
        <w:tblPrEx>
          <w:tblCellMar>
            <w:top w:w="0" w:type="dxa"/>
            <w:left w:w="0" w:type="dxa"/>
            <w:bottom w:w="0" w:type="dxa"/>
            <w:right w:w="0" w:type="dxa"/>
          </w:tblCellMar>
        </w:tblPrEx>
        <w:trPr>
          <w:gridAfter w:val="1"/>
          <w:wAfter w:w="153" w:type="dxa"/>
          <w:trHeight w:val="555"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实施规划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连续性项目根据需要制定中长期实施规划</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r>
      <w:tr>
        <w:tblPrEx>
          <w:tblCellMar>
            <w:top w:w="0" w:type="dxa"/>
            <w:left w:w="0" w:type="dxa"/>
            <w:bottom w:w="0" w:type="dxa"/>
            <w:right w:w="0" w:type="dxa"/>
          </w:tblCellMar>
        </w:tblPrEx>
        <w:trPr>
          <w:gridAfter w:val="1"/>
          <w:wAfter w:w="153" w:type="dxa"/>
          <w:trHeight w:val="555"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实施规划符合实际，并根据情况变化适时调整</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555"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管理制度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制定项目资金管理办法</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r>
      <w:tr>
        <w:tblPrEx>
          <w:tblCellMar>
            <w:top w:w="0" w:type="dxa"/>
            <w:left w:w="0" w:type="dxa"/>
            <w:bottom w:w="0" w:type="dxa"/>
            <w:right w:w="0" w:type="dxa"/>
          </w:tblCellMar>
        </w:tblPrEx>
        <w:trPr>
          <w:gridAfter w:val="1"/>
          <w:wAfter w:w="153" w:type="dxa"/>
          <w:trHeight w:val="750"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项目资金分配决策程序明确</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825"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资金分配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分配方法</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资金分配方法是否科学合理</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555"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分配过程</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分配过程符合相关规定</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765"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分配结果</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审核把关</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符合申报条件的抽样项目点个数/抽样项目点总数×100%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11</w:t>
            </w:r>
            <w:r>
              <w:rPr>
                <w:rFonts w:hint="eastAsia" w:ascii="宋体" w:hAnsi="宋体" w:cs="宋体"/>
                <w:color w:val="000000" w:themeColor="text1"/>
                <w:sz w:val="20"/>
                <w:szCs w:val="20"/>
                <w14:textFill>
                  <w14:solidFill>
                    <w14:schemeClr w14:val="tx1"/>
                  </w14:solidFill>
                </w14:textFill>
              </w:rPr>
              <w:t>个</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11</w:t>
            </w:r>
            <w:r>
              <w:rPr>
                <w:rFonts w:hint="eastAsia" w:ascii="宋体" w:hAnsi="宋体" w:cs="宋体"/>
                <w:color w:val="000000" w:themeColor="text1"/>
                <w:sz w:val="20"/>
                <w:szCs w:val="20"/>
                <w14:textFill>
                  <w14:solidFill>
                    <w14:schemeClr w14:val="tx1"/>
                  </w14:solidFill>
                </w14:textFill>
              </w:rPr>
              <w:t>个</w:t>
            </w:r>
          </w:p>
        </w:tc>
      </w:tr>
      <w:tr>
        <w:tblPrEx>
          <w:tblCellMar>
            <w:top w:w="0" w:type="dxa"/>
            <w:left w:w="0" w:type="dxa"/>
            <w:bottom w:w="0" w:type="dxa"/>
            <w:right w:w="0" w:type="dxa"/>
          </w:tblCellMar>
        </w:tblPrEx>
        <w:trPr>
          <w:gridAfter w:val="1"/>
          <w:wAfter w:w="153" w:type="dxa"/>
          <w:trHeight w:val="1020"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资金集中</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集中</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财政资金占项目资金总额比重较小项目个数/项目总数×100%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gridAfter w:val="1"/>
          <w:wAfter w:w="153" w:type="dxa"/>
          <w:trHeight w:val="735"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（均衡）</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均衡</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按实际分配结果选择客观因素测算验证资金分配方法制定、分配要素设定、基础数据应用、测算依据选取等是否科学合理（2分）</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540"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项目管理</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 xml:space="preserve"> 资金到位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县级主管部门按规定及时分配资金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744"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资金拨付</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按规定及时拨付资金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555"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 xml:space="preserve">资金管理  </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使用范围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资金使用是否合规</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555"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支付依据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资金支付依据符合规定，即支付依旧合规资金量/资金总量×100%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555"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开支标准</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资金开支标准符合规定，即开支标准合规资金量/资金总量×100%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735"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财务管理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财务制度健全，管理规范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555"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会计核算</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会计核算规范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555"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组织实施（4分）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项目调整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项目调整严格履行相关手续</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855"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投资变更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项目投资变更额/项目总投入×100%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765"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制度执行</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严格执行项目有关制度规定</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555" w:hRule="atLeast"/>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bdr w:val="single" w:color="000000" w:sz="4" w:space="0"/>
                <w14:textFill>
                  <w14:solidFill>
                    <w14:schemeClr w14:val="tx1"/>
                  </w14:solidFill>
                </w14:textFill>
              </w:rPr>
              <w:drawing>
                <wp:anchor distT="0" distB="0" distL="114300" distR="114300" simplePos="0" relativeHeight="251669504"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8" name="直接连接符_6"/>
                  <wp:cNvGraphicFramePr/>
                  <a:graphic xmlns:a="http://schemas.openxmlformats.org/drawingml/2006/main">
                    <a:graphicData uri="http://schemas.openxmlformats.org/drawingml/2006/picture">
                      <pic:pic xmlns:pic="http://schemas.openxmlformats.org/drawingml/2006/picture">
                        <pic:nvPicPr>
                          <pic:cNvPr id="18"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themeColor="text1"/>
                <w:kern w:val="0"/>
                <w:sz w:val="20"/>
                <w:szCs w:val="20"/>
                <w:bdr w:val="single" w:color="000000" w:sz="4" w:space="0"/>
                <w14:textFill>
                  <w14:solidFill>
                    <w14:schemeClr w14:val="tx1"/>
                  </w14:solidFill>
                </w14:textFill>
              </w:rPr>
              <w:drawing>
                <wp:anchor distT="0" distB="0" distL="114300" distR="114300" simplePos="0" relativeHeight="251670528"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9" name="直接连接符_5"/>
                  <wp:cNvGraphicFramePr/>
                  <a:graphic xmlns:a="http://schemas.openxmlformats.org/drawingml/2006/main">
                    <a:graphicData uri="http://schemas.openxmlformats.org/drawingml/2006/picture">
                      <pic:pic xmlns:pic="http://schemas.openxmlformats.org/drawingml/2006/picture">
                        <pic:nvPicPr>
                          <pic:cNvPr id="19"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0"/>
                <w:szCs w:val="20"/>
                <w14:textFill>
                  <w14:solidFill>
                    <w14:schemeClr w14:val="tx1"/>
                  </w14:solidFill>
                </w14:textFill>
              </w:rPr>
              <w:t>项目绩效</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项目完成</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完成数量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实际完成任务量/绩效目标设定任务量×100%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gridAfter w:val="1"/>
          <w:wAfter w:w="153" w:type="dxa"/>
          <w:trHeight w:val="555"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完成质量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符合绩效目标设定的验收标准，达到行业基准水平</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r>
      <w:tr>
        <w:tblPrEx>
          <w:tblCellMar>
            <w:top w:w="0" w:type="dxa"/>
            <w:left w:w="0" w:type="dxa"/>
            <w:bottom w:w="0" w:type="dxa"/>
            <w:right w:w="0" w:type="dxa"/>
          </w:tblCellMar>
        </w:tblPrEx>
        <w:trPr>
          <w:gridAfter w:val="1"/>
          <w:wAfter w:w="153" w:type="dxa"/>
          <w:trHeight w:val="800"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（实际完成时间-绩效目标设定完成时间）/绩效目标设定完成时间×100%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gridAfter w:val="1"/>
          <w:wAfter w:w="153" w:type="dxa"/>
          <w:trHeight w:val="555"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完成成本</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（实际完成成本-预计完成成本）/预计完成成本×100%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gridAfter w:val="1"/>
          <w:wAfter w:w="153" w:type="dxa"/>
          <w:trHeight w:val="720"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项目效益</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经济效益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反映相关产出对经济社会发展带来的影响和效果，根据项目实际细化具体指标。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房屋修建11户</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房屋修建11户</w:t>
            </w:r>
          </w:p>
        </w:tc>
      </w:tr>
      <w:tr>
        <w:tblPrEx>
          <w:tblCellMar>
            <w:top w:w="0" w:type="dxa"/>
            <w:left w:w="0" w:type="dxa"/>
            <w:bottom w:w="0" w:type="dxa"/>
            <w:right w:w="0" w:type="dxa"/>
          </w:tblCellMar>
        </w:tblPrEx>
        <w:trPr>
          <w:gridAfter w:val="1"/>
          <w:wAfter w:w="153" w:type="dxa"/>
          <w:trHeight w:val="1276"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社会效益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反映相关产出对社会发展带来的影响和效果，根据项目实际细化具体指标。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房屋修建11户</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房屋修建11户</w:t>
            </w:r>
          </w:p>
        </w:tc>
      </w:tr>
      <w:tr>
        <w:tblPrEx>
          <w:tblCellMar>
            <w:top w:w="0" w:type="dxa"/>
            <w:left w:w="0" w:type="dxa"/>
            <w:bottom w:w="0" w:type="dxa"/>
            <w:right w:w="0" w:type="dxa"/>
          </w:tblCellMar>
        </w:tblPrEx>
        <w:trPr>
          <w:gridAfter w:val="1"/>
          <w:wAfter w:w="153" w:type="dxa"/>
          <w:trHeight w:val="90"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生态效益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反映相关产出对自然环境带来的影响和效果，根据项目实际细化具体指标。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房屋修建11户</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房屋修建11户</w:t>
            </w:r>
          </w:p>
        </w:tc>
      </w:tr>
      <w:tr>
        <w:tblPrEx>
          <w:tblCellMar>
            <w:top w:w="0" w:type="dxa"/>
            <w:left w:w="0" w:type="dxa"/>
            <w:bottom w:w="0" w:type="dxa"/>
            <w:right w:w="0" w:type="dxa"/>
          </w:tblCellMar>
        </w:tblPrEx>
        <w:trPr>
          <w:gridAfter w:val="1"/>
          <w:wAfter w:w="153" w:type="dxa"/>
          <w:trHeight w:val="760"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可持续效益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反映相关产出带来影响的可持续期限，根据项目实际细化具体指标。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四类人员修建藏区新居房屋共计11户</w:t>
            </w:r>
            <w:r>
              <w:rPr>
                <w:rFonts w:hint="eastAsia" w:ascii="宋体" w:hAnsi="宋体" w:cs="宋体"/>
                <w:color w:val="000000" w:themeColor="text1"/>
                <w:sz w:val="20"/>
                <w:szCs w:val="20"/>
                <w:lang w:eastAsia="zh-CN"/>
                <w14:textFill>
                  <w14:solidFill>
                    <w14:schemeClr w14:val="tx1"/>
                  </w14:solidFill>
                </w14:textFill>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四类人员修建藏区新居房屋共计11户</w:t>
            </w:r>
            <w:r>
              <w:rPr>
                <w:rFonts w:hint="eastAsia" w:ascii="宋体" w:hAnsi="宋体" w:cs="宋体"/>
                <w:color w:val="000000" w:themeColor="text1"/>
                <w:sz w:val="20"/>
                <w:szCs w:val="20"/>
                <w:lang w:eastAsia="zh-CN"/>
                <w14:textFill>
                  <w14:solidFill>
                    <w14:schemeClr w14:val="tx1"/>
                  </w14:solidFill>
                </w14:textFill>
              </w:rPr>
              <w:t>，</w:t>
            </w:r>
          </w:p>
        </w:tc>
      </w:tr>
      <w:tr>
        <w:tblPrEx>
          <w:tblCellMar>
            <w:top w:w="0" w:type="dxa"/>
            <w:left w:w="0" w:type="dxa"/>
            <w:bottom w:w="0" w:type="dxa"/>
            <w:right w:w="0" w:type="dxa"/>
          </w:tblCellMar>
        </w:tblPrEx>
        <w:trPr>
          <w:gridAfter w:val="1"/>
          <w:wAfter w:w="153" w:type="dxa"/>
          <w:trHeight w:val="90" w:hRule="atLeast"/>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满意度</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服务对象满意度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反映服务对象或项目受益人对相关产出及其影响的认可程度，根据项目实际细化具体指标。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群众满意度高，使用效益高</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群众满意度高，使用效益高</w:t>
            </w:r>
          </w:p>
        </w:tc>
      </w:tr>
    </w:tbl>
    <w:p>
      <w:pPr>
        <w:pStyle w:val="2"/>
        <w:rPr>
          <w:rFonts w:ascii="仿宋_GB2312" w:hAnsi="仿宋_GB2312" w:eastAsia="仿宋_GB2312" w:cs="仿宋_GB2312"/>
          <w:color w:val="C00000"/>
          <w:sz w:val="32"/>
          <w:szCs w:val="32"/>
        </w:rPr>
      </w:pPr>
    </w:p>
    <w:p>
      <w:pPr>
        <w:spacing w:line="580" w:lineRule="exact"/>
        <w:ind w:left="630"/>
        <w:rPr>
          <w:rFonts w:ascii="仿宋_GB2312" w:hAnsi="仿宋_GB2312" w:eastAsia="仿宋_GB2312" w:cs="仿宋_GB2312"/>
          <w:color w:val="C00000"/>
          <w:sz w:val="32"/>
          <w:szCs w:val="32"/>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80" w:lineRule="exact"/>
        <w:ind w:left="63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2.部门绩效评价结果。</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本部门按要求对2019年部门整体支出绩效评价情况开展自评，《</w:t>
      </w:r>
      <w:r>
        <w:rPr>
          <w:rFonts w:hint="eastAsia" w:ascii="仿宋_GB2312" w:hAnsi="仿宋_GB2312" w:eastAsia="仿宋_GB2312" w:cs="仿宋_GB2312"/>
          <w:color w:val="000000" w:themeColor="text1"/>
          <w:sz w:val="32"/>
          <w:szCs w:val="32"/>
          <w:lang w:eastAsia="zh-CN"/>
          <w14:textFill>
            <w14:solidFill>
              <w14:schemeClr w14:val="tx1"/>
            </w14:solidFill>
          </w14:textFill>
        </w:rPr>
        <w:t>色地镇人民政府</w:t>
      </w:r>
      <w:r>
        <w:rPr>
          <w:rFonts w:hint="eastAsia" w:ascii="仿宋_GB2312" w:hAnsi="仿宋_GB2312" w:eastAsia="仿宋_GB2312" w:cs="仿宋_GB2312"/>
          <w:color w:val="000000" w:themeColor="text1"/>
          <w:sz w:val="32"/>
          <w:szCs w:val="32"/>
          <w14:textFill>
            <w14:solidFill>
              <w14:schemeClr w14:val="tx1"/>
            </w14:solidFill>
          </w14:textFill>
        </w:rPr>
        <w:t>2019年整体支出绩效评价报告》见附件（附件1）。</w:t>
      </w:r>
    </w:p>
    <w:p>
      <w:r>
        <w:rPr>
          <w:rFonts w:hint="eastAsia" w:ascii="仿宋_GB2312" w:hAnsi="仿宋_GB2312" w:eastAsia="仿宋_GB2312" w:cs="仿宋_GB2312"/>
          <w:color w:val="000000" w:themeColor="text1"/>
          <w:sz w:val="32"/>
          <w:szCs w:val="32"/>
          <w14:textFill>
            <w14:solidFill>
              <w14:schemeClr w14:val="tx1"/>
            </w14:solidFill>
          </w14:textFill>
        </w:rPr>
        <w:t>本部门自行组织对</w:t>
      </w:r>
      <w:r>
        <w:rPr>
          <w:rFonts w:hint="eastAsia" w:ascii="仿宋_GB2312" w:hAnsi="仿宋_GB2312" w:eastAsia="仿宋_GB2312" w:cs="仿宋_GB2312"/>
          <w:color w:val="000000" w:themeColor="text1"/>
          <w:sz w:val="32"/>
          <w:szCs w:val="32"/>
          <w:lang w:eastAsia="zh-CN"/>
          <w14:textFill>
            <w14:solidFill>
              <w14:schemeClr w14:val="tx1"/>
            </w14:solidFill>
          </w14:textFill>
        </w:rPr>
        <w:t>村级运行</w:t>
      </w:r>
      <w:r>
        <w:rPr>
          <w:rFonts w:hint="eastAsia" w:ascii="仿宋_GB2312" w:hAnsi="仿宋_GB2312" w:eastAsia="仿宋_GB2312" w:cs="仿宋_GB2312"/>
          <w:color w:val="000000" w:themeColor="text1"/>
          <w:sz w:val="32"/>
          <w:szCs w:val="32"/>
          <w14:textFill>
            <w14:solidFill>
              <w14:schemeClr w14:val="tx1"/>
            </w14:solidFill>
          </w14:textFill>
        </w:rPr>
        <w:t>项目开展了绩效评价，《</w:t>
      </w:r>
      <w:r>
        <w:rPr>
          <w:rFonts w:hint="eastAsia" w:ascii="仿宋_GB2312" w:hAnsi="仿宋_GB2312" w:eastAsia="仿宋_GB2312" w:cs="仿宋_GB2312"/>
          <w:color w:val="000000" w:themeColor="text1"/>
          <w:sz w:val="32"/>
          <w:szCs w:val="32"/>
          <w:lang w:eastAsia="zh-CN"/>
          <w14:textFill>
            <w14:solidFill>
              <w14:schemeClr w14:val="tx1"/>
            </w14:solidFill>
          </w14:textFill>
        </w:rPr>
        <w:t>村级运行</w:t>
      </w:r>
      <w:r>
        <w:rPr>
          <w:rFonts w:hint="eastAsia" w:ascii="仿宋_GB2312" w:hAnsi="仿宋_GB2312" w:eastAsia="仿宋_GB2312" w:cs="仿宋_GB2312"/>
          <w:color w:val="000000" w:themeColor="text1"/>
          <w:sz w:val="32"/>
          <w:szCs w:val="32"/>
          <w14:textFill>
            <w14:solidFill>
              <w14:schemeClr w14:val="tx1"/>
            </w14:solidFill>
          </w14:textFill>
        </w:rPr>
        <w:t>项目2019年绩效评价报告》见附件（附件2）。（非涉密部门均需公开部门整体支出评价报告，部门自行组织的绩效评价情况根据部门实际公开，若未组织项目绩效评价，则只需说明部门整体支出绩效评价情况）</w:t>
      </w:r>
    </w:p>
    <w:p>
      <w:pPr>
        <w:spacing w:line="580" w:lineRule="exact"/>
        <w:ind w:firstLine="643" w:firstLineChars="200"/>
        <w:rPr>
          <w:rFonts w:ascii="仿宋_GB2312" w:eastAsia="仿宋_GB2312"/>
          <w:b/>
          <w:color w:val="000000" w:themeColor="text1"/>
          <w:sz w:val="32"/>
          <w:szCs w:val="32"/>
          <w14:textFill>
            <w14:solidFill>
              <w14:schemeClr w14:val="tx1"/>
            </w14:solidFill>
          </w14:textFill>
        </w:rPr>
      </w:pPr>
    </w:p>
    <w:p>
      <w:pPr>
        <w:widowControl/>
        <w:jc w:val="left"/>
        <w:rPr>
          <w:rFonts w:ascii="仿宋_GB2312" w:eastAsia="仿宋_GB2312"/>
          <w:b/>
          <w:color w:val="000000" w:themeColor="text1"/>
          <w:sz w:val="32"/>
          <w:szCs w:val="32"/>
          <w14:textFill>
            <w14:solidFill>
              <w14:schemeClr w14:val="tx1"/>
            </w14:solidFill>
          </w14:textFill>
        </w:rPr>
      </w:pPr>
      <w:r>
        <w:rPr>
          <w:rFonts w:ascii="仿宋_GB2312" w:eastAsia="仿宋_GB2312"/>
          <w:b/>
          <w:color w:val="000000" w:themeColor="text1"/>
          <w:sz w:val="32"/>
          <w:szCs w:val="32"/>
          <w14:textFill>
            <w14:solidFill>
              <w14:schemeClr w14:val="tx1"/>
            </w14:solidFill>
          </w14:textFill>
        </w:rPr>
        <w:br w:type="page"/>
      </w:r>
    </w:p>
    <w:p>
      <w:pPr>
        <w:numPr>
          <w:ilvl w:val="0"/>
          <w:numId w:val="4"/>
        </w:numPr>
        <w:spacing w:line="600" w:lineRule="exact"/>
        <w:ind w:firstLine="660" w:firstLineChars="150"/>
        <w:jc w:val="center"/>
        <w:outlineLvl w:val="0"/>
        <w:rPr>
          <w:rStyle w:val="27"/>
          <w:rFonts w:ascii="黑体" w:hAnsi="黑体" w:eastAsia="黑体"/>
          <w:b w:val="0"/>
          <w:color w:val="000000" w:themeColor="text1"/>
          <w14:textFill>
            <w14:solidFill>
              <w14:schemeClr w14:val="tx1"/>
            </w14:solidFill>
          </w14:textFill>
        </w:rPr>
      </w:pPr>
      <w:bookmarkStart w:id="75" w:name="_Toc26703"/>
      <w:bookmarkStart w:id="76" w:name="_Toc15396613"/>
      <w:bookmarkStart w:id="77" w:name="_Toc15377225"/>
      <w:r>
        <w:rPr>
          <w:rFonts w:hint="eastAsia" w:ascii="黑体" w:hAnsi="黑体" w:eastAsia="黑体"/>
          <w:color w:val="000000" w:themeColor="text1"/>
          <w:sz w:val="44"/>
          <w:szCs w:val="44"/>
          <w14:textFill>
            <w14:solidFill>
              <w14:schemeClr w14:val="tx1"/>
            </w14:solidFill>
          </w14:textFill>
        </w:rPr>
        <w:t>名</w:t>
      </w:r>
      <w:r>
        <w:rPr>
          <w:rStyle w:val="27"/>
          <w:rFonts w:hint="eastAsia" w:ascii="黑体" w:hAnsi="黑体" w:eastAsia="黑体"/>
          <w:b w:val="0"/>
          <w:color w:val="000000" w:themeColor="text1"/>
          <w14:textFill>
            <w14:solidFill>
              <w14:schemeClr w14:val="tx1"/>
            </w14:solidFill>
          </w14:textFill>
        </w:rPr>
        <w:t>词解释</w:t>
      </w:r>
      <w:bookmarkEnd w:id="75"/>
      <w:bookmarkEnd w:id="76"/>
      <w:bookmarkEnd w:id="77"/>
    </w:p>
    <w:p>
      <w:pPr>
        <w:spacing w:line="600" w:lineRule="exact"/>
        <w:jc w:val="left"/>
        <w:rPr>
          <w:rFonts w:ascii="宋体"/>
          <w:b/>
          <w:color w:val="000000" w:themeColor="text1"/>
          <w:sz w:val="44"/>
          <w:szCs w:val="44"/>
          <w14:textFill>
            <w14:solidFill>
              <w14:schemeClr w14:val="tx1"/>
            </w14:solidFill>
          </w14:textFill>
        </w:rPr>
      </w:pPr>
    </w:p>
    <w:p>
      <w:pPr>
        <w:pStyle w:val="25"/>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1.财政拨款收入：指单位从同级财政部门取得的财政预算资金。</w:t>
      </w:r>
    </w:p>
    <w:p>
      <w:pPr>
        <w:pStyle w:val="25"/>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2.事业收入：指事业单位开展专业业务活动及辅助活动取得的收入。</w:t>
      </w:r>
    </w:p>
    <w:p>
      <w:pPr>
        <w:pStyle w:val="25"/>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3.经营收入：指事业单位在专业业务活动及其辅助活动之外开展非独立核算经营活动取得的收入。</w:t>
      </w:r>
    </w:p>
    <w:p>
      <w:pPr>
        <w:pStyle w:val="25"/>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4.其他收入：指单位取得的除上述收入以外的各项收入。主要是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银行存款利息收入</w:t>
      </w:r>
      <w:r>
        <w:rPr>
          <w:rFonts w:hint="eastAsia" w:ascii="仿宋_GB2312" w:hAnsi="仿宋_GB2312" w:eastAsia="仿宋_GB2312" w:cs="仿宋_GB2312"/>
          <w:color w:val="000000" w:themeColor="text1"/>
          <w:sz w:val="32"/>
          <w:szCs w:val="32"/>
          <w14:textFill>
            <w14:solidFill>
              <w14:schemeClr w14:val="tx1"/>
            </w14:solidFill>
          </w14:textFill>
        </w:rPr>
        <w:t xml:space="preserve">等。 </w:t>
      </w:r>
    </w:p>
    <w:p>
      <w:pPr>
        <w:pStyle w:val="25"/>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5"/>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6.年初结转和结余：指以前年度尚未完成、结转到本年按有关规定继续使用的资金。 </w:t>
      </w:r>
    </w:p>
    <w:p>
      <w:pPr>
        <w:pStyle w:val="25"/>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7.结余分配：指事业单位按照事业单位会计制度的规定从非财政补助结余中分配的事业基金和职工福利基金等。</w:t>
      </w:r>
    </w:p>
    <w:p>
      <w:pPr>
        <w:pStyle w:val="25"/>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8、年末结转和结余：指单位按有关规定结转到下年或以后年度继续使用的资金。</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9.一般公共服务：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201类20101款人大事务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2010101</w:t>
      </w:r>
      <w:r>
        <w:rPr>
          <w:rFonts w:hint="eastAsia" w:ascii="仿宋_GB2312" w:hAnsi="仿宋_GB2312" w:eastAsia="仿宋_GB2312" w:cs="仿宋_GB2312"/>
          <w:color w:val="000000" w:themeColor="text1"/>
          <w:sz w:val="32"/>
          <w:szCs w:val="32"/>
          <w:lang w:eastAsia="zh-CN"/>
          <w14:textFill>
            <w14:solidFill>
              <w14:schemeClr w14:val="tx1"/>
            </w14:solidFill>
          </w14:textFill>
        </w:rPr>
        <w:t>项指人大工作人员工资，</w:t>
      </w:r>
      <w:r>
        <w:rPr>
          <w:rFonts w:hint="eastAsia" w:ascii="仿宋_GB2312" w:hAnsi="仿宋_GB2312" w:eastAsia="仿宋_GB2312" w:cs="仿宋_GB2312"/>
          <w:color w:val="000000" w:themeColor="text1"/>
          <w:sz w:val="32"/>
          <w:szCs w:val="32"/>
          <w14:textFill>
            <w14:solidFill>
              <w14:schemeClr w14:val="tx1"/>
            </w14:solidFill>
          </w14:textFill>
        </w:rPr>
        <w:t>2010301</w:t>
      </w:r>
      <w:r>
        <w:rPr>
          <w:rFonts w:hint="eastAsia" w:ascii="仿宋_GB2312" w:hAnsi="仿宋_GB2312" w:eastAsia="仿宋_GB2312" w:cs="仿宋_GB2312"/>
          <w:color w:val="000000" w:themeColor="text1"/>
          <w:sz w:val="32"/>
          <w:szCs w:val="32"/>
          <w:lang w:eastAsia="zh-CN"/>
          <w14:textFill>
            <w14:solidFill>
              <w14:schemeClr w14:val="tx1"/>
            </w14:solidFill>
          </w14:textFill>
        </w:rPr>
        <w:t>指行政工作人员工资</w:t>
      </w:r>
      <w:r>
        <w:rPr>
          <w:rFonts w:hint="eastAsia" w:ascii="仿宋_GB2312" w:hAnsi="仿宋_GB2312" w:eastAsia="仿宋_GB2312" w:cs="仿宋_GB2312"/>
          <w:color w:val="000000" w:themeColor="text1"/>
          <w:sz w:val="32"/>
          <w:szCs w:val="32"/>
          <w14:textFill>
            <w14:solidFill>
              <w14:schemeClr w14:val="tx1"/>
            </w14:solidFill>
          </w14:textFill>
        </w:rPr>
        <w:t>、2010601行政运行</w:t>
      </w:r>
      <w:r>
        <w:rPr>
          <w:rFonts w:hint="eastAsia" w:ascii="仿宋_GB2312" w:hAnsi="仿宋_GB2312" w:eastAsia="仿宋_GB2312" w:cs="仿宋_GB2312"/>
          <w:color w:val="000000" w:themeColor="text1"/>
          <w:sz w:val="32"/>
          <w:szCs w:val="32"/>
          <w:lang w:eastAsia="zh-CN"/>
          <w14:textFill>
            <w14:solidFill>
              <w14:schemeClr w14:val="tx1"/>
            </w14:solidFill>
          </w14:textFill>
        </w:rPr>
        <w:t>财政所工作人员工资</w:t>
      </w:r>
      <w:r>
        <w:rPr>
          <w:rFonts w:hint="eastAsia" w:ascii="仿宋_GB2312" w:hAnsi="仿宋_GB2312" w:eastAsia="仿宋_GB2312" w:cs="仿宋_GB2312"/>
          <w:color w:val="000000" w:themeColor="text1"/>
          <w:sz w:val="32"/>
          <w:szCs w:val="32"/>
          <w14:textFill>
            <w14:solidFill>
              <w14:schemeClr w14:val="tx1"/>
            </w14:solidFill>
          </w14:textFill>
        </w:rPr>
        <w:t>、2010108</w:t>
      </w:r>
      <w:r>
        <w:rPr>
          <w:rFonts w:hint="eastAsia" w:ascii="仿宋_GB2312" w:hAnsi="仿宋_GB2312" w:eastAsia="仿宋_GB2312" w:cs="仿宋_GB2312"/>
          <w:color w:val="000000" w:themeColor="text1"/>
          <w:sz w:val="32"/>
          <w:szCs w:val="32"/>
          <w:lang w:eastAsia="zh-CN"/>
          <w14:textFill>
            <w14:solidFill>
              <w14:schemeClr w14:val="tx1"/>
            </w14:solidFill>
          </w14:textFill>
        </w:rPr>
        <w:t>人大</w:t>
      </w:r>
      <w:r>
        <w:rPr>
          <w:rFonts w:hint="eastAsia" w:ascii="仿宋_GB2312" w:hAnsi="仿宋_GB2312" w:eastAsia="仿宋_GB2312" w:cs="仿宋_GB2312"/>
          <w:color w:val="000000" w:themeColor="text1"/>
          <w:sz w:val="32"/>
          <w:szCs w:val="32"/>
          <w14:textFill>
            <w14:solidFill>
              <w14:schemeClr w14:val="tx1"/>
            </w14:solidFill>
          </w14:textFill>
        </w:rPr>
        <w:t>代表工作</w:t>
      </w:r>
      <w:r>
        <w:rPr>
          <w:rFonts w:hint="eastAsia" w:ascii="仿宋_GB2312" w:hAnsi="仿宋_GB2312" w:eastAsia="仿宋_GB2312" w:cs="仿宋_GB2312"/>
          <w:color w:val="000000" w:themeColor="text1"/>
          <w:sz w:val="32"/>
          <w:szCs w:val="32"/>
          <w:lang w:eastAsia="zh-CN"/>
          <w14:textFill>
            <w14:solidFill>
              <w14:schemeClr w14:val="tx1"/>
            </w14:solidFill>
          </w14:textFill>
        </w:rPr>
        <w:t>经费</w:t>
      </w:r>
      <w:r>
        <w:rPr>
          <w:rFonts w:hint="eastAsia" w:ascii="仿宋_GB2312" w:hAnsi="仿宋_GB2312" w:eastAsia="仿宋_GB2312" w:cs="仿宋_GB2312"/>
          <w:color w:val="000000" w:themeColor="text1"/>
          <w:sz w:val="32"/>
          <w:szCs w:val="32"/>
          <w14:textFill>
            <w14:solidFill>
              <w14:schemeClr w14:val="tx1"/>
            </w14:solidFill>
          </w14:textFill>
        </w:rPr>
        <w:t>。</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.文化体育与传媒：</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207类20701款</w:t>
      </w:r>
      <w:r>
        <w:rPr>
          <w:rFonts w:hint="eastAsia" w:ascii="仿宋_GB2312" w:hAnsi="仿宋_GB2312" w:eastAsia="仿宋_GB2312" w:cs="仿宋_GB2312"/>
          <w:color w:val="000000" w:themeColor="text1"/>
          <w:sz w:val="32"/>
          <w:szCs w:val="32"/>
          <w14:textFill>
            <w14:solidFill>
              <w14:schemeClr w14:val="tx1"/>
            </w14:solidFill>
          </w14:textFill>
        </w:rPr>
        <w:t>2070199</w:t>
      </w:r>
      <w:r>
        <w:rPr>
          <w:rFonts w:hint="eastAsia" w:ascii="仿宋_GB2312" w:hAnsi="仿宋_GB2312" w:eastAsia="仿宋_GB2312" w:cs="仿宋_GB2312"/>
          <w:color w:val="000000" w:themeColor="text1"/>
          <w:sz w:val="32"/>
          <w:szCs w:val="32"/>
          <w:lang w:eastAsia="zh-CN"/>
          <w14:textFill>
            <w14:solidFill>
              <w14:schemeClr w14:val="tx1"/>
            </w14:solidFill>
          </w14:textFill>
        </w:rPr>
        <w:t>项指</w:t>
      </w:r>
      <w:r>
        <w:rPr>
          <w:rFonts w:hint="eastAsia" w:ascii="仿宋_GB2312" w:hAnsi="仿宋_GB2312" w:eastAsia="仿宋_GB2312" w:cs="仿宋_GB2312"/>
          <w:color w:val="000000" w:themeColor="text1"/>
          <w:sz w:val="32"/>
          <w:szCs w:val="32"/>
          <w14:textFill>
            <w14:solidFill>
              <w14:schemeClr w14:val="tx1"/>
            </w14:solidFill>
          </w14:textFill>
        </w:rPr>
        <w:t>其他文化支出</w:t>
      </w:r>
      <w:r>
        <w:rPr>
          <w:rFonts w:hint="eastAsia" w:ascii="仿宋_GB2312" w:hAnsi="仿宋_GB2312" w:eastAsia="仿宋_GB2312" w:cs="仿宋_GB2312"/>
          <w:color w:val="000000" w:themeColor="text1"/>
          <w:sz w:val="32"/>
          <w:szCs w:val="32"/>
          <w:lang w:eastAsia="zh-CN"/>
          <w14:textFill>
            <w14:solidFill>
              <w14:schemeClr w14:val="tx1"/>
            </w14:solidFill>
          </w14:textFill>
        </w:rPr>
        <w:t>文化院坝工作经费</w:t>
      </w:r>
      <w:r>
        <w:rPr>
          <w:rFonts w:hint="eastAsia" w:ascii="仿宋_GB2312" w:hAnsi="仿宋_GB2312" w:eastAsia="仿宋_GB2312" w:cs="仿宋_GB2312"/>
          <w:color w:val="000000" w:themeColor="text1"/>
          <w:sz w:val="32"/>
          <w:szCs w:val="32"/>
          <w14:textFill>
            <w14:solidFill>
              <w14:schemeClr w14:val="tx1"/>
            </w14:solidFill>
          </w14:textFill>
        </w:rPr>
        <w:t>。</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color w:val="000000" w:themeColor="text1"/>
          <w:sz w:val="32"/>
          <w:szCs w:val="32"/>
          <w14:textFill>
            <w14:solidFill>
              <w14:schemeClr w14:val="tx1"/>
            </w14:solidFill>
          </w14:textFill>
        </w:rPr>
        <w:t>.社会保障和就业：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208类20802款</w:t>
      </w:r>
      <w:r>
        <w:rPr>
          <w:rFonts w:hint="eastAsia" w:ascii="仿宋_GB2312" w:hAnsi="仿宋_GB2312" w:eastAsia="仿宋_GB2312" w:cs="仿宋_GB2312"/>
          <w:color w:val="000000" w:themeColor="text1"/>
          <w:sz w:val="32"/>
          <w:szCs w:val="32"/>
          <w14:textFill>
            <w14:solidFill>
              <w14:schemeClr w14:val="tx1"/>
            </w14:solidFill>
          </w14:textFill>
        </w:rPr>
        <w:t>2080208</w:t>
      </w:r>
      <w:r>
        <w:rPr>
          <w:rFonts w:hint="eastAsia" w:ascii="仿宋_GB2312" w:hAnsi="仿宋_GB2312" w:eastAsia="仿宋_GB2312" w:cs="仿宋_GB2312"/>
          <w:color w:val="000000" w:themeColor="text1"/>
          <w:sz w:val="32"/>
          <w:szCs w:val="32"/>
          <w:lang w:eastAsia="zh-CN"/>
          <w14:textFill>
            <w14:solidFill>
              <w14:schemeClr w14:val="tx1"/>
            </w14:solidFill>
          </w14:textFill>
        </w:rPr>
        <w:t>项</w:t>
      </w:r>
      <w:r>
        <w:rPr>
          <w:rFonts w:hint="eastAsia" w:ascii="仿宋_GB2312" w:hAnsi="仿宋_GB2312" w:eastAsia="仿宋_GB2312" w:cs="仿宋_GB2312"/>
          <w:color w:val="000000" w:themeColor="text1"/>
          <w:sz w:val="32"/>
          <w:szCs w:val="32"/>
          <w14:textFill>
            <w14:solidFill>
              <w14:schemeClr w14:val="tx1"/>
            </w14:solidFill>
          </w14:textFill>
        </w:rPr>
        <w:t>指基层政权和社区建设，2080505</w:t>
      </w:r>
      <w:r>
        <w:rPr>
          <w:rFonts w:hint="eastAsia" w:ascii="仿宋_GB2312" w:hAnsi="仿宋_GB2312" w:eastAsia="仿宋_GB2312" w:cs="仿宋_GB2312"/>
          <w:color w:val="000000" w:themeColor="text1"/>
          <w:sz w:val="32"/>
          <w:szCs w:val="32"/>
          <w:lang w:eastAsia="zh-CN"/>
          <w14:textFill>
            <w14:solidFill>
              <w14:schemeClr w14:val="tx1"/>
            </w14:solidFill>
          </w14:textFill>
        </w:rPr>
        <w:t>指</w:t>
      </w:r>
      <w:r>
        <w:rPr>
          <w:rFonts w:hint="eastAsia" w:ascii="仿宋_GB2312" w:hAnsi="仿宋_GB2312" w:eastAsia="仿宋_GB2312" w:cs="仿宋_GB2312"/>
          <w:color w:val="000000" w:themeColor="text1"/>
          <w:sz w:val="32"/>
          <w:szCs w:val="32"/>
          <w14:textFill>
            <w14:solidFill>
              <w14:schemeClr w14:val="tx1"/>
            </w14:solidFill>
          </w14:textFill>
        </w:rPr>
        <w:t>机关事业单位基本养老保险缴费支出，2080506</w:t>
      </w:r>
      <w:r>
        <w:rPr>
          <w:rFonts w:hint="eastAsia" w:ascii="仿宋_GB2312" w:hAnsi="仿宋_GB2312" w:eastAsia="仿宋_GB2312" w:cs="仿宋_GB2312"/>
          <w:color w:val="000000" w:themeColor="text1"/>
          <w:sz w:val="32"/>
          <w:szCs w:val="32"/>
          <w:lang w:eastAsia="zh-CN"/>
          <w14:textFill>
            <w14:solidFill>
              <w14:schemeClr w14:val="tx1"/>
            </w14:solidFill>
          </w14:textFill>
        </w:rPr>
        <w:t>指</w:t>
      </w:r>
      <w:r>
        <w:rPr>
          <w:rFonts w:hint="eastAsia" w:ascii="仿宋_GB2312" w:hAnsi="仿宋_GB2312" w:eastAsia="仿宋_GB2312" w:cs="仿宋_GB2312"/>
          <w:color w:val="000000" w:themeColor="text1"/>
          <w:sz w:val="32"/>
          <w:szCs w:val="32"/>
          <w14:textFill>
            <w14:solidFill>
              <w14:schemeClr w14:val="tx1"/>
            </w14:solidFill>
          </w14:textFill>
        </w:rPr>
        <w:t>机关事业单位职业年金缴费支出2081107</w:t>
      </w:r>
      <w:r>
        <w:rPr>
          <w:rFonts w:hint="eastAsia" w:ascii="仿宋_GB2312" w:hAnsi="仿宋_GB2312" w:eastAsia="仿宋_GB2312" w:cs="仿宋_GB2312"/>
          <w:color w:val="000000" w:themeColor="text1"/>
          <w:sz w:val="32"/>
          <w:szCs w:val="32"/>
          <w:lang w:eastAsia="zh-CN"/>
          <w14:textFill>
            <w14:solidFill>
              <w14:schemeClr w14:val="tx1"/>
            </w14:solidFill>
          </w14:textFill>
        </w:rPr>
        <w:t>指</w:t>
      </w:r>
      <w:r>
        <w:rPr>
          <w:rFonts w:hint="eastAsia" w:ascii="仿宋_GB2312" w:hAnsi="仿宋_GB2312" w:eastAsia="仿宋_GB2312" w:cs="仿宋_GB2312"/>
          <w:color w:val="000000" w:themeColor="text1"/>
          <w:sz w:val="32"/>
          <w:szCs w:val="32"/>
          <w14:textFill>
            <w14:solidFill>
              <w14:schemeClr w14:val="tx1"/>
            </w14:solidFill>
          </w14:textFill>
        </w:rPr>
        <w:t>残疾人生活和护理补助，2082102</w:t>
      </w:r>
      <w:r>
        <w:rPr>
          <w:rFonts w:hint="eastAsia" w:ascii="仿宋_GB2312" w:hAnsi="仿宋_GB2312" w:eastAsia="仿宋_GB2312" w:cs="仿宋_GB2312"/>
          <w:color w:val="000000" w:themeColor="text1"/>
          <w:sz w:val="32"/>
          <w:szCs w:val="32"/>
          <w:lang w:eastAsia="zh-CN"/>
          <w14:textFill>
            <w14:solidFill>
              <w14:schemeClr w14:val="tx1"/>
            </w14:solidFill>
          </w14:textFill>
        </w:rPr>
        <w:t>指</w:t>
      </w:r>
      <w:r>
        <w:rPr>
          <w:rFonts w:hint="eastAsia" w:ascii="仿宋_GB2312" w:hAnsi="仿宋_GB2312" w:eastAsia="仿宋_GB2312" w:cs="仿宋_GB2312"/>
          <w:color w:val="000000" w:themeColor="text1"/>
          <w:sz w:val="32"/>
          <w:szCs w:val="32"/>
          <w14:textFill>
            <w14:solidFill>
              <w14:schemeClr w14:val="tx1"/>
            </w14:solidFill>
          </w14:textFill>
        </w:rPr>
        <w:t>农村特困人员救助。</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卫生健康</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210类21004款2100409</w:t>
      </w:r>
      <w:r>
        <w:rPr>
          <w:rFonts w:hint="eastAsia" w:ascii="仿宋_GB2312" w:hAnsi="仿宋_GB2312" w:eastAsia="仿宋_GB2312" w:cs="仿宋_GB2312"/>
          <w:color w:val="000000" w:themeColor="text1"/>
          <w:sz w:val="32"/>
          <w:szCs w:val="32"/>
          <w:lang w:eastAsia="zh-CN"/>
          <w14:textFill>
            <w14:solidFill>
              <w14:schemeClr w14:val="tx1"/>
            </w14:solidFill>
          </w14:textFill>
        </w:rPr>
        <w:t>项</w:t>
      </w:r>
      <w:r>
        <w:rPr>
          <w:rFonts w:hint="eastAsia" w:ascii="仿宋_GB2312" w:hAnsi="仿宋_GB2312" w:eastAsia="仿宋_GB2312" w:cs="仿宋_GB2312"/>
          <w:color w:val="000000" w:themeColor="text1"/>
          <w:sz w:val="32"/>
          <w:szCs w:val="32"/>
          <w14:textFill>
            <w14:solidFill>
              <w14:schemeClr w14:val="tx1"/>
            </w14:solidFill>
          </w14:textFill>
        </w:rPr>
        <w:t>指</w:t>
      </w:r>
      <w:r>
        <w:rPr>
          <w:rFonts w:hint="eastAsia" w:ascii="仿宋_GB2312" w:hAnsi="仿宋_GB2312" w:eastAsia="仿宋_GB2312" w:cs="仿宋_GB2312"/>
          <w:color w:val="000000" w:themeColor="text1"/>
          <w:sz w:val="32"/>
          <w:szCs w:val="32"/>
          <w:lang w:eastAsia="zh-CN"/>
          <w14:textFill>
            <w14:solidFill>
              <w14:schemeClr w14:val="tx1"/>
            </w14:solidFill>
          </w14:textFill>
        </w:rPr>
        <w:t>公共卫生专项资金</w:t>
      </w:r>
      <w:r>
        <w:rPr>
          <w:rFonts w:hint="eastAsia" w:ascii="仿宋_GB2312" w:hAnsi="仿宋_GB2312" w:eastAsia="仿宋_GB2312" w:cs="仿宋_GB2312"/>
          <w:color w:val="000000" w:themeColor="text1"/>
          <w:sz w:val="32"/>
          <w:szCs w:val="32"/>
          <w14:textFill>
            <w14:solidFill>
              <w14:schemeClr w14:val="tx1"/>
            </w14:solidFill>
          </w14:textFill>
        </w:rPr>
        <w:t>。</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13</w:t>
      </w:r>
      <w:r>
        <w:rPr>
          <w:rFonts w:hint="eastAsia" w:ascii="仿宋_GB2312" w:hAnsi="仿宋_GB2312" w:eastAsia="仿宋_GB2312" w:cs="仿宋_GB2312"/>
          <w:color w:val="000000" w:themeColor="text1"/>
          <w:sz w:val="32"/>
          <w:szCs w:val="32"/>
          <w14:textFill>
            <w14:solidFill>
              <w14:schemeClr w14:val="tx1"/>
            </w14:solidFill>
          </w14:textFill>
        </w:rPr>
        <w:t>.城</w:t>
      </w:r>
      <w:r>
        <w:rPr>
          <w:rFonts w:hint="eastAsia" w:ascii="仿宋_GB2312" w:hAnsi="仿宋_GB2312" w:eastAsia="仿宋_GB2312" w:cs="仿宋_GB2312"/>
          <w:color w:val="000000" w:themeColor="text1"/>
          <w:sz w:val="32"/>
          <w:szCs w:val="32"/>
          <w:lang w:eastAsia="zh-CN"/>
          <w14:textFill>
            <w14:solidFill>
              <w14:schemeClr w14:val="tx1"/>
            </w14:solidFill>
          </w14:textFill>
        </w:rPr>
        <w:t>镇</w:t>
      </w:r>
      <w:r>
        <w:rPr>
          <w:rFonts w:hint="eastAsia" w:ascii="仿宋_GB2312" w:hAnsi="仿宋_GB2312" w:eastAsia="仿宋_GB2312" w:cs="仿宋_GB2312"/>
          <w:color w:val="000000" w:themeColor="text1"/>
          <w:sz w:val="32"/>
          <w:szCs w:val="32"/>
          <w14:textFill>
            <w14:solidFill>
              <w14:schemeClr w14:val="tx1"/>
            </w14:solidFill>
          </w14:textFill>
        </w:rPr>
        <w:t>社区：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212类21205</w:t>
      </w:r>
      <w:r>
        <w:rPr>
          <w:rFonts w:hint="eastAsia" w:ascii="仿宋_GB2312" w:hAnsi="仿宋_GB2312" w:eastAsia="仿宋_GB2312" w:cs="仿宋_GB2312"/>
          <w:color w:val="000000" w:themeColor="text1"/>
          <w:sz w:val="32"/>
          <w:szCs w:val="32"/>
          <w14:textFill>
            <w14:solidFill>
              <w14:schemeClr w14:val="tx1"/>
            </w14:solidFill>
          </w14:textFill>
        </w:rPr>
        <w:t>，2120501</w:t>
      </w:r>
      <w:r>
        <w:rPr>
          <w:rFonts w:hint="eastAsia" w:ascii="仿宋_GB2312" w:hAnsi="仿宋_GB2312" w:eastAsia="仿宋_GB2312" w:cs="仿宋_GB2312"/>
          <w:color w:val="000000" w:themeColor="text1"/>
          <w:sz w:val="32"/>
          <w:szCs w:val="32"/>
          <w:lang w:eastAsia="zh-CN"/>
          <w14:textFill>
            <w14:solidFill>
              <w14:schemeClr w14:val="tx1"/>
            </w14:solidFill>
          </w14:textFill>
        </w:rPr>
        <w:t>指</w:t>
      </w:r>
      <w:r>
        <w:rPr>
          <w:rFonts w:hint="eastAsia" w:ascii="仿宋_GB2312" w:hAnsi="仿宋_GB2312" w:eastAsia="仿宋_GB2312" w:cs="仿宋_GB2312"/>
          <w:color w:val="000000" w:themeColor="text1"/>
          <w:sz w:val="32"/>
          <w:szCs w:val="32"/>
          <w14:textFill>
            <w14:solidFill>
              <w14:schemeClr w14:val="tx1"/>
            </w14:solidFill>
          </w14:textFill>
        </w:rPr>
        <w:t>城</w:t>
      </w:r>
      <w:r>
        <w:rPr>
          <w:rFonts w:hint="eastAsia" w:ascii="仿宋_GB2312" w:hAnsi="仿宋_GB2312" w:eastAsia="仿宋_GB2312" w:cs="仿宋_GB2312"/>
          <w:color w:val="000000" w:themeColor="text1"/>
          <w:sz w:val="32"/>
          <w:szCs w:val="32"/>
          <w:lang w:eastAsia="zh-CN"/>
          <w14:textFill>
            <w14:solidFill>
              <w14:schemeClr w14:val="tx1"/>
            </w14:solidFill>
          </w14:textFill>
        </w:rPr>
        <w:t>镇</w:t>
      </w:r>
      <w:r>
        <w:rPr>
          <w:rFonts w:hint="eastAsia" w:ascii="仿宋_GB2312" w:hAnsi="仿宋_GB2312" w:eastAsia="仿宋_GB2312" w:cs="仿宋_GB2312"/>
          <w:color w:val="000000" w:themeColor="text1"/>
          <w:sz w:val="32"/>
          <w:szCs w:val="32"/>
          <w14:textFill>
            <w14:solidFill>
              <w14:schemeClr w14:val="tx1"/>
            </w14:solidFill>
          </w14:textFill>
        </w:rPr>
        <w:t>社区环境卫生支出。</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w:t>
      </w:r>
      <w:r>
        <w:rPr>
          <w:rFonts w:hint="eastAsia" w:ascii="仿宋_GB2312" w:hAnsi="仿宋_GB2312" w:eastAsia="仿宋_GB2312" w:cs="仿宋_GB2312"/>
          <w:color w:val="000000" w:themeColor="text1"/>
          <w:sz w:val="32"/>
          <w:szCs w:val="32"/>
          <w14:textFill>
            <w14:solidFill>
              <w14:schemeClr w14:val="tx1"/>
            </w14:solidFill>
          </w14:textFill>
        </w:rPr>
        <w:t>.农林水：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213类21301款</w:t>
      </w:r>
      <w:r>
        <w:rPr>
          <w:rFonts w:hint="eastAsia" w:ascii="仿宋_GB2312" w:hAnsi="仿宋_GB2312" w:eastAsia="仿宋_GB2312" w:cs="仿宋_GB2312"/>
          <w:color w:val="000000" w:themeColor="text1"/>
          <w:sz w:val="32"/>
          <w:szCs w:val="32"/>
          <w14:textFill>
            <w14:solidFill>
              <w14:schemeClr w14:val="tx1"/>
            </w14:solidFill>
          </w14:textFill>
        </w:rPr>
        <w:t>2130152</w:t>
      </w:r>
      <w:r>
        <w:rPr>
          <w:rFonts w:hint="eastAsia" w:ascii="仿宋_GB2312" w:hAnsi="仿宋_GB2312" w:eastAsia="仿宋_GB2312" w:cs="仿宋_GB2312"/>
          <w:color w:val="000000" w:themeColor="text1"/>
          <w:sz w:val="32"/>
          <w:szCs w:val="32"/>
          <w:lang w:eastAsia="zh-CN"/>
          <w14:textFill>
            <w14:solidFill>
              <w14:schemeClr w14:val="tx1"/>
            </w14:solidFill>
          </w14:textFill>
        </w:rPr>
        <w:t>项指</w:t>
      </w:r>
      <w:r>
        <w:rPr>
          <w:rFonts w:hint="eastAsia" w:ascii="仿宋_GB2312" w:hAnsi="仿宋_GB2312" w:eastAsia="仿宋_GB2312" w:cs="仿宋_GB2312"/>
          <w:color w:val="000000" w:themeColor="text1"/>
          <w:sz w:val="32"/>
          <w:szCs w:val="32"/>
          <w14:textFill>
            <w14:solidFill>
              <w14:schemeClr w14:val="tx1"/>
            </w14:solidFill>
          </w14:textFill>
        </w:rPr>
        <w:t>对高校毕业生到基层任职补助，2130504</w:t>
      </w:r>
      <w:r>
        <w:rPr>
          <w:rFonts w:hint="eastAsia" w:ascii="仿宋_GB2312" w:hAnsi="仿宋_GB2312" w:eastAsia="仿宋_GB2312" w:cs="仿宋_GB2312"/>
          <w:color w:val="000000" w:themeColor="text1"/>
          <w:sz w:val="32"/>
          <w:szCs w:val="32"/>
          <w:lang w:eastAsia="zh-CN"/>
          <w14:textFill>
            <w14:solidFill>
              <w14:schemeClr w14:val="tx1"/>
            </w14:solidFill>
          </w14:textFill>
        </w:rPr>
        <w:t>指</w:t>
      </w:r>
      <w:r>
        <w:rPr>
          <w:rFonts w:hint="eastAsia" w:ascii="仿宋_GB2312" w:hAnsi="仿宋_GB2312" w:eastAsia="仿宋_GB2312" w:cs="仿宋_GB2312"/>
          <w:color w:val="000000" w:themeColor="text1"/>
          <w:sz w:val="32"/>
          <w:szCs w:val="32"/>
          <w14:textFill>
            <w14:solidFill>
              <w14:schemeClr w14:val="tx1"/>
            </w14:solidFill>
          </w14:textFill>
        </w:rPr>
        <w:t>农村基础设施建设，2130705</w:t>
      </w:r>
      <w:r>
        <w:rPr>
          <w:rFonts w:hint="eastAsia" w:ascii="仿宋_GB2312" w:hAnsi="仿宋_GB2312" w:eastAsia="仿宋_GB2312" w:cs="仿宋_GB2312"/>
          <w:color w:val="000000" w:themeColor="text1"/>
          <w:sz w:val="32"/>
          <w:szCs w:val="32"/>
          <w:lang w:eastAsia="zh-CN"/>
          <w14:textFill>
            <w14:solidFill>
              <w14:schemeClr w14:val="tx1"/>
            </w14:solidFill>
          </w14:textFill>
        </w:rPr>
        <w:t>指</w:t>
      </w:r>
      <w:r>
        <w:rPr>
          <w:rFonts w:hint="eastAsia" w:ascii="仿宋_GB2312" w:hAnsi="仿宋_GB2312" w:eastAsia="仿宋_GB2312" w:cs="仿宋_GB2312"/>
          <w:color w:val="000000" w:themeColor="text1"/>
          <w:sz w:val="32"/>
          <w:szCs w:val="32"/>
          <w14:textFill>
            <w14:solidFill>
              <w14:schemeClr w14:val="tx1"/>
            </w14:solidFill>
          </w14:textFill>
        </w:rPr>
        <w:t>对村民委员会和村党支部的补助。</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14:textFill>
            <w14:solidFill>
              <w14:schemeClr w14:val="tx1"/>
            </w14:solidFill>
          </w14:textFill>
        </w:rPr>
        <w:t>.交通运输：</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214类21401款</w:t>
      </w:r>
      <w:r>
        <w:rPr>
          <w:rFonts w:hint="eastAsia" w:ascii="仿宋_GB2312" w:hAnsi="仿宋_GB2312" w:eastAsia="仿宋_GB2312" w:cs="仿宋_GB2312"/>
          <w:color w:val="000000" w:themeColor="text1"/>
          <w:sz w:val="32"/>
          <w:szCs w:val="32"/>
          <w14:textFill>
            <w14:solidFill>
              <w14:schemeClr w14:val="tx1"/>
            </w14:solidFill>
          </w14:textFill>
        </w:rPr>
        <w:t>2140104</w:t>
      </w:r>
      <w:r>
        <w:rPr>
          <w:rFonts w:hint="eastAsia" w:ascii="仿宋_GB2312" w:hAnsi="仿宋_GB2312" w:eastAsia="仿宋_GB2312" w:cs="仿宋_GB2312"/>
          <w:color w:val="000000" w:themeColor="text1"/>
          <w:sz w:val="32"/>
          <w:szCs w:val="32"/>
          <w:lang w:eastAsia="zh-CN"/>
          <w14:textFill>
            <w14:solidFill>
              <w14:schemeClr w14:val="tx1"/>
            </w14:solidFill>
          </w14:textFill>
        </w:rPr>
        <w:t>项指</w:t>
      </w:r>
      <w:r>
        <w:rPr>
          <w:rFonts w:hint="eastAsia" w:ascii="仿宋_GB2312" w:hAnsi="仿宋_GB2312" w:eastAsia="仿宋_GB2312" w:cs="仿宋_GB2312"/>
          <w:color w:val="000000" w:themeColor="text1"/>
          <w:sz w:val="32"/>
          <w:szCs w:val="32"/>
          <w14:textFill>
            <w14:solidFill>
              <w14:schemeClr w14:val="tx1"/>
            </w14:solidFill>
          </w14:textFill>
        </w:rPr>
        <w:t>公路建设。</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16</w:t>
      </w:r>
      <w:r>
        <w:rPr>
          <w:rFonts w:hint="eastAsia" w:ascii="仿宋_GB2312" w:hAnsi="仿宋_GB2312" w:eastAsia="仿宋_GB2312" w:cs="仿宋_GB2312"/>
          <w:color w:val="000000" w:themeColor="text1"/>
          <w:sz w:val="32"/>
          <w:szCs w:val="32"/>
          <w14:textFill>
            <w14:solidFill>
              <w14:schemeClr w14:val="tx1"/>
            </w14:solidFill>
          </w14:textFill>
        </w:rPr>
        <w:t>.住房保障：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221类22102款</w:t>
      </w:r>
      <w:r>
        <w:rPr>
          <w:rFonts w:hint="eastAsia" w:ascii="仿宋_GB2312" w:hAnsi="仿宋_GB2312" w:eastAsia="仿宋_GB2312" w:cs="仿宋_GB2312"/>
          <w:color w:val="000000" w:themeColor="text1"/>
          <w:sz w:val="32"/>
          <w:szCs w:val="32"/>
          <w14:textFill>
            <w14:solidFill>
              <w14:schemeClr w14:val="tx1"/>
            </w14:solidFill>
          </w14:textFill>
        </w:rPr>
        <w:t>2210201</w:t>
      </w:r>
      <w:r>
        <w:rPr>
          <w:rFonts w:hint="eastAsia" w:ascii="仿宋_GB2312" w:hAnsi="仿宋_GB2312" w:eastAsia="仿宋_GB2312" w:cs="仿宋_GB2312"/>
          <w:color w:val="000000" w:themeColor="text1"/>
          <w:sz w:val="32"/>
          <w:szCs w:val="32"/>
          <w:lang w:eastAsia="zh-CN"/>
          <w14:textFill>
            <w14:solidFill>
              <w14:schemeClr w14:val="tx1"/>
            </w14:solidFill>
          </w14:textFill>
        </w:rPr>
        <w:t>项指</w:t>
      </w:r>
      <w:r>
        <w:rPr>
          <w:rFonts w:hint="eastAsia" w:ascii="仿宋_GB2312" w:hAnsi="仿宋_GB2312" w:eastAsia="仿宋_GB2312" w:cs="仿宋_GB2312"/>
          <w:color w:val="000000" w:themeColor="text1"/>
          <w:sz w:val="32"/>
          <w:szCs w:val="32"/>
          <w14:textFill>
            <w14:solidFill>
              <w14:schemeClr w14:val="tx1"/>
            </w14:solidFill>
          </w14:textFill>
        </w:rPr>
        <w:t>住房公积金。</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7.基本支出：指为保障机构正常运转、完成日常工作任务而发生的人员支出和公用支出。</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 xml:space="preserve">8.项目支出：指在基本支出之外为完成特定行政任务和事业发展目标所发生的支出。 </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9.经营支出：指事业单位在专业业务活动及其辅助活动之外开展非独立核算经营活动发生的支出。</w:t>
      </w:r>
    </w:p>
    <w:p>
      <w:pPr>
        <w:pStyle w:val="25"/>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5"/>
        <w:spacing w:line="560" w:lineRule="exact"/>
        <w:ind w:firstLine="640" w:firstLineChars="200"/>
        <w:rPr>
          <w:rFonts w:ascii="仿宋_GB2312" w:eastAsia="仿宋_GB2312" w:cs="黑体"/>
          <w:color w:val="000000" w:themeColor="text1"/>
          <w:sz w:val="32"/>
          <w:szCs w:val="32"/>
          <w14:textFill>
            <w14:solidFill>
              <w14:schemeClr w14:val="tx1"/>
            </w14:solidFill>
          </w14:textFill>
        </w:rPr>
      </w:pPr>
    </w:p>
    <w:p>
      <w:pPr>
        <w:spacing w:line="600" w:lineRule="exact"/>
        <w:jc w:val="center"/>
        <w:outlineLvl w:val="9"/>
        <w:rPr>
          <w:rFonts w:hint="eastAsia" w:ascii="黑体" w:hAnsi="黑体" w:eastAsia="黑体"/>
          <w:color w:val="000000" w:themeColor="text1"/>
          <w:sz w:val="44"/>
          <w:szCs w:val="44"/>
          <w14:textFill>
            <w14:solidFill>
              <w14:schemeClr w14:val="tx1"/>
            </w14:solidFill>
          </w14:textFill>
        </w:rPr>
      </w:pPr>
      <w:bookmarkStart w:id="78" w:name="_Toc15396614"/>
      <w:bookmarkStart w:id="79" w:name="_Toc15377226"/>
    </w:p>
    <w:p>
      <w:pPr>
        <w:spacing w:line="600" w:lineRule="exact"/>
        <w:jc w:val="center"/>
        <w:outlineLvl w:val="9"/>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9"/>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9"/>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9"/>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9"/>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9"/>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9"/>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9"/>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0"/>
        <w:rPr>
          <w:rStyle w:val="27"/>
          <w:rFonts w:ascii="黑体" w:hAnsi="黑体" w:eastAsia="黑体"/>
          <w:b w:val="0"/>
          <w:color w:val="000000" w:themeColor="text1"/>
          <w14:textFill>
            <w14:solidFill>
              <w14:schemeClr w14:val="tx1"/>
            </w14:solidFill>
          </w14:textFill>
        </w:rPr>
      </w:pPr>
      <w:bookmarkStart w:id="80" w:name="_Toc564"/>
      <w:r>
        <w:rPr>
          <w:rFonts w:hint="eastAsia" w:ascii="黑体" w:hAnsi="黑体" w:eastAsia="黑体"/>
          <w:color w:val="000000" w:themeColor="text1"/>
          <w:sz w:val="44"/>
          <w:szCs w:val="44"/>
          <w14:textFill>
            <w14:solidFill>
              <w14:schemeClr w14:val="tx1"/>
            </w14:solidFill>
          </w14:textFill>
        </w:rPr>
        <w:t>第</w:t>
      </w:r>
      <w:r>
        <w:rPr>
          <w:rStyle w:val="27"/>
          <w:rFonts w:hint="eastAsia" w:ascii="黑体" w:hAnsi="黑体" w:eastAsia="黑体"/>
          <w:b w:val="0"/>
          <w:color w:val="000000" w:themeColor="text1"/>
          <w14:textFill>
            <w14:solidFill>
              <w14:schemeClr w14:val="tx1"/>
            </w14:solidFill>
          </w14:textFill>
        </w:rPr>
        <w:t>四部分 附件</w:t>
      </w:r>
      <w:bookmarkEnd w:id="78"/>
      <w:bookmarkEnd w:id="80"/>
    </w:p>
    <w:p>
      <w:pPr>
        <w:spacing w:line="600" w:lineRule="exact"/>
        <w:jc w:val="left"/>
        <w:outlineLvl w:val="0"/>
        <w:rPr>
          <w:rFonts w:ascii="方正小标宋简体" w:hAnsi="方正小标宋简体" w:eastAsia="方正小标宋简体" w:cs="方正小标宋简体"/>
          <w:color w:val="000000" w:themeColor="text1"/>
          <w:sz w:val="32"/>
          <w:szCs w:val="32"/>
          <w14:textFill>
            <w14:solidFill>
              <w14:schemeClr w14:val="tx1"/>
            </w14:solidFill>
          </w14:textFill>
        </w:rPr>
      </w:pPr>
      <w:bookmarkStart w:id="81" w:name="_Toc3560"/>
      <w:r>
        <w:rPr>
          <w:rFonts w:hint="eastAsia" w:ascii="黑体" w:hAnsi="黑体" w:eastAsia="黑体" w:cs="黑体"/>
          <w:color w:val="000000" w:themeColor="text1"/>
          <w:sz w:val="32"/>
          <w:szCs w:val="32"/>
          <w14:textFill>
            <w14:solidFill>
              <w14:schemeClr w14:val="tx1"/>
            </w14:solidFill>
          </w14:textFill>
        </w:rPr>
        <w:t>附件1</w:t>
      </w:r>
      <w:bookmarkEnd w:id="81"/>
    </w:p>
    <w:p>
      <w:pPr>
        <w:spacing w:line="58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p>
    <w:p>
      <w:pPr>
        <w:spacing w:line="600" w:lineRule="exact"/>
        <w:jc w:val="center"/>
        <w:rPr>
          <w:rFonts w:ascii="方正小标宋简体" w:hAnsi="宋体" w:eastAsia="方正小标宋简体"/>
          <w:color w:val="000000" w:themeColor="text1"/>
          <w:kern w:val="0"/>
          <w:sz w:val="40"/>
          <w:szCs w:val="44"/>
          <w:lang w:val="zh-CN"/>
          <w14:textFill>
            <w14:solidFill>
              <w14:schemeClr w14:val="tx1"/>
            </w14:solidFill>
          </w14:textFill>
        </w:rPr>
      </w:pPr>
      <w:r>
        <w:rPr>
          <w:rFonts w:hint="eastAsia" w:ascii="方正小标宋简体" w:hAnsi="宋体" w:eastAsia="方正小标宋简体"/>
          <w:color w:val="000000" w:themeColor="text1"/>
          <w:kern w:val="0"/>
          <w:sz w:val="40"/>
          <w:szCs w:val="44"/>
          <w:lang w:eastAsia="zh-CN"/>
          <w14:textFill>
            <w14:solidFill>
              <w14:schemeClr w14:val="tx1"/>
            </w14:solidFill>
          </w14:textFill>
        </w:rPr>
        <w:t>色地镇人民政府</w:t>
      </w:r>
      <w:r>
        <w:rPr>
          <w:rFonts w:ascii="方正小标宋简体" w:hAnsi="宋体" w:eastAsia="方正小标宋简体"/>
          <w:color w:val="000000" w:themeColor="text1"/>
          <w:kern w:val="0"/>
          <w:sz w:val="40"/>
          <w:szCs w:val="44"/>
          <w14:textFill>
            <w14:solidFill>
              <w14:schemeClr w14:val="tx1"/>
            </w14:solidFill>
          </w14:textFill>
        </w:rPr>
        <w:t>2019年部门</w:t>
      </w:r>
      <w:r>
        <w:rPr>
          <w:rFonts w:hint="eastAsia" w:ascii="方正小标宋简体" w:hAnsi="宋体" w:eastAsia="方正小标宋简体"/>
          <w:color w:val="000000" w:themeColor="text1"/>
          <w:kern w:val="0"/>
          <w:sz w:val="40"/>
          <w:szCs w:val="44"/>
          <w:lang w:val="zh-CN"/>
          <w14:textFill>
            <w14:solidFill>
              <w14:schemeClr w14:val="tx1"/>
            </w14:solidFill>
          </w14:textFill>
        </w:rPr>
        <w:t>整体支出绩效评价报告</w:t>
      </w:r>
    </w:p>
    <w:p>
      <w:pPr>
        <w:widowControl/>
        <w:spacing w:line="580" w:lineRule="exact"/>
        <w:ind w:firstLine="640" w:firstLineChars="200"/>
        <w:contextualSpacing/>
        <w:jc w:val="center"/>
        <w:rPr>
          <w:rFonts w:ascii="仿宋_GB2312" w:hAnsi="宋体" w:eastAsia="仿宋_GB2312"/>
          <w:color w:val="000000" w:themeColor="text1"/>
          <w:sz w:val="32"/>
          <w:szCs w:val="32"/>
          <w:shd w:val="clear" w:color="auto" w:fill="FFFFFF"/>
          <w14:textFill>
            <w14:solidFill>
              <w14:schemeClr w14:val="tx1"/>
            </w14:solidFill>
          </w14:textFill>
        </w:rPr>
      </w:pPr>
      <w:r>
        <w:rPr>
          <w:rFonts w:hint="eastAsia" w:ascii="仿宋_GB2312" w:hAnsi="宋体" w:eastAsia="仿宋_GB2312"/>
          <w:color w:val="000000" w:themeColor="text1"/>
          <w:sz w:val="32"/>
          <w:szCs w:val="32"/>
          <w:shd w:val="clear" w:color="auto" w:fill="FFFFFF"/>
          <w14:textFill>
            <w14:solidFill>
              <w14:schemeClr w14:val="tx1"/>
            </w14:solidFill>
          </w14:textFill>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themeColor="text1"/>
          <w:kern w:val="0"/>
          <w:sz w:val="24"/>
          <w:szCs w:val="32"/>
          <w:shd w:val="clear" w:color="auto" w:fill="FFFFFF"/>
          <w14:textFill>
            <w14:solidFill>
              <w14:schemeClr w14:val="tx1"/>
            </w14:solidFill>
          </w14:textFill>
        </w:rPr>
      </w:pP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lang w:val="zh-CN"/>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一、</w:t>
      </w:r>
      <w:r>
        <w:rPr>
          <w:rFonts w:hint="eastAsia" w:ascii="黑体" w:hAnsi="宋体" w:eastAsia="黑体" w:cs="宋体"/>
          <w:color w:val="000000" w:themeColor="text1"/>
          <w:kern w:val="0"/>
          <w:sz w:val="32"/>
          <w:szCs w:val="32"/>
          <w:shd w:val="clear" w:color="auto" w:fill="FFFFFF"/>
          <w:lang w:val="zh-CN"/>
          <w14:textFill>
            <w14:solidFill>
              <w14:schemeClr w14:val="tx1"/>
            </w14:solidFill>
          </w14:textFill>
        </w:rPr>
        <w:t>部门（单位）概况</w:t>
      </w:r>
    </w:p>
    <w:p>
      <w:pPr>
        <w:snapToGrid w:val="0"/>
        <w:spacing w:line="520" w:lineRule="exact"/>
        <w:ind w:firstLine="640" w:firstLineChars="200"/>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（一）机构组成。</w:t>
      </w:r>
    </w:p>
    <w:p>
      <w:pPr>
        <w:snapToGrid w:val="0"/>
        <w:spacing w:line="520" w:lineRule="exact"/>
        <w:ind w:firstLine="640" w:firstLineChars="200"/>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我单位为独立核算全额拨款行政单位，2个机构，一个共产党机关，一个政府机关。</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（二）机构职能。</w:t>
      </w:r>
    </w:p>
    <w:p>
      <w:pPr>
        <w:snapToGrid w:val="0"/>
        <w:spacing w:line="520" w:lineRule="exact"/>
        <w:ind w:firstLine="643" w:firstLineChars="200"/>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一是</w:t>
      </w:r>
      <w:r>
        <w:rPr>
          <w:rFonts w:hint="eastAsia" w:ascii="仿宋_GB2312" w:hAnsi="仿宋_GB2312" w:eastAsia="仿宋_GB2312" w:cs="仿宋_GB2312"/>
          <w:bCs/>
          <w:color w:val="000000" w:themeColor="text1"/>
          <w:sz w:val="32"/>
          <w:szCs w:val="32"/>
          <w14:textFill>
            <w14:solidFill>
              <w14:schemeClr w14:val="tx1"/>
            </w14:solidFill>
          </w14:textFill>
        </w:rPr>
        <w:t>制定并组织实施</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镇</w:t>
      </w:r>
      <w:r>
        <w:rPr>
          <w:rFonts w:hint="eastAsia" w:ascii="仿宋_GB2312" w:hAnsi="仿宋_GB2312" w:eastAsia="仿宋_GB2312" w:cs="仿宋_GB2312"/>
          <w:bCs/>
          <w:color w:val="000000" w:themeColor="text1"/>
          <w:sz w:val="32"/>
          <w:szCs w:val="32"/>
          <w14:textFill>
            <w14:solidFill>
              <w14:schemeClr w14:val="tx1"/>
            </w14:solidFill>
          </w14:textFill>
        </w:rPr>
        <w:t>村建设规划,部署重点项目建设、地方道路建设、水利设施管理、自然资源和生态环境的保护，做好护林防火工作；</w:t>
      </w:r>
      <w:r>
        <w:rPr>
          <w:rFonts w:hint="eastAsia" w:ascii="仿宋_GB2312" w:hAnsi="仿宋_GB2312" w:eastAsia="仿宋_GB2312" w:cs="仿宋_GB2312"/>
          <w:b/>
          <w:color w:val="000000" w:themeColor="text1"/>
          <w:sz w:val="32"/>
          <w:szCs w:val="32"/>
          <w14:textFill>
            <w14:solidFill>
              <w14:schemeClr w14:val="tx1"/>
            </w14:solidFill>
          </w14:textFill>
        </w:rPr>
        <w:t>二是</w:t>
      </w:r>
      <w:r>
        <w:rPr>
          <w:rFonts w:hint="eastAsia" w:ascii="仿宋_GB2312" w:hAnsi="仿宋_GB2312" w:eastAsia="仿宋_GB2312" w:cs="仿宋_GB2312"/>
          <w:bCs/>
          <w:color w:val="000000" w:themeColor="text1"/>
          <w:sz w:val="32"/>
          <w:szCs w:val="32"/>
          <w14:textFill>
            <w14:solidFill>
              <w14:schemeClr w14:val="tx1"/>
            </w14:solidFill>
          </w14:textFill>
        </w:rPr>
        <w:t>负责本</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镇</w:t>
      </w:r>
      <w:r>
        <w:rPr>
          <w:rFonts w:hint="eastAsia" w:ascii="仿宋_GB2312" w:hAnsi="仿宋_GB2312" w:eastAsia="仿宋_GB2312" w:cs="仿宋_GB2312"/>
          <w:bCs/>
          <w:color w:val="000000" w:themeColor="text1"/>
          <w:sz w:val="32"/>
          <w:szCs w:val="32"/>
          <w14:textFill>
            <w14:solidFill>
              <w14:schemeClr w14:val="tx1"/>
            </w14:solidFill>
          </w14:textFill>
        </w:rPr>
        <w:t>区域内民政、计划生育、体育文化卫生等社会公益事业的综合性工作，维护群众合法权益，调节民事纠纷，打击刑事犯罪维护社会稳定；</w:t>
      </w:r>
      <w:r>
        <w:rPr>
          <w:rFonts w:hint="eastAsia" w:ascii="仿宋_GB2312" w:hAnsi="仿宋_GB2312" w:eastAsia="仿宋_GB2312" w:cs="仿宋_GB2312"/>
          <w:b/>
          <w:color w:val="000000" w:themeColor="text1"/>
          <w:sz w:val="32"/>
          <w:szCs w:val="32"/>
          <w14:textFill>
            <w14:solidFill>
              <w14:schemeClr w14:val="tx1"/>
            </w14:solidFill>
          </w14:textFill>
        </w:rPr>
        <w:t>三是</w:t>
      </w:r>
      <w:r>
        <w:rPr>
          <w:rFonts w:hint="eastAsia" w:ascii="仿宋_GB2312" w:hAnsi="仿宋_GB2312" w:eastAsia="仿宋_GB2312" w:cs="仿宋_GB2312"/>
          <w:bCs/>
          <w:color w:val="000000" w:themeColor="text1"/>
          <w:sz w:val="32"/>
          <w:szCs w:val="32"/>
          <w14:textFill>
            <w14:solidFill>
              <w14:schemeClr w14:val="tx1"/>
            </w14:solidFill>
          </w14:textFill>
        </w:rPr>
        <w:t>做好本</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镇</w:t>
      </w:r>
      <w:r>
        <w:rPr>
          <w:rFonts w:hint="eastAsia" w:ascii="仿宋_GB2312" w:hAnsi="仿宋_GB2312" w:eastAsia="仿宋_GB2312" w:cs="仿宋_GB2312"/>
          <w:bCs/>
          <w:color w:val="000000" w:themeColor="text1"/>
          <w:sz w:val="32"/>
          <w:szCs w:val="32"/>
          <w14:textFill>
            <w14:solidFill>
              <w14:schemeClr w14:val="tx1"/>
            </w14:solidFill>
          </w14:textFill>
        </w:rPr>
        <w:t>账务资金管理工作；</w:t>
      </w:r>
      <w:r>
        <w:rPr>
          <w:rFonts w:hint="eastAsia" w:ascii="仿宋_GB2312" w:hAnsi="仿宋_GB2312" w:eastAsia="仿宋_GB2312" w:cs="仿宋_GB2312"/>
          <w:b/>
          <w:color w:val="000000" w:themeColor="text1"/>
          <w:sz w:val="32"/>
          <w:szCs w:val="32"/>
          <w14:textFill>
            <w14:solidFill>
              <w14:schemeClr w14:val="tx1"/>
            </w14:solidFill>
          </w14:textFill>
        </w:rPr>
        <w:t>四是</w:t>
      </w:r>
      <w:r>
        <w:rPr>
          <w:rFonts w:hint="eastAsia" w:ascii="仿宋_GB2312" w:hAnsi="仿宋_GB2312" w:eastAsia="仿宋_GB2312" w:cs="仿宋_GB2312"/>
          <w:bCs/>
          <w:color w:val="000000" w:themeColor="text1"/>
          <w:sz w:val="32"/>
          <w:szCs w:val="32"/>
          <w14:textFill>
            <w14:solidFill>
              <w14:schemeClr w14:val="tx1"/>
            </w14:solidFill>
          </w14:textFill>
        </w:rPr>
        <w:t>抓好精神文明建设；</w:t>
      </w:r>
      <w:r>
        <w:rPr>
          <w:rFonts w:hint="eastAsia" w:ascii="仿宋_GB2312" w:hAnsi="仿宋_GB2312" w:eastAsia="仿宋_GB2312" w:cs="仿宋_GB2312"/>
          <w:b/>
          <w:color w:val="000000" w:themeColor="text1"/>
          <w:sz w:val="32"/>
          <w:szCs w:val="32"/>
          <w14:textFill>
            <w14:solidFill>
              <w14:schemeClr w14:val="tx1"/>
            </w14:solidFill>
          </w14:textFill>
        </w:rPr>
        <w:t>五是</w:t>
      </w:r>
      <w:r>
        <w:rPr>
          <w:rFonts w:hint="eastAsia" w:ascii="仿宋_GB2312" w:hAnsi="仿宋_GB2312" w:eastAsia="仿宋_GB2312" w:cs="仿宋_GB2312"/>
          <w:bCs/>
          <w:color w:val="000000" w:themeColor="text1"/>
          <w:sz w:val="32"/>
          <w:szCs w:val="32"/>
          <w14:textFill>
            <w14:solidFill>
              <w14:schemeClr w14:val="tx1"/>
            </w14:solidFill>
          </w14:textFill>
        </w:rPr>
        <w:t>完成上级部门交办的其他事项。</w:t>
      </w:r>
    </w:p>
    <w:p>
      <w:pPr>
        <w:widowControl/>
        <w:numPr>
          <w:ilvl w:val="0"/>
          <w:numId w:val="5"/>
        </w:numPr>
        <w:adjustRightInd w:val="0"/>
        <w:snapToGrid w:val="0"/>
        <w:spacing w:line="580" w:lineRule="exact"/>
        <w:ind w:firstLine="640" w:firstLineChars="200"/>
        <w:contextualSpacing/>
        <w:jc w:val="left"/>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人员概况。</w:t>
      </w:r>
    </w:p>
    <w:p>
      <w:pPr>
        <w:snapToGrid w:val="0"/>
        <w:spacing w:line="520" w:lineRule="exact"/>
        <w:ind w:firstLine="640" w:firstLineChars="200"/>
        <w:jc w:val="both"/>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我单位共有编制</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40</w:t>
      </w:r>
      <w:r>
        <w:rPr>
          <w:rFonts w:hint="eastAsia" w:ascii="仿宋_GB2312" w:hAnsi="仿宋_GB2312" w:eastAsia="仿宋_GB2312" w:cs="仿宋_GB2312"/>
          <w:bCs/>
          <w:color w:val="000000" w:themeColor="text1"/>
          <w:sz w:val="32"/>
          <w:szCs w:val="32"/>
          <w14:textFill>
            <w14:solidFill>
              <w14:schemeClr w14:val="tx1"/>
            </w14:solidFill>
          </w14:textFill>
        </w:rPr>
        <w:t>个，其中公务员编制</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26</w:t>
      </w:r>
      <w:r>
        <w:rPr>
          <w:rFonts w:hint="eastAsia" w:ascii="仿宋_GB2312" w:hAnsi="仿宋_GB2312" w:eastAsia="仿宋_GB2312" w:cs="仿宋_GB2312"/>
          <w:bCs/>
          <w:color w:val="000000" w:themeColor="text1"/>
          <w:sz w:val="32"/>
          <w:szCs w:val="32"/>
          <w14:textFill>
            <w14:solidFill>
              <w14:schemeClr w14:val="tx1"/>
            </w14:solidFill>
          </w14:textFill>
        </w:rPr>
        <w:t>个，其中行事业编制</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bCs/>
          <w:color w:val="000000" w:themeColor="text1"/>
          <w:sz w:val="32"/>
          <w:szCs w:val="32"/>
          <w14:textFill>
            <w14:solidFill>
              <w14:schemeClr w14:val="tx1"/>
            </w14:solidFill>
          </w14:textFill>
        </w:rPr>
        <w:t>个，政工勤编制</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Cs/>
          <w:color w:val="000000" w:themeColor="text1"/>
          <w:sz w:val="32"/>
          <w:szCs w:val="32"/>
          <w14:textFill>
            <w14:solidFill>
              <w14:schemeClr w14:val="tx1"/>
            </w14:solidFill>
          </w14:textFill>
        </w:rPr>
        <w:t>个</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事业工勤</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1个、</w:t>
      </w:r>
      <w:r>
        <w:rPr>
          <w:rFonts w:hint="eastAsia" w:ascii="仿宋_GB2312" w:hAnsi="仿宋_GB2312" w:eastAsia="仿宋_GB2312" w:cs="仿宋_GB2312"/>
          <w:bCs/>
          <w:color w:val="000000" w:themeColor="text1"/>
          <w:sz w:val="32"/>
          <w:szCs w:val="32"/>
          <w14:textFill>
            <w14:solidFill>
              <w14:schemeClr w14:val="tx1"/>
            </w14:solidFill>
          </w14:textFill>
        </w:rPr>
        <w:t>在职</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39</w:t>
      </w:r>
      <w:r>
        <w:rPr>
          <w:rFonts w:hint="eastAsia" w:ascii="仿宋_GB2312" w:hAnsi="仿宋_GB2312" w:eastAsia="仿宋_GB2312" w:cs="仿宋_GB2312"/>
          <w:bCs/>
          <w:color w:val="000000" w:themeColor="text1"/>
          <w:sz w:val="32"/>
          <w:szCs w:val="32"/>
          <w14:textFill>
            <w14:solidFill>
              <w14:schemeClr w14:val="tx1"/>
            </w14:solidFill>
          </w14:textFill>
        </w:rPr>
        <w:t>人</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w:t>
      </w: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（一）部门财政资金收入情况。</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lang w:val="zh-CN"/>
          <w14:textFill>
            <w14:solidFill>
              <w14:schemeClr w14:val="tx1"/>
            </w14:solidFill>
          </w14:textFill>
        </w:rPr>
        <w:t>201</w:t>
      </w:r>
      <w:r>
        <w:rPr>
          <w:rFonts w:hint="eastAsia" w:ascii="仿宋_GB2312" w:hAnsi="宋体" w:eastAsia="仿宋_GB2312" w:cs="宋体"/>
          <w:color w:val="000000" w:themeColor="text1"/>
          <w:kern w:val="0"/>
          <w:sz w:val="32"/>
          <w:lang w:val="en-US" w:eastAsia="zh-CN"/>
          <w14:textFill>
            <w14:solidFill>
              <w14:schemeClr w14:val="tx1"/>
            </w14:solidFill>
          </w14:textFill>
        </w:rPr>
        <w:t>9</w:t>
      </w:r>
      <w:r>
        <w:rPr>
          <w:rFonts w:hint="eastAsia" w:ascii="仿宋_GB2312" w:hAnsi="宋体" w:eastAsia="仿宋_GB2312" w:cs="宋体"/>
          <w:color w:val="000000" w:themeColor="text1"/>
          <w:kern w:val="0"/>
          <w:sz w:val="32"/>
          <w:lang w:val="zh-CN"/>
          <w14:textFill>
            <w14:solidFill>
              <w14:schemeClr w14:val="tx1"/>
            </w14:solidFill>
          </w14:textFill>
        </w:rPr>
        <w:t>年度色地镇人民政府财政资金收入</w:t>
      </w:r>
      <w:r>
        <w:rPr>
          <w:rFonts w:hint="eastAsia" w:ascii="仿宋_GB2312" w:hAnsi="宋体" w:eastAsia="仿宋_GB2312" w:cs="宋体"/>
          <w:color w:val="000000" w:themeColor="text1"/>
          <w:kern w:val="0"/>
          <w:sz w:val="32"/>
          <w:lang w:val="en-US" w:eastAsia="zh-CN"/>
          <w14:textFill>
            <w14:solidFill>
              <w14:schemeClr w14:val="tx1"/>
            </w14:solidFill>
          </w14:textFill>
        </w:rPr>
        <w:t>0</w:t>
      </w:r>
      <w:r>
        <w:rPr>
          <w:rFonts w:hint="eastAsia" w:ascii="仿宋_GB2312" w:hAnsi="宋体" w:eastAsia="仿宋_GB2312" w:cs="宋体"/>
          <w:color w:val="000000" w:themeColor="text1"/>
          <w:kern w:val="0"/>
          <w:sz w:val="32"/>
          <w:lang w:val="zh-CN"/>
          <w14:textFill>
            <w14:solidFill>
              <w14:schemeClr w14:val="tx1"/>
            </w14:solidFill>
          </w14:textFill>
        </w:rPr>
        <w:t>万元。</w:t>
      </w:r>
    </w:p>
    <w:p>
      <w:pPr>
        <w:widowControl/>
        <w:numPr>
          <w:ilvl w:val="0"/>
          <w:numId w:val="6"/>
        </w:numPr>
        <w:adjustRightInd w:val="0"/>
        <w:snapToGrid w:val="0"/>
        <w:spacing w:line="480" w:lineRule="exact"/>
        <w:ind w:firstLine="720"/>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部门财政资金支出情况。</w:t>
      </w:r>
    </w:p>
    <w:p>
      <w:pPr>
        <w:widowControl/>
        <w:numPr>
          <w:ilvl w:val="0"/>
          <w:numId w:val="0"/>
        </w:numPr>
        <w:adjustRightInd w:val="0"/>
        <w:snapToGrid w:val="0"/>
        <w:spacing w:line="480" w:lineRule="exact"/>
        <w:ind w:firstLine="640" w:firstLineChars="200"/>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lang w:val="zh-CN"/>
          <w14:textFill>
            <w14:solidFill>
              <w14:schemeClr w14:val="tx1"/>
            </w14:solidFill>
          </w14:textFill>
        </w:rPr>
        <w:t>201</w:t>
      </w:r>
      <w:r>
        <w:rPr>
          <w:rFonts w:hint="eastAsia" w:ascii="仿宋_GB2312" w:hAnsi="宋体" w:eastAsia="仿宋_GB2312" w:cs="宋体"/>
          <w:color w:val="000000" w:themeColor="text1"/>
          <w:kern w:val="0"/>
          <w:sz w:val="32"/>
          <w:lang w:val="en-US" w:eastAsia="zh-CN"/>
          <w14:textFill>
            <w14:solidFill>
              <w14:schemeClr w14:val="tx1"/>
            </w14:solidFill>
          </w14:textFill>
        </w:rPr>
        <w:t>9</w:t>
      </w:r>
      <w:r>
        <w:rPr>
          <w:rFonts w:hint="eastAsia" w:ascii="仿宋_GB2312" w:hAnsi="宋体" w:eastAsia="仿宋_GB2312" w:cs="宋体"/>
          <w:color w:val="000000" w:themeColor="text1"/>
          <w:kern w:val="0"/>
          <w:sz w:val="32"/>
          <w:lang w:val="zh-CN"/>
          <w14:textFill>
            <w14:solidFill>
              <w14:schemeClr w14:val="tx1"/>
            </w14:solidFill>
          </w14:textFill>
        </w:rPr>
        <w:t>年度色地镇人民政府财政资金支出</w:t>
      </w:r>
      <w:r>
        <w:rPr>
          <w:rFonts w:hint="eastAsia" w:ascii="仿宋_GB2312" w:hAnsi="宋体" w:eastAsia="仿宋_GB2312" w:cs="宋体"/>
          <w:color w:val="000000" w:themeColor="text1"/>
          <w:kern w:val="0"/>
          <w:sz w:val="32"/>
          <w:lang w:val="en-US" w:eastAsia="zh-CN"/>
          <w14:textFill>
            <w14:solidFill>
              <w14:schemeClr w14:val="tx1"/>
            </w14:solidFill>
          </w14:textFill>
        </w:rPr>
        <w:t>0</w:t>
      </w:r>
      <w:r>
        <w:rPr>
          <w:rFonts w:hint="eastAsia" w:ascii="仿宋_GB2312" w:hAnsi="宋体" w:eastAsia="仿宋_GB2312" w:cs="宋体"/>
          <w:color w:val="000000" w:themeColor="text1"/>
          <w:kern w:val="0"/>
          <w:sz w:val="32"/>
          <w:lang w:val="zh-CN"/>
          <w14:textFill>
            <w14:solidFill>
              <w14:schemeClr w14:val="tx1"/>
            </w14:solidFill>
          </w14:textFill>
        </w:rPr>
        <w:t>万元。</w:t>
      </w: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三、部门整体预算绩效管理情况</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（一）部门预算管理。</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包括部门绩效目标制定、目标实现、预算编制准确、支出控制、预算动态调整、执行进度、预算完成情况和违规记录等情况。</w:t>
      </w:r>
    </w:p>
    <w:p>
      <w:pPr>
        <w:widowControl/>
        <w:adjustRightInd w:val="0"/>
        <w:snapToGrid w:val="0"/>
        <w:spacing w:line="480" w:lineRule="exact"/>
        <w:ind w:firstLine="720"/>
        <w:jc w:val="left"/>
        <w:rPr>
          <w:rFonts w:hint="eastAsia" w:ascii="仿宋_GB2312" w:hAnsi="仿宋_GB2312" w:eastAsia="仿宋_GB2312" w:cs="仿宋_GB2312"/>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lang w:val="zh-CN"/>
          <w14:textFill>
            <w14:solidFill>
              <w14:schemeClr w14:val="tx1"/>
            </w14:solidFill>
          </w14:textFill>
        </w:rPr>
        <w:t>（一）预算编制情况。</w:t>
      </w:r>
    </w:p>
    <w:p>
      <w:pPr>
        <w:widowControl/>
        <w:adjustRightInd w:val="0"/>
        <w:snapToGrid w:val="0"/>
        <w:spacing w:line="480" w:lineRule="exact"/>
        <w:ind w:firstLine="72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zh-CN"/>
          <w14:textFill>
            <w14:solidFill>
              <w14:schemeClr w14:val="tx1"/>
            </w14:solidFill>
          </w14:textFill>
        </w:rPr>
        <w:t>主要由三公经费、项目支出、公用经费、</w:t>
      </w:r>
      <w:r>
        <w:rPr>
          <w:rFonts w:hint="eastAsia" w:ascii="仿宋_GB2312" w:hAnsi="仿宋_GB2312" w:eastAsia="仿宋_GB2312" w:cs="仿宋_GB2312"/>
          <w:color w:val="000000" w:themeColor="text1"/>
          <w:sz w:val="32"/>
          <w:szCs w:val="32"/>
          <w14:textFill>
            <w14:solidFill>
              <w14:schemeClr w14:val="tx1"/>
            </w14:solidFill>
          </w14:textFill>
        </w:rPr>
        <w:t>人员经费构成。</w:t>
      </w:r>
    </w:p>
    <w:p>
      <w:pPr>
        <w:widowControl/>
        <w:adjustRightInd w:val="0"/>
        <w:snapToGrid w:val="0"/>
        <w:spacing w:line="480" w:lineRule="exact"/>
        <w:ind w:firstLine="720"/>
        <w:jc w:val="left"/>
        <w:rPr>
          <w:rFonts w:hint="eastAsia" w:ascii="仿宋_GB2312" w:hAnsi="仿宋_GB2312" w:eastAsia="仿宋_GB2312" w:cs="仿宋_GB2312"/>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lang w:val="zh-CN"/>
          <w14:textFill>
            <w14:solidFill>
              <w14:schemeClr w14:val="tx1"/>
            </w14:solidFill>
          </w14:textFill>
        </w:rPr>
        <w:t>（二）执行管理情况。</w:t>
      </w:r>
      <w:r>
        <w:rPr>
          <w:rFonts w:hint="eastAsia" w:ascii="仿宋_GB2312" w:hAnsi="仿宋_GB2312" w:eastAsia="仿宋_GB2312" w:cs="仿宋_GB2312"/>
          <w:color w:val="000000" w:themeColor="text1"/>
          <w:kern w:val="0"/>
          <w:sz w:val="32"/>
          <w:szCs w:val="32"/>
          <w:lang w:val="zh-CN"/>
          <w14:textFill>
            <w14:solidFill>
              <w14:schemeClr w14:val="tx1"/>
            </w14:solidFill>
          </w14:textFill>
        </w:rPr>
        <w:tab/>
      </w:r>
    </w:p>
    <w:p>
      <w:pPr>
        <w:widowControl/>
        <w:adjustRightInd w:val="0"/>
        <w:snapToGrid w:val="0"/>
        <w:spacing w:line="560" w:lineRule="exact"/>
        <w:ind w:firstLine="640" w:firstLineChars="200"/>
        <w:jc w:val="left"/>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年度“三公”经费财政拨款支出决算中，因公出国（境）费支出决算0元；公务用车购置及运行维护费支出决算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12.6</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98.44</w:t>
      </w:r>
      <w:r>
        <w:rPr>
          <w:rFonts w:hint="eastAsia" w:ascii="仿宋_GB2312" w:hAnsi="仿宋_GB2312" w:eastAsia="仿宋_GB2312" w:cs="仿宋_GB2312"/>
          <w:color w:val="000000" w:themeColor="text1"/>
          <w:sz w:val="32"/>
          <w:szCs w:val="32"/>
          <w14:textFill>
            <w14:solidFill>
              <w14:schemeClr w14:val="tx1"/>
            </w14:solidFill>
          </w14:textFill>
        </w:rPr>
        <w:t>%；公务接待费支出决算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0.2</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1.56</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预算执行完成情况较好。</w:t>
      </w:r>
    </w:p>
    <w:p>
      <w:pPr>
        <w:widowControl/>
        <w:adjustRightInd w:val="0"/>
        <w:snapToGrid w:val="0"/>
        <w:spacing w:line="480" w:lineRule="exact"/>
        <w:ind w:firstLine="720"/>
        <w:jc w:val="left"/>
        <w:rPr>
          <w:rFonts w:hint="eastAsia" w:ascii="仿宋_GB2312" w:hAnsi="仿宋_GB2312" w:eastAsia="仿宋_GB2312" w:cs="仿宋_GB2312"/>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lang w:val="zh-CN"/>
          <w14:textFill>
            <w14:solidFill>
              <w14:schemeClr w14:val="tx1"/>
            </w14:solidFill>
          </w14:textFill>
        </w:rPr>
        <w:t>（三）综合管理情况。</w:t>
      </w:r>
    </w:p>
    <w:p>
      <w:pPr>
        <w:widowControl/>
        <w:adjustRightInd w:val="0"/>
        <w:snapToGrid w:val="0"/>
        <w:spacing w:line="560" w:lineRule="exact"/>
        <w:ind w:firstLine="640" w:firstLineChars="200"/>
        <w:jc w:val="left"/>
        <w:rPr>
          <w:rFonts w:hint="eastAsia" w:ascii="仿宋_GB2312" w:hAnsi="仿宋_GB2312" w:eastAsia="仿宋_GB2312" w:cs="仿宋_GB2312"/>
          <w:color w:val="000000" w:themeColor="text1"/>
          <w:sz w:val="32"/>
          <w:szCs w:val="32"/>
          <w:lang w:val="zh-CN"/>
          <w14:textFill>
            <w14:solidFill>
              <w14:schemeClr w14:val="tx1"/>
            </w14:solidFill>
          </w14:textFill>
        </w:rPr>
      </w:pPr>
      <w:r>
        <w:rPr>
          <w:rFonts w:hint="eastAsia" w:ascii="仿宋_GB2312" w:hAnsi="仿宋_GB2312" w:eastAsia="仿宋_GB2312" w:cs="仿宋_GB2312"/>
          <w:color w:val="000000" w:themeColor="text1"/>
          <w:sz w:val="32"/>
          <w:szCs w:val="32"/>
          <w:lang w:val="zh-CN"/>
          <w14:textFill>
            <w14:solidFill>
              <w14:schemeClr w14:val="tx1"/>
            </w14:solidFill>
          </w14:textFill>
        </w:rPr>
        <w:t>201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lang w:val="zh-CN"/>
          <w14:textFill>
            <w14:solidFill>
              <w14:schemeClr w14:val="tx1"/>
            </w14:solidFill>
          </w14:textFill>
        </w:rPr>
        <w:t>年我单位严格执行新的《预算法》，切实按照中央八项规定、省委九项规定、市委十项规定的管理制度，坚决执行财经和财务规章制度，按照《财务管理规定》、《财产管理规定》、《公务接待费管理规定》、《差旅费、会议费、培训费管理规定》、《公务用车管理办法》等规章制度管理本单位的财务收支活动，进一步明确了本单位财政预算资金的审批手续和拨付程序、机关行政运行经费报审手续和报销程序，加强了财务管理，规范了收支行为，保证了本单位财务管理工作规范有序进行。</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（二）结果应用情况。</w:t>
      </w:r>
    </w:p>
    <w:p>
      <w:pPr>
        <w:widowControl/>
        <w:adjustRightInd w:val="0"/>
        <w:snapToGrid w:val="0"/>
        <w:spacing w:line="560" w:lineRule="exact"/>
        <w:ind w:firstLine="640" w:firstLineChars="200"/>
        <w:jc w:val="left"/>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包括绩效自评公开、评价结果整改和应用结果反馈等情况。</w:t>
      </w:r>
    </w:p>
    <w:p>
      <w:pPr>
        <w:widowControl/>
        <w:adjustRightInd w:val="0"/>
        <w:snapToGrid w:val="0"/>
        <w:spacing w:line="560" w:lineRule="exact"/>
        <w:ind w:firstLine="640" w:firstLineChars="200"/>
        <w:jc w:val="left"/>
        <w:rPr>
          <w:rFonts w:hint="eastAsia" w:ascii="仿宋_GB2312" w:hAnsi="仿宋_GB2312" w:eastAsia="仿宋_GB2312" w:cs="仿宋_GB2312"/>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lang w:val="zh-CN"/>
          <w14:textFill>
            <w14:solidFill>
              <w14:schemeClr w14:val="tx1"/>
            </w14:solidFill>
          </w14:textFill>
        </w:rPr>
        <w:t>（一）部门职责履行情况分析</w:t>
      </w:r>
    </w:p>
    <w:p>
      <w:pPr>
        <w:widowControl/>
        <w:adjustRightInd w:val="0"/>
        <w:snapToGrid w:val="0"/>
        <w:spacing w:line="560" w:lineRule="exact"/>
        <w:ind w:firstLine="640" w:firstLineChars="200"/>
        <w:jc w:val="both"/>
        <w:rPr>
          <w:rFonts w:hint="eastAsia" w:ascii="仿宋_GB2312" w:hAnsi="仿宋_GB2312" w:eastAsia="仿宋_GB2312" w:cs="仿宋_GB2312"/>
          <w:color w:val="000000" w:themeColor="text1"/>
          <w:sz w:val="32"/>
          <w:szCs w:val="32"/>
          <w:lang w:val="zh-CN"/>
          <w14:textFill>
            <w14:solidFill>
              <w14:schemeClr w14:val="tx1"/>
            </w14:solidFill>
          </w14:textFill>
        </w:rPr>
      </w:pPr>
      <w:r>
        <w:rPr>
          <w:rFonts w:hint="eastAsia" w:ascii="仿宋_GB2312" w:hAnsi="仿宋_GB2312" w:eastAsia="仿宋_GB2312" w:cs="仿宋_GB2312"/>
          <w:color w:val="000000" w:themeColor="text1"/>
          <w:sz w:val="32"/>
          <w:szCs w:val="32"/>
          <w:lang w:val="zh-CN"/>
          <w14:textFill>
            <w14:solidFill>
              <w14:schemeClr w14:val="tx1"/>
            </w14:solidFill>
          </w14:textFill>
        </w:rPr>
        <w:t>201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lang w:val="zh-CN"/>
          <w14:textFill>
            <w14:solidFill>
              <w14:schemeClr w14:val="tx1"/>
            </w14:solidFill>
          </w14:textFill>
        </w:rPr>
        <w:t>年度我单位年初</w:t>
      </w:r>
      <w:r>
        <w:rPr>
          <w:rFonts w:hint="eastAsia" w:ascii="仿宋_GB2312" w:hAnsi="仿宋_GB2312" w:eastAsia="仿宋_GB2312" w:cs="仿宋_GB2312"/>
          <w:color w:val="000000" w:themeColor="text1"/>
          <w:sz w:val="32"/>
          <w:szCs w:val="32"/>
          <w14:textFill>
            <w14:solidFill>
              <w14:schemeClr w14:val="tx1"/>
            </w14:solidFill>
          </w14:textFill>
        </w:rPr>
        <w:t>根据</w:t>
      </w:r>
      <w:r>
        <w:rPr>
          <w:rFonts w:hint="eastAsia" w:ascii="仿宋_GB2312" w:hAnsi="仿宋_GB2312" w:eastAsia="仿宋_GB2312" w:cs="仿宋_GB2312"/>
          <w:color w:val="000000" w:themeColor="text1"/>
          <w:sz w:val="32"/>
          <w:szCs w:val="32"/>
          <w:lang w:val="zh-CN"/>
          <w14:textFill>
            <w14:solidFill>
              <w14:schemeClr w14:val="tx1"/>
            </w14:solidFill>
          </w14:textFill>
        </w:rPr>
        <w:t>工作规划和重点工作</w:t>
      </w:r>
      <w:r>
        <w:rPr>
          <w:rFonts w:hint="eastAsia" w:ascii="仿宋_GB2312" w:hAnsi="仿宋_GB2312" w:eastAsia="仿宋_GB2312" w:cs="仿宋_GB2312"/>
          <w:color w:val="000000" w:themeColor="text1"/>
          <w:sz w:val="32"/>
          <w:szCs w:val="32"/>
          <w14:textFill>
            <w14:solidFill>
              <w14:schemeClr w14:val="tx1"/>
            </w14:solidFill>
          </w14:textFill>
        </w:rPr>
        <w:t>规划</w:t>
      </w:r>
      <w:r>
        <w:rPr>
          <w:rFonts w:hint="eastAsia" w:ascii="仿宋_GB2312" w:hAnsi="仿宋_GB2312" w:eastAsia="仿宋_GB2312" w:cs="仿宋_GB2312"/>
          <w:color w:val="000000" w:themeColor="text1"/>
          <w:sz w:val="32"/>
          <w:szCs w:val="32"/>
          <w:lang w:val="zh-CN"/>
          <w14:textFill>
            <w14:solidFill>
              <w14:schemeClr w14:val="tx1"/>
            </w14:solidFill>
          </w14:textFill>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widowControl/>
        <w:adjustRightInd w:val="0"/>
        <w:snapToGrid w:val="0"/>
        <w:spacing w:line="560" w:lineRule="exact"/>
        <w:ind w:firstLine="640" w:firstLineChars="200"/>
        <w:jc w:val="both"/>
        <w:rPr>
          <w:rFonts w:hint="eastAsia" w:ascii="仿宋_GB2312" w:hAnsi="仿宋_GB2312" w:eastAsia="仿宋_GB2312" w:cs="仿宋_GB2312"/>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lang w:val="zh-CN"/>
          <w14:textFill>
            <w14:solidFill>
              <w14:schemeClr w14:val="tx1"/>
            </w14:solidFill>
          </w14:textFill>
        </w:rPr>
        <w:t>（二）社会经济效益分析</w:t>
      </w:r>
    </w:p>
    <w:p>
      <w:pPr>
        <w:widowControl/>
        <w:adjustRightInd w:val="0"/>
        <w:snapToGrid w:val="0"/>
        <w:spacing w:line="560" w:lineRule="exact"/>
        <w:ind w:firstLine="640" w:firstLineChars="200"/>
        <w:jc w:val="both"/>
        <w:rPr>
          <w:rFonts w:hint="eastAsia" w:ascii="仿宋_GB2312" w:hAnsi="仿宋_GB2312" w:eastAsia="仿宋_GB2312" w:cs="仿宋_GB2312"/>
          <w:color w:val="000000" w:themeColor="text1"/>
          <w:sz w:val="32"/>
          <w:szCs w:val="32"/>
          <w:lang w:val="zh-CN"/>
          <w14:textFill>
            <w14:solidFill>
              <w14:schemeClr w14:val="tx1"/>
            </w14:solidFill>
          </w14:textFill>
        </w:rPr>
      </w:pPr>
      <w:r>
        <w:rPr>
          <w:rFonts w:hint="eastAsia" w:ascii="仿宋_GB2312" w:hAnsi="仿宋_GB2312" w:eastAsia="仿宋_GB2312" w:cs="仿宋_GB2312"/>
          <w:color w:val="000000" w:themeColor="text1"/>
          <w:sz w:val="32"/>
          <w:szCs w:val="32"/>
          <w:lang w:val="zh-CN"/>
          <w14:textFill>
            <w14:solidFill>
              <w14:schemeClr w14:val="tx1"/>
            </w14:solidFill>
          </w14:textFill>
        </w:rPr>
        <w:t>1、本年预算配置控制较好。财政供养人员控制在预算编制以内，编制内在职人员控制率为100%；“三公经费”控制在年初预算以内。</w:t>
      </w:r>
    </w:p>
    <w:p>
      <w:pPr>
        <w:widowControl/>
        <w:adjustRightInd w:val="0"/>
        <w:snapToGrid w:val="0"/>
        <w:spacing w:line="560" w:lineRule="exact"/>
        <w:ind w:firstLine="640" w:firstLineChars="200"/>
        <w:jc w:val="both"/>
        <w:rPr>
          <w:rFonts w:hint="eastAsia" w:ascii="仿宋_GB2312" w:hAnsi="仿宋_GB2312" w:eastAsia="仿宋_GB2312" w:cs="仿宋_GB2312"/>
          <w:color w:val="000000" w:themeColor="text1"/>
          <w:sz w:val="32"/>
          <w:szCs w:val="32"/>
          <w:lang w:val="zh-CN"/>
          <w14:textFill>
            <w14:solidFill>
              <w14:schemeClr w14:val="tx1"/>
            </w14:solidFill>
          </w14:textFill>
        </w:rPr>
      </w:pPr>
      <w:r>
        <w:rPr>
          <w:rFonts w:hint="eastAsia" w:ascii="仿宋_GB2312" w:hAnsi="仿宋_GB2312" w:eastAsia="仿宋_GB2312" w:cs="仿宋_GB2312"/>
          <w:color w:val="000000" w:themeColor="text1"/>
          <w:sz w:val="32"/>
          <w:szCs w:val="32"/>
          <w:lang w:val="zh-CN"/>
          <w14:textFill>
            <w14:solidFill>
              <w14:schemeClr w14:val="tx1"/>
            </w14:solidFill>
          </w14:textFill>
        </w:rPr>
        <w:t>2、预算执行情况控制较好。支出总额控制在年初预算总额以内，本年部门预算完成率达到了100%，未进行预算相关事项的调整，预算控制良好。</w:t>
      </w:r>
    </w:p>
    <w:p>
      <w:pPr>
        <w:widowControl/>
        <w:adjustRightInd w:val="0"/>
        <w:snapToGrid w:val="0"/>
        <w:spacing w:line="560" w:lineRule="exact"/>
        <w:ind w:firstLine="640" w:firstLineChars="200"/>
        <w:jc w:val="both"/>
        <w:rPr>
          <w:rFonts w:hint="eastAsia" w:ascii="仿宋_GB2312" w:hAnsi="仿宋_GB2312" w:eastAsia="仿宋_GB2312" w:cs="仿宋_GB2312"/>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color w:val="000000" w:themeColor="text1"/>
          <w:sz w:val="32"/>
          <w:szCs w:val="32"/>
          <w:lang w:val="zh-CN"/>
          <w14:textFill>
            <w14:solidFill>
              <w14:schemeClr w14:val="tx1"/>
            </w14:solidFill>
          </w14:textFill>
        </w:rPr>
        <w:t>3、预算管理较为理想。由于严格执行财政相关法律、法规的规定，我单位的预算管理工作取得了较好的成绩，全年人员经费支出、日常用公用经费支出的控制率均达到了100%</w:t>
      </w:r>
      <w:r>
        <w:rPr>
          <w:rFonts w:hint="eastAsia" w:ascii="仿宋_GB2312" w:hAnsi="仿宋_GB2312" w:eastAsia="仿宋_GB2312" w:cs="仿宋_GB2312"/>
          <w:color w:val="000000" w:themeColor="text1"/>
          <w:kern w:val="0"/>
          <w:sz w:val="32"/>
          <w:szCs w:val="32"/>
          <w:lang w:val="zh-CN"/>
          <w14:textFill>
            <w14:solidFill>
              <w14:schemeClr w14:val="tx1"/>
            </w14:solidFill>
          </w14:textFill>
        </w:rPr>
        <w:t>。</w:t>
      </w:r>
    </w:p>
    <w:p>
      <w:pPr>
        <w:widowControl/>
        <w:adjustRightInd w:val="0"/>
        <w:snapToGrid w:val="0"/>
        <w:spacing w:line="560" w:lineRule="exact"/>
        <w:ind w:firstLine="640" w:firstLineChars="200"/>
        <w:jc w:val="both"/>
        <w:rPr>
          <w:rFonts w:hint="eastAsia" w:ascii="仿宋_GB2312" w:hAnsi="仿宋_GB2312" w:eastAsia="仿宋_GB2312" w:cs="仿宋_GB2312"/>
          <w:color w:val="000000" w:themeColor="text1"/>
          <w:kern w:val="0"/>
          <w:sz w:val="32"/>
          <w:szCs w:val="32"/>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lang w:val="zh-CN"/>
          <w14:textFill>
            <w14:solidFill>
              <w14:schemeClr w14:val="tx1"/>
            </w14:solidFill>
          </w14:textFill>
        </w:rPr>
        <w:t>（三）行政效能分析</w:t>
      </w:r>
    </w:p>
    <w:p>
      <w:pPr>
        <w:widowControl/>
        <w:adjustRightInd w:val="0"/>
        <w:snapToGrid w:val="0"/>
        <w:spacing w:line="560" w:lineRule="exact"/>
        <w:ind w:firstLine="640" w:firstLineChars="200"/>
        <w:jc w:val="both"/>
        <w:rPr>
          <w:rFonts w:hint="eastAsia" w:ascii="仿宋_GB2312" w:hAnsi="仿宋_GB2312" w:eastAsia="仿宋_GB2312" w:cs="仿宋_GB2312"/>
          <w:color w:val="000000" w:themeColor="text1"/>
          <w:sz w:val="32"/>
          <w:szCs w:val="32"/>
          <w:lang w:val="zh-CN"/>
          <w14:textFill>
            <w14:solidFill>
              <w14:schemeClr w14:val="tx1"/>
            </w14:solidFill>
          </w14:textFill>
        </w:rPr>
      </w:pPr>
      <w:r>
        <w:rPr>
          <w:rFonts w:hint="eastAsia" w:ascii="仿宋_GB2312" w:hAnsi="仿宋_GB2312" w:eastAsia="仿宋_GB2312" w:cs="仿宋_GB2312"/>
          <w:color w:val="000000" w:themeColor="text1"/>
          <w:sz w:val="32"/>
          <w:szCs w:val="32"/>
          <w:lang w:val="zh-CN"/>
          <w14:textFill>
            <w14:solidFill>
              <w14:schemeClr w14:val="tx1"/>
            </w14:solidFill>
          </w14:textFill>
        </w:rPr>
        <w:t>财政预算</w:t>
      </w:r>
      <w:bookmarkStart w:id="110" w:name="_GoBack"/>
      <w:bookmarkEnd w:id="110"/>
      <w:r>
        <w:rPr>
          <w:rFonts w:hint="eastAsia" w:ascii="仿宋_GB2312" w:hAnsi="仿宋_GB2312" w:eastAsia="仿宋_GB2312" w:cs="仿宋_GB2312"/>
          <w:color w:val="000000" w:themeColor="text1"/>
          <w:sz w:val="32"/>
          <w:szCs w:val="32"/>
          <w:lang w:val="zh-CN"/>
          <w14:textFill>
            <w14:solidFill>
              <w14:schemeClr w14:val="tx1"/>
            </w14:solidFill>
          </w14:textFill>
        </w:rPr>
        <w:t>安排在很大程度上保障了本单位基本支出及公用经费支出的正常工作运转。预算安排的项目支出也是非常必要的。财政预算安排大大提财政资金的使用效率，财政资金的安全性得到了有效保障，我们在执行预算过程中是严格按照财政各项制度规定来办理，单位在项目资金的使用上也是安全的。</w:t>
      </w: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四、评价结论及建议</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（一）评价结论。</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val="en-US" w:eastAsia="zh-CN"/>
          <w14:textFill>
            <w14:solidFill>
              <w14:schemeClr w14:val="tx1"/>
            </w14:solidFill>
          </w14:textFill>
        </w:rPr>
        <w:t>2019年度根据</w:t>
      </w: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预算编制，严格执行预算经费使用，总体效果较好。</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（二）存在问题。</w:t>
      </w:r>
    </w:p>
    <w:p>
      <w:pPr>
        <w:widowControl/>
        <w:adjustRightInd w:val="0"/>
        <w:snapToGrid w:val="0"/>
        <w:spacing w:line="560" w:lineRule="exact"/>
        <w:ind w:firstLine="640" w:firstLineChars="200"/>
        <w:jc w:val="left"/>
        <w:rPr>
          <w:rFonts w:hint="eastAsia" w:ascii="仿宋_GB2312" w:hAnsi="仿宋_GB2312" w:eastAsia="仿宋_GB2312" w:cs="仿宋_GB2312"/>
          <w:color w:val="000000" w:themeColor="text1"/>
          <w:sz w:val="32"/>
          <w:szCs w:val="32"/>
          <w:lang w:val="zh-CN"/>
          <w14:textFill>
            <w14:solidFill>
              <w14:schemeClr w14:val="tx1"/>
            </w14:solidFill>
          </w14:textFill>
        </w:rPr>
      </w:pPr>
      <w:r>
        <w:rPr>
          <w:rFonts w:hint="eastAsia" w:ascii="仿宋_GB2312" w:hAnsi="仿宋_GB2312" w:eastAsia="仿宋_GB2312" w:cs="仿宋_GB2312"/>
          <w:color w:val="000000" w:themeColor="text1"/>
          <w:sz w:val="32"/>
          <w:szCs w:val="32"/>
          <w:lang w:val="zh-CN"/>
          <w14:textFill>
            <w14:solidFill>
              <w14:schemeClr w14:val="tx1"/>
            </w14:solidFill>
          </w14:textFill>
        </w:rPr>
        <w:t>1、预算编制欠严谨</w:t>
      </w:r>
    </w:p>
    <w:p>
      <w:pPr>
        <w:widowControl/>
        <w:adjustRightInd w:val="0"/>
        <w:snapToGrid w:val="0"/>
        <w:spacing w:line="560" w:lineRule="exact"/>
        <w:ind w:firstLine="640" w:firstLineChars="200"/>
        <w:jc w:val="left"/>
        <w:rPr>
          <w:rFonts w:hint="eastAsia" w:ascii="仿宋_GB2312" w:hAnsi="仿宋_GB2312" w:eastAsia="仿宋_GB2312" w:cs="仿宋_GB2312"/>
          <w:color w:val="000000" w:themeColor="text1"/>
          <w:sz w:val="32"/>
          <w:szCs w:val="32"/>
          <w:lang w:val="zh-CN"/>
          <w14:textFill>
            <w14:solidFill>
              <w14:schemeClr w14:val="tx1"/>
            </w14:solidFill>
          </w14:textFill>
        </w:rPr>
      </w:pPr>
      <w:r>
        <w:rPr>
          <w:rFonts w:hint="eastAsia" w:ascii="仿宋_GB2312" w:hAnsi="仿宋_GB2312" w:eastAsia="仿宋_GB2312" w:cs="仿宋_GB2312"/>
          <w:color w:val="000000" w:themeColor="text1"/>
          <w:sz w:val="32"/>
          <w:szCs w:val="32"/>
          <w:lang w:val="zh-CN"/>
          <w14:textFill>
            <w14:solidFill>
              <w14:schemeClr w14:val="tx1"/>
            </w14:solidFill>
          </w14:textFill>
        </w:rPr>
        <w:t>预算编制欠全面，项目有临时追加不够完整、细化。</w:t>
      </w:r>
    </w:p>
    <w:p>
      <w:pPr>
        <w:widowControl/>
        <w:adjustRightInd w:val="0"/>
        <w:snapToGrid w:val="0"/>
        <w:spacing w:line="560" w:lineRule="exact"/>
        <w:ind w:firstLine="640" w:firstLineChars="200"/>
        <w:jc w:val="left"/>
        <w:rPr>
          <w:rFonts w:hint="eastAsia" w:ascii="仿宋_GB2312" w:hAnsi="仿宋_GB2312" w:eastAsia="仿宋_GB2312" w:cs="仿宋_GB2312"/>
          <w:color w:val="000000" w:themeColor="text1"/>
          <w:sz w:val="32"/>
          <w:szCs w:val="32"/>
          <w:lang w:val="zh-CN"/>
          <w14:textFill>
            <w14:solidFill>
              <w14:schemeClr w14:val="tx1"/>
            </w14:solidFill>
          </w14:textFill>
        </w:rPr>
      </w:pPr>
      <w:r>
        <w:rPr>
          <w:rFonts w:hint="eastAsia" w:ascii="仿宋_GB2312" w:hAnsi="仿宋_GB2312" w:eastAsia="仿宋_GB2312" w:cs="仿宋_GB2312"/>
          <w:color w:val="000000" w:themeColor="text1"/>
          <w:sz w:val="32"/>
          <w:szCs w:val="32"/>
          <w:lang w:val="zh-CN"/>
          <w14:textFill>
            <w14:solidFill>
              <w14:schemeClr w14:val="tx1"/>
            </w14:solidFill>
          </w14:textFill>
        </w:rPr>
        <w:t>2、预算执行存在偏差</w:t>
      </w:r>
    </w:p>
    <w:p>
      <w:pPr>
        <w:widowControl/>
        <w:adjustRightInd w:val="0"/>
        <w:snapToGrid w:val="0"/>
        <w:spacing w:line="560" w:lineRule="exact"/>
        <w:ind w:firstLine="640" w:firstLineChars="200"/>
        <w:jc w:val="left"/>
        <w:rPr>
          <w:rFonts w:hint="eastAsia" w:ascii="仿宋_GB2312" w:hAnsi="仿宋_GB2312" w:eastAsia="仿宋_GB2312" w:cs="仿宋_GB2312"/>
          <w:color w:val="000000" w:themeColor="text1"/>
          <w:sz w:val="32"/>
          <w:szCs w:val="32"/>
          <w:lang w:val="zh-CN"/>
          <w14:textFill>
            <w14:solidFill>
              <w14:schemeClr w14:val="tx1"/>
            </w14:solidFill>
          </w14:textFill>
        </w:rPr>
      </w:pPr>
      <w:r>
        <w:rPr>
          <w:rFonts w:hint="eastAsia" w:ascii="仿宋_GB2312" w:hAnsi="仿宋_GB2312" w:eastAsia="仿宋_GB2312" w:cs="仿宋_GB2312"/>
          <w:color w:val="000000" w:themeColor="text1"/>
          <w:sz w:val="32"/>
          <w:szCs w:val="32"/>
          <w:lang w:val="zh-CN"/>
          <w14:textFill>
            <w14:solidFill>
              <w14:schemeClr w14:val="tx1"/>
            </w14:solidFill>
          </w14:textFill>
        </w:rPr>
        <w:t>在实际经费列支中，未严格按照预算科目进行列支，部分基本支出挤占了项目支出。</w:t>
      </w:r>
    </w:p>
    <w:p>
      <w:pPr>
        <w:widowControl/>
        <w:adjustRightInd w:val="0"/>
        <w:snapToGrid w:val="0"/>
        <w:spacing w:line="560" w:lineRule="exact"/>
        <w:ind w:firstLine="640" w:firstLineChars="200"/>
        <w:jc w:val="left"/>
        <w:rPr>
          <w:rFonts w:hint="eastAsia" w:ascii="仿宋_GB2312" w:hAnsi="仿宋_GB2312" w:eastAsia="仿宋_GB2312" w:cs="仿宋_GB2312"/>
          <w:color w:val="000000" w:themeColor="text1"/>
          <w:sz w:val="32"/>
          <w:szCs w:val="32"/>
          <w:lang w:val="zh-CN"/>
          <w14:textFill>
            <w14:solidFill>
              <w14:schemeClr w14:val="tx1"/>
            </w14:solidFill>
          </w14:textFill>
        </w:rPr>
      </w:pPr>
      <w:r>
        <w:rPr>
          <w:rFonts w:hint="eastAsia" w:ascii="仿宋_GB2312" w:hAnsi="仿宋_GB2312" w:eastAsia="仿宋_GB2312" w:cs="仿宋_GB2312"/>
          <w:color w:val="000000" w:themeColor="text1"/>
          <w:sz w:val="32"/>
          <w:szCs w:val="32"/>
          <w:lang w:val="zh-CN"/>
          <w14:textFill>
            <w14:solidFill>
              <w14:schemeClr w14:val="tx1"/>
            </w14:solidFill>
          </w14:textFill>
        </w:rPr>
        <w:t>3、会计核算欠规范</w:t>
      </w:r>
    </w:p>
    <w:p>
      <w:pPr>
        <w:widowControl/>
        <w:adjustRightInd w:val="0"/>
        <w:snapToGrid w:val="0"/>
        <w:spacing w:line="560" w:lineRule="exact"/>
        <w:ind w:firstLine="640" w:firstLineChars="200"/>
        <w:jc w:val="left"/>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color w:val="000000" w:themeColor="text1"/>
          <w:sz w:val="32"/>
          <w:szCs w:val="32"/>
          <w:lang w:val="zh-CN"/>
          <w14:textFill>
            <w14:solidFill>
              <w14:schemeClr w14:val="tx1"/>
            </w14:solidFill>
          </w14:textFill>
        </w:rPr>
        <w:t>经费支出核算过程中，部分存在部分大额办公支出无明细、发票内容填写不规范等现象。</w:t>
      </w:r>
    </w:p>
    <w:p>
      <w:pPr>
        <w:widowControl/>
        <w:numPr>
          <w:ilvl w:val="0"/>
          <w:numId w:val="6"/>
        </w:numPr>
        <w:adjustRightInd w:val="0"/>
        <w:snapToGrid w:val="0"/>
        <w:spacing w:line="580" w:lineRule="exact"/>
        <w:ind w:left="0" w:leftChars="0" w:firstLine="720" w:firstLineChars="0"/>
        <w:contextualSpacing/>
        <w:jc w:val="left"/>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val="zh-CN"/>
          <w14:textFill>
            <w14:solidFill>
              <w14:schemeClr w14:val="tx1"/>
            </w14:solidFill>
          </w14:textFill>
        </w:rPr>
        <w:t>改进建议。</w:t>
      </w:r>
    </w:p>
    <w:p>
      <w:pPr>
        <w:widowControl/>
        <w:adjustRightInd w:val="0"/>
        <w:snapToGrid w:val="0"/>
        <w:spacing w:line="560" w:lineRule="exact"/>
        <w:ind w:firstLine="640" w:firstLineChars="200"/>
        <w:jc w:val="left"/>
        <w:rPr>
          <w:rFonts w:hint="eastAsia" w:ascii="仿宋_GB2312" w:hAnsi="仿宋_GB2312" w:eastAsia="仿宋_GB2312" w:cs="仿宋_GB2312"/>
          <w:color w:val="000000" w:themeColor="text1"/>
          <w:sz w:val="32"/>
          <w:szCs w:val="32"/>
          <w:lang w:val="zh-CN"/>
          <w14:textFill>
            <w14:solidFill>
              <w14:schemeClr w14:val="tx1"/>
            </w14:solidFill>
          </w14:textFill>
        </w:rPr>
      </w:pPr>
      <w:r>
        <w:rPr>
          <w:rFonts w:hint="eastAsia" w:ascii="仿宋_GB2312" w:hAnsi="仿宋_GB2312" w:eastAsia="仿宋_GB2312" w:cs="仿宋_GB2312"/>
          <w:color w:val="000000" w:themeColor="text1"/>
          <w:sz w:val="32"/>
          <w:szCs w:val="32"/>
          <w:lang w:val="zh-CN"/>
          <w14:textFill>
            <w14:solidFill>
              <w14:schemeClr w14:val="tx1"/>
            </w14:solidFill>
          </w14:textFill>
        </w:rPr>
        <w:t>1、科学合理编制预算，严格执行预算</w:t>
      </w:r>
    </w:p>
    <w:p>
      <w:pPr>
        <w:widowControl/>
        <w:adjustRightInd w:val="0"/>
        <w:snapToGrid w:val="0"/>
        <w:spacing w:line="560" w:lineRule="exact"/>
        <w:ind w:firstLine="640" w:firstLineChars="200"/>
        <w:jc w:val="left"/>
        <w:rPr>
          <w:rFonts w:hint="eastAsia" w:ascii="仿宋_GB2312" w:hAnsi="仿宋_GB2312" w:eastAsia="仿宋_GB2312" w:cs="仿宋_GB2312"/>
          <w:color w:val="000000" w:themeColor="text1"/>
          <w:sz w:val="32"/>
          <w:szCs w:val="32"/>
          <w:lang w:val="zh-CN"/>
          <w14:textFill>
            <w14:solidFill>
              <w14:schemeClr w14:val="tx1"/>
            </w14:solidFill>
          </w14:textFill>
        </w:rPr>
      </w:pPr>
      <w:r>
        <w:rPr>
          <w:rFonts w:hint="eastAsia" w:ascii="仿宋_GB2312" w:hAnsi="仿宋_GB2312" w:eastAsia="仿宋_GB2312" w:cs="仿宋_GB2312"/>
          <w:color w:val="000000" w:themeColor="text1"/>
          <w:sz w:val="32"/>
          <w:szCs w:val="32"/>
          <w:lang w:val="zh-CN"/>
          <w14:textFill>
            <w14:solidFill>
              <w14:schemeClr w14:val="tx1"/>
            </w14:solidFill>
          </w14:textFill>
        </w:rPr>
        <w:t>建议按照《预算法》及其实施条例的相关规定，参考上一年的预算执行情况和年度的收支预测科学编制预算，避免年中大幅追加以及超预算。在预算执行中，严格按照预算科目支出，避免预算科目间的预算资金调剂，确需调剂的，按规定程序报经批准。</w:t>
      </w:r>
    </w:p>
    <w:p>
      <w:pPr>
        <w:widowControl/>
        <w:adjustRightInd w:val="0"/>
        <w:snapToGrid w:val="0"/>
        <w:spacing w:line="560" w:lineRule="exact"/>
        <w:ind w:firstLine="640" w:firstLineChars="200"/>
        <w:jc w:val="left"/>
        <w:rPr>
          <w:rFonts w:hint="eastAsia" w:ascii="仿宋_GB2312" w:hAnsi="仿宋_GB2312" w:eastAsia="仿宋_GB2312" w:cs="仿宋_GB2312"/>
          <w:color w:val="000000" w:themeColor="text1"/>
          <w:sz w:val="32"/>
          <w:szCs w:val="32"/>
          <w:lang w:val="zh-CN"/>
          <w14:textFill>
            <w14:solidFill>
              <w14:schemeClr w14:val="tx1"/>
            </w14:solidFill>
          </w14:textFill>
        </w:rPr>
      </w:pPr>
      <w:r>
        <w:rPr>
          <w:rFonts w:hint="eastAsia" w:ascii="仿宋_GB2312" w:hAnsi="仿宋_GB2312" w:eastAsia="仿宋_GB2312" w:cs="仿宋_GB2312"/>
          <w:color w:val="000000" w:themeColor="text1"/>
          <w:sz w:val="32"/>
          <w:szCs w:val="32"/>
          <w:lang w:val="zh-CN"/>
          <w14:textFill>
            <w14:solidFill>
              <w14:schemeClr w14:val="tx1"/>
            </w14:solidFill>
          </w14:textFill>
        </w:rPr>
        <w:t>2、规范账务处理，提高财务信息质量</w:t>
      </w:r>
    </w:p>
    <w:p>
      <w:pPr>
        <w:widowControl/>
        <w:adjustRightInd w:val="0"/>
        <w:snapToGrid w:val="0"/>
        <w:spacing w:line="480" w:lineRule="exact"/>
        <w:ind w:firstLine="720"/>
        <w:jc w:val="left"/>
        <w:rPr>
          <w:rFonts w:hint="eastAsia" w:ascii="仿宋_GB2312" w:hAnsi="仿宋_GB2312" w:eastAsia="仿宋_GB2312" w:cs="仿宋_GB2312"/>
          <w:color w:val="000000" w:themeColor="text1"/>
          <w:sz w:val="32"/>
          <w:szCs w:val="32"/>
          <w:lang w:val="zh-CN"/>
          <w14:textFill>
            <w14:solidFill>
              <w14:schemeClr w14:val="tx1"/>
            </w14:solidFill>
          </w14:textFill>
        </w:rPr>
      </w:pPr>
      <w:r>
        <w:rPr>
          <w:rFonts w:hint="eastAsia" w:ascii="仿宋_GB2312" w:hAnsi="仿宋_GB2312" w:eastAsia="仿宋_GB2312" w:cs="仿宋_GB2312"/>
          <w:color w:val="000000" w:themeColor="text1"/>
          <w:sz w:val="32"/>
          <w:szCs w:val="32"/>
          <w:lang w:val="zh-CN"/>
          <w14:textFill>
            <w14:solidFill>
              <w14:schemeClr w14:val="tx1"/>
            </w14:solidFill>
          </w14:textFill>
        </w:rPr>
        <w:t>严格按照《会计法》、《行政单位会计制度》、《行政单位财务规则》等规定，结合实际情况，科学设置支出科目，规范财务核算，完整披露相关信息。</w:t>
      </w:r>
    </w:p>
    <w:p>
      <w:pPr>
        <w:widowControl/>
        <w:numPr>
          <w:ilvl w:val="0"/>
          <w:numId w:val="0"/>
        </w:numPr>
        <w:adjustRightInd w:val="0"/>
        <w:snapToGrid w:val="0"/>
        <w:spacing w:line="580" w:lineRule="exact"/>
        <w:ind w:left="720" w:leftChars="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附件2</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600" w:lineRule="exact"/>
        <w:jc w:val="center"/>
        <w:rPr>
          <w:rFonts w:ascii="方正小标宋简体" w:hAnsi="宋体" w:eastAsia="方正小标宋简体"/>
          <w:color w:val="000000" w:themeColor="text1"/>
          <w:kern w:val="0"/>
          <w:sz w:val="44"/>
          <w:szCs w:val="44"/>
          <w:lang w:val="zh-CN"/>
          <w14:textFill>
            <w14:solidFill>
              <w14:schemeClr w14:val="tx1"/>
            </w14:solidFill>
          </w14:textFill>
        </w:rPr>
      </w:pPr>
      <w:r>
        <w:rPr>
          <w:rFonts w:hint="eastAsia" w:ascii="方正小标宋简体" w:hAnsi="宋体" w:eastAsia="方正小标宋简体"/>
          <w:color w:val="000000" w:themeColor="text1"/>
          <w:kern w:val="0"/>
          <w:sz w:val="44"/>
          <w:szCs w:val="44"/>
          <w:lang w:eastAsia="zh-CN"/>
          <w14:textFill>
            <w14:solidFill>
              <w14:schemeClr w14:val="tx1"/>
            </w14:solidFill>
          </w14:textFill>
        </w:rPr>
        <w:t>色地镇</w:t>
      </w:r>
      <w:r>
        <w:rPr>
          <w:rFonts w:hint="eastAsia" w:ascii="方正小标宋简体" w:hAnsi="宋体" w:eastAsia="方正小标宋简体"/>
          <w:color w:val="000000" w:themeColor="text1"/>
          <w:kern w:val="0"/>
          <w:sz w:val="44"/>
          <w:szCs w:val="44"/>
          <w:lang w:val="zh-CN"/>
          <w14:textFill>
            <w14:solidFill>
              <w14:schemeClr w14:val="tx1"/>
            </w14:solidFill>
          </w14:textFill>
        </w:rPr>
        <w:t>项目</w:t>
      </w:r>
      <w:r>
        <w:rPr>
          <w:rFonts w:hint="eastAsia" w:ascii="方正小标宋简体" w:hAnsi="宋体" w:eastAsia="方正小标宋简体"/>
          <w:color w:val="000000" w:themeColor="text1"/>
          <w:kern w:val="0"/>
          <w:sz w:val="44"/>
          <w:szCs w:val="44"/>
          <w14:textFill>
            <w14:solidFill>
              <w14:schemeClr w14:val="tx1"/>
            </w14:solidFill>
          </w14:textFill>
        </w:rPr>
        <w:t>2019年</w:t>
      </w:r>
      <w:r>
        <w:rPr>
          <w:rFonts w:hint="eastAsia" w:ascii="方正小标宋简体" w:hAnsi="宋体" w:eastAsia="方正小标宋简体"/>
          <w:color w:val="000000" w:themeColor="text1"/>
          <w:kern w:val="0"/>
          <w:sz w:val="44"/>
          <w:szCs w:val="44"/>
          <w:lang w:val="zh-CN"/>
          <w14:textFill>
            <w14:solidFill>
              <w14:schemeClr w14:val="tx1"/>
            </w14:solidFill>
          </w14:textFill>
        </w:rPr>
        <w:t>绩效评价报告</w:t>
      </w:r>
    </w:p>
    <w:p>
      <w:pPr>
        <w:spacing w:line="600" w:lineRule="exact"/>
        <w:rPr>
          <w:rFonts w:ascii="宋体" w:hAnsi="宋体"/>
          <w:color w:val="000000" w:themeColor="text1"/>
          <w:sz w:val="32"/>
          <w:szCs w:val="32"/>
          <w:lang w:val="zh-CN"/>
          <w14:textFill>
            <w14:solidFill>
              <w14:schemeClr w14:val="tx1"/>
            </w14:solidFill>
          </w14:textFill>
        </w:rPr>
      </w:pPr>
    </w:p>
    <w:p>
      <w:pPr>
        <w:adjustRightInd w:val="0"/>
        <w:snapToGrid w:val="0"/>
        <w:spacing w:line="600" w:lineRule="exact"/>
        <w:ind w:firstLine="720"/>
        <w:rPr>
          <w:rFonts w:ascii="黑体" w:hAnsi="宋体" w:eastAsia="黑体"/>
          <w:color w:val="000000" w:themeColor="text1"/>
          <w:sz w:val="32"/>
          <w:szCs w:val="32"/>
          <w:lang w:val="zh-CN"/>
          <w14:textFill>
            <w14:solidFill>
              <w14:schemeClr w14:val="tx1"/>
            </w14:solidFill>
          </w14:textFill>
        </w:rPr>
      </w:pPr>
      <w:r>
        <w:rPr>
          <w:rFonts w:hint="eastAsia" w:ascii="黑体" w:hAnsi="宋体" w:eastAsia="黑体"/>
          <w:color w:val="000000" w:themeColor="text1"/>
          <w:sz w:val="32"/>
          <w:szCs w:val="32"/>
          <w14:textFill>
            <w14:solidFill>
              <w14:schemeClr w14:val="tx1"/>
            </w14:solidFill>
          </w14:textFill>
        </w:rPr>
        <w:t>一、</w:t>
      </w:r>
      <w:r>
        <w:rPr>
          <w:rFonts w:hint="eastAsia" w:ascii="黑体" w:hAnsi="宋体" w:eastAsia="黑体"/>
          <w:color w:val="000000" w:themeColor="text1"/>
          <w:sz w:val="32"/>
          <w:szCs w:val="32"/>
          <w:lang w:val="zh-CN"/>
          <w14:textFill>
            <w14:solidFill>
              <w14:schemeClr w14:val="tx1"/>
            </w14:solidFill>
          </w14:textFill>
        </w:rPr>
        <w:t>项目概况</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（一）项目基本情况。</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1．说明项目主管部门（单位）在该项目管理中的职能，行使党委、政府监管及相关职能。</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2．召开大会收集需建设项目意见，汇总编制实施方案及项目实施表上报行业主管部门。</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3．根据上级资金管理办法执行。</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4．资金分配的原则及考虑因素按照需求分配资金。</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（二）项目绩效目标。</w:t>
      </w:r>
    </w:p>
    <w:p>
      <w:pPr>
        <w:numPr>
          <w:ilvl w:val="0"/>
          <w:numId w:val="0"/>
        </w:numPr>
        <w:spacing w:line="580" w:lineRule="exact"/>
        <w:ind w:firstLine="640" w:firstLineChars="2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藏区新居</w:t>
      </w:r>
      <w:r>
        <w:rPr>
          <w:rFonts w:hint="eastAsia" w:ascii="仿宋_GB2312" w:hAnsi="仿宋_GB2312" w:eastAsia="仿宋_GB2312" w:cs="仿宋_GB2312"/>
          <w:color w:val="000000" w:themeColor="text1"/>
          <w:sz w:val="32"/>
          <w:szCs w:val="32"/>
          <w14:textFill>
            <w14:solidFill>
              <w14:schemeClr w14:val="tx1"/>
            </w14:solidFill>
          </w14:textFill>
        </w:rPr>
        <w:t>项目绩效目标完成情况综述。项目全年预算数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33</w:t>
      </w:r>
      <w:r>
        <w:rPr>
          <w:rFonts w:hint="eastAsia" w:ascii="仿宋_GB2312" w:hAnsi="仿宋_GB2312" w:eastAsia="仿宋_GB2312" w:cs="仿宋_GB2312"/>
          <w:color w:val="000000" w:themeColor="text1"/>
          <w:sz w:val="32"/>
          <w:szCs w:val="32"/>
          <w14:textFill>
            <w14:solidFill>
              <w14:schemeClr w14:val="tx1"/>
            </w14:solidFill>
          </w14:textFill>
        </w:rPr>
        <w:t>万元，执行数为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33</w:t>
      </w:r>
      <w:r>
        <w:rPr>
          <w:rFonts w:hint="eastAsia" w:ascii="仿宋_GB2312" w:hAnsi="仿宋_GB2312" w:eastAsia="仿宋_GB2312" w:cs="仿宋_GB2312"/>
          <w:color w:val="000000" w:themeColor="text1"/>
          <w:sz w:val="32"/>
          <w:szCs w:val="32"/>
          <w14:textFill>
            <w14:solidFill>
              <w14:schemeClr w14:val="tx1"/>
            </w14:solidFill>
          </w14:textFill>
        </w:rPr>
        <w:t>万元，完成预算的100%。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2019年我镇共计实施11户藏区新居房屋建设，</w:t>
      </w:r>
      <w:r>
        <w:rPr>
          <w:rFonts w:hint="eastAsia" w:ascii="仿宋_GB2312" w:hAnsi="仿宋_GB2312" w:eastAsia="仿宋_GB2312" w:cs="仿宋_GB2312"/>
          <w:color w:val="000000" w:themeColor="text1"/>
          <w:sz w:val="32"/>
          <w:szCs w:val="32"/>
          <w14:textFill>
            <w14:solidFill>
              <w14:schemeClr w14:val="tx1"/>
            </w14:solidFill>
          </w14:textFill>
        </w:rPr>
        <w:t>通过项目实施，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使老百姓得到了住房安全保障</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改善了村民的居住环境和生活条件。</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（三）项目自评步骤及方法。</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说明项目绩效自评采用的组织实施步骤及方法。</w:t>
      </w:r>
    </w:p>
    <w:p>
      <w:pPr>
        <w:adjustRightInd w:val="0"/>
        <w:snapToGrid w:val="0"/>
        <w:spacing w:line="600" w:lineRule="exact"/>
        <w:ind w:firstLine="720"/>
        <w:rPr>
          <w:rFonts w:ascii="黑体" w:hAnsi="宋体" w:eastAsia="黑体"/>
          <w:color w:val="000000" w:themeColor="text1"/>
          <w:sz w:val="32"/>
          <w:szCs w:val="32"/>
          <w14:textFill>
            <w14:solidFill>
              <w14:schemeClr w14:val="tx1"/>
            </w14:solidFill>
          </w14:textFill>
        </w:rPr>
      </w:pPr>
      <w:r>
        <w:rPr>
          <w:rFonts w:hint="eastAsia" w:ascii="黑体" w:hAnsi="宋体" w:eastAsia="黑体"/>
          <w:color w:val="000000" w:themeColor="text1"/>
          <w:sz w:val="32"/>
          <w:szCs w:val="32"/>
          <w14:textFill>
            <w14:solidFill>
              <w14:schemeClr w14:val="tx1"/>
            </w14:solidFill>
          </w14:textFill>
        </w:rPr>
        <w:t>二、项目资金申报及使用情况</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（一）项目资金申报及批复情况。</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eastAsia="zh-CN"/>
          <w14:textFill>
            <w14:solidFill>
              <w14:schemeClr w14:val="tx1"/>
            </w14:solidFill>
          </w14:textFill>
        </w:rPr>
        <w:t>通过实地查看和村民大会的召开讨论，群定好项目的具体内容，询问专业人员确定项目资金的预算及编制实施方案并上报相关部门</w:t>
      </w:r>
      <w:r>
        <w:rPr>
          <w:rFonts w:hint="eastAsia" w:ascii="仿宋_GB2312" w:hAnsi="宋体" w:eastAsia="仿宋_GB2312"/>
          <w:color w:val="000000" w:themeColor="text1"/>
          <w:sz w:val="32"/>
          <w:szCs w:val="32"/>
          <w:lang w:val="zh-CN"/>
          <w14:textFill>
            <w14:solidFill>
              <w14:schemeClr w14:val="tx1"/>
            </w14:solidFill>
          </w14:textFill>
        </w:rPr>
        <w:t>。</w:t>
      </w:r>
    </w:p>
    <w:p>
      <w:pPr>
        <w:numPr>
          <w:ilvl w:val="0"/>
          <w:numId w:val="7"/>
        </w:numPr>
        <w:adjustRightInd w:val="0"/>
        <w:snapToGrid w:val="0"/>
        <w:spacing w:line="600" w:lineRule="exact"/>
        <w:ind w:firstLine="720"/>
        <w:rPr>
          <w:rFonts w:hint="eastAsia"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资金计划、到位及使用情况。</w:t>
      </w:r>
    </w:p>
    <w:p>
      <w:pPr>
        <w:numPr>
          <w:ilvl w:val="0"/>
          <w:numId w:val="0"/>
        </w:numPr>
        <w:adjustRightInd w:val="0"/>
        <w:snapToGrid w:val="0"/>
        <w:spacing w:line="600" w:lineRule="exact"/>
        <w:rPr>
          <w:rFonts w:hint="eastAsia" w:ascii="楷体_GB2312" w:hAnsi="宋体" w:eastAsia="楷体_GB2312"/>
          <w:b/>
          <w:color w:val="000000" w:themeColor="text1"/>
          <w:sz w:val="32"/>
          <w:szCs w:val="32"/>
          <w:lang w:val="en-US" w:eastAsia="zh-CN"/>
          <w14:textFill>
            <w14:solidFill>
              <w14:schemeClr w14:val="tx1"/>
            </w14:solidFill>
          </w14:textFill>
        </w:rPr>
      </w:pPr>
      <w:r>
        <w:rPr>
          <w:rFonts w:hint="eastAsia" w:ascii="楷体_GB2312" w:hAnsi="宋体" w:eastAsia="楷体_GB2312"/>
          <w:b/>
          <w:color w:val="000000" w:themeColor="text1"/>
          <w:sz w:val="32"/>
          <w:szCs w:val="32"/>
          <w:lang w:val="en-US" w:eastAsia="zh-CN"/>
          <w14:textFill>
            <w14:solidFill>
              <w14:schemeClr w14:val="tx1"/>
            </w14:solidFill>
          </w14:textFill>
        </w:rPr>
        <w:t>一、藏区新居房屋建设项目</w:t>
      </w:r>
    </w:p>
    <w:p>
      <w:pPr>
        <w:adjustRightInd w:val="0"/>
        <w:snapToGrid w:val="0"/>
        <w:spacing w:line="600" w:lineRule="exact"/>
        <w:ind w:firstLine="72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1．资金计划。</w:t>
      </w:r>
    </w:p>
    <w:p>
      <w:pPr>
        <w:numPr>
          <w:ilvl w:val="0"/>
          <w:numId w:val="0"/>
        </w:numPr>
        <w:spacing w:line="58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藏区新建房屋建设项目全年预算数33万元，执行数为33万元，完成预算的100%。</w:t>
      </w:r>
    </w:p>
    <w:p>
      <w:pPr>
        <w:numPr>
          <w:ilvl w:val="0"/>
          <w:numId w:val="0"/>
        </w:numPr>
        <w:spacing w:line="580" w:lineRule="exact"/>
        <w:ind w:firstLine="640" w:firstLineChars="20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2．资金到位。</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资金已于</w:t>
      </w:r>
      <w:r>
        <w:rPr>
          <w:rFonts w:hint="eastAsia" w:ascii="仿宋_GB2312" w:hAnsi="宋体" w:eastAsia="仿宋_GB2312"/>
          <w:color w:val="000000" w:themeColor="text1"/>
          <w:sz w:val="32"/>
          <w:szCs w:val="32"/>
          <w:lang w:val="zh-CN" w:eastAsia="zh-CN"/>
          <w14:textFill>
            <w14:solidFill>
              <w14:schemeClr w14:val="tx1"/>
            </w14:solidFill>
          </w14:textFill>
        </w:rPr>
        <w:t>201</w:t>
      </w:r>
      <w:r>
        <w:rPr>
          <w:rFonts w:hint="eastAsia" w:ascii="仿宋_GB2312" w:hAnsi="宋体" w:eastAsia="仿宋_GB2312"/>
          <w:color w:val="000000" w:themeColor="text1"/>
          <w:sz w:val="32"/>
          <w:szCs w:val="32"/>
          <w:lang w:val="en-US" w:eastAsia="zh-CN"/>
          <w14:textFill>
            <w14:solidFill>
              <w14:schemeClr w14:val="tx1"/>
            </w14:solidFill>
          </w14:textFill>
        </w:rPr>
        <w:t>9</w:t>
      </w:r>
      <w:r>
        <w:rPr>
          <w:rFonts w:hint="eastAsia" w:ascii="仿宋_GB2312" w:hAnsi="宋体" w:eastAsia="仿宋_GB2312"/>
          <w:color w:val="000000" w:themeColor="text1"/>
          <w:sz w:val="32"/>
          <w:szCs w:val="32"/>
          <w:lang w:val="zh-CN" w:eastAsia="zh-CN"/>
          <w14:textFill>
            <w14:solidFill>
              <w14:schemeClr w14:val="tx1"/>
            </w14:solidFill>
          </w14:textFill>
        </w:rPr>
        <w:t>年到位，与计划相符合</w:t>
      </w:r>
      <w:r>
        <w:rPr>
          <w:rFonts w:hint="eastAsia" w:ascii="仿宋_GB2312" w:hAnsi="宋体" w:eastAsia="仿宋_GB2312"/>
          <w:color w:val="000000" w:themeColor="text1"/>
          <w:sz w:val="32"/>
          <w:szCs w:val="32"/>
          <w:lang w:val="zh-CN"/>
          <w14:textFill>
            <w14:solidFill>
              <w14:schemeClr w14:val="tx1"/>
            </w14:solidFill>
          </w14:textFill>
        </w:rPr>
        <w:t>。</w:t>
      </w:r>
    </w:p>
    <w:p>
      <w:pPr>
        <w:numPr>
          <w:ilvl w:val="0"/>
          <w:numId w:val="0"/>
        </w:numPr>
        <w:adjustRightInd w:val="0"/>
        <w:snapToGrid w:val="0"/>
        <w:spacing w:line="600" w:lineRule="exact"/>
        <w:ind w:leftChars="20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en-US" w:eastAsia="zh-CN"/>
          <w14:textFill>
            <w14:solidFill>
              <w14:schemeClr w14:val="tx1"/>
            </w14:solidFill>
          </w14:textFill>
        </w:rPr>
        <w:t>3.</w:t>
      </w:r>
      <w:r>
        <w:rPr>
          <w:rFonts w:hint="eastAsia" w:ascii="楷体_GB2312" w:hAnsi="宋体" w:eastAsia="楷体_GB2312"/>
          <w:color w:val="000000" w:themeColor="text1"/>
          <w:sz w:val="32"/>
          <w:szCs w:val="32"/>
          <w:lang w:val="zh-CN"/>
          <w14:textFill>
            <w14:solidFill>
              <w14:schemeClr w14:val="tx1"/>
            </w14:solidFill>
          </w14:textFill>
        </w:rPr>
        <w:t>资金使用。</w:t>
      </w:r>
    </w:p>
    <w:p>
      <w:pPr>
        <w:adjustRightInd w:val="0"/>
        <w:snapToGrid w:val="0"/>
        <w:spacing w:line="600" w:lineRule="exact"/>
        <w:ind w:firstLine="720"/>
        <w:rPr>
          <w:rFonts w:hint="eastAsia" w:ascii="仿宋_GB2312" w:hAnsi="宋体" w:eastAsia="仿宋_GB2312"/>
          <w:color w:val="000000" w:themeColor="text1"/>
          <w:sz w:val="32"/>
          <w:szCs w:val="32"/>
          <w:lang w:val="zh-CN" w:eastAsia="zh-CN"/>
          <w14:textFill>
            <w14:solidFill>
              <w14:schemeClr w14:val="tx1"/>
            </w14:solidFill>
          </w14:textFill>
        </w:rPr>
      </w:pPr>
      <w:r>
        <w:rPr>
          <w:rFonts w:hint="eastAsia" w:ascii="仿宋_GB2312" w:hAnsi="宋体" w:eastAsia="仿宋_GB2312"/>
          <w:color w:val="000000" w:themeColor="text1"/>
          <w:sz w:val="32"/>
          <w:szCs w:val="32"/>
          <w:lang w:val="zh-CN" w:eastAsia="zh-CN"/>
          <w14:textFill>
            <w14:solidFill>
              <w14:schemeClr w14:val="tx1"/>
            </w14:solidFill>
          </w14:textFill>
        </w:rPr>
        <w:t>该项目目前已通过镇村初验，拨付</w:t>
      </w:r>
      <w:r>
        <w:rPr>
          <w:rFonts w:hint="eastAsia" w:ascii="仿宋_GB2312" w:hAnsi="宋体" w:eastAsia="仿宋_GB2312"/>
          <w:color w:val="000000" w:themeColor="text1"/>
          <w:sz w:val="32"/>
          <w:szCs w:val="32"/>
          <w:lang w:val="en-US" w:eastAsia="zh-CN"/>
          <w14:textFill>
            <w14:solidFill>
              <w14:schemeClr w14:val="tx1"/>
            </w14:solidFill>
          </w14:textFill>
        </w:rPr>
        <w:t>100%项目款，项目资金与预算相符合。</w:t>
      </w:r>
    </w:p>
    <w:p>
      <w:pPr>
        <w:pStyle w:val="2"/>
        <w:rPr>
          <w:rFonts w:hint="eastAsia"/>
          <w:lang w:val="zh-CN" w:eastAsia="zh-CN"/>
        </w:rPr>
      </w:pP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（三）项目财务管理情况。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项目资金的使用进行透明化管理，资金的来源及使用途径均已公示公告并成立了以镇纪委成员和村会计的项目资金监管小组做到项目资金用到实处。</w:t>
      </w:r>
    </w:p>
    <w:p>
      <w:pPr>
        <w:adjustRightInd w:val="0"/>
        <w:snapToGrid w:val="0"/>
        <w:spacing w:line="600" w:lineRule="exact"/>
        <w:ind w:firstLine="720"/>
        <w:rPr>
          <w:rFonts w:ascii="黑体" w:hAnsi="宋体" w:eastAsia="黑体"/>
          <w:color w:val="000000" w:themeColor="text1"/>
          <w:sz w:val="32"/>
          <w:szCs w:val="32"/>
          <w14:textFill>
            <w14:solidFill>
              <w14:schemeClr w14:val="tx1"/>
            </w14:solidFill>
          </w14:textFill>
        </w:rPr>
      </w:pPr>
      <w:r>
        <w:rPr>
          <w:rFonts w:hint="eastAsia" w:ascii="黑体" w:hAnsi="宋体" w:eastAsia="黑体"/>
          <w:color w:val="000000" w:themeColor="text1"/>
          <w:sz w:val="32"/>
          <w:szCs w:val="32"/>
          <w14:textFill>
            <w14:solidFill>
              <w14:schemeClr w14:val="tx1"/>
            </w14:solidFill>
          </w14:textFill>
        </w:rPr>
        <w:t>三、项目实施及管理情况</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结合项目组织实施管理办法，重点围绕以下内容进行分析评价，并对自评中发现的问题分析说明。</w:t>
      </w:r>
    </w:p>
    <w:p>
      <w:pPr>
        <w:numPr>
          <w:ilvl w:val="0"/>
          <w:numId w:val="8"/>
        </w:numPr>
        <w:adjustRightInd w:val="0"/>
        <w:snapToGrid w:val="0"/>
        <w:spacing w:line="600" w:lineRule="exact"/>
        <w:ind w:firstLine="720"/>
        <w:rPr>
          <w:rFonts w:hint="eastAsia"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项目组织架构及实施流程。</w:t>
      </w:r>
    </w:p>
    <w:p>
      <w:pPr>
        <w:adjustRightInd w:val="0"/>
        <w:snapToGrid w:val="0"/>
        <w:spacing w:line="600" w:lineRule="exact"/>
        <w:ind w:firstLine="720"/>
        <w:rPr>
          <w:rFonts w:hint="eastAsia"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项目成立了以村委会成员牵头的项目理事会，主要负责对项目的推进和项目的监管。制定了一套切实可行的管理制度并与理事会成员的组成进行了为期</w:t>
      </w:r>
      <w:r>
        <w:rPr>
          <w:rFonts w:hint="eastAsia" w:ascii="仿宋_GB2312" w:hAnsi="宋体" w:eastAsia="仿宋_GB2312"/>
          <w:color w:val="000000" w:themeColor="text1"/>
          <w:sz w:val="32"/>
          <w:szCs w:val="32"/>
          <w:lang w:val="zh-CN" w:eastAsia="zh-CN"/>
          <w14:textFill>
            <w14:solidFill>
              <w14:schemeClr w14:val="tx1"/>
            </w14:solidFill>
          </w14:textFill>
        </w:rPr>
        <w:t>7日的公示公告，公式期内无异议。</w:t>
      </w:r>
    </w:p>
    <w:p>
      <w:pPr>
        <w:numPr>
          <w:ilvl w:val="0"/>
          <w:numId w:val="8"/>
        </w:numPr>
        <w:adjustRightInd w:val="0"/>
        <w:snapToGrid w:val="0"/>
        <w:spacing w:line="600" w:lineRule="exact"/>
        <w:ind w:left="0" w:leftChars="0" w:firstLine="720" w:firstLineChars="0"/>
        <w:rPr>
          <w:rFonts w:hint="eastAsia"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项目管理情况。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项目资金的使用进行透明化管理，资金的来源及使用途径均已公示公告并成立了以镇纪委成员和村会计的项目资金监管小组做到项目资金用到实处。</w:t>
      </w:r>
    </w:p>
    <w:p>
      <w:pPr>
        <w:numPr>
          <w:ilvl w:val="0"/>
          <w:numId w:val="8"/>
        </w:numPr>
        <w:adjustRightInd w:val="0"/>
        <w:snapToGrid w:val="0"/>
        <w:spacing w:line="600" w:lineRule="exact"/>
        <w:ind w:left="0" w:leftChars="0" w:firstLine="720" w:firstLineChars="0"/>
        <w:rPr>
          <w:rFonts w:hint="eastAsia"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项目监管情况。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项目成立了以村委会成员牵头的项目理事会，主要负责对项目的推进和项目的监管。制定了一套切实可行的管理制度并与理事会成员的组成进行了为期</w:t>
      </w:r>
      <w:r>
        <w:rPr>
          <w:rFonts w:hint="eastAsia" w:ascii="仿宋_GB2312" w:hAnsi="宋体" w:eastAsia="仿宋_GB2312"/>
          <w:color w:val="000000" w:themeColor="text1"/>
          <w:sz w:val="32"/>
          <w:szCs w:val="32"/>
          <w:lang w:val="zh-CN" w:eastAsia="zh-CN"/>
          <w14:textFill>
            <w14:solidFill>
              <w14:schemeClr w14:val="tx1"/>
            </w14:solidFill>
          </w14:textFill>
        </w:rPr>
        <w:t>7日的公示公告，公式期内无异议。</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黑体" w:hAnsi="宋体" w:eastAsia="黑体"/>
          <w:color w:val="000000" w:themeColor="text1"/>
          <w:sz w:val="32"/>
          <w:szCs w:val="32"/>
          <w14:textFill>
            <w14:solidFill>
              <w14:schemeClr w14:val="tx1"/>
            </w14:solidFill>
          </w14:textFill>
        </w:rPr>
        <w:t>四、项目绩效情况</w:t>
      </w:r>
      <w:r>
        <w:rPr>
          <w:rFonts w:hint="eastAsia" w:ascii="仿宋_GB2312" w:hAnsi="宋体" w:eastAsia="仿宋_GB2312"/>
          <w:color w:val="000000" w:themeColor="text1"/>
          <w:sz w:val="32"/>
          <w:szCs w:val="32"/>
          <w:lang w:val="zh-CN"/>
          <w14:textFill>
            <w14:solidFill>
              <w14:schemeClr w14:val="tx1"/>
            </w14:solidFill>
          </w14:textFill>
        </w:rPr>
        <w:tab/>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（一）项目完成情况。</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包括项目完成数量、质量、时效、成本等情况，对照项目计划完成目标，对截止评价时点的任务量完成、质量标准、进度计划、成本控制目标的实现程度进行评价，并进行分析说明。</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（二）项目效益情况。</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从项目经济效益、社会效益、生态效益、可持续效益以及服务对象满意度等方面对项目效益进行全面分析评价。</w:t>
      </w:r>
    </w:p>
    <w:p>
      <w:pPr>
        <w:adjustRightInd w:val="0"/>
        <w:snapToGrid w:val="0"/>
        <w:spacing w:line="600" w:lineRule="exact"/>
        <w:ind w:firstLine="720"/>
        <w:rPr>
          <w:rFonts w:ascii="黑体" w:hAnsi="宋体" w:eastAsia="黑体"/>
          <w:color w:val="000000" w:themeColor="text1"/>
          <w:sz w:val="32"/>
          <w:szCs w:val="32"/>
          <w14:textFill>
            <w14:solidFill>
              <w14:schemeClr w14:val="tx1"/>
            </w14:solidFill>
          </w14:textFill>
        </w:rPr>
      </w:pPr>
      <w:r>
        <w:rPr>
          <w:rFonts w:hint="eastAsia" w:ascii="黑体" w:hAnsi="宋体" w:eastAsia="黑体"/>
          <w:color w:val="000000" w:themeColor="text1"/>
          <w:sz w:val="32"/>
          <w:szCs w:val="32"/>
          <w14:textFill>
            <w14:solidFill>
              <w14:schemeClr w14:val="tx1"/>
            </w14:solidFill>
          </w14:textFill>
        </w:rPr>
        <w:t>五、评价结论及建议</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（一）评价结论。</w:t>
      </w:r>
    </w:p>
    <w:p>
      <w:pPr>
        <w:adjustRightInd w:val="0"/>
        <w:snapToGrid w:val="0"/>
        <w:spacing w:line="600" w:lineRule="exact"/>
        <w:ind w:firstLine="640" w:firstLineChars="200"/>
        <w:rPr>
          <w:rFonts w:ascii="仿宋_GB2312" w:hAnsi="宋体" w:eastAsia="仿宋_GB2312"/>
          <w:color w:val="000000" w:themeColor="text1"/>
          <w:sz w:val="32"/>
          <w:szCs w:val="32"/>
          <w:bdr w:val="single" w:color="auto" w:sz="4" w:space="0"/>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结合项目自身特点、评价重点及管理办法等要求，围绕专项项目支出绩效评价指标体系对项目进行总体评价。</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（二）存在的问题。</w:t>
      </w:r>
    </w:p>
    <w:p>
      <w:pPr>
        <w:adjustRightInd w:val="0"/>
        <w:snapToGrid w:val="0"/>
        <w:spacing w:line="600" w:lineRule="exact"/>
        <w:ind w:firstLine="640" w:firstLineChars="20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项目建成后，后期维护不到位。</w:t>
      </w:r>
      <w:r>
        <w:rPr>
          <w:rFonts w:hint="eastAsia" w:ascii="仿宋_GB2312" w:hAnsi="宋体" w:eastAsia="仿宋_GB2312"/>
          <w:color w:val="000000" w:themeColor="text1"/>
          <w:sz w:val="32"/>
          <w:szCs w:val="32"/>
          <w:lang w:val="zh-CN"/>
          <w14:textFill>
            <w14:solidFill>
              <w14:schemeClr w14:val="tx1"/>
            </w14:solidFill>
          </w14:textFill>
        </w:rPr>
        <w:tab/>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（三）相关建议。</w:t>
      </w:r>
    </w:p>
    <w:p>
      <w:pPr>
        <w:adjustRightInd w:val="0"/>
        <w:snapToGrid w:val="0"/>
        <w:spacing w:line="600" w:lineRule="exact"/>
        <w:ind w:firstLine="640" w:firstLineChars="20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建议上级部门拨付后期专项维护费用。</w:t>
      </w:r>
    </w:p>
    <w:p>
      <w:pPr>
        <w:spacing w:line="580" w:lineRule="exact"/>
        <w:ind w:firstLine="64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rPr>
          <w:rFonts w:ascii="仿宋_GB2312" w:hAnsi="仿宋_GB2312" w:eastAsia="仿宋_GB2312" w:cs="仿宋_GB2312"/>
          <w:color w:val="000000" w:themeColor="text1"/>
          <w:sz w:val="32"/>
          <w:szCs w:val="32"/>
          <w14:textFill>
            <w14:solidFill>
              <w14:schemeClr w14:val="tx1"/>
            </w14:solidFill>
          </w14:textFill>
        </w:rPr>
      </w:pPr>
    </w:p>
    <w:p>
      <w:pPr>
        <w:widowControl/>
        <w:jc w:val="left"/>
        <w:rPr>
          <w:rStyle w:val="27"/>
          <w:rFonts w:ascii="黑体" w:hAnsi="黑体" w:eastAsia="黑体"/>
          <w:b w:val="0"/>
          <w:color w:val="000000" w:themeColor="text1"/>
          <w14:textFill>
            <w14:solidFill>
              <w14:schemeClr w14:val="tx1"/>
            </w14:solidFill>
          </w14:textFill>
        </w:rPr>
      </w:pPr>
    </w:p>
    <w:p>
      <w:pPr>
        <w:widowControl/>
        <w:jc w:val="left"/>
        <w:rPr>
          <w:rStyle w:val="27"/>
          <w:rFonts w:ascii="黑体" w:hAnsi="黑体" w:eastAsia="黑体"/>
          <w:b w:val="0"/>
          <w:color w:val="000000" w:themeColor="text1"/>
          <w14:textFill>
            <w14:solidFill>
              <w14:schemeClr w14:val="tx1"/>
            </w14:solidFill>
          </w14:textFill>
        </w:rPr>
      </w:pPr>
      <w:r>
        <w:rPr>
          <w:rStyle w:val="27"/>
          <w:rFonts w:ascii="黑体" w:hAnsi="黑体" w:eastAsia="黑体"/>
          <w:b w:val="0"/>
          <w:color w:val="000000" w:themeColor="text1"/>
          <w14:textFill>
            <w14:solidFill>
              <w14:schemeClr w14:val="tx1"/>
            </w14:solidFill>
          </w14:textFill>
        </w:rPr>
        <w:br w:type="page"/>
      </w:r>
    </w:p>
    <w:p>
      <w:pPr>
        <w:spacing w:line="600" w:lineRule="exact"/>
        <w:jc w:val="center"/>
        <w:outlineLvl w:val="0"/>
        <w:rPr>
          <w:rStyle w:val="27"/>
          <w:rFonts w:ascii="黑体" w:hAnsi="黑体" w:eastAsia="黑体"/>
          <w:b w:val="0"/>
          <w:color w:val="000000" w:themeColor="text1"/>
          <w14:textFill>
            <w14:solidFill>
              <w14:schemeClr w14:val="tx1"/>
            </w14:solidFill>
          </w14:textFill>
        </w:rPr>
      </w:pPr>
      <w:bookmarkStart w:id="82" w:name="_Toc15396618"/>
      <w:bookmarkStart w:id="83" w:name="_Toc11600"/>
      <w:r>
        <w:rPr>
          <w:rFonts w:hint="eastAsia" w:ascii="黑体" w:hAnsi="黑体" w:eastAsia="黑体"/>
          <w:color w:val="000000" w:themeColor="text1"/>
          <w:sz w:val="44"/>
          <w:szCs w:val="44"/>
          <w14:textFill>
            <w14:solidFill>
              <w14:schemeClr w14:val="tx1"/>
            </w14:solidFill>
          </w14:textFill>
        </w:rPr>
        <w:t>第</w:t>
      </w:r>
      <w:r>
        <w:rPr>
          <w:rStyle w:val="27"/>
          <w:rFonts w:hint="eastAsia" w:ascii="黑体" w:hAnsi="黑体" w:eastAsia="黑体"/>
          <w:b w:val="0"/>
          <w:color w:val="000000" w:themeColor="text1"/>
          <w14:textFill>
            <w14:solidFill>
              <w14:schemeClr w14:val="tx1"/>
            </w14:solidFill>
          </w14:textFill>
        </w:rPr>
        <w:t>五部分 附表</w:t>
      </w:r>
      <w:bookmarkEnd w:id="79"/>
      <w:bookmarkEnd w:id="82"/>
      <w:bookmarkEnd w:id="83"/>
    </w:p>
    <w:p>
      <w:pPr>
        <w:spacing w:line="600" w:lineRule="exact"/>
        <w:jc w:val="center"/>
        <w:outlineLvl w:val="9"/>
        <w:rPr>
          <w:rFonts w:ascii="仿宋" w:hAnsi="仿宋" w:eastAsia="仿宋"/>
          <w:b/>
          <w:color w:val="000000" w:themeColor="text1"/>
          <w:sz w:val="44"/>
          <w:szCs w:val="44"/>
          <w14:textFill>
            <w14:solidFill>
              <w14:schemeClr w14:val="tx1"/>
            </w14:solidFill>
          </w14:textFill>
        </w:rPr>
      </w:pPr>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color w:val="000000" w:themeColor="text1"/>
          <w14:textFill>
            <w14:solidFill>
              <w14:schemeClr w14:val="tx1"/>
            </w14:solidFill>
          </w14:textFill>
        </w:rPr>
      </w:pPr>
      <w:bookmarkStart w:id="84" w:name="_Toc15396619"/>
      <w:bookmarkStart w:id="85" w:name="_Toc23419"/>
      <w:r>
        <w:rPr>
          <w:rFonts w:hint="eastAsia" w:ascii="仿宋_GB2312" w:hAnsi="仿宋_GB2312" w:eastAsia="仿宋_GB2312" w:cs="仿宋_GB2312"/>
          <w:b w:val="0"/>
          <w:color w:val="000000" w:themeColor="text1"/>
          <w14:textFill>
            <w14:solidFill>
              <w14:schemeClr w14:val="tx1"/>
            </w14:solidFill>
          </w14:textFill>
        </w:rPr>
        <w:t>一、收</w:t>
      </w:r>
      <w:r>
        <w:rPr>
          <w:rStyle w:val="28"/>
          <w:rFonts w:hint="eastAsia" w:ascii="仿宋_GB2312" w:hAnsi="仿宋_GB2312" w:eastAsia="仿宋_GB2312" w:cs="仿宋_GB2312"/>
          <w:b w:val="0"/>
          <w:bCs w:val="0"/>
          <w:color w:val="000000" w:themeColor="text1"/>
          <w14:textFill>
            <w14:solidFill>
              <w14:schemeClr w14:val="tx1"/>
            </w14:solidFill>
          </w14:textFill>
        </w:rPr>
        <w:t>入支出决算总表</w:t>
      </w:r>
      <w:bookmarkEnd w:id="84"/>
      <w:bookmarkEnd w:id="85"/>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color w:val="000000" w:themeColor="text1"/>
          <w14:textFill>
            <w14:solidFill>
              <w14:schemeClr w14:val="tx1"/>
            </w14:solidFill>
          </w14:textFill>
        </w:rPr>
      </w:pPr>
      <w:bookmarkStart w:id="86" w:name="_Toc28674"/>
      <w:bookmarkStart w:id="87" w:name="_Toc15396620"/>
      <w:r>
        <w:rPr>
          <w:rFonts w:hint="eastAsia" w:ascii="仿宋_GB2312" w:hAnsi="仿宋_GB2312" w:eastAsia="仿宋_GB2312" w:cs="仿宋_GB2312"/>
          <w:b w:val="0"/>
          <w:color w:val="000000" w:themeColor="text1"/>
          <w14:textFill>
            <w14:solidFill>
              <w14:schemeClr w14:val="tx1"/>
            </w14:solidFill>
          </w14:textFill>
        </w:rPr>
        <w:t>二、收</w:t>
      </w:r>
      <w:r>
        <w:rPr>
          <w:rStyle w:val="28"/>
          <w:rFonts w:hint="eastAsia" w:ascii="仿宋_GB2312" w:hAnsi="仿宋_GB2312" w:eastAsia="仿宋_GB2312" w:cs="仿宋_GB2312"/>
          <w:b w:val="0"/>
          <w:bCs w:val="0"/>
          <w:color w:val="000000" w:themeColor="text1"/>
          <w14:textFill>
            <w14:solidFill>
              <w14:schemeClr w14:val="tx1"/>
            </w14:solidFill>
          </w14:textFill>
        </w:rPr>
        <w:t>入决算表</w:t>
      </w:r>
      <w:bookmarkEnd w:id="86"/>
      <w:bookmarkEnd w:id="87"/>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color w:val="000000" w:themeColor="text1"/>
          <w14:textFill>
            <w14:solidFill>
              <w14:schemeClr w14:val="tx1"/>
            </w14:solidFill>
          </w14:textFill>
        </w:rPr>
      </w:pPr>
      <w:bookmarkStart w:id="88" w:name="_Toc18635"/>
      <w:bookmarkStart w:id="89" w:name="_Toc15396621"/>
      <w:r>
        <w:rPr>
          <w:rStyle w:val="28"/>
          <w:rFonts w:hint="eastAsia" w:ascii="仿宋_GB2312" w:hAnsi="仿宋_GB2312" w:eastAsia="仿宋_GB2312" w:cs="仿宋_GB2312"/>
          <w:b w:val="0"/>
          <w:bCs w:val="0"/>
          <w:color w:val="000000" w:themeColor="text1"/>
          <w14:textFill>
            <w14:solidFill>
              <w14:schemeClr w14:val="tx1"/>
            </w14:solidFill>
          </w14:textFill>
        </w:rPr>
        <w:t>三、</w:t>
      </w:r>
      <w:r>
        <w:rPr>
          <w:rFonts w:hint="eastAsia" w:ascii="仿宋_GB2312" w:hAnsi="仿宋_GB2312" w:eastAsia="仿宋_GB2312" w:cs="仿宋_GB2312"/>
          <w:b w:val="0"/>
          <w:color w:val="000000" w:themeColor="text1"/>
          <w14:textFill>
            <w14:solidFill>
              <w14:schemeClr w14:val="tx1"/>
            </w14:solidFill>
          </w14:textFill>
        </w:rPr>
        <w:t>支</w:t>
      </w:r>
      <w:r>
        <w:rPr>
          <w:rStyle w:val="28"/>
          <w:rFonts w:hint="eastAsia" w:ascii="仿宋_GB2312" w:hAnsi="仿宋_GB2312" w:eastAsia="仿宋_GB2312" w:cs="仿宋_GB2312"/>
          <w:b w:val="0"/>
          <w:bCs w:val="0"/>
          <w:color w:val="000000" w:themeColor="text1"/>
          <w14:textFill>
            <w14:solidFill>
              <w14:schemeClr w14:val="tx1"/>
            </w14:solidFill>
          </w14:textFill>
        </w:rPr>
        <w:t>出决算表</w:t>
      </w:r>
      <w:bookmarkEnd w:id="88"/>
      <w:bookmarkEnd w:id="89"/>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b w:val="0"/>
          <w:color w:val="000000" w:themeColor="text1"/>
          <w14:textFill>
            <w14:solidFill>
              <w14:schemeClr w14:val="tx1"/>
            </w14:solidFill>
          </w14:textFill>
        </w:rPr>
      </w:pPr>
      <w:bookmarkStart w:id="90" w:name="_Toc24838"/>
      <w:bookmarkStart w:id="91" w:name="_Toc15396622"/>
      <w:r>
        <w:rPr>
          <w:rStyle w:val="28"/>
          <w:rFonts w:hint="eastAsia" w:ascii="仿宋_GB2312" w:hAnsi="仿宋_GB2312" w:eastAsia="仿宋_GB2312" w:cs="仿宋_GB2312"/>
          <w:b w:val="0"/>
          <w:bCs w:val="0"/>
          <w:color w:val="000000" w:themeColor="text1"/>
          <w14:textFill>
            <w14:solidFill>
              <w14:schemeClr w14:val="tx1"/>
            </w14:solidFill>
          </w14:textFill>
        </w:rPr>
        <w:t>四、</w:t>
      </w:r>
      <w:r>
        <w:rPr>
          <w:rFonts w:hint="eastAsia" w:ascii="仿宋_GB2312" w:hAnsi="仿宋_GB2312" w:eastAsia="仿宋_GB2312" w:cs="仿宋_GB2312"/>
          <w:b w:val="0"/>
          <w:color w:val="000000" w:themeColor="text1"/>
          <w14:textFill>
            <w14:solidFill>
              <w14:schemeClr w14:val="tx1"/>
            </w14:solidFill>
          </w14:textFill>
        </w:rPr>
        <w:t>财</w:t>
      </w:r>
      <w:r>
        <w:rPr>
          <w:rStyle w:val="28"/>
          <w:rFonts w:hint="eastAsia" w:ascii="仿宋_GB2312" w:hAnsi="仿宋_GB2312" w:eastAsia="仿宋_GB2312" w:cs="仿宋_GB2312"/>
          <w:b w:val="0"/>
          <w:bCs w:val="0"/>
          <w:color w:val="000000" w:themeColor="text1"/>
          <w14:textFill>
            <w14:solidFill>
              <w14:schemeClr w14:val="tx1"/>
            </w14:solidFill>
          </w14:textFill>
        </w:rPr>
        <w:t>政拨款收入支出决算总表</w:t>
      </w:r>
      <w:bookmarkEnd w:id="90"/>
      <w:bookmarkEnd w:id="91"/>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Style w:val="28"/>
          <w:rFonts w:hint="eastAsia" w:ascii="仿宋_GB2312" w:hAnsi="仿宋_GB2312" w:eastAsia="仿宋_GB2312" w:cs="仿宋_GB2312"/>
          <w:b w:val="0"/>
          <w:bCs w:val="0"/>
          <w:color w:val="000000" w:themeColor="text1"/>
          <w14:textFill>
            <w14:solidFill>
              <w14:schemeClr w14:val="tx1"/>
            </w14:solidFill>
          </w14:textFill>
        </w:rPr>
      </w:pPr>
      <w:bookmarkStart w:id="92" w:name="_Toc15396623"/>
      <w:bookmarkStart w:id="93" w:name="_Toc16256"/>
      <w:r>
        <w:rPr>
          <w:rStyle w:val="28"/>
          <w:rFonts w:hint="eastAsia" w:ascii="仿宋_GB2312" w:hAnsi="仿宋_GB2312" w:eastAsia="仿宋_GB2312" w:cs="仿宋_GB2312"/>
          <w:b w:val="0"/>
          <w:bCs w:val="0"/>
          <w:color w:val="000000" w:themeColor="text1"/>
          <w14:textFill>
            <w14:solidFill>
              <w14:schemeClr w14:val="tx1"/>
            </w14:solidFill>
          </w14:textFill>
        </w:rPr>
        <w:t>五、</w:t>
      </w:r>
      <w:r>
        <w:rPr>
          <w:rFonts w:hint="eastAsia" w:ascii="仿宋_GB2312" w:hAnsi="仿宋_GB2312" w:eastAsia="仿宋_GB2312" w:cs="仿宋_GB2312"/>
          <w:b w:val="0"/>
          <w:color w:val="000000" w:themeColor="text1"/>
          <w14:textFill>
            <w14:solidFill>
              <w14:schemeClr w14:val="tx1"/>
            </w14:solidFill>
          </w14:textFill>
        </w:rPr>
        <w:t>财</w:t>
      </w:r>
      <w:r>
        <w:rPr>
          <w:rStyle w:val="28"/>
          <w:rFonts w:hint="eastAsia" w:ascii="仿宋_GB2312" w:hAnsi="仿宋_GB2312" w:eastAsia="仿宋_GB2312" w:cs="仿宋_GB2312"/>
          <w:b w:val="0"/>
          <w:bCs w:val="0"/>
          <w:color w:val="000000" w:themeColor="text1"/>
          <w14:textFill>
            <w14:solidFill>
              <w14:schemeClr w14:val="tx1"/>
            </w14:solidFill>
          </w14:textFill>
        </w:rPr>
        <w:t>政拨款支出决算明细表</w:t>
      </w:r>
      <w:bookmarkEnd w:id="92"/>
      <w:bookmarkEnd w:id="93"/>
      <w:bookmarkStart w:id="94" w:name="_Toc15396624"/>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color w:val="000000" w:themeColor="text1"/>
          <w14:textFill>
            <w14:solidFill>
              <w14:schemeClr w14:val="tx1"/>
            </w14:solidFill>
          </w14:textFill>
        </w:rPr>
      </w:pPr>
      <w:bookmarkStart w:id="95" w:name="_Toc16832"/>
      <w:r>
        <w:rPr>
          <w:rStyle w:val="28"/>
          <w:rFonts w:hint="eastAsia" w:ascii="仿宋_GB2312" w:hAnsi="仿宋_GB2312" w:eastAsia="仿宋_GB2312" w:cs="仿宋_GB2312"/>
          <w:b w:val="0"/>
          <w:bCs w:val="0"/>
          <w:color w:val="000000" w:themeColor="text1"/>
          <w14:textFill>
            <w14:solidFill>
              <w14:schemeClr w14:val="tx1"/>
            </w14:solidFill>
          </w14:textFill>
        </w:rPr>
        <w:t>六、</w:t>
      </w:r>
      <w:r>
        <w:rPr>
          <w:rFonts w:hint="eastAsia" w:ascii="仿宋_GB2312" w:hAnsi="仿宋_GB2312" w:eastAsia="仿宋_GB2312" w:cs="仿宋_GB2312"/>
          <w:b w:val="0"/>
          <w:color w:val="000000" w:themeColor="text1"/>
          <w14:textFill>
            <w14:solidFill>
              <w14:schemeClr w14:val="tx1"/>
            </w14:solidFill>
          </w14:textFill>
        </w:rPr>
        <w:t>一</w:t>
      </w:r>
      <w:r>
        <w:rPr>
          <w:rStyle w:val="28"/>
          <w:rFonts w:hint="eastAsia" w:ascii="仿宋_GB2312" w:hAnsi="仿宋_GB2312" w:eastAsia="仿宋_GB2312" w:cs="仿宋_GB2312"/>
          <w:b w:val="0"/>
          <w:bCs w:val="0"/>
          <w:color w:val="000000" w:themeColor="text1"/>
          <w14:textFill>
            <w14:solidFill>
              <w14:schemeClr w14:val="tx1"/>
            </w14:solidFill>
          </w14:textFill>
        </w:rPr>
        <w:t>般公共预算财政拨款支出决算表</w:t>
      </w:r>
      <w:bookmarkEnd w:id="94"/>
      <w:bookmarkEnd w:id="95"/>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color w:val="000000" w:themeColor="text1"/>
          <w14:textFill>
            <w14:solidFill>
              <w14:schemeClr w14:val="tx1"/>
            </w14:solidFill>
          </w14:textFill>
        </w:rPr>
      </w:pPr>
      <w:bookmarkStart w:id="96" w:name="_Toc26725"/>
      <w:bookmarkStart w:id="97" w:name="_Toc15396625"/>
      <w:r>
        <w:rPr>
          <w:rStyle w:val="28"/>
          <w:rFonts w:hint="eastAsia" w:ascii="仿宋_GB2312" w:hAnsi="仿宋_GB2312" w:eastAsia="仿宋_GB2312" w:cs="仿宋_GB2312"/>
          <w:b w:val="0"/>
          <w:bCs w:val="0"/>
          <w:color w:val="000000" w:themeColor="text1"/>
          <w14:textFill>
            <w14:solidFill>
              <w14:schemeClr w14:val="tx1"/>
            </w14:solidFill>
          </w14:textFill>
        </w:rPr>
        <w:t>七、</w:t>
      </w:r>
      <w:r>
        <w:rPr>
          <w:rFonts w:hint="eastAsia" w:ascii="仿宋_GB2312" w:hAnsi="仿宋_GB2312" w:eastAsia="仿宋_GB2312" w:cs="仿宋_GB2312"/>
          <w:b w:val="0"/>
          <w:color w:val="000000" w:themeColor="text1"/>
          <w14:textFill>
            <w14:solidFill>
              <w14:schemeClr w14:val="tx1"/>
            </w14:solidFill>
          </w14:textFill>
        </w:rPr>
        <w:t>一</w:t>
      </w:r>
      <w:r>
        <w:rPr>
          <w:rStyle w:val="28"/>
          <w:rFonts w:hint="eastAsia" w:ascii="仿宋_GB2312" w:hAnsi="仿宋_GB2312" w:eastAsia="仿宋_GB2312" w:cs="仿宋_GB2312"/>
          <w:b w:val="0"/>
          <w:bCs w:val="0"/>
          <w:color w:val="000000" w:themeColor="text1"/>
          <w14:textFill>
            <w14:solidFill>
              <w14:schemeClr w14:val="tx1"/>
            </w14:solidFill>
          </w14:textFill>
        </w:rPr>
        <w:t>般公共预算财政拨款支出决算明细表</w:t>
      </w:r>
      <w:bookmarkEnd w:id="96"/>
      <w:bookmarkEnd w:id="97"/>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color w:val="000000" w:themeColor="text1"/>
          <w14:textFill>
            <w14:solidFill>
              <w14:schemeClr w14:val="tx1"/>
            </w14:solidFill>
          </w14:textFill>
        </w:rPr>
      </w:pPr>
      <w:bookmarkStart w:id="98" w:name="_Toc6394"/>
      <w:bookmarkStart w:id="99" w:name="_Toc15396626"/>
      <w:r>
        <w:rPr>
          <w:rStyle w:val="28"/>
          <w:rFonts w:hint="eastAsia" w:ascii="仿宋_GB2312" w:hAnsi="仿宋_GB2312" w:eastAsia="仿宋_GB2312" w:cs="仿宋_GB2312"/>
          <w:b w:val="0"/>
          <w:bCs w:val="0"/>
          <w:color w:val="000000" w:themeColor="text1"/>
          <w14:textFill>
            <w14:solidFill>
              <w14:schemeClr w14:val="tx1"/>
            </w14:solidFill>
          </w14:textFill>
        </w:rPr>
        <w:t>八、</w:t>
      </w:r>
      <w:r>
        <w:rPr>
          <w:rFonts w:hint="eastAsia" w:ascii="仿宋_GB2312" w:hAnsi="仿宋_GB2312" w:eastAsia="仿宋_GB2312" w:cs="仿宋_GB2312"/>
          <w:b w:val="0"/>
          <w:color w:val="000000" w:themeColor="text1"/>
          <w14:textFill>
            <w14:solidFill>
              <w14:schemeClr w14:val="tx1"/>
            </w14:solidFill>
          </w14:textFill>
        </w:rPr>
        <w:t>一</w:t>
      </w:r>
      <w:r>
        <w:rPr>
          <w:rStyle w:val="28"/>
          <w:rFonts w:hint="eastAsia" w:ascii="仿宋_GB2312" w:hAnsi="仿宋_GB2312" w:eastAsia="仿宋_GB2312" w:cs="仿宋_GB2312"/>
          <w:b w:val="0"/>
          <w:bCs w:val="0"/>
          <w:color w:val="000000" w:themeColor="text1"/>
          <w14:textFill>
            <w14:solidFill>
              <w14:schemeClr w14:val="tx1"/>
            </w14:solidFill>
          </w14:textFill>
        </w:rPr>
        <w:t>般公共预算财政拨款基本支出决算表</w:t>
      </w:r>
      <w:bookmarkEnd w:id="98"/>
      <w:bookmarkEnd w:id="99"/>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color w:val="000000" w:themeColor="text1"/>
          <w14:textFill>
            <w14:solidFill>
              <w14:schemeClr w14:val="tx1"/>
            </w14:solidFill>
          </w14:textFill>
        </w:rPr>
      </w:pPr>
      <w:bookmarkStart w:id="100" w:name="_Toc21402"/>
      <w:bookmarkStart w:id="101" w:name="_Toc15396627"/>
      <w:r>
        <w:rPr>
          <w:rStyle w:val="28"/>
          <w:rFonts w:hint="eastAsia" w:ascii="仿宋_GB2312" w:hAnsi="仿宋_GB2312" w:eastAsia="仿宋_GB2312" w:cs="仿宋_GB2312"/>
          <w:b w:val="0"/>
          <w:bCs w:val="0"/>
          <w:color w:val="000000" w:themeColor="text1"/>
          <w14:textFill>
            <w14:solidFill>
              <w14:schemeClr w14:val="tx1"/>
            </w14:solidFill>
          </w14:textFill>
        </w:rPr>
        <w:t>九、</w:t>
      </w:r>
      <w:r>
        <w:rPr>
          <w:rFonts w:hint="eastAsia" w:ascii="仿宋_GB2312" w:hAnsi="仿宋_GB2312" w:eastAsia="仿宋_GB2312" w:cs="仿宋_GB2312"/>
          <w:b w:val="0"/>
          <w:color w:val="000000" w:themeColor="text1"/>
          <w14:textFill>
            <w14:solidFill>
              <w14:schemeClr w14:val="tx1"/>
            </w14:solidFill>
          </w14:textFill>
        </w:rPr>
        <w:t>一</w:t>
      </w:r>
      <w:r>
        <w:rPr>
          <w:rStyle w:val="28"/>
          <w:rFonts w:hint="eastAsia" w:ascii="仿宋_GB2312" w:hAnsi="仿宋_GB2312" w:eastAsia="仿宋_GB2312" w:cs="仿宋_GB2312"/>
          <w:b w:val="0"/>
          <w:bCs w:val="0"/>
          <w:color w:val="000000" w:themeColor="text1"/>
          <w14:textFill>
            <w14:solidFill>
              <w14:schemeClr w14:val="tx1"/>
            </w14:solidFill>
          </w14:textFill>
        </w:rPr>
        <w:t>般公共预算财政拨款项目支出决算表</w:t>
      </w:r>
      <w:bookmarkEnd w:id="100"/>
      <w:bookmarkEnd w:id="101"/>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color w:val="000000" w:themeColor="text1"/>
          <w14:textFill>
            <w14:solidFill>
              <w14:schemeClr w14:val="tx1"/>
            </w14:solidFill>
          </w14:textFill>
        </w:rPr>
      </w:pPr>
      <w:bookmarkStart w:id="102" w:name="_Toc15396628"/>
      <w:bookmarkStart w:id="103" w:name="_Toc20687"/>
      <w:r>
        <w:rPr>
          <w:rStyle w:val="28"/>
          <w:rFonts w:hint="eastAsia" w:ascii="仿宋_GB2312" w:hAnsi="仿宋_GB2312" w:eastAsia="仿宋_GB2312" w:cs="仿宋_GB2312"/>
          <w:b w:val="0"/>
          <w:bCs w:val="0"/>
          <w:color w:val="000000" w:themeColor="text1"/>
          <w14:textFill>
            <w14:solidFill>
              <w14:schemeClr w14:val="tx1"/>
            </w14:solidFill>
          </w14:textFill>
        </w:rPr>
        <w:t>十、</w:t>
      </w:r>
      <w:r>
        <w:rPr>
          <w:rFonts w:hint="eastAsia" w:ascii="仿宋_GB2312" w:hAnsi="仿宋_GB2312" w:eastAsia="仿宋_GB2312" w:cs="仿宋_GB2312"/>
          <w:b w:val="0"/>
          <w:color w:val="000000" w:themeColor="text1"/>
          <w14:textFill>
            <w14:solidFill>
              <w14:schemeClr w14:val="tx1"/>
            </w14:solidFill>
          </w14:textFill>
        </w:rPr>
        <w:t>一</w:t>
      </w:r>
      <w:r>
        <w:rPr>
          <w:rStyle w:val="28"/>
          <w:rFonts w:hint="eastAsia" w:ascii="仿宋_GB2312" w:hAnsi="仿宋_GB2312" w:eastAsia="仿宋_GB2312" w:cs="仿宋_GB2312"/>
          <w:b w:val="0"/>
          <w:bCs w:val="0"/>
          <w:color w:val="000000" w:themeColor="text1"/>
          <w14:textFill>
            <w14:solidFill>
              <w14:schemeClr w14:val="tx1"/>
            </w14:solidFill>
          </w14:textFill>
        </w:rPr>
        <w:t>般公共预算财政拨款“三公”经费支出决算表</w:t>
      </w:r>
      <w:bookmarkEnd w:id="102"/>
      <w:bookmarkEnd w:id="103"/>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color w:val="000000" w:themeColor="text1"/>
          <w14:textFill>
            <w14:solidFill>
              <w14:schemeClr w14:val="tx1"/>
            </w14:solidFill>
          </w14:textFill>
        </w:rPr>
      </w:pPr>
      <w:bookmarkStart w:id="104" w:name="_Toc23397"/>
      <w:bookmarkStart w:id="105" w:name="_Toc15396629"/>
      <w:r>
        <w:rPr>
          <w:rStyle w:val="28"/>
          <w:rFonts w:hint="eastAsia" w:ascii="仿宋_GB2312" w:hAnsi="仿宋_GB2312" w:eastAsia="仿宋_GB2312" w:cs="仿宋_GB2312"/>
          <w:b w:val="0"/>
          <w:bCs w:val="0"/>
          <w:color w:val="000000" w:themeColor="text1"/>
          <w14:textFill>
            <w14:solidFill>
              <w14:schemeClr w14:val="tx1"/>
            </w14:solidFill>
          </w14:textFill>
        </w:rPr>
        <w:t>十一、</w:t>
      </w:r>
      <w:r>
        <w:rPr>
          <w:rFonts w:hint="eastAsia" w:ascii="仿宋_GB2312" w:hAnsi="仿宋_GB2312" w:eastAsia="仿宋_GB2312" w:cs="仿宋_GB2312"/>
          <w:b w:val="0"/>
          <w:color w:val="000000" w:themeColor="text1"/>
          <w14:textFill>
            <w14:solidFill>
              <w14:schemeClr w14:val="tx1"/>
            </w14:solidFill>
          </w14:textFill>
        </w:rPr>
        <w:t>政</w:t>
      </w:r>
      <w:r>
        <w:rPr>
          <w:rStyle w:val="28"/>
          <w:rFonts w:hint="eastAsia" w:ascii="仿宋_GB2312" w:hAnsi="仿宋_GB2312" w:eastAsia="仿宋_GB2312" w:cs="仿宋_GB2312"/>
          <w:b w:val="0"/>
          <w:bCs w:val="0"/>
          <w:color w:val="000000" w:themeColor="text1"/>
          <w14:textFill>
            <w14:solidFill>
              <w14:schemeClr w14:val="tx1"/>
            </w14:solidFill>
          </w14:textFill>
        </w:rPr>
        <w:t>府性基金预算财政拨款收入支出决算表</w:t>
      </w:r>
      <w:bookmarkEnd w:id="104"/>
      <w:bookmarkEnd w:id="105"/>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color w:val="000000" w:themeColor="text1"/>
          <w14:textFill>
            <w14:solidFill>
              <w14:schemeClr w14:val="tx1"/>
            </w14:solidFill>
          </w14:textFill>
        </w:rPr>
      </w:pPr>
      <w:bookmarkStart w:id="106" w:name="_Toc15396630"/>
      <w:bookmarkStart w:id="107" w:name="_Toc22706"/>
      <w:r>
        <w:rPr>
          <w:rStyle w:val="28"/>
          <w:rFonts w:hint="eastAsia" w:ascii="仿宋_GB2312" w:hAnsi="仿宋_GB2312" w:eastAsia="仿宋_GB2312" w:cs="仿宋_GB2312"/>
          <w:b w:val="0"/>
          <w:bCs w:val="0"/>
          <w:color w:val="000000" w:themeColor="text1"/>
          <w14:textFill>
            <w14:solidFill>
              <w14:schemeClr w14:val="tx1"/>
            </w14:solidFill>
          </w14:textFill>
        </w:rPr>
        <w:t>十二、</w:t>
      </w:r>
      <w:r>
        <w:rPr>
          <w:rFonts w:hint="eastAsia" w:ascii="仿宋_GB2312" w:hAnsi="仿宋_GB2312" w:eastAsia="仿宋_GB2312" w:cs="仿宋_GB2312"/>
          <w:b w:val="0"/>
          <w:color w:val="000000" w:themeColor="text1"/>
          <w14:textFill>
            <w14:solidFill>
              <w14:schemeClr w14:val="tx1"/>
            </w14:solidFill>
          </w14:textFill>
        </w:rPr>
        <w:t>政</w:t>
      </w:r>
      <w:r>
        <w:rPr>
          <w:rStyle w:val="28"/>
          <w:rFonts w:hint="eastAsia" w:ascii="仿宋_GB2312" w:hAnsi="仿宋_GB2312" w:eastAsia="仿宋_GB2312" w:cs="仿宋_GB2312"/>
          <w:b w:val="0"/>
          <w:bCs w:val="0"/>
          <w:color w:val="000000" w:themeColor="text1"/>
          <w14:textFill>
            <w14:solidFill>
              <w14:schemeClr w14:val="tx1"/>
            </w14:solidFill>
          </w14:textFill>
        </w:rPr>
        <w:t>府性基金预算财政拨款“三公”经费支出决算表</w:t>
      </w:r>
      <w:bookmarkEnd w:id="106"/>
      <w:bookmarkEnd w:id="107"/>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仿宋_GB2312" w:hAnsi="仿宋_GB2312" w:eastAsia="仿宋_GB2312" w:cs="仿宋_GB2312"/>
          <w:color w:val="000000" w:themeColor="text1"/>
          <w14:textFill>
            <w14:solidFill>
              <w14:schemeClr w14:val="tx1"/>
            </w14:solidFill>
          </w14:textFill>
        </w:rPr>
      </w:pPr>
      <w:bookmarkStart w:id="108" w:name="_Toc15396631"/>
      <w:bookmarkStart w:id="109" w:name="_Toc24203"/>
      <w:r>
        <w:rPr>
          <w:rStyle w:val="28"/>
          <w:rFonts w:hint="eastAsia" w:ascii="仿宋_GB2312" w:hAnsi="仿宋_GB2312" w:eastAsia="仿宋_GB2312" w:cs="仿宋_GB2312"/>
          <w:b w:val="0"/>
          <w:bCs w:val="0"/>
          <w:color w:val="000000" w:themeColor="text1"/>
          <w14:textFill>
            <w14:solidFill>
              <w14:schemeClr w14:val="tx1"/>
            </w14:solidFill>
          </w14:textFill>
        </w:rPr>
        <w:t>十三、</w:t>
      </w:r>
      <w:r>
        <w:rPr>
          <w:rFonts w:hint="eastAsia" w:ascii="仿宋_GB2312" w:hAnsi="仿宋_GB2312" w:eastAsia="仿宋_GB2312" w:cs="仿宋_GB2312"/>
          <w:b w:val="0"/>
          <w:color w:val="000000" w:themeColor="text1"/>
          <w14:textFill>
            <w14:solidFill>
              <w14:schemeClr w14:val="tx1"/>
            </w14:solidFill>
          </w14:textFill>
        </w:rPr>
        <w:t>国</w:t>
      </w:r>
      <w:r>
        <w:rPr>
          <w:rStyle w:val="28"/>
          <w:rFonts w:hint="eastAsia" w:ascii="仿宋_GB2312" w:hAnsi="仿宋_GB2312" w:eastAsia="仿宋_GB2312" w:cs="仿宋_GB2312"/>
          <w:b w:val="0"/>
          <w:bCs w:val="0"/>
          <w:color w:val="000000" w:themeColor="text1"/>
          <w14:textFill>
            <w14:solidFill>
              <w14:schemeClr w14:val="tx1"/>
            </w14:solidFill>
          </w14:textFill>
        </w:rPr>
        <w:t>有资本经营预算支出决算表</w:t>
      </w:r>
      <w:bookmarkEnd w:id="108"/>
      <w:bookmarkEnd w:id="109"/>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23088E"/>
    <w:multiLevelType w:val="singleLevel"/>
    <w:tmpl w:val="A623088E"/>
    <w:lvl w:ilvl="0" w:tentative="0">
      <w:start w:val="3"/>
      <w:numFmt w:val="decimal"/>
      <w:lvlText w:val="%1."/>
      <w:lvlJc w:val="left"/>
      <w:pPr>
        <w:tabs>
          <w:tab w:val="left" w:pos="312"/>
        </w:tabs>
      </w:pPr>
    </w:lvl>
  </w:abstractNum>
  <w:abstractNum w:abstractNumId="1">
    <w:nsid w:val="BBFBAFAC"/>
    <w:multiLevelType w:val="singleLevel"/>
    <w:tmpl w:val="BBFBAFAC"/>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E62C5CC6"/>
    <w:multiLevelType w:val="singleLevel"/>
    <w:tmpl w:val="E62C5CC6"/>
    <w:lvl w:ilvl="0" w:tentative="0">
      <w:start w:val="2"/>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42B4C073"/>
    <w:multiLevelType w:val="singleLevel"/>
    <w:tmpl w:val="42B4C073"/>
    <w:lvl w:ilvl="0" w:tentative="0">
      <w:start w:val="3"/>
      <w:numFmt w:val="chineseCounting"/>
      <w:suff w:val="nothing"/>
      <w:lvlText w:val="（%1）"/>
      <w:lvlJc w:val="left"/>
      <w:rPr>
        <w:rFonts w:hint="eastAsia"/>
      </w:rPr>
    </w:lvl>
  </w:abstractNum>
  <w:abstractNum w:abstractNumId="7">
    <w:nsid w:val="6B25997A"/>
    <w:multiLevelType w:val="singleLevel"/>
    <w:tmpl w:val="6B25997A"/>
    <w:lvl w:ilvl="0" w:tentative="0">
      <w:start w:val="1"/>
      <w:numFmt w:val="chineseCounting"/>
      <w:suff w:val="nothing"/>
      <w:lvlText w:val="（%1）"/>
      <w:lvlJc w:val="left"/>
      <w:rPr>
        <w:rFonts w:hint="eastAsia"/>
      </w:rPr>
    </w:lvl>
  </w:abstractNum>
  <w:num w:numId="1">
    <w:abstractNumId w:val="5"/>
  </w:num>
  <w:num w:numId="2">
    <w:abstractNumId w:val="0"/>
  </w:num>
  <w:num w:numId="3">
    <w:abstractNumId w:val="2"/>
  </w:num>
  <w:num w:numId="4">
    <w:abstractNumId w:val="3"/>
  </w:num>
  <w:num w:numId="5">
    <w:abstractNumId w:val="6"/>
  </w:num>
  <w:num w:numId="6">
    <w:abstractNumId w:val="4"/>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kYmQ0OTdhYzk5OWVlZDc4MmNiYjUwMjgwMmQ1NT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159D"/>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A744E"/>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2C77FC2"/>
    <w:rsid w:val="066D08F2"/>
    <w:rsid w:val="06A648FE"/>
    <w:rsid w:val="0C1448DE"/>
    <w:rsid w:val="0CE5081B"/>
    <w:rsid w:val="0E883FE2"/>
    <w:rsid w:val="10C055FF"/>
    <w:rsid w:val="1276481D"/>
    <w:rsid w:val="16BB723D"/>
    <w:rsid w:val="1AE928CA"/>
    <w:rsid w:val="1B0567F7"/>
    <w:rsid w:val="1B2D318F"/>
    <w:rsid w:val="1B7F5FC4"/>
    <w:rsid w:val="1CFA7929"/>
    <w:rsid w:val="1FA60DFB"/>
    <w:rsid w:val="200C1AAC"/>
    <w:rsid w:val="22055ED0"/>
    <w:rsid w:val="240371BF"/>
    <w:rsid w:val="254124CB"/>
    <w:rsid w:val="29FD04D3"/>
    <w:rsid w:val="2A955020"/>
    <w:rsid w:val="2B3375C2"/>
    <w:rsid w:val="319F7F4E"/>
    <w:rsid w:val="380C7D34"/>
    <w:rsid w:val="41BA0E2C"/>
    <w:rsid w:val="449838A8"/>
    <w:rsid w:val="44D73D9D"/>
    <w:rsid w:val="489059DB"/>
    <w:rsid w:val="4B1931D8"/>
    <w:rsid w:val="4BFF2F92"/>
    <w:rsid w:val="4C0951C9"/>
    <w:rsid w:val="4C8B7595"/>
    <w:rsid w:val="4E035678"/>
    <w:rsid w:val="4ECE2238"/>
    <w:rsid w:val="5137037E"/>
    <w:rsid w:val="53DC43FE"/>
    <w:rsid w:val="53E23EEB"/>
    <w:rsid w:val="54366E38"/>
    <w:rsid w:val="554004EB"/>
    <w:rsid w:val="570367CF"/>
    <w:rsid w:val="57A70DE1"/>
    <w:rsid w:val="627F6B21"/>
    <w:rsid w:val="640B1E46"/>
    <w:rsid w:val="65896ED3"/>
    <w:rsid w:val="6A4B364B"/>
    <w:rsid w:val="6BBB76FB"/>
    <w:rsid w:val="6E85572B"/>
    <w:rsid w:val="6F055F16"/>
    <w:rsid w:val="72734D90"/>
    <w:rsid w:val="72D26AA6"/>
    <w:rsid w:val="736A5596"/>
    <w:rsid w:val="76471EEA"/>
    <w:rsid w:val="7E9A6A7F"/>
    <w:rsid w:val="7FA3605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6">
    <w:name w:val="Body Text"/>
    <w:basedOn w:val="1"/>
    <w:link w:val="24"/>
    <w:qFormat/>
    <w:uiPriority w:val="99"/>
    <w:pPr>
      <w:spacing w:beforeLines="30"/>
    </w:pPr>
    <w:rPr>
      <w:rFonts w:ascii="仿宋_GB2312" w:eastAsia="仿宋_GB2312"/>
      <w:kern w:val="0"/>
      <w:sz w:val="30"/>
    </w:rPr>
  </w:style>
  <w:style w:type="paragraph" w:styleId="7">
    <w:name w:val="Body Text Indent"/>
    <w:basedOn w:val="1"/>
    <w:unhideWhenUsed/>
    <w:qFormat/>
    <w:uiPriority w:val="99"/>
    <w:pPr>
      <w:spacing w:after="120"/>
      <w:ind w:left="420" w:leftChars="200"/>
    </w:pPr>
    <w:rPr>
      <w:szCs w:val="2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unhideWhenUsed/>
    <w:qFormat/>
    <w:uiPriority w:val="99"/>
    <w:rPr>
      <w:sz w:val="18"/>
      <w:szCs w:val="18"/>
    </w:rPr>
  </w:style>
  <w:style w:type="paragraph" w:styleId="10">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4">
    <w:name w:val="Body Text First Indent 2"/>
    <w:basedOn w:val="7"/>
    <w:unhideWhenUsed/>
    <w:qFormat/>
    <w:uiPriority w:val="99"/>
    <w:pPr>
      <w:ind w:firstLine="420" w:firstLine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字符"/>
    <w:link w:val="10"/>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字符"/>
    <w:link w:val="2"/>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字符"/>
    <w:link w:val="6"/>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6">
    <w:name w:val="List Paragraph"/>
    <w:basedOn w:val="1"/>
    <w:qFormat/>
    <w:uiPriority w:val="34"/>
    <w:pPr>
      <w:ind w:firstLine="420" w:firstLineChars="200"/>
    </w:pPr>
  </w:style>
  <w:style w:type="character" w:customStyle="1" w:styleId="27">
    <w:name w:val="标题 1 字符"/>
    <w:basedOn w:val="16"/>
    <w:link w:val="3"/>
    <w:qFormat/>
    <w:uiPriority w:val="9"/>
    <w:rPr>
      <w:rFonts w:ascii="Times New Roman" w:hAnsi="Times New Roman"/>
      <w:b/>
      <w:bCs/>
      <w:kern w:val="44"/>
      <w:sz w:val="44"/>
      <w:szCs w:val="44"/>
    </w:rPr>
  </w:style>
  <w:style w:type="character" w:customStyle="1" w:styleId="28">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2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字符"/>
    <w:basedOn w:val="16"/>
    <w:link w:val="9"/>
    <w:semiHidden/>
    <w:qFormat/>
    <w:uiPriority w:val="99"/>
    <w:rPr>
      <w:rFonts w:ascii="Times New Roman" w:hAnsi="Times New Roman"/>
      <w:kern w:val="2"/>
      <w:sz w:val="18"/>
      <w:szCs w:val="18"/>
    </w:rPr>
  </w:style>
  <w:style w:type="character" w:customStyle="1" w:styleId="31">
    <w:name w:val="标题 3 字符"/>
    <w:basedOn w:val="16"/>
    <w:link w:val="5"/>
    <w:qFormat/>
    <w:uiPriority w:val="9"/>
    <w:rPr>
      <w:rFonts w:ascii="Times New Roman" w:hAnsi="Times New Roman"/>
      <w:b/>
      <w:bCs/>
      <w:kern w:val="2"/>
      <w:sz w:val="32"/>
      <w:szCs w:val="32"/>
    </w:rPr>
  </w:style>
  <w:style w:type="paragraph" w:customStyle="1" w:styleId="32">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3">
    <w:name w:val="WPSOffice手动目录 1"/>
    <w:qFormat/>
    <w:uiPriority w:val="0"/>
    <w:pPr>
      <w:ind w:leftChars="0"/>
    </w:pPr>
    <w:rPr>
      <w:rFonts w:ascii="Times New Roman" w:hAnsi="Times New Roman" w:eastAsia="宋体" w:cs="Times New Roman"/>
      <w:sz w:val="20"/>
      <w:szCs w:val="20"/>
    </w:rPr>
  </w:style>
  <w:style w:type="paragraph" w:customStyle="1" w:styleId="34">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2019</a:t>
            </a:r>
            <a:r>
              <a:rPr altLang="zh-CN"/>
              <a:t>年收支变动情况图（万元）</a:t>
            </a:r>
            <a:endParaRPr altLang="zh-CN"/>
          </a:p>
        </c:rich>
      </c:tx>
      <c:layout>
        <c:manualLayout>
          <c:xMode val="edge"/>
          <c:yMode val="edge"/>
          <c:x val="0.388965517241379"/>
          <c:y val="0.043301069791136"/>
        </c:manualLayout>
      </c:layout>
      <c:overlay val="0"/>
      <c:spPr>
        <a:noFill/>
        <a:ln>
          <a:noFill/>
        </a:ln>
        <a:effectLst/>
      </c:spPr>
    </c:title>
    <c:autoTitleDeleted val="0"/>
    <c:plotArea>
      <c:layout>
        <c:manualLayout>
          <c:layoutTarget val="inner"/>
          <c:xMode val="edge"/>
          <c:yMode val="edge"/>
          <c:x val="0.0647662835249042"/>
          <c:y val="0.230555085753099"/>
          <c:w val="0.927925"/>
          <c:h val="0.716566666666667"/>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Sheet1!#REF!</c:f>
              <c:numCache>
                <c:ptCount val="0"/>
              </c:numCache>
            </c:numRef>
          </c:cat>
          <c:val>
            <c:numRef>
              <c:f>Sheet1!$B$2</c:f>
              <c:numCache>
                <c:formatCode>General</c:formatCode>
                <c:ptCount val="1"/>
                <c:pt idx="0">
                  <c:v>870.61</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Sheet1!#REF!</c:f>
              <c:numCache>
                <c:ptCount val="0"/>
              </c:numCache>
            </c:numRef>
          </c:cat>
          <c:val>
            <c:numRef>
              <c:f>Sheet1!$C$2</c:f>
              <c:numCache>
                <c:formatCode>General</c:formatCode>
                <c:ptCount val="1"/>
                <c:pt idx="0">
                  <c:v>967.24</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Sheet1!#REF!</c:f>
              <c:numCache>
                <c:ptCount val="0"/>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968769396"/>
        <c:axId val="842422400"/>
      </c:barChart>
      <c:catAx>
        <c:axId val="9687693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2422400"/>
        <c:crosses val="autoZero"/>
        <c:auto val="1"/>
        <c:lblAlgn val="ctr"/>
        <c:lblOffset val="100"/>
        <c:noMultiLvlLbl val="0"/>
      </c:catAx>
      <c:valAx>
        <c:axId val="842422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8769396"/>
        <c:crosses val="autoZero"/>
        <c:crossBetween val="between"/>
      </c:valAx>
      <c:spPr>
        <a:noFill/>
        <a:ln>
          <a:noFill/>
        </a:ln>
        <a:effectLst/>
      </c:spPr>
    </c:plotArea>
    <c:legend>
      <c:legendPos val="b"/>
      <c:legendEntry>
        <c:idx val="2"/>
        <c:delete val="1"/>
      </c:legendEntry>
      <c:layout>
        <c:manualLayout>
          <c:xMode val="edge"/>
          <c:yMode val="edge"/>
          <c:x val="0.12727969348659"/>
          <c:y val="0.04355578196637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收入决算结构图（万元）</a:t>
            </a:r>
          </a:p>
        </c:rich>
      </c:tx>
      <c:layout>
        <c:manualLayout>
          <c:xMode val="edge"/>
          <c:yMode val="edge"/>
          <c:x val="0.441337695046205"/>
          <c:y val="0.0489381611065907"/>
        </c:manualLayout>
      </c:layout>
      <c:overlay val="0"/>
      <c:spPr>
        <a:noFill/>
        <a:ln>
          <a:noFill/>
        </a:ln>
        <a:effectLst/>
      </c:spPr>
    </c:title>
    <c:autoTitleDeleted val="0"/>
    <c:plotArea>
      <c:layout/>
      <c:pieChart>
        <c:varyColors val="1"/>
        <c:ser>
          <c:idx val="0"/>
          <c:order val="0"/>
          <c:tx>
            <c:strRef>
              <c:f>Sheet1!$B$1</c:f>
              <c:strCache>
                <c:ptCount val="1"/>
                <c:pt idx="0">
                  <c:v>收入</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c15:sqref>
                  </c15:fullRef>
                </c:ext>
              </c:extLst>
              <c:f>Sheet1!$A$2</c:f>
              <c:strCache>
                <c:ptCount val="1"/>
                <c:pt idx="0">
                  <c:v>一般公共预算财政拨款收入</c:v>
                </c:pt>
              </c:strCache>
            </c:strRef>
          </c:cat>
          <c:val>
            <c:numRef>
              <c:extLst>
                <c:ext xmlns:c15="http://schemas.microsoft.com/office/drawing/2012/chart" uri="{02D57815-91ED-43cb-92C2-25804820EDAC}">
                  <c15:fullRef>
                    <c15:sqref>Sheet1!$B$2</c15:sqref>
                  </c15:fullRef>
                </c:ext>
              </c:extLst>
              <c:f>Sheet1!$B$2</c:f>
              <c:numCache>
                <c:formatCode>General</c:formatCode>
                <c:ptCount val="1"/>
                <c:pt idx="0">
                  <c:v>870.61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支出决算结构图（万元）</a:t>
            </a:r>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634.24</c:v>
                </c:pt>
                <c:pt idx="1">
                  <c:v>333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2018</a:t>
            </a:r>
            <a:r>
              <a:rPr altLang="en-US"/>
              <a:t>、</a:t>
            </a:r>
            <a:r>
              <a:rPr lang="en-US" altLang="zh-CN"/>
              <a:t>2019</a:t>
            </a:r>
            <a:r>
              <a:rPr altLang="zh-CN"/>
              <a:t>年度财政拨款收、支决算总计变动情况表</a:t>
            </a:r>
            <a:endParaRPr altLang="zh-CN"/>
          </a:p>
        </c:rich>
      </c:tx>
      <c:layout/>
      <c:overlay val="0"/>
      <c:spPr>
        <a:noFill/>
        <a:ln>
          <a:noFill/>
        </a:ln>
        <a:effectLst/>
      </c:spPr>
    </c:title>
    <c:autoTitleDeleted val="0"/>
    <c:plotArea>
      <c:layout>
        <c:manualLayout>
          <c:layoutTarget val="inner"/>
          <c:xMode val="edge"/>
          <c:yMode val="edge"/>
          <c:x val="0.119931914893617"/>
          <c:y val="0.282071926999463"/>
          <c:w val="0.855387234042553"/>
          <c:h val="0.466290928609769"/>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Sheet1!$B$2:$B$3</c:f>
              <c:numCache>
                <c:formatCode>General</c:formatCode>
                <c:ptCount val="2"/>
                <c:pt idx="0">
                  <c:v>628.98</c:v>
                </c:pt>
                <c:pt idx="1">
                  <c:v>870.61</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2018年</c:v>
                </c:pt>
                <c:pt idx="1">
                  <c:v>2019年</c:v>
                </c:pt>
              </c:strCache>
            </c:strRef>
          </c:cat>
          <c:val>
            <c:numRef>
              <c:f>Sheet1!#REF!</c:f>
              <c:numCache>
                <c:formatCode>General</c:formatCode>
                <c:ptCount val="1"/>
                <c:pt idx="0">
                  <c:v>1</c:v>
                </c:pt>
              </c:numCache>
            </c:numRef>
          </c:val>
        </c:ser>
        <c:ser>
          <c:idx val="2"/>
          <c:order val="2"/>
          <c:tx>
            <c:strRef>
              <c:f>Sheet1!$C$1</c:f>
              <c:strCache>
                <c:ptCount val="1"/>
                <c:pt idx="0">
                  <c:v>支出</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Sheet1!$C$2:$C$3</c:f>
              <c:numCache>
                <c:formatCode>General</c:formatCode>
                <c:ptCount val="2"/>
                <c:pt idx="0">
                  <c:v>1308.19</c:v>
                </c:pt>
                <c:pt idx="1">
                  <c:v>967.24</c:v>
                </c:pt>
              </c:numCache>
            </c:numRef>
          </c:val>
        </c:ser>
        <c:dLbls>
          <c:showLegendKey val="0"/>
          <c:showVal val="0"/>
          <c:showCatName val="0"/>
          <c:showSerName val="0"/>
          <c:showPercent val="0"/>
          <c:showBubbleSize val="0"/>
        </c:dLbls>
        <c:gapWidth val="219"/>
        <c:overlap val="-27"/>
        <c:axId val="812231112"/>
        <c:axId val="567768063"/>
      </c:barChart>
      <c:catAx>
        <c:axId val="81223111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7768063"/>
        <c:crosses val="autoZero"/>
        <c:auto val="1"/>
        <c:lblAlgn val="ctr"/>
        <c:lblOffset val="100"/>
        <c:noMultiLvlLbl val="0"/>
      </c:catAx>
      <c:valAx>
        <c:axId val="567768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2231112"/>
        <c:crosses val="autoZero"/>
        <c:crossBetween val="between"/>
      </c:valAx>
      <c:spPr>
        <a:noFill/>
        <a:ln>
          <a:noFill/>
        </a:ln>
        <a:effectLst/>
      </c:spPr>
    </c:plotArea>
    <c:legend>
      <c:legendPos val="b"/>
      <c:legendEntry>
        <c:idx val="1"/>
        <c:delete val="1"/>
      </c:legendEntry>
      <c:layout>
        <c:manualLayout>
          <c:xMode val="edge"/>
          <c:yMode val="edge"/>
          <c:x val="0.345875"/>
          <c:y val="0.9391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一般公共预算财政拨款支出决算变动情况表</a:t>
            </a:r>
            <a:endParaRPr altLang="en-US"/>
          </a:p>
        </c:rich>
      </c:tx>
      <c:layout/>
      <c:overlay val="0"/>
      <c:spPr>
        <a:noFill/>
        <a:ln>
          <a:noFill/>
        </a:ln>
        <a:effectLst/>
      </c:spPr>
    </c:title>
    <c:autoTitleDeleted val="0"/>
    <c:plotArea>
      <c:layout>
        <c:manualLayout>
          <c:layoutTarget val="inner"/>
          <c:xMode val="edge"/>
          <c:yMode val="edge"/>
          <c:x val="0.119931914893617"/>
          <c:y val="0.282071926999463"/>
          <c:w val="0.855387234042553"/>
          <c:h val="0.466290928609769"/>
        </c:manualLayout>
      </c:layout>
      <c:barChart>
        <c:barDir val="col"/>
        <c:grouping val="clustered"/>
        <c:varyColors val="0"/>
        <c:ser>
          <c:idx val="0"/>
          <c:order val="0"/>
          <c:tx>
            <c:strRef>
              <c:f>Sheet1!$B$1</c:f>
              <c:strCache>
                <c:ptCount val="1"/>
                <c:pt idx="0">
                  <c:v>支出</c:v>
                </c:pt>
              </c:strCache>
            </c:strRef>
          </c:tx>
          <c:spPr>
            <a:solidFill>
              <a:srgbClr val="92D050"/>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Sheet1!$B$2:$B$3</c:f>
              <c:numCache>
                <c:formatCode>General</c:formatCode>
                <c:ptCount val="2"/>
                <c:pt idx="0">
                  <c:v>1308.19</c:v>
                </c:pt>
                <c:pt idx="1">
                  <c:v>967.24</c:v>
                </c:pt>
              </c:numCache>
            </c:numRef>
          </c:val>
        </c:ser>
        <c:dLbls>
          <c:showLegendKey val="0"/>
          <c:showVal val="1"/>
          <c:showCatName val="0"/>
          <c:showSerName val="0"/>
          <c:showPercent val="0"/>
          <c:showBubbleSize val="0"/>
        </c:dLbls>
        <c:gapWidth val="219"/>
        <c:overlap val="-27"/>
        <c:axId val="812231112"/>
        <c:axId val="567768063"/>
      </c:barChart>
      <c:catAx>
        <c:axId val="81223111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7768063"/>
        <c:crosses val="autoZero"/>
        <c:auto val="1"/>
        <c:lblAlgn val="ctr"/>
        <c:lblOffset val="100"/>
        <c:noMultiLvlLbl val="0"/>
      </c:catAx>
      <c:valAx>
        <c:axId val="567768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2231112"/>
        <c:crosses val="autoZero"/>
        <c:crossBetween val="between"/>
      </c:valAx>
      <c:spPr>
        <a:noFill/>
        <a:ln>
          <a:noFill/>
        </a:ln>
        <a:effectLst/>
      </c:spPr>
    </c:plotArea>
    <c:legend>
      <c:legendPos val="b"/>
      <c:layout>
        <c:manualLayout>
          <c:xMode val="edge"/>
          <c:yMode val="edge"/>
          <c:x val="0.345875"/>
          <c:y val="0.9391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一般公共预算财政拨款支出决算结构图</a:t>
            </a:r>
          </a:p>
        </c:rich>
      </c:tx>
      <c:layout>
        <c:manualLayout>
          <c:xMode val="edge"/>
          <c:yMode val="edge"/>
          <c:x val="0.143165946125707"/>
          <c:y val="0.0362409397650587"/>
        </c:manualLayout>
      </c:layout>
      <c:overlay val="0"/>
      <c:spPr>
        <a:noFill/>
        <a:ln>
          <a:noFill/>
        </a:ln>
        <a:effectLst/>
      </c:spPr>
    </c:title>
    <c:autoTitleDeleted val="0"/>
    <c:plotArea>
      <c:layout>
        <c:manualLayout>
          <c:layoutTarget val="inner"/>
          <c:xMode val="edge"/>
          <c:yMode val="edge"/>
          <c:x val="0.1909375"/>
          <c:y val="0.234166666666667"/>
          <c:w val="0.570625"/>
          <c:h val="0.760833333333333"/>
        </c:manualLayout>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一般公共服务</c:v>
                </c:pt>
                <c:pt idx="1">
                  <c:v>农林水</c:v>
                </c:pt>
                <c:pt idx="2">
                  <c:v>文化旅游体育与传媒</c:v>
                </c:pt>
                <c:pt idx="3">
                  <c:v>社会保障和就业</c:v>
                </c:pt>
                <c:pt idx="4">
                  <c:v>卫生健康</c:v>
                </c:pt>
                <c:pt idx="5">
                  <c:v>住房保障</c:v>
                </c:pt>
                <c:pt idx="6">
                  <c:v>城乡社区</c:v>
                </c:pt>
                <c:pt idx="7">
                  <c:v>节能环保</c:v>
                </c:pt>
                <c:pt idx="8">
                  <c:v>其他</c:v>
                </c:pt>
              </c:strCache>
            </c:strRef>
          </c:cat>
          <c:val>
            <c:numRef>
              <c:f>Sheet1!$B$2:$B$10</c:f>
              <c:numCache>
                <c:formatCode>General</c:formatCode>
                <c:ptCount val="9"/>
                <c:pt idx="0">
                  <c:v>499.07</c:v>
                </c:pt>
                <c:pt idx="1">
                  <c:v>135.89</c:v>
                </c:pt>
                <c:pt idx="2">
                  <c:v>23.49</c:v>
                </c:pt>
                <c:pt idx="3">
                  <c:v>192.69</c:v>
                </c:pt>
                <c:pt idx="4">
                  <c:v>30.91</c:v>
                </c:pt>
                <c:pt idx="5">
                  <c:v>60.14</c:v>
                </c:pt>
                <c:pt idx="6">
                  <c:v>12.96</c:v>
                </c:pt>
                <c:pt idx="7">
                  <c:v>11.11</c:v>
                </c:pt>
                <c:pt idx="8">
                  <c:v>0.99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三公经费财政拨款</a:t>
            </a:r>
            <a:r>
              <a:rPr lang="en-US" altLang="zh-CN"/>
              <a:t>”</a:t>
            </a:r>
            <a:r>
              <a:t>支出结构图</a:t>
            </a:r>
          </a:p>
        </c:rich>
      </c:tx>
      <c:layout>
        <c:manualLayout>
          <c:xMode val="edge"/>
          <c:yMode val="edge"/>
          <c:x val="0.05338904363974"/>
          <c:y val="0.02375"/>
        </c:manualLayout>
      </c:layout>
      <c:overlay val="0"/>
      <c:spPr>
        <a:noFill/>
        <a:ln>
          <a:noFill/>
        </a:ln>
        <a:effectLst/>
      </c:sp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公务用车购置及运行维护费</c:v>
                </c:pt>
                <c:pt idx="1">
                  <c:v>公务接待费</c:v>
                </c:pt>
              </c:strCache>
            </c:strRef>
          </c:cat>
          <c:val>
            <c:numRef>
              <c:f>Sheet1!$B$2:$B$3</c:f>
              <c:numCache>
                <c:formatCode>General</c:formatCode>
                <c:ptCount val="2"/>
                <c:pt idx="0">
                  <c:v>12.6</c:v>
                </c:pt>
                <c:pt idx="1">
                  <c:v>0.2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653125"/>
          <c:y val="0.939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16</TotalTime>
  <ScaleCrop>false</ScaleCrop>
  <LinksUpToDate>false</LinksUpToDate>
  <CharactersWithSpaces>8587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cp:lastModifiedBy>
  <cp:lastPrinted>2020-10-15T08:09:00Z</cp:lastPrinted>
  <dcterms:modified xsi:type="dcterms:W3CDTF">2023-07-21T03:01:05Z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037FDA6A4B12486EB5100C71C9C01358_13</vt:lpwstr>
  </property>
</Properties>
</file>