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77193"/>
      <w:bookmarkStart w:id="4" w:name="_Toc15396597"/>
      <w:bookmarkStart w:id="5" w:name="_Toc7544"/>
      <w:bookmarkStart w:id="6"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30474"/>
      <w:bookmarkStart w:id="8" w:name="_Toc15396598"/>
      <w:bookmarkStart w:id="9" w:name="_Toc15378442"/>
      <w:bookmarkStart w:id="10" w:name="_Toc15396476"/>
      <w:bookmarkStart w:id="11" w:name="_Toc15377426"/>
      <w:bookmarkStart w:id="12"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eastAsia="zh-CN"/>
        </w:rPr>
        <w:t>江茸乡人民政府</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4"/>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sdt>
      <w:sdtPr>
        <w:rPr>
          <w:rFonts w:ascii="宋体" w:hAnsi="宋体" w:eastAsia="宋体" w:cs="Times New Roman"/>
          <w:kern w:val="2"/>
          <w:sz w:val="21"/>
          <w:szCs w:val="24"/>
          <w:lang w:val="en-US" w:eastAsia="zh-CN" w:bidi="ar-SA"/>
        </w:rPr>
        <w:id w:val="147460265"/>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pPr>
            <w:pStyle w:val="11"/>
            <w:tabs>
              <w:tab w:val="right" w:leader="dot" w:pos="8306"/>
              <w:tab w:val="clear" w:pos="8296"/>
            </w:tabs>
          </w:pPr>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_Toc7544 </w:instrText>
          </w:r>
          <w:r>
            <w:rPr>
              <w:rFonts w:hint="eastAsia"/>
              <w:lang w:val="en-US" w:eastAsia="zh-CN"/>
            </w:rPr>
            <w:fldChar w:fldCharType="separate"/>
          </w:r>
          <w:r>
            <w:rPr>
              <w:rFonts w:ascii="黑体" w:hAnsi="黑体" w:eastAsia="黑体"/>
              <w:szCs w:val="72"/>
            </w:rPr>
            <w:t>201</w:t>
          </w:r>
          <w:r>
            <w:rPr>
              <w:rFonts w:hint="eastAsia" w:ascii="黑体" w:hAnsi="黑体" w:eastAsia="黑体"/>
              <w:szCs w:val="72"/>
            </w:rPr>
            <w:t>9</w:t>
          </w:r>
          <w:r>
            <w:rPr>
              <w:rFonts w:hint="eastAsia" w:ascii="方正小标宋简体" w:hAnsi="宋体" w:eastAsia="方正小标宋简体"/>
              <w:szCs w:val="72"/>
            </w:rPr>
            <w:t>年度</w:t>
          </w:r>
          <w:r>
            <w:tab/>
          </w:r>
          <w:r>
            <w:fldChar w:fldCharType="begin"/>
          </w:r>
          <w:r>
            <w:instrText xml:space="preserve"> PAGEREF _Toc7544 </w:instrText>
          </w:r>
          <w:r>
            <w:fldChar w:fldCharType="separate"/>
          </w:r>
          <w:r>
            <w:t>1</w:t>
          </w:r>
          <w:r>
            <w:fldChar w:fldCharType="end"/>
          </w:r>
          <w:r>
            <w:rPr>
              <w:rFonts w:hint="eastAsia"/>
              <w:lang w:val="en-US" w:eastAsia="zh-CN"/>
            </w:rPr>
            <w:fldChar w:fldCharType="end"/>
          </w:r>
        </w:p>
        <w:p>
          <w:pPr>
            <w:pStyle w:val="11"/>
            <w:tabs>
              <w:tab w:val="right" w:leader="dot" w:pos="8306"/>
              <w:tab w:val="clear" w:pos="8296"/>
            </w:tabs>
          </w:pPr>
          <w:r>
            <w:rPr>
              <w:rFonts w:hint="eastAsia"/>
              <w:lang w:val="en-US" w:eastAsia="zh-CN"/>
            </w:rPr>
            <w:fldChar w:fldCharType="begin"/>
          </w:r>
          <w:r>
            <w:rPr>
              <w:rFonts w:hint="eastAsia"/>
              <w:lang w:val="en-US" w:eastAsia="zh-CN"/>
            </w:rPr>
            <w:instrText xml:space="preserve"> HYPERLINK \l _Toc30474 </w:instrText>
          </w:r>
          <w:r>
            <w:rPr>
              <w:rFonts w:hint="eastAsia"/>
              <w:lang w:val="en-US" w:eastAsia="zh-CN"/>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红原县江茸乡人民政府</w:t>
          </w:r>
          <w:r>
            <w:rPr>
              <w:rFonts w:hint="eastAsia" w:ascii="方正小标宋简体" w:hAnsi="宋体" w:eastAsia="方正小标宋简体"/>
              <w:szCs w:val="72"/>
            </w:rPr>
            <w:t>部门决算</w:t>
          </w:r>
          <w:r>
            <w:tab/>
          </w:r>
          <w:r>
            <w:fldChar w:fldCharType="begin"/>
          </w:r>
          <w:r>
            <w:instrText xml:space="preserve"> PAGEREF _Toc30474 </w:instrText>
          </w:r>
          <w:r>
            <w:fldChar w:fldCharType="separate"/>
          </w:r>
          <w:r>
            <w:t>1</w:t>
          </w:r>
          <w:r>
            <w:fldChar w:fldCharType="end"/>
          </w:r>
          <w:r>
            <w:rPr>
              <w:rFonts w:hint="eastAsia"/>
              <w:lang w:val="en-US" w:eastAsia="zh-CN"/>
            </w:rPr>
            <w:fldChar w:fldCharType="end"/>
          </w:r>
        </w:p>
        <w:p>
          <w:pPr>
            <w:pStyle w:val="11"/>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_Toc24293 </w:instrText>
          </w:r>
          <w:r>
            <w:rPr>
              <w:rFonts w:hint="eastAsia"/>
              <w:lang w:val="en-US" w:eastAsia="zh-CN"/>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_Toc24293 </w:instrText>
          </w:r>
          <w:r>
            <w:fldChar w:fldCharType="separate"/>
          </w:r>
          <w:r>
            <w:t>4</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_Toc9870 </w:instrText>
          </w:r>
          <w:r>
            <w:rPr>
              <w:rFonts w:hint="eastAsia"/>
              <w:lang w:val="en-US" w:eastAsia="zh-CN"/>
            </w:rP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_Toc9870 </w:instrText>
          </w:r>
          <w:r>
            <w:fldChar w:fldCharType="separate"/>
          </w:r>
          <w:r>
            <w:t>4</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_Toc16213 </w:instrText>
          </w:r>
          <w:r>
            <w:rPr>
              <w:rFonts w:hint="eastAsia"/>
              <w:lang w:val="en-US" w:eastAsia="zh-CN"/>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_Toc16213 </w:instrText>
          </w:r>
          <w:r>
            <w:fldChar w:fldCharType="separate"/>
          </w:r>
          <w:r>
            <w:t>7</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_Toc8123 </w:instrText>
          </w:r>
          <w:r>
            <w:rPr>
              <w:rFonts w:hint="eastAsia"/>
              <w:lang w:val="en-US" w:eastAsia="zh-CN"/>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_Toc8123 </w:instrText>
          </w:r>
          <w:r>
            <w:fldChar w:fldCharType="separate"/>
          </w:r>
          <w:r>
            <w:t>7</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_Toc24364 </w:instrText>
          </w:r>
          <w:r>
            <w:rPr>
              <w:rFonts w:hint="eastAsia"/>
              <w:lang w:val="en-US" w:eastAsia="zh-CN"/>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_Toc24364 </w:instrText>
          </w:r>
          <w:r>
            <w:fldChar w:fldCharType="separate"/>
          </w:r>
          <w:r>
            <w:t>8</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_Toc1011 </w:instrText>
          </w:r>
          <w:r>
            <w:rPr>
              <w:rFonts w:hint="eastAsia"/>
              <w:lang w:val="en-US" w:eastAsia="zh-CN"/>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_Toc1011 </w:instrText>
          </w:r>
          <w:r>
            <w:fldChar w:fldCharType="separate"/>
          </w:r>
          <w:r>
            <w:t>9</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_Toc14660 </w:instrText>
          </w:r>
          <w:r>
            <w:rPr>
              <w:rFonts w:hint="eastAsia"/>
              <w:lang w:val="en-US" w:eastAsia="zh-CN"/>
            </w:rPr>
            <w:fldChar w:fldCharType="separate"/>
          </w:r>
          <w:r>
            <w:rPr>
              <w:rFonts w:hint="default" w:ascii="黑体" w:hAnsi="黑体" w:eastAsia="黑体"/>
            </w:rPr>
            <w:t xml:space="preserve">四、 </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_Toc14660 </w:instrText>
          </w:r>
          <w:r>
            <w:fldChar w:fldCharType="separate"/>
          </w:r>
          <w:r>
            <w:t>10</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_Toc12527 </w:instrText>
          </w:r>
          <w:r>
            <w:rPr>
              <w:rFonts w:hint="eastAsia"/>
              <w:lang w:val="en-US" w:eastAsia="zh-CN"/>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_Toc12527 </w:instrText>
          </w:r>
          <w:r>
            <w:fldChar w:fldCharType="separate"/>
          </w:r>
          <w:r>
            <w:t>11</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_Toc7273 </w:instrText>
          </w:r>
          <w:r>
            <w:rPr>
              <w:rFonts w:hint="eastAsia"/>
              <w:lang w:val="en-US" w:eastAsia="zh-CN"/>
            </w:rPr>
            <w:fldChar w:fldCharType="separate"/>
          </w:r>
          <w:r>
            <w:rPr>
              <w:rFonts w:hint="eastAsia" w:ascii="仿宋" w:hAnsi="仿宋" w:eastAsia="仿宋"/>
              <w:szCs w:val="32"/>
            </w:rPr>
            <w:t>（一）一般公共预算财政拨款支出决算总体情况</w:t>
          </w:r>
          <w:r>
            <w:tab/>
          </w:r>
          <w:r>
            <w:fldChar w:fldCharType="begin"/>
          </w:r>
          <w:r>
            <w:instrText xml:space="preserve"> PAGEREF _Toc7273 </w:instrText>
          </w:r>
          <w:r>
            <w:fldChar w:fldCharType="separate"/>
          </w:r>
          <w:r>
            <w:t>11</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_Toc13112 </w:instrText>
          </w:r>
          <w:r>
            <w:rPr>
              <w:rFonts w:hint="eastAsia"/>
              <w:lang w:val="en-US" w:eastAsia="zh-CN"/>
            </w:rPr>
            <w:fldChar w:fldCharType="separate"/>
          </w:r>
          <w:r>
            <w:rPr>
              <w:rFonts w:hint="eastAsia" w:ascii="仿宋" w:hAnsi="仿宋" w:eastAsia="仿宋"/>
              <w:szCs w:val="32"/>
            </w:rPr>
            <w:t>（二）一般公共预算财政拨款支出决算结构情况</w:t>
          </w:r>
          <w:r>
            <w:tab/>
          </w:r>
          <w:r>
            <w:fldChar w:fldCharType="begin"/>
          </w:r>
          <w:r>
            <w:instrText xml:space="preserve"> PAGEREF _Toc13112 </w:instrText>
          </w:r>
          <w:r>
            <w:fldChar w:fldCharType="separate"/>
          </w:r>
          <w:r>
            <w:t>11</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_Toc12554 </w:instrText>
          </w:r>
          <w:r>
            <w:rPr>
              <w:rFonts w:hint="eastAsia"/>
              <w:lang w:val="en-US" w:eastAsia="zh-CN"/>
            </w:rPr>
            <w:fldChar w:fldCharType="separate"/>
          </w:r>
          <w:r>
            <w:rPr>
              <w:rFonts w:hint="eastAsia" w:ascii="仿宋" w:hAnsi="仿宋" w:eastAsia="仿宋"/>
              <w:szCs w:val="32"/>
            </w:rPr>
            <w:t>（三）一般公共预算财政拨款支出决算具体情况</w:t>
          </w:r>
          <w:r>
            <w:tab/>
          </w:r>
          <w:r>
            <w:fldChar w:fldCharType="begin"/>
          </w:r>
          <w:r>
            <w:instrText xml:space="preserve"> PAGEREF _Toc12554 </w:instrText>
          </w:r>
          <w:r>
            <w:fldChar w:fldCharType="separate"/>
          </w:r>
          <w:r>
            <w:t>12</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_Toc18179 </w:instrText>
          </w:r>
          <w:r>
            <w:rPr>
              <w:rFonts w:hint="eastAsia"/>
              <w:lang w:val="en-US" w:eastAsia="zh-CN"/>
            </w:rPr>
            <w:fldChar w:fldCharType="separate"/>
          </w:r>
          <w:r>
            <w:rPr>
              <w:rFonts w:hint="eastAsia" w:ascii="仿宋" w:hAnsi="仿宋" w:eastAsia="仿宋" w:cs="仿宋"/>
              <w:szCs w:val="32"/>
            </w:rPr>
            <w:t>2019年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650.51万元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_Toc18179 </w:instrText>
          </w:r>
          <w:r>
            <w:fldChar w:fldCharType="separate"/>
          </w:r>
          <w:r>
            <w:t>12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_Toc5175 </w:instrText>
          </w:r>
          <w:r>
            <w:rPr>
              <w:rFonts w:hint="eastAsia"/>
              <w:lang w:val="en-US" w:eastAsia="zh-CN"/>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_Toc5175 </w:instrText>
          </w:r>
          <w:r>
            <w:fldChar w:fldCharType="separate"/>
          </w:r>
          <w:r>
            <w:t>15</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_Toc1778 </w:instrText>
          </w:r>
          <w:r>
            <w:rPr>
              <w:rFonts w:hint="eastAsia"/>
              <w:lang w:val="en-US" w:eastAsia="zh-CN"/>
            </w:rP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_Toc1778 </w:instrText>
          </w:r>
          <w:r>
            <w:fldChar w:fldCharType="separate"/>
          </w:r>
          <w:r>
            <w:t>15</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_Toc18607 </w:instrText>
          </w:r>
          <w:r>
            <w:rPr>
              <w:rFonts w:hint="eastAsia"/>
              <w:lang w:val="en-US" w:eastAsia="zh-CN"/>
            </w:rPr>
            <w:fldChar w:fldCharType="separate"/>
          </w:r>
          <w:r>
            <w:rPr>
              <w:rFonts w:hint="eastAsia" w:ascii="仿宋" w:hAnsi="仿宋" w:eastAsia="仿宋"/>
              <w:szCs w:val="32"/>
            </w:rPr>
            <w:t>（一）“三公”经费财政拨款支出决算总体情况说明</w:t>
          </w:r>
          <w:r>
            <w:tab/>
          </w:r>
          <w:r>
            <w:fldChar w:fldCharType="begin"/>
          </w:r>
          <w:r>
            <w:instrText xml:space="preserve"> PAGEREF _Toc18607 </w:instrText>
          </w:r>
          <w:r>
            <w:fldChar w:fldCharType="separate"/>
          </w:r>
          <w:r>
            <w:t>15</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_Toc31451 </w:instrText>
          </w:r>
          <w:r>
            <w:rPr>
              <w:rFonts w:hint="eastAsia"/>
              <w:lang w:val="en-US" w:eastAsia="zh-CN"/>
            </w:rPr>
            <w:fldChar w:fldCharType="separate"/>
          </w:r>
          <w:r>
            <w:rPr>
              <w:rFonts w:hint="eastAsia" w:ascii="仿宋" w:hAnsi="仿宋" w:eastAsia="仿宋"/>
              <w:szCs w:val="32"/>
            </w:rPr>
            <w:t>（二）“三公”经费财政拨款支出决算具体情况说明</w:t>
          </w:r>
          <w:r>
            <w:tab/>
          </w:r>
          <w:r>
            <w:fldChar w:fldCharType="begin"/>
          </w:r>
          <w:r>
            <w:instrText xml:space="preserve"> PAGEREF _Toc31451 </w:instrText>
          </w:r>
          <w:r>
            <w:fldChar w:fldCharType="separate"/>
          </w:r>
          <w:r>
            <w:t>15</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_Toc28322 </w:instrText>
          </w:r>
          <w:r>
            <w:rPr>
              <w:rFonts w:hint="eastAsia"/>
              <w:lang w:val="en-US" w:eastAsia="zh-CN"/>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_Toc28322 </w:instrText>
          </w:r>
          <w:r>
            <w:fldChar w:fldCharType="separate"/>
          </w:r>
          <w:r>
            <w:t>17</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_Toc25370 </w:instrText>
          </w:r>
          <w:r>
            <w:rPr>
              <w:rFonts w:hint="eastAsia"/>
              <w:lang w:val="en-US" w:eastAsia="zh-CN"/>
            </w:rPr>
            <w:fldChar w:fldCharType="separate"/>
          </w:r>
          <w:r>
            <w:rPr>
              <w:rFonts w:hint="eastAsia" w:ascii="黑体" w:hAnsi="黑体" w:eastAsia="黑体"/>
            </w:rPr>
            <w:t>九、 国有资本经营预算支出决算情况说明</w:t>
          </w:r>
          <w:r>
            <w:tab/>
          </w:r>
          <w:r>
            <w:fldChar w:fldCharType="begin"/>
          </w:r>
          <w:r>
            <w:instrText xml:space="preserve"> PAGEREF _Toc25370 </w:instrText>
          </w:r>
          <w:r>
            <w:fldChar w:fldCharType="separate"/>
          </w:r>
          <w:r>
            <w:t>17</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_Toc2621 </w:instrText>
          </w:r>
          <w:r>
            <w:rPr>
              <w:rFonts w:hint="eastAsia"/>
              <w:lang w:val="en-US" w:eastAsia="zh-CN"/>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_Toc2621 </w:instrText>
          </w:r>
          <w:r>
            <w:fldChar w:fldCharType="separate"/>
          </w:r>
          <w:r>
            <w:t>17</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_Toc27491 </w:instrText>
          </w:r>
          <w:r>
            <w:rPr>
              <w:rFonts w:hint="eastAsia"/>
              <w:lang w:val="en-US" w:eastAsia="zh-CN"/>
            </w:rPr>
            <w:fldChar w:fldCharType="separate"/>
          </w:r>
          <w:r>
            <w:rPr>
              <w:rFonts w:hint="eastAsia" w:ascii="仿宋" w:hAnsi="仿宋" w:eastAsia="仿宋"/>
              <w:szCs w:val="32"/>
            </w:rPr>
            <w:t>（一）机关运行经费支出情况</w:t>
          </w:r>
          <w:r>
            <w:tab/>
          </w:r>
          <w:r>
            <w:fldChar w:fldCharType="begin"/>
          </w:r>
          <w:r>
            <w:instrText xml:space="preserve"> PAGEREF _Toc27491 </w:instrText>
          </w:r>
          <w:r>
            <w:fldChar w:fldCharType="separate"/>
          </w:r>
          <w:r>
            <w:t>17</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_Toc22454 </w:instrText>
          </w:r>
          <w:r>
            <w:rPr>
              <w:rFonts w:hint="eastAsia"/>
              <w:lang w:val="en-US" w:eastAsia="zh-CN"/>
            </w:rPr>
            <w:fldChar w:fldCharType="separate"/>
          </w:r>
          <w:r>
            <w:rPr>
              <w:rFonts w:hint="eastAsia" w:ascii="仿宋" w:hAnsi="仿宋" w:eastAsia="仿宋"/>
              <w:szCs w:val="32"/>
            </w:rPr>
            <w:t>（二）政府采购支出情况</w:t>
          </w:r>
          <w:r>
            <w:tab/>
          </w:r>
          <w:r>
            <w:fldChar w:fldCharType="begin"/>
          </w:r>
          <w:r>
            <w:instrText xml:space="preserve"> PAGEREF _Toc22454 </w:instrText>
          </w:r>
          <w:r>
            <w:fldChar w:fldCharType="separate"/>
          </w:r>
          <w:r>
            <w:t>17</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_Toc26906 </w:instrText>
          </w:r>
          <w:r>
            <w:rPr>
              <w:rFonts w:hint="eastAsia"/>
              <w:lang w:val="en-US" w:eastAsia="zh-CN"/>
            </w:rPr>
            <w:fldChar w:fldCharType="separate"/>
          </w:r>
          <w:r>
            <w:rPr>
              <w:rFonts w:hint="eastAsia" w:ascii="仿宋" w:hAnsi="仿宋" w:eastAsia="仿宋"/>
              <w:szCs w:val="32"/>
            </w:rPr>
            <w:t>（三）国有资产占有使用情况</w:t>
          </w:r>
          <w:r>
            <w:tab/>
          </w:r>
          <w:r>
            <w:fldChar w:fldCharType="begin"/>
          </w:r>
          <w:r>
            <w:instrText xml:space="preserve"> PAGEREF _Toc26906 </w:instrText>
          </w:r>
          <w:r>
            <w:fldChar w:fldCharType="separate"/>
          </w:r>
          <w:r>
            <w:t>18</w:t>
          </w:r>
          <w:r>
            <w:fldChar w:fldCharType="end"/>
          </w:r>
          <w:r>
            <w:rPr>
              <w:rFonts w:hint="eastAsia"/>
              <w:lang w:val="en-US" w:eastAsia="zh-CN"/>
            </w:rPr>
            <w:fldChar w:fldCharType="end"/>
          </w:r>
        </w:p>
        <w:p>
          <w:pPr>
            <w:pStyle w:val="8"/>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_Toc24770 </w:instrText>
          </w:r>
          <w:r>
            <w:rPr>
              <w:rFonts w:hint="eastAsia"/>
              <w:lang w:val="en-US" w:eastAsia="zh-CN"/>
            </w:rPr>
            <w:fldChar w:fldCharType="separate"/>
          </w:r>
          <w:r>
            <w:rPr>
              <w:rFonts w:hint="eastAsia" w:ascii="仿宋" w:hAnsi="仿宋" w:eastAsia="仿宋"/>
              <w:szCs w:val="32"/>
            </w:rPr>
            <w:t>（四）预算绩效管理情况。</w:t>
          </w:r>
          <w:r>
            <w:tab/>
          </w:r>
          <w:r>
            <w:fldChar w:fldCharType="begin"/>
          </w:r>
          <w:r>
            <w:instrText xml:space="preserve"> PAGEREF _Toc24770 </w:instrText>
          </w:r>
          <w:r>
            <w:fldChar w:fldCharType="separate"/>
          </w:r>
          <w:r>
            <w:t>18</w:t>
          </w:r>
          <w:r>
            <w:fldChar w:fldCharType="end"/>
          </w:r>
          <w:r>
            <w:rPr>
              <w:rFonts w:hint="eastAsia"/>
              <w:lang w:val="en-US" w:eastAsia="zh-CN"/>
            </w:rPr>
            <w:fldChar w:fldCharType="end"/>
          </w:r>
        </w:p>
        <w:p>
          <w:pPr>
            <w:pStyle w:val="11"/>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_Toc10626 </w:instrText>
          </w:r>
          <w:r>
            <w:rPr>
              <w:rFonts w:hint="eastAsia"/>
              <w:lang w:val="en-US" w:eastAsia="zh-CN"/>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_Toc10626 </w:instrText>
          </w:r>
          <w:r>
            <w:fldChar w:fldCharType="separate"/>
          </w:r>
          <w:r>
            <w:t>35</w:t>
          </w:r>
          <w:r>
            <w:fldChar w:fldCharType="end"/>
          </w:r>
          <w:r>
            <w:rPr>
              <w:rFonts w:hint="eastAsia"/>
              <w:lang w:val="en-US" w:eastAsia="zh-CN"/>
            </w:rPr>
            <w:fldChar w:fldCharType="end"/>
          </w:r>
        </w:p>
        <w:p>
          <w:pPr>
            <w:pStyle w:val="11"/>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_Toc26252 </w:instrText>
          </w:r>
          <w:r>
            <w:rPr>
              <w:rFonts w:hint="eastAsia"/>
              <w:lang w:val="en-US" w:eastAsia="zh-CN"/>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_Toc26252 </w:instrText>
          </w:r>
          <w:r>
            <w:fldChar w:fldCharType="separate"/>
          </w:r>
          <w:r>
            <w:t>40</w:t>
          </w:r>
          <w:r>
            <w:fldChar w:fldCharType="end"/>
          </w:r>
          <w:r>
            <w:rPr>
              <w:rFonts w:hint="eastAsia"/>
              <w:lang w:val="en-US" w:eastAsia="zh-CN"/>
            </w:rPr>
            <w:fldChar w:fldCharType="end"/>
          </w:r>
        </w:p>
        <w:p>
          <w:pPr>
            <w:pStyle w:val="11"/>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_Toc13885 </w:instrText>
          </w:r>
          <w:r>
            <w:rPr>
              <w:rFonts w:hint="eastAsia"/>
              <w:lang w:val="en-US" w:eastAsia="zh-CN"/>
            </w:rPr>
            <w:fldChar w:fldCharType="separate"/>
          </w:r>
          <w:r>
            <w:rPr>
              <w:rFonts w:hint="eastAsia" w:ascii="黑体" w:hAnsi="黑体" w:eastAsia="黑体" w:cs="黑体"/>
              <w:szCs w:val="32"/>
            </w:rPr>
            <w:t>附件1</w:t>
          </w:r>
          <w:r>
            <w:tab/>
          </w:r>
          <w:r>
            <w:fldChar w:fldCharType="begin"/>
          </w:r>
          <w:r>
            <w:instrText xml:space="preserve"> PAGEREF _Toc13885 </w:instrText>
          </w:r>
          <w:r>
            <w:fldChar w:fldCharType="separate"/>
          </w:r>
          <w:r>
            <w:t>40</w:t>
          </w:r>
          <w:r>
            <w:fldChar w:fldCharType="end"/>
          </w:r>
          <w:r>
            <w:rPr>
              <w:rFonts w:hint="eastAsia"/>
              <w:lang w:val="en-US" w:eastAsia="zh-CN"/>
            </w:rPr>
            <w:fldChar w:fldCharType="end"/>
          </w:r>
        </w:p>
        <w:p>
          <w:pPr>
            <w:pStyle w:val="11"/>
            <w:tabs>
              <w:tab w:val="right" w:leader="dot" w:pos="8306"/>
              <w:tab w:val="clear" w:pos="8296"/>
            </w:tabs>
          </w:pPr>
          <w:r>
            <w:rPr>
              <w:rFonts w:hint="eastAsia"/>
              <w:lang w:val="en-US" w:eastAsia="zh-CN"/>
            </w:rPr>
            <w:fldChar w:fldCharType="begin"/>
          </w:r>
          <w:r>
            <w:rPr>
              <w:rFonts w:hint="eastAsia"/>
              <w:lang w:val="en-US" w:eastAsia="zh-CN"/>
            </w:rPr>
            <w:instrText xml:space="preserve"> HYPERLINK \l _Toc3248 </w:instrText>
          </w:r>
          <w:r>
            <w:rPr>
              <w:rFonts w:hint="eastAsia"/>
              <w:lang w:val="en-US" w:eastAsia="zh-CN"/>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_Toc3248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_Toc27378 </w:instrText>
          </w:r>
          <w:r>
            <w:rPr>
              <w:rFonts w:hint="eastAsia"/>
              <w:lang w:val="en-US" w:eastAsia="zh-CN"/>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_Toc27378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_Toc21705 </w:instrText>
          </w:r>
          <w:r>
            <w:rPr>
              <w:rFonts w:hint="eastAsia"/>
              <w:lang w:val="en-US" w:eastAsia="zh-CN"/>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_Toc21705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_Toc19742 </w:instrText>
          </w:r>
          <w:r>
            <w:rPr>
              <w:rFonts w:hint="eastAsia"/>
              <w:lang w:val="en-US" w:eastAsia="zh-CN"/>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_Toc19742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_Toc14212 </w:instrText>
          </w:r>
          <w:r>
            <w:rPr>
              <w:rFonts w:hint="eastAsia"/>
              <w:lang w:val="en-US" w:eastAsia="zh-CN"/>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_Toc14212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_Toc24400 </w:instrText>
          </w:r>
          <w:r>
            <w:rPr>
              <w:rFonts w:hint="eastAsia"/>
              <w:lang w:val="en-US" w:eastAsia="zh-CN"/>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_Toc24400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_Toc20327 </w:instrText>
          </w:r>
          <w:r>
            <w:rPr>
              <w:rFonts w:hint="eastAsia"/>
              <w:lang w:val="en-US" w:eastAsia="zh-CN"/>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_Toc20327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_Toc13153 </w:instrText>
          </w:r>
          <w:r>
            <w:rPr>
              <w:rFonts w:hint="eastAsia"/>
              <w:lang w:val="en-US" w:eastAsia="zh-CN"/>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_Toc13153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_Toc27302 </w:instrText>
          </w:r>
          <w:r>
            <w:rPr>
              <w:rFonts w:hint="eastAsia"/>
              <w:lang w:val="en-US" w:eastAsia="zh-CN"/>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_Toc27302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_Toc23407 </w:instrText>
          </w:r>
          <w:r>
            <w:rPr>
              <w:rFonts w:hint="eastAsia"/>
              <w:lang w:val="en-US" w:eastAsia="zh-CN"/>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_Toc23407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_Toc17592 </w:instrText>
          </w:r>
          <w:r>
            <w:rPr>
              <w:rFonts w:hint="eastAsia"/>
              <w:lang w:val="en-US" w:eastAsia="zh-CN"/>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_Toc17592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_Toc6048 </w:instrText>
          </w:r>
          <w:r>
            <w:rPr>
              <w:rFonts w:hint="eastAsia"/>
              <w:lang w:val="en-US" w:eastAsia="zh-CN"/>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_Toc6048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_Toc28048 </w:instrText>
          </w:r>
          <w:r>
            <w:rPr>
              <w:rFonts w:hint="eastAsia"/>
              <w:lang w:val="en-US" w:eastAsia="zh-CN"/>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_Toc28048 </w:instrText>
          </w:r>
          <w:r>
            <w:fldChar w:fldCharType="separate"/>
          </w:r>
          <w:r>
            <w:t>52</w:t>
          </w:r>
          <w:r>
            <w:fldChar w:fldCharType="end"/>
          </w:r>
          <w:r>
            <w:rPr>
              <w:rFonts w:hint="eastAsia"/>
              <w:lang w:val="en-US" w:eastAsia="zh-CN"/>
            </w:rPr>
            <w:fldChar w:fldCharType="end"/>
          </w:r>
        </w:p>
        <w:p>
          <w:pPr>
            <w:pStyle w:val="12"/>
            <w:tabs>
              <w:tab w:val="right" w:leader="dot" w:pos="8306"/>
              <w:tab w:val="clear" w:pos="8296"/>
            </w:tabs>
          </w:pPr>
          <w:r>
            <w:rPr>
              <w:rFonts w:hint="eastAsia"/>
              <w:lang w:val="en-US" w:eastAsia="zh-CN"/>
            </w:rPr>
            <w:fldChar w:fldCharType="begin"/>
          </w:r>
          <w:r>
            <w:rPr>
              <w:rFonts w:hint="eastAsia"/>
              <w:lang w:val="en-US" w:eastAsia="zh-CN"/>
            </w:rPr>
            <w:instrText xml:space="preserve"> HYPERLINK \l _Toc20210 </w:instrText>
          </w:r>
          <w:r>
            <w:rPr>
              <w:rFonts w:hint="eastAsia"/>
              <w:lang w:val="en-US" w:eastAsia="zh-CN"/>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_Toc20210 </w:instrText>
          </w:r>
          <w:r>
            <w:fldChar w:fldCharType="separate"/>
          </w:r>
          <w:r>
            <w:t>52</w:t>
          </w:r>
          <w:r>
            <w:fldChar w:fldCharType="end"/>
          </w:r>
          <w:r>
            <w:rPr>
              <w:rFonts w:hint="eastAsia"/>
              <w:lang w:val="en-US" w:eastAsia="zh-CN"/>
            </w:rPr>
            <w:fldChar w:fldCharType="end"/>
          </w:r>
        </w:p>
        <w:p>
          <w:pPr>
            <w:rPr>
              <w:rFonts w:hint="eastAsia"/>
              <w:lang w:val="en-US" w:eastAsia="zh-CN"/>
            </w:rPr>
          </w:pPr>
          <w:r>
            <w:rPr>
              <w:rFonts w:hint="eastAsia"/>
              <w:lang w:val="en-US" w:eastAsia="zh-CN"/>
            </w:rPr>
            <w:fldChar w:fldCharType="end"/>
          </w:r>
        </w:p>
      </w:sdtContent>
    </w:sdt>
    <w:p>
      <w:pPr>
        <w:pStyle w:val="3"/>
        <w:jc w:val="center"/>
        <w:rPr>
          <w:rFonts w:hint="eastAsia" w:ascii="黑体" w:hAnsi="黑体" w:eastAsia="黑体"/>
          <w:b w:val="0"/>
        </w:rPr>
      </w:pPr>
      <w:bookmarkStart w:id="14" w:name="_Toc15396599"/>
      <w:bookmarkStart w:id="15" w:name="_Toc15377196"/>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both"/>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rPr>
          <w:rFonts w:hint="eastAsia"/>
        </w:rPr>
      </w:pPr>
    </w:p>
    <w:p>
      <w:pPr>
        <w:pStyle w:val="3"/>
        <w:jc w:val="both"/>
        <w:rPr>
          <w:rFonts w:hint="eastAsia" w:ascii="黑体" w:hAnsi="黑体" w:eastAsia="黑体"/>
          <w:b w:val="0"/>
        </w:rPr>
      </w:pPr>
      <w:bookmarkStart w:id="121" w:name="_GoBack"/>
      <w:bookmarkEnd w:id="121"/>
      <w:bookmarkStart w:id="16" w:name="_Toc24293"/>
    </w:p>
    <w:p>
      <w:pPr>
        <w:pStyle w:val="3"/>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pPr>
        <w:widowControl/>
        <w:jc w:val="left"/>
        <w:rPr>
          <w:rFonts w:ascii="黑体" w:eastAsia="黑体"/>
          <w:color w:val="000000"/>
          <w:sz w:val="32"/>
          <w:szCs w:val="32"/>
        </w:rPr>
      </w:pPr>
    </w:p>
    <w:p>
      <w:pPr>
        <w:snapToGrid w:val="0"/>
        <w:spacing w:line="560" w:lineRule="exact"/>
        <w:ind w:firstLine="640" w:firstLineChars="200"/>
        <w:rPr>
          <w:rFonts w:hint="eastAsia" w:ascii="黑体" w:eastAsia="黑体" w:hAnsiTheme="majorHAnsi" w:cstheme="majorBidi"/>
          <w:b w:val="0"/>
          <w:bCs/>
          <w:color w:val="000000"/>
          <w:kern w:val="2"/>
          <w:sz w:val="32"/>
          <w:szCs w:val="32"/>
          <w:lang w:val="en-US" w:eastAsia="zh-CN" w:bidi="ar-SA"/>
        </w:rPr>
      </w:pPr>
      <w:bookmarkStart w:id="17" w:name="_Toc9870"/>
      <w:bookmarkStart w:id="18" w:name="_Toc15396600"/>
      <w:bookmarkStart w:id="19" w:name="_Toc15377197"/>
      <w:r>
        <w:rPr>
          <w:rFonts w:hint="eastAsia" w:ascii="黑体" w:eastAsia="黑体" w:hAnsiTheme="majorHAnsi" w:cstheme="majorBidi"/>
          <w:b w:val="0"/>
          <w:bCs/>
          <w:color w:val="000000"/>
          <w:kern w:val="2"/>
          <w:sz w:val="32"/>
          <w:szCs w:val="32"/>
          <w:lang w:val="en-US" w:eastAsia="zh-CN" w:bidi="ar-SA"/>
        </w:rPr>
        <w:t>一、基本职能及主要工作</w:t>
      </w:r>
      <w:bookmarkEnd w:id="17"/>
      <w:bookmarkEnd w:id="18"/>
      <w:bookmarkEnd w:id="19"/>
    </w:p>
    <w:p>
      <w:pPr>
        <w:snapToGrid w:val="0"/>
        <w:spacing w:line="560" w:lineRule="exact"/>
        <w:ind w:firstLine="640" w:firstLineChars="200"/>
        <w:rPr>
          <w:rFonts w:hint="eastAsia" w:ascii="仿宋_GB2312" w:hAnsi="仿宋_GB2312" w:eastAsia="仿宋_GB2312" w:cs="仿宋_GB2312"/>
          <w:bCs/>
          <w:sz w:val="32"/>
          <w:szCs w:val="32"/>
        </w:rPr>
      </w:pPr>
      <w:bookmarkStart w:id="20" w:name="_Toc15377198"/>
      <w:bookmarkStart w:id="21" w:name="_Toc15378445"/>
      <w:r>
        <w:rPr>
          <w:rFonts w:hint="eastAsia" w:ascii="仿宋_GB2312" w:hAnsi="仿宋_GB2312" w:eastAsia="仿宋_GB2312" w:cs="仿宋_GB2312"/>
          <w:bCs/>
          <w:sz w:val="32"/>
          <w:szCs w:val="32"/>
        </w:rPr>
        <w:t>（一）主要职能。</w:t>
      </w:r>
      <w:bookmarkEnd w:id="20"/>
      <w:bookmarkEnd w:id="21"/>
      <w:bookmarkStart w:id="22" w:name="_Toc15377199"/>
      <w:bookmarkStart w:id="23" w:name="_Toc15378446"/>
    </w:p>
    <w:p>
      <w:pPr>
        <w:snapToGrid w:val="0"/>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r>
        <w:rPr>
          <w:rFonts w:hint="eastAsia" w:hAnsi="仿宋_GB2312" w:cs="仿宋_GB2312"/>
          <w:bCs/>
          <w:sz w:val="32"/>
          <w:szCs w:val="32"/>
        </w:rPr>
        <w:t>。</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31513"/>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2"/>
      <w:bookmarkEnd w:id="23"/>
      <w:bookmarkEnd w:id="24"/>
    </w:p>
    <w:p>
      <w:pPr>
        <w:pStyle w:val="33"/>
        <w:adjustRightInd w:val="0"/>
        <w:snapToGrid w:val="0"/>
        <w:spacing w:line="576" w:lineRule="exact"/>
        <w:ind w:firstLine="640"/>
        <w:rPr>
          <w:rFonts w:ascii="黑体" w:hAnsi="黑体" w:eastAsia="黑体"/>
          <w:b/>
          <w:bCs/>
          <w:color w:val="000000" w:themeColor="text1"/>
          <w:sz w:val="44"/>
          <w:szCs w:val="44"/>
        </w:rPr>
      </w:pPr>
      <w:r>
        <w:rPr>
          <w:rFonts w:hint="eastAsia" w:ascii="仿宋_GB2312" w:hAnsi="仿宋_GB2312" w:eastAsia="仿宋_GB2312" w:cs="仿宋_GB2312"/>
          <w:color w:val="000000" w:themeColor="text1"/>
          <w:sz w:val="32"/>
          <w:szCs w:val="32"/>
        </w:rPr>
        <w:t>2019年，我乡紧盯群众增收目标，大力培训新兴产业，今年力争实现农村居民人均可支配收入达到15188元以上。</w:t>
      </w:r>
    </w:p>
    <w:p>
      <w:pPr>
        <w:pStyle w:val="13"/>
        <w:adjustRightInd w:val="0"/>
        <w:snapToGrid w:val="0"/>
        <w:spacing w:line="576" w:lineRule="exact"/>
        <w:ind w:firstLine="643" w:firstLineChars="200"/>
        <w:jc w:val="both"/>
        <w:rPr>
          <w:rFonts w:hint="eastAsia"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lang w:val="en-US" w:eastAsia="zh-CN"/>
        </w:rPr>
        <w:t>1.</w:t>
      </w:r>
      <w:r>
        <w:rPr>
          <w:rFonts w:hint="eastAsia" w:ascii="仿宋" w:hAnsi="仿宋" w:eastAsia="仿宋" w:cs="仿宋"/>
          <w:b/>
          <w:bCs/>
          <w:color w:val="000000" w:themeColor="text1"/>
          <w:sz w:val="32"/>
          <w:szCs w:val="32"/>
        </w:rPr>
        <w:t>调优畜牧业结构</w:t>
      </w:r>
    </w:p>
    <w:p>
      <w:pPr>
        <w:pStyle w:val="13"/>
        <w:adjustRightInd w:val="0"/>
        <w:snapToGrid w:val="0"/>
        <w:spacing w:line="576" w:lineRule="exact"/>
        <w:ind w:firstLine="640" w:firstLineChars="2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我乡扎实推进“以草定畜、以人定畜”的草畜平衡工作，共减畜28671头，实现了草畜平衡。为确保群众减畜不见收，2019年我乡进一步调优畜牧业结构，利用良种补贴资金为6.82万元，选购优质种牛22头发放给牧民群众，同时积极动员群众开展冻精改良，组群牦母牛100余头。</w:t>
      </w:r>
    </w:p>
    <w:p>
      <w:pPr>
        <w:pStyle w:val="13"/>
        <w:adjustRightInd w:val="0"/>
        <w:snapToGrid w:val="0"/>
        <w:spacing w:line="576" w:lineRule="exact"/>
        <w:ind w:firstLine="643" w:firstLineChars="200"/>
        <w:jc w:val="both"/>
        <w:rPr>
          <w:rFonts w:hint="eastAsia" w:ascii="仿宋" w:hAnsi="仿宋" w:eastAsia="仿宋" w:cs="仿宋"/>
          <w:b/>
          <w:color w:val="000000" w:themeColor="text1"/>
          <w:sz w:val="32"/>
          <w:szCs w:val="32"/>
        </w:rPr>
      </w:pPr>
      <w:r>
        <w:rPr>
          <w:rFonts w:hint="eastAsia" w:ascii="仿宋" w:hAnsi="仿宋" w:eastAsia="仿宋" w:cs="仿宋"/>
          <w:b/>
          <w:color w:val="000000" w:themeColor="text1"/>
          <w:sz w:val="32"/>
          <w:szCs w:val="32"/>
          <w:lang w:val="en-US" w:eastAsia="zh-CN"/>
        </w:rPr>
        <w:t>2.</w:t>
      </w:r>
      <w:r>
        <w:rPr>
          <w:rFonts w:hint="eastAsia" w:ascii="仿宋" w:hAnsi="仿宋" w:eastAsia="仿宋" w:cs="仿宋"/>
          <w:b/>
          <w:color w:val="000000" w:themeColor="text1"/>
          <w:sz w:val="32"/>
          <w:szCs w:val="32"/>
        </w:rPr>
        <w:t>壮大村级集体经济</w:t>
      </w:r>
    </w:p>
    <w:p>
      <w:pPr>
        <w:pStyle w:val="13"/>
        <w:adjustRightInd w:val="0"/>
        <w:snapToGrid w:val="0"/>
        <w:spacing w:line="576" w:lineRule="exact"/>
        <w:ind w:firstLine="640" w:firstLineChars="2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村级合作组织切实加强生产发展和经营，2019年茸日玛绵羊养殖合作社出栏绵羊80只，江宫玛牦牛养殖农民专业合作社出栏绵羊300只、出栏牦牛70只；江宫玛村高原特色中藏药材种植园已经全面建成，首批种植的药材主要有：贝母、大黄，预计2021年将实现收益，为带动群众增收起到积极作用。</w:t>
      </w:r>
    </w:p>
    <w:p>
      <w:pPr>
        <w:pStyle w:val="13"/>
        <w:adjustRightInd w:val="0"/>
        <w:snapToGrid w:val="0"/>
        <w:spacing w:line="576" w:lineRule="exact"/>
        <w:ind w:firstLine="643" w:firstLineChars="200"/>
        <w:jc w:val="both"/>
        <w:rPr>
          <w:rFonts w:hint="eastAsia" w:ascii="仿宋" w:hAnsi="仿宋" w:eastAsia="仿宋" w:cs="仿宋"/>
          <w:b/>
          <w:color w:val="000000" w:themeColor="text1"/>
          <w:sz w:val="32"/>
          <w:szCs w:val="32"/>
        </w:rPr>
      </w:pPr>
      <w:r>
        <w:rPr>
          <w:rFonts w:hint="eastAsia" w:ascii="仿宋" w:hAnsi="仿宋" w:eastAsia="仿宋" w:cs="仿宋"/>
          <w:b/>
          <w:color w:val="000000" w:themeColor="text1"/>
          <w:sz w:val="32"/>
          <w:szCs w:val="32"/>
          <w:lang w:val="en-US" w:eastAsia="zh-CN"/>
        </w:rPr>
        <w:t>3.</w:t>
      </w:r>
      <w:r>
        <w:rPr>
          <w:rFonts w:hint="eastAsia" w:ascii="仿宋" w:hAnsi="仿宋" w:eastAsia="仿宋" w:cs="仿宋"/>
          <w:b/>
          <w:color w:val="000000" w:themeColor="text1"/>
          <w:sz w:val="32"/>
          <w:szCs w:val="32"/>
        </w:rPr>
        <w:t>健全生产生活设施</w:t>
      </w:r>
    </w:p>
    <w:p>
      <w:pPr>
        <w:pStyle w:val="13"/>
        <w:adjustRightInd w:val="0"/>
        <w:snapToGrid w:val="0"/>
        <w:spacing w:line="576" w:lineRule="exact"/>
        <w:ind w:firstLine="640" w:firstLineChars="200"/>
        <w:jc w:val="both"/>
        <w:rPr>
          <w:rFonts w:ascii="仿宋_GB2312" w:hAnsi="仿宋" w:eastAsia="仿宋_GB2312" w:cs="仿宋"/>
          <w:color w:val="000000" w:themeColor="text1"/>
          <w:sz w:val="32"/>
          <w:szCs w:val="32"/>
        </w:rPr>
      </w:pPr>
      <w:r>
        <w:rPr>
          <w:rFonts w:hint="eastAsia" w:ascii="仿宋_GB2312" w:hAnsi="仿宋_GB2312" w:eastAsia="仿宋_GB2312" w:cs="仿宋_GB2312"/>
          <w:color w:val="000000" w:themeColor="text1"/>
          <w:sz w:val="32"/>
          <w:szCs w:val="32"/>
        </w:rPr>
        <w:t>为方便群众生产生活，2019年投资30万元修建生产性道路（草原防火通道）5公里；投资3万元完成了江宫玛村健康养殖基地建植人工草地1000亩，对人工草地进行草地整理、草种撒播、施肥处理、田间管理、网围栏管理，</w:t>
      </w:r>
      <w:r>
        <w:rPr>
          <w:rFonts w:hint="eastAsia" w:ascii="仿宋_GB2312" w:hAnsi="仿宋" w:eastAsia="仿宋_GB2312" w:cs="仿宋"/>
          <w:bCs/>
          <w:color w:val="000000" w:themeColor="text1"/>
          <w:sz w:val="32"/>
          <w:szCs w:val="32"/>
        </w:rPr>
        <w:t>投资31万元在茸日玛合作社实施种草项目</w:t>
      </w:r>
      <w:r>
        <w:rPr>
          <w:rFonts w:hint="eastAsia" w:ascii="仿宋_GB2312" w:hAnsi="黑体" w:eastAsia="仿宋_GB2312" w:cs="黑体"/>
          <w:bCs/>
          <w:color w:val="000000" w:themeColor="text1"/>
          <w:sz w:val="32"/>
          <w:szCs w:val="32"/>
        </w:rPr>
        <w:t>；投资16万元</w:t>
      </w:r>
      <w:r>
        <w:rPr>
          <w:rFonts w:hint="eastAsia" w:ascii="仿宋_GB2312" w:hAnsi="仿宋" w:eastAsia="仿宋_GB2312" w:cs="仿宋"/>
          <w:color w:val="000000" w:themeColor="text1"/>
          <w:sz w:val="32"/>
          <w:szCs w:val="32"/>
        </w:rPr>
        <w:t>新建牲畜防疫巷道圈2个；国家补助资金69万元新建牲畜暖棚15个，国家补助资金16.4万元新建家庭牧场2个。</w:t>
      </w:r>
    </w:p>
    <w:p>
      <w:pPr>
        <w:pStyle w:val="13"/>
        <w:adjustRightInd w:val="0"/>
        <w:snapToGrid w:val="0"/>
        <w:spacing w:line="576" w:lineRule="exact"/>
        <w:ind w:firstLine="643" w:firstLineChars="200"/>
        <w:jc w:val="both"/>
        <w:rPr>
          <w:rFonts w:hint="eastAsia" w:ascii="仿宋" w:hAnsi="仿宋" w:eastAsia="仿宋" w:cs="仿宋"/>
          <w:b/>
          <w:color w:val="000000" w:themeColor="text1"/>
          <w:sz w:val="32"/>
          <w:szCs w:val="32"/>
        </w:rPr>
      </w:pPr>
      <w:r>
        <w:rPr>
          <w:rFonts w:hint="eastAsia" w:ascii="仿宋" w:hAnsi="仿宋" w:eastAsia="仿宋" w:cs="仿宋"/>
          <w:b/>
          <w:color w:val="000000" w:themeColor="text1"/>
          <w:sz w:val="32"/>
          <w:szCs w:val="32"/>
          <w:lang w:val="en-US" w:eastAsia="zh-CN"/>
        </w:rPr>
        <w:t>4.</w:t>
      </w:r>
      <w:r>
        <w:rPr>
          <w:rFonts w:hint="eastAsia" w:ascii="仿宋" w:hAnsi="仿宋" w:eastAsia="仿宋" w:cs="仿宋"/>
          <w:b/>
          <w:color w:val="000000" w:themeColor="text1"/>
          <w:sz w:val="32"/>
          <w:szCs w:val="32"/>
        </w:rPr>
        <w:t>大力拓展增收渠道</w:t>
      </w:r>
    </w:p>
    <w:p>
      <w:pPr>
        <w:pStyle w:val="13"/>
        <w:adjustRightInd w:val="0"/>
        <w:snapToGrid w:val="0"/>
        <w:spacing w:line="576" w:lineRule="exact"/>
        <w:ind w:firstLine="640" w:firstLineChars="2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为进一步拓展群众增收渠道，江茸乡积极发展旅游产业，2019年投资4800余万元开工建设查江路，投资980余万元的达格则AAA景区开工建设。项目建成将进一步健全旅游基础设施，为发展旅游事业拓展增收渠道奠定坚实基础。</w:t>
      </w:r>
    </w:p>
    <w:p>
      <w:pPr>
        <w:rPr>
          <w:color w:val="000000" w:themeColor="text1"/>
        </w:rPr>
      </w:pPr>
    </w:p>
    <w:p>
      <w:pPr>
        <w:adjustRightInd w:val="0"/>
        <w:snapToGrid w:val="0"/>
        <w:spacing w:line="576" w:lineRule="exact"/>
        <w:ind w:firstLine="643" w:firstLineChars="200"/>
        <w:rPr>
          <w:rFonts w:hint="eastAsia" w:ascii="仿宋" w:hAnsi="仿宋" w:eastAsia="仿宋" w:cs="仿宋"/>
          <w:b/>
          <w:bCs/>
          <w:color w:val="000000" w:themeColor="text1"/>
          <w:sz w:val="32"/>
          <w:szCs w:val="32"/>
        </w:rPr>
      </w:pPr>
      <w:r>
        <w:rPr>
          <w:rFonts w:hint="eastAsia" w:ascii="黑体" w:hAnsi="黑体" w:eastAsia="黑体"/>
          <w:b/>
          <w:bCs/>
          <w:color w:val="000000" w:themeColor="text1"/>
          <w:sz w:val="32"/>
          <w:szCs w:val="32"/>
          <w:lang w:val="en-US" w:eastAsia="zh-CN"/>
        </w:rPr>
        <w:t>5.</w:t>
      </w:r>
      <w:r>
        <w:rPr>
          <w:rFonts w:hint="eastAsia" w:ascii="仿宋" w:hAnsi="仿宋" w:eastAsia="仿宋" w:cs="仿宋"/>
          <w:b/>
          <w:bCs/>
          <w:color w:val="000000" w:themeColor="text1"/>
          <w:sz w:val="32"/>
          <w:szCs w:val="32"/>
        </w:rPr>
        <w:t>推进卫生事业发展</w:t>
      </w:r>
    </w:p>
    <w:p>
      <w:pPr>
        <w:adjustRightInd w:val="0"/>
        <w:snapToGrid w:val="0"/>
        <w:spacing w:line="576" w:lineRule="exact"/>
        <w:ind w:firstLine="640" w:firstLineChars="200"/>
        <w:rPr>
          <w:rFonts w:hint="eastAsia" w:ascii="仿宋_GB2312" w:hAnsi="仿宋" w:eastAsia="仿宋_GB2312" w:cs="仿宋"/>
          <w:color w:val="000000"/>
          <w:sz w:val="32"/>
          <w:szCs w:val="32"/>
        </w:rPr>
      </w:pPr>
      <w:r>
        <w:rPr>
          <w:rFonts w:hint="eastAsia" w:ascii="仿宋_GB2312" w:hAnsi="楷体" w:eastAsia="仿宋_GB2312" w:cs="楷体"/>
          <w:bCs/>
          <w:color w:val="000000" w:themeColor="text1"/>
          <w:sz w:val="32"/>
          <w:szCs w:val="32"/>
        </w:rPr>
        <w:t>2019年我乡持续加强卫生健康建设，提升全乡群众健康水平。一是</w:t>
      </w:r>
      <w:r>
        <w:rPr>
          <w:rFonts w:hint="eastAsia" w:ascii="仿宋_GB2312" w:hAnsi="仿宋_GB2312" w:eastAsia="仿宋_GB2312" w:cs="仿宋_GB2312"/>
          <w:color w:val="000000" w:themeColor="text1"/>
          <w:sz w:val="32"/>
          <w:szCs w:val="32"/>
        </w:rPr>
        <w:t>全面做好幼儿保健工作，为0-6岁儿童预防接种共449人次；</w:t>
      </w:r>
      <w:r>
        <w:rPr>
          <w:rFonts w:hint="eastAsia" w:ascii="仿宋_GB2312" w:hAnsi="楷体" w:eastAsia="仿宋_GB2312" w:cs="楷体"/>
          <w:bCs/>
          <w:color w:val="000000" w:themeColor="text1"/>
          <w:sz w:val="32"/>
          <w:szCs w:val="32"/>
        </w:rPr>
        <w:t>二解决看病难问题。</w:t>
      </w:r>
      <w:r>
        <w:rPr>
          <w:rFonts w:hint="eastAsia" w:ascii="仿宋_GB2312" w:hAnsi="仿宋_GB2312" w:eastAsia="仿宋_GB2312" w:cs="仿宋_GB2312"/>
          <w:color w:val="000000" w:themeColor="text1"/>
          <w:sz w:val="32"/>
          <w:szCs w:val="32"/>
        </w:rPr>
        <w:t>积极开展巡回医疗工作和卫生健康宣传工作，共开展了巡回</w:t>
      </w:r>
      <w:r>
        <w:rPr>
          <w:rFonts w:hint="eastAsia" w:ascii="仿宋_GB2312" w:hAnsi="仿宋_GB2312" w:eastAsia="仿宋_GB2312" w:cs="仿宋_GB2312"/>
          <w:color w:val="000000"/>
          <w:sz w:val="32"/>
          <w:szCs w:val="32"/>
        </w:rPr>
        <w:t>医疗3次，健康宣传3次，接收门诊患者1428人次，住院患者13人次；</w:t>
      </w:r>
      <w:r>
        <w:rPr>
          <w:rFonts w:hint="eastAsia" w:ascii="仿宋_GB2312" w:hAnsi="楷体" w:eastAsia="仿宋_GB2312" w:cs="楷体"/>
          <w:bCs/>
          <w:color w:val="000000"/>
          <w:sz w:val="32"/>
          <w:szCs w:val="32"/>
        </w:rPr>
        <w:t>三是</w:t>
      </w:r>
      <w:r>
        <w:rPr>
          <w:rFonts w:hint="eastAsia" w:ascii="仿宋_GB2312" w:hAnsi="仿宋_GB2312" w:eastAsia="仿宋_GB2312" w:cs="仿宋_GB2312"/>
          <w:color w:val="000000"/>
          <w:sz w:val="32"/>
          <w:szCs w:val="32"/>
        </w:rPr>
        <w:t>加强城乡居民医疗保险宣传力度，全乡参保率达99%以上。</w:t>
      </w:r>
      <w:r>
        <w:rPr>
          <w:rFonts w:hint="eastAsia" w:ascii="仿宋_GB2312" w:hAnsi="仿宋" w:eastAsia="仿宋_GB2312" w:cs="仿宋"/>
          <w:bCs/>
          <w:color w:val="000000"/>
          <w:sz w:val="32"/>
          <w:szCs w:val="32"/>
        </w:rPr>
        <w:t>四是做实计划生育工作。</w:t>
      </w:r>
      <w:r>
        <w:rPr>
          <w:rFonts w:hint="eastAsia" w:ascii="仿宋_GB2312" w:hAnsi="仿宋_GB2312" w:eastAsia="仿宋_GB2312" w:cs="仿宋_GB2312"/>
          <w:color w:val="000000"/>
          <w:sz w:val="32"/>
          <w:szCs w:val="32"/>
        </w:rPr>
        <w:t>广泛开展生育次序整顿，宣传育龄妇女生育秩序整治工作，全乡的人口自然增长控制在规定范围内，今年办理准生证11人婴儿，注销死亡1人，全面落实三项制度政策落实，为计划生育户14户发放奖励扶助金13440元，2户特别扶助户发放扶助金14040元</w:t>
      </w:r>
      <w:r>
        <w:rPr>
          <w:rFonts w:hint="eastAsia" w:ascii="仿宋_GB2312" w:hAnsi="仿宋" w:eastAsia="仿宋_GB2312" w:cs="仿宋"/>
          <w:color w:val="000000"/>
          <w:sz w:val="32"/>
          <w:szCs w:val="32"/>
        </w:rPr>
        <w:t>。</w:t>
      </w:r>
    </w:p>
    <w:p>
      <w:pPr>
        <w:tabs>
          <w:tab w:val="left" w:pos="0"/>
        </w:tabs>
        <w:adjustRightInd w:val="0"/>
        <w:snapToGrid w:val="0"/>
        <w:spacing w:line="576" w:lineRule="exact"/>
        <w:ind w:firstLine="643" w:firstLineChars="20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6.</w:t>
      </w:r>
      <w:r>
        <w:rPr>
          <w:rFonts w:hint="eastAsia" w:ascii="仿宋" w:hAnsi="仿宋" w:eastAsia="仿宋" w:cs="仿宋"/>
          <w:b/>
          <w:bCs/>
          <w:color w:val="000000"/>
          <w:sz w:val="32"/>
          <w:szCs w:val="32"/>
        </w:rPr>
        <w:t>扎实推动残疾人事业</w:t>
      </w:r>
    </w:p>
    <w:p>
      <w:pPr>
        <w:tabs>
          <w:tab w:val="left" w:pos="0"/>
        </w:tabs>
        <w:adjustRightInd w:val="0"/>
        <w:snapToGrid w:val="0"/>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切实加强残疾人的关心关爱，多措并举支持残疾人生产生活。</w:t>
      </w:r>
      <w:r>
        <w:rPr>
          <w:rFonts w:hint="eastAsia" w:ascii="仿宋_GB2312" w:hAnsi="楷体" w:eastAsia="仿宋_GB2312" w:cs="楷体"/>
          <w:b/>
          <w:bCs/>
          <w:color w:val="000000"/>
          <w:sz w:val="32"/>
          <w:szCs w:val="32"/>
        </w:rPr>
        <w:t>一是</w:t>
      </w:r>
      <w:r>
        <w:rPr>
          <w:rFonts w:hint="eastAsia" w:ascii="仿宋_GB2312" w:hAnsi="楷体" w:eastAsia="仿宋_GB2312" w:cs="楷体"/>
          <w:bCs/>
          <w:color w:val="000000"/>
          <w:sz w:val="32"/>
          <w:szCs w:val="32"/>
        </w:rPr>
        <w:t>强化政策支持。</w:t>
      </w:r>
      <w:r>
        <w:rPr>
          <w:rFonts w:hint="eastAsia" w:ascii="仿宋_GB2312" w:hAnsi="仿宋_GB2312" w:eastAsia="仿宋_GB2312" w:cs="仿宋_GB2312"/>
          <w:color w:val="000000"/>
          <w:sz w:val="32"/>
          <w:szCs w:val="32"/>
        </w:rPr>
        <w:t>为35名落实一至三季度的</w:t>
      </w:r>
      <w:r>
        <w:rPr>
          <w:rFonts w:hint="eastAsia" w:ascii="仿宋_GB2312" w:hAnsi="仿宋" w:eastAsia="仿宋_GB2312" w:cs="仿宋"/>
          <w:color w:val="000000"/>
          <w:sz w:val="32"/>
          <w:szCs w:val="32"/>
        </w:rPr>
        <w:t>重度残疾人护理补贴</w:t>
      </w:r>
      <w:r>
        <w:rPr>
          <w:rFonts w:hint="eastAsia" w:ascii="仿宋_GB2312" w:hAnsi="仿宋_GB2312" w:eastAsia="仿宋_GB2312" w:cs="仿宋_GB2312"/>
          <w:color w:val="000000"/>
          <w:sz w:val="32"/>
          <w:szCs w:val="32"/>
        </w:rPr>
        <w:t>24090元，为4名困难残疾人争取落实燃油补助金1460元</w:t>
      </w:r>
      <w:r>
        <w:rPr>
          <w:rFonts w:hint="eastAsia" w:ascii="仿宋_GB2312" w:hAnsi="楷体" w:eastAsia="仿宋_GB2312" w:cs="楷体"/>
          <w:b/>
          <w:bCs/>
          <w:color w:val="000000"/>
          <w:sz w:val="32"/>
          <w:szCs w:val="32"/>
        </w:rPr>
        <w:t>二是</w:t>
      </w:r>
      <w:r>
        <w:rPr>
          <w:rFonts w:hint="eastAsia" w:ascii="仿宋_GB2312" w:hAnsi="楷体" w:eastAsia="仿宋_GB2312" w:cs="楷体"/>
          <w:bCs/>
          <w:color w:val="000000"/>
          <w:sz w:val="32"/>
          <w:szCs w:val="32"/>
        </w:rPr>
        <w:t>健全社会保障。动员残疾人</w:t>
      </w:r>
      <w:r>
        <w:rPr>
          <w:rFonts w:hint="eastAsia" w:ascii="仿宋_GB2312" w:hAnsi="仿宋" w:eastAsia="仿宋_GB2312" w:cs="仿宋"/>
          <w:color w:val="000000"/>
          <w:sz w:val="32"/>
          <w:szCs w:val="32"/>
        </w:rPr>
        <w:t>积极参保城乡居民养老保险，全乡</w:t>
      </w:r>
      <w:r>
        <w:rPr>
          <w:rFonts w:hint="eastAsia" w:ascii="仿宋_GB2312" w:hAnsi="仿宋_GB2312" w:eastAsia="仿宋_GB2312" w:cs="仿宋_GB2312"/>
          <w:color w:val="000000"/>
          <w:sz w:val="32"/>
          <w:szCs w:val="32"/>
        </w:rPr>
        <w:t>22名残疾人</w:t>
      </w:r>
      <w:r>
        <w:rPr>
          <w:rFonts w:hint="eastAsia" w:ascii="仿宋_GB2312" w:hAnsi="仿宋" w:eastAsia="仿宋_GB2312" w:cs="仿宋"/>
          <w:color w:val="000000"/>
          <w:sz w:val="32"/>
          <w:szCs w:val="32"/>
        </w:rPr>
        <w:t>领取待遇城</w:t>
      </w:r>
      <w:r>
        <w:rPr>
          <w:rFonts w:hint="eastAsia" w:ascii="仿宋_GB2312" w:hAnsi="仿宋_GB2312" w:eastAsia="仿宋_GB2312" w:cs="仿宋_GB2312"/>
          <w:color w:val="000000"/>
          <w:sz w:val="32"/>
          <w:szCs w:val="32"/>
        </w:rPr>
        <w:t>乡居民养老保险；为21名低保困难残疾人落实一至三季度补助资金17010元；</w:t>
      </w:r>
      <w:r>
        <w:rPr>
          <w:rFonts w:hint="eastAsia" w:ascii="仿宋_GB2312" w:hAnsi="楷体" w:eastAsia="仿宋_GB2312" w:cs="楷体"/>
          <w:b/>
          <w:bCs/>
          <w:color w:val="000000"/>
          <w:sz w:val="32"/>
          <w:szCs w:val="32"/>
        </w:rPr>
        <w:t>三是</w:t>
      </w:r>
      <w:r>
        <w:rPr>
          <w:rFonts w:hint="eastAsia" w:ascii="仿宋_GB2312" w:hAnsi="楷体" w:eastAsia="仿宋_GB2312" w:cs="楷体"/>
          <w:bCs/>
          <w:color w:val="000000"/>
          <w:sz w:val="32"/>
          <w:szCs w:val="32"/>
        </w:rPr>
        <w:t>落实</w:t>
      </w:r>
      <w:r>
        <w:rPr>
          <w:rFonts w:hint="eastAsia" w:ascii="仿宋_GB2312" w:hAnsi="仿宋" w:eastAsia="仿宋_GB2312" w:cs="仿宋"/>
          <w:color w:val="000000"/>
          <w:sz w:val="32"/>
          <w:szCs w:val="32"/>
        </w:rPr>
        <w:t>居家灵活就业（直补）创业，为3名残疾人落实居家灵活就业补助资金3000元；</w:t>
      </w:r>
      <w:r>
        <w:rPr>
          <w:rFonts w:hint="eastAsia" w:ascii="仿宋_GB2312" w:hAnsi="楷体" w:eastAsia="仿宋_GB2312" w:cs="楷体"/>
          <w:b/>
          <w:bCs/>
          <w:color w:val="000000"/>
          <w:sz w:val="32"/>
          <w:szCs w:val="32"/>
        </w:rPr>
        <w:t>四是</w:t>
      </w:r>
      <w:r>
        <w:rPr>
          <w:rFonts w:hint="eastAsia" w:ascii="仿宋_GB2312" w:hAnsi="楷体" w:eastAsia="仿宋_GB2312" w:cs="楷体"/>
          <w:bCs/>
          <w:color w:val="000000"/>
          <w:sz w:val="32"/>
          <w:szCs w:val="32"/>
        </w:rPr>
        <w:t>救济助困支持发展。</w:t>
      </w:r>
      <w:r>
        <w:rPr>
          <w:rFonts w:hint="eastAsia" w:ascii="仿宋_GB2312" w:hAnsi="仿宋_GB2312" w:eastAsia="仿宋_GB2312" w:cs="仿宋_GB2312"/>
          <w:color w:val="000000"/>
          <w:sz w:val="32"/>
          <w:szCs w:val="32"/>
        </w:rPr>
        <w:t>为2名困难残疾人生活救助落实10000元补助资金，为2名发展生产残疾人落实17200元补助资金；</w:t>
      </w:r>
    </w:p>
    <w:p>
      <w:pPr>
        <w:adjustRightInd w:val="0"/>
        <w:snapToGrid w:val="0"/>
        <w:spacing w:line="576" w:lineRule="exact"/>
        <w:ind w:firstLine="643" w:firstLineChars="200"/>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eastAsia="zh-CN"/>
        </w:rPr>
        <w:t>7.</w:t>
      </w:r>
      <w:r>
        <w:rPr>
          <w:rFonts w:hint="eastAsia" w:ascii="仿宋" w:hAnsi="仿宋" w:eastAsia="仿宋" w:cs="仿宋"/>
          <w:b/>
          <w:bCs/>
          <w:color w:val="000000"/>
          <w:sz w:val="32"/>
          <w:szCs w:val="32"/>
        </w:rPr>
        <w:t>加强城乡居民医疗保险</w:t>
      </w:r>
    </w:p>
    <w:p>
      <w:pPr>
        <w:adjustRightInd w:val="0"/>
        <w:snapToGrid w:val="0"/>
        <w:spacing w:line="576" w:lineRule="exact"/>
        <w:ind w:firstLine="640" w:firstLineChars="200"/>
        <w:rPr>
          <w:rFonts w:hint="eastAsia" w:ascii="仿宋_GB2312" w:hAnsi="仿宋" w:eastAsia="仿宋_GB2312" w:cs="仿宋"/>
          <w:color w:val="000000"/>
          <w:sz w:val="32"/>
          <w:szCs w:val="32"/>
        </w:rPr>
      </w:pPr>
      <w:r>
        <w:rPr>
          <w:rFonts w:hint="eastAsia" w:ascii="仿宋_GB2312" w:hAnsi="仿宋_GB2312" w:eastAsia="仿宋_GB2312" w:cs="仿宋_GB2312"/>
          <w:color w:val="000000"/>
          <w:sz w:val="32"/>
          <w:szCs w:val="32"/>
        </w:rPr>
        <w:t>按照应保尽保的目标，我乡积极动员群众参加城乡居民养老保险，全乡完成219人“三类人员”参保农村养老保险金政府代缴，为183人名符合条件人员发放养老金，截止目前已有73人普通人员续缴城乡居民养老保险，新增参保城乡居民养老保险11人。</w:t>
      </w:r>
    </w:p>
    <w:p>
      <w:pPr>
        <w:pStyle w:val="4"/>
        <w:rPr>
          <w:rStyle w:val="28"/>
          <w:b w:val="0"/>
          <w:bCs w:val="0"/>
        </w:rPr>
      </w:pPr>
      <w:bookmarkStart w:id="25" w:name="_Toc16213"/>
      <w:bookmarkStart w:id="26" w:name="_Toc15377200"/>
      <w:bookmarkStart w:id="27"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5"/>
      <w:bookmarkEnd w:id="26"/>
      <w:bookmarkEnd w:id="27"/>
    </w:p>
    <w:p>
      <w:pPr>
        <w:adjustRightInd w:val="0"/>
        <w:snapToGrid w:val="0"/>
        <w:spacing w:line="560" w:lineRule="exact"/>
        <w:ind w:firstLine="640" w:firstLineChars="200"/>
        <w:rPr>
          <w:rFonts w:hint="eastAsia" w:ascii="仿宋_GB2312" w:hAnsi="仿宋_GB2312" w:eastAsia="仿宋_GB2312" w:cs="仿宋_GB2312"/>
          <w:color w:val="000000"/>
          <w:sz w:val="32"/>
          <w:szCs w:val="32"/>
        </w:rPr>
      </w:pPr>
      <w:bookmarkStart w:id="28" w:name="_Toc15396602"/>
      <w:bookmarkStart w:id="29" w:name="_Toc15377204"/>
      <w:r>
        <w:rPr>
          <w:rFonts w:hint="eastAsia" w:ascii="仿宋_GB2312" w:hAnsi="仿宋_GB2312" w:eastAsia="仿宋_GB2312" w:cs="仿宋_GB2312"/>
          <w:color w:val="000000"/>
          <w:sz w:val="32"/>
          <w:szCs w:val="32"/>
        </w:rPr>
        <w:t>我单位为独立核算全额拨款行政单位，截止201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年底我单位共有编制29个，其中公务员编制19个，其中行政工勤编制2个，事业编制8个，在职28人，其中参公0人，公务员20人，2018年新录入公务员</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人，转入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人，事业编制7人，2018年减少</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人，行政工勤1人，退休0人。</w:t>
      </w:r>
    </w:p>
    <w:bookmarkEnd w:id="28"/>
    <w:bookmarkEnd w:id="29"/>
    <w:p>
      <w:pPr>
        <w:rPr>
          <w:rFonts w:hint="eastAsia" w:eastAsia="宋体"/>
          <w:lang w:eastAsia="zh-CN"/>
        </w:rPr>
      </w:pPr>
    </w:p>
    <w:p>
      <w:pPr>
        <w:pStyle w:val="26"/>
        <w:numPr>
          <w:ilvl w:val="0"/>
          <w:numId w:val="1"/>
        </w:numPr>
        <w:spacing w:line="600" w:lineRule="exact"/>
        <w:ind w:firstLineChars="0"/>
        <w:outlineLvl w:val="1"/>
        <w:rPr>
          <w:rStyle w:val="28"/>
          <w:rFonts w:ascii="黑体" w:hAnsi="黑体" w:eastAsia="黑体"/>
          <w:b w:val="0"/>
        </w:rPr>
      </w:pPr>
      <w:bookmarkStart w:id="30" w:name="_Toc15396603"/>
      <w:bookmarkStart w:id="31" w:name="_Toc15377205"/>
      <w:bookmarkStart w:id="32" w:name="_Toc812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0"/>
      <w:bookmarkEnd w:id="31"/>
      <w:bookmarkEnd w:id="32"/>
    </w:p>
    <w:p>
      <w:pPr>
        <w:pStyle w:val="26"/>
        <w:numPr>
          <w:ilvl w:val="0"/>
          <w:numId w:val="0"/>
        </w:numPr>
        <w:spacing w:line="600" w:lineRule="exact"/>
        <w:ind w:left="640" w:leftChars="0"/>
        <w:outlineLvl w:val="1"/>
        <w:rPr>
          <w:rStyle w:val="28"/>
          <w:rFonts w:ascii="黑体" w:hAnsi="黑体" w:eastAsia="黑体"/>
          <w:b w:val="0"/>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总计617.94万元</w:t>
      </w:r>
      <w:r>
        <w:rPr>
          <w:rFonts w:hint="eastAsia" w:ascii="仿宋" w:hAnsi="仿宋" w:eastAsia="仿宋"/>
          <w:color w:val="000000"/>
          <w:sz w:val="32"/>
          <w:szCs w:val="32"/>
          <w:lang w:eastAsia="zh-CN"/>
        </w:rPr>
        <w:t>，支出总计650.51万元</w:t>
      </w:r>
      <w:r>
        <w:rPr>
          <w:rFonts w:hint="eastAsia" w:ascii="仿宋" w:hAnsi="仿宋" w:eastAsia="仿宋"/>
          <w:color w:val="000000"/>
          <w:sz w:val="32"/>
          <w:szCs w:val="32"/>
        </w:rPr>
        <w:t>。与2018年相比，收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308.26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33</w:t>
      </w:r>
      <w:r>
        <w:rPr>
          <w:rFonts w:ascii="仿宋" w:hAnsi="仿宋" w:eastAsia="仿宋"/>
          <w:color w:val="000000"/>
          <w:sz w:val="32"/>
          <w:szCs w:val="32"/>
        </w:rPr>
        <w:t>%</w:t>
      </w:r>
      <w:r>
        <w:rPr>
          <w:rFonts w:hint="eastAsia" w:ascii="仿宋" w:hAnsi="仿宋" w:eastAsia="仿宋"/>
          <w:color w:val="000000"/>
          <w:sz w:val="32"/>
          <w:szCs w:val="32"/>
          <w:lang w:eastAsia="zh-CN"/>
        </w:rPr>
        <w:t>，支出总计减少</w:t>
      </w:r>
      <w:r>
        <w:rPr>
          <w:rFonts w:hint="eastAsia" w:ascii="仿宋" w:hAnsi="仿宋" w:eastAsia="仿宋"/>
          <w:color w:val="000000"/>
          <w:sz w:val="32"/>
          <w:szCs w:val="32"/>
          <w:lang w:val="en-US" w:eastAsia="zh-CN"/>
        </w:rPr>
        <w:t>230.34万元，下降26%</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420" w:firstLineChars="200"/>
        <w:jc w:val="left"/>
        <w:rPr>
          <w:rFonts w:hint="eastAsia" w:ascii="仿宋_GB2312" w:eastAsia="仿宋_GB2312"/>
          <w:color w:val="000000"/>
          <w:sz w:val="32"/>
          <w:szCs w:val="32"/>
          <w:lang w:eastAsia="zh-CN"/>
        </w:rPr>
      </w:pPr>
      <w:r>
        <w:drawing>
          <wp:anchor distT="0" distB="0" distL="114300" distR="114300" simplePos="0" relativeHeight="251658240" behindDoc="0" locked="0" layoutInCell="1" allowOverlap="1">
            <wp:simplePos x="0" y="0"/>
            <wp:positionH relativeFrom="column">
              <wp:posOffset>-118745</wp:posOffset>
            </wp:positionH>
            <wp:positionV relativeFrom="paragraph">
              <wp:posOffset>338455</wp:posOffset>
            </wp:positionV>
            <wp:extent cx="5151755" cy="3142615"/>
            <wp:effectExtent l="5080" t="4445" r="5715" b="15240"/>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6"/>
        <w:numPr>
          <w:ilvl w:val="0"/>
          <w:numId w:val="1"/>
        </w:numPr>
        <w:spacing w:line="600" w:lineRule="exact"/>
        <w:ind w:firstLineChars="0"/>
        <w:outlineLvl w:val="1"/>
        <w:rPr>
          <w:rStyle w:val="28"/>
          <w:rFonts w:ascii="黑体" w:hAnsi="黑体" w:eastAsia="黑体"/>
          <w:b w:val="0"/>
        </w:rPr>
      </w:pPr>
      <w:bookmarkStart w:id="33" w:name="_Toc24364"/>
      <w:bookmarkStart w:id="34" w:name="_Toc15377206"/>
      <w:bookmarkStart w:id="35"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33"/>
      <w:bookmarkEnd w:id="34"/>
      <w:bookmarkEnd w:id="35"/>
    </w:p>
    <w:p>
      <w:pPr>
        <w:pStyle w:val="26"/>
        <w:numPr>
          <w:ilvl w:val="0"/>
          <w:numId w:val="0"/>
        </w:numPr>
        <w:spacing w:line="600" w:lineRule="exact"/>
        <w:ind w:left="640" w:leftChars="0"/>
        <w:outlineLvl w:val="1"/>
        <w:rPr>
          <w:rStyle w:val="28"/>
          <w:rFonts w:ascii="黑体" w:hAnsi="黑体" w:eastAsia="黑体"/>
          <w:b w:val="0"/>
        </w:rPr>
      </w:pPr>
    </w:p>
    <w:p>
      <w:pPr>
        <w:spacing w:line="600" w:lineRule="exact"/>
        <w:ind w:firstLine="640" w:firstLineChars="200"/>
        <w:outlineLvl w:val="1"/>
        <w:rPr>
          <w:rFonts w:ascii="仿宋" w:hAnsi="仿宋" w:eastAsia="仿宋"/>
          <w:color w:val="000000"/>
          <w:sz w:val="32"/>
          <w:szCs w:val="32"/>
        </w:rPr>
      </w:pPr>
      <w:bookmarkStart w:id="36" w:name="_Toc1820"/>
      <w:bookmarkStart w:id="37" w:name="_Toc29935"/>
      <w:r>
        <w:rPr>
          <w:rFonts w:ascii="仿宋" w:hAnsi="仿宋" w:eastAsia="仿宋"/>
          <w:color w:val="000000"/>
          <w:sz w:val="32"/>
          <w:szCs w:val="32"/>
        </w:rPr>
        <w:t>201</w:t>
      </w:r>
      <w:r>
        <w:rPr>
          <w:rFonts w:hint="eastAsia" w:ascii="仿宋" w:hAnsi="仿宋" w:eastAsia="仿宋"/>
          <w:color w:val="000000"/>
          <w:sz w:val="32"/>
          <w:szCs w:val="32"/>
        </w:rPr>
        <w:t>9年本年收入合计617.94万元，其中：一般公共预算财政拨款收入617.94万元，占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6"/>
      <w:bookmarkEnd w:id="37"/>
    </w:p>
    <w:p>
      <w:pPr>
        <w:spacing w:line="600" w:lineRule="exact"/>
        <w:ind w:firstLine="960" w:firstLineChars="3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pStyle w:val="14"/>
        <w:ind w:left="420" w:leftChars="200" w:firstLine="0" w:firstLineChars="0"/>
      </w:pPr>
      <w:r>
        <w:drawing>
          <wp:inline distT="0" distB="0" distL="114300" distR="114300">
            <wp:extent cx="5038090" cy="2980690"/>
            <wp:effectExtent l="5080" t="4445" r="5080" b="571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_GB2312" w:eastAsia="仿宋_GB2312"/>
          <w:color w:val="FF0000"/>
          <w:sz w:val="32"/>
          <w:szCs w:val="32"/>
        </w:rPr>
      </w:pPr>
    </w:p>
    <w:p>
      <w:pPr>
        <w:pStyle w:val="26"/>
        <w:numPr>
          <w:ilvl w:val="0"/>
          <w:numId w:val="1"/>
        </w:numPr>
        <w:spacing w:line="600" w:lineRule="exact"/>
        <w:ind w:firstLineChars="0"/>
        <w:outlineLvl w:val="1"/>
        <w:rPr>
          <w:rStyle w:val="28"/>
          <w:rFonts w:ascii="黑体" w:hAnsi="黑体" w:eastAsia="黑体"/>
          <w:b w:val="0"/>
        </w:rPr>
      </w:pPr>
      <w:bookmarkStart w:id="38" w:name="_Toc15377207"/>
      <w:bookmarkStart w:id="39" w:name="_Toc15396605"/>
      <w:bookmarkStart w:id="40" w:name="_Toc1011"/>
      <w:r>
        <w:rPr>
          <w:rFonts w:hint="eastAsia" w:ascii="黑体" w:hAnsi="黑体" w:eastAsia="黑体"/>
          <w:color w:val="000000"/>
          <w:sz w:val="32"/>
          <w:szCs w:val="32"/>
        </w:rPr>
        <w:t>支</w:t>
      </w:r>
      <w:r>
        <w:rPr>
          <w:rStyle w:val="28"/>
          <w:rFonts w:hint="eastAsia" w:ascii="黑体" w:hAnsi="黑体" w:eastAsia="黑体"/>
          <w:b w:val="0"/>
        </w:rPr>
        <w:t>出决算情况说明</w:t>
      </w:r>
      <w:bookmarkEnd w:id="38"/>
      <w:bookmarkEnd w:id="39"/>
      <w:bookmarkEnd w:id="40"/>
    </w:p>
    <w:p>
      <w:pPr>
        <w:pStyle w:val="26"/>
        <w:numPr>
          <w:ilvl w:val="0"/>
          <w:numId w:val="0"/>
        </w:numPr>
        <w:spacing w:line="600" w:lineRule="exact"/>
        <w:ind w:left="640" w:leftChars="0"/>
        <w:outlineLvl w:val="1"/>
        <w:rPr>
          <w:rStyle w:val="28"/>
          <w:rFonts w:ascii="黑体" w:hAnsi="黑体" w:eastAsia="黑体"/>
          <w:b w:val="0"/>
        </w:rPr>
      </w:pPr>
    </w:p>
    <w:p>
      <w:pPr>
        <w:spacing w:line="600" w:lineRule="exact"/>
        <w:ind w:firstLine="640" w:firstLineChars="200"/>
        <w:outlineLvl w:val="1"/>
        <w:rPr>
          <w:rFonts w:ascii="仿宋" w:hAnsi="仿宋" w:eastAsia="仿宋"/>
          <w:color w:val="000000"/>
          <w:sz w:val="32"/>
          <w:szCs w:val="32"/>
        </w:rPr>
      </w:pPr>
      <w:bookmarkStart w:id="41" w:name="_Toc30411"/>
      <w:bookmarkStart w:id="42" w:name="_Toc31017"/>
      <w:r>
        <w:rPr>
          <w:rFonts w:ascii="仿宋" w:hAnsi="仿宋" w:eastAsia="仿宋"/>
          <w:color w:val="000000"/>
          <w:sz w:val="32"/>
          <w:szCs w:val="32"/>
        </w:rPr>
        <w:t>201</w:t>
      </w:r>
      <w:r>
        <w:rPr>
          <w:rFonts w:hint="eastAsia" w:ascii="仿宋" w:hAnsi="仿宋" w:eastAsia="仿宋"/>
          <w:color w:val="000000"/>
          <w:sz w:val="32"/>
          <w:szCs w:val="32"/>
        </w:rPr>
        <w:t>9年本年支出合计650.51万元，其中：基本支出541.76万元，占</w:t>
      </w:r>
      <w:r>
        <w:rPr>
          <w:rFonts w:hint="eastAsia" w:ascii="仿宋" w:hAnsi="仿宋" w:eastAsia="仿宋"/>
          <w:color w:val="000000"/>
          <w:sz w:val="32"/>
          <w:szCs w:val="32"/>
          <w:lang w:val="en-US" w:eastAsia="zh-CN"/>
        </w:rPr>
        <w:t>83</w:t>
      </w:r>
      <w:r>
        <w:rPr>
          <w:rFonts w:ascii="仿宋" w:hAnsi="仿宋" w:eastAsia="仿宋"/>
          <w:color w:val="000000"/>
          <w:sz w:val="32"/>
          <w:szCs w:val="32"/>
        </w:rPr>
        <w:t>%</w:t>
      </w:r>
      <w:r>
        <w:rPr>
          <w:rFonts w:hint="eastAsia" w:ascii="仿宋" w:hAnsi="仿宋" w:eastAsia="仿宋"/>
          <w:color w:val="000000"/>
          <w:sz w:val="32"/>
          <w:szCs w:val="32"/>
        </w:rPr>
        <w:t>；项目支出108.75万元，占</w:t>
      </w:r>
      <w:r>
        <w:rPr>
          <w:rFonts w:hint="eastAsia" w:ascii="仿宋" w:hAnsi="仿宋" w:eastAsia="仿宋"/>
          <w:color w:val="000000"/>
          <w:sz w:val="32"/>
          <w:szCs w:val="32"/>
          <w:lang w:val="en-US" w:eastAsia="zh-CN"/>
        </w:rPr>
        <w:t>17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1"/>
      <w:bookmarkEnd w:id="42"/>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pStyle w:val="14"/>
        <w:rPr>
          <w:rFonts w:ascii="仿宋_GB2312" w:eastAsia="仿宋_GB2312"/>
          <w:color w:val="FF0000"/>
          <w:sz w:val="32"/>
          <w:szCs w:val="32"/>
        </w:rPr>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numPr>
          <w:ilvl w:val="0"/>
          <w:numId w:val="1"/>
        </w:numPr>
        <w:spacing w:line="600" w:lineRule="exact"/>
        <w:ind w:left="1360" w:leftChars="0" w:hanging="720" w:firstLineChars="0"/>
        <w:outlineLvl w:val="1"/>
        <w:rPr>
          <w:rStyle w:val="28"/>
          <w:rFonts w:hint="eastAsia" w:ascii="黑体" w:hAnsi="黑体" w:eastAsia="黑体"/>
          <w:b w:val="0"/>
        </w:rPr>
      </w:pPr>
      <w:bookmarkStart w:id="43" w:name="_Toc15396606"/>
      <w:bookmarkStart w:id="44" w:name="_Toc14660"/>
      <w:bookmarkStart w:id="45" w:name="_Toc15377208"/>
      <w:r>
        <w:rPr>
          <w:rFonts w:hint="eastAsia" w:ascii="黑体" w:hAnsi="黑体" w:eastAsia="黑体"/>
          <w:color w:val="000000"/>
          <w:sz w:val="32"/>
          <w:szCs w:val="32"/>
        </w:rPr>
        <w:t>财</w:t>
      </w:r>
      <w:r>
        <w:rPr>
          <w:rStyle w:val="28"/>
          <w:rFonts w:hint="eastAsia" w:ascii="黑体" w:hAnsi="黑体" w:eastAsia="黑体"/>
          <w:b w:val="0"/>
        </w:rPr>
        <w:t>政拨款收入支出决算总体情况说明</w:t>
      </w:r>
      <w:bookmarkEnd w:id="43"/>
      <w:bookmarkEnd w:id="44"/>
      <w:bookmarkEnd w:id="45"/>
    </w:p>
    <w:p>
      <w:pPr>
        <w:pStyle w:val="2"/>
        <w:numPr>
          <w:ilvl w:val="0"/>
          <w:numId w:val="0"/>
        </w:numPr>
        <w:ind w:left="640" w:leftChars="0"/>
      </w:pP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总计617.94万元</w:t>
      </w:r>
      <w:r>
        <w:rPr>
          <w:rFonts w:hint="eastAsia" w:ascii="仿宋" w:hAnsi="仿宋" w:eastAsia="仿宋"/>
          <w:color w:val="000000"/>
          <w:sz w:val="32"/>
          <w:szCs w:val="32"/>
          <w:lang w:eastAsia="zh-CN"/>
        </w:rPr>
        <w:t>，支出总计650.51万元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308.26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33</w:t>
      </w:r>
      <w:r>
        <w:rPr>
          <w:rFonts w:ascii="仿宋" w:hAnsi="仿宋" w:eastAsia="仿宋"/>
          <w:color w:val="000000"/>
          <w:sz w:val="32"/>
          <w:szCs w:val="32"/>
        </w:rPr>
        <w:t>%</w:t>
      </w:r>
      <w:r>
        <w:rPr>
          <w:rFonts w:hint="eastAsia" w:ascii="仿宋" w:hAnsi="仿宋" w:eastAsia="仿宋"/>
          <w:color w:val="000000"/>
          <w:sz w:val="32"/>
          <w:szCs w:val="32"/>
          <w:lang w:eastAsia="zh-CN"/>
        </w:rPr>
        <w:t>，支出总计减少</w:t>
      </w:r>
      <w:r>
        <w:rPr>
          <w:rFonts w:hint="eastAsia" w:ascii="仿宋" w:hAnsi="仿宋" w:eastAsia="仿宋"/>
          <w:color w:val="000000"/>
          <w:sz w:val="32"/>
          <w:szCs w:val="32"/>
          <w:lang w:val="en-US" w:eastAsia="zh-CN"/>
        </w:rPr>
        <w:t>230.34万元，下降26%。</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p>
    <w:p>
      <w:pPr>
        <w:spacing w:line="600" w:lineRule="exact"/>
        <w:ind w:firstLine="420" w:firstLineChars="200"/>
      </w:pPr>
      <w:r>
        <w:drawing>
          <wp:anchor distT="0" distB="0" distL="114300" distR="114300" simplePos="0" relativeHeight="251659264" behindDoc="0" locked="0" layoutInCell="1" allowOverlap="1">
            <wp:simplePos x="0" y="0"/>
            <wp:positionH relativeFrom="column">
              <wp:posOffset>134620</wp:posOffset>
            </wp:positionH>
            <wp:positionV relativeFrom="paragraph">
              <wp:posOffset>394970</wp:posOffset>
            </wp:positionV>
            <wp:extent cx="5047615" cy="3247390"/>
            <wp:effectExtent l="4445" t="4445" r="15240" b="5715"/>
            <wp:wrapSquare wrapText="bothSides"/>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46" w:name="_Toc15377209"/>
      <w:bookmarkStart w:id="47" w:name="_Toc12527"/>
      <w:bookmarkStart w:id="48"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6"/>
      <w:bookmarkEnd w:id="47"/>
      <w:bookmarkEnd w:id="48"/>
    </w:p>
    <w:p>
      <w:pPr>
        <w:spacing w:line="600" w:lineRule="exact"/>
        <w:ind w:firstLine="643" w:firstLineChars="200"/>
        <w:outlineLvl w:val="2"/>
        <w:rPr>
          <w:rFonts w:ascii="仿宋" w:hAnsi="仿宋" w:eastAsia="仿宋"/>
          <w:b/>
          <w:color w:val="000000"/>
          <w:sz w:val="32"/>
          <w:szCs w:val="32"/>
        </w:rPr>
      </w:pPr>
      <w:bookmarkStart w:id="49" w:name="_Toc7273"/>
      <w:bookmarkStart w:id="50" w:name="_Toc15377210"/>
      <w:r>
        <w:rPr>
          <w:rFonts w:hint="eastAsia" w:ascii="仿宋" w:hAnsi="仿宋" w:eastAsia="仿宋"/>
          <w:b/>
          <w:color w:val="000000"/>
          <w:sz w:val="32"/>
          <w:szCs w:val="32"/>
        </w:rPr>
        <w:t>（一）一般公共预算财政拨款支出决算总体情况</w:t>
      </w:r>
      <w:bookmarkEnd w:id="49"/>
      <w:bookmarkEnd w:id="50"/>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650.51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230.34万元，下降26%</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pStyle w:val="14"/>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51" w:name="_Toc15377211"/>
      <w:bookmarkStart w:id="52" w:name="_Toc13112"/>
      <w:r>
        <w:rPr>
          <w:rFonts w:hint="eastAsia" w:ascii="仿宋" w:hAnsi="仿宋" w:eastAsia="仿宋"/>
          <w:b/>
          <w:color w:val="000000"/>
          <w:sz w:val="32"/>
          <w:szCs w:val="32"/>
        </w:rPr>
        <w:t>（二）一般公共预算财政拨款支出决算结构情况</w:t>
      </w:r>
      <w:bookmarkEnd w:id="51"/>
      <w:bookmarkEnd w:id="52"/>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sz w:val="32"/>
          <w:szCs w:val="32"/>
          <w:lang w:val="en-US" w:eastAsia="zh-CN"/>
        </w:rPr>
        <w:t>650.51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一般公共服务（类）支出420.17万元，占</w:t>
      </w:r>
      <w:r>
        <w:rPr>
          <w:rFonts w:hint="eastAsia" w:ascii="仿宋" w:hAnsi="仿宋" w:eastAsia="仿宋"/>
          <w:color w:val="000000" w:themeColor="text1"/>
          <w:sz w:val="32"/>
          <w:szCs w:val="32"/>
          <w:lang w:val="en-US" w:eastAsia="zh-CN"/>
        </w:rPr>
        <w:t>65</w:t>
      </w:r>
      <w:r>
        <w:rPr>
          <w:rFonts w:hint="eastAsia" w:ascii="仿宋" w:hAnsi="仿宋" w:eastAsia="仿宋"/>
          <w:color w:val="000000" w:themeColor="text1"/>
          <w:sz w:val="32"/>
          <w:szCs w:val="32"/>
          <w:lang w:eastAsia="zh-CN"/>
        </w:rPr>
        <w:t>%；文化旅游体育与传媒（类）支出3.55万元，占</w:t>
      </w:r>
      <w:r>
        <w:rPr>
          <w:rFonts w:hint="eastAsia" w:ascii="仿宋" w:hAnsi="仿宋" w:eastAsia="仿宋"/>
          <w:color w:val="000000" w:themeColor="text1"/>
          <w:sz w:val="32"/>
          <w:szCs w:val="32"/>
          <w:lang w:val="en-US" w:eastAsia="zh-CN"/>
        </w:rPr>
        <w:t>0.01</w:t>
      </w:r>
      <w:r>
        <w:rPr>
          <w:rFonts w:hint="eastAsia" w:ascii="仿宋" w:hAnsi="仿宋" w:eastAsia="仿宋"/>
          <w:color w:val="000000" w:themeColor="text1"/>
          <w:sz w:val="32"/>
          <w:szCs w:val="32"/>
          <w:lang w:eastAsia="zh-CN"/>
        </w:rPr>
        <w:t>%；社会保障和就业（类）支出94.74万元，占</w:t>
      </w:r>
      <w:r>
        <w:rPr>
          <w:rFonts w:hint="eastAsia" w:ascii="仿宋" w:hAnsi="仿宋" w:eastAsia="仿宋"/>
          <w:color w:val="000000" w:themeColor="text1"/>
          <w:sz w:val="32"/>
          <w:szCs w:val="32"/>
          <w:lang w:val="en-US" w:eastAsia="zh-CN"/>
        </w:rPr>
        <w:t>15</w:t>
      </w:r>
      <w:r>
        <w:rPr>
          <w:rFonts w:hint="eastAsia" w:ascii="仿宋" w:hAnsi="仿宋" w:eastAsia="仿宋"/>
          <w:color w:val="000000" w:themeColor="text1"/>
          <w:sz w:val="32"/>
          <w:szCs w:val="32"/>
          <w:lang w:eastAsia="zh-CN"/>
        </w:rPr>
        <w:t>%；卫生健康支出27.38万元，占</w:t>
      </w:r>
      <w:r>
        <w:rPr>
          <w:rFonts w:hint="eastAsia" w:ascii="仿宋" w:hAnsi="仿宋" w:eastAsia="仿宋"/>
          <w:color w:val="000000" w:themeColor="text1"/>
          <w:sz w:val="32"/>
          <w:szCs w:val="32"/>
          <w:lang w:val="en-US" w:eastAsia="zh-CN"/>
        </w:rPr>
        <w:t>4</w:t>
      </w:r>
      <w:r>
        <w:rPr>
          <w:rFonts w:hint="eastAsia" w:ascii="仿宋" w:hAnsi="仿宋" w:eastAsia="仿宋"/>
          <w:color w:val="000000" w:themeColor="text1"/>
          <w:sz w:val="32"/>
          <w:szCs w:val="32"/>
          <w:lang w:eastAsia="zh-CN"/>
        </w:rPr>
        <w:t>%；农林水支出63.11万元，占</w:t>
      </w:r>
      <w:r>
        <w:rPr>
          <w:rFonts w:hint="eastAsia" w:ascii="仿宋" w:hAnsi="仿宋" w:eastAsia="仿宋"/>
          <w:color w:val="000000" w:themeColor="text1"/>
          <w:sz w:val="32"/>
          <w:szCs w:val="32"/>
          <w:lang w:val="en-US" w:eastAsia="zh-CN"/>
        </w:rPr>
        <w:t>9.99%；</w:t>
      </w:r>
      <w:r>
        <w:rPr>
          <w:rFonts w:hint="eastAsia" w:ascii="仿宋" w:hAnsi="仿宋" w:eastAsia="仿宋"/>
          <w:color w:val="000000" w:themeColor="text1"/>
          <w:sz w:val="32"/>
          <w:szCs w:val="32"/>
          <w:lang w:eastAsia="zh-CN"/>
        </w:rPr>
        <w:t>住</w:t>
      </w:r>
      <w:r>
        <w:rPr>
          <w:rFonts w:hint="eastAsia" w:ascii="仿宋" w:hAnsi="仿宋" w:eastAsia="仿宋"/>
          <w:color w:val="000000" w:themeColor="text1"/>
          <w:sz w:val="32"/>
          <w:szCs w:val="32"/>
        </w:rPr>
        <w:t>房保障支出41.56万元，占</w:t>
      </w:r>
      <w:r>
        <w:rPr>
          <w:rFonts w:hint="eastAsia" w:ascii="仿宋" w:hAnsi="仿宋" w:eastAsia="仿宋"/>
          <w:color w:val="000000" w:themeColor="text1"/>
          <w:sz w:val="32"/>
          <w:szCs w:val="32"/>
          <w:lang w:val="en-US" w:eastAsia="zh-CN"/>
        </w:rPr>
        <w:t>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sz w:val="32"/>
          <w:szCs w:val="32"/>
        </w:rPr>
        <w:t>（图6：一般公共预算财政拨款支出决算结构）（饼状图）</w:t>
      </w:r>
    </w:p>
    <w:p>
      <w:pPr>
        <w:pStyle w:val="14"/>
        <w:ind w:left="420" w:leftChars="200" w:firstLine="0" w:firstLineChars="0"/>
        <w:rPr>
          <w:rFonts w:ascii="仿宋" w:hAnsi="仿宋" w:eastAsia="仿宋"/>
          <w:color w:val="000000"/>
          <w:sz w:val="32"/>
          <w:szCs w:val="32"/>
        </w:rPr>
      </w:pP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outlineLvl w:val="2"/>
        <w:rPr>
          <w:rFonts w:ascii="仿宋" w:hAnsi="仿宋" w:eastAsia="仿宋"/>
          <w:b/>
          <w:color w:val="000000"/>
          <w:sz w:val="32"/>
          <w:szCs w:val="32"/>
        </w:rPr>
      </w:pPr>
      <w:bookmarkStart w:id="53" w:name="_Toc15377212"/>
      <w:bookmarkStart w:id="54" w:name="_Toc12554"/>
      <w:r>
        <w:rPr>
          <w:rFonts w:hint="eastAsia" w:ascii="仿宋" w:hAnsi="仿宋" w:eastAsia="仿宋"/>
          <w:b/>
          <w:color w:val="000000"/>
          <w:sz w:val="32"/>
          <w:szCs w:val="32"/>
        </w:rPr>
        <w:t>（三）一般公共预算财政拨款支出决算具体情况</w:t>
      </w:r>
      <w:bookmarkEnd w:id="53"/>
      <w:bookmarkEnd w:id="54"/>
    </w:p>
    <w:p>
      <w:pPr>
        <w:spacing w:line="600" w:lineRule="exact"/>
        <w:ind w:firstLine="643" w:firstLineChars="200"/>
        <w:outlineLvl w:val="2"/>
        <w:rPr>
          <w:rFonts w:hint="eastAsia" w:ascii="仿宋" w:hAnsi="仿宋" w:eastAsia="仿宋" w:cs="仿宋"/>
          <w:color w:val="FF0000"/>
          <w:sz w:val="32"/>
          <w:szCs w:val="32"/>
        </w:rPr>
      </w:pPr>
      <w:bookmarkStart w:id="55" w:name="_Toc9371"/>
      <w:bookmarkStart w:id="56" w:name="_Toc15378460"/>
      <w:bookmarkStart w:id="57" w:name="_Toc15377444"/>
      <w:bookmarkStart w:id="58" w:name="_Toc15377213"/>
      <w:bookmarkStart w:id="59" w:name="_Toc18179"/>
      <w:r>
        <w:rPr>
          <w:rFonts w:hint="eastAsia" w:ascii="仿宋" w:hAnsi="仿宋" w:eastAsia="仿宋" w:cs="仿宋"/>
          <w:b/>
          <w:color w:val="000000" w:themeColor="text1"/>
          <w:sz w:val="32"/>
          <w:szCs w:val="32"/>
        </w:rPr>
        <w:t>2019年</w:t>
      </w:r>
      <w:r>
        <w:rPr>
          <w:rFonts w:hint="eastAsia" w:ascii="仿宋" w:hAnsi="仿宋" w:eastAsia="仿宋" w:cs="仿宋"/>
          <w:b/>
          <w:color w:val="000000" w:themeColor="text1"/>
          <w:sz w:val="32"/>
          <w:szCs w:val="32"/>
          <w:lang w:eastAsia="zh-CN"/>
        </w:rPr>
        <w:t>一</w:t>
      </w:r>
      <w:r>
        <w:rPr>
          <w:rFonts w:hint="eastAsia" w:ascii="仿宋" w:hAnsi="仿宋" w:eastAsia="仿宋" w:cs="仿宋"/>
          <w:b/>
          <w:color w:val="000000" w:themeColor="text1"/>
          <w:sz w:val="32"/>
          <w:szCs w:val="32"/>
        </w:rPr>
        <w:t>般公共预算支出决算数为</w:t>
      </w:r>
      <w:r>
        <w:rPr>
          <w:rFonts w:hint="eastAsia" w:ascii="仿宋" w:hAnsi="仿宋" w:eastAsia="仿宋" w:cs="仿宋"/>
          <w:b/>
          <w:color w:val="000000" w:themeColor="text1"/>
          <w:sz w:val="32"/>
          <w:szCs w:val="32"/>
          <w:lang w:val="en-US" w:eastAsia="zh-CN"/>
        </w:rPr>
        <w:t>650.51万元</w:t>
      </w:r>
      <w:r>
        <w:rPr>
          <w:rFonts w:hint="eastAsia" w:ascii="仿宋" w:hAnsi="仿宋" w:eastAsia="仿宋" w:cs="仿宋"/>
          <w:color w:val="000000" w:themeColor="text1"/>
          <w:sz w:val="32"/>
          <w:szCs w:val="32"/>
        </w:rPr>
        <w:t>，</w:t>
      </w:r>
      <w:r>
        <w:rPr>
          <w:rStyle w:val="17"/>
          <w:rFonts w:hint="eastAsia" w:ascii="仿宋" w:hAnsi="仿宋" w:eastAsia="仿宋" w:cs="仿宋"/>
          <w:bCs/>
          <w:color w:val="000000" w:themeColor="text1"/>
          <w:sz w:val="32"/>
          <w:szCs w:val="32"/>
        </w:rPr>
        <w:t>完成</w:t>
      </w:r>
      <w:r>
        <w:rPr>
          <w:rStyle w:val="17"/>
          <w:rFonts w:hint="eastAsia" w:ascii="仿宋" w:hAnsi="仿宋" w:eastAsia="仿宋" w:cs="仿宋"/>
          <w:bCs/>
          <w:color w:val="000000"/>
          <w:sz w:val="32"/>
          <w:szCs w:val="32"/>
        </w:rPr>
        <w:t>预算</w:t>
      </w:r>
      <w:r>
        <w:rPr>
          <w:rStyle w:val="17"/>
          <w:rFonts w:hint="eastAsia" w:ascii="仿宋" w:hAnsi="仿宋" w:eastAsia="仿宋" w:cs="仿宋"/>
          <w:bCs/>
          <w:color w:val="000000"/>
          <w:sz w:val="32"/>
          <w:szCs w:val="32"/>
          <w:lang w:val="en-US" w:eastAsia="zh-CN"/>
        </w:rPr>
        <w:t>100</w:t>
      </w:r>
      <w:r>
        <w:rPr>
          <w:rStyle w:val="17"/>
          <w:rFonts w:hint="eastAsia" w:ascii="仿宋" w:hAnsi="仿宋" w:eastAsia="仿宋" w:cs="仿宋"/>
          <w:bCs/>
          <w:color w:val="000000"/>
          <w:sz w:val="32"/>
          <w:szCs w:val="32"/>
        </w:rPr>
        <w:t>%。其中：</w:t>
      </w:r>
      <w:bookmarkEnd w:id="55"/>
      <w:bookmarkEnd w:id="56"/>
      <w:bookmarkEnd w:id="57"/>
      <w:bookmarkEnd w:id="58"/>
      <w:bookmarkEnd w:id="59"/>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w:t>
      </w:r>
      <w:r>
        <w:rPr>
          <w:rFonts w:hint="eastAsia" w:ascii="仿宋" w:hAnsi="仿宋" w:eastAsia="仿宋"/>
          <w:b/>
          <w:bCs/>
          <w:color w:val="000000"/>
          <w:sz w:val="32"/>
          <w:szCs w:val="32"/>
          <w:lang w:val="en-US" w:eastAsia="zh-CN"/>
        </w:rPr>
        <w:t>支出201：支出决算为420.17万元，完成预算100%。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人大事务行政运行</w:t>
      </w:r>
      <w:r>
        <w:rPr>
          <w:rFonts w:hint="eastAsia" w:ascii="仿宋" w:hAnsi="仿宋" w:eastAsia="仿宋"/>
          <w:color w:val="000000"/>
          <w:sz w:val="32"/>
          <w:szCs w:val="32"/>
          <w:lang w:val="en-US" w:eastAsia="zh-CN"/>
        </w:rPr>
        <w:t>20101 01</w:t>
      </w:r>
      <w:r>
        <w:rPr>
          <w:rFonts w:hint="eastAsia" w:ascii="仿宋" w:hAnsi="仿宋" w:eastAsia="仿宋"/>
          <w:color w:val="000000"/>
          <w:sz w:val="32"/>
          <w:szCs w:val="32"/>
        </w:rPr>
        <w:t>: 支出决算为16.03万元，完成预算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 xml:space="preserve"> （2）政府办公厅（室）及相关机构事务行政运行20103 01：</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247.63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政府办公厅（室）及相关机构事务一般行政管理事务20103 02：支出决算为0.35万元，完成预算100%。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（4）政府办公厅（室）及相关机构事务事业运行20103 50：支出决算为75.33万元，</w:t>
      </w:r>
      <w:r>
        <w:rPr>
          <w:rFonts w:hint="eastAsia" w:ascii="仿宋" w:hAnsi="仿宋" w:eastAsia="仿宋"/>
          <w:color w:val="000000"/>
          <w:sz w:val="32"/>
          <w:szCs w:val="32"/>
        </w:rPr>
        <w:t>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5</w:t>
      </w:r>
      <w:r>
        <w:rPr>
          <w:rFonts w:hint="eastAsia" w:ascii="仿宋" w:hAnsi="仿宋" w:eastAsia="仿宋"/>
          <w:color w:val="000000"/>
          <w:sz w:val="32"/>
          <w:szCs w:val="32"/>
          <w:lang w:eastAsia="zh-CN"/>
        </w:rPr>
        <w:t>）财政事务行政运行</w:t>
      </w:r>
      <w:r>
        <w:rPr>
          <w:rFonts w:hint="eastAsia" w:ascii="仿宋" w:hAnsi="仿宋" w:eastAsia="仿宋"/>
          <w:color w:val="000000"/>
          <w:sz w:val="32"/>
          <w:szCs w:val="32"/>
          <w:lang w:val="en-US" w:eastAsia="zh-CN"/>
        </w:rPr>
        <w:t>20106 01</w:t>
      </w:r>
      <w:r>
        <w:rPr>
          <w:rFonts w:hint="eastAsia" w:ascii="仿宋" w:hAnsi="仿宋" w:eastAsia="仿宋"/>
          <w:color w:val="000000"/>
          <w:sz w:val="32"/>
          <w:szCs w:val="32"/>
          <w:lang w:eastAsia="zh-CN"/>
        </w:rPr>
        <w:t>：支出决算为</w:t>
      </w:r>
      <w:r>
        <w:rPr>
          <w:rFonts w:hint="eastAsia" w:ascii="仿宋" w:hAnsi="仿宋" w:eastAsia="仿宋"/>
          <w:color w:val="000000"/>
          <w:sz w:val="32"/>
          <w:szCs w:val="32"/>
          <w:lang w:val="en-US" w:eastAsia="zh-CN"/>
        </w:rPr>
        <w:t>10.17万元，完成预算100%。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（6）群众团体事务 其他群众团体事务支出20129 99：支出决算为5万元，完成预算100%。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（7）党委办公厅（室）及相关机构事务 行政运行20131 01：支出决算为65.66万元，完成预算100%。</w:t>
      </w:r>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2.</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支出207：支出决算为3.55万元，完成预算100%。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）文化旅游体育和传媒支出</w:t>
      </w:r>
      <w:r>
        <w:rPr>
          <w:rFonts w:hint="eastAsia" w:ascii="仿宋" w:hAnsi="仿宋" w:eastAsia="仿宋"/>
          <w:color w:val="000000"/>
          <w:sz w:val="32"/>
          <w:szCs w:val="32"/>
          <w:lang w:val="en-US" w:eastAsia="zh-CN"/>
        </w:rPr>
        <w:t xml:space="preserve"> 文化和旅游 其他文化和旅游支出207 01 99；支出决算为3.55万元，完成预算100%。 </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3.社会保障和就业支出208：支出决算为94.73万元，完成预算100%。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（1）社会保障和就业支出 民政管理事务 基层政权和社区建设208 02 08：支出决算为32.27万元，完成预算100%。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行政事业单位离退休 机关事业单位几百年养老保险缴费支出208 05 05：支出决算为：41.41万元，完成预算100%。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行政事业单位离退休 机关事业单位职业年金缴费支出208 05 06：支出决算为19.09万元，完成预算100%。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（4）社会保障和就业支出 特困人员救助供养 农村特困人员救助供养支出208 21 02：支出决算为1.96万元，完成预算100%。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4.卫生健康支出210：支出决算为27.37万元，完成预算100%。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公共卫生 重大公共卫生专项210 04 09：支出决算为2.5万元，完成预算100%。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（2）卫生健康支出 行政事业单位医疗 行政单位医疗210 11 01：支出决算为20.86万元，完成预算100%。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（3）卫生健康支出 行政事业单位医疗 公务员医疗补助210 11 03：支出决算为4.01万元，完成预算100%。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5.农林水支出213：支出决算63.12万元，完成预算100%。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（1）农林水 扶贫 农村基础设施建设213 05 04：支出决算为6.18万元，完成预算100%。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（2）农林水 扶贫  生产发展213 05 05;支出决算为8.54万元，完成预算100%。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（3）农林水 扶贫 其他扶贫支出213 05 99：支出决算为3万元，完成预算100%。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（4）农林水 农村综合改革 对村民委员会和村党支部的补助213 07 05：支出决算44.9万元，完成预算100%。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（5）农林水 其他农林水支出 213 99 99：支出决算为0.5万元，完成预算100%。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6.住房保障支出221：支出决算为41.56万元，完成预算100%。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 住房公积金221 02 01：支出决算为41.56万元，完成预算100%。</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8"/>
        </w:rPr>
      </w:pPr>
      <w:bookmarkStart w:id="60" w:name="_Toc15377214"/>
      <w:bookmarkStart w:id="61" w:name="_Toc5175"/>
      <w:bookmarkStart w:id="62"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0"/>
      <w:bookmarkEnd w:id="61"/>
      <w:bookmarkEnd w:id="62"/>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541.77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493.86</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84.79万元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204.77万元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62.03万元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7.19万元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41.41万元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19.09万元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公务员医疗补助及饿哦费</w:t>
      </w:r>
      <w:r>
        <w:rPr>
          <w:rFonts w:hint="eastAsia" w:ascii="仿宋" w:hAnsi="仿宋" w:eastAsia="仿宋"/>
          <w:color w:val="000000"/>
          <w:sz w:val="32"/>
          <w:szCs w:val="32"/>
          <w:lang w:val="en-US" w:eastAsia="zh-CN"/>
        </w:rPr>
        <w:t>4.01万元、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5.78万元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41.56万元、医疗费2.33万元，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0.01万元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47.91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18.14万元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3.5万元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0.15万元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4万元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2.5万元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1.86万元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0.49万元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5.47万元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6.6万元</w:t>
      </w:r>
      <w:r>
        <w:rPr>
          <w:rFonts w:hint="eastAsia" w:ascii="仿宋" w:hAnsi="仿宋" w:eastAsia="仿宋"/>
          <w:color w:val="000000"/>
          <w:sz w:val="32"/>
          <w:szCs w:val="32"/>
        </w:rPr>
        <w:t>。</w:t>
      </w:r>
    </w:p>
    <w:p>
      <w:pPr>
        <w:spacing w:line="600" w:lineRule="exact"/>
        <w:ind w:firstLine="640"/>
        <w:outlineLvl w:val="1"/>
        <w:rPr>
          <w:rStyle w:val="28"/>
          <w:rFonts w:ascii="黑体" w:hAnsi="黑体" w:eastAsia="黑体"/>
          <w:b w:val="0"/>
        </w:rPr>
      </w:pPr>
      <w:bookmarkStart w:id="63" w:name="_Toc15396609"/>
      <w:bookmarkStart w:id="64" w:name="_Toc1778"/>
      <w:bookmarkStart w:id="65"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3"/>
      <w:bookmarkEnd w:id="64"/>
      <w:bookmarkEnd w:id="65"/>
    </w:p>
    <w:p>
      <w:pPr>
        <w:spacing w:line="600" w:lineRule="exact"/>
        <w:ind w:firstLine="640"/>
        <w:outlineLvl w:val="2"/>
        <w:rPr>
          <w:rFonts w:ascii="仿宋" w:hAnsi="仿宋" w:eastAsia="仿宋"/>
          <w:b/>
          <w:color w:val="000000"/>
          <w:sz w:val="32"/>
          <w:szCs w:val="32"/>
        </w:rPr>
      </w:pPr>
      <w:bookmarkStart w:id="66" w:name="_Toc15377216"/>
      <w:bookmarkStart w:id="67" w:name="_Toc18607"/>
      <w:r>
        <w:rPr>
          <w:rFonts w:hint="eastAsia" w:ascii="仿宋" w:hAnsi="仿宋" w:eastAsia="仿宋"/>
          <w:b/>
          <w:color w:val="000000"/>
          <w:sz w:val="32"/>
          <w:szCs w:val="32"/>
        </w:rPr>
        <w:t>（一）“三公”经费财政拨款支出决算总体情况说明</w:t>
      </w:r>
      <w:bookmarkEnd w:id="66"/>
      <w:bookmarkEnd w:id="6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9年“三公”经费财政拨款支出决算为6.6万元，完成预算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8" w:name="_Toc31451"/>
      <w:bookmarkStart w:id="69" w:name="_Toc15377217"/>
      <w:r>
        <w:rPr>
          <w:rFonts w:hint="eastAsia" w:ascii="仿宋" w:hAnsi="仿宋" w:eastAsia="仿宋"/>
          <w:b/>
          <w:color w:val="000000"/>
          <w:sz w:val="32"/>
          <w:szCs w:val="32"/>
        </w:rPr>
        <w:t>（二）“三公”经费财政拨款支出决算具体情况说明</w:t>
      </w:r>
      <w:bookmarkEnd w:id="68"/>
      <w:bookmarkEnd w:id="6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4"/>
      </w:pPr>
      <w:r>
        <w:drawing>
          <wp:inline distT="0" distB="0" distL="114300" distR="114300">
            <wp:extent cx="4572000" cy="2743200"/>
            <wp:effectExtent l="4445" t="4445" r="1460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numPr>
          <w:ilvl w:val="0"/>
          <w:numId w:val="2"/>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6.6</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2.32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。主要原因是公务用车维修维护费用</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6.6</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0</w:t>
      </w:r>
      <w:r>
        <w:rPr>
          <w:rFonts w:hint="eastAsia" w:ascii="仿宋_GB2312" w:eastAsia="仿宋_GB2312"/>
          <w:color w:val="000000"/>
          <w:sz w:val="32"/>
          <w:szCs w:val="32"/>
        </w:rPr>
        <w:t>。其中：</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70" w:name="_Toc15377218"/>
      <w:bookmarkStart w:id="71" w:name="_Toc15396610"/>
    </w:p>
    <w:p>
      <w:pPr>
        <w:spacing w:line="600" w:lineRule="exact"/>
        <w:ind w:firstLine="640"/>
        <w:outlineLvl w:val="1"/>
        <w:rPr>
          <w:rStyle w:val="28"/>
          <w:rFonts w:ascii="黑体" w:hAnsi="黑体" w:eastAsia="黑体"/>
        </w:rPr>
      </w:pPr>
      <w:bookmarkStart w:id="72" w:name="_Toc28322"/>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0"/>
      <w:bookmarkEnd w:id="71"/>
      <w:bookmarkEnd w:id="7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8"/>
          <w:rFonts w:ascii="黑体" w:hAnsi="黑体" w:eastAsia="黑体"/>
          <w:b w:val="0"/>
        </w:rPr>
      </w:pPr>
      <w:bookmarkStart w:id="73" w:name="_Toc15377219"/>
      <w:bookmarkStart w:id="74" w:name="_Toc25370"/>
      <w:bookmarkStart w:id="75" w:name="_Toc15396611"/>
      <w:r>
        <w:rPr>
          <w:rStyle w:val="28"/>
          <w:rFonts w:hint="eastAsia" w:ascii="黑体" w:hAnsi="黑体" w:eastAsia="黑体"/>
          <w:b w:val="0"/>
        </w:rPr>
        <w:t>国有资本经营预算支出决算情况说明</w:t>
      </w:r>
      <w:bookmarkEnd w:id="73"/>
      <w:bookmarkEnd w:id="74"/>
      <w:bookmarkEnd w:id="75"/>
    </w:p>
    <w:p>
      <w:pPr>
        <w:spacing w:line="600" w:lineRule="exact"/>
        <w:ind w:firstLine="640"/>
        <w:rPr>
          <w:rFonts w:hint="eastAsia" w:ascii="方正小标宋简体" w:hAnsi="方正小标宋简体" w:eastAsia="仿宋_GB2312" w:cs="方正小标宋简体"/>
          <w:sz w:val="44"/>
          <w:szCs w:val="44"/>
          <w:lang w:eastAsia="zh-CN"/>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28"/>
          <w:rFonts w:ascii="黑体" w:hAnsi="黑体" w:eastAsia="黑体"/>
        </w:rPr>
      </w:pPr>
      <w:bookmarkStart w:id="76" w:name="_Toc15396612"/>
      <w:bookmarkStart w:id="77" w:name="_Toc15377221"/>
      <w:bookmarkStart w:id="78" w:name="_Toc26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6"/>
      <w:bookmarkEnd w:id="77"/>
      <w:bookmarkEnd w:id="78"/>
    </w:p>
    <w:p>
      <w:pPr>
        <w:spacing w:line="600" w:lineRule="exact"/>
        <w:ind w:firstLine="643" w:firstLineChars="200"/>
        <w:outlineLvl w:val="2"/>
        <w:rPr>
          <w:rFonts w:ascii="仿宋" w:hAnsi="仿宋" w:eastAsia="仿宋"/>
          <w:color w:val="000000"/>
          <w:sz w:val="32"/>
          <w:szCs w:val="32"/>
        </w:rPr>
      </w:pPr>
      <w:bookmarkStart w:id="79" w:name="_Toc15377222"/>
      <w:bookmarkStart w:id="80" w:name="_Toc27491"/>
      <w:r>
        <w:rPr>
          <w:rFonts w:hint="eastAsia" w:ascii="仿宋" w:hAnsi="仿宋" w:eastAsia="仿宋"/>
          <w:b/>
          <w:color w:val="000000"/>
          <w:sz w:val="32"/>
          <w:szCs w:val="32"/>
        </w:rPr>
        <w:t>（一）机关运行经费支出情况</w:t>
      </w:r>
      <w:bookmarkEnd w:id="79"/>
      <w:bookmarkEnd w:id="80"/>
    </w:p>
    <w:p>
      <w:pPr>
        <w:spacing w:line="600" w:lineRule="exact"/>
        <w:ind w:firstLine="640"/>
        <w:rPr>
          <w:rFonts w:ascii="仿宋_GB2312" w:eastAsia="仿宋_GB2312"/>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2.32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主要原因是公务用车维修维护费用</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1" w:name="_Toc15377223"/>
      <w:bookmarkStart w:id="82" w:name="_Toc22454"/>
      <w:r>
        <w:rPr>
          <w:rFonts w:hint="eastAsia" w:ascii="仿宋" w:hAnsi="仿宋" w:eastAsia="仿宋"/>
          <w:b/>
          <w:color w:val="000000"/>
          <w:sz w:val="32"/>
          <w:szCs w:val="32"/>
        </w:rPr>
        <w:t>（二）政府采购支出情况</w:t>
      </w:r>
      <w:bookmarkEnd w:id="81"/>
      <w:bookmarkEnd w:id="8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3" w:name="_Toc26906"/>
      <w:bookmarkStart w:id="84" w:name="_Toc15377224"/>
      <w:r>
        <w:rPr>
          <w:rFonts w:hint="eastAsia" w:ascii="仿宋" w:hAnsi="仿宋" w:eastAsia="仿宋"/>
          <w:b/>
          <w:color w:val="000000"/>
          <w:sz w:val="32"/>
          <w:szCs w:val="32"/>
        </w:rPr>
        <w:t>（三）国有资产占有使用情况</w:t>
      </w:r>
      <w:bookmarkEnd w:id="83"/>
      <w:bookmarkEnd w:id="84"/>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rPr>
        <w:t>江茸乡共有车辆</w:t>
      </w:r>
      <w:r>
        <w:rPr>
          <w:rFonts w:ascii="仿宋_GB2312" w:eastAsia="仿宋_GB2312"/>
          <w:color w:val="000000" w:themeColor="text1"/>
          <w:sz w:val="32"/>
          <w:szCs w:val="32"/>
        </w:rPr>
        <w:t>2</w:t>
      </w:r>
      <w:r>
        <w:rPr>
          <w:rFonts w:hint="eastAsia" w:ascii="仿宋_GB2312" w:eastAsia="仿宋_GB2312"/>
          <w:color w:val="000000" w:themeColor="text1"/>
          <w:sz w:val="32"/>
          <w:szCs w:val="32"/>
        </w:rPr>
        <w:t>辆，其中：部级领导干部用车</w:t>
      </w:r>
      <w:r>
        <w:rPr>
          <w:rFonts w:ascii="仿宋_GB2312" w:eastAsia="仿宋_GB2312"/>
          <w:color w:val="000000" w:themeColor="text1"/>
          <w:sz w:val="32"/>
          <w:szCs w:val="32"/>
        </w:rPr>
        <w:t>0</w:t>
      </w:r>
      <w:r>
        <w:rPr>
          <w:rFonts w:hint="eastAsia" w:ascii="仿宋_GB2312" w:eastAsia="仿宋_GB2312"/>
          <w:color w:val="000000" w:themeColor="text1"/>
          <w:sz w:val="32"/>
          <w:szCs w:val="32"/>
        </w:rPr>
        <w:t>辆、一般公务用车</w:t>
      </w:r>
      <w:r>
        <w:rPr>
          <w:rFonts w:ascii="仿宋_GB2312" w:eastAsia="仿宋_GB2312"/>
          <w:color w:val="000000" w:themeColor="text1"/>
          <w:sz w:val="32"/>
          <w:szCs w:val="32"/>
        </w:rPr>
        <w:t>2</w:t>
      </w:r>
      <w:r>
        <w:rPr>
          <w:rFonts w:hint="eastAsia" w:ascii="仿宋_GB2312" w:eastAsia="仿宋_GB2312"/>
          <w:color w:val="000000" w:themeColor="text1"/>
          <w:sz w:val="32"/>
          <w:szCs w:val="32"/>
        </w:rPr>
        <w:t>辆</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主要是用于</w:t>
      </w:r>
      <w:r>
        <w:rPr>
          <w:rFonts w:hint="eastAsia" w:ascii="仿宋_GB2312" w:eastAsia="仿宋_GB2312"/>
          <w:color w:val="000000" w:themeColor="text1"/>
          <w:sz w:val="32"/>
          <w:szCs w:val="32"/>
          <w:lang w:eastAsia="zh-CN"/>
        </w:rPr>
        <w:t>日常出差使用。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5" w:name="_Toc24770"/>
      <w:r>
        <w:rPr>
          <w:rFonts w:hint="eastAsia" w:ascii="仿宋" w:hAnsi="仿宋" w:eastAsia="仿宋"/>
          <w:b/>
          <w:color w:val="000000"/>
          <w:sz w:val="32"/>
          <w:szCs w:val="32"/>
        </w:rPr>
        <w:t>（四）预算绩效管理情况。</w:t>
      </w:r>
      <w:bookmarkEnd w:id="85"/>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color w:val="000000" w:themeColor="text1"/>
          <w:sz w:val="32"/>
          <w:szCs w:val="32"/>
        </w:rPr>
        <w:t>生产性道路（草原防火通道）5公里</w:t>
      </w:r>
      <w:r>
        <w:rPr>
          <w:rFonts w:hint="eastAsia" w:ascii="仿宋_GB2312" w:hAnsi="仿宋_GB2312" w:eastAsia="仿宋_GB2312" w:cs="仿宋_GB2312"/>
          <w:color w:val="000000" w:themeColor="text1"/>
          <w:sz w:val="32"/>
          <w:szCs w:val="32"/>
          <w:lang w:eastAsia="zh-CN"/>
        </w:rPr>
        <w:t>、</w:t>
      </w:r>
      <w:r>
        <w:rPr>
          <w:rFonts w:hint="eastAsia" w:ascii="仿宋_GB2312" w:hAnsi="仿宋" w:eastAsia="仿宋_GB2312" w:cs="仿宋"/>
          <w:color w:val="000000" w:themeColor="text1"/>
          <w:sz w:val="32"/>
          <w:szCs w:val="32"/>
        </w:rPr>
        <w:t>牲畜防疫巷道圈</w:t>
      </w:r>
      <w:r>
        <w:rPr>
          <w:rFonts w:hint="eastAsia" w:ascii="仿宋_GB2312" w:hAnsi="仿宋" w:eastAsia="仿宋_GB2312" w:cs="仿宋"/>
          <w:color w:val="000000" w:themeColor="text1"/>
          <w:sz w:val="32"/>
          <w:szCs w:val="32"/>
          <w:lang w:eastAsia="zh-CN"/>
        </w:rPr>
        <w:t>、</w:t>
      </w:r>
      <w:r>
        <w:rPr>
          <w:rFonts w:hint="eastAsia" w:ascii="仿宋_GB2312" w:hAnsi="仿宋" w:eastAsia="仿宋_GB2312" w:cs="仿宋"/>
          <w:color w:val="000000" w:themeColor="text1"/>
          <w:sz w:val="32"/>
          <w:szCs w:val="32"/>
        </w:rPr>
        <w:t>新建牲畜暖棚</w:t>
      </w:r>
      <w:r>
        <w:rPr>
          <w:rFonts w:hint="eastAsia" w:ascii="仿宋_GB2312" w:hAnsi="仿宋" w:eastAsia="仿宋_GB2312" w:cs="仿宋"/>
          <w:color w:val="000000" w:themeColor="text1"/>
          <w:sz w:val="32"/>
          <w:szCs w:val="32"/>
          <w:lang w:eastAsia="zh-CN"/>
        </w:rPr>
        <w:t>、</w:t>
      </w:r>
      <w:r>
        <w:rPr>
          <w:rFonts w:hint="eastAsia" w:ascii="仿宋_GB2312" w:hAnsi="仿宋" w:eastAsia="仿宋_GB2312" w:cs="仿宋"/>
          <w:color w:val="000000" w:themeColor="text1"/>
          <w:sz w:val="32"/>
          <w:szCs w:val="32"/>
        </w:rPr>
        <w:t>新建家庭牧场</w:t>
      </w:r>
      <w:r>
        <w:rPr>
          <w:rFonts w:hint="eastAsia" w:ascii="仿宋_GB2312" w:hAnsi="仿宋" w:eastAsia="仿宋_GB2312" w:cs="仿宋"/>
          <w:color w:val="000000" w:themeColor="text1"/>
          <w:sz w:val="32"/>
          <w:szCs w:val="32"/>
          <w:lang w:eastAsia="zh-CN"/>
        </w:rPr>
        <w:t>、</w:t>
      </w:r>
      <w:r>
        <w:rPr>
          <w:rFonts w:hint="eastAsia" w:ascii="仿宋_GB2312" w:hAnsi="仿宋_GB2312" w:eastAsia="仿宋_GB2312" w:cs="仿宋_GB2312"/>
          <w:color w:val="000000" w:themeColor="text1"/>
          <w:sz w:val="32"/>
          <w:szCs w:val="32"/>
        </w:rPr>
        <w:t>建设查江路</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建设达格则AAA景区</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bCs/>
          <w:kern w:val="2"/>
          <w:sz w:val="32"/>
          <w:szCs w:val="32"/>
          <w:lang w:val="zh-CN" w:eastAsia="zh-CN" w:bidi="ar-SA"/>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红原县江茸乡垃圾处理点维修建设项目</w:t>
      </w:r>
      <w:r>
        <w:rPr>
          <w:rFonts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rPr>
        <w:t>生产性道路（草原防火通道）5公里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茸日玛村合作社种草项目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“新建家庭牧场”“新建暖棚”</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numPr>
          <w:ilvl w:val="0"/>
          <w:numId w:val="5"/>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红原县江茸乡垃圾处理点维修建设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江茸乡基础设施改善得到了保障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为牧民群众生产带来了方便，改善群众生活条件，促进社会稳定，使群众长期受益。</w:t>
      </w:r>
    </w:p>
    <w:tbl>
      <w:tblPr>
        <w:tblStyle w:val="15"/>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红原县江茸乡垃圾处理点维修建设</w:t>
            </w:r>
            <w:r>
              <w:rPr>
                <w:rFonts w:hint="eastAsia" w:ascii="仿宋_GB2312" w:hAnsi="仿宋_GB2312" w:eastAsia="仿宋_GB2312" w:cs="仿宋_GB2312"/>
                <w:sz w:val="32"/>
                <w:szCs w:val="32"/>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20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20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20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20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改善江茸乡基础设施，为牧民群众生产带来了方便，改善群众生活条件，促进社会稳定，使群众长期受益。</w:t>
            </w:r>
          </w:p>
          <w:p>
            <w:pPr>
              <w:jc w:val="center"/>
              <w:rPr>
                <w:rFonts w:hint="eastAsia" w:ascii="仿宋_GB2312" w:hAnsi="仿宋_GB2312" w:eastAsia="仿宋_GB2312" w:cs="仿宋_GB2312"/>
                <w:sz w:val="24"/>
                <w:szCs w:val="24"/>
                <w:lang w:val="en-US" w:eastAsia="zh-CN"/>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改善江茸乡基础设施，为牧民群众生产带来了方便，改善群众生活条件，促进社会稳定，使群众长期受益。</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基础设施改善得到保障</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基础设施改善得到保障</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改善江茸乡基础设施，为牧民群众生产带来了方便，改善群众生活条件，促进社会稳定，使群众长期受益。</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改善江茸乡基础设施，为牧民群众生产带来了方便，改善群众生活条件，促进社会稳定，使群众长期受益。</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改善江茸乡基础设施，为牧民群众生产带来了方便，改善群众生活条件，促进社会稳定，使群众长期受益。</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改善江茸乡基础设施，为牧民群众生产带来了方便，改善群众生活条件，促进社会稳定，使群众长期受益。</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4"/>
        <w:rPr>
          <w:rFonts w:hint="eastAsia"/>
          <w:lang w:eastAsia="zh-CN"/>
        </w:rPr>
      </w:pPr>
    </w:p>
    <w:p>
      <w:pPr>
        <w:numPr>
          <w:ilvl w:val="0"/>
          <w:numId w:val="5"/>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rPr>
        <w:t>生产性道路（草原防火通道）5公里</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可使江茸乡的牧户实现畜产品销售增长</w:t>
      </w:r>
      <w:r>
        <w:rPr>
          <w:rFonts w:hint="eastAsia" w:ascii="仿宋_GB2312" w:hAnsi="仿宋_GB2312" w:eastAsia="仿宋_GB2312" w:cs="仿宋_GB2312"/>
          <w:sz w:val="32"/>
          <w:szCs w:val="32"/>
          <w:lang w:val="en-US" w:eastAsia="zh-CN"/>
        </w:rPr>
        <w:t>5个百分点，改善牧户生产生活条件。</w:t>
      </w:r>
    </w:p>
    <w:tbl>
      <w:tblPr>
        <w:tblStyle w:val="15"/>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color w:val="000000" w:themeColor="text1"/>
                <w:sz w:val="32"/>
                <w:szCs w:val="32"/>
              </w:rPr>
              <w:t>生产性道路（草原防火通道）5公里</w:t>
            </w:r>
            <w:r>
              <w:rPr>
                <w:rFonts w:hint="eastAsia" w:ascii="仿宋_GB2312" w:hAnsi="仿宋_GB2312" w:eastAsia="仿宋_GB2312" w:cs="仿宋_GB2312"/>
                <w:sz w:val="32"/>
                <w:szCs w:val="32"/>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可使江茸乡的牧户实现畜产品销售增长</w:t>
            </w:r>
            <w:r>
              <w:rPr>
                <w:rFonts w:hint="eastAsia" w:ascii="仿宋_GB2312" w:hAnsi="仿宋_GB2312" w:eastAsia="仿宋_GB2312" w:cs="仿宋_GB2312"/>
                <w:sz w:val="24"/>
                <w:szCs w:val="24"/>
                <w:lang w:val="en-US" w:eastAsia="zh-CN"/>
              </w:rPr>
              <w:t>5个百分点，改善牧户生产生活条件。</w:t>
            </w:r>
          </w:p>
          <w:p>
            <w:pPr>
              <w:jc w:val="center"/>
              <w:rPr>
                <w:rFonts w:hint="eastAsia" w:ascii="仿宋_GB2312" w:hAnsi="仿宋_GB2312" w:eastAsia="仿宋_GB2312" w:cs="仿宋_GB2312"/>
                <w:sz w:val="24"/>
                <w:szCs w:val="24"/>
                <w:lang w:val="en-US" w:eastAsia="zh-CN"/>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eastAsia="zh-CN"/>
              </w:rPr>
              <w:t>可使江茸乡的牧户实现畜产品销售增长</w:t>
            </w:r>
            <w:r>
              <w:rPr>
                <w:rFonts w:hint="eastAsia" w:ascii="仿宋_GB2312" w:hAnsi="仿宋_GB2312" w:eastAsia="仿宋_GB2312" w:cs="仿宋_GB2312"/>
                <w:sz w:val="24"/>
                <w:szCs w:val="24"/>
                <w:lang w:val="en-US" w:eastAsia="zh-CN"/>
              </w:rPr>
              <w:t>5个百分点，改善牧户生产生活条件。</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提高农畜产品销售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提高农畜产品销售</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eastAsia="zh-CN"/>
              </w:rPr>
              <w:t>可使江茸乡的牧户实现畜产品销售增长</w:t>
            </w:r>
            <w:r>
              <w:rPr>
                <w:rFonts w:hint="eastAsia" w:ascii="仿宋_GB2312" w:hAnsi="仿宋_GB2312" w:eastAsia="仿宋_GB2312" w:cs="仿宋_GB2312"/>
                <w:sz w:val="24"/>
                <w:szCs w:val="24"/>
                <w:lang w:val="en-US" w:eastAsia="zh-CN"/>
              </w:rPr>
              <w:t>5个百分点，改善牧户生产生活条件。</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eastAsia="zh-CN"/>
              </w:rPr>
              <w:t>可使江茸乡的牧户实现畜产品销售增长</w:t>
            </w:r>
            <w:r>
              <w:rPr>
                <w:rFonts w:hint="eastAsia" w:ascii="仿宋_GB2312" w:hAnsi="仿宋_GB2312" w:eastAsia="仿宋_GB2312" w:cs="仿宋_GB2312"/>
                <w:sz w:val="24"/>
                <w:szCs w:val="24"/>
                <w:lang w:val="en-US" w:eastAsia="zh-CN"/>
              </w:rPr>
              <w:t>5个百分点，改善牧户生产生活条件。</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可使江茸乡的牧户实现畜产品销售增长</w:t>
            </w:r>
            <w:r>
              <w:rPr>
                <w:rFonts w:hint="eastAsia" w:ascii="仿宋_GB2312" w:hAnsi="仿宋_GB2312" w:eastAsia="仿宋_GB2312" w:cs="仿宋_GB2312"/>
                <w:sz w:val="24"/>
                <w:szCs w:val="24"/>
                <w:lang w:val="en-US" w:eastAsia="zh-CN"/>
              </w:rPr>
              <w:t>5个百分点，改善牧户生产生活条件。</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可使江茸乡的牧户实现畜产品销售增长</w:t>
            </w:r>
            <w:r>
              <w:rPr>
                <w:rFonts w:hint="eastAsia" w:ascii="仿宋_GB2312" w:hAnsi="仿宋_GB2312" w:eastAsia="仿宋_GB2312" w:cs="仿宋_GB2312"/>
                <w:sz w:val="24"/>
                <w:szCs w:val="24"/>
                <w:lang w:val="en-US" w:eastAsia="zh-CN"/>
              </w:rPr>
              <w:t>5个百分点，改善牧户生产生活条件。</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4"/>
        <w:rPr>
          <w:rFonts w:hint="eastAsia"/>
          <w:lang w:val="en-US" w:eastAsia="zh-CN"/>
        </w:rPr>
      </w:pPr>
    </w:p>
    <w:p>
      <w:pPr>
        <w:keepNext w:val="0"/>
        <w:keepLines w:val="0"/>
        <w:pageBreakBefore w:val="0"/>
        <w:widowControl w:val="0"/>
        <w:numPr>
          <w:ilvl w:val="0"/>
          <w:numId w:val="5"/>
        </w:numPr>
        <w:kinsoku/>
        <w:wordWrap/>
        <w:overflowPunct/>
        <w:topLinePunct w:val="0"/>
        <w:autoSpaceDE/>
        <w:autoSpaceDN/>
        <w:bidi w:val="0"/>
        <w:adjustRightInd/>
        <w:spacing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茸日玛村合作社种草</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%。通过项目实施，提高</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天然草原产草量，减轻天然草原承载压力，促进草畜动态平衡和草原生态系统良性循环改善草原生态环境，实现畜牧生产和生态协调发展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进一步加快草原畜牧业转型升级，促进畜牧业生产方式转变，建立牧区防灾饲草贮备体系，带动和提高周边地区牧草种植、加工、利用水平，增强牧民抗灾保畜能力，促进牧户增收</w:t>
      </w:r>
      <w:r>
        <w:rPr>
          <w:rFonts w:hint="eastAsia" w:ascii="仿宋_GB2312" w:hAnsi="仿宋_GB2312" w:eastAsia="仿宋_GB2312" w:cs="仿宋_GB2312"/>
          <w:sz w:val="32"/>
          <w:szCs w:val="32"/>
          <w:lang w:eastAsia="zh-CN"/>
        </w:rPr>
        <w:t>。</w:t>
      </w:r>
    </w:p>
    <w:tbl>
      <w:tblPr>
        <w:tblStyle w:val="15"/>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茸日玛村合作社种草</w:t>
            </w:r>
            <w:r>
              <w:rPr>
                <w:rFonts w:hint="eastAsia" w:ascii="仿宋_GB2312" w:hAnsi="仿宋_GB2312" w:eastAsia="仿宋_GB2312" w:cs="仿宋_GB2312"/>
                <w:sz w:val="32"/>
                <w:szCs w:val="32"/>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31</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31</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31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232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进一步加快草原畜牧业转型升级，促进畜牧业生产方式转变，建立牧区防灾饲草贮备体系，带动和提高周边地区牧草种植、加工、利用水平，增强牧民抗灾保畜能力，促进牧户增收。</w:t>
            </w:r>
          </w:p>
          <w:p>
            <w:pPr>
              <w:jc w:val="center"/>
              <w:rPr>
                <w:rFonts w:hint="eastAsia" w:ascii="仿宋_GB2312" w:hAnsi="仿宋_GB2312" w:eastAsia="仿宋_GB2312" w:cs="仿宋_GB2312"/>
                <w:sz w:val="24"/>
                <w:szCs w:val="24"/>
                <w:lang w:val="en-US" w:eastAsia="zh-CN"/>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进一步加快草原畜牧业转型升级，促进畜牧业生产方式转变，建立牧区防灾饲草贮备体系，带动和提高周边地区牧草种植、加工、利用水平，增强牧民抗灾保畜能力，促进牧户增收。</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促进牧民增收</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促进牧民增收</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进一步加快草原畜牧业转型升级，促进畜牧业生产方式转变，建立牧区防灾饲草贮备体系，带动和提高周边地区牧草种植、加工、利用水平，增强牧民抗灾保畜能力，促进牧户增收。</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进一步加快草原畜牧业转型升级，促进畜牧业生产方式转变，建立牧区防灾饲草贮备体系，带动和提高周边地区牧草种植、加工、利用水平，增强牧民抗灾保畜能力，促进牧户增收。</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增强牧民抗灾保畜能力，促进牧户增收。</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增强牧民抗灾保畜能力，促进牧户增收。</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4"/>
        <w:rPr>
          <w:rFonts w:hint="eastAsia"/>
          <w:lang w:eastAsia="zh-CN"/>
        </w:rPr>
      </w:pPr>
    </w:p>
    <w:p>
      <w:pPr>
        <w:keepNext w:val="0"/>
        <w:keepLines w:val="0"/>
        <w:pageBreakBefore w:val="0"/>
        <w:widowControl w:val="0"/>
        <w:numPr>
          <w:ilvl w:val="0"/>
          <w:numId w:val="5"/>
        </w:numPr>
        <w:kinsoku/>
        <w:wordWrap/>
        <w:overflowPunct/>
        <w:topLinePunct w:val="0"/>
        <w:autoSpaceDE/>
        <w:autoSpaceDN/>
        <w:bidi w:val="0"/>
        <w:adjustRightInd/>
        <w:spacing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新建家庭牧场</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，使得</w:t>
      </w:r>
      <w:r>
        <w:rPr>
          <w:rFonts w:hint="eastAsia" w:ascii="仿宋_GB2312" w:eastAsia="仿宋_GB2312"/>
          <w:sz w:val="32"/>
          <w:szCs w:val="32"/>
        </w:rPr>
        <w:t>畜牧养殖规模化标准化，</w:t>
      </w:r>
      <w:r>
        <w:rPr>
          <w:rFonts w:hint="eastAsia" w:ascii="仿宋_GB2312" w:eastAsia="仿宋_GB2312"/>
          <w:sz w:val="32"/>
          <w:szCs w:val="32"/>
          <w:lang w:eastAsia="zh-CN"/>
        </w:rPr>
        <w:t>并能够</w:t>
      </w:r>
      <w:r>
        <w:rPr>
          <w:rFonts w:hint="eastAsia" w:ascii="仿宋_GB2312" w:eastAsia="仿宋_GB2312"/>
          <w:sz w:val="32"/>
          <w:szCs w:val="32"/>
        </w:rPr>
        <w:t>合理有效利用草畜资源，切实保护草原生态环境</w:t>
      </w:r>
      <w:r>
        <w:rPr>
          <w:rFonts w:hint="eastAsia" w:ascii="仿宋_GB2312" w:eastAsia="仿宋_GB2312"/>
          <w:sz w:val="32"/>
          <w:szCs w:val="32"/>
          <w:lang w:eastAsia="zh-CN"/>
        </w:rPr>
        <w:t>，提高生产，增加牧民收入。</w:t>
      </w:r>
    </w:p>
    <w:tbl>
      <w:tblPr>
        <w:tblStyle w:val="15"/>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新建家庭牧场</w:t>
            </w:r>
            <w:r>
              <w:rPr>
                <w:rFonts w:hint="eastAsia" w:ascii="仿宋_GB2312" w:hAnsi="仿宋_GB2312" w:eastAsia="仿宋_GB2312" w:cs="仿宋_GB2312"/>
                <w:sz w:val="32"/>
                <w:szCs w:val="32"/>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16.4</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16.4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16.4</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16.4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232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jc w:val="center"/>
              <w:rPr>
                <w:rFonts w:hint="eastAsia" w:ascii="仿宋_GB2312" w:hAnsi="仿宋_GB2312" w:eastAsia="仿宋_GB2312" w:cs="仿宋_GB2312"/>
                <w:sz w:val="24"/>
                <w:szCs w:val="24"/>
                <w:lang w:val="en-US" w:eastAsia="zh-CN"/>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增加牧民收入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增加牧民收入</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widowControl/>
              <w:jc w:val="center"/>
              <w:textAlignment w:val="center"/>
              <w:rPr>
                <w:rFonts w:hint="eastAsia" w:ascii="仿宋_GB2312" w:hAnsi="仿宋_GB2312" w:eastAsia="仿宋_GB2312" w:cs="仿宋_GB2312"/>
                <w:sz w:val="24"/>
                <w:szCs w:val="24"/>
                <w:lang w:eastAsia="zh-CN"/>
              </w:rPr>
            </w:pP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提高生产，增加牧民收入。</w:t>
            </w:r>
          </w:p>
          <w:p>
            <w:pPr>
              <w:widowControl/>
              <w:jc w:val="center"/>
              <w:textAlignment w:val="center"/>
              <w:rPr>
                <w:rFonts w:hint="eastAsia" w:ascii="仿宋_GB2312" w:hAnsi="仿宋_GB2312" w:eastAsia="仿宋_GB2312" w:cs="仿宋_GB2312"/>
                <w:sz w:val="24"/>
                <w:szCs w:val="24"/>
                <w:lang w:eastAsia="zh-CN"/>
              </w:rPr>
            </w:pP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提高生产，增加牧民收入。</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4"/>
        <w:rPr>
          <w:rFonts w:hint="eastAsia"/>
          <w:lang w:eastAsia="zh-CN"/>
        </w:rPr>
      </w:pPr>
    </w:p>
    <w:p>
      <w:pPr>
        <w:keepNext w:val="0"/>
        <w:keepLines w:val="0"/>
        <w:pageBreakBefore w:val="0"/>
        <w:widowControl w:val="0"/>
        <w:numPr>
          <w:ilvl w:val="0"/>
          <w:numId w:val="5"/>
        </w:numPr>
        <w:kinsoku/>
        <w:wordWrap/>
        <w:overflowPunct/>
        <w:topLinePunct w:val="0"/>
        <w:autoSpaceDE/>
        <w:autoSpaceDN/>
        <w:bidi w:val="0"/>
        <w:adjustRightInd/>
        <w:spacing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新建暖棚</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，使得</w:t>
      </w:r>
      <w:r>
        <w:rPr>
          <w:rFonts w:hint="eastAsia" w:ascii="仿宋_GB2312" w:eastAsia="仿宋_GB2312"/>
          <w:sz w:val="32"/>
          <w:szCs w:val="32"/>
        </w:rPr>
        <w:t>畜牧养殖规模化标准化，</w:t>
      </w:r>
      <w:r>
        <w:rPr>
          <w:rFonts w:hint="eastAsia" w:ascii="仿宋_GB2312" w:eastAsia="仿宋_GB2312"/>
          <w:sz w:val="32"/>
          <w:szCs w:val="32"/>
          <w:lang w:eastAsia="zh-CN"/>
        </w:rPr>
        <w:t>并能够</w:t>
      </w:r>
      <w:r>
        <w:rPr>
          <w:rFonts w:hint="eastAsia" w:ascii="仿宋_GB2312" w:eastAsia="仿宋_GB2312"/>
          <w:sz w:val="32"/>
          <w:szCs w:val="32"/>
        </w:rPr>
        <w:t>合理有效利用草畜资源，切实保护草原生态环境</w:t>
      </w:r>
      <w:r>
        <w:rPr>
          <w:rFonts w:hint="eastAsia" w:ascii="仿宋_GB2312" w:eastAsia="仿宋_GB2312"/>
          <w:sz w:val="32"/>
          <w:szCs w:val="32"/>
          <w:lang w:eastAsia="zh-CN"/>
        </w:rPr>
        <w:t>，提高生产，增加牧民收入。</w:t>
      </w:r>
    </w:p>
    <w:tbl>
      <w:tblPr>
        <w:tblStyle w:val="15"/>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新建暖棚</w:t>
            </w:r>
            <w:r>
              <w:rPr>
                <w:rFonts w:hint="eastAsia" w:ascii="仿宋_GB2312" w:hAnsi="仿宋_GB2312" w:eastAsia="仿宋_GB2312" w:cs="仿宋_GB2312"/>
                <w:sz w:val="32"/>
                <w:szCs w:val="32"/>
              </w:rPr>
              <w:t>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59.8</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59.8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59.8</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59.8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232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widowControl/>
              <w:jc w:val="center"/>
              <w:textAlignment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val="en-US" w:eastAsia="zh-CN"/>
              </w:rPr>
            </w:pP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widowControl/>
              <w:jc w:val="center"/>
              <w:textAlignment w:val="center"/>
              <w:rPr>
                <w:rFonts w:ascii="宋体" w:cs="宋体"/>
                <w:color w:val="000000"/>
                <w:kern w:val="0"/>
                <w:sz w:val="20"/>
                <w:szCs w:val="20"/>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促进牧民增收</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 w:hAnsi="宋?" w:cs="宋?"/>
                <w:sz w:val="20"/>
                <w:szCs w:val="20"/>
                <w:lang w:eastAsia="zh-CN"/>
              </w:rPr>
              <w:t>促进牧民增收</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使得畜牧养殖规模化标准化，并能够合理有效利用草畜资源，切实保护草原生态环境，提高生产，增加牧民收入。</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增强牧民抗灾保畜能力，促进牧户增收。</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增强牧民抗灾保畜能力，促进牧户增收。</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ind w:firstLine="320" w:firstLineChars="1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江茸乡人民政府</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红原县江茸乡垃圾处理点维修建设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、茸日玛村合作社种草</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themeColor="text1"/>
          <w:sz w:val="32"/>
          <w:szCs w:val="32"/>
        </w:rPr>
        <w:t>生产性道路（草原防火通道）5公里</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、新建家庭牧场、新建暖棚</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江茸乡</w:t>
      </w:r>
      <w:r>
        <w:rPr>
          <w:rFonts w:hint="eastAsia" w:ascii="仿宋_GB2312" w:hAnsi="仿宋_GB2312" w:eastAsia="仿宋_GB2312" w:cs="仿宋_GB2312"/>
          <w:sz w:val="32"/>
          <w:szCs w:val="32"/>
        </w:rPr>
        <w:t>项目2019年绩效评价报告》见附件（附件2）。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7"/>
          <w:rFonts w:ascii="黑体" w:hAnsi="黑体" w:eastAsia="黑体"/>
          <w:b w:val="0"/>
        </w:rPr>
      </w:pPr>
      <w:bookmarkStart w:id="86" w:name="_Toc10626"/>
      <w:bookmarkStart w:id="87" w:name="_Toc15396613"/>
      <w:bookmarkStart w:id="88"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86"/>
      <w:bookmarkEnd w:id="87"/>
      <w:bookmarkEnd w:id="88"/>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89"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r>
        <w:rPr>
          <w:rFonts w:ascii="宋体"/>
          <w:b/>
          <w:color w:val="000000"/>
          <w:sz w:val="44"/>
          <w:szCs w:val="44"/>
        </w:rPr>
        <w:br w:type="page"/>
      </w:r>
      <w:bookmarkStart w:id="90" w:name="_Toc26252"/>
      <w:bookmarkStart w:id="91"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90"/>
      <w:bookmarkEnd w:id="91"/>
    </w:p>
    <w:p>
      <w:pPr>
        <w:spacing w:line="600" w:lineRule="exact"/>
        <w:jc w:val="left"/>
        <w:outlineLvl w:val="0"/>
        <w:rPr>
          <w:rFonts w:ascii="方正小标宋简体" w:hAnsi="方正小标宋简体" w:eastAsia="方正小标宋简体" w:cs="方正小标宋简体"/>
          <w:sz w:val="32"/>
          <w:szCs w:val="32"/>
        </w:rPr>
      </w:pPr>
      <w:bookmarkStart w:id="92" w:name="_Toc13885"/>
      <w:r>
        <w:rPr>
          <w:rFonts w:hint="eastAsia" w:ascii="黑体" w:hAnsi="黑体" w:eastAsia="黑体" w:cs="黑体"/>
          <w:sz w:val="32"/>
          <w:szCs w:val="32"/>
        </w:rPr>
        <w:t>附件1</w:t>
      </w:r>
      <w:bookmarkEnd w:id="9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eastAsia="zh-CN"/>
        </w:rPr>
        <w:t>江茸乡人民政府</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rPr>
          <w:rFonts w:hint="eastAsia" w:ascii="黑体" w:hAnsi="黑体" w:eastAsia="黑体" w:cs="黑体"/>
          <w:sz w:val="32"/>
          <w:szCs w:val="32"/>
          <w:lang w:val="zh-CN"/>
        </w:rPr>
      </w:pPr>
      <w:r>
        <w:rPr>
          <w:rFonts w:hint="eastAsia" w:ascii="黑体" w:hAnsi="黑体" w:eastAsia="黑体" w:cs="黑体"/>
          <w:sz w:val="32"/>
          <w:szCs w:val="32"/>
          <w:lang w:val="zh-CN"/>
        </w:rPr>
        <w:t>一、单位概况</w:t>
      </w:r>
    </w:p>
    <w:p>
      <w:pPr>
        <w:ind w:firstLine="320" w:firstLineChars="100"/>
        <w:rPr>
          <w:rFonts w:hint="eastAsia" w:eastAsia="仿宋_GB2312"/>
          <w:lang w:val="zh-CN" w:eastAsia="zh-CN"/>
        </w:rPr>
      </w:pPr>
      <w:r>
        <w:rPr>
          <w:rFonts w:hint="eastAsia" w:ascii="仿宋_GB2312" w:eastAsia="仿宋_GB2312" w:cs="宋体"/>
          <w:sz w:val="32"/>
          <w:szCs w:val="32"/>
          <w:lang w:val="zh-CN"/>
        </w:rPr>
        <w:t>（一）</w:t>
      </w:r>
      <w:r>
        <w:rPr>
          <w:rFonts w:hint="eastAsia" w:ascii="仿宋_GB2312" w:eastAsia="仿宋_GB2312" w:cs="宋体"/>
          <w:b/>
          <w:bCs/>
          <w:sz w:val="32"/>
          <w:szCs w:val="32"/>
          <w:lang w:val="zh-CN"/>
        </w:rPr>
        <w:t>机构组成。</w:t>
      </w:r>
      <w:r>
        <w:rPr>
          <w:rFonts w:hint="eastAsia" w:ascii="仿宋_GB2312" w:eastAsia="仿宋_GB2312" w:cs="宋体"/>
          <w:sz w:val="32"/>
          <w:szCs w:val="32"/>
          <w:lang w:val="zh-CN"/>
        </w:rPr>
        <w:t>江茸乡为独立核算编制的</w:t>
      </w:r>
      <w:r>
        <w:rPr>
          <w:rFonts w:hint="eastAsia" w:ascii="仿宋_GB2312" w:hAnsi="仿宋_GB2312" w:eastAsia="仿宋_GB2312" w:cs="仿宋_GB2312"/>
          <w:bCs/>
          <w:sz w:val="32"/>
          <w:szCs w:val="32"/>
        </w:rPr>
        <w:t>行政</w:t>
      </w:r>
      <w:r>
        <w:rPr>
          <w:rFonts w:hint="eastAsia" w:ascii="仿宋_GB2312" w:hAnsi="仿宋_GB2312" w:eastAsia="仿宋_GB2312" w:cs="仿宋_GB2312"/>
          <w:bCs/>
          <w:sz w:val="32"/>
          <w:szCs w:val="32"/>
          <w:lang w:eastAsia="zh-CN"/>
        </w:rPr>
        <w:t>单位。</w:t>
      </w:r>
    </w:p>
    <w:p>
      <w:pPr>
        <w:widowControl/>
        <w:adjustRightInd w:val="0"/>
        <w:snapToGrid w:val="0"/>
        <w:spacing w:line="576" w:lineRule="exact"/>
        <w:ind w:firstLine="320" w:firstLineChars="100"/>
        <w:jc w:val="left"/>
        <w:rPr>
          <w:rFonts w:hint="eastAsia" w:ascii="仿宋" w:hAnsi="仿宋" w:eastAsia="仿宋" w:cs="仿宋"/>
          <w:b w:val="0"/>
          <w:bCs w:val="0"/>
          <w:color w:val="000000"/>
          <w:kern w:val="0"/>
          <w:sz w:val="32"/>
          <w:szCs w:val="32"/>
          <w:lang w:val="zh-CN"/>
        </w:rPr>
      </w:pPr>
      <w:r>
        <w:rPr>
          <w:rFonts w:ascii="??_GB2312" w:hAnsi="宋体" w:eastAsia="Times New Roman" w:cs="宋体"/>
          <w:b/>
          <w:bCs/>
          <w:color w:val="000000"/>
          <w:kern w:val="0"/>
          <w:sz w:val="32"/>
          <w:lang w:val="zh-CN"/>
        </w:rPr>
        <w:t>（二）机构职能。</w:t>
      </w:r>
      <w:r>
        <w:rPr>
          <w:rFonts w:hint="eastAsia" w:ascii="仿宋" w:hAnsi="仿宋" w:eastAsia="仿宋" w:cs="仿宋"/>
          <w:b w:val="0"/>
          <w:bCs w:val="0"/>
          <w:color w:val="000000"/>
          <w:kern w:val="0"/>
          <w:sz w:val="32"/>
          <w:szCs w:val="32"/>
          <w:lang w:val="zh-CN"/>
        </w:rPr>
        <w:t>根据江茸乡三定方案（红委办法【</w:t>
      </w:r>
      <w:r>
        <w:rPr>
          <w:rFonts w:hint="eastAsia" w:ascii="仿宋" w:hAnsi="仿宋" w:eastAsia="仿宋" w:cs="仿宋"/>
          <w:b w:val="0"/>
          <w:bCs w:val="0"/>
          <w:color w:val="000000"/>
          <w:kern w:val="0"/>
          <w:sz w:val="32"/>
          <w:szCs w:val="32"/>
          <w:lang w:val="en-US" w:eastAsia="zh-CN"/>
        </w:rPr>
        <w:t>2009</w:t>
      </w:r>
      <w:r>
        <w:rPr>
          <w:rFonts w:hint="eastAsia" w:ascii="仿宋" w:hAnsi="仿宋" w:eastAsia="仿宋" w:cs="仿宋"/>
          <w:b w:val="0"/>
          <w:bCs w:val="0"/>
          <w:color w:val="000000"/>
          <w:kern w:val="0"/>
          <w:sz w:val="32"/>
          <w:szCs w:val="32"/>
          <w:lang w:val="zh-CN"/>
        </w:rPr>
        <w:t>】</w:t>
      </w:r>
      <w:r>
        <w:rPr>
          <w:rFonts w:hint="eastAsia" w:ascii="仿宋" w:hAnsi="仿宋" w:eastAsia="仿宋" w:cs="仿宋"/>
          <w:b w:val="0"/>
          <w:bCs w:val="0"/>
          <w:color w:val="000000"/>
          <w:kern w:val="0"/>
          <w:sz w:val="32"/>
          <w:szCs w:val="32"/>
          <w:lang w:val="en-US" w:eastAsia="zh-CN"/>
        </w:rPr>
        <w:t>96号</w:t>
      </w:r>
      <w:r>
        <w:rPr>
          <w:rFonts w:hint="eastAsia" w:ascii="仿宋" w:hAnsi="仿宋" w:eastAsia="仿宋" w:cs="仿宋"/>
          <w:b w:val="0"/>
          <w:bCs w:val="0"/>
          <w:color w:val="000000"/>
          <w:kern w:val="0"/>
          <w:sz w:val="32"/>
          <w:szCs w:val="32"/>
          <w:lang w:val="zh-CN"/>
        </w:rPr>
        <w:t>）。</w:t>
      </w:r>
    </w:p>
    <w:p>
      <w:pPr>
        <w:shd w:val="clear" w:color="auto" w:fill="FFFFFF"/>
        <w:snapToGrid w:val="0"/>
        <w:spacing w:line="576" w:lineRule="exact"/>
        <w:ind w:left="420" w:leftChars="200"/>
        <w:rPr>
          <w:rFonts w:hint="eastAsia" w:ascii="仿宋_GB2312" w:hAnsi="仿宋" w:eastAsia="仿宋_GB2312"/>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1</w:t>
      </w:r>
      <w:r>
        <w:rPr>
          <w:rFonts w:hint="eastAsia" w:ascii="仿宋_GB2312" w:hAnsi="仿宋" w:eastAsia="仿宋_GB2312"/>
          <w:b/>
          <w:bCs/>
          <w:sz w:val="32"/>
          <w:szCs w:val="32"/>
        </w:rPr>
        <w:t>）</w:t>
      </w:r>
      <w:r>
        <w:rPr>
          <w:rFonts w:hint="eastAsia" w:ascii="仿宋_GB2312" w:hAnsi="仿宋" w:eastAsia="仿宋_GB2312"/>
          <w:b/>
          <w:bCs/>
          <w:sz w:val="32"/>
          <w:szCs w:val="32"/>
          <w:lang w:eastAsia="zh-CN"/>
        </w:rPr>
        <w:t>乡</w:t>
      </w:r>
      <w:r>
        <w:rPr>
          <w:rFonts w:hint="eastAsia" w:ascii="仿宋_GB2312" w:hAnsi="仿宋" w:eastAsia="仿宋_GB2312"/>
          <w:b/>
          <w:bCs/>
          <w:sz w:val="32"/>
          <w:szCs w:val="32"/>
        </w:rPr>
        <w:t>党委工作职责</w:t>
      </w:r>
    </w:p>
    <w:p>
      <w:p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lang w:eastAsia="zh-CN"/>
        </w:rPr>
        <w:t>乡</w:t>
      </w:r>
      <w:r>
        <w:rPr>
          <w:rFonts w:hint="eastAsia" w:ascii="仿宋_GB2312" w:hAnsi="仿宋" w:eastAsia="仿宋_GB2312"/>
          <w:sz w:val="32"/>
          <w:szCs w:val="32"/>
        </w:rPr>
        <w:t>党委是本</w:t>
      </w:r>
      <w:r>
        <w:rPr>
          <w:rFonts w:hint="eastAsia" w:ascii="仿宋_GB2312" w:hAnsi="仿宋" w:eastAsia="仿宋_GB2312"/>
          <w:sz w:val="32"/>
          <w:szCs w:val="32"/>
          <w:lang w:eastAsia="zh-CN"/>
        </w:rPr>
        <w:t>乡</w:t>
      </w:r>
      <w:r>
        <w:rPr>
          <w:rFonts w:hint="eastAsia" w:ascii="仿宋_GB2312" w:hAnsi="仿宋" w:eastAsia="仿宋_GB2312"/>
          <w:sz w:val="32"/>
          <w:szCs w:val="32"/>
        </w:rPr>
        <w:t>各项工作的领导核心，是农村改革和经济建设的直接组织者和领导者，主要职责：</w:t>
      </w:r>
    </w:p>
    <w:p>
      <w:pPr>
        <w:numPr>
          <w:ilvl w:val="0"/>
          <w:numId w:val="7"/>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负责贯彻执行党的路线方针政策和上级党组织及本</w:t>
      </w:r>
      <w:r>
        <w:rPr>
          <w:rFonts w:hint="eastAsia" w:ascii="仿宋_GB2312" w:hAnsi="仿宋" w:eastAsia="仿宋_GB2312"/>
          <w:sz w:val="32"/>
          <w:szCs w:val="32"/>
          <w:lang w:eastAsia="zh-CN"/>
        </w:rPr>
        <w:t>乡</w:t>
      </w:r>
      <w:r>
        <w:rPr>
          <w:rFonts w:hint="eastAsia" w:ascii="仿宋_GB2312" w:hAnsi="仿宋" w:eastAsia="仿宋_GB2312"/>
          <w:sz w:val="32"/>
          <w:szCs w:val="32"/>
        </w:rPr>
        <w:t>党员代表大会的决议；</w:t>
      </w:r>
    </w:p>
    <w:p>
      <w:pPr>
        <w:numPr>
          <w:ilvl w:val="0"/>
          <w:numId w:val="7"/>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讨论决定本</w:t>
      </w:r>
      <w:r>
        <w:rPr>
          <w:rFonts w:hint="eastAsia" w:ascii="仿宋_GB2312" w:hAnsi="仿宋" w:eastAsia="仿宋_GB2312"/>
          <w:sz w:val="32"/>
          <w:szCs w:val="32"/>
          <w:lang w:eastAsia="zh-CN"/>
        </w:rPr>
        <w:t>乡</w:t>
      </w:r>
      <w:r>
        <w:rPr>
          <w:rFonts w:hint="eastAsia" w:ascii="仿宋_GB2312" w:hAnsi="仿宋" w:eastAsia="仿宋_GB2312"/>
          <w:sz w:val="32"/>
          <w:szCs w:val="32"/>
        </w:rPr>
        <w:t>经济建设和社会发展的重大问题；</w:t>
      </w:r>
    </w:p>
    <w:p>
      <w:pPr>
        <w:numPr>
          <w:ilvl w:val="0"/>
          <w:numId w:val="7"/>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领导</w:t>
      </w:r>
      <w:r>
        <w:rPr>
          <w:rFonts w:hint="eastAsia" w:ascii="仿宋_GB2312" w:hAnsi="仿宋" w:eastAsia="仿宋_GB2312"/>
          <w:sz w:val="32"/>
          <w:szCs w:val="32"/>
          <w:lang w:eastAsia="zh-CN"/>
        </w:rPr>
        <w:t>乡</w:t>
      </w:r>
      <w:r>
        <w:rPr>
          <w:rFonts w:hint="eastAsia" w:ascii="仿宋_GB2312" w:hAnsi="仿宋" w:eastAsia="仿宋_GB2312"/>
          <w:sz w:val="32"/>
          <w:szCs w:val="32"/>
        </w:rPr>
        <w:t>政权机关和群众组织，支持和保证这些机关和组织依照国家法律法规及各自章程充分行使职权；</w:t>
      </w:r>
    </w:p>
    <w:p>
      <w:pPr>
        <w:numPr>
          <w:ilvl w:val="0"/>
          <w:numId w:val="7"/>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加强</w:t>
      </w:r>
      <w:r>
        <w:rPr>
          <w:rFonts w:hint="eastAsia" w:ascii="仿宋_GB2312" w:hAnsi="仿宋" w:eastAsia="仿宋_GB2312"/>
          <w:sz w:val="32"/>
          <w:szCs w:val="32"/>
          <w:lang w:eastAsia="zh-CN"/>
        </w:rPr>
        <w:t>乡</w:t>
      </w:r>
      <w:r>
        <w:rPr>
          <w:rFonts w:hint="eastAsia" w:ascii="仿宋_GB2312" w:hAnsi="仿宋" w:eastAsia="仿宋_GB2312"/>
          <w:sz w:val="32"/>
          <w:szCs w:val="32"/>
        </w:rPr>
        <w:t>党委自身建设和以党支部为核心的村级组织建设；</w:t>
      </w:r>
    </w:p>
    <w:p>
      <w:pPr>
        <w:numPr>
          <w:ilvl w:val="0"/>
          <w:numId w:val="7"/>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按照干部管理权限，负责对干部的教育、培养、选拔、考核和监督工作；</w:t>
      </w:r>
    </w:p>
    <w:p>
      <w:pPr>
        <w:numPr>
          <w:ilvl w:val="0"/>
          <w:numId w:val="7"/>
        </w:numPr>
        <w:shd w:val="clear" w:color="auto" w:fill="FFFFFF"/>
        <w:snapToGrid w:val="0"/>
        <w:spacing w:line="576" w:lineRule="exact"/>
        <w:ind w:firstLine="642"/>
        <w:rPr>
          <w:rFonts w:hint="eastAsia" w:ascii="仿宋_GB2312" w:hAnsi="仿宋" w:eastAsia="仿宋_GB2312"/>
          <w:sz w:val="32"/>
          <w:szCs w:val="32"/>
        </w:rPr>
      </w:pPr>
      <w:r>
        <w:rPr>
          <w:rFonts w:hint="eastAsia" w:ascii="仿宋_GB2312" w:hAnsi="仿宋" w:eastAsia="仿宋_GB2312"/>
          <w:sz w:val="32"/>
          <w:szCs w:val="32"/>
        </w:rPr>
        <w:t>领导本</w:t>
      </w:r>
      <w:r>
        <w:rPr>
          <w:rFonts w:hint="eastAsia" w:ascii="仿宋_GB2312" w:hAnsi="仿宋" w:eastAsia="仿宋_GB2312"/>
          <w:sz w:val="32"/>
          <w:szCs w:val="32"/>
          <w:lang w:eastAsia="zh-CN"/>
        </w:rPr>
        <w:t>乡</w:t>
      </w:r>
      <w:r>
        <w:rPr>
          <w:rFonts w:hint="eastAsia" w:ascii="仿宋_GB2312" w:hAnsi="仿宋" w:eastAsia="仿宋_GB2312"/>
          <w:sz w:val="32"/>
          <w:szCs w:val="32"/>
        </w:rPr>
        <w:t>的社会主义民主法制建设和精神文明建设，做好社会治安综合治理和计划生育等工作。</w:t>
      </w:r>
    </w:p>
    <w:p>
      <w:pPr>
        <w:shd w:val="clear" w:color="auto" w:fill="FFFFFF"/>
        <w:snapToGrid w:val="0"/>
        <w:spacing w:line="576" w:lineRule="exact"/>
        <w:ind w:firstLine="640"/>
        <w:rPr>
          <w:rFonts w:hint="eastAsia" w:ascii="仿宋_GB2312" w:hAnsi="仿宋" w:eastAsia="仿宋_GB2312"/>
          <w:b/>
          <w:bCs/>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2</w:t>
      </w:r>
      <w:r>
        <w:rPr>
          <w:rFonts w:hint="eastAsia" w:ascii="仿宋_GB2312" w:hAnsi="仿宋" w:eastAsia="仿宋_GB2312"/>
          <w:b/>
          <w:bCs/>
          <w:sz w:val="32"/>
          <w:szCs w:val="32"/>
        </w:rPr>
        <w:t>）人大主席团工作职责</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1.负责召开本级人民代表大会会议的具体准备工作；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2.负责联系本级人民代表大会代表，组织代表开展活动，总结交流代表小组活动经验；</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3.反映代表和群众对本级人民政府工作的建议、批评和意见；</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4.参加本级人民政府的重要会议；</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5.组织实施本级人民代表大会和主席团决定的有关事项；</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6.督促办理代表和人民群众的来信来访。</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3</w:t>
      </w:r>
      <w:r>
        <w:rPr>
          <w:rFonts w:hint="eastAsia" w:ascii="仿宋_GB2312" w:hAnsi="仿宋" w:eastAsia="仿宋_GB2312"/>
          <w:b/>
          <w:bCs/>
          <w:sz w:val="32"/>
          <w:szCs w:val="32"/>
        </w:rPr>
        <w:t>）政府工作职责</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1.贯彻执行党的路线方针政策和国家法律法规，贯彻执行上级行政机关的决议、命令及同级党委的决定，执行</w:t>
      </w:r>
      <w:r>
        <w:rPr>
          <w:rFonts w:hint="eastAsia" w:ascii="仿宋_GB2312" w:hAnsi="仿宋" w:eastAsia="仿宋_GB2312"/>
          <w:sz w:val="32"/>
          <w:szCs w:val="32"/>
          <w:lang w:eastAsia="zh-CN"/>
        </w:rPr>
        <w:t>乡</w:t>
      </w:r>
      <w:r>
        <w:rPr>
          <w:rFonts w:hint="eastAsia" w:ascii="仿宋_GB2312" w:hAnsi="仿宋" w:eastAsia="仿宋_GB2312"/>
          <w:sz w:val="32"/>
          <w:szCs w:val="32"/>
        </w:rPr>
        <w:t>人民代表大会的决议；</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2.对</w:t>
      </w:r>
      <w:r>
        <w:rPr>
          <w:rFonts w:hint="eastAsia" w:ascii="仿宋_GB2312" w:hAnsi="仿宋" w:eastAsia="仿宋_GB2312"/>
          <w:sz w:val="32"/>
          <w:szCs w:val="32"/>
          <w:lang w:eastAsia="zh-CN"/>
        </w:rPr>
        <w:t>乡</w:t>
      </w:r>
      <w:r>
        <w:rPr>
          <w:rFonts w:hint="eastAsia" w:ascii="仿宋_GB2312" w:hAnsi="仿宋" w:eastAsia="仿宋_GB2312"/>
          <w:sz w:val="32"/>
          <w:szCs w:val="32"/>
        </w:rPr>
        <w:t>人民代表大会及其主席团和上级行政机关负责并报告工作；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3.编制和执行</w:t>
      </w:r>
      <w:r>
        <w:rPr>
          <w:rFonts w:hint="eastAsia" w:ascii="仿宋_GB2312" w:hAnsi="仿宋" w:eastAsia="仿宋_GB2312"/>
          <w:sz w:val="32"/>
          <w:szCs w:val="32"/>
          <w:lang w:eastAsia="zh-CN"/>
        </w:rPr>
        <w:t>乡</w:t>
      </w:r>
      <w:r>
        <w:rPr>
          <w:rFonts w:hint="eastAsia" w:ascii="仿宋_GB2312" w:hAnsi="仿宋" w:eastAsia="仿宋_GB2312"/>
          <w:sz w:val="32"/>
          <w:szCs w:val="32"/>
        </w:rPr>
        <w:t>国民经济和社会发展计划，编制并执行财政预算；</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4.管理本行政区域经济和各项社会事业的行政工作；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5.负责辖区内行政执法工作，维护社会秩序，保护公民人身、民主、财产等合法权利，保护各种经济组织的合法权益；</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6.指导、支持和帮助村民委员会工作；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7.法律规定赋予烦人其它职责。</w:t>
      </w:r>
    </w:p>
    <w:p>
      <w:pPr>
        <w:shd w:val="clear" w:color="auto" w:fill="FFFFFF"/>
        <w:snapToGrid w:val="0"/>
        <w:spacing w:line="576" w:lineRule="exact"/>
        <w:ind w:firstLine="640"/>
        <w:rPr>
          <w:rFonts w:hint="eastAsia" w:ascii="仿宋_GB2312" w:hAnsi="仿宋" w:eastAsia="仿宋_GB2312"/>
          <w:b/>
          <w:bCs/>
          <w:sz w:val="32"/>
          <w:szCs w:val="32"/>
        </w:rPr>
      </w:pP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4</w:t>
      </w:r>
      <w:r>
        <w:rPr>
          <w:rFonts w:hint="eastAsia" w:ascii="仿宋_GB2312" w:hAnsi="仿宋" w:eastAsia="仿宋_GB2312"/>
          <w:b/>
          <w:bCs/>
          <w:sz w:val="32"/>
          <w:szCs w:val="32"/>
        </w:rPr>
        <w:t>）人民武装部工作职责</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1.负责民兵组织建设、政治教育、军事训练；</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2.为本系统自主择业转业干部提供管理和服务；</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3.组织带领民兵完成战备执勤任务，配合公安部门维护社会治安；</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4.战时组织带领民兵参军参战，支援前线；</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5.负责征兵工作和预备役士兵、预备役军官登记统计工作；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6.协同预备役部（分）队落实参训人员，做好兵员的管理、动员集结等工作；</w:t>
      </w:r>
    </w:p>
    <w:p>
      <w:pPr>
        <w:shd w:val="clear" w:color="auto" w:fill="FFFFFF"/>
        <w:snapToGrid w:val="0"/>
        <w:spacing w:line="576" w:lineRule="exact"/>
        <w:ind w:firstLine="640"/>
        <w:rPr>
          <w:rFonts w:hint="eastAsia" w:ascii="仿宋_GB2312" w:hAnsi="仿宋" w:eastAsia="仿宋_GB2312"/>
          <w:sz w:val="32"/>
          <w:szCs w:val="32"/>
        </w:rPr>
      </w:pPr>
      <w:r>
        <w:rPr>
          <w:rFonts w:hint="eastAsia" w:ascii="仿宋_GB2312" w:hAnsi="仿宋" w:eastAsia="仿宋_GB2312"/>
          <w:sz w:val="32"/>
          <w:szCs w:val="32"/>
        </w:rPr>
        <w:t>7.协助有关部门开展国防教育，做好退伍人员的安置和烈军属的优抚工作；</w:t>
      </w:r>
    </w:p>
    <w:p>
      <w:pPr>
        <w:ind w:firstLine="640" w:firstLineChars="200"/>
        <w:jc w:val="left"/>
        <w:rPr>
          <w:rFonts w:hint="eastAsia" w:ascii="仿宋_GB2312" w:hAnsi="仿宋_GB2312" w:eastAsia="仿宋_GB2312" w:cs="仿宋_GB2312"/>
          <w:bCs/>
          <w:sz w:val="32"/>
          <w:szCs w:val="32"/>
        </w:rPr>
      </w:pPr>
      <w:r>
        <w:rPr>
          <w:rFonts w:hint="eastAsia" w:ascii="仿宋_GB2312" w:hAnsi="仿宋" w:eastAsia="仿宋_GB2312"/>
          <w:sz w:val="32"/>
          <w:szCs w:val="32"/>
        </w:rPr>
        <w:t>8.完成地方党委、人民政府和上级军事机关交给的其他工作任务。</w:t>
      </w:r>
    </w:p>
    <w:p>
      <w:pPr>
        <w:ind w:left="420" w:leftChars="200" w:firstLine="160" w:firstLineChars="50"/>
        <w:rPr>
          <w:rFonts w:hint="eastAsia" w:ascii="黑体" w:hAnsi="黑体" w:eastAsia="黑体" w:cs="黑体"/>
          <w:sz w:val="32"/>
          <w:szCs w:val="32"/>
          <w:lang w:val="zh-CN"/>
        </w:rPr>
      </w:pPr>
      <w:r>
        <w:rPr>
          <w:rFonts w:hint="eastAsia" w:ascii="黑体" w:hAnsi="黑体" w:eastAsia="黑体" w:cs="黑体"/>
          <w:sz w:val="32"/>
          <w:szCs w:val="32"/>
          <w:lang w:val="zh-CN"/>
        </w:rPr>
        <w:t>二、部门财政资金收支情况</w:t>
      </w:r>
    </w:p>
    <w:p>
      <w:pPr>
        <w:widowControl/>
        <w:adjustRightInd w:val="0"/>
        <w:snapToGrid w:val="0"/>
        <w:spacing w:line="576" w:lineRule="exact"/>
        <w:ind w:firstLine="320" w:firstLineChars="100"/>
        <w:jc w:val="left"/>
        <w:rPr>
          <w:rFonts w:hint="eastAsia" w:ascii="楷体" w:hAnsi="楷体" w:eastAsia="楷体" w:cs="楷体"/>
        </w:rPr>
      </w:pPr>
      <w:r>
        <w:rPr>
          <w:rFonts w:ascii="??_GB2312" w:hAnsi="宋体" w:eastAsia="Times New Roman" w:cs="宋体"/>
          <w:b/>
          <w:bCs/>
          <w:color w:val="000000"/>
          <w:kern w:val="0"/>
          <w:sz w:val="32"/>
          <w:lang w:val="zh-CN"/>
        </w:rPr>
        <w:t>（一）部门财政资金收入情况。</w:t>
      </w:r>
    </w:p>
    <w:p>
      <w:pPr>
        <w:spacing w:line="576" w:lineRule="exact"/>
        <w:ind w:firstLine="640"/>
        <w:rPr>
          <w:rFonts w:hint="eastAsia" w:ascii="仿宋_GB2312" w:hAnsi="仿宋_GB2312" w:eastAsia="仿宋_GB2312" w:cs="仿宋_GB2312"/>
          <w:bCs/>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总计</w:t>
      </w:r>
      <w:r>
        <w:rPr>
          <w:rFonts w:hint="eastAsia" w:ascii="仿宋_GB2312" w:hAnsi="仿宋" w:eastAsia="仿宋_GB2312"/>
          <w:sz w:val="32"/>
          <w:szCs w:val="32"/>
          <w:lang w:val="en-US" w:eastAsia="zh-CN"/>
        </w:rPr>
        <w:t>617.94</w:t>
      </w:r>
      <w:r>
        <w:rPr>
          <w:rFonts w:hint="eastAsia" w:ascii="仿宋_GB2312" w:eastAsia="仿宋_GB2312"/>
          <w:color w:val="000000"/>
          <w:sz w:val="32"/>
          <w:szCs w:val="32"/>
          <w:lang w:val="en-US" w:eastAsia="zh-CN"/>
        </w:rPr>
        <w:t>万</w:t>
      </w:r>
      <w:r>
        <w:rPr>
          <w:rFonts w:hint="eastAsia" w:ascii="仿宋_GB2312" w:eastAsia="仿宋_GB2312"/>
          <w:color w:val="000000"/>
          <w:sz w:val="32"/>
          <w:szCs w:val="32"/>
          <w:lang w:eastAsia="zh-CN"/>
        </w:rPr>
        <w:t>元</w:t>
      </w:r>
      <w:r>
        <w:rPr>
          <w:rFonts w:hint="eastAsia" w:ascii="仿宋_GB2312" w:eastAsia="仿宋_GB2312"/>
          <w:color w:val="000000"/>
          <w:sz w:val="32"/>
          <w:szCs w:val="32"/>
          <w:lang w:val="en-US" w:eastAsia="zh-CN"/>
        </w:rPr>
        <w:t>,</w:t>
      </w:r>
      <w:r>
        <w:rPr>
          <w:rFonts w:hint="eastAsia" w:ascii="仿宋_GB2312" w:hAnsi="仿宋_GB2312" w:eastAsia="仿宋_GB2312" w:cs="仿宋_GB2312"/>
          <w:bCs/>
          <w:sz w:val="32"/>
          <w:szCs w:val="32"/>
        </w:rPr>
        <w:t>其中：一般公共预算财政拨款收入</w:t>
      </w:r>
      <w:r>
        <w:rPr>
          <w:rFonts w:hint="eastAsia" w:ascii="仿宋_GB2312" w:hAnsi="仿宋_GB2312" w:eastAsia="仿宋_GB2312" w:cs="仿宋_GB2312"/>
          <w:bCs/>
          <w:sz w:val="32"/>
          <w:szCs w:val="32"/>
          <w:lang w:val="en-US" w:eastAsia="zh-CN"/>
        </w:rPr>
        <w:t>617.94</w:t>
      </w:r>
      <w:r>
        <w:rPr>
          <w:rFonts w:hint="eastAsia" w:ascii="仿宋_GB2312" w:hAnsi="仿宋_GB2312" w:eastAsia="仿宋_GB2312" w:cs="仿宋_GB2312"/>
          <w:bCs/>
          <w:sz w:val="32"/>
          <w:szCs w:val="32"/>
        </w:rPr>
        <w:t>万元。</w:t>
      </w:r>
    </w:p>
    <w:p>
      <w:pPr>
        <w:pStyle w:val="6"/>
        <w:spacing w:before="72"/>
        <w:ind w:firstLine="640" w:firstLineChars="200"/>
        <w:rPr>
          <w:rFonts w:hint="eastAsia" w:ascii="楷体" w:hAnsi="楷体" w:eastAsia="楷体" w:cs="楷体"/>
        </w:rPr>
      </w:pPr>
      <w:r>
        <w:rPr>
          <w:rFonts w:hint="eastAsia" w:ascii="楷体" w:hAnsi="楷体" w:eastAsia="楷体" w:cs="楷体"/>
          <w:color w:val="000000"/>
          <w:sz w:val="32"/>
          <w:szCs w:val="32"/>
        </w:rPr>
        <w:t>（二）</w:t>
      </w:r>
      <w:r>
        <w:rPr>
          <w:rFonts w:hint="eastAsia" w:ascii="楷体" w:hAnsi="楷体" w:eastAsia="楷体" w:cs="楷体"/>
          <w:b/>
          <w:sz w:val="32"/>
          <w:szCs w:val="32"/>
        </w:rPr>
        <w:t>部门财政资金支出情况</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
          <w:color w:val="000000"/>
          <w:sz w:val="32"/>
          <w:szCs w:val="32"/>
          <w:lang w:eastAsia="zh-CN"/>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本年支出合计</w:t>
      </w:r>
      <w:r>
        <w:rPr>
          <w:rFonts w:hint="eastAsia" w:ascii="仿宋_GB2312" w:eastAsia="仿宋_GB2312"/>
          <w:color w:val="000000"/>
          <w:sz w:val="32"/>
          <w:szCs w:val="32"/>
          <w:lang w:val="en-US" w:eastAsia="zh-CN"/>
        </w:rPr>
        <w:t>650.51万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r>
        <w:rPr>
          <w:rFonts w:hint="eastAsia" w:ascii="仿宋" w:hAnsi="仿宋" w:eastAsia="仿宋"/>
          <w:color w:val="000000"/>
          <w:sz w:val="32"/>
          <w:szCs w:val="32"/>
        </w:rPr>
        <w:t>基本支出</w:t>
      </w:r>
      <w:r>
        <w:rPr>
          <w:rFonts w:hint="eastAsia" w:ascii="仿宋" w:hAnsi="仿宋" w:eastAsia="仿宋"/>
          <w:color w:val="000000"/>
          <w:sz w:val="32"/>
          <w:szCs w:val="32"/>
          <w:lang w:val="en-US" w:eastAsia="zh-CN"/>
        </w:rPr>
        <w:t>541.76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108.75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17</w:t>
      </w:r>
      <w:r>
        <w:rPr>
          <w:rFonts w:ascii="仿宋" w:hAnsi="仿宋" w:eastAsia="仿宋"/>
          <w:color w:val="000000"/>
          <w:sz w:val="32"/>
          <w:szCs w:val="32"/>
        </w:rPr>
        <w:t>%</w:t>
      </w:r>
      <w:r>
        <w:rPr>
          <w:rFonts w:hint="eastAsia" w:ascii="仿宋" w:hAnsi="仿宋" w:eastAsia="仿宋"/>
          <w:color w:val="000000"/>
          <w:sz w:val="32"/>
          <w:szCs w:val="32"/>
          <w:lang w:eastAsia="zh-CN"/>
        </w:rPr>
        <w:t>。</w:t>
      </w:r>
    </w:p>
    <w:p>
      <w:pPr>
        <w:ind w:left="420" w:leftChars="200" w:firstLine="320" w:firstLineChars="100"/>
        <w:rPr>
          <w:rFonts w:hint="eastAsia" w:ascii="黑体" w:hAnsi="黑体" w:eastAsia="黑体" w:cs="黑体"/>
          <w:sz w:val="32"/>
          <w:szCs w:val="32"/>
        </w:rPr>
      </w:pPr>
      <w:r>
        <w:rPr>
          <w:rFonts w:hint="eastAsia" w:ascii="黑体" w:hAnsi="黑体" w:eastAsia="黑体" w:cs="黑体"/>
          <w:sz w:val="32"/>
          <w:szCs w:val="32"/>
        </w:rPr>
        <w:t>三、部门财政支出管理情况</w:t>
      </w:r>
    </w:p>
    <w:p>
      <w:pPr>
        <w:pStyle w:val="6"/>
        <w:numPr>
          <w:ilvl w:val="0"/>
          <w:numId w:val="8"/>
        </w:numPr>
        <w:spacing w:before="72"/>
        <w:ind w:left="420" w:leftChars="200"/>
        <w:rPr>
          <w:rFonts w:hint="eastAsia" w:ascii="楷体" w:hAnsi="楷体" w:eastAsia="楷体" w:cs="楷体"/>
          <w:sz w:val="32"/>
          <w:szCs w:val="32"/>
        </w:rPr>
      </w:pPr>
      <w:r>
        <w:rPr>
          <w:rFonts w:hint="eastAsia" w:ascii="楷体" w:hAnsi="楷体" w:eastAsia="楷体" w:cs="楷体"/>
          <w:sz w:val="32"/>
          <w:szCs w:val="32"/>
        </w:rPr>
        <w:t>预算编制情况</w:t>
      </w:r>
    </w:p>
    <w:p>
      <w:pPr>
        <w:pStyle w:val="6"/>
        <w:spacing w:before="72"/>
        <w:rPr>
          <w:rFonts w:hint="eastAsia" w:hAnsi="仿宋_GB2312" w:cs="仿宋_GB2312"/>
          <w:sz w:val="32"/>
          <w:szCs w:val="32"/>
        </w:rPr>
      </w:pPr>
      <w:r>
        <w:rPr>
          <w:rFonts w:hint="eastAsia" w:ascii="楷体" w:hAnsi="楷体" w:eastAsia="楷体" w:cs="楷体"/>
          <w:sz w:val="32"/>
          <w:szCs w:val="32"/>
        </w:rPr>
        <w:t xml:space="preserve">    </w:t>
      </w:r>
      <w:r>
        <w:rPr>
          <w:rFonts w:hint="eastAsia" w:hAnsi="仿宋_GB2312" w:cs="仿宋_GB2312"/>
          <w:sz w:val="32"/>
          <w:szCs w:val="32"/>
        </w:rPr>
        <w:t>按照县财政预算编制工作要求，我</w:t>
      </w:r>
      <w:r>
        <w:rPr>
          <w:rFonts w:hint="eastAsia" w:hAnsi="仿宋_GB2312" w:cs="仿宋_GB2312"/>
          <w:sz w:val="32"/>
          <w:szCs w:val="32"/>
          <w:lang w:eastAsia="zh-CN"/>
        </w:rPr>
        <w:t>乡</w:t>
      </w:r>
      <w:r>
        <w:rPr>
          <w:rFonts w:hint="eastAsia" w:hAnsi="仿宋_GB2312" w:cs="仿宋_GB2312"/>
          <w:sz w:val="32"/>
          <w:szCs w:val="32"/>
        </w:rPr>
        <w:t>组织财务人员积极参与预算编制培训会，及时掌握预算编制口径等相关知识，结合单位工作实际，按照“两上两下”编制方式，全面、及时、完整地编制了单位预算，并经财政部门审核下达。</w:t>
      </w:r>
    </w:p>
    <w:p>
      <w:pPr>
        <w:pStyle w:val="6"/>
        <w:numPr>
          <w:ilvl w:val="0"/>
          <w:numId w:val="8"/>
        </w:numPr>
        <w:spacing w:before="72"/>
        <w:ind w:left="420" w:leftChars="200"/>
        <w:rPr>
          <w:rFonts w:hint="eastAsia" w:ascii="楷体" w:hAnsi="楷体" w:eastAsia="楷体" w:cs="楷体"/>
          <w:sz w:val="32"/>
          <w:szCs w:val="32"/>
        </w:rPr>
      </w:pPr>
      <w:r>
        <w:rPr>
          <w:rFonts w:hint="eastAsia" w:ascii="楷体" w:hAnsi="楷体" w:eastAsia="楷体" w:cs="楷体"/>
          <w:sz w:val="32"/>
          <w:szCs w:val="32"/>
        </w:rPr>
        <w:t>执行管理情况</w:t>
      </w:r>
    </w:p>
    <w:p>
      <w:pPr>
        <w:pStyle w:val="6"/>
        <w:spacing w:before="72"/>
        <w:ind w:firstLine="640"/>
        <w:rPr>
          <w:rFonts w:hint="eastAsia" w:hAnsi="仿宋_GB2312" w:cs="仿宋_GB2312"/>
          <w:sz w:val="32"/>
          <w:szCs w:val="32"/>
        </w:rPr>
      </w:pPr>
      <w:r>
        <w:rPr>
          <w:rFonts w:hint="eastAsia" w:hAnsi="仿宋_GB2312" w:cs="仿宋_GB2312"/>
          <w:sz w:val="32"/>
          <w:szCs w:val="32"/>
        </w:rPr>
        <w:t>在预算执行中，我</w:t>
      </w:r>
      <w:r>
        <w:rPr>
          <w:rFonts w:hint="eastAsia" w:hAnsi="仿宋_GB2312" w:cs="仿宋_GB2312"/>
          <w:sz w:val="32"/>
          <w:szCs w:val="32"/>
          <w:lang w:eastAsia="zh-CN"/>
        </w:rPr>
        <w:t>乡</w:t>
      </w:r>
      <w:r>
        <w:rPr>
          <w:rFonts w:hint="eastAsia" w:hAnsi="仿宋_GB2312" w:cs="仿宋_GB2312"/>
          <w:sz w:val="32"/>
          <w:szCs w:val="32"/>
        </w:rPr>
        <w:t>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pStyle w:val="6"/>
        <w:spacing w:before="72"/>
        <w:ind w:firstLine="640"/>
        <w:rPr>
          <w:rFonts w:hint="eastAsia" w:hAnsi="仿宋_GB2312" w:eastAsia="仿宋_GB2312" w:cs="仿宋_GB2312"/>
          <w:sz w:val="32"/>
          <w:szCs w:val="32"/>
          <w:lang w:val="en-US" w:eastAsia="zh-CN"/>
        </w:rPr>
      </w:pPr>
      <w:r>
        <w:rPr>
          <w:rFonts w:hint="eastAsia" w:hAnsi="仿宋_GB2312" w:cs="仿宋_GB2312"/>
          <w:sz w:val="32"/>
          <w:szCs w:val="32"/>
        </w:rPr>
        <w:t>201</w:t>
      </w:r>
      <w:r>
        <w:rPr>
          <w:rFonts w:hint="eastAsia" w:hAnsi="仿宋_GB2312" w:cs="仿宋_GB2312"/>
          <w:sz w:val="32"/>
          <w:szCs w:val="32"/>
          <w:lang w:val="en-US" w:eastAsia="zh-CN"/>
        </w:rPr>
        <w:t>9</w:t>
      </w:r>
      <w:r>
        <w:rPr>
          <w:rFonts w:hint="eastAsia" w:hAnsi="仿宋_GB2312" w:cs="仿宋_GB2312"/>
          <w:sz w:val="32"/>
          <w:szCs w:val="32"/>
        </w:rPr>
        <w:t>年度“三公“经费支出情况：无出国出境及接待费用；公务用车运行费为</w:t>
      </w:r>
      <w:r>
        <w:rPr>
          <w:rFonts w:hint="eastAsia" w:ascii="仿宋" w:hAnsi="仿宋" w:eastAsia="仿宋"/>
          <w:color w:val="000000"/>
          <w:sz w:val="32"/>
          <w:szCs w:val="32"/>
          <w:lang w:val="en-US" w:eastAsia="zh-CN"/>
        </w:rPr>
        <w:t>6.6</w:t>
      </w:r>
      <w:r>
        <w:rPr>
          <w:rFonts w:hint="eastAsia" w:hAnsi="仿宋_GB2312" w:cs="仿宋_GB2312"/>
          <w:sz w:val="32"/>
          <w:szCs w:val="32"/>
        </w:rPr>
        <w:t>元</w:t>
      </w:r>
      <w:r>
        <w:rPr>
          <w:rFonts w:hint="eastAsia" w:hAnsi="仿宋_GB2312" w:cs="仿宋_GB2312"/>
          <w:sz w:val="32"/>
          <w:szCs w:val="32"/>
          <w:lang w:val="en-US" w:eastAsia="zh-CN"/>
        </w:rPr>
        <w:t>。</w:t>
      </w:r>
    </w:p>
    <w:p>
      <w:pPr>
        <w:widowControl/>
        <w:adjustRightInd w:val="0"/>
        <w:snapToGrid w:val="0"/>
        <w:spacing w:line="576" w:lineRule="exact"/>
        <w:ind w:firstLine="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（三）综合管理情况。</w:t>
      </w:r>
    </w:p>
    <w:p>
      <w:pPr>
        <w:pStyle w:val="13"/>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预决算公开：</w:t>
      </w:r>
      <w:r>
        <w:rPr>
          <w:rFonts w:hint="eastAsia" w:ascii="仿宋_GB2312" w:hAnsi="仿宋_GB2312" w:eastAsia="仿宋_GB2312" w:cs="仿宋_GB2312"/>
          <w:bCs/>
          <w:kern w:val="2"/>
          <w:sz w:val="32"/>
          <w:szCs w:val="32"/>
          <w:lang w:val="zh-CN" w:eastAsia="zh-CN" w:bidi="ar-SA"/>
        </w:rPr>
        <w:t>201</w:t>
      </w:r>
      <w:r>
        <w:rPr>
          <w:rFonts w:hint="eastAsia" w:ascii="仿宋_GB2312" w:hAnsi="仿宋_GB2312" w:eastAsia="仿宋_GB2312" w:cs="仿宋_GB2312"/>
          <w:bCs/>
          <w:kern w:val="2"/>
          <w:sz w:val="32"/>
          <w:szCs w:val="32"/>
          <w:lang w:val="en-US" w:eastAsia="zh-CN" w:bidi="ar-SA"/>
        </w:rPr>
        <w:t>9</w:t>
      </w:r>
      <w:r>
        <w:rPr>
          <w:rFonts w:hint="eastAsia" w:ascii="仿宋_GB2312" w:hAnsi="仿宋_GB2312" w:eastAsia="仿宋_GB2312" w:cs="仿宋_GB2312"/>
          <w:bCs/>
          <w:kern w:val="2"/>
          <w:sz w:val="32"/>
          <w:szCs w:val="32"/>
          <w:lang w:val="zh-CN" w:eastAsia="zh-CN" w:bidi="ar-SA"/>
        </w:rPr>
        <w:t>年，我乡按照上级的要求，我乡在财政批复后</w:t>
      </w:r>
      <w:r>
        <w:rPr>
          <w:rFonts w:hint="eastAsia" w:ascii="仿宋_GB2312" w:hAnsi="仿宋_GB2312" w:eastAsia="仿宋_GB2312" w:cs="仿宋_GB2312"/>
          <w:bCs/>
          <w:kern w:val="2"/>
          <w:sz w:val="32"/>
          <w:szCs w:val="32"/>
          <w:lang w:val="en-US" w:eastAsia="zh-CN" w:bidi="ar-SA"/>
        </w:rPr>
        <w:t>15</w:t>
      </w:r>
      <w:r>
        <w:rPr>
          <w:rFonts w:hint="eastAsia" w:ascii="仿宋_GB2312" w:hAnsi="仿宋_GB2312" w:eastAsia="仿宋_GB2312" w:cs="仿宋_GB2312"/>
          <w:bCs/>
          <w:kern w:val="2"/>
          <w:sz w:val="32"/>
          <w:szCs w:val="32"/>
          <w:lang w:val="zh-CN" w:eastAsia="zh-CN" w:bidi="ar-SA"/>
        </w:rPr>
        <w:t>日内在指定网站公开预决算信息。</w:t>
      </w:r>
    </w:p>
    <w:p>
      <w:pPr>
        <w:pStyle w:val="13"/>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资产管理：</w:t>
      </w:r>
      <w:r>
        <w:rPr>
          <w:rFonts w:hint="eastAsia" w:ascii="仿宋_GB2312" w:hAnsi="仿宋_GB2312" w:eastAsia="仿宋_GB2312" w:cs="仿宋_GB2312"/>
          <w:bCs/>
          <w:kern w:val="2"/>
          <w:sz w:val="32"/>
          <w:szCs w:val="32"/>
          <w:lang w:val="zh-CN" w:eastAsia="zh-CN" w:bidi="ar-SA"/>
        </w:rPr>
        <w:t>乡机关建立了资产管理制度，组织开展资产盘点和清查，并就清查中发现的问题进行全面整改。</w:t>
      </w:r>
    </w:p>
    <w:p>
      <w:pPr>
        <w:pStyle w:val="13"/>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内部管理制度建设情况：</w:t>
      </w:r>
      <w:r>
        <w:rPr>
          <w:rFonts w:hint="eastAsia" w:ascii="仿宋_GB2312" w:hAnsi="仿宋_GB2312" w:eastAsia="仿宋_GB2312" w:cs="仿宋_GB2312"/>
          <w:bCs/>
          <w:kern w:val="2"/>
          <w:sz w:val="32"/>
          <w:szCs w:val="32"/>
          <w:lang w:val="zh-CN" w:eastAsia="zh-CN" w:bidi="ar-SA"/>
        </w:rPr>
        <w:t>201</w:t>
      </w:r>
      <w:r>
        <w:rPr>
          <w:rFonts w:hint="eastAsia" w:ascii="仿宋_GB2312" w:hAnsi="仿宋_GB2312" w:eastAsia="仿宋_GB2312" w:cs="仿宋_GB2312"/>
          <w:bCs/>
          <w:kern w:val="2"/>
          <w:sz w:val="32"/>
          <w:szCs w:val="32"/>
          <w:lang w:val="en-US" w:eastAsia="zh-CN" w:bidi="ar-SA"/>
        </w:rPr>
        <w:t>9</w:t>
      </w:r>
      <w:r>
        <w:rPr>
          <w:rFonts w:hint="eastAsia" w:ascii="仿宋_GB2312" w:hAnsi="仿宋_GB2312" w:eastAsia="仿宋_GB2312" w:cs="仿宋_GB2312"/>
          <w:bCs/>
          <w:kern w:val="2"/>
          <w:sz w:val="32"/>
          <w:szCs w:val="32"/>
          <w:lang w:val="zh-CN" w:eastAsia="zh-CN" w:bidi="ar-SA"/>
        </w:rPr>
        <w:t>年以来，我乡制定了乡机关内部控制工作实施方案，并不断完善了“预算管理办法”、“合同管理制度”、“收支管理办法”、“资产管理制度”等一系列内部制度。</w:t>
      </w:r>
    </w:p>
    <w:p>
      <w:pPr>
        <w:pStyle w:val="13"/>
        <w:widowControl/>
        <w:shd w:val="clear" w:color="auto" w:fill="FFFFFF"/>
        <w:spacing w:beforeAutospacing="0" w:afterAutospacing="0" w:line="576" w:lineRule="exact"/>
        <w:ind w:firstLine="643" w:firstLineChars="200"/>
        <w:rPr>
          <w:rFonts w:hint="eastAsia" w:ascii="仿宋_GB2312" w:hAnsi="仿宋_GB2312" w:eastAsia="仿宋_GB2312" w:cs="仿宋_GB2312"/>
          <w:bCs/>
          <w:kern w:val="2"/>
          <w:sz w:val="32"/>
          <w:szCs w:val="32"/>
          <w:lang w:val="zh-CN" w:eastAsia="zh-CN" w:bidi="ar-SA"/>
        </w:rPr>
      </w:pPr>
      <w:r>
        <w:rPr>
          <w:rFonts w:hint="eastAsia" w:ascii="宋体" w:hAnsi="宋体" w:cs="宋体"/>
          <w:b/>
          <w:bCs/>
          <w:color w:val="000000"/>
          <w:sz w:val="32"/>
          <w:szCs w:val="32"/>
          <w:shd w:val="clear" w:color="auto" w:fill="FFFFFF"/>
        </w:rPr>
        <w:t>绩效评价：</w:t>
      </w:r>
      <w:r>
        <w:rPr>
          <w:rFonts w:hint="eastAsia" w:ascii="仿宋_GB2312" w:hAnsi="仿宋_GB2312" w:eastAsia="仿宋_GB2312" w:cs="仿宋_GB2312"/>
          <w:bCs/>
          <w:kern w:val="2"/>
          <w:sz w:val="32"/>
          <w:szCs w:val="32"/>
          <w:lang w:val="zh-CN" w:eastAsia="zh-CN" w:bidi="ar-SA"/>
        </w:rPr>
        <w:t>根据绩效评价的要求，我们成立了自评工作领导小组，对照自评方案进行研究和布署，按照自评方案的要求，对照各实施项目的内容逐条逐项自评。</w:t>
      </w:r>
    </w:p>
    <w:p>
      <w:pPr>
        <w:widowControl/>
        <w:numPr>
          <w:ilvl w:val="0"/>
          <w:numId w:val="9"/>
        </w:numPr>
        <w:adjustRightInd w:val="0"/>
        <w:snapToGrid w:val="0"/>
        <w:spacing w:line="576" w:lineRule="exact"/>
        <w:ind w:firstLine="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整体绩效。</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从整体情况来看，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p>
    <w:p>
      <w:pPr>
        <w:pStyle w:val="13"/>
        <w:widowControl/>
        <w:shd w:val="clear" w:color="auto" w:fill="FFFFFF"/>
        <w:spacing w:beforeAutospacing="0" w:afterAutospacing="0" w:line="576" w:lineRule="exact"/>
        <w:ind w:firstLine="643" w:firstLineChars="200"/>
        <w:rPr>
          <w:rFonts w:hint="eastAsia" w:ascii="仿宋_GB2312" w:hAnsi="仿宋_GB2312" w:eastAsia="仿宋_GB2312" w:cs="仿宋_GB2312"/>
          <w:b/>
          <w:bCs w:val="0"/>
          <w:kern w:val="2"/>
          <w:sz w:val="32"/>
          <w:szCs w:val="32"/>
          <w:lang w:val="zh-CN" w:eastAsia="zh-CN" w:bidi="ar-SA"/>
        </w:rPr>
      </w:pPr>
      <w:r>
        <w:rPr>
          <w:rFonts w:hint="eastAsia" w:ascii="仿宋_GB2312" w:hAnsi="仿宋_GB2312" w:eastAsia="仿宋_GB2312" w:cs="仿宋_GB2312"/>
          <w:b/>
          <w:bCs w:val="0"/>
          <w:kern w:val="2"/>
          <w:sz w:val="32"/>
          <w:szCs w:val="32"/>
          <w:lang w:val="zh-CN" w:eastAsia="zh-CN" w:bidi="ar-SA"/>
        </w:rPr>
        <w:t>四、评价结论及建议</w:t>
      </w:r>
    </w:p>
    <w:p>
      <w:pPr>
        <w:pStyle w:val="13"/>
        <w:widowControl/>
        <w:shd w:val="clear" w:color="auto" w:fill="FFFFFF"/>
        <w:spacing w:beforeAutospacing="0" w:afterAutospacing="0" w:line="576" w:lineRule="exact"/>
        <w:ind w:firstLine="643" w:firstLineChars="200"/>
        <w:rPr>
          <w:rFonts w:hint="eastAsia" w:ascii="仿宋_GB2312" w:hAnsi="仿宋_GB2312" w:eastAsia="仿宋_GB2312" w:cs="仿宋_GB2312"/>
          <w:b/>
          <w:bCs w:val="0"/>
          <w:kern w:val="2"/>
          <w:sz w:val="32"/>
          <w:szCs w:val="32"/>
          <w:lang w:val="zh-CN" w:eastAsia="zh-CN" w:bidi="ar-SA"/>
        </w:rPr>
      </w:pPr>
      <w:r>
        <w:rPr>
          <w:rFonts w:hint="eastAsia" w:ascii="仿宋_GB2312" w:hAnsi="仿宋_GB2312" w:eastAsia="仿宋_GB2312" w:cs="仿宋_GB2312"/>
          <w:b/>
          <w:bCs w:val="0"/>
          <w:kern w:val="2"/>
          <w:sz w:val="32"/>
          <w:szCs w:val="32"/>
          <w:lang w:val="zh-CN" w:eastAsia="zh-CN" w:bidi="ar-SA"/>
        </w:rPr>
        <w:t>（一）评价结论。</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在自评过程发现问题，查找原因，及时纠正偏差，为下一步工作夯实基础。我乡评价得分</w:t>
      </w:r>
      <w:r>
        <w:rPr>
          <w:rFonts w:hint="eastAsia" w:ascii="仿宋_GB2312" w:hAnsi="仿宋_GB2312" w:eastAsia="仿宋_GB2312" w:cs="仿宋_GB2312"/>
          <w:bCs/>
          <w:kern w:val="2"/>
          <w:sz w:val="32"/>
          <w:szCs w:val="32"/>
          <w:lang w:val="en-US" w:eastAsia="zh-CN" w:bidi="ar-SA"/>
        </w:rPr>
        <w:t>90</w:t>
      </w:r>
      <w:r>
        <w:rPr>
          <w:rFonts w:hint="eastAsia" w:ascii="仿宋_GB2312" w:hAnsi="仿宋_GB2312" w:eastAsia="仿宋_GB2312" w:cs="仿宋_GB2312"/>
          <w:bCs/>
          <w:kern w:val="2"/>
          <w:sz w:val="32"/>
          <w:szCs w:val="32"/>
          <w:lang w:val="zh-CN" w:eastAsia="zh-CN" w:bidi="ar-SA"/>
        </w:rPr>
        <w:t>分，整体评价良好，预算收入和支出相符。</w:t>
      </w:r>
    </w:p>
    <w:p>
      <w:pPr>
        <w:widowControl/>
        <w:adjustRightInd w:val="0"/>
        <w:snapToGrid w:val="0"/>
        <w:spacing w:line="576" w:lineRule="exact"/>
        <w:ind w:left="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（二）存在问题。</w:t>
      </w:r>
    </w:p>
    <w:p>
      <w:pPr>
        <w:widowControl/>
        <w:adjustRightInd w:val="0"/>
        <w:snapToGrid w:val="0"/>
        <w:spacing w:line="576" w:lineRule="exact"/>
        <w:jc w:val="left"/>
        <w:rPr>
          <w:rFonts w:hint="eastAsia" w:ascii="仿宋_GB2312" w:hAnsi="仿宋_GB2312" w:eastAsia="仿宋_GB2312" w:cs="仿宋_GB2312"/>
          <w:bCs/>
          <w:kern w:val="2"/>
          <w:sz w:val="32"/>
          <w:szCs w:val="32"/>
          <w:lang w:val="zh-CN" w:eastAsia="zh-CN" w:bidi="ar-SA"/>
        </w:rPr>
      </w:pPr>
      <w:r>
        <w:rPr>
          <w:rFonts w:ascii="??_GB2312" w:hAnsi="宋体" w:eastAsia="Times New Roman" w:cs="宋体"/>
          <w:b/>
          <w:bCs/>
          <w:color w:val="000000"/>
          <w:kern w:val="0"/>
          <w:sz w:val="32"/>
        </w:rPr>
        <w:t xml:space="preserve">   </w:t>
      </w:r>
      <w:r>
        <w:rPr>
          <w:rFonts w:hint="eastAsia" w:ascii="仿宋_GB2312" w:hAnsi="仿宋_GB2312" w:eastAsia="仿宋_GB2312" w:cs="仿宋_GB2312"/>
          <w:bCs/>
          <w:kern w:val="2"/>
          <w:sz w:val="32"/>
          <w:szCs w:val="32"/>
          <w:lang w:val="zh-CN" w:eastAsia="zh-CN" w:bidi="ar-SA"/>
        </w:rPr>
        <w:t xml:space="preserve"> 一是资金使用效益有待进一步提高；二是预算编制先见性不足，与实际支出存在偏差；三是绩效目标设立不够明确、细化和量化。虽然设立了项目资金绩效目标，但目标不够明确、细化和量化。</w:t>
      </w:r>
    </w:p>
    <w:p>
      <w:pPr>
        <w:widowControl/>
        <w:adjustRightInd w:val="0"/>
        <w:snapToGrid w:val="0"/>
        <w:spacing w:line="576" w:lineRule="exact"/>
        <w:ind w:left="720"/>
        <w:jc w:val="left"/>
        <w:rPr>
          <w:rFonts w:hint="eastAsia" w:ascii="仿宋_GB2312" w:hAnsi="仿宋_GB2312" w:eastAsia="仿宋_GB2312" w:cs="仿宋_GB2312"/>
          <w:b/>
          <w:bCs w:val="0"/>
          <w:kern w:val="2"/>
          <w:sz w:val="32"/>
          <w:szCs w:val="32"/>
          <w:lang w:val="zh-CN" w:eastAsia="zh-CN" w:bidi="ar-SA"/>
        </w:rPr>
      </w:pPr>
      <w:r>
        <w:rPr>
          <w:rFonts w:hint="eastAsia" w:ascii="仿宋_GB2312" w:hAnsi="仿宋_GB2312" w:eastAsia="仿宋_GB2312" w:cs="仿宋_GB2312"/>
          <w:b/>
          <w:bCs w:val="0"/>
          <w:kern w:val="2"/>
          <w:sz w:val="32"/>
          <w:szCs w:val="32"/>
          <w:lang w:val="zh-CN" w:eastAsia="zh-CN" w:bidi="ar-SA"/>
        </w:rPr>
        <w:t>（三）改进建议。</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一是</w:t>
      </w:r>
      <w:r>
        <w:rPr>
          <w:rFonts w:hint="eastAsia" w:ascii="仿宋_GB2312" w:eastAsia="仿宋_GB2312"/>
          <w:color w:val="000000"/>
          <w:sz w:val="32"/>
          <w:szCs w:val="32"/>
          <w:lang w:eastAsia="zh-CN"/>
        </w:rPr>
        <w:t>提高资金使用效益</w:t>
      </w:r>
      <w:r>
        <w:rPr>
          <w:rFonts w:hint="eastAsia" w:ascii="仿宋_GB2312" w:eastAsia="仿宋_GB2312"/>
          <w:color w:val="000000"/>
          <w:sz w:val="32"/>
          <w:szCs w:val="32"/>
        </w:rPr>
        <w:t>，二是认真做好预算的编制，细化预算编制</w:t>
      </w:r>
      <w:r>
        <w:rPr>
          <w:rFonts w:hint="eastAsia" w:ascii="仿宋_GB2312" w:eastAsia="仿宋_GB2312"/>
          <w:color w:val="000000"/>
          <w:sz w:val="32"/>
          <w:szCs w:val="32"/>
          <w:lang w:eastAsia="zh-CN"/>
        </w:rPr>
        <w:t>，三是</w:t>
      </w:r>
      <w:r>
        <w:rPr>
          <w:rFonts w:hint="eastAsia" w:ascii="仿宋_GB2312" w:eastAsia="仿宋_GB2312"/>
          <w:color w:val="000000"/>
          <w:sz w:val="32"/>
          <w:szCs w:val="32"/>
        </w:rPr>
        <w:t>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580" w:lineRule="exact"/>
        <w:ind w:firstLine="640"/>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pStyle w:val="14"/>
        <w:rPr>
          <w:rFonts w:ascii="仿宋_GB2312" w:hAnsi="仿宋_GB2312" w:eastAsia="仿宋_GB2312" w:cs="仿宋_GB2312"/>
          <w:sz w:val="32"/>
          <w:szCs w:val="32"/>
        </w:rPr>
      </w:pPr>
    </w:p>
    <w:p>
      <w:pPr>
        <w:spacing w:line="580" w:lineRule="exact"/>
        <w:rPr>
          <w:rFonts w:ascii="仿宋_GB2312" w:hAnsi="仿宋_GB2312" w:eastAsia="仿宋_GB2312" w:cs="仿宋_GB2312"/>
          <w:color w:val="000000" w:themeColor="text1"/>
          <w:sz w:val="32"/>
          <w:szCs w:val="32"/>
        </w:rPr>
      </w:pPr>
      <w:r>
        <w:rPr>
          <w:rFonts w:hint="eastAsia" w:ascii="黑体" w:hAnsi="黑体" w:eastAsia="黑体" w:cs="黑体"/>
          <w:color w:val="000000" w:themeColor="text1"/>
          <w:sz w:val="32"/>
          <w:szCs w:val="32"/>
        </w:rPr>
        <w:t>附件2</w:t>
      </w:r>
    </w:p>
    <w:p>
      <w:pPr>
        <w:spacing w:line="580" w:lineRule="exact"/>
        <w:ind w:firstLine="640" w:firstLineChars="200"/>
        <w:rPr>
          <w:rFonts w:ascii="仿宋_GB2312" w:hAnsi="仿宋_GB2312" w:eastAsia="仿宋_GB2312" w:cs="仿宋_GB2312"/>
          <w:color w:val="000000" w:themeColor="text1"/>
          <w:sz w:val="32"/>
          <w:szCs w:val="32"/>
        </w:rPr>
      </w:pPr>
    </w:p>
    <w:p>
      <w:pPr>
        <w:spacing w:line="600" w:lineRule="exact"/>
        <w:jc w:val="center"/>
        <w:rPr>
          <w:rFonts w:ascii="方正小标宋简体" w:hAnsi="宋体" w:eastAsia="方正小标宋简体"/>
          <w:color w:val="000000" w:themeColor="text1"/>
          <w:kern w:val="0"/>
          <w:sz w:val="44"/>
          <w:szCs w:val="44"/>
          <w:lang w:val="zh-CN"/>
        </w:rPr>
      </w:pPr>
      <w:r>
        <w:rPr>
          <w:rFonts w:hint="eastAsia" w:ascii="方正小标宋简体" w:hAnsi="宋体" w:eastAsia="方正小标宋简体"/>
          <w:color w:val="000000" w:themeColor="text1"/>
          <w:kern w:val="0"/>
          <w:sz w:val="44"/>
          <w:szCs w:val="44"/>
          <w:lang w:eastAsia="zh-CN"/>
        </w:rPr>
        <w:t>江茸乡</w:t>
      </w:r>
      <w:r>
        <w:rPr>
          <w:rFonts w:hint="eastAsia" w:ascii="方正小标宋简体" w:hAnsi="宋体" w:eastAsia="方正小标宋简体"/>
          <w:color w:val="000000" w:themeColor="text1"/>
          <w:kern w:val="0"/>
          <w:sz w:val="44"/>
          <w:szCs w:val="44"/>
          <w:lang w:val="zh-CN"/>
        </w:rPr>
        <w:t>项目</w:t>
      </w:r>
      <w:r>
        <w:rPr>
          <w:rFonts w:hint="eastAsia" w:ascii="方正小标宋简体" w:hAnsi="宋体" w:eastAsia="方正小标宋简体"/>
          <w:color w:val="000000" w:themeColor="text1"/>
          <w:kern w:val="0"/>
          <w:sz w:val="44"/>
          <w:szCs w:val="44"/>
        </w:rPr>
        <w:t>2019年</w:t>
      </w:r>
      <w:r>
        <w:rPr>
          <w:rFonts w:hint="eastAsia" w:ascii="方正小标宋简体" w:hAnsi="宋体" w:eastAsia="方正小标宋简体"/>
          <w:color w:val="000000" w:themeColor="text1"/>
          <w:kern w:val="0"/>
          <w:sz w:val="44"/>
          <w:szCs w:val="44"/>
          <w:lang w:val="zh-CN"/>
        </w:rPr>
        <w:t>绩效评价报告</w:t>
      </w:r>
    </w:p>
    <w:p>
      <w:pPr>
        <w:spacing w:line="600" w:lineRule="exact"/>
        <w:rPr>
          <w:rFonts w:ascii="宋体" w:hAnsi="宋体"/>
          <w:color w:val="000000" w:themeColor="text1"/>
          <w:sz w:val="32"/>
          <w:szCs w:val="32"/>
          <w:lang w:val="zh-CN"/>
        </w:rPr>
      </w:pPr>
    </w:p>
    <w:p>
      <w:pPr>
        <w:adjustRightInd w:val="0"/>
        <w:snapToGrid w:val="0"/>
        <w:spacing w:line="600" w:lineRule="exact"/>
        <w:ind w:firstLine="720"/>
        <w:rPr>
          <w:rFonts w:ascii="黑体" w:hAnsi="宋体" w:eastAsia="黑体"/>
          <w:color w:val="000000" w:themeColor="text1"/>
          <w:sz w:val="32"/>
          <w:szCs w:val="32"/>
          <w:lang w:val="zh-CN"/>
        </w:rPr>
      </w:pPr>
      <w:r>
        <w:rPr>
          <w:rFonts w:hint="eastAsia" w:ascii="黑体" w:hAnsi="宋体" w:eastAsia="黑体"/>
          <w:color w:val="000000" w:themeColor="text1"/>
          <w:sz w:val="32"/>
          <w:szCs w:val="32"/>
        </w:rPr>
        <w:t>一、</w:t>
      </w:r>
      <w:r>
        <w:rPr>
          <w:rFonts w:hint="eastAsia" w:ascii="黑体" w:hAnsi="宋体" w:eastAsia="黑体"/>
          <w:color w:val="000000" w:themeColor="text1"/>
          <w:sz w:val="32"/>
          <w:szCs w:val="32"/>
          <w:lang w:val="zh-CN"/>
        </w:rPr>
        <w:t>项目概况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（二）项目绩效目标。</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）红原县江茸乡垃圾处理点维修建设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江茸乡基础设施改善得到了保障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为牧民群众生产带来了方便，改善群众生活条件，促进社会稳定，使群众长期受益。</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rPr>
        <w:t>（2）</w:t>
      </w:r>
      <w:r>
        <w:rPr>
          <w:rFonts w:hint="eastAsia" w:ascii="仿宋_GB2312" w:hAnsi="仿宋_GB2312" w:eastAsia="仿宋_GB2312" w:cs="仿宋_GB2312"/>
          <w:color w:val="000000" w:themeColor="text1"/>
          <w:sz w:val="32"/>
          <w:szCs w:val="32"/>
        </w:rPr>
        <w:t>生产性道路（草原防火通道）5公里</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可使江茸乡的牧户实现畜产品销售增长</w:t>
      </w:r>
      <w:r>
        <w:rPr>
          <w:rFonts w:hint="eastAsia" w:ascii="仿宋_GB2312" w:hAnsi="仿宋_GB2312" w:eastAsia="仿宋_GB2312" w:cs="仿宋_GB2312"/>
          <w:sz w:val="32"/>
          <w:szCs w:val="32"/>
          <w:lang w:val="en-US" w:eastAsia="zh-CN"/>
        </w:rPr>
        <w:t>5个百分点，改善牧户生产生活条件。</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lang w:val="en-US" w:eastAsia="zh-CN"/>
        </w:rPr>
        <w:t>（3）</w:t>
      </w:r>
      <w:r>
        <w:rPr>
          <w:rFonts w:hint="eastAsia" w:ascii="仿宋_GB2312" w:hAnsi="仿宋_GB2312" w:eastAsia="仿宋_GB2312" w:cs="仿宋_GB2312"/>
          <w:sz w:val="32"/>
          <w:szCs w:val="32"/>
          <w:lang w:eastAsia="zh-CN"/>
        </w:rPr>
        <w:t>茸日玛村合作社种草</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%。通过项目实施，提高</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天然草原产草量，减轻天然草原承载压力，促进草畜动态平衡和草原生态系统良性循环改善草原生态环境，实现畜牧生产和生态协调发展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进一步加快草原畜牧业转型升级，促进畜牧业生产方式转变，建立牧区防灾饲草贮备体系，带动和提高周边地区牧草种植、加工、利用水平，增强牧民抗灾保畜能力，促进牧户增收</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4）新建家庭牧场项目绩效目标完成情况综述。项目全年预算数16.4万元，执行数为16.4万元，完成预算的100%。通过项目实施，使得畜牧养殖规模化标准化，并能够合理有效利用草畜资源，切实保护草原生态环境，提高生产，增加牧民收入。</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ascii="仿宋_GB2312" w:hAnsi="宋体" w:eastAsia="仿宋_GB2312"/>
          <w:color w:val="000000" w:themeColor="text1"/>
          <w:sz w:val="32"/>
          <w:szCs w:val="32"/>
          <w:lang w:val="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）新建暖棚</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，使得</w:t>
      </w:r>
      <w:r>
        <w:rPr>
          <w:rFonts w:hint="eastAsia" w:ascii="仿宋_GB2312" w:eastAsia="仿宋_GB2312"/>
          <w:sz w:val="32"/>
          <w:szCs w:val="32"/>
        </w:rPr>
        <w:t>畜牧养殖规模化标准化，</w:t>
      </w:r>
      <w:r>
        <w:rPr>
          <w:rFonts w:hint="eastAsia" w:ascii="仿宋_GB2312" w:eastAsia="仿宋_GB2312"/>
          <w:sz w:val="32"/>
          <w:szCs w:val="32"/>
          <w:lang w:eastAsia="zh-CN"/>
        </w:rPr>
        <w:t>并能够</w:t>
      </w:r>
      <w:r>
        <w:rPr>
          <w:rFonts w:hint="eastAsia" w:ascii="仿宋_GB2312" w:eastAsia="仿宋_GB2312"/>
          <w:sz w:val="32"/>
          <w:szCs w:val="32"/>
        </w:rPr>
        <w:t>合理有效利用草畜资源，切实保护草原生态环境</w:t>
      </w:r>
      <w:r>
        <w:rPr>
          <w:rFonts w:hint="eastAsia" w:ascii="仿宋_GB2312" w:eastAsia="仿宋_GB2312"/>
          <w:sz w:val="32"/>
          <w:szCs w:val="32"/>
          <w:lang w:eastAsia="zh-CN"/>
        </w:rPr>
        <w:t>，提高生产，增加牧民收入。</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（三）项目自评步骤及方法。</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说明项目绩效自评采用的组织实施步骤及方法。</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eastAsia="zh-CN"/>
        </w:rPr>
        <w:t>一是通过实地查看和村民大会的召开讨论，群定好项目的具体内容；二是询问专业人员确定项目资金的预算及编制实施方案并上报相关部门</w:t>
      </w:r>
      <w:r>
        <w:rPr>
          <w:rFonts w:hint="eastAsia" w:ascii="仿宋_GB2312" w:hAnsi="宋体" w:eastAsia="仿宋_GB2312"/>
          <w:color w:val="000000" w:themeColor="text1"/>
          <w:sz w:val="32"/>
          <w:szCs w:val="32"/>
          <w:lang w:val="zh-CN"/>
        </w:rPr>
        <w:t>。</w:t>
      </w:r>
    </w:p>
    <w:p>
      <w:pPr>
        <w:numPr>
          <w:ilvl w:val="0"/>
          <w:numId w:val="10"/>
        </w:numPr>
        <w:adjustRightInd w:val="0"/>
        <w:snapToGrid w:val="0"/>
        <w:spacing w:line="600" w:lineRule="exact"/>
        <w:ind w:firstLine="720"/>
        <w:rPr>
          <w:rFonts w:hint="eastAsia"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资金计划、到位及使用情况。</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rPr>
      </w:pPr>
      <w:r>
        <w:rPr>
          <w:rFonts w:hint="eastAsia" w:ascii="楷体_GB2312" w:hAnsi="宋体" w:eastAsia="楷体_GB2312"/>
          <w:b/>
          <w:color w:val="000000" w:themeColor="text1"/>
          <w:sz w:val="32"/>
          <w:szCs w:val="32"/>
          <w:lang w:val="en-US" w:eastAsia="zh-CN"/>
        </w:rPr>
        <w:t>一、红原县江茸乡垃圾处理点维修建设项目</w:t>
      </w:r>
    </w:p>
    <w:p>
      <w:pPr>
        <w:adjustRightInd w:val="0"/>
        <w:snapToGrid w:val="0"/>
        <w:spacing w:line="600" w:lineRule="exact"/>
        <w:ind w:firstLine="72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sz w:val="32"/>
          <w:szCs w:val="32"/>
          <w:lang w:eastAsia="zh-CN"/>
        </w:rPr>
        <w:t>红原县江茸乡垃圾处理点维修建设</w:t>
      </w:r>
      <w:r>
        <w:rPr>
          <w:rFonts w:hint="eastAsia" w:ascii="仿宋_GB2312" w:hAnsi="仿宋_GB2312" w:eastAsia="仿宋_GB2312" w:cs="仿宋_GB2312"/>
          <w:color w:val="000000" w:themeColor="text1"/>
          <w:sz w:val="32"/>
          <w:szCs w:val="32"/>
          <w:lang w:val="en-US" w:eastAsia="zh-CN"/>
        </w:rPr>
        <w:t>项目全年预算数33万元，执行数为33万元，完成预算的100%。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w:t>
      </w:r>
      <w:r>
        <w:rPr>
          <w:rFonts w:hint="eastAsia" w:ascii="仿宋_GB2312" w:hAnsi="宋体" w:eastAsia="仿宋_GB2312"/>
          <w:color w:val="000000" w:themeColor="text1"/>
          <w:sz w:val="32"/>
          <w:szCs w:val="32"/>
          <w:lang w:val="zh-CN" w:eastAsia="zh-CN"/>
        </w:rPr>
        <w:t>201</w:t>
      </w:r>
      <w:r>
        <w:rPr>
          <w:rFonts w:hint="eastAsia" w:ascii="仿宋_GB2312" w:hAnsi="宋体" w:eastAsia="仿宋_GB2312"/>
          <w:color w:val="000000" w:themeColor="text1"/>
          <w:sz w:val="32"/>
          <w:szCs w:val="32"/>
          <w:lang w:val="en-US" w:eastAsia="zh-CN"/>
        </w:rPr>
        <w:t>9</w:t>
      </w:r>
      <w:r>
        <w:rPr>
          <w:rFonts w:hint="eastAsia" w:ascii="仿宋_GB2312" w:hAnsi="宋体" w:eastAsia="仿宋_GB2312"/>
          <w:color w:val="000000" w:themeColor="text1"/>
          <w:sz w:val="32"/>
          <w:szCs w:val="32"/>
          <w:lang w:val="zh-CN" w:eastAsia="zh-CN"/>
        </w:rPr>
        <w:t>年到位，与计划相符合</w:t>
      </w:r>
      <w:r>
        <w:rPr>
          <w:rFonts w:hint="eastAsia" w:ascii="仿宋_GB2312" w:hAnsi="宋体" w:eastAsia="仿宋_GB2312"/>
          <w:color w:val="000000" w:themeColor="text1"/>
          <w:sz w:val="32"/>
          <w:szCs w:val="32"/>
          <w:lang w:val="zh-CN"/>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en-US" w:eastAsia="zh-CN"/>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zh-CN" w:eastAsia="zh-CN"/>
        </w:rPr>
        <w:t>该项目目前已通过乡、村初验，拨付</w:t>
      </w:r>
      <w:r>
        <w:rPr>
          <w:rFonts w:hint="eastAsia" w:ascii="仿宋_GB2312" w:hAnsi="宋体" w:eastAsia="仿宋_GB2312"/>
          <w:color w:val="000000" w:themeColor="text1"/>
          <w:sz w:val="32"/>
          <w:szCs w:val="32"/>
          <w:lang w:val="en-US" w:eastAsia="zh-CN"/>
        </w:rPr>
        <w:t>100%项目款，项目资金与预算相符合。</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rPr>
      </w:pPr>
      <w:r>
        <w:rPr>
          <w:rFonts w:hint="eastAsia" w:ascii="楷体_GB2312" w:hAnsi="宋体" w:eastAsia="楷体_GB2312"/>
          <w:b/>
          <w:color w:val="000000" w:themeColor="text1"/>
          <w:sz w:val="32"/>
          <w:szCs w:val="32"/>
          <w:lang w:val="en-US" w:eastAsia="zh-CN"/>
        </w:rPr>
        <w:t>二、生产性道路（草原防火通道）5公里项目</w:t>
      </w:r>
    </w:p>
    <w:p>
      <w:pPr>
        <w:adjustRightInd w:val="0"/>
        <w:snapToGrid w:val="0"/>
        <w:spacing w:line="600" w:lineRule="exact"/>
        <w:ind w:firstLine="72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rPr>
        <w:t>生产性道路（草原防火通道）5公里</w:t>
      </w:r>
      <w:r>
        <w:rPr>
          <w:rFonts w:hint="eastAsia" w:ascii="仿宋_GB2312" w:hAnsi="仿宋_GB2312" w:eastAsia="仿宋_GB2312" w:cs="仿宋_GB2312"/>
          <w:color w:val="000000" w:themeColor="text1"/>
          <w:sz w:val="32"/>
          <w:szCs w:val="32"/>
          <w:lang w:eastAsia="zh-CN"/>
        </w:rPr>
        <w:t>项目</w:t>
      </w:r>
      <w:r>
        <w:rPr>
          <w:rFonts w:hint="eastAsia" w:ascii="仿宋_GB2312" w:hAnsi="仿宋_GB2312" w:eastAsia="仿宋_GB2312" w:cs="仿宋_GB2312"/>
          <w:color w:val="000000" w:themeColor="text1"/>
          <w:sz w:val="32"/>
          <w:szCs w:val="32"/>
          <w:lang w:val="en-US" w:eastAsia="zh-CN"/>
        </w:rPr>
        <w:t>全年预算数30万元，执行数为30万元，完成预算的100%。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w:t>
      </w:r>
      <w:r>
        <w:rPr>
          <w:rFonts w:hint="eastAsia" w:ascii="仿宋_GB2312" w:hAnsi="宋体" w:eastAsia="仿宋_GB2312"/>
          <w:color w:val="000000" w:themeColor="text1"/>
          <w:sz w:val="32"/>
          <w:szCs w:val="32"/>
          <w:lang w:val="zh-CN" w:eastAsia="zh-CN"/>
        </w:rPr>
        <w:t>201</w:t>
      </w:r>
      <w:r>
        <w:rPr>
          <w:rFonts w:hint="eastAsia" w:ascii="仿宋_GB2312" w:hAnsi="宋体" w:eastAsia="仿宋_GB2312"/>
          <w:color w:val="000000" w:themeColor="text1"/>
          <w:sz w:val="32"/>
          <w:szCs w:val="32"/>
          <w:lang w:val="en-US" w:eastAsia="zh-CN"/>
        </w:rPr>
        <w:t>9</w:t>
      </w:r>
      <w:r>
        <w:rPr>
          <w:rFonts w:hint="eastAsia" w:ascii="仿宋_GB2312" w:hAnsi="宋体" w:eastAsia="仿宋_GB2312"/>
          <w:color w:val="000000" w:themeColor="text1"/>
          <w:sz w:val="32"/>
          <w:szCs w:val="32"/>
          <w:lang w:val="zh-CN" w:eastAsia="zh-CN"/>
        </w:rPr>
        <w:t>年到位，与计划相符合</w:t>
      </w:r>
      <w:r>
        <w:rPr>
          <w:rFonts w:hint="eastAsia" w:ascii="仿宋_GB2312" w:hAnsi="宋体" w:eastAsia="仿宋_GB2312"/>
          <w:color w:val="000000" w:themeColor="text1"/>
          <w:sz w:val="32"/>
          <w:szCs w:val="32"/>
          <w:lang w:val="zh-CN"/>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en-US" w:eastAsia="zh-CN"/>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zh-CN" w:eastAsia="zh-CN"/>
        </w:rPr>
      </w:pPr>
      <w:r>
        <w:rPr>
          <w:rFonts w:hint="eastAsia" w:ascii="仿宋_GB2312" w:hAnsi="宋体" w:eastAsia="仿宋_GB2312"/>
          <w:color w:val="000000" w:themeColor="text1"/>
          <w:sz w:val="32"/>
          <w:szCs w:val="32"/>
          <w:lang w:val="zh-CN" w:eastAsia="zh-CN"/>
        </w:rPr>
        <w:t>该项目目前已通过乡、村初验，拨付</w:t>
      </w:r>
      <w:r>
        <w:rPr>
          <w:rFonts w:hint="eastAsia" w:ascii="仿宋_GB2312" w:hAnsi="宋体" w:eastAsia="仿宋_GB2312"/>
          <w:color w:val="000000" w:themeColor="text1"/>
          <w:sz w:val="32"/>
          <w:szCs w:val="32"/>
          <w:lang w:val="en-US" w:eastAsia="zh-CN"/>
        </w:rPr>
        <w:t>100%项目款，项目资金与预算相符合。</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rPr>
      </w:pPr>
      <w:r>
        <w:rPr>
          <w:rFonts w:hint="eastAsia" w:ascii="楷体_GB2312" w:hAnsi="宋体" w:eastAsia="楷体_GB2312"/>
          <w:b/>
          <w:color w:val="000000" w:themeColor="text1"/>
          <w:sz w:val="32"/>
          <w:szCs w:val="32"/>
          <w:lang w:val="en-US" w:eastAsia="zh-CN"/>
        </w:rPr>
        <w:t>三、茸日玛村合作社种草项目</w:t>
      </w:r>
    </w:p>
    <w:p>
      <w:pPr>
        <w:adjustRightInd w:val="0"/>
        <w:snapToGrid w:val="0"/>
        <w:spacing w:line="600" w:lineRule="exact"/>
        <w:ind w:firstLine="72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sz w:val="32"/>
          <w:szCs w:val="32"/>
          <w:lang w:eastAsia="zh-CN"/>
        </w:rPr>
        <w:t>茸日玛村合作社种草</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themeColor="text1"/>
          <w:sz w:val="32"/>
          <w:szCs w:val="32"/>
          <w:lang w:val="en-US" w:eastAsia="zh-CN"/>
        </w:rPr>
        <w:t>全年预算数31万元，执行数为31万元，完成预算的100%。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w:t>
      </w:r>
      <w:r>
        <w:rPr>
          <w:rFonts w:hint="eastAsia" w:ascii="仿宋_GB2312" w:hAnsi="宋体" w:eastAsia="仿宋_GB2312"/>
          <w:color w:val="000000" w:themeColor="text1"/>
          <w:sz w:val="32"/>
          <w:szCs w:val="32"/>
          <w:lang w:val="zh-CN" w:eastAsia="zh-CN"/>
        </w:rPr>
        <w:t>201</w:t>
      </w:r>
      <w:r>
        <w:rPr>
          <w:rFonts w:hint="eastAsia" w:ascii="仿宋_GB2312" w:hAnsi="宋体" w:eastAsia="仿宋_GB2312"/>
          <w:color w:val="000000" w:themeColor="text1"/>
          <w:sz w:val="32"/>
          <w:szCs w:val="32"/>
          <w:lang w:val="en-US" w:eastAsia="zh-CN"/>
        </w:rPr>
        <w:t>9</w:t>
      </w:r>
      <w:r>
        <w:rPr>
          <w:rFonts w:hint="eastAsia" w:ascii="仿宋_GB2312" w:hAnsi="宋体" w:eastAsia="仿宋_GB2312"/>
          <w:color w:val="000000" w:themeColor="text1"/>
          <w:sz w:val="32"/>
          <w:szCs w:val="32"/>
          <w:lang w:val="zh-CN" w:eastAsia="zh-CN"/>
        </w:rPr>
        <w:t>年到位，与计划相符合</w:t>
      </w:r>
      <w:r>
        <w:rPr>
          <w:rFonts w:hint="eastAsia" w:ascii="仿宋_GB2312" w:hAnsi="宋体" w:eastAsia="仿宋_GB2312"/>
          <w:color w:val="000000" w:themeColor="text1"/>
          <w:sz w:val="32"/>
          <w:szCs w:val="32"/>
          <w:lang w:val="zh-CN"/>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en-US" w:eastAsia="zh-CN"/>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zh-CN" w:eastAsia="zh-CN"/>
        </w:rPr>
        <w:t>该项目目前已通过乡、村初验，拨付</w:t>
      </w:r>
      <w:r>
        <w:rPr>
          <w:rFonts w:hint="eastAsia" w:ascii="仿宋_GB2312" w:hAnsi="宋体" w:eastAsia="仿宋_GB2312"/>
          <w:color w:val="000000" w:themeColor="text1"/>
          <w:sz w:val="32"/>
          <w:szCs w:val="32"/>
          <w:lang w:val="en-US" w:eastAsia="zh-CN"/>
        </w:rPr>
        <w:t>100%项目款，项目资金与预算相符合。</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rPr>
      </w:pPr>
      <w:r>
        <w:rPr>
          <w:rFonts w:hint="eastAsia" w:ascii="楷体_GB2312" w:hAnsi="宋体" w:eastAsia="楷体_GB2312"/>
          <w:b/>
          <w:color w:val="000000" w:themeColor="text1"/>
          <w:sz w:val="32"/>
          <w:szCs w:val="32"/>
          <w:lang w:val="en-US" w:eastAsia="zh-CN"/>
        </w:rPr>
        <w:t>四、新建家庭牧场项目</w:t>
      </w:r>
    </w:p>
    <w:p>
      <w:pPr>
        <w:adjustRightInd w:val="0"/>
        <w:snapToGrid w:val="0"/>
        <w:spacing w:line="600" w:lineRule="exact"/>
        <w:ind w:firstLine="72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sz w:val="32"/>
          <w:szCs w:val="32"/>
          <w:lang w:eastAsia="zh-CN"/>
        </w:rPr>
        <w:t>新建家庭牧场</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themeColor="text1"/>
          <w:sz w:val="32"/>
          <w:szCs w:val="32"/>
          <w:lang w:val="en-US" w:eastAsia="zh-CN"/>
        </w:rPr>
        <w:t>全年预算数16.4万元，执行数为16.4万元，完成预算的100%。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w:t>
      </w:r>
      <w:r>
        <w:rPr>
          <w:rFonts w:hint="eastAsia" w:ascii="仿宋_GB2312" w:hAnsi="宋体" w:eastAsia="仿宋_GB2312"/>
          <w:color w:val="000000" w:themeColor="text1"/>
          <w:sz w:val="32"/>
          <w:szCs w:val="32"/>
          <w:lang w:val="zh-CN" w:eastAsia="zh-CN"/>
        </w:rPr>
        <w:t>201</w:t>
      </w:r>
      <w:r>
        <w:rPr>
          <w:rFonts w:hint="eastAsia" w:ascii="仿宋_GB2312" w:hAnsi="宋体" w:eastAsia="仿宋_GB2312"/>
          <w:color w:val="000000" w:themeColor="text1"/>
          <w:sz w:val="32"/>
          <w:szCs w:val="32"/>
          <w:lang w:val="en-US" w:eastAsia="zh-CN"/>
        </w:rPr>
        <w:t>9</w:t>
      </w:r>
      <w:r>
        <w:rPr>
          <w:rFonts w:hint="eastAsia" w:ascii="仿宋_GB2312" w:hAnsi="宋体" w:eastAsia="仿宋_GB2312"/>
          <w:color w:val="000000" w:themeColor="text1"/>
          <w:sz w:val="32"/>
          <w:szCs w:val="32"/>
          <w:lang w:val="zh-CN" w:eastAsia="zh-CN"/>
        </w:rPr>
        <w:t>年到位，与计划相符合</w:t>
      </w:r>
      <w:r>
        <w:rPr>
          <w:rFonts w:hint="eastAsia" w:ascii="仿宋_GB2312" w:hAnsi="宋体" w:eastAsia="仿宋_GB2312"/>
          <w:color w:val="000000" w:themeColor="text1"/>
          <w:sz w:val="32"/>
          <w:szCs w:val="32"/>
          <w:lang w:val="zh-CN"/>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en-US" w:eastAsia="zh-CN"/>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zh-CN" w:eastAsia="zh-CN"/>
        </w:rPr>
        <w:t>该项目目前已通过乡、村初验，拨付</w:t>
      </w:r>
      <w:r>
        <w:rPr>
          <w:rFonts w:hint="eastAsia" w:ascii="仿宋_GB2312" w:hAnsi="宋体" w:eastAsia="仿宋_GB2312"/>
          <w:color w:val="000000" w:themeColor="text1"/>
          <w:sz w:val="32"/>
          <w:szCs w:val="32"/>
          <w:lang w:val="en-US" w:eastAsia="zh-CN"/>
        </w:rPr>
        <w:t>100%项目款，项目资金与预算相符合。</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rPr>
      </w:pPr>
      <w:r>
        <w:rPr>
          <w:rFonts w:hint="eastAsia" w:ascii="楷体_GB2312" w:hAnsi="宋体" w:eastAsia="楷体_GB2312"/>
          <w:b/>
          <w:color w:val="000000" w:themeColor="text1"/>
          <w:sz w:val="32"/>
          <w:szCs w:val="32"/>
          <w:lang w:val="en-US" w:eastAsia="zh-CN"/>
        </w:rPr>
        <w:t>五、新建暖棚项目</w:t>
      </w:r>
    </w:p>
    <w:p>
      <w:pPr>
        <w:adjustRightInd w:val="0"/>
        <w:snapToGrid w:val="0"/>
        <w:spacing w:line="600" w:lineRule="exact"/>
        <w:ind w:firstLine="72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sz w:val="32"/>
          <w:szCs w:val="32"/>
          <w:lang w:eastAsia="zh-CN"/>
        </w:rPr>
        <w:t>新建暖棚</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themeColor="text1"/>
          <w:sz w:val="32"/>
          <w:szCs w:val="32"/>
          <w:lang w:val="en-US" w:eastAsia="zh-CN"/>
        </w:rPr>
        <w:t>全年预算数59.8万元，执行数为59.8万元，完成预算的100%。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w:t>
      </w:r>
      <w:r>
        <w:rPr>
          <w:rFonts w:hint="eastAsia" w:ascii="仿宋_GB2312" w:hAnsi="宋体" w:eastAsia="仿宋_GB2312"/>
          <w:color w:val="000000" w:themeColor="text1"/>
          <w:sz w:val="32"/>
          <w:szCs w:val="32"/>
          <w:lang w:val="zh-CN" w:eastAsia="zh-CN"/>
        </w:rPr>
        <w:t>201</w:t>
      </w:r>
      <w:r>
        <w:rPr>
          <w:rFonts w:hint="eastAsia" w:ascii="仿宋_GB2312" w:hAnsi="宋体" w:eastAsia="仿宋_GB2312"/>
          <w:color w:val="000000" w:themeColor="text1"/>
          <w:sz w:val="32"/>
          <w:szCs w:val="32"/>
          <w:lang w:val="en-US" w:eastAsia="zh-CN"/>
        </w:rPr>
        <w:t>9</w:t>
      </w:r>
      <w:r>
        <w:rPr>
          <w:rFonts w:hint="eastAsia" w:ascii="仿宋_GB2312" w:hAnsi="宋体" w:eastAsia="仿宋_GB2312"/>
          <w:color w:val="000000" w:themeColor="text1"/>
          <w:sz w:val="32"/>
          <w:szCs w:val="32"/>
          <w:lang w:val="zh-CN" w:eastAsia="zh-CN"/>
        </w:rPr>
        <w:t>年到位，与计划相符合</w:t>
      </w:r>
      <w:r>
        <w:rPr>
          <w:rFonts w:hint="eastAsia" w:ascii="仿宋_GB2312" w:hAnsi="宋体" w:eastAsia="仿宋_GB2312"/>
          <w:color w:val="000000" w:themeColor="text1"/>
          <w:sz w:val="32"/>
          <w:szCs w:val="32"/>
          <w:lang w:val="zh-CN"/>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en-US" w:eastAsia="zh-CN"/>
        </w:rPr>
        <w:t>3.</w:t>
      </w: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zh-CN" w:eastAsia="zh-CN"/>
        </w:rPr>
        <w:t>该项目目前已通过乡、村初验，拨付</w:t>
      </w:r>
      <w:r>
        <w:rPr>
          <w:rFonts w:hint="eastAsia" w:ascii="仿宋_GB2312" w:hAnsi="宋体" w:eastAsia="仿宋_GB2312"/>
          <w:color w:val="000000" w:themeColor="text1"/>
          <w:sz w:val="32"/>
          <w:szCs w:val="32"/>
          <w:lang w:val="en-US" w:eastAsia="zh-CN"/>
        </w:rPr>
        <w:t>100%项目款，项目资金与预算相符合。</w:t>
      </w:r>
    </w:p>
    <w:p>
      <w:pPr>
        <w:pStyle w:val="2"/>
        <w:rPr>
          <w:rFonts w:hint="eastAsia"/>
          <w:lang w:val="en-US" w:eastAsia="zh-CN"/>
        </w:rPr>
      </w:pPr>
    </w:p>
    <w:p>
      <w:pPr>
        <w:pStyle w:val="2"/>
        <w:rPr>
          <w:rFonts w:hint="eastAsia"/>
          <w:lang w:val="en-US" w:eastAsia="zh-CN"/>
        </w:rPr>
      </w:pPr>
    </w:p>
    <w:p>
      <w:pPr>
        <w:pStyle w:val="2"/>
        <w:rPr>
          <w:rFonts w:hint="eastAsia"/>
          <w:lang w:val="zh-CN" w:eastAsia="zh-CN"/>
        </w:rPr>
      </w:pPr>
    </w:p>
    <w:p>
      <w:pPr>
        <w:pStyle w:val="2"/>
        <w:rPr>
          <w:rFonts w:hint="eastAsia"/>
          <w:lang w:val="zh-CN" w:eastAsia="zh-CN"/>
        </w:rPr>
      </w:pP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（三）项目财务管理情况。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一是项目资金的使用进行透明化管理，资金的来源及使用途径均已公示公告，并成立了以乡纪委成员和村会计的项目资金监管小组做到项目资金用到实处；二是严格按照合同、方案、项目进度拨付资金。</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结合项目组织实施管理办法，重点围绕以下内容进行分析评价，并对自评中发现的问题分析说明。</w:t>
      </w:r>
    </w:p>
    <w:p>
      <w:pPr>
        <w:numPr>
          <w:ilvl w:val="0"/>
          <w:numId w:val="11"/>
        </w:numPr>
        <w:adjustRightInd w:val="0"/>
        <w:snapToGrid w:val="0"/>
        <w:spacing w:line="600" w:lineRule="exact"/>
        <w:ind w:firstLine="720"/>
        <w:rPr>
          <w:rFonts w:hint="eastAsia"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项目组织架构及实施流程。</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rPr>
        <w:t>7日的公示公告，公式期内无异议。</w:t>
      </w:r>
    </w:p>
    <w:p>
      <w:pPr>
        <w:numPr>
          <w:ilvl w:val="0"/>
          <w:numId w:val="11"/>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一是项目资金的使用进行透明化管理，资金的来源及使用途径均已公示公告，并成立了以乡纪委成员和村会计的项目资金监管小组做到项目资金用到实处；二是严格按照合同、方案、项目进度拨付资金。</w:t>
      </w:r>
    </w:p>
    <w:p>
      <w:pPr>
        <w:numPr>
          <w:ilvl w:val="0"/>
          <w:numId w:val="11"/>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rPr>
        <w:t>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黑体" w:hAnsi="宋体" w:eastAsia="黑体"/>
          <w:color w:val="000000" w:themeColor="text1"/>
          <w:sz w:val="32"/>
          <w:szCs w:val="32"/>
        </w:rPr>
        <w:t>四、项目绩效情况</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（一）项目完成情况。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仿宋_GB2312" w:hAnsi="宋体" w:eastAsia="仿宋_GB2312"/>
          <w:color w:val="000000" w:themeColor="text1"/>
          <w:sz w:val="32"/>
          <w:szCs w:val="32"/>
          <w:lang w:val="zh-CN"/>
        </w:rPr>
        <w:t>严格按照实施方案完成，完成绩效目标设定的任务量。符合绩效目标设定的验收标准，达到行业基准水平。</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（二）项目效益情况。</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both"/>
        <w:textAlignment w:val="auto"/>
        <w:rPr>
          <w:rFonts w:ascii="仿宋_GB2312" w:hAnsi="宋体" w:eastAsia="仿宋_GB2312"/>
          <w:color w:val="000000" w:themeColor="text1"/>
          <w:sz w:val="32"/>
          <w:szCs w:val="32"/>
          <w:lang w:val="zh-CN"/>
        </w:rPr>
      </w:pP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，实现畜产品销售增加</w:t>
      </w:r>
      <w:r>
        <w:rPr>
          <w:rFonts w:hint="eastAsia" w:ascii="仿宋_GB2312" w:hAnsi="仿宋_GB2312" w:eastAsia="仿宋_GB2312" w:cs="仿宋_GB2312"/>
          <w:sz w:val="32"/>
          <w:szCs w:val="32"/>
          <w:lang w:val="en-US" w:eastAsia="zh-CN"/>
        </w:rPr>
        <w:t>5个百分点、</w:t>
      </w:r>
      <w:r>
        <w:rPr>
          <w:rFonts w:hint="eastAsia" w:ascii="仿宋_GB2312" w:hAnsi="仿宋_GB2312" w:eastAsia="仿宋_GB2312" w:cs="仿宋_GB2312"/>
          <w:sz w:val="32"/>
          <w:szCs w:val="32"/>
          <w:lang w:eastAsia="zh-CN"/>
        </w:rPr>
        <w:t>使得</w:t>
      </w:r>
      <w:r>
        <w:rPr>
          <w:rFonts w:hint="eastAsia" w:ascii="仿宋_GB2312" w:eastAsia="仿宋_GB2312"/>
          <w:sz w:val="32"/>
          <w:szCs w:val="32"/>
        </w:rPr>
        <w:t>畜牧养殖规模化标准化，</w:t>
      </w:r>
      <w:r>
        <w:rPr>
          <w:rFonts w:hint="eastAsia" w:ascii="仿宋_GB2312" w:eastAsia="仿宋_GB2312"/>
          <w:sz w:val="32"/>
          <w:szCs w:val="32"/>
          <w:lang w:eastAsia="zh-CN"/>
        </w:rPr>
        <w:t>并能够</w:t>
      </w:r>
      <w:r>
        <w:rPr>
          <w:rFonts w:hint="eastAsia" w:ascii="仿宋_GB2312" w:eastAsia="仿宋_GB2312"/>
          <w:sz w:val="32"/>
          <w:szCs w:val="32"/>
        </w:rPr>
        <w:t>合理有效利用草畜资源，切实保护草原生态环境</w:t>
      </w:r>
      <w:r>
        <w:rPr>
          <w:rFonts w:hint="eastAsia" w:ascii="仿宋_GB2312" w:eastAsia="仿宋_GB2312"/>
          <w:sz w:val="32"/>
          <w:szCs w:val="32"/>
          <w:lang w:eastAsia="zh-CN"/>
        </w:rPr>
        <w:t>，提高生产，增加牧民收入。</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rPr>
      </w:pPr>
      <w:r>
        <w:rPr>
          <w:rFonts w:hint="eastAsia" w:ascii="仿宋_GB2312" w:hAnsi="宋体" w:eastAsia="仿宋_GB2312"/>
          <w:color w:val="000000" w:themeColor="text1"/>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项目建成后，后期维护不到位。</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建议上级部门拨付后期专项维护费用。</w:t>
      </w:r>
    </w:p>
    <w:p>
      <w:pPr>
        <w:pStyle w:val="14"/>
        <w:rPr>
          <w:rFonts w:ascii="仿宋_GB2312" w:hAnsi="仿宋_GB2312" w:eastAsia="仿宋_GB2312" w:cs="仿宋_GB2312"/>
          <w:sz w:val="32"/>
          <w:szCs w:val="32"/>
        </w:rPr>
      </w:pPr>
    </w:p>
    <w:p>
      <w:pPr>
        <w:widowControl/>
        <w:jc w:val="left"/>
        <w:rPr>
          <w:rStyle w:val="27"/>
          <w:rFonts w:ascii="黑体" w:hAnsi="黑体" w:eastAsia="黑体"/>
          <w:b w:val="0"/>
        </w:rPr>
      </w:pPr>
    </w:p>
    <w:p>
      <w:pPr>
        <w:widowControl/>
        <w:jc w:val="left"/>
        <w:rPr>
          <w:rStyle w:val="27"/>
          <w:rFonts w:ascii="黑体" w:hAnsi="黑体" w:eastAsia="黑体"/>
          <w:b w:val="0"/>
        </w:rPr>
      </w:pPr>
      <w:r>
        <w:rPr>
          <w:rStyle w:val="27"/>
          <w:rFonts w:ascii="黑体" w:hAnsi="黑体" w:eastAsia="黑体"/>
          <w:b w:val="0"/>
        </w:rPr>
        <w:br w:type="page"/>
      </w:r>
    </w:p>
    <w:p>
      <w:pPr>
        <w:spacing w:line="600" w:lineRule="exact"/>
        <w:jc w:val="center"/>
        <w:outlineLvl w:val="0"/>
        <w:rPr>
          <w:rStyle w:val="27"/>
          <w:rFonts w:ascii="黑体" w:hAnsi="黑体" w:eastAsia="黑体"/>
          <w:b w:val="0"/>
        </w:rPr>
      </w:pPr>
    </w:p>
    <w:p>
      <w:pPr>
        <w:spacing w:line="600" w:lineRule="exact"/>
        <w:jc w:val="center"/>
        <w:outlineLvl w:val="0"/>
        <w:rPr>
          <w:rStyle w:val="27"/>
          <w:rFonts w:ascii="黑体" w:hAnsi="黑体" w:eastAsia="黑体"/>
          <w:b w:val="0"/>
        </w:rPr>
      </w:pPr>
      <w:bookmarkStart w:id="93" w:name="_Toc3248"/>
      <w:bookmarkStart w:id="94"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89"/>
      <w:bookmarkEnd w:id="93"/>
      <w:bookmarkEnd w:id="94"/>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95" w:name="_Toc15396619"/>
      <w:bookmarkStart w:id="96" w:name="_Toc27378"/>
      <w:r>
        <w:rPr>
          <w:rFonts w:hint="eastAsia" w:ascii="仿宋" w:hAnsi="仿宋" w:eastAsia="仿宋"/>
          <w:b w:val="0"/>
          <w:color w:val="000000"/>
        </w:rPr>
        <w:t>一、收</w:t>
      </w:r>
      <w:r>
        <w:rPr>
          <w:rStyle w:val="28"/>
          <w:rFonts w:hint="eastAsia" w:ascii="仿宋" w:hAnsi="仿宋" w:eastAsia="仿宋"/>
          <w:b w:val="0"/>
          <w:bCs w:val="0"/>
        </w:rPr>
        <w:t>入支出决算总表</w:t>
      </w:r>
      <w:bookmarkEnd w:id="95"/>
      <w:bookmarkEnd w:id="96"/>
    </w:p>
    <w:p>
      <w:pPr>
        <w:pStyle w:val="4"/>
        <w:rPr>
          <w:rFonts w:ascii="仿宋" w:hAnsi="仿宋" w:eastAsia="仿宋"/>
          <w:color w:val="000000"/>
        </w:rPr>
      </w:pPr>
      <w:bookmarkStart w:id="97" w:name="_Toc21705"/>
      <w:bookmarkStart w:id="98"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97"/>
      <w:bookmarkEnd w:id="98"/>
    </w:p>
    <w:p>
      <w:pPr>
        <w:pStyle w:val="4"/>
        <w:rPr>
          <w:rFonts w:ascii="仿宋" w:hAnsi="仿宋" w:eastAsia="仿宋"/>
          <w:color w:val="000000"/>
        </w:rPr>
      </w:pPr>
      <w:bookmarkStart w:id="99" w:name="_Toc19742"/>
      <w:bookmarkStart w:id="100"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99"/>
      <w:bookmarkEnd w:id="100"/>
    </w:p>
    <w:p>
      <w:pPr>
        <w:pStyle w:val="4"/>
        <w:rPr>
          <w:rFonts w:ascii="仿宋" w:hAnsi="仿宋" w:eastAsia="仿宋"/>
          <w:b w:val="0"/>
          <w:color w:val="000000"/>
        </w:rPr>
      </w:pPr>
      <w:bookmarkStart w:id="101" w:name="_Toc14212"/>
      <w:bookmarkStart w:id="102"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01"/>
      <w:bookmarkEnd w:id="102"/>
    </w:p>
    <w:p>
      <w:pPr>
        <w:pStyle w:val="4"/>
        <w:rPr>
          <w:rStyle w:val="28"/>
          <w:rFonts w:ascii="仿宋" w:hAnsi="仿宋" w:eastAsia="仿宋"/>
          <w:b w:val="0"/>
          <w:bCs w:val="0"/>
        </w:rPr>
      </w:pPr>
      <w:bookmarkStart w:id="103" w:name="_Toc15396623"/>
      <w:bookmarkStart w:id="104" w:name="_Toc2440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03"/>
      <w:bookmarkEnd w:id="104"/>
      <w:bookmarkStart w:id="105" w:name="_Toc15396624"/>
    </w:p>
    <w:p>
      <w:pPr>
        <w:pStyle w:val="4"/>
        <w:rPr>
          <w:rFonts w:ascii="仿宋" w:hAnsi="仿宋" w:eastAsia="仿宋"/>
          <w:color w:val="000000"/>
        </w:rPr>
      </w:pPr>
      <w:bookmarkStart w:id="106" w:name="_Toc20327"/>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05"/>
      <w:bookmarkEnd w:id="106"/>
    </w:p>
    <w:p>
      <w:pPr>
        <w:pStyle w:val="4"/>
        <w:rPr>
          <w:rFonts w:ascii="仿宋" w:hAnsi="仿宋" w:eastAsia="仿宋"/>
          <w:color w:val="000000"/>
        </w:rPr>
      </w:pPr>
      <w:bookmarkStart w:id="107" w:name="_Toc15396625"/>
      <w:bookmarkStart w:id="108" w:name="_Toc13153"/>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07"/>
      <w:bookmarkEnd w:id="108"/>
    </w:p>
    <w:p>
      <w:pPr>
        <w:pStyle w:val="4"/>
        <w:rPr>
          <w:rFonts w:ascii="仿宋" w:hAnsi="仿宋" w:eastAsia="仿宋"/>
          <w:color w:val="000000"/>
        </w:rPr>
      </w:pPr>
      <w:bookmarkStart w:id="109" w:name="_Toc27302"/>
      <w:bookmarkStart w:id="110"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09"/>
      <w:bookmarkEnd w:id="110"/>
    </w:p>
    <w:p>
      <w:pPr>
        <w:pStyle w:val="4"/>
        <w:rPr>
          <w:rFonts w:ascii="仿宋" w:hAnsi="仿宋" w:eastAsia="仿宋"/>
          <w:color w:val="000000"/>
        </w:rPr>
      </w:pPr>
      <w:bookmarkStart w:id="111" w:name="_Toc15396627"/>
      <w:bookmarkStart w:id="112" w:name="_Toc2340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11"/>
      <w:bookmarkEnd w:id="112"/>
    </w:p>
    <w:p>
      <w:pPr>
        <w:pStyle w:val="4"/>
        <w:rPr>
          <w:rFonts w:ascii="仿宋" w:hAnsi="仿宋" w:eastAsia="仿宋"/>
          <w:color w:val="000000"/>
        </w:rPr>
      </w:pPr>
      <w:bookmarkStart w:id="113" w:name="_Toc17592"/>
      <w:bookmarkStart w:id="114"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13"/>
      <w:bookmarkEnd w:id="114"/>
    </w:p>
    <w:p>
      <w:pPr>
        <w:pStyle w:val="4"/>
        <w:rPr>
          <w:rFonts w:ascii="仿宋" w:hAnsi="仿宋" w:eastAsia="仿宋"/>
          <w:color w:val="000000"/>
        </w:rPr>
      </w:pPr>
      <w:bookmarkStart w:id="115" w:name="_Toc6048"/>
      <w:bookmarkStart w:id="116"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15"/>
      <w:bookmarkEnd w:id="116"/>
    </w:p>
    <w:p>
      <w:pPr>
        <w:pStyle w:val="4"/>
        <w:rPr>
          <w:rFonts w:ascii="仿宋" w:hAnsi="仿宋" w:eastAsia="仿宋"/>
          <w:color w:val="000000"/>
        </w:rPr>
      </w:pPr>
      <w:bookmarkStart w:id="117" w:name="_Toc15396630"/>
      <w:bookmarkStart w:id="118" w:name="_Toc28048"/>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17"/>
      <w:bookmarkEnd w:id="118"/>
    </w:p>
    <w:p>
      <w:pPr>
        <w:pStyle w:val="4"/>
        <w:rPr>
          <w:rFonts w:ascii="仿宋" w:hAnsi="仿宋" w:eastAsia="仿宋"/>
          <w:color w:val="000000" w:themeColor="text1"/>
        </w:rPr>
      </w:pPr>
      <w:bookmarkStart w:id="119" w:name="_Toc20210"/>
      <w:bookmarkStart w:id="120"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19"/>
      <w:bookmarkEnd w:id="120"/>
    </w:p>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_GB2312">
    <w:altName w:val="Times New Roman"/>
    <w:panose1 w:val="00000000000000000000"/>
    <w:charset w:val="00"/>
    <w:family w:val="auto"/>
    <w:pitch w:val="default"/>
    <w:sig w:usb0="00000000" w:usb1="00000000" w:usb2="00000000" w:usb3="00000000" w:csb0="0000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w:pict>
        <v:shape id="_x0000_s2051" o:spid="_x0000_s2051"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v:textbox>
        </v:shape>
      </w:pic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52" o:spid="_x0000_s205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EE84DD"/>
    <w:multiLevelType w:val="singleLevel"/>
    <w:tmpl w:val="99EE84DD"/>
    <w:lvl w:ilvl="0" w:tentative="0">
      <w:start w:val="2"/>
      <w:numFmt w:val="chineseCounting"/>
      <w:suff w:val="nothing"/>
      <w:lvlText w:val="（%1）"/>
      <w:lvlJc w:val="left"/>
      <w:rPr>
        <w:rFonts w:hint="eastAsia" w:cs="Times New Roman"/>
      </w:rPr>
    </w:lvl>
  </w:abstractNum>
  <w:abstractNum w:abstractNumId="1">
    <w:nsid w:val="BBFBAFAC"/>
    <w:multiLevelType w:val="singleLevel"/>
    <w:tmpl w:val="BBFBAFAC"/>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D61A7DAE"/>
    <w:multiLevelType w:val="singleLevel"/>
    <w:tmpl w:val="D61A7DAE"/>
    <w:lvl w:ilvl="0" w:tentative="0">
      <w:start w:val="1"/>
      <w:numFmt w:val="decimal"/>
      <w:lvlText w:val="%1."/>
      <w:lvlJc w:val="left"/>
      <w:pPr>
        <w:tabs>
          <w:tab w:val="left" w:pos="312"/>
        </w:tabs>
      </w:p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027A03B2"/>
    <w:multiLevelType w:val="singleLevel"/>
    <w:tmpl w:val="027A03B2"/>
    <w:lvl w:ilvl="0" w:tentative="0">
      <w:start w:val="1"/>
      <w:numFmt w:val="decimal"/>
      <w:lvlText w:val="%1."/>
      <w:lvlJc w:val="left"/>
      <w:pPr>
        <w:tabs>
          <w:tab w:val="left" w:pos="312"/>
        </w:tabs>
      </w:p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4D9AF260"/>
    <w:multiLevelType w:val="singleLevel"/>
    <w:tmpl w:val="4D9AF260"/>
    <w:lvl w:ilvl="0" w:tentative="0">
      <w:start w:val="1"/>
      <w:numFmt w:val="chineseCounting"/>
      <w:suff w:val="nothing"/>
      <w:lvlText w:val="（%1）"/>
      <w:lvlJc w:val="left"/>
      <w:rPr>
        <w:rFonts w:hint="eastAsia"/>
        <w:lang w:val="en-US"/>
      </w:rPr>
    </w:lvl>
  </w:abstractNum>
  <w:abstractNum w:abstractNumId="8">
    <w:nsid w:val="579EF9E7"/>
    <w:multiLevelType w:val="singleLevel"/>
    <w:tmpl w:val="579EF9E7"/>
    <w:lvl w:ilvl="0" w:tentative="0">
      <w:start w:val="1"/>
      <w:numFmt w:val="decimal"/>
      <w:suff w:val="nothing"/>
      <w:lvlText w:val="%1."/>
      <w:lvlJc w:val="left"/>
    </w:lvl>
  </w:abstractNum>
  <w:abstractNum w:abstractNumId="9">
    <w:nsid w:val="5CB9F824"/>
    <w:multiLevelType w:val="singleLevel"/>
    <w:tmpl w:val="5CB9F824"/>
    <w:lvl w:ilvl="0" w:tentative="0">
      <w:start w:val="1"/>
      <w:numFmt w:val="decimal"/>
      <w:suff w:val="nothing"/>
      <w:lvlText w:val="（%1）"/>
      <w:lvlJc w:val="left"/>
    </w:lvl>
  </w:abstractNum>
  <w:abstractNum w:abstractNumId="10">
    <w:nsid w:val="6B25997A"/>
    <w:multiLevelType w:val="singleLevel"/>
    <w:tmpl w:val="6B25997A"/>
    <w:lvl w:ilvl="0" w:tentative="0">
      <w:start w:val="1"/>
      <w:numFmt w:val="chineseCounting"/>
      <w:suff w:val="nothing"/>
      <w:lvlText w:val="（%1）"/>
      <w:lvlJc w:val="left"/>
      <w:rPr>
        <w:rFonts w:hint="eastAsia"/>
      </w:rPr>
    </w:lvl>
  </w:abstractNum>
  <w:num w:numId="1">
    <w:abstractNumId w:val="6"/>
  </w:num>
  <w:num w:numId="2">
    <w:abstractNumId w:val="5"/>
  </w:num>
  <w:num w:numId="3">
    <w:abstractNumId w:val="2"/>
  </w:num>
  <w:num w:numId="4">
    <w:abstractNumId w:val="3"/>
  </w:num>
  <w:num w:numId="5">
    <w:abstractNumId w:val="9"/>
  </w:num>
  <w:num w:numId="6">
    <w:abstractNumId w:val="4"/>
  </w:num>
  <w:num w:numId="7">
    <w:abstractNumId w:val="8"/>
  </w:num>
  <w:num w:numId="8">
    <w:abstractNumId w:val="7"/>
  </w:num>
  <w:num w:numId="9">
    <w:abstractNumId w:val="0"/>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10C055FF"/>
    <w:rsid w:val="16BB723D"/>
    <w:rsid w:val="183500C9"/>
    <w:rsid w:val="1DA076DC"/>
    <w:rsid w:val="20836900"/>
    <w:rsid w:val="240371BF"/>
    <w:rsid w:val="29FD04D3"/>
    <w:rsid w:val="2C673F57"/>
    <w:rsid w:val="319F7F4E"/>
    <w:rsid w:val="35C24C31"/>
    <w:rsid w:val="365340C6"/>
    <w:rsid w:val="37434CCD"/>
    <w:rsid w:val="3B4B6F06"/>
    <w:rsid w:val="3D9301D1"/>
    <w:rsid w:val="46596F2F"/>
    <w:rsid w:val="49FB4B2E"/>
    <w:rsid w:val="4B1931D8"/>
    <w:rsid w:val="4ECE2238"/>
    <w:rsid w:val="4FF114B8"/>
    <w:rsid w:val="50506A35"/>
    <w:rsid w:val="57A70DE1"/>
    <w:rsid w:val="68C3694D"/>
    <w:rsid w:val="72734D90"/>
    <w:rsid w:val="72B33C76"/>
    <w:rsid w:val="733009D8"/>
    <w:rsid w:val="7A5C3C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Body Text Indent"/>
    <w:basedOn w:val="1"/>
    <w:qFormat/>
    <w:uiPriority w:val="99"/>
    <w:pPr>
      <w:spacing w:after="120"/>
      <w:ind w:left="420" w:leftChars="200"/>
    </w:pPr>
    <w:rPr>
      <w:szCs w:val="2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next w:val="9"/>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4">
    <w:name w:val="Body Text First Indent 2"/>
    <w:basedOn w:val="7"/>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2"/>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List Paragraph1"/>
    <w:basedOn w:val="1"/>
    <w:qFormat/>
    <w:uiPriority w:val="0"/>
    <w:pPr>
      <w:ind w:firstLine="420" w:firstLineChars="200"/>
    </w:pPr>
  </w:style>
  <w:style w:type="paragraph" w:customStyle="1" w:styleId="34">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2"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93294712190312"/>
          <c:y val="0.0382554056551469"/>
          <c:w val="0.895279181560458"/>
          <c:h val="0.786250231010904"/>
        </c:manualLayout>
      </c:layout>
      <c:barChart>
        <c:barDir val="col"/>
        <c:grouping val="clustered"/>
        <c:varyColors val="0"/>
        <c:ser>
          <c:idx val="0"/>
          <c:order val="0"/>
          <c:tx>
            <c:strRef>
              <c:f>[工作簿1]Sheet1!$E$3</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[工作簿1]Sheet1!$F$2:$G$2</c:f>
              <c:strCache>
                <c:ptCount val="2"/>
                <c:pt idx="0">
                  <c:v>收入（万元）</c:v>
                </c:pt>
                <c:pt idx="1">
                  <c:v>支出（万元）</c:v>
                </c:pt>
              </c:strCache>
            </c:strRef>
          </c:cat>
          <c:val>
            <c:numRef>
              <c:f>[工作簿1]Sheet1!$F$3:$G$3</c:f>
              <c:numCache>
                <c:formatCode>General</c:formatCode>
                <c:ptCount val="2"/>
                <c:pt idx="0">
                  <c:v>926.2</c:v>
                </c:pt>
                <c:pt idx="1">
                  <c:v>880.85</c:v>
                </c:pt>
              </c:numCache>
            </c:numRef>
          </c:val>
        </c:ser>
        <c:ser>
          <c:idx val="1"/>
          <c:order val="1"/>
          <c:tx>
            <c:strRef>
              <c:f>[工作簿1]Sheet1!$E$4</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[工作簿1]Sheet1!$F$2:$G$2</c:f>
              <c:strCache>
                <c:ptCount val="2"/>
                <c:pt idx="0">
                  <c:v>收入（万元）</c:v>
                </c:pt>
                <c:pt idx="1">
                  <c:v>支出（万元）</c:v>
                </c:pt>
              </c:strCache>
            </c:strRef>
          </c:cat>
          <c:val>
            <c:numRef>
              <c:f>[工作簿1]Sheet1!$F$4:$G$4</c:f>
              <c:numCache>
                <c:formatCode>General</c:formatCode>
                <c:ptCount val="2"/>
                <c:pt idx="0">
                  <c:v>617.94</c:v>
                </c:pt>
                <c:pt idx="1">
                  <c:v>650.51</c:v>
                </c:pt>
              </c:numCache>
            </c:numRef>
          </c:val>
        </c:ser>
        <c:dLbls>
          <c:showLegendKey val="0"/>
          <c:showVal val="1"/>
          <c:showCatName val="0"/>
          <c:showSerName val="0"/>
          <c:showPercent val="0"/>
          <c:showBubbleSize val="0"/>
        </c:dLbls>
        <c:gapWidth val="219"/>
        <c:overlap val="-27"/>
        <c:axId val="55599899"/>
        <c:axId val="998098324"/>
      </c:barChart>
      <c:catAx>
        <c:axId val="555998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8098324"/>
        <c:crosses val="autoZero"/>
        <c:auto val="1"/>
        <c:lblAlgn val="ctr"/>
        <c:lblOffset val="100"/>
        <c:noMultiLvlLbl val="0"/>
      </c:catAx>
      <c:valAx>
        <c:axId val="9980983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998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[工作簿1]Sheet1!$A$3</c:f>
              <c:strCache>
                <c:ptCount val="1"/>
                <c:pt idx="0">
                  <c:v>收入决算结构图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100%</a:t>
                    </a:r>
                  </a:p>
                </c:rich>
              </c:tx>
              <c:dLblPos val="ctr"/>
              <c:showLegendKey val="0"/>
              <c:showVal val="1"/>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[工作簿1]Sheet1!$B$2</c:f>
              <c:strCache>
                <c:ptCount val="1"/>
                <c:pt idx="0">
                  <c:v>一般公共预算财政拨款收入</c:v>
                </c:pt>
              </c:strCache>
            </c:strRef>
          </c:cat>
          <c:val>
            <c:numRef>
              <c:f>[工作簿1]Sheet1!$B$3</c:f>
              <c:numCache>
                <c:formatCode>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[工作簿1]Sheet1!$B$4</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[工作簿1]Sheet1!$A$5:$A$6</c:f>
              <c:strCache>
                <c:ptCount val="2"/>
                <c:pt idx="0">
                  <c:v>基本支出</c:v>
                </c:pt>
                <c:pt idx="1">
                  <c:v>项目支出</c:v>
                </c:pt>
              </c:strCache>
            </c:strRef>
          </c:cat>
          <c:val>
            <c:numRef>
              <c:f>[工作簿1]Sheet1!$B$5:$B$6</c:f>
              <c:numCache>
                <c:formatCode>0%</c:formatCode>
                <c:ptCount val="2"/>
                <c:pt idx="0">
                  <c:v>0.83</c:v>
                </c:pt>
                <c:pt idx="1">
                  <c:v>0.17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[工作簿1]Sheet1!$E$3</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[工作簿1]Sheet1!$F$2:$G$2</c:f>
              <c:strCache>
                <c:ptCount val="2"/>
                <c:pt idx="0">
                  <c:v>收入（万元）</c:v>
                </c:pt>
                <c:pt idx="1">
                  <c:v>支出（万元）</c:v>
                </c:pt>
              </c:strCache>
            </c:strRef>
          </c:cat>
          <c:val>
            <c:numRef>
              <c:f>[工作簿1]Sheet1!$F$3:$G$3</c:f>
              <c:numCache>
                <c:formatCode>General</c:formatCode>
                <c:ptCount val="2"/>
                <c:pt idx="0">
                  <c:v>926.2</c:v>
                </c:pt>
                <c:pt idx="1">
                  <c:v>880.85</c:v>
                </c:pt>
              </c:numCache>
            </c:numRef>
          </c:val>
        </c:ser>
        <c:ser>
          <c:idx val="1"/>
          <c:order val="1"/>
          <c:tx>
            <c:strRef>
              <c:f>[工作簿1]Sheet1!$E$4</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[工作簿1]Sheet1!$F$2:$G$2</c:f>
              <c:strCache>
                <c:ptCount val="2"/>
                <c:pt idx="0">
                  <c:v>收入（万元）</c:v>
                </c:pt>
                <c:pt idx="1">
                  <c:v>支出（万元）</c:v>
                </c:pt>
              </c:strCache>
            </c:strRef>
          </c:cat>
          <c:val>
            <c:numRef>
              <c:f>[工作簿1]Sheet1!$F$4:$G$4</c:f>
              <c:numCache>
                <c:formatCode>General</c:formatCode>
                <c:ptCount val="2"/>
                <c:pt idx="0">
                  <c:v>617.94</c:v>
                </c:pt>
                <c:pt idx="1">
                  <c:v>650.51</c:v>
                </c:pt>
              </c:numCache>
            </c:numRef>
          </c:val>
        </c:ser>
        <c:dLbls>
          <c:showLegendKey val="0"/>
          <c:showVal val="1"/>
          <c:showCatName val="0"/>
          <c:showSerName val="0"/>
          <c:showPercent val="0"/>
          <c:showBubbleSize val="0"/>
        </c:dLbls>
        <c:gapWidth val="219"/>
        <c:overlap val="-27"/>
        <c:axId val="55599899"/>
        <c:axId val="998098324"/>
      </c:barChart>
      <c:catAx>
        <c:axId val="555998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8098324"/>
        <c:crosses val="autoZero"/>
        <c:auto val="1"/>
        <c:lblAlgn val="ctr"/>
        <c:lblOffset val="100"/>
        <c:noMultiLvlLbl val="0"/>
      </c:catAx>
      <c:valAx>
        <c:axId val="9980983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998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[工作簿2]Sheet1!$A$3</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[工作簿2]Sheet1!$B$1:$C$2</c:f>
              <c:multiLvlStrCache>
                <c:ptCount val="2"/>
                <c:lvl>
                  <c:pt idx="0">
                    <c:v>2018年</c:v>
                  </c:pt>
                  <c:pt idx="1">
                    <c:v>2019年</c:v>
                  </c:pt>
                </c:lvl>
                <c:lvl/>
              </c:multiLvlStrCache>
            </c:multiLvlStrRef>
          </c:cat>
          <c:val>
            <c:numRef>
              <c:f>[工作簿2]Sheet1!$B$3:$C$3</c:f>
              <c:numCache>
                <c:formatCode>General</c:formatCode>
                <c:ptCount val="2"/>
                <c:pt idx="0">
                  <c:v>880.85</c:v>
                </c:pt>
                <c:pt idx="1">
                  <c:v>650.51</c:v>
                </c:pt>
              </c:numCache>
            </c:numRef>
          </c:val>
        </c:ser>
        <c:dLbls>
          <c:showLegendKey val="0"/>
          <c:showVal val="1"/>
          <c:showCatName val="0"/>
          <c:showSerName val="0"/>
          <c:showPercent val="0"/>
          <c:showBubbleSize val="0"/>
        </c:dLbls>
        <c:gapWidth val="219"/>
        <c:overlap val="-27"/>
        <c:axId val="542344965"/>
        <c:axId val="262209653"/>
      </c:barChart>
      <c:catAx>
        <c:axId val="54234496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2209653"/>
        <c:crosses val="autoZero"/>
        <c:auto val="1"/>
        <c:lblAlgn val="ctr"/>
        <c:lblOffset val="100"/>
        <c:noMultiLvlLbl val="0"/>
      </c:catAx>
      <c:valAx>
        <c:axId val="2622096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234496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[工作簿2]Sheet1!$B$7</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[工作簿2]Sheet1!$A$8:$A$13</c:f>
              <c:strCache>
                <c:ptCount val="6"/>
                <c:pt idx="0">
                  <c:v>一般公共服务</c:v>
                </c:pt>
                <c:pt idx="1">
                  <c:v>文化旅游体育与传媒</c:v>
                </c:pt>
                <c:pt idx="2">
                  <c:v>社会保障和就业</c:v>
                </c:pt>
                <c:pt idx="3">
                  <c:v>卫生健康支出</c:v>
                </c:pt>
                <c:pt idx="4">
                  <c:v>农林水支出</c:v>
                </c:pt>
                <c:pt idx="5">
                  <c:v>住房保障支出</c:v>
                </c:pt>
              </c:strCache>
            </c:strRef>
          </c:cat>
          <c:val>
            <c:numRef>
              <c:f>[工作簿2]Sheet1!$B$8:$B$13</c:f>
              <c:numCache>
                <c:formatCode>0%</c:formatCode>
                <c:ptCount val="6"/>
                <c:pt idx="0">
                  <c:v>0.65</c:v>
                </c:pt>
                <c:pt idx="1" c:formatCode="0.00%">
                  <c:v>0.0001</c:v>
                </c:pt>
                <c:pt idx="2">
                  <c:v>0.15</c:v>
                </c:pt>
                <c:pt idx="3">
                  <c:v>0.04</c:v>
                </c:pt>
                <c:pt idx="4" c:formatCode="0.00%">
                  <c:v>0.0999</c:v>
                </c:pt>
                <c:pt idx="5">
                  <c:v>0.06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[工作簿1]Sheet1!$B$2:$B$3</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[工作簿1]Sheet1!$A$4:$A$6</c:f>
              <c:strCache>
                <c:ptCount val="3"/>
                <c:pt idx="0">
                  <c:v>公出国（境）费支出</c:v>
                </c:pt>
                <c:pt idx="1">
                  <c:v>公务用车购置及运行维护费</c:v>
                </c:pt>
                <c:pt idx="2">
                  <c:v>公务接待费支出</c:v>
                </c:pt>
              </c:strCache>
            </c:strRef>
          </c:cat>
          <c:val>
            <c:numRef>
              <c:f>[工作簿1]Sheet1!$B$4:$B$6</c:f>
              <c:numCache>
                <c:formatCode>General</c:formatCode>
                <c:ptCount val="3"/>
                <c:pt idx="0">
                  <c:v>0</c:v>
                </c:pt>
                <c:pt idx="1">
                  <c:v>6.6</c:v>
                </c:pt>
                <c:pt idx="2">
                  <c:v>0</c:v>
                </c:pt>
              </c:numCache>
            </c:numRef>
          </c:val>
        </c:ser>
        <c:ser>
          <c:idx val="1"/>
          <c:order val="1"/>
          <c:tx>
            <c:strRef>
              <c:f>[工作簿1]Sheet1!$C$2:$C$3</c:f>
              <c:strCache>
                <c:ptCount val="1"/>
                <c:pt idx="0">
                  <c:v>“三公”经费财政拨款支出结构 百分百比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[工作簿1]Sheet1!$A$4:$A$6</c:f>
              <c:strCache>
                <c:ptCount val="3"/>
                <c:pt idx="0">
                  <c:v>公出国（境）费支出</c:v>
                </c:pt>
                <c:pt idx="1">
                  <c:v>公务用车购置及运行维护费</c:v>
                </c:pt>
                <c:pt idx="2">
                  <c:v>公务接待费支出</c:v>
                </c:pt>
              </c:strCache>
            </c:strRef>
          </c:cat>
          <c:val>
            <c:numRef>
              <c:f>[工作簿1]Sheet1!$C$4:$C$6</c:f>
              <c:numCache>
                <c:formatCode>0%</c:formatCode>
                <c:ptCount val="3"/>
                <c:pt idx="0">
                  <c:v>0</c:v>
                </c:pt>
                <c:pt idx="1">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textRotate="1"/>
    <customShpInfo spid="_x0000_s205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TotalTime>
  <ScaleCrop>false</ScaleCrop>
  <LinksUpToDate>false</LinksUpToDate>
  <CharactersWithSpaces>8587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2020-11-12T02:22:26Z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