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48"/>
          <w:szCs w:val="48"/>
        </w:rPr>
      </w:pPr>
      <w:r>
        <w:rPr>
          <w:rFonts w:hint="eastAsia" w:ascii="微软雅黑" w:hAnsi="微软雅黑" w:eastAsia="微软雅黑" w:cs="微软雅黑"/>
          <w:i w:val="0"/>
          <w:iCs w:val="0"/>
          <w:caps w:val="0"/>
          <w:color w:val="333333"/>
          <w:spacing w:val="0"/>
          <w:sz w:val="48"/>
          <w:szCs w:val="48"/>
          <w:bdr w:val="none" w:color="auto" w:sz="0" w:space="0"/>
        </w:rPr>
        <w:t>红原县瓦切镇2017年度部门决算公开编制说明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一、单位基本情况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我单位为独立核算全额拨款行政单位，下设2机构。截止2017年底我单位共有编制36个，其中公务员编制26个，行政工勤编制2个，事业编制8个，在职31人，其中参公0人，公务员21人，事业编制8人，行政工勤2人。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二、单位基本职能及主要工作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b/>
          <w:bCs/>
          <w:i w:val="0"/>
          <w:iCs w:val="0"/>
          <w:caps w:val="0"/>
          <w:color w:val="333333"/>
          <w:spacing w:val="0"/>
          <w:sz w:val="24"/>
          <w:szCs w:val="24"/>
          <w:bdr w:val="none" w:color="auto" w:sz="0" w:space="0"/>
          <w:shd w:val="clear" w:fill="FFFFFF"/>
        </w:rPr>
        <w:t>（</w:t>
      </w:r>
      <w:r>
        <w:rPr>
          <w:rFonts w:hint="eastAsia" w:ascii="微软雅黑" w:hAnsi="微软雅黑" w:eastAsia="微软雅黑" w:cs="微软雅黑"/>
          <w:i w:val="0"/>
          <w:iCs w:val="0"/>
          <w:caps w:val="0"/>
          <w:color w:val="333333"/>
          <w:spacing w:val="0"/>
          <w:sz w:val="24"/>
          <w:szCs w:val="24"/>
          <w:bdr w:val="none" w:color="auto" w:sz="0" w:space="0"/>
          <w:shd w:val="clear" w:fill="FFFFFF"/>
        </w:rPr>
        <w:t>一）镇党委工作职责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镇党委是本镇各项工作的领导核心，是农村改革和经济建设的直接组织者和领导者，主要职责：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1.负责贯彻执行党的路线方针政策和上级党组织及本镇党员代表大会的决议；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2.讨论决定本镇经济建设和社会发展的重大问题；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3.领导镇政权机关和群众组织，支持和保证这些机关和组织依照国家法律法规及各自章程充分行使职权；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4.加强镇党委自身建设和以党支部为核心的村级组织建设；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5.按照干部管理权限，负责对干部的教育、培养、选拔、考核和监督工作；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6.领导本镇的社会主义民主</w:t>
      </w:r>
      <w:r>
        <w:rPr>
          <w:rFonts w:hint="eastAsia" w:ascii="微软雅黑" w:hAnsi="微软雅黑" w:eastAsia="微软雅黑" w:cs="微软雅黑"/>
          <w:i w:val="0"/>
          <w:iCs w:val="0"/>
          <w:caps w:val="0"/>
          <w:color w:val="333333"/>
          <w:spacing w:val="0"/>
          <w:sz w:val="24"/>
          <w:szCs w:val="24"/>
          <w:bdr w:val="none" w:color="auto" w:sz="0" w:space="0"/>
          <w:shd w:val="clear" w:fill="FFFFFF"/>
          <w:lang w:eastAsia="zh-CN"/>
        </w:rPr>
        <w:t>法治</w:t>
      </w:r>
      <w:bookmarkStart w:id="0" w:name="_GoBack"/>
      <w:bookmarkEnd w:id="0"/>
      <w:r>
        <w:rPr>
          <w:rFonts w:hint="eastAsia" w:ascii="微软雅黑" w:hAnsi="微软雅黑" w:eastAsia="微软雅黑" w:cs="微软雅黑"/>
          <w:i w:val="0"/>
          <w:iCs w:val="0"/>
          <w:caps w:val="0"/>
          <w:color w:val="333333"/>
          <w:spacing w:val="0"/>
          <w:sz w:val="24"/>
          <w:szCs w:val="24"/>
          <w:bdr w:val="none" w:color="auto" w:sz="0" w:space="0"/>
          <w:shd w:val="clear" w:fill="FFFFFF"/>
        </w:rPr>
        <w:t>建设和精神文明建设，做好社会治安综合治理和计划生育等工作。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（二）人大主席团工作职责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1.负责召开本级人民代表大会会议的具体准备工作；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2.负责联系本级人民代表大会代表，组织代表开展活动，总结交流代表小组活动经验；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3.反映代表和群众对本级人民政府工作的建议、批评和意见；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4.参加本级人民政府的重要会议；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5.组织实施本级人民代表大会和主席团决定的有关事项；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6.督促办理代表和人民群众的来信来访。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（三）政府工作职责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1.贯彻执行党的路线方针政策和国家法律法规，贯彻执行上级行政机关的决议、命令及同级党委的决定，执行镇人民代表大会的决议；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2.对镇人民代表大会及其主席团和上级行政机关负责并报告工作；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3.编制和执行镇国民经济和社会发展计划，编制并执行财政预算；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4.管理本行政区域经济和各项社会事业的行政工作；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5.负责辖区内行政执法工作，维护社会秩序，保护公民人身、民主、财产等合法权利，保护各种经济组织的合法权益；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6.指导、支持和帮助村民委员会工作；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7.法律规定赋予烦人其它职责。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（二）2017年重点工作完成情况。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（一）务实创新，破解难点党建促民生。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推行村级党员党内帮扶。拓宽渠道融基金。力争做到“四个一些”：党员、干部募捐一些，联系单位赞助一些，联系领导帮助一些、经济实体支持一些。强化领导管基金。成立“党内帮扶基金”领导小组，全面负责对瓦切镇“党内帮扶基金”的筹集、监督、管理、使用，落实专人日常管理。确定对象用基金。实行“党内帮扶基金”“三个慰问”：慰问“三老人员”、贫困党员、事故党员家属。定期公开晒基金。每月公开“党内帮扶基金”使用情况，定期在党务公开栏公布明细帐目，接受社会各界广泛监督。今年在镇村党员、干部中募集资金1.6万余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集中推选联户组长。结合村（社区）“两委”后备干部培养实际，切实将村（社区）无职党员纳入所在村、所在联户推选联户组长，促使村级无职党员在工作岗位上熟悉民情、锤炼才干、扎实工作，为培养更广泛、更优秀的“两委”后备干部奠定坚实的人才基础，将20余名村级无职党员分别充实到6个村（社区）联户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坚持村（社区）常态办公。今年村（社区）“两委”班子成员实行轮流值班，由村（社区）党支部书记、村（居）民委员会主任带头，重点做好日常事务、常态值班、“三务公开”、矛盾调处、阵地开放、召开会议、推进民生等，逐步形成镇、村（社区）活动阵地与镇党委政府互助互补、合力办公、整体推进的工作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激发综合室内球场“反哺”脱贫攻坚作用。为切实满足全镇牧民群众常态化篮球竞技场地需要，瓦切镇充分立足镇综合室内球场功能、条件、区位优势，在传承和发扬本土青年自幼酷爱篮球运动传统的同时，向牧民群众自发组织篮球比赛参与者收取适当场地服务费，落实专人管理综合室内球场，为牧民篮球比赛提供卫生、音响、赛事服务。镇综合室内球场所产生的经济所得，本着集体财产、利益共享的原则，今年已向全镇每户发放钢筋锅1口总价值2万余元，今年开始为全镇贫困村、建档立卡户预留1笔脱贫攻坚帮扶基金，帮助建档立卡户发展生产、创业就业、稳步增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（二）民生项目实施又好又快，群众生产生活水平稳步提升。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在工程监督过程中，我镇依然采取“政府推进项目，党委、人大监管质量，群众参与把关”的工作方式，对项目工程实施全程监管。在每个环节做三方签字（政府、施工方、群众），全面加强工程质量的监督管理工作，确保惠民工程让老百姓得到实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城乡环境综合治理工作。一是加大组织领导力度。成立环境综合整治工作小组，由党政“一把手”任组长，分管副职领导任副组长，相关工作人员为成员，实行全年主抓此项工作。同时将5个村和1个社区按区域责任任务分解到每位领导头上，实行领导包街包村，镇村干部包社包户。二是加大宣传力度。充分利用专栏、传单、标语、开群众大会等形式开展环境综合治理宣传教育活动，增强群众的环保意识，与村、商户、牧户签环卫责任书。三是狠整狠治环境卫生。镇党委、政府采取“七个”狠抓措施(即狠抓组织宣传、狠抓清运垃圾、狠抓乱贴“牛皮癣”、狠抓乱摆摊位、狠抓乱停、乱搭、乱靠、狠抓乱堆乱码、狠抓绿化建设)整治环境卫生、秩序，实行每天保洁员打扫卫生，每月组织民政救助对象集中打扫，每季度分村组织村民集中打扫各村卫生死角，定期不定期对垃圾进行清理填埋，乡镇面貌焕然一新。四是狠抓流浪狗捕缴收容工作。成立了以镇长为组长，分管领导、派出所长为副组长，畜牧站工作同志为成员的捕缴领导小组，组织乡村干部对辖区内流浪犬进行捕缴，2017年共组织了2次集中捕缴流浪狗，共捕缴流浪犬500余只，截至目前瓦切镇流浪犬收留中心共收留4000余只流浪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（四）精准谋划，以更明晰的思路引领脱贫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是摸清真情，精准识别。通过逐户走访、核查信息确保全国扶贫开发信息系统业务管理子系统数据与贫困户实际情况、明白卡、帮扶手册、基本情况表“四一致”并完善一户一档资料。二是抓住关键，抓准路径。建立并严格执行结对帮扶和脱贫目标任务时限制、扶贫措施清单制度，绘制脱贫路线图，挂图作战。确定工作重点，扎实推进2017年脱贫攻坚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是强化保障，压实责任。根据中央、省、州、县各级关于脱贫攻坚文件精神和县脱贫办实施方案，结合我镇实际情况研究制定《瓦切镇2017年脱贫攻坚实施方案》，成立脱贫攻坚领导小组。镇党委政府与联系单位及村两委（社区）签订了2017年脱贫攻坚目标责任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16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（五）精准发力，以更有效的举措推动脱贫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16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六）一是产业扶贫工作。2月28日组织召开贫困村产业扶贫、脱贫规划专题讨论会，研究制定日干村、德香村“十三五”产业扶贫和脱贫规划。4月18日召开贫困户产业到户项目、小额信贷意见征求会，对于小额信贷政策进行宣讲、对小额信贷入股企业的利弊进行分析。瓦切镇196户贫困户中同意将到户产业发展资金入股企业的有54户，同意小额信贷入股企业的有121户。二是就业扶贫工作。为使贫困户更好找到就业渠道稳定收入，3月15日镇党委、政府以“就业一人，致富全家”为主题，组织全镇196户贫困户开展就业意向摸底调查会。三是智力扶贫工作。为了不使贫困因文化缺失隔代传，积极开展扶贫助学工作，并积极鼓励贫困户家长送子入学，确保贫困家庭学生有学上。积极开展日干村、德香村贫困村农牧民夜校，截止今年已开课70余节，集中力量为贫困人口带去养殖技能及法律法规等紧密相关知识，使得贫困户在实现经济脱贫同时实现智力脱贫。四是健康扶贫工作。加强对于贫困户中因病致贫家庭给予医疗救助，并全面覆盖全镇196户贫困户政府资助兜底购买人均150元/年的医保，并办理健康扶贫联系卡，使所有贫困户实现县内住院治疗零支付，县外治疗报保率提高5%的优惠政策。五是住房安全建设工作。我镇今年建房任务72户，其中31户村集体保障性住房基础已经开挖实施完毕，41户易地搬迁主体均以起立完毕，在建设过程中自查无一户超面积，现陆续实施中。六是加强脱贫攻坚政策学习工作。为做到依法治贫、依法扶贫，营造人人关心扶贫、人人重视扶贫、人人支持扶贫的良好氛围，组织镇村两级干部职工学习脱贫攻坚政策、扶贫两《条例》8余次。七是三举措防返贫工作。为进一步稳定巩固脱贫成果，采取低保兜底和医疗救助、草原奖补继续扶持、提供就业技能培训“三举措”持续发力脱贫攻坚，防止返贫并争取社会保障扶贫巩固脱贫。八是加强联系“五个一”帮扶力量，集力开展脱贫攻坚工作。紧密结合各帮扶单位“一对一”结对帮扶制，开展多次走访入户一对一帮扶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三、2017年部门决算收支结转决算总体情况说明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本年收入12,650,776.98元, 较上年增长22.93%，主要增长原因，人员增加，项目资金。其中：一般公共预算财政拨款收入12490776.98元。政府性基金预算财政拨款收入160000元，占1.26%；国有资本经营预算财政拨款收入0元，占0%；事业收入0元，占0%；经营收入0元，占0%；附属单位上缴收入0元，占0%；其他收入0元，占0%。上年结转结余477725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2017年本年支出合计12116897.98元， 较上年增长26.04%，主要增长原因，办公设备的增加、人员的变动。其中：基本支出5,732,362.15元，占47.3%；项目支出6,384,535.83元，占52.7%；上缴上级支出0元，占0%；经营支出0元，占0%；对附属单位补助支出0元，占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2017年底结转结余合计1011604元，其中基本支出结转结余0元，占0%，项目支出结转结余1011604元，占100%。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四、财政拨款收入支出决算总体情况说明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2017年度财政拨款收入总计12,650,776.98元,占总收入100%,与2016年相比，增加2359853.98元，增长18.65%。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2017年度财政拨款支出总计12116897.98元,占总支出100%,与2016年相比，增加2359853.98元，增长18.65%。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五、一般公共预算财政拨款支出决算情况说明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（一）一般公共预算财政拨款支出决算结构情况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一般公共预算财政拨款支出12116897.98元，主要用于以下方面:一般公共服务支出4368265.98元，占36.05%,完成预算100%;社会保障和就业支出1114255.79元，占9.19%,完成预算76.09%，决算数小于预算数的主要原因是有经费结余；医疗卫生支出224993.21元，占1.9%,完成预算100%；文化体育与传媒支出50000元，占0.41%,完成预算100%；节能环保支出290000元，占2.4 %，完成预算100%；农林水支出2804315元，占23.14%；完成预算87.7%，城乡社区支出636801元，占5.3% ，完成预算80% ；住房保障支出2088667元，占17.23%；完成预算100%;其他支出380000元，占3.13%，完成预算100%。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（二）一般公共预算财政拨款支出决算具体情况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2100501-行政单位医疗支出194993.21元，该支出主要用于支付职工基本医疗保险；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2210201-住房公积金支出407867元，该支出主要用于支付职工住房公积金；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2010101-行政运行支出137202，该支出主要用于单位人大行政运行；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2010104-人大会议支出32010元，该支出主要用于单位召开人大会议经费；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2010301-行政运行支出3483216.28元，该支出主要用于政府行政运行经费；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2010601-行政运行支出158618.94元，该支出主要用于乡财政事务行政运行；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2012999-其他群团事务支出20000元，该支出用于群团工作经费；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2013101-行政运行支出537218.76元，该支出用于党委行政运行经费；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2070199-其他文化支出50000元，该支出用于乡文化支出；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2080208-基层政权和社区建设支出138925元，该支出用于乡基层政权和社区建设经费；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2080505-机关事业单位基本养老保险缴费支出559461.4元，该支出用于单位职工养老保险缴费；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2080506-机关事业单位职业年金缴费支出223784.56，该支出用于单位职工职业年金；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2081107-残疾人生活和护理补贴98460元，该支出用于残疾人生活补助；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2082102-农村特困人员救助供养支出93624.83元，该支出用于特困人员救济费；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2100302-乡镇卫生院支出30000元，该支出用于乡镇卫生院村医生活补助经费；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2101101-行政单位医疗支出194993.21元，用于单位部分医疗保险费；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2120501-城乡社区环境卫生支出39600，该支出用于乡环境卫生整治工作经费；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2120804-农村基础设施建设支出159600元，该支出用于基础设施采购；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2130152-对高校毕业生到基层任职补助39300元，该支出用于大学生村官生活补助；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2130504-农村基础设施建设支出886735元，该支出用于建设基础设施；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2030599-其他扶贫支出332000元，用于扶贫支出；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2130705-对村民委员会和村党支部的补助1427480元，用于村干部生活补助；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2139999-其他农林水支出18800元，该支出用于村维修维护；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2210105-农村危房改造1680800元，用于农村危房改造经费；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2296003-用于体育事业的彩票公益金支出80000元，该支出用于环卫设备采购。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2299901-其他支出300,000.00元.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六、一般公共预算财政拨款基本支出决算情况说明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2017年度一般公共预算财政拨款基本支出5,732,362.15元，其中：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人员经费5,390,981.05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微软雅黑" w:hAnsi="微软雅黑" w:eastAsia="微软雅黑" w:cs="微软雅黑"/>
          <w:i w:val="0"/>
          <w:iCs w:val="0"/>
          <w:caps w:val="0"/>
          <w:color w:val="333333"/>
          <w:spacing w:val="0"/>
          <w:sz w:val="32"/>
          <w:szCs w:val="3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公用经费341,381.10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七、“三公”经费财政拨款支出决算情况说明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（一）“三公”经费财政拨款支出决算总体情况说明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2017年度“三公”经费财政拨款支出决算为80000元，完成预算100%.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（二）“三公”经费财政拨款支出决算具体情况说明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2017年度“三公”经费财政拨款支出决算中，因公出国（境）费支出决算0元，占0%；公务用车购置及运行维护费支出决算74,000.00元，占92.5%；公务接待费支出决算6000元，占7.5%。具体情况如下：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1.因公出国（境）经费支出0元。全年安排因公出国（境）团组0次，出国（境）0人;因公出国（境）支出决算比2016年持平。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2.公务用车购置及运行维护费支出74000元。其中：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公务用车购置支出0元。全年按规定更新购置公务用车0辆，其中：轿车0辆、金额0元，越野车0辆、金额0元，载客汽车0辆、金额0元。截至2017年12月底，单位共有公务用车1辆，其中：轿车0辆、越野车1辆、载客汽车0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公务用车运行维护费支出74000元。主要用于下牧区、上县办事、出差、培训等所需的公务用车燃料费、维修费、过路过桥费、保险费等支出。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公务用车购置及运行维护费支出决算比与2016年增加2800.32元,主要原因是公务用车运行时间、运行路程增加。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公务接待费支出6000元。主要用于执行公务、开展业务活动开支的交通费、住宿费、用餐费等。国内公务接待8批次，27人次，共计支出6000元，具体接待内容包括：接待调节委员、工作餐；其中：外事接待0批次，0人，共计支出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公务接待费支出决算比较2016年增加了300元，主要原因是公务接待批次增加1次。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八、政府性基金预算支出决算情况说明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2017年度政府性基金预算拨款支出160000元。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九、国有资本经营预算支出决算情况说明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2017年度国有资本经营预算拨款支出0元。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十、其他重要事项的情况说明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（一）机关运行经费支出情况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2017年度，瓦切镇政府机关运行经费支出0元，与2016年决算数持平。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（二）政府采购支出情况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2017年度，瓦切镇政府采购支出总额649600元，其中：政府采购货物支出649600元、政府采购工程支出0元、政府采购服务支出0元。主要用于政府采购办公设备。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（三）国有资产占有使用情况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截止2017年底我单位共有资产4,894,035.24元，其中流动资产1,541,992.24元，固定资产3,352,043.00元（房屋2,122,237.00元，汽车1辆，价值187,000.00元，其他固定资产1,042,806.00元）。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（四）预算绩效情况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1.项目支出绩效评价情况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（1）曲登塘社区集中建房区域沥青硬化路面，由县交通局主管，投资规模1200000元，已拨付95%，剩余质保金；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（2）2017年易地搬迁项目建设，由发改委主管，投资规模4900000元，已拨付100%；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（3）社区2016年棚户区改造项目，由城建局主管，投资规模1000000元，项目已完成建设40%；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（4）文化中心提升改造，由文体局主管，投资规模120000元，已拨付100%；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（5）2017年幸福美丽家园建设，由农工办主管，投资规模1240000元。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rPr>
        <w:t>2017年项目支出绩效评价得分表</w:t>
      </w:r>
    </w:p>
    <w:tbl>
      <w:tblPr>
        <w:tblW w:w="9888" w:type="dxa"/>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618"/>
        <w:gridCol w:w="2113"/>
        <w:gridCol w:w="3535"/>
        <w:gridCol w:w="1311"/>
        <w:gridCol w:w="131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639" w:hRule="atLeast"/>
          <w:jc w:val="center"/>
        </w:trPr>
        <w:tc>
          <w:tcPr>
            <w:tcW w:w="16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单位名称/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项目名称</w:t>
            </w:r>
          </w:p>
        </w:tc>
        <w:tc>
          <w:tcPr>
            <w:tcW w:w="8270" w:type="dxa"/>
            <w:gridSpan w:val="4"/>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sz w:val="24"/>
                <w:szCs w:val="24"/>
                <w:bdr w:val="none" w:color="auto" w:sz="0" w:space="0"/>
              </w:rP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920" w:hRule="atLeast"/>
          <w:jc w:val="center"/>
        </w:trPr>
        <w:tc>
          <w:tcPr>
            <w:tcW w:w="1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一级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指标</w:t>
            </w:r>
          </w:p>
        </w:tc>
        <w:tc>
          <w:tcPr>
            <w:tcW w:w="21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二级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指标</w:t>
            </w:r>
          </w:p>
        </w:tc>
        <w:tc>
          <w:tcPr>
            <w:tcW w:w="353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三级指标</w:t>
            </w:r>
          </w:p>
        </w:tc>
        <w:tc>
          <w:tcPr>
            <w:tcW w:w="131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分值</w:t>
            </w:r>
          </w:p>
        </w:tc>
        <w:tc>
          <w:tcPr>
            <w:tcW w:w="131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b/>
                <w:bCs/>
                <w:color w:val="000000"/>
                <w:sz w:val="24"/>
                <w:szCs w:val="24"/>
                <w:bdr w:val="none" w:color="auto" w:sz="0" w:space="0"/>
              </w:rPr>
              <w:t>得分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20" w:hRule="atLeast"/>
          <w:jc w:val="center"/>
        </w:trPr>
        <w:tc>
          <w:tcPr>
            <w:tcW w:w="161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（20分）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项目决策</w:t>
            </w:r>
          </w:p>
        </w:tc>
        <w:tc>
          <w:tcPr>
            <w:tcW w:w="2113"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（10分）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科学决策</w:t>
            </w: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必要性</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（政策依据)</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20"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可行性</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（政策完善）</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684"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（10）</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绩效目标 　 </w:t>
            </w: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明确性</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375"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合理性</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691" w:hRule="atLeast"/>
          <w:jc w:val="center"/>
        </w:trPr>
        <w:tc>
          <w:tcPr>
            <w:tcW w:w="161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（10分）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项目管理</w:t>
            </w:r>
          </w:p>
        </w:tc>
        <w:tc>
          <w:tcPr>
            <w:tcW w:w="2113"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（7分）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资金管理</w:t>
            </w: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资金分配</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3</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3</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702"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资金使用</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4</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4</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960"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（3分）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项目执行</w:t>
            </w: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执行规范</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3</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3</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616" w:hRule="atLeast"/>
          <w:jc w:val="center"/>
        </w:trPr>
        <w:tc>
          <w:tcPr>
            <w:tcW w:w="161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（特性指标70分）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项目绩效  </w:t>
            </w:r>
          </w:p>
        </w:tc>
        <w:tc>
          <w:tcPr>
            <w:tcW w:w="2113"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（20）</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项目完成</w:t>
            </w: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完成数量</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554"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完成质量</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690"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完成时效</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558"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完成成本</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566"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（50分）</w:t>
            </w:r>
            <w:r>
              <w:rPr>
                <w:color w:val="000000"/>
                <w:sz w:val="20"/>
                <w:szCs w:val="20"/>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w:t>
            </w:r>
            <w:r>
              <w:rPr>
                <w:color w:val="000000"/>
                <w:sz w:val="24"/>
                <w:szCs w:val="24"/>
                <w:bdr w:val="none" w:color="auto" w:sz="0" w:space="0"/>
              </w:rPr>
              <w:t>项目效益</w:t>
            </w: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经济效益（可选项）</w:t>
            </w:r>
          </w:p>
        </w:tc>
        <w:tc>
          <w:tcPr>
            <w:tcW w:w="1311"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40</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10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688"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社会效益（可选项）</w:t>
            </w:r>
          </w:p>
        </w:tc>
        <w:tc>
          <w:tcPr>
            <w:tcW w:w="1311"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left"/>
            </w:pPr>
            <w:r>
              <w:rPr>
                <w:bdr w:val="none" w:color="auto" w:sz="0" w:space="0"/>
              </w:rPr>
              <w:t>　　</w:t>
            </w:r>
            <w:r>
              <w:rPr>
                <w:sz w:val="24"/>
                <w:szCs w:val="24"/>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557"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生态效益（可选项）</w:t>
            </w:r>
          </w:p>
        </w:tc>
        <w:tc>
          <w:tcPr>
            <w:tcW w:w="1311"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left"/>
            </w:pPr>
            <w:r>
              <w:rPr>
                <w:bdr w:val="none" w:color="auto" w:sz="0" w:space="0"/>
              </w:rPr>
              <w:t>　　</w:t>
            </w:r>
            <w:r>
              <w:rPr>
                <w:sz w:val="24"/>
                <w:szCs w:val="24"/>
                <w:bdr w:val="none" w:color="auto" w:sz="0" w:space="0"/>
              </w:rPr>
              <w:t>　　</w:t>
            </w:r>
            <w:r>
              <w:rPr>
                <w:color w:val="000000"/>
                <w:sz w:val="24"/>
                <w:szCs w:val="24"/>
                <w:bdr w:val="none" w:color="auto" w:sz="0" w:space="0"/>
              </w:rPr>
              <w:t>5</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tblCellMar>
            <w:top w:w="15" w:type="dxa"/>
            <w:left w:w="15" w:type="dxa"/>
            <w:bottom w:w="15" w:type="dxa"/>
            <w:right w:w="15" w:type="dxa"/>
          </w:tblCellMar>
        </w:tblPrEx>
        <w:trPr>
          <w:trHeight w:val="707"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可持续效益（可选项）</w:t>
            </w:r>
          </w:p>
        </w:tc>
        <w:tc>
          <w:tcPr>
            <w:tcW w:w="1311"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left"/>
            </w:pPr>
            <w:r>
              <w:rPr>
                <w:bdr w:val="none" w:color="auto" w:sz="0" w:space="0"/>
              </w:rPr>
              <w:t>　　</w:t>
            </w:r>
            <w:r>
              <w:rPr>
                <w:sz w:val="24"/>
                <w:szCs w:val="24"/>
                <w:bdr w:val="none" w:color="auto" w:sz="0" w:space="0"/>
              </w:rPr>
              <w:t>　　</w:t>
            </w:r>
            <w:r>
              <w:rPr>
                <w:color w:val="000000"/>
                <w:sz w:val="24"/>
                <w:szCs w:val="24"/>
                <w:bdr w:val="none" w:color="auto" w:sz="0" w:space="0"/>
              </w:rPr>
              <w:t>10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8"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公平效率（可选项）</w:t>
            </w:r>
          </w:p>
        </w:tc>
        <w:tc>
          <w:tcPr>
            <w:tcW w:w="1311"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left"/>
            </w:pPr>
            <w:r>
              <w:rPr>
                <w:bdr w:val="none" w:color="auto" w:sz="0" w:space="0"/>
              </w:rPr>
              <w:t>　　</w:t>
            </w:r>
            <w:r>
              <w:rPr>
                <w:sz w:val="24"/>
                <w:szCs w:val="24"/>
                <w:bdr w:val="none" w:color="auto" w:sz="0" w:space="0"/>
              </w:rPr>
              <w:t>　　</w:t>
            </w:r>
            <w:r>
              <w:rPr>
                <w:color w:val="000000"/>
                <w:sz w:val="24"/>
                <w:szCs w:val="24"/>
                <w:bdr w:val="none" w:color="auto" w:sz="0" w:space="0"/>
              </w:rPr>
              <w:t>10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使用效率（可选项）</w:t>
            </w:r>
          </w:p>
        </w:tc>
        <w:tc>
          <w:tcPr>
            <w:tcW w:w="1311"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left"/>
            </w:pPr>
            <w:r>
              <w:rPr>
                <w:bdr w:val="none" w:color="auto" w:sz="0" w:space="0"/>
              </w:rPr>
              <w:t>　　</w:t>
            </w:r>
            <w:r>
              <w:rPr>
                <w:sz w:val="24"/>
                <w:szCs w:val="24"/>
                <w:bdr w:val="none" w:color="auto" w:sz="0" w:space="0"/>
              </w:rPr>
              <w:t>　　</w:t>
            </w:r>
            <w:r>
              <w:rPr>
                <w:color w:val="000000"/>
                <w:sz w:val="24"/>
                <w:szCs w:val="24"/>
                <w:bdr w:val="none" w:color="auto" w:sz="0" w:space="0"/>
              </w:rPr>
              <w:t>10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02" w:hRule="atLeast"/>
          <w:jc w:val="center"/>
        </w:trPr>
        <w:tc>
          <w:tcPr>
            <w:tcW w:w="1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1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5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服务对象满意度 　 </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10</w:t>
            </w:r>
          </w:p>
        </w:tc>
        <w:tc>
          <w:tcPr>
            <w:tcW w:w="1311"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10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1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left"/>
            </w:pPr>
            <w:r>
              <w:rPr>
                <w:bdr w:val="none" w:color="auto" w:sz="0" w:space="0"/>
              </w:rPr>
              <w:t>　　</w:t>
            </w:r>
            <w:r>
              <w:rPr>
                <w:color w:val="000000"/>
                <w:sz w:val="24"/>
                <w:szCs w:val="24"/>
                <w:bdr w:val="none" w:color="auto" w:sz="0" w:space="0"/>
              </w:rPr>
              <w:t>总分</w:t>
            </w:r>
          </w:p>
        </w:tc>
        <w:tc>
          <w:tcPr>
            <w:tcW w:w="8270" w:type="dxa"/>
            <w:gridSpan w:val="4"/>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firstLine="0"/>
              <w:jc w:val="center"/>
            </w:pPr>
            <w:r>
              <w:rPr>
                <w:bdr w:val="none" w:color="auto" w:sz="0" w:space="0"/>
              </w:rPr>
              <w:t>　　</w:t>
            </w:r>
            <w:r>
              <w:rPr>
                <w:color w:val="000000"/>
                <w:sz w:val="24"/>
                <w:szCs w:val="24"/>
                <w:bdr w:val="none" w:color="auto" w:sz="0" w:space="0"/>
              </w:rPr>
              <w:t>　　　　　　　　　　　　　　　　　　　　　　　　　　　　　100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rPr>
        <w:t>2.部门整体支出绩效自评开展情况。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rPr>
        <w:t>按照预算绩效管理要求，本部门对2017年整体支出开展绩效自评，自评得分76分，存在的问题：一是财务人员业务不够精通，二是部分报表上报时间不够及时，。下一步改进措施：一是加强对财务人员的业务知识培训，二是加强与财政部门的沟通，圆满完成各项定期和不定期报表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rPr>
        <w:t>2017年部门整体支出绩效评价得分表</w:t>
      </w:r>
    </w:p>
    <w:tbl>
      <w:tblPr>
        <w:tblW w:w="9498" w:type="dxa"/>
        <w:tblInd w:w="-17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02"/>
        <w:gridCol w:w="2268"/>
        <w:gridCol w:w="3402"/>
        <w:gridCol w:w="2126"/>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40" w:hRule="atLeast"/>
        </w:trPr>
        <w:tc>
          <w:tcPr>
            <w:tcW w:w="170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b/>
                <w:bCs/>
                <w:i w:val="0"/>
                <w:iCs w:val="0"/>
                <w:caps w:val="0"/>
                <w:color w:val="000000"/>
                <w:spacing w:val="0"/>
                <w:sz w:val="24"/>
                <w:szCs w:val="24"/>
                <w:bdr w:val="none" w:color="auto" w:sz="0" w:space="0"/>
              </w:rPr>
              <w:t>一级指标</w:t>
            </w:r>
          </w:p>
        </w:tc>
        <w:tc>
          <w:tcPr>
            <w:tcW w:w="2268"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b/>
                <w:bCs/>
                <w:i w:val="0"/>
                <w:iCs w:val="0"/>
                <w:caps w:val="0"/>
                <w:color w:val="000000"/>
                <w:spacing w:val="0"/>
                <w:sz w:val="24"/>
                <w:szCs w:val="24"/>
                <w:bdr w:val="none" w:color="auto" w:sz="0" w:space="0"/>
              </w:rPr>
              <w:t>二级指标</w:t>
            </w:r>
          </w:p>
        </w:tc>
        <w:tc>
          <w:tcPr>
            <w:tcW w:w="340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b/>
                <w:bCs/>
                <w:i w:val="0"/>
                <w:iCs w:val="0"/>
                <w:caps w:val="0"/>
                <w:color w:val="000000"/>
                <w:spacing w:val="0"/>
                <w:sz w:val="24"/>
                <w:szCs w:val="24"/>
                <w:bdr w:val="none" w:color="auto" w:sz="0" w:space="0"/>
              </w:rPr>
              <w:t>三级指标</w:t>
            </w:r>
          </w:p>
        </w:tc>
        <w:tc>
          <w:tcPr>
            <w:tcW w:w="212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b/>
                <w:bCs/>
                <w:i w:val="0"/>
                <w:iCs w:val="0"/>
                <w:caps w:val="0"/>
                <w:color w:val="000000"/>
                <w:spacing w:val="0"/>
                <w:sz w:val="24"/>
                <w:szCs w:val="24"/>
                <w:bdr w:val="none" w:color="auto" w:sz="0" w:space="0"/>
              </w:rPr>
              <w:t>得分</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0" w:hRule="atLeast"/>
        </w:trPr>
        <w:tc>
          <w:tcPr>
            <w:tcW w:w="1702" w:type="dxa"/>
            <w:vMerge w:val="restart"/>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部门决策（25分）</w:t>
            </w: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目标任务（15分）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相关性（5分）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413"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明确性（5分）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420"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合理性（5分）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69"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预算编制（10分）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测算依据（5分）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1"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目标管理（5分）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477" w:hRule="atLeast"/>
        </w:trPr>
        <w:tc>
          <w:tcPr>
            <w:tcW w:w="1702" w:type="dxa"/>
            <w:vMerge w:val="restart"/>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综合管理（30分）</w:t>
            </w: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专项资金分配时限（2分）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省级财力专项预算分配时限（1分）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413"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中央专款分配合规率（1分）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7"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中期评估（2分）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执行中期评估（2分）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381"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绩效监控（5分）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预算执行进度监控（2分）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3"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绩效目标动态监控（3分）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3</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5"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非税收入执收情况（2分）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非税收入征收情况（1分）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5"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非税收入上缴情况（1分）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87"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资产管理（6分）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资产管理信息化情况（2分）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5"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行政事业单位资产报告情况（2分）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353"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资产管理与预算管理相结合（2分）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2"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内控制度管理（2分）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内部控制度健全完整（2分）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21"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信息公开（6分）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预算公开（2分）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197"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决算公开（2分）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87"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绩效信息公开（2分）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405"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绩效评价（5分）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绩效评价开展（2分）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127"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评价结果应用（3分）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3</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1" w:hRule="atLeast"/>
        </w:trPr>
        <w:tc>
          <w:tcPr>
            <w:tcW w:w="1702" w:type="dxa"/>
            <w:vMerge w:val="restart"/>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部门绩效情况（45分）</w:t>
            </w: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履职成效（20分）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部门特性指标</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180"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40"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240"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FFFFFF"/>
          <w:tblCellMar>
            <w:top w:w="15" w:type="dxa"/>
            <w:left w:w="15" w:type="dxa"/>
            <w:bottom w:w="15" w:type="dxa"/>
            <w:right w:w="15" w:type="dxa"/>
          </w:tblCellMar>
        </w:tblPrEx>
        <w:trPr>
          <w:trHeight w:val="157"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可持续发展能力（15分）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重点改革（重点工作）完成情况（5分）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科技（制度、方法、机制等）创新（5分）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385"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人才培养（5分）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32"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restart"/>
            <w:tcBorders>
              <w:top w:val="nil"/>
              <w:left w:val="nil"/>
              <w:bottom w:val="nil"/>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满意度（10分）</w:t>
            </w: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协作部门满意度（3分）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3</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396"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管理对象满意度（3分）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3</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11" w:hRule="atLeast"/>
        </w:trPr>
        <w:tc>
          <w:tcPr>
            <w:tcW w:w="1702" w:type="dxa"/>
            <w:vMerge w:val="continue"/>
            <w:tcBorders>
              <w:top w:val="nil"/>
              <w:left w:val="single" w:color="auto" w:sz="8" w:space="0"/>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2268" w:type="dxa"/>
            <w:vMerge w:val="continue"/>
            <w:tcBorders>
              <w:top w:val="nil"/>
              <w:left w:val="nil"/>
              <w:bottom w:val="nil"/>
              <w:right w:val="single" w:color="auto" w:sz="8" w:space="0"/>
            </w:tcBorders>
            <w:shd w:val="clear" w:color="auto" w:fill="FFFFFF"/>
            <w:tcMar>
              <w:top w:w="0" w:type="dxa"/>
              <w:left w:w="108" w:type="dxa"/>
              <w:bottom w:w="0" w:type="dxa"/>
              <w:right w:w="108" w:type="dxa"/>
            </w:tcMar>
            <w:vAlign w:val="center"/>
          </w:tcPr>
          <w:p>
            <w:pPr>
              <w:rPr>
                <w:rFonts w:hint="eastAsia" w:ascii="微软雅黑" w:hAnsi="微软雅黑" w:eastAsia="微软雅黑" w:cs="微软雅黑"/>
                <w:i w:val="0"/>
                <w:iCs w:val="0"/>
                <w:caps w:val="0"/>
                <w:color w:val="333333"/>
                <w:spacing w:val="0"/>
                <w:sz w:val="24"/>
                <w:szCs w:val="24"/>
              </w:rPr>
            </w:pPr>
          </w:p>
        </w:tc>
        <w:tc>
          <w:tcPr>
            <w:tcW w:w="34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社会公众满意度（4分）</w:t>
            </w:r>
          </w:p>
        </w:tc>
        <w:tc>
          <w:tcPr>
            <w:tcW w:w="21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4</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 十一、名词解释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1.财政拨款收入：指县财政局当年拨付给我局的资金。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2.其他收入：指除上述县财政局拨付我局以外的收入。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3.年初结转和结余：指以前年度尚未完成、结转到本年按有关规定继续使用的资金。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4.年末结转和结余：指本年度或以前年度预算安排、因客观条件发生变化无法按原计划实施，需延迟到以后年度按有关规定继续使用的资金。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5.基本支出：指为单位机关正常运转、完成日常工作任务而发生的人员支出和公用支出。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6.项目支出：指在基本支出之外为完成特定行政任务和事业发展目标所发生的支出。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7.“三公”经费：纳入县级财政预决算管理的“三公”经费，是指我局用财政拨款安排的公务用车购置及运行费和公务接待费。公务用车购置及运行费反映我局公务用车车辆燃料费、维修费、过路过桥费、保险费、安全奖励费用等支出；公务接待费反映单位按规定开支的各类公务接待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hint="eastAsia" w:ascii="微软雅黑" w:hAnsi="微软雅黑" w:eastAsia="微软雅黑" w:cs="微软雅黑"/>
          <w:i w:val="0"/>
          <w:iCs w:val="0"/>
          <w:caps w:val="0"/>
          <w:color w:val="333333"/>
          <w:spacing w:val="0"/>
          <w:sz w:val="24"/>
          <w:szCs w:val="24"/>
          <w:bdr w:val="none" w:color="auto" w:sz="0" w:space="0"/>
          <w:shd w:val="clear" w:fill="FFFFFF"/>
        </w:rPr>
        <w:t>　　　　8.机关运行经费：为保障我局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b/>
          <w:bCs/>
          <w:i w:val="0"/>
          <w:iCs w:val="0"/>
          <w:caps w:val="0"/>
          <w:color w:val="333333"/>
          <w:spacing w:val="0"/>
          <w:sz w:val="24"/>
          <w:szCs w:val="24"/>
          <w:bdr w:val="none" w:color="auto" w:sz="0" w:space="0"/>
          <w:shd w:val="clear" w:fill="FFFFFF"/>
        </w:rPr>
        <w:t> </w:t>
      </w:r>
    </w:p>
    <w:p/>
    <w:sectPr>
      <w:pgSz w:w="11906" w:h="16838"/>
      <w:pgMar w:top="2211" w:right="1417" w:bottom="1871" w:left="1417" w:header="708" w:footer="709"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ZTI4MTY1NjhjMjNjNTBhZDRlOWUzYjRjOTIxOWUifQ=="/>
  </w:docVars>
  <w:rsids>
    <w:rsidRoot w:val="00000000"/>
    <w:rsid w:val="08E64112"/>
    <w:rsid w:val="14450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2021-07-19T03:14:00Z</dcterms:created>
  <dc:creator>Administrator</dc:creator>
  <cp:lastModifiedBy>°柒月丶</cp:lastModifiedBy>
  <dcterms:modified xsi:type="dcterms:W3CDTF">2023-07-17T10:17:51Z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A86E247D2B2B4184833097C0AA19DDD9_12</vt:lpwstr>
  </property>
</Properties>
</file>