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0"/>
        <w:rPr>
          <w:rFonts w:ascii="方正小标宋简体" w:hAnsi="宋体" w:eastAsia="方正小标宋简体"/>
          <w:color w:val="000000"/>
          <w:sz w:val="72"/>
          <w:szCs w:val="72"/>
        </w:rPr>
      </w:pPr>
      <w:bookmarkStart w:id="0" w:name="_Toc15396597"/>
      <w:bookmarkStart w:id="1" w:name="_Toc15396475"/>
      <w:bookmarkStart w:id="2" w:name="_Toc15377425"/>
      <w:bookmarkStart w:id="3" w:name="_Toc15378441"/>
      <w:bookmarkStart w:id="4" w:name="_Toc15377193"/>
      <w:bookmarkStart w:id="5" w:name="_Toc15306267"/>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0"/>
      <w:bookmarkEnd w:id="1"/>
      <w:bookmarkEnd w:id="2"/>
      <w:bookmarkEnd w:id="3"/>
      <w:bookmarkEnd w:id="4"/>
      <w:bookmarkStart w:id="6" w:name="_Toc15377194"/>
      <w:bookmarkStart w:id="7" w:name="_Toc15396476"/>
      <w:bookmarkStart w:id="8" w:name="_Toc15377426"/>
      <w:bookmarkStart w:id="9" w:name="_Toc15378442"/>
      <w:bookmarkStart w:id="10" w:name="_Toc15396598"/>
      <w:r>
        <w:rPr>
          <w:rFonts w:hint="eastAsia" w:ascii="方正小标宋简体" w:hAnsi="宋体" w:eastAsia="方正小标宋简体"/>
          <w:color w:val="000000"/>
          <w:sz w:val="72"/>
          <w:szCs w:val="72"/>
        </w:rPr>
        <w:t>四川省</w:t>
      </w:r>
      <w:bookmarkEnd w:id="5"/>
      <w:bookmarkStart w:id="11" w:name="_Toc15306268"/>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红原县阿木乡人民政府</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1"/>
        <w:rPr>
          <w:rFonts w:cstheme="minorBidi"/>
        </w:rPr>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rPr>
          <w:rStyle w:val="17"/>
          <w:rFonts w:hint="eastAsia"/>
        </w:rPr>
        <w:fldChar w:fldCharType="end"/>
      </w:r>
    </w:p>
    <w:p>
      <w:pPr>
        <w:pStyle w:val="12"/>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Style w:val="17"/>
          <w:rFonts w:hint="eastAsia" w:ascii="仿宋" w:hAnsi="仿宋" w:eastAsia="仿宋"/>
          <w:sz w:val="28"/>
          <w:szCs w:val="28"/>
        </w:rPr>
        <w:fldChar w:fldCharType="end"/>
      </w:r>
    </w:p>
    <w:p>
      <w:pPr>
        <w:pStyle w:val="11"/>
      </w:pPr>
      <w:r>
        <w:fldChar w:fldCharType="begin"/>
      </w:r>
      <w:r>
        <w:instrText xml:space="preserve"> HYPERLINK \l "_Toc15396602" </w:instrText>
      </w:r>
      <w:r>
        <w:fldChar w:fldCharType="separate"/>
      </w:r>
      <w:r>
        <w:rPr>
          <w:rStyle w:val="17"/>
          <w:rFonts w:hint="eastAsia"/>
        </w:rPr>
        <w:t>第二部分</w:t>
      </w:r>
      <w:r>
        <w:rPr>
          <w:rStyle w:val="17"/>
        </w:rPr>
        <w:t xml:space="preserve"> 2018</w:t>
      </w:r>
      <w:r>
        <w:rPr>
          <w:rStyle w:val="17"/>
          <w:rFonts w:hint="eastAsia"/>
        </w:rPr>
        <w:t>年度部门决算情况说明</w:t>
      </w:r>
      <w:r>
        <w:rPr>
          <w:rStyle w:val="17"/>
          <w:rFonts w:hint="eastAsia"/>
        </w:rPr>
        <w:fldChar w:fldCharType="end"/>
      </w:r>
    </w:p>
    <w:p>
      <w:pPr>
        <w:pStyle w:val="12"/>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cstheme="majorBidi"/>
          <w:bCs/>
          <w:sz w:val="28"/>
          <w:szCs w:val="28"/>
        </w:rPr>
        <w:t>政府性基金预算支出决算情况说明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 xml:space="preserve"> 国</w:t>
      </w:r>
      <w:r>
        <w:rPr>
          <w:rStyle w:val="17"/>
          <w:rFonts w:hint="eastAsia" w:ascii="仿宋" w:hAnsi="仿宋" w:eastAsia="仿宋" w:cstheme="majorBidi"/>
          <w:bCs/>
          <w:sz w:val="28"/>
          <w:szCs w:val="28"/>
        </w:rPr>
        <w:t>有资本经营预算支出决算情况说明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cstheme="majorBidi"/>
          <w:bCs/>
          <w:sz w:val="28"/>
          <w:szCs w:val="28"/>
        </w:rPr>
        <w:t>一、其他重要事项的情况说明</w:t>
      </w:r>
      <w:r>
        <w:rPr>
          <w:rStyle w:val="17"/>
          <w:rFonts w:hint="eastAsia" w:ascii="仿宋" w:hAnsi="仿宋" w:eastAsia="仿宋" w:cstheme="majorBidi"/>
          <w:bCs/>
          <w:sz w:val="28"/>
          <w:szCs w:val="28"/>
        </w:rPr>
        <w:fldChar w:fldCharType="end"/>
      </w:r>
    </w:p>
    <w:p>
      <w:pPr>
        <w:pStyle w:val="11"/>
        <w:rPr>
          <w:rFonts w:cstheme="minorBidi"/>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r>
        <w:rPr>
          <w:rStyle w:val="17"/>
          <w:rFonts w:hint="eastAsia"/>
          <w:bCs/>
          <w:kern w:val="44"/>
        </w:rPr>
        <w:fldChar w:fldCharType="end"/>
      </w:r>
    </w:p>
    <w:p>
      <w:pPr>
        <w:pStyle w:val="11"/>
        <w:rPr>
          <w:rFonts w:cstheme="minorBidi"/>
        </w:rPr>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w:t>
      </w:r>
      <w:r>
        <w:rPr>
          <w:rStyle w:val="17"/>
          <w:bCs/>
          <w:kern w:val="44"/>
        </w:rPr>
        <w:t xml:space="preserve"> </w:t>
      </w:r>
      <w:r>
        <w:rPr>
          <w:rStyle w:val="17"/>
          <w:rFonts w:hint="eastAsia"/>
          <w:bCs/>
          <w:kern w:val="44"/>
        </w:rPr>
        <w:t>附件</w:t>
      </w:r>
      <w:r>
        <w:rPr>
          <w:rStyle w:val="17"/>
          <w:rFonts w:hint="eastAsia"/>
          <w:bCs/>
          <w:kern w:val="44"/>
        </w:rPr>
        <w:fldChar w:fldCharType="end"/>
      </w:r>
    </w:p>
    <w:p>
      <w:pPr>
        <w:pStyle w:val="12"/>
        <w:rPr>
          <w:rFonts w:ascii="仿宋" w:hAnsi="仿宋" w:eastAsia="仿宋" w:cstheme="minorBidi"/>
          <w:sz w:val="28"/>
          <w:szCs w:val="28"/>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Style w:val="17"/>
          <w:rFonts w:ascii="仿宋" w:hAnsi="仿宋" w:eastAsia="仿宋"/>
          <w:kern w:val="44"/>
          <w:sz w:val="28"/>
          <w:szCs w:val="28"/>
        </w:rPr>
        <w:fldChar w:fldCharType="end"/>
      </w:r>
    </w:p>
    <w:p>
      <w:pPr>
        <w:pStyle w:val="12"/>
        <w:rPr>
          <w:rFonts w:ascii="仿宋" w:hAnsi="仿宋" w:eastAsia="仿宋" w:cstheme="minorBidi"/>
          <w:sz w:val="28"/>
          <w:szCs w:val="28"/>
        </w:rPr>
      </w:pPr>
      <w:r>
        <w:fldChar w:fldCharType="begin"/>
      </w:r>
      <w:r>
        <w:instrText xml:space="preserve"> HYPERLINK \l "_Toc15396617"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2</w:t>
      </w:r>
      <w:r>
        <w:rPr>
          <w:rStyle w:val="17"/>
          <w:rFonts w:ascii="仿宋" w:hAnsi="仿宋" w:eastAsia="仿宋"/>
          <w:kern w:val="44"/>
          <w:sz w:val="28"/>
          <w:szCs w:val="28"/>
        </w:rPr>
        <w:fldChar w:fldCharType="end"/>
      </w:r>
    </w:p>
    <w:p>
      <w:pPr>
        <w:pStyle w:val="11"/>
        <w:rPr>
          <w:rFonts w:cstheme="minorBidi"/>
        </w:rPr>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w:t>
      </w:r>
      <w:r>
        <w:rPr>
          <w:rStyle w:val="17"/>
          <w:bCs/>
          <w:kern w:val="44"/>
        </w:rPr>
        <w:t xml:space="preserve"> </w:t>
      </w:r>
      <w:r>
        <w:rPr>
          <w:rStyle w:val="17"/>
          <w:rFonts w:hint="eastAsia"/>
          <w:bCs/>
          <w:kern w:val="44"/>
        </w:rPr>
        <w:t>附表</w:t>
      </w:r>
      <w:r>
        <w:rPr>
          <w:rStyle w:val="17"/>
          <w:rFonts w:hint="eastAsia"/>
          <w:bCs/>
          <w:kern w:val="44"/>
        </w:rPr>
        <w:fldChar w:fldCharType="end"/>
      </w:r>
    </w:p>
    <w:p>
      <w:pPr>
        <w:pStyle w:val="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Style w:val="17"/>
          <w:rFonts w:hint="eastAsia"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Style w:val="17"/>
          <w:rFonts w:hint="eastAsia" w:ascii="仿宋" w:hAnsi="仿宋" w:eastAsia="仿宋"/>
          <w:sz w:val="28"/>
          <w:szCs w:val="28"/>
        </w:rPr>
        <w:fldChar w:fldCharType="end"/>
      </w:r>
    </w:p>
    <w:p>
      <w:pPr>
        <w:pStyle w:val="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Style w:val="17"/>
          <w:rFonts w:hint="eastAsia"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2"/>
        <w:jc w:val="center"/>
        <w:rPr>
          <w:rFonts w:ascii="黑体" w:hAnsi="黑体" w:eastAsia="黑体"/>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pStyle w:val="3"/>
        <w:rPr>
          <w:rStyle w:val="27"/>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（一）主要职能。（职能参照省政府批准的三定方案）</w:t>
      </w:r>
      <w:bookmarkEnd w:id="16"/>
      <w:bookmarkEnd w:id="17"/>
    </w:p>
    <w:p>
      <w:pPr>
        <w:snapToGrid w:val="0"/>
        <w:spacing w:line="520" w:lineRule="exact"/>
        <w:ind w:firstLine="643" w:firstLineChars="200"/>
        <w:rPr>
          <w:rFonts w:ascii="仿宋_GB2312" w:hAnsi="仿宋" w:eastAsia="仿宋_GB2312"/>
          <w:sz w:val="32"/>
          <w:szCs w:val="32"/>
        </w:rPr>
      </w:pPr>
      <w:r>
        <w:rPr>
          <w:rFonts w:hint="eastAsia" w:ascii="仿宋_GB2312" w:hAnsi="仿宋_GB2312" w:eastAsia="仿宋_GB2312" w:cs="仿宋_GB2312"/>
          <w:b/>
          <w:sz w:val="32"/>
          <w:szCs w:val="32"/>
        </w:rPr>
        <w:t>一是</w:t>
      </w:r>
      <w:r>
        <w:rPr>
          <w:rFonts w:hint="eastAsia" w:ascii="仿宋_GB2312" w:hAnsi="仿宋_GB2312" w:eastAsia="仿宋_GB2312" w:cs="仿宋_GB2312"/>
          <w:bCs/>
          <w:sz w:val="32"/>
          <w:szCs w:val="32"/>
        </w:rPr>
        <w:t>制定并组织实施乡村建设规划,部署重点项目建设、地方道路建设、水利设施管理、自然资源和生态环境的保护，做好护林防火工作；</w:t>
      </w:r>
      <w:r>
        <w:rPr>
          <w:rFonts w:hint="eastAsia" w:ascii="仿宋_GB2312" w:hAnsi="仿宋_GB2312" w:eastAsia="仿宋_GB2312" w:cs="仿宋_GB2312"/>
          <w:b/>
          <w:sz w:val="32"/>
          <w:szCs w:val="32"/>
        </w:rPr>
        <w:t>二是</w:t>
      </w:r>
      <w:r>
        <w:rPr>
          <w:rFonts w:hint="eastAsia" w:ascii="仿宋_GB2312" w:hAnsi="仿宋_GB2312" w:eastAsia="仿宋_GB2312" w:cs="仿宋_GB2312"/>
          <w:bCs/>
          <w:sz w:val="32"/>
          <w:szCs w:val="32"/>
        </w:rPr>
        <w:t>负责本乡区域内民政、计划生育、体育文化卫生等社会公益事业的综合性工作，维护群众合法权益，调节民事纠纷，打击刑事犯罪维护社会稳定；</w:t>
      </w:r>
      <w:r>
        <w:rPr>
          <w:rFonts w:hint="eastAsia" w:ascii="仿宋_GB2312" w:hAnsi="仿宋_GB2312" w:eastAsia="仿宋_GB2312" w:cs="仿宋_GB2312"/>
          <w:b/>
          <w:sz w:val="32"/>
          <w:szCs w:val="32"/>
        </w:rPr>
        <w:t>三是</w:t>
      </w:r>
      <w:r>
        <w:rPr>
          <w:rFonts w:hint="eastAsia" w:ascii="仿宋_GB2312" w:hAnsi="仿宋_GB2312" w:eastAsia="仿宋_GB2312" w:cs="仿宋_GB2312"/>
          <w:bCs/>
          <w:sz w:val="32"/>
          <w:szCs w:val="32"/>
        </w:rPr>
        <w:t>做好本乡账务资金管理工作；</w:t>
      </w:r>
      <w:r>
        <w:rPr>
          <w:rFonts w:hint="eastAsia" w:ascii="仿宋_GB2312" w:hAnsi="仿宋_GB2312" w:eastAsia="仿宋_GB2312" w:cs="仿宋_GB2312"/>
          <w:b/>
          <w:sz w:val="32"/>
          <w:szCs w:val="32"/>
        </w:rPr>
        <w:t>四是</w:t>
      </w:r>
      <w:r>
        <w:rPr>
          <w:rFonts w:hint="eastAsia" w:ascii="仿宋_GB2312" w:hAnsi="仿宋_GB2312" w:eastAsia="仿宋_GB2312" w:cs="仿宋_GB2312"/>
          <w:bCs/>
          <w:sz w:val="32"/>
          <w:szCs w:val="32"/>
        </w:rPr>
        <w:t>抓好精神文明建设；</w:t>
      </w:r>
      <w:r>
        <w:rPr>
          <w:rFonts w:hint="eastAsia" w:ascii="仿宋_GB2312" w:hAnsi="仿宋_GB2312" w:eastAsia="仿宋_GB2312" w:cs="仿宋_GB2312"/>
          <w:b/>
          <w:sz w:val="32"/>
          <w:szCs w:val="32"/>
        </w:rPr>
        <w:t>五是</w:t>
      </w:r>
      <w:r>
        <w:rPr>
          <w:rFonts w:hint="eastAsia" w:ascii="仿宋_GB2312" w:hAnsi="仿宋_GB2312" w:eastAsia="仿宋_GB2312" w:cs="仿宋_GB2312"/>
          <w:bCs/>
          <w:sz w:val="32"/>
          <w:szCs w:val="32"/>
        </w:rPr>
        <w:t>完成上级部门交办的其他事项</w:t>
      </w:r>
      <w:r>
        <w:rPr>
          <w:rFonts w:hint="eastAsia" w:hAnsi="仿宋_GB2312" w:cs="仿宋_GB2312"/>
          <w:bCs/>
          <w:sz w:val="32"/>
          <w:szCs w:val="32"/>
        </w:rPr>
        <w:t>。</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18" w:name="_Toc15378446"/>
      <w:bookmarkStart w:id="19"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一、项目工作</w:t>
      </w:r>
    </w:p>
    <w:p>
      <w:pPr>
        <w:numPr>
          <w:ilvl w:val="0"/>
          <w:numId w:val="1"/>
        </w:numPr>
        <w:spacing w:line="576" w:lineRule="exact"/>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新建卡口村牦牛标准化养殖基地。</w:t>
      </w:r>
      <w:r>
        <w:rPr>
          <w:rFonts w:hint="eastAsia" w:ascii="仿宋_GB2312" w:hAnsi="仿宋_GB2312" w:eastAsia="仿宋_GB2312" w:cs="仿宋_GB2312"/>
          <w:sz w:val="32"/>
          <w:szCs w:val="32"/>
        </w:rPr>
        <w:t>为切实增加群众收入，壮大村集体经济。新建卡口村牦牛标准化养殖基地，新建暖棚720平方；厕所18.72平方；管理用房149.1平方；草料库房201平方；敞圈平整1137.24平方；新建510平方米混凝土地面；400长3米宽混凝土道路；围墙72米；消毒池15.6平方米。购牦牛39头。</w:t>
      </w:r>
    </w:p>
    <w:p>
      <w:pPr>
        <w:spacing w:line="576" w:lineRule="exact"/>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（二）维修改造公厕。</w:t>
      </w:r>
      <w:r>
        <w:rPr>
          <w:rFonts w:hint="eastAsia" w:ascii="仿宋_GB2312" w:hAnsi="仿宋_GB2312" w:eastAsia="仿宋_GB2312" w:cs="仿宋_GB2312"/>
          <w:sz w:val="32"/>
          <w:szCs w:val="32"/>
        </w:rPr>
        <w:t>为改善环境，提高群众生活质量，使我乡公厕达到美观、实用的效果，对全乡境内的10个公共厕所进行了维修改造。</w:t>
      </w:r>
    </w:p>
    <w:p>
      <w:pPr>
        <w:spacing w:line="576" w:lineRule="exact"/>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（三）新建生态停车场。</w:t>
      </w:r>
      <w:r>
        <w:rPr>
          <w:rFonts w:hint="eastAsia" w:ascii="仿宋_GB2312" w:hAnsi="仿宋_GB2312" w:eastAsia="仿宋_GB2312" w:cs="仿宋_GB2312"/>
          <w:sz w:val="32"/>
          <w:szCs w:val="32"/>
        </w:rPr>
        <w:t>为提升基础设施水平，做到需求和美观的有机结合。投资39万元，在卡口村建设生态停车场2222平方米。建车位42个，绿化742平米，道路195</w:t>
      </w:r>
      <w:r>
        <w:rPr>
          <w:rFonts w:hint="eastAsia" w:ascii="仿宋_GB2312" w:hAnsi="仿宋_GB2312" w:eastAsia="仿宋_GB2312" w:cs="仿宋_GB2312"/>
          <w:sz w:val="32"/>
          <w:szCs w:val="32"/>
          <w:lang w:eastAsia="zh-CN"/>
        </w:rPr>
        <w:t>平方米</w:t>
      </w:r>
      <w:r>
        <w:rPr>
          <w:rFonts w:hint="eastAsia" w:ascii="仿宋_GB2312" w:hAnsi="仿宋_GB2312" w:eastAsia="仿宋_GB2312" w:cs="仿宋_GB2312"/>
          <w:sz w:val="32"/>
          <w:szCs w:val="32"/>
        </w:rPr>
        <w:t>，景石1个。</w:t>
      </w:r>
    </w:p>
    <w:p>
      <w:pPr>
        <w:spacing w:line="576" w:lineRule="exact"/>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（四）实施入村道路黑化工程。</w:t>
      </w:r>
      <w:r>
        <w:rPr>
          <w:rFonts w:hint="eastAsia" w:ascii="仿宋_GB2312" w:hAnsi="仿宋_GB2312" w:eastAsia="仿宋_GB2312" w:cs="仿宋_GB2312"/>
          <w:sz w:val="32"/>
          <w:szCs w:val="32"/>
        </w:rPr>
        <w:t>为美化环境，方便牧民群众出行，对600米入村道路实施了黑化工程，目前已铺设好基础的水稳层。</w:t>
      </w:r>
    </w:p>
    <w:p>
      <w:pPr>
        <w:spacing w:line="576" w:lineRule="exact"/>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（五）完善防洪堤建设。</w:t>
      </w:r>
      <w:r>
        <w:rPr>
          <w:rFonts w:hint="eastAsia" w:ascii="仿宋_GB2312" w:hAnsi="仿宋_GB2312" w:eastAsia="仿宋_GB2312" w:cs="仿宋_GB2312"/>
          <w:sz w:val="32"/>
          <w:szCs w:val="32"/>
        </w:rPr>
        <w:t>为减少自然灾害带来的损失，投资了980万元，实施了防洪护坡、安全围栏等建设。</w:t>
      </w:r>
    </w:p>
    <w:p>
      <w:pPr>
        <w:spacing w:line="576" w:lineRule="exact"/>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（六）实施峨扎村精准扶贫异地搬迁点河道生态综合治理工程。</w:t>
      </w:r>
      <w:r>
        <w:rPr>
          <w:rFonts w:hint="eastAsia" w:ascii="仿宋_GB2312" w:hAnsi="仿宋_GB2312" w:eastAsia="仿宋_GB2312" w:cs="仿宋_GB2312"/>
          <w:sz w:val="32"/>
          <w:szCs w:val="32"/>
        </w:rPr>
        <w:t>通过完善基础设施建设可以抵御自然灾害，促进和带动当地建档立卡贫困户增收，巩固扶贫成果。投资了290万，实施了防洪边坡、安全围栏、人行步道等建设</w:t>
      </w:r>
    </w:p>
    <w:p>
      <w:pPr>
        <w:spacing w:line="576" w:lineRule="exact"/>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（七）铺设峨扎村标准化养殖基地泥结碎石路。</w:t>
      </w:r>
      <w:r>
        <w:rPr>
          <w:rFonts w:hint="eastAsia" w:ascii="仿宋_GB2312" w:hAnsi="仿宋_GB2312" w:eastAsia="仿宋_GB2312" w:cs="仿宋_GB2312"/>
          <w:sz w:val="32"/>
          <w:szCs w:val="32"/>
        </w:rPr>
        <w:t>为改善养殖基地运输状况，新建3.5公里通往峨扎村泥结碎石路。</w:t>
      </w:r>
    </w:p>
    <w:p>
      <w:pPr>
        <w:spacing w:line="576" w:lineRule="exact"/>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（八）2018年灾后恢复。</w:t>
      </w:r>
      <w:r>
        <w:rPr>
          <w:rFonts w:hint="eastAsia" w:ascii="仿宋_GB2312" w:hAnsi="仿宋_GB2312" w:eastAsia="仿宋_GB2312" w:cs="仿宋_GB2312"/>
          <w:sz w:val="32"/>
          <w:szCs w:val="32"/>
        </w:rPr>
        <w:t>为尽快恢复灾后的正常生产生活秩序，投资了57.55万元新建涵洞25座，维修涵洞11座，新建草原防火通道580m,维修草原防火通道7.35公里，投资42万元在远牧点新建板涵桥4座，维修2座，确保远牧点群众日常生活。</w:t>
      </w:r>
    </w:p>
    <w:p>
      <w:pPr>
        <w:spacing w:line="576" w:lineRule="exact"/>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（九）落实产业到户。</w:t>
      </w:r>
      <w:r>
        <w:rPr>
          <w:rFonts w:hint="eastAsia" w:ascii="仿宋_GB2312" w:hAnsi="仿宋_GB2312" w:eastAsia="仿宋_GB2312" w:cs="仿宋_GB2312"/>
          <w:sz w:val="32"/>
          <w:szCs w:val="32"/>
        </w:rPr>
        <w:t>充分整合24.6万元第一批涉农资金为2018年建档立卡贫困户新增人口购买牦牛70头。</w:t>
      </w:r>
    </w:p>
    <w:p>
      <w:pPr>
        <w:numPr>
          <w:ilvl w:val="0"/>
          <w:numId w:val="2"/>
        </w:num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脱贫攻坚工作</w:t>
      </w:r>
    </w:p>
    <w:p>
      <w:pPr>
        <w:numPr>
          <w:ilvl w:val="0"/>
          <w:numId w:val="3"/>
        </w:num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宣传教育方面。</w:t>
      </w:r>
      <w:r>
        <w:rPr>
          <w:rFonts w:hint="eastAsia" w:ascii="仿宋_GB2312" w:hAnsi="仿宋_GB2312" w:eastAsia="仿宋_GB2312" w:cs="仿宋_GB2312"/>
          <w:sz w:val="32"/>
          <w:szCs w:val="32"/>
        </w:rPr>
        <w:t>开年至今，召开群众大会集中开展扶贫政策宣讲活动15次，乡党政班子成员、村两委负责人、驻村工作队集中学习扶贫应知应会政策13次，贫困户帮扶责任人进村入户宣传政策法规，发放宣传手册、挂历200余份。</w:t>
      </w:r>
    </w:p>
    <w:p>
      <w:pPr>
        <w:numPr>
          <w:ilvl w:val="0"/>
          <w:numId w:val="3"/>
        </w:num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就业培训方面。一是</w:t>
      </w:r>
      <w:r>
        <w:rPr>
          <w:rFonts w:hint="eastAsia" w:ascii="仿宋_GB2312" w:hAnsi="仿宋_GB2312" w:eastAsia="仿宋_GB2312" w:cs="仿宋_GB2312"/>
          <w:sz w:val="32"/>
          <w:szCs w:val="32"/>
        </w:rPr>
        <w:t>在县就业局和县农牧水务局的大力支持下，5月底到6月初，我乡举办为期半月的畜牧养殖技能培训，120余人次参加。同时，借助牧民夜校平台开设草原鼠虫防治、牦牛病害预防、餐饮服务规范等专题夜校培训班8课时。</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按照建档立卡贫困户至少有一人参与生态管护，而获得收益的原则，全乡安置生态公益性岗位145个，注册生态合作社3个，其中村级2个，乡级1个。</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联系辖区内施工单位，为贫困群众就近联系工作岗位近30个，为群众实现家门口就业的美好愿望。</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积极发动贫困群众，以东西部扶贫协作为契机，在县就业局的引导下，我乡顺利输送闲散劳动力13名，前往对口援助红原建设的浙江·温州实现异地就业，鼓励群众走出去，开阔眼界、务工增收，为缺乏自信的当地群众作了垂范表率。</w:t>
      </w:r>
    </w:p>
    <w:p>
      <w:pPr>
        <w:numPr>
          <w:ilvl w:val="0"/>
          <w:numId w:val="3"/>
        </w:num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扶贫项目方面。</w:t>
      </w:r>
      <w:r>
        <w:rPr>
          <w:rFonts w:hint="eastAsia" w:ascii="仿宋_GB2312" w:hAnsi="仿宋_GB2312" w:eastAsia="仿宋_GB2312" w:cs="仿宋_GB2312"/>
          <w:sz w:val="32"/>
          <w:szCs w:val="32"/>
        </w:rPr>
        <w:t>投资250万元为我乡卡口村修建牦牛标准化养殖基地，该项目修建暖棚720㎡、厕所18.72㎡、管理用房149.1㎡、草料库房201㎡、敞圈平整1137.24㎡、购买优质牦牛39头，已竣工验收；投资290万元为我乡峨扎村定居点修建河堤，以旅游扶贫为抓手，该项目从堤坝规划、围栏设计、步道设置等均稳抓打造文化休闲走廊这一主题，</w:t>
      </w:r>
      <w:r>
        <w:rPr>
          <w:rFonts w:hint="eastAsia" w:ascii="仿宋_GB2312" w:hAnsi="仿宋_GB2312" w:eastAsia="仿宋_GB2312" w:cs="仿宋_GB2312"/>
          <w:sz w:val="32"/>
          <w:szCs w:val="32"/>
          <w:lang w:eastAsia="zh-CN"/>
        </w:rPr>
        <w:t>现已</w:t>
      </w:r>
      <w:r>
        <w:rPr>
          <w:rFonts w:hint="eastAsia" w:ascii="仿宋_GB2312" w:hAnsi="仿宋_GB2312" w:eastAsia="仿宋_GB2312" w:cs="仿宋_GB2312"/>
          <w:sz w:val="32"/>
          <w:szCs w:val="32"/>
        </w:rPr>
        <w:t>竣工验收；投入24.6万元为阿木乡2018年动态新增贫困人员实施到户产业项目，该项目购买3岁—5岁牦母牛82头，为贫困户增加了生产资料，夯实产业基础；在省民政厅的大力支持下，我乡投入39万元修建了红原第一个生态停车场，该项目总共规划42个停车位、742㎡绿化带、195㎡出入通道路、1个感恩地标景石，现已竣工验收；在县级包村领导的协调下，我乡争取资金10万元在峨扎村集中安置点公共绿地种草、种树、提升改造入户路，不断改善村容村貌，得到群众高度评价；投入30万元村主干道提升资金，黑化摊铺村道600米，解决群众出行难问题。</w:t>
      </w:r>
    </w:p>
    <w:p>
      <w:pPr>
        <w:numPr>
          <w:ilvl w:val="0"/>
          <w:numId w:val="3"/>
        </w:num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巩固提升方面。</w:t>
      </w:r>
      <w:r>
        <w:rPr>
          <w:rFonts w:hint="eastAsia" w:ascii="仿宋_GB2312" w:hAnsi="仿宋_GB2312" w:eastAsia="仿宋_GB2312" w:cs="仿宋_GB2312"/>
          <w:sz w:val="32"/>
          <w:szCs w:val="32"/>
        </w:rPr>
        <w:t>按照上级“回头看”、“回头帮”要求，我乡党委政府借助驻村帮扶力量，组织乡村干部，以贫困户帮扶责任人“一对一”走访为主要方式，对标核实贫困户“一超六有”情况，经查，未发现脱贫不稳定、返贫等现象。同时，通过公益性岗位安置、就业技能培训、更攀合作社入股分红、村集体经济分红、金牦牛轮换饲养覆盖等措施巩固脱贫成果，提升脱贫成效。</w:t>
      </w:r>
    </w:p>
    <w:p>
      <w:pPr>
        <w:numPr>
          <w:ilvl w:val="0"/>
          <w:numId w:val="3"/>
        </w:num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作风整治方面。</w:t>
      </w:r>
      <w:r>
        <w:rPr>
          <w:rFonts w:hint="eastAsia" w:ascii="仿宋_GB2312" w:hAnsi="仿宋_GB2312" w:eastAsia="仿宋_GB2312" w:cs="仿宋_GB2312"/>
          <w:sz w:val="32"/>
          <w:szCs w:val="32"/>
        </w:rPr>
        <w:t>为开展好我乡扶贫领域作风问题专项治理工作，特开通问题意见来电热线（固定电话）和现场</w:t>
      </w:r>
      <w:r>
        <w:rPr>
          <w:rFonts w:hint="eastAsia" w:ascii="仿宋_GB2312" w:hAnsi="仿宋_GB2312" w:eastAsia="仿宋_GB2312" w:cs="仿宋_GB2312"/>
          <w:sz w:val="32"/>
          <w:szCs w:val="32"/>
          <w:lang w:eastAsia="zh-CN"/>
        </w:rPr>
        <w:t>反映问题</w:t>
      </w:r>
      <w:r>
        <w:rPr>
          <w:rFonts w:hint="eastAsia" w:ascii="仿宋_GB2312" w:hAnsi="仿宋_GB2312" w:eastAsia="仿宋_GB2312" w:cs="仿宋_GB2312"/>
          <w:sz w:val="32"/>
          <w:szCs w:val="32"/>
        </w:rPr>
        <w:t>渠道，广泛征求“两代表一委员”及群众意见，在扶贫领域方面自查总结出十余条作风问题，并召开专题会议，作专题部署，罗列问题清单、责任清单、整改清单，明确责任人和整改时限，切实将问题整改到位。</w:t>
      </w:r>
    </w:p>
    <w:p>
      <w:pPr>
        <w:numPr>
          <w:ilvl w:val="0"/>
          <w:numId w:val="3"/>
        </w:num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评星定级方面。</w:t>
      </w:r>
      <w:r>
        <w:rPr>
          <w:rFonts w:hint="eastAsia" w:ascii="仿宋_GB2312" w:hAnsi="仿宋_GB2312" w:eastAsia="仿宋_GB2312" w:cs="仿宋_GB2312"/>
          <w:sz w:val="32"/>
          <w:szCs w:val="32"/>
        </w:rPr>
        <w:t>按照县脱贫攻坚领导小组统一部署，我乡紧扣时间任务，明确专人，分村开展贫困户星级评定工作，10月初，通过评选，在全乡144户贫困户中优中选优，分别评出奋进之星、勤劳之星、诚信之星、法礼之星、卫生之星、教育之星、和睦之星各2名，并投入奖励金近4万元，购买适用家具进行实物鼓励，群众反响很好。</w:t>
      </w:r>
    </w:p>
    <w:p>
      <w:pPr>
        <w:numPr>
          <w:ilvl w:val="0"/>
          <w:numId w:val="3"/>
        </w:num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结对帮扶</w:t>
      </w:r>
      <w:r>
        <w:rPr>
          <w:rFonts w:hint="eastAsia" w:ascii="仿宋_GB2312" w:hAnsi="仿宋_GB2312" w:eastAsia="仿宋_GB2312" w:cs="仿宋_GB2312"/>
          <w:b/>
          <w:bCs/>
          <w:sz w:val="32"/>
          <w:szCs w:val="32"/>
        </w:rPr>
        <w:t>方面。</w:t>
      </w:r>
      <w:r>
        <w:rPr>
          <w:rFonts w:hint="eastAsia" w:ascii="华文楷体" w:hAnsi="华文楷体" w:eastAsia="华文楷体" w:cs="华文楷体"/>
          <w:sz w:val="32"/>
          <w:szCs w:val="32"/>
        </w:rPr>
        <w:t>东西部扶贫协作方面：</w:t>
      </w:r>
      <w:r>
        <w:rPr>
          <w:rFonts w:hint="eastAsia" w:ascii="仿宋" w:hAnsi="仿宋" w:eastAsia="仿宋" w:cs="仿宋"/>
          <w:sz w:val="32"/>
          <w:szCs w:val="32"/>
        </w:rPr>
        <w:t>同浙江省苍南县灵溪镇以“乡对乡”、“村对村”方式签订区域合作框架协议2份，同温州爱心企业签订村企帮扶协议4份，获捐55万元帮扶资金助推脱贫攻坚；</w:t>
      </w:r>
      <w:r>
        <w:rPr>
          <w:rFonts w:hint="eastAsia" w:ascii="楷体" w:hAnsi="楷体" w:eastAsia="楷体" w:cs="楷体"/>
          <w:sz w:val="32"/>
          <w:szCs w:val="32"/>
        </w:rPr>
        <w:t>省级对口帮扶方面：</w:t>
      </w:r>
      <w:r>
        <w:rPr>
          <w:rFonts w:hint="eastAsia" w:ascii="仿宋" w:hAnsi="仿宋" w:eastAsia="仿宋" w:cs="仿宋"/>
          <w:sz w:val="32"/>
          <w:szCs w:val="32"/>
        </w:rPr>
        <w:t>省食药监局和省民政厅派专人驻村蹲点开展帮扶工作，发动爱心企业为峨扎村建立教育疗扶和医持救助基金23万元。投资32万元为卡口村修建生态停车场。同时，结合单位职能职责开展知识讲座、发放学习用品、捐赠残疾人康复设备、提供特殊病种免费体检服务，为贫困村脱贫奔康出谋划策；</w:t>
      </w:r>
      <w:r>
        <w:rPr>
          <w:rFonts w:hint="eastAsia" w:ascii="楷体" w:hAnsi="楷体" w:eastAsia="楷体" w:cs="楷体"/>
          <w:sz w:val="32"/>
          <w:szCs w:val="32"/>
        </w:rPr>
        <w:t>县级联系帮扶方面：</w:t>
      </w:r>
      <w:r>
        <w:rPr>
          <w:rFonts w:hint="eastAsia" w:ascii="仿宋" w:hAnsi="仿宋" w:eastAsia="仿宋" w:cs="仿宋"/>
          <w:sz w:val="32"/>
          <w:szCs w:val="32"/>
        </w:rPr>
        <w:t>帮扶单位下大力气给贫困村投入资金、项目、政策，派出优秀党员干部同贫困户结对认亲，客观分析贫困户致贫原因，精准谋划帮扶措施，切实解决实际困难，帮助贫困户如期完成脱贫摘帽。</w:t>
      </w:r>
    </w:p>
    <w:p>
      <w:pPr>
        <w:numPr>
          <w:ilvl w:val="0"/>
          <w:numId w:val="3"/>
        </w:num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扶贫小额信贷方面。</w:t>
      </w:r>
      <w:r>
        <w:rPr>
          <w:rFonts w:hint="eastAsia" w:ascii="仿宋_GB2312" w:hAnsi="仿宋_GB2312" w:eastAsia="仿宋_GB2312" w:cs="仿宋_GB2312"/>
          <w:sz w:val="32"/>
          <w:szCs w:val="32"/>
        </w:rPr>
        <w:t>在县农业银行的大力支持下，我乡完成了144户建档立贫困户评级授信工作，下步将符合贷款条件的53户贫困户办理小额信贷业务，凭借小额信贷支撑，大力发展贫困户脱贫产业，授人以鱼不如授人以渔的方式鼓励群众自力更生，脱贫致富。</w:t>
      </w:r>
    </w:p>
    <w:p>
      <w:pPr>
        <w:numPr>
          <w:ilvl w:val="0"/>
          <w:numId w:val="3"/>
        </w:numPr>
        <w:spacing w:line="540" w:lineRule="exact"/>
        <w:ind w:firstLine="643" w:firstLineChars="200"/>
        <w:rPr>
          <w:rFonts w:ascii="楷体_GB2312" w:hAnsi="楷体_GB2312" w:eastAsia="楷体_GB2312" w:cs="楷体_GB2312"/>
          <w:sz w:val="32"/>
          <w:szCs w:val="32"/>
        </w:rPr>
      </w:pPr>
      <w:r>
        <w:rPr>
          <w:rFonts w:hint="eastAsia" w:ascii="仿宋_GB2312" w:hAnsi="仿宋_GB2312" w:eastAsia="仿宋_GB2312" w:cs="仿宋_GB2312"/>
          <w:b/>
          <w:bCs/>
          <w:sz w:val="32"/>
          <w:szCs w:val="32"/>
        </w:rPr>
        <w:t>社会扶贫方面。</w:t>
      </w:r>
      <w:r>
        <w:rPr>
          <w:rFonts w:hint="eastAsia" w:ascii="仿宋_GB2312" w:hAnsi="仿宋_GB2312" w:eastAsia="仿宋_GB2312" w:cs="仿宋_GB2312"/>
          <w:sz w:val="32"/>
          <w:szCs w:val="32"/>
        </w:rPr>
        <w:t>2016年以来，省食品药品评价审查及验证中心，发动近10家爱心企业，为阿木乡峨扎村建立教育扶持和医疗救助基金，</w:t>
      </w:r>
      <w:r>
        <w:rPr>
          <w:rFonts w:hint="eastAsia" w:ascii="仿宋" w:hAnsi="仿宋" w:eastAsia="仿宋" w:cs="仿宋"/>
          <w:sz w:val="32"/>
          <w:szCs w:val="32"/>
        </w:rPr>
        <w:t>该基金已累积到了23万元，目前已成功救助贫困学生6名，为贫困学子带去爱心企业社会温暖，不断鼓励寒门学子勤学奋进。</w:t>
      </w:r>
    </w:p>
    <w:p>
      <w:pPr>
        <w:numPr>
          <w:ilvl w:val="0"/>
          <w:numId w:val="3"/>
        </w:numPr>
        <w:spacing w:line="540" w:lineRule="exact"/>
        <w:ind w:firstLine="643" w:firstLineChars="200"/>
        <w:rPr>
          <w:rFonts w:ascii="黑体" w:hAnsi="黑体" w:eastAsia="黑体" w:cs="黑体"/>
          <w:b/>
          <w:bCs/>
          <w:sz w:val="32"/>
          <w:szCs w:val="32"/>
        </w:rPr>
      </w:pPr>
      <w:r>
        <w:rPr>
          <w:rFonts w:hint="eastAsia" w:ascii="仿宋_GB2312" w:hAnsi="仿宋_GB2312" w:eastAsia="仿宋_GB2312" w:cs="仿宋_GB2312"/>
          <w:b/>
          <w:bCs/>
          <w:sz w:val="32"/>
          <w:szCs w:val="32"/>
        </w:rPr>
        <w:t>风采展示方面。</w:t>
      </w:r>
      <w:r>
        <w:rPr>
          <w:rFonts w:hint="eastAsia" w:ascii="仿宋_GB2312" w:hAnsi="仿宋_GB2312" w:eastAsia="仿宋_GB2312" w:cs="仿宋_GB2312"/>
          <w:sz w:val="32"/>
          <w:szCs w:val="32"/>
        </w:rPr>
        <w:t>今年初，四川卫视新春走基层栏目组，来到阿木乡拍摄走访，该栏目组以扶贫工作为切入点，充分肯定阿木乡“金牦牛”轮流饲养新模式带动脱贫攻坚，全方位报道阿木乡作为高原藏区深度贫困地方近年来翻天覆地的变化，最终从一个个点赞、一张张笑脸</w:t>
      </w:r>
      <w:r>
        <w:rPr>
          <w:rFonts w:hint="eastAsia" w:ascii="仿宋_GB2312" w:hAnsi="仿宋_GB2312" w:eastAsia="仿宋_GB2312" w:cs="仿宋_GB2312"/>
          <w:sz w:val="32"/>
          <w:szCs w:val="32"/>
          <w:lang w:eastAsia="zh-CN"/>
        </w:rPr>
        <w:t>印证</w:t>
      </w:r>
      <w:r>
        <w:rPr>
          <w:rFonts w:hint="eastAsia" w:ascii="仿宋_GB2312" w:hAnsi="仿宋_GB2312" w:eastAsia="仿宋_GB2312" w:cs="仿宋_GB2312"/>
          <w:sz w:val="32"/>
          <w:szCs w:val="32"/>
        </w:rPr>
        <w:t>全乡经济社会发展的成效；今年8月份，CCTV7每日农经栏目组深入阿木乡拍摄麦洼牦牛，该栏目组通过实地采访，就阿木乡党委政府在产业扶持助推脱贫攻坚方面探索的新路径“金牦牛”轮换饲养也给予肯定和报道。</w:t>
      </w:r>
    </w:p>
    <w:p>
      <w:pPr>
        <w:numPr>
          <w:ilvl w:val="0"/>
          <w:numId w:val="2"/>
        </w:num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畜牧工作</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组织建档立卡贫困户投工投劳共同开展草原灭虫工作，实施面积15`</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万亩，并为牧户发放补助资金13.5万元；</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持续开展冻精改良工作，2018年共计改良阿木乡峨扎村500余头牦母牛；</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加强畜种改良，充分整合县畜牧局畜种改良专项资金6.82万元，改良阿木乡22头牦牛；</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修建阿木乡卡口村、峨扎村巷道圈各1个，补助资金共计16万元；</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按照县级相关部门的要求和建设标准，修建牲畜暖棚23个和家庭牧场2个，项目已全面完成并通过县级部门验收；</w:t>
      </w:r>
      <w:r>
        <w:rPr>
          <w:rFonts w:hint="eastAsia" w:ascii="仿宋_GB2312" w:hAnsi="仿宋_GB2312" w:eastAsia="仿宋_GB2312" w:cs="仿宋_GB2312"/>
          <w:b/>
          <w:bCs/>
          <w:sz w:val="32"/>
          <w:szCs w:val="32"/>
        </w:rPr>
        <w:t>六是</w:t>
      </w:r>
      <w:r>
        <w:rPr>
          <w:rFonts w:hint="eastAsia" w:ascii="仿宋_GB2312" w:hAnsi="仿宋_GB2312" w:eastAsia="仿宋_GB2312" w:cs="仿宋_GB2312"/>
          <w:sz w:val="32"/>
          <w:szCs w:val="32"/>
        </w:rPr>
        <w:t>生态补奖工作有序推进。从2016年起我乡共规划出禁牧和草畜平衡区分别约50.9420万亩、68.8306万亩草场。</w:t>
      </w:r>
    </w:p>
    <w:p>
      <w:pPr>
        <w:numPr>
          <w:ilvl w:val="0"/>
          <w:numId w:val="2"/>
        </w:num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教育工作</w:t>
      </w:r>
    </w:p>
    <w:p>
      <w:pPr>
        <w:spacing w:line="54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党委政府制定“阿木乡控辍保学”工作实施方案并签订责任书。党政领导挂点联席学校制度，确保每个学校有一名班子成员联席工作。通过努力，我乡小学阶段上半年辍学率控制在0，初中阶段上半年辍学率控制在1.1%以内，低于上级要求2%以内；</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党委、政府对学校安全工作非常重视，今年春季学期多次组织公安、卫生等部门对学校进行安全工作检查，一是对学校校舍安全的检查，二是对学生学习生活中的安全检查，三是对小学食堂的食品药品安全的检查，保持了上半年学校无安全事故的出现；</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乡利用对口援建资金建立了扶贫助学基金，对建档立卡贫困学生开展扶贫助学活动；</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高度重视学前教育工作，督促改善办学条件，发现不规范的地方</w:t>
      </w:r>
      <w:r>
        <w:rPr>
          <w:rFonts w:hint="eastAsia" w:ascii="仿宋_GB2312" w:hAnsi="仿宋_GB2312" w:eastAsia="仿宋_GB2312" w:cs="仿宋_GB2312"/>
          <w:sz w:val="32"/>
          <w:szCs w:val="32"/>
          <w:lang w:eastAsia="zh-CN"/>
        </w:rPr>
        <w:t>限期整改</w:t>
      </w:r>
      <w:r>
        <w:rPr>
          <w:rFonts w:hint="eastAsia" w:ascii="仿宋_GB2312" w:hAnsi="仿宋_GB2312" w:eastAsia="仿宋_GB2312" w:cs="仿宋_GB2312"/>
          <w:sz w:val="32"/>
          <w:szCs w:val="32"/>
        </w:rPr>
        <w:t>，并在期内进行督促落实，有效地促进我乡幼儿园的规范管理，没有发生幼儿园的安全事故。</w:t>
      </w:r>
    </w:p>
    <w:p>
      <w:p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五、计生工作</w:t>
      </w:r>
    </w:p>
    <w:p>
      <w:pPr>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每季度末走村入户，认真进行户口核实，对产妇及时发放避孕药做好计划生育工作，准确核实出生婴儿信息，对死亡、嫁出、嫁入人口一一核实，对使用避孕药具的妇女进行随访，及时解决妇女提出的疑点、难点问题，做好生育审批工作；</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对计划生育做得好的农牧民，乡党委、政府以</w:t>
      </w:r>
      <w:r>
        <w:rPr>
          <w:rFonts w:hint="eastAsia" w:ascii="仿宋_GB2312" w:hAnsi="仿宋_GB2312" w:eastAsia="仿宋_GB2312" w:cs="仿宋_GB2312"/>
          <w:sz w:val="32"/>
          <w:szCs w:val="32"/>
          <w:lang w:eastAsia="zh-CN"/>
        </w:rPr>
        <w:t>优先</w:t>
      </w:r>
      <w:r>
        <w:rPr>
          <w:rFonts w:hint="eastAsia" w:ascii="仿宋_GB2312" w:hAnsi="仿宋_GB2312" w:eastAsia="仿宋_GB2312" w:cs="仿宋_GB2312"/>
          <w:sz w:val="32"/>
          <w:szCs w:val="32"/>
        </w:rPr>
        <w:t>考虑扶助，并联系上级有关部门为他提供技术、争取资金，使他们经济收入跨上新台阶；</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提高农牧民的认识，加大计划生育法律、法规的宣传，多形式、多渠道，利用各种会议、走村入户等形式加大宣传，充分利用每季度统计式入户，宣传计划生育的法律法规，讲解“少生、优生、幸福一生”的好处。</w:t>
      </w:r>
    </w:p>
    <w:p>
      <w:p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六、新农合工作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2018年我乡新农合参合目标人数2950人、实际完成人数2960人，达标率100.3%；其中五保人数22人、重残9人、低保332人、建档立卡贫困户全覆盖559人，全乡新农合参合率达到100％。我乡通过群众大会、悬挂横幅等多种形式</w:t>
      </w:r>
      <w:r>
        <w:rPr>
          <w:rFonts w:hint="eastAsia" w:ascii="仿宋_GB2312" w:hAnsi="仿宋_GB2312" w:eastAsia="仿宋_GB2312" w:cs="仿宋_GB2312"/>
          <w:sz w:val="32"/>
          <w:szCs w:val="32"/>
          <w:lang w:eastAsia="zh-CN"/>
        </w:rPr>
        <w:t>增强</w:t>
      </w:r>
      <w:r>
        <w:rPr>
          <w:rFonts w:hint="eastAsia" w:ascii="仿宋_GB2312" w:hAnsi="仿宋_GB2312" w:eastAsia="仿宋_GB2312" w:cs="仿宋_GB2312"/>
          <w:sz w:val="32"/>
          <w:szCs w:val="32"/>
        </w:rPr>
        <w:t>牧民群众参合意识，现正在积极开展2019年新农合参合工作，预计参合率100%。</w:t>
      </w:r>
    </w:p>
    <w:p>
      <w:p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七、城乡环境卫生</w:t>
      </w:r>
    </w:p>
    <w:p>
      <w:pPr>
        <w:spacing w:line="576" w:lineRule="exact"/>
        <w:ind w:firstLine="562" w:firstLineChars="200"/>
        <w:rPr>
          <w:rFonts w:ascii="仿宋_GB2312" w:hAnsi="仿宋_GB2312" w:eastAsia="仿宋_GB2312" w:cs="仿宋_GB2312"/>
          <w:sz w:val="32"/>
          <w:szCs w:val="32"/>
        </w:rPr>
      </w:pPr>
      <w:r>
        <w:rPr>
          <w:rFonts w:hint="eastAsia" w:ascii="仿宋_GB2312" w:hAnsi="仿宋_GB2312" w:eastAsia="仿宋_GB2312" w:cs="仿宋_GB2312"/>
          <w:b/>
          <w:bCs/>
          <w:sz w:val="28"/>
          <w:szCs w:val="28"/>
        </w:rPr>
        <w:t>一是加强宣传。</w:t>
      </w:r>
      <w:r>
        <w:rPr>
          <w:rFonts w:hint="eastAsia" w:ascii="仿宋_GB2312" w:hAnsi="仿宋_GB2312" w:eastAsia="仿宋_GB2312" w:cs="仿宋_GB2312"/>
          <w:sz w:val="28"/>
          <w:szCs w:val="28"/>
        </w:rPr>
        <w:t>充分利用各种会议、横幅以及学校教育等对环境卫生的重要性进行宣传，鼓励牧户积极参与，为开展环境卫生治理工作营造良好氛围，让村民群众充分发挥主体作用，做好环境治理工作；</w:t>
      </w:r>
      <w:r>
        <w:rPr>
          <w:rFonts w:hint="eastAsia" w:ascii="仿宋_GB2312" w:hAnsi="仿宋_GB2312" w:eastAsia="仿宋_GB2312" w:cs="仿宋_GB2312"/>
          <w:b/>
          <w:bCs/>
          <w:sz w:val="28"/>
          <w:szCs w:val="28"/>
        </w:rPr>
        <w:t>二是全面清扫。</w:t>
      </w:r>
      <w:r>
        <w:rPr>
          <w:rFonts w:hint="eastAsia" w:ascii="仿宋_GB2312" w:hAnsi="仿宋_GB2312" w:eastAsia="仿宋_GB2312" w:cs="仿宋_GB2312"/>
          <w:sz w:val="28"/>
          <w:szCs w:val="28"/>
        </w:rPr>
        <w:t>首先党员干部带头清洁好自家房前屋后，整理好庭院</w:t>
      </w:r>
      <w:r>
        <w:rPr>
          <w:rFonts w:hint="eastAsia" w:ascii="仿宋_GB2312" w:hAnsi="仿宋_GB2312" w:eastAsia="仿宋_GB2312" w:cs="仿宋_GB2312"/>
          <w:sz w:val="28"/>
          <w:szCs w:val="28"/>
          <w:lang w:eastAsia="zh-CN"/>
        </w:rPr>
        <w:t>杂物</w:t>
      </w:r>
      <w:r>
        <w:rPr>
          <w:rFonts w:hint="eastAsia" w:ascii="仿宋_GB2312" w:hAnsi="仿宋_GB2312" w:eastAsia="仿宋_GB2312" w:cs="仿宋_GB2312"/>
          <w:sz w:val="28"/>
          <w:szCs w:val="28"/>
        </w:rPr>
        <w:t>并带动全乡村民积极做好自家环境卫生，严格落实“门前三包”责任制；其次对阿木乡境内环境卫生实行划片区网格化管理，每村划分为3个片区，每个片区由4名乡干部负责，不定期对片区内环境卫生进行清扫；最后定期组织乡干部、驻村工作队开展环境卫生集中整治，保证无历史遗留垃圾、无环境卫生死角；</w:t>
      </w:r>
      <w:r>
        <w:rPr>
          <w:rFonts w:hint="eastAsia" w:ascii="仿宋_GB2312" w:hAnsi="仿宋_GB2312" w:eastAsia="仿宋_GB2312" w:cs="仿宋_GB2312"/>
          <w:b/>
          <w:bCs/>
          <w:sz w:val="28"/>
          <w:szCs w:val="28"/>
        </w:rPr>
        <w:t>三是定期检查。</w:t>
      </w:r>
      <w:r>
        <w:rPr>
          <w:rFonts w:hint="eastAsia" w:ascii="仿宋_GB2312" w:hAnsi="仿宋_GB2312" w:eastAsia="仿宋_GB2312" w:cs="仿宋_GB2312"/>
          <w:sz w:val="28"/>
          <w:szCs w:val="28"/>
        </w:rPr>
        <w:t>每周一、周三、周五由乡干部、驻村工作队以及民兵对环境</w:t>
      </w:r>
      <w:r>
        <w:rPr>
          <w:rFonts w:hint="eastAsia" w:ascii="仿宋_GB2312" w:hAnsi="仿宋_GB2312" w:eastAsia="仿宋_GB2312" w:cs="仿宋_GB2312"/>
          <w:sz w:val="28"/>
          <w:szCs w:val="28"/>
          <w:lang w:eastAsia="zh-CN"/>
        </w:rPr>
        <w:t>卫生</w:t>
      </w:r>
      <w:r>
        <w:rPr>
          <w:rFonts w:hint="eastAsia" w:ascii="仿宋_GB2312" w:hAnsi="仿宋_GB2312" w:eastAsia="仿宋_GB2312" w:cs="仿宋_GB2312"/>
          <w:sz w:val="28"/>
          <w:szCs w:val="28"/>
        </w:rPr>
        <w:t>进行巡逻检查；每天下午7点各片区负责人定期对片区内环境卫生进行检查；</w:t>
      </w:r>
      <w:r>
        <w:rPr>
          <w:rFonts w:hint="eastAsia" w:ascii="仿宋_GB2312" w:hAnsi="仿宋_GB2312" w:eastAsia="仿宋_GB2312" w:cs="仿宋_GB2312"/>
          <w:b/>
          <w:bCs/>
          <w:sz w:val="28"/>
          <w:szCs w:val="28"/>
        </w:rPr>
        <w:t>四是强化整治。</w:t>
      </w:r>
      <w:r>
        <w:rPr>
          <w:rFonts w:hint="eastAsia" w:ascii="仿宋_GB2312" w:hAnsi="仿宋_GB2312" w:eastAsia="仿宋_GB2312" w:cs="仿宋_GB2312"/>
          <w:sz w:val="28"/>
          <w:szCs w:val="28"/>
        </w:rPr>
        <w:t>对每次督查发现的环境卫生问题当场发现，当场处理，确保全域无垃圾，全乡24小时干净整洁；</w:t>
      </w:r>
      <w:r>
        <w:rPr>
          <w:rFonts w:hint="eastAsia" w:ascii="仿宋_GB2312" w:hAnsi="仿宋_GB2312" w:eastAsia="仿宋_GB2312" w:cs="仿宋_GB2312"/>
          <w:b/>
          <w:bCs/>
          <w:sz w:val="28"/>
          <w:szCs w:val="28"/>
        </w:rPr>
        <w:t>五是及时通报。</w:t>
      </w:r>
      <w:r>
        <w:rPr>
          <w:rFonts w:hint="eastAsia" w:ascii="仿宋_GB2312" w:hAnsi="仿宋_GB2312" w:eastAsia="仿宋_GB2312" w:cs="仿宋_GB2312"/>
          <w:sz w:val="28"/>
          <w:szCs w:val="28"/>
        </w:rPr>
        <w:t>定期对牧户环境卫生情况进行通报，对家庭环境卫生较好的进行表扬，环境较差的进行通报批评。鼓励牧户积极向表现较好的家庭学习，相互学习，相互监督，相互激励。</w:t>
      </w:r>
    </w:p>
    <w:p>
      <w:p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八、自身建设</w:t>
      </w:r>
    </w:p>
    <w:p>
      <w:pPr>
        <w:pStyle w:val="13"/>
        <w:spacing w:before="0" w:beforeAutospacing="0" w:after="0" w:afterAutospacing="0" w:line="576" w:lineRule="exact"/>
        <w:ind w:firstLine="640" w:firstLineChars="200"/>
        <w:rPr>
          <w:rFonts w:ascii="仿宋_GB2312" w:hAnsi="仿宋" w:eastAsia="仿宋_GB2312"/>
          <w:sz w:val="32"/>
          <w:szCs w:val="32"/>
        </w:rPr>
      </w:pPr>
      <w:r>
        <w:rPr>
          <w:rFonts w:hint="eastAsia" w:ascii="仿宋_GB2312" w:hAnsi="仿宋_GB2312" w:eastAsia="仿宋_GB2312" w:cs="仿宋_GB2312"/>
          <w:bCs/>
          <w:sz w:val="32"/>
          <w:szCs w:val="32"/>
          <w:shd w:val="clear" w:color="auto" w:fill="FFFFFF"/>
        </w:rPr>
        <w:t>乡政府高度重视党风廉政建设工作，将阿木乡党风廉政建设工作纳入重要议程，严格执行财政纪律，工作纪律，生活纪律，并与所有领导班子成员签订党风廉政建设责任书，乡政府自身建设不断加强，机关管理制度日趋完善。针对干部队伍存在的问题，我乡在梳理和整合有关规章制度的基础上，出台了《阿木乡干部精细化管理实施方案》，自四月实施以来，各项考核办法认真落实。</w:t>
      </w:r>
    </w:p>
    <w:p>
      <w:pPr>
        <w:pStyle w:val="3"/>
        <w:ind w:firstLine="640" w:firstLineChars="200"/>
        <w:rPr>
          <w:rStyle w:val="27"/>
          <w:rFonts w:hint="eastAsia" w:ascii="黑体" w:hAnsi="黑体" w:eastAsia="黑体"/>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0"/>
      <w:bookmarkEnd w:id="21"/>
    </w:p>
    <w:p>
      <w:pPr>
        <w:pStyle w:val="3"/>
        <w:ind w:firstLine="640" w:firstLineChars="200"/>
        <w:rPr>
          <w:rFonts w:ascii="黑体" w:hAnsi="黑体" w:eastAsia="黑体"/>
          <w:b w:val="0"/>
          <w:bCs w:val="0"/>
        </w:rPr>
      </w:pPr>
      <w:r>
        <w:rPr>
          <w:rFonts w:hint="eastAsia" w:ascii="仿宋_GB2312" w:hAnsi="仿宋" w:eastAsia="仿宋_GB2312"/>
          <w:b w:val="0"/>
        </w:rPr>
        <w:t>阿木乡人民政府下属二级单位0个，其中行政单位0个，参照公务员法管理的事业单位</w:t>
      </w:r>
      <w:r>
        <w:rPr>
          <w:rFonts w:hint="eastAsia" w:ascii="仿宋_GB2312" w:hAnsi="仿宋" w:eastAsia="仿宋_GB2312"/>
          <w:b w:val="0"/>
          <w:bCs w:val="0"/>
        </w:rPr>
        <w:t>0</w:t>
      </w:r>
      <w:r>
        <w:rPr>
          <w:rFonts w:hint="eastAsia" w:ascii="仿宋_GB2312" w:hAnsi="仿宋" w:eastAsia="仿宋_GB2312"/>
          <w:b w:val="0"/>
        </w:rPr>
        <w:t>个，其他事业单位0个。</w:t>
      </w:r>
    </w:p>
    <w:p>
      <w:pPr>
        <w:snapToGrid w:val="0"/>
        <w:spacing w:line="520" w:lineRule="exact"/>
        <w:ind w:firstLine="640" w:firstLineChars="200"/>
        <w:rPr>
          <w:rFonts w:ascii="仿宋_GB2312" w:hAnsi="仿宋" w:eastAsia="仿宋_GB2312"/>
          <w:sz w:val="32"/>
          <w:szCs w:val="32"/>
        </w:rPr>
      </w:pPr>
      <w:bookmarkStart w:id="22" w:name="_Toc15378448"/>
      <w:bookmarkStart w:id="23" w:name="_Toc15377432"/>
      <w:bookmarkStart w:id="24" w:name="_Toc15377201"/>
      <w:bookmarkStart w:id="25" w:name="_Toc15306275"/>
      <w:r>
        <w:rPr>
          <w:rFonts w:hint="eastAsia" w:ascii="仿宋_GB2312" w:hAnsi="仿宋_GB2312" w:eastAsia="仿宋_GB2312" w:cs="仿宋_GB2312"/>
          <w:bCs/>
          <w:sz w:val="32"/>
          <w:szCs w:val="32"/>
        </w:rPr>
        <w:t>我单位为独立核算全额拨款行政单位，2个机构，一个共产党机关，一个政府机关。</w:t>
      </w:r>
      <w:bookmarkEnd w:id="22"/>
      <w:bookmarkEnd w:id="23"/>
      <w:bookmarkEnd w:id="24"/>
      <w:bookmarkEnd w:id="25"/>
    </w:p>
    <w:p>
      <w:pPr>
        <w:pStyle w:val="2"/>
        <w:ind w:right="440"/>
        <w:jc w:val="right"/>
        <w:rPr>
          <w:rStyle w:val="26"/>
          <w:rFonts w:ascii="黑体" w:hAnsi="黑体" w:eastAsia="黑体"/>
          <w:b w:val="0"/>
          <w:bCs w:val="0"/>
        </w:rPr>
      </w:pPr>
      <w:bookmarkStart w:id="26" w:name="_Toc15377204"/>
      <w:bookmarkStart w:id="27"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2018年度部门决算情况说明</w:t>
      </w:r>
      <w:bookmarkEnd w:id="26"/>
      <w:bookmarkEnd w:id="27"/>
    </w:p>
    <w:p/>
    <w:p>
      <w:pPr>
        <w:pStyle w:val="25"/>
        <w:numPr>
          <w:ilvl w:val="0"/>
          <w:numId w:val="4"/>
        </w:numPr>
        <w:spacing w:line="600" w:lineRule="exact"/>
        <w:ind w:firstLineChars="0"/>
        <w:outlineLvl w:val="1"/>
        <w:rPr>
          <w:rStyle w:val="27"/>
          <w:rFonts w:ascii="黑体" w:hAnsi="黑体" w:eastAsia="黑体"/>
          <w:b w:val="0"/>
        </w:rPr>
      </w:pPr>
      <w:bookmarkStart w:id="28" w:name="_Toc15396603"/>
      <w:bookmarkStart w:id="29" w:name="_Toc15377205"/>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8"/>
      <w:bookmarkEnd w:id="29"/>
    </w:p>
    <w:p>
      <w:pPr>
        <w:spacing w:line="600" w:lineRule="exact"/>
        <w:ind w:firstLine="640" w:firstLineChars="200"/>
        <w:rPr>
          <w:rFonts w:ascii="仿宋" w:hAnsi="仿宋" w:eastAsia="仿宋"/>
          <w:color w:val="auto"/>
          <w:sz w:val="32"/>
          <w:szCs w:val="32"/>
        </w:rPr>
      </w:pPr>
      <w:r>
        <w:rPr>
          <w:rFonts w:hint="eastAsia" w:ascii="仿宋" w:hAnsi="仿宋" w:eastAsia="仿宋"/>
          <w:color w:val="000000"/>
          <w:sz w:val="32"/>
          <w:szCs w:val="32"/>
        </w:rPr>
        <w:t>2018年度</w:t>
      </w:r>
      <w:r>
        <w:rPr>
          <w:rFonts w:hint="eastAsia" w:ascii="仿宋" w:hAnsi="仿宋" w:eastAsia="仿宋"/>
          <w:color w:val="auto"/>
          <w:sz w:val="32"/>
          <w:szCs w:val="32"/>
        </w:rPr>
        <w:t>收</w:t>
      </w:r>
      <w:r>
        <w:rPr>
          <w:rFonts w:hint="eastAsia" w:ascii="仿宋" w:hAnsi="仿宋" w:eastAsia="仿宋"/>
          <w:color w:val="auto"/>
          <w:sz w:val="32"/>
          <w:szCs w:val="32"/>
          <w:lang w:eastAsia="zh-CN"/>
        </w:rPr>
        <w:t>入</w:t>
      </w:r>
      <w:r>
        <w:rPr>
          <w:rFonts w:hint="eastAsia" w:ascii="仿宋" w:hAnsi="仿宋" w:eastAsia="仿宋"/>
          <w:color w:val="auto"/>
          <w:sz w:val="32"/>
          <w:szCs w:val="32"/>
          <w:lang w:val="en-US" w:eastAsia="zh-CN"/>
        </w:rPr>
        <w:t>850.91</w:t>
      </w:r>
      <w:r>
        <w:rPr>
          <w:rFonts w:hint="eastAsia" w:ascii="仿宋" w:hAnsi="仿宋" w:eastAsia="仿宋"/>
          <w:color w:val="auto"/>
          <w:sz w:val="32"/>
          <w:szCs w:val="32"/>
          <w:lang w:eastAsia="zh-CN"/>
        </w:rPr>
        <w:t>万元，支出</w:t>
      </w:r>
      <w:r>
        <w:rPr>
          <w:rFonts w:hint="eastAsia" w:ascii="仿宋" w:hAnsi="仿宋" w:eastAsia="仿宋"/>
          <w:color w:val="auto"/>
          <w:sz w:val="32"/>
          <w:szCs w:val="32"/>
          <w:lang w:val="en-US" w:eastAsia="zh-CN"/>
        </w:rPr>
        <w:t>868.93</w:t>
      </w:r>
      <w:r>
        <w:rPr>
          <w:rFonts w:hint="eastAsia" w:ascii="仿宋" w:hAnsi="仿宋" w:eastAsia="仿宋"/>
          <w:color w:val="auto"/>
          <w:sz w:val="32"/>
          <w:szCs w:val="32"/>
        </w:rPr>
        <w:t>万元。与2017年相比，收、支总计各增加105.01、78.11万元，分别增长14.08</w:t>
      </w:r>
      <w:r>
        <w:rPr>
          <w:rFonts w:ascii="仿宋" w:hAnsi="仿宋" w:eastAsia="仿宋"/>
          <w:color w:val="auto"/>
          <w:sz w:val="32"/>
          <w:szCs w:val="32"/>
        </w:rPr>
        <w:t>%</w:t>
      </w:r>
      <w:r>
        <w:rPr>
          <w:rFonts w:hint="eastAsia" w:ascii="仿宋" w:hAnsi="仿宋" w:eastAsia="仿宋"/>
          <w:color w:val="auto"/>
          <w:sz w:val="32"/>
          <w:szCs w:val="32"/>
        </w:rPr>
        <w:t>、9.88%。主要变动原因是2018年度工资上调，人员经费增加。</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spacing w:line="60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drawing>
          <wp:anchor distT="0" distB="0" distL="114300" distR="114300" simplePos="0" relativeHeight="251659264" behindDoc="0" locked="0" layoutInCell="1" allowOverlap="1">
            <wp:simplePos x="0" y="0"/>
            <wp:positionH relativeFrom="column">
              <wp:posOffset>95250</wp:posOffset>
            </wp:positionH>
            <wp:positionV relativeFrom="paragraph">
              <wp:posOffset>180340</wp:posOffset>
            </wp:positionV>
            <wp:extent cx="3352800" cy="1676400"/>
            <wp:effectExtent l="19050" t="0" r="19050" b="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left="640"/>
        <w:outlineLvl w:val="1"/>
        <w:rPr>
          <w:rFonts w:hint="eastAsia" w:ascii="黑体" w:hAnsi="黑体" w:eastAsia="黑体" w:cstheme="majorBidi"/>
          <w:bCs/>
          <w:sz w:val="32"/>
          <w:szCs w:val="32"/>
        </w:rPr>
      </w:pPr>
      <w:bookmarkStart w:id="30" w:name="_Toc15396604"/>
      <w:bookmarkStart w:id="31" w:name="_Toc15377206"/>
    </w:p>
    <w:p>
      <w:pPr>
        <w:pStyle w:val="25"/>
        <w:numPr>
          <w:ilvl w:val="0"/>
          <w:numId w:val="4"/>
        </w:numPr>
        <w:spacing w:line="600" w:lineRule="exact"/>
        <w:ind w:firstLineChars="0"/>
        <w:outlineLvl w:val="1"/>
        <w:rPr>
          <w:rStyle w:val="27"/>
          <w:rFonts w:ascii="黑体" w:hAnsi="黑体" w:eastAsia="黑体"/>
          <w:b w:val="0"/>
        </w:rPr>
      </w:pPr>
      <w:r>
        <w:rPr>
          <w:rFonts w:hint="eastAsia" w:ascii="黑体" w:hAnsi="黑体" w:eastAsia="黑体"/>
          <w:color w:val="000000"/>
          <w:sz w:val="32"/>
          <w:szCs w:val="32"/>
        </w:rPr>
        <w:t>收</w:t>
      </w:r>
      <w:r>
        <w:rPr>
          <w:rStyle w:val="27"/>
          <w:rFonts w:hint="eastAsia" w:ascii="黑体" w:hAnsi="黑体" w:eastAsia="黑体"/>
          <w:b w:val="0"/>
        </w:rPr>
        <w:t>入决算情况说明</w:t>
      </w:r>
      <w:bookmarkEnd w:id="30"/>
      <w:bookmarkEnd w:id="31"/>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8年本年收入合计850.9万元，其中：一般公共预算财政拨款收入850.77万元，占99.98</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；其他收入0.13万元，占0.02</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60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drawing>
          <wp:anchor distT="0" distB="0" distL="114300" distR="114300" simplePos="0" relativeHeight="251660288" behindDoc="0" locked="0" layoutInCell="1" allowOverlap="1">
            <wp:simplePos x="0" y="0"/>
            <wp:positionH relativeFrom="column">
              <wp:posOffset>476250</wp:posOffset>
            </wp:positionH>
            <wp:positionV relativeFrom="paragraph">
              <wp:posOffset>276225</wp:posOffset>
            </wp:positionV>
            <wp:extent cx="3743325" cy="2552700"/>
            <wp:effectExtent l="19050" t="0" r="9525" b="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_GB2312" w:eastAsia="仿宋_GB2312"/>
          <w:color w:val="FF0000"/>
          <w:sz w:val="32"/>
          <w:szCs w:val="32"/>
        </w:rPr>
      </w:pPr>
    </w:p>
    <w:p>
      <w:pPr>
        <w:pStyle w:val="25"/>
        <w:numPr>
          <w:ilvl w:val="0"/>
          <w:numId w:val="4"/>
        </w:numPr>
        <w:spacing w:line="600" w:lineRule="exact"/>
        <w:ind w:firstLineChars="0"/>
        <w:outlineLvl w:val="1"/>
        <w:rPr>
          <w:rStyle w:val="27"/>
          <w:rFonts w:ascii="黑体" w:hAnsi="黑体" w:eastAsia="黑体"/>
          <w:b w:val="0"/>
        </w:rPr>
      </w:pPr>
      <w:bookmarkStart w:id="32" w:name="_Toc15396605"/>
      <w:bookmarkStart w:id="33" w:name="_Toc15377207"/>
      <w:r>
        <w:rPr>
          <w:rFonts w:hint="eastAsia" w:ascii="黑体" w:hAnsi="黑体" w:eastAsia="黑体"/>
          <w:color w:val="000000"/>
          <w:sz w:val="32"/>
          <w:szCs w:val="32"/>
        </w:rPr>
        <w:t>支</w:t>
      </w:r>
      <w:r>
        <w:rPr>
          <w:rStyle w:val="27"/>
          <w:rFonts w:hint="eastAsia" w:ascii="黑体" w:hAnsi="黑体" w:eastAsia="黑体"/>
          <w:b w:val="0"/>
        </w:rPr>
        <w:t>出决算情况说明</w:t>
      </w:r>
      <w:bookmarkEnd w:id="32"/>
      <w:bookmarkEnd w:id="3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8年本年支出合计868.92万元，其中：基本支出517.72万元，占59.58</w:t>
      </w:r>
      <w:r>
        <w:rPr>
          <w:rFonts w:ascii="仿宋" w:hAnsi="仿宋" w:eastAsia="仿宋"/>
          <w:color w:val="000000"/>
          <w:sz w:val="32"/>
          <w:szCs w:val="32"/>
        </w:rPr>
        <w:t>%</w:t>
      </w:r>
      <w:r>
        <w:rPr>
          <w:rFonts w:hint="eastAsia" w:ascii="仿宋" w:hAnsi="仿宋" w:eastAsia="仿宋"/>
          <w:color w:val="000000"/>
          <w:sz w:val="32"/>
          <w:szCs w:val="32"/>
        </w:rPr>
        <w:t>；项目支出351.19万元，占40.42</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1312" behindDoc="1" locked="0" layoutInCell="1" allowOverlap="1">
            <wp:simplePos x="0" y="0"/>
            <wp:positionH relativeFrom="column">
              <wp:posOffset>85725</wp:posOffset>
            </wp:positionH>
            <wp:positionV relativeFrom="paragraph">
              <wp:posOffset>323215</wp:posOffset>
            </wp:positionV>
            <wp:extent cx="3781425" cy="2638425"/>
            <wp:effectExtent l="19050" t="0" r="9525" b="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outlineLvl w:val="1"/>
        <w:rPr>
          <w:rStyle w:val="27"/>
          <w:rFonts w:ascii="黑体" w:hAnsi="黑体" w:eastAsia="黑体"/>
          <w:b w:val="0"/>
        </w:rPr>
      </w:pPr>
      <w:bookmarkStart w:id="34" w:name="_Toc15377208"/>
      <w:bookmarkStart w:id="35" w:name="_Toc15396606"/>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4"/>
      <w:bookmarkEnd w:id="35"/>
    </w:p>
    <w:p>
      <w:pPr>
        <w:spacing w:line="600" w:lineRule="exact"/>
        <w:ind w:firstLine="640" w:firstLineChars="200"/>
        <w:rPr>
          <w:rFonts w:ascii="仿宋" w:hAnsi="仿宋" w:eastAsia="仿宋"/>
          <w:color w:val="auto"/>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w:t>
      </w:r>
      <w:r>
        <w:rPr>
          <w:rFonts w:hint="eastAsia" w:ascii="仿宋" w:hAnsi="仿宋" w:eastAsia="仿宋"/>
          <w:color w:val="auto"/>
          <w:sz w:val="32"/>
          <w:szCs w:val="32"/>
        </w:rPr>
        <w:t>拨款收</w:t>
      </w:r>
      <w:r>
        <w:rPr>
          <w:rFonts w:hint="eastAsia" w:ascii="仿宋" w:hAnsi="仿宋" w:eastAsia="仿宋"/>
          <w:color w:val="auto"/>
          <w:sz w:val="32"/>
          <w:szCs w:val="32"/>
          <w:lang w:eastAsia="zh-CN"/>
        </w:rPr>
        <w:t>入</w:t>
      </w:r>
      <w:r>
        <w:rPr>
          <w:rFonts w:hint="eastAsia" w:ascii="仿宋" w:hAnsi="仿宋" w:eastAsia="仿宋"/>
          <w:color w:val="auto"/>
          <w:sz w:val="32"/>
          <w:szCs w:val="32"/>
          <w:lang w:val="en-US" w:eastAsia="zh-CN"/>
        </w:rPr>
        <w:t>850.91</w:t>
      </w:r>
      <w:r>
        <w:rPr>
          <w:rFonts w:hint="eastAsia" w:ascii="仿宋" w:hAnsi="仿宋" w:eastAsia="仿宋"/>
          <w:color w:val="auto"/>
          <w:sz w:val="32"/>
          <w:szCs w:val="32"/>
          <w:lang w:eastAsia="zh-CN"/>
        </w:rPr>
        <w:t>万元，支出</w:t>
      </w:r>
      <w:r>
        <w:rPr>
          <w:rFonts w:hint="eastAsia" w:ascii="仿宋" w:hAnsi="仿宋" w:eastAsia="仿宋"/>
          <w:color w:val="auto"/>
          <w:sz w:val="32"/>
          <w:szCs w:val="32"/>
          <w:lang w:val="en-US" w:eastAsia="zh-CN"/>
        </w:rPr>
        <w:t>868.93</w:t>
      </w:r>
      <w:r>
        <w:rPr>
          <w:rFonts w:hint="eastAsia" w:ascii="仿宋" w:hAnsi="仿宋" w:eastAsia="仿宋"/>
          <w:color w:val="auto"/>
          <w:sz w:val="32"/>
          <w:szCs w:val="32"/>
        </w:rPr>
        <w:t>万元。与2017年相比，收、支总计各增加105.01、78.11万元，分别增长14.08</w:t>
      </w:r>
      <w:r>
        <w:rPr>
          <w:rFonts w:ascii="仿宋" w:hAnsi="仿宋" w:eastAsia="仿宋"/>
          <w:color w:val="auto"/>
          <w:sz w:val="32"/>
          <w:szCs w:val="32"/>
        </w:rPr>
        <w:t>%</w:t>
      </w:r>
      <w:r>
        <w:rPr>
          <w:rFonts w:hint="eastAsia" w:ascii="仿宋" w:hAnsi="仿宋" w:eastAsia="仿宋"/>
          <w:color w:val="auto"/>
          <w:sz w:val="32"/>
          <w:szCs w:val="32"/>
        </w:rPr>
        <w:t>、9.88%。主要变动原因是2018年度工资上调，人员经费增加。</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2336" behindDoc="1" locked="0" layoutInCell="1" allowOverlap="1">
            <wp:simplePos x="0" y="0"/>
            <wp:positionH relativeFrom="column">
              <wp:posOffset>209550</wp:posOffset>
            </wp:positionH>
            <wp:positionV relativeFrom="paragraph">
              <wp:posOffset>76200</wp:posOffset>
            </wp:positionV>
            <wp:extent cx="4105275" cy="2571750"/>
            <wp:effectExtent l="19050" t="0" r="9525" b="0"/>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outlineLvl w:val="1"/>
        <w:rPr>
          <w:rStyle w:val="27"/>
          <w:rFonts w:ascii="黑体" w:hAnsi="黑体" w:eastAsia="黑体"/>
          <w:b w:val="0"/>
        </w:rPr>
      </w:pPr>
      <w:bookmarkStart w:id="36" w:name="_Toc15396607"/>
      <w:bookmarkStart w:id="37"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6"/>
      <w:bookmarkEnd w:id="37"/>
    </w:p>
    <w:p>
      <w:pPr>
        <w:spacing w:line="600" w:lineRule="exact"/>
        <w:ind w:firstLine="643" w:firstLineChars="200"/>
        <w:outlineLvl w:val="2"/>
        <w:rPr>
          <w:rFonts w:ascii="仿宋" w:hAnsi="仿宋" w:eastAsia="仿宋"/>
          <w:b/>
          <w:color w:val="000000"/>
          <w:sz w:val="32"/>
          <w:szCs w:val="32"/>
        </w:rPr>
      </w:pPr>
      <w:bookmarkStart w:id="38" w:name="_Toc15377210"/>
      <w:r>
        <w:rPr>
          <w:rFonts w:hint="eastAsia" w:ascii="仿宋" w:hAnsi="仿宋" w:eastAsia="仿宋"/>
          <w:b/>
          <w:color w:val="000000"/>
          <w:sz w:val="32"/>
          <w:szCs w:val="32"/>
        </w:rPr>
        <w:t>（一）一般公共预算财政拨款支出决算总体情况</w:t>
      </w:r>
      <w:bookmarkEnd w:id="3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8年一般公共预算财政拨款支出868.92万元，占本年支出合计的100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7年相比，一般公共预算财政拨款增加97.16万元，增长12.59</w:t>
      </w:r>
      <w:r>
        <w:rPr>
          <w:rFonts w:ascii="仿宋" w:hAnsi="仿宋" w:eastAsia="仿宋"/>
          <w:color w:val="000000"/>
          <w:sz w:val="32"/>
          <w:szCs w:val="32"/>
        </w:rPr>
        <w:t>%</w:t>
      </w:r>
      <w:r>
        <w:rPr>
          <w:rFonts w:hint="eastAsia" w:ascii="仿宋" w:hAnsi="仿宋" w:eastAsia="仿宋"/>
          <w:color w:val="000000"/>
          <w:sz w:val="32"/>
          <w:szCs w:val="32"/>
        </w:rPr>
        <w:t>。主要变动原因是2018年度工资、津贴补贴上调，经费增加。</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3360" behindDoc="1" locked="0" layoutInCell="1" allowOverlap="1">
            <wp:simplePos x="0" y="0"/>
            <wp:positionH relativeFrom="column">
              <wp:posOffset>427990</wp:posOffset>
            </wp:positionH>
            <wp:positionV relativeFrom="paragraph">
              <wp:posOffset>-38100</wp:posOffset>
            </wp:positionV>
            <wp:extent cx="4314825" cy="2400300"/>
            <wp:effectExtent l="19050" t="0" r="9525" b="0"/>
            <wp:wrapNone/>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3" w:firstLineChars="200"/>
        <w:outlineLvl w:val="2"/>
        <w:rPr>
          <w:rFonts w:hint="eastAsia" w:ascii="仿宋" w:hAnsi="仿宋" w:eastAsia="仿宋"/>
          <w:b/>
          <w:color w:val="000000"/>
          <w:sz w:val="32"/>
          <w:szCs w:val="32"/>
        </w:rPr>
      </w:pPr>
      <w:bookmarkStart w:id="39" w:name="_Toc15377211"/>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9"/>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rPr>
        <w:t>政拨款支出868.92万元，主要用于以下方面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支出407.81万元，占46.93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教育支出（类）</w:t>
      </w:r>
      <w:r>
        <w:rPr>
          <w:rFonts w:hint="eastAsia" w:ascii="仿宋" w:hAnsi="仿宋" w:eastAsia="仿宋"/>
          <w:color w:val="000000" w:themeColor="text1"/>
          <w:sz w:val="32"/>
          <w:szCs w:val="32"/>
        </w:rPr>
        <w:t>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科学技术（类）</w:t>
      </w:r>
      <w:r>
        <w:rPr>
          <w:rFonts w:hint="eastAsia" w:ascii="仿宋" w:hAnsi="仿宋" w:eastAsia="仿宋"/>
          <w:color w:val="000000" w:themeColor="text1"/>
          <w:sz w:val="32"/>
          <w:szCs w:val="32"/>
        </w:rPr>
        <w:t>支出0万元，占0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支出96.40万元，占11.09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城乡社区支出类</w:t>
      </w:r>
      <w:r>
        <w:rPr>
          <w:rFonts w:hint="eastAsia" w:ascii="仿宋" w:hAnsi="仿宋" w:eastAsia="仿宋"/>
          <w:color w:val="000000" w:themeColor="text1"/>
          <w:sz w:val="32"/>
          <w:szCs w:val="32"/>
        </w:rPr>
        <w:t>70.63万元，占8.13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农林水类</w:t>
      </w:r>
      <w:r>
        <w:rPr>
          <w:rFonts w:hint="eastAsia" w:ascii="仿宋" w:hAnsi="仿宋" w:eastAsia="仿宋"/>
          <w:color w:val="000000" w:themeColor="text1"/>
          <w:sz w:val="32"/>
          <w:szCs w:val="32"/>
        </w:rPr>
        <w:t>支出147.93万元，占17.02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交通运输类</w:t>
      </w:r>
      <w:r>
        <w:rPr>
          <w:rFonts w:hint="eastAsia" w:ascii="仿宋" w:hAnsi="仿宋" w:eastAsia="仿宋"/>
          <w:color w:val="000000" w:themeColor="text1"/>
          <w:sz w:val="32"/>
          <w:szCs w:val="32"/>
        </w:rPr>
        <w:t>支出91.91万元，占10.58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医疗卫生类</w:t>
      </w:r>
      <w:r>
        <w:rPr>
          <w:rFonts w:hint="eastAsia" w:ascii="仿宋" w:hAnsi="仿宋" w:eastAsia="仿宋"/>
          <w:color w:val="000000" w:themeColor="text1"/>
          <w:sz w:val="32"/>
          <w:szCs w:val="32"/>
        </w:rPr>
        <w:t>支出20.28万元，占2.33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住房保障类</w:t>
      </w:r>
      <w:r>
        <w:rPr>
          <w:rFonts w:hint="eastAsia" w:ascii="仿宋" w:hAnsi="仿宋" w:eastAsia="仿宋"/>
          <w:color w:val="000000" w:themeColor="text1"/>
          <w:sz w:val="32"/>
          <w:szCs w:val="32"/>
        </w:rPr>
        <w:t>支出33.97万元，占3.91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4384" behindDoc="1" locked="0" layoutInCell="1" allowOverlap="1">
            <wp:simplePos x="0" y="0"/>
            <wp:positionH relativeFrom="column">
              <wp:posOffset>638175</wp:posOffset>
            </wp:positionH>
            <wp:positionV relativeFrom="paragraph">
              <wp:posOffset>609600</wp:posOffset>
            </wp:positionV>
            <wp:extent cx="3676650" cy="2552700"/>
            <wp:effectExtent l="19050" t="0" r="19050" b="0"/>
            <wp:wrapNone/>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40" w:name="_Toc15377212"/>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0"/>
    </w:p>
    <w:p>
      <w:pPr>
        <w:spacing w:line="600" w:lineRule="exact"/>
        <w:ind w:firstLine="643" w:firstLineChars="200"/>
        <w:outlineLvl w:val="2"/>
        <w:rPr>
          <w:rFonts w:ascii="仿宋" w:hAnsi="仿宋" w:eastAsia="仿宋"/>
          <w:color w:val="FF0000"/>
          <w:sz w:val="32"/>
          <w:szCs w:val="32"/>
        </w:rPr>
      </w:pPr>
      <w:bookmarkStart w:id="41" w:name="_Toc15377213"/>
      <w:bookmarkStart w:id="42" w:name="_Toc15377444"/>
      <w:bookmarkStart w:id="43" w:name="_Toc15378460"/>
      <w:r>
        <w:rPr>
          <w:rFonts w:hint="eastAsia" w:ascii="仿宋" w:hAnsi="仿宋" w:eastAsia="仿宋"/>
          <w:b/>
          <w:color w:val="000000" w:themeColor="text1"/>
          <w:sz w:val="32"/>
          <w:szCs w:val="32"/>
        </w:rPr>
        <w:t>2018年一般公共预算支出决算数为868.92万元</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41"/>
      <w:bookmarkEnd w:id="42"/>
      <w:bookmarkEnd w:id="43"/>
    </w:p>
    <w:p>
      <w:pPr>
        <w:spacing w:line="600" w:lineRule="exact"/>
        <w:ind w:firstLine="643" w:firstLineChars="200"/>
        <w:rPr>
          <w:rFonts w:ascii="仿宋" w:hAnsi="仿宋" w:eastAsia="仿宋"/>
          <w:b/>
          <w:color w:val="00B0F0"/>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一般公共服务</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B0F0"/>
          <w:sz w:val="32"/>
          <w:szCs w:val="32"/>
        </w:rPr>
        <w:t>2010101行政运行支出13.34万元，完成预算100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lang w:eastAsia="zh-CN"/>
        </w:rPr>
        <w:t>。</w:t>
      </w:r>
      <w:r>
        <w:rPr>
          <w:rStyle w:val="16"/>
          <w:rFonts w:hint="eastAsia" w:ascii="仿宋" w:hAnsi="仿宋" w:eastAsia="仿宋"/>
          <w:b w:val="0"/>
          <w:bCs/>
          <w:color w:val="00B0F0"/>
          <w:sz w:val="32"/>
          <w:szCs w:val="32"/>
        </w:rPr>
        <w:t>2010108代表工作2万元，完成预算100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lang w:eastAsia="zh-CN"/>
        </w:rPr>
        <w:t>。</w:t>
      </w:r>
      <w:r>
        <w:rPr>
          <w:rStyle w:val="16"/>
          <w:rFonts w:hint="eastAsia" w:ascii="仿宋" w:hAnsi="仿宋" w:eastAsia="仿宋"/>
          <w:b w:val="0"/>
          <w:bCs/>
          <w:color w:val="00B0F0"/>
          <w:sz w:val="32"/>
          <w:szCs w:val="32"/>
        </w:rPr>
        <w:t>2010301行政运行325.64万元，完成预算100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lang w:eastAsia="zh-CN"/>
        </w:rPr>
        <w:t>。</w:t>
      </w:r>
      <w:r>
        <w:rPr>
          <w:rStyle w:val="16"/>
          <w:rFonts w:hint="eastAsia" w:ascii="仿宋" w:hAnsi="仿宋" w:eastAsia="仿宋"/>
          <w:b w:val="0"/>
          <w:bCs/>
          <w:color w:val="00B0F0"/>
          <w:sz w:val="32"/>
          <w:szCs w:val="32"/>
        </w:rPr>
        <w:t>2010302一般行政管理事务1.66万元，完成预算100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lang w:eastAsia="zh-CN"/>
        </w:rPr>
        <w:t>。</w:t>
      </w:r>
      <w:r>
        <w:rPr>
          <w:rStyle w:val="16"/>
          <w:rFonts w:hint="eastAsia" w:ascii="仿宋" w:hAnsi="仿宋" w:eastAsia="仿宋"/>
          <w:b w:val="0"/>
          <w:bCs/>
          <w:color w:val="00B0F0"/>
          <w:sz w:val="32"/>
          <w:szCs w:val="32"/>
        </w:rPr>
        <w:t>2010601行政运行19.8万元，完成预算100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lang w:eastAsia="zh-CN"/>
        </w:rPr>
        <w:t>。</w:t>
      </w:r>
      <w:r>
        <w:rPr>
          <w:rStyle w:val="16"/>
          <w:rFonts w:hint="eastAsia" w:ascii="仿宋" w:hAnsi="仿宋" w:eastAsia="仿宋"/>
          <w:b w:val="0"/>
          <w:bCs/>
          <w:color w:val="00B0F0"/>
          <w:sz w:val="32"/>
          <w:szCs w:val="32"/>
        </w:rPr>
        <w:t>2013101行政运行45.38万元完成预算100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lang w:eastAsia="zh-CN"/>
        </w:rPr>
        <w:t>。</w:t>
      </w:r>
    </w:p>
    <w:p>
      <w:pPr>
        <w:spacing w:line="600" w:lineRule="exact"/>
        <w:ind w:firstLine="643" w:firstLineChars="200"/>
        <w:rPr>
          <w:rFonts w:ascii="仿宋" w:hAnsi="仿宋" w:eastAsia="仿宋"/>
          <w:b/>
          <w:color w:val="00B0F0"/>
          <w:sz w:val="32"/>
          <w:szCs w:val="32"/>
        </w:rPr>
      </w:pPr>
      <w:r>
        <w:rPr>
          <w:rStyle w:val="16"/>
          <w:rFonts w:hint="eastAsia" w:ascii="仿宋" w:hAnsi="仿宋" w:eastAsia="仿宋"/>
          <w:bCs/>
          <w:color w:val="00B0F0"/>
          <w:sz w:val="32"/>
          <w:szCs w:val="32"/>
          <w:lang w:val="en-US" w:eastAsia="zh-CN"/>
        </w:rPr>
        <w:t>2</w:t>
      </w:r>
      <w:r>
        <w:rPr>
          <w:rStyle w:val="16"/>
          <w:rFonts w:ascii="仿宋" w:hAnsi="仿宋" w:eastAsia="仿宋"/>
          <w:bCs/>
          <w:color w:val="00B0F0"/>
          <w:sz w:val="32"/>
          <w:szCs w:val="32"/>
        </w:rPr>
        <w:t>.</w:t>
      </w:r>
      <w:r>
        <w:rPr>
          <w:rStyle w:val="16"/>
          <w:rFonts w:hint="eastAsia" w:ascii="仿宋" w:hAnsi="仿宋" w:eastAsia="仿宋"/>
          <w:bCs/>
          <w:color w:val="00B0F0"/>
          <w:sz w:val="32"/>
          <w:szCs w:val="32"/>
        </w:rPr>
        <w:t>文化体育与传媒</w:t>
      </w:r>
      <w:r>
        <w:rPr>
          <w:rStyle w:val="16"/>
          <w:rFonts w:ascii="仿宋" w:hAnsi="仿宋" w:eastAsia="仿宋"/>
          <w:bCs/>
          <w:color w:val="00B0F0"/>
          <w:sz w:val="32"/>
          <w:szCs w:val="32"/>
        </w:rPr>
        <w:t>:</w:t>
      </w:r>
      <w:r>
        <w:rPr>
          <w:rStyle w:val="16"/>
          <w:rFonts w:hint="eastAsia" w:ascii="仿宋" w:hAnsi="仿宋" w:eastAsia="仿宋"/>
          <w:bCs/>
          <w:color w:val="00B0F0"/>
          <w:sz w:val="32"/>
          <w:szCs w:val="32"/>
        </w:rPr>
        <w:t xml:space="preserve"> </w:t>
      </w:r>
      <w:r>
        <w:rPr>
          <w:rStyle w:val="16"/>
          <w:rFonts w:hint="eastAsia" w:ascii="仿宋" w:hAnsi="仿宋" w:eastAsia="仿宋"/>
          <w:b w:val="0"/>
          <w:bCs/>
          <w:color w:val="00B0F0"/>
          <w:sz w:val="32"/>
          <w:szCs w:val="32"/>
        </w:rPr>
        <w:t>2070199</w:t>
      </w:r>
      <w:r>
        <w:rPr>
          <w:rStyle w:val="16"/>
          <w:rFonts w:ascii="仿宋" w:hAnsi="仿宋" w:eastAsia="仿宋"/>
          <w:b w:val="0"/>
          <w:bCs/>
          <w:color w:val="00B0F0"/>
          <w:sz w:val="32"/>
          <w:szCs w:val="32"/>
        </w:rPr>
        <w:t xml:space="preserve"> </w:t>
      </w:r>
      <w:r>
        <w:rPr>
          <w:rStyle w:val="16"/>
          <w:rFonts w:hint="eastAsia" w:ascii="仿宋" w:hAnsi="仿宋" w:eastAsia="仿宋"/>
          <w:b w:val="0"/>
          <w:bCs/>
          <w:color w:val="00B0F0"/>
          <w:sz w:val="32"/>
          <w:szCs w:val="32"/>
        </w:rPr>
        <w:t>支出决算为4.6万元，完成预算0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rPr>
        <w:t>，决算数小于预算数的主要原因是专项经费未</w:t>
      </w:r>
      <w:r>
        <w:rPr>
          <w:rStyle w:val="16"/>
          <w:rFonts w:hint="eastAsia" w:ascii="仿宋" w:hAnsi="仿宋" w:eastAsia="仿宋"/>
          <w:b w:val="0"/>
          <w:bCs/>
          <w:color w:val="00B0F0"/>
          <w:sz w:val="32"/>
          <w:szCs w:val="32"/>
          <w:lang w:eastAsia="zh-CN"/>
        </w:rPr>
        <w:t>使用</w:t>
      </w:r>
      <w:r>
        <w:rPr>
          <w:rStyle w:val="16"/>
          <w:rFonts w:hint="eastAsia" w:ascii="仿宋" w:hAnsi="仿宋" w:eastAsia="仿宋"/>
          <w:b w:val="0"/>
          <w:bCs/>
          <w:color w:val="00B0F0"/>
          <w:sz w:val="32"/>
          <w:szCs w:val="32"/>
        </w:rPr>
        <w:t>。</w:t>
      </w:r>
    </w:p>
    <w:p>
      <w:pPr>
        <w:spacing w:line="600" w:lineRule="exact"/>
        <w:ind w:firstLine="643" w:firstLineChars="200"/>
        <w:rPr>
          <w:rFonts w:ascii="仿宋" w:hAnsi="仿宋" w:eastAsia="仿宋"/>
          <w:b/>
          <w:color w:val="00B0F0"/>
          <w:sz w:val="32"/>
          <w:szCs w:val="32"/>
        </w:rPr>
      </w:pPr>
      <w:r>
        <w:rPr>
          <w:rStyle w:val="16"/>
          <w:rFonts w:hint="eastAsia" w:ascii="仿宋" w:hAnsi="仿宋" w:eastAsia="仿宋"/>
          <w:bCs/>
          <w:color w:val="00B0F0"/>
          <w:sz w:val="32"/>
          <w:szCs w:val="32"/>
          <w:lang w:val="en-US" w:eastAsia="zh-CN"/>
        </w:rPr>
        <w:t>3</w:t>
      </w:r>
      <w:r>
        <w:rPr>
          <w:rStyle w:val="16"/>
          <w:rFonts w:ascii="仿宋" w:hAnsi="仿宋" w:eastAsia="仿宋"/>
          <w:bCs/>
          <w:color w:val="00B0F0"/>
          <w:sz w:val="32"/>
          <w:szCs w:val="32"/>
        </w:rPr>
        <w:t>.</w:t>
      </w:r>
      <w:r>
        <w:rPr>
          <w:rStyle w:val="16"/>
          <w:rFonts w:hint="eastAsia" w:ascii="仿宋" w:hAnsi="仿宋" w:eastAsia="仿宋"/>
          <w:bCs/>
          <w:color w:val="00B0F0"/>
          <w:sz w:val="32"/>
          <w:szCs w:val="32"/>
        </w:rPr>
        <w:t>社会保障和就业</w:t>
      </w:r>
      <w:r>
        <w:rPr>
          <w:rStyle w:val="16"/>
          <w:rFonts w:ascii="仿宋" w:hAnsi="仿宋" w:eastAsia="仿宋"/>
          <w:bCs/>
          <w:color w:val="00B0F0"/>
          <w:sz w:val="32"/>
          <w:szCs w:val="32"/>
        </w:rPr>
        <w:t>:</w:t>
      </w:r>
      <w:r>
        <w:rPr>
          <w:rStyle w:val="16"/>
          <w:rFonts w:ascii="仿宋" w:hAnsi="仿宋" w:eastAsia="仿宋"/>
          <w:b w:val="0"/>
          <w:bCs/>
          <w:color w:val="00B0F0"/>
          <w:sz w:val="32"/>
          <w:szCs w:val="32"/>
        </w:rPr>
        <w:t xml:space="preserve"> </w:t>
      </w:r>
      <w:r>
        <w:rPr>
          <w:rStyle w:val="16"/>
          <w:rFonts w:hint="eastAsia" w:ascii="仿宋" w:hAnsi="仿宋" w:eastAsia="仿宋"/>
          <w:b w:val="0"/>
          <w:bCs/>
          <w:color w:val="00B0F0"/>
          <w:sz w:val="32"/>
          <w:szCs w:val="32"/>
        </w:rPr>
        <w:t>2080208基层政权和社区建设27.05万元，完成预算</w:t>
      </w:r>
      <w:r>
        <w:rPr>
          <w:rStyle w:val="16"/>
          <w:rFonts w:hint="eastAsia" w:ascii="仿宋" w:hAnsi="仿宋" w:eastAsia="仿宋"/>
          <w:b w:val="0"/>
          <w:bCs/>
          <w:color w:val="00B0F0"/>
          <w:sz w:val="32"/>
          <w:szCs w:val="32"/>
          <w:lang w:val="en-US" w:eastAsia="zh-CN"/>
        </w:rPr>
        <w:t>75</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lang w:val="en-US" w:eastAsia="zh-CN"/>
        </w:rPr>
        <w:t>.</w:t>
      </w:r>
      <w:r>
        <w:rPr>
          <w:rStyle w:val="16"/>
          <w:rFonts w:hint="eastAsia" w:ascii="仿宋" w:hAnsi="仿宋" w:eastAsia="仿宋"/>
          <w:b w:val="0"/>
          <w:bCs/>
          <w:color w:val="00B0F0"/>
          <w:sz w:val="32"/>
          <w:szCs w:val="32"/>
        </w:rPr>
        <w:t>决算数小于预算数的主要原因是部分项目质保金部分未到拨付期</w:t>
      </w:r>
      <w:r>
        <w:rPr>
          <w:rStyle w:val="16"/>
          <w:rFonts w:hint="eastAsia" w:ascii="仿宋" w:hAnsi="仿宋" w:eastAsia="仿宋"/>
          <w:b w:val="0"/>
          <w:bCs/>
          <w:color w:val="00B0F0"/>
          <w:sz w:val="32"/>
          <w:szCs w:val="32"/>
          <w:lang w:eastAsia="zh-CN"/>
        </w:rPr>
        <w:t>。</w:t>
      </w:r>
      <w:r>
        <w:rPr>
          <w:rStyle w:val="16"/>
          <w:rFonts w:hint="eastAsia" w:ascii="仿宋" w:hAnsi="仿宋" w:eastAsia="仿宋"/>
          <w:b w:val="0"/>
          <w:bCs/>
          <w:color w:val="00B0F0"/>
          <w:sz w:val="32"/>
          <w:szCs w:val="32"/>
        </w:rPr>
        <w:t>2080505机关事业单位基本养老保险缴费支出43.44万元，完成预算100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lang w:eastAsia="zh-CN"/>
        </w:rPr>
        <w:t>。</w:t>
      </w:r>
      <w:r>
        <w:rPr>
          <w:rStyle w:val="16"/>
          <w:rFonts w:hint="eastAsia" w:ascii="仿宋" w:hAnsi="仿宋" w:eastAsia="仿宋"/>
          <w:b w:val="0"/>
          <w:bCs/>
          <w:color w:val="00B0F0"/>
          <w:sz w:val="32"/>
          <w:szCs w:val="32"/>
        </w:rPr>
        <w:t>2080506机关事业单位职业年金缴费支出17.38万元，完成预算100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lang w:eastAsia="zh-CN"/>
        </w:rPr>
        <w:t>。</w:t>
      </w:r>
      <w:r>
        <w:rPr>
          <w:rStyle w:val="16"/>
          <w:rFonts w:hint="eastAsia" w:ascii="仿宋" w:hAnsi="仿宋" w:eastAsia="仿宋"/>
          <w:b w:val="0"/>
          <w:bCs/>
          <w:color w:val="00B0F0"/>
          <w:sz w:val="32"/>
          <w:szCs w:val="32"/>
        </w:rPr>
        <w:t>2081107残疾人生活和护理补贴4.55万元，完成预算100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lang w:eastAsia="zh-CN"/>
        </w:rPr>
        <w:t>。</w:t>
      </w:r>
      <w:r>
        <w:rPr>
          <w:rStyle w:val="16"/>
          <w:rFonts w:hint="eastAsia" w:ascii="仿宋" w:hAnsi="仿宋" w:eastAsia="仿宋"/>
          <w:b w:val="0"/>
          <w:bCs/>
          <w:color w:val="00B0F0"/>
          <w:sz w:val="32"/>
          <w:szCs w:val="32"/>
        </w:rPr>
        <w:t>2082102农村特困人员救助供养支出3.98万元，完成预算100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lang w:eastAsia="zh-CN"/>
        </w:rPr>
        <w:t>。</w:t>
      </w:r>
    </w:p>
    <w:p>
      <w:pPr>
        <w:spacing w:line="600" w:lineRule="exact"/>
        <w:ind w:firstLine="643" w:firstLineChars="200"/>
        <w:rPr>
          <w:rStyle w:val="16"/>
          <w:rFonts w:hint="eastAsia" w:ascii="仿宋" w:hAnsi="仿宋" w:eastAsia="仿宋"/>
          <w:b w:val="0"/>
          <w:bCs/>
          <w:color w:val="00B0F0"/>
          <w:sz w:val="32"/>
          <w:szCs w:val="32"/>
          <w:lang w:eastAsia="zh-CN"/>
        </w:rPr>
      </w:pPr>
      <w:r>
        <w:rPr>
          <w:rStyle w:val="16"/>
          <w:rFonts w:hint="eastAsia" w:ascii="仿宋" w:hAnsi="仿宋" w:eastAsia="仿宋"/>
          <w:bCs/>
          <w:color w:val="00B0F0"/>
          <w:sz w:val="32"/>
          <w:szCs w:val="32"/>
          <w:lang w:val="en-US" w:eastAsia="zh-CN"/>
        </w:rPr>
        <w:t>4</w:t>
      </w:r>
      <w:r>
        <w:rPr>
          <w:rStyle w:val="16"/>
          <w:rFonts w:ascii="仿宋" w:hAnsi="仿宋" w:eastAsia="仿宋"/>
          <w:bCs/>
          <w:color w:val="00B0F0"/>
          <w:sz w:val="32"/>
          <w:szCs w:val="32"/>
        </w:rPr>
        <w:t>.</w:t>
      </w:r>
      <w:r>
        <w:rPr>
          <w:rStyle w:val="16"/>
          <w:rFonts w:hint="eastAsia" w:ascii="仿宋" w:hAnsi="仿宋" w:eastAsia="仿宋"/>
          <w:bCs/>
          <w:color w:val="00B0F0"/>
          <w:sz w:val="32"/>
          <w:szCs w:val="32"/>
        </w:rPr>
        <w:t>医疗卫生与计划生育</w:t>
      </w:r>
      <w:r>
        <w:rPr>
          <w:rStyle w:val="16"/>
          <w:rFonts w:ascii="仿宋" w:hAnsi="仿宋" w:eastAsia="仿宋"/>
          <w:bCs/>
          <w:color w:val="00B0F0"/>
          <w:sz w:val="32"/>
          <w:szCs w:val="32"/>
        </w:rPr>
        <w:t>:</w:t>
      </w:r>
      <w:r>
        <w:rPr>
          <w:rStyle w:val="16"/>
          <w:rFonts w:hint="eastAsia" w:ascii="仿宋" w:hAnsi="仿宋" w:eastAsia="仿宋"/>
          <w:b w:val="0"/>
          <w:bCs/>
          <w:color w:val="00B0F0"/>
          <w:sz w:val="32"/>
          <w:szCs w:val="32"/>
        </w:rPr>
        <w:t>2100302乡镇卫生院支出1.5万元，完成预算100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lang w:eastAsia="zh-CN"/>
        </w:rPr>
        <w:t>。</w:t>
      </w:r>
      <w:r>
        <w:rPr>
          <w:rStyle w:val="16"/>
          <w:rFonts w:hint="eastAsia" w:ascii="仿宋" w:hAnsi="仿宋" w:eastAsia="仿宋"/>
          <w:b w:val="0"/>
          <w:bCs/>
          <w:color w:val="00B0F0"/>
          <w:sz w:val="32"/>
          <w:szCs w:val="32"/>
        </w:rPr>
        <w:t>2101101行政单位医疗支出14.41万元，完成预算100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lang w:eastAsia="zh-CN"/>
        </w:rPr>
        <w:t>。</w:t>
      </w:r>
      <w:r>
        <w:rPr>
          <w:rStyle w:val="16"/>
          <w:rFonts w:hint="eastAsia" w:ascii="仿宋" w:hAnsi="仿宋" w:eastAsia="仿宋"/>
          <w:b w:val="0"/>
          <w:bCs/>
          <w:color w:val="00B0F0"/>
          <w:sz w:val="32"/>
          <w:szCs w:val="32"/>
        </w:rPr>
        <w:t>2101103公务员医疗补助支出4.37万元，完成预算100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lang w:eastAsia="zh-CN"/>
        </w:rPr>
        <w:t>。</w:t>
      </w:r>
    </w:p>
    <w:p>
      <w:pPr>
        <w:spacing w:line="600" w:lineRule="exact"/>
        <w:ind w:firstLine="643" w:firstLineChars="200"/>
        <w:rPr>
          <w:rStyle w:val="16"/>
          <w:rFonts w:hint="eastAsia" w:ascii="仿宋" w:hAnsi="仿宋" w:eastAsia="仿宋"/>
          <w:b w:val="0"/>
          <w:bCs/>
          <w:color w:val="00B0F0"/>
          <w:sz w:val="32"/>
          <w:szCs w:val="32"/>
          <w:lang w:eastAsia="zh-CN"/>
        </w:rPr>
      </w:pPr>
      <w:r>
        <w:rPr>
          <w:rFonts w:hint="eastAsia" w:ascii="仿宋" w:hAnsi="仿宋" w:eastAsia="仿宋"/>
          <w:b/>
          <w:color w:val="00B0F0"/>
          <w:sz w:val="32"/>
          <w:szCs w:val="32"/>
          <w:lang w:val="en-US" w:eastAsia="zh-CN"/>
        </w:rPr>
        <w:t>5</w:t>
      </w:r>
      <w:r>
        <w:rPr>
          <w:rFonts w:hint="eastAsia" w:ascii="仿宋" w:hAnsi="仿宋" w:eastAsia="仿宋"/>
          <w:b/>
          <w:color w:val="00B0F0"/>
          <w:sz w:val="32"/>
          <w:szCs w:val="32"/>
        </w:rPr>
        <w:t>.城乡社区</w:t>
      </w:r>
      <w:r>
        <w:rPr>
          <w:rStyle w:val="16"/>
          <w:rFonts w:ascii="仿宋" w:hAnsi="仿宋" w:eastAsia="仿宋"/>
          <w:bCs/>
          <w:color w:val="00B0F0"/>
          <w:sz w:val="32"/>
          <w:szCs w:val="32"/>
        </w:rPr>
        <w:t>:</w:t>
      </w:r>
      <w:r>
        <w:rPr>
          <w:rStyle w:val="16"/>
          <w:rFonts w:hint="eastAsia" w:ascii="仿宋" w:hAnsi="仿宋" w:eastAsia="仿宋"/>
          <w:b w:val="0"/>
          <w:bCs/>
          <w:color w:val="00B0F0"/>
          <w:sz w:val="32"/>
          <w:szCs w:val="32"/>
        </w:rPr>
        <w:t>2120399其他城乡社区公共设施支出61.8万元，完成预算100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lang w:eastAsia="zh-CN"/>
        </w:rPr>
        <w:t>。</w:t>
      </w:r>
      <w:r>
        <w:rPr>
          <w:rStyle w:val="16"/>
          <w:rFonts w:hint="eastAsia" w:ascii="仿宋" w:hAnsi="仿宋" w:eastAsia="仿宋"/>
          <w:b w:val="0"/>
          <w:bCs/>
          <w:color w:val="00B0F0"/>
          <w:sz w:val="32"/>
          <w:szCs w:val="32"/>
        </w:rPr>
        <w:t>2120501城乡社区环境卫生支出8.82万元，完成预算100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lang w:eastAsia="zh-CN"/>
        </w:rPr>
        <w:t>。</w:t>
      </w:r>
    </w:p>
    <w:p>
      <w:pPr>
        <w:spacing w:line="600" w:lineRule="exact"/>
        <w:ind w:firstLine="643" w:firstLineChars="200"/>
        <w:rPr>
          <w:rStyle w:val="16"/>
          <w:rFonts w:hint="eastAsia" w:ascii="仿宋" w:hAnsi="仿宋" w:eastAsia="仿宋"/>
          <w:b w:val="0"/>
          <w:bCs/>
          <w:color w:val="00B0F0"/>
          <w:sz w:val="32"/>
          <w:szCs w:val="32"/>
          <w:lang w:eastAsia="zh-CN"/>
        </w:rPr>
      </w:pPr>
      <w:r>
        <w:rPr>
          <w:rFonts w:hint="eastAsia" w:ascii="仿宋" w:hAnsi="仿宋" w:eastAsia="仿宋"/>
          <w:b/>
          <w:color w:val="00B0F0"/>
          <w:sz w:val="32"/>
          <w:szCs w:val="32"/>
          <w:lang w:val="en-US" w:eastAsia="zh-CN"/>
        </w:rPr>
        <w:t>6</w:t>
      </w:r>
      <w:r>
        <w:rPr>
          <w:rFonts w:hint="eastAsia" w:ascii="仿宋" w:hAnsi="仿宋" w:eastAsia="仿宋"/>
          <w:b/>
          <w:color w:val="00B0F0"/>
          <w:sz w:val="32"/>
          <w:szCs w:val="32"/>
        </w:rPr>
        <w:t>.农林水</w:t>
      </w:r>
      <w:r>
        <w:rPr>
          <w:rStyle w:val="16"/>
          <w:rFonts w:ascii="仿宋" w:hAnsi="仿宋" w:eastAsia="仿宋"/>
          <w:bCs/>
          <w:color w:val="00B0F0"/>
          <w:sz w:val="32"/>
          <w:szCs w:val="32"/>
        </w:rPr>
        <w:t>:</w:t>
      </w:r>
      <w:r>
        <w:rPr>
          <w:rStyle w:val="16"/>
          <w:rFonts w:hint="eastAsia" w:ascii="仿宋" w:hAnsi="仿宋" w:eastAsia="仿宋"/>
          <w:b w:val="0"/>
          <w:bCs/>
          <w:color w:val="00B0F0"/>
          <w:sz w:val="32"/>
          <w:szCs w:val="32"/>
        </w:rPr>
        <w:t>2130152对高校毕业生到基层补助3.72万元，完成预算100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lang w:eastAsia="zh-CN"/>
        </w:rPr>
        <w:t>。</w:t>
      </w:r>
      <w:r>
        <w:rPr>
          <w:rStyle w:val="16"/>
          <w:rFonts w:hint="eastAsia" w:ascii="仿宋" w:hAnsi="仿宋" w:eastAsia="仿宋"/>
          <w:b w:val="0"/>
          <w:bCs/>
          <w:color w:val="00B0F0"/>
          <w:sz w:val="32"/>
          <w:szCs w:val="32"/>
        </w:rPr>
        <w:t>2130504农村基础设施建设支出92.68万元，完成预算100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lang w:eastAsia="zh-CN"/>
        </w:rPr>
        <w:t>。</w:t>
      </w:r>
      <w:r>
        <w:rPr>
          <w:rStyle w:val="16"/>
          <w:rFonts w:hint="eastAsia" w:ascii="仿宋" w:hAnsi="仿宋" w:eastAsia="仿宋"/>
          <w:b w:val="0"/>
          <w:bCs/>
          <w:color w:val="00B0F0"/>
          <w:sz w:val="32"/>
          <w:szCs w:val="32"/>
        </w:rPr>
        <w:t>2130705对村民委员会和村党支部的补助支出52.53万元，完成预算100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lang w:eastAsia="zh-CN"/>
        </w:rPr>
        <w:t>。</w:t>
      </w:r>
    </w:p>
    <w:p>
      <w:pPr>
        <w:spacing w:line="600" w:lineRule="exact"/>
        <w:ind w:firstLine="643" w:firstLineChars="200"/>
        <w:rPr>
          <w:rFonts w:ascii="仿宋" w:hAnsi="仿宋" w:eastAsia="仿宋"/>
          <w:b/>
          <w:color w:val="00B0F0"/>
          <w:sz w:val="32"/>
          <w:szCs w:val="32"/>
        </w:rPr>
      </w:pPr>
      <w:r>
        <w:rPr>
          <w:rFonts w:hint="eastAsia" w:ascii="仿宋" w:hAnsi="仿宋" w:eastAsia="仿宋"/>
          <w:b/>
          <w:color w:val="00B0F0"/>
          <w:sz w:val="32"/>
          <w:szCs w:val="32"/>
          <w:lang w:val="en-US" w:eastAsia="zh-CN"/>
        </w:rPr>
        <w:t>7</w:t>
      </w:r>
      <w:r>
        <w:rPr>
          <w:rFonts w:hint="eastAsia" w:ascii="仿宋" w:hAnsi="仿宋" w:eastAsia="仿宋"/>
          <w:b/>
          <w:color w:val="00B0F0"/>
          <w:sz w:val="32"/>
          <w:szCs w:val="32"/>
        </w:rPr>
        <w:t>.交通运输</w:t>
      </w:r>
      <w:r>
        <w:rPr>
          <w:rStyle w:val="16"/>
          <w:rFonts w:ascii="仿宋" w:hAnsi="仿宋" w:eastAsia="仿宋"/>
          <w:bCs/>
          <w:color w:val="00B0F0"/>
          <w:sz w:val="32"/>
          <w:szCs w:val="32"/>
        </w:rPr>
        <w:t>:</w:t>
      </w:r>
      <w:r>
        <w:rPr>
          <w:rStyle w:val="16"/>
          <w:rFonts w:hint="eastAsia" w:ascii="仿宋" w:hAnsi="仿宋" w:eastAsia="仿宋"/>
          <w:b w:val="0"/>
          <w:bCs/>
          <w:color w:val="00B0F0"/>
          <w:sz w:val="32"/>
          <w:szCs w:val="32"/>
        </w:rPr>
        <w:t xml:space="preserve"> 2140104公路建设支出决算为91.91万元，完成预算100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rPr>
        <w:t>。</w:t>
      </w:r>
    </w:p>
    <w:p>
      <w:pPr>
        <w:spacing w:line="600" w:lineRule="exact"/>
        <w:ind w:firstLine="643" w:firstLineChars="200"/>
        <w:rPr>
          <w:rFonts w:ascii="仿宋" w:hAnsi="仿宋" w:eastAsia="仿宋"/>
          <w:b/>
          <w:color w:val="00B0F0"/>
          <w:sz w:val="32"/>
          <w:szCs w:val="32"/>
        </w:rPr>
      </w:pPr>
      <w:r>
        <w:rPr>
          <w:rFonts w:hint="eastAsia" w:ascii="仿宋" w:hAnsi="仿宋" w:eastAsia="仿宋"/>
          <w:b/>
          <w:color w:val="00B0F0"/>
          <w:sz w:val="32"/>
          <w:szCs w:val="32"/>
        </w:rPr>
        <w:t>10.住房保障支出</w:t>
      </w:r>
      <w:r>
        <w:rPr>
          <w:rStyle w:val="16"/>
          <w:rFonts w:ascii="仿宋" w:hAnsi="仿宋" w:eastAsia="仿宋"/>
          <w:bCs/>
          <w:color w:val="00B0F0"/>
          <w:sz w:val="32"/>
          <w:szCs w:val="32"/>
        </w:rPr>
        <w:t>:</w:t>
      </w:r>
      <w:r>
        <w:rPr>
          <w:rStyle w:val="16"/>
          <w:rFonts w:hint="eastAsia" w:ascii="仿宋" w:hAnsi="仿宋" w:eastAsia="仿宋"/>
          <w:b w:val="0"/>
          <w:bCs/>
          <w:color w:val="00B0F0"/>
          <w:sz w:val="32"/>
          <w:szCs w:val="32"/>
        </w:rPr>
        <w:t>2210201住房公积金支出决算为33.97万元，完成预算100</w:t>
      </w:r>
      <w:r>
        <w:rPr>
          <w:rStyle w:val="16"/>
          <w:rFonts w:ascii="仿宋" w:hAnsi="仿宋" w:eastAsia="仿宋"/>
          <w:b w:val="0"/>
          <w:bCs/>
          <w:color w:val="00B0F0"/>
          <w:sz w:val="32"/>
          <w:szCs w:val="32"/>
        </w:rPr>
        <w:t>%</w:t>
      </w:r>
      <w:r>
        <w:rPr>
          <w:rStyle w:val="16"/>
          <w:rFonts w:hint="eastAsia" w:ascii="仿宋" w:hAnsi="仿宋" w:eastAsia="仿宋"/>
          <w:b w:val="0"/>
          <w:bCs/>
          <w:color w:val="00B0F0"/>
          <w:sz w:val="32"/>
          <w:szCs w:val="32"/>
        </w:rPr>
        <w:t>。</w:t>
      </w:r>
    </w:p>
    <w:p>
      <w:pPr>
        <w:tabs>
          <w:tab w:val="right" w:pos="8306"/>
        </w:tabs>
        <w:spacing w:line="600" w:lineRule="exact"/>
        <w:ind w:firstLine="640"/>
        <w:outlineLvl w:val="1"/>
        <w:rPr>
          <w:rStyle w:val="27"/>
        </w:rPr>
      </w:pPr>
      <w:bookmarkStart w:id="44" w:name="_Toc15396608"/>
      <w:bookmarkStart w:id="45"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4"/>
      <w:bookmarkEnd w:id="45"/>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8年一般公共预算财政拨款基本支出517.72万元，其中：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475.06万元，主要包括：基本工资82.64万元、津贴补贴195.67万元、奖金63.72万元、绩效工资10.71万元、机关事业单位基本养老保险缴费43.44万元、职业年金缴费17.38万元、公务员医疗补助缴费4.37万元、其他社会保障缴5.34万元、住房公积金33.97万元、医疗费2.08万元、生活补助1.32万元等支出。</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　　公用经费42.66万元，主要包括：办公费19.22万元、印刷费7万元、咨询费2.15万元、电费2.5万元、邮电费4.44万元、取暖费0.67万元、差旅费1万元、因公出国（境）费用0万元、培训费0.6万元、公务接待费0.06万元、公务用车运行维护费5.03万元支出等。</w:t>
      </w:r>
    </w:p>
    <w:p>
      <w:pPr>
        <w:spacing w:line="600" w:lineRule="exact"/>
        <w:ind w:firstLine="640"/>
        <w:outlineLvl w:val="1"/>
        <w:rPr>
          <w:rStyle w:val="27"/>
          <w:rFonts w:ascii="黑体" w:hAnsi="黑体" w:eastAsia="黑体"/>
          <w:b w:val="0"/>
        </w:rPr>
      </w:pPr>
      <w:bookmarkStart w:id="46" w:name="_Toc15377215"/>
      <w:bookmarkStart w:id="47" w:name="_Toc1539660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6"/>
      <w:bookmarkEnd w:id="47"/>
    </w:p>
    <w:p>
      <w:pPr>
        <w:spacing w:line="600" w:lineRule="exact"/>
        <w:ind w:firstLine="640"/>
        <w:outlineLvl w:val="2"/>
        <w:rPr>
          <w:rFonts w:ascii="仿宋" w:hAnsi="仿宋" w:eastAsia="仿宋"/>
          <w:b/>
          <w:color w:val="000000"/>
          <w:sz w:val="32"/>
          <w:szCs w:val="32"/>
        </w:rPr>
      </w:pPr>
      <w:bookmarkStart w:id="48" w:name="_Toc15377216"/>
      <w:r>
        <w:rPr>
          <w:rFonts w:hint="eastAsia" w:ascii="仿宋" w:hAnsi="仿宋" w:eastAsia="仿宋"/>
          <w:b/>
          <w:color w:val="000000"/>
          <w:sz w:val="32"/>
          <w:szCs w:val="32"/>
        </w:rPr>
        <w:t>（一）“三公”经费财政拨款支出决算总体情况说明</w:t>
      </w:r>
      <w:bookmarkEnd w:id="4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8年“三公”经费财政拨款支出决算为5.09万元，完成预算100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9" w:name="_Toc15377217"/>
      <w:r>
        <w:rPr>
          <w:rFonts w:hint="eastAsia" w:ascii="仿宋" w:hAnsi="仿宋" w:eastAsia="仿宋"/>
          <w:b/>
          <w:color w:val="000000"/>
          <w:sz w:val="32"/>
          <w:szCs w:val="32"/>
        </w:rPr>
        <w:t>（二）“三公”经费财政拨款支出决算具体情况说明</w:t>
      </w:r>
      <w:bookmarkEnd w:id="4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；公务用车购置及运行维护费支出决算5.03万元，占98.82</w:t>
      </w:r>
      <w:r>
        <w:rPr>
          <w:rFonts w:ascii="仿宋" w:hAnsi="仿宋" w:eastAsia="仿宋"/>
          <w:color w:val="000000"/>
          <w:sz w:val="32"/>
          <w:szCs w:val="32"/>
        </w:rPr>
        <w:t>%</w:t>
      </w:r>
      <w:r>
        <w:rPr>
          <w:rFonts w:hint="eastAsia" w:ascii="仿宋" w:hAnsi="仿宋" w:eastAsia="仿宋"/>
          <w:color w:val="000000"/>
          <w:sz w:val="32"/>
          <w:szCs w:val="32"/>
        </w:rPr>
        <w:t>；公务接待费支出决算0.06万元，占1.18</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：“三公”经费财政拨款支出结构）（饼状图）</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5408" behindDoc="1" locked="0" layoutInCell="1" allowOverlap="1">
            <wp:simplePos x="0" y="0"/>
            <wp:positionH relativeFrom="column">
              <wp:posOffset>438150</wp:posOffset>
            </wp:positionH>
            <wp:positionV relativeFrom="paragraph">
              <wp:posOffset>276225</wp:posOffset>
            </wp:positionV>
            <wp:extent cx="3714750" cy="2333625"/>
            <wp:effectExtent l="19050" t="0" r="19050" b="0"/>
            <wp:wrapNone/>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7年无变动。</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5.03万元,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7年减少4.54万元，下降47.44</w:t>
      </w:r>
      <w:r>
        <w:rPr>
          <w:rFonts w:ascii="仿宋_GB2312" w:eastAsia="仿宋_GB2312"/>
          <w:color w:val="000000"/>
          <w:sz w:val="32"/>
          <w:szCs w:val="32"/>
        </w:rPr>
        <w:t>%</w:t>
      </w:r>
      <w:r>
        <w:rPr>
          <w:rFonts w:hint="eastAsia" w:ascii="仿宋_GB2312" w:eastAsia="仿宋_GB2312"/>
          <w:color w:val="000000"/>
          <w:sz w:val="32"/>
          <w:szCs w:val="32"/>
        </w:rPr>
        <w:t>。主要原因是2018年度公务用车修理费、油费开支减少。</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月底，单位共有公务用车2辆，其中：轿车0辆、越野车2辆、载客汽车0辆。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5.03万元。主要用于上县办事、到远牧点开展工作、乡内巡逻、环境卫生整治等所需的公务用车燃料费、维修费、过路过桥费、保险费等支出。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0.06万元，</w:t>
      </w:r>
      <w:r>
        <w:rPr>
          <w:rStyle w:val="16"/>
          <w:rFonts w:hint="eastAsia" w:ascii="仿宋" w:hAnsi="仿宋" w:eastAsia="仿宋"/>
          <w:b w:val="0"/>
          <w:bCs/>
          <w:color w:val="000000"/>
          <w:sz w:val="32"/>
          <w:szCs w:val="32"/>
        </w:rPr>
        <w:t>完成预算17.14</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7年减少0.29万元，下降82.86</w:t>
      </w:r>
      <w:r>
        <w:rPr>
          <w:rFonts w:ascii="仿宋_GB2312" w:eastAsia="仿宋_GB2312"/>
          <w:color w:val="000000"/>
          <w:sz w:val="32"/>
          <w:szCs w:val="32"/>
        </w:rPr>
        <w:t>%</w:t>
      </w:r>
      <w:r>
        <w:rPr>
          <w:rFonts w:hint="eastAsia" w:ascii="仿宋_GB2312" w:eastAsia="仿宋_GB2312"/>
          <w:color w:val="000000"/>
          <w:sz w:val="32"/>
          <w:szCs w:val="32"/>
        </w:rPr>
        <w:t>。主要原因是2018年接待减少。</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主要用于执行公务、开展业务活动开支的交通费、住宿费、用餐费等。国内公务接待1批次，10人次，共计支出0.06万元，具体内容包括：接待省民政厅下属医院到乡调研、开展帮扶工作，开支560元。</w:t>
      </w:r>
    </w:p>
    <w:p>
      <w:pPr>
        <w:spacing w:line="600" w:lineRule="exact"/>
        <w:ind w:firstLine="643"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bookmarkStart w:id="50" w:name="_Toc15396610"/>
      <w:bookmarkStart w:id="51" w:name="_Toc15377218"/>
    </w:p>
    <w:p>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50"/>
      <w:bookmarkEnd w:id="5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pPr>
        <w:numPr>
          <w:ilvl w:val="0"/>
          <w:numId w:val="5"/>
        </w:numPr>
        <w:spacing w:line="600" w:lineRule="exact"/>
        <w:ind w:firstLine="640"/>
        <w:outlineLvl w:val="1"/>
        <w:rPr>
          <w:rStyle w:val="27"/>
          <w:rFonts w:ascii="黑体" w:hAnsi="黑体" w:eastAsia="黑体"/>
          <w:b w:val="0"/>
        </w:rPr>
      </w:pPr>
      <w:bookmarkStart w:id="52" w:name="_Toc15377219"/>
      <w:bookmarkStart w:id="53" w:name="_Toc15396611"/>
      <w:r>
        <w:rPr>
          <w:rStyle w:val="27"/>
          <w:rFonts w:hint="eastAsia" w:ascii="黑体" w:hAnsi="黑体" w:eastAsia="黑体"/>
          <w:b w:val="0"/>
        </w:rPr>
        <w:t>国有资本经营预算支出决算情况说明</w:t>
      </w:r>
      <w:bookmarkEnd w:id="52"/>
      <w:bookmarkEnd w:id="5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pStyle w:val="25"/>
        <w:numPr>
          <w:ilvl w:val="0"/>
          <w:numId w:val="6"/>
        </w:numPr>
        <w:spacing w:line="580" w:lineRule="exact"/>
        <w:ind w:firstLineChars="0"/>
        <w:rPr>
          <w:rStyle w:val="27"/>
          <w:rFonts w:ascii="黑体" w:hAnsi="黑体" w:eastAsia="黑体"/>
          <w:b w:val="0"/>
        </w:rPr>
      </w:pPr>
      <w:r>
        <w:rPr>
          <w:rStyle w:val="27"/>
          <w:rFonts w:hint="eastAsia" w:ascii="黑体" w:hAnsi="黑体" w:eastAsia="黑体"/>
          <w:b w:val="0"/>
        </w:rPr>
        <w:t>预算绩效情况说明</w:t>
      </w:r>
    </w:p>
    <w:p>
      <w:pPr>
        <w:numPr>
          <w:ilvl w:val="0"/>
          <w:numId w:val="7"/>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基层政权和社区建设、城乡社区环境卫生、幸福美丽家园扶贫新村建设项目修建室内篮球场城乡社区环境整治、阿木乡路口节点广场建设项目、2018年村级运行维护费项目开展了预算事前绩效评估，对5个项目编制了绩效目标，预算执行过程中，选取5个项目开展绩效监控，年终执行完毕后，对5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本部门按要求对2018年部门整体支出开展绩效自评，从评价情况来看整体绩效情况完成较好。本部门还自行组织了0个项目绩效评价。</w:t>
      </w:r>
    </w:p>
    <w:p>
      <w:pPr>
        <w:numPr>
          <w:ilvl w:val="0"/>
          <w:numId w:val="7"/>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本部门在2018年度部门决算中反映“基层政权和社区建设</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 城乡社区环境卫生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 幸福美丽家园扶贫新村建设项目修建室内篮球场城乡社区环境整治”等5个项目绩效目标实际完成情况。</w:t>
      </w:r>
    </w:p>
    <w:p>
      <w:pPr>
        <w:numPr>
          <w:ilvl w:val="0"/>
          <w:numId w:val="8"/>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基层政权和社区建设项目绩效目标完成情况综述。项目全年预算数112.35万元，执行数为96.40万元，完成预算的95%。通过项目实施，保障乡内基础设施进一步完善提高了乡内环境卫生整洁有序。(修缮老办公楼、提高空间利用率、优化办公环境，修建蔬菜大棚、乡食堂维修改造优化环境）。</w:t>
      </w:r>
    </w:p>
    <w:p>
      <w:pPr>
        <w:numPr>
          <w:ilvl w:val="0"/>
          <w:numId w:val="8"/>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乡社区环境卫生项目绩效目标完成情况综述。项目全年预算数8.82万元，执行数为8.82万元，完成预算的100%。通过项目实施，保障全域无垃圾，增加村民就业率与收入。(环境卫生整治优化了乡内长期保持干净整洁）。</w:t>
      </w:r>
    </w:p>
    <w:p>
      <w:pPr>
        <w:numPr>
          <w:ilvl w:val="0"/>
          <w:numId w:val="8"/>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幸福美丽家园扶贫新村建设项目修建室内篮球场项目绩效目标完成情况综述。项目全年预算数81.57万元，执行数为91.68万元，完成预算的100%。通过项目实施，保障乡基础设施建设进一步提高，丰富了群众业余生活场地。(建成阿木乡室内篮球场）。</w:t>
      </w:r>
    </w:p>
    <w:p>
      <w:pPr>
        <w:numPr>
          <w:ilvl w:val="0"/>
          <w:numId w:val="8"/>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阿木乡路口节点广场建设项目修建入乡路口节点，打造进乡路标项目绩效目标完成情况综述。项目全年预算数25万元，执行数为61.8万元，完成预算的100%。通过项目实施，打造阿木乡路口节点地标性建筑，吸引客流量，带动乡内旅游业发展，提高群众经济收入。</w:t>
      </w:r>
    </w:p>
    <w:p>
      <w:pPr>
        <w:numPr>
          <w:ilvl w:val="0"/>
          <w:numId w:val="8"/>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村级运行维护项目修建改造乡公共厕所、建设牧道，修建改造乡公共厕所、建设牧道项目绩效目标完成情况综述。项目全年预算数60.71万元，执行数为52.52万元，完成预算的85%。（通过项目实施厕所改造提高人居环境生活质量，建设牧道为牧区群众生产生活提供更加便利的条件）。</w:t>
      </w:r>
    </w:p>
    <w:p>
      <w:pPr>
        <w:tabs>
          <w:tab w:val="left" w:pos="312"/>
        </w:tabs>
        <w:spacing w:line="580" w:lineRule="exact"/>
        <w:rPr>
          <w:rFonts w:ascii="仿宋_GB2312" w:hAnsi="仿宋_GB2312" w:eastAsia="仿宋_GB2312" w:cs="仿宋_GB2312"/>
          <w:sz w:val="32"/>
          <w:szCs w:val="32"/>
        </w:rPr>
      </w:pPr>
    </w:p>
    <w:tbl>
      <w:tblPr>
        <w:tblStyle w:val="14"/>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项目支出绩效目标完成情况表1</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基层政权和社区建设</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红原县阿木乡人民政府</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112.35</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96.4</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112.35</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96.4</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完成年度目标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4"/>
              </w:rPr>
            </w:pPr>
            <w:r>
              <w:rPr>
                <w:rFonts w:hint="eastAsia" w:ascii="宋体" w:hAnsi="宋体" w:cs="宋体"/>
                <w:color w:val="000000"/>
                <w:kern w:val="0"/>
                <w:sz w:val="24"/>
              </w:rPr>
              <w:t>整体形象得以提高，人居环境得以改善</w:t>
            </w:r>
            <w:r>
              <w:rPr>
                <w:rFonts w:hint="eastAsia" w:ascii="宋体" w:hAnsi="宋体" w:cs="宋体"/>
                <w:color w:val="000000"/>
                <w:sz w:val="24"/>
              </w:rPr>
              <w:t>实际目标已完成</w:t>
            </w:r>
            <w:r>
              <w:rPr>
                <w:rFonts w:hint="eastAsia" w:ascii="宋体" w:hAnsi="宋体" w:cs="宋体"/>
                <w:color w:val="000000"/>
                <w:sz w:val="24"/>
                <w:lang w:eastAsia="zh-CN"/>
              </w:rPr>
              <w:t>95%</w:t>
            </w:r>
            <w:r>
              <w:rPr>
                <w:rFonts w:hint="eastAsia" w:ascii="宋体" w:hAnsi="宋体" w:cs="宋体"/>
                <w:color w:val="000000"/>
                <w:sz w:val="24"/>
              </w:rPr>
              <w:t>木，剩余</w:t>
            </w:r>
            <w:r>
              <w:rPr>
                <w:rFonts w:hint="eastAsia" w:ascii="宋体" w:hAnsi="宋体" w:cs="宋体"/>
                <w:color w:val="000000"/>
                <w:sz w:val="24"/>
                <w:lang w:eastAsia="zh-CN"/>
              </w:rPr>
              <w:t>5%</w:t>
            </w:r>
            <w:r>
              <w:rPr>
                <w:rFonts w:hint="eastAsia" w:ascii="宋体" w:hAnsi="宋体" w:cs="宋体"/>
                <w:color w:val="000000"/>
                <w:sz w:val="24"/>
              </w:rPr>
              <w:t>质保金</w:t>
            </w:r>
          </w:p>
        </w:tc>
      </w:tr>
      <w:tr>
        <w:tblPrEx>
          <w:tblCellMar>
            <w:top w:w="15" w:type="dxa"/>
            <w:left w:w="15" w:type="dxa"/>
            <w:bottom w:w="15" w:type="dxa"/>
            <w:right w:w="15" w:type="dxa"/>
          </w:tblCellMar>
        </w:tblPrEx>
        <w:trPr>
          <w:trHeight w:val="312"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维修旧办公楼、乡食堂、修建60平米蔬菜大棚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维修旧办公楼、乡食堂、修建60平米蔬菜大棚</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工期一年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已完成</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红原县项目资金管理办法</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 xml:space="preserve">是 </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 xml:space="preserve"> 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按工程进度拨付</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按工程进度拨付</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整体形象得以提高，人居环境得以改善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整体形象得以提高，人居环境得以改善</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整体形象得以提高，人居环境得以改善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整体形象得以提高，人居环境得以改善</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优化整体配套设施</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优化整体配套设施</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提高人居环境生活质量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提高人居环境生活质量</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满意</w:t>
            </w:r>
          </w:p>
        </w:tc>
      </w:tr>
    </w:tbl>
    <w:p>
      <w:pPr>
        <w:rPr>
          <w:rFonts w:ascii="Calibri" w:hAnsi="Calibri"/>
        </w:rPr>
      </w:pPr>
    </w:p>
    <w:tbl>
      <w:tblPr>
        <w:tblStyle w:val="14"/>
        <w:tblW w:w="9369" w:type="dxa"/>
        <w:tblInd w:w="-373" w:type="dxa"/>
        <w:tblLayout w:type="fixed"/>
        <w:tblCellMar>
          <w:top w:w="0" w:type="dxa"/>
          <w:left w:w="0" w:type="dxa"/>
          <w:bottom w:w="0" w:type="dxa"/>
          <w:right w:w="0" w:type="dxa"/>
        </w:tblCellMar>
      </w:tblPr>
      <w:tblGrid>
        <w:gridCol w:w="623"/>
        <w:gridCol w:w="1188"/>
        <w:gridCol w:w="1022"/>
        <w:gridCol w:w="737"/>
        <w:gridCol w:w="1155"/>
        <w:gridCol w:w="1711"/>
        <w:gridCol w:w="1465"/>
        <w:gridCol w:w="121"/>
        <w:gridCol w:w="1347"/>
      </w:tblGrid>
      <w:tr>
        <w:tblPrEx>
          <w:tblCellMar>
            <w:top w:w="0" w:type="dxa"/>
            <w:left w:w="0" w:type="dxa"/>
            <w:bottom w:w="0" w:type="dxa"/>
            <w:right w:w="0" w:type="dxa"/>
          </w:tblCellMar>
        </w:tblPrEx>
        <w:trPr>
          <w:trHeight w:val="555" w:hRule="atLeast"/>
        </w:trPr>
        <w:tc>
          <w:tcPr>
            <w:tcW w:w="9369" w:type="dxa"/>
            <w:gridSpan w:val="9"/>
            <w:tcBorders>
              <w:top w:val="nil"/>
              <w:left w:val="nil"/>
              <w:bottom w:val="nil"/>
              <w:right w:val="nil"/>
            </w:tcBorders>
            <w:shd w:val="clear" w:color="auto" w:fill="auto"/>
            <w:tcMar>
              <w:top w:w="15" w:type="dxa"/>
              <w:left w:w="15" w:type="dxa"/>
              <w:right w:w="15" w:type="dxa"/>
            </w:tcMar>
            <w:vAlign w:val="center"/>
          </w:tcPr>
          <w:p>
            <w:pPr>
              <w:widowControl/>
              <w:textAlignment w:val="center"/>
              <w:rPr>
                <w:rFonts w:ascii="宋体" w:hAnsi="宋体" w:cs="宋体"/>
                <w:color w:val="000000"/>
                <w:kern w:val="0"/>
                <w:sz w:val="24"/>
              </w:rPr>
            </w:pPr>
          </w:p>
          <w:p>
            <w:pPr>
              <w:widowControl/>
              <w:jc w:val="center"/>
              <w:textAlignment w:val="center"/>
              <w:rPr>
                <w:rFonts w:ascii="宋体" w:hAnsi="宋体" w:cs="宋体"/>
                <w:color w:val="000000"/>
                <w:kern w:val="0"/>
                <w:sz w:val="24"/>
              </w:rPr>
            </w:pPr>
          </w:p>
          <w:p>
            <w:pPr>
              <w:widowControl/>
              <w:jc w:val="center"/>
              <w:textAlignment w:val="center"/>
              <w:rPr>
                <w:rFonts w:ascii="宋体" w:hAnsi="宋体" w:cs="宋体"/>
                <w:color w:val="000000"/>
                <w:kern w:val="0"/>
                <w:sz w:val="24"/>
              </w:rPr>
            </w:pPr>
          </w:p>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项目支出绩效目标完成情况表2</w:t>
            </w:r>
          </w:p>
        </w:tc>
      </w:tr>
      <w:tr>
        <w:tblPrEx>
          <w:tblCellMar>
            <w:top w:w="0" w:type="dxa"/>
            <w:left w:w="0" w:type="dxa"/>
            <w:bottom w:w="0" w:type="dxa"/>
            <w:right w:w="0" w:type="dxa"/>
          </w:tblCellMar>
        </w:tblPrEx>
        <w:trPr>
          <w:trHeight w:val="555" w:hRule="atLeast"/>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项目名称</w:t>
            </w:r>
          </w:p>
        </w:tc>
        <w:tc>
          <w:tcPr>
            <w:tcW w:w="653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城乡社区环境卫生项目</w:t>
            </w:r>
          </w:p>
        </w:tc>
      </w:tr>
      <w:tr>
        <w:tblPrEx>
          <w:tblCellMar>
            <w:top w:w="0" w:type="dxa"/>
            <w:left w:w="0" w:type="dxa"/>
            <w:bottom w:w="0" w:type="dxa"/>
            <w:right w:w="0" w:type="dxa"/>
          </w:tblCellMar>
        </w:tblPrEx>
        <w:trPr>
          <w:trHeight w:val="555" w:hRule="atLeast"/>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预算单位</w:t>
            </w:r>
          </w:p>
        </w:tc>
        <w:tc>
          <w:tcPr>
            <w:tcW w:w="653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红原县阿木乡人民政府</w:t>
            </w:r>
          </w:p>
        </w:tc>
      </w:tr>
      <w:tr>
        <w:tblPrEx>
          <w:tblCellMar>
            <w:top w:w="0" w:type="dxa"/>
            <w:left w:w="0" w:type="dxa"/>
            <w:bottom w:w="0" w:type="dxa"/>
            <w:right w:w="0" w:type="dxa"/>
          </w:tblCellMar>
        </w:tblPrEx>
        <w:trPr>
          <w:trHeight w:val="55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预算执行情况(万元</w:t>
            </w: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8.82万元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执行数:</w:t>
            </w:r>
          </w:p>
        </w:tc>
        <w:tc>
          <w:tcPr>
            <w:tcW w:w="29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8.82万元</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8.82万元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29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8.82万元</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其它资金:</w:t>
            </w:r>
          </w:p>
        </w:tc>
        <w:tc>
          <w:tcPr>
            <w:tcW w:w="29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0</w:t>
            </w:r>
          </w:p>
        </w:tc>
      </w:tr>
      <w:tr>
        <w:tblPrEx>
          <w:tblCellMar>
            <w:top w:w="0" w:type="dxa"/>
            <w:left w:w="0" w:type="dxa"/>
            <w:bottom w:w="0" w:type="dxa"/>
            <w:right w:w="0" w:type="dxa"/>
          </w:tblCellMar>
        </w:tblPrEx>
        <w:trPr>
          <w:trHeight w:val="55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年度目标完成情况</w:t>
            </w: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预期目标</w:t>
            </w:r>
          </w:p>
        </w:tc>
        <w:tc>
          <w:tcPr>
            <w:tcW w:w="579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9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乡内整体环境卫生维护</w:t>
            </w:r>
          </w:p>
        </w:tc>
        <w:tc>
          <w:tcPr>
            <w:tcW w:w="579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1年时间保持乡环境卫生整洁。</w:t>
            </w:r>
          </w:p>
        </w:tc>
      </w:tr>
      <w:tr>
        <w:tblPrEx>
          <w:tblCellMar>
            <w:top w:w="0" w:type="dxa"/>
            <w:left w:w="0" w:type="dxa"/>
            <w:bottom w:w="0" w:type="dxa"/>
            <w:right w:w="0" w:type="dxa"/>
          </w:tblCellMar>
        </w:tblPrEx>
        <w:trPr>
          <w:trHeight w:val="55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绩效指标完成情况</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drawing>
                <wp:anchor distT="0" distB="0" distL="114300" distR="114300" simplePos="0" relativeHeight="25167257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 name="直接连接符_10"/>
                  <wp:cNvGraphicFramePr/>
                  <a:graphic xmlns:a="http://schemas.openxmlformats.org/drawingml/2006/main">
                    <a:graphicData uri="http://schemas.openxmlformats.org/drawingml/2006/picture">
                      <pic:pic xmlns:pic="http://schemas.openxmlformats.org/drawingml/2006/picture">
                        <pic:nvPicPr>
                          <pic:cNvPr id="2"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rPr>
              <w:drawing>
                <wp:anchor distT="0" distB="0" distL="114300" distR="114300" simplePos="0" relativeHeight="25167360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 name="直接连接符_8"/>
                  <wp:cNvGraphicFramePr/>
                  <a:graphic xmlns:a="http://schemas.openxmlformats.org/drawingml/2006/main">
                    <a:graphicData uri="http://schemas.openxmlformats.org/drawingml/2006/picture">
                      <pic:pic xmlns:pic="http://schemas.openxmlformats.org/drawingml/2006/picture">
                        <pic:nvPicPr>
                          <pic:cNvPr id="3"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rPr>
              <w:drawing>
                <wp:anchor distT="0" distB="0" distL="114300" distR="114300" simplePos="0" relativeHeight="25167462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 name="直接连接符_9"/>
                  <wp:cNvGraphicFramePr/>
                  <a:graphic xmlns:a="http://schemas.openxmlformats.org/drawingml/2006/main">
                    <a:graphicData uri="http://schemas.openxmlformats.org/drawingml/2006/picture">
                      <pic:pic xmlns:pic="http://schemas.openxmlformats.org/drawingml/2006/picture">
                        <pic:nvPicPr>
                          <pic:cNvPr id="5"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rPr>
              <w:drawing>
                <wp:anchor distT="0" distB="0" distL="114300" distR="114300" simplePos="0" relativeHeight="25167564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6" name="直接连接符_7"/>
                  <wp:cNvGraphicFramePr/>
                  <a:graphic xmlns:a="http://schemas.openxmlformats.org/drawingml/2006/main">
                    <a:graphicData uri="http://schemas.openxmlformats.org/drawingml/2006/picture">
                      <pic:pic xmlns:pic="http://schemas.openxmlformats.org/drawingml/2006/picture">
                        <pic:nvPicPr>
                          <pic:cNvPr id="6"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指标评价内容</w:t>
            </w:r>
          </w:p>
        </w:tc>
        <w:tc>
          <w:tcPr>
            <w:tcW w:w="15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5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312"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5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环境卫生治理</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环境卫生治理</w:t>
            </w:r>
          </w:p>
        </w:tc>
      </w:tr>
      <w:tr>
        <w:tblPrEx>
          <w:tblCellMar>
            <w:top w:w="0" w:type="dxa"/>
            <w:left w:w="0" w:type="dxa"/>
            <w:bottom w:w="0" w:type="dxa"/>
            <w:right w:w="0" w:type="dxa"/>
          </w:tblCellMar>
        </w:tblPrEx>
        <w:trPr>
          <w:trHeight w:val="6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按时完工</w:t>
            </w:r>
          </w:p>
        </w:tc>
      </w:tr>
      <w:tr>
        <w:tblPrEx>
          <w:tblCellMar>
            <w:top w:w="0" w:type="dxa"/>
            <w:left w:w="0" w:type="dxa"/>
            <w:bottom w:w="0" w:type="dxa"/>
            <w:right w:w="0"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7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2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1个</w:t>
            </w:r>
          </w:p>
        </w:tc>
      </w:tr>
      <w:tr>
        <w:tblPrEx>
          <w:tblCellMar>
            <w:top w:w="0" w:type="dxa"/>
            <w:left w:w="0" w:type="dxa"/>
            <w:bottom w:w="0" w:type="dxa"/>
            <w:right w:w="0" w:type="dxa"/>
          </w:tblCellMar>
        </w:tblPrEx>
        <w:trPr>
          <w:trHeight w:val="10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73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4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44"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3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bdr w:val="single" w:color="000000" w:sz="4" w:space="0"/>
              </w:rPr>
              <w:drawing>
                <wp:anchor distT="0" distB="0" distL="114300" distR="114300" simplePos="0" relativeHeight="251676672"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7" name="直接连接符_6"/>
                  <wp:cNvGraphicFramePr/>
                  <a:graphic xmlns:a="http://schemas.openxmlformats.org/drawingml/2006/main">
                    <a:graphicData uri="http://schemas.openxmlformats.org/drawingml/2006/picture">
                      <pic:pic xmlns:pic="http://schemas.openxmlformats.org/drawingml/2006/picture">
                        <pic:nvPicPr>
                          <pic:cNvPr id="7"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kern w:val="0"/>
                <w:sz w:val="20"/>
                <w:szCs w:val="20"/>
                <w:bdr w:val="single" w:color="000000" w:sz="4" w:space="0"/>
              </w:rPr>
              <w:drawing>
                <wp:anchor distT="0" distB="0" distL="114300" distR="114300" simplePos="0" relativeHeight="25167769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3" name="直接连接符_5"/>
                  <wp:cNvGraphicFramePr/>
                  <a:graphic xmlns:a="http://schemas.openxmlformats.org/drawingml/2006/main">
                    <a:graphicData uri="http://schemas.openxmlformats.org/drawingml/2006/picture">
                      <pic:pic xmlns:pic="http://schemas.openxmlformats.org/drawingml/2006/picture">
                        <pic:nvPicPr>
                          <pic:cNvPr id="13"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80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7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提升人居生活环境及生活质量</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提升人居生活环境及生活质量</w:t>
            </w:r>
          </w:p>
        </w:tc>
      </w:tr>
      <w:tr>
        <w:tblPrEx>
          <w:tblCellMar>
            <w:top w:w="0" w:type="dxa"/>
            <w:left w:w="0" w:type="dxa"/>
            <w:bottom w:w="0" w:type="dxa"/>
            <w:right w:w="0" w:type="dxa"/>
          </w:tblCellMar>
        </w:tblPrEx>
        <w:trPr>
          <w:trHeight w:val="1276"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城市的整体形象得以提高，人居生活条件得以改善</w:t>
            </w:r>
          </w:p>
        </w:tc>
      </w:tr>
      <w:tr>
        <w:tblPrEx>
          <w:tblCellMar>
            <w:top w:w="0" w:type="dxa"/>
            <w:left w:w="0" w:type="dxa"/>
            <w:bottom w:w="0" w:type="dxa"/>
            <w:right w:w="0" w:type="dxa"/>
          </w:tblCellMar>
        </w:tblPrEx>
        <w:trPr>
          <w:trHeight w:val="7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城市的整体形象得以提高，人居生活条件得以改善</w:t>
            </w:r>
          </w:p>
        </w:tc>
      </w:tr>
      <w:tr>
        <w:tblPrEx>
          <w:tblCellMar>
            <w:top w:w="0" w:type="dxa"/>
            <w:left w:w="0" w:type="dxa"/>
            <w:bottom w:w="0" w:type="dxa"/>
            <w:right w:w="0" w:type="dxa"/>
          </w:tblCellMar>
        </w:tblPrEx>
        <w:trPr>
          <w:trHeight w:val="7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r>
              <w:rPr>
                <w:rFonts w:hint="eastAsia" w:ascii="宋体" w:hAnsi="宋体" w:cs="宋体"/>
                <w:color w:val="000000"/>
                <w:kern w:val="0"/>
                <w:sz w:val="20"/>
                <w:szCs w:val="20"/>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r>
              <w:rPr>
                <w:rFonts w:hint="eastAsia" w:ascii="宋体" w:hAnsi="宋体" w:cs="宋体"/>
                <w:color w:val="000000"/>
                <w:kern w:val="0"/>
                <w:sz w:val="20"/>
                <w:szCs w:val="20"/>
              </w:rPr>
              <w:t>城市的整体形象得以提高，人居生活条件得以改善</w:t>
            </w:r>
          </w:p>
        </w:tc>
      </w:tr>
      <w:tr>
        <w:tblPrEx>
          <w:tblCellMar>
            <w:top w:w="0" w:type="dxa"/>
            <w:left w:w="0" w:type="dxa"/>
            <w:bottom w:w="0" w:type="dxa"/>
            <w:right w:w="0" w:type="dxa"/>
          </w:tblCellMar>
        </w:tblPrEx>
        <w:trPr>
          <w:trHeight w:val="108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群众满意度高，使用效益高</w:t>
            </w:r>
          </w:p>
        </w:tc>
      </w:tr>
      <w:tr>
        <w:tblPrEx>
          <w:tblCellMar>
            <w:top w:w="0" w:type="dxa"/>
            <w:left w:w="0" w:type="dxa"/>
            <w:bottom w:w="0" w:type="dxa"/>
            <w:right w:w="0" w:type="dxa"/>
          </w:tblCellMar>
        </w:tblPrEx>
        <w:trPr>
          <w:trHeight w:val="555" w:hRule="atLeast"/>
        </w:trPr>
        <w:tc>
          <w:tcPr>
            <w:tcW w:w="9369" w:type="dxa"/>
            <w:gridSpan w:val="9"/>
            <w:tcBorders>
              <w:top w:val="nil"/>
              <w:left w:val="nil"/>
              <w:bottom w:val="nil"/>
              <w:right w:val="nil"/>
            </w:tcBorders>
            <w:shd w:val="clear" w:color="auto" w:fill="auto"/>
            <w:tcMar>
              <w:top w:w="15" w:type="dxa"/>
              <w:left w:w="15" w:type="dxa"/>
              <w:right w:w="15" w:type="dxa"/>
            </w:tcMar>
            <w:vAlign w:val="center"/>
          </w:tcPr>
          <w:p>
            <w:pPr>
              <w:widowControl/>
              <w:textAlignment w:val="center"/>
              <w:rPr>
                <w:rFonts w:ascii="宋体" w:hAnsi="宋体" w:cs="宋体"/>
                <w:color w:val="000000"/>
                <w:kern w:val="0"/>
                <w:sz w:val="24"/>
              </w:rPr>
            </w:pPr>
          </w:p>
          <w:p>
            <w:pPr>
              <w:widowControl/>
              <w:jc w:val="center"/>
              <w:textAlignment w:val="center"/>
              <w:rPr>
                <w:rFonts w:ascii="宋体" w:hAnsi="宋体" w:cs="宋体"/>
                <w:color w:val="000000"/>
                <w:kern w:val="0"/>
                <w:sz w:val="24"/>
              </w:rPr>
            </w:pPr>
          </w:p>
          <w:p>
            <w:pPr>
              <w:widowControl/>
              <w:jc w:val="center"/>
              <w:textAlignment w:val="center"/>
              <w:rPr>
                <w:rFonts w:ascii="宋体" w:hAnsi="宋体" w:cs="宋体"/>
                <w:color w:val="000000"/>
                <w:kern w:val="0"/>
                <w:sz w:val="24"/>
              </w:rPr>
            </w:pPr>
          </w:p>
          <w:p>
            <w:pPr>
              <w:widowControl/>
              <w:jc w:val="center"/>
              <w:textAlignment w:val="center"/>
              <w:rPr>
                <w:rFonts w:ascii="宋体" w:hAnsi="宋体" w:cs="宋体"/>
                <w:color w:val="000000"/>
                <w:kern w:val="0"/>
                <w:sz w:val="24"/>
              </w:rPr>
            </w:pPr>
          </w:p>
          <w:p>
            <w:pPr>
              <w:widowControl/>
              <w:jc w:val="center"/>
              <w:textAlignment w:val="center"/>
              <w:rPr>
                <w:rFonts w:ascii="宋体" w:hAnsi="宋体" w:cs="宋体"/>
                <w:color w:val="000000"/>
                <w:kern w:val="0"/>
                <w:sz w:val="24"/>
              </w:rPr>
            </w:pPr>
          </w:p>
          <w:p>
            <w:pPr>
              <w:widowControl/>
              <w:jc w:val="center"/>
              <w:textAlignment w:val="center"/>
              <w:rPr>
                <w:rFonts w:ascii="宋体" w:hAnsi="宋体" w:cs="宋体"/>
                <w:color w:val="000000"/>
                <w:kern w:val="0"/>
                <w:sz w:val="24"/>
              </w:rPr>
            </w:pPr>
          </w:p>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项目支出绩效目标完成情况表3</w:t>
            </w:r>
          </w:p>
        </w:tc>
      </w:tr>
      <w:tr>
        <w:tblPrEx>
          <w:tblCellMar>
            <w:top w:w="0" w:type="dxa"/>
            <w:left w:w="0" w:type="dxa"/>
            <w:bottom w:w="0" w:type="dxa"/>
            <w:right w:w="0" w:type="dxa"/>
          </w:tblCellMar>
        </w:tblPrEx>
        <w:trPr>
          <w:trHeight w:val="555" w:hRule="atLeast"/>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项目名称</w:t>
            </w:r>
          </w:p>
        </w:tc>
        <w:tc>
          <w:tcPr>
            <w:tcW w:w="653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幸福美丽家园扶贫新村建设项目</w:t>
            </w:r>
          </w:p>
        </w:tc>
      </w:tr>
      <w:tr>
        <w:tblPrEx>
          <w:tblCellMar>
            <w:top w:w="0" w:type="dxa"/>
            <w:left w:w="0" w:type="dxa"/>
            <w:bottom w:w="0" w:type="dxa"/>
            <w:right w:w="0" w:type="dxa"/>
          </w:tblCellMar>
        </w:tblPrEx>
        <w:trPr>
          <w:trHeight w:val="555" w:hRule="atLeast"/>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预算单位</w:t>
            </w:r>
          </w:p>
        </w:tc>
        <w:tc>
          <w:tcPr>
            <w:tcW w:w="653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红原县阿木</w:t>
            </w:r>
            <w:r>
              <w:rPr>
                <w:rFonts w:hint="eastAsia" w:ascii="宋体" w:hAnsi="宋体" w:cs="宋体"/>
                <w:color w:val="000000"/>
                <w:kern w:val="0"/>
                <w:sz w:val="24"/>
                <w:lang w:eastAsia="zh-CN"/>
              </w:rPr>
              <w:t>乡</w:t>
            </w:r>
            <w:r>
              <w:rPr>
                <w:rFonts w:hint="eastAsia" w:ascii="宋体" w:hAnsi="宋体" w:cs="宋体"/>
                <w:color w:val="000000"/>
                <w:kern w:val="0"/>
                <w:sz w:val="24"/>
              </w:rPr>
              <w:t>人民政府</w:t>
            </w:r>
          </w:p>
        </w:tc>
      </w:tr>
      <w:tr>
        <w:tblPrEx>
          <w:tblCellMar>
            <w:top w:w="0" w:type="dxa"/>
            <w:left w:w="0" w:type="dxa"/>
            <w:bottom w:w="0" w:type="dxa"/>
            <w:right w:w="0" w:type="dxa"/>
          </w:tblCellMar>
        </w:tblPrEx>
        <w:trPr>
          <w:trHeight w:val="55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预算执行情况(万元</w:t>
            </w: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81.87万元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执行数:</w:t>
            </w:r>
          </w:p>
        </w:tc>
        <w:tc>
          <w:tcPr>
            <w:tcW w:w="29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91.68万元</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81.87万元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29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91.68万元</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其它资金:</w:t>
            </w:r>
          </w:p>
        </w:tc>
        <w:tc>
          <w:tcPr>
            <w:tcW w:w="29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0</w:t>
            </w:r>
          </w:p>
        </w:tc>
      </w:tr>
      <w:tr>
        <w:tblPrEx>
          <w:tblCellMar>
            <w:top w:w="0" w:type="dxa"/>
            <w:left w:w="0" w:type="dxa"/>
            <w:bottom w:w="0" w:type="dxa"/>
            <w:right w:w="0" w:type="dxa"/>
          </w:tblCellMar>
        </w:tblPrEx>
        <w:trPr>
          <w:trHeight w:val="55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年度目标完成情况</w:t>
            </w: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预期目标</w:t>
            </w:r>
          </w:p>
        </w:tc>
        <w:tc>
          <w:tcPr>
            <w:tcW w:w="579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9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建设室内篮球场</w:t>
            </w:r>
          </w:p>
        </w:tc>
        <w:tc>
          <w:tcPr>
            <w:tcW w:w="579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已修建并验收合格室内篮球场</w:t>
            </w:r>
          </w:p>
        </w:tc>
      </w:tr>
      <w:tr>
        <w:tblPrEx>
          <w:tblCellMar>
            <w:top w:w="0" w:type="dxa"/>
            <w:left w:w="0" w:type="dxa"/>
            <w:bottom w:w="0" w:type="dxa"/>
            <w:right w:w="0" w:type="dxa"/>
          </w:tblCellMar>
        </w:tblPrEx>
        <w:trPr>
          <w:trHeight w:val="55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绩效指标完成情况</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drawing>
                <wp:anchor distT="0" distB="0" distL="114300" distR="114300" simplePos="0" relativeHeight="25167872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4" name="直接连接符_10"/>
                  <wp:cNvGraphicFramePr/>
                  <a:graphic xmlns:a="http://schemas.openxmlformats.org/drawingml/2006/main">
                    <a:graphicData uri="http://schemas.openxmlformats.org/drawingml/2006/picture">
                      <pic:pic xmlns:pic="http://schemas.openxmlformats.org/drawingml/2006/picture">
                        <pic:nvPicPr>
                          <pic:cNvPr id="14"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rPr>
              <w:drawing>
                <wp:anchor distT="0" distB="0" distL="114300" distR="114300" simplePos="0" relativeHeight="25167974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5" name="直接连接符_8"/>
                  <wp:cNvGraphicFramePr/>
                  <a:graphic xmlns:a="http://schemas.openxmlformats.org/drawingml/2006/main">
                    <a:graphicData uri="http://schemas.openxmlformats.org/drawingml/2006/picture">
                      <pic:pic xmlns:pic="http://schemas.openxmlformats.org/drawingml/2006/picture">
                        <pic:nvPicPr>
                          <pic:cNvPr id="15"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rPr>
              <w:drawing>
                <wp:anchor distT="0" distB="0" distL="114300" distR="114300" simplePos="0" relativeHeight="25168076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6" name="直接连接符_9"/>
                  <wp:cNvGraphicFramePr/>
                  <a:graphic xmlns:a="http://schemas.openxmlformats.org/drawingml/2006/main">
                    <a:graphicData uri="http://schemas.openxmlformats.org/drawingml/2006/picture">
                      <pic:pic xmlns:pic="http://schemas.openxmlformats.org/drawingml/2006/picture">
                        <pic:nvPicPr>
                          <pic:cNvPr id="16"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rPr>
              <w:drawing>
                <wp:anchor distT="0" distB="0" distL="114300" distR="114300" simplePos="0" relativeHeight="25168179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7" name="直接连接符_7"/>
                  <wp:cNvGraphicFramePr/>
                  <a:graphic xmlns:a="http://schemas.openxmlformats.org/drawingml/2006/main">
                    <a:graphicData uri="http://schemas.openxmlformats.org/drawingml/2006/picture">
                      <pic:pic xmlns:pic="http://schemas.openxmlformats.org/drawingml/2006/picture">
                        <pic:nvPicPr>
                          <pic:cNvPr id="17"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指标评价内容</w:t>
            </w:r>
          </w:p>
        </w:tc>
        <w:tc>
          <w:tcPr>
            <w:tcW w:w="15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5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312"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5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修建室内篮球场</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修建室内篮球场</w:t>
            </w:r>
          </w:p>
        </w:tc>
      </w:tr>
      <w:tr>
        <w:tblPrEx>
          <w:tblCellMar>
            <w:top w:w="0" w:type="dxa"/>
            <w:left w:w="0" w:type="dxa"/>
            <w:bottom w:w="0" w:type="dxa"/>
            <w:right w:w="0" w:type="dxa"/>
          </w:tblCellMar>
        </w:tblPrEx>
        <w:trPr>
          <w:trHeight w:val="6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按时完工</w:t>
            </w:r>
          </w:p>
        </w:tc>
      </w:tr>
      <w:tr>
        <w:tblPrEx>
          <w:tblCellMar>
            <w:top w:w="0" w:type="dxa"/>
            <w:left w:w="0" w:type="dxa"/>
            <w:bottom w:w="0" w:type="dxa"/>
            <w:right w:w="0"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7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2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1个</w:t>
            </w:r>
          </w:p>
        </w:tc>
      </w:tr>
      <w:tr>
        <w:tblPrEx>
          <w:tblCellMar>
            <w:top w:w="0" w:type="dxa"/>
            <w:left w:w="0" w:type="dxa"/>
            <w:bottom w:w="0" w:type="dxa"/>
            <w:right w:w="0" w:type="dxa"/>
          </w:tblCellMar>
        </w:tblPrEx>
        <w:trPr>
          <w:trHeight w:val="10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73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4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44"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3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bdr w:val="single" w:color="000000" w:sz="4" w:space="0"/>
              </w:rPr>
              <w:drawing>
                <wp:anchor distT="0" distB="0" distL="114300" distR="114300" simplePos="0" relativeHeight="25168281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8" name="直接连接符_6"/>
                  <wp:cNvGraphicFramePr/>
                  <a:graphic xmlns:a="http://schemas.openxmlformats.org/drawingml/2006/main">
                    <a:graphicData uri="http://schemas.openxmlformats.org/drawingml/2006/picture">
                      <pic:pic xmlns:pic="http://schemas.openxmlformats.org/drawingml/2006/picture">
                        <pic:nvPicPr>
                          <pic:cNvPr id="18"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kern w:val="0"/>
                <w:sz w:val="20"/>
                <w:szCs w:val="20"/>
                <w:bdr w:val="single" w:color="000000" w:sz="4" w:space="0"/>
              </w:rPr>
              <w:drawing>
                <wp:anchor distT="0" distB="0" distL="114300" distR="114300" simplePos="0" relativeHeight="251683840"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9" name="直接连接符_5"/>
                  <wp:cNvGraphicFramePr/>
                  <a:graphic xmlns:a="http://schemas.openxmlformats.org/drawingml/2006/main">
                    <a:graphicData uri="http://schemas.openxmlformats.org/drawingml/2006/picture">
                      <pic:pic xmlns:pic="http://schemas.openxmlformats.org/drawingml/2006/picture">
                        <pic:nvPicPr>
                          <pic:cNvPr id="19"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80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7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提升人居生活环境及生活质量</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提升人居生活环境及生活质量</w:t>
            </w:r>
          </w:p>
        </w:tc>
      </w:tr>
      <w:tr>
        <w:tblPrEx>
          <w:tblCellMar>
            <w:top w:w="0" w:type="dxa"/>
            <w:left w:w="0" w:type="dxa"/>
            <w:bottom w:w="0" w:type="dxa"/>
            <w:right w:w="0" w:type="dxa"/>
          </w:tblCellMar>
        </w:tblPrEx>
        <w:trPr>
          <w:trHeight w:val="1276"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城市的整体形象得以提高，人居生活条件得以改善</w:t>
            </w:r>
          </w:p>
        </w:tc>
      </w:tr>
      <w:tr>
        <w:tblPrEx>
          <w:tblCellMar>
            <w:top w:w="0" w:type="dxa"/>
            <w:left w:w="0" w:type="dxa"/>
            <w:bottom w:w="0" w:type="dxa"/>
            <w:right w:w="0" w:type="dxa"/>
          </w:tblCellMar>
        </w:tblPrEx>
        <w:trPr>
          <w:trHeight w:val="7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城市的整体形象得以提高，人居生活条件得以改善</w:t>
            </w:r>
          </w:p>
        </w:tc>
      </w:tr>
      <w:tr>
        <w:tblPrEx>
          <w:tblCellMar>
            <w:top w:w="0" w:type="dxa"/>
            <w:left w:w="0" w:type="dxa"/>
            <w:bottom w:w="0" w:type="dxa"/>
            <w:right w:w="0" w:type="dxa"/>
          </w:tblCellMar>
        </w:tblPrEx>
        <w:trPr>
          <w:trHeight w:val="7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r>
              <w:rPr>
                <w:rFonts w:hint="eastAsia" w:ascii="宋体" w:hAnsi="宋体" w:cs="宋体"/>
                <w:color w:val="000000"/>
                <w:kern w:val="0"/>
                <w:sz w:val="20"/>
                <w:szCs w:val="20"/>
              </w:rPr>
              <w:t>修建室内篮球场，丰富群众生活</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r>
              <w:rPr>
                <w:rFonts w:hint="eastAsia" w:ascii="宋体" w:hAnsi="宋体" w:cs="宋体"/>
                <w:color w:val="000000"/>
                <w:kern w:val="0"/>
                <w:sz w:val="20"/>
                <w:szCs w:val="20"/>
              </w:rPr>
              <w:t>修建室内篮球场，丰富群众生活</w:t>
            </w:r>
          </w:p>
        </w:tc>
      </w:tr>
      <w:tr>
        <w:tblPrEx>
          <w:tblCellMar>
            <w:top w:w="0" w:type="dxa"/>
            <w:left w:w="0" w:type="dxa"/>
            <w:bottom w:w="0" w:type="dxa"/>
            <w:right w:w="0" w:type="dxa"/>
          </w:tblCellMar>
        </w:tblPrEx>
        <w:trPr>
          <w:trHeight w:val="108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群众满意度高，使用效益高</w:t>
            </w:r>
          </w:p>
        </w:tc>
      </w:tr>
      <w:tr>
        <w:tblPrEx>
          <w:tblCellMar>
            <w:top w:w="0" w:type="dxa"/>
            <w:left w:w="0" w:type="dxa"/>
            <w:bottom w:w="0" w:type="dxa"/>
            <w:right w:w="0" w:type="dxa"/>
          </w:tblCellMar>
        </w:tblPrEx>
        <w:trPr>
          <w:trHeight w:val="555" w:hRule="atLeast"/>
        </w:trPr>
        <w:tc>
          <w:tcPr>
            <w:tcW w:w="9369" w:type="dxa"/>
            <w:gridSpan w:val="9"/>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p>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项目支出绩效目标完成情况表4</w:t>
            </w:r>
          </w:p>
        </w:tc>
      </w:tr>
      <w:tr>
        <w:tblPrEx>
          <w:tblCellMar>
            <w:top w:w="0" w:type="dxa"/>
            <w:left w:w="0" w:type="dxa"/>
            <w:bottom w:w="0" w:type="dxa"/>
            <w:right w:w="0" w:type="dxa"/>
          </w:tblCellMar>
        </w:tblPrEx>
        <w:trPr>
          <w:trHeight w:val="555" w:hRule="atLeast"/>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项目名称</w:t>
            </w:r>
          </w:p>
        </w:tc>
        <w:tc>
          <w:tcPr>
            <w:tcW w:w="653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阿木乡路口节点广场建设项目</w:t>
            </w:r>
          </w:p>
        </w:tc>
      </w:tr>
      <w:tr>
        <w:tblPrEx>
          <w:tblCellMar>
            <w:top w:w="0" w:type="dxa"/>
            <w:left w:w="0" w:type="dxa"/>
            <w:bottom w:w="0" w:type="dxa"/>
            <w:right w:w="0" w:type="dxa"/>
          </w:tblCellMar>
        </w:tblPrEx>
        <w:trPr>
          <w:trHeight w:val="555" w:hRule="atLeast"/>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预算单位</w:t>
            </w:r>
          </w:p>
        </w:tc>
        <w:tc>
          <w:tcPr>
            <w:tcW w:w="653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红原县阿木乡人民政府</w:t>
            </w:r>
          </w:p>
        </w:tc>
      </w:tr>
      <w:tr>
        <w:tblPrEx>
          <w:tblCellMar>
            <w:top w:w="0" w:type="dxa"/>
            <w:left w:w="0" w:type="dxa"/>
            <w:bottom w:w="0" w:type="dxa"/>
            <w:right w:w="0" w:type="dxa"/>
          </w:tblCellMar>
        </w:tblPrEx>
        <w:trPr>
          <w:trHeight w:val="55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预算执行情况(万元</w:t>
            </w: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25万元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执行数:</w:t>
            </w:r>
          </w:p>
        </w:tc>
        <w:tc>
          <w:tcPr>
            <w:tcW w:w="29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61.8万元</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25万元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29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61.8万元</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其它资金:</w:t>
            </w:r>
          </w:p>
        </w:tc>
        <w:tc>
          <w:tcPr>
            <w:tcW w:w="29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0</w:t>
            </w:r>
          </w:p>
        </w:tc>
      </w:tr>
      <w:tr>
        <w:tblPrEx>
          <w:tblCellMar>
            <w:top w:w="0" w:type="dxa"/>
            <w:left w:w="0" w:type="dxa"/>
            <w:bottom w:w="0" w:type="dxa"/>
            <w:right w:w="0" w:type="dxa"/>
          </w:tblCellMar>
        </w:tblPrEx>
        <w:trPr>
          <w:trHeight w:val="55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年度目标完成情况</w:t>
            </w: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预期目标</w:t>
            </w:r>
          </w:p>
        </w:tc>
        <w:tc>
          <w:tcPr>
            <w:tcW w:w="579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9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打造阿木乡路口节点</w:t>
            </w:r>
          </w:p>
        </w:tc>
        <w:tc>
          <w:tcPr>
            <w:tcW w:w="579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项目已完工验收，2018年拨付质保金部分</w:t>
            </w:r>
          </w:p>
        </w:tc>
      </w:tr>
      <w:tr>
        <w:tblPrEx>
          <w:tblCellMar>
            <w:top w:w="0" w:type="dxa"/>
            <w:left w:w="0" w:type="dxa"/>
            <w:bottom w:w="0" w:type="dxa"/>
            <w:right w:w="0" w:type="dxa"/>
          </w:tblCellMar>
        </w:tblPrEx>
        <w:trPr>
          <w:trHeight w:val="55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绩效指标完成情况</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drawing>
                <wp:anchor distT="0" distB="0" distL="114300" distR="114300" simplePos="0" relativeHeight="2516848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2" name="直接连接符_10"/>
                  <wp:cNvGraphicFramePr/>
                  <a:graphic xmlns:a="http://schemas.openxmlformats.org/drawingml/2006/main">
                    <a:graphicData uri="http://schemas.openxmlformats.org/drawingml/2006/picture">
                      <pic:pic xmlns:pic="http://schemas.openxmlformats.org/drawingml/2006/picture">
                        <pic:nvPicPr>
                          <pic:cNvPr id="22"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rPr>
              <w:drawing>
                <wp:anchor distT="0" distB="0" distL="114300" distR="114300" simplePos="0" relativeHeight="2516858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3" name="直接连接符_8"/>
                  <wp:cNvGraphicFramePr/>
                  <a:graphic xmlns:a="http://schemas.openxmlformats.org/drawingml/2006/main">
                    <a:graphicData uri="http://schemas.openxmlformats.org/drawingml/2006/picture">
                      <pic:pic xmlns:pic="http://schemas.openxmlformats.org/drawingml/2006/picture">
                        <pic:nvPicPr>
                          <pic:cNvPr id="23"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rPr>
              <w:drawing>
                <wp:anchor distT="0" distB="0" distL="114300" distR="114300" simplePos="0" relativeHeight="2516869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4" name="直接连接符_9"/>
                  <wp:cNvGraphicFramePr/>
                  <a:graphic xmlns:a="http://schemas.openxmlformats.org/drawingml/2006/main">
                    <a:graphicData uri="http://schemas.openxmlformats.org/drawingml/2006/picture">
                      <pic:pic xmlns:pic="http://schemas.openxmlformats.org/drawingml/2006/picture">
                        <pic:nvPicPr>
                          <pic:cNvPr id="24"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rPr>
              <w:drawing>
                <wp:anchor distT="0" distB="0" distL="114300" distR="114300" simplePos="0" relativeHeight="2516879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5" name="直接连接符_7"/>
                  <wp:cNvGraphicFramePr/>
                  <a:graphic xmlns:a="http://schemas.openxmlformats.org/drawingml/2006/main">
                    <a:graphicData uri="http://schemas.openxmlformats.org/drawingml/2006/picture">
                      <pic:pic xmlns:pic="http://schemas.openxmlformats.org/drawingml/2006/picture">
                        <pic:nvPicPr>
                          <pic:cNvPr id="25"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指标评价内容</w:t>
            </w:r>
          </w:p>
        </w:tc>
        <w:tc>
          <w:tcPr>
            <w:tcW w:w="15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5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312"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5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打造阿木乡路口节点</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打造阿木乡路口节点</w:t>
            </w:r>
          </w:p>
        </w:tc>
      </w:tr>
      <w:tr>
        <w:tblPrEx>
          <w:tblCellMar>
            <w:top w:w="0" w:type="dxa"/>
            <w:left w:w="0" w:type="dxa"/>
            <w:bottom w:w="0" w:type="dxa"/>
            <w:right w:w="0" w:type="dxa"/>
          </w:tblCellMar>
        </w:tblPrEx>
        <w:trPr>
          <w:trHeight w:val="6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按时完工</w:t>
            </w:r>
          </w:p>
        </w:tc>
      </w:tr>
      <w:tr>
        <w:tblPrEx>
          <w:tblCellMar>
            <w:top w:w="0" w:type="dxa"/>
            <w:left w:w="0" w:type="dxa"/>
            <w:bottom w:w="0" w:type="dxa"/>
            <w:right w:w="0"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7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2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1个</w:t>
            </w:r>
          </w:p>
        </w:tc>
      </w:tr>
      <w:tr>
        <w:tblPrEx>
          <w:tblCellMar>
            <w:top w:w="0" w:type="dxa"/>
            <w:left w:w="0" w:type="dxa"/>
            <w:bottom w:w="0" w:type="dxa"/>
            <w:right w:w="0" w:type="dxa"/>
          </w:tblCellMar>
        </w:tblPrEx>
        <w:trPr>
          <w:trHeight w:val="10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73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4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44"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3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bdr w:val="single" w:color="000000" w:sz="4" w:space="0"/>
              </w:rPr>
              <w:drawing>
                <wp:anchor distT="0" distB="0" distL="114300" distR="114300" simplePos="0" relativeHeight="251688960"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30" name="直接连接符_6"/>
                  <wp:cNvGraphicFramePr/>
                  <a:graphic xmlns:a="http://schemas.openxmlformats.org/drawingml/2006/main">
                    <a:graphicData uri="http://schemas.openxmlformats.org/drawingml/2006/picture">
                      <pic:pic xmlns:pic="http://schemas.openxmlformats.org/drawingml/2006/picture">
                        <pic:nvPicPr>
                          <pic:cNvPr id="30"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kern w:val="0"/>
                <w:sz w:val="20"/>
                <w:szCs w:val="20"/>
                <w:bdr w:val="single" w:color="000000" w:sz="4" w:space="0"/>
              </w:rPr>
              <w:drawing>
                <wp:anchor distT="0" distB="0" distL="114300" distR="114300" simplePos="0" relativeHeight="25168998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31" name="直接连接符_5"/>
                  <wp:cNvGraphicFramePr/>
                  <a:graphic xmlns:a="http://schemas.openxmlformats.org/drawingml/2006/main">
                    <a:graphicData uri="http://schemas.openxmlformats.org/drawingml/2006/picture">
                      <pic:pic xmlns:pic="http://schemas.openxmlformats.org/drawingml/2006/picture">
                        <pic:nvPicPr>
                          <pic:cNvPr id="31"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80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7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提升人居生活环境及生活质量</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提升人居生活环境及生活质量</w:t>
            </w:r>
          </w:p>
        </w:tc>
      </w:tr>
      <w:tr>
        <w:tblPrEx>
          <w:tblCellMar>
            <w:top w:w="0" w:type="dxa"/>
            <w:left w:w="0" w:type="dxa"/>
            <w:bottom w:w="0" w:type="dxa"/>
            <w:right w:w="0" w:type="dxa"/>
          </w:tblCellMar>
        </w:tblPrEx>
        <w:trPr>
          <w:trHeight w:val="1276"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城市的整体形象得以提高，人居生活条件得以改善</w:t>
            </w:r>
          </w:p>
        </w:tc>
      </w:tr>
      <w:tr>
        <w:tblPrEx>
          <w:tblCellMar>
            <w:top w:w="0" w:type="dxa"/>
            <w:left w:w="0" w:type="dxa"/>
            <w:bottom w:w="0" w:type="dxa"/>
            <w:right w:w="0" w:type="dxa"/>
          </w:tblCellMar>
        </w:tblPrEx>
        <w:trPr>
          <w:trHeight w:val="7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城市的整体形象得以提高，人居生活条件得以改善</w:t>
            </w:r>
          </w:p>
        </w:tc>
      </w:tr>
      <w:tr>
        <w:tblPrEx>
          <w:tblCellMar>
            <w:top w:w="0" w:type="dxa"/>
            <w:left w:w="0" w:type="dxa"/>
            <w:bottom w:w="0" w:type="dxa"/>
            <w:right w:w="0" w:type="dxa"/>
          </w:tblCellMar>
        </w:tblPrEx>
        <w:trPr>
          <w:trHeight w:val="7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r>
              <w:rPr>
                <w:rFonts w:hint="eastAsia" w:ascii="宋体" w:hAnsi="宋体" w:cs="宋体"/>
                <w:color w:val="000000"/>
                <w:kern w:val="0"/>
                <w:sz w:val="20"/>
                <w:szCs w:val="20"/>
              </w:rPr>
              <w:t>打造阿木乡路口节点</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r>
              <w:rPr>
                <w:rFonts w:hint="eastAsia" w:ascii="宋体" w:hAnsi="宋体" w:cs="宋体"/>
                <w:color w:val="000000"/>
                <w:kern w:val="0"/>
                <w:sz w:val="20"/>
                <w:szCs w:val="20"/>
              </w:rPr>
              <w:t>打造阿木乡路口节点</w:t>
            </w:r>
          </w:p>
        </w:tc>
      </w:tr>
      <w:tr>
        <w:tblPrEx>
          <w:tblCellMar>
            <w:top w:w="0" w:type="dxa"/>
            <w:left w:w="0" w:type="dxa"/>
            <w:bottom w:w="0" w:type="dxa"/>
            <w:right w:w="0" w:type="dxa"/>
          </w:tblCellMar>
        </w:tblPrEx>
        <w:trPr>
          <w:trHeight w:val="108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群众满意度高，使用效益高</w:t>
            </w:r>
          </w:p>
        </w:tc>
      </w:tr>
      <w:tr>
        <w:tblPrEx>
          <w:tblCellMar>
            <w:top w:w="0" w:type="dxa"/>
            <w:left w:w="0" w:type="dxa"/>
            <w:bottom w:w="0" w:type="dxa"/>
            <w:right w:w="0" w:type="dxa"/>
          </w:tblCellMar>
        </w:tblPrEx>
        <w:trPr>
          <w:trHeight w:val="555" w:hRule="atLeast"/>
        </w:trPr>
        <w:tc>
          <w:tcPr>
            <w:tcW w:w="9369" w:type="dxa"/>
            <w:gridSpan w:val="9"/>
            <w:tcBorders>
              <w:top w:val="nil"/>
              <w:left w:val="nil"/>
              <w:bottom w:val="nil"/>
              <w:right w:val="nil"/>
            </w:tcBorders>
            <w:shd w:val="clear" w:color="auto" w:fill="auto"/>
            <w:tcMar>
              <w:top w:w="15" w:type="dxa"/>
              <w:left w:w="15" w:type="dxa"/>
              <w:right w:w="15" w:type="dxa"/>
            </w:tcMar>
            <w:vAlign w:val="center"/>
          </w:tcPr>
          <w:p>
            <w:pPr>
              <w:widowControl/>
              <w:textAlignment w:val="center"/>
              <w:rPr>
                <w:rFonts w:ascii="宋体" w:hAnsi="宋体" w:cs="宋体"/>
                <w:color w:val="000000"/>
                <w:kern w:val="0"/>
                <w:sz w:val="24"/>
              </w:rPr>
            </w:pPr>
          </w:p>
          <w:p>
            <w:pPr>
              <w:widowControl/>
              <w:jc w:val="center"/>
              <w:textAlignment w:val="center"/>
              <w:rPr>
                <w:rFonts w:ascii="宋体" w:hAnsi="宋体" w:cs="宋体"/>
                <w:color w:val="000000"/>
                <w:kern w:val="0"/>
                <w:sz w:val="24"/>
              </w:rPr>
            </w:pPr>
          </w:p>
          <w:p>
            <w:pPr>
              <w:widowControl/>
              <w:jc w:val="center"/>
              <w:textAlignment w:val="center"/>
              <w:rPr>
                <w:rFonts w:hint="eastAsia" w:ascii="宋体" w:hAnsi="宋体" w:cs="宋体"/>
                <w:color w:val="000000"/>
                <w:kern w:val="0"/>
                <w:sz w:val="24"/>
              </w:rPr>
            </w:pPr>
          </w:p>
          <w:p>
            <w:pPr>
              <w:widowControl/>
              <w:jc w:val="center"/>
              <w:textAlignment w:val="center"/>
              <w:rPr>
                <w:rFonts w:hint="eastAsia" w:ascii="宋体" w:hAnsi="宋体" w:cs="宋体"/>
                <w:color w:val="000000"/>
                <w:kern w:val="0"/>
                <w:sz w:val="24"/>
              </w:rPr>
            </w:pPr>
          </w:p>
          <w:p>
            <w:pPr>
              <w:widowControl/>
              <w:jc w:val="center"/>
              <w:textAlignment w:val="center"/>
              <w:rPr>
                <w:rFonts w:hint="eastAsia" w:ascii="宋体" w:hAnsi="宋体" w:cs="宋体"/>
                <w:color w:val="000000"/>
                <w:kern w:val="0"/>
                <w:sz w:val="24"/>
              </w:rPr>
            </w:pPr>
          </w:p>
          <w:p>
            <w:pPr>
              <w:widowControl/>
              <w:jc w:val="center"/>
              <w:textAlignment w:val="center"/>
              <w:rPr>
                <w:rFonts w:hint="eastAsia" w:ascii="宋体" w:hAnsi="宋体" w:cs="宋体"/>
                <w:color w:val="000000"/>
                <w:kern w:val="0"/>
                <w:sz w:val="24"/>
              </w:rPr>
            </w:pPr>
          </w:p>
          <w:p>
            <w:pPr>
              <w:widowControl/>
              <w:jc w:val="center"/>
              <w:textAlignment w:val="center"/>
              <w:rPr>
                <w:rFonts w:hint="eastAsia" w:ascii="宋体" w:hAnsi="宋体" w:cs="宋体"/>
                <w:color w:val="000000"/>
                <w:kern w:val="0"/>
                <w:sz w:val="24"/>
              </w:rPr>
            </w:pPr>
          </w:p>
          <w:p>
            <w:pPr>
              <w:widowControl/>
              <w:jc w:val="center"/>
              <w:textAlignment w:val="center"/>
              <w:rPr>
                <w:rFonts w:hint="eastAsia" w:ascii="宋体" w:hAnsi="宋体" w:cs="宋体"/>
                <w:color w:val="000000"/>
                <w:kern w:val="0"/>
                <w:sz w:val="24"/>
              </w:rPr>
            </w:pPr>
          </w:p>
          <w:p>
            <w:pPr>
              <w:widowControl/>
              <w:jc w:val="center"/>
              <w:textAlignment w:val="center"/>
              <w:rPr>
                <w:rFonts w:hint="eastAsia" w:ascii="宋体" w:hAnsi="宋体" w:cs="宋体"/>
                <w:color w:val="000000"/>
                <w:kern w:val="0"/>
                <w:sz w:val="24"/>
              </w:rPr>
            </w:pPr>
          </w:p>
          <w:p>
            <w:pPr>
              <w:widowControl/>
              <w:jc w:val="center"/>
              <w:textAlignment w:val="center"/>
              <w:rPr>
                <w:rFonts w:hint="eastAsia" w:ascii="宋体" w:hAnsi="宋体" w:cs="宋体"/>
                <w:color w:val="000000"/>
                <w:kern w:val="0"/>
                <w:sz w:val="24"/>
              </w:rPr>
            </w:pPr>
          </w:p>
          <w:p>
            <w:pPr>
              <w:widowControl/>
              <w:jc w:val="center"/>
              <w:textAlignment w:val="center"/>
              <w:rPr>
                <w:rFonts w:hint="eastAsia" w:ascii="宋体" w:hAnsi="宋体" w:cs="宋体"/>
                <w:color w:val="000000"/>
                <w:kern w:val="0"/>
                <w:sz w:val="24"/>
              </w:rPr>
            </w:pPr>
          </w:p>
          <w:p>
            <w:pPr>
              <w:widowControl/>
              <w:jc w:val="center"/>
              <w:textAlignment w:val="center"/>
              <w:rPr>
                <w:rFonts w:hint="eastAsia" w:ascii="宋体" w:hAnsi="宋体" w:cs="宋体"/>
                <w:color w:val="000000"/>
                <w:kern w:val="0"/>
                <w:sz w:val="24"/>
              </w:rPr>
            </w:pPr>
          </w:p>
          <w:p>
            <w:pPr>
              <w:widowControl/>
              <w:jc w:val="center"/>
              <w:textAlignment w:val="center"/>
              <w:rPr>
                <w:rFonts w:hint="eastAsia" w:ascii="宋体" w:hAnsi="宋体" w:cs="宋体"/>
                <w:color w:val="000000"/>
                <w:kern w:val="0"/>
                <w:sz w:val="24"/>
              </w:rPr>
            </w:pPr>
          </w:p>
          <w:p>
            <w:pPr>
              <w:widowControl/>
              <w:jc w:val="center"/>
              <w:textAlignment w:val="center"/>
              <w:rPr>
                <w:rFonts w:ascii="宋体" w:hAnsi="宋体" w:cs="宋体"/>
                <w:color w:val="000000"/>
                <w:kern w:val="0"/>
                <w:sz w:val="24"/>
              </w:rPr>
            </w:pPr>
          </w:p>
          <w:p>
            <w:pPr>
              <w:widowControl/>
              <w:jc w:val="center"/>
              <w:textAlignment w:val="center"/>
              <w:rPr>
                <w:rFonts w:ascii="宋体" w:hAnsi="宋体" w:cs="宋体"/>
                <w:color w:val="000000"/>
                <w:kern w:val="0"/>
                <w:sz w:val="24"/>
              </w:rPr>
            </w:pPr>
          </w:p>
          <w:p>
            <w:pPr>
              <w:widowControl/>
              <w:jc w:val="center"/>
              <w:textAlignment w:val="center"/>
              <w:rPr>
                <w:rFonts w:ascii="宋体" w:hAnsi="宋体" w:cs="宋体"/>
                <w:color w:val="000000"/>
                <w:kern w:val="0"/>
                <w:sz w:val="24"/>
              </w:rPr>
            </w:pPr>
          </w:p>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项目支出绩效目标完成情况表5</w:t>
            </w:r>
          </w:p>
        </w:tc>
      </w:tr>
      <w:tr>
        <w:tblPrEx>
          <w:tblCellMar>
            <w:top w:w="0" w:type="dxa"/>
            <w:left w:w="0" w:type="dxa"/>
            <w:bottom w:w="0" w:type="dxa"/>
            <w:right w:w="0" w:type="dxa"/>
          </w:tblCellMar>
        </w:tblPrEx>
        <w:trPr>
          <w:trHeight w:val="555" w:hRule="atLeast"/>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项目名称</w:t>
            </w:r>
          </w:p>
        </w:tc>
        <w:tc>
          <w:tcPr>
            <w:tcW w:w="653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村级运行维护项目修建改造乡公共厕所、建设牧道</w:t>
            </w:r>
          </w:p>
        </w:tc>
      </w:tr>
      <w:tr>
        <w:tblPrEx>
          <w:tblCellMar>
            <w:top w:w="0" w:type="dxa"/>
            <w:left w:w="0" w:type="dxa"/>
            <w:bottom w:w="0" w:type="dxa"/>
            <w:right w:w="0" w:type="dxa"/>
          </w:tblCellMar>
        </w:tblPrEx>
        <w:trPr>
          <w:trHeight w:val="555" w:hRule="atLeast"/>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预算单位</w:t>
            </w:r>
          </w:p>
        </w:tc>
        <w:tc>
          <w:tcPr>
            <w:tcW w:w="653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阿木乡人民政府</w:t>
            </w:r>
          </w:p>
        </w:tc>
      </w:tr>
      <w:tr>
        <w:tblPrEx>
          <w:tblCellMar>
            <w:top w:w="0" w:type="dxa"/>
            <w:left w:w="0" w:type="dxa"/>
            <w:bottom w:w="0" w:type="dxa"/>
            <w:right w:w="0" w:type="dxa"/>
          </w:tblCellMar>
        </w:tblPrEx>
        <w:trPr>
          <w:trHeight w:val="55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预算执行情况(万元</w:t>
            </w: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60.71万元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执行数:</w:t>
            </w:r>
          </w:p>
        </w:tc>
        <w:tc>
          <w:tcPr>
            <w:tcW w:w="29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52.52万元</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60.71万元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其中-财政拨款:</w:t>
            </w:r>
          </w:p>
        </w:tc>
        <w:tc>
          <w:tcPr>
            <w:tcW w:w="29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52.52万元</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其它资金:</w:t>
            </w:r>
          </w:p>
        </w:tc>
        <w:tc>
          <w:tcPr>
            <w:tcW w:w="29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0</w:t>
            </w:r>
          </w:p>
        </w:tc>
      </w:tr>
      <w:tr>
        <w:tblPrEx>
          <w:tblCellMar>
            <w:top w:w="0" w:type="dxa"/>
            <w:left w:w="0" w:type="dxa"/>
            <w:bottom w:w="0" w:type="dxa"/>
            <w:right w:w="0" w:type="dxa"/>
          </w:tblCellMar>
        </w:tblPrEx>
        <w:trPr>
          <w:trHeight w:val="55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年度目标完成情况</w:t>
            </w: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预期目标</w:t>
            </w:r>
          </w:p>
        </w:tc>
        <w:tc>
          <w:tcPr>
            <w:tcW w:w="579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9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0"/>
                <w:szCs w:val="20"/>
              </w:rPr>
              <w:t>城市的整体形象得以提高，人居生活条件得以改善</w:t>
            </w:r>
          </w:p>
        </w:tc>
        <w:tc>
          <w:tcPr>
            <w:tcW w:w="579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通过六个月的时间完成了定居点公共厕所改造项目、牧道建设验收完成，项目剩余质保金部分未拨付</w:t>
            </w:r>
            <w:r>
              <w:rPr>
                <w:rFonts w:hint="eastAsia" w:ascii="仿宋_GB2312" w:hAnsi="仿宋_GB2312" w:eastAsia="仿宋_GB2312" w:cs="仿宋_GB2312"/>
                <w:sz w:val="32"/>
                <w:szCs w:val="32"/>
              </w:rPr>
              <w:t>。</w:t>
            </w:r>
          </w:p>
        </w:tc>
      </w:tr>
      <w:tr>
        <w:tblPrEx>
          <w:tblCellMar>
            <w:top w:w="0" w:type="dxa"/>
            <w:left w:w="0" w:type="dxa"/>
            <w:bottom w:w="0" w:type="dxa"/>
            <w:right w:w="0" w:type="dxa"/>
          </w:tblCellMar>
        </w:tblPrEx>
        <w:trPr>
          <w:trHeight w:val="55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绩效指标完成情况</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drawing>
                <wp:anchor distT="0" distB="0" distL="114300" distR="114300" simplePos="0" relativeHeight="25166643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6" name="直接连接符_10"/>
                  <wp:cNvGraphicFramePr/>
                  <a:graphic xmlns:a="http://schemas.openxmlformats.org/drawingml/2006/main">
                    <a:graphicData uri="http://schemas.openxmlformats.org/drawingml/2006/picture">
                      <pic:pic xmlns:pic="http://schemas.openxmlformats.org/drawingml/2006/picture">
                        <pic:nvPicPr>
                          <pic:cNvPr id="26"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rPr>
              <w:drawing>
                <wp:anchor distT="0" distB="0" distL="114300" distR="114300" simplePos="0" relativeHeight="25166745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7" name="直接连接符_8"/>
                  <wp:cNvGraphicFramePr/>
                  <a:graphic xmlns:a="http://schemas.openxmlformats.org/drawingml/2006/main">
                    <a:graphicData uri="http://schemas.openxmlformats.org/drawingml/2006/picture">
                      <pic:pic xmlns:pic="http://schemas.openxmlformats.org/drawingml/2006/picture">
                        <pic:nvPicPr>
                          <pic:cNvPr id="27"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rPr>
              <w:drawing>
                <wp:anchor distT="0" distB="0" distL="114300" distR="114300" simplePos="0" relativeHeight="25166848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8" name="直接连接符_9"/>
                  <wp:cNvGraphicFramePr/>
                  <a:graphic xmlns:a="http://schemas.openxmlformats.org/drawingml/2006/main">
                    <a:graphicData uri="http://schemas.openxmlformats.org/drawingml/2006/picture">
                      <pic:pic xmlns:pic="http://schemas.openxmlformats.org/drawingml/2006/picture">
                        <pic:nvPicPr>
                          <pic:cNvPr id="28"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rPr>
              <w:drawing>
                <wp:anchor distT="0" distB="0" distL="114300" distR="114300" simplePos="0" relativeHeight="25166950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9" name="直接连接符_7"/>
                  <wp:cNvGraphicFramePr/>
                  <a:graphic xmlns:a="http://schemas.openxmlformats.org/drawingml/2006/main">
                    <a:graphicData uri="http://schemas.openxmlformats.org/drawingml/2006/picture">
                      <pic:pic xmlns:pic="http://schemas.openxmlformats.org/drawingml/2006/picture">
                        <pic:nvPicPr>
                          <pic:cNvPr id="29"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指标评价内容</w:t>
            </w:r>
          </w:p>
        </w:tc>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预期指标值(包含数字及文字描述)</w:t>
            </w:r>
          </w:p>
        </w:tc>
        <w:tc>
          <w:tcPr>
            <w:tcW w:w="14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4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312"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4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color w:val="000000"/>
                <w:sz w:val="20"/>
                <w:szCs w:val="20"/>
              </w:rPr>
            </w:pPr>
            <w:r>
              <w:rPr>
                <w:rFonts w:hint="eastAsia" w:ascii="宋体" w:hAnsi="宋体" w:cs="宋体"/>
                <w:color w:val="000000"/>
                <w:sz w:val="20"/>
                <w:szCs w:val="20"/>
              </w:rPr>
              <w:t>修建改造乡公共厕所、建设牧道</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color w:val="000000"/>
                <w:sz w:val="20"/>
                <w:szCs w:val="20"/>
              </w:rPr>
            </w:pPr>
            <w:r>
              <w:rPr>
                <w:rFonts w:hint="eastAsia" w:ascii="宋体" w:hAnsi="宋体" w:cs="宋体"/>
                <w:color w:val="000000"/>
                <w:sz w:val="20"/>
                <w:szCs w:val="20"/>
              </w:rPr>
              <w:t>修建改造乡公共厕所、建设牧道</w:t>
            </w:r>
          </w:p>
        </w:tc>
      </w:tr>
      <w:tr>
        <w:tblPrEx>
          <w:tblCellMar>
            <w:top w:w="0" w:type="dxa"/>
            <w:left w:w="0" w:type="dxa"/>
            <w:bottom w:w="0" w:type="dxa"/>
            <w:right w:w="0" w:type="dxa"/>
          </w:tblCellMar>
        </w:tblPrEx>
        <w:trPr>
          <w:trHeight w:val="6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按照工期进度表进行</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按时完工</w:t>
            </w:r>
          </w:p>
        </w:tc>
      </w:tr>
      <w:tr>
        <w:tblPrEx>
          <w:tblCellMar>
            <w:top w:w="0" w:type="dxa"/>
            <w:left w:w="0" w:type="dxa"/>
            <w:bottom w:w="0" w:type="dxa"/>
            <w:right w:w="0"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2</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2</w:t>
            </w: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7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2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2个</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2个</w:t>
            </w:r>
          </w:p>
        </w:tc>
      </w:tr>
      <w:tr>
        <w:tblPrEx>
          <w:tblCellMar>
            <w:top w:w="0" w:type="dxa"/>
            <w:left w:w="0" w:type="dxa"/>
            <w:bottom w:w="0" w:type="dxa"/>
            <w:right w:w="0" w:type="dxa"/>
          </w:tblCellMar>
        </w:tblPrEx>
        <w:trPr>
          <w:trHeight w:val="10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73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4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44"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3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bdr w:val="single" w:color="000000" w:sz="4" w:space="0"/>
              </w:rPr>
              <w:drawing>
                <wp:anchor distT="0" distB="0" distL="114300" distR="114300" simplePos="0" relativeHeight="251670528"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20" name="直接连接符_6"/>
                  <wp:cNvGraphicFramePr/>
                  <a:graphic xmlns:a="http://schemas.openxmlformats.org/drawingml/2006/main">
                    <a:graphicData uri="http://schemas.openxmlformats.org/drawingml/2006/picture">
                      <pic:pic xmlns:pic="http://schemas.openxmlformats.org/drawingml/2006/picture">
                        <pic:nvPicPr>
                          <pic:cNvPr id="20"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kern w:val="0"/>
                <w:sz w:val="20"/>
                <w:szCs w:val="20"/>
                <w:bdr w:val="single" w:color="000000" w:sz="4" w:space="0"/>
              </w:rPr>
              <w:drawing>
                <wp:anchor distT="0" distB="0" distL="114300" distR="114300" simplePos="0" relativeHeight="251671552"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21" name="直接连接符_5"/>
                  <wp:cNvGraphicFramePr/>
                  <a:graphic xmlns:a="http://schemas.openxmlformats.org/drawingml/2006/main">
                    <a:graphicData uri="http://schemas.openxmlformats.org/drawingml/2006/picture">
                      <pic:pic xmlns:pic="http://schemas.openxmlformats.org/drawingml/2006/picture">
                        <pic:nvPicPr>
                          <pic:cNvPr id="21"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80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7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提升人居生活环境及生活质量</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提升人居生活环境及生活质量</w:t>
            </w:r>
          </w:p>
        </w:tc>
      </w:tr>
      <w:tr>
        <w:tblPrEx>
          <w:tblCellMar>
            <w:top w:w="0" w:type="dxa"/>
            <w:left w:w="0" w:type="dxa"/>
            <w:bottom w:w="0" w:type="dxa"/>
            <w:right w:w="0" w:type="dxa"/>
          </w:tblCellMar>
        </w:tblPrEx>
        <w:trPr>
          <w:trHeight w:val="1276"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城市的整体形象得以提高，人居生活条件得以改善</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城市的整体形象得以提高，人居生活条件得以改善</w:t>
            </w:r>
          </w:p>
        </w:tc>
      </w:tr>
      <w:tr>
        <w:tblPrEx>
          <w:tblCellMar>
            <w:top w:w="0" w:type="dxa"/>
            <w:left w:w="0" w:type="dxa"/>
            <w:bottom w:w="0" w:type="dxa"/>
            <w:right w:w="0" w:type="dxa"/>
          </w:tblCellMar>
        </w:tblPrEx>
        <w:trPr>
          <w:trHeight w:val="7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城市的整体形象得以提高，人居生活条件得以改善</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城市的整体形象得以提高，人居生活条件得以改善</w:t>
            </w:r>
          </w:p>
        </w:tc>
      </w:tr>
      <w:tr>
        <w:tblPrEx>
          <w:tblCellMar>
            <w:top w:w="0" w:type="dxa"/>
            <w:left w:w="0" w:type="dxa"/>
            <w:bottom w:w="0" w:type="dxa"/>
            <w:right w:w="0" w:type="dxa"/>
          </w:tblCellMar>
        </w:tblPrEx>
        <w:trPr>
          <w:trHeight w:val="7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r>
              <w:rPr>
                <w:rFonts w:hint="eastAsia" w:ascii="宋体" w:hAnsi="宋体" w:cs="宋体"/>
                <w:color w:val="000000"/>
                <w:sz w:val="20"/>
                <w:szCs w:val="20"/>
              </w:rPr>
              <w:t>11个定居点公共厕所改造，建设5公里牧道</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r>
              <w:rPr>
                <w:rFonts w:hint="eastAsia" w:ascii="宋体" w:hAnsi="宋体" w:cs="宋体"/>
                <w:color w:val="000000"/>
                <w:sz w:val="20"/>
                <w:szCs w:val="20"/>
              </w:rPr>
              <w:t>11个定居点公共厕所改造，建设5公里牧道</w:t>
            </w:r>
          </w:p>
        </w:tc>
      </w:tr>
      <w:tr>
        <w:tblPrEx>
          <w:tblCellMar>
            <w:top w:w="0" w:type="dxa"/>
            <w:left w:w="0" w:type="dxa"/>
            <w:bottom w:w="0" w:type="dxa"/>
            <w:right w:w="0" w:type="dxa"/>
          </w:tblCellMar>
        </w:tblPrEx>
        <w:trPr>
          <w:trHeight w:val="108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群众满意度高，使用效益高</w:t>
            </w:r>
          </w:p>
        </w:tc>
        <w:tc>
          <w:tcPr>
            <w:tcW w:w="14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群众满意度高，使用效益高</w:t>
            </w:r>
          </w:p>
        </w:tc>
      </w:tr>
    </w:tbl>
    <w:p>
      <w:pPr>
        <w:numPr>
          <w:ilvl w:val="0"/>
          <w:numId w:val="7"/>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本部门按要求对2018年部门整体支出绩效评价情况开展自评，《红原县阿木乡人民政府2018年部门整体支出绩效评价报告》见附件。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w:t>
      </w:r>
      <w:r>
        <w:rPr>
          <w:rFonts w:hint="eastAsia" w:ascii="仿宋_GB2312" w:hAnsi="仿宋_GB2312" w:eastAsia="仿宋_GB2312" w:cs="仿宋_GB2312"/>
          <w:sz w:val="32"/>
          <w:szCs w:val="32"/>
          <w:lang w:val="en-US" w:eastAsia="zh-CN"/>
        </w:rPr>
        <w:t>2018年未</w:t>
      </w:r>
      <w:r>
        <w:rPr>
          <w:rFonts w:hint="eastAsia" w:ascii="仿宋_GB2312" w:hAnsi="仿宋_GB2312" w:eastAsia="仿宋_GB2312" w:cs="仿宋_GB2312"/>
          <w:sz w:val="32"/>
          <w:szCs w:val="32"/>
        </w:rPr>
        <w:t>自行组织对项目开展绩效评价</w:t>
      </w:r>
      <w:r>
        <w:rPr>
          <w:rFonts w:hint="eastAsia" w:ascii="仿宋_GB2312" w:hAnsi="仿宋_GB2312" w:eastAsia="仿宋_GB2312" w:cs="仿宋_GB2312"/>
          <w:sz w:val="32"/>
          <w:szCs w:val="32"/>
          <w:lang w:eastAsia="zh-CN"/>
        </w:rPr>
        <w:t>。</w:t>
      </w:r>
    </w:p>
    <w:p>
      <w:pPr>
        <w:spacing w:line="600" w:lineRule="exact"/>
        <w:ind w:firstLine="800" w:firstLineChars="250"/>
        <w:outlineLvl w:val="1"/>
        <w:rPr>
          <w:rStyle w:val="27"/>
          <w:rFonts w:ascii="黑体" w:hAnsi="黑体" w:eastAsia="黑体"/>
        </w:rPr>
      </w:pPr>
      <w:bookmarkStart w:id="54" w:name="_Toc15396612"/>
      <w:bookmarkStart w:id="55" w:name="_Toc15377221"/>
      <w:r>
        <w:rPr>
          <w:rFonts w:hint="eastAsia" w:ascii="黑体" w:hAnsi="黑体" w:eastAsia="黑体"/>
          <w:color w:val="000000"/>
          <w:sz w:val="32"/>
          <w:szCs w:val="32"/>
        </w:rPr>
        <w:t>十</w:t>
      </w:r>
      <w:r>
        <w:rPr>
          <w:rStyle w:val="27"/>
          <w:rFonts w:hint="eastAsia" w:ascii="黑体" w:hAnsi="黑体" w:eastAsia="黑体"/>
        </w:rPr>
        <w:t>一、</w:t>
      </w:r>
      <w:r>
        <w:rPr>
          <w:rStyle w:val="27"/>
          <w:rFonts w:hint="eastAsia" w:ascii="黑体" w:hAnsi="黑体" w:eastAsia="黑体"/>
          <w:b w:val="0"/>
        </w:rPr>
        <w:t>其他重要事项的情况说明</w:t>
      </w:r>
      <w:bookmarkEnd w:id="54"/>
      <w:bookmarkEnd w:id="55"/>
    </w:p>
    <w:p>
      <w:pPr>
        <w:spacing w:line="600" w:lineRule="exact"/>
        <w:ind w:firstLine="643" w:firstLineChars="200"/>
        <w:outlineLvl w:val="2"/>
        <w:rPr>
          <w:rFonts w:ascii="仿宋" w:hAnsi="仿宋" w:eastAsia="仿宋"/>
          <w:color w:val="000000"/>
          <w:sz w:val="32"/>
          <w:szCs w:val="32"/>
        </w:rPr>
      </w:pPr>
      <w:bookmarkStart w:id="56" w:name="_Toc15377222"/>
      <w:r>
        <w:rPr>
          <w:rFonts w:hint="eastAsia" w:ascii="仿宋" w:hAnsi="仿宋" w:eastAsia="仿宋"/>
          <w:b/>
          <w:color w:val="000000"/>
          <w:sz w:val="32"/>
          <w:szCs w:val="32"/>
        </w:rPr>
        <w:t>（一）机关运行经费支出情况</w:t>
      </w:r>
      <w:bookmarkEnd w:id="56"/>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8年，阿木乡人民政府机关运行经费支出42.66万元，比</w:t>
      </w:r>
      <w:r>
        <w:rPr>
          <w:rFonts w:ascii="仿宋_GB2312" w:eastAsia="仿宋_GB2312"/>
          <w:color w:val="000000"/>
          <w:sz w:val="32"/>
          <w:szCs w:val="32"/>
        </w:rPr>
        <w:t>201</w:t>
      </w:r>
      <w:r>
        <w:rPr>
          <w:rFonts w:hint="eastAsia" w:ascii="仿宋_GB2312" w:eastAsia="仿宋_GB2312"/>
          <w:color w:val="000000"/>
          <w:sz w:val="32"/>
          <w:szCs w:val="32"/>
        </w:rPr>
        <w:t>7年减少12.77万元，下降23.04</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主要原因是2018年度公务用车、培训费等费用开支减少。</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7" w:name="_Toc15377223"/>
      <w:r>
        <w:rPr>
          <w:rFonts w:hint="eastAsia" w:ascii="仿宋" w:hAnsi="仿宋" w:eastAsia="仿宋"/>
          <w:b/>
          <w:color w:val="000000"/>
          <w:sz w:val="32"/>
          <w:szCs w:val="32"/>
        </w:rPr>
        <w:t>（二）政府采购支出情况</w:t>
      </w:r>
      <w:bookmarkEnd w:id="57"/>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8年，阿木乡人民</w:t>
      </w:r>
      <w:r>
        <w:rPr>
          <w:rFonts w:hint="eastAsia" w:ascii="仿宋_GB2312" w:eastAsia="仿宋_GB2312"/>
          <w:color w:val="000000"/>
          <w:sz w:val="32"/>
          <w:szCs w:val="32"/>
          <w:lang w:eastAsia="zh-CN"/>
        </w:rPr>
        <w:t>政府</w:t>
      </w:r>
      <w:r>
        <w:rPr>
          <w:rFonts w:hint="eastAsia" w:ascii="仿宋_GB2312" w:eastAsia="仿宋_GB2312"/>
          <w:color w:val="000000"/>
          <w:sz w:val="32"/>
          <w:szCs w:val="32"/>
        </w:rPr>
        <w:t>采购支出总额0万元，其中：政府采购货物支出0万元、政府采购工程支出0万元、政府采购服务支出0万元。授予中小企业合同金额0万元，其中：授予小微企业合同金额0万元。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8" w:name="_Toc15377224"/>
      <w:r>
        <w:rPr>
          <w:rFonts w:hint="eastAsia" w:ascii="仿宋" w:hAnsi="仿宋" w:eastAsia="仿宋"/>
          <w:b/>
          <w:color w:val="000000"/>
          <w:sz w:val="32"/>
          <w:szCs w:val="32"/>
        </w:rPr>
        <w:t>（三）国有资产占有使用情况</w:t>
      </w:r>
      <w:bookmarkEnd w:id="58"/>
    </w:p>
    <w:p>
      <w:pPr>
        <w:spacing w:line="560" w:lineRule="exact"/>
        <w:ind w:firstLine="640"/>
        <w:rPr>
          <w:rFonts w:ascii="仿宋_GB2312" w:hAnsi="仿宋_GB2312" w:eastAsia="仿宋_GB2312" w:cs="仿宋_GB2312"/>
          <w:bCs/>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hAnsi="仿宋_GB2312" w:eastAsia="仿宋_GB2312" w:cs="仿宋_GB2312"/>
          <w:bCs/>
          <w:sz w:val="32"/>
          <w:szCs w:val="32"/>
        </w:rPr>
        <w:t>我单位共有资产315.32万元，其中流动资产168.06万元，固定资产147.26万元（房屋67.15万元，汽车1辆，价值15.22万元，其他固定资产64.89万元）。</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阿木乡人民政府共有车辆1辆，其中：部级领导干部用车0辆、一般公务用车0辆、一般执法执勤用车0辆、特种专业技术用车0辆、其他用车1辆，</w:t>
      </w:r>
      <w:r>
        <w:rPr>
          <w:rFonts w:hint="eastAsia" w:ascii="仿宋_GB2312" w:eastAsia="仿宋_GB2312"/>
          <w:color w:val="000000" w:themeColor="text1"/>
          <w:sz w:val="32"/>
          <w:szCs w:val="32"/>
        </w:rPr>
        <w:t>其他用车主要是用于阿木乡人民政府开展工作用车。单价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9"/>
        </w:numPr>
        <w:spacing w:line="600" w:lineRule="exact"/>
        <w:ind w:firstLine="663" w:firstLineChars="150"/>
        <w:jc w:val="center"/>
        <w:outlineLvl w:val="0"/>
        <w:rPr>
          <w:rStyle w:val="26"/>
          <w:rFonts w:ascii="黑体" w:hAnsi="黑体" w:eastAsia="黑体"/>
          <w:b w:val="0"/>
        </w:rPr>
      </w:pPr>
      <w:bookmarkStart w:id="59" w:name="_Toc15396613"/>
      <w:bookmarkStart w:id="60" w:name="_Toc15377225"/>
      <w:r>
        <w:rPr>
          <w:rFonts w:hint="eastAsia" w:ascii="黑体" w:hAnsi="黑体" w:eastAsia="黑体"/>
          <w:b/>
          <w:color w:val="000000"/>
          <w:sz w:val="44"/>
          <w:szCs w:val="44"/>
        </w:rPr>
        <w:t>名</w:t>
      </w:r>
      <w:r>
        <w:rPr>
          <w:rStyle w:val="26"/>
          <w:rFonts w:hint="eastAsia" w:ascii="黑体" w:hAnsi="黑体" w:eastAsia="黑体"/>
          <w:b w:val="0"/>
        </w:rPr>
        <w:t>词解释</w:t>
      </w:r>
      <w:bookmarkEnd w:id="59"/>
      <w:bookmarkEnd w:id="60"/>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事业收入：指事业单位开展专业业务活动及辅助活动取得的收入。无。</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经营收入：指事业单位在专业业务活动及其辅助活动之外开展非独立核算经营活动取得的收入。无。</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其他收入：指单位取得的除上述收入以外的各项收入。主要是利息收入等。</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auto"/>
          <w:sz w:val="32"/>
          <w:szCs w:val="32"/>
        </w:rPr>
      </w:pPr>
      <w:r>
        <w:rPr>
          <w:rFonts w:ascii="仿宋_GB2312" w:eastAsia="仿宋_GB2312"/>
          <w:color w:val="auto"/>
          <w:sz w:val="32"/>
          <w:szCs w:val="32"/>
        </w:rPr>
        <w:t>9.</w:t>
      </w:r>
      <w:r>
        <w:rPr>
          <w:rFonts w:hint="eastAsia" w:ascii="仿宋_GB2312" w:eastAsia="仿宋_GB2312"/>
          <w:color w:val="auto"/>
          <w:sz w:val="32"/>
          <w:szCs w:val="32"/>
        </w:rPr>
        <w:t>一般公共服务：</w:t>
      </w:r>
      <w:r>
        <w:rPr>
          <w:rFonts w:hint="eastAsia" w:ascii="仿宋_GB2312" w:eastAsia="仿宋_GB2312"/>
          <w:color w:val="auto"/>
          <w:sz w:val="32"/>
          <w:szCs w:val="32"/>
          <w:lang w:val="en-US" w:eastAsia="zh-CN"/>
        </w:rPr>
        <w:t>201类20101款人大事务</w:t>
      </w:r>
      <w:r>
        <w:rPr>
          <w:rFonts w:hint="eastAsia" w:ascii="仿宋_GB2312" w:eastAsia="仿宋_GB2312"/>
          <w:color w:val="auto"/>
          <w:sz w:val="32"/>
          <w:szCs w:val="32"/>
          <w:lang w:eastAsia="zh-CN"/>
        </w:rPr>
        <w:t>，</w:t>
      </w:r>
      <w:r>
        <w:rPr>
          <w:rFonts w:hint="eastAsia" w:ascii="仿宋_GB2312" w:eastAsia="仿宋_GB2312"/>
          <w:color w:val="auto"/>
          <w:sz w:val="32"/>
          <w:szCs w:val="32"/>
        </w:rPr>
        <w:t>2010101</w:t>
      </w:r>
      <w:r>
        <w:rPr>
          <w:rFonts w:hint="eastAsia" w:ascii="仿宋_GB2312" w:eastAsia="仿宋_GB2312"/>
          <w:color w:val="auto"/>
          <w:sz w:val="32"/>
          <w:szCs w:val="32"/>
          <w:lang w:eastAsia="zh-CN"/>
        </w:rPr>
        <w:t>项指人大工作人员工资，</w:t>
      </w:r>
      <w:r>
        <w:rPr>
          <w:rFonts w:hint="eastAsia" w:ascii="仿宋_GB2312" w:eastAsia="仿宋_GB2312"/>
          <w:color w:val="auto"/>
          <w:sz w:val="32"/>
          <w:szCs w:val="32"/>
        </w:rPr>
        <w:t>2010301</w:t>
      </w:r>
      <w:r>
        <w:rPr>
          <w:rFonts w:hint="eastAsia" w:ascii="仿宋_GB2312" w:eastAsia="仿宋_GB2312"/>
          <w:color w:val="auto"/>
          <w:sz w:val="32"/>
          <w:szCs w:val="32"/>
          <w:lang w:eastAsia="zh-CN"/>
        </w:rPr>
        <w:t>指行政工作人员工资</w:t>
      </w:r>
      <w:r>
        <w:rPr>
          <w:rFonts w:hint="eastAsia" w:ascii="仿宋_GB2312" w:eastAsia="仿宋_GB2312"/>
          <w:color w:val="auto"/>
          <w:sz w:val="32"/>
          <w:szCs w:val="32"/>
        </w:rPr>
        <w:t>、2010601行政运行</w:t>
      </w:r>
      <w:r>
        <w:rPr>
          <w:rFonts w:hint="eastAsia" w:ascii="仿宋_GB2312" w:eastAsia="仿宋_GB2312"/>
          <w:color w:val="auto"/>
          <w:sz w:val="32"/>
          <w:szCs w:val="32"/>
          <w:lang w:eastAsia="zh-CN"/>
        </w:rPr>
        <w:t>财政所工作人员工资</w:t>
      </w:r>
      <w:r>
        <w:rPr>
          <w:rFonts w:hint="eastAsia" w:ascii="仿宋_GB2312" w:eastAsia="仿宋_GB2312"/>
          <w:color w:val="auto"/>
          <w:sz w:val="32"/>
          <w:szCs w:val="32"/>
        </w:rPr>
        <w:t>、2010108</w:t>
      </w:r>
      <w:r>
        <w:rPr>
          <w:rFonts w:hint="eastAsia" w:ascii="仿宋_GB2312" w:eastAsia="仿宋_GB2312"/>
          <w:color w:val="auto"/>
          <w:sz w:val="32"/>
          <w:szCs w:val="32"/>
          <w:lang w:eastAsia="zh-CN"/>
        </w:rPr>
        <w:t>人大</w:t>
      </w:r>
      <w:r>
        <w:rPr>
          <w:rFonts w:hint="eastAsia" w:ascii="仿宋_GB2312" w:eastAsia="仿宋_GB2312"/>
          <w:color w:val="auto"/>
          <w:sz w:val="32"/>
          <w:szCs w:val="32"/>
        </w:rPr>
        <w:t>代表工作</w:t>
      </w:r>
      <w:r>
        <w:rPr>
          <w:rFonts w:hint="eastAsia" w:ascii="仿宋_GB2312" w:eastAsia="仿宋_GB2312"/>
          <w:color w:val="auto"/>
          <w:sz w:val="32"/>
          <w:szCs w:val="32"/>
          <w:lang w:eastAsia="zh-CN"/>
        </w:rPr>
        <w:t>经费</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10</w:t>
      </w:r>
      <w:r>
        <w:rPr>
          <w:rFonts w:ascii="仿宋_GB2312" w:eastAsia="仿宋_GB2312"/>
          <w:color w:val="auto"/>
          <w:sz w:val="32"/>
          <w:szCs w:val="32"/>
        </w:rPr>
        <w:t>.</w:t>
      </w:r>
      <w:r>
        <w:rPr>
          <w:rFonts w:hint="eastAsia" w:ascii="仿宋_GB2312" w:eastAsia="仿宋_GB2312"/>
          <w:color w:val="auto"/>
          <w:sz w:val="32"/>
          <w:szCs w:val="32"/>
        </w:rPr>
        <w:t>文化体育与传媒：</w:t>
      </w:r>
      <w:r>
        <w:rPr>
          <w:rFonts w:hint="eastAsia" w:ascii="仿宋_GB2312" w:eastAsia="仿宋_GB2312"/>
          <w:color w:val="auto"/>
          <w:sz w:val="32"/>
          <w:szCs w:val="32"/>
          <w:lang w:val="en-US" w:eastAsia="zh-CN"/>
        </w:rPr>
        <w:t>207类20701款</w:t>
      </w:r>
      <w:r>
        <w:rPr>
          <w:rFonts w:hint="eastAsia" w:ascii="仿宋_GB2312" w:eastAsia="仿宋_GB2312"/>
          <w:color w:val="auto"/>
          <w:sz w:val="32"/>
          <w:szCs w:val="32"/>
        </w:rPr>
        <w:t>2070199</w:t>
      </w:r>
      <w:r>
        <w:rPr>
          <w:rFonts w:hint="eastAsia" w:ascii="仿宋_GB2312" w:eastAsia="仿宋_GB2312"/>
          <w:color w:val="auto"/>
          <w:sz w:val="32"/>
          <w:szCs w:val="32"/>
          <w:lang w:eastAsia="zh-CN"/>
        </w:rPr>
        <w:t>项指</w:t>
      </w:r>
      <w:r>
        <w:rPr>
          <w:rFonts w:hint="eastAsia" w:ascii="仿宋_GB2312" w:eastAsia="仿宋_GB2312"/>
          <w:color w:val="auto"/>
          <w:sz w:val="32"/>
          <w:szCs w:val="32"/>
        </w:rPr>
        <w:t>其他文化支出</w:t>
      </w:r>
      <w:r>
        <w:rPr>
          <w:rFonts w:hint="eastAsia" w:ascii="仿宋_GB2312" w:eastAsia="仿宋_GB2312"/>
          <w:color w:val="auto"/>
          <w:sz w:val="32"/>
          <w:szCs w:val="32"/>
          <w:lang w:eastAsia="zh-CN"/>
        </w:rPr>
        <w:t>文化院坝工作经费</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11</w:t>
      </w:r>
      <w:r>
        <w:rPr>
          <w:rFonts w:ascii="仿宋_GB2312" w:eastAsia="仿宋_GB2312"/>
          <w:color w:val="auto"/>
          <w:sz w:val="32"/>
          <w:szCs w:val="32"/>
        </w:rPr>
        <w:t>.</w:t>
      </w:r>
      <w:r>
        <w:rPr>
          <w:rFonts w:hint="eastAsia" w:ascii="仿宋_GB2312" w:eastAsia="仿宋_GB2312"/>
          <w:color w:val="auto"/>
          <w:sz w:val="32"/>
          <w:szCs w:val="32"/>
        </w:rPr>
        <w:t>社会保障和就业：</w:t>
      </w:r>
      <w:r>
        <w:rPr>
          <w:rFonts w:hint="eastAsia" w:ascii="仿宋_GB2312" w:eastAsia="仿宋_GB2312"/>
          <w:color w:val="auto"/>
          <w:sz w:val="32"/>
          <w:szCs w:val="32"/>
          <w:lang w:val="en-US" w:eastAsia="zh-CN"/>
        </w:rPr>
        <w:t>208类20802款</w:t>
      </w:r>
      <w:r>
        <w:rPr>
          <w:rFonts w:hint="eastAsia" w:ascii="仿宋_GB2312" w:eastAsia="仿宋_GB2312"/>
          <w:color w:val="auto"/>
          <w:sz w:val="32"/>
          <w:szCs w:val="32"/>
        </w:rPr>
        <w:t>2080208</w:t>
      </w:r>
      <w:r>
        <w:rPr>
          <w:rFonts w:hint="eastAsia" w:ascii="仿宋_GB2312" w:eastAsia="仿宋_GB2312"/>
          <w:color w:val="auto"/>
          <w:sz w:val="32"/>
          <w:szCs w:val="32"/>
          <w:lang w:eastAsia="zh-CN"/>
        </w:rPr>
        <w:t>项</w:t>
      </w:r>
      <w:r>
        <w:rPr>
          <w:rFonts w:hint="eastAsia" w:ascii="仿宋_GB2312" w:eastAsia="仿宋_GB2312"/>
          <w:color w:val="auto"/>
          <w:sz w:val="32"/>
          <w:szCs w:val="32"/>
        </w:rPr>
        <w:t>指基层政权和社区建设，2080505</w:t>
      </w:r>
      <w:r>
        <w:rPr>
          <w:rFonts w:hint="eastAsia" w:ascii="仿宋_GB2312" w:eastAsia="仿宋_GB2312"/>
          <w:color w:val="auto"/>
          <w:sz w:val="32"/>
          <w:szCs w:val="32"/>
          <w:lang w:eastAsia="zh-CN"/>
        </w:rPr>
        <w:t>指</w:t>
      </w:r>
      <w:r>
        <w:rPr>
          <w:rFonts w:hint="eastAsia" w:ascii="仿宋_GB2312" w:eastAsia="仿宋_GB2312"/>
          <w:color w:val="auto"/>
          <w:sz w:val="32"/>
          <w:szCs w:val="32"/>
        </w:rPr>
        <w:t>机关事业单位基本养老保险缴费支出，2080506</w:t>
      </w:r>
      <w:r>
        <w:rPr>
          <w:rFonts w:hint="eastAsia" w:ascii="仿宋_GB2312" w:eastAsia="仿宋_GB2312"/>
          <w:color w:val="auto"/>
          <w:sz w:val="32"/>
          <w:szCs w:val="32"/>
          <w:lang w:eastAsia="zh-CN"/>
        </w:rPr>
        <w:t>指</w:t>
      </w:r>
      <w:r>
        <w:rPr>
          <w:rFonts w:hint="eastAsia" w:ascii="仿宋_GB2312" w:eastAsia="仿宋_GB2312"/>
          <w:color w:val="auto"/>
          <w:sz w:val="32"/>
          <w:szCs w:val="32"/>
        </w:rPr>
        <w:t>机关事业单位职业年金缴费支出2081107</w:t>
      </w:r>
      <w:r>
        <w:rPr>
          <w:rFonts w:hint="eastAsia" w:ascii="仿宋_GB2312" w:eastAsia="仿宋_GB2312"/>
          <w:color w:val="auto"/>
          <w:sz w:val="32"/>
          <w:szCs w:val="32"/>
          <w:lang w:eastAsia="zh-CN"/>
        </w:rPr>
        <w:t>指</w:t>
      </w:r>
      <w:r>
        <w:rPr>
          <w:rFonts w:hint="eastAsia" w:ascii="仿宋_GB2312" w:eastAsia="仿宋_GB2312"/>
          <w:color w:val="auto"/>
          <w:sz w:val="32"/>
          <w:szCs w:val="32"/>
        </w:rPr>
        <w:t>残疾人生活和护理补助，2082102</w:t>
      </w:r>
      <w:r>
        <w:rPr>
          <w:rFonts w:hint="eastAsia" w:ascii="仿宋_GB2312" w:eastAsia="仿宋_GB2312"/>
          <w:color w:val="auto"/>
          <w:sz w:val="32"/>
          <w:szCs w:val="32"/>
          <w:lang w:eastAsia="zh-CN"/>
        </w:rPr>
        <w:t>指</w:t>
      </w:r>
      <w:r>
        <w:rPr>
          <w:rFonts w:hint="eastAsia" w:ascii="仿宋_GB2312" w:eastAsia="仿宋_GB2312"/>
          <w:color w:val="auto"/>
          <w:sz w:val="32"/>
          <w:szCs w:val="32"/>
        </w:rPr>
        <w:t>农村特困人员救助。</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12</w:t>
      </w:r>
      <w:r>
        <w:rPr>
          <w:rFonts w:ascii="仿宋_GB2312" w:eastAsia="仿宋_GB2312"/>
          <w:color w:val="auto"/>
          <w:sz w:val="32"/>
          <w:szCs w:val="32"/>
        </w:rPr>
        <w:t>.</w:t>
      </w:r>
      <w:r>
        <w:rPr>
          <w:rFonts w:hint="eastAsia" w:ascii="仿宋_GB2312" w:eastAsia="仿宋_GB2312"/>
          <w:color w:val="auto"/>
          <w:sz w:val="32"/>
          <w:szCs w:val="32"/>
        </w:rPr>
        <w:t>医疗卫生与计划生育：</w:t>
      </w:r>
      <w:r>
        <w:rPr>
          <w:rFonts w:hint="eastAsia" w:ascii="仿宋_GB2312" w:eastAsia="仿宋_GB2312"/>
          <w:color w:val="auto"/>
          <w:sz w:val="32"/>
          <w:szCs w:val="32"/>
          <w:lang w:val="en-US" w:eastAsia="zh-CN"/>
        </w:rPr>
        <w:t>210类21003款</w:t>
      </w:r>
      <w:r>
        <w:rPr>
          <w:rFonts w:hint="eastAsia" w:ascii="仿宋_GB2312" w:eastAsia="仿宋_GB2312"/>
          <w:color w:val="auto"/>
          <w:sz w:val="32"/>
          <w:szCs w:val="32"/>
        </w:rPr>
        <w:t>2100302</w:t>
      </w:r>
      <w:r>
        <w:rPr>
          <w:rFonts w:hint="eastAsia" w:ascii="仿宋_GB2312" w:eastAsia="仿宋_GB2312"/>
          <w:color w:val="auto"/>
          <w:sz w:val="32"/>
          <w:szCs w:val="32"/>
          <w:lang w:eastAsia="zh-CN"/>
        </w:rPr>
        <w:t>项</w:t>
      </w:r>
      <w:r>
        <w:rPr>
          <w:rFonts w:hint="eastAsia" w:ascii="仿宋_GB2312" w:eastAsia="仿宋_GB2312"/>
          <w:color w:val="auto"/>
          <w:sz w:val="32"/>
          <w:szCs w:val="32"/>
        </w:rPr>
        <w:t>指乡镇卫生院支出</w:t>
      </w:r>
      <w:r>
        <w:rPr>
          <w:rFonts w:hint="eastAsia" w:ascii="仿宋_GB2312" w:eastAsia="仿宋_GB2312"/>
          <w:color w:val="auto"/>
          <w:sz w:val="32"/>
          <w:szCs w:val="32"/>
          <w:lang w:eastAsia="zh-CN"/>
        </w:rPr>
        <w:t>村医临岗补贴</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13</w:t>
      </w:r>
      <w:r>
        <w:rPr>
          <w:rFonts w:ascii="仿宋_GB2312" w:eastAsia="仿宋_GB2312"/>
          <w:color w:val="auto"/>
          <w:sz w:val="32"/>
          <w:szCs w:val="32"/>
        </w:rPr>
        <w:t>.</w:t>
      </w:r>
      <w:r>
        <w:rPr>
          <w:rFonts w:hint="eastAsia" w:ascii="仿宋_GB2312" w:eastAsia="仿宋_GB2312"/>
          <w:color w:val="auto"/>
          <w:sz w:val="32"/>
          <w:szCs w:val="32"/>
        </w:rPr>
        <w:t>城乡社区：</w:t>
      </w:r>
      <w:r>
        <w:rPr>
          <w:rFonts w:hint="eastAsia" w:ascii="仿宋_GB2312" w:eastAsia="仿宋_GB2312"/>
          <w:color w:val="auto"/>
          <w:sz w:val="32"/>
          <w:szCs w:val="32"/>
          <w:lang w:val="en-US" w:eastAsia="zh-CN"/>
        </w:rPr>
        <w:t>212类21203款</w:t>
      </w:r>
      <w:r>
        <w:rPr>
          <w:rFonts w:hint="eastAsia" w:ascii="仿宋_GB2312" w:eastAsia="仿宋_GB2312"/>
          <w:color w:val="auto"/>
          <w:sz w:val="32"/>
          <w:szCs w:val="32"/>
        </w:rPr>
        <w:t>2120399</w:t>
      </w:r>
      <w:r>
        <w:rPr>
          <w:rFonts w:hint="eastAsia" w:ascii="仿宋_GB2312" w:eastAsia="仿宋_GB2312"/>
          <w:color w:val="auto"/>
          <w:sz w:val="32"/>
          <w:szCs w:val="32"/>
          <w:lang w:eastAsia="zh-CN"/>
        </w:rPr>
        <w:t>项指</w:t>
      </w:r>
      <w:r>
        <w:rPr>
          <w:rFonts w:hint="eastAsia" w:ascii="仿宋_GB2312" w:eastAsia="仿宋_GB2312"/>
          <w:color w:val="auto"/>
          <w:sz w:val="32"/>
          <w:szCs w:val="32"/>
        </w:rPr>
        <w:t>其他城乡社区公共设施支出，2120501</w:t>
      </w:r>
      <w:r>
        <w:rPr>
          <w:rFonts w:hint="eastAsia" w:ascii="仿宋_GB2312" w:eastAsia="仿宋_GB2312"/>
          <w:color w:val="auto"/>
          <w:sz w:val="32"/>
          <w:szCs w:val="32"/>
          <w:lang w:eastAsia="zh-CN"/>
        </w:rPr>
        <w:t>指</w:t>
      </w:r>
      <w:r>
        <w:rPr>
          <w:rFonts w:hint="eastAsia" w:ascii="仿宋_GB2312" w:eastAsia="仿宋_GB2312"/>
          <w:color w:val="auto"/>
          <w:sz w:val="32"/>
          <w:szCs w:val="32"/>
        </w:rPr>
        <w:t>城乡社区环境卫生支出。</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14</w:t>
      </w:r>
      <w:r>
        <w:rPr>
          <w:rFonts w:ascii="仿宋_GB2312" w:eastAsia="仿宋_GB2312"/>
          <w:color w:val="auto"/>
          <w:sz w:val="32"/>
          <w:szCs w:val="32"/>
        </w:rPr>
        <w:t>.</w:t>
      </w:r>
      <w:r>
        <w:rPr>
          <w:rFonts w:hint="eastAsia" w:ascii="仿宋_GB2312" w:eastAsia="仿宋_GB2312"/>
          <w:color w:val="auto"/>
          <w:sz w:val="32"/>
          <w:szCs w:val="32"/>
        </w:rPr>
        <w:t>农林水：</w:t>
      </w:r>
      <w:r>
        <w:rPr>
          <w:rFonts w:hint="eastAsia" w:ascii="仿宋_GB2312" w:eastAsia="仿宋_GB2312"/>
          <w:color w:val="auto"/>
          <w:sz w:val="32"/>
          <w:szCs w:val="32"/>
          <w:lang w:val="en-US" w:eastAsia="zh-CN"/>
        </w:rPr>
        <w:t>213类21301款</w:t>
      </w:r>
      <w:r>
        <w:rPr>
          <w:rFonts w:hint="eastAsia" w:ascii="仿宋_GB2312" w:eastAsia="仿宋_GB2312"/>
          <w:color w:val="auto"/>
          <w:sz w:val="32"/>
          <w:szCs w:val="32"/>
        </w:rPr>
        <w:t>2130152</w:t>
      </w:r>
      <w:r>
        <w:rPr>
          <w:rFonts w:hint="eastAsia" w:ascii="仿宋_GB2312" w:eastAsia="仿宋_GB2312"/>
          <w:color w:val="auto"/>
          <w:sz w:val="32"/>
          <w:szCs w:val="32"/>
          <w:lang w:eastAsia="zh-CN"/>
        </w:rPr>
        <w:t>项指</w:t>
      </w:r>
      <w:r>
        <w:rPr>
          <w:rFonts w:hint="eastAsia" w:ascii="仿宋_GB2312" w:eastAsia="仿宋_GB2312"/>
          <w:color w:val="auto"/>
          <w:sz w:val="32"/>
          <w:szCs w:val="32"/>
        </w:rPr>
        <w:t>对高校毕业生到基层任职补助，2130504</w:t>
      </w:r>
      <w:r>
        <w:rPr>
          <w:rFonts w:hint="eastAsia" w:ascii="仿宋_GB2312" w:eastAsia="仿宋_GB2312"/>
          <w:color w:val="auto"/>
          <w:sz w:val="32"/>
          <w:szCs w:val="32"/>
          <w:lang w:eastAsia="zh-CN"/>
        </w:rPr>
        <w:t>指</w:t>
      </w:r>
      <w:r>
        <w:rPr>
          <w:rFonts w:hint="eastAsia" w:ascii="仿宋_GB2312" w:eastAsia="仿宋_GB2312"/>
          <w:color w:val="auto"/>
          <w:sz w:val="32"/>
          <w:szCs w:val="32"/>
        </w:rPr>
        <w:t>农村基础设施建设，2130705</w:t>
      </w:r>
      <w:r>
        <w:rPr>
          <w:rFonts w:hint="eastAsia" w:ascii="仿宋_GB2312" w:eastAsia="仿宋_GB2312"/>
          <w:color w:val="auto"/>
          <w:sz w:val="32"/>
          <w:szCs w:val="32"/>
          <w:lang w:eastAsia="zh-CN"/>
        </w:rPr>
        <w:t>指</w:t>
      </w:r>
      <w:r>
        <w:rPr>
          <w:rFonts w:hint="eastAsia" w:ascii="仿宋_GB2312" w:eastAsia="仿宋_GB2312"/>
          <w:color w:val="auto"/>
          <w:sz w:val="32"/>
          <w:szCs w:val="32"/>
        </w:rPr>
        <w:t>对村民委员会和村党支部的补助。</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15</w:t>
      </w:r>
      <w:r>
        <w:rPr>
          <w:rFonts w:ascii="仿宋_GB2312" w:eastAsia="仿宋_GB2312"/>
          <w:color w:val="auto"/>
          <w:sz w:val="32"/>
          <w:szCs w:val="32"/>
        </w:rPr>
        <w:t>.</w:t>
      </w:r>
      <w:r>
        <w:rPr>
          <w:rFonts w:hint="eastAsia" w:ascii="仿宋_GB2312" w:eastAsia="仿宋_GB2312"/>
          <w:color w:val="auto"/>
          <w:sz w:val="32"/>
          <w:szCs w:val="32"/>
        </w:rPr>
        <w:t>交通运输：</w:t>
      </w:r>
      <w:r>
        <w:rPr>
          <w:rFonts w:hint="eastAsia" w:ascii="仿宋_GB2312" w:eastAsia="仿宋_GB2312"/>
          <w:color w:val="auto"/>
          <w:sz w:val="32"/>
          <w:szCs w:val="32"/>
          <w:lang w:val="en-US" w:eastAsia="zh-CN"/>
        </w:rPr>
        <w:t>214类21401款</w:t>
      </w:r>
      <w:r>
        <w:rPr>
          <w:rFonts w:hint="eastAsia" w:ascii="仿宋_GB2312" w:eastAsia="仿宋_GB2312"/>
          <w:color w:val="auto"/>
          <w:sz w:val="32"/>
          <w:szCs w:val="32"/>
        </w:rPr>
        <w:t>2140104</w:t>
      </w:r>
      <w:r>
        <w:rPr>
          <w:rFonts w:hint="eastAsia" w:ascii="仿宋_GB2312" w:eastAsia="仿宋_GB2312"/>
          <w:color w:val="auto"/>
          <w:sz w:val="32"/>
          <w:szCs w:val="32"/>
          <w:lang w:eastAsia="zh-CN"/>
        </w:rPr>
        <w:t>项指</w:t>
      </w:r>
      <w:r>
        <w:rPr>
          <w:rFonts w:hint="eastAsia" w:ascii="仿宋_GB2312" w:eastAsia="仿宋_GB2312"/>
          <w:color w:val="auto"/>
          <w:sz w:val="32"/>
          <w:szCs w:val="32"/>
        </w:rPr>
        <w:t>公路建设。</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16</w:t>
      </w:r>
      <w:r>
        <w:rPr>
          <w:rFonts w:ascii="仿宋_GB2312" w:eastAsia="仿宋_GB2312"/>
          <w:color w:val="auto"/>
          <w:sz w:val="32"/>
          <w:szCs w:val="32"/>
        </w:rPr>
        <w:t>.</w:t>
      </w:r>
      <w:r>
        <w:rPr>
          <w:rFonts w:hint="eastAsia" w:ascii="仿宋_GB2312" w:eastAsia="仿宋_GB2312"/>
          <w:color w:val="auto"/>
          <w:sz w:val="32"/>
          <w:szCs w:val="32"/>
        </w:rPr>
        <w:t>住房保障：</w:t>
      </w:r>
      <w:r>
        <w:rPr>
          <w:rFonts w:hint="eastAsia" w:ascii="仿宋_GB2312" w:eastAsia="仿宋_GB2312"/>
          <w:color w:val="auto"/>
          <w:sz w:val="32"/>
          <w:szCs w:val="32"/>
          <w:lang w:val="en-US" w:eastAsia="zh-CN"/>
        </w:rPr>
        <w:t>221类22102款</w:t>
      </w:r>
      <w:r>
        <w:rPr>
          <w:rFonts w:hint="eastAsia" w:ascii="仿宋_GB2312" w:eastAsia="仿宋_GB2312"/>
          <w:color w:val="auto"/>
          <w:sz w:val="32"/>
          <w:szCs w:val="32"/>
        </w:rPr>
        <w:t>2210201</w:t>
      </w:r>
      <w:r>
        <w:rPr>
          <w:rFonts w:hint="eastAsia" w:ascii="仿宋_GB2312" w:eastAsia="仿宋_GB2312"/>
          <w:color w:val="auto"/>
          <w:sz w:val="32"/>
          <w:szCs w:val="32"/>
          <w:lang w:eastAsia="zh-CN"/>
        </w:rPr>
        <w:t>项指</w:t>
      </w:r>
      <w:r>
        <w:rPr>
          <w:rFonts w:hint="eastAsia" w:ascii="仿宋_GB2312" w:eastAsia="仿宋_GB2312"/>
          <w:color w:val="auto"/>
          <w:sz w:val="32"/>
          <w:szCs w:val="32"/>
        </w:rPr>
        <w:t>住房公积金。</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17</w:t>
      </w:r>
      <w:r>
        <w:rPr>
          <w:rFonts w:ascii="仿宋_GB2312" w:eastAsia="仿宋_GB2312"/>
          <w:color w:val="auto"/>
          <w:sz w:val="32"/>
          <w:szCs w:val="32"/>
        </w:rPr>
        <w:t>.</w:t>
      </w:r>
      <w:r>
        <w:rPr>
          <w:rFonts w:hint="eastAsia" w:ascii="仿宋_GB2312" w:eastAsia="仿宋_GB2312"/>
          <w:color w:val="auto"/>
          <w:sz w:val="32"/>
          <w:szCs w:val="32"/>
        </w:rPr>
        <w:t>基本支出：指为保障机构正常运转、完成日常工作任务而发生的人员支出和公用支出。</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18</w:t>
      </w:r>
      <w:r>
        <w:rPr>
          <w:rFonts w:ascii="仿宋_GB2312" w:eastAsia="仿宋_GB2312"/>
          <w:color w:val="auto"/>
          <w:sz w:val="32"/>
          <w:szCs w:val="32"/>
        </w:rPr>
        <w:t>.</w:t>
      </w:r>
      <w:r>
        <w:rPr>
          <w:rFonts w:hint="eastAsia" w:ascii="仿宋_GB2312" w:eastAsia="仿宋_GB2312"/>
          <w:color w:val="auto"/>
          <w:sz w:val="32"/>
          <w:szCs w:val="32"/>
        </w:rPr>
        <w:t>项目支出：指在基本支出之外为完成特定行政任务和事业发展目标所发生的支出。</w:t>
      </w:r>
      <w:r>
        <w:rPr>
          <w:rFonts w:ascii="仿宋_GB2312" w:eastAsia="仿宋_GB2312"/>
          <w:color w:val="auto"/>
          <w:sz w:val="32"/>
          <w:szCs w:val="32"/>
        </w:rPr>
        <w:t xml:space="preserve"> </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w:t>
      </w:r>
      <w:r>
        <w:rPr>
          <w:rFonts w:ascii="仿宋_GB2312" w:eastAsia="仿宋_GB2312"/>
          <w:color w:val="auto"/>
          <w:sz w:val="32"/>
          <w:szCs w:val="32"/>
        </w:rPr>
        <w:t>9.</w:t>
      </w:r>
      <w:r>
        <w:rPr>
          <w:rFonts w:hint="eastAsia" w:ascii="仿宋_GB2312" w:eastAsia="仿宋_GB2312"/>
          <w:color w:val="auto"/>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w:t>
      </w:r>
      <w:r>
        <w:rPr>
          <w:rFonts w:ascii="仿宋_GB2312" w:eastAsia="仿宋_GB2312"/>
          <w:color w:val="auto"/>
          <w:sz w:val="32"/>
          <w:szCs w:val="32"/>
        </w:rPr>
        <w:t>0.</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w:t>
      </w:r>
      <w:r>
        <w:rPr>
          <w:rFonts w:ascii="仿宋_GB2312" w:eastAsia="仿宋_GB2312"/>
          <w:color w:val="auto"/>
          <w:sz w:val="32"/>
          <w:szCs w:val="32"/>
        </w:rPr>
        <w:t>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883" w:firstLineChars="200"/>
        <w:rPr>
          <w:rStyle w:val="26"/>
          <w:rFonts w:ascii="仿宋" w:hAnsi="仿宋" w:eastAsia="仿宋"/>
          <w:bCs w:val="0"/>
          <w:color w:val="000000"/>
          <w:kern w:val="2"/>
          <w:sz w:val="32"/>
          <w:szCs w:val="32"/>
        </w:rPr>
      </w:pPr>
      <w:bookmarkStart w:id="61" w:name="_Toc15377226"/>
      <w:r>
        <w:rPr>
          <w:rFonts w:ascii="宋体"/>
          <w:b/>
          <w:color w:val="000000"/>
          <w:sz w:val="44"/>
          <w:szCs w:val="44"/>
        </w:rPr>
        <w:br w:type="page"/>
      </w:r>
      <w:bookmarkStart w:id="62"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62"/>
    </w:p>
    <w:p>
      <w:pPr>
        <w:spacing w:line="600" w:lineRule="exact"/>
        <w:jc w:val="center"/>
        <w:outlineLvl w:val="0"/>
        <w:rPr>
          <w:rStyle w:val="26"/>
        </w:rPr>
      </w:pPr>
    </w:p>
    <w:p>
      <w:pPr>
        <w:pStyle w:val="3"/>
        <w:rPr>
          <w:rStyle w:val="26"/>
          <w:rFonts w:ascii="仿宋" w:hAnsi="仿宋" w:eastAsia="仿宋"/>
          <w:b w:val="0"/>
          <w:bCs w:val="0"/>
          <w:sz w:val="32"/>
          <w:szCs w:val="32"/>
        </w:rPr>
      </w:pPr>
      <w:bookmarkStart w:id="63" w:name="_Toc15396615"/>
      <w:r>
        <w:rPr>
          <w:rStyle w:val="26"/>
          <w:rFonts w:hint="eastAsia" w:ascii="仿宋" w:hAnsi="仿宋" w:eastAsia="仿宋"/>
          <w:b w:val="0"/>
          <w:bCs w:val="0"/>
          <w:sz w:val="32"/>
          <w:szCs w:val="32"/>
        </w:rPr>
        <w:t>附件1</w:t>
      </w:r>
      <w:bookmarkEnd w:id="63"/>
    </w:p>
    <w:p>
      <w:pPr>
        <w:widowControl/>
        <w:spacing w:line="480" w:lineRule="exact"/>
        <w:jc w:val="center"/>
        <w:rPr>
          <w:rFonts w:ascii="方正小标宋简体" w:hAnsi="宋体" w:eastAsia="方正小标宋简体" w:cs="方正小标宋简体"/>
          <w:sz w:val="44"/>
          <w:szCs w:val="44"/>
        </w:rPr>
      </w:pPr>
      <w:bookmarkStart w:id="64" w:name="_Toc15396617"/>
      <w:r>
        <w:rPr>
          <w:rFonts w:hint="eastAsia" w:ascii="方正小标宋简体" w:hAnsi="宋体" w:eastAsia="方正小标宋简体" w:cs="方正小标宋简体"/>
          <w:sz w:val="44"/>
          <w:szCs w:val="44"/>
        </w:rPr>
        <w:t>2018年阿木乡人民政府部门整体支出</w:t>
      </w:r>
    </w:p>
    <w:p>
      <w:pPr>
        <w:widowControl/>
        <w:spacing w:line="4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绩效报告</w:t>
      </w:r>
    </w:p>
    <w:p>
      <w:pPr>
        <w:widowControl/>
        <w:adjustRightInd w:val="0"/>
        <w:snapToGrid w:val="0"/>
        <w:spacing w:line="480" w:lineRule="exact"/>
        <w:ind w:firstLine="720"/>
        <w:jc w:val="left"/>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snapToGrid w:val="0"/>
        <w:spacing w:line="520" w:lineRule="exact"/>
        <w:ind w:firstLine="640" w:firstLineChars="200"/>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（一）机构组成。</w:t>
      </w:r>
    </w:p>
    <w:p>
      <w:pPr>
        <w:snapToGrid w:val="0"/>
        <w:spacing w:line="520" w:lineRule="exact"/>
        <w:ind w:firstLine="640" w:firstLineChars="200"/>
        <w:rPr>
          <w:rFonts w:ascii="仿宋_GB2312" w:hAnsi="仿宋" w:eastAsia="仿宋_GB2312"/>
          <w:sz w:val="32"/>
          <w:szCs w:val="32"/>
        </w:rPr>
      </w:pPr>
      <w:r>
        <w:rPr>
          <w:rFonts w:hint="eastAsia" w:ascii="仿宋_GB2312" w:hAnsi="仿宋_GB2312" w:eastAsia="仿宋_GB2312" w:cs="仿宋_GB2312"/>
          <w:bCs/>
          <w:sz w:val="32"/>
          <w:szCs w:val="32"/>
        </w:rPr>
        <w:t>我单位为独立核算全额拨款行政单位，2个机构，一个共产党机关，一个政府机关。</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（二）机构职能。</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（职能参照省政府批准的三定方案）</w:t>
      </w:r>
    </w:p>
    <w:p>
      <w:pPr>
        <w:snapToGrid w:val="0"/>
        <w:spacing w:line="520" w:lineRule="exact"/>
        <w:ind w:firstLine="643" w:firstLineChars="200"/>
        <w:rPr>
          <w:rFonts w:ascii="仿宋_GB2312" w:hAnsi="仿宋" w:eastAsia="仿宋_GB2312"/>
          <w:sz w:val="32"/>
          <w:szCs w:val="32"/>
        </w:rPr>
      </w:pPr>
      <w:r>
        <w:rPr>
          <w:rFonts w:hint="eastAsia" w:ascii="仿宋_GB2312" w:hAnsi="仿宋_GB2312" w:eastAsia="仿宋_GB2312" w:cs="仿宋_GB2312"/>
          <w:b/>
          <w:sz w:val="32"/>
          <w:szCs w:val="32"/>
        </w:rPr>
        <w:t>一是</w:t>
      </w:r>
      <w:r>
        <w:rPr>
          <w:rFonts w:hint="eastAsia" w:ascii="仿宋_GB2312" w:hAnsi="仿宋_GB2312" w:eastAsia="仿宋_GB2312" w:cs="仿宋_GB2312"/>
          <w:bCs/>
          <w:sz w:val="32"/>
          <w:szCs w:val="32"/>
        </w:rPr>
        <w:t>制定并组织实施乡村建设规划,部署重点项目建设、地方道路建设、水利设施管理、自然资源和生态环境的保护，做好护林防火工作；</w:t>
      </w:r>
      <w:r>
        <w:rPr>
          <w:rFonts w:hint="eastAsia" w:ascii="仿宋_GB2312" w:hAnsi="仿宋_GB2312" w:eastAsia="仿宋_GB2312" w:cs="仿宋_GB2312"/>
          <w:b/>
          <w:sz w:val="32"/>
          <w:szCs w:val="32"/>
        </w:rPr>
        <w:t>二是</w:t>
      </w:r>
      <w:r>
        <w:rPr>
          <w:rFonts w:hint="eastAsia" w:ascii="仿宋_GB2312" w:hAnsi="仿宋_GB2312" w:eastAsia="仿宋_GB2312" w:cs="仿宋_GB2312"/>
          <w:bCs/>
          <w:sz w:val="32"/>
          <w:szCs w:val="32"/>
        </w:rPr>
        <w:t>负责本乡区域内民政、计划生育、体育文化卫生等社会公益事业的综合性工作，维护群众合法权益，调节民事纠纷，打击刑事犯罪维护社会稳定；</w:t>
      </w:r>
      <w:r>
        <w:rPr>
          <w:rFonts w:hint="eastAsia" w:ascii="仿宋_GB2312" w:hAnsi="仿宋_GB2312" w:eastAsia="仿宋_GB2312" w:cs="仿宋_GB2312"/>
          <w:b/>
          <w:sz w:val="32"/>
          <w:szCs w:val="32"/>
        </w:rPr>
        <w:t>三是</w:t>
      </w:r>
      <w:r>
        <w:rPr>
          <w:rFonts w:hint="eastAsia" w:ascii="仿宋_GB2312" w:hAnsi="仿宋_GB2312" w:eastAsia="仿宋_GB2312" w:cs="仿宋_GB2312"/>
          <w:bCs/>
          <w:sz w:val="32"/>
          <w:szCs w:val="32"/>
        </w:rPr>
        <w:t>做好本乡账务资金管理工作；</w:t>
      </w:r>
      <w:r>
        <w:rPr>
          <w:rFonts w:hint="eastAsia" w:ascii="仿宋_GB2312" w:hAnsi="仿宋_GB2312" w:eastAsia="仿宋_GB2312" w:cs="仿宋_GB2312"/>
          <w:b/>
          <w:sz w:val="32"/>
          <w:szCs w:val="32"/>
        </w:rPr>
        <w:t>四是</w:t>
      </w:r>
      <w:r>
        <w:rPr>
          <w:rFonts w:hint="eastAsia" w:ascii="仿宋_GB2312" w:hAnsi="仿宋_GB2312" w:eastAsia="仿宋_GB2312" w:cs="仿宋_GB2312"/>
          <w:bCs/>
          <w:sz w:val="32"/>
          <w:szCs w:val="32"/>
        </w:rPr>
        <w:t>抓好精神文明建设；</w:t>
      </w:r>
      <w:r>
        <w:rPr>
          <w:rFonts w:hint="eastAsia" w:ascii="仿宋_GB2312" w:hAnsi="仿宋_GB2312" w:eastAsia="仿宋_GB2312" w:cs="仿宋_GB2312"/>
          <w:b/>
          <w:sz w:val="32"/>
          <w:szCs w:val="32"/>
        </w:rPr>
        <w:t>五是</w:t>
      </w:r>
      <w:r>
        <w:rPr>
          <w:rFonts w:hint="eastAsia" w:ascii="仿宋_GB2312" w:hAnsi="仿宋_GB2312" w:eastAsia="仿宋_GB2312" w:cs="仿宋_GB2312"/>
          <w:bCs/>
          <w:sz w:val="32"/>
          <w:szCs w:val="32"/>
        </w:rPr>
        <w:t>完成上级部门交办的其他事项</w:t>
      </w:r>
      <w:r>
        <w:rPr>
          <w:rFonts w:hint="eastAsia" w:hAnsi="仿宋_GB2312" w:cs="仿宋_GB2312"/>
          <w:bCs/>
          <w:sz w:val="32"/>
          <w:szCs w:val="32"/>
        </w:rPr>
        <w:t>。</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（三）人员概况。</w:t>
      </w:r>
    </w:p>
    <w:p>
      <w:pPr>
        <w:widowControl/>
        <w:adjustRightInd w:val="0"/>
        <w:snapToGrid w:val="0"/>
        <w:spacing w:line="480" w:lineRule="exact"/>
        <w:ind w:firstLine="720"/>
        <w:jc w:val="left"/>
        <w:rPr>
          <w:rFonts w:ascii="仿宋_GB2312" w:hAnsi="宋体" w:eastAsia="仿宋_GB2312" w:cs="宋体"/>
          <w:color w:val="000000"/>
          <w:kern w:val="0"/>
          <w:lang w:val="zh-CN"/>
        </w:rPr>
      </w:pPr>
      <w:r>
        <w:rPr>
          <w:rFonts w:hint="eastAsia" w:ascii="仿宋_GB2312" w:hAnsi="仿宋_GB2312" w:eastAsia="仿宋_GB2312" w:cs="仿宋_GB2312"/>
          <w:bCs/>
          <w:sz w:val="32"/>
          <w:szCs w:val="32"/>
          <w:lang w:eastAsia="zh-CN"/>
        </w:rPr>
        <w:t>截至2018年底</w:t>
      </w:r>
      <w:r>
        <w:rPr>
          <w:rFonts w:hint="eastAsia" w:ascii="仿宋_GB2312" w:hAnsi="仿宋_GB2312" w:eastAsia="仿宋_GB2312" w:cs="仿宋_GB2312"/>
          <w:bCs/>
          <w:sz w:val="32"/>
          <w:szCs w:val="32"/>
        </w:rPr>
        <w:t>我单位共有编制26个，其中公务员编制17个， 行政工勤编制1个，事业编制8个。在职23人，其中参公0人，公务员15人，2018年新录入公务员0人，转入0人，因人事变动减少3人。现事业编制实有7人，2018年减少1人。行政工勤1人，退休0人。</w:t>
      </w: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二、部门财政资金收支情况</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（一）部门财政资金收入情况。</w:t>
      </w:r>
    </w:p>
    <w:p>
      <w:pPr>
        <w:widowControl/>
        <w:adjustRightInd w:val="0"/>
        <w:snapToGrid w:val="0"/>
        <w:spacing w:line="480" w:lineRule="exact"/>
        <w:ind w:firstLine="720"/>
        <w:jc w:val="left"/>
        <w:rPr>
          <w:rFonts w:ascii="仿宋_GB2312" w:hAnsi="宋体" w:eastAsia="仿宋_GB2312" w:cs="宋体"/>
          <w:color w:val="000000"/>
          <w:kern w:val="0"/>
          <w:lang w:val="zh-CN"/>
        </w:rPr>
      </w:pPr>
      <w:r>
        <w:rPr>
          <w:rFonts w:hint="eastAsia" w:ascii="仿宋_GB2312" w:hAnsi="宋体" w:eastAsia="仿宋_GB2312" w:cs="宋体"/>
          <w:color w:val="000000"/>
          <w:kern w:val="0"/>
          <w:sz w:val="32"/>
          <w:lang w:val="zh-CN"/>
        </w:rPr>
        <w:t>2018年度阿木乡人民政府财政资金收入850.77万元。</w:t>
      </w:r>
    </w:p>
    <w:p>
      <w:pPr>
        <w:widowControl/>
        <w:adjustRightInd w:val="0"/>
        <w:snapToGrid w:val="0"/>
        <w:spacing w:line="48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（二）部门财政资金支出情况。</w:t>
      </w:r>
    </w:p>
    <w:p>
      <w:pPr>
        <w:widowControl/>
        <w:adjustRightInd w:val="0"/>
        <w:snapToGrid w:val="0"/>
        <w:spacing w:line="480" w:lineRule="exact"/>
        <w:ind w:firstLine="720"/>
        <w:jc w:val="left"/>
        <w:rPr>
          <w:rFonts w:ascii="仿宋_GB2312" w:hAnsi="宋体" w:eastAsia="仿宋_GB2312" w:cs="宋体"/>
          <w:color w:val="000000"/>
          <w:kern w:val="0"/>
          <w:lang w:val="zh-CN"/>
        </w:rPr>
      </w:pPr>
      <w:r>
        <w:rPr>
          <w:rFonts w:hint="eastAsia" w:ascii="仿宋_GB2312" w:hAnsi="宋体" w:eastAsia="仿宋_GB2312" w:cs="宋体"/>
          <w:color w:val="000000"/>
          <w:kern w:val="0"/>
          <w:sz w:val="32"/>
          <w:lang w:val="zh-CN"/>
        </w:rPr>
        <w:t>2018年度阿木乡人民政府财政资金支出868.92万元。</w:t>
      </w: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三、部门财政支出管理情况</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（一）预算编制情况。</w:t>
      </w:r>
    </w:p>
    <w:p>
      <w:pPr>
        <w:widowControl/>
        <w:adjustRightInd w:val="0"/>
        <w:snapToGrid w:val="0"/>
        <w:spacing w:line="480" w:lineRule="exact"/>
        <w:ind w:firstLine="720"/>
        <w:jc w:val="left"/>
        <w:rPr>
          <w:rFonts w:ascii="仿宋_GB2312" w:eastAsia="仿宋_GB2312"/>
          <w:color w:val="000000"/>
          <w:sz w:val="32"/>
          <w:szCs w:val="32"/>
        </w:rPr>
      </w:pPr>
      <w:r>
        <w:rPr>
          <w:rFonts w:hint="eastAsia" w:ascii="仿宋_GB2312" w:eastAsia="仿宋_GB2312"/>
          <w:color w:val="000000"/>
          <w:sz w:val="32"/>
          <w:szCs w:val="32"/>
          <w:lang w:val="zh-CN"/>
        </w:rPr>
        <w:t>主要由三公经费、项目支出、公用经费、</w:t>
      </w:r>
      <w:r>
        <w:rPr>
          <w:rFonts w:hint="eastAsia" w:ascii="仿宋_GB2312" w:eastAsia="仿宋_GB2312"/>
          <w:color w:val="000000"/>
          <w:sz w:val="32"/>
          <w:szCs w:val="32"/>
        </w:rPr>
        <w:t>人员经费构成。</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（二）执行管理情况。</w:t>
      </w:r>
      <w:r>
        <w:rPr>
          <w:rFonts w:hint="eastAsia" w:ascii="楷体" w:hAnsi="楷体" w:eastAsia="楷体" w:cs="宋体"/>
          <w:color w:val="000000"/>
          <w:kern w:val="0"/>
          <w:sz w:val="32"/>
          <w:lang w:val="zh-CN"/>
        </w:rPr>
        <w:tab/>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仿宋_GB2312" w:eastAsia="仿宋_GB2312"/>
          <w:color w:val="000000"/>
          <w:sz w:val="32"/>
          <w:szCs w:val="32"/>
        </w:rPr>
        <w:t>2018年度“三公”经费财政拨款支出决算中，因公出国（境）费支出决算0元；公务用车购置及运行维护费支出决算5.03万元，占99.98%；公务接待费支出决算0.06万元，占0.02%。</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（三）综合管理情况。</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201</w:t>
      </w:r>
      <w:r>
        <w:rPr>
          <w:rFonts w:hint="eastAsia" w:ascii="仿宋_GB2312" w:eastAsia="仿宋_GB2312"/>
          <w:color w:val="000000"/>
          <w:sz w:val="32"/>
          <w:szCs w:val="32"/>
        </w:rPr>
        <w:t>8</w:t>
      </w:r>
      <w:r>
        <w:rPr>
          <w:rFonts w:hint="eastAsia" w:ascii="仿宋_GB2312" w:eastAsia="仿宋_GB2312"/>
          <w:color w:val="000000"/>
          <w:sz w:val="32"/>
          <w:szCs w:val="32"/>
          <w:lang w:val="zh-CN"/>
        </w:rPr>
        <w:t>年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（四）整体绩效。</w:t>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楷体" w:hAnsi="楷体" w:eastAsia="楷体" w:cs="宋体"/>
          <w:color w:val="000000"/>
          <w:kern w:val="0"/>
          <w:sz w:val="32"/>
          <w:lang w:val="zh-CN"/>
        </w:rPr>
        <w:t>（一）部门职责履行情况分析</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201</w:t>
      </w:r>
      <w:r>
        <w:rPr>
          <w:rFonts w:hint="eastAsia" w:ascii="仿宋_GB2312" w:eastAsia="仿宋_GB2312"/>
          <w:color w:val="000000"/>
          <w:sz w:val="32"/>
          <w:szCs w:val="32"/>
        </w:rPr>
        <w:t>8</w:t>
      </w:r>
      <w:r>
        <w:rPr>
          <w:rFonts w:hint="eastAsia" w:ascii="仿宋_GB2312" w:eastAsia="仿宋_GB2312"/>
          <w:color w:val="000000"/>
          <w:sz w:val="32"/>
          <w:szCs w:val="32"/>
          <w:lang w:val="zh-CN"/>
        </w:rPr>
        <w:t>年度我单位年初</w:t>
      </w:r>
      <w:r>
        <w:rPr>
          <w:rFonts w:hint="eastAsia" w:ascii="仿宋_GB2312" w:eastAsia="仿宋_GB2312"/>
          <w:color w:val="000000"/>
          <w:sz w:val="32"/>
          <w:szCs w:val="32"/>
        </w:rPr>
        <w:t>根据</w:t>
      </w:r>
      <w:r>
        <w:rPr>
          <w:rFonts w:hint="eastAsia" w:ascii="仿宋_GB2312" w:eastAsia="仿宋_GB2312"/>
          <w:color w:val="000000"/>
          <w:sz w:val="32"/>
          <w:szCs w:val="32"/>
          <w:lang w:val="zh-CN"/>
        </w:rPr>
        <w:t>工作规划和重点工作</w:t>
      </w:r>
      <w:r>
        <w:rPr>
          <w:rFonts w:hint="eastAsia" w:ascii="仿宋_GB2312" w:eastAsia="仿宋_GB2312"/>
          <w:color w:val="000000"/>
          <w:sz w:val="32"/>
          <w:szCs w:val="32"/>
        </w:rPr>
        <w:t>规划</w:t>
      </w:r>
      <w:r>
        <w:rPr>
          <w:rFonts w:hint="eastAsia" w:ascii="仿宋_GB2312" w:eastAsia="仿宋_GB2312"/>
          <w:color w:val="000000"/>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楷体" w:hAnsi="楷体" w:eastAsia="楷体" w:cs="宋体"/>
          <w:color w:val="000000"/>
          <w:kern w:val="0"/>
          <w:sz w:val="32"/>
          <w:lang w:val="zh-CN"/>
        </w:rPr>
        <w:t>（二）社会经济效益分析</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1、本年预算配置控制较好。财政供养人员控制在预算编制以内，编制内在职人员控制率为100%；“三公经费”控制在年初预算以内。</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2、预算执行情况控制较好。支出总额控制在年初预算总额以内，本年部门预算完成率达到了100%，未进行预算相关事项的调整，预算控制良好。</w:t>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仿宋_GB2312" w:eastAsia="仿宋_GB2312"/>
          <w:color w:val="000000"/>
          <w:sz w:val="32"/>
          <w:szCs w:val="32"/>
          <w:lang w:val="zh-CN"/>
        </w:rPr>
        <w:t>3、预算管理较为理想。由于严格执行财政相关法律、法规的规定，我单位的预算管理工作取得了较好的成绩，全年人员经费支出、日常用公用经费支出的控制率均达到了100%</w:t>
      </w:r>
      <w:r>
        <w:rPr>
          <w:rFonts w:hint="eastAsia" w:ascii="楷体" w:hAnsi="楷体" w:eastAsia="楷体" w:cs="宋体"/>
          <w:color w:val="000000"/>
          <w:kern w:val="0"/>
          <w:sz w:val="32"/>
          <w:lang w:val="zh-CN"/>
        </w:rPr>
        <w:t>。</w:t>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楷体" w:hAnsi="楷体" w:eastAsia="楷体" w:cs="宋体"/>
          <w:color w:val="000000"/>
          <w:kern w:val="0"/>
          <w:sz w:val="32"/>
          <w:lang w:val="zh-CN"/>
        </w:rPr>
        <w:t>（三）行政效能分析</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财政预算安排在很大程度上保障了本单位基本支出及公用经费支出的正常工作运转。预算安排的项目支出也是非常必要的。财政预算安排大大提升财政资金的使用效率，财政资金的安全性得到了有效保障，我们在执行预算过程中是严格按照财政各项制度规定来办理，单位在</w:t>
      </w:r>
      <w:bookmarkStart w:id="78" w:name="_GoBack"/>
      <w:bookmarkEnd w:id="78"/>
      <w:r>
        <w:rPr>
          <w:rFonts w:hint="eastAsia" w:ascii="仿宋_GB2312" w:eastAsia="仿宋_GB2312"/>
          <w:color w:val="000000"/>
          <w:sz w:val="32"/>
          <w:szCs w:val="32"/>
          <w:lang w:val="zh-CN"/>
        </w:rPr>
        <w:t>项目资金的使用上也是安全的。</w:t>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楷体" w:hAnsi="楷体" w:eastAsia="楷体" w:cs="宋体"/>
          <w:color w:val="000000"/>
          <w:kern w:val="0"/>
          <w:sz w:val="32"/>
          <w:lang w:val="zh-CN"/>
        </w:rPr>
        <w:t>四、其他需要说明的问题</w:t>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楷体" w:hAnsi="楷体" w:eastAsia="楷体" w:cs="宋体"/>
          <w:color w:val="000000"/>
          <w:kern w:val="0"/>
          <w:sz w:val="32"/>
          <w:lang w:val="zh-CN"/>
        </w:rPr>
        <w:t>（一）存在的问题</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1、预算编制欠严谨</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预算编制欠全面，项目有临时追加不够完整、细化</w:t>
      </w:r>
      <w:r>
        <w:rPr>
          <w:rFonts w:hint="eastAsia" w:ascii="仿宋_GB2312"/>
          <w:color w:val="000000"/>
          <w:sz w:val="32"/>
          <w:szCs w:val="32"/>
          <w:lang w:val="zh-CN"/>
        </w:rPr>
        <w:t>。</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2、预算执行存在偏差</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在实际经费列支中，未严格按照预算科目进行列支，部分基本支出挤占了项目支出。</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3、会计核算欠规范</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经费支出核算过程中，部分存在部分大额办公支出无明细、发票内容填写不规范等现象。</w:t>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楷体" w:hAnsi="楷体" w:eastAsia="楷体" w:cs="宋体"/>
          <w:color w:val="000000"/>
          <w:kern w:val="0"/>
          <w:sz w:val="32"/>
          <w:lang w:val="zh-CN"/>
        </w:rPr>
        <w:t>（二）改进措施和有关建议</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1、科学合理编制预算，严格执行预算</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建议按照《预算法》及其实施条例的相关规定，参考上一年的预算执行情况和年度的收支预测科学编制预算，避免年中大幅追加以及超预算。在预算执行中，严格按照预算科目支出，避免预算科目间的预算资金调剂，确需调剂的，按规定程序报经批准。</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2、规范账务处理，提高财务信息质量</w:t>
      </w:r>
    </w:p>
    <w:p>
      <w:pPr>
        <w:widowControl/>
        <w:adjustRightInd w:val="0"/>
        <w:snapToGrid w:val="0"/>
        <w:spacing w:line="480" w:lineRule="exact"/>
        <w:ind w:firstLine="720"/>
        <w:jc w:val="left"/>
        <w:rPr>
          <w:rFonts w:ascii="仿宋_GB2312" w:eastAsia="仿宋_GB2312"/>
          <w:color w:val="000000"/>
          <w:sz w:val="32"/>
          <w:szCs w:val="32"/>
          <w:lang w:val="zh-CN"/>
        </w:rPr>
      </w:pPr>
      <w:r>
        <w:rPr>
          <w:rFonts w:hint="eastAsia" w:ascii="仿宋_GB2312" w:eastAsia="仿宋_GB2312"/>
          <w:color w:val="000000"/>
          <w:sz w:val="32"/>
          <w:szCs w:val="32"/>
          <w:lang w:val="zh-CN"/>
        </w:rPr>
        <w:t>严格按照《会计法》、《行政单位会计制度》、《行政单位财务规则》等规定，结合实际情况，科学设置支出科目，规范财务核算，完整披露相关信息。</w:t>
      </w:r>
    </w:p>
    <w:p>
      <w:pPr>
        <w:pStyle w:val="3"/>
        <w:rPr>
          <w:rStyle w:val="26"/>
          <w:rFonts w:ascii="仿宋" w:hAnsi="仿宋" w:eastAsia="仿宋"/>
          <w:b w:val="0"/>
          <w:bCs w:val="0"/>
          <w:sz w:val="32"/>
          <w:szCs w:val="32"/>
        </w:rPr>
      </w:pPr>
    </w:p>
    <w:p/>
    <w:p/>
    <w:p/>
    <w:p/>
    <w:p/>
    <w:p>
      <w:pPr>
        <w:pStyle w:val="3"/>
        <w:rPr>
          <w:rFonts w:ascii="Times New Roman" w:hAnsi="Times New Roman" w:eastAsia="宋体" w:cs="Times New Roman"/>
          <w:b w:val="0"/>
          <w:bCs w:val="0"/>
          <w:sz w:val="21"/>
          <w:szCs w:val="24"/>
        </w:rPr>
      </w:pPr>
    </w:p>
    <w:p/>
    <w:bookmarkEnd w:id="64"/>
    <w:p>
      <w:pPr>
        <w:spacing w:line="600" w:lineRule="exact"/>
        <w:jc w:val="center"/>
        <w:outlineLvl w:val="0"/>
        <w:rPr>
          <w:rStyle w:val="26"/>
          <w:rFonts w:ascii="黑体" w:hAnsi="黑体" w:eastAsia="黑体"/>
          <w:b w:val="0"/>
        </w:rPr>
      </w:pPr>
      <w:bookmarkStart w:id="65" w:name="_Toc15396618"/>
      <w:r>
        <w:rPr>
          <w:rFonts w:hint="eastAsia" w:ascii="黑体" w:hAnsi="黑体" w:eastAsia="黑体"/>
          <w:color w:val="000000"/>
          <w:sz w:val="44"/>
          <w:szCs w:val="44"/>
        </w:rPr>
        <w:t>第</w:t>
      </w:r>
      <w:r>
        <w:rPr>
          <w:rStyle w:val="26"/>
          <w:rFonts w:hint="eastAsia" w:ascii="黑体" w:hAnsi="黑体" w:eastAsia="黑体"/>
          <w:b w:val="0"/>
        </w:rPr>
        <w:t>五部分 附表</w:t>
      </w:r>
      <w:bookmarkEnd w:id="61"/>
      <w:bookmarkEnd w:id="65"/>
    </w:p>
    <w:p>
      <w:pPr>
        <w:spacing w:line="600" w:lineRule="exact"/>
        <w:jc w:val="center"/>
        <w:outlineLvl w:val="0"/>
        <w:rPr>
          <w:rFonts w:ascii="仿宋" w:hAnsi="仿宋" w:eastAsia="仿宋"/>
          <w:b/>
          <w:color w:val="000000"/>
          <w:sz w:val="44"/>
          <w:szCs w:val="44"/>
        </w:rPr>
      </w:pPr>
    </w:p>
    <w:p>
      <w:pPr>
        <w:pStyle w:val="3"/>
        <w:numPr>
          <w:ilvl w:val="0"/>
          <w:numId w:val="10"/>
        </w:numPr>
        <w:rPr>
          <w:rFonts w:ascii="仿宋" w:hAnsi="仿宋" w:eastAsia="仿宋"/>
          <w:b w:val="0"/>
          <w:color w:val="000000"/>
        </w:rPr>
      </w:pPr>
      <w:bookmarkStart w:id="66" w:name="_Toc15396620"/>
      <w:r>
        <w:rPr>
          <w:rFonts w:hint="eastAsia" w:ascii="仿宋" w:hAnsi="仿宋" w:eastAsia="仿宋"/>
          <w:b w:val="0"/>
          <w:color w:val="000000"/>
        </w:rPr>
        <w:t>收入支出决算总表</w:t>
      </w:r>
    </w:p>
    <w:p>
      <w:pPr>
        <w:pStyle w:val="3"/>
        <w:rPr>
          <w:rFonts w:ascii="仿宋" w:hAnsi="仿宋" w:eastAsia="仿宋"/>
          <w:color w:val="000000"/>
        </w:rPr>
      </w:pPr>
      <w:r>
        <w:rPr>
          <w:rFonts w:hint="eastAsia" w:ascii="仿宋" w:hAnsi="仿宋" w:eastAsia="仿宋"/>
          <w:b w:val="0"/>
          <w:color w:val="000000"/>
        </w:rPr>
        <w:t>二、收</w:t>
      </w:r>
      <w:r>
        <w:rPr>
          <w:rStyle w:val="27"/>
          <w:rFonts w:hint="eastAsia" w:ascii="仿宋" w:hAnsi="仿宋" w:eastAsia="仿宋"/>
          <w:b w:val="0"/>
          <w:bCs w:val="0"/>
        </w:rPr>
        <w:t>入总表</w:t>
      </w:r>
      <w:bookmarkEnd w:id="66"/>
    </w:p>
    <w:p>
      <w:pPr>
        <w:pStyle w:val="3"/>
        <w:rPr>
          <w:rFonts w:ascii="仿宋" w:hAnsi="仿宋" w:eastAsia="仿宋"/>
          <w:color w:val="000000"/>
        </w:rPr>
      </w:pPr>
      <w:bookmarkStart w:id="67"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出总表</w:t>
      </w:r>
      <w:bookmarkEnd w:id="67"/>
    </w:p>
    <w:p>
      <w:pPr>
        <w:pStyle w:val="3"/>
        <w:rPr>
          <w:rFonts w:ascii="仿宋" w:hAnsi="仿宋" w:eastAsia="仿宋"/>
          <w:b w:val="0"/>
          <w:color w:val="000000"/>
        </w:rPr>
      </w:pPr>
      <w:bookmarkStart w:id="68"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8"/>
    </w:p>
    <w:p>
      <w:pPr>
        <w:pStyle w:val="3"/>
        <w:rPr>
          <w:rFonts w:ascii="仿宋" w:hAnsi="仿宋" w:eastAsia="仿宋"/>
          <w:color w:val="000000"/>
        </w:rPr>
      </w:pPr>
      <w:bookmarkStart w:id="69"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政拨款支出决算明细表（政府经济分类科目）</w:t>
      </w:r>
      <w:bookmarkEnd w:id="69"/>
    </w:p>
    <w:p>
      <w:pPr>
        <w:pStyle w:val="3"/>
        <w:rPr>
          <w:rFonts w:ascii="仿宋" w:hAnsi="仿宋" w:eastAsia="仿宋"/>
          <w:color w:val="000000"/>
        </w:rPr>
      </w:pPr>
      <w:bookmarkStart w:id="70" w:name="_Toc15396624"/>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70"/>
    </w:p>
    <w:p>
      <w:pPr>
        <w:pStyle w:val="3"/>
        <w:rPr>
          <w:rFonts w:ascii="仿宋" w:hAnsi="仿宋" w:eastAsia="仿宋"/>
          <w:color w:val="000000"/>
        </w:rPr>
      </w:pPr>
      <w:bookmarkStart w:id="71"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71"/>
    </w:p>
    <w:p>
      <w:pPr>
        <w:pStyle w:val="3"/>
        <w:rPr>
          <w:rFonts w:ascii="仿宋" w:hAnsi="仿宋" w:eastAsia="仿宋"/>
          <w:color w:val="000000"/>
        </w:rPr>
      </w:pPr>
      <w:bookmarkStart w:id="72"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72"/>
    </w:p>
    <w:p>
      <w:pPr>
        <w:pStyle w:val="3"/>
        <w:rPr>
          <w:rFonts w:ascii="仿宋" w:hAnsi="仿宋" w:eastAsia="仿宋"/>
          <w:color w:val="000000"/>
        </w:rPr>
      </w:pPr>
      <w:bookmarkStart w:id="73"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73"/>
    </w:p>
    <w:p>
      <w:pPr>
        <w:pStyle w:val="3"/>
        <w:rPr>
          <w:rFonts w:ascii="仿宋" w:hAnsi="仿宋" w:eastAsia="仿宋"/>
          <w:color w:val="000000"/>
        </w:rPr>
      </w:pPr>
      <w:bookmarkStart w:id="74"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74"/>
    </w:p>
    <w:p>
      <w:pPr>
        <w:pStyle w:val="3"/>
        <w:rPr>
          <w:rFonts w:ascii="仿宋" w:hAnsi="仿宋" w:eastAsia="仿宋"/>
          <w:color w:val="000000"/>
        </w:rPr>
      </w:pPr>
      <w:bookmarkStart w:id="75"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5"/>
    </w:p>
    <w:p>
      <w:pPr>
        <w:pStyle w:val="3"/>
        <w:rPr>
          <w:rFonts w:ascii="仿宋" w:hAnsi="仿宋" w:eastAsia="仿宋"/>
          <w:color w:val="000000"/>
        </w:rPr>
      </w:pPr>
      <w:bookmarkStart w:id="76"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6"/>
    </w:p>
    <w:p>
      <w:pPr>
        <w:pStyle w:val="3"/>
        <w:rPr>
          <w:rFonts w:ascii="仿宋" w:hAnsi="仿宋" w:eastAsia="仿宋"/>
          <w:color w:val="000000" w:themeColor="text1"/>
        </w:rPr>
      </w:pPr>
      <w:bookmarkStart w:id="77"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7"/>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altName w:val="楷体_GB2312"/>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44</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CE83A667"/>
    <w:multiLevelType w:val="singleLevel"/>
    <w:tmpl w:val="CE83A667"/>
    <w:lvl w:ilvl="0" w:tentative="0">
      <w:start w:val="1"/>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7">
    <w:nsid w:val="4E0D0B8A"/>
    <w:multiLevelType w:val="singleLevel"/>
    <w:tmpl w:val="4E0D0B8A"/>
    <w:lvl w:ilvl="0" w:tentative="0">
      <w:start w:val="1"/>
      <w:numFmt w:val="chineseCounting"/>
      <w:suff w:val="nothing"/>
      <w:lvlText w:val="（%1）"/>
      <w:lvlJc w:val="left"/>
      <w:rPr>
        <w:rFonts w:hint="eastAsia"/>
      </w:rPr>
    </w:lvl>
  </w:abstractNum>
  <w:abstractNum w:abstractNumId="8">
    <w:nsid w:val="514C597D"/>
    <w:multiLevelType w:val="singleLevel"/>
    <w:tmpl w:val="514C597D"/>
    <w:lvl w:ilvl="0" w:tentative="0">
      <w:start w:val="1"/>
      <w:numFmt w:val="chineseCounting"/>
      <w:suff w:val="nothing"/>
      <w:lvlText w:val="%1、"/>
      <w:lvlJc w:val="left"/>
      <w:rPr>
        <w:rFonts w:hint="eastAsia"/>
      </w:rPr>
    </w:lvl>
  </w:abstractNum>
  <w:abstractNum w:abstractNumId="9">
    <w:nsid w:val="5D5382B5"/>
    <w:multiLevelType w:val="singleLevel"/>
    <w:tmpl w:val="5D5382B5"/>
    <w:lvl w:ilvl="0" w:tentative="0">
      <w:start w:val="1"/>
      <w:numFmt w:val="chineseCounting"/>
      <w:suff w:val="nothing"/>
      <w:lvlText w:val="%1、"/>
      <w:lvlJc w:val="left"/>
    </w:lvl>
  </w:abstractNum>
  <w:num w:numId="1">
    <w:abstractNumId w:val="7"/>
  </w:num>
  <w:num w:numId="2">
    <w:abstractNumId w:val="8"/>
  </w:num>
  <w:num w:numId="3">
    <w:abstractNumId w:val="1"/>
  </w:num>
  <w:num w:numId="4">
    <w:abstractNumId w:val="5"/>
  </w:num>
  <w:num w:numId="5">
    <w:abstractNumId w:val="2"/>
  </w:num>
  <w:num w:numId="6">
    <w:abstractNumId w:val="6"/>
  </w:num>
  <w:num w:numId="7">
    <w:abstractNumId w:val="4"/>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1NzRjZWFjN2Y3Y2E5NDViYzQ1OGQ0NTBkNzgxMDcifQ=="/>
  </w:docVars>
  <w:rsids>
    <w:rsidRoot w:val="00F1361C"/>
    <w:rsid w:val="00016578"/>
    <w:rsid w:val="00016817"/>
    <w:rsid w:val="000222C6"/>
    <w:rsid w:val="0002549F"/>
    <w:rsid w:val="0006487A"/>
    <w:rsid w:val="00065F8F"/>
    <w:rsid w:val="00070549"/>
    <w:rsid w:val="000768F2"/>
    <w:rsid w:val="0009184B"/>
    <w:rsid w:val="0009593C"/>
    <w:rsid w:val="000B047F"/>
    <w:rsid w:val="000B34BF"/>
    <w:rsid w:val="000B5923"/>
    <w:rsid w:val="000B5A48"/>
    <w:rsid w:val="000B6FF3"/>
    <w:rsid w:val="000C3467"/>
    <w:rsid w:val="000C3CA6"/>
    <w:rsid w:val="000C6BCA"/>
    <w:rsid w:val="000D1267"/>
    <w:rsid w:val="000D1D50"/>
    <w:rsid w:val="000D5782"/>
    <w:rsid w:val="000E5462"/>
    <w:rsid w:val="000E6613"/>
    <w:rsid w:val="000E7119"/>
    <w:rsid w:val="00106FDA"/>
    <w:rsid w:val="00114E9B"/>
    <w:rsid w:val="0014729F"/>
    <w:rsid w:val="00157BAB"/>
    <w:rsid w:val="001654D1"/>
    <w:rsid w:val="0018106D"/>
    <w:rsid w:val="001877A7"/>
    <w:rsid w:val="00191536"/>
    <w:rsid w:val="00196687"/>
    <w:rsid w:val="001971DF"/>
    <w:rsid w:val="001A3436"/>
    <w:rsid w:val="001C0962"/>
    <w:rsid w:val="001D7531"/>
    <w:rsid w:val="001E737D"/>
    <w:rsid w:val="001F0592"/>
    <w:rsid w:val="001F403C"/>
    <w:rsid w:val="001F7506"/>
    <w:rsid w:val="002006CD"/>
    <w:rsid w:val="00202B36"/>
    <w:rsid w:val="00204B7A"/>
    <w:rsid w:val="0021101A"/>
    <w:rsid w:val="00220536"/>
    <w:rsid w:val="00235629"/>
    <w:rsid w:val="00260C38"/>
    <w:rsid w:val="002616C0"/>
    <w:rsid w:val="002662AA"/>
    <w:rsid w:val="00280496"/>
    <w:rsid w:val="00295495"/>
    <w:rsid w:val="002B2613"/>
    <w:rsid w:val="002B29AE"/>
    <w:rsid w:val="002C2989"/>
    <w:rsid w:val="002E42E3"/>
    <w:rsid w:val="002F1818"/>
    <w:rsid w:val="002F567B"/>
    <w:rsid w:val="003216A9"/>
    <w:rsid w:val="0037013F"/>
    <w:rsid w:val="00380C92"/>
    <w:rsid w:val="00392C21"/>
    <w:rsid w:val="00394DE0"/>
    <w:rsid w:val="003A484F"/>
    <w:rsid w:val="003B0BE0"/>
    <w:rsid w:val="003B0C1B"/>
    <w:rsid w:val="003B688C"/>
    <w:rsid w:val="003B6FB6"/>
    <w:rsid w:val="003C0291"/>
    <w:rsid w:val="003C39AE"/>
    <w:rsid w:val="003C3C03"/>
    <w:rsid w:val="003C7B60"/>
    <w:rsid w:val="003D1FB2"/>
    <w:rsid w:val="003D66DA"/>
    <w:rsid w:val="003E1310"/>
    <w:rsid w:val="003E6F55"/>
    <w:rsid w:val="00406254"/>
    <w:rsid w:val="004223DE"/>
    <w:rsid w:val="00434489"/>
    <w:rsid w:val="00437085"/>
    <w:rsid w:val="00443880"/>
    <w:rsid w:val="004464F4"/>
    <w:rsid w:val="00447115"/>
    <w:rsid w:val="00471401"/>
    <w:rsid w:val="00473F31"/>
    <w:rsid w:val="0048263A"/>
    <w:rsid w:val="00487E5D"/>
    <w:rsid w:val="00497AD5"/>
    <w:rsid w:val="004A711F"/>
    <w:rsid w:val="004B199D"/>
    <w:rsid w:val="004B4690"/>
    <w:rsid w:val="004E0A2D"/>
    <w:rsid w:val="004E206B"/>
    <w:rsid w:val="004E6DF7"/>
    <w:rsid w:val="004F0FBD"/>
    <w:rsid w:val="004F132B"/>
    <w:rsid w:val="00505A47"/>
    <w:rsid w:val="00512FDA"/>
    <w:rsid w:val="00520DA0"/>
    <w:rsid w:val="00540D9B"/>
    <w:rsid w:val="005434D0"/>
    <w:rsid w:val="0055064D"/>
    <w:rsid w:val="00557424"/>
    <w:rsid w:val="005664BB"/>
    <w:rsid w:val="0057481D"/>
    <w:rsid w:val="00582609"/>
    <w:rsid w:val="0058486E"/>
    <w:rsid w:val="005D0616"/>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847B1"/>
    <w:rsid w:val="006A3141"/>
    <w:rsid w:val="006A5E34"/>
    <w:rsid w:val="006B2422"/>
    <w:rsid w:val="006B2733"/>
    <w:rsid w:val="006B2B9A"/>
    <w:rsid w:val="006C1937"/>
    <w:rsid w:val="006E6151"/>
    <w:rsid w:val="006F020C"/>
    <w:rsid w:val="007127B7"/>
    <w:rsid w:val="007416B6"/>
    <w:rsid w:val="00746F48"/>
    <w:rsid w:val="0075404D"/>
    <w:rsid w:val="0076182A"/>
    <w:rsid w:val="0076417C"/>
    <w:rsid w:val="00767B7E"/>
    <w:rsid w:val="007770C3"/>
    <w:rsid w:val="00784D24"/>
    <w:rsid w:val="00785FBA"/>
    <w:rsid w:val="00786E4A"/>
    <w:rsid w:val="00787107"/>
    <w:rsid w:val="007875EB"/>
    <w:rsid w:val="0079426B"/>
    <w:rsid w:val="007A3CC0"/>
    <w:rsid w:val="007B2FA9"/>
    <w:rsid w:val="007D312A"/>
    <w:rsid w:val="007D3F19"/>
    <w:rsid w:val="007E23B0"/>
    <w:rsid w:val="007F1705"/>
    <w:rsid w:val="007F1991"/>
    <w:rsid w:val="007F2C2F"/>
    <w:rsid w:val="007F3B64"/>
    <w:rsid w:val="007F55FC"/>
    <w:rsid w:val="007F5665"/>
    <w:rsid w:val="00800112"/>
    <w:rsid w:val="0080527F"/>
    <w:rsid w:val="00806587"/>
    <w:rsid w:val="008253BB"/>
    <w:rsid w:val="0083139B"/>
    <w:rsid w:val="0083706E"/>
    <w:rsid w:val="008423A5"/>
    <w:rsid w:val="00850625"/>
    <w:rsid w:val="00853718"/>
    <w:rsid w:val="00855221"/>
    <w:rsid w:val="00860645"/>
    <w:rsid w:val="00871F71"/>
    <w:rsid w:val="008802AF"/>
    <w:rsid w:val="00885AF4"/>
    <w:rsid w:val="008906C8"/>
    <w:rsid w:val="008939CD"/>
    <w:rsid w:val="008B768C"/>
    <w:rsid w:val="008C4DB1"/>
    <w:rsid w:val="008C4EAF"/>
    <w:rsid w:val="008C5176"/>
    <w:rsid w:val="008C7FD0"/>
    <w:rsid w:val="008D71A1"/>
    <w:rsid w:val="008E1DE7"/>
    <w:rsid w:val="008E707C"/>
    <w:rsid w:val="00900B08"/>
    <w:rsid w:val="00902155"/>
    <w:rsid w:val="00902FA3"/>
    <w:rsid w:val="00923564"/>
    <w:rsid w:val="0092392E"/>
    <w:rsid w:val="009315F9"/>
    <w:rsid w:val="00936F17"/>
    <w:rsid w:val="00946945"/>
    <w:rsid w:val="00951248"/>
    <w:rsid w:val="0095152F"/>
    <w:rsid w:val="00954C49"/>
    <w:rsid w:val="0097099F"/>
    <w:rsid w:val="00971997"/>
    <w:rsid w:val="00971FFC"/>
    <w:rsid w:val="0098660A"/>
    <w:rsid w:val="009931C3"/>
    <w:rsid w:val="009A7E27"/>
    <w:rsid w:val="009B2C43"/>
    <w:rsid w:val="009B37ED"/>
    <w:rsid w:val="009B4EAE"/>
    <w:rsid w:val="009B6335"/>
    <w:rsid w:val="009B7573"/>
    <w:rsid w:val="009C22F4"/>
    <w:rsid w:val="009C2E98"/>
    <w:rsid w:val="009C43DB"/>
    <w:rsid w:val="009D3447"/>
    <w:rsid w:val="009D4711"/>
    <w:rsid w:val="009E1DF8"/>
    <w:rsid w:val="009F1185"/>
    <w:rsid w:val="009F18CD"/>
    <w:rsid w:val="009F2A13"/>
    <w:rsid w:val="00A04EB0"/>
    <w:rsid w:val="00A13CC1"/>
    <w:rsid w:val="00A16847"/>
    <w:rsid w:val="00A237D8"/>
    <w:rsid w:val="00A268C4"/>
    <w:rsid w:val="00A307CD"/>
    <w:rsid w:val="00A40A00"/>
    <w:rsid w:val="00A4142F"/>
    <w:rsid w:val="00A56DF2"/>
    <w:rsid w:val="00A62749"/>
    <w:rsid w:val="00A62FBC"/>
    <w:rsid w:val="00A67AB5"/>
    <w:rsid w:val="00A85B3E"/>
    <w:rsid w:val="00A91760"/>
    <w:rsid w:val="00A93B00"/>
    <w:rsid w:val="00A93C21"/>
    <w:rsid w:val="00A95CE7"/>
    <w:rsid w:val="00AB6691"/>
    <w:rsid w:val="00AC3C6A"/>
    <w:rsid w:val="00AD5620"/>
    <w:rsid w:val="00AD7C1B"/>
    <w:rsid w:val="00AE16BA"/>
    <w:rsid w:val="00AE1EBE"/>
    <w:rsid w:val="00B03C9D"/>
    <w:rsid w:val="00B060AE"/>
    <w:rsid w:val="00B10517"/>
    <w:rsid w:val="00B14E76"/>
    <w:rsid w:val="00B15BEB"/>
    <w:rsid w:val="00B161B8"/>
    <w:rsid w:val="00B2048C"/>
    <w:rsid w:val="00B22E1E"/>
    <w:rsid w:val="00B310B9"/>
    <w:rsid w:val="00B34CC4"/>
    <w:rsid w:val="00B34FD4"/>
    <w:rsid w:val="00B35F3F"/>
    <w:rsid w:val="00B36CBB"/>
    <w:rsid w:val="00B425E0"/>
    <w:rsid w:val="00B440AA"/>
    <w:rsid w:val="00B44B70"/>
    <w:rsid w:val="00B51F62"/>
    <w:rsid w:val="00B53C56"/>
    <w:rsid w:val="00B53FB0"/>
    <w:rsid w:val="00B665E7"/>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0F5C"/>
    <w:rsid w:val="00C533CC"/>
    <w:rsid w:val="00C5751C"/>
    <w:rsid w:val="00C61BFC"/>
    <w:rsid w:val="00C62B85"/>
    <w:rsid w:val="00C65438"/>
    <w:rsid w:val="00C824C9"/>
    <w:rsid w:val="00C91CBB"/>
    <w:rsid w:val="00C97DBA"/>
    <w:rsid w:val="00CC09B6"/>
    <w:rsid w:val="00CC666F"/>
    <w:rsid w:val="00CD1E3F"/>
    <w:rsid w:val="00CE44F6"/>
    <w:rsid w:val="00CE49DA"/>
    <w:rsid w:val="00CE7B61"/>
    <w:rsid w:val="00CF0DC4"/>
    <w:rsid w:val="00CF662E"/>
    <w:rsid w:val="00D00095"/>
    <w:rsid w:val="00D20620"/>
    <w:rsid w:val="00D26091"/>
    <w:rsid w:val="00D34E7C"/>
    <w:rsid w:val="00D35489"/>
    <w:rsid w:val="00D51276"/>
    <w:rsid w:val="00D60C34"/>
    <w:rsid w:val="00D7035F"/>
    <w:rsid w:val="00D8171E"/>
    <w:rsid w:val="00D85905"/>
    <w:rsid w:val="00DA65AC"/>
    <w:rsid w:val="00DB1913"/>
    <w:rsid w:val="00DC410D"/>
    <w:rsid w:val="00DC68CA"/>
    <w:rsid w:val="00DC7CBA"/>
    <w:rsid w:val="00DD6577"/>
    <w:rsid w:val="00DD73B7"/>
    <w:rsid w:val="00DF28BC"/>
    <w:rsid w:val="00DF34B9"/>
    <w:rsid w:val="00E01053"/>
    <w:rsid w:val="00E07ACF"/>
    <w:rsid w:val="00E25FEE"/>
    <w:rsid w:val="00E331A1"/>
    <w:rsid w:val="00E33202"/>
    <w:rsid w:val="00E336A9"/>
    <w:rsid w:val="00E44C7C"/>
    <w:rsid w:val="00E50624"/>
    <w:rsid w:val="00E568DF"/>
    <w:rsid w:val="00E6394F"/>
    <w:rsid w:val="00E64269"/>
    <w:rsid w:val="00E82267"/>
    <w:rsid w:val="00EA010F"/>
    <w:rsid w:val="00ED1B63"/>
    <w:rsid w:val="00ED3C1F"/>
    <w:rsid w:val="00ED4085"/>
    <w:rsid w:val="00ED420E"/>
    <w:rsid w:val="00EE1FA5"/>
    <w:rsid w:val="00EE2F57"/>
    <w:rsid w:val="00EF4C34"/>
    <w:rsid w:val="00EF77C6"/>
    <w:rsid w:val="00F05438"/>
    <w:rsid w:val="00F1361C"/>
    <w:rsid w:val="00F160C7"/>
    <w:rsid w:val="00F36D8F"/>
    <w:rsid w:val="00F40370"/>
    <w:rsid w:val="00F417B1"/>
    <w:rsid w:val="00F602DF"/>
    <w:rsid w:val="00F81FD9"/>
    <w:rsid w:val="00F841AA"/>
    <w:rsid w:val="00F87E1B"/>
    <w:rsid w:val="00FA23E8"/>
    <w:rsid w:val="00FD3CC1"/>
    <w:rsid w:val="00FF1E02"/>
    <w:rsid w:val="00FF30B4"/>
    <w:rsid w:val="023B60A0"/>
    <w:rsid w:val="047D654F"/>
    <w:rsid w:val="0B310C13"/>
    <w:rsid w:val="0BBF0531"/>
    <w:rsid w:val="0ED62A80"/>
    <w:rsid w:val="0EE23589"/>
    <w:rsid w:val="10C055FF"/>
    <w:rsid w:val="10F529AD"/>
    <w:rsid w:val="11150ACC"/>
    <w:rsid w:val="128C0123"/>
    <w:rsid w:val="16BB723D"/>
    <w:rsid w:val="18FE02B8"/>
    <w:rsid w:val="240371BF"/>
    <w:rsid w:val="24432BF9"/>
    <w:rsid w:val="25B46BBD"/>
    <w:rsid w:val="29FD04D3"/>
    <w:rsid w:val="2D307207"/>
    <w:rsid w:val="319F7F4E"/>
    <w:rsid w:val="366165E2"/>
    <w:rsid w:val="36B71CDA"/>
    <w:rsid w:val="3ABF06FE"/>
    <w:rsid w:val="3EB079F2"/>
    <w:rsid w:val="453E098F"/>
    <w:rsid w:val="506B4429"/>
    <w:rsid w:val="524B64EE"/>
    <w:rsid w:val="5ADE0BC3"/>
    <w:rsid w:val="5E7F1CC0"/>
    <w:rsid w:val="630C5039"/>
    <w:rsid w:val="65CE3CA5"/>
    <w:rsid w:val="6B7F3207"/>
    <w:rsid w:val="6F015D3B"/>
    <w:rsid w:val="70D35E58"/>
    <w:rsid w:val="75282356"/>
    <w:rsid w:val="7A1B7C72"/>
    <w:rsid w:val="7DB146BC"/>
    <w:rsid w:val="7F902E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35"/>
    <w:rPr>
      <w:rFonts w:eastAsia="黑体" w:asciiTheme="majorHAnsi" w:hAnsiTheme="majorHAnsi" w:cstheme="majorBidi"/>
      <w:sz w:val="20"/>
      <w:szCs w:val="20"/>
    </w:rPr>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spacing w:before="100" w:beforeAutospacing="1" w:after="100" w:afterAutospacing="1"/>
      <w:jc w:val="left"/>
    </w:pPr>
    <w:rPr>
      <w:rFonts w:ascii="Calibri" w:hAnsi="Calibri"/>
      <w:kern w:val="0"/>
      <w:sz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5">
    <w:name w:val="List Paragraph"/>
    <w:basedOn w:val="1"/>
    <w:qFormat/>
    <w:uiPriority w:val="34"/>
    <w:pPr>
      <w:ind w:firstLine="420" w:firstLineChars="200"/>
    </w:pPr>
  </w:style>
  <w:style w:type="character" w:customStyle="1" w:styleId="26">
    <w:name w:val="标题 1 Char"/>
    <w:basedOn w:val="15"/>
    <w:link w:val="2"/>
    <w:qFormat/>
    <w:uiPriority w:val="9"/>
    <w:rPr>
      <w:rFonts w:ascii="Times New Roman" w:hAnsi="Times New Roman"/>
      <w:b/>
      <w:bCs/>
      <w:kern w:val="44"/>
      <w:sz w:val="44"/>
      <w:szCs w:val="44"/>
    </w:rPr>
  </w:style>
  <w:style w:type="character" w:customStyle="1" w:styleId="27">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2017年</c:v>
                </c:pt>
                <c:pt idx="1">
                  <c:v>2018年</c:v>
                </c:pt>
              </c:strCache>
            </c:strRef>
          </c:cat>
          <c:val>
            <c:numRef>
              <c:f>Sheet1!$B$2:$B$3</c:f>
              <c:numCache>
                <c:formatCode>General</c:formatCode>
                <c:ptCount val="2"/>
                <c:pt idx="0">
                  <c:v>745.9</c:v>
                </c:pt>
                <c:pt idx="1">
                  <c:v>850.9</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2017年</c:v>
                </c:pt>
                <c:pt idx="1">
                  <c:v>2018年</c:v>
                </c:pt>
              </c:strCache>
            </c:strRef>
          </c:cat>
          <c:val>
            <c:numRef>
              <c:f>Sheet1!$C$2:$C$3</c:f>
              <c:numCache>
                <c:formatCode>General</c:formatCode>
                <c:ptCount val="2"/>
                <c:pt idx="0">
                  <c:v>790.81</c:v>
                </c:pt>
                <c:pt idx="1">
                  <c:v>868.92</c:v>
                </c:pt>
              </c:numCache>
            </c:numRef>
          </c:val>
        </c:ser>
        <c:dLbls>
          <c:showLegendKey val="0"/>
          <c:showVal val="1"/>
          <c:showCatName val="0"/>
          <c:showSerName val="0"/>
          <c:showPercent val="0"/>
          <c:showBubbleSize val="0"/>
        </c:dLbls>
        <c:gapWidth val="150"/>
        <c:axId val="42045440"/>
        <c:axId val="42048512"/>
      </c:barChart>
      <c:catAx>
        <c:axId val="4204544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2048512"/>
        <c:crosses val="autoZero"/>
        <c:auto val="1"/>
        <c:lblAlgn val="ctr"/>
        <c:lblOffset val="100"/>
        <c:noMultiLvlLbl val="0"/>
      </c:catAx>
      <c:valAx>
        <c:axId val="4204851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2045440"/>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本年收入合计</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850.770000000001</c:v>
                </c:pt>
                <c:pt idx="1">
                  <c:v>0.13</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517.72</c:v>
                </c:pt>
                <c:pt idx="1">
                  <c:v>351.19</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2017年</c:v>
                </c:pt>
                <c:pt idx="1">
                  <c:v>2018年</c:v>
                </c:pt>
              </c:strCache>
            </c:strRef>
          </c:cat>
          <c:val>
            <c:numRef>
              <c:f>Sheet1!$B$2:$B$3</c:f>
              <c:numCache>
                <c:formatCode>General</c:formatCode>
                <c:ptCount val="2"/>
                <c:pt idx="0">
                  <c:v>745.9</c:v>
                </c:pt>
                <c:pt idx="1">
                  <c:v>850.9</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2017年</c:v>
                </c:pt>
                <c:pt idx="1">
                  <c:v>2018年</c:v>
                </c:pt>
              </c:strCache>
            </c:strRef>
          </c:cat>
          <c:val>
            <c:numRef>
              <c:f>Sheet1!$C$2:$C$3</c:f>
              <c:numCache>
                <c:formatCode>General</c:formatCode>
                <c:ptCount val="2"/>
                <c:pt idx="0">
                  <c:v>790.819999999999</c:v>
                </c:pt>
                <c:pt idx="1">
                  <c:v>868.92</c:v>
                </c:pt>
              </c:numCache>
            </c:numRef>
          </c:val>
        </c:ser>
        <c:dLbls>
          <c:showLegendKey val="0"/>
          <c:showVal val="1"/>
          <c:showCatName val="0"/>
          <c:showSerName val="0"/>
          <c:showPercent val="0"/>
          <c:showBubbleSize val="0"/>
        </c:dLbls>
        <c:gapWidth val="150"/>
        <c:axId val="49207552"/>
        <c:axId val="49382144"/>
      </c:barChart>
      <c:catAx>
        <c:axId val="4920755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9382144"/>
        <c:crosses val="autoZero"/>
        <c:auto val="1"/>
        <c:lblAlgn val="ctr"/>
        <c:lblOffset val="100"/>
        <c:noMultiLvlLbl val="0"/>
      </c:catAx>
      <c:valAx>
        <c:axId val="4938214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920755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2017年</c:v>
                </c:pt>
                <c:pt idx="1">
                  <c:v>2018年</c:v>
                </c:pt>
              </c:strCache>
            </c:strRef>
          </c:cat>
          <c:val>
            <c:numRef>
              <c:f>Sheet1!$B$2:$B$3</c:f>
              <c:numCache>
                <c:formatCode>General</c:formatCode>
                <c:ptCount val="2"/>
                <c:pt idx="0">
                  <c:v>790.819999999999</c:v>
                </c:pt>
                <c:pt idx="1">
                  <c:v>868.92</c:v>
                </c:pt>
              </c:numCache>
            </c:numRef>
          </c:val>
        </c:ser>
        <c:dLbls>
          <c:showLegendKey val="0"/>
          <c:showVal val="1"/>
          <c:showCatName val="0"/>
          <c:showSerName val="0"/>
          <c:showPercent val="0"/>
          <c:showBubbleSize val="0"/>
        </c:dLbls>
        <c:gapWidth val="150"/>
        <c:axId val="49448832"/>
        <c:axId val="49491968"/>
      </c:barChart>
      <c:catAx>
        <c:axId val="4944883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9491968"/>
        <c:crosses val="autoZero"/>
        <c:auto val="1"/>
        <c:lblAlgn val="ctr"/>
        <c:lblOffset val="100"/>
        <c:noMultiLvlLbl val="0"/>
      </c:catAx>
      <c:valAx>
        <c:axId val="494919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944883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127660506167299"/>
          <c:y val="0.210945273631841"/>
          <c:w val="0.506390328151986"/>
          <c:h val="0.729353233830846"/>
        </c:manualLayout>
      </c:layout>
      <c:pieChart>
        <c:varyColors val="1"/>
        <c:ser>
          <c:idx val="0"/>
          <c:order val="0"/>
          <c:tx>
            <c:strRef>
              <c:f>Sheet1!$B$1</c:f>
              <c:strCache>
                <c:ptCount val="1"/>
                <c:pt idx="0">
                  <c:v>一般公共预算财政拨款支出决算结构</c:v>
                </c:pt>
              </c:strCache>
            </c:strRef>
          </c:tx>
          <c:explosion val="0"/>
          <c:dPt>
            <c:idx val="0"/>
            <c:bubble3D val="0"/>
            <c:explosion val="4"/>
          </c:dPt>
          <c:dPt>
            <c:idx val="1"/>
            <c:bubble3D val="0"/>
          </c:dPt>
          <c:dPt>
            <c:idx val="2"/>
            <c:bubble3D val="0"/>
          </c:dPt>
          <c:dPt>
            <c:idx val="3"/>
            <c:bubble3D val="0"/>
          </c:dPt>
          <c:dPt>
            <c:idx val="4"/>
            <c:bubble3D val="0"/>
          </c:dPt>
          <c:dPt>
            <c:idx val="5"/>
            <c:bubble3D val="0"/>
          </c:dPt>
          <c:dPt>
            <c:idx val="6"/>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一般公共服务</c:v>
                </c:pt>
                <c:pt idx="1">
                  <c:v>社会保障和就业</c:v>
                </c:pt>
                <c:pt idx="2">
                  <c:v>城乡社区支出</c:v>
                </c:pt>
                <c:pt idx="3">
                  <c:v>农林水类</c:v>
                </c:pt>
                <c:pt idx="4">
                  <c:v>交通运输类</c:v>
                </c:pt>
                <c:pt idx="5">
                  <c:v>医疗卫生类</c:v>
                </c:pt>
                <c:pt idx="6">
                  <c:v>住房保障类</c:v>
                </c:pt>
              </c:strCache>
            </c:strRef>
          </c:cat>
          <c:val>
            <c:numRef>
              <c:f>Sheet1!$B$2:$B$8</c:f>
              <c:numCache>
                <c:formatCode>General</c:formatCode>
                <c:ptCount val="7"/>
                <c:pt idx="0">
                  <c:v>407.81</c:v>
                </c:pt>
                <c:pt idx="1">
                  <c:v>96.4</c:v>
                </c:pt>
                <c:pt idx="2">
                  <c:v>70.63</c:v>
                </c:pt>
                <c:pt idx="3">
                  <c:v>147.93</c:v>
                </c:pt>
                <c:pt idx="4">
                  <c:v>91.91</c:v>
                </c:pt>
                <c:pt idx="5">
                  <c:v>20.28</c:v>
                </c:pt>
                <c:pt idx="6">
                  <c:v>33.97</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公务接待费支出</c:v>
                </c:pt>
                <c:pt idx="1">
                  <c:v>公务用车购置及运行维护费支出</c:v>
                </c:pt>
              </c:strCache>
            </c:strRef>
          </c:cat>
          <c:val>
            <c:numRef>
              <c:f>Sheet1!$B$2:$B$3</c:f>
              <c:numCache>
                <c:formatCode>General</c:formatCode>
                <c:ptCount val="2"/>
                <c:pt idx="0">
                  <c:v>0.06</c:v>
                </c:pt>
                <c:pt idx="1">
                  <c:v>5.03</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80859-8394-4006-87A1-21AABA9BB3DF}">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45</Pages>
  <Words>19030</Words>
  <Characters>20670</Characters>
  <Lines>174</Lines>
  <Paragraphs>49</Paragraphs>
  <TotalTime>2</TotalTime>
  <ScaleCrop>false</ScaleCrop>
  <LinksUpToDate>false</LinksUpToDate>
  <CharactersWithSpaces>20718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cp:lastModifiedBy>
  <cp:lastPrinted>2019-09-05T08:44:00Z</cp:lastPrinted>
  <dcterms:modified xsi:type="dcterms:W3CDTF">2023-08-03T03:24:24Z</dcterms:modified>
  <dc:title>四川省***</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D41968B0B6A5411F9D595E01109D41AE_12</vt:lpwstr>
  </property>
</Properties>
</file>