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22" w:name="_GoBack"/>
      <w:bookmarkEnd w:id="122"/>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57146351"/>
      <w:bookmarkStart w:id="2" w:name="_Toc15378441"/>
      <w:bookmarkStart w:id="3" w:name="_Toc15396475"/>
      <w:bookmarkStart w:id="4" w:name="_Toc15377193"/>
      <w:bookmarkStart w:id="5" w:name="_Toc15396597"/>
      <w:bookmarkStart w:id="6"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57146352"/>
      <w:bookmarkStart w:id="8" w:name="_Toc15396598"/>
      <w:bookmarkStart w:id="9" w:name="_Toc15396476"/>
      <w:bookmarkStart w:id="10" w:name="_Toc15377426"/>
      <w:bookmarkStart w:id="11" w:name="_Toc15377194"/>
      <w:bookmarkStart w:id="12" w:name="_Toc15378442"/>
      <w:r>
        <w:rPr>
          <w:rFonts w:hint="eastAsia" w:ascii="方正小标宋简体" w:hAnsi="宋体" w:eastAsia="方正小标宋简体"/>
          <w:color w:val="000000"/>
          <w:sz w:val="72"/>
          <w:szCs w:val="72"/>
        </w:rPr>
        <w:t>四川省阿坝州红原县</w:t>
      </w:r>
      <w:bookmarkEnd w:id="0"/>
      <w:bookmarkEnd w:id="7"/>
      <w:bookmarkStart w:id="13" w:name="_Toc15306268"/>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14" w:name="_Toc57146353"/>
      <w:r>
        <w:rPr>
          <w:rFonts w:hint="eastAsia" w:ascii="方正小标宋简体" w:hAnsi="宋体" w:eastAsia="方正小标宋简体"/>
          <w:color w:val="000000"/>
          <w:sz w:val="72"/>
          <w:szCs w:val="72"/>
        </w:rPr>
        <w:t>邛溪镇部门决算</w:t>
      </w:r>
      <w:bookmarkEnd w:id="8"/>
      <w:bookmarkEnd w:id="9"/>
      <w:bookmarkEnd w:id="10"/>
      <w:bookmarkEnd w:id="11"/>
      <w:bookmarkEnd w:id="12"/>
      <w:bookmarkEnd w:id="13"/>
      <w:bookmarkEnd w:id="14"/>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autoSpaceDE w:val="0"/>
        <w:autoSpaceDN w:val="0"/>
        <w:adjustRightInd w:val="0"/>
        <w:ind w:firstLine="1280" w:firstLineChars="400"/>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bookmarkStart w:id="15" w:name="_Toc15377196"/>
      <w:bookmarkStart w:id="16" w:name="_Toc15396599"/>
      <w:r>
        <w:rPr>
          <w:rFonts w:ascii="仿宋" w:hAnsi="仿宋" w:eastAsia="仿宋"/>
          <w:b/>
          <w:sz w:val="24"/>
        </w:rPr>
        <w:br w:type="page"/>
      </w:r>
    </w:p>
    <w:sdt>
      <w:sdtPr>
        <w:rPr>
          <w:color w:val="auto"/>
          <w:lang w:val="zh-CN"/>
        </w:rPr>
        <w:id w:val="3615105"/>
        <w:docPartObj>
          <w:docPartGallery w:val="Table of Contents"/>
          <w:docPartUnique/>
        </w:docPartObj>
      </w:sdtPr>
      <w:sdtEndPr>
        <w:rPr>
          <w:color w:val="auto"/>
          <w:lang w:val="en-US"/>
        </w:rPr>
      </w:sdtEndPr>
      <w:sdtContent>
        <w:p>
          <w:pPr>
            <w:widowControl/>
            <w:jc w:val="center"/>
            <w:rPr>
              <w:rFonts w:ascii="黑体" w:hAnsi="黑体" w:eastAsia="黑体"/>
              <w:color w:val="auto"/>
              <w:sz w:val="48"/>
              <w:szCs w:val="48"/>
            </w:rPr>
          </w:pPr>
          <w:r>
            <w:rPr>
              <w:rFonts w:hint="eastAsia" w:ascii="黑体" w:hAnsi="黑体" w:eastAsia="黑体"/>
              <w:color w:val="auto"/>
              <w:sz w:val="48"/>
              <w:szCs w:val="48"/>
            </w:rPr>
            <w:t>目录</w:t>
          </w:r>
        </w:p>
        <w:p>
          <w:pPr>
            <w:pStyle w:val="30"/>
            <w:jc w:val="center"/>
            <w:rPr>
              <w:rFonts w:hint="eastAsia"/>
              <w:color w:val="auto"/>
              <w:lang w:val="zh-CN"/>
            </w:rPr>
          </w:pPr>
          <w:r>
            <w:rPr>
              <w:rFonts w:hint="eastAsia"/>
              <w:color w:val="auto"/>
            </w:rPr>
            <w:t>公开时间：2020年10月10日</w:t>
          </w:r>
        </w:p>
        <w:p>
          <w:pPr>
            <w:pStyle w:val="30"/>
            <w:rPr>
              <w:color w:val="auto"/>
            </w:rPr>
          </w:pPr>
          <w:r>
            <w:rPr>
              <w:color w:val="auto"/>
            </w:rPr>
            <w:fldChar w:fldCharType="begin"/>
          </w:r>
          <w:r>
            <w:rPr>
              <w:color w:val="auto"/>
            </w:rPr>
            <w:instrText xml:space="preserve"> TOC \o "1-3" \h \z \u </w:instrText>
          </w:r>
          <w:r>
            <w:rPr>
              <w:color w:val="auto"/>
            </w:rPr>
            <w:fldChar w:fldCharType="separate"/>
          </w:r>
          <w:r>
            <w:rPr>
              <w:color w:val="auto"/>
            </w:rPr>
            <w:fldChar w:fldCharType="begin"/>
          </w:r>
          <w:r>
            <w:rPr>
              <w:color w:val="auto"/>
            </w:rPr>
            <w:instrText xml:space="preserve"> HYPERLINK \l "_Toc57146354" </w:instrText>
          </w:r>
          <w:r>
            <w:rPr>
              <w:color w:val="auto"/>
            </w:rPr>
            <w:fldChar w:fldCharType="separate"/>
          </w:r>
          <w:r>
            <w:rPr>
              <w:rStyle w:val="15"/>
              <w:rFonts w:hint="eastAsia" w:ascii="黑体" w:hAnsi="黑体" w:eastAsia="黑体"/>
              <w:color w:val="auto"/>
            </w:rPr>
            <w:t>第一部分</w:t>
          </w:r>
          <w:r>
            <w:rPr>
              <w:rStyle w:val="15"/>
              <w:rFonts w:ascii="黑体" w:hAnsi="黑体" w:eastAsia="黑体"/>
              <w:color w:val="auto"/>
            </w:rPr>
            <w:t xml:space="preserve"> </w:t>
          </w:r>
          <w:r>
            <w:rPr>
              <w:rStyle w:val="15"/>
              <w:rFonts w:hint="eastAsia" w:ascii="黑体" w:hAnsi="黑体" w:eastAsia="黑体"/>
              <w:color w:val="auto"/>
            </w:rPr>
            <w:t>部门概况</w:t>
          </w:r>
          <w:r>
            <w:rPr>
              <w:color w:val="auto"/>
            </w:rPr>
            <w:tab/>
          </w:r>
          <w:r>
            <w:rPr>
              <w:color w:val="auto"/>
            </w:rPr>
            <w:fldChar w:fldCharType="begin"/>
          </w:r>
          <w:r>
            <w:rPr>
              <w:color w:val="auto"/>
            </w:rPr>
            <w:instrText xml:space="preserve"> PAGEREF _Toc57146354 \h </w:instrText>
          </w:r>
          <w:r>
            <w:rPr>
              <w:color w:val="auto"/>
            </w:rPr>
            <w:fldChar w:fldCharType="separate"/>
          </w:r>
          <w:r>
            <w:rPr>
              <w:color w:val="auto"/>
            </w:rPr>
            <w:t>4</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"_Toc57146355" </w:instrText>
          </w:r>
          <w:r>
            <w:rPr>
              <w:color w:val="auto"/>
            </w:rPr>
            <w:fldChar w:fldCharType="separate"/>
          </w:r>
          <w:r>
            <w:rPr>
              <w:rStyle w:val="15"/>
              <w:rFonts w:hint="eastAsia" w:ascii="黑体" w:hAnsi="黑体" w:eastAsia="黑体"/>
              <w:color w:val="auto"/>
            </w:rPr>
            <w:t>一、基本职能及主要工作</w:t>
          </w:r>
          <w:r>
            <w:rPr>
              <w:color w:val="auto"/>
            </w:rPr>
            <w:tab/>
          </w:r>
          <w:r>
            <w:rPr>
              <w:color w:val="auto"/>
            </w:rPr>
            <w:fldChar w:fldCharType="begin"/>
          </w:r>
          <w:r>
            <w:rPr>
              <w:color w:val="auto"/>
            </w:rPr>
            <w:instrText xml:space="preserve"> PAGEREF _Toc57146355 \h </w:instrText>
          </w:r>
          <w:r>
            <w:rPr>
              <w:color w:val="auto"/>
            </w:rPr>
            <w:fldChar w:fldCharType="separate"/>
          </w:r>
          <w:r>
            <w:rPr>
              <w:color w:val="auto"/>
            </w:rPr>
            <w:t>4</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"_Toc57146359" </w:instrText>
          </w:r>
          <w:r>
            <w:rPr>
              <w:color w:val="auto"/>
            </w:rPr>
            <w:fldChar w:fldCharType="separate"/>
          </w:r>
          <w:r>
            <w:rPr>
              <w:rStyle w:val="15"/>
              <w:rFonts w:hint="eastAsia" w:ascii="黑体" w:eastAsia="黑体"/>
              <w:color w:val="auto"/>
            </w:rPr>
            <w:t>二、</w:t>
          </w:r>
          <w:r>
            <w:rPr>
              <w:rStyle w:val="15"/>
              <w:rFonts w:hint="eastAsia" w:ascii="黑体" w:hAnsi="黑体" w:eastAsia="黑体"/>
              <w:color w:val="auto"/>
            </w:rPr>
            <w:t>机构设置</w:t>
          </w:r>
          <w:r>
            <w:rPr>
              <w:color w:val="auto"/>
            </w:rPr>
            <w:tab/>
          </w:r>
          <w:r>
            <w:rPr>
              <w:color w:val="auto"/>
            </w:rPr>
            <w:fldChar w:fldCharType="begin"/>
          </w:r>
          <w:r>
            <w:rPr>
              <w:color w:val="auto"/>
            </w:rPr>
            <w:instrText xml:space="preserve"> PAGEREF _Toc57146359 \h </w:instrText>
          </w:r>
          <w:r>
            <w:rPr>
              <w:color w:val="auto"/>
            </w:rPr>
            <w:fldChar w:fldCharType="separate"/>
          </w:r>
          <w:r>
            <w:rPr>
              <w:color w:val="auto"/>
            </w:rPr>
            <w:t>9</w:t>
          </w:r>
          <w:r>
            <w:rPr>
              <w:color w:val="auto"/>
            </w:rPr>
            <w:fldChar w:fldCharType="end"/>
          </w:r>
          <w:r>
            <w:rPr>
              <w:color w:val="auto"/>
            </w:rPr>
            <w:fldChar w:fldCharType="end"/>
          </w:r>
        </w:p>
        <w:p>
          <w:pPr>
            <w:pStyle w:val="10"/>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"_Toc57146360" </w:instrText>
          </w:r>
          <w:r>
            <w:rPr>
              <w:color w:val="auto"/>
            </w:rPr>
            <w:fldChar w:fldCharType="separate"/>
          </w:r>
          <w:r>
            <w:rPr>
              <w:rStyle w:val="15"/>
              <w:rFonts w:hint="eastAsia" w:ascii="黑体" w:hAnsi="黑体" w:eastAsia="黑体"/>
              <w:color w:val="auto"/>
            </w:rPr>
            <w:t>第二部分</w:t>
          </w:r>
          <w:r>
            <w:rPr>
              <w:rStyle w:val="15"/>
              <w:rFonts w:ascii="黑体" w:hAnsi="黑体" w:eastAsia="黑体"/>
              <w:color w:val="auto"/>
            </w:rPr>
            <w:t xml:space="preserve"> 2019</w:t>
          </w:r>
          <w:r>
            <w:rPr>
              <w:rStyle w:val="15"/>
              <w:rFonts w:hint="eastAsia" w:ascii="黑体" w:hAnsi="黑体" w:eastAsia="黑体"/>
              <w:color w:val="auto"/>
            </w:rPr>
            <w:t>年度部门决算情况说明</w:t>
          </w:r>
          <w:r>
            <w:rPr>
              <w:color w:val="auto"/>
            </w:rPr>
            <w:tab/>
          </w:r>
          <w:r>
            <w:rPr>
              <w:color w:val="auto"/>
            </w:rPr>
            <w:fldChar w:fldCharType="begin"/>
          </w:r>
          <w:r>
            <w:rPr>
              <w:color w:val="auto"/>
            </w:rPr>
            <w:instrText xml:space="preserve"> PAGEREF _Toc57146360 \h </w:instrText>
          </w:r>
          <w:r>
            <w:rPr>
              <w:color w:val="auto"/>
            </w:rPr>
            <w:fldChar w:fldCharType="separate"/>
          </w:r>
          <w:r>
            <w:rPr>
              <w:color w:val="auto"/>
            </w:rPr>
            <w:t>10</w:t>
          </w:r>
          <w:r>
            <w:rPr>
              <w:color w:val="auto"/>
            </w:rPr>
            <w:fldChar w:fldCharType="end"/>
          </w:r>
          <w:r>
            <w:rPr>
              <w:color w:val="auto"/>
            </w:rPr>
            <w:fldChar w:fldCharType="end"/>
          </w:r>
        </w:p>
        <w:p>
          <w:pPr>
            <w:pStyle w:val="11"/>
            <w:tabs>
              <w:tab w:val="left" w:pos="1260"/>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"_Toc57146361" </w:instrText>
          </w:r>
          <w:r>
            <w:rPr>
              <w:color w:val="auto"/>
            </w:rPr>
            <w:fldChar w:fldCharType="separate"/>
          </w:r>
          <w:r>
            <w:rPr>
              <w:rStyle w:val="15"/>
              <w:rFonts w:hint="eastAsia" w:ascii="黑体" w:hAnsi="黑体" w:eastAsia="黑体" w:cstheme="majorBidi"/>
              <w:bCs/>
              <w:color w:val="auto"/>
            </w:rPr>
            <w:t>一、</w:t>
          </w:r>
          <w:r>
            <w:rPr>
              <w:rFonts w:asciiTheme="minorHAnsi" w:hAnsiTheme="minorHAnsi" w:eastAsiaTheme="minorEastAsia" w:cstheme="minorBidi"/>
              <w:color w:val="auto"/>
              <w:szCs w:val="22"/>
            </w:rPr>
            <w:tab/>
          </w:r>
          <w:r>
            <w:rPr>
              <w:rStyle w:val="15"/>
              <w:rFonts w:hint="eastAsia" w:ascii="黑体" w:hAnsi="黑体" w:eastAsia="黑体"/>
              <w:color w:val="auto"/>
            </w:rPr>
            <w:t>收</w:t>
          </w:r>
          <w:r>
            <w:rPr>
              <w:rStyle w:val="15"/>
              <w:rFonts w:hint="eastAsia" w:ascii="黑体" w:hAnsi="黑体" w:eastAsia="黑体" w:cstheme="majorBidi"/>
              <w:bCs/>
              <w:color w:val="auto"/>
            </w:rPr>
            <w:t>入支出决算总体情况说明</w:t>
          </w:r>
          <w:r>
            <w:rPr>
              <w:color w:val="auto"/>
            </w:rPr>
            <w:tab/>
          </w:r>
          <w:r>
            <w:rPr>
              <w:color w:val="auto"/>
            </w:rPr>
            <w:fldChar w:fldCharType="begin"/>
          </w:r>
          <w:r>
            <w:rPr>
              <w:color w:val="auto"/>
            </w:rPr>
            <w:instrText xml:space="preserve"> PAGEREF _Toc57146361 \h </w:instrText>
          </w:r>
          <w:r>
            <w:rPr>
              <w:color w:val="auto"/>
            </w:rPr>
            <w:fldChar w:fldCharType="separate"/>
          </w:r>
          <w:r>
            <w:rPr>
              <w:color w:val="auto"/>
            </w:rPr>
            <w:t>10</w:t>
          </w:r>
          <w:r>
            <w:rPr>
              <w:color w:val="auto"/>
            </w:rPr>
            <w:fldChar w:fldCharType="end"/>
          </w:r>
          <w:r>
            <w:rPr>
              <w:color w:val="auto"/>
            </w:rPr>
            <w:fldChar w:fldCharType="end"/>
          </w:r>
        </w:p>
        <w:p>
          <w:pPr>
            <w:pStyle w:val="11"/>
            <w:tabs>
              <w:tab w:val="left" w:pos="1260"/>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"_Toc57146362" </w:instrText>
          </w:r>
          <w:r>
            <w:rPr>
              <w:color w:val="auto"/>
            </w:rPr>
            <w:fldChar w:fldCharType="separate"/>
          </w:r>
          <w:r>
            <w:rPr>
              <w:rStyle w:val="15"/>
              <w:rFonts w:hint="eastAsia" w:ascii="黑体" w:hAnsi="黑体" w:eastAsia="黑体" w:cstheme="majorBidi"/>
              <w:bCs/>
              <w:color w:val="auto"/>
            </w:rPr>
            <w:t>二、</w:t>
          </w:r>
          <w:r>
            <w:rPr>
              <w:rFonts w:asciiTheme="minorHAnsi" w:hAnsiTheme="minorHAnsi" w:eastAsiaTheme="minorEastAsia" w:cstheme="minorBidi"/>
              <w:color w:val="auto"/>
              <w:szCs w:val="22"/>
            </w:rPr>
            <w:tab/>
          </w:r>
          <w:r>
            <w:rPr>
              <w:rStyle w:val="15"/>
              <w:rFonts w:hint="eastAsia" w:ascii="黑体" w:hAnsi="黑体" w:eastAsia="黑体"/>
              <w:color w:val="auto"/>
            </w:rPr>
            <w:t>收</w:t>
          </w:r>
          <w:r>
            <w:rPr>
              <w:rStyle w:val="15"/>
              <w:rFonts w:hint="eastAsia" w:ascii="黑体" w:hAnsi="黑体" w:eastAsia="黑体" w:cstheme="majorBidi"/>
              <w:bCs/>
              <w:color w:val="auto"/>
            </w:rPr>
            <w:t>入决算情况说明</w:t>
          </w:r>
          <w:r>
            <w:rPr>
              <w:color w:val="auto"/>
            </w:rPr>
            <w:tab/>
          </w:r>
          <w:r>
            <w:rPr>
              <w:color w:val="auto"/>
            </w:rPr>
            <w:fldChar w:fldCharType="begin"/>
          </w:r>
          <w:r>
            <w:rPr>
              <w:color w:val="auto"/>
            </w:rPr>
            <w:instrText xml:space="preserve"> PAGEREF _Toc57146362 \h </w:instrText>
          </w:r>
          <w:r>
            <w:rPr>
              <w:color w:val="auto"/>
            </w:rPr>
            <w:fldChar w:fldCharType="separate"/>
          </w:r>
          <w:r>
            <w:rPr>
              <w:color w:val="auto"/>
            </w:rPr>
            <w:t>10</w:t>
          </w:r>
          <w:r>
            <w:rPr>
              <w:color w:val="auto"/>
            </w:rPr>
            <w:fldChar w:fldCharType="end"/>
          </w:r>
          <w:r>
            <w:rPr>
              <w:color w:val="auto"/>
            </w:rPr>
            <w:fldChar w:fldCharType="end"/>
          </w:r>
        </w:p>
        <w:p>
          <w:pPr>
            <w:pStyle w:val="11"/>
            <w:tabs>
              <w:tab w:val="left" w:pos="1260"/>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"_Toc57146363" </w:instrText>
          </w:r>
          <w:r>
            <w:rPr>
              <w:color w:val="auto"/>
            </w:rPr>
            <w:fldChar w:fldCharType="separate"/>
          </w:r>
          <w:r>
            <w:rPr>
              <w:rStyle w:val="15"/>
              <w:rFonts w:hint="eastAsia" w:ascii="黑体" w:hAnsi="黑体" w:eastAsia="黑体" w:cstheme="majorBidi"/>
              <w:bCs/>
              <w:color w:val="auto"/>
            </w:rPr>
            <w:t>三、</w:t>
          </w:r>
          <w:r>
            <w:rPr>
              <w:rFonts w:asciiTheme="minorHAnsi" w:hAnsiTheme="minorHAnsi" w:eastAsiaTheme="minorEastAsia" w:cstheme="minorBidi"/>
              <w:color w:val="auto"/>
              <w:szCs w:val="22"/>
            </w:rPr>
            <w:tab/>
          </w:r>
          <w:r>
            <w:rPr>
              <w:rStyle w:val="15"/>
              <w:rFonts w:hint="eastAsia" w:ascii="黑体" w:hAnsi="黑体" w:eastAsia="黑体"/>
              <w:color w:val="auto"/>
            </w:rPr>
            <w:t>支</w:t>
          </w:r>
          <w:r>
            <w:rPr>
              <w:rStyle w:val="15"/>
              <w:rFonts w:hint="eastAsia" w:ascii="黑体" w:hAnsi="黑体" w:eastAsia="黑体" w:cstheme="majorBidi"/>
              <w:bCs/>
              <w:color w:val="auto"/>
            </w:rPr>
            <w:t>出决算情况说明</w:t>
          </w:r>
          <w:r>
            <w:rPr>
              <w:color w:val="auto"/>
            </w:rPr>
            <w:tab/>
          </w:r>
          <w:r>
            <w:rPr>
              <w:color w:val="auto"/>
            </w:rPr>
            <w:fldChar w:fldCharType="begin"/>
          </w:r>
          <w:r>
            <w:rPr>
              <w:color w:val="auto"/>
            </w:rPr>
            <w:instrText xml:space="preserve"> PAGEREF _Toc57146363 \h </w:instrText>
          </w:r>
          <w:r>
            <w:rPr>
              <w:color w:val="auto"/>
            </w:rPr>
            <w:fldChar w:fldCharType="separate"/>
          </w:r>
          <w:r>
            <w:rPr>
              <w:color w:val="auto"/>
            </w:rPr>
            <w:t>11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"_Toc57146364" </w:instrText>
          </w:r>
          <w:r>
            <w:rPr>
              <w:color w:val="auto"/>
            </w:rPr>
            <w:fldChar w:fldCharType="separate"/>
          </w:r>
          <w:r>
            <w:rPr>
              <w:rStyle w:val="15"/>
              <w:rFonts w:hint="eastAsia" w:ascii="黑体" w:hAnsi="黑体" w:eastAsia="黑体"/>
              <w:color w:val="auto"/>
            </w:rPr>
            <w:t>四、财</w:t>
          </w:r>
          <w:r>
            <w:rPr>
              <w:rStyle w:val="15"/>
              <w:rFonts w:hint="eastAsia" w:ascii="黑体" w:hAnsi="黑体" w:eastAsia="黑体" w:cstheme="majorBidi"/>
              <w:bCs/>
              <w:color w:val="auto"/>
            </w:rPr>
            <w:t>政拨款收入支出决算总体情况说明</w:t>
          </w:r>
          <w:r>
            <w:rPr>
              <w:color w:val="auto"/>
            </w:rPr>
            <w:tab/>
          </w:r>
          <w:r>
            <w:rPr>
              <w:color w:val="auto"/>
            </w:rPr>
            <w:fldChar w:fldCharType="begin"/>
          </w:r>
          <w:r>
            <w:rPr>
              <w:color w:val="auto"/>
            </w:rPr>
            <w:instrText xml:space="preserve"> PAGEREF _Toc57146364 \h </w:instrText>
          </w:r>
          <w:r>
            <w:rPr>
              <w:color w:val="auto"/>
            </w:rPr>
            <w:fldChar w:fldCharType="separate"/>
          </w:r>
          <w:r>
            <w:rPr>
              <w:color w:val="auto"/>
            </w:rPr>
            <w:t>11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"_Toc57146365" </w:instrText>
          </w:r>
          <w:r>
            <w:rPr>
              <w:color w:val="auto"/>
            </w:rPr>
            <w:fldChar w:fldCharType="separate"/>
          </w:r>
          <w:r>
            <w:rPr>
              <w:rStyle w:val="15"/>
              <w:rFonts w:hint="eastAsia" w:ascii="黑体" w:hAnsi="黑体" w:eastAsia="黑体"/>
              <w:color w:val="auto"/>
            </w:rPr>
            <w:t>五、</w:t>
          </w:r>
          <w:r>
            <w:rPr>
              <w:rStyle w:val="15"/>
              <w:rFonts w:hint="eastAsia" w:ascii="黑体" w:hAnsi="黑体" w:eastAsia="黑体"/>
              <w:b/>
              <w:color w:val="auto"/>
            </w:rPr>
            <w:t>一</w:t>
          </w:r>
          <w:r>
            <w:rPr>
              <w:rStyle w:val="15"/>
              <w:rFonts w:hint="eastAsia" w:ascii="黑体" w:hAnsi="黑体" w:eastAsia="黑体" w:cstheme="majorBidi"/>
              <w:bCs/>
              <w:color w:val="auto"/>
            </w:rPr>
            <w:t>般公共预算财政拨款支出决算情况说明</w:t>
          </w:r>
          <w:r>
            <w:rPr>
              <w:color w:val="auto"/>
            </w:rPr>
            <w:tab/>
          </w:r>
          <w:r>
            <w:rPr>
              <w:color w:val="auto"/>
            </w:rPr>
            <w:fldChar w:fldCharType="begin"/>
          </w:r>
          <w:r>
            <w:rPr>
              <w:color w:val="auto"/>
            </w:rPr>
            <w:instrText xml:space="preserve"> PAGEREF _Toc57146365 \h </w:instrText>
          </w:r>
          <w:r>
            <w:rPr>
              <w:color w:val="auto"/>
            </w:rPr>
            <w:fldChar w:fldCharType="separate"/>
          </w:r>
          <w:r>
            <w:rPr>
              <w:color w:val="auto"/>
            </w:rPr>
            <w:t>12</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"_Toc57146370" </w:instrText>
          </w:r>
          <w:r>
            <w:rPr>
              <w:color w:val="auto"/>
            </w:rPr>
            <w:fldChar w:fldCharType="separate"/>
          </w:r>
          <w:r>
            <w:rPr>
              <w:rStyle w:val="15"/>
              <w:rFonts w:hint="eastAsia" w:ascii="黑体" w:eastAsia="黑体"/>
              <w:color w:val="auto"/>
            </w:rPr>
            <w:t>六</w:t>
          </w:r>
          <w:r>
            <w:rPr>
              <w:rStyle w:val="15"/>
              <w:rFonts w:hint="eastAsia" w:ascii="黑体" w:eastAsia="黑体"/>
              <w:b/>
              <w:color w:val="auto"/>
            </w:rPr>
            <w:t>、</w:t>
          </w:r>
          <w:r>
            <w:rPr>
              <w:rStyle w:val="15"/>
              <w:rFonts w:hint="eastAsia" w:ascii="黑体" w:hAnsi="黑体" w:eastAsia="黑体"/>
              <w:b/>
              <w:color w:val="auto"/>
            </w:rPr>
            <w:t>一</w:t>
          </w:r>
          <w:r>
            <w:rPr>
              <w:rStyle w:val="15"/>
              <w:rFonts w:hint="eastAsia" w:ascii="黑体" w:hAnsi="黑体" w:eastAsia="黑体" w:cstheme="majorBidi"/>
              <w:bCs/>
              <w:color w:val="auto"/>
            </w:rPr>
            <w:t>般公共预算财政拨款基本支出决算情况说明</w:t>
          </w:r>
          <w:r>
            <w:rPr>
              <w:color w:val="auto"/>
            </w:rPr>
            <w:tab/>
          </w:r>
          <w:r>
            <w:rPr>
              <w:color w:val="auto"/>
            </w:rPr>
            <w:fldChar w:fldCharType="begin"/>
          </w:r>
          <w:r>
            <w:rPr>
              <w:color w:val="auto"/>
            </w:rPr>
            <w:instrText xml:space="preserve"> PAGEREF _Toc57146370 \h </w:instrText>
          </w:r>
          <w:r>
            <w:rPr>
              <w:color w:val="auto"/>
            </w:rPr>
            <w:fldChar w:fldCharType="separate"/>
          </w:r>
          <w:r>
            <w:rPr>
              <w:color w:val="auto"/>
            </w:rPr>
            <w:t>15</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"_Toc57146371" </w:instrText>
          </w:r>
          <w:r>
            <w:rPr>
              <w:color w:val="auto"/>
            </w:rPr>
            <w:fldChar w:fldCharType="separate"/>
          </w:r>
          <w:r>
            <w:rPr>
              <w:rStyle w:val="15"/>
              <w:rFonts w:hint="eastAsia" w:ascii="黑体" w:eastAsia="黑体"/>
              <w:color w:val="auto"/>
            </w:rPr>
            <w:t>七、</w:t>
          </w:r>
          <w:r>
            <w:rPr>
              <w:rStyle w:val="15"/>
              <w:rFonts w:ascii="黑体" w:hAnsi="黑体" w:eastAsia="黑体" w:cstheme="majorBidi"/>
              <w:b/>
              <w:bCs/>
              <w:color w:val="auto"/>
            </w:rPr>
            <w:t>“</w:t>
          </w:r>
          <w:r>
            <w:rPr>
              <w:rStyle w:val="15"/>
              <w:rFonts w:hint="eastAsia" w:ascii="黑体" w:hAnsi="黑体" w:eastAsia="黑体" w:cstheme="majorBidi"/>
              <w:bCs/>
              <w:color w:val="auto"/>
            </w:rPr>
            <w:t>三公”经费财政拨款支出决算情况说明</w:t>
          </w:r>
          <w:r>
            <w:rPr>
              <w:color w:val="auto"/>
            </w:rPr>
            <w:tab/>
          </w:r>
          <w:r>
            <w:rPr>
              <w:color w:val="auto"/>
            </w:rPr>
            <w:fldChar w:fldCharType="begin"/>
          </w:r>
          <w:r>
            <w:rPr>
              <w:color w:val="auto"/>
            </w:rPr>
            <w:instrText xml:space="preserve"> PAGEREF _Toc57146371 \h </w:instrText>
          </w:r>
          <w:r>
            <w:rPr>
              <w:color w:val="auto"/>
            </w:rPr>
            <w:fldChar w:fldCharType="separate"/>
          </w:r>
          <w:r>
            <w:rPr>
              <w:color w:val="auto"/>
            </w:rPr>
            <w:t>16</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"_Toc57146374" </w:instrText>
          </w:r>
          <w:r>
            <w:rPr>
              <w:color w:val="auto"/>
            </w:rPr>
            <w:fldChar w:fldCharType="separate"/>
          </w:r>
          <w:r>
            <w:rPr>
              <w:rStyle w:val="15"/>
              <w:rFonts w:hint="eastAsia" w:ascii="黑体" w:eastAsia="黑体"/>
              <w:color w:val="auto"/>
            </w:rPr>
            <w:t>八、</w:t>
          </w:r>
          <w:r>
            <w:rPr>
              <w:rStyle w:val="15"/>
              <w:rFonts w:hint="eastAsia" w:ascii="黑体" w:hAnsi="黑体" w:eastAsia="黑体" w:cstheme="majorBidi"/>
              <w:bCs/>
              <w:color w:val="auto"/>
            </w:rPr>
            <w:t>政府性基金预算支出决算情况说明</w:t>
          </w:r>
          <w:r>
            <w:rPr>
              <w:color w:val="auto"/>
            </w:rPr>
            <w:tab/>
          </w:r>
          <w:r>
            <w:rPr>
              <w:color w:val="auto"/>
            </w:rPr>
            <w:fldChar w:fldCharType="begin"/>
          </w:r>
          <w:r>
            <w:rPr>
              <w:color w:val="auto"/>
            </w:rPr>
            <w:instrText xml:space="preserve"> PAGEREF _Toc57146374 \h </w:instrText>
          </w:r>
          <w:r>
            <w:rPr>
              <w:color w:val="auto"/>
            </w:rPr>
            <w:fldChar w:fldCharType="separate"/>
          </w:r>
          <w:r>
            <w:rPr>
              <w:color w:val="auto"/>
            </w:rPr>
            <w:t>17</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"_Toc57146375" </w:instrText>
          </w:r>
          <w:r>
            <w:rPr>
              <w:color w:val="auto"/>
            </w:rPr>
            <w:fldChar w:fldCharType="separate"/>
          </w:r>
          <w:r>
            <w:rPr>
              <w:rStyle w:val="15"/>
              <w:rFonts w:hint="eastAsia" w:ascii="黑体" w:hAnsi="黑体" w:eastAsia="黑体" w:cstheme="majorBidi"/>
              <w:bCs/>
              <w:color w:val="auto"/>
            </w:rPr>
            <w:t>九、 国有资本经营预算支出决算情况说明</w:t>
          </w:r>
          <w:r>
            <w:rPr>
              <w:color w:val="auto"/>
            </w:rPr>
            <w:tab/>
          </w:r>
          <w:r>
            <w:rPr>
              <w:color w:val="auto"/>
            </w:rPr>
            <w:fldChar w:fldCharType="begin"/>
          </w:r>
          <w:r>
            <w:rPr>
              <w:color w:val="auto"/>
            </w:rPr>
            <w:instrText xml:space="preserve"> PAGEREF _Toc57146375 \h </w:instrText>
          </w:r>
          <w:r>
            <w:rPr>
              <w:color w:val="auto"/>
            </w:rPr>
            <w:fldChar w:fldCharType="separate"/>
          </w:r>
          <w:r>
            <w:rPr>
              <w:color w:val="auto"/>
            </w:rPr>
            <w:t>18</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"_Toc57146376" </w:instrText>
          </w:r>
          <w:r>
            <w:rPr>
              <w:color w:val="auto"/>
            </w:rPr>
            <w:fldChar w:fldCharType="separate"/>
          </w:r>
          <w:r>
            <w:rPr>
              <w:rStyle w:val="15"/>
              <w:rFonts w:hint="eastAsia" w:ascii="黑体" w:hAnsi="黑体" w:eastAsia="黑体"/>
              <w:color w:val="auto"/>
            </w:rPr>
            <w:t>十</w:t>
          </w:r>
          <w:r>
            <w:rPr>
              <w:rStyle w:val="15"/>
              <w:rFonts w:hint="eastAsia" w:ascii="黑体" w:hAnsi="黑体" w:eastAsia="黑体" w:cstheme="majorBidi"/>
              <w:b/>
              <w:bCs/>
              <w:color w:val="auto"/>
            </w:rPr>
            <w:t>、</w:t>
          </w:r>
          <w:r>
            <w:rPr>
              <w:rStyle w:val="15"/>
              <w:rFonts w:hint="eastAsia" w:ascii="黑体" w:hAnsi="黑体" w:eastAsia="黑体" w:cstheme="majorBidi"/>
              <w:bCs/>
              <w:color w:val="auto"/>
            </w:rPr>
            <w:t>其他重要事项的情况说明</w:t>
          </w:r>
          <w:r>
            <w:rPr>
              <w:color w:val="auto"/>
            </w:rPr>
            <w:tab/>
          </w:r>
          <w:r>
            <w:rPr>
              <w:color w:val="auto"/>
            </w:rPr>
            <w:fldChar w:fldCharType="begin"/>
          </w:r>
          <w:r>
            <w:rPr>
              <w:color w:val="auto"/>
            </w:rPr>
            <w:instrText xml:space="preserve"> PAGEREF _Toc57146376 \h </w:instrText>
          </w:r>
          <w:r>
            <w:rPr>
              <w:color w:val="auto"/>
            </w:rPr>
            <w:fldChar w:fldCharType="separate"/>
          </w:r>
          <w:r>
            <w:rPr>
              <w:color w:val="auto"/>
            </w:rPr>
            <w:t>18</w:t>
          </w:r>
          <w:r>
            <w:rPr>
              <w:color w:val="auto"/>
            </w:rPr>
            <w:fldChar w:fldCharType="end"/>
          </w:r>
          <w:r>
            <w:rPr>
              <w:color w:val="auto"/>
            </w:rPr>
            <w:fldChar w:fldCharType="end"/>
          </w:r>
        </w:p>
        <w:p>
          <w:pPr>
            <w:pStyle w:val="10"/>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"_Toc57146381" </w:instrText>
          </w:r>
          <w:r>
            <w:rPr>
              <w:color w:val="auto"/>
            </w:rPr>
            <w:fldChar w:fldCharType="separate"/>
          </w:r>
          <w:r>
            <w:rPr>
              <w:rStyle w:val="15"/>
              <w:rFonts w:hint="eastAsia" w:ascii="黑体" w:hAnsi="黑体" w:eastAsia="黑体"/>
              <w:bCs/>
              <w:color w:val="auto"/>
              <w:kern w:val="44"/>
            </w:rPr>
            <w:t>第三部分</w:t>
          </w:r>
          <w:r>
            <w:rPr>
              <w:rStyle w:val="15"/>
              <w:rFonts w:hint="eastAsia" w:ascii="黑体" w:hAnsi="黑体" w:eastAsia="黑体"/>
              <w:color w:val="auto"/>
            </w:rPr>
            <w:t xml:space="preserve"> 名</w:t>
          </w:r>
          <w:r>
            <w:rPr>
              <w:rStyle w:val="15"/>
              <w:rFonts w:hint="eastAsia" w:ascii="黑体" w:hAnsi="黑体" w:eastAsia="黑体"/>
              <w:bCs/>
              <w:color w:val="auto"/>
              <w:kern w:val="44"/>
            </w:rPr>
            <w:t>词解释</w:t>
          </w:r>
          <w:r>
            <w:rPr>
              <w:color w:val="auto"/>
            </w:rPr>
            <w:tab/>
          </w:r>
          <w:r>
            <w:rPr>
              <w:color w:val="auto"/>
            </w:rPr>
            <w:fldChar w:fldCharType="begin"/>
          </w:r>
          <w:r>
            <w:rPr>
              <w:color w:val="auto"/>
            </w:rPr>
            <w:instrText xml:space="preserve"> PAGEREF _Toc57146381 \h </w:instrText>
          </w:r>
          <w:r>
            <w:rPr>
              <w:color w:val="auto"/>
            </w:rPr>
            <w:fldChar w:fldCharType="separate"/>
          </w:r>
          <w:r>
            <w:rPr>
              <w:color w:val="auto"/>
            </w:rPr>
            <w:t>35</w:t>
          </w:r>
          <w:r>
            <w:rPr>
              <w:color w:val="auto"/>
            </w:rPr>
            <w:fldChar w:fldCharType="end"/>
          </w:r>
          <w:r>
            <w:rPr>
              <w:color w:val="auto"/>
            </w:rPr>
            <w:fldChar w:fldCharType="end"/>
          </w:r>
        </w:p>
        <w:p>
          <w:pPr>
            <w:pStyle w:val="10"/>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"_Toc57146382" </w:instrText>
          </w:r>
          <w:r>
            <w:rPr>
              <w:color w:val="auto"/>
            </w:rPr>
            <w:fldChar w:fldCharType="separate"/>
          </w:r>
          <w:r>
            <w:rPr>
              <w:rStyle w:val="15"/>
              <w:rFonts w:hint="eastAsia" w:ascii="黑体" w:hAnsi="黑体" w:eastAsia="黑体"/>
              <w:color w:val="auto"/>
            </w:rPr>
            <w:t>第</w:t>
          </w:r>
          <w:r>
            <w:rPr>
              <w:rStyle w:val="15"/>
              <w:rFonts w:hint="eastAsia" w:ascii="黑体" w:hAnsi="黑体" w:eastAsia="黑体"/>
              <w:bCs/>
              <w:color w:val="auto"/>
              <w:kern w:val="44"/>
            </w:rPr>
            <w:t>四部分</w:t>
          </w:r>
          <w:r>
            <w:rPr>
              <w:rStyle w:val="15"/>
              <w:rFonts w:ascii="黑体" w:hAnsi="黑体" w:eastAsia="黑体"/>
              <w:bCs/>
              <w:color w:val="auto"/>
              <w:kern w:val="44"/>
            </w:rPr>
            <w:t xml:space="preserve"> </w:t>
          </w:r>
          <w:r>
            <w:rPr>
              <w:rStyle w:val="15"/>
              <w:rFonts w:hint="eastAsia" w:ascii="黑体" w:hAnsi="黑体" w:eastAsia="黑体"/>
              <w:bCs/>
              <w:color w:val="auto"/>
              <w:kern w:val="44"/>
            </w:rPr>
            <w:t>附件</w:t>
          </w:r>
          <w:r>
            <w:rPr>
              <w:color w:val="auto"/>
            </w:rPr>
            <w:tab/>
          </w:r>
          <w:r>
            <w:rPr>
              <w:color w:val="auto"/>
            </w:rPr>
            <w:fldChar w:fldCharType="begin"/>
          </w:r>
          <w:r>
            <w:rPr>
              <w:color w:val="auto"/>
            </w:rPr>
            <w:instrText xml:space="preserve"> PAGEREF _Toc57146382 \h </w:instrText>
          </w:r>
          <w:r>
            <w:rPr>
              <w:color w:val="auto"/>
            </w:rPr>
            <w:fldChar w:fldCharType="separate"/>
          </w:r>
          <w:r>
            <w:rPr>
              <w:color w:val="auto"/>
            </w:rPr>
            <w:t>40</w:t>
          </w:r>
          <w:r>
            <w:rPr>
              <w:color w:val="auto"/>
            </w:rPr>
            <w:fldChar w:fldCharType="end"/>
          </w:r>
          <w:r>
            <w:rPr>
              <w:color w:val="auto"/>
            </w:rPr>
            <w:fldChar w:fldCharType="end"/>
          </w:r>
        </w:p>
        <w:p>
          <w:pPr>
            <w:pStyle w:val="10"/>
            <w:rPr>
              <w:rStyle w:val="15"/>
              <w:rFonts w:hint="eastAsia"/>
              <w:color w:val="auto"/>
            </w:rPr>
          </w:pPr>
          <w:r>
            <w:rPr>
              <w:color w:val="auto"/>
            </w:rPr>
            <w:fldChar w:fldCharType="begin"/>
          </w:r>
          <w:r>
            <w:rPr>
              <w:color w:val="auto"/>
            </w:rPr>
            <w:instrText xml:space="preserve"> HYPERLINK \l "_Toc57146383" </w:instrText>
          </w:r>
          <w:r>
            <w:rPr>
              <w:color w:val="auto"/>
            </w:rPr>
            <w:fldChar w:fldCharType="separate"/>
          </w:r>
          <w:r>
            <w:rPr>
              <w:rStyle w:val="15"/>
              <w:rFonts w:hint="eastAsia" w:ascii="黑体" w:hAnsi="黑体" w:eastAsia="黑体" w:cs="黑体"/>
              <w:color w:val="auto"/>
            </w:rPr>
            <w:t>附件</w:t>
          </w:r>
          <w:r>
            <w:rPr>
              <w:rStyle w:val="15"/>
              <w:rFonts w:ascii="黑体" w:hAnsi="黑体" w:eastAsia="黑体" w:cs="黑体"/>
              <w:color w:val="auto"/>
            </w:rPr>
            <w:t>1</w:t>
          </w:r>
          <w:r>
            <w:rPr>
              <w:color w:val="auto"/>
            </w:rPr>
            <w:tab/>
          </w:r>
          <w:r>
            <w:rPr>
              <w:color w:val="auto"/>
            </w:rPr>
            <w:fldChar w:fldCharType="begin"/>
          </w:r>
          <w:r>
            <w:rPr>
              <w:color w:val="auto"/>
            </w:rPr>
            <w:instrText xml:space="preserve"> PAGEREF _Toc57146383 \h </w:instrText>
          </w:r>
          <w:r>
            <w:rPr>
              <w:color w:val="auto"/>
            </w:rPr>
            <w:fldChar w:fldCharType="separate"/>
          </w:r>
          <w:r>
            <w:rPr>
              <w:color w:val="auto"/>
            </w:rPr>
            <w:t>40</w:t>
          </w:r>
          <w:r>
            <w:rPr>
              <w:color w:val="auto"/>
            </w:rPr>
            <w:fldChar w:fldCharType="end"/>
          </w:r>
          <w:r>
            <w:rPr>
              <w:color w:val="auto"/>
            </w:rPr>
            <w:fldChar w:fldCharType="end"/>
          </w:r>
        </w:p>
        <w:p>
          <w:pPr>
            <w:rPr>
              <w:rStyle w:val="15"/>
              <w:rFonts w:ascii="黑体" w:hAnsi="黑体" w:eastAsia="黑体" w:cs="黑体"/>
              <w:color w:val="auto"/>
              <w:sz w:val="28"/>
              <w:szCs w:val="28"/>
              <w:u w:val="none"/>
            </w:rPr>
          </w:pPr>
          <w:r>
            <w:rPr>
              <w:rStyle w:val="15"/>
              <w:rFonts w:hint="eastAsia" w:ascii="黑体" w:hAnsi="黑体" w:eastAsia="黑体" w:cs="黑体"/>
              <w:color w:val="auto"/>
              <w:sz w:val="28"/>
              <w:szCs w:val="28"/>
              <w:u w:val="none"/>
            </w:rPr>
            <w:t>附件2……………………………………………………………………45</w:t>
          </w:r>
        </w:p>
        <w:p>
          <w:pPr>
            <w:pStyle w:val="10"/>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"_Toc57146386" </w:instrText>
          </w:r>
          <w:r>
            <w:rPr>
              <w:color w:val="auto"/>
            </w:rPr>
            <w:fldChar w:fldCharType="separate"/>
          </w:r>
          <w:r>
            <w:rPr>
              <w:rStyle w:val="15"/>
              <w:rFonts w:hint="eastAsia" w:ascii="黑体" w:hAnsi="黑体" w:eastAsia="黑体"/>
              <w:color w:val="auto"/>
            </w:rPr>
            <w:t>第</w:t>
          </w:r>
          <w:r>
            <w:rPr>
              <w:rStyle w:val="15"/>
              <w:rFonts w:hint="eastAsia" w:ascii="黑体" w:hAnsi="黑体" w:eastAsia="黑体"/>
              <w:bCs/>
              <w:color w:val="auto"/>
              <w:kern w:val="44"/>
            </w:rPr>
            <w:t>五部分</w:t>
          </w:r>
          <w:r>
            <w:rPr>
              <w:rStyle w:val="15"/>
              <w:rFonts w:ascii="黑体" w:hAnsi="黑体" w:eastAsia="黑体"/>
              <w:bCs/>
              <w:color w:val="auto"/>
              <w:kern w:val="44"/>
            </w:rPr>
            <w:t xml:space="preserve"> </w:t>
          </w:r>
          <w:r>
            <w:rPr>
              <w:rStyle w:val="15"/>
              <w:rFonts w:hint="eastAsia" w:ascii="黑体" w:hAnsi="黑体" w:eastAsia="黑体"/>
              <w:bCs/>
              <w:color w:val="auto"/>
              <w:kern w:val="44"/>
            </w:rPr>
            <w:t>附表</w:t>
          </w:r>
          <w:r>
            <w:rPr>
              <w:color w:val="auto"/>
            </w:rPr>
            <w:tab/>
          </w:r>
          <w:r>
            <w:rPr>
              <w:color w:val="auto"/>
            </w:rPr>
            <w:fldChar w:fldCharType="begin"/>
          </w:r>
          <w:r>
            <w:rPr>
              <w:color w:val="auto"/>
            </w:rPr>
            <w:instrText xml:space="preserve"> PAGEREF _Toc57146386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"_Toc57146387" </w:instrText>
          </w:r>
          <w:r>
            <w:rPr>
              <w:color w:val="auto"/>
            </w:rPr>
            <w:fldChar w:fldCharType="separate"/>
          </w:r>
          <w:r>
            <w:rPr>
              <w:rStyle w:val="15"/>
              <w:rFonts w:hint="eastAsia" w:ascii="仿宋" w:hAnsi="仿宋" w:eastAsia="仿宋"/>
              <w:color w:val="auto"/>
            </w:rPr>
            <w:t>一、收入支出决算总表</w:t>
          </w:r>
          <w:r>
            <w:rPr>
              <w:color w:val="auto"/>
            </w:rPr>
            <w:tab/>
          </w:r>
          <w:r>
            <w:rPr>
              <w:color w:val="auto"/>
            </w:rPr>
            <w:fldChar w:fldCharType="begin"/>
          </w:r>
          <w:r>
            <w:rPr>
              <w:color w:val="auto"/>
            </w:rPr>
            <w:instrText xml:space="preserve"> PAGEREF _Toc57146387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"_Toc57146388" </w:instrText>
          </w:r>
          <w:r>
            <w:rPr>
              <w:color w:val="auto"/>
            </w:rPr>
            <w:fldChar w:fldCharType="separate"/>
          </w:r>
          <w:r>
            <w:rPr>
              <w:rStyle w:val="15"/>
              <w:rFonts w:hint="eastAsia" w:ascii="仿宋" w:hAnsi="仿宋" w:eastAsia="仿宋"/>
              <w:color w:val="auto"/>
            </w:rPr>
            <w:t>二、收入决算表</w:t>
          </w:r>
          <w:r>
            <w:rPr>
              <w:color w:val="auto"/>
            </w:rPr>
            <w:tab/>
          </w:r>
          <w:r>
            <w:rPr>
              <w:color w:val="auto"/>
            </w:rPr>
            <w:fldChar w:fldCharType="begin"/>
          </w:r>
          <w:r>
            <w:rPr>
              <w:color w:val="auto"/>
            </w:rPr>
            <w:instrText xml:space="preserve"> PAGEREF _Toc57146388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"_Toc57146389" </w:instrText>
          </w:r>
          <w:r>
            <w:rPr>
              <w:color w:val="auto"/>
            </w:rPr>
            <w:fldChar w:fldCharType="separate"/>
          </w:r>
          <w:r>
            <w:rPr>
              <w:rStyle w:val="15"/>
              <w:rFonts w:hint="eastAsia" w:ascii="仿宋" w:hAnsi="仿宋" w:eastAsia="仿宋"/>
              <w:color w:val="auto"/>
            </w:rPr>
            <w:t>三、支出决算表</w:t>
          </w:r>
          <w:r>
            <w:rPr>
              <w:color w:val="auto"/>
            </w:rPr>
            <w:tab/>
          </w:r>
          <w:r>
            <w:rPr>
              <w:color w:val="auto"/>
            </w:rPr>
            <w:fldChar w:fldCharType="begin"/>
          </w:r>
          <w:r>
            <w:rPr>
              <w:color w:val="auto"/>
            </w:rPr>
            <w:instrText xml:space="preserve"> PAGEREF _Toc57146389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"_Toc57146390" </w:instrText>
          </w:r>
          <w:r>
            <w:rPr>
              <w:color w:val="auto"/>
            </w:rPr>
            <w:fldChar w:fldCharType="separate"/>
          </w:r>
          <w:r>
            <w:rPr>
              <w:rStyle w:val="15"/>
              <w:rFonts w:hint="eastAsia" w:ascii="仿宋" w:hAnsi="仿宋" w:eastAsia="仿宋"/>
              <w:color w:val="auto"/>
            </w:rPr>
            <w:t>四、财政拨款收入支出决算总表</w:t>
          </w:r>
          <w:r>
            <w:rPr>
              <w:color w:val="auto"/>
            </w:rPr>
            <w:tab/>
          </w:r>
          <w:r>
            <w:rPr>
              <w:color w:val="auto"/>
            </w:rPr>
            <w:fldChar w:fldCharType="begin"/>
          </w:r>
          <w:r>
            <w:rPr>
              <w:color w:val="auto"/>
            </w:rPr>
            <w:instrText xml:space="preserve"> PAGEREF _Toc57146390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"_Toc57146391" </w:instrText>
          </w:r>
          <w:r>
            <w:rPr>
              <w:color w:val="auto"/>
            </w:rPr>
            <w:fldChar w:fldCharType="separate"/>
          </w:r>
          <w:r>
            <w:rPr>
              <w:rStyle w:val="15"/>
              <w:rFonts w:hint="eastAsia" w:ascii="仿宋" w:hAnsi="仿宋" w:eastAsia="仿宋"/>
              <w:color w:val="auto"/>
            </w:rPr>
            <w:t>五、财政拨款支出决算明细表</w:t>
          </w:r>
          <w:r>
            <w:rPr>
              <w:color w:val="auto"/>
            </w:rPr>
            <w:tab/>
          </w:r>
          <w:r>
            <w:rPr>
              <w:color w:val="auto"/>
            </w:rPr>
            <w:fldChar w:fldCharType="begin"/>
          </w:r>
          <w:r>
            <w:rPr>
              <w:color w:val="auto"/>
            </w:rPr>
            <w:instrText xml:space="preserve"> PAGEREF _Toc57146391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"_Toc57146392" </w:instrText>
          </w:r>
          <w:r>
            <w:rPr>
              <w:color w:val="auto"/>
            </w:rPr>
            <w:fldChar w:fldCharType="separate"/>
          </w:r>
          <w:r>
            <w:rPr>
              <w:rStyle w:val="15"/>
              <w:rFonts w:hint="eastAsia" w:ascii="仿宋" w:hAnsi="仿宋" w:eastAsia="仿宋"/>
              <w:color w:val="auto"/>
            </w:rPr>
            <w:t>六、一般公共预算财政拨款支出决算表</w:t>
          </w:r>
          <w:r>
            <w:rPr>
              <w:color w:val="auto"/>
            </w:rPr>
            <w:tab/>
          </w:r>
          <w:r>
            <w:rPr>
              <w:color w:val="auto"/>
            </w:rPr>
            <w:fldChar w:fldCharType="begin"/>
          </w:r>
          <w:r>
            <w:rPr>
              <w:color w:val="auto"/>
            </w:rPr>
            <w:instrText xml:space="preserve"> PAGEREF _Toc57146392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"_Toc57146393" </w:instrText>
          </w:r>
          <w:r>
            <w:rPr>
              <w:color w:val="auto"/>
            </w:rPr>
            <w:fldChar w:fldCharType="separate"/>
          </w:r>
          <w:r>
            <w:rPr>
              <w:rStyle w:val="15"/>
              <w:rFonts w:hint="eastAsia" w:ascii="仿宋" w:hAnsi="仿宋" w:eastAsia="仿宋"/>
              <w:color w:val="auto"/>
            </w:rPr>
            <w:t>七、一般公共预算财政拨款支出决算明细表</w:t>
          </w:r>
          <w:r>
            <w:rPr>
              <w:color w:val="auto"/>
            </w:rPr>
            <w:tab/>
          </w:r>
          <w:r>
            <w:rPr>
              <w:color w:val="auto"/>
            </w:rPr>
            <w:fldChar w:fldCharType="begin"/>
          </w:r>
          <w:r>
            <w:rPr>
              <w:color w:val="auto"/>
            </w:rPr>
            <w:instrText xml:space="preserve"> PAGEREF _Toc57146393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"_Toc57146394" </w:instrText>
          </w:r>
          <w:r>
            <w:rPr>
              <w:color w:val="auto"/>
            </w:rPr>
            <w:fldChar w:fldCharType="separate"/>
          </w:r>
          <w:r>
            <w:rPr>
              <w:rStyle w:val="15"/>
              <w:rFonts w:hint="eastAsia" w:ascii="仿宋" w:hAnsi="仿宋" w:eastAsia="仿宋"/>
              <w:color w:val="auto"/>
            </w:rPr>
            <w:t>八、一般公共预算财政拨款基本支出决算表</w:t>
          </w:r>
          <w:r>
            <w:rPr>
              <w:color w:val="auto"/>
            </w:rPr>
            <w:tab/>
          </w:r>
          <w:r>
            <w:rPr>
              <w:color w:val="auto"/>
            </w:rPr>
            <w:fldChar w:fldCharType="begin"/>
          </w:r>
          <w:r>
            <w:rPr>
              <w:color w:val="auto"/>
            </w:rPr>
            <w:instrText xml:space="preserve"> PAGEREF _Toc57146394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"_Toc57146395" </w:instrText>
          </w:r>
          <w:r>
            <w:rPr>
              <w:color w:val="auto"/>
            </w:rPr>
            <w:fldChar w:fldCharType="separate"/>
          </w:r>
          <w:r>
            <w:rPr>
              <w:rStyle w:val="15"/>
              <w:rFonts w:hint="eastAsia" w:ascii="仿宋" w:hAnsi="仿宋" w:eastAsia="仿宋"/>
              <w:color w:val="auto"/>
            </w:rPr>
            <w:t>九、一般公共预算财政拨款项目支出决算表</w:t>
          </w:r>
          <w:r>
            <w:rPr>
              <w:color w:val="auto"/>
            </w:rPr>
            <w:tab/>
          </w:r>
          <w:r>
            <w:rPr>
              <w:color w:val="auto"/>
            </w:rPr>
            <w:fldChar w:fldCharType="begin"/>
          </w:r>
          <w:r>
            <w:rPr>
              <w:color w:val="auto"/>
            </w:rPr>
            <w:instrText xml:space="preserve"> PAGEREF _Toc57146395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"_Toc57146396" </w:instrText>
          </w:r>
          <w:r>
            <w:rPr>
              <w:color w:val="auto"/>
            </w:rPr>
            <w:fldChar w:fldCharType="separate"/>
          </w:r>
          <w:r>
            <w:rPr>
              <w:rStyle w:val="15"/>
              <w:rFonts w:hint="eastAsia" w:ascii="仿宋" w:hAnsi="仿宋" w:eastAsia="仿宋"/>
              <w:color w:val="auto"/>
            </w:rPr>
            <w:t>十、一般公共预算财政拨款“三公”经费支出决算表</w:t>
          </w:r>
          <w:r>
            <w:rPr>
              <w:color w:val="auto"/>
            </w:rPr>
            <w:tab/>
          </w:r>
          <w:r>
            <w:rPr>
              <w:color w:val="auto"/>
            </w:rPr>
            <w:fldChar w:fldCharType="begin"/>
          </w:r>
          <w:r>
            <w:rPr>
              <w:color w:val="auto"/>
            </w:rPr>
            <w:instrText xml:space="preserve"> PAGEREF _Toc57146396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"_Toc57146397" </w:instrText>
          </w:r>
          <w:r>
            <w:rPr>
              <w:color w:val="auto"/>
            </w:rPr>
            <w:fldChar w:fldCharType="separate"/>
          </w:r>
          <w:r>
            <w:rPr>
              <w:rStyle w:val="15"/>
              <w:rFonts w:hint="eastAsia" w:ascii="仿宋" w:hAnsi="仿宋" w:eastAsia="仿宋"/>
              <w:color w:val="auto"/>
            </w:rPr>
            <w:t>十一、政府性基金预算财政拨款收入支出决算表</w:t>
          </w:r>
          <w:r>
            <w:rPr>
              <w:color w:val="auto"/>
            </w:rPr>
            <w:tab/>
          </w:r>
          <w:r>
            <w:rPr>
              <w:color w:val="auto"/>
            </w:rPr>
            <w:fldChar w:fldCharType="begin"/>
          </w:r>
          <w:r>
            <w:rPr>
              <w:color w:val="auto"/>
            </w:rPr>
            <w:instrText xml:space="preserve"> PAGEREF _Toc57146397 \h </w:instrText>
          </w:r>
          <w:r>
            <w:rPr>
              <w:color w:val="auto"/>
            </w:rPr>
            <w:fldChar w:fldCharType="separate"/>
          </w:r>
          <w:r>
            <w:rPr>
              <w:color w:val="auto"/>
            </w:rPr>
            <w:t>51</w:t>
          </w:r>
          <w:r>
            <w:rPr>
              <w:color w:val="auto"/>
            </w:rPr>
            <w:fldChar w:fldCharType="end"/>
          </w:r>
          <w:r>
            <w:rPr>
              <w:color w:val="auto"/>
            </w:rPr>
            <w:fldChar w:fldCharType="end"/>
          </w:r>
        </w:p>
        <w:p>
          <w:pPr>
            <w:pStyle w:val="11"/>
            <w:rPr>
              <w:rFonts w:asciiTheme="minorHAnsi" w:hAnsiTheme="minorHAnsi" w:eastAsiaTheme="minorEastAsia" w:cstheme="minorBidi"/>
              <w:color w:val="auto"/>
              <w:szCs w:val="22"/>
            </w:rPr>
          </w:pPr>
          <w:r>
            <w:rPr>
              <w:color w:val="auto"/>
            </w:rPr>
            <w:fldChar w:fldCharType="begin"/>
          </w:r>
          <w:r>
            <w:rPr>
              <w:color w:val="auto"/>
            </w:rPr>
            <w:instrText xml:space="preserve"> HYPERLINK \l "_Toc57146398" </w:instrText>
          </w:r>
          <w:r>
            <w:rPr>
              <w:color w:val="auto"/>
            </w:rPr>
            <w:fldChar w:fldCharType="separate"/>
          </w:r>
          <w:r>
            <w:rPr>
              <w:rStyle w:val="15"/>
              <w:rFonts w:hint="eastAsia" w:ascii="仿宋" w:hAnsi="仿宋" w:eastAsia="仿宋"/>
              <w:color w:val="auto"/>
            </w:rPr>
            <w:t>十二、政府性基金预算财政拨款“三公”经费支出决算表</w:t>
          </w:r>
          <w:r>
            <w:rPr>
              <w:color w:val="auto"/>
            </w:rPr>
            <w:tab/>
          </w:r>
          <w:r>
            <w:rPr>
              <w:color w:val="auto"/>
            </w:rPr>
            <w:fldChar w:fldCharType="begin"/>
          </w:r>
          <w:r>
            <w:rPr>
              <w:color w:val="auto"/>
            </w:rPr>
            <w:instrText xml:space="preserve"> PAGEREF _Toc57146398 \h </w:instrText>
          </w:r>
          <w:r>
            <w:rPr>
              <w:color w:val="auto"/>
            </w:rPr>
            <w:fldChar w:fldCharType="separate"/>
          </w:r>
          <w:r>
            <w:rPr>
              <w:color w:val="auto"/>
            </w:rPr>
            <w:t>51</w:t>
          </w:r>
          <w:r>
            <w:rPr>
              <w:color w:val="auto"/>
            </w:rPr>
            <w:fldChar w:fldCharType="end"/>
          </w:r>
          <w:r>
            <w:rPr>
              <w:color w:val="auto"/>
            </w:rPr>
            <w:fldChar w:fldCharType="end"/>
          </w:r>
        </w:p>
        <w:p>
          <w:pPr>
            <w:pStyle w:val="11"/>
            <w:rPr>
              <w:color w:val="auto"/>
              <w:u w:val="single"/>
            </w:rPr>
          </w:pPr>
          <w:r>
            <w:rPr>
              <w:color w:val="auto"/>
            </w:rPr>
            <w:fldChar w:fldCharType="begin"/>
          </w:r>
          <w:r>
            <w:rPr>
              <w:color w:val="auto"/>
            </w:rPr>
            <w:instrText xml:space="preserve"> HYPERLINK \l "_Toc57146399" </w:instrText>
          </w:r>
          <w:r>
            <w:rPr>
              <w:color w:val="auto"/>
            </w:rPr>
            <w:fldChar w:fldCharType="separate"/>
          </w:r>
          <w:r>
            <w:rPr>
              <w:rStyle w:val="15"/>
              <w:rFonts w:hint="eastAsia" w:ascii="仿宋" w:hAnsi="仿宋" w:eastAsia="仿宋"/>
              <w:color w:val="auto"/>
            </w:rPr>
            <w:t>十三、国有资本经营预算支出决算表</w:t>
          </w:r>
          <w:r>
            <w:rPr>
              <w:color w:val="auto"/>
            </w:rPr>
            <w:tab/>
          </w:r>
          <w:r>
            <w:rPr>
              <w:color w:val="auto"/>
            </w:rPr>
            <w:fldChar w:fldCharType="begin"/>
          </w:r>
          <w:r>
            <w:rPr>
              <w:color w:val="auto"/>
            </w:rPr>
            <w:instrText xml:space="preserve"> PAGEREF _Toc57146399 \h </w:instrText>
          </w:r>
          <w:r>
            <w:rPr>
              <w:color w:val="auto"/>
            </w:rPr>
            <w:fldChar w:fldCharType="separate"/>
          </w:r>
          <w:r>
            <w:rPr>
              <w:color w:val="auto"/>
            </w:rPr>
            <w:t>51</w:t>
          </w:r>
          <w:r>
            <w:rPr>
              <w:color w:val="auto"/>
            </w:rPr>
            <w:fldChar w:fldCharType="end"/>
          </w:r>
          <w:r>
            <w:rPr>
              <w:color w:val="auto"/>
            </w:rPr>
            <w:fldChar w:fldCharType="end"/>
          </w:r>
        </w:p>
        <w:p>
          <w:pPr>
            <w:rPr>
              <w:color w:val="auto"/>
            </w:rPr>
          </w:pPr>
          <w:r>
            <w:rPr>
              <w:color w:val="auto"/>
            </w:rPr>
            <w:fldChar w:fldCharType="end"/>
          </w:r>
        </w:p>
      </w:sdtContent>
    </w:sdt>
    <w:p>
      <w:pPr>
        <w:rPr>
          <w:rStyle w:val="24"/>
          <w:rFonts w:hint="eastAsia" w:ascii="黑体" w:hAnsi="黑体"/>
          <w:b w:val="0"/>
          <w:color w:val="auto"/>
        </w:rPr>
      </w:pPr>
      <w:bookmarkStart w:id="17" w:name="_Toc57146354"/>
    </w:p>
    <w:p>
      <w:pPr>
        <w:rPr>
          <w:rStyle w:val="24"/>
          <w:rFonts w:hint="eastAsia" w:ascii="黑体" w:hAnsi="黑体"/>
          <w:b w:val="0"/>
          <w:color w:val="auto"/>
        </w:rPr>
      </w:pPr>
    </w:p>
    <w:p>
      <w:pPr>
        <w:rPr>
          <w:rStyle w:val="24"/>
          <w:rFonts w:hint="eastAsia" w:ascii="黑体" w:hAnsi="黑体"/>
          <w:b w:val="0"/>
          <w:color w:val="auto"/>
        </w:rPr>
      </w:pPr>
    </w:p>
    <w:p>
      <w:pPr>
        <w:pStyle w:val="2"/>
        <w:rPr>
          <w:rFonts w:hint="eastAsia"/>
          <w:color w:val="auto"/>
        </w:rPr>
      </w:pPr>
    </w:p>
    <w:p>
      <w:pPr>
        <w:pStyle w:val="2"/>
        <w:rPr>
          <w:rFonts w:hint="eastAsia"/>
          <w:color w:val="auto"/>
        </w:rPr>
      </w:pPr>
    </w:p>
    <w:p>
      <w:pPr>
        <w:pStyle w:val="2"/>
        <w:rPr>
          <w:rFonts w:hint="eastAsia"/>
          <w:color w:val="auto"/>
        </w:rPr>
      </w:pPr>
    </w:p>
    <w:p>
      <w:pPr>
        <w:pStyle w:val="2"/>
        <w:rPr>
          <w:rFonts w:hint="eastAsia"/>
          <w:color w:val="auto"/>
        </w:rPr>
      </w:pPr>
    </w:p>
    <w:p>
      <w:pPr>
        <w:pStyle w:val="2"/>
        <w:rPr>
          <w:rFonts w:hint="eastAsia"/>
          <w:color w:val="auto"/>
        </w:rPr>
      </w:pPr>
    </w:p>
    <w:p>
      <w:pPr>
        <w:pStyle w:val="2"/>
        <w:rPr>
          <w:rFonts w:hint="eastAsia"/>
          <w:color w:val="auto"/>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jc w:val="center"/>
        <w:rPr>
          <w:rStyle w:val="24"/>
          <w:b w:val="0"/>
          <w:bCs w:val="0"/>
          <w:kern w:val="2"/>
          <w:sz w:val="21"/>
          <w:szCs w:val="24"/>
        </w:rPr>
      </w:pPr>
      <w:r>
        <w:rPr>
          <w:rStyle w:val="24"/>
          <w:rFonts w:hint="eastAsia" w:ascii="黑体" w:hAnsi="黑体"/>
          <w:b w:val="0"/>
        </w:rPr>
        <w:t xml:space="preserve">第一部分 </w:t>
      </w:r>
      <w:r>
        <w:rPr>
          <w:rStyle w:val="24"/>
          <w:rFonts w:hint="eastAsia" w:ascii="黑体" w:hAnsi="黑体" w:eastAsia="黑体"/>
        </w:rPr>
        <w:t>部门概况</w:t>
      </w:r>
      <w:bookmarkEnd w:id="15"/>
      <w:bookmarkEnd w:id="16"/>
      <w:bookmarkEnd w:id="17"/>
    </w:p>
    <w:p>
      <w:pPr>
        <w:widowControl/>
        <w:spacing w:line="576" w:lineRule="exact"/>
        <w:jc w:val="left"/>
        <w:rPr>
          <w:rFonts w:ascii="黑体" w:eastAsia="黑体"/>
          <w:color w:val="000000"/>
          <w:sz w:val="32"/>
          <w:szCs w:val="32"/>
        </w:rPr>
      </w:pPr>
    </w:p>
    <w:p>
      <w:pPr>
        <w:pStyle w:val="4"/>
        <w:spacing w:line="576" w:lineRule="exact"/>
        <w:rPr>
          <w:rStyle w:val="25"/>
          <w:rFonts w:ascii="仿宋" w:hAnsi="仿宋" w:eastAsia="仿宋"/>
          <w:b w:val="0"/>
          <w:bCs w:val="0"/>
        </w:rPr>
      </w:pPr>
      <w:bookmarkStart w:id="18" w:name="_Toc57146355"/>
      <w:bookmarkStart w:id="19" w:name="_Toc15377197"/>
      <w:bookmarkStart w:id="20"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8"/>
      <w:bookmarkEnd w:id="19"/>
      <w:bookmarkEnd w:id="20"/>
    </w:p>
    <w:p>
      <w:pPr>
        <w:pStyle w:val="6"/>
        <w:adjustRightInd w:val="0"/>
        <w:snapToGrid w:val="0"/>
        <w:spacing w:before="93" w:line="576" w:lineRule="exact"/>
        <w:ind w:firstLine="675" w:firstLineChars="210"/>
        <w:outlineLvl w:val="2"/>
        <w:rPr>
          <w:rFonts w:hAnsi="仿宋_GB2312" w:cs="仿宋_GB2312"/>
          <w:b/>
          <w:color w:val="000000"/>
          <w:sz w:val="32"/>
          <w:szCs w:val="32"/>
        </w:rPr>
      </w:pPr>
      <w:bookmarkStart w:id="21" w:name="_Toc15378445"/>
      <w:bookmarkStart w:id="22" w:name="_Toc57146356"/>
      <w:bookmarkStart w:id="23" w:name="_Toc15377198"/>
      <w:r>
        <w:rPr>
          <w:rFonts w:hint="eastAsia" w:hAnsi="仿宋_GB2312" w:cs="仿宋_GB2312"/>
          <w:b/>
          <w:color w:val="000000"/>
          <w:sz w:val="32"/>
          <w:szCs w:val="32"/>
        </w:rPr>
        <w:t>（一）主要职能。</w:t>
      </w:r>
      <w:bookmarkEnd w:id="21"/>
      <w:bookmarkEnd w:id="22"/>
      <w:bookmarkEnd w:id="23"/>
    </w:p>
    <w:p>
      <w:pPr>
        <w:pStyle w:val="6"/>
        <w:adjustRightInd w:val="0"/>
        <w:snapToGrid w:val="0"/>
        <w:spacing w:before="93" w:line="576" w:lineRule="exact"/>
        <w:ind w:firstLine="672" w:firstLineChars="210"/>
        <w:outlineLvl w:val="2"/>
        <w:rPr>
          <w:rFonts w:hAnsi="仿宋_GB2312" w:cs="仿宋_GB2312"/>
          <w:kern w:val="2"/>
          <w:sz w:val="32"/>
          <w:szCs w:val="32"/>
        </w:rPr>
      </w:pPr>
      <w:bookmarkStart w:id="24" w:name="_Toc57146357"/>
      <w:r>
        <w:rPr>
          <w:rFonts w:hint="eastAsia" w:hAnsi="仿宋_GB2312" w:cs="仿宋_GB2312"/>
          <w:kern w:val="2"/>
          <w:sz w:val="32"/>
          <w:szCs w:val="32"/>
        </w:rPr>
        <w:t>邛溪镇具有党委、政府两种职能，党委领导政府工作。主要是政治思想和方针政策的领导，干部的选拔，考核和监督，经济和行政工作中的重大问题的决策。乡政府属于基层国家行政机关，行使本行政区的行政职能。</w:t>
      </w:r>
      <w:bookmarkEnd w:id="24"/>
    </w:p>
    <w:p>
      <w:pPr>
        <w:pStyle w:val="6"/>
        <w:adjustRightInd w:val="0"/>
        <w:snapToGrid w:val="0"/>
        <w:spacing w:before="93" w:line="576" w:lineRule="exact"/>
        <w:ind w:firstLine="675" w:firstLineChars="210"/>
        <w:outlineLvl w:val="2"/>
        <w:rPr>
          <w:rFonts w:hAnsi="仿宋_GB2312" w:cs="仿宋_GB2312"/>
          <w:b/>
          <w:color w:val="000000"/>
          <w:sz w:val="32"/>
          <w:szCs w:val="32"/>
        </w:rPr>
      </w:pPr>
      <w:bookmarkStart w:id="25" w:name="_Toc57146358"/>
      <w:bookmarkStart w:id="26" w:name="_Toc15378446"/>
      <w:bookmarkStart w:id="27" w:name="_Toc15377199"/>
      <w:r>
        <w:rPr>
          <w:rFonts w:hint="eastAsia" w:hAnsi="仿宋_GB2312" w:cs="仿宋_GB2312"/>
          <w:b/>
          <w:color w:val="000000"/>
          <w:sz w:val="32"/>
          <w:szCs w:val="32"/>
        </w:rPr>
        <w:t>（二）2019年重点工作完成情况。</w:t>
      </w:r>
      <w:bookmarkEnd w:id="25"/>
      <w:bookmarkEnd w:id="26"/>
      <w:bookmarkEnd w:id="27"/>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在县委、县政府正确领导下，深入学习贯彻党的十九大精神、习近平新时代中国特色社会主义思想和省、州、县委历次全会精神，深刻领会习近平新时代中国特色社会主义思想,树牢“四个意识”、坚定“两个自信”、做到“两个维护”，紧扣“三地</w:t>
      </w:r>
      <w:r>
        <w:rPr>
          <w:rFonts w:hint="eastAsia" w:ascii="仿宋_GB2312" w:hAnsi="仿宋_GB2312" w:eastAsia="仿宋_GB2312" w:cs="仿宋_GB2312"/>
          <w:bCs/>
          <w:color w:val="000000"/>
          <w:sz w:val="32"/>
          <w:szCs w:val="32"/>
          <w:shd w:val="clear" w:color="auto" w:fill="FFFFFF"/>
        </w:rPr>
        <w:t>两心</w:t>
      </w:r>
      <w:r>
        <w:rPr>
          <w:rFonts w:hint="eastAsia" w:ascii="仿宋_GB2312" w:hAnsi="仿宋_GB2312" w:eastAsia="仿宋_GB2312" w:cs="仿宋_GB2312"/>
          <w:sz w:val="32"/>
          <w:szCs w:val="32"/>
        </w:rPr>
        <w:t>一时代”和全面同步小康目标，坚持“稳中求进、转型升级、提质增效”工作主基调，凝心聚力、砥砺前行，立足镇域事业协调、高效发展，围绕中心服务大局，锐意进取，务实奋进，实现了经济较快发展和社会全面进步，较好的完成了各项目标任务。</w:t>
      </w:r>
    </w:p>
    <w:p>
      <w:pPr>
        <w:spacing w:line="576"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kern w:val="0"/>
          <w:sz w:val="32"/>
          <w:szCs w:val="32"/>
          <w:shd w:val="clear" w:color="auto" w:fill="FFFFFF"/>
        </w:rPr>
        <w:t>（一）坚持加快结构调整，产业发展提速转型。</w:t>
      </w:r>
      <w:r>
        <w:rPr>
          <w:rFonts w:hint="eastAsia" w:ascii="仿宋_GB2312" w:hAnsi="仿宋_GB2312" w:eastAsia="仿宋_GB2312" w:cs="仿宋_GB2312"/>
          <w:sz w:val="32"/>
          <w:szCs w:val="32"/>
        </w:rPr>
        <w:t>按照县委、县政府关于2019年农业产业结构调整要求，以农业增效、农民增收为核心，以调整产业结构为主线。</w:t>
      </w:r>
      <w:r>
        <w:rPr>
          <w:rFonts w:hint="eastAsia" w:ascii="仿宋_GB2312" w:hAnsi="仿宋_GB2312" w:eastAsia="仿宋_GB2312" w:cs="仿宋_GB2312"/>
          <w:b/>
          <w:bCs/>
          <w:sz w:val="32"/>
          <w:szCs w:val="32"/>
        </w:rPr>
        <w:t>一是狠抓第一产业促增收。</w:t>
      </w:r>
      <w:r>
        <w:rPr>
          <w:rFonts w:hint="eastAsia" w:ascii="仿宋_GB2312" w:hAnsi="仿宋_GB2312" w:eastAsia="仿宋_GB2312" w:cs="仿宋_GB2312"/>
          <w:sz w:val="32"/>
          <w:szCs w:val="32"/>
        </w:rPr>
        <w:t>完善提升畜牧业基础设施，建设暖棚56户，补助257.6万元；建设家庭牧场4户，补助32.8万元；项道圈7个，补助56万元。</w:t>
      </w:r>
      <w:r>
        <w:rPr>
          <w:rFonts w:hint="eastAsia" w:ascii="仿宋_GB2312" w:hAnsi="仿宋_GB2312" w:eastAsia="仿宋_GB2312" w:cs="仿宋_GB2312"/>
          <w:bCs/>
          <w:sz w:val="32"/>
          <w:szCs w:val="32"/>
        </w:rPr>
        <w:t>全镇出售牛11435头，奶71.8万公斤，酥油0.19万公斤，奶渣0.49万公斤；</w:t>
      </w:r>
      <w:r>
        <w:rPr>
          <w:rFonts w:hint="eastAsia" w:ascii="仿宋_GB2312" w:hAnsi="仿宋_GB2312" w:eastAsia="仿宋_GB2312" w:cs="仿宋_GB2312"/>
          <w:sz w:val="32"/>
          <w:szCs w:val="32"/>
        </w:rPr>
        <w:t>坚持一园多点战略，大力发展反季节蔬菜，道地中药材及牧草种植，其中蔬菜大棚259个，种植面积172.63亩，年产量70.61万kg,年销售量为50.83kg，年总收入为160万元。</w:t>
      </w:r>
      <w:r>
        <w:rPr>
          <w:rFonts w:hint="eastAsia" w:ascii="仿宋_GB2312" w:hAnsi="仿宋_GB2312" w:eastAsia="仿宋_GB2312" w:cs="仿宋_GB2312"/>
          <w:bCs/>
          <w:sz w:val="32"/>
          <w:szCs w:val="32"/>
        </w:rPr>
        <w:t>林下产业收益70万元。</w:t>
      </w:r>
      <w:r>
        <w:rPr>
          <w:rFonts w:hint="eastAsia" w:ascii="仿宋_GB2312" w:hAnsi="仿宋_GB2312" w:eastAsia="仿宋_GB2312" w:cs="仿宋_GB2312"/>
          <w:b/>
          <w:bCs/>
          <w:sz w:val="32"/>
          <w:szCs w:val="32"/>
        </w:rPr>
        <w:t>二是探索第三产业新潜力。</w:t>
      </w:r>
      <w:r>
        <w:rPr>
          <w:rFonts w:hint="eastAsia" w:ascii="仿宋_GB2312" w:hAnsi="仿宋_GB2312" w:eastAsia="仿宋_GB2312" w:cs="仿宋_GB2312"/>
          <w:sz w:val="32"/>
          <w:szCs w:val="32"/>
        </w:rPr>
        <w:t>依托邛溪旅游客源集散地及饮食文化优势，对全镇从业人员进行旅游接待培训，积极引导群众发展</w:t>
      </w:r>
      <w:r>
        <w:rPr>
          <w:rFonts w:hint="eastAsia" w:ascii="仿宋_GB2312" w:hAnsi="仿宋_GB2312" w:eastAsia="仿宋_GB2312" w:cs="仿宋_GB2312"/>
          <w:b/>
          <w:kern w:val="0"/>
          <w:sz w:val="32"/>
          <w:szCs w:val="32"/>
          <w:shd w:val="clear" w:color="auto" w:fill="FFFFFF"/>
        </w:rPr>
        <w:t>第三产业</w:t>
      </w:r>
      <w:r>
        <w:rPr>
          <w:rFonts w:hint="eastAsia" w:ascii="仿宋_GB2312" w:hAnsi="仿宋_GB2312" w:eastAsia="仿宋_GB2312" w:cs="仿宋_GB2312"/>
          <w:sz w:val="32"/>
          <w:szCs w:val="32"/>
        </w:rPr>
        <w:t>。全镇</w:t>
      </w:r>
      <w:r>
        <w:rPr>
          <w:rFonts w:hint="eastAsia" w:ascii="仿宋_GB2312" w:hAnsi="仿宋_GB2312" w:eastAsia="仿宋_GB2312" w:cs="仿宋_GB2312"/>
          <w:bCs/>
          <w:sz w:val="32"/>
          <w:szCs w:val="32"/>
        </w:rPr>
        <w:t>牧家乐、餐饮、家庭宾馆及旅游周边等共收入380万元。</w:t>
      </w:r>
    </w:p>
    <w:p>
      <w:pPr>
        <w:spacing w:line="576"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kern w:val="0"/>
          <w:sz w:val="32"/>
          <w:szCs w:val="32"/>
          <w:shd w:val="clear" w:color="auto" w:fill="FFFFFF"/>
        </w:rPr>
        <w:t>（二）坚持优化人居环境，镇区面貌深刻变化。</w:t>
      </w:r>
      <w:r>
        <w:rPr>
          <w:rFonts w:hint="eastAsia" w:ascii="仿宋_GB2312" w:hAnsi="仿宋_GB2312" w:eastAsia="仿宋_GB2312" w:cs="仿宋_GB2312"/>
          <w:b/>
          <w:kern w:val="0"/>
          <w:sz w:val="32"/>
          <w:szCs w:val="32"/>
          <w:shd w:val="clear" w:color="auto" w:fill="FFFFFF"/>
        </w:rPr>
        <w:t>美丽乡村建设成效明显。</w:t>
      </w:r>
      <w:r>
        <w:rPr>
          <w:rFonts w:hint="eastAsia" w:ascii="仿宋_GB2312" w:hAnsi="仿宋_GB2312" w:eastAsia="仿宋_GB2312" w:cs="仿宋_GB2312"/>
          <w:sz w:val="32"/>
          <w:szCs w:val="32"/>
        </w:rPr>
        <w:t>坚持生态优先，结合全域无垃圾创建和河长制推行，认真落实镇村环境卫生整治和河道、流域综合治理各项措施，镇域内环境卫生得到明显改善。</w:t>
      </w:r>
      <w:r>
        <w:rPr>
          <w:rFonts w:hint="eastAsia" w:ascii="仿宋_GB2312" w:hAnsi="仿宋_GB2312" w:eastAsia="仿宋_GB2312" w:cs="仿宋_GB2312"/>
          <w:b/>
          <w:bCs/>
          <w:sz w:val="32"/>
          <w:szCs w:val="32"/>
        </w:rPr>
        <w:t>一是切实加强环境卫生整治。</w:t>
      </w:r>
      <w:r>
        <w:rPr>
          <w:rFonts w:hint="eastAsia" w:ascii="仿宋_GB2312" w:hAnsi="仿宋_GB2312" w:eastAsia="仿宋_GB2312" w:cs="仿宋_GB2312"/>
          <w:sz w:val="32"/>
          <w:szCs w:val="32"/>
        </w:rPr>
        <w:t>以开展全域无垃圾创建工作为抓手，以联户为单位，安排专人分区域负责村公共区域环境卫生，对辖区内的垃圾定期进行清扫清运，创新开展流动红旗评比活动，激发内生动力，保证村容村貌干净整洁。在全镇范围内开展环境卫生大整治行动80余次；规范个体户店铺经营85户，拆除破旧横幅20条；规范车辆停放和店外经营秩序，共清扫道路4万平方米清运垃圾90车，打扫卫生死角75余处。</w:t>
      </w:r>
      <w:r>
        <w:rPr>
          <w:rFonts w:hint="eastAsia" w:ascii="仿宋_GB2312" w:hAnsi="仿宋_GB2312" w:eastAsia="仿宋_GB2312" w:cs="仿宋_GB2312"/>
          <w:b/>
          <w:bCs/>
          <w:sz w:val="32"/>
          <w:szCs w:val="32"/>
        </w:rPr>
        <w:t>二是从严落实河道治理工作。</w:t>
      </w:r>
      <w:r>
        <w:rPr>
          <w:rFonts w:hint="eastAsia" w:ascii="仿宋_GB2312" w:hAnsi="仿宋_GB2312" w:eastAsia="仿宋_GB2312" w:cs="仿宋_GB2312"/>
          <w:sz w:val="32"/>
          <w:szCs w:val="32"/>
        </w:rPr>
        <w:t>成立了河道综合治理工作领导小组，制定了整治方案和“网格化”管理工作责任制，落实了河道警长和村级河道专管员共22名；划定农村供水水源保护区，设立明显警示标志，定期组织开展辖区河道非法采砂行为巡查排查专项行动；加强河道巡查力度，对河道内、河道两侧的环境、生活污水排放、死牛烂马乱扔等现象进行巡查。2019年共开展专项排查35余次，河道巡查120次。</w:t>
      </w:r>
    </w:p>
    <w:p>
      <w:pPr>
        <w:spacing w:line="576" w:lineRule="exact"/>
        <w:ind w:firstLine="643" w:firstLineChars="200"/>
        <w:rPr>
          <w:rFonts w:ascii="仿宋_GB2312" w:hAnsi="仿宋_GB2312" w:eastAsia="仿宋_GB2312" w:cs="仿宋_GB2312"/>
          <w:color w:val="000000" w:themeColor="text1"/>
          <w:sz w:val="32"/>
          <w:szCs w:val="32"/>
        </w:rPr>
      </w:pPr>
      <w:r>
        <w:rPr>
          <w:rFonts w:hint="eastAsia" w:ascii="楷体_GB2312" w:hAnsi="楷体_GB2312" w:eastAsia="楷体_GB2312" w:cs="楷体_GB2312"/>
          <w:b/>
          <w:sz w:val="32"/>
          <w:szCs w:val="32"/>
          <w:shd w:val="clear" w:color="auto" w:fill="FFFFFF"/>
        </w:rPr>
        <w:t>（三）坚持精准帮扶，脱贫攻坚扎实推进。</w:t>
      </w:r>
      <w:r>
        <w:rPr>
          <w:rFonts w:hint="eastAsia" w:ascii="仿宋_GB2312" w:hAnsi="仿宋_GB2312" w:eastAsia="仿宋_GB2312" w:cs="仿宋_GB2312"/>
          <w:color w:val="000000"/>
          <w:sz w:val="32"/>
          <w:szCs w:val="32"/>
        </w:rPr>
        <w:t>我镇2019年计划预脱贫2户3人，为确保2户3人顺利退出贫困户序列，我镇加大帮扶力度，核查脱贫标准，切秋甲2019年人均纯收入达到5305.25元，华青夺基2019年人均纯收入达到15180元，满足“一超六有”退出标准，现已退出贫困户序列。2019年无返贫情况，以实施22个专项行动为主要抓手，贫困户生活基础设施全面提升改善。</w:t>
      </w:r>
      <w:r>
        <w:rPr>
          <w:rFonts w:hint="eastAsia" w:ascii="仿宋_GB2312" w:hAnsi="仿宋_GB2312" w:eastAsia="仿宋_GB2312" w:cs="仿宋_GB2312"/>
          <w:b/>
          <w:bCs/>
          <w:color w:val="000000"/>
          <w:sz w:val="32"/>
          <w:szCs w:val="32"/>
        </w:rPr>
        <w:t>一是落实教育扶贫政策，阻断贫困代际传递。</w:t>
      </w:r>
      <w:r>
        <w:rPr>
          <w:rFonts w:hint="eastAsia" w:ascii="仿宋_GB2312" w:hAnsi="仿宋_GB2312" w:eastAsia="仿宋_GB2312" w:cs="仿宋_GB2312"/>
          <w:color w:val="000000"/>
          <w:sz w:val="32"/>
          <w:szCs w:val="32"/>
        </w:rPr>
        <w:t>广泛宣传，逐一落实“三免两补”、“两免一助”等教育帮扶政策，贫困村均成立教育医疗救助基金，充分发挥基金作用，社会帮扶等积极作用，实现建档立卡贫困户适龄青少年儿童入学接受教育。激发贫困群众内生动力，我镇通过农牧民夜校等形式在贫困群众中加大教育扶贫政策的宣传力度，发放教育扶贫救助基金338人，2019年帮助19名贫困学生成功申请“雨露计划”，确保贫困群众适龄儿童入学率100%，无辍学现象的发生。</w:t>
      </w:r>
      <w:r>
        <w:rPr>
          <w:rFonts w:hint="eastAsia" w:ascii="仿宋_GB2312" w:hAnsi="仿宋_GB2312" w:eastAsia="仿宋_GB2312" w:cs="仿宋_GB2312"/>
          <w:b/>
          <w:bCs/>
          <w:color w:val="000000"/>
          <w:sz w:val="32"/>
          <w:szCs w:val="32"/>
        </w:rPr>
        <w:t>二是落实医疗政策，减轻贫困群众就医负担。</w:t>
      </w:r>
      <w:r>
        <w:rPr>
          <w:rFonts w:hint="eastAsia" w:ascii="仿宋_GB2312" w:hAnsi="仿宋_GB2312" w:eastAsia="仿宋_GB2312" w:cs="仿宋_GB2312"/>
          <w:color w:val="000000"/>
          <w:sz w:val="32"/>
          <w:szCs w:val="32"/>
        </w:rPr>
        <w:t>针对贫困户开展家庭医生签约服务，统一购买医疗保险，协助开展医疗救助，普及性开展健康体检，建立健康档案。</w:t>
      </w:r>
      <w:r>
        <w:rPr>
          <w:rFonts w:hint="eastAsia" w:ascii="仿宋_GB2312" w:hAnsi="仿宋_GB2312" w:eastAsia="仿宋_GB2312" w:cs="仿宋_GB2312"/>
          <w:b/>
          <w:bCs/>
          <w:color w:val="000000"/>
          <w:sz w:val="32"/>
          <w:szCs w:val="32"/>
        </w:rPr>
        <w:t>三是加强贫困群众技能培训，激发贫困群众脱贫内生动力。</w:t>
      </w:r>
      <w:r>
        <w:rPr>
          <w:rFonts w:hint="eastAsia" w:ascii="仿宋_GB2312" w:hAnsi="仿宋_GB2312" w:eastAsia="仿宋_GB2312" w:cs="仿宋_GB2312"/>
          <w:color w:val="000000"/>
          <w:sz w:val="32"/>
          <w:szCs w:val="32"/>
        </w:rPr>
        <w:t>集中开展了中餐烹饪、旅游等专业技能培训，共培训贫困群众200余人次。通过农牧民夜校宣讲政策，技术培训，提升贫困户自我脱贫的能力</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rPr>
        <w:t>四是产业到户促生产，公益性岗位促增收。</w:t>
      </w:r>
      <w:r>
        <w:rPr>
          <w:rFonts w:hint="eastAsia" w:ascii="仿宋_GB2312" w:hAnsi="仿宋_GB2312" w:eastAsia="仿宋_GB2312" w:cs="仿宋_GB2312"/>
          <w:color w:val="000000" w:themeColor="text1"/>
          <w:sz w:val="32"/>
          <w:szCs w:val="32"/>
        </w:rPr>
        <w:t>我镇234户已脱贫贫困户在国家政策扶持下享有生态公益性岗位，分红等多项收入，“两不愁三保障”，“一超六有”全部达标，脱贫稳定。</w:t>
      </w:r>
    </w:p>
    <w:p>
      <w:pPr>
        <w:spacing w:line="576" w:lineRule="exact"/>
        <w:ind w:firstLine="643" w:firstLineChars="200"/>
        <w:jc w:val="left"/>
        <w:rPr>
          <w:rFonts w:ascii="仿宋_GB2312" w:hAnsi="仿宋_GB2312" w:eastAsia="仿宋_GB2312" w:cs="仿宋_GB2312"/>
          <w:sz w:val="32"/>
          <w:szCs w:val="32"/>
          <w:shd w:val="clear" w:color="auto" w:fill="FFFFFF"/>
        </w:rPr>
      </w:pPr>
      <w:r>
        <w:rPr>
          <w:rFonts w:hint="eastAsia" w:ascii="楷体_GB2312" w:hAnsi="楷体_GB2312" w:eastAsia="楷体_GB2312" w:cs="楷体_GB2312"/>
          <w:b/>
          <w:sz w:val="32"/>
          <w:szCs w:val="32"/>
          <w:shd w:val="clear" w:color="auto" w:fill="FFFFFF"/>
        </w:rPr>
        <w:t>（四）坚持惠民生促和谐，社会事业取得新进步。</w:t>
      </w:r>
      <w:r>
        <w:rPr>
          <w:rFonts w:hint="eastAsia" w:ascii="仿宋_GB2312" w:hAnsi="仿宋_GB2312" w:eastAsia="仿宋_GB2312" w:cs="仿宋_GB2312"/>
          <w:b/>
          <w:bCs/>
          <w:sz w:val="32"/>
          <w:szCs w:val="32"/>
        </w:rPr>
        <w:t>一是教育工作。</w:t>
      </w:r>
      <w:r>
        <w:rPr>
          <w:rFonts w:hint="eastAsia" w:ascii="仿宋_GB2312" w:hAnsi="仿宋_GB2312" w:eastAsia="仿宋_GB2312" w:cs="仿宋_GB2312"/>
          <w:sz w:val="32"/>
          <w:szCs w:val="32"/>
        </w:rPr>
        <w:t>坚持经济社会发展优先规划教育事业，保障残疾儿童少年受教育权利。2019年邛溪镇异地育人学校基本标准达标率均为100%。全镇7-12周岁儿童882人，入学838人,入学率达95%，享受教育扶贫政策125人，残疾儿童入学5人。二是卫生、计生工作取得新成效。大力宣传政策法规、疾病防治、新农合。我镇新型农村合作医疗参合率达100%。不断完善计划生育工作机制，规范生育，严格奖罚制度，2019年奖励扶助11人1.56万元，特别扶助28人24万元，发放独子费2人264元，新申报奖励特扶2人，特别扶助2人，少生快富4对1.2万元，征收社会抚养费4000元，享受国家免费优生优育健康检查80对。</w:t>
      </w:r>
      <w:r>
        <w:rPr>
          <w:rFonts w:hint="eastAsia" w:ascii="仿宋_GB2312" w:hAnsi="仿宋_GB2312" w:eastAsia="仿宋_GB2312" w:cs="仿宋_GB2312"/>
          <w:b/>
          <w:bCs/>
          <w:sz w:val="32"/>
          <w:szCs w:val="32"/>
        </w:rPr>
        <w:t>三是落实改善民生现真章。</w:t>
      </w:r>
      <w:r>
        <w:rPr>
          <w:rFonts w:hint="eastAsia" w:ascii="仿宋_GB2312" w:hAnsi="仿宋_GB2312" w:eastAsia="仿宋_GB2312" w:cs="仿宋_GB2312"/>
          <w:sz w:val="32"/>
          <w:szCs w:val="32"/>
        </w:rPr>
        <w:t>组织机关干部、村社干部及各方力量进村入户、进寺入僧舍，开展“四项帮扶”、“五项关怀”活动，广泛宣传国家方针政策和法律法规，倾心致力民生改善，认真落实大骨节病综合防治、城乡最低生活保障、新农保、养老、医疗、工伤、失业、生育保险、民政优抚等政策，及时发放城乡医疗救助金、自然灾害临时生活救助金等，确保弱势群体生产生活。及时足额发放各类惠农补贴，农村低保，特困供养，各类重点优抚，孤儿，60周岁以上老人，各类残疾人；留守老人，留守儿童。2019年，累计发放农资补贴、低保、五保、养老保险等各类惠农资金。保障困难群众和弱势群体的最基本生活。</w:t>
      </w:r>
      <w:r>
        <w:rPr>
          <w:rFonts w:hint="eastAsia" w:ascii="仿宋_GB2312" w:hAnsi="仿宋_GB2312" w:eastAsia="仿宋_GB2312" w:cs="仿宋_GB2312"/>
          <w:b/>
          <w:bCs/>
          <w:sz w:val="32"/>
          <w:szCs w:val="32"/>
        </w:rPr>
        <w:t>四是联系群众，服务基层。</w:t>
      </w:r>
      <w:r>
        <w:rPr>
          <w:rFonts w:hint="eastAsia" w:ascii="仿宋_GB2312" w:hAnsi="仿宋_GB2312" w:eastAsia="仿宋_GB2312" w:cs="仿宋_GB2312"/>
          <w:w w:val="99"/>
          <w:sz w:val="32"/>
          <w:szCs w:val="32"/>
        </w:rPr>
        <w:t>坚持常态便民服务，办理户籍230项、贷款15项、养老保险50项、家庭牧场4户申报资料</w:t>
      </w:r>
      <w:r>
        <w:rPr>
          <w:rFonts w:hint="eastAsia" w:ascii="仿宋_GB2312" w:hAnsi="仿宋_GB2312" w:eastAsia="仿宋_GB2312" w:cs="仿宋_GB2312"/>
          <w:b/>
          <w:w w:val="99"/>
          <w:sz w:val="32"/>
          <w:szCs w:val="32"/>
        </w:rPr>
        <w:t>；</w:t>
      </w:r>
      <w:r>
        <w:rPr>
          <w:rFonts w:hint="eastAsia" w:ascii="仿宋_GB2312" w:hAnsi="仿宋_GB2312" w:eastAsia="仿宋_GB2312" w:cs="仿宋_GB2312"/>
          <w:w w:val="99"/>
          <w:sz w:val="32"/>
          <w:szCs w:val="32"/>
        </w:rPr>
        <w:t>坚持开展文艺活动，</w:t>
      </w:r>
      <w:r>
        <w:rPr>
          <w:rFonts w:hint="eastAsia" w:ascii="仿宋_GB2312" w:hAnsi="仿宋_GB2312" w:eastAsia="仿宋_GB2312" w:cs="仿宋_GB2312"/>
          <w:bCs/>
          <w:sz w:val="32"/>
          <w:szCs w:val="32"/>
        </w:rPr>
        <w:t>免费向牧民、学生、村干部借阅图书1000余册，播放电影24次，组织牧民拔河、藏棋、篮球等文体活动8场次。</w:t>
      </w:r>
      <w:r>
        <w:rPr>
          <w:rFonts w:hint="eastAsia" w:ascii="仿宋_GB2312" w:hAnsi="仿宋_GB2312" w:eastAsia="仿宋_GB2312" w:cs="仿宋_GB2312"/>
          <w:sz w:val="32"/>
          <w:szCs w:val="32"/>
          <w:shd w:val="clear" w:color="auto" w:fill="FFFFFF"/>
        </w:rPr>
        <w:t>精神文明建设有效提升，开展“敬信勤新”道德模范、“星级文明户”、“好媳妇”等评选活动，4人被评为道德模范，</w:t>
      </w:r>
      <w:r>
        <w:rPr>
          <w:rFonts w:hint="eastAsia" w:ascii="仿宋_GB2312" w:hAnsi="仿宋_GB2312" w:eastAsia="仿宋_GB2312" w:cs="仿宋_GB2312"/>
          <w:b/>
          <w:sz w:val="32"/>
          <w:szCs w:val="32"/>
          <w:shd w:val="clear" w:color="auto" w:fill="FFFFFF"/>
        </w:rPr>
        <w:t>社会治理能力不断提升。</w:t>
      </w:r>
      <w:r>
        <w:rPr>
          <w:rFonts w:hint="eastAsia" w:ascii="仿宋_GB2312" w:hAnsi="仿宋_GB2312" w:eastAsia="仿宋_GB2312" w:cs="仿宋_GB2312"/>
          <w:sz w:val="32"/>
          <w:szCs w:val="32"/>
          <w:shd w:val="clear" w:color="auto" w:fill="FFFFFF"/>
        </w:rPr>
        <w:t>认真落实安全生产责任制，扎实开展“安全生产月”行动，着力强化安全监管和对各类隐患的排查整改。全镇安全态势平稳，无重特大事故发生。全面加强食品药品安全监管。信访维稳人民调解工作扎实逐步推进，调解各类纠纷66件，社会大局日渐趋于稳定。国防后备力量建设成效显著，适龄青年兵役登记率达到98%以上，年度完成兵役征集48人。民族宗教管理不断规范。统计调查、防震减灾、气象、残联、青年、妇女儿童等各项事业齐头并进。</w:t>
      </w:r>
    </w:p>
    <w:p>
      <w:pPr>
        <w:widowControl/>
        <w:spacing w:line="576" w:lineRule="exact"/>
        <w:ind w:firstLine="420"/>
        <w:jc w:val="left"/>
        <w:rPr>
          <w:rFonts w:ascii="仿宋" w:hAnsi="仿宋" w:eastAsia="仿宋"/>
          <w:bCs/>
          <w:color w:val="000000"/>
          <w:sz w:val="32"/>
          <w:szCs w:val="32"/>
        </w:rPr>
      </w:pPr>
      <w:r>
        <w:rPr>
          <w:rFonts w:hint="eastAsia" w:ascii="仿宋_GB2312" w:hAnsi="仿宋_GB2312" w:eastAsia="仿宋_GB2312" w:cs="仿宋_GB2312"/>
          <w:b/>
          <w:kern w:val="0"/>
          <w:sz w:val="32"/>
          <w:szCs w:val="32"/>
          <w:shd w:val="clear" w:color="auto" w:fill="FFFFFF"/>
        </w:rPr>
        <w:t>各位代表</w:t>
      </w:r>
      <w:r>
        <w:rPr>
          <w:rFonts w:hint="eastAsia" w:ascii="仿宋_GB2312" w:hAnsi="仿宋_GB2312" w:eastAsia="仿宋_GB2312" w:cs="仿宋_GB2312"/>
          <w:kern w:val="0"/>
          <w:sz w:val="32"/>
          <w:szCs w:val="32"/>
          <w:shd w:val="clear" w:color="auto" w:fill="FFFFFF"/>
        </w:rPr>
        <w:t>！回顾这一年来工作历程，我们深刻体会到，做好政府工作：</w:t>
      </w:r>
      <w:r>
        <w:rPr>
          <w:rFonts w:hint="eastAsia" w:ascii="仿宋_GB2312" w:hAnsi="仿宋_GB2312" w:eastAsia="仿宋_GB2312" w:cs="仿宋_GB2312"/>
          <w:b/>
          <w:kern w:val="0"/>
          <w:sz w:val="32"/>
          <w:szCs w:val="32"/>
          <w:shd w:val="clear" w:color="auto" w:fill="FFFFFF"/>
        </w:rPr>
        <w:t>必须坚持党的领导不动摇，</w:t>
      </w:r>
      <w:r>
        <w:rPr>
          <w:rFonts w:hint="eastAsia" w:ascii="仿宋_GB2312" w:hAnsi="仿宋_GB2312" w:eastAsia="仿宋_GB2312" w:cs="仿宋_GB2312"/>
          <w:kern w:val="0"/>
          <w:sz w:val="32"/>
          <w:szCs w:val="32"/>
          <w:shd w:val="clear" w:color="auto" w:fill="FFFFFF"/>
        </w:rPr>
        <w:t>牢固树立“四个意识”，以党建引领推动各项工作落实；</w:t>
      </w:r>
      <w:r>
        <w:rPr>
          <w:rFonts w:hint="eastAsia" w:ascii="仿宋_GB2312" w:hAnsi="仿宋_GB2312" w:eastAsia="仿宋_GB2312" w:cs="仿宋_GB2312"/>
          <w:b/>
          <w:kern w:val="0"/>
          <w:sz w:val="32"/>
          <w:szCs w:val="32"/>
          <w:shd w:val="clear" w:color="auto" w:fill="FFFFFF"/>
        </w:rPr>
        <w:t>必须坚持执政为民不忘本，</w:t>
      </w:r>
      <w:r>
        <w:rPr>
          <w:rFonts w:hint="eastAsia" w:ascii="仿宋_GB2312" w:hAnsi="仿宋_GB2312" w:eastAsia="仿宋_GB2312" w:cs="仿宋_GB2312"/>
          <w:kern w:val="0"/>
          <w:sz w:val="32"/>
          <w:szCs w:val="32"/>
          <w:shd w:val="clear" w:color="auto" w:fill="FFFFFF"/>
        </w:rPr>
        <w:t>全力办好民生实事，让群众过得更安心、更顺心、更舒心；</w:t>
      </w:r>
      <w:r>
        <w:rPr>
          <w:rFonts w:hint="eastAsia" w:ascii="仿宋_GB2312" w:hAnsi="仿宋_GB2312" w:eastAsia="仿宋_GB2312" w:cs="仿宋_GB2312"/>
          <w:b/>
          <w:kern w:val="0"/>
          <w:sz w:val="32"/>
          <w:szCs w:val="32"/>
          <w:shd w:val="clear" w:color="auto" w:fill="FFFFFF"/>
        </w:rPr>
        <w:t>必须坚持务实发展不折腾，</w:t>
      </w:r>
      <w:r>
        <w:rPr>
          <w:rFonts w:hint="eastAsia" w:ascii="仿宋_GB2312" w:hAnsi="仿宋_GB2312" w:eastAsia="仿宋_GB2312" w:cs="仿宋_GB2312"/>
          <w:kern w:val="0"/>
          <w:sz w:val="32"/>
          <w:szCs w:val="32"/>
          <w:shd w:val="clear" w:color="auto" w:fill="FFFFFF"/>
        </w:rPr>
        <w:t>一切从实际出发、一步一个脚印、一张蓝图干到底，努力追求实实在在的政绩；</w:t>
      </w:r>
      <w:r>
        <w:rPr>
          <w:rFonts w:hint="eastAsia" w:ascii="仿宋_GB2312" w:hAnsi="仿宋_GB2312" w:eastAsia="仿宋_GB2312" w:cs="仿宋_GB2312"/>
          <w:b/>
          <w:kern w:val="0"/>
          <w:sz w:val="32"/>
          <w:szCs w:val="32"/>
          <w:shd w:val="clear" w:color="auto" w:fill="FFFFFF"/>
        </w:rPr>
        <w:t>必须坚持项目带动不懈怠，</w:t>
      </w:r>
      <w:r>
        <w:rPr>
          <w:rFonts w:hint="eastAsia" w:ascii="仿宋_GB2312" w:hAnsi="仿宋_GB2312" w:eastAsia="仿宋_GB2312" w:cs="仿宋_GB2312"/>
          <w:kern w:val="0"/>
          <w:sz w:val="32"/>
          <w:szCs w:val="32"/>
          <w:shd w:val="clear" w:color="auto" w:fill="FFFFFF"/>
        </w:rPr>
        <w:t>以项目增投资、扩优势、强特色、补短板，走出转型发展之路；</w:t>
      </w:r>
      <w:r>
        <w:rPr>
          <w:rFonts w:hint="eastAsia" w:ascii="仿宋_GB2312" w:hAnsi="仿宋_GB2312" w:eastAsia="仿宋_GB2312" w:cs="仿宋_GB2312"/>
          <w:b/>
          <w:kern w:val="0"/>
          <w:sz w:val="32"/>
          <w:szCs w:val="32"/>
          <w:shd w:val="clear" w:color="auto" w:fill="FFFFFF"/>
        </w:rPr>
        <w:t>必须坚持改革创新不停滞，</w:t>
      </w:r>
      <w:r>
        <w:rPr>
          <w:rFonts w:hint="eastAsia" w:ascii="仿宋_GB2312" w:hAnsi="仿宋_GB2312" w:eastAsia="仿宋_GB2312" w:cs="仿宋_GB2312"/>
          <w:kern w:val="0"/>
          <w:sz w:val="32"/>
          <w:szCs w:val="32"/>
          <w:shd w:val="clear" w:color="auto" w:fill="FFFFFF"/>
        </w:rPr>
        <w:t>坚决破除体制机制障碍，为经济社会发展提供新动力。与此同时，</w:t>
      </w:r>
      <w:r>
        <w:rPr>
          <w:rFonts w:hint="eastAsia" w:ascii="仿宋_GB2312" w:hAnsi="仿宋_GB2312" w:eastAsia="仿宋_GB2312" w:cs="仿宋_GB2312"/>
          <w:sz w:val="32"/>
          <w:szCs w:val="32"/>
        </w:rPr>
        <w:t>我们更应清醒地认识到，在改革发展的道路上我们仍然存在一些困难和问题。从我们自身看，一是面临脱贫攻坚任务繁重和基础短板双重压力。全镇贫困面大、贫困程度深，贫困群众致富门路狭窄、增收渠道不多。部分群众观念落后，发展产业单一，缺乏技术，村集体经济管理粗放，致富带头人辐射带动作用发挥不明显。二是干部的思想还不够解放，干事创业的劲头不足，推动落实的力度不大，担当有为、争创一流的能力需要进一步提升。</w:t>
      </w:r>
    </w:p>
    <w:p>
      <w:pPr>
        <w:pStyle w:val="4"/>
        <w:spacing w:line="576" w:lineRule="exact"/>
        <w:ind w:firstLine="640" w:firstLineChars="200"/>
        <w:rPr>
          <w:rStyle w:val="25"/>
          <w:b w:val="0"/>
          <w:bCs w:val="0"/>
        </w:rPr>
      </w:pPr>
      <w:bookmarkStart w:id="28" w:name="_Toc15377200"/>
      <w:bookmarkStart w:id="29" w:name="_Toc57146359"/>
      <w:bookmarkStart w:id="30"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8"/>
      <w:bookmarkEnd w:id="29"/>
      <w:bookmarkEnd w:id="30"/>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我单位为独立核算全额拨款行政单位，截止2018年底我单位共有编制41个，其中公务员编制31个，行政工勤编制2个，事业编制8个，在职39人，其中公务员29人，行政工勤3人、事业7人。</w:t>
      </w:r>
    </w:p>
    <w:p>
      <w:pPr>
        <w:pStyle w:val="2"/>
        <w:rPr>
          <w:rFonts w:ascii="仿宋_GB2312" w:hAnsi="仿宋_GB2312" w:eastAsia="仿宋_GB2312" w:cs="仿宋_GB2312"/>
          <w:color w:val="0000FF"/>
          <w:sz w:val="32"/>
          <w:szCs w:val="32"/>
        </w:rPr>
      </w:pPr>
    </w:p>
    <w:p>
      <w:pPr>
        <w:pStyle w:val="2"/>
        <w:rPr>
          <w:rFonts w:ascii="仿宋_GB2312" w:hAnsi="仿宋_GB2312" w:eastAsia="仿宋_GB2312" w:cs="仿宋_GB2312"/>
          <w:color w:val="0000FF"/>
          <w:sz w:val="32"/>
          <w:szCs w:val="32"/>
        </w:rPr>
      </w:pPr>
    </w:p>
    <w:p>
      <w:pPr>
        <w:pStyle w:val="2"/>
        <w:rPr>
          <w:rFonts w:ascii="仿宋_GB2312" w:hAnsi="仿宋_GB2312" w:eastAsia="仿宋_GB2312" w:cs="仿宋_GB2312"/>
          <w:color w:val="0000FF"/>
          <w:sz w:val="32"/>
          <w:szCs w:val="32"/>
        </w:rPr>
      </w:pPr>
    </w:p>
    <w:p>
      <w:pPr>
        <w:pStyle w:val="2"/>
        <w:rPr>
          <w:rFonts w:ascii="仿宋_GB2312" w:hAnsi="仿宋_GB2312" w:eastAsia="仿宋_GB2312" w:cs="仿宋_GB2312"/>
          <w:color w:val="0000FF"/>
          <w:sz w:val="32"/>
          <w:szCs w:val="32"/>
        </w:rPr>
      </w:pPr>
    </w:p>
    <w:p>
      <w:pPr>
        <w:pStyle w:val="2"/>
        <w:rPr>
          <w:rFonts w:ascii="仿宋_GB2312" w:hAnsi="仿宋_GB2312" w:eastAsia="仿宋_GB2312" w:cs="仿宋_GB2312"/>
          <w:color w:val="0000FF"/>
          <w:sz w:val="32"/>
          <w:szCs w:val="32"/>
        </w:rPr>
      </w:pPr>
    </w:p>
    <w:p>
      <w:pPr>
        <w:pStyle w:val="2"/>
        <w:rPr>
          <w:rFonts w:ascii="仿宋_GB2312" w:hAnsi="仿宋_GB2312" w:eastAsia="仿宋_GB2312" w:cs="仿宋_GB2312"/>
          <w:color w:val="0000FF"/>
          <w:sz w:val="32"/>
          <w:szCs w:val="32"/>
        </w:rPr>
      </w:pPr>
    </w:p>
    <w:p>
      <w:pPr>
        <w:pStyle w:val="2"/>
        <w:rPr>
          <w:rFonts w:ascii="仿宋_GB2312" w:hAnsi="仿宋_GB2312" w:eastAsia="仿宋_GB2312" w:cs="仿宋_GB2312"/>
          <w:color w:val="0000FF"/>
          <w:sz w:val="32"/>
          <w:szCs w:val="32"/>
        </w:rPr>
      </w:pPr>
    </w:p>
    <w:p>
      <w:pPr>
        <w:pStyle w:val="3"/>
        <w:ind w:right="440"/>
        <w:jc w:val="right"/>
      </w:pPr>
      <w:bookmarkStart w:id="31" w:name="_Toc57146360"/>
      <w:bookmarkStart w:id="32" w:name="_Toc15396602"/>
      <w:bookmarkStart w:id="3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31"/>
      <w:bookmarkEnd w:id="32"/>
      <w:bookmarkEnd w:id="33"/>
    </w:p>
    <w:p>
      <w:pPr>
        <w:pStyle w:val="23"/>
        <w:numPr>
          <w:ilvl w:val="0"/>
          <w:numId w:val="1"/>
        </w:numPr>
        <w:spacing w:line="600" w:lineRule="exact"/>
        <w:ind w:firstLineChars="0"/>
        <w:outlineLvl w:val="1"/>
        <w:rPr>
          <w:rStyle w:val="25"/>
          <w:rFonts w:ascii="黑体" w:hAnsi="黑体" w:eastAsia="黑体"/>
          <w:b w:val="0"/>
        </w:rPr>
      </w:pPr>
      <w:bookmarkStart w:id="34" w:name="_Toc15377205"/>
      <w:bookmarkStart w:id="35" w:name="_Toc15396603"/>
      <w:bookmarkStart w:id="36" w:name="_Toc57146361"/>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4"/>
      <w:bookmarkEnd w:id="35"/>
      <w:bookmarkEnd w:id="36"/>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2019年度收入1371.95万元。与2018年相比，减少215.69万元，下降16%。主要原因是人员减少。支出总计2158.39万元。与2018年相比，增加了36.18万元，增长1%。主要变动原因是项目增加。</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（图1：收、支决算总计变动情况图）（柱状图）</w:t>
      </w:r>
    </w:p>
    <w:p>
      <w:pPr>
        <w:spacing w:line="600" w:lineRule="exact"/>
        <w:ind w:firstLine="640" w:firstLineChars="200"/>
        <w:jc w:val="left"/>
        <w:rPr>
          <w:rFonts w:ascii="仿宋_GB2312" w:eastAsia="仿宋_GB2312"/>
          <w:color w:val="000000"/>
          <w:sz w:val="32"/>
          <w:szCs w:val="32"/>
        </w:rPr>
      </w:pPr>
      <w:r>
        <w:rPr>
          <w:rFonts w:hint="eastAsia" w:ascii="仿宋" w:hAnsi="仿宋" w:eastAsia="仿宋"/>
          <w:color w:val="000000" w:themeColor="text1"/>
          <w:sz w:val="32"/>
          <w:szCs w:val="32"/>
        </w:rPr>
        <w:drawing>
          <wp:anchor distT="0" distB="0" distL="114300" distR="114300" simplePos="0" relativeHeight="251659264" behindDoc="1" locked="0" layoutInCell="1" allowOverlap="1">
            <wp:simplePos x="0" y="0"/>
            <wp:positionH relativeFrom="column">
              <wp:posOffset>398145</wp:posOffset>
            </wp:positionH>
            <wp:positionV relativeFrom="paragraph">
              <wp:posOffset>219075</wp:posOffset>
            </wp:positionV>
            <wp:extent cx="4686935" cy="2821940"/>
            <wp:effectExtent l="4445" t="5080" r="13970" b="11430"/>
            <wp:wrapTight wrapText="bothSides">
              <wp:wrapPolygon>
                <wp:start x="-20" y="-39"/>
                <wp:lineTo x="-20" y="21542"/>
                <wp:lineTo x="21577" y="21542"/>
                <wp:lineTo x="21577" y="-39"/>
                <wp:lineTo x="-20" y="-39"/>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3"/>
        <w:numPr>
          <w:ilvl w:val="0"/>
          <w:numId w:val="1"/>
        </w:numPr>
        <w:spacing w:line="600" w:lineRule="exact"/>
        <w:ind w:firstLineChars="0"/>
        <w:outlineLvl w:val="1"/>
        <w:rPr>
          <w:rStyle w:val="25"/>
          <w:rFonts w:ascii="黑体" w:hAnsi="黑体" w:eastAsia="黑体"/>
          <w:b w:val="0"/>
        </w:rPr>
      </w:pPr>
      <w:bookmarkStart w:id="37" w:name="_Toc57146362"/>
      <w:bookmarkStart w:id="38" w:name="_Toc15396604"/>
      <w:bookmarkStart w:id="39"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37"/>
      <w:bookmarkEnd w:id="38"/>
      <w:bookmarkEnd w:id="39"/>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本年收入合计1371.95万元，其中：一般公共预算财政拨款收入1370.23万元，占99%；政府性基金预算财政拨款收入0万元，占0%；上级补助收入0万元，占0%；事业收入0万元，占0%；经营收入0万元，占0%；附属单位上缴收入0万元，占0%；其他收入1.72万元，占0.1%。</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drawing>
          <wp:anchor distT="0" distB="0" distL="114300" distR="114300" simplePos="0" relativeHeight="251660288" behindDoc="1" locked="0" layoutInCell="1" allowOverlap="1">
            <wp:simplePos x="0" y="0"/>
            <wp:positionH relativeFrom="column">
              <wp:posOffset>399415</wp:posOffset>
            </wp:positionH>
            <wp:positionV relativeFrom="paragraph">
              <wp:posOffset>42545</wp:posOffset>
            </wp:positionV>
            <wp:extent cx="3902075" cy="2214245"/>
            <wp:effectExtent l="4445" t="4445" r="17780" b="10160"/>
            <wp:wrapTight wrapText="bothSides">
              <wp:wrapPolygon>
                <wp:start x="-25" y="-43"/>
                <wp:lineTo x="-25" y="21513"/>
                <wp:lineTo x="21488" y="21513"/>
                <wp:lineTo x="21488" y="-43"/>
                <wp:lineTo x="-25" y="-43"/>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3"/>
        <w:numPr>
          <w:ilvl w:val="0"/>
          <w:numId w:val="1"/>
        </w:numPr>
        <w:spacing w:line="600" w:lineRule="exact"/>
        <w:ind w:firstLineChars="0"/>
        <w:outlineLvl w:val="1"/>
        <w:rPr>
          <w:rStyle w:val="25"/>
          <w:rFonts w:ascii="黑体" w:hAnsi="黑体" w:eastAsia="黑体"/>
          <w:b w:val="0"/>
        </w:rPr>
      </w:pPr>
      <w:bookmarkStart w:id="40" w:name="_Toc57146363"/>
      <w:bookmarkStart w:id="41" w:name="_Toc15377207"/>
      <w:bookmarkStart w:id="42"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40"/>
      <w:bookmarkEnd w:id="41"/>
      <w:bookmarkEnd w:id="42"/>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2019年本年支出合计2158.39万元，其中：基本支出773.23万元，占36%；项目支出1385.15万元，占64%；上缴上级支出0万元，占0%；经营支出0万元，占0%；对附属单位补助支出0万元，占0%。</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drawing>
          <wp:anchor distT="0" distB="0" distL="114300" distR="114300" simplePos="0" relativeHeight="251661312" behindDoc="1" locked="0" layoutInCell="1" allowOverlap="1">
            <wp:simplePos x="0" y="0"/>
            <wp:positionH relativeFrom="column">
              <wp:posOffset>445135</wp:posOffset>
            </wp:positionH>
            <wp:positionV relativeFrom="paragraph">
              <wp:posOffset>373380</wp:posOffset>
            </wp:positionV>
            <wp:extent cx="4247515" cy="2262505"/>
            <wp:effectExtent l="4445" t="4445" r="15240" b="19050"/>
            <wp:wrapTight wrapText="bothSides">
              <wp:wrapPolygon>
                <wp:start x="-23" y="-42"/>
                <wp:lineTo x="-23" y="21418"/>
                <wp:lineTo x="21484" y="21418"/>
                <wp:lineTo x="21484" y="-42"/>
                <wp:lineTo x="-23" y="-42"/>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hAnsi="仿宋_GB2312" w:eastAsia="仿宋_GB2312" w:cs="仿宋_GB2312"/>
          <w:sz w:val="32"/>
          <w:szCs w:val="32"/>
          <w:shd w:val="clear" w:color="auto" w:fill="FFFFFF"/>
        </w:rPr>
        <w:t>（图3：支出决算结构图）（饼状图）</w:t>
      </w:r>
    </w:p>
    <w:p>
      <w:pPr>
        <w:pStyle w:val="2"/>
        <w:rPr>
          <w:rFonts w:eastAsia="仿宋"/>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43" w:name="_Toc15377208"/>
      <w:bookmarkStart w:id="44" w:name="_Toc57146364"/>
      <w:bookmarkStart w:id="45"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3"/>
      <w:bookmarkEnd w:id="44"/>
      <w:bookmarkEnd w:id="45"/>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2019年财政拨款收入总计1370.23万元。与2018年相比，财政拨款收入减少216.46万元，下降16%。主要原因是人员减少。</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2019年财政拨款支出总计2156.86万元。与2018年相比，财政拨款支出增加34.65万元，增长1.6%。主要变动原因是项目增加。</w:t>
      </w:r>
    </w:p>
    <w:p>
      <w:pPr>
        <w:pStyle w:val="2"/>
      </w:pPr>
      <w:r>
        <w:rPr>
          <w:rFonts w:hint="eastAsia"/>
        </w:rPr>
        <w:drawing>
          <wp:anchor distT="0" distB="0" distL="114300" distR="114300" simplePos="0" relativeHeight="251662336" behindDoc="1" locked="0" layoutInCell="1" allowOverlap="1">
            <wp:simplePos x="0" y="0"/>
            <wp:positionH relativeFrom="column">
              <wp:posOffset>183515</wp:posOffset>
            </wp:positionH>
            <wp:positionV relativeFrom="paragraph">
              <wp:posOffset>17145</wp:posOffset>
            </wp:positionV>
            <wp:extent cx="4686935" cy="2334260"/>
            <wp:effectExtent l="5080" t="5080" r="13335" b="22860"/>
            <wp:wrapTight wrapText="bothSides">
              <wp:wrapPolygon>
                <wp:start x="-23" y="-47"/>
                <wp:lineTo x="-23" y="21459"/>
                <wp:lineTo x="21574" y="21459"/>
                <wp:lineTo x="21574" y="-47"/>
                <wp:lineTo x="-23" y="-47"/>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sz w:val="32"/>
          <w:szCs w:val="32"/>
        </w:rPr>
      </w:pP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（图4：财政拨款收、支决算总计变动情况）（柱状图）</w:t>
      </w:r>
    </w:p>
    <w:p>
      <w:pPr>
        <w:spacing w:line="600" w:lineRule="exact"/>
        <w:ind w:firstLine="640" w:firstLineChars="200"/>
        <w:outlineLvl w:val="1"/>
        <w:rPr>
          <w:rStyle w:val="25"/>
          <w:rFonts w:ascii="黑体" w:hAnsi="黑体" w:eastAsia="黑体"/>
          <w:b w:val="0"/>
        </w:rPr>
      </w:pPr>
      <w:bookmarkStart w:id="46" w:name="_Toc15396607"/>
      <w:bookmarkStart w:id="47" w:name="_Toc15377209"/>
      <w:bookmarkStart w:id="48" w:name="_Toc57146365"/>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6"/>
      <w:bookmarkEnd w:id="47"/>
      <w:bookmarkEnd w:id="48"/>
    </w:p>
    <w:p>
      <w:pPr>
        <w:spacing w:line="600" w:lineRule="exact"/>
        <w:ind w:firstLine="643" w:firstLineChars="200"/>
        <w:outlineLvl w:val="2"/>
        <w:rPr>
          <w:rFonts w:ascii="仿宋" w:hAnsi="仿宋" w:eastAsia="仿宋"/>
          <w:b/>
          <w:color w:val="000000"/>
          <w:sz w:val="32"/>
          <w:szCs w:val="32"/>
        </w:rPr>
      </w:pPr>
      <w:bookmarkStart w:id="49" w:name="_Toc15377210"/>
      <w:bookmarkStart w:id="50" w:name="_Toc57146366"/>
      <w:r>
        <w:rPr>
          <w:rFonts w:hint="eastAsia" w:ascii="仿宋" w:hAnsi="仿宋" w:eastAsia="仿宋"/>
          <w:b/>
          <w:color w:val="000000"/>
          <w:sz w:val="32"/>
          <w:szCs w:val="32"/>
        </w:rPr>
        <w:t>（一）一般公共预算财政拨款支出决算总体情况</w:t>
      </w:r>
      <w:bookmarkEnd w:id="49"/>
      <w:bookmarkEnd w:id="50"/>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2019年一般公共预算财政拨款支出2156.86万元，占本年支出合计的100%。与2018年相比，一般公共预算财政拨款增加34.65万元，增长1.6%。主要变动原因是项目增加。</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（图5：一般公共预算财政拨款支出决算变动情况）（柱状图）</w:t>
      </w:r>
    </w:p>
    <w:p>
      <w:pPr>
        <w:pStyle w:val="2"/>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63360" behindDoc="1" locked="0" layoutInCell="1" allowOverlap="1">
            <wp:simplePos x="0" y="0"/>
            <wp:positionH relativeFrom="column">
              <wp:posOffset>74295</wp:posOffset>
            </wp:positionH>
            <wp:positionV relativeFrom="paragraph">
              <wp:posOffset>26670</wp:posOffset>
            </wp:positionV>
            <wp:extent cx="4925060" cy="1779270"/>
            <wp:effectExtent l="19050" t="0" r="27940" b="0"/>
            <wp:wrapTight wrapText="bothSides">
              <wp:wrapPolygon>
                <wp:start x="-84" y="0"/>
                <wp:lineTo x="-84" y="21507"/>
                <wp:lineTo x="21723" y="21507"/>
                <wp:lineTo x="21723" y="0"/>
                <wp:lineTo x="-84"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ascii="仿宋" w:hAnsi="仿宋" w:eastAsia="仿宋"/>
          <w:color w:val="000000" w:themeColor="text1"/>
          <w:sz w:val="32"/>
          <w:szCs w:val="32"/>
        </w:rPr>
      </w:pPr>
    </w:p>
    <w:p>
      <w:pPr>
        <w:pStyle w:val="2"/>
        <w:rPr>
          <w:rFonts w:ascii="仿宋" w:hAnsi="仿宋" w:eastAsia="仿宋"/>
          <w:color w:val="000000" w:themeColor="text1"/>
          <w:sz w:val="32"/>
          <w:szCs w:val="32"/>
        </w:rPr>
      </w:pPr>
    </w:p>
    <w:p>
      <w:pPr>
        <w:pStyle w:val="2"/>
        <w:rPr>
          <w:rFonts w:ascii="仿宋" w:hAnsi="仿宋" w:eastAsia="仿宋"/>
          <w:color w:val="000000" w:themeColor="text1"/>
          <w:sz w:val="32"/>
          <w:szCs w:val="32"/>
        </w:rPr>
      </w:pPr>
    </w:p>
    <w:p>
      <w:pPr>
        <w:pStyle w:val="2"/>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51" w:name="_Toc15377211"/>
      <w:bookmarkStart w:id="52" w:name="_Toc57146367"/>
      <w:r>
        <w:rPr>
          <w:rFonts w:hint="eastAsia" w:ascii="仿宋" w:hAnsi="仿宋" w:eastAsia="仿宋"/>
          <w:b/>
          <w:color w:val="000000"/>
          <w:sz w:val="32"/>
          <w:szCs w:val="32"/>
        </w:rPr>
        <w:t>（二）一般公共预算财政拨款支出决算结构情况</w:t>
      </w:r>
      <w:bookmarkEnd w:id="51"/>
      <w:bookmarkEnd w:id="52"/>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一般公共预算财政拨款支出2156.86万元，主要用于以下方面:一般公共服务（类）支出605.79万元，占28%；教育支出（类）0万元，占0%；科学技术（类）支出0万元，占0%；文化旅游体育与传媒（类）支出0万元，占0%；社会保障和就业（类）支出158.42万元，占7.34%；卫生健康支出39.83万元，占1.85%；住房保障支出0万元，占0%。</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（图6：一般公共预算财政拨款支出决算结构）（饼状图）</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1" locked="0" layoutInCell="1" allowOverlap="1">
            <wp:simplePos x="0" y="0"/>
            <wp:positionH relativeFrom="column">
              <wp:posOffset>387985</wp:posOffset>
            </wp:positionH>
            <wp:positionV relativeFrom="paragraph">
              <wp:posOffset>189230</wp:posOffset>
            </wp:positionV>
            <wp:extent cx="4496435" cy="2857500"/>
            <wp:effectExtent l="5080" t="4445" r="51435" b="71755"/>
            <wp:wrapTight wrapText="bothSides">
              <wp:wrapPolygon>
                <wp:start x="-24" y="-34"/>
                <wp:lineTo x="-24" y="21566"/>
                <wp:lineTo x="21573" y="21566"/>
                <wp:lineTo x="21573" y="-34"/>
                <wp:lineTo x="-24" y="-34"/>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仿宋" w:hAnsi="仿宋" w:eastAsia="仿宋"/>
          <w:b/>
          <w:color w:val="000000"/>
          <w:sz w:val="32"/>
          <w:szCs w:val="32"/>
        </w:rPr>
      </w:pPr>
      <w:bookmarkStart w:id="53" w:name="_Toc15377212"/>
      <w:bookmarkStart w:id="54" w:name="_Toc57146368"/>
      <w:r>
        <w:rPr>
          <w:rFonts w:hint="eastAsia" w:ascii="仿宋" w:hAnsi="仿宋" w:eastAsia="仿宋"/>
          <w:b/>
          <w:color w:val="000000"/>
          <w:sz w:val="32"/>
          <w:szCs w:val="32"/>
        </w:rPr>
        <w:t>（三）一般公共预算财政拨款支出决算具体情况</w:t>
      </w:r>
      <w:bookmarkEnd w:id="53"/>
      <w:bookmarkEnd w:id="54"/>
    </w:p>
    <w:p>
      <w:pPr>
        <w:spacing w:line="600" w:lineRule="exact"/>
        <w:ind w:firstLine="643" w:firstLineChars="200"/>
        <w:outlineLvl w:val="2"/>
        <w:rPr>
          <w:rFonts w:ascii="仿宋" w:hAnsi="仿宋" w:eastAsia="仿宋"/>
          <w:color w:val="FF0000"/>
          <w:sz w:val="32"/>
          <w:szCs w:val="32"/>
        </w:rPr>
      </w:pPr>
      <w:bookmarkStart w:id="55" w:name="_Toc15377444"/>
      <w:bookmarkStart w:id="56" w:name="_Toc15378460"/>
      <w:bookmarkStart w:id="57" w:name="_Toc57146369"/>
      <w:bookmarkStart w:id="58" w:name="_Toc15377213"/>
      <w:r>
        <w:rPr>
          <w:rFonts w:hint="eastAsia" w:ascii="仿宋" w:hAnsi="仿宋" w:eastAsia="仿宋"/>
          <w:b/>
          <w:color w:val="000000" w:themeColor="text1"/>
          <w:sz w:val="32"/>
          <w:szCs w:val="32"/>
        </w:rPr>
        <w:t>2019年一般公共预算支出决算数为2158.39</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55"/>
      <w:bookmarkEnd w:id="56"/>
      <w:bookmarkEnd w:id="57"/>
      <w:bookmarkEnd w:id="58"/>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1.一般公共服务（类）</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2010101-行政运行支出：13.97万元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2010104- 人大会议:3.47万元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2010108-代表工作：2.4万元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2010301-行政运行：360.84万元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2010302-一般行政管理事务：13.18万元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2010350-事业运行：86.88万元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2010601-行政运行：52.36万元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2013101-行政运行：74.21万元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支出决算为607.31万元，完成预算100%，决算数等于预算数。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文化旅游体育与传媒（类）</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2070199-  其他文化和旅游支出：7.7万元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支出决算为7.7万元，完成预算100%，决算数等于预算数。</w:t>
      </w:r>
    </w:p>
    <w:p>
      <w:pPr>
        <w:spacing w:line="600" w:lineRule="exact"/>
        <w:ind w:left="672"/>
        <w:rPr>
          <w:rStyle w:val="14"/>
          <w:rFonts w:ascii="仿宋" w:hAnsi="仿宋" w:eastAsia="仿宋"/>
          <w:b w:val="0"/>
          <w:bCs/>
          <w:color w:val="000000"/>
          <w:sz w:val="32"/>
          <w:szCs w:val="32"/>
        </w:rPr>
      </w:pPr>
      <w:r>
        <w:rPr>
          <w:rStyle w:val="14"/>
          <w:rFonts w:hint="eastAsia" w:ascii="仿宋" w:hAnsi="仿宋" w:eastAsia="仿宋"/>
          <w:bCs/>
          <w:color w:val="000000"/>
          <w:sz w:val="32"/>
          <w:szCs w:val="32"/>
        </w:rPr>
        <w:t>3.社会保障和就业（类）</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2080208-基层政权和社区建设：66.29万元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2080505-机关事业单位基本养老保险缴费支出：61.25万元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2080506-机关事业单位职业年金缴费支出：28.26万元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2082102-农村特困人员救助供养支出：2.63万元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支出决算为158.43万元，完成预算100%，决算数等于预算数。</w:t>
      </w:r>
    </w:p>
    <w:p>
      <w:pPr>
        <w:spacing w:line="600" w:lineRule="exact"/>
        <w:ind w:left="672"/>
        <w:rPr>
          <w:rStyle w:val="14"/>
          <w:rFonts w:ascii="仿宋" w:hAnsi="仿宋" w:eastAsia="仿宋"/>
          <w:b w:val="0"/>
          <w:bCs/>
          <w:color w:val="000000"/>
          <w:sz w:val="32"/>
          <w:szCs w:val="32"/>
        </w:rPr>
      </w:pPr>
      <w:r>
        <w:rPr>
          <w:rFonts w:hint="eastAsia" w:ascii="仿宋" w:hAnsi="仿宋" w:eastAsia="仿宋"/>
          <w:b/>
          <w:bCs/>
          <w:color w:val="000000" w:themeColor="text1"/>
          <w:sz w:val="32"/>
          <w:szCs w:val="32"/>
        </w:rPr>
        <w:t>4.卫生健康</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2100409-重大公共卫生专项:3万元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2101101-行政单位医疗：29.92万元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2101103-公务员医疗补助：6.21万元</w:t>
      </w:r>
    </w:p>
    <w:p>
      <w:pPr>
        <w:spacing w:line="576"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支出决算为39.83万元，完成预算100%，决算数等于预算数。</w:t>
      </w:r>
    </w:p>
    <w:p>
      <w:pPr>
        <w:pStyle w:val="2"/>
        <w:ind w:left="672"/>
      </w:pPr>
    </w:p>
    <w:p>
      <w:pPr>
        <w:spacing w:line="600" w:lineRule="exact"/>
        <w:ind w:left="672"/>
        <w:rPr>
          <w:rFonts w:ascii="仿宋" w:hAnsi="仿宋" w:eastAsia="仿宋"/>
          <w:b/>
          <w:bCs/>
          <w:color w:val="000000" w:themeColor="text1"/>
          <w:sz w:val="32"/>
          <w:szCs w:val="32"/>
        </w:rPr>
      </w:pPr>
      <w:r>
        <w:rPr>
          <w:rFonts w:hint="eastAsia" w:ascii="仿宋" w:hAnsi="仿宋" w:eastAsia="仿宋"/>
          <w:b/>
          <w:bCs/>
          <w:color w:val="000000" w:themeColor="text1"/>
          <w:sz w:val="32"/>
          <w:szCs w:val="32"/>
        </w:rPr>
        <w:t>5.文化旅游体育与传媒支出（类）</w:t>
      </w:r>
    </w:p>
    <w:p>
      <w:pPr>
        <w:spacing w:line="600" w:lineRule="exact"/>
        <w:ind w:left="672"/>
        <w:rPr>
          <w:rFonts w:ascii="仿宋" w:hAnsi="仿宋" w:eastAsia="仿宋"/>
          <w:color w:val="000000" w:themeColor="text1"/>
          <w:sz w:val="32"/>
          <w:szCs w:val="32"/>
        </w:rPr>
      </w:pPr>
      <w:r>
        <w:rPr>
          <w:rFonts w:hint="eastAsia" w:ascii="仿宋_GB2312" w:hAnsi="仿宋_GB2312" w:eastAsia="仿宋_GB2312" w:cs="仿宋_GB2312"/>
          <w:sz w:val="32"/>
          <w:szCs w:val="32"/>
          <w:shd w:val="clear" w:color="auto" w:fill="FFFFFF"/>
        </w:rPr>
        <w:t>2070199-其他文化和旅游支出：4.8万元</w:t>
      </w:r>
    </w:p>
    <w:p>
      <w:pPr>
        <w:spacing w:line="600" w:lineRule="exact"/>
        <w:ind w:left="672"/>
        <w:rPr>
          <w:rFonts w:ascii="仿宋" w:hAnsi="仿宋" w:eastAsia="仿宋"/>
          <w:b/>
          <w:bCs/>
          <w:color w:val="000000" w:themeColor="text1"/>
          <w:sz w:val="32"/>
          <w:szCs w:val="32"/>
        </w:rPr>
      </w:pPr>
      <w:r>
        <w:rPr>
          <w:rFonts w:hint="eastAsia" w:ascii="仿宋" w:hAnsi="仿宋" w:eastAsia="仿宋"/>
          <w:b/>
          <w:bCs/>
          <w:color w:val="000000" w:themeColor="text1"/>
          <w:sz w:val="32"/>
          <w:szCs w:val="32"/>
        </w:rPr>
        <w:t>6.城乡社区支出（类）</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2120501-城乡社区环境卫生：14.88万元</w:t>
      </w:r>
    </w:p>
    <w:p>
      <w:pPr>
        <w:pStyle w:val="2"/>
        <w:ind w:left="672"/>
        <w:rPr>
          <w:rFonts w:ascii="仿宋" w:hAnsi="仿宋" w:eastAsia="仿宋"/>
          <w:b/>
          <w:bCs/>
          <w:color w:val="000000" w:themeColor="text1"/>
          <w:kern w:val="2"/>
          <w:sz w:val="32"/>
          <w:szCs w:val="32"/>
        </w:rPr>
      </w:pPr>
      <w:r>
        <w:rPr>
          <w:rFonts w:hint="eastAsia" w:ascii="仿宋" w:hAnsi="仿宋" w:eastAsia="仿宋"/>
          <w:b/>
          <w:bCs/>
          <w:color w:val="000000" w:themeColor="text1"/>
          <w:kern w:val="2"/>
          <w:sz w:val="32"/>
          <w:szCs w:val="32"/>
        </w:rPr>
        <w:t>7.</w:t>
      </w:r>
      <w:r>
        <w:rPr>
          <w:rFonts w:ascii="仿宋" w:hAnsi="仿宋" w:eastAsia="仿宋"/>
          <w:b/>
          <w:bCs/>
          <w:color w:val="000000" w:themeColor="text1"/>
          <w:kern w:val="2"/>
          <w:sz w:val="32"/>
          <w:szCs w:val="32"/>
        </w:rPr>
        <w:t>农林水支出</w:t>
      </w:r>
      <w:r>
        <w:rPr>
          <w:rFonts w:hint="eastAsia" w:ascii="仿宋" w:hAnsi="仿宋" w:eastAsia="仿宋"/>
          <w:b/>
          <w:bCs/>
          <w:color w:val="000000" w:themeColor="text1"/>
          <w:kern w:val="2"/>
          <w:sz w:val="32"/>
          <w:szCs w:val="32"/>
        </w:rPr>
        <w:t>（类）</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2130125-农产品加工与促销:3.90万元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2130199-其他农业支出</w:t>
      </w:r>
      <w:r>
        <w:rPr>
          <w:rFonts w:hint="eastAsia" w:ascii="仿宋_GB2312" w:hAnsi="仿宋_GB2312" w:eastAsia="仿宋_GB2312" w:cs="仿宋_GB2312"/>
          <w:kern w:val="2"/>
          <w:sz w:val="32"/>
          <w:szCs w:val="32"/>
          <w:shd w:val="clear" w:color="auto" w:fill="FFFFFF"/>
        </w:rPr>
        <w:tab/>
      </w:r>
      <w:r>
        <w:rPr>
          <w:rFonts w:hint="eastAsia" w:ascii="仿宋_GB2312" w:hAnsi="仿宋_GB2312" w:eastAsia="仿宋_GB2312" w:cs="仿宋_GB2312"/>
          <w:kern w:val="2"/>
          <w:sz w:val="32"/>
          <w:szCs w:val="32"/>
          <w:shd w:val="clear" w:color="auto" w:fill="FFFFFF"/>
        </w:rPr>
        <w:t>：20.80万元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2130504-农村基础设施建设：618.54万元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2130505-生产发展：200.96万元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2130599-其他扶贫支出</w:t>
      </w:r>
      <w:r>
        <w:rPr>
          <w:rFonts w:hint="eastAsia" w:ascii="仿宋_GB2312" w:hAnsi="仿宋_GB2312" w:eastAsia="仿宋_GB2312" w:cs="仿宋_GB2312"/>
          <w:kern w:val="2"/>
          <w:sz w:val="32"/>
          <w:szCs w:val="32"/>
          <w:shd w:val="clear" w:color="auto" w:fill="FFFFFF"/>
        </w:rPr>
        <w:tab/>
      </w:r>
      <w:r>
        <w:rPr>
          <w:rFonts w:hint="eastAsia" w:ascii="仿宋_GB2312" w:hAnsi="仿宋_GB2312" w:eastAsia="仿宋_GB2312" w:cs="仿宋_GB2312"/>
          <w:kern w:val="2"/>
          <w:sz w:val="32"/>
          <w:szCs w:val="32"/>
          <w:shd w:val="clear" w:color="auto" w:fill="FFFFFF"/>
        </w:rPr>
        <w:t>：4.00万元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2130705-对村民委员会和村党支部的补助：172.13万元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2139999-其他农林水支出：0.50万元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支出决算为1020.83万元，完成预算100%，决算数等于预算数。</w:t>
      </w:r>
    </w:p>
    <w:p>
      <w:pPr>
        <w:pStyle w:val="2"/>
        <w:ind w:left="672"/>
      </w:pPr>
      <w:r>
        <w:rPr>
          <w:rFonts w:hint="eastAsia" w:ascii="仿宋" w:hAnsi="仿宋" w:eastAsia="仿宋"/>
          <w:b/>
          <w:bCs/>
          <w:color w:val="000000" w:themeColor="text1"/>
          <w:kern w:val="2"/>
          <w:sz w:val="32"/>
          <w:szCs w:val="32"/>
        </w:rPr>
        <w:t>8.住房保障支出（类）</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2210105-农村危房改造：5.00万元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2210201-住房公积金：58.63万元</w:t>
      </w:r>
    </w:p>
    <w:p>
      <w:pPr>
        <w:pStyle w:val="2"/>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支出决算为63.63万元，完成预算100%，决算数等于预算数。</w:t>
      </w:r>
    </w:p>
    <w:p>
      <w:pPr>
        <w:tabs>
          <w:tab w:val="right" w:pos="8306"/>
        </w:tabs>
        <w:spacing w:line="600" w:lineRule="exact"/>
        <w:ind w:firstLine="640"/>
        <w:outlineLvl w:val="1"/>
        <w:rPr>
          <w:rStyle w:val="25"/>
        </w:rPr>
      </w:pPr>
      <w:bookmarkStart w:id="59" w:name="_Toc15396608"/>
      <w:bookmarkStart w:id="60" w:name="_Toc15377214"/>
      <w:bookmarkStart w:id="61" w:name="_Toc57146370"/>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59"/>
      <w:bookmarkEnd w:id="60"/>
      <w:bookmarkEnd w:id="61"/>
      <w:r>
        <w:rPr>
          <w:rStyle w:val="25"/>
          <w:rFonts w:ascii="黑体" w:hAnsi="黑体" w:eastAsia="黑体"/>
          <w:b w:val="0"/>
        </w:rPr>
        <w:tab/>
      </w:r>
    </w:p>
    <w:p>
      <w:pPr>
        <w:pStyle w:val="2"/>
        <w:spacing w:line="576" w:lineRule="exact"/>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2019年一般公共预算财政拨款基本支出771.71万元，其中：</w:t>
      </w:r>
    </w:p>
    <w:p>
      <w:pPr>
        <w:pStyle w:val="2"/>
        <w:spacing w:line="576" w:lineRule="exact"/>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人员经费725.99万元，主要包括：基本工资130.56万元、津贴补贴282.05万元、奖金100.54万元、绩效工资8.37万元、机关事业单位基本养老保险缴费61.25万元、职业年金缴费28.26万元、其他社会保障缴费51.05万元、生活补助4.12万元、医疗费补助1.12万元、奖励金0.04万元、住房公积金58.63万元。</w:t>
      </w:r>
    </w:p>
    <w:p>
      <w:pPr>
        <w:pStyle w:val="2"/>
        <w:spacing w:line="576" w:lineRule="exact"/>
        <w:ind w:firstLine="640" w:firstLineChars="200"/>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日常公用经费45.73万元，主要包括：办公费13.57万元、印刷费8万元、水费0.8万元、电费3.6万元、邮电费3万元、差旅费4万元、培训费1.8万元、公务接待费0.6万元、劳务费2.5万元、公务用车运行维护费7万元、信息网络及软件购置更新0.86万元。</w:t>
      </w:r>
    </w:p>
    <w:p>
      <w:pPr>
        <w:spacing w:line="600" w:lineRule="exact"/>
        <w:ind w:firstLine="640"/>
        <w:outlineLvl w:val="1"/>
        <w:rPr>
          <w:rStyle w:val="25"/>
          <w:rFonts w:ascii="黑体" w:hAnsi="黑体" w:eastAsia="黑体"/>
          <w:b w:val="0"/>
        </w:rPr>
      </w:pPr>
      <w:bookmarkStart w:id="62" w:name="_Toc15396609"/>
      <w:bookmarkStart w:id="63" w:name="_Toc15377215"/>
      <w:bookmarkStart w:id="64" w:name="_Toc57146371"/>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2"/>
      <w:bookmarkEnd w:id="63"/>
      <w:bookmarkEnd w:id="64"/>
    </w:p>
    <w:p>
      <w:pPr>
        <w:spacing w:line="600" w:lineRule="exact"/>
        <w:ind w:firstLine="640"/>
        <w:outlineLvl w:val="2"/>
        <w:rPr>
          <w:rFonts w:ascii="仿宋" w:hAnsi="仿宋" w:eastAsia="仿宋"/>
          <w:b/>
          <w:color w:val="000000"/>
          <w:sz w:val="32"/>
          <w:szCs w:val="32"/>
        </w:rPr>
      </w:pPr>
      <w:bookmarkStart w:id="65" w:name="_Toc57146372"/>
      <w:bookmarkStart w:id="66" w:name="_Toc15377216"/>
      <w:r>
        <w:rPr>
          <w:rFonts w:hint="eastAsia" w:ascii="仿宋" w:hAnsi="仿宋" w:eastAsia="仿宋"/>
          <w:b/>
          <w:color w:val="000000"/>
          <w:sz w:val="32"/>
          <w:szCs w:val="32"/>
        </w:rPr>
        <w:t>（一）“三公”经费财政拨款支出决算总体情况说明</w:t>
      </w:r>
      <w:bookmarkEnd w:id="65"/>
      <w:bookmarkEnd w:id="66"/>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2019年“三公”经费财政拨款支出决算为7.6万元，完成预算100%，决算数与预算数持平。</w:t>
      </w:r>
    </w:p>
    <w:p>
      <w:pPr>
        <w:spacing w:line="600" w:lineRule="exact"/>
        <w:ind w:firstLine="640"/>
        <w:outlineLvl w:val="2"/>
        <w:rPr>
          <w:rFonts w:ascii="仿宋" w:hAnsi="仿宋" w:eastAsia="仿宋"/>
          <w:b/>
          <w:color w:val="000000"/>
          <w:sz w:val="32"/>
          <w:szCs w:val="32"/>
        </w:rPr>
      </w:pPr>
      <w:bookmarkStart w:id="67" w:name="_Toc15377217"/>
      <w:bookmarkStart w:id="68" w:name="_Toc57146373"/>
      <w:r>
        <w:rPr>
          <w:rFonts w:hint="eastAsia" w:ascii="仿宋" w:hAnsi="仿宋" w:eastAsia="仿宋"/>
          <w:b/>
          <w:color w:val="000000"/>
          <w:sz w:val="32"/>
          <w:szCs w:val="32"/>
        </w:rPr>
        <w:t>（二）“三公”经费财政拨款支出决算具体情况说明</w:t>
      </w:r>
      <w:bookmarkEnd w:id="67"/>
      <w:bookmarkEnd w:id="68"/>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2019年“三公”经费财政拨款支出决算中，因公出国（境）费支出决算0万元，占0%；公务用车购置及运行维护费支出决算7万元，占92%；公务接待费支出决算0.6万元，占7.89%。具体情况如下：</w:t>
      </w:r>
    </w:p>
    <w:p>
      <w:pPr>
        <w:pStyle w:val="2"/>
      </w:pPr>
      <w:r>
        <w:rPr>
          <w:rFonts w:hint="eastAsia" w:ascii="仿宋" w:hAnsi="仿宋" w:eastAsia="仿宋"/>
          <w:color w:val="000000"/>
          <w:sz w:val="32"/>
          <w:szCs w:val="32"/>
        </w:rPr>
        <w:drawing>
          <wp:anchor distT="0" distB="0" distL="114300" distR="114300" simplePos="0" relativeHeight="251665408" behindDoc="1" locked="0" layoutInCell="1" allowOverlap="1">
            <wp:simplePos x="0" y="0"/>
            <wp:positionH relativeFrom="column">
              <wp:posOffset>170815</wp:posOffset>
            </wp:positionH>
            <wp:positionV relativeFrom="paragraph">
              <wp:posOffset>114300</wp:posOffset>
            </wp:positionV>
            <wp:extent cx="4657090" cy="2202180"/>
            <wp:effectExtent l="5080" t="4445" r="5080" b="22225"/>
            <wp:wrapTight wrapText="bothSides">
              <wp:wrapPolygon>
                <wp:start x="-24" y="-44"/>
                <wp:lineTo x="-24" y="21444"/>
                <wp:lineTo x="21535" y="21444"/>
                <wp:lineTo x="21535" y="-44"/>
                <wp:lineTo x="-24" y="-44"/>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ascii="仿宋" w:hAnsi="仿宋" w:eastAsia="仿宋"/>
          <w:color w:val="000000"/>
          <w:sz w:val="32"/>
          <w:szCs w:val="32"/>
        </w:rPr>
      </w:pPr>
    </w:p>
    <w:p>
      <w:pPr>
        <w:pStyle w:val="2"/>
        <w:rPr>
          <w:rFonts w:ascii="仿宋" w:hAnsi="仿宋" w:eastAsia="仿宋"/>
          <w:color w:val="000000"/>
          <w:sz w:val="32"/>
          <w:szCs w:val="32"/>
        </w:rPr>
      </w:pPr>
    </w:p>
    <w:p>
      <w:pPr>
        <w:pStyle w:val="2"/>
        <w:rPr>
          <w:rFonts w:ascii="仿宋" w:hAnsi="仿宋" w:eastAsia="仿宋"/>
          <w:color w:val="000000"/>
          <w:sz w:val="32"/>
          <w:szCs w:val="32"/>
        </w:rPr>
      </w:pPr>
    </w:p>
    <w:p>
      <w:pPr>
        <w:pStyle w:val="2"/>
        <w:rPr>
          <w:rFonts w:ascii="仿宋" w:hAnsi="仿宋" w:eastAsia="仿宋"/>
          <w:color w:val="000000"/>
          <w:sz w:val="32"/>
          <w:szCs w:val="32"/>
        </w:rPr>
      </w:pPr>
    </w:p>
    <w:p>
      <w:pPr>
        <w:pStyle w:val="2"/>
        <w:rPr>
          <w:rFonts w:ascii="仿宋" w:hAnsi="仿宋" w:eastAsia="仿宋"/>
          <w:color w:val="000000"/>
          <w:sz w:val="32"/>
          <w:szCs w:val="32"/>
        </w:rPr>
      </w:pPr>
    </w:p>
    <w:p>
      <w:pPr>
        <w:pStyle w:val="2"/>
        <w:rPr>
          <w:rFonts w:ascii="仿宋" w:hAnsi="仿宋" w:eastAsia="仿宋"/>
          <w:color w:val="000000"/>
          <w:sz w:val="32"/>
          <w:szCs w:val="32"/>
        </w:rPr>
      </w:pP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p>
    <w:p>
      <w:pPr>
        <w:spacing w:line="600" w:lineRule="exact"/>
        <w:ind w:firstLine="640"/>
        <w:rPr>
          <w:rFonts w:ascii="仿宋_GB2312" w:hAnsi="仿宋_GB2312" w:eastAsia="仿宋_GB2312" w:cs="仿宋_GB2312"/>
          <w:sz w:val="32"/>
          <w:szCs w:val="32"/>
          <w:shd w:val="clear" w:color="auto" w:fill="FFFFFF"/>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hAnsi="仿宋_GB2312" w:eastAsia="仿宋_GB2312" w:cs="仿宋_GB2312"/>
          <w:sz w:val="32"/>
          <w:szCs w:val="32"/>
          <w:shd w:val="clear" w:color="auto" w:fill="FFFFFF"/>
        </w:rPr>
        <w:t>7万元,完成预算100%。公务用车购置及运行维护费支出决算比2018年减少0.62万元，下降8.86%。主要原因是厉行节约。</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7万元。主要用于下村、出差等所需的公务用车燃料费、维修费、过路过桥费、保险费等支出。</w:t>
      </w:r>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eastAsia="仿宋_GB2312"/>
          <w:b/>
          <w:color w:val="000000"/>
          <w:sz w:val="32"/>
          <w:szCs w:val="32"/>
        </w:rPr>
        <w:t>3.公务接待费支出</w:t>
      </w:r>
      <w:r>
        <w:rPr>
          <w:rFonts w:hint="eastAsia" w:ascii="仿宋_GB2312" w:hAnsi="仿宋_GB2312" w:eastAsia="仿宋_GB2312" w:cs="仿宋_GB2312"/>
          <w:sz w:val="32"/>
          <w:szCs w:val="32"/>
          <w:shd w:val="clear" w:color="auto" w:fill="FFFFFF"/>
        </w:rPr>
        <w:t>0.6万元，完成预算100%。公务接待费支出决算比2018年增加0.01万元，增长1.67%。主要原因是接待增加。</w:t>
      </w:r>
    </w:p>
    <w:p>
      <w:pPr>
        <w:spacing w:line="600" w:lineRule="exact"/>
        <w:ind w:firstLine="640"/>
        <w:rPr>
          <w:rFonts w:ascii="仿宋_GB2312" w:hAnsi="仿宋_GB2312" w:eastAsia="仿宋_GB2312" w:cs="仿宋_GB2312"/>
          <w:sz w:val="32"/>
          <w:szCs w:val="32"/>
          <w:shd w:val="clear" w:color="auto" w:fill="FFFFFF"/>
        </w:rPr>
      </w:pPr>
      <w:bookmarkStart w:id="69" w:name="_Toc15396610"/>
      <w:bookmarkStart w:id="70" w:name="_Toc15377218"/>
      <w:r>
        <w:rPr>
          <w:rFonts w:hint="eastAsia" w:ascii="仿宋_GB2312" w:hAnsi="仿宋_GB2312" w:eastAsia="仿宋_GB2312" w:cs="仿宋_GB2312"/>
          <w:sz w:val="32"/>
          <w:szCs w:val="32"/>
          <w:shd w:val="clear" w:color="auto" w:fill="FFFFFF"/>
        </w:rPr>
        <w:t>主要用于执行公务、开展业务活动开支的交通费、住宿费、用餐费等。国内公务接待10次，49人次（不包括陪同人员），共计支出0.6万元，具体内容包括：脱贫攻坚交叉检查。</w:t>
      </w:r>
    </w:p>
    <w:p>
      <w:pPr>
        <w:spacing w:line="600" w:lineRule="exact"/>
        <w:ind w:firstLine="640"/>
        <w:outlineLvl w:val="1"/>
        <w:rPr>
          <w:rStyle w:val="25"/>
          <w:rFonts w:ascii="黑体" w:hAnsi="黑体" w:eastAsia="黑体"/>
        </w:rPr>
      </w:pPr>
      <w:bookmarkStart w:id="71" w:name="_Toc57146374"/>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69"/>
      <w:bookmarkEnd w:id="70"/>
      <w:bookmarkEnd w:id="71"/>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2019年政府性基金预算拨款支出0万元。</w:t>
      </w:r>
    </w:p>
    <w:p>
      <w:pPr>
        <w:numPr>
          <w:ilvl w:val="0"/>
          <w:numId w:val="2"/>
        </w:numPr>
        <w:spacing w:line="600" w:lineRule="exact"/>
        <w:ind w:firstLine="640"/>
        <w:outlineLvl w:val="1"/>
        <w:rPr>
          <w:rStyle w:val="25"/>
          <w:rFonts w:ascii="黑体" w:hAnsi="黑体" w:eastAsia="黑体"/>
          <w:b w:val="0"/>
        </w:rPr>
      </w:pPr>
      <w:bookmarkStart w:id="72" w:name="_Toc57146375"/>
      <w:bookmarkStart w:id="73" w:name="_Toc15377219"/>
      <w:bookmarkStart w:id="74" w:name="_Toc15396611"/>
      <w:r>
        <w:rPr>
          <w:rStyle w:val="25"/>
          <w:rFonts w:hint="eastAsia" w:ascii="黑体" w:hAnsi="黑体" w:eastAsia="黑体"/>
          <w:b w:val="0"/>
        </w:rPr>
        <w:t>国有资本经营预算支出决算情况说明</w:t>
      </w:r>
      <w:bookmarkEnd w:id="72"/>
      <w:bookmarkEnd w:id="73"/>
      <w:bookmarkEnd w:id="74"/>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2019年国有资本经营预算拨款支出0万元。</w:t>
      </w:r>
    </w:p>
    <w:p>
      <w:pPr>
        <w:spacing w:line="600" w:lineRule="exact"/>
        <w:ind w:firstLine="800" w:firstLineChars="250"/>
        <w:outlineLvl w:val="1"/>
        <w:rPr>
          <w:rStyle w:val="25"/>
          <w:rFonts w:ascii="黑体" w:hAnsi="黑体" w:eastAsia="黑体"/>
        </w:rPr>
      </w:pPr>
      <w:bookmarkStart w:id="75" w:name="_Toc15396612"/>
      <w:bookmarkStart w:id="76" w:name="_Toc15377221"/>
      <w:bookmarkStart w:id="77" w:name="_Toc57146376"/>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75"/>
      <w:bookmarkEnd w:id="76"/>
      <w:bookmarkEnd w:id="77"/>
    </w:p>
    <w:p>
      <w:pPr>
        <w:spacing w:line="600" w:lineRule="exact"/>
        <w:ind w:firstLine="643" w:firstLineChars="200"/>
        <w:outlineLvl w:val="2"/>
        <w:rPr>
          <w:rFonts w:ascii="仿宋" w:hAnsi="仿宋" w:eastAsia="仿宋"/>
          <w:color w:val="000000"/>
          <w:sz w:val="32"/>
          <w:szCs w:val="32"/>
        </w:rPr>
      </w:pPr>
      <w:bookmarkStart w:id="78" w:name="_Toc57146377"/>
      <w:bookmarkStart w:id="79" w:name="_Toc15377222"/>
      <w:r>
        <w:rPr>
          <w:rFonts w:hint="eastAsia" w:ascii="仿宋" w:hAnsi="仿宋" w:eastAsia="仿宋"/>
          <w:b/>
          <w:color w:val="000000"/>
          <w:sz w:val="32"/>
          <w:szCs w:val="32"/>
        </w:rPr>
        <w:t>（一）机关运行经费支出情况</w:t>
      </w:r>
      <w:bookmarkEnd w:id="78"/>
      <w:bookmarkEnd w:id="79"/>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2019年，机关运行经费支出7万元，比2018年增加0.01万元，增长1.67%。主要原因是今年为脱贫攻坚收官之年，公务用车时间增加，导致公务用车维修维护费用增加。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0" w:name="_Toc57146378"/>
      <w:bookmarkStart w:id="81" w:name="_Toc15377223"/>
      <w:r>
        <w:rPr>
          <w:rFonts w:hint="eastAsia" w:ascii="仿宋" w:hAnsi="仿宋" w:eastAsia="仿宋"/>
          <w:b/>
          <w:color w:val="000000"/>
          <w:sz w:val="32"/>
          <w:szCs w:val="32"/>
        </w:rPr>
        <w:t>（二）政府采购支出情况</w:t>
      </w:r>
      <w:bookmarkEnd w:id="80"/>
      <w:bookmarkEnd w:id="81"/>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2019年政府采购支出总额0万元。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2" w:name="_Toc15377224"/>
      <w:bookmarkStart w:id="83" w:name="_Toc57146379"/>
      <w:r>
        <w:rPr>
          <w:rFonts w:hint="eastAsia" w:ascii="仿宋" w:hAnsi="仿宋" w:eastAsia="仿宋"/>
          <w:b/>
          <w:color w:val="000000"/>
          <w:sz w:val="32"/>
          <w:szCs w:val="32"/>
        </w:rPr>
        <w:t>（三）国有资产占有使用情况</w:t>
      </w:r>
      <w:bookmarkEnd w:id="82"/>
      <w:bookmarkEnd w:id="83"/>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截至2019年12月31日，邛溪镇共有车辆2辆，其中：主要领导干部用车0辆、一般公务用车2辆，主要是用于日常出差、下村开展工作等方面使用。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4" w:name="_Toc57146380"/>
      <w:r>
        <w:rPr>
          <w:rFonts w:hint="eastAsia" w:ascii="仿宋" w:hAnsi="仿宋" w:eastAsia="仿宋"/>
          <w:b/>
          <w:color w:val="000000"/>
          <w:sz w:val="32"/>
          <w:szCs w:val="32"/>
        </w:rPr>
        <w:t>（四）预算绩效管理情况。</w:t>
      </w:r>
      <w:bookmarkEnd w:id="84"/>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根据预算绩效管理要求，本部门在年初预算编制阶段，组织对麻色阳德村产业发展项目、邛溪镇玛萨村易地扶贫搬迁定居点排水沟建设项目、邛溪镇达格龙村浴室改扩建项目、四川省红原县以工代赈示范工程、热坤村村自驾游营地建设，开展了预算事前绩效评估，对5个项目编制了绩效目标，预算执行过程中，选取5个项目开展绩效监控，年终执行完毕后，对5个项目开展了绩效目标完成情况自评。</w:t>
      </w:r>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本部门按要求对2019年部门整体支出开展绩效自评，从评价情况来看完成效果较好。本部门还自行组织了1个项目支出绩效评价，从评价情况来看完成情况较好。</w:t>
      </w:r>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1.项目绩效目标完成情况。</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xml:space="preserve">    本部门在2019年度部门决算中反映“麻色阳德村产业发展项目”、 “邛溪镇玛萨村易地扶贫搬迁定居点排水沟建设项目”、 “邛溪镇达格龙村浴室改扩建项目”、 “四川省红原县以工代赈示范工程”、 “热坤村村自驾游营地建设”等5个项目绩效目标实际完成情况。</w:t>
      </w:r>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麻色阳德村产业发展项目绩效目标完成情况综述。项目全年预算数110万元，执行数为110万元，完成预算的97%。通过项目实施，购买红原县城境内商铺，促进麻色阳德村牧民群众的生活用品购买的便捷，提高幸福感。将在2024年拨付质量保证金。</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03"/>
        <w:gridCol w:w="2079"/>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麻色阳德村产业发展项目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红原县邛溪镇人民政府</w:t>
            </w: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110万元</w:t>
            </w:r>
          </w:p>
        </w:tc>
      </w:tr>
      <w:tr>
        <w:tblPrEx>
          <w:tblCellMar>
            <w:top w:w="0" w:type="dxa"/>
            <w:left w:w="0" w:type="dxa"/>
            <w:bottom w:w="0" w:type="dxa"/>
            <w:right w:w="0" w:type="dxa"/>
          </w:tblCellMar>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110万元</w:t>
            </w:r>
          </w:p>
        </w:tc>
      </w:tr>
      <w:tr>
        <w:tblPrEx>
          <w:tblCellMar>
            <w:top w:w="0" w:type="dxa"/>
            <w:left w:w="0" w:type="dxa"/>
            <w:bottom w:w="0" w:type="dxa"/>
            <w:right w:w="0" w:type="dxa"/>
          </w:tblCellMar>
        </w:tblPrEx>
        <w:trPr>
          <w:trHeight w:val="870"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5"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该项目总投资110万元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已在红原县城境内购买商铺</w:t>
            </w:r>
          </w:p>
        </w:tc>
      </w:tr>
    </w:tbl>
    <w:tbl>
      <w:tblPr>
        <w:tblStyle w:val="12"/>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color w:val="000000"/>
                <w:kern w:val="0"/>
                <w:sz w:val="20"/>
                <w:szCs w:val="20"/>
              </w:rPr>
            </w:pPr>
            <w:r>
              <w:rPr>
                <w:rFonts w:hint="eastAsia" w:ascii="宋体" w:hAnsi="宋体" w:cs="宋体"/>
                <w:color w:val="000000"/>
                <w:kern w:val="0"/>
                <w:sz w:val="20"/>
                <w:szCs w:val="20"/>
              </w:rPr>
              <w:t>商铺</w:t>
            </w:r>
            <w:r>
              <w:rPr>
                <w:rFonts w:ascii="宋体" w:hAnsi="宋体" w:cs="宋体"/>
                <w:color w:val="000000"/>
                <w:kern w:val="0"/>
                <w:sz w:val="20"/>
                <w:szCs w:val="20"/>
              </w:rPr>
              <w:t>的到来，不仅节约了走出去的时间，更是给</w:t>
            </w:r>
            <w:r>
              <w:rPr>
                <w:rFonts w:hint="eastAsia" w:ascii="宋体" w:hAnsi="宋体" w:cs="宋体"/>
                <w:color w:val="000000"/>
                <w:kern w:val="0"/>
                <w:sz w:val="20"/>
                <w:szCs w:val="20"/>
              </w:rPr>
              <w:t>村民</w:t>
            </w:r>
            <w:r>
              <w:rPr>
                <w:rFonts w:ascii="宋体" w:hAnsi="宋体" w:cs="宋体"/>
                <w:color w:val="000000"/>
                <w:kern w:val="0"/>
                <w:sz w:val="20"/>
                <w:szCs w:val="20"/>
              </w:rPr>
              <w:t>带来了一份安全保障。</w:t>
            </w:r>
            <w:r>
              <w:rPr>
                <w:rFonts w:hint="eastAsia" w:ascii="宋体" w:hAnsi="宋体" w:cs="宋体"/>
                <w:color w:val="000000"/>
                <w:kern w:val="0"/>
                <w:sz w:val="20"/>
                <w:szCs w:val="20"/>
              </w:rPr>
              <w:t>激活了</w:t>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color w:val="000000"/>
                <w:kern w:val="0"/>
                <w:sz w:val="20"/>
                <w:szCs w:val="20"/>
              </w:rPr>
            </w:pPr>
            <w:r>
              <w:rPr>
                <w:rFonts w:hint="eastAsia" w:ascii="宋体" w:hAnsi="宋体" w:cs="宋体"/>
                <w:color w:val="000000"/>
                <w:kern w:val="0"/>
                <w:sz w:val="20"/>
                <w:szCs w:val="20"/>
              </w:rPr>
              <w:t>村级集体经济各类发展要素，不断拓宽村级集体经济收入来源渠道，提升自我发展和可持续发展能力，实现村集体经济多元化发展。</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商铺</w:t>
            </w:r>
            <w:r>
              <w:rPr>
                <w:rFonts w:ascii="宋体" w:hAnsi="宋体" w:cs="宋体"/>
                <w:color w:val="000000"/>
                <w:kern w:val="0"/>
                <w:sz w:val="20"/>
                <w:szCs w:val="20"/>
              </w:rPr>
              <w:t>的到来，不仅节约了走出去的时间，更是给</w:t>
            </w:r>
            <w:r>
              <w:rPr>
                <w:rFonts w:hint="eastAsia" w:ascii="宋体" w:hAnsi="宋体" w:cs="宋体"/>
                <w:color w:val="000000"/>
                <w:kern w:val="0"/>
                <w:sz w:val="20"/>
                <w:szCs w:val="20"/>
              </w:rPr>
              <w:t>村民</w:t>
            </w:r>
            <w:r>
              <w:rPr>
                <w:rFonts w:ascii="宋体" w:hAnsi="宋体" w:cs="宋体"/>
                <w:color w:val="000000"/>
                <w:kern w:val="0"/>
                <w:sz w:val="20"/>
                <w:szCs w:val="20"/>
              </w:rPr>
              <w:t>带来了一份安全保障。</w:t>
            </w:r>
            <w:r>
              <w:rPr>
                <w:rFonts w:hint="eastAsia" w:ascii="宋体" w:hAnsi="宋体" w:cs="宋体"/>
                <w:color w:val="000000"/>
                <w:kern w:val="0"/>
                <w:sz w:val="20"/>
                <w:szCs w:val="20"/>
              </w:rPr>
              <w:t>激活了</w:t>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村级集体经济各类发展要素，不断拓宽村级集体经济收入来源渠道，提升自我发展和可持续发展能力，实现村集体经济多元化发展。</w:t>
            </w:r>
          </w:p>
        </w:tc>
      </w:tr>
      <w:tr>
        <w:tblPrEx>
          <w:tblCellMar>
            <w:top w:w="15" w:type="dxa"/>
            <w:left w:w="15" w:type="dxa"/>
            <w:bottom w:w="15" w:type="dxa"/>
            <w:right w:w="15" w:type="dxa"/>
          </w:tblCellMar>
        </w:tblPrEx>
        <w:trPr>
          <w:trHeight w:val="75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商铺</w:t>
            </w:r>
            <w:r>
              <w:rPr>
                <w:rFonts w:ascii="宋体" w:hAnsi="宋体" w:cs="宋体"/>
                <w:color w:val="000000"/>
                <w:kern w:val="0"/>
                <w:sz w:val="20"/>
                <w:szCs w:val="20"/>
              </w:rPr>
              <w:t>的到来，不仅节约了走出去的时间，更是给</w:t>
            </w:r>
            <w:r>
              <w:rPr>
                <w:rFonts w:hint="eastAsia" w:ascii="宋体" w:hAnsi="宋体" w:cs="宋体"/>
                <w:color w:val="000000"/>
                <w:kern w:val="0"/>
                <w:sz w:val="20"/>
                <w:szCs w:val="20"/>
              </w:rPr>
              <w:t>村民</w:t>
            </w:r>
            <w:r>
              <w:rPr>
                <w:rFonts w:ascii="宋体" w:hAnsi="宋体" w:cs="宋体"/>
                <w:color w:val="000000"/>
                <w:kern w:val="0"/>
                <w:sz w:val="20"/>
                <w:szCs w:val="20"/>
              </w:rPr>
              <w:t>带来了一份安全保障。</w:t>
            </w:r>
            <w:r>
              <w:rPr>
                <w:rFonts w:hint="eastAsia" w:ascii="宋体" w:hAnsi="宋体" w:cs="宋体"/>
                <w:color w:val="000000"/>
                <w:kern w:val="0"/>
                <w:sz w:val="20"/>
                <w:szCs w:val="20"/>
              </w:rPr>
              <w:t>激活了</w:t>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村级集体经济各类发展要素，不断拓宽村级集体经济收入来源渠道，提升自我发展和可持续发展能力，实现村集体经济多元化发展。</w:t>
            </w: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邛溪镇玛萨村易地扶贫搬迁定居点排水沟建设项目绩效目标完成情况综述。项目全年预算数45万元，执行数为45万元，完成预算的100%。通过新建易地扶贫搬迁定居点排水沟新建安置点排水沟1000米；新建安置点排水管1800米的项目实施，通过改善安置区的生产生活条件、</w:t>
      </w:r>
      <w:r>
        <w:fldChar w:fldCharType="begin"/>
      </w:r>
      <w:r>
        <w:instrText xml:space="preserve"> HYPERLINK "https://baike.so.com/doc/5947586-6160524.html" \t "https://baike.so.com/doc/_blank" </w:instrText>
      </w:r>
      <w:r>
        <w:fldChar w:fldCharType="separate"/>
      </w:r>
      <w:r>
        <w:rPr>
          <w:rFonts w:hint="eastAsia" w:ascii="仿宋_GB2312" w:hAnsi="仿宋_GB2312" w:eastAsia="仿宋_GB2312" w:cs="仿宋_GB2312"/>
          <w:sz w:val="32"/>
          <w:szCs w:val="32"/>
          <w:shd w:val="clear" w:color="auto" w:fill="FFFFFF"/>
        </w:rPr>
        <w:t>调整经济结构</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和拓展增收渠道，帮助搬迁人口逐步脱贫致富，提高了人们的生活质量。</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03"/>
        <w:gridCol w:w="2079"/>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玛萨村易地扶贫搬迁定居点排水沟建设项目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红原县邛溪镇人民政府</w:t>
            </w: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45万元</w:t>
            </w:r>
          </w:p>
        </w:tc>
      </w:tr>
      <w:tr>
        <w:tblPrEx>
          <w:tblCellMar>
            <w:top w:w="0" w:type="dxa"/>
            <w:left w:w="0" w:type="dxa"/>
            <w:bottom w:w="0" w:type="dxa"/>
            <w:right w:w="0" w:type="dxa"/>
          </w:tblCellMar>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45万元</w:t>
            </w:r>
          </w:p>
        </w:tc>
      </w:tr>
      <w:tr>
        <w:tblPrEx>
          <w:tblCellMar>
            <w:top w:w="0" w:type="dxa"/>
            <w:left w:w="0" w:type="dxa"/>
            <w:bottom w:w="0" w:type="dxa"/>
            <w:right w:w="0" w:type="dxa"/>
          </w:tblCellMar>
        </w:tblPrEx>
        <w:trPr>
          <w:trHeight w:val="870"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5"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该项目总投资</w:t>
            </w:r>
            <w:r>
              <w:rPr>
                <w:rFonts w:hint="eastAsia" w:ascii="宋体" w:hAnsi="宋体" w:cs="宋体"/>
                <w:color w:val="000000"/>
                <w:kern w:val="0"/>
                <w:sz w:val="24"/>
              </w:rPr>
              <w:t>45万元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通过新建易地扶贫搬迁定居点排水沟新建安置点排水沟1000米；新建安置点排水管1800米的项目实施</w:t>
            </w:r>
          </w:p>
        </w:tc>
      </w:tr>
    </w:tbl>
    <w:tbl>
      <w:tblPr>
        <w:tblStyle w:val="12"/>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color w:val="000000"/>
                <w:kern w:val="0"/>
                <w:sz w:val="20"/>
                <w:szCs w:val="20"/>
              </w:rPr>
            </w:pPr>
            <w:r>
              <w:rPr>
                <w:rFonts w:hint="eastAsia" w:ascii="宋体" w:hAnsi="宋体" w:cs="宋体"/>
                <w:color w:val="000000"/>
                <w:kern w:val="0"/>
                <w:sz w:val="20"/>
                <w:szCs w:val="20"/>
              </w:rPr>
              <w:t>改善安置区的生产生活条件、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r>
              <w:rPr>
                <w:rFonts w:ascii="宋体" w:hAnsi="宋体" w:cs="宋体"/>
                <w:color w:val="000000"/>
                <w:kern w:val="0"/>
                <w:sz w:val="20"/>
                <w:szCs w:val="20"/>
              </w:rPr>
              <w:t>和拓展增收渠道，帮助搬迁人口逐步脱贫致富</w:t>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color w:val="000000"/>
                <w:kern w:val="0"/>
                <w:sz w:val="20"/>
                <w:szCs w:val="20"/>
              </w:rPr>
            </w:pPr>
            <w:r>
              <w:rPr>
                <w:rFonts w:hint="eastAsia" w:ascii="宋体" w:hAnsi="宋体" w:cs="宋体"/>
                <w:color w:val="000000"/>
                <w:kern w:val="0"/>
                <w:sz w:val="20"/>
                <w:szCs w:val="20"/>
              </w:rPr>
              <w:t>改善安置区的生产生活条件、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r>
              <w:rPr>
                <w:rFonts w:ascii="宋体" w:hAnsi="宋体" w:cs="宋体"/>
                <w:color w:val="000000"/>
                <w:kern w:val="0"/>
                <w:sz w:val="20"/>
                <w:szCs w:val="20"/>
              </w:rPr>
              <w:t>和拓展增收渠道，帮助搬迁人口逐步脱贫致富</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改善安置区的生产生活条件、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r>
              <w:rPr>
                <w:rFonts w:ascii="宋体" w:hAnsi="宋体" w:cs="宋体"/>
                <w:color w:val="000000"/>
                <w:kern w:val="0"/>
                <w:sz w:val="20"/>
                <w:szCs w:val="20"/>
              </w:rPr>
              <w:t>和拓展增收渠道，帮助搬迁人口逐步脱贫致富</w:t>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改善安置区的生产生活条件、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r>
              <w:rPr>
                <w:rFonts w:ascii="宋体" w:hAnsi="宋体" w:cs="宋体"/>
                <w:color w:val="000000"/>
                <w:kern w:val="0"/>
                <w:sz w:val="20"/>
                <w:szCs w:val="20"/>
              </w:rPr>
              <w:t>和拓展增收渠道，帮助搬迁人口逐步脱贫致富</w:t>
            </w:r>
          </w:p>
        </w:tc>
      </w:tr>
      <w:tr>
        <w:tblPrEx>
          <w:tblCellMar>
            <w:top w:w="15" w:type="dxa"/>
            <w:left w:w="15" w:type="dxa"/>
            <w:bottom w:w="15" w:type="dxa"/>
            <w:right w:w="15" w:type="dxa"/>
          </w:tblCellMar>
        </w:tblPrEx>
        <w:trPr>
          <w:trHeight w:val="75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改善安置区的生产生活条件、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r>
              <w:rPr>
                <w:rFonts w:ascii="宋体" w:hAnsi="宋体" w:cs="宋体"/>
                <w:color w:val="000000"/>
                <w:kern w:val="0"/>
                <w:sz w:val="20"/>
                <w:szCs w:val="20"/>
              </w:rPr>
              <w:t>和拓展增收渠道，帮助搬迁人口逐步脱贫致富</w:t>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改善安置区的生产生活条件、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r>
              <w:rPr>
                <w:rFonts w:ascii="宋体" w:hAnsi="宋体" w:cs="宋体"/>
                <w:color w:val="000000"/>
                <w:kern w:val="0"/>
                <w:sz w:val="20"/>
                <w:szCs w:val="20"/>
              </w:rPr>
              <w:t>和拓展增收渠道，帮助搬迁人口逐步脱贫致富</w:t>
            </w: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邛溪镇达格龙村浴室改扩建项目绩效目标完成情况综述。项目全年预算数39万元，执行数为39万元，完成预算的100%。在原有浴室基础上进行改建，包括新建管理用房40平方米，排污管网铺设、新建围墙、场地绿化，通过此项目实施，保障农牧民日常生活中洗澡的需求，促进村集体经济收入、提高农牧民讲卫生意识。</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03"/>
        <w:gridCol w:w="2079"/>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仿宋_GB2312" w:hAnsi="仿宋_GB2312" w:eastAsia="仿宋_GB2312" w:cs="仿宋_GB2312"/>
                <w:sz w:val="32"/>
                <w:szCs w:val="32"/>
              </w:rPr>
              <w:t>达格龙村浴室改扩建项目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红原县邛溪镇人民政府</w:t>
            </w: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39万元</w:t>
            </w:r>
          </w:p>
        </w:tc>
      </w:tr>
      <w:tr>
        <w:tblPrEx>
          <w:tblCellMar>
            <w:top w:w="0" w:type="dxa"/>
            <w:left w:w="0" w:type="dxa"/>
            <w:bottom w:w="0" w:type="dxa"/>
            <w:right w:w="0" w:type="dxa"/>
          </w:tblCellMar>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39万元</w:t>
            </w:r>
          </w:p>
        </w:tc>
      </w:tr>
      <w:tr>
        <w:tblPrEx>
          <w:tblCellMar>
            <w:top w:w="0" w:type="dxa"/>
            <w:left w:w="0" w:type="dxa"/>
            <w:bottom w:w="0" w:type="dxa"/>
            <w:right w:w="0" w:type="dxa"/>
          </w:tblCellMar>
        </w:tblPrEx>
        <w:trPr>
          <w:trHeight w:val="870"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5"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该项目总投资39万</w:t>
            </w:r>
            <w:r>
              <w:rPr>
                <w:rFonts w:hint="eastAsia" w:ascii="宋体" w:hAnsi="宋体" w:cs="宋体"/>
                <w:color w:val="000000"/>
                <w:kern w:val="0"/>
                <w:sz w:val="24"/>
              </w:rPr>
              <w:t>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在原有浴室基础上进行改建，包括新建管理用房40平方米，排污管网铺设、新建围墙、场地绿化</w:t>
            </w:r>
          </w:p>
        </w:tc>
      </w:tr>
    </w:tbl>
    <w:tbl>
      <w:tblPr>
        <w:tblStyle w:val="12"/>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通过此项目实施，保障农牧民日常生活中洗澡的需求，促进村集体经济收入、提高农牧民讲卫生意识。</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通过此项目实施，保障农牧民日常生活中洗澡的需求，促进村集体经济收入、提高农牧民讲卫生意识。</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通过此项目实施，保障农牧民日常生活中洗澡的需求，促进村集体经济收入、提高农牧民讲卫生意识。</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通过此项目实施，保障农牧民日常生活中洗澡的需求，促进村集体经济收入、提高农牧民讲卫生意识。</w:t>
            </w:r>
          </w:p>
        </w:tc>
      </w:tr>
      <w:tr>
        <w:tblPrEx>
          <w:tblCellMar>
            <w:top w:w="15" w:type="dxa"/>
            <w:left w:w="15" w:type="dxa"/>
            <w:bottom w:w="15" w:type="dxa"/>
            <w:right w:w="15" w:type="dxa"/>
          </w:tblCellMar>
        </w:tblPrEx>
        <w:trPr>
          <w:trHeight w:val="75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通过此项目实施，保障农牧民日常生活中洗澡的需求，促进村集体经济收入、提高农牧民讲卫生意识。</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通过此项目实施，保障农牧民日常生活中洗澡的需求，促进村集体经济收入、提高农牧民讲卫生意识。</w:t>
            </w: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四川省红原县以工代赈示范工程项目全年预算数500万元，执行数为500万元，完成预算的100%。通过新建热坤村、玛萨村、麻色阳德村40公里牧道，保障牧民在定居点与远牧点之间道路的畅通，提高牧民群众的幸福感。</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03"/>
        <w:gridCol w:w="2079"/>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仿宋_GB2312" w:hAnsi="仿宋_GB2312" w:eastAsia="仿宋_GB2312" w:cs="仿宋_GB2312"/>
                <w:sz w:val="32"/>
                <w:szCs w:val="32"/>
              </w:rPr>
              <w:t>四川省红原县以工代赈示范工程项目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红原县邛溪镇人民政府</w:t>
            </w: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500万元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500万元</w:t>
            </w:r>
          </w:p>
        </w:tc>
      </w:tr>
      <w:tr>
        <w:tblPrEx>
          <w:tblCellMar>
            <w:top w:w="0" w:type="dxa"/>
            <w:left w:w="0" w:type="dxa"/>
            <w:bottom w:w="0" w:type="dxa"/>
            <w:right w:w="0" w:type="dxa"/>
          </w:tblCellMar>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500万元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500万元</w:t>
            </w:r>
          </w:p>
        </w:tc>
      </w:tr>
      <w:tr>
        <w:tblPrEx>
          <w:tblCellMar>
            <w:top w:w="0" w:type="dxa"/>
            <w:left w:w="0" w:type="dxa"/>
            <w:bottom w:w="0" w:type="dxa"/>
            <w:right w:w="0" w:type="dxa"/>
          </w:tblCellMar>
        </w:tblPrEx>
        <w:trPr>
          <w:trHeight w:val="870"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5"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该项目总投资500万</w:t>
            </w:r>
            <w:r>
              <w:rPr>
                <w:rFonts w:hint="eastAsia" w:ascii="宋体" w:hAnsi="宋体" w:cs="宋体"/>
                <w:color w:val="000000"/>
                <w:kern w:val="0"/>
                <w:sz w:val="24"/>
              </w:rPr>
              <w:t>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过新建热坤村、玛萨村、麻色阳德村40公里牧道</w:t>
            </w:r>
          </w:p>
        </w:tc>
      </w:tr>
    </w:tbl>
    <w:tbl>
      <w:tblPr>
        <w:tblStyle w:val="12"/>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通过新建热坤村、玛萨村、麻色阳德村40公里牧道，保障牧民在定居点与远牧点之间道路的畅通，提高牧民群众的幸福感</w:t>
            </w:r>
            <w:r>
              <w:rPr>
                <w:rFonts w:hint="eastAsia" w:ascii="仿宋_GB2312" w:hAnsi="仿宋_GB2312" w:eastAsia="仿宋_GB2312" w:cs="仿宋_GB2312"/>
                <w:sz w:val="32"/>
                <w:szCs w:val="32"/>
              </w:rPr>
              <w:t>。</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通过新建热坤村、玛萨村、麻色阳德村40公里牧道，保障牧民在定居点与远牧点之间道路的畅通，提高牧民群众的幸福感</w:t>
            </w:r>
            <w:r>
              <w:rPr>
                <w:rFonts w:hint="eastAsia" w:ascii="仿宋_GB2312" w:hAnsi="仿宋_GB2312" w:eastAsia="仿宋_GB2312" w:cs="仿宋_GB2312"/>
                <w:sz w:val="32"/>
                <w:szCs w:val="32"/>
              </w:rPr>
              <w:t>。</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通过新建热坤村、玛萨村、麻色阳德村40公里牧道，保障牧民在定居点与远牧点之间道路的畅通，提高牧民群众的幸福感</w:t>
            </w:r>
            <w:r>
              <w:rPr>
                <w:rFonts w:hint="eastAsia" w:ascii="仿宋_GB2312" w:hAnsi="仿宋_GB2312" w:eastAsia="仿宋_GB2312" w:cs="仿宋_GB2312"/>
                <w:sz w:val="32"/>
                <w:szCs w:val="32"/>
              </w:rPr>
              <w:t>。</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通过新建热坤村、玛萨村、麻色阳德村40公里牧道，保障牧民在定居点与远牧点之间道路的畅通，提高牧民群众的幸福感</w:t>
            </w:r>
            <w:r>
              <w:rPr>
                <w:rFonts w:hint="eastAsia" w:ascii="仿宋_GB2312" w:hAnsi="仿宋_GB2312" w:eastAsia="仿宋_GB2312" w:cs="仿宋_GB2312"/>
                <w:sz w:val="32"/>
                <w:szCs w:val="32"/>
              </w:rPr>
              <w:t>。</w:t>
            </w:r>
          </w:p>
        </w:tc>
      </w:tr>
      <w:tr>
        <w:tblPrEx>
          <w:tblCellMar>
            <w:top w:w="15" w:type="dxa"/>
            <w:left w:w="15" w:type="dxa"/>
            <w:bottom w:w="15" w:type="dxa"/>
            <w:right w:w="15" w:type="dxa"/>
          </w:tblCellMar>
        </w:tblPrEx>
        <w:trPr>
          <w:trHeight w:val="75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通过新建热坤村、玛萨村、麻色阳德村40公里牧道，保障牧民在定居点与远牧点之间道路的畅通，提高牧民群众的幸福感</w:t>
            </w:r>
            <w:r>
              <w:rPr>
                <w:rFonts w:hint="eastAsia" w:ascii="仿宋_GB2312" w:hAnsi="仿宋_GB2312" w:eastAsia="仿宋_GB2312" w:cs="仿宋_GB2312"/>
                <w:sz w:val="32"/>
                <w:szCs w:val="32"/>
              </w:rPr>
              <w:t>。</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通过新建热坤村、玛萨村、麻色阳德村40公里牧道，保障牧民在定居点与远牧点之间道路的畅通，提高牧民群众的幸福感</w:t>
            </w:r>
            <w:r>
              <w:rPr>
                <w:rFonts w:hint="eastAsia" w:ascii="仿宋_GB2312" w:hAnsi="仿宋_GB2312" w:eastAsia="仿宋_GB2312" w:cs="仿宋_GB2312"/>
                <w:sz w:val="32"/>
                <w:szCs w:val="32"/>
              </w:rPr>
              <w:t>。</w:t>
            </w: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热坤村村自驾游营地建设项目全年预算数400万元，执行数为400万元，完成预算的100%。通过新建村内活动中心一处，通过项目实施，该村的旅游收入将会有着大幅度的提高，村集体经济将会迈上一个新的台阶。</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03"/>
        <w:gridCol w:w="2079"/>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仿宋_GB2312" w:hAnsi="仿宋_GB2312" w:eastAsia="仿宋_GB2312" w:cs="仿宋_GB2312"/>
                <w:sz w:val="32"/>
                <w:szCs w:val="32"/>
              </w:rPr>
              <w:t>热坤村村自驾游营地建设项目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红原县邛溪镇人民政府</w:t>
            </w: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400万元</w:t>
            </w:r>
          </w:p>
        </w:tc>
      </w:tr>
      <w:tr>
        <w:tblPrEx>
          <w:tblCellMar>
            <w:top w:w="0" w:type="dxa"/>
            <w:left w:w="0" w:type="dxa"/>
            <w:bottom w:w="0" w:type="dxa"/>
            <w:right w:w="0" w:type="dxa"/>
          </w:tblCellMar>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400万元</w:t>
            </w:r>
          </w:p>
        </w:tc>
      </w:tr>
      <w:tr>
        <w:tblPrEx>
          <w:tblCellMar>
            <w:top w:w="0" w:type="dxa"/>
            <w:left w:w="0" w:type="dxa"/>
            <w:bottom w:w="0" w:type="dxa"/>
            <w:right w:w="0" w:type="dxa"/>
          </w:tblCellMar>
        </w:tblPrEx>
        <w:trPr>
          <w:trHeight w:val="870"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5"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该项目总投资400万</w:t>
            </w:r>
            <w:r>
              <w:rPr>
                <w:rFonts w:hint="eastAsia" w:ascii="宋体" w:hAnsi="宋体" w:cs="宋体"/>
                <w:color w:val="000000"/>
                <w:kern w:val="0"/>
                <w:sz w:val="24"/>
              </w:rPr>
              <w:t>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新建村内活动中心一处</w:t>
            </w:r>
          </w:p>
        </w:tc>
      </w:tr>
    </w:tbl>
    <w:tbl>
      <w:tblPr>
        <w:tblStyle w:val="12"/>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c>
          <w:tcPr>
            <w:tcW w:w="157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kern w:val="0"/>
                <w:sz w:val="20"/>
                <w:szCs w:val="20"/>
              </w:rPr>
              <w:t>改善生产生活条件、</w:t>
            </w:r>
            <w:r>
              <w:fldChar w:fldCharType="begin"/>
            </w:r>
            <w:r>
              <w:instrText xml:space="preserve"> HYPERLINK "https://baike.so.com/doc/5947586-6160524.html" \t "https://baike.so.com/doc/_blank" </w:instrText>
            </w:r>
            <w:r>
              <w:fldChar w:fldCharType="separate"/>
            </w:r>
            <w:r>
              <w:rPr>
                <w:rFonts w:ascii="宋体" w:hAnsi="宋体" w:cs="宋体"/>
                <w:color w:val="000000"/>
                <w:kern w:val="0"/>
                <w:sz w:val="20"/>
                <w:szCs w:val="20"/>
              </w:rPr>
              <w:t>调整经济结构</w:t>
            </w:r>
            <w:r>
              <w:rPr>
                <w:rFonts w:ascii="宋体" w:hAnsi="宋体" w:cs="宋体"/>
                <w:color w:val="000000"/>
                <w:kern w:val="0"/>
                <w:sz w:val="20"/>
                <w:szCs w:val="20"/>
              </w:rPr>
              <w:fldChar w:fldCharType="end"/>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通过新建村内活动中心一处，通过项目实施，该村的旅游收入将会有着大幅度的提高，村集体经济将会迈上一个新的台阶。</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通过新建村内活动中心一处，通过项目实施，该村的旅游收入将会有着大幅度的提高，村集体经济将会迈上一个新的台阶。</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通过新建村内活动中心一处，通过项目实施，该村的旅游收入将会有着大幅度的提高，村集体经济将会迈上一个新的台阶。</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通过新建村内活动中心一处，通过项目实施，该村的旅游收入将会有着大幅度的提高，村集体经济将会迈上一个新的台阶。</w:t>
            </w:r>
          </w:p>
        </w:tc>
      </w:tr>
      <w:tr>
        <w:tblPrEx>
          <w:tblCellMar>
            <w:top w:w="15" w:type="dxa"/>
            <w:left w:w="15" w:type="dxa"/>
            <w:bottom w:w="15" w:type="dxa"/>
            <w:right w:w="15" w:type="dxa"/>
          </w:tblCellMar>
        </w:tblPrEx>
        <w:trPr>
          <w:trHeight w:val="75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通过新建村内活动中心一处，通过项目实施，该村的旅游收入将会有着大幅度的提高，村集体经济将会迈上一个新的台阶。</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通过新建村内活动中心一处，通过项目实施，该村的旅游收入将会有着大幅度的提高，村集体经济将会迈上一个新的台阶。</w:t>
            </w: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2"/>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本部门按要求对2019年部门整体支出绩效评价情况开展自评，《邛溪镇人民政府2019年部门整体支出绩效评价报告》见附件（附件1）。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麻色阳德村产业发展项目、邛溪镇玛萨村易地扶贫搬迁定居点排水沟建设项目、邛溪镇达格龙村浴室改扩建项目、四川省红原县以工代赈示范工程、热坤村村自驾游营地建设项目开展了绩效评价，《邛溪镇2019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4"/>
          <w:rFonts w:ascii="黑体" w:hAnsi="黑体" w:eastAsia="黑体"/>
          <w:b w:val="0"/>
        </w:rPr>
      </w:pPr>
      <w:bookmarkStart w:id="85" w:name="_Toc15396613"/>
      <w:bookmarkStart w:id="86" w:name="_Toc57146381"/>
      <w:bookmarkStart w:id="87"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85"/>
      <w:bookmarkEnd w:id="86"/>
      <w:bookmarkEnd w:id="87"/>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2.其他收入：指单位取得财政拨款收入以外的各项收入。主要是眉山援建项目收入等。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5. 一般公共服务（类）201（款）01（项）01——行政运行：反映行政单位（包括实行公务员管理的事业单位）的基本支出反映行政单位（包括实行公务员管理的事业单位）的基本支出。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6. 一般公共服务（类）201（款）01（项）04——人大会议费：反映各级人大召开"人代会"等专门会议的支出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7. 一般公共服务（类）201（款03（项）01——行政运行：反映各级政府办公厅（室）及相关机构的支出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8. 一般公共服务（类）201（款）03（项）99——其他政府办公厅（室）及相关机构事务支出：反映除上述项目以外的其他政府办公厅（室）及相关机构事务支出。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9. 一般公共服务（类）201（款）06（项）01—行政运行: 反映财政事务方面的支出。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 xml:space="preserve">10. 一般公共服务（类）201（款）31（项）01—其它政府办公厅及相关事务支出:反映行政单位（包括实行公务员管理的事业单位）的基本支出 </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11.社会保障和就业支出（类）208（款）05（项）05——机关事业单位基本养老保险缴费支出：反映机关事业单位实施养老保险制度的单位缴纳的基本养老保险费支出。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12.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13.医疗卫生与计划生育支出(类）210（款）11（项）01——行政单位医疗：反映财政部门集中安排的公务员医疗补助经费。</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14.医疗卫生与计划生育支出(类）210（款）11（项）02——事业单位医疗：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15.农林水支出（类）213（款）01（项）42—农村道路建设：反映用于农村公路、乡村道路建设方面的支出。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16.农林水支出（类）213（款）01（项）52—对高校毕业生到基层任职补助：反映按规定对高校毕业生到基层任职的补助支出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17.农林水支出（类）213（款）02（项）04—林业事业机构：反映用于林业事业单位的基本支出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19.农林水支出（类）213（款）07（项）05—对村民委员会和党支部补助：反映各级财政对村民委员会和村党支部的补助支出，以及支持建立县级基本财力保障机制安排的村级组织运转奖补资金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20.住房保障支出(类）221（款）02（项）01—住房公积金：反映行政事业单位按人力资源和社会保障部、财政部规定的基本工资和津贴补贴以及规定比例为职工缴纳的住房公积金。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21.其他支出(类）229（款）99（项）01—其他支出：反映除上述项目以外其他不能划分到具体功能科目中的支出项目</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22.年末结转和结余：指本年度或以前年度预算安排、因客观条件发生变化无法按原计划实施，需延迟到以后年度按有关规定继续使用的资金。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23.基本支出：指为保障机构正常运转、完成日常工作任务而发生的人员支出和公用支出。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24.项目支出：指在基本支出之外为完成特定行政任务和事业发展目标所发生的支出。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spacing w:line="600" w:lineRule="exact"/>
        <w:jc w:val="center"/>
        <w:outlineLvl w:val="0"/>
        <w:rPr>
          <w:rFonts w:ascii="黑体" w:hAnsi="黑体" w:eastAsia="黑体"/>
          <w:color w:val="000000"/>
          <w:sz w:val="44"/>
          <w:szCs w:val="44"/>
        </w:rPr>
      </w:pPr>
      <w:bookmarkStart w:id="88" w:name="_Toc15396614"/>
      <w:bookmarkStart w:id="89"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pStyle w:val="2"/>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4"/>
          <w:rFonts w:ascii="黑体" w:hAnsi="黑体" w:eastAsia="黑体"/>
          <w:b w:val="0"/>
        </w:rPr>
      </w:pPr>
      <w:bookmarkStart w:id="90" w:name="_Toc57146382"/>
      <w:r>
        <w:rPr>
          <w:rFonts w:hint="eastAsia" w:ascii="黑体" w:hAnsi="黑体" w:eastAsia="黑体"/>
          <w:color w:val="000000"/>
          <w:sz w:val="44"/>
          <w:szCs w:val="44"/>
        </w:rPr>
        <w:t>第</w:t>
      </w:r>
      <w:r>
        <w:rPr>
          <w:rStyle w:val="24"/>
          <w:rFonts w:hint="eastAsia" w:ascii="黑体" w:hAnsi="黑体" w:eastAsia="黑体"/>
          <w:b w:val="0"/>
        </w:rPr>
        <w:t>四部分 附件</w:t>
      </w:r>
      <w:bookmarkEnd w:id="88"/>
      <w:bookmarkEnd w:id="90"/>
    </w:p>
    <w:p>
      <w:pPr>
        <w:spacing w:line="600" w:lineRule="exact"/>
        <w:jc w:val="left"/>
        <w:outlineLvl w:val="0"/>
        <w:rPr>
          <w:rFonts w:ascii="方正小标宋简体" w:hAnsi="方正小标宋简体" w:eastAsia="方正小标宋简体" w:cs="方正小标宋简体"/>
          <w:sz w:val="32"/>
          <w:szCs w:val="32"/>
        </w:rPr>
      </w:pPr>
      <w:bookmarkStart w:id="91" w:name="_Toc57146383"/>
      <w:r>
        <w:rPr>
          <w:rFonts w:hint="eastAsia" w:ascii="黑体" w:hAnsi="黑体" w:eastAsia="黑体" w:cs="黑体"/>
          <w:sz w:val="32"/>
          <w:szCs w:val="32"/>
        </w:rPr>
        <w:t>附件1</w:t>
      </w:r>
      <w:bookmarkEnd w:id="91"/>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邛溪镇</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ind w:firstLine="640" w:firstLineChars="200"/>
        <w:rPr>
          <w:rFonts w:ascii="仿宋_GB2312" w:eastAsia="仿宋_GB2312"/>
          <w:sz w:val="32"/>
          <w:szCs w:val="32"/>
        </w:rPr>
      </w:pPr>
      <w:r>
        <w:rPr>
          <w:rFonts w:hint="eastAsia" w:ascii="仿宋_GB2312" w:eastAsia="仿宋_GB2312"/>
          <w:sz w:val="32"/>
          <w:szCs w:val="32"/>
        </w:rPr>
        <w:t>红原县邛溪镇人民政府</w:t>
      </w:r>
      <w:r>
        <w:rPr>
          <w:rFonts w:hint="eastAsia" w:ascii="仿宋_GB2312" w:hAnsi="华文中宋" w:eastAsia="仿宋_GB2312"/>
          <w:sz w:val="32"/>
          <w:szCs w:val="32"/>
        </w:rPr>
        <w:t>是</w:t>
      </w:r>
      <w:r>
        <w:rPr>
          <w:rFonts w:hint="eastAsia" w:ascii="仿宋_GB2312" w:eastAsia="仿宋_GB2312"/>
          <w:sz w:val="32"/>
          <w:szCs w:val="32"/>
        </w:rPr>
        <w:t>独立核算的机构，是独立编报预算的单位。下设6个内设机构分别为：党政办、综合办公室、维稳办、便民服务中心、财务室。</w:t>
      </w:r>
    </w:p>
    <w:p>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spacing w:line="580" w:lineRule="exact"/>
        <w:ind w:left="420" w:leftChars="200"/>
        <w:rPr>
          <w:rFonts w:ascii="仿宋_GB2312" w:eastAsia="仿宋_GB2312"/>
          <w:sz w:val="32"/>
          <w:szCs w:val="32"/>
        </w:rPr>
      </w:pPr>
      <w:r>
        <w:rPr>
          <w:rFonts w:hint="eastAsia" w:ascii="宋体" w:hAnsi="宋体" w:cs="宋体"/>
          <w:color w:val="313131"/>
          <w:szCs w:val="21"/>
        </w:rPr>
        <w:t xml:space="preserve">　  </w:t>
      </w:r>
      <w:r>
        <w:rPr>
          <w:rFonts w:hint="eastAsia" w:ascii="仿宋_GB2312" w:eastAsia="仿宋_GB2312"/>
          <w:sz w:val="32"/>
          <w:szCs w:val="32"/>
        </w:rPr>
        <w:t xml:space="preserve"> 维护社会稳定，促进经济发展，不断提高人民群众的生活水平，全心全意为人民服务。 </w:t>
      </w:r>
    </w:p>
    <w:p>
      <w:pPr>
        <w:numPr>
          <w:ilvl w:val="0"/>
          <w:numId w:val="5"/>
        </w:num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人员概况。</w:t>
      </w:r>
    </w:p>
    <w:p>
      <w:pPr>
        <w:spacing w:line="580" w:lineRule="exact"/>
        <w:ind w:left="420" w:leftChars="200"/>
        <w:rPr>
          <w:rFonts w:ascii="仿宋_GB2312" w:eastAsia="仿宋_GB2312"/>
          <w:sz w:val="32"/>
          <w:szCs w:val="32"/>
        </w:rPr>
      </w:pPr>
      <w:r>
        <w:rPr>
          <w:rFonts w:hint="eastAsia" w:ascii="仿宋" w:hAnsi="仿宋" w:eastAsia="仿宋" w:cs="仿宋_GB2312"/>
          <w:sz w:val="32"/>
          <w:szCs w:val="32"/>
        </w:rPr>
        <w:t xml:space="preserve">  </w:t>
      </w:r>
      <w:r>
        <w:rPr>
          <w:rFonts w:hint="eastAsia" w:ascii="仿宋_GB2312" w:eastAsia="仿宋_GB2312"/>
          <w:sz w:val="32"/>
          <w:szCs w:val="32"/>
        </w:rPr>
        <w:t xml:space="preserve"> 单位编制人数41人，其中行政编制31人，事业编制8人，行政工勤2人；年末实有人数39人，其中在职39人。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outlineLvl w:val="1"/>
        <w:rPr>
          <w:rFonts w:ascii="仿宋" w:hAnsi="仿宋" w:eastAsia="仿宋"/>
          <w:color w:val="000000"/>
          <w:sz w:val="32"/>
          <w:szCs w:val="32"/>
        </w:rPr>
      </w:pPr>
      <w:bookmarkStart w:id="92" w:name="_Toc57146384"/>
      <w:r>
        <w:rPr>
          <w:rFonts w:hint="eastAsia" w:ascii="仿宋_GB2312" w:eastAsia="仿宋_GB2312"/>
          <w:sz w:val="32"/>
          <w:szCs w:val="32"/>
        </w:rPr>
        <w:t>2019年本年收入合计1371.95万元，其中：一般公共预算财政拨款收入1370.23万元，占99%；政府性基金预算财政拨款收入0万元，占0%；上级补助收入0万元，占0%；事业收入0万元，占0%；经营收入0万元，占0%；附属单位上缴收入0万元，占0%；其他收入1.72万元，占0.1%。</w:t>
      </w:r>
      <w:bookmarkEnd w:id="92"/>
    </w:p>
    <w:p>
      <w:pPr>
        <w:pStyle w:val="2"/>
        <w:rPr>
          <w:lang w:val="zh-CN"/>
        </w:rPr>
      </w:pPr>
    </w:p>
    <w:p>
      <w:pPr>
        <w:widowControl/>
        <w:numPr>
          <w:ilvl w:val="0"/>
          <w:numId w:val="5"/>
        </w:numPr>
        <w:adjustRightInd w:val="0"/>
        <w:snapToGrid w:val="0"/>
        <w:spacing w:line="580"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部门财政资金支出情况。</w:t>
      </w:r>
    </w:p>
    <w:p>
      <w:pPr>
        <w:spacing w:line="600" w:lineRule="exact"/>
        <w:ind w:firstLine="640" w:firstLineChars="200"/>
        <w:outlineLvl w:val="1"/>
        <w:rPr>
          <w:rFonts w:ascii="仿宋_GB2312" w:hAnsi="仿宋_GB2312" w:eastAsia="仿宋_GB2312" w:cs="仿宋_GB2312"/>
          <w:kern w:val="0"/>
          <w:sz w:val="32"/>
          <w:szCs w:val="32"/>
        </w:rPr>
      </w:pPr>
      <w:bookmarkStart w:id="93" w:name="_Toc57146385"/>
      <w:r>
        <w:rPr>
          <w:rFonts w:hint="eastAsia" w:ascii="仿宋_GB2312" w:hAnsi="仿宋_GB2312" w:eastAsia="仿宋_GB2312" w:cs="仿宋_GB2312"/>
          <w:kern w:val="0"/>
          <w:sz w:val="32"/>
          <w:szCs w:val="32"/>
        </w:rPr>
        <w:t>2019年本年支出合计2158.39万元，其中：基本支出773.23万元，占36%；项目支出1385.15万元，占64%；上缴上级支出0万元，占0%；经营支出0万元，占0%；对附属单位补助支出0万元，占0%。</w:t>
      </w:r>
      <w:bookmarkEnd w:id="93"/>
    </w:p>
    <w:p>
      <w:pPr>
        <w:pStyle w:val="2"/>
        <w:ind w:left="420" w:leftChars="200"/>
        <w:rPr>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Style w:val="6"/>
        <w:numPr>
          <w:ilvl w:val="0"/>
          <w:numId w:val="6"/>
        </w:numPr>
        <w:spacing w:before="93"/>
        <w:ind w:left="420" w:left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预算编制情况</w:t>
      </w:r>
    </w:p>
    <w:p>
      <w:pPr>
        <w:pStyle w:val="6"/>
        <w:spacing w:before="93"/>
        <w:rPr>
          <w:rFonts w:hAnsi="仿宋_GB2312" w:cs="仿宋_GB2312"/>
          <w:sz w:val="32"/>
          <w:szCs w:val="32"/>
        </w:rPr>
      </w:pPr>
      <w:r>
        <w:rPr>
          <w:rFonts w:hint="eastAsia" w:ascii="楷体" w:hAnsi="楷体" w:eastAsia="楷体" w:cs="楷体"/>
          <w:sz w:val="32"/>
          <w:szCs w:val="32"/>
        </w:rPr>
        <w:t xml:space="preserve">    </w:t>
      </w:r>
      <w:r>
        <w:rPr>
          <w:rFonts w:hint="eastAsia" w:hAnsi="仿宋_GB2312" w:cs="仿宋_GB2312"/>
          <w:sz w:val="32"/>
          <w:szCs w:val="32"/>
        </w:rPr>
        <w:t>按照县财政预算编制工作要求，我镇组织财务人员积极参与预算编制培训会，及时掌握预算编制口径等相关知识，结合单位工作实际，按照“两上两下”编制方式，全面、及时、完整地编制了单位预算，并经财政部门审核下达。</w:t>
      </w:r>
    </w:p>
    <w:p>
      <w:pPr>
        <w:pStyle w:val="6"/>
        <w:numPr>
          <w:ilvl w:val="0"/>
          <w:numId w:val="6"/>
        </w:numPr>
        <w:spacing w:before="93"/>
        <w:ind w:left="420" w:left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执行管理情况</w:t>
      </w:r>
    </w:p>
    <w:p>
      <w:pPr>
        <w:pStyle w:val="6"/>
        <w:spacing w:before="93"/>
        <w:ind w:firstLine="640"/>
        <w:rPr>
          <w:rFonts w:hAnsi="仿宋_GB2312" w:cs="仿宋_GB2312"/>
          <w:sz w:val="32"/>
          <w:szCs w:val="32"/>
        </w:rPr>
      </w:pPr>
      <w:r>
        <w:rPr>
          <w:rFonts w:hint="eastAsia" w:hAnsi="仿宋_GB2312" w:cs="仿宋_GB2312"/>
          <w:sz w:val="32"/>
          <w:szCs w:val="32"/>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pStyle w:val="6"/>
        <w:spacing w:before="93"/>
        <w:ind w:firstLine="640"/>
        <w:rPr>
          <w:rFonts w:hAnsi="仿宋_GB2312" w:cs="仿宋_GB2312"/>
          <w:sz w:val="32"/>
          <w:szCs w:val="32"/>
        </w:rPr>
      </w:pPr>
      <w:r>
        <w:rPr>
          <w:rFonts w:hint="eastAsia" w:hAnsi="仿宋_GB2312" w:cs="仿宋_GB2312"/>
          <w:sz w:val="32"/>
          <w:szCs w:val="32"/>
        </w:rPr>
        <w:t>2019年度“三公“经费支出情况：无出国出境及接待费用；公务用车运行费为</w:t>
      </w:r>
      <w:r>
        <w:rPr>
          <w:rFonts w:hint="eastAsia" w:ascii="仿宋" w:hAnsi="仿宋" w:eastAsia="仿宋"/>
          <w:color w:val="000000"/>
          <w:sz w:val="32"/>
          <w:szCs w:val="32"/>
        </w:rPr>
        <w:t>7</w:t>
      </w:r>
      <w:r>
        <w:rPr>
          <w:rFonts w:hint="eastAsia" w:hAnsi="仿宋_GB2312" w:cs="仿宋_GB2312"/>
          <w:sz w:val="32"/>
          <w:szCs w:val="32"/>
        </w:rPr>
        <w:t>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w:t>
      </w:r>
      <w:r>
        <w:rPr>
          <w:rFonts w:hint="eastAsia" w:ascii="楷体_GB2312" w:hAnsi="楷体_GB2312" w:eastAsia="楷体_GB2312" w:cs="楷体_GB2312"/>
          <w:b/>
          <w:bCs/>
          <w:color w:val="000000"/>
          <w:kern w:val="0"/>
          <w:sz w:val="32"/>
          <w:szCs w:val="32"/>
          <w:shd w:val="clear" w:color="auto" w:fill="FFFFFF"/>
        </w:rPr>
        <w:t>三</w:t>
      </w:r>
      <w:r>
        <w:rPr>
          <w:rFonts w:hint="eastAsia" w:ascii="楷体_GB2312" w:hAnsi="楷体_GB2312" w:eastAsia="楷体_GB2312" w:cs="楷体_GB2312"/>
          <w:b/>
          <w:bCs/>
          <w:color w:val="000000"/>
          <w:kern w:val="0"/>
          <w:sz w:val="32"/>
          <w:szCs w:val="32"/>
          <w:shd w:val="clear" w:color="auto" w:fill="FFFFFF"/>
          <w:lang w:val="zh-CN"/>
        </w:rPr>
        <w:t>）结果应用情况。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仿宋_GB2312" w:eastAsia="仿宋_GB2312"/>
          <w:color w:val="000000"/>
          <w:sz w:val="32"/>
          <w:szCs w:val="32"/>
          <w:lang w:val="zh-CN"/>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kern w:val="0"/>
          <w:sz w:val="32"/>
          <w:lang w:val="zh-CN"/>
        </w:rPr>
        <w:t>。</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财政预算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w:t>
      </w:r>
    </w:p>
    <w:p>
      <w:pPr>
        <w:spacing w:line="580" w:lineRule="exact"/>
        <w:ind w:left="420" w:left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1、预算编制欠严谨</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预算编制欠全面，项目有临时追加不够完整、细化</w:t>
      </w:r>
      <w:r>
        <w:rPr>
          <w:rFonts w:hint="eastAsia" w:ascii="仿宋_GB2312"/>
          <w:color w:val="000000"/>
          <w:sz w:val="32"/>
          <w:szCs w:val="32"/>
          <w:lang w:val="zh-CN"/>
        </w:rPr>
        <w:t>。</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2、预算执行存在偏差</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在实际经费列支中，未严格按照预算科目进行列支，部分基本支出挤占了项目支出。</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3、会计核算欠规范</w:t>
      </w:r>
    </w:p>
    <w:p>
      <w:pPr>
        <w:widowControl/>
        <w:adjustRightInd w:val="0"/>
        <w:snapToGrid w:val="0"/>
        <w:spacing w:line="560" w:lineRule="exact"/>
        <w:ind w:firstLine="640" w:firstLineChars="200"/>
        <w:jc w:val="left"/>
        <w:rPr>
          <w:rFonts w:ascii="仿宋" w:hAnsi="仿宋" w:eastAsia="仿宋" w:cs="仿宋_GB2312"/>
          <w:sz w:val="32"/>
          <w:szCs w:val="32"/>
        </w:rPr>
      </w:pPr>
      <w:r>
        <w:rPr>
          <w:rFonts w:hint="eastAsia" w:ascii="仿宋_GB2312" w:eastAsia="仿宋_GB2312"/>
          <w:color w:val="000000"/>
          <w:sz w:val="32"/>
          <w:szCs w:val="32"/>
          <w:lang w:val="zh-CN"/>
        </w:rPr>
        <w:t>经费支出核算过程中，部分存在部分大额办公支出无明细、发票内容填写不规范等现象。</w:t>
      </w:r>
    </w:p>
    <w:p>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2、规范账务处理，提高财务信息质量</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严格按照《会计法》、《行政单位会计制度》、《行政单位财务规则》等规定，结合实际情况，科学设置支出科目，规范财务核算，完整披露相关信息。</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576"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邛溪镇</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576" w:lineRule="exact"/>
        <w:rPr>
          <w:rFonts w:ascii="宋体" w:hAnsi="宋体"/>
          <w:sz w:val="32"/>
          <w:szCs w:val="32"/>
          <w:lang w:val="zh-CN"/>
        </w:rPr>
      </w:pP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一、项目背景及原则</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1.突出重点,统筹推进。从广大群众最关心、最切实的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利益出发,着力解决影响广大群众生产生活的瓶颈因素,力争通过实施项目使全镇的“给排水、交通、旅游基础设施”等基础有一个大的提升,同时群众的家居环境也有大的改善,产业发展有一个明确思路和目标。</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2.整合资金,量力而行。积极向县级部门争取项目支持,按照集中统一规划,分步投入实施的原则,高效利用每一笔项目资金。建设规划中,在充分前瞻考虑的基础上,切实结合资金等现实情况,不好大求全,不好高骛远。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3.政府引导,群众主体。坚持自力更生为主,国家帮扶相结合,充分调动广大群众的积极性,着力落实落地邛溪镇2019年建设项目,为全县脱贫奠定坚实的基础。</w:t>
      </w:r>
    </w:p>
    <w:p>
      <w:pPr>
        <w:adjustRightInd w:val="0"/>
        <w:snapToGrid w:val="0"/>
        <w:spacing w:line="576" w:lineRule="exact"/>
        <w:ind w:firstLine="720"/>
        <w:rPr>
          <w:rFonts w:ascii="仿宋" w:hAnsi="仿宋" w:eastAsia="仿宋" w:cs="仿宋"/>
          <w:sz w:val="32"/>
          <w:szCs w:val="32"/>
        </w:rPr>
      </w:pPr>
      <w:r>
        <w:rPr>
          <w:rFonts w:hint="eastAsia" w:ascii="黑体" w:hAnsi="宋体" w:eastAsia="黑体"/>
          <w:sz w:val="32"/>
          <w:szCs w:val="32"/>
        </w:rPr>
        <w:t>二、项目资金申报及使用情况</w:t>
      </w:r>
    </w:p>
    <w:p>
      <w:pPr>
        <w:spacing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（1）麻色阳德村产业发展项目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该项目全年预算数110万元，执行数为110万元，完成预算的97%，将在2024年拨付质量保证金。</w:t>
      </w:r>
    </w:p>
    <w:p>
      <w:pPr>
        <w:numPr>
          <w:ilvl w:val="0"/>
          <w:numId w:val="7"/>
        </w:numPr>
        <w:spacing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邛溪镇玛萨村易地扶贫搬迁定居点排水沟建设项目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该项目全年预算数45万元，执行数为45万元，完成预算的100%。通过新建易地扶贫搬迁定居点排水沟新建安置点排水沟1000米；新建安置点排水管1800米的项目实施，已完成建设并通过验收。</w:t>
      </w:r>
    </w:p>
    <w:p>
      <w:pPr>
        <w:numPr>
          <w:ilvl w:val="0"/>
          <w:numId w:val="7"/>
        </w:numPr>
        <w:spacing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邛溪镇达格龙村浴室改扩建项目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该项目全年预算数39万元，执行数为39万元，完成预算的100%。在原有浴室基础上进行改建，包括新建管理用房40平方米，排污管网铺设、新建围墙、场地绿化，已完成建设并通过验收。</w:t>
      </w:r>
    </w:p>
    <w:p>
      <w:pPr>
        <w:numPr>
          <w:ilvl w:val="0"/>
          <w:numId w:val="7"/>
        </w:numPr>
        <w:spacing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四川省红原县以工代赈示范工程项目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该全年预算数500万元，执行数为500万元，完成预算的100%。通过新建热坤村、玛萨村、麻色阳德村40公里牧道，已完成建设并通过验。</w:t>
      </w:r>
    </w:p>
    <w:p>
      <w:pPr>
        <w:numPr>
          <w:ilvl w:val="0"/>
          <w:numId w:val="7"/>
        </w:numPr>
        <w:spacing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热坤村村自驾游营地建设项目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该项目全年预算数400万元，执行数为400万元，完成预算的100%。通过新建村内活动中心一处，正在建设，已拨付200万元，计划近期拨付100万元作为进度款。</w:t>
      </w:r>
    </w:p>
    <w:p>
      <w:pPr>
        <w:adjustRightInd w:val="0"/>
        <w:snapToGri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项目绩效目标。</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麻色阳德村产业发展项目，该项目全年预算数110万元，执行数为110万元，完成预算的97%。通过项目实施，购买红原县城境内商铺，促进麻色阳德村牧民群众的生活用品购买的便捷，提高幸福感。将在2024年拨付质量保证金。</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邛溪镇玛萨村易地扶贫搬迁定居点排水沟建设项目，该项目全年预算数45万元，执行数为45万元，完成预算的100%。通过新建易地扶贫搬迁定居点排水沟新建安置点排水沟1000米；新建安置点排水管1800米的项目实施，通过改善安置区的生产生活条件、</w:t>
      </w:r>
      <w:r>
        <w:fldChar w:fldCharType="begin"/>
      </w:r>
      <w:r>
        <w:instrText xml:space="preserve"> HYPERLINK "https://baike.so.com/doc/5947586-6160524.html" \t "https://baike.so.com/doc/_blank" </w:instrText>
      </w:r>
      <w:r>
        <w:fldChar w:fldCharType="separate"/>
      </w:r>
      <w:r>
        <w:rPr>
          <w:rFonts w:hint="eastAsia" w:ascii="仿宋_GB2312" w:hAnsi="仿宋_GB2312" w:eastAsia="仿宋_GB2312" w:cs="仿宋_GB2312"/>
          <w:sz w:val="32"/>
          <w:szCs w:val="32"/>
        </w:rPr>
        <w:t>调整经济结构</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和拓展增收渠道，帮助搬迁人口逐步脱贫致富，提高了人们的生活质量。</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邛溪镇达格龙村浴室改扩建项目，该项目全年预算数39万元，执行数为39万元，完成预算的100%。在原有浴室基础上进行改建，包括新建管理用房40平方米，排污管网铺设、新建围墙、场地绿化，通过此项目实施，保障农牧民日常生活中洗澡的需求，促进村集体经济收入、提高农牧民讲卫生意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四川省红原县以工代赈示范工程项目，该全年预算数500万元，执行数为500万元，完成预算的100%。通过新建热坤村、玛萨村、麻色阳德村40公里牧道，保障牧民在定居点与远牧点之间道路的畅通，提高牧民群众的幸福感。</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热坤村村自驾游营地建设项目，该项目全年预算数400万元，执行数为400万元，完成预算的100%。通过新建村内活动中心一处，通过项目实施，该村的旅游收入将会有着大幅度的提高，村集体经济将会迈上一个新的台阶。</w:t>
      </w:r>
    </w:p>
    <w:p>
      <w:pPr>
        <w:adjustRightInd w:val="0"/>
        <w:snapToGrid w:val="0"/>
        <w:spacing w:line="576" w:lineRule="exact"/>
        <w:ind w:firstLine="720"/>
        <w:rPr>
          <w:rFonts w:ascii="黑体" w:hAnsi="宋体" w:eastAsia="黑体"/>
          <w:sz w:val="32"/>
          <w:szCs w:val="32"/>
          <w:lang w:val="zh-CN"/>
        </w:rPr>
      </w:pPr>
      <w:r>
        <w:rPr>
          <w:rFonts w:hint="eastAsia" w:ascii="黑体" w:hAnsi="宋体" w:eastAsia="黑体"/>
          <w:sz w:val="32"/>
          <w:szCs w:val="32"/>
          <w:lang w:val="zh-CN"/>
        </w:rPr>
        <w:t>三、项目自评步骤及方法</w:t>
      </w:r>
    </w:p>
    <w:p>
      <w:pPr>
        <w:adjustRightInd w:val="0"/>
        <w:snapToGrid w:val="0"/>
        <w:spacing w:line="576"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领导小组如下：</w:t>
      </w:r>
    </w:p>
    <w:p>
      <w:pPr>
        <w:adjustRightInd w:val="0"/>
        <w:snapToGrid w:val="0"/>
        <w:spacing w:line="576"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长：温  泉      镇长</w:t>
      </w:r>
    </w:p>
    <w:p>
      <w:pPr>
        <w:adjustRightInd w:val="0"/>
        <w:snapToGrid w:val="0"/>
        <w:spacing w:line="576"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副组长：张志伟      镇人大主席</w:t>
      </w:r>
    </w:p>
    <w:p>
      <w:pPr>
        <w:adjustRightInd w:val="0"/>
        <w:snapToGrid w:val="0"/>
        <w:spacing w:line="576"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员：杨璐、罗超、陈显英、郎西措</w:t>
      </w:r>
    </w:p>
    <w:p>
      <w:pPr>
        <w:adjustRightInd w:val="0"/>
        <w:snapToGrid w:val="0"/>
        <w:spacing w:line="576"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办公室设在项目办，由杨璐负责日常工作。</w:t>
      </w:r>
    </w:p>
    <w:p>
      <w:pPr>
        <w:adjustRightInd w:val="0"/>
        <w:snapToGrid w:val="0"/>
        <w:spacing w:line="576" w:lineRule="exact"/>
        <w:ind w:firstLine="640" w:firstLineChars="200"/>
        <w:rPr>
          <w:rFonts w:ascii="黑体" w:hAnsi="宋体" w:eastAsia="黑体" w:cs="黑体"/>
        </w:rPr>
      </w:pPr>
      <w:r>
        <w:rPr>
          <w:rFonts w:hint="eastAsia" w:ascii="黑体" w:hAnsi="宋体" w:eastAsia="黑体" w:cs="黑体"/>
          <w:sz w:val="32"/>
        </w:rPr>
        <w:t>五、项目实施及管理情况</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(一)资金使用和监管</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建立资金管理责任制。资金安排的建设项目实行县级管理责任制度,坚持资金跟着项目走,项目跟着规划走,规划跟着贫病群众走的分配管理原则,统筹兼顾、整合资源、突出重点、分类实施。实行项目、资金管理部门和项目实施单</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位法人代表责任制。</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2.建立资金使用公示制。按照公开、公平、公正的原则对专项资金的分配和使用进行公告、公示。在项目实施地对具体项目实行张榜公布,自觉接受社会和群众监督。</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3.建立资金管理专账核算制。严格按照国家和省资金管理办法和有关资金管理规定,对试点工作资金实行专账管理、专账核算、专款专用、封闭运行,努力提高资金使用效益。</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4.建立资金管理报账制。资金实行县级财政报账制管理,做到资金安排到项目、日常管理到项目、支出核算到项目，按项目建设进度核拨资金,确保资金及时足额到位。</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5.建立资金管理审计制。工程完工后,相关审计部门应及时会同财政、纪检、监察部门对资金使用情况进行专项审计。对转移、挪用、拖欠、挤占、贪污等违纪违法行为,要严肃查处,并追究相关责任人的责任。</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6.建立资金检查验收制。年度计划完成后,上级有关部门要按项目实施方案组织检查验收,进行绩效评估</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(二)项目建设监督管理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1.项目将在自觉接受县委县政府督察室、县纪委、监察局、县财政局、县审计局以及其他相关部门的监督进行实</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施;邛溪镇党委、镇政府将积极指导、引导和管理好该项目,镇党委、镇政府主要负责人是项目的第一责任人,镇具体管副职和村两委负责人是项目的具体责任人。</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建设协调管理。镇政府将指派专人进行项目的监督和监理;村委会将积极组织牧民群众投工投劳,共建美好家园,并在建设工程中,积极配合施工单位,积极主动协调建设事项,妥善协调配合解决施工中的困难和问题。</w:t>
      </w:r>
    </w:p>
    <w:p>
      <w:pPr>
        <w:adjustRightInd w:val="0"/>
        <w:snapToGrid w:val="0"/>
        <w:spacing w:line="576" w:lineRule="exact"/>
        <w:ind w:firstLine="640" w:firstLineChars="200"/>
        <w:rPr>
          <w:rFonts w:ascii="仿宋_GB2312" w:hAnsi="宋体" w:eastAsia="仿宋_GB2312" w:cs="仿宋_GB2312"/>
          <w:lang w:val="zh-CN"/>
        </w:rPr>
      </w:pPr>
      <w:r>
        <w:rPr>
          <w:rFonts w:hint="eastAsia" w:ascii="黑体" w:hAnsi="宋体" w:eastAsia="黑体" w:cs="黑体"/>
          <w:sz w:val="32"/>
        </w:rPr>
        <w:t>六、项目绩效情况</w:t>
      </w:r>
      <w:r>
        <w:rPr>
          <w:rFonts w:hint="eastAsia" w:ascii="仿宋_GB2312" w:hAnsi="宋体" w:eastAsia="仿宋_GB2312" w:cs="仿宋_GB2312"/>
          <w:sz w:val="32"/>
          <w:lang w:val="zh-CN"/>
        </w:rPr>
        <w:tab/>
      </w:r>
    </w:p>
    <w:p>
      <w:pPr>
        <w:adjustRightInd w:val="0"/>
        <w:snapToGrid w:val="0"/>
        <w:spacing w:line="576"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76" w:lineRule="exact"/>
        <w:ind w:firstLine="720"/>
        <w:rPr>
          <w:rFonts w:ascii="楷体_GB2312" w:hAnsi="宋体" w:eastAsia="楷体_GB2312"/>
          <w:b/>
          <w:color w:val="000000" w:themeColor="text1"/>
          <w:sz w:val="32"/>
          <w:szCs w:val="32"/>
          <w:lang w:val="zh-CN"/>
        </w:rPr>
      </w:pPr>
      <w:r>
        <w:rPr>
          <w:rFonts w:hint="eastAsia" w:ascii="仿宋_GB2312" w:hAnsi="宋体" w:eastAsia="仿宋_GB2312"/>
          <w:color w:val="000000" w:themeColor="text1"/>
          <w:sz w:val="32"/>
          <w:szCs w:val="32"/>
          <w:lang w:val="zh-CN"/>
        </w:rPr>
        <w:t>严格按照实施方案，</w:t>
      </w:r>
      <w:r>
        <w:rPr>
          <w:rFonts w:hint="eastAsia" w:ascii="仿宋_GB2312" w:hAnsi="仿宋_GB2312" w:eastAsia="仿宋_GB2312" w:cs="仿宋_GB2312"/>
          <w:sz w:val="32"/>
          <w:szCs w:val="32"/>
        </w:rPr>
        <w:t>以上五个项目已完成建设并通过验收</w:t>
      </w:r>
      <w:r>
        <w:rPr>
          <w:rFonts w:hint="eastAsia" w:ascii="仿宋_GB2312" w:hAnsi="宋体" w:eastAsia="仿宋_GB2312"/>
          <w:color w:val="000000" w:themeColor="text1"/>
          <w:sz w:val="32"/>
          <w:szCs w:val="32"/>
          <w:lang w:val="zh-CN"/>
        </w:rPr>
        <w:t>，完成绩效目标设定的任务量。符合绩效目标设定的验收标准，达到行业基准水平。</w:t>
      </w:r>
    </w:p>
    <w:p>
      <w:pPr>
        <w:adjustRightInd w:val="0"/>
        <w:snapToGrid w:val="0"/>
        <w:spacing w:line="576"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麻色阳德村产业发展项目，该项目全年预算数110万元，执行数为110万元，完成预算的97%。通过项目实施，购买红原县城境内商铺，促进麻色阳德村牧民群众的生活用品购买的便捷，提高幸福感。将在2024年拨付质量保证金。</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邛溪镇玛萨村易地扶贫搬迁定居点排水沟建设项目，该项目全年预算数45万元，执行数为45万元，完成预算的100%。通过新建易地扶贫搬迁定居点排水沟新建安置点排水沟1000米；新建安置点排水管1800米的项目实施，通过改善安置区的生产生活条件、</w:t>
      </w:r>
      <w:r>
        <w:fldChar w:fldCharType="begin"/>
      </w:r>
      <w:r>
        <w:instrText xml:space="preserve"> HYPERLINK "https://baike.so.com/doc/5947586-6160524.html" \t "https://baike.so.com/doc/_blank" </w:instrText>
      </w:r>
      <w:r>
        <w:fldChar w:fldCharType="separate"/>
      </w:r>
      <w:r>
        <w:rPr>
          <w:rFonts w:hint="eastAsia" w:ascii="仿宋_GB2312" w:hAnsi="仿宋_GB2312" w:eastAsia="仿宋_GB2312" w:cs="仿宋_GB2312"/>
          <w:sz w:val="32"/>
          <w:szCs w:val="32"/>
        </w:rPr>
        <w:t>调整经济结构</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和拓展增收渠道，帮助搬迁人口逐步脱贫致富，提高了人们的生活质量。</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实施邛溪镇达格龙村浴室改扩建项目，该项目全年预算数39万元，执行数为39万元，完成预算的100%。在原有浴室基础上进行改建，包括新建管理用房40平方米，排污管网铺设、新建围墙、场地绿化，通过此项目实施，保障农牧民日常生活中洗澡的需求，促进村集体经济收入、提高农牧民讲卫生意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川省红原县以工代赈示范工程项目，该全年预算数500万元，执行数为500万元，完成预算的100%。通过新建热坤村、玛萨村、麻色阳德村40公里牧道，保障牧民在定居点与远牧点之间道路的畅通，提高牧民群众的幸福感。</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热坤村村自驾游营地建设项目，该项目全年预算数400万元，执行数为400万元，完成预算的100%。通过新建村内活动中心一处，通过项目实施，该村的旅游收入将会有着大幅度的提高，村集体经济将会迈上一个新的台阶。</w:t>
      </w:r>
    </w:p>
    <w:p>
      <w:pPr>
        <w:adjustRightInd w:val="0"/>
        <w:snapToGrid w:val="0"/>
        <w:spacing w:line="576" w:lineRule="exact"/>
        <w:ind w:firstLine="640" w:firstLineChars="200"/>
        <w:rPr>
          <w:rFonts w:ascii="黑体" w:hAnsi="宋体" w:eastAsia="黑体" w:cs="黑体"/>
        </w:rPr>
      </w:pPr>
      <w:r>
        <w:rPr>
          <w:rFonts w:hint="eastAsia" w:ascii="黑体" w:hAnsi="宋体" w:eastAsia="黑体" w:cs="黑体"/>
          <w:sz w:val="32"/>
        </w:rPr>
        <w:t>七、评价结论及建议</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麻色阳德村产业发展项目、玛萨村易地扶贫搬迁定居点排水沟建设项目、邛溪镇达格龙村浴室改扩建项目、四川省红原县以工代赈示范工程项目、热坤村村自驾游营地建设项目，通过这五个项目的实施，</w:t>
      </w:r>
      <w:r>
        <w:rPr>
          <w:rFonts w:hint="eastAsia" w:ascii="仿宋_GB2312" w:eastAsia="仿宋_GB2312"/>
          <w:sz w:val="32"/>
          <w:szCs w:val="32"/>
        </w:rPr>
        <w:t>提升了邛溪镇的形象、维护社会安定团结起到十分重要的作用。也必将给红原县经济的腾飞，人民生活质量的提高带来新的变化。</w:t>
      </w:r>
    </w:p>
    <w:p>
      <w:pPr>
        <w:spacing w:line="576"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adjustRightInd w:val="0"/>
        <w:snapToGrid w:val="0"/>
        <w:spacing w:line="600" w:lineRule="exact"/>
        <w:ind w:firstLine="720"/>
        <w:rPr>
          <w:rFonts w:ascii="黑体" w:hAnsi="宋体" w:eastAsia="黑体"/>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4"/>
          <w:rFonts w:ascii="黑体" w:hAnsi="黑体" w:eastAsia="黑体"/>
          <w:b w:val="0"/>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94" w:name="_Toc15396618"/>
      <w:bookmarkStart w:id="95" w:name="_Toc57146386"/>
      <w:r>
        <w:rPr>
          <w:rFonts w:hint="eastAsia" w:ascii="黑体" w:hAnsi="黑体" w:eastAsia="黑体"/>
          <w:color w:val="000000"/>
          <w:sz w:val="44"/>
          <w:szCs w:val="44"/>
        </w:rPr>
        <w:t>第</w:t>
      </w:r>
      <w:r>
        <w:rPr>
          <w:rStyle w:val="24"/>
          <w:rFonts w:hint="eastAsia" w:ascii="黑体" w:hAnsi="黑体" w:eastAsia="黑体"/>
          <w:b w:val="0"/>
        </w:rPr>
        <w:t>五部分 附表</w:t>
      </w:r>
      <w:bookmarkEnd w:id="89"/>
      <w:bookmarkEnd w:id="94"/>
      <w:bookmarkEnd w:id="95"/>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96" w:name="_Toc57146387"/>
      <w:bookmarkStart w:id="97"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96"/>
      <w:bookmarkEnd w:id="97"/>
    </w:p>
    <w:p>
      <w:pPr>
        <w:pStyle w:val="4"/>
        <w:rPr>
          <w:rFonts w:ascii="仿宋" w:hAnsi="仿宋" w:eastAsia="仿宋"/>
          <w:color w:val="000000"/>
        </w:rPr>
      </w:pPr>
      <w:bookmarkStart w:id="98" w:name="_Toc57146388"/>
      <w:bookmarkStart w:id="99"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98"/>
      <w:bookmarkEnd w:id="99"/>
    </w:p>
    <w:p>
      <w:pPr>
        <w:pStyle w:val="4"/>
        <w:rPr>
          <w:rFonts w:ascii="仿宋" w:hAnsi="仿宋" w:eastAsia="仿宋"/>
          <w:color w:val="000000"/>
        </w:rPr>
      </w:pPr>
      <w:bookmarkStart w:id="100" w:name="_Toc15396621"/>
      <w:bookmarkStart w:id="101" w:name="_Toc57146389"/>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00"/>
      <w:bookmarkEnd w:id="101"/>
    </w:p>
    <w:p>
      <w:pPr>
        <w:pStyle w:val="4"/>
        <w:rPr>
          <w:rFonts w:ascii="仿宋" w:hAnsi="仿宋" w:eastAsia="仿宋"/>
          <w:b w:val="0"/>
          <w:color w:val="000000"/>
        </w:rPr>
      </w:pPr>
      <w:bookmarkStart w:id="102" w:name="_Toc15396622"/>
      <w:bookmarkStart w:id="103" w:name="_Toc57146390"/>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02"/>
      <w:bookmarkEnd w:id="103"/>
    </w:p>
    <w:p>
      <w:pPr>
        <w:pStyle w:val="4"/>
        <w:rPr>
          <w:rStyle w:val="25"/>
          <w:rFonts w:ascii="仿宋" w:hAnsi="仿宋" w:eastAsia="仿宋"/>
          <w:b w:val="0"/>
          <w:bCs w:val="0"/>
        </w:rPr>
      </w:pPr>
      <w:bookmarkStart w:id="104" w:name="_Toc57146391"/>
      <w:bookmarkStart w:id="105"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04"/>
      <w:bookmarkEnd w:id="105"/>
      <w:bookmarkStart w:id="106" w:name="_Toc15396624"/>
    </w:p>
    <w:p>
      <w:pPr>
        <w:pStyle w:val="4"/>
        <w:rPr>
          <w:rFonts w:ascii="仿宋" w:hAnsi="仿宋" w:eastAsia="仿宋"/>
          <w:color w:val="000000"/>
        </w:rPr>
      </w:pPr>
      <w:bookmarkStart w:id="107" w:name="_Toc57146392"/>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06"/>
      <w:bookmarkEnd w:id="107"/>
    </w:p>
    <w:p>
      <w:pPr>
        <w:pStyle w:val="4"/>
        <w:rPr>
          <w:rFonts w:ascii="仿宋" w:hAnsi="仿宋" w:eastAsia="仿宋"/>
          <w:color w:val="000000"/>
        </w:rPr>
      </w:pPr>
      <w:bookmarkStart w:id="108" w:name="_Toc15396625"/>
      <w:bookmarkStart w:id="109" w:name="_Toc57146393"/>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08"/>
      <w:bookmarkEnd w:id="109"/>
    </w:p>
    <w:p>
      <w:pPr>
        <w:pStyle w:val="4"/>
        <w:rPr>
          <w:rFonts w:ascii="仿宋" w:hAnsi="仿宋" w:eastAsia="仿宋"/>
          <w:color w:val="000000"/>
        </w:rPr>
      </w:pPr>
      <w:bookmarkStart w:id="110" w:name="_Toc57146394"/>
      <w:bookmarkStart w:id="111"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10"/>
      <w:bookmarkEnd w:id="111"/>
    </w:p>
    <w:p>
      <w:pPr>
        <w:pStyle w:val="4"/>
        <w:rPr>
          <w:rFonts w:ascii="仿宋" w:hAnsi="仿宋" w:eastAsia="仿宋"/>
          <w:color w:val="000000"/>
        </w:rPr>
      </w:pPr>
      <w:bookmarkStart w:id="112" w:name="_Toc15396627"/>
      <w:bookmarkStart w:id="113" w:name="_Toc57146395"/>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12"/>
      <w:bookmarkEnd w:id="113"/>
    </w:p>
    <w:p>
      <w:pPr>
        <w:pStyle w:val="4"/>
        <w:rPr>
          <w:rFonts w:ascii="仿宋" w:hAnsi="仿宋" w:eastAsia="仿宋"/>
          <w:color w:val="000000"/>
        </w:rPr>
      </w:pPr>
      <w:bookmarkStart w:id="114" w:name="_Toc15396628"/>
      <w:bookmarkStart w:id="115" w:name="_Toc57146396"/>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14"/>
      <w:bookmarkEnd w:id="115"/>
    </w:p>
    <w:p>
      <w:pPr>
        <w:pStyle w:val="4"/>
        <w:rPr>
          <w:rFonts w:ascii="仿宋" w:hAnsi="仿宋" w:eastAsia="仿宋"/>
          <w:color w:val="000000"/>
        </w:rPr>
      </w:pPr>
      <w:bookmarkStart w:id="116" w:name="_Toc57146397"/>
      <w:bookmarkStart w:id="117"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16"/>
      <w:bookmarkEnd w:id="117"/>
    </w:p>
    <w:p>
      <w:pPr>
        <w:pStyle w:val="4"/>
        <w:rPr>
          <w:rFonts w:ascii="仿宋" w:hAnsi="仿宋" w:eastAsia="仿宋"/>
          <w:color w:val="000000"/>
        </w:rPr>
      </w:pPr>
      <w:bookmarkStart w:id="118" w:name="_Toc57146398"/>
      <w:bookmarkStart w:id="119"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18"/>
      <w:bookmarkEnd w:id="119"/>
    </w:p>
    <w:p>
      <w:pPr>
        <w:pStyle w:val="4"/>
        <w:rPr>
          <w:rFonts w:ascii="仿宋" w:hAnsi="仿宋" w:eastAsia="仿宋"/>
          <w:color w:val="000000" w:themeColor="text1"/>
        </w:rPr>
      </w:pPr>
      <w:bookmarkStart w:id="120" w:name="_Toc15396631"/>
      <w:bookmarkStart w:id="121" w:name="_Toc57146399"/>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20"/>
      <w:bookmarkEnd w:id="12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5360DF"/>
    <w:multiLevelType w:val="singleLevel"/>
    <w:tmpl w:val="A95360DF"/>
    <w:lvl w:ilvl="0" w:tentative="0">
      <w:start w:val="2"/>
      <w:numFmt w:val="chineseCounting"/>
      <w:suff w:val="nothing"/>
      <w:lvlText w:val="（%1）"/>
      <w:lvlJc w:val="left"/>
      <w:rPr>
        <w:rFonts w:hint="eastAsia"/>
      </w:rPr>
    </w:lvl>
  </w:abstractNum>
  <w:abstractNum w:abstractNumId="1">
    <w:nsid w:val="AFF189DA"/>
    <w:multiLevelType w:val="singleLevel"/>
    <w:tmpl w:val="AFF189DA"/>
    <w:lvl w:ilvl="0" w:tentative="0">
      <w:start w:val="5"/>
      <w:numFmt w:val="decimal"/>
      <w:suff w:val="nothing"/>
      <w:lvlText w:val="（%1）"/>
      <w:lvlJc w:val="left"/>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4D9AF260"/>
    <w:multiLevelType w:val="singleLevel"/>
    <w:tmpl w:val="4D9AF260"/>
    <w:lvl w:ilvl="0" w:tentative="0">
      <w:start w:val="1"/>
      <w:numFmt w:val="chineseCounting"/>
      <w:suff w:val="nothing"/>
      <w:lvlText w:val="（%1）"/>
      <w:lvlJc w:val="left"/>
      <w:rPr>
        <w:rFonts w:hint="eastAsia"/>
        <w:lang w:val="en-US"/>
      </w:rPr>
    </w:lvl>
  </w:abstractNum>
  <w:abstractNum w:abstractNumId="6">
    <w:nsid w:val="51E23DFC"/>
    <w:multiLevelType w:val="singleLevel"/>
    <w:tmpl w:val="51E23DFC"/>
    <w:lvl w:ilvl="0" w:tentative="0">
      <w:start w:val="2"/>
      <w:numFmt w:val="decimal"/>
      <w:suff w:val="nothing"/>
      <w:lvlText w:val="（%1）"/>
      <w:lvlJc w:val="left"/>
    </w:lvl>
  </w:abstractNum>
  <w:num w:numId="1">
    <w:abstractNumId w:val="4"/>
  </w:num>
  <w:num w:numId="2">
    <w:abstractNumId w:val="2"/>
  </w:num>
  <w:num w:numId="3">
    <w:abstractNumId w:val="1"/>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TFjNTNhMzUyMThkNDY5OGMyYWYyMDQxYzlhMTMifQ=="/>
  </w:docVars>
  <w:rsids>
    <w:rsidRoot w:val="00F1361C"/>
    <w:rsid w:val="00001013"/>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42F7"/>
    <w:rsid w:val="00157BAB"/>
    <w:rsid w:val="001654D1"/>
    <w:rsid w:val="00167791"/>
    <w:rsid w:val="00174518"/>
    <w:rsid w:val="0018106D"/>
    <w:rsid w:val="001877A7"/>
    <w:rsid w:val="00191536"/>
    <w:rsid w:val="00196687"/>
    <w:rsid w:val="001C0962"/>
    <w:rsid w:val="001D7531"/>
    <w:rsid w:val="001E737D"/>
    <w:rsid w:val="001F0592"/>
    <w:rsid w:val="001F7506"/>
    <w:rsid w:val="002006CD"/>
    <w:rsid w:val="00202B36"/>
    <w:rsid w:val="002047EF"/>
    <w:rsid w:val="00204B7A"/>
    <w:rsid w:val="00204CDE"/>
    <w:rsid w:val="0021101A"/>
    <w:rsid w:val="00220536"/>
    <w:rsid w:val="00235629"/>
    <w:rsid w:val="00260C38"/>
    <w:rsid w:val="002613B6"/>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AD3"/>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5625A"/>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A6EB2"/>
    <w:rsid w:val="006B2422"/>
    <w:rsid w:val="006B2B9A"/>
    <w:rsid w:val="006C1937"/>
    <w:rsid w:val="006F020C"/>
    <w:rsid w:val="007127B7"/>
    <w:rsid w:val="00716762"/>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7F5EB4"/>
    <w:rsid w:val="00800112"/>
    <w:rsid w:val="00813348"/>
    <w:rsid w:val="008253BB"/>
    <w:rsid w:val="00833962"/>
    <w:rsid w:val="0083706E"/>
    <w:rsid w:val="008408F6"/>
    <w:rsid w:val="008418AF"/>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B94"/>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A13"/>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E372F"/>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0FD2"/>
    <w:rsid w:val="00BC289F"/>
    <w:rsid w:val="00BC2D50"/>
    <w:rsid w:val="00BC5361"/>
    <w:rsid w:val="00BC5460"/>
    <w:rsid w:val="00BC6B50"/>
    <w:rsid w:val="00BD0E25"/>
    <w:rsid w:val="00BD689C"/>
    <w:rsid w:val="00BF5BD6"/>
    <w:rsid w:val="00C03E31"/>
    <w:rsid w:val="00C30E69"/>
    <w:rsid w:val="00C33E72"/>
    <w:rsid w:val="00C354B2"/>
    <w:rsid w:val="00C35554"/>
    <w:rsid w:val="00C42709"/>
    <w:rsid w:val="00C431CD"/>
    <w:rsid w:val="00C533CC"/>
    <w:rsid w:val="00C5751C"/>
    <w:rsid w:val="00C61BFC"/>
    <w:rsid w:val="00C62B85"/>
    <w:rsid w:val="00C65438"/>
    <w:rsid w:val="00C87BFF"/>
    <w:rsid w:val="00C91CBB"/>
    <w:rsid w:val="00CB4E70"/>
    <w:rsid w:val="00CC09B6"/>
    <w:rsid w:val="00CC666F"/>
    <w:rsid w:val="00CD1E3F"/>
    <w:rsid w:val="00CE44F6"/>
    <w:rsid w:val="00CE49DA"/>
    <w:rsid w:val="00CE7B61"/>
    <w:rsid w:val="00CF45DC"/>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B3FD3"/>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4A1EB0"/>
    <w:rsid w:val="0B414480"/>
    <w:rsid w:val="0FCA4813"/>
    <w:rsid w:val="103877CF"/>
    <w:rsid w:val="10C055FF"/>
    <w:rsid w:val="12D5789E"/>
    <w:rsid w:val="1427495D"/>
    <w:rsid w:val="16BB723D"/>
    <w:rsid w:val="22EC38C3"/>
    <w:rsid w:val="240371BF"/>
    <w:rsid w:val="29FD04D3"/>
    <w:rsid w:val="2BB20A2E"/>
    <w:rsid w:val="2C2B71BE"/>
    <w:rsid w:val="30DD5E51"/>
    <w:rsid w:val="319F7F4E"/>
    <w:rsid w:val="36406FBD"/>
    <w:rsid w:val="37A94362"/>
    <w:rsid w:val="3DC12AD8"/>
    <w:rsid w:val="3E763BAA"/>
    <w:rsid w:val="3EEF0DA1"/>
    <w:rsid w:val="42C9624E"/>
    <w:rsid w:val="46902940"/>
    <w:rsid w:val="470C0864"/>
    <w:rsid w:val="49BC3EBF"/>
    <w:rsid w:val="4AC760B6"/>
    <w:rsid w:val="4B1931D8"/>
    <w:rsid w:val="4CC21A70"/>
    <w:rsid w:val="4ECE2238"/>
    <w:rsid w:val="4F196EBC"/>
    <w:rsid w:val="545F7F56"/>
    <w:rsid w:val="55547B9B"/>
    <w:rsid w:val="56725AAF"/>
    <w:rsid w:val="57A70DE1"/>
    <w:rsid w:val="5ACD0594"/>
    <w:rsid w:val="5B6375A5"/>
    <w:rsid w:val="5EF95654"/>
    <w:rsid w:val="60784902"/>
    <w:rsid w:val="608068E9"/>
    <w:rsid w:val="614970F3"/>
    <w:rsid w:val="61B72D1C"/>
    <w:rsid w:val="624C6396"/>
    <w:rsid w:val="637220CE"/>
    <w:rsid w:val="64071FC7"/>
    <w:rsid w:val="67D36880"/>
    <w:rsid w:val="6EBE2201"/>
    <w:rsid w:val="6FD84D05"/>
    <w:rsid w:val="7097254F"/>
    <w:rsid w:val="72734D90"/>
    <w:rsid w:val="73A26A21"/>
    <w:rsid w:val="75477DD4"/>
    <w:rsid w:val="7A8A3AF1"/>
    <w:rsid w:val="7DED69C9"/>
    <w:rsid w:val="7DFA0E35"/>
    <w:rsid w:val="7E3007A2"/>
    <w:rsid w:val="7E403A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1"/>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7"/>
    <w:unhideWhenUsed/>
    <w:qFormat/>
    <w:uiPriority w:val="99"/>
    <w:rPr>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2"/>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6"/>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3"/>
    <w:qFormat/>
    <w:uiPriority w:val="9"/>
    <w:rPr>
      <w:rFonts w:ascii="Times New Roman" w:hAnsi="Times New Roman"/>
      <w:b/>
      <w:bCs/>
      <w:kern w:val="44"/>
      <w:sz w:val="44"/>
      <w:szCs w:val="44"/>
    </w:rPr>
  </w:style>
  <w:style w:type="character" w:customStyle="1" w:styleId="25">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8"/>
    <w:semiHidden/>
    <w:qFormat/>
    <w:uiPriority w:val="99"/>
    <w:rPr>
      <w:rFonts w:ascii="Times New Roman" w:hAnsi="Times New Roman"/>
      <w:kern w:val="2"/>
      <w:sz w:val="18"/>
      <w:szCs w:val="18"/>
    </w:rPr>
  </w:style>
  <w:style w:type="character" w:customStyle="1" w:styleId="28">
    <w:name w:val="标题 3 Char"/>
    <w:basedOn w:val="13"/>
    <w:link w:val="5"/>
    <w:qFormat/>
    <w:uiPriority w:val="9"/>
    <w:rPr>
      <w:rFonts w:ascii="Times New Roman" w:hAnsi="Times New Roman"/>
      <w:b/>
      <w:bCs/>
      <w:kern w:val="2"/>
      <w:sz w:val="32"/>
      <w:szCs w:val="32"/>
    </w:rPr>
  </w:style>
  <w:style w:type="paragraph" w:customStyle="1" w:styleId="29">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a:t>
            </a:r>
            <a:r>
              <a:rPr lang="en-US" altLang="zh-CN"/>
              <a:t>2019</a:t>
            </a:r>
            <a:r>
              <a:rPr altLang="en-US"/>
              <a:t>年收支对比</a:t>
            </a:r>
            <a:endParaRPr altLang="en-US"/>
          </a:p>
        </c:rich>
      </c:tx>
      <c:layout/>
      <c:overlay val="0"/>
      <c:spPr>
        <a:noFill/>
        <a:ln>
          <a:noFill/>
        </a:ln>
        <a:effectLst/>
      </c:spPr>
    </c:title>
    <c:autoTitleDeleted val="0"/>
    <c:plotArea>
      <c:layout>
        <c:manualLayout>
          <c:layoutTarget val="inner"/>
          <c:xMode val="edge"/>
          <c:yMode val="edge"/>
          <c:x val="0.0472"/>
          <c:y val="0.2145"/>
          <c:w val="0.927925"/>
          <c:h val="0.716566666666667"/>
        </c:manualLayout>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2018年</c:v>
                </c:pt>
                <c:pt idx="1">
                  <c:v>2019年</c:v>
                </c:pt>
              </c:strCache>
            </c:strRef>
          </c:cat>
          <c:val>
            <c:numRef>
              <c:f>Sheet1!$B$2:$B$3</c:f>
              <c:numCache>
                <c:formatCode>General</c:formatCode>
                <c:ptCount val="2"/>
                <c:pt idx="0">
                  <c:v>2122.21</c:v>
                </c:pt>
                <c:pt idx="1">
                  <c:v>2158.39</c:v>
                </c:pt>
              </c:numCache>
            </c:numRef>
          </c:val>
        </c:ser>
        <c:ser>
          <c:idx val="1"/>
          <c:order val="1"/>
          <c:tx>
            <c:strRef>
              <c:f>Sheet1!$C$1</c:f>
              <c:strCache>
                <c:ptCount val="1"/>
                <c:pt idx="0">
                  <c:v>收入</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2018年</c:v>
                </c:pt>
                <c:pt idx="1">
                  <c:v>2019年</c:v>
                </c:pt>
              </c:strCache>
            </c:strRef>
          </c:cat>
          <c:val>
            <c:numRef>
              <c:f>Sheet1!$C$2:$C$3</c:f>
              <c:numCache>
                <c:formatCode>General</c:formatCode>
                <c:ptCount val="2"/>
                <c:pt idx="0">
                  <c:v>1587.64</c:v>
                </c:pt>
                <c:pt idx="1">
                  <c:v>1371.95</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2018年</c:v>
                </c:pt>
                <c:pt idx="1">
                  <c:v>2019年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133179264"/>
        <c:axId val="133205376"/>
      </c:barChart>
      <c:catAx>
        <c:axId val="1331792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3205376"/>
        <c:crosses val="autoZero"/>
        <c:auto val="1"/>
        <c:lblAlgn val="ctr"/>
        <c:lblOffset val="100"/>
        <c:noMultiLvlLbl val="0"/>
      </c:catAx>
      <c:valAx>
        <c:axId val="133205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317926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各类收入占比</a:t>
            </a:r>
            <a:endParaRPr altLang="en-US"/>
          </a:p>
        </c:rich>
      </c:tx>
      <c:layout/>
      <c:overlay val="0"/>
      <c:spPr>
        <a:noFill/>
        <a:ln>
          <a:noFill/>
        </a:ln>
        <a:effectLst/>
      </c:spPr>
    </c:title>
    <c:autoTitleDeleted val="0"/>
    <c:plotArea>
      <c:layout/>
      <c:pieChart>
        <c:varyColors val="1"/>
        <c:ser>
          <c:idx val="0"/>
          <c:order val="0"/>
          <c:tx>
            <c:strRef>
              <c:f>Sheet1!$B$1</c:f>
              <c:strCache>
                <c:ptCount val="1"/>
                <c:pt idx="0">
                  <c:v>列1</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1370.23</c:v>
                </c:pt>
                <c:pt idx="1">
                  <c:v>1.72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各类支出占比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773.23</c:v>
                </c:pt>
                <c:pt idx="1">
                  <c:v>1385.15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2018年</c:v>
                </c:pt>
                <c:pt idx="1">
                  <c:v>2019年</c:v>
                </c:pt>
              </c:strCache>
            </c:strRef>
          </c:cat>
          <c:val>
            <c:numRef>
              <c:f>Sheet1!$B$2:$B$3</c:f>
              <c:numCache>
                <c:formatCode>General</c:formatCode>
                <c:ptCount val="2"/>
                <c:pt idx="0">
                  <c:v>1586.69</c:v>
                </c:pt>
                <c:pt idx="1">
                  <c:v>1370.23</c:v>
                </c:pt>
              </c:numCache>
            </c:numRef>
          </c:val>
        </c:ser>
        <c:ser>
          <c:idx val="1"/>
          <c:order val="1"/>
          <c:tx>
            <c:strRef>
              <c:f>Sheet1!$C$1</c:f>
              <c:strCache>
                <c:ptCount val="1"/>
                <c:pt idx="0">
                  <c:v>支出</c:v>
                </c:pt>
              </c:strCache>
            </c:strRef>
          </c:tx>
          <c:spPr>
            <a:solidFill>
              <a:schemeClr val="accent2"/>
            </a:solidFill>
            <a:ln>
              <a:noFill/>
            </a:ln>
            <a:effectLst/>
          </c:spPr>
          <c:invertIfNegative val="0"/>
          <c:dLbls>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2156.86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2018年</c:v>
                </c:pt>
                <c:pt idx="1">
                  <c:v>2019年</c:v>
                </c:pt>
              </c:strCache>
            </c:strRef>
          </c:cat>
          <c:val>
            <c:numRef>
              <c:f>Sheet1!$C$2:$C$3</c:f>
              <c:numCache>
                <c:formatCode>General</c:formatCode>
                <c:ptCount val="2"/>
                <c:pt idx="0">
                  <c:v>2122.21</c:v>
                </c:pt>
                <c:pt idx="1">
                  <c:v>2158.39</c:v>
                </c:pt>
              </c:numCache>
            </c:numRef>
          </c:val>
        </c:ser>
        <c:dLbls>
          <c:showLegendKey val="0"/>
          <c:showVal val="1"/>
          <c:showCatName val="0"/>
          <c:showSerName val="0"/>
          <c:showPercent val="0"/>
          <c:showBubbleSize val="0"/>
        </c:dLbls>
        <c:gapWidth val="219"/>
        <c:overlap val="-27"/>
        <c:axId val="157756032"/>
        <c:axId val="157762304"/>
      </c:barChart>
      <c:catAx>
        <c:axId val="1577560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762304"/>
        <c:crosses val="autoZero"/>
        <c:auto val="1"/>
        <c:lblAlgn val="ctr"/>
        <c:lblOffset val="100"/>
        <c:noMultiLvlLbl val="0"/>
      </c:catAx>
      <c:valAx>
        <c:axId val="1577623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7560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03350031696489"/>
          <c:y val="0.235429688821111"/>
          <c:w val="0.925848765432099"/>
          <c:h val="0.580202419155764"/>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2122.21</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2156.86</c:v>
                </c:pt>
              </c:numCache>
            </c:numRef>
          </c:val>
        </c:ser>
        <c:dLbls>
          <c:showLegendKey val="0"/>
          <c:showVal val="0"/>
          <c:showCatName val="0"/>
          <c:showSerName val="0"/>
          <c:showPercent val="0"/>
          <c:showBubbleSize val="0"/>
        </c:dLbls>
        <c:gapWidth val="219"/>
        <c:overlap val="-27"/>
        <c:axId val="158072832"/>
        <c:axId val="158074368"/>
      </c:barChart>
      <c:catAx>
        <c:axId val="1580728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8074368"/>
        <c:crosses val="autoZero"/>
        <c:auto val="1"/>
        <c:lblAlgn val="ctr"/>
        <c:lblOffset val="100"/>
        <c:noMultiLvlLbl val="0"/>
      </c:catAx>
      <c:valAx>
        <c:axId val="1580743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80728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一般公共服务（类）</c:v>
                </c:pt>
                <c:pt idx="1">
                  <c:v>社会保障和就业（类）</c:v>
                </c:pt>
                <c:pt idx="2">
                  <c:v>卫生健康支出</c:v>
                </c:pt>
              </c:strCache>
            </c:strRef>
          </c:cat>
          <c:val>
            <c:numRef>
              <c:f>Sheet1!$B$2:$B$4</c:f>
              <c:numCache>
                <c:formatCode>General</c:formatCode>
                <c:ptCount val="3"/>
                <c:pt idx="0">
                  <c:v>605.79</c:v>
                </c:pt>
                <c:pt idx="1">
                  <c:v>158.42</c:v>
                </c:pt>
                <c:pt idx="2">
                  <c:v>39.83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公务用车运行维护费</c:v>
                </c:pt>
                <c:pt idx="1">
                  <c:v>公务接待费</c:v>
                </c:pt>
              </c:strCache>
            </c:strRef>
          </c:cat>
          <c:val>
            <c:numRef>
              <c:f>Sheet1!$B$2:$B$3</c:f>
              <c:numCache>
                <c:formatCode>0%</c:formatCode>
                <c:ptCount val="2"/>
                <c:pt idx="0">
                  <c:v>0.92</c:v>
                </c:pt>
                <c:pt idx="1">
                  <c:v>0.0789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61DE8-E01D-4E72-8988-0900DBB1378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22467</Words>
  <Characters>24053</Characters>
  <Lines>212</Lines>
  <Paragraphs>59</Paragraphs>
  <TotalTime>54</TotalTime>
  <ScaleCrop>false</ScaleCrop>
  <LinksUpToDate>false</LinksUpToDate>
  <CharactersWithSpaces>24243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2020-11-05T09:15:00Z</dcterms:created>
  <dc:creator>曹颖</dc:creator>
  <cp:lastModifiedBy>目纹</cp:lastModifiedBy>
  <cp:lastPrinted>2020-11-20T05:51:00Z</cp:lastPrinted>
  <dcterms:modified xsi:type="dcterms:W3CDTF">2023-07-18T08:30:45Z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43271401F2EA4C5BA09B4599EFBD9E3C_13</vt:lpwstr>
  </property>
</Properties>
</file>