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hint="eastAsia" w:ascii="Times New Roman" w:hAnsi="Times New Roman" w:eastAsia="方正小标宋简体" w:cs="Times New Roman"/>
          <w:color w:val="auto"/>
          <w:kern w:val="2"/>
          <w:sz w:val="72"/>
          <w:szCs w:val="72"/>
          <w:highlight w:val="none"/>
          <w:lang w:val="en-US" w:eastAsia="zh-CN" w:bidi="ar-SA"/>
        </w:rPr>
      </w:pPr>
      <w:bookmarkStart w:id="0" w:name="_Toc15377425"/>
      <w:bookmarkStart w:id="1" w:name="_Toc15396597"/>
      <w:bookmarkStart w:id="2" w:name="_Toc15377193"/>
      <w:bookmarkStart w:id="3" w:name="_Toc15378441"/>
      <w:bookmarkStart w:id="4" w:name="_Toc15396475"/>
      <w:bookmarkStart w:id="5" w:name="_Toc15306267"/>
    </w:p>
    <w:p>
      <w:pPr>
        <w:pStyle w:val="5"/>
        <w:rPr>
          <w:rFonts w:hint="eastAsia" w:ascii="Times New Roman" w:hAnsi="Times New Roman" w:eastAsia="方正小标宋简体" w:cs="Times New Roman"/>
          <w:color w:val="auto"/>
          <w:kern w:val="2"/>
          <w:sz w:val="72"/>
          <w:szCs w:val="72"/>
          <w:highlight w:val="none"/>
          <w:lang w:val="en-US" w:eastAsia="zh-CN" w:bidi="ar-SA"/>
        </w:rPr>
      </w:pPr>
    </w:p>
    <w:p>
      <w:pPr>
        <w:pStyle w:val="5"/>
        <w:rPr>
          <w:rFonts w:hint="eastAsia" w:ascii="Times New Roman" w:hAnsi="Times New Roman" w:eastAsia="方正小标宋简体" w:cs="Times New Roman"/>
          <w:color w:val="auto"/>
          <w:kern w:val="2"/>
          <w:sz w:val="72"/>
          <w:szCs w:val="72"/>
          <w:highlight w:val="none"/>
          <w:lang w:val="en-US" w:eastAsia="zh-CN" w:bidi="ar-SA"/>
        </w:rPr>
      </w:pPr>
    </w:p>
    <w:p>
      <w:pPr>
        <w:pStyle w:val="5"/>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2024年度省级部门（单位）</w:t>
      </w:r>
    </w:p>
    <w:p>
      <w:pPr>
        <w:pStyle w:val="5"/>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决算公开</w:t>
      </w:r>
    </w:p>
    <w:p>
      <w:pPr>
        <w:spacing w:line="600" w:lineRule="exact"/>
        <w:jc w:val="center"/>
        <w:outlineLvl w:val="0"/>
        <w:rPr>
          <w:rFonts w:ascii="Times New Roman" w:hAnsi="Times New Roman" w:eastAsia="方正小标宋简体"/>
          <w:color w:val="auto"/>
          <w:sz w:val="72"/>
          <w:szCs w:val="72"/>
          <w:highlight w:val="none"/>
        </w:rPr>
      </w:pPr>
    </w:p>
    <w:p>
      <w:pPr>
        <w:pStyle w:val="20"/>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pPr>
        <w:rPr>
          <w:rFonts w:ascii="Times New Roman" w:hAnsi="Times New Roman"/>
        </w:rPr>
      </w:pPr>
    </w:p>
    <w:p>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pPr>
        <w:pStyle w:val="5"/>
        <w:jc w:val="center"/>
        <w:rPr>
          <w:rFonts w:hint="eastAsia" w:ascii="Times New Roman" w:eastAsia="方正小标宋简体" w:cs="Times New Roman"/>
          <w:color w:val="auto"/>
          <w:kern w:val="2"/>
          <w:sz w:val="44"/>
          <w:szCs w:val="44"/>
          <w:highlight w:val="none"/>
          <w:lang w:val="en-US" w:eastAsia="zh-CN" w:bidi="ar-SA"/>
        </w:rPr>
      </w:pPr>
      <w:bookmarkStart w:id="6" w:name="_Toc15377194"/>
      <w:bookmarkStart w:id="7" w:name="_Toc15377426"/>
      <w:bookmarkStart w:id="8" w:name="_Toc15396598"/>
      <w:bookmarkStart w:id="9" w:name="_Toc15378442"/>
      <w:bookmarkStart w:id="10" w:name="_Toc15396476"/>
      <w:r>
        <w:rPr>
          <w:rFonts w:hint="eastAsia" w:ascii="Times New Roman" w:hAnsi="Times New Roman" w:eastAsia="方正小标宋简体" w:cs="Times New Roman"/>
          <w:color w:val="auto"/>
          <w:kern w:val="2"/>
          <w:sz w:val="44"/>
          <w:szCs w:val="44"/>
          <w:highlight w:val="none"/>
          <w:lang w:val="en-US" w:eastAsia="zh-CN" w:bidi="ar-SA"/>
        </w:rPr>
        <w:t>2024年度四川省</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阿坝州红原县委县政府</w:t>
      </w:r>
    </w:p>
    <w:p>
      <w:pPr>
        <w:pStyle w:val="5"/>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联动指挥中心</w:t>
      </w:r>
      <w:r>
        <w:rPr>
          <w:rFonts w:hint="eastAsia" w:ascii="Times New Roman" w:hAnsi="Times New Roman" w:eastAsia="方正小标宋简体" w:cs="Times New Roman"/>
          <w:color w:val="auto"/>
          <w:kern w:val="2"/>
          <w:sz w:val="44"/>
          <w:szCs w:val="44"/>
          <w:highlight w:val="none"/>
          <w:lang w:val="en-US" w:eastAsia="zh-CN" w:bidi="ar-SA"/>
        </w:rPr>
        <w:t>部门决算</w:t>
      </w:r>
      <w:bookmarkEnd w:id="6"/>
      <w:bookmarkEnd w:id="7"/>
      <w:bookmarkEnd w:id="8"/>
      <w:bookmarkEnd w:id="9"/>
      <w:bookmarkEnd w:id="10"/>
      <w:bookmarkEnd w:id="11"/>
    </w:p>
    <w:p>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28</w:t>
      </w:r>
      <w:bookmarkStart w:id="67" w:name="_GoBack"/>
      <w:bookmarkEnd w:id="67"/>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2"/>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.............1</w:t>
      </w:r>
    </w:p>
    <w:p>
      <w:pPr>
        <w:pStyle w:val="12"/>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............1</w:t>
      </w:r>
    </w:p>
    <w:p>
      <w:pPr>
        <w:pStyle w:val="12"/>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二、机构设置</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............2</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一、收入支出决算总体情况说明</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二、收入决算情况说明</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三、支出决算情况说明</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ascii="楷体" w:hAnsi="楷体" w:eastAsia="楷体" w:cs="楷体"/>
          <w:color w:val="000000"/>
          <w:sz w:val="30"/>
          <w:szCs w:val="30"/>
          <w:lang w:val="en-US" w:eastAsia="zh-CN"/>
        </w:rPr>
        <w:t>............5</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ascii="楷体" w:hAnsi="楷体" w:eastAsia="楷体" w:cs="楷体"/>
          <w:color w:val="000000"/>
          <w:sz w:val="30"/>
          <w:szCs w:val="30"/>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ascii="楷体" w:hAnsi="楷体" w:eastAsia="楷体" w:cs="楷体"/>
          <w:color w:val="000000"/>
          <w:sz w:val="30"/>
          <w:szCs w:val="30"/>
          <w:lang w:val="en-US" w:eastAsia="zh-CN"/>
        </w:rPr>
        <w:t>....8</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ascii="楷体" w:hAnsi="楷体" w:eastAsia="楷体" w:cs="楷体"/>
          <w:color w:val="000000"/>
          <w:sz w:val="30"/>
          <w:szCs w:val="30"/>
          <w:lang w:val="en-US" w:eastAsia="zh-CN"/>
        </w:rPr>
        <w:t>........8</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八、政府性基金预算支出决算情况说明</w:t>
      </w:r>
      <w:r>
        <w:rPr>
          <w:rFonts w:hint="eastAsia" w:ascii="楷体" w:hAnsi="楷体" w:eastAsia="楷体" w:cs="楷体"/>
          <w:color w:val="000000"/>
          <w:sz w:val="30"/>
          <w:szCs w:val="30"/>
          <w:lang w:val="en-US" w:eastAsia="zh-CN"/>
        </w:rPr>
        <w:t>..............9</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ascii="楷体" w:hAnsi="楷体" w:eastAsia="楷体" w:cs="楷体"/>
          <w:color w:val="000000"/>
          <w:sz w:val="30"/>
          <w:szCs w:val="30"/>
          <w:lang w:val="en-US" w:eastAsia="zh-CN"/>
        </w:rPr>
        <w:t>............9</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ascii="楷体" w:hAnsi="楷体" w:eastAsia="楷体" w:cs="楷体"/>
          <w:color w:val="000000"/>
          <w:sz w:val="30"/>
          <w:szCs w:val="30"/>
          <w:lang w:val="en-US" w:eastAsia="zh-CN"/>
        </w:rPr>
        <w:t>.......................9</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第三部分 名词解释</w:t>
      </w:r>
      <w:r>
        <w:rPr>
          <w:rFonts w:hint="eastAsia" w:ascii="楷体" w:hAnsi="楷体" w:eastAsia="楷体" w:cs="楷体"/>
          <w:color w:val="000000"/>
          <w:sz w:val="30"/>
          <w:szCs w:val="30"/>
          <w:lang w:val="en-US" w:eastAsia="zh-CN"/>
        </w:rPr>
        <w:t>...................................11</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第四部分 附件</w:t>
      </w:r>
      <w:r>
        <w:rPr>
          <w:rFonts w:hint="eastAsia" w:ascii="楷体" w:hAnsi="楷体" w:eastAsia="楷体" w:cs="楷体"/>
          <w:color w:val="000000"/>
          <w:sz w:val="30"/>
          <w:szCs w:val="30"/>
          <w:lang w:val="en-US" w:eastAsia="zh-CN"/>
        </w:rPr>
        <w:t>.......................................14</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第五部分 附表</w:t>
      </w:r>
      <w:r>
        <w:rPr>
          <w:rFonts w:hint="eastAsia" w:ascii="楷体" w:hAnsi="楷体" w:eastAsia="楷体" w:cs="楷体"/>
          <w:color w:val="000000"/>
          <w:sz w:val="30"/>
          <w:szCs w:val="30"/>
          <w:lang w:val="en-US" w:eastAsia="zh-CN"/>
        </w:rPr>
        <w:t>.......................................21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一、收入支出决算总表</w:t>
      </w:r>
      <w:r>
        <w:rPr>
          <w:rFonts w:hint="eastAsia" w:ascii="楷体" w:hAnsi="楷体" w:eastAsia="楷体" w:cs="楷体"/>
          <w:color w:val="000000"/>
          <w:sz w:val="30"/>
          <w:szCs w:val="30"/>
          <w:lang w:val="en-US" w:eastAsia="zh-CN"/>
        </w:rPr>
        <w:t>...........................21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r>
        <w:rPr>
          <w:rFonts w:hint="eastAsia" w:ascii="楷体" w:hAnsi="楷体" w:eastAsia="楷体" w:cs="楷体"/>
          <w:color w:val="000000"/>
          <w:sz w:val="30"/>
          <w:szCs w:val="30"/>
          <w:lang w:val="en-US" w:eastAsia="zh-CN"/>
        </w:rPr>
        <w:t>.................................21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三、支出决算表</w:t>
      </w:r>
      <w:r>
        <w:rPr>
          <w:rFonts w:hint="eastAsia" w:ascii="楷体" w:hAnsi="楷体" w:eastAsia="楷体" w:cs="楷体"/>
          <w:color w:val="000000"/>
          <w:sz w:val="30"/>
          <w:szCs w:val="30"/>
          <w:lang w:val="en-US" w:eastAsia="zh-CN"/>
        </w:rPr>
        <w:t>.................................21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r>
        <w:rPr>
          <w:rFonts w:hint="eastAsia" w:ascii="楷体" w:hAnsi="楷体" w:eastAsia="楷体" w:cs="楷体"/>
          <w:color w:val="000000"/>
          <w:sz w:val="30"/>
          <w:szCs w:val="30"/>
          <w:lang w:val="en-US" w:eastAsia="zh-CN"/>
        </w:rPr>
        <w:t>....................21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r>
        <w:rPr>
          <w:rFonts w:hint="eastAsia" w:ascii="楷体" w:hAnsi="楷体" w:eastAsia="楷体" w:cs="楷体"/>
          <w:color w:val="000000"/>
          <w:sz w:val="30"/>
          <w:szCs w:val="30"/>
          <w:lang w:val="en-US" w:eastAsia="zh-CN"/>
        </w:rPr>
        <w:t>......................21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r>
        <w:rPr>
          <w:rFonts w:hint="eastAsia" w:ascii="楷体" w:hAnsi="楷体" w:eastAsia="楷体" w:cs="楷体"/>
          <w:color w:val="000000"/>
          <w:sz w:val="30"/>
          <w:szCs w:val="30"/>
          <w:lang w:val="en-US" w:eastAsia="zh-CN"/>
        </w:rPr>
        <w:t>.............21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ascii="楷体" w:hAnsi="楷体" w:eastAsia="楷体" w:cs="楷体"/>
          <w:color w:val="000000"/>
          <w:sz w:val="30"/>
          <w:szCs w:val="30"/>
          <w:lang w:val="en-US" w:eastAsia="zh-CN"/>
        </w:rPr>
        <w:t>.........21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ascii="楷体" w:hAnsi="楷体" w:eastAsia="楷体" w:cs="楷体"/>
          <w:color w:val="000000"/>
          <w:sz w:val="30"/>
          <w:szCs w:val="30"/>
          <w:lang w:val="en-US" w:eastAsia="zh-CN"/>
        </w:rPr>
        <w:t>.....21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ascii="楷体" w:hAnsi="楷体" w:eastAsia="楷体" w:cs="楷体"/>
          <w:color w:val="000000"/>
          <w:sz w:val="30"/>
          <w:szCs w:val="30"/>
          <w:lang w:val="en-US" w:eastAsia="zh-CN"/>
        </w:rPr>
        <w:t>.........21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ascii="楷体" w:hAnsi="楷体" w:eastAsia="楷体" w:cs="楷体"/>
          <w:color w:val="000000"/>
          <w:sz w:val="30"/>
          <w:szCs w:val="30"/>
          <w:lang w:val="en-US" w:eastAsia="zh-CN"/>
        </w:rPr>
        <w:t>.......21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ascii="楷体" w:hAnsi="楷体" w:eastAsia="楷体" w:cs="楷体"/>
          <w:color w:val="000000"/>
          <w:sz w:val="30"/>
          <w:szCs w:val="30"/>
          <w:lang w:val="en-US" w:eastAsia="zh-CN"/>
        </w:rPr>
        <w:t>...21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ascii="楷体" w:hAnsi="楷体" w:eastAsia="楷体" w:cs="楷体"/>
          <w:color w:val="000000"/>
          <w:sz w:val="30"/>
          <w:szCs w:val="30"/>
          <w:lang w:val="en-US" w:eastAsia="zh-CN"/>
        </w:rPr>
        <w:t>.......21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r>
        <w:rPr>
          <w:rFonts w:hint="eastAsia" w:ascii="楷体" w:hAnsi="楷体" w:eastAsia="楷体" w:cs="楷体"/>
          <w:color w:val="000000"/>
          <w:sz w:val="30"/>
          <w:szCs w:val="30"/>
          <w:lang w:val="en-US" w:eastAsia="zh-CN"/>
        </w:rPr>
        <w:t>............21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p>
    <w:p>
      <w:pPr>
        <w:pStyle w:val="2"/>
        <w:jc w:val="center"/>
        <w:rPr>
          <w:rFonts w:hint="eastAsia" w:ascii="Times New Roman" w:hAnsi="Times New Roman" w:eastAsia="方正小标宋简体" w:cs="方正小标宋简体"/>
          <w:b w:val="0"/>
          <w:color w:val="auto"/>
          <w:highlight w:val="none"/>
        </w:rPr>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pPr>
      <w:bookmarkStart w:id="12" w:name="_Toc15396599"/>
      <w:bookmarkStart w:id="13" w:name="_Toc15377196"/>
    </w:p>
    <w:p>
      <w:pPr>
        <w:pStyle w:val="2"/>
        <w:jc w:val="center"/>
        <w:rPr>
          <w:rStyle w:val="29"/>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12"/>
      <w:bookmarkEnd w:id="13"/>
    </w:p>
    <w:p>
      <w:pPr>
        <w:widowControl/>
        <w:jc w:val="left"/>
        <w:rPr>
          <w:rFonts w:ascii="Times New Roman" w:hAnsi="Times New Roman" w:eastAsia="黑体"/>
          <w:color w:val="auto"/>
          <w:sz w:val="32"/>
          <w:szCs w:val="32"/>
          <w:highlight w:val="none"/>
        </w:rPr>
      </w:pPr>
    </w:p>
    <w:p>
      <w:pPr>
        <w:pStyle w:val="3"/>
        <w:numPr>
          <w:ilvl w:val="0"/>
          <w:numId w:val="1"/>
        </w:numPr>
        <w:rPr>
          <w:rFonts w:hint="eastAsia" w:ascii="仿宋_GB2312" w:hAnsi="仿宋" w:eastAsia="仿宋_GB2312"/>
          <w:sz w:val="32"/>
          <w:szCs w:val="32"/>
        </w:rPr>
      </w:pPr>
      <w:r>
        <w:rPr>
          <w:rFonts w:hint="eastAsia" w:ascii="Times New Roman" w:hAnsi="Times New Roman" w:eastAsia="黑体"/>
          <w:b w:val="0"/>
          <w:color w:val="auto"/>
          <w:highlight w:val="none"/>
          <w:lang w:eastAsia="zh-CN"/>
        </w:rPr>
        <w:t>部门职责</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60"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w:t>
      </w:r>
      <w:r>
        <w:rPr>
          <w:rFonts w:hint="eastAsia" w:ascii="仿宋_GB2312" w:eastAsia="仿宋_GB2312" w:cs="仿宋_GB2312"/>
          <w:b w:val="0"/>
          <w:bCs w:val="0"/>
          <w:kern w:val="0"/>
          <w:sz w:val="32"/>
          <w:szCs w:val="32"/>
          <w:lang w:val="en-US" w:eastAsia="zh-CN"/>
        </w:rPr>
        <w:t>一</w:t>
      </w:r>
      <w:r>
        <w:rPr>
          <w:rFonts w:hint="default" w:ascii="仿宋_GB2312" w:eastAsia="仿宋_GB2312" w:cs="仿宋_GB2312"/>
          <w:b w:val="0"/>
          <w:bCs w:val="0"/>
          <w:kern w:val="0"/>
          <w:sz w:val="32"/>
          <w:szCs w:val="32"/>
        </w:rPr>
        <w:t>）受县委、县政府的委托、代表县联动指挥中心行使应急指挥权利；</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60"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w:t>
      </w:r>
      <w:r>
        <w:rPr>
          <w:rFonts w:hint="eastAsia" w:ascii="仿宋_GB2312" w:eastAsia="仿宋_GB2312" w:cs="仿宋_GB2312"/>
          <w:b w:val="0"/>
          <w:bCs w:val="0"/>
          <w:kern w:val="0"/>
          <w:sz w:val="32"/>
          <w:szCs w:val="32"/>
          <w:lang w:val="en-US" w:eastAsia="zh-CN"/>
        </w:rPr>
        <w:t>二</w:t>
      </w:r>
      <w:r>
        <w:rPr>
          <w:rFonts w:hint="default" w:ascii="仿宋_GB2312" w:eastAsia="仿宋_GB2312" w:cs="仿宋_GB2312"/>
          <w:b w:val="0"/>
          <w:bCs w:val="0"/>
          <w:kern w:val="0"/>
          <w:sz w:val="32"/>
          <w:szCs w:val="32"/>
        </w:rPr>
        <w:t>）负责对中心入驻的六大中心工作人员的管理，负责对七大平台数据的收集和分析研判，并代表县委、政府和县联动指挥中心对重大事件和突发事件的应急指挥工作；</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60"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w:t>
      </w:r>
      <w:r>
        <w:rPr>
          <w:rFonts w:hint="eastAsia" w:ascii="仿宋_GB2312" w:eastAsia="仿宋_GB2312" w:cs="仿宋_GB2312"/>
          <w:b w:val="0"/>
          <w:bCs w:val="0"/>
          <w:kern w:val="0"/>
          <w:sz w:val="32"/>
          <w:szCs w:val="32"/>
          <w:lang w:val="en-US" w:eastAsia="zh-CN"/>
        </w:rPr>
        <w:t>三</w:t>
      </w:r>
      <w:r>
        <w:rPr>
          <w:rFonts w:hint="default" w:ascii="仿宋_GB2312" w:eastAsia="仿宋_GB2312" w:cs="仿宋_GB2312"/>
          <w:b w:val="0"/>
          <w:bCs w:val="0"/>
          <w:kern w:val="0"/>
          <w:sz w:val="32"/>
          <w:szCs w:val="32"/>
        </w:rPr>
        <w:t>）负责组织督促；落实县委、县政府和县联动指挥中心下达的指令或工作安排部署，根据工作的实际情况和需要，适时召开联动部门工作协调会，研究解决有关联动服务事宜和问题；</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60"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w:t>
      </w:r>
      <w:r>
        <w:rPr>
          <w:rFonts w:hint="eastAsia" w:ascii="仿宋_GB2312" w:eastAsia="仿宋_GB2312" w:cs="仿宋_GB2312"/>
          <w:b w:val="0"/>
          <w:bCs w:val="0"/>
          <w:kern w:val="0"/>
          <w:sz w:val="32"/>
          <w:szCs w:val="32"/>
          <w:lang w:val="en-US" w:eastAsia="zh-CN"/>
        </w:rPr>
        <w:t>四</w:t>
      </w:r>
      <w:r>
        <w:rPr>
          <w:rFonts w:hint="default" w:ascii="仿宋_GB2312" w:eastAsia="仿宋_GB2312" w:cs="仿宋_GB2312"/>
          <w:b w:val="0"/>
          <w:bCs w:val="0"/>
          <w:kern w:val="0"/>
          <w:sz w:val="32"/>
          <w:szCs w:val="32"/>
        </w:rPr>
        <w:t>）负责对重要信息的收集、报送工作，对全县应急处突、渉稳事件、安全生产急救、自然灾害等重大事件的协调工作，同时做好处置工作记录，并逐日归类汇总并备案；</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60"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w:t>
      </w:r>
      <w:r>
        <w:rPr>
          <w:rFonts w:hint="eastAsia" w:ascii="仿宋_GB2312" w:eastAsia="仿宋_GB2312" w:cs="仿宋_GB2312"/>
          <w:b w:val="0"/>
          <w:bCs w:val="0"/>
          <w:kern w:val="0"/>
          <w:sz w:val="32"/>
          <w:szCs w:val="32"/>
          <w:lang w:val="en-US" w:eastAsia="zh-CN"/>
        </w:rPr>
        <w:t>五</w:t>
      </w:r>
      <w:r>
        <w:rPr>
          <w:rFonts w:hint="default" w:ascii="仿宋_GB2312" w:eastAsia="仿宋_GB2312" w:cs="仿宋_GB2312"/>
          <w:b w:val="0"/>
          <w:bCs w:val="0"/>
          <w:kern w:val="0"/>
          <w:sz w:val="32"/>
          <w:szCs w:val="32"/>
        </w:rPr>
        <w:t>）负责组织、督促有关部门抓好民生服务工作，矛盾纠纷排查化解工作。开展调查研究，对重大情况和问题应及时进行分析研判，并向县政府提交研判报告；</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60"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w:t>
      </w:r>
      <w:r>
        <w:rPr>
          <w:rFonts w:hint="eastAsia" w:ascii="仿宋_GB2312" w:eastAsia="仿宋_GB2312" w:cs="仿宋_GB2312"/>
          <w:b w:val="0"/>
          <w:bCs w:val="0"/>
          <w:kern w:val="0"/>
          <w:sz w:val="32"/>
          <w:szCs w:val="32"/>
          <w:lang w:val="en-US" w:eastAsia="zh-CN"/>
        </w:rPr>
        <w:t>六</w:t>
      </w:r>
      <w:r>
        <w:rPr>
          <w:rFonts w:hint="default" w:ascii="仿宋_GB2312" w:eastAsia="仿宋_GB2312" w:cs="仿宋_GB2312"/>
          <w:b w:val="0"/>
          <w:bCs w:val="0"/>
          <w:kern w:val="0"/>
          <w:sz w:val="32"/>
          <w:szCs w:val="32"/>
        </w:rPr>
        <w:t>）负责建立健全联动指挥中心各项规章制度；</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60"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w:t>
      </w:r>
      <w:r>
        <w:rPr>
          <w:rFonts w:hint="eastAsia" w:ascii="仿宋_GB2312" w:eastAsia="仿宋_GB2312" w:cs="仿宋_GB2312"/>
          <w:b w:val="0"/>
          <w:bCs w:val="0"/>
          <w:kern w:val="0"/>
          <w:sz w:val="32"/>
          <w:szCs w:val="32"/>
          <w:lang w:val="en-US" w:eastAsia="zh-CN"/>
        </w:rPr>
        <w:t>七</w:t>
      </w:r>
      <w:r>
        <w:rPr>
          <w:rFonts w:hint="default" w:ascii="仿宋_GB2312" w:eastAsia="仿宋_GB2312" w:cs="仿宋_GB2312"/>
          <w:b w:val="0"/>
          <w:bCs w:val="0"/>
          <w:kern w:val="0"/>
          <w:sz w:val="32"/>
          <w:szCs w:val="32"/>
        </w:rPr>
        <w:t>）负责协助和管理县民族宗教局入驻人员开展寺庙网格化精准服务系统管理工作；负责协助和管理县公安局入驻人员做好联动指挥中心系统维护以及天网视频调度工作；负责协助和管理县矛盾纠纷“大调解”中心做好全县大调解工作和基层大调解指导工作；负责协助和管理其它入驻单位的工作人员开展相关工作。</w:t>
      </w:r>
    </w:p>
    <w:p>
      <w:pPr>
        <w:pStyle w:val="36"/>
        <w:keepNext w:val="0"/>
        <w:keepLines w:val="0"/>
        <w:pageBreakBefore w:val="0"/>
        <w:widowControl w:val="0"/>
        <w:suppressLineNumbers w:val="0"/>
        <w:kinsoku/>
        <w:wordWrap/>
        <w:overflowPunct/>
        <w:topLinePunct w:val="0"/>
        <w:autoSpaceDE w:val="0"/>
        <w:autoSpaceDN/>
        <w:bidi w:val="0"/>
        <w:adjustRightInd/>
        <w:spacing w:before="0" w:beforeAutospacing="0" w:line="560" w:lineRule="exact"/>
        <w:ind w:left="0" w:firstLine="640" w:firstLineChars="200"/>
        <w:jc w:val="both"/>
        <w:rPr>
          <w:rFonts w:hint="eastAsia" w:ascii="仿宋_GB2312" w:hAnsi="仿宋" w:eastAsia="仿宋_GB2312"/>
          <w:sz w:val="32"/>
          <w:szCs w:val="32"/>
        </w:rPr>
      </w:pPr>
      <w:r>
        <w:rPr>
          <w:rFonts w:hint="default" w:ascii="仿宋_GB2312" w:eastAsia="仿宋_GB2312" w:cs="仿宋_GB2312"/>
          <w:b w:val="0"/>
          <w:bCs w:val="0"/>
          <w:kern w:val="0"/>
          <w:sz w:val="32"/>
          <w:szCs w:val="32"/>
        </w:rPr>
        <w:t>（</w:t>
      </w:r>
      <w:r>
        <w:rPr>
          <w:rFonts w:hint="eastAsia" w:ascii="仿宋_GB2312" w:eastAsia="仿宋_GB2312" w:cs="仿宋_GB2312"/>
          <w:b w:val="0"/>
          <w:bCs w:val="0"/>
          <w:kern w:val="0"/>
          <w:sz w:val="32"/>
          <w:szCs w:val="32"/>
          <w:lang w:val="en-US" w:eastAsia="zh-CN"/>
        </w:rPr>
        <w:t>八</w:t>
      </w:r>
      <w:r>
        <w:rPr>
          <w:rFonts w:hint="default" w:ascii="仿宋_GB2312" w:eastAsia="仿宋_GB2312" w:cs="仿宋_GB2312"/>
          <w:b w:val="0"/>
          <w:bCs w:val="0"/>
          <w:kern w:val="0"/>
          <w:sz w:val="32"/>
          <w:szCs w:val="32"/>
        </w:rPr>
        <w:t>）负责做好县委、政府临时交办的各项工作任务。</w:t>
      </w:r>
    </w:p>
    <w:p>
      <w:pPr>
        <w:keepNext w:val="0"/>
        <w:keepLines w:val="0"/>
        <w:pageBreakBefore w:val="0"/>
        <w:kinsoku/>
        <w:wordWrap/>
        <w:overflowPunct/>
        <w:topLinePunct w:val="0"/>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2．机构情况，包括当年变动情况及原因。</w:t>
      </w:r>
    </w:p>
    <w:p>
      <w:pPr>
        <w:pStyle w:val="5"/>
        <w:keepNext w:val="0"/>
        <w:keepLines w:val="0"/>
        <w:pageBreakBefore w:val="0"/>
        <w:kinsoku/>
        <w:wordWrap/>
        <w:overflowPunct/>
        <w:topLinePunct w:val="0"/>
        <w:autoSpaceDN/>
        <w:bidi w:val="0"/>
        <w:adjustRightInd/>
        <w:spacing w:line="560" w:lineRule="exact"/>
        <w:ind w:firstLine="640" w:firstLineChars="200"/>
        <w:rPr>
          <w:rFonts w:hint="eastAsia"/>
        </w:rPr>
      </w:pPr>
      <w:r>
        <w:rPr>
          <w:rFonts w:hint="default" w:ascii="仿宋_GB2312" w:eastAsia="仿宋_GB2312" w:cs="仿宋_GB2312"/>
          <w:kern w:val="0"/>
          <w:sz w:val="32"/>
          <w:szCs w:val="32"/>
        </w:rPr>
        <w:t>红原县</w:t>
      </w:r>
      <w:r>
        <w:rPr>
          <w:rFonts w:hint="eastAsia" w:ascii="仿宋_GB2312" w:eastAsia="仿宋_GB2312" w:cs="仿宋_GB2312"/>
          <w:kern w:val="0"/>
          <w:sz w:val="32"/>
          <w:szCs w:val="32"/>
          <w:lang w:eastAsia="zh-CN"/>
        </w:rPr>
        <w:t>委县政府</w:t>
      </w:r>
      <w:r>
        <w:rPr>
          <w:rFonts w:hint="default" w:ascii="仿宋_GB2312" w:eastAsia="仿宋_GB2312" w:cs="仿宋_GB2312"/>
          <w:kern w:val="0"/>
          <w:sz w:val="32"/>
          <w:szCs w:val="32"/>
        </w:rPr>
        <w:t>联动指挥中心</w:t>
      </w:r>
      <w:r>
        <w:rPr>
          <w:rFonts w:hint="eastAsia" w:ascii="仿宋_GB2312" w:eastAsia="仿宋_GB2312" w:cs="仿宋_GB2312"/>
          <w:kern w:val="0"/>
          <w:sz w:val="32"/>
          <w:szCs w:val="32"/>
          <w:lang w:eastAsia="zh-CN"/>
        </w:rPr>
        <w:t>为正科级事业单位，</w:t>
      </w:r>
      <w:r>
        <w:rPr>
          <w:rFonts w:hint="default" w:ascii="仿宋_GB2312" w:eastAsia="仿宋_GB2312" w:cs="仿宋_GB2312"/>
          <w:kern w:val="0"/>
          <w:sz w:val="32"/>
          <w:szCs w:val="32"/>
        </w:rPr>
        <w:t>事业编制8名，其中：设主任1名(正科级)，副主任2名(副科级)；股级领导职数3名。</w:t>
      </w:r>
    </w:p>
    <w:p>
      <w:pPr>
        <w:numPr>
          <w:ilvl w:val="0"/>
          <w:numId w:val="0"/>
        </w:numPr>
        <w:rPr>
          <w:rFonts w:hint="eastAsia"/>
          <w:lang w:eastAsia="zh-CN"/>
        </w:rPr>
      </w:pPr>
    </w:p>
    <w:p>
      <w:pPr>
        <w:pStyle w:val="3"/>
        <w:rPr>
          <w:rFonts w:hint="eastAsia" w:ascii="Times New Roman" w:hAnsi="Times New Roman" w:eastAsia="仿宋_GB2312" w:cs="仿宋_GB2312"/>
          <w:color w:val="auto"/>
          <w:sz w:val="32"/>
          <w:szCs w:val="32"/>
          <w:highlight w:val="none"/>
        </w:rPr>
      </w:pPr>
      <w:bookmarkStart w:id="14" w:name="_Toc15396601"/>
      <w:bookmarkStart w:id="15" w:name="_Toc15377200"/>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14"/>
      <w:bookmarkEnd w:id="15"/>
    </w:p>
    <w:p>
      <w:pPr>
        <w:widowControl/>
        <w:ind w:firstLine="960" w:firstLineChars="300"/>
        <w:jc w:val="left"/>
        <w:rPr>
          <w:rFonts w:hint="eastAsia" w:ascii="仿宋_GB2312" w:eastAsia="仿宋_GB2312" w:cs="仿宋_GB2312"/>
          <w:kern w:val="0"/>
          <w:sz w:val="32"/>
          <w:szCs w:val="32"/>
          <w:lang w:val="en-US" w:eastAsia="zh-CN"/>
        </w:rPr>
      </w:pPr>
      <w:r>
        <w:rPr>
          <w:rFonts w:hint="default" w:ascii="仿宋_GB2312" w:eastAsia="仿宋_GB2312" w:cs="仿宋_GB2312"/>
          <w:kern w:val="0"/>
          <w:sz w:val="32"/>
          <w:szCs w:val="32"/>
        </w:rPr>
        <w:t>红原县</w:t>
      </w:r>
      <w:r>
        <w:rPr>
          <w:rFonts w:hint="eastAsia" w:ascii="仿宋_GB2312" w:eastAsia="仿宋_GB2312" w:cs="仿宋_GB2312"/>
          <w:kern w:val="0"/>
          <w:sz w:val="32"/>
          <w:szCs w:val="32"/>
          <w:lang w:eastAsia="zh-CN"/>
        </w:rPr>
        <w:t>委县政府</w:t>
      </w:r>
      <w:r>
        <w:rPr>
          <w:rFonts w:hint="default" w:ascii="仿宋_GB2312" w:eastAsia="仿宋_GB2312" w:cs="仿宋_GB2312"/>
          <w:kern w:val="0"/>
          <w:sz w:val="32"/>
          <w:szCs w:val="32"/>
        </w:rPr>
        <w:t>联动指挥中心</w:t>
      </w:r>
      <w:r>
        <w:rPr>
          <w:rFonts w:hint="eastAsia" w:ascii="仿宋_GB2312" w:eastAsia="仿宋_GB2312" w:cs="仿宋_GB2312"/>
          <w:kern w:val="0"/>
          <w:sz w:val="32"/>
          <w:szCs w:val="32"/>
          <w:lang w:eastAsia="zh-CN"/>
        </w:rPr>
        <w:t>为正科级事业单位，</w:t>
      </w:r>
      <w:r>
        <w:rPr>
          <w:rFonts w:hint="default" w:ascii="仿宋_GB2312" w:eastAsia="仿宋_GB2312" w:cs="仿宋_GB2312"/>
          <w:kern w:val="0"/>
          <w:sz w:val="32"/>
          <w:szCs w:val="32"/>
        </w:rPr>
        <w:t>事业编制</w:t>
      </w:r>
      <w:r>
        <w:rPr>
          <w:rFonts w:hint="eastAsia" w:ascii="仿宋_GB2312" w:eastAsia="仿宋_GB2312" w:cs="仿宋_GB2312"/>
          <w:kern w:val="0"/>
          <w:sz w:val="32"/>
          <w:szCs w:val="32"/>
          <w:lang w:val="en-US" w:eastAsia="zh-CN"/>
        </w:rPr>
        <w:t>9</w:t>
      </w:r>
      <w:r>
        <w:rPr>
          <w:rFonts w:hint="default" w:ascii="仿宋_GB2312" w:eastAsia="仿宋_GB2312" w:cs="仿宋_GB2312"/>
          <w:kern w:val="0"/>
          <w:sz w:val="32"/>
          <w:szCs w:val="32"/>
        </w:rPr>
        <w:t>名，其中：设主任1名(正科级)，副主任2名(副科级)；股级领导职数3名</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事业工勤1名。</w:t>
      </w:r>
    </w:p>
    <w:p>
      <w:pPr>
        <w:widowControl/>
        <w:ind w:firstLine="960" w:firstLineChars="300"/>
        <w:jc w:val="left"/>
        <w:rPr>
          <w:rFonts w:ascii="Times New Roman" w:hAnsi="Times New Roman" w:eastAsia="仿宋"/>
          <w:color w:val="auto"/>
          <w:kern w:val="0"/>
          <w:sz w:val="32"/>
          <w:szCs w:val="32"/>
          <w:highlight w:val="none"/>
        </w:rPr>
      </w:pPr>
      <w:r>
        <w:rPr>
          <w:rFonts w:hint="eastAsia" w:ascii="仿宋_GB2312" w:hAnsi="宋体" w:eastAsia="仿宋_GB2312" w:cs="仿宋_GB2312"/>
          <w:kern w:val="0"/>
          <w:sz w:val="32"/>
          <w:szCs w:val="32"/>
          <w:lang w:eastAsia="zh-CN"/>
        </w:rPr>
        <w:t>联动指挥中心</w:t>
      </w:r>
      <w:r>
        <w:rPr>
          <w:rFonts w:hint="eastAsia" w:ascii="仿宋_GB2312" w:hAnsi="宋体" w:eastAsia="仿宋_GB2312" w:cs="仿宋_GB2312"/>
          <w:kern w:val="0"/>
          <w:sz w:val="32"/>
          <w:szCs w:val="32"/>
          <w:lang w:val="en-US" w:eastAsia="zh-CN"/>
        </w:rPr>
        <w:t>202</w:t>
      </w:r>
      <w:r>
        <w:rPr>
          <w:rFonts w:hint="eastAsia" w:ascii="仿宋_GB2312" w:eastAsia="仿宋_GB2312" w:cs="仿宋_GB2312"/>
          <w:kern w:val="0"/>
          <w:sz w:val="32"/>
          <w:szCs w:val="32"/>
          <w:lang w:val="en-US" w:eastAsia="zh-CN"/>
        </w:rPr>
        <w:t>4</w:t>
      </w:r>
      <w:r>
        <w:rPr>
          <w:rFonts w:hint="eastAsia" w:ascii="仿宋_GB2312" w:hAnsi="宋体" w:eastAsia="仿宋_GB2312" w:cs="仿宋_GB2312"/>
          <w:kern w:val="0"/>
          <w:sz w:val="32"/>
          <w:szCs w:val="32"/>
          <w:lang w:val="en-US" w:eastAsia="zh-CN"/>
        </w:rPr>
        <w:t>年调入</w:t>
      </w:r>
      <w:r>
        <w:rPr>
          <w:rFonts w:hint="eastAsia" w:ascii="仿宋_GB2312" w:eastAsia="仿宋_GB2312" w:cs="仿宋_GB2312"/>
          <w:kern w:val="0"/>
          <w:sz w:val="32"/>
          <w:szCs w:val="32"/>
          <w:lang w:val="en-US" w:eastAsia="zh-CN"/>
        </w:rPr>
        <w:t>副</w:t>
      </w:r>
      <w:r>
        <w:rPr>
          <w:rFonts w:hint="eastAsia" w:ascii="仿宋_GB2312" w:hAnsi="宋体" w:eastAsia="仿宋_GB2312" w:cs="仿宋_GB2312"/>
          <w:kern w:val="0"/>
          <w:sz w:val="32"/>
          <w:szCs w:val="32"/>
          <w:lang w:val="en-US" w:eastAsia="zh-CN"/>
        </w:rPr>
        <w:t>主任1名</w:t>
      </w:r>
      <w:r>
        <w:rPr>
          <w:rFonts w:hint="eastAsia" w:ascii="仿宋_GB2312" w:eastAsia="仿宋_GB2312" w:cs="仿宋_GB2312"/>
          <w:kern w:val="0"/>
          <w:sz w:val="32"/>
          <w:szCs w:val="32"/>
          <w:lang w:val="en-US" w:eastAsia="zh-CN"/>
        </w:rPr>
        <w:t>、工勤</w:t>
      </w:r>
      <w:r>
        <w:rPr>
          <w:rFonts w:hint="eastAsia" w:ascii="仿宋_GB2312" w:hAnsi="宋体" w:eastAsia="仿宋_GB2312" w:cs="仿宋_GB2312"/>
          <w:kern w:val="0"/>
          <w:sz w:val="32"/>
          <w:szCs w:val="32"/>
          <w:lang w:val="en-US" w:eastAsia="zh-CN"/>
        </w:rPr>
        <w:t>1名</w:t>
      </w:r>
      <w:r>
        <w:rPr>
          <w:rFonts w:hint="eastAsia" w:ascii="仿宋_GB2312" w:eastAsia="仿宋_GB2312" w:cs="仿宋_GB2312"/>
          <w:kern w:val="0"/>
          <w:sz w:val="32"/>
          <w:szCs w:val="32"/>
          <w:lang w:val="en-US" w:eastAsia="zh-CN"/>
        </w:rPr>
        <w:t>，</w:t>
      </w:r>
      <w:r>
        <w:rPr>
          <w:rFonts w:hint="eastAsia" w:ascii="仿宋_GB2312" w:hAnsi="宋体" w:eastAsia="仿宋_GB2312" w:cs="仿宋_GB2312"/>
          <w:kern w:val="0"/>
          <w:sz w:val="32"/>
          <w:szCs w:val="32"/>
          <w:lang w:val="en-US" w:eastAsia="zh-CN"/>
        </w:rPr>
        <w:t>截止年末，实有在职人员共计</w:t>
      </w:r>
      <w:r>
        <w:rPr>
          <w:rFonts w:hint="eastAsia" w:ascii="仿宋_GB2312" w:eastAsia="仿宋_GB2312" w:cs="仿宋_GB2312"/>
          <w:kern w:val="0"/>
          <w:sz w:val="32"/>
          <w:szCs w:val="32"/>
          <w:lang w:val="en-US" w:eastAsia="zh-CN"/>
        </w:rPr>
        <w:t>9</w:t>
      </w:r>
      <w:r>
        <w:rPr>
          <w:rFonts w:hint="eastAsia" w:ascii="仿宋_GB2312" w:hAnsi="宋体" w:eastAsia="仿宋_GB2312" w:cs="仿宋_GB2312"/>
          <w:kern w:val="0"/>
          <w:sz w:val="32"/>
          <w:szCs w:val="32"/>
          <w:lang w:val="en-US" w:eastAsia="zh-CN"/>
        </w:rPr>
        <w:t>人。</w:t>
      </w:r>
      <w:r>
        <w:rPr>
          <w:rFonts w:ascii="Times New Roman" w:hAnsi="Times New Roman" w:eastAsia="仿宋"/>
          <w:color w:val="auto"/>
          <w:sz w:val="32"/>
          <w:szCs w:val="32"/>
          <w:highlight w:val="none"/>
        </w:rPr>
        <w:br w:type="page"/>
      </w:r>
    </w:p>
    <w:p>
      <w:pPr>
        <w:pStyle w:val="2"/>
        <w:jc w:val="center"/>
        <w:rPr>
          <w:rFonts w:hint="eastAsia" w:ascii="Times New Roman" w:hAnsi="Times New Roman" w:eastAsia="方正小标宋简体" w:cs="方正小标宋简体"/>
          <w:b w:val="0"/>
          <w:color w:val="auto"/>
          <w:highlight w:val="none"/>
        </w:rPr>
      </w:pPr>
      <w:bookmarkStart w:id="16" w:name="_Toc15396602"/>
      <w:bookmarkStart w:id="17"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6"/>
      <w:bookmarkEnd w:id="17"/>
    </w:p>
    <w:p>
      <w:pPr>
        <w:rPr>
          <w:rFonts w:ascii="Times New Roman" w:hAnsi="Times New Roman"/>
          <w:color w:val="auto"/>
          <w:highlight w:val="none"/>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8" w:name="_Toc15377205"/>
      <w:bookmarkStart w:id="19"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8"/>
      <w:bookmarkEnd w:id="19"/>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346.22</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113.27</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49</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val="en-US" w:eastAsia="zh-CN"/>
        </w:rPr>
        <w:t>一</w:t>
      </w:r>
      <w:r>
        <w:rPr>
          <w:rFonts w:hint="eastAsia" w:ascii="Times New Roman" w:hAnsi="Times New Roman" w:eastAsia="仿宋_GB2312" w:cs="仿宋_GB2312"/>
          <w:color w:val="auto"/>
          <w:sz w:val="32"/>
          <w:szCs w:val="32"/>
          <w:highlight w:val="none"/>
        </w:rPr>
        <w:t>是</w:t>
      </w:r>
      <w:r>
        <w:rPr>
          <w:rFonts w:hint="eastAsia" w:eastAsia="仿宋_GB2312" w:cs="仿宋_GB2312"/>
          <w:color w:val="auto"/>
          <w:sz w:val="32"/>
          <w:szCs w:val="32"/>
          <w:highlight w:val="none"/>
          <w:lang w:val="en-US" w:eastAsia="zh-CN"/>
        </w:rPr>
        <w:t>人员增加；二是微网实格经费增加。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59264" behindDoc="1" locked="0" layoutInCell="1" allowOverlap="1">
            <wp:simplePos x="0" y="0"/>
            <wp:positionH relativeFrom="column">
              <wp:posOffset>280035</wp:posOffset>
            </wp:positionH>
            <wp:positionV relativeFrom="paragraph">
              <wp:posOffset>369570</wp:posOffset>
            </wp:positionV>
            <wp:extent cx="5080000" cy="3810000"/>
            <wp:effectExtent l="4445" t="4445" r="20955" b="1460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19"/>
        <w:rPr>
          <w:rFonts w:hint="eastAsia"/>
        </w:rPr>
      </w:pPr>
    </w:p>
    <w:p>
      <w:pPr>
        <w:pStyle w:val="19"/>
        <w:rPr>
          <w:rFonts w:hint="eastAsia" w:ascii="Times New Roman" w:hAnsi="Times New Roman" w:eastAsia="仿宋_GB2312" w:cs="仿宋_GB2312"/>
          <w:color w:val="auto"/>
          <w:sz w:val="32"/>
          <w:szCs w:val="32"/>
          <w:highlight w:val="none"/>
          <w:lang w:eastAsia="zh-CN"/>
        </w:rPr>
      </w:pPr>
    </w:p>
    <w:p>
      <w:pPr>
        <w:pStyle w:val="19"/>
        <w:rPr>
          <w:rFonts w:hint="eastAsia" w:ascii="Times New Roman" w:hAnsi="Times New Roman" w:eastAsia="仿宋_GB2312" w:cs="仿宋_GB2312"/>
          <w:color w:val="auto"/>
          <w:sz w:val="32"/>
          <w:szCs w:val="32"/>
          <w:highlight w:val="none"/>
        </w:rPr>
      </w:pPr>
    </w:p>
    <w:p>
      <w:pPr>
        <w:pStyle w:val="19"/>
        <w:rPr>
          <w:rFonts w:hint="eastAsia" w:ascii="Times New Roman" w:hAnsi="Times New Roman" w:eastAsia="仿宋_GB2312" w:cs="仿宋_GB2312"/>
          <w:color w:val="auto"/>
          <w:sz w:val="32"/>
          <w:szCs w:val="32"/>
          <w:highlight w:val="none"/>
        </w:rPr>
      </w:pPr>
    </w:p>
    <w:p>
      <w:pPr>
        <w:pStyle w:val="19"/>
        <w:rPr>
          <w:rFonts w:hint="eastAsia" w:ascii="Times New Roman" w:hAnsi="Times New Roman" w:eastAsia="仿宋_GB2312" w:cs="仿宋_GB2312"/>
          <w:color w:val="auto"/>
          <w:sz w:val="32"/>
          <w:szCs w:val="32"/>
          <w:highlight w:val="none"/>
        </w:rPr>
      </w:pPr>
    </w:p>
    <w:p>
      <w:pPr>
        <w:pStyle w:val="19"/>
        <w:rPr>
          <w:rFonts w:hint="eastAsia" w:ascii="Times New Roman" w:hAnsi="Times New Roman" w:eastAsia="仿宋_GB2312" w:cs="仿宋_GB2312"/>
          <w:color w:val="auto"/>
          <w:sz w:val="32"/>
          <w:szCs w:val="32"/>
          <w:highlight w:val="none"/>
        </w:rPr>
      </w:pPr>
    </w:p>
    <w:p>
      <w:pPr>
        <w:pStyle w:val="19"/>
        <w:rPr>
          <w:rFonts w:hint="eastAsia" w:ascii="Times New Roman" w:hAnsi="Times New Roman" w:eastAsia="仿宋_GB2312" w:cs="仿宋_GB2312"/>
          <w:color w:val="auto"/>
          <w:sz w:val="32"/>
          <w:szCs w:val="32"/>
          <w:highlight w:val="none"/>
        </w:rPr>
      </w:pPr>
    </w:p>
    <w:p>
      <w:pPr>
        <w:pStyle w:val="19"/>
        <w:rPr>
          <w:rFonts w:hint="eastAsia" w:ascii="Times New Roman" w:hAnsi="Times New Roman" w:eastAsia="仿宋_GB2312" w:cs="仿宋_GB2312"/>
          <w:color w:val="auto"/>
          <w:sz w:val="32"/>
          <w:szCs w:val="32"/>
          <w:highlight w:val="none"/>
        </w:rPr>
      </w:pPr>
    </w:p>
    <w:p>
      <w:pPr>
        <w:pStyle w:val="19"/>
        <w:rPr>
          <w:rFonts w:hint="eastAsia" w:ascii="Times New Roman" w:hAnsi="Times New Roman" w:eastAsia="仿宋_GB2312" w:cs="仿宋_GB2312"/>
          <w:color w:val="auto"/>
          <w:sz w:val="32"/>
          <w:szCs w:val="32"/>
          <w:highlight w:val="none"/>
        </w:rPr>
      </w:pPr>
    </w:p>
    <w:p>
      <w:pPr>
        <w:pStyle w:val="19"/>
        <w:rPr>
          <w:rFonts w:hint="eastAsia" w:ascii="Times New Roman" w:hAnsi="Times New Roman" w:eastAsia="仿宋_GB2312" w:cs="仿宋_GB2312"/>
          <w:color w:val="auto"/>
          <w:sz w:val="32"/>
          <w:szCs w:val="32"/>
          <w:highlight w:val="none"/>
        </w:rPr>
      </w:pPr>
    </w:p>
    <w:p>
      <w:pPr>
        <w:pStyle w:val="19"/>
        <w:rPr>
          <w:rFonts w:hint="eastAsia" w:ascii="Times New Roman" w:hAnsi="Times New Roman"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0" w:name="_Toc15396604"/>
      <w:bookmarkStart w:id="21" w:name="_Toc15377206"/>
      <w:r>
        <w:rPr>
          <w:rFonts w:hint="eastAsia" w:ascii="Times New Roman" w:hAnsi="Times New Roman" w:eastAsia="黑体"/>
          <w:color w:val="auto"/>
          <w:sz w:val="32"/>
          <w:szCs w:val="32"/>
          <w:highlight w:val="none"/>
          <w:lang w:eastAsia="zh-CN"/>
        </w:rPr>
        <w:t>二、收入决算情况说明</w:t>
      </w:r>
      <w:bookmarkEnd w:id="20"/>
      <w:bookmarkEnd w:id="21"/>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346.22万元，其中：一般公共预算财政拨款收入346.22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pP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0288" behindDoc="1" locked="0" layoutInCell="1" allowOverlap="1">
            <wp:simplePos x="0" y="0"/>
            <wp:positionH relativeFrom="column">
              <wp:posOffset>184150</wp:posOffset>
            </wp:positionH>
            <wp:positionV relativeFrom="paragraph">
              <wp:posOffset>104775</wp:posOffset>
            </wp:positionV>
            <wp:extent cx="5080000" cy="3810000"/>
            <wp:effectExtent l="4445" t="4445" r="20955" b="14605"/>
            <wp:wrapTight wrapText="bothSides">
              <wp:wrapPolygon>
                <wp:start x="-19" y="-25"/>
                <wp:lineTo x="-19" y="21575"/>
                <wp:lineTo x="21527" y="21575"/>
                <wp:lineTo x="21527" y="-25"/>
                <wp:lineTo x="-19" y="-25"/>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2" w:name="_Toc15396605"/>
      <w:bookmarkStart w:id="23"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22"/>
      <w:bookmarkEnd w:id="23"/>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346.22</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192.87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55.7</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153.35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44.29</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p>
    <w:p>
      <w:pPr>
        <w:spacing w:line="600" w:lineRule="exact"/>
        <w:ind w:firstLine="640" w:firstLineChars="200"/>
        <w:outlineLvl w:val="1"/>
        <w:rPr>
          <w:rFonts w:hint="eastAsia" w:ascii="Times New Roman" w:hAnsi="Times New Roman" w:eastAsia="黑体"/>
          <w:color w:val="auto"/>
          <w:sz w:val="32"/>
          <w:szCs w:val="32"/>
          <w:highlight w:val="none"/>
          <w:lang w:eastAsia="zh-CN"/>
        </w:rPr>
      </w:pPr>
      <w:bookmarkStart w:id="24" w:name="_Toc15377208"/>
      <w:bookmarkStart w:id="25" w:name="_Toc15396606"/>
      <w:r>
        <w:rPr>
          <w:rFonts w:hint="eastAsia" w:ascii="Times New Roman" w:hAnsi="Times New Roman" w:eastAsia="黑体"/>
          <w:color w:val="auto"/>
          <w:sz w:val="32"/>
          <w:szCs w:val="32"/>
          <w:highlight w:val="none"/>
          <w:lang w:eastAsia="zh-CN"/>
        </w:rPr>
        <w:drawing>
          <wp:anchor distT="0" distB="0" distL="114300" distR="114300" simplePos="0" relativeHeight="251661312" behindDoc="1" locked="0" layoutInCell="1" allowOverlap="1">
            <wp:simplePos x="0" y="0"/>
            <wp:positionH relativeFrom="column">
              <wp:posOffset>232410</wp:posOffset>
            </wp:positionH>
            <wp:positionV relativeFrom="paragraph">
              <wp:posOffset>-19050</wp:posOffset>
            </wp:positionV>
            <wp:extent cx="5080000" cy="3810000"/>
            <wp:effectExtent l="4445" t="4445" r="20955" b="1460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Style w:val="30"/>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24"/>
      <w:bookmarkEnd w:id="2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346.22</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r>
        <w:rPr>
          <w:rFonts w:hint="eastAsia" w:eastAsia="仿宋_GB2312" w:cs="仿宋_GB2312"/>
          <w:color w:val="auto"/>
          <w:kern w:val="2"/>
          <w:sz w:val="32"/>
          <w:szCs w:val="32"/>
          <w:highlight w:val="none"/>
          <w:lang w:val="en-US" w:eastAsia="zh-CN" w:bidi="ar-SA"/>
        </w:rPr>
        <w:t>113.27</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sz w:val="32"/>
          <w:szCs w:val="32"/>
          <w:highlight w:val="none"/>
        </w:rPr>
        <w:t>增长</w:t>
      </w:r>
      <w:r>
        <w:rPr>
          <w:rFonts w:hint="eastAsia" w:eastAsia="仿宋_GB2312" w:cs="仿宋_GB2312"/>
          <w:color w:val="auto"/>
          <w:sz w:val="32"/>
          <w:szCs w:val="32"/>
          <w:highlight w:val="none"/>
          <w:lang w:val="en-US" w:eastAsia="zh-CN"/>
        </w:rPr>
        <w:t>49</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val="en-US" w:eastAsia="zh-CN"/>
        </w:rPr>
        <w:t>一</w:t>
      </w:r>
      <w:r>
        <w:rPr>
          <w:rFonts w:hint="eastAsia" w:ascii="Times New Roman" w:hAnsi="Times New Roman" w:eastAsia="仿宋_GB2312" w:cs="仿宋_GB2312"/>
          <w:color w:val="auto"/>
          <w:sz w:val="32"/>
          <w:szCs w:val="32"/>
          <w:highlight w:val="none"/>
        </w:rPr>
        <w:t>是</w:t>
      </w:r>
      <w:r>
        <w:rPr>
          <w:rFonts w:hint="eastAsia" w:eastAsia="仿宋_GB2312" w:cs="仿宋_GB2312"/>
          <w:color w:val="auto"/>
          <w:sz w:val="32"/>
          <w:szCs w:val="32"/>
          <w:highlight w:val="none"/>
          <w:lang w:val="en-US" w:eastAsia="zh-CN"/>
        </w:rPr>
        <w:t>人员增加；二是微网实格经费增加。</w:t>
      </w:r>
    </w:p>
    <w:p>
      <w:pPr>
        <w:pStyle w:val="1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2336" behindDoc="1" locked="0" layoutInCell="1" allowOverlap="1">
            <wp:simplePos x="0" y="0"/>
            <wp:positionH relativeFrom="column">
              <wp:posOffset>250825</wp:posOffset>
            </wp:positionH>
            <wp:positionV relativeFrom="paragraph">
              <wp:posOffset>26035</wp:posOffset>
            </wp:positionV>
            <wp:extent cx="4877435" cy="2976880"/>
            <wp:effectExtent l="4445" t="4445" r="13970" b="952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firstLineChars="200"/>
        <w:outlineLvl w:val="1"/>
        <w:rPr>
          <w:rStyle w:val="30"/>
          <w:rFonts w:ascii="Times New Roman" w:hAnsi="Times New Roman" w:eastAsia="黑体"/>
          <w:b w:val="0"/>
          <w:color w:val="auto"/>
          <w:highlight w:val="none"/>
        </w:rPr>
      </w:pPr>
      <w:bookmarkStart w:id="26" w:name="_Toc15377209"/>
      <w:bookmarkStart w:id="27"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26"/>
      <w:bookmarkEnd w:id="27"/>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8"/>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346.22</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%。与2023年度相比，一般公共预算财政拨款支出增加49%万元，</w:t>
      </w:r>
      <w:r>
        <w:rPr>
          <w:rFonts w:hint="eastAsia" w:ascii="Times New Roman" w:hAnsi="Times New Roman" w:eastAsia="仿宋_GB2312" w:cs="仿宋_GB2312"/>
          <w:color w:val="auto"/>
          <w:sz w:val="32"/>
          <w:szCs w:val="32"/>
          <w:highlight w:val="none"/>
        </w:rPr>
        <w:t>增长</w:t>
      </w:r>
      <w:r>
        <w:rPr>
          <w:rFonts w:hint="eastAsia" w:eastAsia="仿宋_GB2312" w:cs="仿宋_GB2312"/>
          <w:color w:val="auto"/>
          <w:sz w:val="32"/>
          <w:szCs w:val="32"/>
          <w:highlight w:val="none"/>
          <w:lang w:val="en-US" w:eastAsia="zh-CN"/>
        </w:rPr>
        <w:t>49</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val="en-US" w:eastAsia="zh-CN"/>
        </w:rPr>
        <w:t>一</w:t>
      </w:r>
      <w:r>
        <w:rPr>
          <w:rFonts w:hint="eastAsia" w:ascii="Times New Roman" w:hAnsi="Times New Roman" w:eastAsia="仿宋_GB2312" w:cs="仿宋_GB2312"/>
          <w:color w:val="auto"/>
          <w:sz w:val="32"/>
          <w:szCs w:val="32"/>
          <w:highlight w:val="none"/>
        </w:rPr>
        <w:t>是</w:t>
      </w:r>
      <w:r>
        <w:rPr>
          <w:rFonts w:hint="eastAsia" w:eastAsia="仿宋_GB2312" w:cs="仿宋_GB2312"/>
          <w:color w:val="auto"/>
          <w:sz w:val="32"/>
          <w:szCs w:val="32"/>
          <w:highlight w:val="none"/>
          <w:lang w:val="en-US" w:eastAsia="zh-CN"/>
        </w:rPr>
        <w:t>人员增加；二是微网实格经费增加。</w:t>
      </w: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pPr>
        <w:pStyle w:val="1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4384" behindDoc="1" locked="0" layoutInCell="1" allowOverlap="1">
            <wp:simplePos x="0" y="0"/>
            <wp:positionH relativeFrom="column">
              <wp:posOffset>167005</wp:posOffset>
            </wp:positionH>
            <wp:positionV relativeFrom="paragraph">
              <wp:posOffset>168910</wp:posOffset>
            </wp:positionV>
            <wp:extent cx="4877435" cy="2976880"/>
            <wp:effectExtent l="4445" t="4445" r="13970" b="952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spacing w:line="600" w:lineRule="exact"/>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9"/>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346.22</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274.47</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79</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46.83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14</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10.28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14.63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1312" behindDoc="1" locked="0" layoutInCell="1" allowOverlap="1">
            <wp:simplePos x="0" y="0"/>
            <wp:positionH relativeFrom="column">
              <wp:posOffset>375285</wp:posOffset>
            </wp:positionH>
            <wp:positionV relativeFrom="page">
              <wp:posOffset>1155065</wp:posOffset>
            </wp:positionV>
            <wp:extent cx="5080000" cy="3810000"/>
            <wp:effectExtent l="4445" t="4445" r="20955" b="14605"/>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pStyle w:val="19"/>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0"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0"/>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1" w:name="_Toc15377444"/>
      <w:bookmarkStart w:id="32" w:name="_Toc15377213"/>
      <w:bookmarkStart w:id="33" w:name="_Toc15378460"/>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346.22</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1"/>
      <w:bookmarkEnd w:id="32"/>
      <w:bookmarkEnd w:id="33"/>
    </w:p>
    <w:p>
      <w:pPr>
        <w:numPr>
          <w:ilvl w:val="0"/>
          <w:numId w:val="2"/>
        </w:num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w:t>
      </w:r>
      <w:r>
        <w:rPr>
          <w:rFonts w:hint="eastAsia" w:eastAsia="仿宋_GB2312" w:cs="仿宋_GB2312"/>
          <w:color w:val="auto"/>
          <w:kern w:val="2"/>
          <w:sz w:val="32"/>
          <w:szCs w:val="32"/>
          <w:highlight w:val="none"/>
          <w:lang w:val="en-US" w:eastAsia="zh-CN" w:bidi="ar-SA"/>
        </w:rPr>
        <w:t>20103：</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274.47</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p>
    <w:p>
      <w:pPr>
        <w:numPr>
          <w:ilvl w:val="0"/>
          <w:numId w:val="3"/>
        </w:num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w:t>
      </w:r>
      <w:r>
        <w:rPr>
          <w:rFonts w:hint="eastAsia" w:eastAsia="仿宋_GB2312" w:cs="仿宋_GB2312"/>
          <w:color w:val="auto"/>
          <w:kern w:val="2"/>
          <w:sz w:val="32"/>
          <w:szCs w:val="32"/>
          <w:highlight w:val="none"/>
          <w:lang w:val="en-US" w:eastAsia="zh-CN" w:bidi="ar-SA"/>
        </w:rPr>
        <w:t>20805：</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46.83</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p>
    <w:p>
      <w:pPr>
        <w:numPr>
          <w:ilvl w:val="0"/>
          <w:numId w:val="0"/>
        </w:num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6.卫生健康（类）</w:t>
      </w:r>
      <w:r>
        <w:rPr>
          <w:rFonts w:hint="eastAsia" w:eastAsia="仿宋_GB2312" w:cs="仿宋_GB2312"/>
          <w:color w:val="auto"/>
          <w:kern w:val="2"/>
          <w:sz w:val="32"/>
          <w:szCs w:val="32"/>
          <w:highlight w:val="none"/>
          <w:lang w:val="en-US" w:eastAsia="zh-CN" w:bidi="ar-SA"/>
        </w:rPr>
        <w:t>21011：</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10.28</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p>
    <w:p>
      <w:pPr>
        <w:numPr>
          <w:ilvl w:val="0"/>
          <w:numId w:val="0"/>
        </w:num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7.住房保障</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22102：</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14.63</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p>
    <w:p>
      <w:pPr>
        <w:tabs>
          <w:tab w:val="right" w:pos="8306"/>
        </w:tabs>
        <w:spacing w:line="600" w:lineRule="exact"/>
        <w:ind w:firstLine="640"/>
        <w:outlineLvl w:val="1"/>
        <w:rPr>
          <w:rStyle w:val="30"/>
          <w:rFonts w:ascii="Times New Roman" w:hAnsi="Times New Roman"/>
          <w:color w:val="auto"/>
          <w:highlight w:val="none"/>
        </w:rPr>
      </w:pPr>
      <w:bookmarkStart w:id="34" w:name="_Toc15396608"/>
      <w:bookmarkStart w:id="35"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34"/>
      <w:bookmarkEnd w:id="35"/>
      <w:r>
        <w:rPr>
          <w:rStyle w:val="30"/>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192.87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183.75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w:t>
      </w:r>
      <w:r>
        <w:rPr>
          <w:rFonts w:hint="eastAsia" w:eastAsia="仿宋_GB2312" w:cs="仿宋_GB2312"/>
          <w:color w:val="auto"/>
          <w:kern w:val="2"/>
          <w:sz w:val="32"/>
          <w:szCs w:val="32"/>
          <w:highlight w:val="none"/>
          <w:lang w:val="en-US" w:eastAsia="zh-CN" w:bidi="ar-SA"/>
        </w:rPr>
        <w:t>31.31万元</w:t>
      </w:r>
      <w:r>
        <w:rPr>
          <w:rFonts w:hint="eastAsia" w:ascii="Times New Roman" w:hAnsi="Times New Roman" w:eastAsia="仿宋_GB2312" w:cs="仿宋_GB2312"/>
          <w:color w:val="auto"/>
          <w:kern w:val="2"/>
          <w:sz w:val="32"/>
          <w:szCs w:val="32"/>
          <w:highlight w:val="none"/>
          <w:lang w:val="en-US" w:eastAsia="zh-CN" w:bidi="ar-SA"/>
        </w:rPr>
        <w:t>、津贴补贴</w:t>
      </w:r>
      <w:r>
        <w:rPr>
          <w:rFonts w:hint="eastAsia" w:eastAsia="仿宋_GB2312" w:cs="仿宋_GB2312"/>
          <w:color w:val="auto"/>
          <w:kern w:val="2"/>
          <w:sz w:val="32"/>
          <w:szCs w:val="32"/>
          <w:highlight w:val="none"/>
          <w:lang w:val="en-US" w:eastAsia="zh-CN" w:bidi="ar-SA"/>
        </w:rPr>
        <w:t>29.87万元</w:t>
      </w:r>
      <w:r>
        <w:rPr>
          <w:rFonts w:hint="eastAsia" w:ascii="Times New Roman" w:hAnsi="Times New Roman" w:eastAsia="仿宋_GB2312" w:cs="仿宋_GB2312"/>
          <w:color w:val="auto"/>
          <w:kern w:val="2"/>
          <w:sz w:val="32"/>
          <w:szCs w:val="32"/>
          <w:highlight w:val="none"/>
          <w:lang w:val="en-US" w:eastAsia="zh-CN" w:bidi="ar-SA"/>
        </w:rPr>
        <w:t>、奖金</w:t>
      </w:r>
      <w:r>
        <w:rPr>
          <w:rFonts w:hint="eastAsia" w:eastAsia="仿宋_GB2312" w:cs="仿宋_GB2312"/>
          <w:color w:val="auto"/>
          <w:kern w:val="2"/>
          <w:sz w:val="32"/>
          <w:szCs w:val="32"/>
          <w:highlight w:val="none"/>
          <w:lang w:val="en-US" w:eastAsia="zh-CN" w:bidi="ar-SA"/>
        </w:rPr>
        <w:t>42.98万元</w:t>
      </w:r>
      <w:r>
        <w:rPr>
          <w:rFonts w:hint="eastAsia" w:ascii="Times New Roman" w:hAnsi="Times New Roman" w:eastAsia="仿宋_GB2312" w:cs="仿宋_GB2312"/>
          <w:color w:val="auto"/>
          <w:kern w:val="2"/>
          <w:sz w:val="32"/>
          <w:szCs w:val="32"/>
          <w:highlight w:val="none"/>
          <w:lang w:val="en-US" w:eastAsia="zh-CN" w:bidi="ar-SA"/>
        </w:rPr>
        <w:t>、绩效工资</w:t>
      </w:r>
      <w:r>
        <w:rPr>
          <w:rFonts w:hint="eastAsia" w:eastAsia="仿宋_GB2312" w:cs="仿宋_GB2312"/>
          <w:color w:val="auto"/>
          <w:kern w:val="2"/>
          <w:sz w:val="32"/>
          <w:szCs w:val="32"/>
          <w:highlight w:val="none"/>
          <w:lang w:val="en-US" w:eastAsia="zh-CN" w:bidi="ar-SA"/>
        </w:rPr>
        <w:t>24.97万元</w:t>
      </w:r>
      <w:r>
        <w:rPr>
          <w:rFonts w:hint="eastAsia" w:ascii="Times New Roman" w:hAnsi="Times New Roman" w:eastAsia="仿宋_GB2312" w:cs="仿宋_GB2312"/>
          <w:color w:val="auto"/>
          <w:kern w:val="2"/>
          <w:sz w:val="32"/>
          <w:szCs w:val="32"/>
          <w:highlight w:val="none"/>
          <w:lang w:val="en-US" w:eastAsia="zh-CN" w:bidi="ar-SA"/>
        </w:rPr>
        <w:t>、机关事业单位基本养老保险缴费</w:t>
      </w:r>
      <w:r>
        <w:rPr>
          <w:rFonts w:hint="eastAsia" w:eastAsia="仿宋_GB2312" w:cs="仿宋_GB2312"/>
          <w:color w:val="auto"/>
          <w:kern w:val="2"/>
          <w:sz w:val="32"/>
          <w:szCs w:val="32"/>
          <w:highlight w:val="none"/>
          <w:lang w:val="en-US" w:eastAsia="zh-CN" w:bidi="ar-SA"/>
        </w:rPr>
        <w:t>17.72万元</w:t>
      </w:r>
      <w:r>
        <w:rPr>
          <w:rFonts w:hint="eastAsia" w:ascii="Times New Roman" w:hAnsi="Times New Roman" w:eastAsia="仿宋_GB2312" w:cs="仿宋_GB2312"/>
          <w:color w:val="auto"/>
          <w:kern w:val="2"/>
          <w:sz w:val="32"/>
          <w:szCs w:val="32"/>
          <w:highlight w:val="none"/>
          <w:lang w:val="en-US" w:eastAsia="zh-CN" w:bidi="ar-SA"/>
        </w:rPr>
        <w:t>、职业年金缴费</w:t>
      </w:r>
      <w:r>
        <w:rPr>
          <w:rFonts w:hint="eastAsia" w:eastAsia="仿宋_GB2312" w:cs="仿宋_GB2312"/>
          <w:color w:val="auto"/>
          <w:kern w:val="2"/>
          <w:sz w:val="32"/>
          <w:szCs w:val="32"/>
          <w:highlight w:val="none"/>
          <w:lang w:val="en-US" w:eastAsia="zh-CN" w:bidi="ar-SA"/>
        </w:rPr>
        <w:t>8.86万元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职工基本医疗保险费8.5万元、公务员医疗补助缴费1.79万元、</w:t>
      </w:r>
      <w:r>
        <w:rPr>
          <w:rFonts w:hint="eastAsia" w:ascii="Times New Roman" w:hAnsi="Times New Roman" w:eastAsia="仿宋_GB2312" w:cs="仿宋_GB2312"/>
          <w:color w:val="auto"/>
          <w:kern w:val="2"/>
          <w:sz w:val="32"/>
          <w:szCs w:val="32"/>
          <w:highlight w:val="none"/>
          <w:lang w:val="en-US" w:eastAsia="zh-CN" w:bidi="ar-SA"/>
        </w:rPr>
        <w:t>其他社会保障缴费</w:t>
      </w:r>
      <w:r>
        <w:rPr>
          <w:rFonts w:hint="eastAsia" w:eastAsia="仿宋_GB2312" w:cs="仿宋_GB2312"/>
          <w:color w:val="auto"/>
          <w:kern w:val="2"/>
          <w:sz w:val="32"/>
          <w:szCs w:val="32"/>
          <w:highlight w:val="none"/>
          <w:lang w:val="en-US" w:eastAsia="zh-CN" w:bidi="ar-SA"/>
        </w:rPr>
        <w:t>2.22万元</w:t>
      </w:r>
      <w:r>
        <w:rPr>
          <w:rFonts w:hint="eastAsia" w:ascii="Times New Roman" w:hAnsi="Times New Roman" w:eastAsia="仿宋_GB2312" w:cs="仿宋_GB2312"/>
          <w:color w:val="auto"/>
          <w:kern w:val="2"/>
          <w:sz w:val="32"/>
          <w:szCs w:val="32"/>
          <w:highlight w:val="none"/>
          <w:lang w:val="en-US" w:eastAsia="zh-CN" w:bidi="ar-SA"/>
        </w:rPr>
        <w:t>、医疗费补助</w:t>
      </w:r>
      <w:r>
        <w:rPr>
          <w:rFonts w:hint="eastAsia" w:eastAsia="仿宋_GB2312" w:cs="仿宋_GB2312"/>
          <w:color w:val="auto"/>
          <w:kern w:val="2"/>
          <w:sz w:val="32"/>
          <w:szCs w:val="32"/>
          <w:highlight w:val="none"/>
          <w:lang w:val="en-US" w:eastAsia="zh-CN" w:bidi="ar-SA"/>
        </w:rPr>
        <w:t>0.91万元</w:t>
      </w:r>
      <w:r>
        <w:rPr>
          <w:rFonts w:hint="eastAsia" w:ascii="Times New Roman" w:hAnsi="Times New Roman" w:eastAsia="仿宋_GB2312" w:cs="仿宋_GB2312"/>
          <w:color w:val="auto"/>
          <w:kern w:val="2"/>
          <w:sz w:val="32"/>
          <w:szCs w:val="32"/>
          <w:highlight w:val="none"/>
          <w:lang w:val="en-US" w:eastAsia="zh-CN" w:bidi="ar-SA"/>
        </w:rPr>
        <w:t>、住房公积金</w:t>
      </w:r>
      <w:r>
        <w:rPr>
          <w:rFonts w:hint="eastAsia" w:eastAsia="仿宋_GB2312" w:cs="仿宋_GB2312"/>
          <w:color w:val="auto"/>
          <w:kern w:val="2"/>
          <w:sz w:val="32"/>
          <w:szCs w:val="32"/>
          <w:highlight w:val="none"/>
          <w:lang w:val="en-US" w:eastAsia="zh-CN" w:bidi="ar-SA"/>
        </w:rPr>
        <w:t>14.63万元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9.12</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w:t>
      </w:r>
      <w:r>
        <w:rPr>
          <w:rFonts w:hint="eastAsia" w:eastAsia="仿宋_GB2312" w:cs="仿宋_GB2312"/>
          <w:color w:val="auto"/>
          <w:kern w:val="2"/>
          <w:sz w:val="32"/>
          <w:szCs w:val="32"/>
          <w:highlight w:val="none"/>
          <w:lang w:val="en-US" w:eastAsia="zh-CN" w:bidi="ar-SA"/>
        </w:rPr>
        <w:t>5万元、咨询费0.3万元、差旅费1.37万元、电费0.2万元、</w:t>
      </w:r>
      <w:r>
        <w:rPr>
          <w:rFonts w:hint="eastAsia" w:ascii="Times New Roman" w:hAnsi="Times New Roman" w:eastAsia="仿宋_GB2312" w:cs="仿宋_GB2312"/>
          <w:color w:val="auto"/>
          <w:kern w:val="2"/>
          <w:sz w:val="32"/>
          <w:szCs w:val="32"/>
          <w:highlight w:val="none"/>
          <w:lang w:val="en-US" w:eastAsia="zh-CN" w:bidi="ar-SA"/>
        </w:rPr>
        <w:t>工会经费</w:t>
      </w:r>
      <w:r>
        <w:rPr>
          <w:rFonts w:hint="eastAsia" w:eastAsia="仿宋_GB2312" w:cs="仿宋_GB2312"/>
          <w:color w:val="auto"/>
          <w:kern w:val="2"/>
          <w:sz w:val="32"/>
          <w:szCs w:val="32"/>
          <w:highlight w:val="none"/>
          <w:lang w:val="en-US" w:eastAsia="zh-CN" w:bidi="ar-SA"/>
        </w:rPr>
        <w:t>1.17万元、办公室购置费1.08万元</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outlineLvl w:val="1"/>
        <w:rPr>
          <w:rStyle w:val="30"/>
          <w:rFonts w:ascii="Times New Roman" w:hAnsi="Times New Roman" w:eastAsia="黑体"/>
          <w:b w:val="0"/>
          <w:color w:val="auto"/>
          <w:highlight w:val="none"/>
        </w:rPr>
      </w:pPr>
      <w:bookmarkStart w:id="36" w:name="_Toc15377215"/>
      <w:bookmarkStart w:id="37" w:name="_Toc15396609"/>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36"/>
      <w:bookmarkEnd w:id="37"/>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8"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8"/>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9"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万元，公务用车购置及运行维护费支出决算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0" w:name="_Toc15377218"/>
      <w:bookmarkStart w:id="41" w:name="_Toc15396610"/>
    </w:p>
    <w:p>
      <w:pPr>
        <w:spacing w:line="600" w:lineRule="exact"/>
        <w:ind w:firstLine="640"/>
        <w:outlineLvl w:val="1"/>
        <w:rPr>
          <w:rStyle w:val="30"/>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40"/>
      <w:bookmarkEnd w:id="41"/>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42" w:name="_Toc15396611"/>
      <w:bookmarkStart w:id="43" w:name="_Toc15377219"/>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42"/>
      <w:bookmarkEnd w:id="43"/>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44" w:name="_Toc15396612"/>
      <w:bookmarkStart w:id="45" w:name="_Toc15377221"/>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44"/>
      <w:bookmarkEnd w:id="45"/>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6" w:name="_Toc15377222"/>
      <w:r>
        <w:rPr>
          <w:rFonts w:hint="eastAsia" w:ascii="Times New Roman" w:hAnsi="Times New Roman" w:eastAsia="楷体_GB2312" w:cs="楷体_GB2312"/>
          <w:b/>
          <w:color w:val="auto"/>
          <w:sz w:val="32"/>
          <w:szCs w:val="32"/>
          <w:highlight w:val="none"/>
        </w:rPr>
        <w:t>（一）机关运行经费支出情况</w:t>
      </w:r>
      <w:bookmarkEnd w:id="46"/>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红原县委县政府联动指挥中心</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eastAsia="仿宋_GB2312" w:cs="仿宋_GB2312"/>
          <w:color w:val="auto"/>
          <w:kern w:val="2"/>
          <w:sz w:val="32"/>
          <w:szCs w:val="32"/>
          <w:highlight w:val="none"/>
          <w:lang w:val="en-US" w:eastAsia="zh-CN" w:bidi="ar-SA"/>
        </w:rPr>
        <w:t>。</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7" w:name="_Toc15377223"/>
      <w:r>
        <w:rPr>
          <w:rFonts w:hint="eastAsia" w:ascii="Times New Roman" w:hAnsi="Times New Roman" w:eastAsia="楷体_GB2312" w:cs="楷体_GB2312"/>
          <w:b/>
          <w:color w:val="auto"/>
          <w:sz w:val="32"/>
          <w:szCs w:val="32"/>
          <w:highlight w:val="none"/>
        </w:rPr>
        <w:t>（二）政府采购支出情况</w:t>
      </w:r>
      <w:bookmarkEnd w:id="47"/>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红原县委县政府联动指挥中心</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8" w:name="_Toc15377224"/>
      <w:r>
        <w:rPr>
          <w:rFonts w:hint="eastAsia" w:ascii="Times New Roman" w:hAnsi="Times New Roman" w:eastAsia="楷体_GB2312" w:cs="楷体_GB2312"/>
          <w:b/>
          <w:color w:val="auto"/>
          <w:sz w:val="32"/>
          <w:szCs w:val="32"/>
          <w:highlight w:val="none"/>
        </w:rPr>
        <w:t>（三）国有资产占有使用情况</w:t>
      </w:r>
      <w:bookmarkEnd w:id="48"/>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红原县委县政府联动指挥中心</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我中心</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eastAsia="仿宋_GB2312" w:cs="仿宋_GB2312"/>
          <w:color w:val="auto"/>
          <w:kern w:val="2"/>
          <w:sz w:val="32"/>
          <w:szCs w:val="32"/>
          <w:highlight w:val="none"/>
          <w:lang w:val="en-US" w:eastAsia="zh-CN" w:bidi="ar-SA"/>
        </w:rPr>
        <w:t>微网实格、专项经费</w:t>
      </w:r>
      <w:r>
        <w:rPr>
          <w:rFonts w:hint="eastAsia" w:ascii="Times New Roman" w:hAnsi="Times New Roman" w:eastAsia="仿宋_GB2312" w:cs="仿宋_GB2312"/>
          <w:color w:val="auto"/>
          <w:kern w:val="2"/>
          <w:sz w:val="32"/>
          <w:szCs w:val="32"/>
          <w:highlight w:val="none"/>
          <w:lang w:val="en-US" w:eastAsia="zh-CN" w:bidi="ar-SA"/>
        </w:rPr>
        <w:t>等项目开展了预算事前绩效评估，对</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个项目开展绩效监控。</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我中心</w:t>
      </w:r>
      <w:r>
        <w:rPr>
          <w:rFonts w:hint="eastAsia" w:ascii="仿宋" w:hAnsi="仿宋" w:eastAsia="仿宋" w:cs="仿宋"/>
          <w:sz w:val="32"/>
          <w:szCs w:val="32"/>
        </w:rPr>
        <w:t>按要求对202</w:t>
      </w:r>
      <w:r>
        <w:rPr>
          <w:rFonts w:hint="eastAsia" w:ascii="仿宋" w:hAnsi="仿宋" w:eastAsia="仿宋" w:cs="仿宋"/>
          <w:sz w:val="32"/>
          <w:szCs w:val="32"/>
          <w:lang w:val="en-US" w:eastAsia="zh-CN"/>
        </w:rPr>
        <w:t>4</w:t>
      </w:r>
      <w:r>
        <w:rPr>
          <w:rFonts w:hint="eastAsia" w:ascii="仿宋" w:hAnsi="仿宋" w:eastAsia="仿宋" w:cs="仿宋"/>
          <w:sz w:val="32"/>
          <w:szCs w:val="32"/>
        </w:rPr>
        <w:t>年部门整体支出开展绩效自评，从评价情况来看</w:t>
      </w:r>
      <w:r>
        <w:rPr>
          <w:rFonts w:hint="eastAsia" w:ascii="仿宋" w:hAnsi="仿宋" w:eastAsia="仿宋" w:cs="仿宋"/>
          <w:color w:val="000000"/>
          <w:sz w:val="32"/>
          <w:szCs w:val="32"/>
        </w:rPr>
        <w:t>从评价情况来看</w:t>
      </w:r>
      <w:r>
        <w:rPr>
          <w:rFonts w:hint="eastAsia" w:ascii="仿宋" w:hAnsi="仿宋" w:eastAsia="仿宋" w:cs="仿宋"/>
          <w:color w:val="000000"/>
          <w:sz w:val="32"/>
          <w:szCs w:val="32"/>
          <w:lang w:eastAsia="zh-CN"/>
        </w:rPr>
        <w:t>完成效果较好</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中心</w:t>
      </w:r>
      <w:r>
        <w:rPr>
          <w:rFonts w:hint="eastAsia" w:ascii="仿宋" w:hAnsi="仿宋" w:eastAsia="仿宋" w:cs="仿宋"/>
          <w:color w:val="000000"/>
          <w:sz w:val="32"/>
          <w:szCs w:val="32"/>
        </w:rPr>
        <w:t>还自行组织了</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个项目支出绩效评价，从评价情况来看</w:t>
      </w:r>
      <w:r>
        <w:rPr>
          <w:rFonts w:hint="eastAsia" w:ascii="仿宋" w:hAnsi="仿宋" w:eastAsia="仿宋" w:cs="仿宋"/>
          <w:color w:val="000000"/>
          <w:sz w:val="32"/>
          <w:szCs w:val="32"/>
          <w:lang w:eastAsia="zh-CN"/>
        </w:rPr>
        <w:t>完成情况较好。</w:t>
      </w: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年特定目标类部门预算项目绩效目标自评表见附件。</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9" w:name="_Toc15396613"/>
      <w:bookmarkStart w:id="50" w:name="_Toc15377225"/>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bookmarkEnd w:id="49"/>
    <w:bookmarkEnd w:id="50"/>
    <w:p>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p>
    <w:p>
      <w:pPr>
        <w:spacing w:line="600" w:lineRule="exact"/>
        <w:jc w:val="left"/>
        <w:rPr>
          <w:rFonts w:ascii="Times New Roman" w:hAnsi="Times New Roman"/>
          <w:b/>
          <w:color w:val="auto"/>
          <w:sz w:val="44"/>
          <w:szCs w:val="44"/>
          <w:highlight w:val="none"/>
        </w:rPr>
      </w:pPr>
    </w:p>
    <w:p>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9.一般公共服务201类20103款2010350项事业支出指事业人员工资支出。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10.公共安全204类20499款2049901项其他公共安全支出指项目支出，维稳机动金支出。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11.社会保障和就业208类20805款2080505项指机关事业单位基本养老保险缴费支出。2020506指机关事业单位职业年金缴费支出。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12.卫生健康支出210类21011款2101102项指事业单位医疗支出，2101199指其他行政事业单位医疗支出。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13.住房保障221类22102款2210201项指住房公积金支出。</w:t>
      </w:r>
    </w:p>
    <w:p>
      <w:pPr>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17</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18</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color w:val="auto"/>
          <w:sz w:val="32"/>
          <w:szCs w:val="32"/>
          <w:lang w:eastAsia="zh-CN"/>
        </w:rPr>
        <w:t>。</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pPr>
        <w:spacing w:line="600" w:lineRule="exact"/>
        <w:jc w:val="center"/>
        <w:rPr>
          <w:rFonts w:hint="eastAsia" w:ascii="Times New Roman" w:hAnsi="Times New Roman" w:eastAsia="黑体" w:cs="Times New Roman"/>
          <w:color w:val="auto"/>
          <w:sz w:val="44"/>
          <w:szCs w:val="44"/>
          <w:highlight w:val="none"/>
          <w:lang w:eastAsia="zh-CN"/>
        </w:rPr>
      </w:pPr>
      <w:bookmarkStart w:id="51"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52" w:name="_Toc15396614"/>
      <w:r>
        <w:rPr>
          <w:rFonts w:hint="eastAsia" w:ascii="Times New Roman" w:hAnsi="Times New Roman" w:eastAsia="黑体" w:cs="Times New Roman"/>
          <w:color w:val="auto"/>
          <w:sz w:val="44"/>
          <w:szCs w:val="44"/>
          <w:highlight w:val="none"/>
        </w:rPr>
        <w:t>第四部分</w:t>
      </w:r>
      <w:r>
        <w:rPr>
          <w:rFonts w:hint="eastAsia" w:ascii="Times New Roman" w:hAnsi="Times New Roman" w:eastAsia="黑体" w:cs="Times New Roman"/>
          <w:color w:val="auto"/>
          <w:sz w:val="44"/>
          <w:szCs w:val="44"/>
          <w:highlight w:val="none"/>
          <w:lang w:val="en-US" w:eastAsia="zh-CN"/>
        </w:rPr>
        <w:t xml:space="preserve"> </w:t>
      </w:r>
      <w:r>
        <w:rPr>
          <w:rFonts w:hint="eastAsia" w:ascii="Times New Roman" w:hAnsi="Times New Roman" w:eastAsia="黑体" w:cs="Times New Roman"/>
          <w:color w:val="auto"/>
          <w:sz w:val="44"/>
          <w:szCs w:val="44"/>
          <w:highlight w:val="none"/>
        </w:rPr>
        <w:t xml:space="preserve"> 附件</w:t>
      </w:r>
      <w:bookmarkEnd w:id="52"/>
    </w:p>
    <w:p>
      <w:pPr>
        <w:spacing w:line="600" w:lineRule="exact"/>
        <w:jc w:val="center"/>
        <w:rPr>
          <w:rFonts w:hint="default" w:ascii="Times New Roman" w:hAnsi="Times New Roman" w:eastAsia="黑体" w:cs="Times New Roman"/>
          <w:color w:val="auto"/>
          <w:sz w:val="44"/>
          <w:szCs w:val="44"/>
          <w:highlight w:val="none"/>
        </w:rPr>
      </w:pP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eastAsia" w:ascii="Times New Roman" w:hAnsi="Times New Roman" w:eastAsia="方正小标宋简体" w:cs="Times New Roman"/>
          <w:b w:val="0"/>
          <w:bCs/>
          <w:sz w:val="44"/>
          <w:szCs w:val="44"/>
          <w:highlight w:val="none"/>
          <w:shd w:val="clear" w:color="auto" w:fill="FFFFFF"/>
          <w:lang w:eastAsia="zh-CN"/>
        </w:rPr>
      </w:pPr>
      <w:r>
        <w:rPr>
          <w:rFonts w:hint="eastAsia" w:ascii="Times New Roman" w:hAnsi="Times New Roman" w:eastAsia="方正小标宋简体" w:cs="Times New Roman"/>
          <w:b w:val="0"/>
          <w:bCs/>
          <w:sz w:val="44"/>
          <w:szCs w:val="44"/>
          <w:highlight w:val="none"/>
          <w:shd w:val="clear" w:color="auto" w:fill="FFFFFF"/>
          <w:lang w:eastAsia="zh-CN"/>
        </w:rPr>
        <w:t>红原县委县政府联动指挥中心</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eastAsia" w:ascii="Times New Roman" w:hAnsi="Times New Roman" w:eastAsia="方正小标宋简体" w:cs="Times New Roman"/>
          <w:b w:val="0"/>
          <w:bCs/>
          <w:sz w:val="44"/>
          <w:szCs w:val="44"/>
          <w:highlight w:val="none"/>
          <w:shd w:val="clear" w:color="auto" w:fill="FFFFFF"/>
          <w:lang w:eastAsia="zh-CN"/>
        </w:rPr>
        <w:t>关于</w:t>
      </w: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评价的</w:t>
      </w:r>
      <w:r>
        <w:rPr>
          <w:rFonts w:hint="default" w:ascii="Times New Roman" w:hAnsi="Times New Roman" w:eastAsia="方正小标宋简体" w:cs="Times New Roman"/>
          <w:b w:val="0"/>
          <w:bCs/>
          <w:sz w:val="44"/>
          <w:szCs w:val="44"/>
          <w:highlight w:val="none"/>
          <w:shd w:val="clear" w:color="auto" w:fill="FFFFFF"/>
        </w:rPr>
        <w:t>报告</w:t>
      </w:r>
    </w:p>
    <w:p>
      <w:pPr>
        <w:pStyle w:val="27"/>
        <w:pageBreakBefore w:val="0"/>
        <w:kinsoku/>
        <w:wordWrap/>
        <w:overflowPunct/>
        <w:topLinePunct w:val="0"/>
        <w:bidi w:val="0"/>
        <w:spacing w:line="576" w:lineRule="exact"/>
        <w:ind w:firstLine="640" w:firstLineChars="200"/>
        <w:rPr>
          <w:rFonts w:hint="eastAsia" w:ascii="仿宋_GB2312" w:hAnsi="Times New Roman" w:eastAsia="仿宋_GB2312"/>
          <w:color w:val="auto"/>
          <w:sz w:val="32"/>
          <w:szCs w:val="32"/>
          <w:lang w:val="en-US" w:eastAsia="zh-CN"/>
        </w:rPr>
      </w:pPr>
    </w:p>
    <w:p>
      <w:pPr>
        <w:pStyle w:val="27"/>
        <w:pageBreakBefore w:val="0"/>
        <w:kinsoku/>
        <w:wordWrap/>
        <w:overflowPunct/>
        <w:topLinePunct w:val="0"/>
        <w:bidi w:val="0"/>
        <w:spacing w:line="576" w:lineRule="exact"/>
        <w:ind w:firstLine="640" w:firstLineChars="200"/>
        <w:rPr>
          <w:rFonts w:hint="default" w:ascii="仿宋_GB2312" w:hAnsi="Times New Roman" w:eastAsia="仿宋_GB2312"/>
          <w:color w:val="auto"/>
          <w:sz w:val="32"/>
          <w:szCs w:val="32"/>
        </w:rPr>
      </w:pPr>
      <w:r>
        <w:rPr>
          <w:rFonts w:hint="eastAsia" w:ascii="仿宋_GB2312" w:hAnsi="Times New Roman" w:eastAsia="仿宋_GB2312"/>
          <w:color w:val="auto"/>
          <w:sz w:val="32"/>
          <w:szCs w:val="32"/>
          <w:lang w:val="en-US" w:eastAsia="zh-CN"/>
        </w:rPr>
        <w:t>按照《红原县财政局关于开展2024年县级各部门绩效自评工作的通知》（红财监绩〔2025〕1号）的工作安排，我中心进一步强化预算绩效管理主体责任和绩效理念，认真开展了绩效管理和预算绩效自评相关工作，现将预算绩效评价情况报告如下：</w:t>
      </w:r>
      <w:r>
        <w:rPr>
          <w:rFonts w:hint="eastAsia" w:ascii="仿宋_GB2312" w:hAnsi="Times New Roman" w:eastAsia="仿宋_GB2312"/>
          <w:color w:val="auto"/>
          <w:sz w:val="32"/>
          <w:szCs w:val="32"/>
        </w:rPr>
        <w:t xml:space="preserve"> </w:t>
      </w:r>
    </w:p>
    <w:p>
      <w:pPr>
        <w:pStyle w:val="27"/>
        <w:pageBreakBefore w:val="0"/>
        <w:kinsoku/>
        <w:wordWrap/>
        <w:overflowPunct/>
        <w:topLinePunct w:val="0"/>
        <w:bidi w:val="0"/>
        <w:spacing w:line="576"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lang w:val="zh-CN"/>
        </w:rPr>
        <w:t>一、部门（单位）基本情况</w:t>
      </w:r>
    </w:p>
    <w:p>
      <w:pPr>
        <w:pStyle w:val="27"/>
        <w:pageBreakBefore w:val="0"/>
        <w:kinsoku/>
        <w:wordWrap/>
        <w:overflowPunct/>
        <w:topLinePunct w:val="0"/>
        <w:bidi w:val="0"/>
        <w:spacing w:line="576" w:lineRule="exact"/>
        <w:ind w:firstLine="640" w:firstLineChars="200"/>
        <w:rPr>
          <w:rFonts w:hint="eastAsia" w:ascii="方正仿宋_GBK" w:hAnsi="方正仿宋_GBK" w:eastAsia="方正仿宋_GBK" w:cs="方正仿宋_GBK"/>
          <w:b/>
          <w:bCs/>
          <w:i w:val="0"/>
          <w:caps w:val="0"/>
          <w:color w:val="000000"/>
          <w:spacing w:val="0"/>
          <w:kern w:val="0"/>
          <w:sz w:val="32"/>
          <w:szCs w:val="32"/>
          <w:shd w:val="clear" w:color="auto" w:fill="FFFFFF"/>
          <w:lang w:val="en-US" w:eastAsia="zh-CN" w:bidi="ar"/>
        </w:rPr>
      </w:pPr>
      <w:r>
        <w:rPr>
          <w:rFonts w:hint="eastAsia" w:ascii="仿宋_GB2312" w:hAnsi="Times New Roman" w:eastAsia="仿宋_GB2312"/>
          <w:color w:val="auto"/>
          <w:sz w:val="32"/>
          <w:szCs w:val="32"/>
        </w:rPr>
        <w:t>1</w:t>
      </w:r>
      <w:r>
        <w:rPr>
          <w:rFonts w:hint="eastAsia" w:ascii="方正仿宋_GBK" w:hAnsi="方正仿宋_GBK" w:eastAsia="方正仿宋_GBK" w:cs="方正仿宋_GBK"/>
          <w:b/>
          <w:bCs/>
          <w:i w:val="0"/>
          <w:caps w:val="0"/>
          <w:color w:val="000000"/>
          <w:spacing w:val="0"/>
          <w:kern w:val="0"/>
          <w:sz w:val="32"/>
          <w:szCs w:val="32"/>
          <w:shd w:val="clear" w:color="auto" w:fill="FFFFFF"/>
          <w:lang w:val="en-US" w:eastAsia="zh-CN" w:bidi="ar"/>
        </w:rPr>
        <w:t>．主要职能及</w:t>
      </w:r>
      <w:r>
        <w:rPr>
          <w:rFonts w:hint="eastAsia" w:ascii="方正楷体_GBK" w:hAnsi="方正楷体_GBK" w:eastAsia="方正楷体_GBK" w:cs="方正楷体_GBK"/>
          <w:b/>
          <w:bCs/>
          <w:i w:val="0"/>
          <w:caps w:val="0"/>
          <w:color w:val="000000"/>
          <w:spacing w:val="0"/>
          <w:kern w:val="0"/>
          <w:sz w:val="32"/>
          <w:szCs w:val="32"/>
          <w:shd w:val="clear" w:color="auto" w:fill="FFFFFF"/>
          <w:lang w:val="en-US" w:eastAsia="zh-CN" w:bidi="ar"/>
        </w:rPr>
        <w:t>基本情况</w:t>
      </w:r>
      <w:r>
        <w:rPr>
          <w:rFonts w:hint="eastAsia" w:ascii="方正仿宋_GBK" w:hAnsi="方正仿宋_GBK" w:eastAsia="方正仿宋_GBK" w:cs="方正仿宋_GBK"/>
          <w:b/>
          <w:bCs/>
          <w:i w:val="0"/>
          <w:caps w:val="0"/>
          <w:color w:val="000000"/>
          <w:spacing w:val="0"/>
          <w:kern w:val="0"/>
          <w:sz w:val="32"/>
          <w:szCs w:val="32"/>
          <w:shd w:val="clear" w:color="auto" w:fill="FFFFFF"/>
          <w:lang w:val="en-US" w:eastAsia="zh-CN" w:bidi="ar"/>
        </w:rPr>
        <w:t>。</w:t>
      </w:r>
    </w:p>
    <w:p>
      <w:pPr>
        <w:pStyle w:val="27"/>
        <w:pageBreakBefore w:val="0"/>
        <w:kinsoku/>
        <w:wordWrap/>
        <w:overflowPunct/>
        <w:topLinePunct w:val="0"/>
        <w:bidi w:val="0"/>
        <w:spacing w:line="576" w:lineRule="exact"/>
        <w:ind w:firstLine="640" w:firstLineChars="200"/>
        <w:rPr>
          <w:rFonts w:hint="default" w:ascii="仿宋_GB2312" w:hAnsi="Times New Roman" w:eastAsia="仿宋_GB2312"/>
          <w:color w:val="auto"/>
          <w:sz w:val="32"/>
          <w:szCs w:val="32"/>
        </w:rPr>
      </w:pPr>
      <w:r>
        <w:rPr>
          <w:rFonts w:hint="default" w:ascii="仿宋_GB2312" w:hAnsi="Times New Roman" w:eastAsia="仿宋_GB2312"/>
          <w:color w:val="auto"/>
          <w:sz w:val="32"/>
          <w:szCs w:val="32"/>
        </w:rPr>
        <w:t>（1）受县委、县政府的委托、代表县联动指挥中心行使应急指挥权利；</w:t>
      </w:r>
    </w:p>
    <w:p>
      <w:pPr>
        <w:pStyle w:val="27"/>
        <w:pageBreakBefore w:val="0"/>
        <w:kinsoku/>
        <w:wordWrap/>
        <w:overflowPunct/>
        <w:topLinePunct w:val="0"/>
        <w:bidi w:val="0"/>
        <w:spacing w:line="576" w:lineRule="exact"/>
        <w:ind w:firstLine="640" w:firstLineChars="200"/>
        <w:rPr>
          <w:rFonts w:hint="default" w:ascii="仿宋_GB2312" w:hAnsi="Times New Roman" w:eastAsia="仿宋_GB2312"/>
          <w:color w:val="auto"/>
          <w:sz w:val="32"/>
          <w:szCs w:val="32"/>
        </w:rPr>
      </w:pPr>
      <w:r>
        <w:rPr>
          <w:rFonts w:hint="default" w:ascii="仿宋_GB2312" w:hAnsi="Times New Roman" w:eastAsia="仿宋_GB2312"/>
          <w:color w:val="auto"/>
          <w:sz w:val="32"/>
          <w:szCs w:val="32"/>
        </w:rPr>
        <w:t>（2）负责对中心入驻的六大中心工作人员的管理，负责对七大平台数据的收集和分析研判，并代表县委、政府和县联动指挥中心对重大事件和突发事件的应急指挥工作；</w:t>
      </w:r>
    </w:p>
    <w:p>
      <w:pPr>
        <w:pStyle w:val="27"/>
        <w:pageBreakBefore w:val="0"/>
        <w:kinsoku/>
        <w:wordWrap/>
        <w:overflowPunct/>
        <w:topLinePunct w:val="0"/>
        <w:bidi w:val="0"/>
        <w:spacing w:line="576" w:lineRule="exact"/>
        <w:ind w:firstLine="640" w:firstLineChars="200"/>
        <w:rPr>
          <w:rFonts w:hint="default" w:ascii="仿宋_GB2312" w:hAnsi="Times New Roman" w:eastAsia="仿宋_GB2312"/>
          <w:color w:val="auto"/>
          <w:sz w:val="32"/>
          <w:szCs w:val="32"/>
        </w:rPr>
      </w:pPr>
      <w:r>
        <w:rPr>
          <w:rFonts w:hint="default" w:ascii="仿宋_GB2312" w:hAnsi="Times New Roman" w:eastAsia="仿宋_GB2312"/>
          <w:color w:val="auto"/>
          <w:sz w:val="32"/>
          <w:szCs w:val="32"/>
        </w:rPr>
        <w:t>（3）负责组织督促；落实县委、县政府和县联动指挥中心下达的指令或工作安排部署，根据工作的实际情况和需要，适时召开联动部门工作协调会，研究解决有关联动服务事宜和问题；</w:t>
      </w:r>
    </w:p>
    <w:p>
      <w:pPr>
        <w:pStyle w:val="27"/>
        <w:pageBreakBefore w:val="0"/>
        <w:kinsoku/>
        <w:wordWrap/>
        <w:overflowPunct/>
        <w:topLinePunct w:val="0"/>
        <w:bidi w:val="0"/>
        <w:spacing w:line="576" w:lineRule="exact"/>
        <w:ind w:firstLine="640" w:firstLineChars="200"/>
        <w:rPr>
          <w:rFonts w:hint="default" w:ascii="仿宋_GB2312" w:hAnsi="Times New Roman" w:eastAsia="仿宋_GB2312"/>
          <w:color w:val="auto"/>
          <w:sz w:val="32"/>
          <w:szCs w:val="32"/>
        </w:rPr>
      </w:pPr>
      <w:r>
        <w:rPr>
          <w:rFonts w:hint="default" w:ascii="仿宋_GB2312" w:hAnsi="Times New Roman" w:eastAsia="仿宋_GB2312"/>
          <w:color w:val="auto"/>
          <w:sz w:val="32"/>
          <w:szCs w:val="32"/>
        </w:rPr>
        <w:t>（4）负责对重要信息的收集、报送工作，对全县应急处突、渉稳事件、安全生产急救、自然灾害等重大事件的协调工作，同时做好处置工作记录，并逐日归类汇总并备案；</w:t>
      </w:r>
    </w:p>
    <w:p>
      <w:pPr>
        <w:pStyle w:val="27"/>
        <w:pageBreakBefore w:val="0"/>
        <w:kinsoku/>
        <w:wordWrap/>
        <w:overflowPunct/>
        <w:topLinePunct w:val="0"/>
        <w:bidi w:val="0"/>
        <w:spacing w:line="576" w:lineRule="exact"/>
        <w:ind w:firstLine="640" w:firstLineChars="200"/>
        <w:rPr>
          <w:rFonts w:hint="default" w:ascii="仿宋_GB2312" w:hAnsi="Times New Roman" w:eastAsia="仿宋_GB2312"/>
          <w:color w:val="auto"/>
          <w:sz w:val="32"/>
          <w:szCs w:val="32"/>
        </w:rPr>
      </w:pPr>
      <w:r>
        <w:rPr>
          <w:rFonts w:hint="default" w:ascii="仿宋_GB2312" w:hAnsi="Times New Roman" w:eastAsia="仿宋_GB2312"/>
          <w:color w:val="auto"/>
          <w:sz w:val="32"/>
          <w:szCs w:val="32"/>
        </w:rPr>
        <w:t>（5）负责组织、督促有关部门抓好民生服务工作，矛盾纠纷排查化解工作。开展调查研究，对重大情况和问题应及时进行分析研判，并向县政府提交研判报告；</w:t>
      </w:r>
    </w:p>
    <w:p>
      <w:pPr>
        <w:pStyle w:val="27"/>
        <w:pageBreakBefore w:val="0"/>
        <w:kinsoku/>
        <w:wordWrap/>
        <w:overflowPunct/>
        <w:topLinePunct w:val="0"/>
        <w:bidi w:val="0"/>
        <w:spacing w:line="576" w:lineRule="exact"/>
        <w:ind w:firstLine="640" w:firstLineChars="200"/>
        <w:rPr>
          <w:rFonts w:hint="default" w:ascii="仿宋_GB2312" w:hAnsi="Times New Roman" w:eastAsia="仿宋_GB2312"/>
          <w:color w:val="auto"/>
          <w:sz w:val="32"/>
          <w:szCs w:val="32"/>
        </w:rPr>
      </w:pPr>
      <w:r>
        <w:rPr>
          <w:rFonts w:hint="default" w:ascii="仿宋_GB2312" w:hAnsi="Times New Roman" w:eastAsia="仿宋_GB2312"/>
          <w:color w:val="auto"/>
          <w:sz w:val="32"/>
          <w:szCs w:val="32"/>
        </w:rPr>
        <w:t>（6）负责建立健全联动指挥中心各项规章制度；</w:t>
      </w:r>
    </w:p>
    <w:p>
      <w:pPr>
        <w:pStyle w:val="27"/>
        <w:pageBreakBefore w:val="0"/>
        <w:kinsoku/>
        <w:wordWrap/>
        <w:overflowPunct/>
        <w:topLinePunct w:val="0"/>
        <w:bidi w:val="0"/>
        <w:spacing w:line="576" w:lineRule="exact"/>
        <w:ind w:firstLine="640" w:firstLineChars="200"/>
        <w:rPr>
          <w:rFonts w:hint="default" w:ascii="仿宋_GB2312" w:hAnsi="Times New Roman" w:eastAsia="仿宋_GB2312"/>
          <w:color w:val="auto"/>
          <w:sz w:val="32"/>
          <w:szCs w:val="32"/>
        </w:rPr>
      </w:pPr>
      <w:r>
        <w:rPr>
          <w:rFonts w:hint="default" w:ascii="仿宋_GB2312" w:hAnsi="Times New Roman" w:eastAsia="仿宋_GB2312"/>
          <w:color w:val="auto"/>
          <w:sz w:val="32"/>
          <w:szCs w:val="32"/>
        </w:rPr>
        <w:t>（7）负责协助和管理县民族宗教局入驻人员开展寺庙网格化精准服务系统管理工作；负责协助和管理县公安局入驻人员做好联动指挥中心系统维护以及天网视频调度工作；负责协助和管理县矛盾纠纷“大调解”中心做好全县大调解工作和基层大调解指导工作；负责协助和管理其它入驻单位的工作人员开展相关工作。</w:t>
      </w:r>
    </w:p>
    <w:p>
      <w:pPr>
        <w:pStyle w:val="27"/>
        <w:pageBreakBefore w:val="0"/>
        <w:kinsoku/>
        <w:wordWrap/>
        <w:overflowPunct/>
        <w:topLinePunct w:val="0"/>
        <w:bidi w:val="0"/>
        <w:spacing w:line="576" w:lineRule="exact"/>
        <w:ind w:firstLine="640" w:firstLineChars="200"/>
        <w:rPr>
          <w:rFonts w:hint="eastAsia" w:ascii="仿宋_GB2312" w:hAnsi="Times New Roman" w:eastAsia="仿宋_GB2312"/>
          <w:color w:val="auto"/>
          <w:sz w:val="32"/>
          <w:szCs w:val="32"/>
        </w:rPr>
      </w:pPr>
      <w:r>
        <w:rPr>
          <w:rFonts w:hint="default" w:ascii="仿宋_GB2312" w:hAnsi="Times New Roman" w:eastAsia="仿宋_GB2312"/>
          <w:color w:val="auto"/>
          <w:sz w:val="32"/>
          <w:szCs w:val="32"/>
        </w:rPr>
        <w:t>（8）负责做好县委、政府临时交办的各项工作任务。</w:t>
      </w:r>
    </w:p>
    <w:p>
      <w:pPr>
        <w:pStyle w:val="27"/>
        <w:pageBreakBefore w:val="0"/>
        <w:kinsoku/>
        <w:wordWrap/>
        <w:overflowPunct/>
        <w:topLinePunct w:val="0"/>
        <w:bidi w:val="0"/>
        <w:spacing w:line="576" w:lineRule="exact"/>
        <w:ind w:firstLine="643" w:firstLineChars="200"/>
        <w:rPr>
          <w:rFonts w:hint="eastAsia" w:ascii="方正仿宋_GBK" w:hAnsi="方正仿宋_GBK" w:eastAsia="方正仿宋_GBK" w:cs="方正仿宋_GBK"/>
          <w:b/>
          <w:bCs/>
          <w:i w:val="0"/>
          <w:caps w:val="0"/>
          <w:color w:val="000000"/>
          <w:spacing w:val="0"/>
          <w:kern w:val="0"/>
          <w:sz w:val="32"/>
          <w:szCs w:val="32"/>
          <w:shd w:val="clear" w:color="auto" w:fill="FFFFFF"/>
          <w:lang w:val="en-US" w:eastAsia="zh-CN" w:bidi="ar"/>
        </w:rPr>
      </w:pPr>
      <w:r>
        <w:rPr>
          <w:rFonts w:hint="eastAsia" w:ascii="方正仿宋_GBK" w:hAnsi="方正仿宋_GBK" w:eastAsia="方正仿宋_GBK" w:cs="方正仿宋_GBK"/>
          <w:b/>
          <w:bCs/>
          <w:i w:val="0"/>
          <w:caps w:val="0"/>
          <w:color w:val="000000"/>
          <w:spacing w:val="0"/>
          <w:kern w:val="0"/>
          <w:sz w:val="32"/>
          <w:szCs w:val="32"/>
          <w:shd w:val="clear" w:color="auto" w:fill="FFFFFF"/>
          <w:lang w:val="en-US" w:eastAsia="zh-CN" w:bidi="ar"/>
        </w:rPr>
        <w:t>2．机构情况，包括当年变动情况及原因。</w:t>
      </w:r>
    </w:p>
    <w:p>
      <w:pPr>
        <w:pStyle w:val="27"/>
        <w:pageBreakBefore w:val="0"/>
        <w:kinsoku/>
        <w:wordWrap/>
        <w:overflowPunct/>
        <w:topLinePunct w:val="0"/>
        <w:bidi w:val="0"/>
        <w:spacing w:line="576" w:lineRule="exact"/>
        <w:ind w:firstLine="640" w:firstLineChars="200"/>
        <w:rPr>
          <w:rFonts w:hint="eastAsia" w:ascii="仿宋_GB2312" w:hAnsi="Times New Roman" w:eastAsia="仿宋_GB2312"/>
          <w:color w:val="auto"/>
          <w:sz w:val="32"/>
          <w:szCs w:val="32"/>
        </w:rPr>
      </w:pPr>
      <w:r>
        <w:rPr>
          <w:rFonts w:hint="default" w:ascii="仿宋_GB2312" w:hAnsi="Times New Roman" w:eastAsia="仿宋_GB2312"/>
          <w:color w:val="auto"/>
          <w:sz w:val="32"/>
          <w:szCs w:val="32"/>
        </w:rPr>
        <w:t>红原县</w:t>
      </w:r>
      <w:r>
        <w:rPr>
          <w:rFonts w:hint="eastAsia" w:ascii="仿宋_GB2312" w:hAnsi="Times New Roman" w:eastAsia="仿宋_GB2312"/>
          <w:color w:val="auto"/>
          <w:sz w:val="32"/>
          <w:szCs w:val="32"/>
          <w:lang w:eastAsia="zh-CN"/>
        </w:rPr>
        <w:t>委县政府</w:t>
      </w:r>
      <w:r>
        <w:rPr>
          <w:rFonts w:hint="default" w:ascii="仿宋_GB2312" w:hAnsi="Times New Roman" w:eastAsia="仿宋_GB2312"/>
          <w:color w:val="auto"/>
          <w:sz w:val="32"/>
          <w:szCs w:val="32"/>
        </w:rPr>
        <w:t>联动指挥中心</w:t>
      </w:r>
      <w:r>
        <w:rPr>
          <w:rFonts w:hint="eastAsia" w:ascii="仿宋_GB2312" w:hAnsi="Times New Roman" w:eastAsia="仿宋_GB2312"/>
          <w:color w:val="auto"/>
          <w:sz w:val="32"/>
          <w:szCs w:val="32"/>
          <w:lang w:eastAsia="zh-CN"/>
        </w:rPr>
        <w:t>为正科级事业单位，</w:t>
      </w:r>
      <w:r>
        <w:rPr>
          <w:rFonts w:hint="default" w:ascii="仿宋_GB2312" w:hAnsi="Times New Roman" w:eastAsia="仿宋_GB2312"/>
          <w:color w:val="auto"/>
          <w:sz w:val="32"/>
          <w:szCs w:val="32"/>
        </w:rPr>
        <w:t>事业编制</w:t>
      </w:r>
      <w:r>
        <w:rPr>
          <w:rFonts w:hint="eastAsia" w:ascii="仿宋_GB2312" w:hAnsi="Times New Roman" w:eastAsia="仿宋_GB2312"/>
          <w:color w:val="auto"/>
          <w:sz w:val="32"/>
          <w:szCs w:val="32"/>
          <w:lang w:val="en-US" w:eastAsia="zh-CN"/>
        </w:rPr>
        <w:t>9</w:t>
      </w:r>
      <w:r>
        <w:rPr>
          <w:rFonts w:hint="default" w:ascii="仿宋_GB2312" w:hAnsi="Times New Roman" w:eastAsia="仿宋_GB2312"/>
          <w:color w:val="auto"/>
          <w:sz w:val="32"/>
          <w:szCs w:val="32"/>
        </w:rPr>
        <w:t>名，其中：设主任1名(正科级)，副主任2名(副科级)；股级领导职数3名</w:t>
      </w:r>
      <w:r>
        <w:rPr>
          <w:rFonts w:hint="eastAsia" w:ascii="仿宋_GB2312" w:hAnsi="Times New Roman" w:eastAsia="仿宋_GB2312"/>
          <w:color w:val="auto"/>
          <w:sz w:val="32"/>
          <w:szCs w:val="32"/>
          <w:lang w:val="en-US" w:eastAsia="zh-CN"/>
        </w:rPr>
        <w:t>.工勤1名</w:t>
      </w:r>
      <w:r>
        <w:rPr>
          <w:rFonts w:hint="default" w:ascii="仿宋_GB2312" w:hAnsi="Times New Roman" w:eastAsia="仿宋_GB2312"/>
          <w:color w:val="auto"/>
          <w:sz w:val="32"/>
          <w:szCs w:val="32"/>
        </w:rPr>
        <w:t>。</w:t>
      </w:r>
    </w:p>
    <w:p>
      <w:pPr>
        <w:pStyle w:val="27"/>
        <w:pageBreakBefore w:val="0"/>
        <w:kinsoku/>
        <w:wordWrap/>
        <w:overflowPunct/>
        <w:topLinePunct w:val="0"/>
        <w:bidi w:val="0"/>
        <w:spacing w:line="576"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rPr>
        <w:t>人员情况，包括当年变动情况及原因。</w:t>
      </w:r>
    </w:p>
    <w:p>
      <w:pPr>
        <w:pStyle w:val="27"/>
        <w:pageBreakBefore w:val="0"/>
        <w:kinsoku/>
        <w:wordWrap/>
        <w:overflowPunct/>
        <w:topLinePunct w:val="0"/>
        <w:bidi w:val="0"/>
        <w:spacing w:line="576" w:lineRule="exact"/>
        <w:ind w:firstLine="640" w:firstLineChars="200"/>
        <w:rPr>
          <w:rFonts w:hint="default" w:ascii="仿宋_GB2312" w:hAnsi="Times New Roman" w:eastAsia="仿宋_GB2312"/>
          <w:color w:val="auto"/>
          <w:sz w:val="32"/>
          <w:szCs w:val="32"/>
          <w:lang w:val="en-US" w:eastAsia="zh-CN"/>
        </w:rPr>
      </w:pPr>
      <w:r>
        <w:rPr>
          <w:rFonts w:hint="eastAsia" w:ascii="仿宋_GB2312" w:hAnsi="Times New Roman" w:eastAsia="仿宋_GB2312"/>
          <w:color w:val="auto"/>
          <w:sz w:val="32"/>
          <w:szCs w:val="32"/>
          <w:lang w:eastAsia="zh-CN"/>
        </w:rPr>
        <w:t>联动指挥中心</w:t>
      </w:r>
      <w:r>
        <w:rPr>
          <w:rFonts w:hint="eastAsia" w:ascii="仿宋_GB2312" w:hAnsi="Times New Roman" w:eastAsia="仿宋_GB2312"/>
          <w:color w:val="auto"/>
          <w:sz w:val="32"/>
          <w:szCs w:val="32"/>
          <w:lang w:val="en-US" w:eastAsia="zh-CN"/>
        </w:rPr>
        <w:t>2024年调入副主任1名、工勤1名，截止年末，实有在职人员共计9人。</w:t>
      </w:r>
    </w:p>
    <w:p>
      <w:pPr>
        <w:pStyle w:val="27"/>
        <w:pageBreakBefore w:val="0"/>
        <w:kinsoku/>
        <w:wordWrap/>
        <w:overflowPunct/>
        <w:topLinePunct w:val="0"/>
        <w:bidi w:val="0"/>
        <w:spacing w:line="576" w:lineRule="exact"/>
        <w:ind w:firstLine="640" w:firstLineChars="200"/>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二、部门资金收支情况</w:t>
      </w:r>
    </w:p>
    <w:p>
      <w:pPr>
        <w:pStyle w:val="27"/>
        <w:pageBreakBefore w:val="0"/>
        <w:kinsoku/>
        <w:wordWrap/>
        <w:overflowPunct/>
        <w:topLinePunct w:val="0"/>
        <w:bidi w:val="0"/>
        <w:spacing w:line="576" w:lineRule="exact"/>
        <w:ind w:firstLine="643" w:firstLineChars="200"/>
        <w:rPr>
          <w:rFonts w:hint="eastAsia" w:ascii="仿宋_GB2312" w:hAnsi="Times New Roman" w:eastAsia="仿宋_GB2312"/>
          <w:color w:val="auto"/>
          <w:sz w:val="32"/>
          <w:szCs w:val="32"/>
          <w:lang w:val="en-US" w:eastAsia="zh-CN"/>
        </w:rPr>
      </w:pPr>
      <w:r>
        <w:rPr>
          <w:rFonts w:hint="default" w:ascii="方正仿宋_GBK" w:hAnsi="方正仿宋_GBK" w:eastAsia="方正仿宋_GBK" w:cs="方正仿宋_GBK"/>
          <w:b/>
          <w:bCs/>
          <w:i w:val="0"/>
          <w:caps w:val="0"/>
          <w:color w:val="000000"/>
          <w:spacing w:val="0"/>
          <w:kern w:val="0"/>
          <w:sz w:val="32"/>
          <w:szCs w:val="32"/>
          <w:shd w:val="clear" w:color="auto" w:fill="FFFFFF"/>
          <w:lang w:val="zh-CN" w:eastAsia="zh-CN" w:bidi="ar"/>
        </w:rPr>
        <w:t>（一）</w:t>
      </w:r>
      <w:r>
        <w:rPr>
          <w:rFonts w:hint="eastAsia" w:ascii="方正仿宋_GBK" w:hAnsi="方正仿宋_GBK" w:eastAsia="方正仿宋_GBK" w:cs="方正仿宋_GBK"/>
          <w:b/>
          <w:bCs/>
          <w:i w:val="0"/>
          <w:caps w:val="0"/>
          <w:color w:val="000000"/>
          <w:spacing w:val="0"/>
          <w:kern w:val="0"/>
          <w:sz w:val="32"/>
          <w:szCs w:val="32"/>
          <w:shd w:val="clear" w:color="auto" w:fill="FFFFFF"/>
          <w:lang w:val="zh-CN" w:eastAsia="zh-CN" w:bidi="ar"/>
        </w:rPr>
        <w:t>收入情况</w:t>
      </w:r>
      <w:r>
        <w:rPr>
          <w:rFonts w:hint="default" w:ascii="方正仿宋_GBK" w:hAnsi="方正仿宋_GBK" w:eastAsia="方正仿宋_GBK" w:cs="方正仿宋_GBK"/>
          <w:b/>
          <w:bCs/>
          <w:i w:val="0"/>
          <w:caps w:val="0"/>
          <w:color w:val="000000"/>
          <w:spacing w:val="0"/>
          <w:kern w:val="0"/>
          <w:sz w:val="32"/>
          <w:szCs w:val="32"/>
          <w:shd w:val="clear" w:color="auto" w:fill="FFFFFF"/>
          <w:lang w:val="zh-CN" w:eastAsia="zh-CN" w:bidi="ar"/>
        </w:rPr>
        <w:t>。</w:t>
      </w:r>
      <w:r>
        <w:rPr>
          <w:rFonts w:hint="eastAsia" w:ascii="仿宋_GB2312" w:hAnsi="Times New Roman" w:eastAsia="仿宋_GB2312"/>
          <w:color w:val="auto"/>
          <w:sz w:val="32"/>
          <w:szCs w:val="32"/>
        </w:rPr>
        <w:t>本单位本年度总收入为</w:t>
      </w:r>
      <w:r>
        <w:rPr>
          <w:rFonts w:hint="eastAsia" w:ascii="仿宋_GB2312" w:hAnsi="Times New Roman" w:eastAsia="仿宋_GB2312"/>
          <w:color w:val="auto"/>
          <w:sz w:val="32"/>
          <w:szCs w:val="32"/>
          <w:lang w:val="en-US" w:eastAsia="zh-CN"/>
        </w:rPr>
        <w:t>346.21</w:t>
      </w:r>
      <w:r>
        <w:rPr>
          <w:rFonts w:hint="eastAsia" w:ascii="仿宋_GB2312" w:hAnsi="Times New Roman" w:eastAsia="仿宋_GB2312"/>
          <w:color w:val="auto"/>
          <w:sz w:val="32"/>
          <w:szCs w:val="32"/>
        </w:rPr>
        <w:t>万元。其中：一般公共预算财政拨款收入为</w:t>
      </w:r>
      <w:r>
        <w:rPr>
          <w:rFonts w:hint="eastAsia" w:ascii="仿宋_GB2312" w:hAnsi="Times New Roman" w:eastAsia="仿宋_GB2312"/>
          <w:color w:val="auto"/>
          <w:sz w:val="32"/>
          <w:szCs w:val="32"/>
          <w:lang w:val="en-US" w:eastAsia="zh-CN"/>
        </w:rPr>
        <w:t>346.21</w:t>
      </w:r>
      <w:r>
        <w:rPr>
          <w:rFonts w:hint="eastAsia" w:ascii="仿宋_GB2312" w:hAnsi="Times New Roman" w:eastAsia="仿宋_GB2312"/>
          <w:color w:val="auto"/>
          <w:sz w:val="32"/>
          <w:szCs w:val="32"/>
        </w:rPr>
        <w:t>万元，占比</w:t>
      </w:r>
      <w:r>
        <w:rPr>
          <w:rFonts w:hint="eastAsia" w:ascii="仿宋_GB2312" w:hAnsi="Times New Roman" w:eastAsia="仿宋_GB2312"/>
          <w:color w:val="auto"/>
          <w:sz w:val="32"/>
          <w:szCs w:val="32"/>
          <w:lang w:val="en-US" w:eastAsia="zh-CN"/>
        </w:rPr>
        <w:t>100</w:t>
      </w:r>
      <w:r>
        <w:rPr>
          <w:rFonts w:hint="eastAsia" w:ascii="仿宋_GB2312" w:hAnsi="Times New Roman" w:eastAsia="仿宋_GB2312"/>
          <w:color w:val="auto"/>
          <w:sz w:val="32"/>
          <w:szCs w:val="32"/>
        </w:rPr>
        <w:t>%</w:t>
      </w:r>
      <w:r>
        <w:rPr>
          <w:rFonts w:hint="eastAsia" w:ascii="仿宋_GB2312" w:hAnsi="Times New Roman" w:eastAsia="仿宋_GB2312"/>
          <w:color w:val="auto"/>
          <w:sz w:val="32"/>
          <w:szCs w:val="32"/>
          <w:lang w:eastAsia="zh-CN"/>
        </w:rPr>
        <w:t>。</w:t>
      </w:r>
    </w:p>
    <w:p>
      <w:pPr>
        <w:pStyle w:val="27"/>
        <w:pageBreakBefore w:val="0"/>
        <w:kinsoku/>
        <w:wordWrap/>
        <w:overflowPunct/>
        <w:topLinePunct w:val="0"/>
        <w:bidi w:val="0"/>
        <w:spacing w:line="576" w:lineRule="exact"/>
        <w:ind w:firstLine="643" w:firstLineChars="200"/>
        <w:rPr>
          <w:rFonts w:hint="eastAsia" w:ascii="仿宋_GB2312" w:hAnsi="Times New Roman" w:eastAsia="仿宋_GB2312"/>
          <w:color w:val="auto"/>
          <w:sz w:val="32"/>
          <w:szCs w:val="32"/>
          <w:lang w:val="en-US" w:eastAsia="zh-CN"/>
        </w:rPr>
      </w:pPr>
      <w:r>
        <w:rPr>
          <w:rFonts w:hint="default" w:ascii="方正仿宋_GBK" w:hAnsi="方正仿宋_GBK" w:eastAsia="方正仿宋_GBK" w:cs="方正仿宋_GBK"/>
          <w:b/>
          <w:bCs/>
          <w:i w:val="0"/>
          <w:caps w:val="0"/>
          <w:color w:val="000000"/>
          <w:spacing w:val="0"/>
          <w:kern w:val="0"/>
          <w:sz w:val="32"/>
          <w:szCs w:val="32"/>
          <w:shd w:val="clear" w:color="auto" w:fill="FFFFFF"/>
          <w:lang w:val="zh-CN" w:eastAsia="zh-CN" w:bidi="ar"/>
        </w:rPr>
        <w:t>（</w:t>
      </w:r>
      <w:r>
        <w:rPr>
          <w:rFonts w:hint="eastAsia" w:ascii="方正仿宋_GBK" w:hAnsi="方正仿宋_GBK" w:eastAsia="方正仿宋_GBK" w:cs="方正仿宋_GBK"/>
          <w:b/>
          <w:bCs/>
          <w:i w:val="0"/>
          <w:caps w:val="0"/>
          <w:color w:val="000000"/>
          <w:spacing w:val="0"/>
          <w:kern w:val="0"/>
          <w:sz w:val="32"/>
          <w:szCs w:val="32"/>
          <w:shd w:val="clear" w:color="auto" w:fill="FFFFFF"/>
          <w:lang w:val="zh-CN" w:eastAsia="zh-CN" w:bidi="ar"/>
        </w:rPr>
        <w:t>二</w:t>
      </w:r>
      <w:r>
        <w:rPr>
          <w:rFonts w:hint="default" w:ascii="方正仿宋_GBK" w:hAnsi="方正仿宋_GBK" w:eastAsia="方正仿宋_GBK" w:cs="方正仿宋_GBK"/>
          <w:b/>
          <w:bCs/>
          <w:i w:val="0"/>
          <w:caps w:val="0"/>
          <w:color w:val="000000"/>
          <w:spacing w:val="0"/>
          <w:kern w:val="0"/>
          <w:sz w:val="32"/>
          <w:szCs w:val="32"/>
          <w:shd w:val="clear" w:color="auto" w:fill="FFFFFF"/>
          <w:lang w:val="zh-CN" w:eastAsia="zh-CN" w:bidi="ar"/>
        </w:rPr>
        <w:t>）</w:t>
      </w:r>
      <w:r>
        <w:rPr>
          <w:rFonts w:hint="eastAsia" w:ascii="方正仿宋_GBK" w:hAnsi="方正仿宋_GBK" w:eastAsia="方正仿宋_GBK" w:cs="方正仿宋_GBK"/>
          <w:b/>
          <w:bCs/>
          <w:i w:val="0"/>
          <w:caps w:val="0"/>
          <w:color w:val="000000"/>
          <w:spacing w:val="0"/>
          <w:kern w:val="0"/>
          <w:sz w:val="32"/>
          <w:szCs w:val="32"/>
          <w:shd w:val="clear" w:color="auto" w:fill="FFFFFF"/>
          <w:lang w:val="zh-CN" w:eastAsia="zh-CN" w:bidi="ar"/>
        </w:rPr>
        <w:t>支出情况</w:t>
      </w:r>
      <w:r>
        <w:rPr>
          <w:rFonts w:hint="default" w:ascii="仿宋_GB2312" w:hAnsi="Times New Roman" w:eastAsia="仿宋_GB2312"/>
          <w:color w:val="auto"/>
          <w:sz w:val="32"/>
          <w:szCs w:val="32"/>
          <w:lang w:val="zh-CN"/>
        </w:rPr>
        <w:t>。</w:t>
      </w:r>
      <w:r>
        <w:rPr>
          <w:rFonts w:hint="eastAsia" w:ascii="仿宋_GB2312" w:hAnsi="Times New Roman" w:eastAsia="仿宋_GB2312"/>
          <w:color w:val="auto"/>
          <w:sz w:val="32"/>
          <w:szCs w:val="32"/>
        </w:rPr>
        <w:t>本年度总支出为</w:t>
      </w:r>
      <w:r>
        <w:rPr>
          <w:rFonts w:hint="eastAsia" w:ascii="仿宋_GB2312" w:hAnsi="Times New Roman" w:eastAsia="仿宋_GB2312"/>
          <w:color w:val="auto"/>
          <w:sz w:val="32"/>
          <w:szCs w:val="32"/>
          <w:lang w:val="en-US" w:eastAsia="zh-CN"/>
        </w:rPr>
        <w:t>346.21</w:t>
      </w:r>
      <w:r>
        <w:rPr>
          <w:rFonts w:hint="eastAsia" w:ascii="仿宋_GB2312" w:hAnsi="Times New Roman" w:eastAsia="仿宋_GB2312"/>
          <w:color w:val="auto"/>
          <w:sz w:val="32"/>
          <w:szCs w:val="32"/>
        </w:rPr>
        <w:t>万元。其中：一般公共服务支出为</w:t>
      </w:r>
      <w:r>
        <w:rPr>
          <w:rFonts w:hint="eastAsia" w:ascii="仿宋_GB2312" w:hAnsi="Times New Roman" w:eastAsia="仿宋_GB2312"/>
          <w:color w:val="auto"/>
          <w:sz w:val="32"/>
          <w:szCs w:val="32"/>
          <w:lang w:val="en-US" w:eastAsia="zh-CN"/>
        </w:rPr>
        <w:t>274.47</w:t>
      </w:r>
      <w:r>
        <w:rPr>
          <w:rFonts w:hint="eastAsia" w:ascii="仿宋_GB2312" w:hAnsi="Times New Roman" w:eastAsia="仿宋_GB2312"/>
          <w:color w:val="auto"/>
          <w:sz w:val="32"/>
          <w:szCs w:val="32"/>
        </w:rPr>
        <w:t>万元，占比</w:t>
      </w:r>
      <w:r>
        <w:rPr>
          <w:rFonts w:hint="eastAsia" w:ascii="仿宋_GB2312" w:hAnsi="Times New Roman" w:eastAsia="仿宋_GB2312"/>
          <w:color w:val="auto"/>
          <w:sz w:val="32"/>
          <w:szCs w:val="32"/>
          <w:lang w:val="en-US" w:eastAsia="zh-CN"/>
        </w:rPr>
        <w:t>79.28</w:t>
      </w:r>
      <w:r>
        <w:rPr>
          <w:rFonts w:hint="eastAsia" w:ascii="仿宋_GB2312" w:hAnsi="Times New Roman" w:eastAsia="仿宋_GB2312"/>
          <w:color w:val="auto"/>
          <w:sz w:val="32"/>
          <w:szCs w:val="32"/>
        </w:rPr>
        <w:t>%；社会保障和就业支出为</w:t>
      </w:r>
      <w:r>
        <w:rPr>
          <w:rFonts w:hint="eastAsia" w:ascii="仿宋_GB2312" w:hAnsi="Times New Roman" w:eastAsia="仿宋_GB2312"/>
          <w:color w:val="auto"/>
          <w:sz w:val="32"/>
          <w:szCs w:val="32"/>
          <w:lang w:val="en-US" w:eastAsia="zh-CN"/>
        </w:rPr>
        <w:t>46.83</w:t>
      </w:r>
      <w:r>
        <w:rPr>
          <w:rFonts w:hint="eastAsia" w:ascii="仿宋_GB2312" w:hAnsi="Times New Roman" w:eastAsia="仿宋_GB2312"/>
          <w:color w:val="auto"/>
          <w:sz w:val="32"/>
          <w:szCs w:val="32"/>
        </w:rPr>
        <w:t>万元，占比</w:t>
      </w:r>
      <w:r>
        <w:rPr>
          <w:rFonts w:hint="eastAsia" w:ascii="仿宋_GB2312" w:hAnsi="Times New Roman" w:eastAsia="仿宋_GB2312"/>
          <w:color w:val="auto"/>
          <w:sz w:val="32"/>
          <w:szCs w:val="32"/>
          <w:lang w:val="en-US" w:eastAsia="zh-CN"/>
        </w:rPr>
        <w:t>13.53</w:t>
      </w:r>
      <w:r>
        <w:rPr>
          <w:rFonts w:hint="eastAsia" w:ascii="仿宋_GB2312" w:hAnsi="Times New Roman" w:eastAsia="仿宋_GB2312"/>
          <w:color w:val="auto"/>
          <w:sz w:val="32"/>
          <w:szCs w:val="32"/>
        </w:rPr>
        <w:t>%；卫生健康支出为</w:t>
      </w:r>
      <w:r>
        <w:rPr>
          <w:rFonts w:hint="eastAsia" w:ascii="仿宋_GB2312" w:hAnsi="Times New Roman" w:eastAsia="仿宋_GB2312"/>
          <w:color w:val="auto"/>
          <w:sz w:val="32"/>
          <w:szCs w:val="32"/>
          <w:lang w:val="en-US" w:eastAsia="zh-CN"/>
        </w:rPr>
        <w:t>10.28</w:t>
      </w:r>
      <w:r>
        <w:rPr>
          <w:rFonts w:hint="eastAsia" w:ascii="仿宋_GB2312" w:hAnsi="Times New Roman" w:eastAsia="仿宋_GB2312"/>
          <w:color w:val="auto"/>
          <w:sz w:val="32"/>
          <w:szCs w:val="32"/>
        </w:rPr>
        <w:t>万元，占比</w:t>
      </w:r>
      <w:r>
        <w:rPr>
          <w:rFonts w:hint="eastAsia" w:ascii="仿宋_GB2312" w:hAnsi="Times New Roman" w:eastAsia="仿宋_GB2312"/>
          <w:color w:val="auto"/>
          <w:sz w:val="32"/>
          <w:szCs w:val="32"/>
          <w:lang w:val="en-US" w:eastAsia="zh-CN"/>
        </w:rPr>
        <w:t>2.96</w:t>
      </w:r>
      <w:r>
        <w:rPr>
          <w:rFonts w:hint="eastAsia" w:ascii="仿宋_GB2312" w:hAnsi="Times New Roman" w:eastAsia="仿宋_GB2312"/>
          <w:color w:val="auto"/>
          <w:sz w:val="32"/>
          <w:szCs w:val="32"/>
        </w:rPr>
        <w:t>%；住房保障支出为</w:t>
      </w:r>
      <w:r>
        <w:rPr>
          <w:rFonts w:hint="eastAsia" w:ascii="仿宋_GB2312" w:hAnsi="Times New Roman" w:eastAsia="仿宋_GB2312"/>
          <w:color w:val="auto"/>
          <w:sz w:val="32"/>
          <w:szCs w:val="32"/>
          <w:lang w:val="en-US" w:eastAsia="zh-CN"/>
        </w:rPr>
        <w:t>14.63</w:t>
      </w:r>
      <w:r>
        <w:rPr>
          <w:rFonts w:hint="eastAsia" w:ascii="仿宋_GB2312" w:hAnsi="Times New Roman" w:eastAsia="仿宋_GB2312"/>
          <w:color w:val="auto"/>
          <w:sz w:val="32"/>
          <w:szCs w:val="32"/>
        </w:rPr>
        <w:t>万元，占比</w:t>
      </w:r>
      <w:r>
        <w:rPr>
          <w:rFonts w:hint="eastAsia" w:ascii="仿宋_GB2312" w:hAnsi="Times New Roman" w:eastAsia="仿宋_GB2312"/>
          <w:color w:val="auto"/>
          <w:sz w:val="32"/>
          <w:szCs w:val="32"/>
          <w:lang w:val="en-US" w:eastAsia="zh-CN"/>
        </w:rPr>
        <w:t>4.23</w:t>
      </w:r>
      <w:r>
        <w:rPr>
          <w:rFonts w:hint="eastAsia" w:ascii="仿宋_GB2312" w:hAnsi="Times New Roman" w:eastAsia="仿宋_GB2312"/>
          <w:color w:val="auto"/>
          <w:sz w:val="32"/>
          <w:szCs w:val="32"/>
        </w:rPr>
        <w:t>%</w:t>
      </w:r>
      <w:r>
        <w:rPr>
          <w:rFonts w:hint="eastAsia" w:ascii="仿宋_GB2312" w:hAnsi="Times New Roman" w:eastAsia="仿宋_GB2312"/>
          <w:color w:val="auto"/>
          <w:sz w:val="32"/>
          <w:szCs w:val="32"/>
          <w:lang w:val="en-US" w:eastAsia="zh-CN"/>
        </w:rPr>
        <w:t>。</w:t>
      </w:r>
    </w:p>
    <w:p>
      <w:pPr>
        <w:pStyle w:val="27"/>
        <w:pageBreakBefore w:val="0"/>
        <w:kinsoku/>
        <w:wordWrap/>
        <w:overflowPunct/>
        <w:topLinePunct w:val="0"/>
        <w:bidi w:val="0"/>
        <w:spacing w:line="576" w:lineRule="exact"/>
        <w:ind w:firstLine="643" w:firstLineChars="200"/>
        <w:rPr>
          <w:rFonts w:hint="eastAsia" w:ascii="仿宋_GB2312" w:hAnsi="Times New Roman" w:eastAsia="仿宋_GB2312"/>
          <w:color w:val="auto"/>
          <w:sz w:val="32"/>
          <w:szCs w:val="32"/>
        </w:rPr>
      </w:pPr>
      <w:r>
        <w:rPr>
          <w:rFonts w:hint="default" w:ascii="方正仿宋_GBK" w:hAnsi="方正仿宋_GBK" w:eastAsia="方正仿宋_GBK" w:cs="方正仿宋_GBK"/>
          <w:b/>
          <w:bCs/>
          <w:i w:val="0"/>
          <w:caps w:val="0"/>
          <w:color w:val="000000"/>
          <w:spacing w:val="0"/>
          <w:kern w:val="0"/>
          <w:sz w:val="32"/>
          <w:szCs w:val="32"/>
          <w:shd w:val="clear" w:color="auto" w:fill="FFFFFF"/>
          <w:lang w:val="zh-CN" w:eastAsia="zh-CN" w:bidi="ar"/>
        </w:rPr>
        <w:t>（</w:t>
      </w:r>
      <w:r>
        <w:rPr>
          <w:rFonts w:hint="eastAsia" w:ascii="方正仿宋_GBK" w:hAnsi="方正仿宋_GBK" w:eastAsia="方正仿宋_GBK" w:cs="方正仿宋_GBK"/>
          <w:b/>
          <w:bCs/>
          <w:i w:val="0"/>
          <w:caps w:val="0"/>
          <w:color w:val="000000"/>
          <w:spacing w:val="0"/>
          <w:kern w:val="0"/>
          <w:sz w:val="32"/>
          <w:szCs w:val="32"/>
          <w:shd w:val="clear" w:color="auto" w:fill="FFFFFF"/>
          <w:lang w:val="zh-CN" w:eastAsia="zh-CN" w:bidi="ar"/>
        </w:rPr>
        <w:t>三</w:t>
      </w:r>
      <w:r>
        <w:rPr>
          <w:rFonts w:hint="default" w:ascii="方正仿宋_GBK" w:hAnsi="方正仿宋_GBK" w:eastAsia="方正仿宋_GBK" w:cs="方正仿宋_GBK"/>
          <w:b/>
          <w:bCs/>
          <w:i w:val="0"/>
          <w:caps w:val="0"/>
          <w:color w:val="000000"/>
          <w:spacing w:val="0"/>
          <w:kern w:val="0"/>
          <w:sz w:val="32"/>
          <w:szCs w:val="32"/>
          <w:shd w:val="clear" w:color="auto" w:fill="FFFFFF"/>
          <w:lang w:val="zh-CN" w:eastAsia="zh-CN" w:bidi="ar"/>
        </w:rPr>
        <w:t>）结余分配和结转结余情况</w:t>
      </w:r>
      <w:r>
        <w:rPr>
          <w:rFonts w:hint="eastAsia" w:ascii="方正仿宋_GBK" w:hAnsi="方正仿宋_GBK" w:eastAsia="方正仿宋_GBK" w:cs="方正仿宋_GBK"/>
          <w:b/>
          <w:bCs/>
          <w:i w:val="0"/>
          <w:caps w:val="0"/>
          <w:color w:val="000000"/>
          <w:spacing w:val="0"/>
          <w:kern w:val="0"/>
          <w:sz w:val="32"/>
          <w:szCs w:val="32"/>
          <w:shd w:val="clear" w:color="auto" w:fill="FFFFFF"/>
          <w:lang w:val="zh-CN" w:eastAsia="zh-CN" w:bidi="ar"/>
        </w:rPr>
        <w:t>。</w:t>
      </w:r>
      <w:r>
        <w:rPr>
          <w:rFonts w:hint="eastAsia" w:ascii="仿宋_GB2312" w:hAnsi="Times New Roman" w:eastAsia="仿宋_GB2312"/>
          <w:color w:val="auto"/>
          <w:sz w:val="32"/>
          <w:szCs w:val="32"/>
          <w:lang w:eastAsia="zh-CN"/>
        </w:rPr>
        <w:t>本单位</w:t>
      </w:r>
      <w:r>
        <w:rPr>
          <w:rFonts w:hint="eastAsia" w:ascii="仿宋_GB2312" w:hAnsi="Times New Roman" w:eastAsia="仿宋_GB2312"/>
          <w:color w:val="auto"/>
          <w:sz w:val="32"/>
          <w:szCs w:val="32"/>
          <w:lang w:val="en-US" w:eastAsia="zh-CN"/>
        </w:rPr>
        <w:t>本年无经费结余和结转情况。</w:t>
      </w:r>
    </w:p>
    <w:p>
      <w:pPr>
        <w:pStyle w:val="27"/>
        <w:pageBreakBefore w:val="0"/>
        <w:kinsoku/>
        <w:wordWrap/>
        <w:overflowPunct/>
        <w:topLinePunct w:val="0"/>
        <w:bidi w:val="0"/>
        <w:spacing w:line="576" w:lineRule="exact"/>
        <w:ind w:firstLine="640" w:firstLineChars="200"/>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三、部门预算绩效分析</w:t>
      </w:r>
    </w:p>
    <w:p>
      <w:pPr>
        <w:pStyle w:val="27"/>
        <w:pageBreakBefore w:val="0"/>
        <w:kinsoku/>
        <w:wordWrap/>
        <w:overflowPunct/>
        <w:topLinePunct w:val="0"/>
        <w:bidi w:val="0"/>
        <w:spacing w:line="576" w:lineRule="exact"/>
        <w:ind w:firstLine="643" w:firstLineChars="200"/>
        <w:rPr>
          <w:rFonts w:hint="default" w:ascii="仿宋_GB2312" w:hAnsi="Times New Roman" w:eastAsia="仿宋_GB2312"/>
          <w:color w:val="auto"/>
          <w:sz w:val="32"/>
          <w:szCs w:val="32"/>
          <w:lang w:val="zh-CN"/>
        </w:rPr>
      </w:pPr>
      <w:r>
        <w:rPr>
          <w:rFonts w:hint="default" w:ascii="方正仿宋_GBK" w:hAnsi="方正仿宋_GBK" w:eastAsia="方正仿宋_GBK" w:cs="方正仿宋_GBK"/>
          <w:b/>
          <w:bCs/>
          <w:i w:val="0"/>
          <w:caps w:val="0"/>
          <w:color w:val="000000"/>
          <w:spacing w:val="0"/>
          <w:kern w:val="0"/>
          <w:sz w:val="32"/>
          <w:szCs w:val="32"/>
          <w:shd w:val="clear" w:color="auto" w:fill="FFFFFF"/>
          <w:lang w:val="zh-CN" w:eastAsia="zh-CN" w:bidi="ar"/>
        </w:rPr>
        <w:t>（一）</w:t>
      </w:r>
      <w:r>
        <w:rPr>
          <w:rFonts w:hint="eastAsia" w:ascii="方正仿宋_GBK" w:hAnsi="方正仿宋_GBK" w:eastAsia="方正仿宋_GBK" w:cs="方正仿宋_GBK"/>
          <w:b/>
          <w:bCs/>
          <w:i w:val="0"/>
          <w:caps w:val="0"/>
          <w:color w:val="000000"/>
          <w:spacing w:val="0"/>
          <w:kern w:val="0"/>
          <w:sz w:val="32"/>
          <w:szCs w:val="32"/>
          <w:shd w:val="clear" w:color="auto" w:fill="FFFFFF"/>
          <w:lang w:val="zh-CN" w:eastAsia="zh-CN" w:bidi="ar"/>
        </w:rPr>
        <w:t>部门预算</w:t>
      </w:r>
      <w:r>
        <w:rPr>
          <w:rFonts w:hint="default" w:ascii="方正仿宋_GBK" w:hAnsi="方正仿宋_GBK" w:eastAsia="方正仿宋_GBK" w:cs="方正仿宋_GBK"/>
          <w:b/>
          <w:bCs/>
          <w:i w:val="0"/>
          <w:caps w:val="0"/>
          <w:color w:val="000000"/>
          <w:spacing w:val="0"/>
          <w:kern w:val="0"/>
          <w:sz w:val="32"/>
          <w:szCs w:val="32"/>
          <w:shd w:val="clear" w:color="auto" w:fill="FFFFFF"/>
          <w:lang w:val="zh-CN" w:eastAsia="zh-CN" w:bidi="ar"/>
        </w:rPr>
        <w:t>总体绩效分析。</w:t>
      </w:r>
      <w:r>
        <w:rPr>
          <w:rFonts w:hint="default" w:ascii="仿宋_GB2312" w:hAnsi="Times New Roman" w:eastAsia="仿宋_GB2312"/>
          <w:color w:val="auto"/>
          <w:sz w:val="32"/>
          <w:szCs w:val="32"/>
          <w:lang w:val="zh-CN"/>
        </w:rPr>
        <w:t>根据部门预算绩效评价指标体系“总体绩效”涉及</w:t>
      </w:r>
      <w:r>
        <w:rPr>
          <w:rFonts w:hint="eastAsia" w:ascii="仿宋_GB2312" w:hAnsi="Times New Roman" w:eastAsia="仿宋_GB2312"/>
          <w:color w:val="auto"/>
          <w:sz w:val="32"/>
          <w:szCs w:val="32"/>
          <w:lang w:val="zh-CN"/>
        </w:rPr>
        <w:t>二、三级</w:t>
      </w:r>
      <w:r>
        <w:rPr>
          <w:rFonts w:hint="default" w:ascii="仿宋_GB2312" w:hAnsi="Times New Roman" w:eastAsia="仿宋_GB2312"/>
          <w:color w:val="auto"/>
          <w:sz w:val="32"/>
          <w:szCs w:val="32"/>
          <w:lang w:val="zh-CN"/>
        </w:rPr>
        <w:t>指标进行</w:t>
      </w:r>
      <w:r>
        <w:rPr>
          <w:rFonts w:hint="eastAsia" w:ascii="仿宋_GB2312" w:hAnsi="Times New Roman" w:eastAsia="仿宋_GB2312"/>
          <w:color w:val="auto"/>
          <w:sz w:val="32"/>
          <w:szCs w:val="32"/>
          <w:lang w:val="zh-CN"/>
        </w:rPr>
        <w:t>逐项</w:t>
      </w:r>
      <w:r>
        <w:rPr>
          <w:rFonts w:hint="default" w:ascii="仿宋_GB2312" w:hAnsi="Times New Roman" w:eastAsia="仿宋_GB2312"/>
          <w:color w:val="auto"/>
          <w:sz w:val="32"/>
          <w:szCs w:val="32"/>
          <w:lang w:val="zh-CN"/>
        </w:rPr>
        <w:t>绩效分析</w:t>
      </w:r>
      <w:r>
        <w:rPr>
          <w:rFonts w:hint="eastAsia" w:ascii="仿宋_GB2312" w:hAnsi="Times New Roman" w:eastAsia="仿宋_GB2312"/>
          <w:color w:val="auto"/>
          <w:sz w:val="32"/>
          <w:szCs w:val="32"/>
          <w:lang w:val="zh-CN"/>
        </w:rPr>
        <w:t>并评分</w:t>
      </w:r>
      <w:r>
        <w:rPr>
          <w:rFonts w:hint="default" w:ascii="仿宋_GB2312" w:hAnsi="Times New Roman" w:eastAsia="仿宋_GB2312"/>
          <w:color w:val="auto"/>
          <w:sz w:val="32"/>
          <w:szCs w:val="32"/>
          <w:lang w:val="zh-CN"/>
        </w:rPr>
        <w:t>，依次包括履职效能、预算管理、财务管理、资产管理、采购管理等情况。</w:t>
      </w:r>
    </w:p>
    <w:p>
      <w:pPr>
        <w:pStyle w:val="27"/>
        <w:pageBreakBefore w:val="0"/>
        <w:kinsoku/>
        <w:wordWrap/>
        <w:overflowPunct/>
        <w:topLinePunct w:val="0"/>
        <w:bidi w:val="0"/>
        <w:spacing w:line="576" w:lineRule="exact"/>
        <w:ind w:firstLine="640" w:firstLineChars="200"/>
        <w:rPr>
          <w:rFonts w:hint="eastAsia" w:ascii="仿宋_GB2312" w:hAnsi="Times New Roman" w:eastAsia="仿宋_GB2312"/>
          <w:color w:val="auto"/>
          <w:sz w:val="32"/>
          <w:szCs w:val="32"/>
          <w:lang w:val="zh-CN"/>
        </w:rPr>
      </w:pPr>
      <w:r>
        <w:rPr>
          <w:rFonts w:hint="eastAsia" w:ascii="仿宋_GB2312" w:hAnsi="Times New Roman" w:eastAsia="仿宋_GB2312"/>
          <w:color w:val="auto"/>
          <w:sz w:val="32"/>
          <w:szCs w:val="32"/>
          <w:lang w:val="en-US" w:eastAsia="zh-CN"/>
        </w:rPr>
        <w:t>1、履职效能：</w:t>
      </w:r>
      <w:r>
        <w:rPr>
          <w:rFonts w:hint="eastAsia" w:ascii="仿宋_GB2312" w:hAnsi="Times New Roman" w:eastAsia="仿宋_GB2312"/>
          <w:color w:val="auto"/>
          <w:sz w:val="32"/>
          <w:szCs w:val="32"/>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成效：一是明确了记账人员与审批人员、经办人员的职责权限，使其相互分离、相互制约，以明确责任，防止舞弊，各项业务事项得以有序进行；二是明确了财务收支审批程序和审批人的权限和责任，规范了各项资金的使用，提高了资金使用效益；三是明确经费支出的范围和开支标准，采取各种有效措施控制经费开支，杜绝了浪费现象的发生；四是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pPr>
        <w:pStyle w:val="27"/>
        <w:pageBreakBefore w:val="0"/>
        <w:kinsoku/>
        <w:wordWrap/>
        <w:overflowPunct/>
        <w:topLinePunct w:val="0"/>
        <w:bidi w:val="0"/>
        <w:spacing w:line="576" w:lineRule="exact"/>
        <w:ind w:firstLine="640" w:firstLineChars="200"/>
        <w:rPr>
          <w:rFonts w:hint="eastAsia" w:ascii="仿宋_GB2312" w:hAnsi="Times New Roman" w:eastAsia="仿宋_GB2312"/>
          <w:color w:val="auto"/>
          <w:sz w:val="32"/>
          <w:szCs w:val="32"/>
          <w:lang w:val="zh-CN" w:eastAsia="zh-CN"/>
        </w:rPr>
      </w:pPr>
      <w:r>
        <w:rPr>
          <w:rFonts w:hint="eastAsia" w:ascii="仿宋_GB2312" w:hAnsi="Times New Roman" w:eastAsia="仿宋_GB2312"/>
          <w:color w:val="auto"/>
          <w:sz w:val="32"/>
          <w:szCs w:val="32"/>
          <w:lang w:val="en-US" w:eastAsia="zh-CN"/>
        </w:rPr>
        <w:t>2、</w:t>
      </w:r>
      <w:r>
        <w:rPr>
          <w:rFonts w:hint="default" w:ascii="仿宋_GB2312" w:hAnsi="Times New Roman" w:eastAsia="仿宋_GB2312"/>
          <w:color w:val="auto"/>
          <w:sz w:val="32"/>
          <w:szCs w:val="32"/>
          <w:lang w:val="zh-CN"/>
        </w:rPr>
        <w:t>预算管理</w:t>
      </w:r>
      <w:r>
        <w:rPr>
          <w:rFonts w:hint="eastAsia" w:ascii="仿宋_GB2312" w:hAnsi="Times New Roman" w:eastAsia="仿宋_GB2312"/>
          <w:color w:val="auto"/>
          <w:sz w:val="32"/>
          <w:szCs w:val="32"/>
          <w:lang w:val="zh-CN"/>
        </w:rPr>
        <w:t>：</w:t>
      </w:r>
      <w:r>
        <w:rPr>
          <w:rFonts w:hint="eastAsia" w:ascii="仿宋_GB2312" w:hAnsi="Times New Roman" w:eastAsia="仿宋_GB2312"/>
          <w:color w:val="auto"/>
          <w:sz w:val="32"/>
          <w:szCs w:val="32"/>
          <w:lang w:eastAsia="zh-CN"/>
        </w:rPr>
        <w:t>根据预算绩效管理要求，本部门在年初预算编制阶段，组织</w:t>
      </w:r>
      <w:r>
        <w:rPr>
          <w:rFonts w:hint="eastAsia" w:ascii="仿宋_GB2312" w:hAnsi="Times New Roman" w:eastAsia="仿宋_GB2312"/>
          <w:color w:val="auto"/>
          <w:sz w:val="32"/>
          <w:szCs w:val="32"/>
          <w:lang w:val="zh-CN" w:eastAsia="zh-CN"/>
        </w:rPr>
        <w:t>对维护社会稳定、雪亮工程、综治工作、扫黑工作等项目，严格按照财政预算统一口径编制预算，明确绩效目标，开展了预算事前绩效评估，对所有项目编制了绩效目标，在预算执行中，我单位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w:t>
      </w:r>
    </w:p>
    <w:p>
      <w:pPr>
        <w:pStyle w:val="27"/>
        <w:pageBreakBefore w:val="0"/>
        <w:kinsoku/>
        <w:wordWrap/>
        <w:overflowPunct/>
        <w:topLinePunct w:val="0"/>
        <w:bidi w:val="0"/>
        <w:spacing w:line="576" w:lineRule="exact"/>
        <w:ind w:firstLine="640" w:firstLineChars="200"/>
        <w:rPr>
          <w:rFonts w:hint="eastAsia" w:ascii="仿宋_GB2312" w:hAnsi="Times New Roman" w:eastAsia="仿宋_GB2312"/>
          <w:color w:val="auto"/>
          <w:sz w:val="32"/>
          <w:szCs w:val="32"/>
          <w:lang w:val="zh-CN"/>
        </w:rPr>
      </w:pPr>
      <w:r>
        <w:rPr>
          <w:rFonts w:hint="eastAsia" w:ascii="仿宋_GB2312" w:hAnsi="Times New Roman" w:eastAsia="仿宋_GB2312"/>
          <w:color w:val="auto"/>
          <w:sz w:val="32"/>
          <w:szCs w:val="32"/>
          <w:lang w:val="en-US" w:eastAsia="zh-CN"/>
        </w:rPr>
        <w:t>3、财务管理：</w:t>
      </w:r>
      <w:r>
        <w:rPr>
          <w:rFonts w:hint="eastAsia" w:ascii="仿宋_GB2312" w:hAnsi="Times New Roman" w:eastAsia="仿宋_GB2312"/>
          <w:color w:val="auto"/>
          <w:sz w:val="32"/>
          <w:szCs w:val="32"/>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pPr>
        <w:pStyle w:val="27"/>
        <w:pageBreakBefore w:val="0"/>
        <w:kinsoku/>
        <w:wordWrap/>
        <w:overflowPunct/>
        <w:topLinePunct w:val="0"/>
        <w:bidi w:val="0"/>
        <w:spacing w:line="576" w:lineRule="exact"/>
        <w:ind w:firstLine="640" w:firstLineChars="200"/>
        <w:rPr>
          <w:rFonts w:hint="eastAsia" w:ascii="仿宋_GB2312" w:hAnsi="Times New Roman" w:eastAsia="仿宋_GB2312"/>
          <w:color w:val="auto"/>
          <w:sz w:val="32"/>
          <w:szCs w:val="32"/>
          <w:lang w:val="zh-CN"/>
        </w:rPr>
      </w:pPr>
      <w:r>
        <w:rPr>
          <w:rFonts w:hint="eastAsia" w:ascii="仿宋_GB2312" w:hAnsi="Times New Roman" w:eastAsia="仿宋_GB2312"/>
          <w:color w:val="auto"/>
          <w:sz w:val="32"/>
          <w:szCs w:val="32"/>
          <w:lang w:val="en-US" w:eastAsia="zh-CN"/>
        </w:rPr>
        <w:t>4、资产管理：</w:t>
      </w:r>
      <w:r>
        <w:rPr>
          <w:rFonts w:hint="eastAsia" w:ascii="仿宋_GB2312" w:hAnsi="Times New Roman" w:eastAsia="仿宋_GB2312"/>
          <w:color w:val="auto"/>
          <w:sz w:val="32"/>
          <w:szCs w:val="32"/>
          <w:lang w:val="zh-CN"/>
        </w:rPr>
        <w:t>单位资产管理由办公室总负责，使用人具体负责管理，对不能继续使用的资产由使用人交回办公室并提出申请，由办公室提供材料交给财务室按照相关程序统一购置。</w:t>
      </w:r>
      <w:r>
        <w:rPr>
          <w:rFonts w:hint="eastAsia" w:ascii="仿宋_GB2312" w:hAnsi="Times New Roman" w:eastAsia="仿宋_GB2312"/>
          <w:color w:val="auto"/>
          <w:sz w:val="32"/>
          <w:szCs w:val="32"/>
          <w:lang w:val="zh-CN" w:eastAsia="zh-CN"/>
        </w:rPr>
        <w:t>财务人员</w:t>
      </w:r>
      <w:r>
        <w:rPr>
          <w:rFonts w:hint="eastAsia" w:ascii="仿宋_GB2312" w:hAnsi="Times New Roman" w:eastAsia="仿宋_GB2312"/>
          <w:color w:val="auto"/>
          <w:sz w:val="32"/>
          <w:szCs w:val="32"/>
          <w:lang w:val="zh-CN"/>
        </w:rPr>
        <w:t>每年对单位资产进行一次集中清理，对不能使用的资产及时报相关部门进行报废处理。</w:t>
      </w:r>
    </w:p>
    <w:p>
      <w:pPr>
        <w:pStyle w:val="27"/>
        <w:pageBreakBefore w:val="0"/>
        <w:kinsoku/>
        <w:wordWrap/>
        <w:overflowPunct/>
        <w:topLinePunct w:val="0"/>
        <w:bidi w:val="0"/>
        <w:spacing w:line="576" w:lineRule="exact"/>
        <w:ind w:firstLine="640" w:firstLineChars="200"/>
        <w:rPr>
          <w:rFonts w:hint="default" w:ascii="仿宋_GB2312" w:hAnsi="Times New Roman" w:eastAsia="仿宋_GB2312"/>
          <w:color w:val="auto"/>
          <w:sz w:val="32"/>
          <w:szCs w:val="32"/>
          <w:lang w:val="zh-CN"/>
        </w:rPr>
      </w:pPr>
      <w:r>
        <w:rPr>
          <w:rFonts w:hint="eastAsia" w:ascii="仿宋_GB2312" w:hAnsi="Times New Roman" w:eastAsia="仿宋_GB2312"/>
          <w:color w:val="auto"/>
          <w:sz w:val="32"/>
          <w:szCs w:val="32"/>
          <w:lang w:val="en-US" w:eastAsia="zh-CN"/>
        </w:rPr>
        <w:t>5、</w:t>
      </w:r>
      <w:r>
        <w:rPr>
          <w:rFonts w:hint="default" w:ascii="仿宋_GB2312" w:hAnsi="Times New Roman" w:eastAsia="仿宋_GB2312"/>
          <w:color w:val="auto"/>
          <w:sz w:val="32"/>
          <w:szCs w:val="32"/>
          <w:lang w:val="zh-CN"/>
        </w:rPr>
        <w:t>采购管理</w:t>
      </w:r>
      <w:r>
        <w:rPr>
          <w:rFonts w:hint="eastAsia" w:ascii="仿宋_GB2312" w:hAnsi="Times New Roman" w:eastAsia="仿宋_GB2312"/>
          <w:color w:val="auto"/>
          <w:sz w:val="32"/>
          <w:szCs w:val="32"/>
          <w:lang w:val="zh-CN"/>
        </w:rPr>
        <w:t>。单位采购严格执行政府采购促进中小企业发展相关管理办法，对适宜由中小企业提供的采购项目和采购包，预留采购份额专门面向中小企业采购，并在采购预算中单独列示。</w:t>
      </w:r>
    </w:p>
    <w:p>
      <w:pPr>
        <w:pStyle w:val="27"/>
        <w:pageBreakBefore w:val="0"/>
        <w:kinsoku/>
        <w:wordWrap/>
        <w:overflowPunct/>
        <w:topLinePunct w:val="0"/>
        <w:bidi w:val="0"/>
        <w:spacing w:line="576" w:lineRule="exact"/>
        <w:ind w:firstLine="643" w:firstLineChars="200"/>
        <w:rPr>
          <w:rFonts w:hint="default" w:ascii="仿宋_GB2312" w:hAnsi="Times New Roman" w:eastAsia="仿宋_GB2312"/>
          <w:color w:val="auto"/>
          <w:sz w:val="32"/>
          <w:szCs w:val="32"/>
          <w:lang w:val="en-US" w:eastAsia="zh-CN"/>
        </w:rPr>
      </w:pPr>
      <w:r>
        <w:rPr>
          <w:rFonts w:hint="default" w:ascii="方正仿宋_GBK" w:hAnsi="方正仿宋_GBK" w:eastAsia="方正仿宋_GBK" w:cs="方正仿宋_GBK"/>
          <w:b/>
          <w:bCs/>
          <w:i w:val="0"/>
          <w:caps w:val="0"/>
          <w:color w:val="000000"/>
          <w:spacing w:val="0"/>
          <w:kern w:val="0"/>
          <w:sz w:val="32"/>
          <w:szCs w:val="32"/>
          <w:shd w:val="clear" w:color="auto" w:fill="FFFFFF"/>
          <w:lang w:val="zh-CN" w:eastAsia="zh-CN" w:bidi="ar"/>
        </w:rPr>
        <w:t>（二）部门预算项目绩效分析。</w:t>
      </w:r>
      <w:r>
        <w:rPr>
          <w:rFonts w:hint="eastAsia" w:ascii="仿宋_GB2312" w:hAnsi="Times New Roman" w:eastAsia="仿宋_GB2312"/>
          <w:color w:val="auto"/>
          <w:sz w:val="32"/>
          <w:szCs w:val="32"/>
          <w:lang w:val="zh-CN" w:eastAsia="zh-CN"/>
        </w:rPr>
        <w:t>填报以下数据，</w:t>
      </w:r>
      <w:r>
        <w:rPr>
          <w:rFonts w:hint="eastAsia" w:ascii="仿宋_GB2312" w:hAnsi="Times New Roman" w:eastAsia="仿宋_GB2312"/>
          <w:color w:val="auto"/>
          <w:sz w:val="32"/>
          <w:szCs w:val="32"/>
          <w:lang w:val="zh-CN"/>
        </w:rPr>
        <w:t>并</w:t>
      </w:r>
      <w:r>
        <w:rPr>
          <w:rFonts w:hint="default" w:ascii="仿宋_GB2312" w:hAnsi="Times New Roman" w:eastAsia="仿宋_GB2312"/>
          <w:color w:val="auto"/>
          <w:sz w:val="32"/>
          <w:szCs w:val="32"/>
          <w:lang w:val="zh-CN"/>
        </w:rPr>
        <w:t>根据部门预算绩效评价指标体系“项目绩效”涉及</w:t>
      </w:r>
      <w:r>
        <w:rPr>
          <w:rFonts w:hint="eastAsia" w:ascii="仿宋_GB2312" w:hAnsi="Times New Roman" w:eastAsia="仿宋_GB2312"/>
          <w:color w:val="auto"/>
          <w:sz w:val="32"/>
          <w:szCs w:val="32"/>
          <w:lang w:val="zh-CN"/>
        </w:rPr>
        <w:t>二、三级</w:t>
      </w:r>
      <w:r>
        <w:rPr>
          <w:rFonts w:hint="default" w:ascii="仿宋_GB2312" w:hAnsi="Times New Roman" w:eastAsia="仿宋_GB2312"/>
          <w:color w:val="auto"/>
          <w:sz w:val="32"/>
          <w:szCs w:val="32"/>
          <w:lang w:val="zh-CN"/>
        </w:rPr>
        <w:t>指标进行</w:t>
      </w:r>
      <w:r>
        <w:rPr>
          <w:rFonts w:hint="eastAsia" w:ascii="仿宋_GB2312" w:hAnsi="Times New Roman" w:eastAsia="仿宋_GB2312"/>
          <w:color w:val="auto"/>
          <w:sz w:val="32"/>
          <w:szCs w:val="32"/>
          <w:lang w:val="zh-CN"/>
        </w:rPr>
        <w:t>逐项</w:t>
      </w:r>
      <w:r>
        <w:rPr>
          <w:rFonts w:hint="default" w:ascii="仿宋_GB2312" w:hAnsi="Times New Roman" w:eastAsia="仿宋_GB2312"/>
          <w:color w:val="auto"/>
          <w:sz w:val="32"/>
          <w:szCs w:val="32"/>
          <w:lang w:val="zh-CN"/>
        </w:rPr>
        <w:t>绩效分析</w:t>
      </w:r>
      <w:r>
        <w:rPr>
          <w:rFonts w:hint="eastAsia" w:ascii="仿宋_GB2312" w:hAnsi="Times New Roman" w:eastAsia="仿宋_GB2312"/>
          <w:color w:val="auto"/>
          <w:sz w:val="32"/>
          <w:szCs w:val="32"/>
          <w:lang w:val="zh-CN"/>
        </w:rPr>
        <w:t>并评分</w:t>
      </w:r>
      <w:r>
        <w:rPr>
          <w:rFonts w:hint="default" w:ascii="仿宋_GB2312" w:hAnsi="Times New Roman" w:eastAsia="仿宋_GB2312"/>
          <w:color w:val="auto"/>
          <w:sz w:val="32"/>
          <w:szCs w:val="32"/>
          <w:lang w:val="zh-CN"/>
        </w:rPr>
        <w:t>，依次包括项目</w:t>
      </w:r>
      <w:r>
        <w:rPr>
          <w:rFonts w:hint="default" w:ascii="仿宋_GB2312" w:hAnsi="Times New Roman" w:eastAsia="仿宋_GB2312"/>
          <w:color w:val="auto"/>
          <w:sz w:val="32"/>
          <w:szCs w:val="32"/>
          <w:lang w:val="en-US" w:eastAsia="zh-CN"/>
        </w:rPr>
        <w:t>决策、项目执行、目标实现等情况</w:t>
      </w:r>
      <w:r>
        <w:rPr>
          <w:rFonts w:hint="eastAsia" w:ascii="仿宋_GB2312" w:hAnsi="Times New Roman" w:eastAsia="仿宋_GB2312"/>
          <w:color w:val="auto"/>
          <w:sz w:val="32"/>
          <w:szCs w:val="32"/>
          <w:lang w:val="en-US" w:eastAsia="zh-CN"/>
        </w:rPr>
        <w:t>。</w:t>
      </w:r>
    </w:p>
    <w:p>
      <w:pPr>
        <w:pStyle w:val="27"/>
        <w:pageBreakBefore w:val="0"/>
        <w:kinsoku/>
        <w:wordWrap/>
        <w:overflowPunct/>
        <w:topLinePunct w:val="0"/>
        <w:bidi w:val="0"/>
        <w:spacing w:line="576" w:lineRule="exact"/>
        <w:ind w:firstLine="640" w:firstLineChars="200"/>
        <w:rPr>
          <w:rFonts w:hint="eastAsia" w:ascii="仿宋_GB2312" w:hAnsi="Times New Roman" w:eastAsia="仿宋_GB2312"/>
          <w:color w:val="auto"/>
          <w:sz w:val="32"/>
          <w:szCs w:val="32"/>
          <w:lang w:val="zh-CN" w:eastAsia="zh-CN"/>
        </w:rPr>
      </w:pPr>
      <w:r>
        <w:rPr>
          <w:rFonts w:hint="eastAsia" w:ascii="仿宋_GB2312" w:hAnsi="Times New Roman" w:eastAsia="仿宋_GB2312"/>
          <w:color w:val="auto"/>
          <w:sz w:val="32"/>
          <w:szCs w:val="32"/>
          <w:lang w:val="en-US" w:eastAsia="zh-CN"/>
        </w:rPr>
        <w:t>1、</w:t>
      </w:r>
      <w:r>
        <w:rPr>
          <w:rFonts w:hint="eastAsia" w:ascii="仿宋_GB2312" w:hAnsi="Times New Roman" w:eastAsia="仿宋_GB2312"/>
          <w:color w:val="auto"/>
          <w:sz w:val="32"/>
          <w:szCs w:val="32"/>
          <w:lang w:val="zh-CN" w:eastAsia="zh-CN"/>
        </w:rPr>
        <w:t>项目决策。本部门预算项目的设立严格按照规定履行事前评估论证，申报程序。预算项目绩效目标与计划期内的任务量与预算安排的资金量匹配，绩效目标设置科学合理、规范完整、量化细化、预算匹配。部门预算项目在规定时间完成项目入库。</w:t>
      </w:r>
    </w:p>
    <w:p>
      <w:pPr>
        <w:pStyle w:val="27"/>
        <w:pageBreakBefore w:val="0"/>
        <w:kinsoku/>
        <w:wordWrap/>
        <w:overflowPunct/>
        <w:topLinePunct w:val="0"/>
        <w:bidi w:val="0"/>
        <w:spacing w:line="576" w:lineRule="exact"/>
        <w:ind w:firstLine="640" w:firstLineChars="200"/>
        <w:rPr>
          <w:rFonts w:hint="eastAsia" w:ascii="仿宋_GB2312" w:hAnsi="Times New Roman" w:eastAsia="仿宋_GB2312"/>
          <w:color w:val="auto"/>
          <w:sz w:val="32"/>
          <w:szCs w:val="32"/>
          <w:lang w:val="zh-CN" w:eastAsia="zh-CN"/>
        </w:rPr>
      </w:pPr>
      <w:r>
        <w:rPr>
          <w:rFonts w:hint="eastAsia" w:ascii="仿宋_GB2312" w:hAnsi="Times New Roman" w:eastAsia="仿宋_GB2312"/>
          <w:color w:val="auto"/>
          <w:sz w:val="32"/>
          <w:szCs w:val="32"/>
          <w:lang w:val="en-US" w:eastAsia="zh-CN"/>
        </w:rPr>
        <w:t>2、项目执行</w:t>
      </w:r>
      <w:r>
        <w:rPr>
          <w:rFonts w:hint="eastAsia" w:ascii="仿宋_GB2312" w:hAnsi="Times New Roman" w:eastAsia="仿宋_GB2312"/>
          <w:color w:val="auto"/>
          <w:sz w:val="32"/>
          <w:szCs w:val="32"/>
          <w:lang w:val="zh-CN" w:eastAsia="zh-CN"/>
        </w:rPr>
        <w:t>。部门预算项目实际列支内容与绩效目标设置方向完全相符，部门预算项目结合实际采取了对应调整措施，部门预算项目预算执行情况较好。</w:t>
      </w:r>
    </w:p>
    <w:p>
      <w:pPr>
        <w:pStyle w:val="27"/>
        <w:pageBreakBefore w:val="0"/>
        <w:kinsoku/>
        <w:wordWrap/>
        <w:overflowPunct/>
        <w:topLinePunct w:val="0"/>
        <w:bidi w:val="0"/>
        <w:spacing w:line="576" w:lineRule="exact"/>
        <w:ind w:firstLine="640" w:firstLineChars="200"/>
        <w:rPr>
          <w:rFonts w:hint="default" w:ascii="仿宋_GB2312" w:hAnsi="Times New Roman" w:eastAsia="仿宋_GB2312"/>
          <w:color w:val="auto"/>
          <w:sz w:val="32"/>
          <w:szCs w:val="32"/>
          <w:lang w:val="zh-CN" w:eastAsia="zh-CN"/>
        </w:rPr>
      </w:pPr>
      <w:r>
        <w:rPr>
          <w:rFonts w:hint="eastAsia" w:ascii="仿宋_GB2312" w:hAnsi="Times New Roman" w:eastAsia="仿宋_GB2312"/>
          <w:color w:val="auto"/>
          <w:sz w:val="32"/>
          <w:szCs w:val="32"/>
          <w:lang w:val="en-US" w:eastAsia="zh-CN"/>
        </w:rPr>
        <w:t>3、</w:t>
      </w:r>
      <w:r>
        <w:rPr>
          <w:rFonts w:hint="eastAsia" w:ascii="仿宋_GB2312" w:hAnsi="Times New Roman" w:eastAsia="仿宋_GB2312"/>
          <w:color w:val="auto"/>
          <w:sz w:val="32"/>
          <w:szCs w:val="32"/>
          <w:lang w:val="zh-CN" w:eastAsia="zh-CN"/>
        </w:rPr>
        <w:t>目标实现。部门预算项目绩效目标数量指标完成情况较好，部门预算项目绩效目标数量指标实现程度与预期目标未出现偏离情况，部门预算项目绩效目标效益指标实施效果较好。</w:t>
      </w:r>
    </w:p>
    <w:p>
      <w:pPr>
        <w:pStyle w:val="27"/>
        <w:pageBreakBefore w:val="0"/>
        <w:kinsoku/>
        <w:wordWrap/>
        <w:overflowPunct/>
        <w:topLinePunct w:val="0"/>
        <w:bidi w:val="0"/>
        <w:spacing w:line="576" w:lineRule="exact"/>
        <w:ind w:firstLine="643" w:firstLineChars="200"/>
        <w:rPr>
          <w:rFonts w:hint="eastAsia" w:ascii="仿宋_GB2312" w:hAnsi="Times New Roman" w:eastAsia="仿宋_GB2312"/>
          <w:color w:val="auto"/>
          <w:sz w:val="32"/>
          <w:szCs w:val="32"/>
          <w:lang w:eastAsia="zh-CN"/>
        </w:rPr>
      </w:pPr>
      <w:r>
        <w:rPr>
          <w:rFonts w:hint="default" w:ascii="方正仿宋_GBK" w:hAnsi="方正仿宋_GBK" w:eastAsia="方正仿宋_GBK" w:cs="方正仿宋_GBK"/>
          <w:b/>
          <w:bCs/>
          <w:i w:val="0"/>
          <w:caps w:val="0"/>
          <w:color w:val="000000"/>
          <w:spacing w:val="0"/>
          <w:kern w:val="0"/>
          <w:sz w:val="32"/>
          <w:szCs w:val="32"/>
          <w:shd w:val="clear" w:color="auto" w:fill="FFFFFF"/>
          <w:lang w:val="zh-CN" w:eastAsia="zh-CN" w:bidi="ar"/>
        </w:rPr>
        <w:t>（</w:t>
      </w:r>
      <w:r>
        <w:rPr>
          <w:rFonts w:hint="eastAsia" w:ascii="方正仿宋_GBK" w:hAnsi="方正仿宋_GBK" w:eastAsia="方正仿宋_GBK" w:cs="方正仿宋_GBK"/>
          <w:b/>
          <w:bCs/>
          <w:i w:val="0"/>
          <w:caps w:val="0"/>
          <w:color w:val="000000"/>
          <w:spacing w:val="0"/>
          <w:kern w:val="0"/>
          <w:sz w:val="32"/>
          <w:szCs w:val="32"/>
          <w:shd w:val="clear" w:color="auto" w:fill="FFFFFF"/>
          <w:lang w:val="zh-CN" w:eastAsia="zh-CN" w:bidi="ar"/>
        </w:rPr>
        <w:t>三</w:t>
      </w:r>
      <w:r>
        <w:rPr>
          <w:rFonts w:hint="default" w:ascii="方正仿宋_GBK" w:hAnsi="方正仿宋_GBK" w:eastAsia="方正仿宋_GBK" w:cs="方正仿宋_GBK"/>
          <w:b/>
          <w:bCs/>
          <w:i w:val="0"/>
          <w:caps w:val="0"/>
          <w:color w:val="000000"/>
          <w:spacing w:val="0"/>
          <w:kern w:val="0"/>
          <w:sz w:val="32"/>
          <w:szCs w:val="32"/>
          <w:shd w:val="clear" w:color="auto" w:fill="FFFFFF"/>
          <w:lang w:val="zh-CN" w:eastAsia="zh-CN" w:bidi="ar"/>
        </w:rPr>
        <w:t>）绩效结果应用情况</w:t>
      </w:r>
      <w:r>
        <w:rPr>
          <w:rFonts w:hint="eastAsia" w:ascii="方正仿宋_GBK" w:hAnsi="方正仿宋_GBK" w:eastAsia="方正仿宋_GBK" w:cs="方正仿宋_GBK"/>
          <w:b/>
          <w:bCs/>
          <w:i w:val="0"/>
          <w:caps w:val="0"/>
          <w:color w:val="000000"/>
          <w:spacing w:val="0"/>
          <w:kern w:val="0"/>
          <w:sz w:val="32"/>
          <w:szCs w:val="32"/>
          <w:shd w:val="clear" w:color="auto" w:fill="FFFFFF"/>
          <w:lang w:val="zh-CN" w:eastAsia="zh-CN" w:bidi="ar"/>
        </w:rPr>
        <w:t>。</w:t>
      </w:r>
      <w:r>
        <w:rPr>
          <w:rFonts w:hint="eastAsia" w:ascii="仿宋_GB2312" w:hAnsi="Times New Roman" w:eastAsia="仿宋_GB2312"/>
          <w:color w:val="auto"/>
          <w:sz w:val="32"/>
          <w:szCs w:val="32"/>
          <w:lang w:eastAsia="zh-CN"/>
        </w:rPr>
        <w:t>我委严格按照财政资金拨付分配情况进行资金支付，部门预算执行进度严格按照预算执行。支出总额控制在预算总额以内，除政策性工资绩效预算的追加外，本年部门预算未进行预算相关事项的调整。本年预算资金投入进度正常，中期自我评估良好，节能降耗和“三公”等经费实行厉行节约条例，“三公经费”总体控制较好，公务接待未超过单位公用经费的2%。</w:t>
      </w:r>
    </w:p>
    <w:p>
      <w:pPr>
        <w:pStyle w:val="27"/>
        <w:pageBreakBefore w:val="0"/>
        <w:kinsoku/>
        <w:wordWrap/>
        <w:overflowPunct/>
        <w:topLinePunct w:val="0"/>
        <w:bidi w:val="0"/>
        <w:spacing w:line="576" w:lineRule="exact"/>
        <w:ind w:firstLine="640" w:firstLineChars="200"/>
        <w:rPr>
          <w:rFonts w:hint="default" w:ascii="仿宋_GB2312" w:hAnsi="Times New Roman" w:eastAsia="仿宋_GB2312"/>
          <w:color w:val="auto"/>
          <w:sz w:val="32"/>
          <w:szCs w:val="32"/>
        </w:rPr>
      </w:pPr>
      <w:r>
        <w:rPr>
          <w:rFonts w:hint="eastAsia" w:ascii="仿宋_GB2312" w:hAnsi="Times New Roman" w:eastAsia="仿宋_GB2312"/>
          <w:color w:val="auto"/>
          <w:sz w:val="32"/>
          <w:szCs w:val="32"/>
          <w:lang w:eastAsia="zh-CN"/>
        </w:rPr>
        <w:t>为强化部门整体支出，加强国有资产管理，提高资金使用效益，提升财务管理，建立节约型机关，202</w:t>
      </w:r>
      <w:r>
        <w:rPr>
          <w:rFonts w:hint="eastAsia" w:ascii="仿宋_GB2312" w:hAnsi="Times New Roman" w:eastAsia="仿宋_GB2312"/>
          <w:color w:val="auto"/>
          <w:sz w:val="32"/>
          <w:szCs w:val="32"/>
          <w:lang w:val="en-US" w:eastAsia="zh-CN"/>
        </w:rPr>
        <w:t>4</w:t>
      </w:r>
      <w:r>
        <w:rPr>
          <w:rFonts w:hint="eastAsia" w:ascii="仿宋_GB2312" w:hAnsi="Times New Roman" w:eastAsia="仿宋_GB2312"/>
          <w:color w:val="auto"/>
          <w:sz w:val="32"/>
          <w:szCs w:val="32"/>
          <w:lang w:eastAsia="zh-CN"/>
        </w:rPr>
        <w:t>年我中心在强化业务管理、财务管理和厉行节约方面开展了大量工作，行政效能显著。</w:t>
      </w:r>
    </w:p>
    <w:p>
      <w:pPr>
        <w:pStyle w:val="27"/>
        <w:pageBreakBefore w:val="0"/>
        <w:kinsoku/>
        <w:wordWrap/>
        <w:overflowPunct/>
        <w:topLinePunct w:val="0"/>
        <w:bidi w:val="0"/>
        <w:spacing w:line="576" w:lineRule="exact"/>
        <w:ind w:firstLine="640" w:firstLineChars="200"/>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四、评价结论及建议</w:t>
      </w:r>
    </w:p>
    <w:p>
      <w:pPr>
        <w:pStyle w:val="27"/>
        <w:pageBreakBefore w:val="0"/>
        <w:kinsoku/>
        <w:wordWrap/>
        <w:overflowPunct/>
        <w:topLinePunct w:val="0"/>
        <w:bidi w:val="0"/>
        <w:spacing w:line="576" w:lineRule="exact"/>
        <w:ind w:firstLine="643" w:firstLineChars="200"/>
        <w:rPr>
          <w:rFonts w:hint="default" w:ascii="仿宋_GB2312" w:hAnsi="Times New Roman" w:eastAsia="仿宋_GB2312"/>
          <w:color w:val="auto"/>
          <w:sz w:val="32"/>
          <w:szCs w:val="32"/>
          <w:lang w:val="en-US"/>
        </w:rPr>
      </w:pPr>
      <w:r>
        <w:rPr>
          <w:rFonts w:hint="default" w:ascii="方正仿宋_GBK" w:hAnsi="方正仿宋_GBK" w:eastAsia="方正仿宋_GBK" w:cs="方正仿宋_GBK"/>
          <w:b/>
          <w:bCs/>
          <w:i w:val="0"/>
          <w:caps w:val="0"/>
          <w:color w:val="000000"/>
          <w:spacing w:val="0"/>
          <w:kern w:val="0"/>
          <w:sz w:val="32"/>
          <w:szCs w:val="32"/>
          <w:shd w:val="clear" w:color="auto" w:fill="FFFFFF"/>
          <w:lang w:val="zh-CN" w:eastAsia="zh-CN" w:bidi="ar"/>
        </w:rPr>
        <w:t>（一）评价结论。</w:t>
      </w:r>
      <w:r>
        <w:rPr>
          <w:rFonts w:hint="eastAsia" w:ascii="仿宋_GB2312" w:hAnsi="Times New Roman" w:eastAsia="仿宋_GB2312"/>
          <w:color w:val="auto"/>
          <w:sz w:val="32"/>
          <w:szCs w:val="32"/>
          <w:lang w:eastAsia="zh-CN"/>
        </w:rPr>
        <w:t> 根据《202</w:t>
      </w:r>
      <w:r>
        <w:rPr>
          <w:rFonts w:hint="eastAsia" w:ascii="仿宋_GB2312" w:hAnsi="Times New Roman" w:eastAsia="仿宋_GB2312"/>
          <w:color w:val="auto"/>
          <w:sz w:val="32"/>
          <w:szCs w:val="32"/>
          <w:lang w:val="en-US" w:eastAsia="zh-CN"/>
        </w:rPr>
        <w:t>4</w:t>
      </w:r>
      <w:r>
        <w:rPr>
          <w:rFonts w:hint="eastAsia" w:ascii="仿宋_GB2312" w:hAnsi="Times New Roman" w:eastAsia="仿宋_GB2312"/>
          <w:color w:val="auto"/>
          <w:sz w:val="32"/>
          <w:szCs w:val="32"/>
          <w:lang w:eastAsia="zh-CN"/>
        </w:rPr>
        <w:t>年红原县部门支出绩效评价指标体系》评分得分9</w:t>
      </w:r>
      <w:r>
        <w:rPr>
          <w:rFonts w:hint="eastAsia" w:ascii="仿宋_GB2312" w:hAnsi="Times New Roman" w:eastAsia="仿宋_GB2312"/>
          <w:color w:val="auto"/>
          <w:sz w:val="32"/>
          <w:szCs w:val="32"/>
          <w:lang w:val="en-US" w:eastAsia="zh-CN"/>
        </w:rPr>
        <w:t>6</w:t>
      </w:r>
      <w:r>
        <w:rPr>
          <w:rFonts w:hint="eastAsia" w:ascii="仿宋_GB2312" w:hAnsi="Times New Roman" w:eastAsia="仿宋_GB2312"/>
          <w:color w:val="auto"/>
          <w:sz w:val="32"/>
          <w:szCs w:val="32"/>
          <w:lang w:eastAsia="zh-CN"/>
        </w:rPr>
        <w:t>分，部门整体支出绩效为“好”。</w:t>
      </w:r>
    </w:p>
    <w:p>
      <w:pPr>
        <w:pStyle w:val="27"/>
        <w:pageBreakBefore w:val="0"/>
        <w:kinsoku/>
        <w:wordWrap/>
        <w:overflowPunct/>
        <w:topLinePunct w:val="0"/>
        <w:bidi w:val="0"/>
        <w:spacing w:line="576" w:lineRule="exact"/>
        <w:ind w:firstLine="643" w:firstLineChars="200"/>
        <w:rPr>
          <w:rFonts w:hint="eastAsia" w:ascii="方正仿宋_GBK" w:hAnsi="方正仿宋_GBK" w:eastAsia="方正仿宋_GBK" w:cs="方正仿宋_GBK"/>
          <w:b/>
          <w:bCs/>
          <w:i w:val="0"/>
          <w:caps w:val="0"/>
          <w:color w:val="000000"/>
          <w:spacing w:val="0"/>
          <w:kern w:val="0"/>
          <w:sz w:val="32"/>
          <w:szCs w:val="32"/>
          <w:shd w:val="clear" w:color="auto" w:fill="FFFFFF"/>
          <w:lang w:val="zh-CN" w:eastAsia="zh-CN" w:bidi="ar"/>
        </w:rPr>
      </w:pPr>
      <w:r>
        <w:rPr>
          <w:rFonts w:hint="eastAsia" w:ascii="方正仿宋_GBK" w:hAnsi="方正仿宋_GBK" w:eastAsia="方正仿宋_GBK" w:cs="方正仿宋_GBK"/>
          <w:b/>
          <w:bCs/>
          <w:i w:val="0"/>
          <w:caps w:val="0"/>
          <w:color w:val="000000"/>
          <w:spacing w:val="0"/>
          <w:kern w:val="0"/>
          <w:sz w:val="32"/>
          <w:szCs w:val="32"/>
          <w:shd w:val="clear" w:color="auto" w:fill="FFFFFF"/>
          <w:lang w:val="zh-CN" w:eastAsia="zh-CN" w:bidi="ar"/>
        </w:rPr>
        <w:t>（二）存在问题</w:t>
      </w:r>
    </w:p>
    <w:p>
      <w:pPr>
        <w:pStyle w:val="27"/>
        <w:pageBreakBefore w:val="0"/>
        <w:kinsoku/>
        <w:wordWrap/>
        <w:overflowPunct/>
        <w:topLinePunct w:val="0"/>
        <w:bidi w:val="0"/>
        <w:spacing w:line="576" w:lineRule="exact"/>
        <w:ind w:firstLine="640" w:firstLineChars="200"/>
        <w:rPr>
          <w:rFonts w:hint="default" w:ascii="仿宋_GB2312" w:hAnsi="Times New Roman" w:eastAsia="仿宋_GB2312"/>
          <w:color w:val="auto"/>
          <w:sz w:val="32"/>
          <w:szCs w:val="32"/>
          <w:lang w:val="en-US" w:eastAsia="zh-CN"/>
        </w:rPr>
      </w:pPr>
      <w:r>
        <w:rPr>
          <w:rFonts w:hint="eastAsia" w:ascii="仿宋_GB2312" w:hAnsi="Times New Roman" w:eastAsia="仿宋_GB2312"/>
          <w:color w:val="auto"/>
          <w:sz w:val="32"/>
          <w:szCs w:val="32"/>
          <w:lang w:val="en-US" w:eastAsia="zh-CN"/>
        </w:rPr>
        <w:t>一是资金使用效率有待提高；二是制度建设有待进一步完善。</w:t>
      </w:r>
    </w:p>
    <w:p>
      <w:pPr>
        <w:pStyle w:val="27"/>
        <w:pageBreakBefore w:val="0"/>
        <w:kinsoku/>
        <w:wordWrap/>
        <w:overflowPunct/>
        <w:topLinePunct w:val="0"/>
        <w:bidi w:val="0"/>
        <w:spacing w:line="576" w:lineRule="exact"/>
        <w:ind w:firstLine="643" w:firstLineChars="200"/>
        <w:rPr>
          <w:rFonts w:hint="eastAsia" w:ascii="方正仿宋_GBK" w:hAnsi="方正仿宋_GBK" w:eastAsia="方正仿宋_GBK" w:cs="方正仿宋_GBK"/>
          <w:b/>
          <w:bCs/>
          <w:i w:val="0"/>
          <w:caps w:val="0"/>
          <w:color w:val="000000"/>
          <w:spacing w:val="0"/>
          <w:kern w:val="0"/>
          <w:sz w:val="32"/>
          <w:szCs w:val="32"/>
          <w:shd w:val="clear" w:color="auto" w:fill="FFFFFF"/>
          <w:lang w:val="zh-CN" w:eastAsia="zh-CN" w:bidi="ar"/>
        </w:rPr>
      </w:pPr>
      <w:r>
        <w:rPr>
          <w:rFonts w:hint="eastAsia" w:ascii="方正仿宋_GBK" w:hAnsi="方正仿宋_GBK" w:eastAsia="方正仿宋_GBK" w:cs="方正仿宋_GBK"/>
          <w:b/>
          <w:bCs/>
          <w:i w:val="0"/>
          <w:caps w:val="0"/>
          <w:color w:val="000000"/>
          <w:spacing w:val="0"/>
          <w:kern w:val="0"/>
          <w:sz w:val="32"/>
          <w:szCs w:val="32"/>
          <w:shd w:val="clear" w:color="auto" w:fill="FFFFFF"/>
          <w:lang w:val="zh-CN" w:eastAsia="zh-CN" w:bidi="ar"/>
        </w:rPr>
        <w:t>（三）改进建议</w:t>
      </w:r>
    </w:p>
    <w:p>
      <w:pPr>
        <w:pStyle w:val="27"/>
        <w:pageBreakBefore w:val="0"/>
        <w:kinsoku/>
        <w:wordWrap/>
        <w:overflowPunct/>
        <w:topLinePunct w:val="0"/>
        <w:bidi w:val="0"/>
        <w:spacing w:line="576" w:lineRule="exact"/>
        <w:ind w:firstLine="640" w:firstLineChars="200"/>
        <w:rPr>
          <w:rFonts w:hint="eastAsia" w:ascii="仿宋_GB2312" w:hAnsi="Times New Roman" w:eastAsia="仿宋_GB2312"/>
          <w:color w:val="auto"/>
          <w:sz w:val="32"/>
          <w:szCs w:val="32"/>
          <w:lang w:val="zh-CN"/>
        </w:rPr>
      </w:pPr>
      <w:r>
        <w:rPr>
          <w:rFonts w:hint="eastAsia" w:ascii="仿宋_GB2312" w:hAnsi="Times New Roman" w:eastAsia="仿宋_GB2312"/>
          <w:color w:val="auto"/>
          <w:sz w:val="32"/>
          <w:szCs w:val="32"/>
          <w:lang w:val="en-US" w:eastAsia="zh-CN"/>
        </w:rPr>
        <w:t xml:space="preserve"> 1、加强</w:t>
      </w:r>
      <w:r>
        <w:rPr>
          <w:rFonts w:hint="eastAsia" w:ascii="仿宋_GB2312" w:hAnsi="Times New Roman" w:eastAsia="仿宋_GB2312"/>
          <w:color w:val="auto"/>
          <w:sz w:val="32"/>
          <w:szCs w:val="32"/>
          <w:lang w:val="zh-CN" w:eastAsia="zh-CN"/>
        </w:rPr>
        <w:t>单位</w:t>
      </w:r>
      <w:r>
        <w:rPr>
          <w:rFonts w:hint="eastAsia" w:ascii="仿宋_GB2312" w:hAnsi="Times New Roman" w:eastAsia="仿宋_GB2312"/>
          <w:color w:val="auto"/>
          <w:sz w:val="32"/>
          <w:szCs w:val="32"/>
          <w:lang w:val="en-US" w:eastAsia="zh-CN"/>
        </w:rPr>
        <w:t>固定</w:t>
      </w:r>
      <w:r>
        <w:rPr>
          <w:rFonts w:hint="eastAsia" w:ascii="仿宋_GB2312" w:hAnsi="Times New Roman" w:eastAsia="仿宋_GB2312"/>
          <w:color w:val="auto"/>
          <w:sz w:val="32"/>
          <w:szCs w:val="32"/>
          <w:lang w:val="zh-CN" w:eastAsia="zh-CN"/>
        </w:rPr>
        <w:t>资产管理</w:t>
      </w:r>
      <w:r>
        <w:rPr>
          <w:rFonts w:hint="eastAsia" w:ascii="仿宋_GB2312" w:hAnsi="Times New Roman" w:eastAsia="仿宋_GB2312"/>
          <w:color w:val="auto"/>
          <w:sz w:val="32"/>
          <w:szCs w:val="32"/>
          <w:lang w:val="en-US" w:eastAsia="zh-CN"/>
        </w:rPr>
        <w:t>，</w:t>
      </w:r>
      <w:r>
        <w:rPr>
          <w:rFonts w:hint="eastAsia" w:ascii="仿宋_GB2312" w:hAnsi="Times New Roman" w:eastAsia="仿宋_GB2312"/>
          <w:color w:val="auto"/>
          <w:sz w:val="32"/>
          <w:szCs w:val="32"/>
          <w:lang w:val="zh-CN" w:eastAsia="zh-CN"/>
        </w:rPr>
        <w:t>由办公室总负责，使用人具体负责</w:t>
      </w:r>
      <w:r>
        <w:rPr>
          <w:rFonts w:hint="eastAsia" w:ascii="仿宋_GB2312" w:hAnsi="Times New Roman" w:eastAsia="仿宋_GB2312"/>
          <w:color w:val="auto"/>
          <w:sz w:val="32"/>
          <w:szCs w:val="32"/>
          <w:lang w:val="en-US" w:eastAsia="zh-CN"/>
        </w:rPr>
        <w:t>日常使用和</w:t>
      </w:r>
      <w:r>
        <w:rPr>
          <w:rFonts w:hint="eastAsia" w:ascii="仿宋_GB2312" w:hAnsi="Times New Roman" w:eastAsia="仿宋_GB2312"/>
          <w:color w:val="auto"/>
          <w:sz w:val="32"/>
          <w:szCs w:val="32"/>
          <w:lang w:val="zh-CN" w:eastAsia="zh-CN"/>
        </w:rPr>
        <w:t>管理，财务室</w:t>
      </w:r>
      <w:r>
        <w:rPr>
          <w:rFonts w:hint="eastAsia" w:ascii="仿宋_GB2312" w:hAnsi="Times New Roman" w:eastAsia="仿宋_GB2312"/>
          <w:color w:val="auto"/>
          <w:sz w:val="32"/>
          <w:szCs w:val="32"/>
          <w:lang w:val="en-US" w:eastAsia="zh-CN"/>
        </w:rPr>
        <w:t>负责</w:t>
      </w:r>
      <w:r>
        <w:rPr>
          <w:rFonts w:hint="eastAsia" w:ascii="仿宋_GB2312" w:hAnsi="Times New Roman" w:eastAsia="仿宋_GB2312"/>
          <w:color w:val="auto"/>
          <w:sz w:val="32"/>
          <w:szCs w:val="32"/>
          <w:lang w:val="zh-CN" w:eastAsia="zh-CN"/>
        </w:rPr>
        <w:t>资产信息</w:t>
      </w:r>
      <w:r>
        <w:rPr>
          <w:rFonts w:hint="eastAsia" w:ascii="仿宋_GB2312" w:hAnsi="Times New Roman" w:eastAsia="仿宋_GB2312"/>
          <w:color w:val="auto"/>
          <w:sz w:val="32"/>
          <w:szCs w:val="32"/>
          <w:lang w:val="en-US" w:eastAsia="zh-CN"/>
        </w:rPr>
        <w:t>的录入、盘点、报损等</w:t>
      </w:r>
      <w:r>
        <w:rPr>
          <w:rFonts w:hint="eastAsia" w:ascii="仿宋_GB2312" w:hAnsi="Times New Roman" w:eastAsia="仿宋_GB2312"/>
          <w:color w:val="auto"/>
          <w:sz w:val="32"/>
          <w:szCs w:val="32"/>
          <w:lang w:val="zh-CN" w:eastAsia="zh-CN"/>
        </w:rPr>
        <w:t>，</w:t>
      </w:r>
      <w:r>
        <w:rPr>
          <w:rFonts w:hint="eastAsia" w:ascii="仿宋_GB2312" w:hAnsi="Times New Roman" w:eastAsia="仿宋_GB2312"/>
          <w:color w:val="auto"/>
          <w:sz w:val="32"/>
          <w:szCs w:val="32"/>
          <w:lang w:val="en-US" w:eastAsia="zh-CN"/>
        </w:rPr>
        <w:t>按要求</w:t>
      </w:r>
      <w:r>
        <w:rPr>
          <w:rFonts w:hint="eastAsia" w:ascii="仿宋_GB2312" w:hAnsi="Times New Roman" w:eastAsia="仿宋_GB2312"/>
          <w:color w:val="auto"/>
          <w:sz w:val="32"/>
          <w:szCs w:val="32"/>
          <w:lang w:val="zh-CN" w:eastAsia="zh-CN"/>
        </w:rPr>
        <w:t>每年对单位资产进行一次集中清理，对不能使用的资产及时报相关部门进行报废处理。</w:t>
      </w:r>
    </w:p>
    <w:p>
      <w:pPr>
        <w:pStyle w:val="27"/>
        <w:pageBreakBefore w:val="0"/>
        <w:kinsoku/>
        <w:wordWrap/>
        <w:overflowPunct/>
        <w:topLinePunct w:val="0"/>
        <w:bidi w:val="0"/>
        <w:spacing w:line="576" w:lineRule="exact"/>
        <w:ind w:firstLine="640" w:firstLineChars="200"/>
        <w:rPr>
          <w:rFonts w:hint="eastAsia" w:ascii="仿宋_GB2312" w:hAnsi="Times New Roman" w:eastAsia="仿宋_GB2312"/>
          <w:color w:val="auto"/>
          <w:sz w:val="32"/>
          <w:szCs w:val="32"/>
          <w:lang w:val="zh-CN" w:eastAsia="zh-CN"/>
        </w:rPr>
      </w:pPr>
      <w:r>
        <w:rPr>
          <w:rFonts w:hint="eastAsia" w:ascii="仿宋_GB2312" w:hAnsi="Times New Roman" w:eastAsia="仿宋_GB2312"/>
          <w:color w:val="auto"/>
          <w:sz w:val="32"/>
          <w:szCs w:val="32"/>
          <w:lang w:val="en-US" w:eastAsia="zh-CN"/>
        </w:rPr>
        <w:t>2、</w:t>
      </w:r>
      <w:r>
        <w:rPr>
          <w:rFonts w:hint="eastAsia" w:ascii="仿宋_GB2312" w:hAnsi="Times New Roman" w:eastAsia="仿宋_GB2312"/>
          <w:color w:val="auto"/>
          <w:sz w:val="32"/>
          <w:szCs w:val="32"/>
          <w:lang w:val="zh-CN" w:eastAsia="zh-CN"/>
        </w:rPr>
        <w:t>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pStyle w:val="27"/>
        <w:pageBreakBefore w:val="0"/>
        <w:kinsoku/>
        <w:wordWrap/>
        <w:overflowPunct/>
        <w:topLinePunct w:val="0"/>
        <w:bidi w:val="0"/>
        <w:spacing w:line="576" w:lineRule="exact"/>
        <w:ind w:firstLine="640" w:firstLineChars="200"/>
        <w:rPr>
          <w:rFonts w:hint="eastAsia" w:ascii="Times New Roman" w:hAnsi="Times New Roman" w:cs="Times New Roman"/>
          <w:sz w:val="32"/>
          <w:szCs w:val="32"/>
          <w:highlight w:val="yellow"/>
          <w:lang w:val="zh-CN" w:eastAsia="zh-CN"/>
        </w:rPr>
      </w:pPr>
      <w:r>
        <w:rPr>
          <w:rFonts w:hint="eastAsia" w:ascii="仿宋_GB2312" w:hAnsi="Times New Roman" w:eastAsia="仿宋_GB2312"/>
          <w:color w:val="auto"/>
          <w:sz w:val="32"/>
          <w:szCs w:val="32"/>
          <w:lang w:val="en-US" w:eastAsia="zh-CN"/>
        </w:rPr>
        <w:t>3、进一步完善财务管理及内部控制等制度，厉行节约，强化对预算支出管理，从严控制“三公经费”等支出。</w:t>
      </w:r>
    </w:p>
    <w:p>
      <w:pPr>
        <w:pStyle w:val="5"/>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仿宋_GB2312" w:cs="仿宋_GB2312"/>
          <w:b w:val="0"/>
          <w:bCs w:val="0"/>
          <w:kern w:val="0"/>
          <w:position w:val="0"/>
          <w:sz w:val="32"/>
          <w:szCs w:val="32"/>
          <w:highlight w:val="none"/>
          <w:lang w:val="en-US" w:eastAsia="zh-CN" w:bidi="ar-SA"/>
        </w:rPr>
      </w:pPr>
      <w:bookmarkStart w:id="53"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51"/>
      <w:bookmarkEnd w:id="53"/>
      <w:bookmarkStart w:id="54" w:name="_Toc15396619"/>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4"/>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0"/>
      <w:r>
        <w:rPr>
          <w:rFonts w:hint="eastAsia" w:ascii="Times New Roman" w:hAnsi="Times New Roman" w:eastAsia="仿宋_GB2312" w:cs="仿宋_GB2312"/>
          <w:color w:val="auto"/>
          <w:sz w:val="32"/>
          <w:szCs w:val="32"/>
          <w:highlight w:val="none"/>
        </w:rPr>
        <w:t>二、收入决算表</w:t>
      </w:r>
      <w:bookmarkEnd w:id="55"/>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1"/>
      <w:r>
        <w:rPr>
          <w:rFonts w:hint="eastAsia" w:ascii="Times New Roman" w:hAnsi="Times New Roman" w:eastAsia="仿宋_GB2312" w:cs="仿宋_GB2312"/>
          <w:color w:val="auto"/>
          <w:sz w:val="32"/>
          <w:szCs w:val="32"/>
          <w:highlight w:val="none"/>
        </w:rPr>
        <w:t>三、支出决算表</w:t>
      </w:r>
      <w:bookmarkEnd w:id="56"/>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2"/>
      <w:r>
        <w:rPr>
          <w:rFonts w:hint="eastAsia" w:ascii="Times New Roman" w:hAnsi="Times New Roman" w:eastAsia="仿宋_GB2312" w:cs="仿宋_GB2312"/>
          <w:color w:val="auto"/>
          <w:sz w:val="32"/>
          <w:szCs w:val="32"/>
          <w:highlight w:val="none"/>
        </w:rPr>
        <w:t>四、财政拨款收入支出决算总表</w:t>
      </w:r>
      <w:bookmarkEnd w:id="57"/>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3"/>
      <w:r>
        <w:rPr>
          <w:rFonts w:hint="eastAsia" w:ascii="Times New Roman" w:hAnsi="Times New Roman" w:eastAsia="仿宋_GB2312" w:cs="仿宋_GB2312"/>
          <w:color w:val="auto"/>
          <w:sz w:val="32"/>
          <w:szCs w:val="32"/>
          <w:highlight w:val="none"/>
        </w:rPr>
        <w:t>五、财政拨款支出决算明细表</w:t>
      </w:r>
      <w:bookmarkEnd w:id="58"/>
      <w:bookmarkStart w:id="59" w:name="_Toc15396624"/>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9"/>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5"/>
      <w:r>
        <w:rPr>
          <w:rFonts w:hint="eastAsia" w:ascii="Times New Roman" w:hAnsi="Times New Roman" w:eastAsia="仿宋_GB2312" w:cs="仿宋_GB2312"/>
          <w:color w:val="auto"/>
          <w:sz w:val="32"/>
          <w:szCs w:val="32"/>
          <w:highlight w:val="none"/>
        </w:rPr>
        <w:t>七、一般公共预算财政拨款支出决算明细表</w:t>
      </w:r>
      <w:bookmarkEnd w:id="60"/>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6"/>
      <w:r>
        <w:rPr>
          <w:rFonts w:hint="eastAsia" w:ascii="Times New Roman" w:hAnsi="Times New Roman" w:eastAsia="仿宋_GB2312" w:cs="仿宋_GB2312"/>
          <w:color w:val="auto"/>
          <w:sz w:val="32"/>
          <w:szCs w:val="32"/>
          <w:highlight w:val="none"/>
        </w:rPr>
        <w:t>八、一般公共预算财政拨款基本支出决算表</w:t>
      </w:r>
      <w:bookmarkEnd w:id="61"/>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7"/>
      <w:r>
        <w:rPr>
          <w:rFonts w:hint="eastAsia" w:ascii="Times New Roman" w:hAnsi="Times New Roman" w:eastAsia="仿宋_GB2312" w:cs="仿宋_GB2312"/>
          <w:color w:val="auto"/>
          <w:sz w:val="32"/>
          <w:szCs w:val="32"/>
          <w:highlight w:val="none"/>
        </w:rPr>
        <w:t>九、一般公共预算财政拨款项目支出决算表</w:t>
      </w:r>
      <w:bookmarkEnd w:id="62"/>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8"/>
      <w:r>
        <w:rPr>
          <w:rFonts w:hint="eastAsia" w:ascii="Times New Roman" w:hAnsi="Times New Roman" w:eastAsia="仿宋_GB2312" w:cs="仿宋_GB2312"/>
          <w:color w:val="auto"/>
          <w:sz w:val="32"/>
          <w:szCs w:val="32"/>
          <w:highlight w:val="none"/>
        </w:rPr>
        <w:t>十、</w:t>
      </w:r>
      <w:bookmarkEnd w:id="63"/>
      <w:r>
        <w:rPr>
          <w:rFonts w:hint="eastAsia" w:ascii="Times New Roman" w:hAnsi="Times New Roman" w:eastAsia="仿宋_GB2312" w:cs="仿宋_GB2312"/>
          <w:color w:val="auto"/>
          <w:sz w:val="32"/>
          <w:szCs w:val="32"/>
          <w:highlight w:val="none"/>
        </w:rPr>
        <w:t>政府性基金预算财政拨款收入支出决算表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9"/>
      <w:r>
        <w:rPr>
          <w:rFonts w:hint="eastAsia" w:ascii="Times New Roman" w:hAnsi="Times New Roman" w:eastAsia="仿宋_GB2312" w:cs="仿宋_GB2312"/>
          <w:color w:val="auto"/>
          <w:sz w:val="32"/>
          <w:szCs w:val="32"/>
          <w:highlight w:val="none"/>
        </w:rPr>
        <w:t>十一、</w:t>
      </w:r>
      <w:bookmarkEnd w:id="64"/>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30"/>
      <w:r>
        <w:rPr>
          <w:rFonts w:hint="eastAsia" w:ascii="Times New Roman" w:hAnsi="Times New Roman" w:eastAsia="仿宋_GB2312" w:cs="仿宋_GB2312"/>
          <w:color w:val="auto"/>
          <w:sz w:val="32"/>
          <w:szCs w:val="32"/>
          <w:highlight w:val="none"/>
        </w:rPr>
        <w:t>十二、</w:t>
      </w:r>
      <w:bookmarkEnd w:id="65"/>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6" w:name="_Toc15396631"/>
      <w:r>
        <w:rPr>
          <w:rFonts w:hint="eastAsia" w:ascii="Times New Roman" w:hAnsi="Times New Roman" w:eastAsia="仿宋_GB2312" w:cs="仿宋_GB2312"/>
          <w:color w:val="auto"/>
          <w:sz w:val="32"/>
          <w:szCs w:val="32"/>
          <w:highlight w:val="none"/>
        </w:rPr>
        <w:t>十三、</w:t>
      </w:r>
      <w:bookmarkEnd w:id="66"/>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8" w:type="first"/>
      <w:footerReference r:id="rId7"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- 2 -</w:t>
                    </w:r>
                    <w:r>
                      <w:fldChar w:fldCharType="end"/>
                    </w:r>
                  </w:p>
                </w:txbxContent>
              </v:textbox>
            </v:shape>
          </w:pict>
        </mc:Fallback>
      </mc:AlternateContent>
    </w:r>
  </w:p>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BCD6E93"/>
    <w:multiLevelType w:val="singleLevel"/>
    <w:tmpl w:val="EBCD6E93"/>
    <w:lvl w:ilvl="0" w:tentative="0">
      <w:start w:val="1"/>
      <w:numFmt w:val="chineseCounting"/>
      <w:suff w:val="nothing"/>
      <w:lvlText w:val="%1、"/>
      <w:lvlJc w:val="left"/>
      <w:rPr>
        <w:rFonts w:hint="eastAsia"/>
      </w:rPr>
    </w:lvl>
  </w:abstractNum>
  <w:abstractNum w:abstractNumId="1">
    <w:nsid w:val="27336D82"/>
    <w:multiLevelType w:val="singleLevel"/>
    <w:tmpl w:val="27336D82"/>
    <w:lvl w:ilvl="0" w:tentative="0">
      <w:start w:val="1"/>
      <w:numFmt w:val="decimal"/>
      <w:lvlText w:val="%1."/>
      <w:lvlJc w:val="left"/>
      <w:pPr>
        <w:tabs>
          <w:tab w:val="left" w:pos="312"/>
        </w:tabs>
      </w:pPr>
    </w:lvl>
  </w:abstractNum>
  <w:abstractNum w:abstractNumId="2">
    <w:nsid w:val="453C29AB"/>
    <w:multiLevelType w:val="singleLevel"/>
    <w:tmpl w:val="453C29AB"/>
    <w:lvl w:ilvl="0" w:tentative="0">
      <w:start w:val="5"/>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8444A26"/>
    <w:rsid w:val="09867E8F"/>
    <w:rsid w:val="0A2032A3"/>
    <w:rsid w:val="0CA8290A"/>
    <w:rsid w:val="0D35B1ED"/>
    <w:rsid w:val="0E254B6B"/>
    <w:rsid w:val="0F98263C"/>
    <w:rsid w:val="101860EC"/>
    <w:rsid w:val="101F47CC"/>
    <w:rsid w:val="10C055FF"/>
    <w:rsid w:val="11694EBD"/>
    <w:rsid w:val="11772AA4"/>
    <w:rsid w:val="118107EC"/>
    <w:rsid w:val="121E4DFC"/>
    <w:rsid w:val="12BA07E8"/>
    <w:rsid w:val="12E24EE2"/>
    <w:rsid w:val="136511AB"/>
    <w:rsid w:val="13D50BC4"/>
    <w:rsid w:val="14B17F78"/>
    <w:rsid w:val="165E0673"/>
    <w:rsid w:val="16B831D5"/>
    <w:rsid w:val="16BB723D"/>
    <w:rsid w:val="17E50567"/>
    <w:rsid w:val="186504BB"/>
    <w:rsid w:val="19A445FC"/>
    <w:rsid w:val="1BE8440E"/>
    <w:rsid w:val="1D155CEE"/>
    <w:rsid w:val="1D1638FE"/>
    <w:rsid w:val="1E312DEB"/>
    <w:rsid w:val="1E522E75"/>
    <w:rsid w:val="1E740ACF"/>
    <w:rsid w:val="1FF35744"/>
    <w:rsid w:val="1FF6BC77"/>
    <w:rsid w:val="21674E89"/>
    <w:rsid w:val="2186353C"/>
    <w:rsid w:val="23860B96"/>
    <w:rsid w:val="240371BF"/>
    <w:rsid w:val="244F3473"/>
    <w:rsid w:val="24C97D99"/>
    <w:rsid w:val="25A718F0"/>
    <w:rsid w:val="25BB59F6"/>
    <w:rsid w:val="260F557C"/>
    <w:rsid w:val="26970054"/>
    <w:rsid w:val="27D139D1"/>
    <w:rsid w:val="281408E2"/>
    <w:rsid w:val="28BC7DF7"/>
    <w:rsid w:val="29FD04D3"/>
    <w:rsid w:val="2BFF7BC6"/>
    <w:rsid w:val="2C8A61B5"/>
    <w:rsid w:val="2D9139BA"/>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2846D9A"/>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7E0359C"/>
    <w:rsid w:val="698D0931"/>
    <w:rsid w:val="6A7FE5F3"/>
    <w:rsid w:val="6B053271"/>
    <w:rsid w:val="6BDD78B3"/>
    <w:rsid w:val="6C4A05C8"/>
    <w:rsid w:val="6C8742B8"/>
    <w:rsid w:val="6D0F0AC3"/>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next w:val="1"/>
    <w:link w:val="26"/>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正文首行缩进 21"/>
    <w:basedOn w:val="1"/>
    <w:qFormat/>
    <w:uiPriority w:val="0"/>
    <w:pPr>
      <w:spacing w:line="540" w:lineRule="exact"/>
      <w:ind w:firstLine="200" w:firstLineChars="200"/>
      <w:textAlignment w:val="baseline"/>
    </w:pPr>
    <w:rPr>
      <w:kern w:val="0"/>
      <w:szCs w:val="32"/>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6"/>
    <w:link w:val="2"/>
    <w:qFormat/>
    <w:uiPriority w:val="9"/>
    <w:rPr>
      <w:rFonts w:ascii="Times New Roman" w:hAnsi="Times New Roman"/>
      <w:b/>
      <w:bCs/>
      <w:kern w:val="44"/>
      <w:sz w:val="44"/>
      <w:szCs w:val="44"/>
    </w:rPr>
  </w:style>
  <w:style w:type="character" w:customStyle="1" w:styleId="30">
    <w:name w:val="标题 2 Char"/>
    <w:basedOn w:val="16"/>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6"/>
    <w:link w:val="9"/>
    <w:semiHidden/>
    <w:qFormat/>
    <w:uiPriority w:val="99"/>
    <w:rPr>
      <w:rFonts w:ascii="Times New Roman" w:hAnsi="Times New Roman"/>
      <w:kern w:val="2"/>
      <w:sz w:val="18"/>
      <w:szCs w:val="18"/>
    </w:rPr>
  </w:style>
  <w:style w:type="character" w:customStyle="1" w:styleId="33">
    <w:name w:val="标题 3 Char"/>
    <w:basedOn w:val="16"/>
    <w:link w:val="4"/>
    <w:qFormat/>
    <w:uiPriority w:val="9"/>
    <w:rPr>
      <w:rFonts w:ascii="Times New Roman" w:hAnsi="Times New Roman"/>
      <w:b/>
      <w:bCs/>
      <w:kern w:val="2"/>
      <w:sz w:val="32"/>
      <w:szCs w:val="32"/>
    </w:rPr>
  </w:style>
  <w:style w:type="paragraph" w:customStyle="1" w:styleId="34">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6">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232.95</c:v>
                </c:pt>
                <c:pt idx="1">
                  <c:v>346.22</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232.95</c:v>
                </c:pt>
                <c:pt idx="1">
                  <c:v>346.22</c:v>
                </c:pt>
              </c:numCache>
            </c:numRef>
          </c:val>
        </c:ser>
        <c:ser>
          <c:idx val="2"/>
          <c:order val="2"/>
          <c:tx>
            <c:strRef>
              <c:f>Sheet1!#REF!</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37513680"/>
        <c:axId val="332113216"/>
      </c:barChart>
      <c:catAx>
        <c:axId val="375136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2113216"/>
        <c:crosses val="autoZero"/>
        <c:auto val="1"/>
        <c:lblAlgn val="ctr"/>
        <c:lblOffset val="100"/>
        <c:noMultiLvlLbl val="0"/>
      </c:catAx>
      <c:valAx>
        <c:axId val="332113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51368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国有资本经营预算财政拨款收入</c:v>
                </c:pt>
                <c:pt idx="3">
                  <c:v>上级补助收入</c:v>
                </c:pt>
              </c:strCache>
            </c:strRef>
          </c:cat>
          <c:val>
            <c:numRef>
              <c:f>Sheet1!$B$2:$B$5</c:f>
              <c:numCache>
                <c:formatCode>General</c:formatCode>
                <c:ptCount val="4"/>
                <c:pt idx="0">
                  <c:v>346.22</c:v>
                </c:pt>
                <c:pt idx="1">
                  <c:v>0</c:v>
                </c:pt>
                <c:pt idx="2">
                  <c:v>0</c:v>
                </c:pt>
                <c:pt idx="3">
                  <c:v>0</c:v>
                </c:pt>
              </c:numCache>
            </c:numRef>
          </c:val>
        </c:ser>
        <c:ser>
          <c:idx val="1"/>
          <c:order val="1"/>
          <c:tx>
            <c:strRef>
              <c:f>"事业收入"</c:f>
              <c:strCache>
                <c:ptCount val="1"/>
                <c:pt idx="0">
                  <c:v>事业收入</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国有资本经营预算财政拨款收入</c:v>
                </c:pt>
                <c:pt idx="3">
                  <c:v>上级补助收入</c:v>
                </c:pt>
              </c:strCache>
            </c:strRef>
          </c:cat>
          <c:val>
            <c:numRef>
              <c:f>{1}</c:f>
              <c:numCache>
                <c:formatCode>General</c:formatCode>
                <c:ptCount val="1"/>
                <c:pt idx="0">
                  <c:v>1</c:v>
                </c:pt>
              </c:numCache>
            </c:numRef>
          </c:val>
        </c:ser>
        <c:ser>
          <c:idx val="2"/>
          <c:order val="2"/>
          <c:tx>
            <c:strRef>
              <c:f>"经营收入"</c:f>
              <c:strCache>
                <c:ptCount val="1"/>
                <c:pt idx="0">
                  <c:v>经营收入</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国有资本经营预算财政拨款收入</c:v>
                </c:pt>
                <c:pt idx="3">
                  <c:v>上级补助收入</c:v>
                </c:pt>
              </c:strCache>
            </c:strRef>
          </c:cat>
          <c:val>
            <c:numRef>
              <c:f>{1}</c:f>
              <c:numCache>
                <c:formatCode>General</c:formatCode>
                <c:ptCount val="1"/>
                <c:pt idx="0">
                  <c:v>1</c:v>
                </c:pt>
              </c:numCache>
            </c:numRef>
          </c:val>
        </c:ser>
        <c:ser>
          <c:idx val="3"/>
          <c:order val="3"/>
          <c:tx>
            <c:strRef>
              <c:f>"其他收入"</c:f>
              <c:strCache>
                <c:ptCount val="1"/>
                <c:pt idx="0">
                  <c:v>其他收入</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国有资本经营预算财政拨款收入</c:v>
                </c:pt>
                <c:pt idx="3">
                  <c:v>上级补助收入</c:v>
                </c:pt>
              </c:strCache>
            </c:strRef>
          </c:cat>
          <c:val>
            <c:numRef>
              <c:f>{1}</c:f>
              <c:numCache>
                <c:formatCode>General</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192.87</c:v>
                </c:pt>
                <c:pt idx="1">
                  <c:v>153.35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财政拨款收、支决算总计变动情况图</a:t>
            </a:r>
          </a:p>
        </c:rich>
      </c:tx>
      <c:layout/>
      <c:overlay val="0"/>
      <c:spPr>
        <a:noFill/>
        <a:ln>
          <a:noFill/>
        </a:ln>
        <a:effectLst/>
      </c:spPr>
    </c:title>
    <c:autoTitleDeleted val="0"/>
    <c:plotArea>
      <c:layout>
        <c:manualLayout>
          <c:layoutTarget val="inner"/>
          <c:xMode val="edge"/>
          <c:yMode val="edge"/>
          <c:x val="0.0847025126936597"/>
          <c:y val="0.166595563139932"/>
          <c:w val="0.90123681812264"/>
          <c:h val="0.637670648464164"/>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232.95</c:v>
                </c:pt>
                <c:pt idx="1">
                  <c:v>346.22</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232.95</c:v>
                </c:pt>
                <c:pt idx="1">
                  <c:v>346.22</c:v>
                </c:pt>
              </c:numCache>
            </c:numRef>
          </c:val>
        </c:ser>
        <c:ser>
          <c:idx val="2"/>
          <c:order val="2"/>
          <c:tx>
            <c:strRef>
              <c:f>Sheet1!#REF!</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37513680"/>
        <c:axId val="332113216"/>
      </c:barChart>
      <c:catAx>
        <c:axId val="375136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2113216"/>
        <c:crosses val="autoZero"/>
        <c:auto val="1"/>
        <c:lblAlgn val="ctr"/>
        <c:lblOffset val="100"/>
        <c:noMultiLvlLbl val="0"/>
      </c:catAx>
      <c:valAx>
        <c:axId val="332113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51368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一般公共预算财政拨款支出决算变动情况图</a:t>
            </a:r>
          </a:p>
        </c:rich>
      </c:tx>
      <c:layout/>
      <c:overlay val="0"/>
      <c:spPr>
        <a:noFill/>
        <a:ln>
          <a:noFill/>
        </a:ln>
        <a:effectLst/>
      </c:spPr>
    </c:title>
    <c:autoTitleDeleted val="0"/>
    <c:plotArea>
      <c:layout>
        <c:manualLayout>
          <c:layoutTarget val="inner"/>
          <c:xMode val="edge"/>
          <c:yMode val="edge"/>
          <c:x val="0.0847025126936597"/>
          <c:y val="0.166595563139932"/>
          <c:w val="0.90123681812264"/>
          <c:h val="0.637670648464164"/>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232.95</c:v>
                </c:pt>
                <c:pt idx="1">
                  <c:v>346.22</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232.95</c:v>
                </c:pt>
                <c:pt idx="1">
                  <c:v>346.22</c:v>
                </c:pt>
              </c:numCache>
            </c:numRef>
          </c:val>
        </c:ser>
        <c:ser>
          <c:idx val="2"/>
          <c:order val="2"/>
          <c:tx>
            <c:strRef>
              <c:f>Sheet1!#REF!</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37513680"/>
        <c:axId val="332113216"/>
      </c:barChart>
      <c:catAx>
        <c:axId val="375136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2113216"/>
        <c:crosses val="autoZero"/>
        <c:auto val="1"/>
        <c:lblAlgn val="ctr"/>
        <c:lblOffset val="100"/>
        <c:noMultiLvlLbl val="0"/>
      </c:catAx>
      <c:valAx>
        <c:axId val="332113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51368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274.47</c:v>
                </c:pt>
                <c:pt idx="1">
                  <c:v>46.83</c:v>
                </c:pt>
                <c:pt idx="2">
                  <c:v>10.28</c:v>
                </c:pt>
                <c:pt idx="3">
                  <c:v>14.63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7624</Words>
  <Characters>8070</Characters>
  <Lines>61</Lines>
  <Paragraphs>17</Paragraphs>
  <TotalTime>6</TotalTime>
  <ScaleCrop>false</ScaleCrop>
  <LinksUpToDate>false</LinksUpToDate>
  <CharactersWithSpaces>8097</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2025-08-06T17:34:00Z</cp:lastPrinted>
  <dcterms:modified xsi:type="dcterms:W3CDTF">2025-09-28T01:42:14Z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04787F2533EB45DC91BCDE4AB213247F</vt:lpwstr>
  </property>
  <property fmtid="{D5CDD505-2E9C-101B-9397-08002B2CF9AE}" pid="4" name="KSOTemplateDocerSaveRecord">
    <vt:lpwstr>eyJoZGlkIjoiNjFiZTNhMWFmYmFmZGNmMjgwNWRjYmU5NDcyODBjMmQiLCJ1c2VySWQiOiIxNDc5ODg2MzU3In0=</vt:lpwstr>
  </property>
</Properties>
</file>