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76" w:lineRule="exact"/>
        <w:jc w:val="center"/>
        <w:outlineLvl w:val="0"/>
        <w:rPr>
          <w:rFonts w:ascii="方正小标宋简体" w:eastAsia="方正小标宋简体"/>
          <w:sz w:val="72"/>
          <w:szCs w:val="72"/>
        </w:rPr>
      </w:pPr>
      <w:bookmarkStart w:id="0" w:name="_Toc15306267"/>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ascii="方正小标宋简体" w:eastAsia="方正小标宋简体" w:cs="方正小标宋简体"/>
          <w:sz w:val="72"/>
          <w:szCs w:val="72"/>
        </w:rPr>
      </w:pPr>
      <w:bookmarkStart w:id="1" w:name="_Toc15377425"/>
      <w:bookmarkStart w:id="2" w:name="_Toc15377193"/>
      <w:bookmarkStart w:id="3" w:name="_Toc15378441"/>
      <w:bookmarkStart w:id="4" w:name="_Toc15396597"/>
      <w:bookmarkStart w:id="5" w:name="_Toc15396475"/>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3</w:t>
      </w:r>
      <w:r>
        <w:rPr>
          <w:rFonts w:hint="eastAsia" w:ascii="方正小标宋简体" w:eastAsia="方正小标宋简体" w:cs="方正小标宋简体"/>
          <w:sz w:val="72"/>
          <w:szCs w:val="72"/>
        </w:rPr>
        <w:t>年度</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ascii="方正小标宋简体" w:eastAsia="方正小标宋简体" w:cs="方正小标宋简体"/>
          <w:sz w:val="72"/>
          <w:szCs w:val="72"/>
        </w:rPr>
      </w:pPr>
      <w:bookmarkStart w:id="6" w:name="_Toc15396598"/>
      <w:bookmarkStart w:id="7" w:name="_Toc15396476"/>
      <w:bookmarkStart w:id="8" w:name="_Toc15377426"/>
      <w:bookmarkStart w:id="9" w:name="_Toc15378442"/>
      <w:bookmarkStart w:id="10" w:name="_Toc15377194"/>
      <w:r>
        <w:rPr>
          <w:rFonts w:ascii="方正小标宋简体" w:eastAsia="方正小标宋简体" w:cs="方正小标宋简体"/>
          <w:sz w:val="72"/>
          <w:szCs w:val="72"/>
        </w:rPr>
        <w:t>阿坝州</w:t>
      </w:r>
      <w:bookmarkEnd w:id="0"/>
      <w:bookmarkStart w:id="11" w:name="_Toc15306268"/>
      <w:r>
        <w:rPr>
          <w:rFonts w:hint="eastAsia" w:ascii="方正小标宋简体" w:eastAsia="方正小标宋简体" w:cs="方正小标宋简体"/>
          <w:sz w:val="72"/>
          <w:szCs w:val="72"/>
          <w:lang w:eastAsia="zh-CN"/>
        </w:rPr>
        <w:t>红原县委县政府联动指挥中心</w:t>
      </w:r>
      <w:r>
        <w:rPr>
          <w:rFonts w:hint="eastAsia" w:ascii="方正小标宋简体" w:eastAsia="方正小标宋简体" w:cs="方正小标宋简体"/>
          <w:sz w:val="72"/>
          <w:szCs w:val="72"/>
        </w:rPr>
        <w:t>单位决算</w:t>
      </w:r>
      <w:bookmarkEnd w:id="6"/>
      <w:bookmarkEnd w:id="7"/>
      <w:bookmarkEnd w:id="8"/>
      <w:bookmarkEnd w:id="9"/>
      <w:bookmarkEnd w:id="10"/>
      <w:bookmarkEnd w:id="11"/>
    </w:p>
    <w:p>
      <w:pPr>
        <w:pStyle w:val="6"/>
        <w:pageBreakBefore w:val="0"/>
        <w:kinsoku/>
        <w:wordWrap/>
        <w:overflowPunct/>
        <w:topLinePunct w:val="0"/>
        <w:bidi w:val="0"/>
        <w:spacing w:before="93" w:line="576" w:lineRule="exact"/>
      </w:pPr>
    </w:p>
    <w:p>
      <w:pPr>
        <w:pStyle w:val="6"/>
        <w:pageBreakBefore w:val="0"/>
        <w:kinsoku/>
        <w:wordWrap/>
        <w:overflowPunct/>
        <w:topLinePunct w:val="0"/>
        <w:bidi w:val="0"/>
        <w:spacing w:before="93" w:line="576" w:lineRule="exact"/>
      </w:pPr>
    </w:p>
    <w:p>
      <w:pPr>
        <w:pStyle w:val="6"/>
        <w:pageBreakBefore w:val="0"/>
        <w:kinsoku/>
        <w:wordWrap/>
        <w:overflowPunct/>
        <w:topLinePunct w:val="0"/>
        <w:bidi w:val="0"/>
        <w:spacing w:before="93" w:line="576" w:lineRule="exact"/>
      </w:pPr>
    </w:p>
    <w:p>
      <w:pPr>
        <w:pStyle w:val="6"/>
        <w:pageBreakBefore w:val="0"/>
        <w:kinsoku/>
        <w:wordWrap/>
        <w:overflowPunct/>
        <w:topLinePunct w:val="0"/>
        <w:bidi w:val="0"/>
        <w:spacing w:before="93" w:line="576" w:lineRule="exact"/>
        <w:jc w:val="center"/>
        <w:rPr>
          <w:rFonts w:hint="eastAsia" w:cs="仿宋_GB2312"/>
          <w:sz w:val="32"/>
          <w:szCs w:val="32"/>
        </w:rPr>
      </w:pPr>
      <w:bookmarkStart w:id="12" w:name="_Hlk113547609"/>
    </w:p>
    <w:p>
      <w:pPr>
        <w:pStyle w:val="6"/>
        <w:pageBreakBefore w:val="0"/>
        <w:kinsoku/>
        <w:wordWrap/>
        <w:overflowPunct/>
        <w:topLinePunct w:val="0"/>
        <w:bidi w:val="0"/>
        <w:spacing w:before="93" w:line="576" w:lineRule="exact"/>
        <w:jc w:val="center"/>
        <w:rPr>
          <w:rFonts w:hint="eastAsia" w:cs="仿宋_GB2312"/>
          <w:sz w:val="32"/>
          <w:szCs w:val="32"/>
        </w:rPr>
      </w:pPr>
    </w:p>
    <w:p>
      <w:pPr>
        <w:pStyle w:val="6"/>
        <w:pageBreakBefore w:val="0"/>
        <w:kinsoku/>
        <w:wordWrap/>
        <w:overflowPunct/>
        <w:topLinePunct w:val="0"/>
        <w:bidi w:val="0"/>
        <w:spacing w:before="93" w:line="576" w:lineRule="exact"/>
        <w:jc w:val="both"/>
        <w:rPr>
          <w:rFonts w:hint="eastAsia" w:cs="仿宋_GB2312"/>
          <w:sz w:val="32"/>
          <w:szCs w:val="32"/>
        </w:rPr>
      </w:pPr>
    </w:p>
    <w:p>
      <w:pPr>
        <w:pStyle w:val="6"/>
        <w:pageBreakBefore w:val="0"/>
        <w:kinsoku/>
        <w:wordWrap/>
        <w:overflowPunct/>
        <w:topLinePunct w:val="0"/>
        <w:bidi w:val="0"/>
        <w:spacing w:before="93" w:line="576" w:lineRule="exact"/>
        <w:jc w:val="center"/>
        <w:rPr>
          <w:rFonts w:hint="eastAsia" w:cs="仿宋_GB2312"/>
          <w:sz w:val="32"/>
          <w:szCs w:val="32"/>
        </w:rPr>
      </w:pPr>
    </w:p>
    <w:p>
      <w:pPr>
        <w:pStyle w:val="6"/>
        <w:pageBreakBefore w:val="0"/>
        <w:kinsoku/>
        <w:wordWrap/>
        <w:overflowPunct/>
        <w:topLinePunct w:val="0"/>
        <w:bidi w:val="0"/>
        <w:spacing w:before="93" w:line="576" w:lineRule="exact"/>
        <w:jc w:val="center"/>
        <w:rPr>
          <w:rFonts w:hint="eastAsia" w:ascii="方正黑体_GBK" w:hAnsi="方正黑体_GBK" w:eastAsia="方正黑体_GBK" w:cs="方正黑体_GBK"/>
          <w:sz w:val="36"/>
          <w:szCs w:val="32"/>
        </w:rPr>
      </w:pPr>
      <w:r>
        <w:rPr>
          <w:rFonts w:hint="eastAsia" w:ascii="方正黑体_GBK" w:hAnsi="方正黑体_GBK" w:eastAsia="方正黑体_GBK" w:cs="方正黑体_GBK"/>
          <w:sz w:val="40"/>
          <w:szCs w:val="40"/>
        </w:rPr>
        <w:t>已经保密审查、内容审定，同意对外公开</w:t>
      </w:r>
      <w:bookmarkEnd w:id="12"/>
    </w:p>
    <w:p>
      <w:pPr>
        <w:pStyle w:val="11"/>
        <w:pageBreakBefore w:val="0"/>
        <w:kinsoku/>
        <w:wordWrap/>
        <w:overflowPunct/>
        <w:topLinePunct w:val="0"/>
        <w:bidi w:val="0"/>
        <w:spacing w:line="576" w:lineRule="exact"/>
        <w:rPr>
          <w:rFonts w:hint="eastAsia"/>
        </w:rPr>
      </w:pPr>
    </w:p>
    <w:p>
      <w:pPr>
        <w:pStyle w:val="11"/>
        <w:pageBreakBefore w:val="0"/>
        <w:kinsoku/>
        <w:wordWrap/>
        <w:overflowPunct/>
        <w:topLinePunct w:val="0"/>
        <w:bidi w:val="0"/>
        <w:spacing w:line="576" w:lineRule="exact"/>
        <w:rPr>
          <w:rFonts w:hint="eastAsia"/>
        </w:rPr>
      </w:pPr>
    </w:p>
    <w:p>
      <w:pPr>
        <w:pStyle w:val="11"/>
        <w:pageBreakBefore w:val="0"/>
        <w:kinsoku/>
        <w:wordWrap/>
        <w:overflowPunct/>
        <w:topLinePunct w:val="0"/>
        <w:bidi w:val="0"/>
        <w:spacing w:line="576" w:lineRule="exact"/>
        <w:rPr>
          <w:rFonts w:hint="eastAsia"/>
        </w:rPr>
      </w:pPr>
    </w:p>
    <w:p>
      <w:pPr>
        <w:pStyle w:val="11"/>
        <w:pageBreakBefore w:val="0"/>
        <w:kinsoku/>
        <w:wordWrap/>
        <w:overflowPunct/>
        <w:topLinePunct w:val="0"/>
        <w:bidi w:val="0"/>
        <w:spacing w:line="576" w:lineRule="exact"/>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公开时间：202</w:t>
      </w:r>
      <w:r>
        <w:rPr>
          <w:rFonts w:hint="eastAsia" w:ascii="方正楷体_GBK" w:hAnsi="方正楷体_GBK" w:eastAsia="方正楷体_GBK" w:cs="方正楷体_GBK"/>
          <w:b/>
          <w:bCs/>
          <w:sz w:val="32"/>
          <w:szCs w:val="32"/>
          <w:lang w:val="en-US" w:eastAsia="zh-CN"/>
        </w:rPr>
        <w:t>4</w:t>
      </w:r>
      <w:r>
        <w:rPr>
          <w:rFonts w:hint="eastAsia" w:ascii="方正楷体_GBK" w:hAnsi="方正楷体_GBK" w:eastAsia="方正楷体_GBK" w:cs="方正楷体_GBK"/>
          <w:b/>
          <w:bCs/>
          <w:sz w:val="32"/>
          <w:szCs w:val="32"/>
        </w:rPr>
        <w:t>年</w:t>
      </w:r>
      <w:r>
        <w:rPr>
          <w:rFonts w:hint="eastAsia" w:ascii="方正楷体_GBK" w:hAnsi="方正楷体_GBK" w:eastAsia="方正楷体_GBK" w:cs="方正楷体_GBK"/>
          <w:b/>
          <w:bCs/>
          <w:sz w:val="32"/>
          <w:szCs w:val="32"/>
          <w:lang w:val="en-US" w:eastAsia="zh-CN"/>
        </w:rPr>
        <w:t>11</w:t>
      </w:r>
      <w:r>
        <w:rPr>
          <w:rFonts w:hint="eastAsia" w:ascii="方正楷体_GBK" w:hAnsi="方正楷体_GBK" w:eastAsia="方正楷体_GBK" w:cs="方正楷体_GBK"/>
          <w:b/>
          <w:bCs/>
          <w:sz w:val="32"/>
          <w:szCs w:val="32"/>
        </w:rPr>
        <w:t>月</w:t>
      </w:r>
      <w:r>
        <w:rPr>
          <w:rFonts w:hint="eastAsia" w:ascii="方正楷体_GBK" w:hAnsi="方正楷体_GBK" w:eastAsia="方正楷体_GBK" w:cs="方正楷体_GBK"/>
          <w:b/>
          <w:bCs/>
          <w:sz w:val="32"/>
          <w:szCs w:val="32"/>
          <w:lang w:val="en-US" w:eastAsia="zh-CN"/>
        </w:rPr>
        <w:t>18</w:t>
      </w:r>
      <w:r>
        <w:rPr>
          <w:rFonts w:hint="eastAsia" w:ascii="方正楷体_GBK" w:hAnsi="方正楷体_GBK" w:eastAsia="方正楷体_GBK" w:cs="方正楷体_GBK"/>
          <w:b/>
          <w:bCs/>
          <w:sz w:val="32"/>
          <w:szCs w:val="32"/>
        </w:rPr>
        <w:t>日</w:t>
      </w:r>
    </w:p>
    <w:p>
      <w:pPr>
        <w:pageBreakBefore w:val="0"/>
        <w:widowControl/>
        <w:kinsoku/>
        <w:wordWrap/>
        <w:overflowPunct/>
        <w:topLinePunct w:val="0"/>
        <w:bidi w:val="0"/>
        <w:spacing w:line="576" w:lineRule="exact"/>
        <w:jc w:val="center"/>
        <w:rPr>
          <w:rFonts w:hint="eastAsia" w:ascii="方正小标宋_GBK" w:hAnsi="方正小标宋_GBK" w:eastAsia="方正小标宋_GBK" w:cs="方正小标宋_GBK"/>
          <w:sz w:val="44"/>
          <w:szCs w:val="44"/>
        </w:rPr>
        <w:sectPr>
          <w:headerReference r:id="rId3" w:type="default"/>
          <w:pgSz w:w="11906" w:h="16838"/>
          <w:pgMar w:top="1440" w:right="1800" w:bottom="1440" w:left="1800" w:header="851" w:footer="992" w:gutter="0"/>
          <w:pgNumType w:start="1"/>
          <w:cols w:space="720" w:num="1"/>
          <w:titlePg/>
          <w:docGrid w:type="lines" w:linePitch="312" w:charSpace="0"/>
        </w:sectPr>
      </w:pPr>
    </w:p>
    <w:p>
      <w:pPr>
        <w:pageBreakBefore w:val="0"/>
        <w:widowControl/>
        <w:kinsoku/>
        <w:wordWrap/>
        <w:overflowPunct/>
        <w:topLinePunct w:val="0"/>
        <w:bidi w:val="0"/>
        <w:spacing w:line="576" w:lineRule="exact"/>
        <w:jc w:val="center"/>
        <w:rPr>
          <w:rFonts w:ascii="黑体" w:eastAsia="黑体"/>
          <w:sz w:val="48"/>
          <w:szCs w:val="48"/>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pPr>
        <w:pageBreakBefore w:val="0"/>
        <w:widowControl/>
        <w:kinsoku/>
        <w:wordWrap/>
        <w:overflowPunct/>
        <w:topLinePunct w:val="0"/>
        <w:bidi w:val="0"/>
        <w:spacing w:line="576" w:lineRule="exact"/>
        <w:jc w:val="center"/>
        <w:rPr>
          <w:rFonts w:ascii="黑体" w:eastAsia="黑体" w:cs="Arial"/>
          <w:sz w:val="28"/>
          <w:szCs w:val="28"/>
        </w:rPr>
      </w:pPr>
    </w:p>
    <w:p>
      <w:pPr>
        <w:pStyle w:val="11"/>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第一部分 单位概况</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............3</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一、职能简介</w:t>
      </w:r>
      <w:r>
        <w:rPr>
          <w:rFonts w:hint="eastAsia" w:ascii="楷体" w:hAnsi="楷体" w:eastAsia="楷体" w:cs="楷体"/>
          <w:sz w:val="30"/>
          <w:szCs w:val="30"/>
          <w:lang w:val="en-US" w:eastAsia="zh-CN"/>
        </w:rPr>
        <w:t>............................... .......3</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二、202</w:t>
      </w:r>
      <w:r>
        <w:rPr>
          <w:rFonts w:hint="eastAsia" w:ascii="楷体" w:hAnsi="楷体" w:eastAsia="楷体" w:cs="楷体"/>
          <w:sz w:val="30"/>
          <w:szCs w:val="30"/>
          <w:lang w:val="en-US" w:eastAsia="zh-CN"/>
        </w:rPr>
        <w:t>3</w:t>
      </w:r>
      <w:r>
        <w:rPr>
          <w:rFonts w:hint="eastAsia" w:ascii="楷体" w:hAnsi="楷体" w:eastAsia="楷体" w:cs="楷体"/>
          <w:sz w:val="30"/>
          <w:szCs w:val="30"/>
        </w:rPr>
        <w:t>年重点工作完成情况</w:t>
      </w:r>
      <w:r>
        <w:rPr>
          <w:rFonts w:hint="eastAsia" w:ascii="楷体" w:hAnsi="楷体" w:eastAsia="楷体" w:cs="楷体"/>
          <w:sz w:val="30"/>
          <w:szCs w:val="30"/>
          <w:lang w:val="en-US" w:eastAsia="zh-CN"/>
        </w:rPr>
        <w:t>.........................4</w:t>
      </w:r>
      <w:bookmarkStart w:id="71" w:name="_GoBack"/>
      <w:bookmarkEnd w:id="71"/>
    </w:p>
    <w:p>
      <w:pPr>
        <w:pStyle w:val="11"/>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第二部分 202</w:t>
      </w:r>
      <w:r>
        <w:rPr>
          <w:rFonts w:hint="eastAsia" w:ascii="楷体" w:hAnsi="楷体" w:eastAsia="楷体" w:cs="楷体"/>
          <w:sz w:val="30"/>
          <w:szCs w:val="30"/>
          <w:lang w:val="en-US" w:eastAsia="zh-CN"/>
        </w:rPr>
        <w:t>3</w:t>
      </w:r>
      <w:r>
        <w:rPr>
          <w:rFonts w:hint="eastAsia" w:ascii="楷体" w:hAnsi="楷体" w:eastAsia="楷体" w:cs="楷体"/>
          <w:sz w:val="30"/>
          <w:szCs w:val="30"/>
        </w:rPr>
        <w:t>年度单位决算情况说明</w:t>
      </w:r>
      <w:r>
        <w:rPr>
          <w:rFonts w:hint="eastAsia" w:ascii="楷体" w:hAnsi="楷体" w:eastAsia="楷体" w:cs="楷体"/>
          <w:sz w:val="30"/>
          <w:szCs w:val="30"/>
          <w:lang w:val="en-US" w:eastAsia="zh-CN"/>
        </w:rPr>
        <w:t>.....................6</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一、收入支出决算总体情况说明</w:t>
      </w:r>
      <w:r>
        <w:rPr>
          <w:rFonts w:hint="eastAsia" w:ascii="楷体" w:hAnsi="楷体" w:eastAsia="楷体" w:cs="楷体"/>
          <w:sz w:val="30"/>
          <w:szCs w:val="30"/>
          <w:lang w:val="en-US" w:eastAsia="zh-CN"/>
        </w:rPr>
        <w:t>........................6</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二、收入决算情况说明</w:t>
      </w:r>
      <w:r>
        <w:rPr>
          <w:rFonts w:hint="eastAsia" w:ascii="楷体" w:hAnsi="楷体" w:eastAsia="楷体" w:cs="楷体"/>
          <w:sz w:val="30"/>
          <w:szCs w:val="30"/>
          <w:lang w:val="en-US" w:eastAsia="zh-CN"/>
        </w:rPr>
        <w:t>................................6</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三、支出决算情况说明</w:t>
      </w:r>
      <w:r>
        <w:rPr>
          <w:rFonts w:hint="eastAsia" w:ascii="楷体" w:hAnsi="楷体" w:eastAsia="楷体" w:cs="楷体"/>
          <w:sz w:val="30"/>
          <w:szCs w:val="30"/>
          <w:lang w:val="en-US" w:eastAsia="zh-CN"/>
        </w:rPr>
        <w:t>................................7</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四、财政拨款收入支出决算总体情况说明</w:t>
      </w:r>
      <w:r>
        <w:rPr>
          <w:rFonts w:hint="eastAsia" w:ascii="楷体" w:hAnsi="楷体" w:eastAsia="楷体" w:cs="楷体"/>
          <w:sz w:val="30"/>
          <w:szCs w:val="30"/>
          <w:lang w:val="en-US" w:eastAsia="zh-CN"/>
        </w:rPr>
        <w:t>................8</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五、一般公共预算财政拨款支出决算情况说明</w:t>
      </w:r>
      <w:r>
        <w:rPr>
          <w:rFonts w:hint="eastAsia" w:ascii="楷体" w:hAnsi="楷体" w:eastAsia="楷体" w:cs="楷体"/>
          <w:sz w:val="30"/>
          <w:szCs w:val="30"/>
          <w:lang w:val="en-US" w:eastAsia="zh-CN"/>
        </w:rPr>
        <w:t>............9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六、一般公共预算财政拨款基本支出决算情况说明</w:t>
      </w:r>
      <w:r>
        <w:rPr>
          <w:rFonts w:hint="eastAsia" w:ascii="楷体" w:hAnsi="楷体" w:eastAsia="楷体" w:cs="楷体"/>
          <w:sz w:val="30"/>
          <w:szCs w:val="30"/>
          <w:lang w:val="en-US" w:eastAsia="zh-CN"/>
        </w:rPr>
        <w:t>.......10</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七、“三公”经费财政拨款支出决算情况说明</w:t>
      </w:r>
      <w:r>
        <w:rPr>
          <w:rFonts w:hint="eastAsia" w:ascii="楷体" w:hAnsi="楷体" w:eastAsia="楷体" w:cs="楷体"/>
          <w:sz w:val="30"/>
          <w:szCs w:val="30"/>
          <w:lang w:val="en-US" w:eastAsia="zh-CN"/>
        </w:rPr>
        <w:t>............11</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八、政府性基金预算支出决算情况说明</w:t>
      </w:r>
      <w:r>
        <w:rPr>
          <w:rFonts w:hint="eastAsia" w:ascii="楷体" w:hAnsi="楷体" w:eastAsia="楷体" w:cs="楷体"/>
          <w:sz w:val="30"/>
          <w:szCs w:val="30"/>
          <w:lang w:val="en-US" w:eastAsia="zh-CN"/>
        </w:rPr>
        <w:t>.................12</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九、国有资本经营预算支出决算情况说明</w:t>
      </w:r>
      <w:r>
        <w:rPr>
          <w:rFonts w:hint="eastAsia" w:ascii="楷体" w:hAnsi="楷体" w:eastAsia="楷体" w:cs="楷体"/>
          <w:sz w:val="30"/>
          <w:szCs w:val="30"/>
          <w:lang w:val="en-US" w:eastAsia="zh-CN"/>
        </w:rPr>
        <w:t>...............12</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十、其他重要事项的情况说明</w:t>
      </w:r>
      <w:r>
        <w:rPr>
          <w:rFonts w:hint="eastAsia" w:ascii="楷体" w:hAnsi="楷体" w:eastAsia="楷体" w:cs="楷体"/>
          <w:sz w:val="30"/>
          <w:szCs w:val="30"/>
          <w:lang w:val="en-US" w:eastAsia="zh-CN"/>
        </w:rPr>
        <w:t>.........................12</w:t>
      </w:r>
    </w:p>
    <w:p>
      <w:pPr>
        <w:pStyle w:val="11"/>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第三部分 名词解释</w:t>
      </w:r>
      <w:r>
        <w:rPr>
          <w:rFonts w:hint="eastAsia" w:ascii="楷体" w:hAnsi="楷体" w:eastAsia="楷体" w:cs="楷体"/>
          <w:sz w:val="30"/>
          <w:szCs w:val="30"/>
          <w:lang w:val="en-US" w:eastAsia="zh-CN"/>
        </w:rPr>
        <w:t>......................... ...........14</w:t>
      </w:r>
    </w:p>
    <w:p>
      <w:pPr>
        <w:pStyle w:val="11"/>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第四部分 附件</w:t>
      </w:r>
      <w:r>
        <w:rPr>
          <w:rFonts w:hint="eastAsia" w:ascii="楷体" w:hAnsi="楷体" w:eastAsia="楷体" w:cs="楷体"/>
          <w:sz w:val="30"/>
          <w:szCs w:val="30"/>
          <w:lang w:val="en-US" w:eastAsia="zh-CN"/>
        </w:rPr>
        <w:t>............................. ...........17</w:t>
      </w:r>
    </w:p>
    <w:p>
      <w:pPr>
        <w:pStyle w:val="11"/>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第五部分 附表</w:t>
      </w:r>
      <w:r>
        <w:rPr>
          <w:rFonts w:hint="eastAsia" w:ascii="楷体" w:hAnsi="楷体" w:eastAsia="楷体" w:cs="楷体"/>
          <w:sz w:val="30"/>
          <w:szCs w:val="30"/>
          <w:lang w:val="en-US" w:eastAsia="zh-CN"/>
        </w:rPr>
        <w:t>............................ ............19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一、收入支出决算总表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二、收入决算表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eastAsia" w:ascii="楷体" w:hAnsi="楷体" w:eastAsia="楷体" w:cs="楷体"/>
          <w:sz w:val="30"/>
          <w:szCs w:val="30"/>
          <w:lang w:val="en-US" w:eastAsia="zh-CN"/>
        </w:rPr>
      </w:pPr>
      <w:r>
        <w:rPr>
          <w:rFonts w:hint="eastAsia" w:ascii="楷体" w:hAnsi="楷体" w:eastAsia="楷体" w:cs="楷体"/>
          <w:sz w:val="30"/>
          <w:szCs w:val="30"/>
        </w:rPr>
        <w:t>三、支出决算表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四、财政拨款收入支出决算总表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五、财政拨款支出决算明细表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六、一般公共预算财政拨款支出决算表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七、一般公共预算财政拨款支出决算明细表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八、一般公共预算财政拨款基本支出决算表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九、一般公共预算财政拨款项目支出决算表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十、一般公共预算财政拨款“三公”经费支出决算表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十一、政府性基金预算财政拨款收入支出决算表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十二、政府性基金预算财政拨款“三公”经费支出决算表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十三、国有资本经营预算财政拨款收入支出决算表</w:t>
      </w:r>
      <w:r>
        <w:rPr>
          <w:rFonts w:hint="eastAsia" w:ascii="楷体" w:hAnsi="楷体" w:eastAsia="楷体" w:cs="楷体"/>
          <w:sz w:val="30"/>
          <w:szCs w:val="30"/>
          <w:lang w:val="en-US" w:eastAsia="zh-CN"/>
        </w:rPr>
        <w:t>.......19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420"/>
        <w:jc w:val="left"/>
        <w:textAlignment w:val="auto"/>
        <w:rPr>
          <w:rFonts w:hint="default" w:ascii="楷体" w:hAnsi="楷体" w:eastAsia="楷体" w:cs="楷体"/>
          <w:sz w:val="30"/>
          <w:szCs w:val="30"/>
          <w:lang w:val="en-US" w:eastAsia="zh-CN"/>
        </w:rPr>
      </w:pPr>
      <w:r>
        <w:rPr>
          <w:rFonts w:hint="eastAsia" w:ascii="楷体" w:hAnsi="楷体" w:eastAsia="楷体" w:cs="楷体"/>
          <w:sz w:val="30"/>
          <w:szCs w:val="30"/>
        </w:rPr>
        <w:t>十四、国有资本经营预算财政拨款支出决算表</w:t>
      </w:r>
      <w:r>
        <w:rPr>
          <w:rFonts w:hint="eastAsia" w:ascii="楷体" w:hAnsi="楷体" w:eastAsia="楷体" w:cs="楷体"/>
          <w:sz w:val="30"/>
          <w:szCs w:val="30"/>
          <w:lang w:val="en-US" w:eastAsia="zh-CN"/>
        </w:rPr>
        <w:t>...........19</w:t>
      </w:r>
    </w:p>
    <w:p>
      <w:pPr>
        <w:pageBreakBefore w:val="0"/>
        <w:widowControl/>
        <w:kinsoku/>
        <w:wordWrap/>
        <w:overflowPunct/>
        <w:topLinePunct w:val="0"/>
        <w:bidi w:val="0"/>
        <w:spacing w:line="576" w:lineRule="exact"/>
        <w:jc w:val="left"/>
        <w:rPr>
          <w:rFonts w:ascii="仿宋" w:eastAsia="仿宋"/>
          <w:bCs/>
          <w:kern w:val="44"/>
          <w:sz w:val="24"/>
        </w:rPr>
      </w:pPr>
      <w:bookmarkStart w:id="13" w:name="_Toc15377196"/>
      <w:bookmarkStart w:id="14" w:name="_Toc15396599"/>
      <w:r>
        <w:rPr>
          <w:rFonts w:ascii="仿宋" w:eastAsia="仿宋"/>
          <w:b/>
          <w:sz w:val="24"/>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576" w:lineRule="exact"/>
        <w:jc w:val="center"/>
        <w:textAlignment w:val="auto"/>
        <w:rPr>
          <w:rStyle w:val="17"/>
          <w:rFonts w:hint="eastAsia" w:ascii="方正小标宋_GBK" w:hAnsi="方正小标宋_GBK" w:eastAsia="方正小标宋_GBK" w:cs="方正小标宋_GBK"/>
          <w:b w:val="0"/>
          <w:bCs w:val="0"/>
        </w:rPr>
      </w:pPr>
      <w:r>
        <w:rPr>
          <w:rFonts w:hint="eastAsia" w:ascii="方正小标宋_GBK" w:hAnsi="方正小标宋_GBK" w:eastAsia="方正小标宋_GBK" w:cs="方正小标宋_GBK"/>
          <w:b w:val="0"/>
          <w:lang w:eastAsia="zh-CN"/>
        </w:rPr>
        <w:t>部门</w:t>
      </w:r>
      <w:r>
        <w:rPr>
          <w:rStyle w:val="17"/>
          <w:rFonts w:hint="eastAsia" w:ascii="方正小标宋_GBK" w:hAnsi="方正小标宋_GBK" w:eastAsia="方正小标宋_GBK" w:cs="方正小标宋_GBK"/>
          <w:b w:val="0"/>
          <w:bCs w:val="0"/>
        </w:rPr>
        <w:t>概况</w:t>
      </w:r>
      <w:bookmarkEnd w:id="13"/>
      <w:bookmarkEnd w:id="14"/>
    </w:p>
    <w:p>
      <w:pPr>
        <w:numPr>
          <w:numId w:val="0"/>
        </w:numPr>
        <w:rPr>
          <w:rFonts w:hint="eastAsia"/>
        </w:rPr>
      </w:pPr>
    </w:p>
    <w:p>
      <w:pPr>
        <w:keepNext w:val="0"/>
        <w:keepLines w:val="0"/>
        <w:pageBreakBefore w:val="0"/>
        <w:kinsoku/>
        <w:wordWrap/>
        <w:overflowPunct/>
        <w:topLinePunct w:val="0"/>
        <w:autoSpaceDN/>
        <w:bidi w:val="0"/>
        <w:adjustRightInd/>
        <w:snapToGrid w:val="0"/>
        <w:spacing w:line="560" w:lineRule="exact"/>
        <w:ind w:firstLine="640" w:firstLineChars="200"/>
        <w:rPr>
          <w:rFonts w:hint="eastAsia" w:ascii="黑体" w:hAnsi="黑体" w:eastAsia="黑体"/>
          <w:sz w:val="32"/>
          <w:szCs w:val="32"/>
        </w:rPr>
      </w:pPr>
      <w:bookmarkStart w:id="15" w:name="YS060101"/>
      <w:bookmarkStart w:id="16" w:name="_Toc15396600"/>
      <w:bookmarkStart w:id="17" w:name="_Toc15377197"/>
      <w:r>
        <w:rPr>
          <w:rFonts w:hint="eastAsia" w:ascii="黑体" w:hAnsi="黑体" w:eastAsia="黑体"/>
          <w:sz w:val="32"/>
          <w:szCs w:val="32"/>
        </w:rPr>
        <w:t>一、</w:t>
      </w:r>
      <w:r>
        <w:rPr>
          <w:rFonts w:hint="eastAsia" w:ascii="黑体" w:hAnsi="黑体" w:eastAsia="黑体" w:cs="黑体"/>
          <w:b/>
          <w:sz w:val="32"/>
          <w:szCs w:val="32"/>
        </w:rPr>
        <w:t>部门职责</w:t>
      </w:r>
    </w:p>
    <w:bookmarkEnd w:id="15"/>
    <w:p>
      <w:pPr>
        <w:keepNext w:val="0"/>
        <w:keepLines w:val="0"/>
        <w:pageBreakBefore w:val="0"/>
        <w:kinsoku/>
        <w:wordWrap/>
        <w:overflowPunct/>
        <w:topLinePunct w:val="0"/>
        <w:autoSpaceDN/>
        <w:bidi w:val="0"/>
        <w:adjustRightInd/>
        <w:snapToGrid w:val="0"/>
        <w:spacing w:line="56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rPr>
        <w:t>（一）基本情况。</w:t>
      </w:r>
    </w:p>
    <w:p>
      <w:pPr>
        <w:pStyle w:val="4"/>
        <w:keepLines w:val="0"/>
        <w:pageBreakBefore w:val="0"/>
        <w:widowControl/>
        <w:shd w:val="clear" w:color="auto" w:fill="FFFFFF"/>
        <w:kinsoku/>
        <w:wordWrap/>
        <w:overflowPunct/>
        <w:topLinePunct w:val="0"/>
        <w:autoSpaceDE/>
        <w:autoSpaceDN/>
        <w:bidi w:val="0"/>
        <w:spacing w:before="0" w:after="0" w:line="560" w:lineRule="exact"/>
        <w:ind w:firstLine="643" w:firstLineChars="200"/>
        <w:jc w:val="both"/>
        <w:textAlignment w:val="auto"/>
        <w:rPr>
          <w:rStyle w:val="14"/>
          <w:rFonts w:hint="eastAsia" w:ascii="楷体_GB2312" w:hAnsi="楷体_GB2312" w:eastAsia="楷体_GB2312" w:cs="楷体_GB2312"/>
          <w:b/>
          <w:bCs/>
          <w:iCs/>
          <w:kern w:val="0"/>
          <w:sz w:val="32"/>
          <w:szCs w:val="32"/>
          <w:rtl w:val="0"/>
          <w:lang/>
        </w:rPr>
      </w:pPr>
      <w:r>
        <w:rPr>
          <w:rFonts w:hint="eastAsia" w:ascii="仿宋_GB2312" w:hAnsi="仿宋" w:eastAsia="仿宋_GB2312"/>
          <w:sz w:val="32"/>
          <w:szCs w:val="32"/>
        </w:rPr>
        <w:t>1．主要职能。</w:t>
      </w:r>
    </w:p>
    <w:p>
      <w:pPr>
        <w:pStyle w:val="4"/>
        <w:keepLines w:val="0"/>
        <w:pageBreakBefore w:val="0"/>
        <w:widowControl/>
        <w:shd w:val="clear" w:color="auto" w:fill="FFFFFF"/>
        <w:kinsoku/>
        <w:wordWrap/>
        <w:overflowPunct/>
        <w:topLinePunct w:val="0"/>
        <w:autoSpaceDE/>
        <w:autoSpaceDN/>
        <w:bidi w:val="0"/>
        <w:spacing w:before="0" w:after="0" w:line="560" w:lineRule="exact"/>
        <w:ind w:firstLine="640" w:firstLineChars="200"/>
        <w:jc w:val="both"/>
        <w:textAlignment w:val="auto"/>
        <w:rPr>
          <w:rFonts w:hint="default" w:ascii="仿宋_GB2312" w:hAnsi="Times New Roman" w:eastAsia="仿宋_GB2312" w:cs="仿宋_GB2312"/>
          <w:b w:val="0"/>
          <w:bCs w:val="0"/>
          <w:kern w:val="0"/>
          <w:sz w:val="32"/>
          <w:szCs w:val="32"/>
          <w:rtl w:val="0"/>
          <w:lang w:bidi="ar-SA"/>
        </w:rPr>
      </w:pPr>
      <w:r>
        <w:rPr>
          <w:rFonts w:hint="default" w:ascii="仿宋_GB2312" w:hAnsi="Times New Roman" w:eastAsia="仿宋_GB2312" w:cs="仿宋_GB2312"/>
          <w:b w:val="0"/>
          <w:bCs w:val="0"/>
          <w:kern w:val="0"/>
          <w:sz w:val="32"/>
          <w:szCs w:val="32"/>
          <w:rtl w:val="0"/>
          <w:lang w:bidi="ar-SA"/>
        </w:rPr>
        <w:t>（1）受县委、县政府的委托、代表县联动指挥中心行使应急指挥权利；</w:t>
      </w:r>
    </w:p>
    <w:p>
      <w:pPr>
        <w:pStyle w:val="4"/>
        <w:keepLines w:val="0"/>
        <w:pageBreakBefore w:val="0"/>
        <w:widowControl/>
        <w:shd w:val="clear" w:color="auto" w:fill="FFFFFF"/>
        <w:kinsoku/>
        <w:wordWrap/>
        <w:overflowPunct/>
        <w:topLinePunct w:val="0"/>
        <w:autoSpaceDE/>
        <w:autoSpaceDN/>
        <w:bidi w:val="0"/>
        <w:spacing w:before="0" w:after="0" w:line="560" w:lineRule="exact"/>
        <w:ind w:firstLine="640" w:firstLineChars="200"/>
        <w:jc w:val="both"/>
        <w:textAlignment w:val="auto"/>
        <w:rPr>
          <w:rFonts w:hint="default" w:ascii="仿宋_GB2312" w:eastAsia="仿宋_GB2312" w:cs="仿宋_GB2312"/>
          <w:b w:val="0"/>
          <w:bCs w:val="0"/>
          <w:kern w:val="0"/>
          <w:sz w:val="32"/>
          <w:szCs w:val="32"/>
        </w:rPr>
      </w:pPr>
      <w:r>
        <w:rPr>
          <w:rFonts w:hint="default" w:ascii="仿宋_GB2312" w:hAnsi="Times New Roman" w:eastAsia="仿宋_GB2312" w:cs="仿宋_GB2312"/>
          <w:b w:val="0"/>
          <w:bCs w:val="0"/>
          <w:kern w:val="0"/>
          <w:sz w:val="32"/>
          <w:szCs w:val="32"/>
          <w:rtl w:val="0"/>
          <w:lang w:bidi="ar-SA"/>
        </w:rPr>
        <w:t>（2）负责对中心入驻的六大中心工作人员的管理，负责对七大平台数据的收集和分析研判，并</w:t>
      </w:r>
      <w:r>
        <w:rPr>
          <w:rFonts w:hint="default" w:ascii="仿宋_GB2312" w:hAnsi="Times New Roman" w:eastAsia="仿宋_GB2312" w:cs="仿宋_GB2312"/>
          <w:b w:val="0"/>
          <w:bCs w:val="0"/>
          <w:kern w:val="0"/>
          <w:sz w:val="32"/>
          <w:szCs w:val="32"/>
          <w:lang w:val="en-US" w:eastAsia="zh-CN" w:bidi="ar-SA"/>
        </w:rPr>
        <w:t>代表县委、政府和县联动指挥中心对重大事件和</w:t>
      </w:r>
      <w:r>
        <w:rPr>
          <w:rFonts w:hint="default" w:ascii="仿宋_GB2312" w:eastAsia="仿宋_GB2312" w:cs="仿宋_GB2312"/>
          <w:b w:val="0"/>
          <w:bCs w:val="0"/>
          <w:kern w:val="0"/>
          <w:sz w:val="32"/>
          <w:szCs w:val="32"/>
        </w:rPr>
        <w:t>突发事件的应急指挥工作；</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（3）负责组织督促；落实县委、县政府和县联动指挥中心下达的指令或工作安排部署，根据工作的实际情况和需要，适时召开联动部门工作协调会，研究解决有关联动服务事宜和问题；</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（4）负责对重要信息的收集、报送工作，对全县应急处突、渉稳事件、安全生产急救、自然灾害等重大事件的协调工作，同时做好处置工作记录，并逐日归类汇总并备案；</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（5）负责组织、督促有关部门抓好民生服务工作，矛盾纠纷排查化解工作。开展调查研究，对重大情况和问题应及时进行分析研判，并向县政府提交研判报告；</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firstLine="640" w:firstLineChars="200"/>
        <w:jc w:val="both"/>
        <w:rPr>
          <w:rFonts w:hint="default" w:ascii="仿宋_GB2312" w:eastAsia="仿宋_GB2312" w:cs="仿宋_GB2312"/>
          <w:b w:val="0"/>
          <w:bCs w:val="0"/>
          <w:kern w:val="0"/>
          <w:sz w:val="32"/>
          <w:szCs w:val="32"/>
        </w:rPr>
      </w:pPr>
      <w:r>
        <w:rPr>
          <w:rFonts w:hint="default" w:ascii="仿宋_GB2312" w:eastAsia="仿宋_GB2312" w:cs="仿宋_GB2312"/>
          <w:b w:val="0"/>
          <w:bCs w:val="0"/>
          <w:kern w:val="0"/>
          <w:sz w:val="32"/>
          <w:szCs w:val="32"/>
        </w:rPr>
        <w:t>（6）负责建立健全联动指挥中心各项规章制度；</w:t>
      </w:r>
    </w:p>
    <w:p>
      <w:pPr>
        <w:keepNext w:val="0"/>
        <w:keepLines w:val="0"/>
        <w:pageBreakBefore w:val="0"/>
        <w:kinsoku/>
        <w:wordWrap/>
        <w:overflowPunct/>
        <w:topLinePunct w:val="0"/>
        <w:autoSpaceDN/>
        <w:bidi w:val="0"/>
        <w:adjustRightInd/>
        <w:snapToGrid w:val="0"/>
        <w:spacing w:line="560" w:lineRule="exact"/>
        <w:ind w:firstLine="640" w:firstLineChars="200"/>
        <w:rPr>
          <w:rFonts w:hint="eastAsia" w:ascii="仿宋_GB2312" w:hAnsi="仿宋_GB2312" w:eastAsia="仿宋_GB2312" w:cs="仿宋_GB2312"/>
          <w:b w:val="0"/>
          <w:bCs/>
          <w:sz w:val="32"/>
          <w:szCs w:val="32"/>
        </w:rPr>
      </w:pPr>
      <w:r>
        <w:rPr>
          <w:rFonts w:hint="default" w:ascii="仿宋_GB2312" w:eastAsia="仿宋_GB2312" w:cs="仿宋_GB2312"/>
          <w:b w:val="0"/>
          <w:bCs w:val="0"/>
          <w:kern w:val="0"/>
          <w:sz w:val="32"/>
          <w:szCs w:val="32"/>
        </w:rPr>
        <w:t>（7）负责协助和管理县民族宗教局入驻人员开展寺庙网格化精准服务系统管理工作；负责协助和管理县公安局入驻人员做好联动指挥中心系统维护以及天网视频调度工作；负责协助和管理县矛盾纠纷“大调解”中心做好全县大调解工作和基层大调解指导工作；负责协助和管理其它入驻单位的工</w:t>
      </w:r>
      <w:r>
        <w:rPr>
          <w:rFonts w:hint="eastAsia" w:ascii="仿宋_GB2312" w:hAnsi="仿宋_GB2312" w:eastAsia="仿宋_GB2312" w:cs="仿宋_GB2312"/>
          <w:b w:val="0"/>
          <w:bCs/>
          <w:sz w:val="32"/>
          <w:szCs w:val="32"/>
        </w:rPr>
        <w:t>作人员开展相关工作。</w:t>
      </w:r>
    </w:p>
    <w:p>
      <w:pPr>
        <w:keepNext w:val="0"/>
        <w:keepLines w:val="0"/>
        <w:pageBreakBefore w:val="0"/>
        <w:kinsoku/>
        <w:wordWrap/>
        <w:overflowPunct/>
        <w:topLinePunct w:val="0"/>
        <w:autoSpaceDN/>
        <w:bidi w:val="0"/>
        <w:adjustRightInd/>
        <w:snapToGrid w:val="0"/>
        <w:spacing w:line="56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（8）负责做好县委、政府临时交办的各项工作任务。</w:t>
      </w:r>
    </w:p>
    <w:p>
      <w:pPr>
        <w:keepNext w:val="0"/>
        <w:keepLines w:val="0"/>
        <w:pageBreakBefore w:val="0"/>
        <w:kinsoku/>
        <w:wordWrap/>
        <w:overflowPunct/>
        <w:topLinePunct w:val="0"/>
        <w:autoSpaceDN/>
        <w:bidi w:val="0"/>
        <w:adjustRightInd/>
        <w:snapToGrid w:val="0"/>
        <w:spacing w:line="560" w:lineRule="exact"/>
        <w:ind w:firstLine="640" w:firstLineChars="200"/>
        <w:rPr>
          <w:rFonts w:hint="eastAsia" w:ascii="仿宋_GB2312" w:hAnsi="仿宋_GB2312" w:eastAsia="仿宋_GB2312" w:cs="仿宋_GB2312"/>
          <w:b w:val="0"/>
          <w:bCs/>
          <w:sz w:val="32"/>
          <w:szCs w:val="32"/>
          <w:lang w:eastAsia="zh-CN"/>
        </w:rPr>
      </w:pPr>
      <w:bookmarkStart w:id="18" w:name="_Toc7522"/>
      <w:bookmarkEnd w:id="18"/>
      <w:bookmarkStart w:id="19" w:name="_Toc19082"/>
      <w:bookmarkEnd w:id="19"/>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机构设置</w:t>
      </w:r>
      <w:r>
        <w:rPr>
          <w:rFonts w:hint="eastAsia" w:ascii="仿宋_GB2312" w:hAnsi="仿宋_GB2312" w:eastAsia="仿宋_GB2312" w:cs="仿宋_GB2312"/>
          <w:b w:val="0"/>
          <w:bCs/>
          <w:sz w:val="32"/>
          <w:szCs w:val="32"/>
          <w:lang w:eastAsia="zh-CN"/>
        </w:rPr>
        <w:t>。</w:t>
      </w:r>
    </w:p>
    <w:p>
      <w:pPr>
        <w:keepNext w:val="0"/>
        <w:keepLines w:val="0"/>
        <w:pageBreakBefore w:val="0"/>
        <w:kinsoku/>
        <w:wordWrap/>
        <w:overflowPunct/>
        <w:topLinePunct w:val="0"/>
        <w:autoSpaceDN/>
        <w:bidi w:val="0"/>
        <w:adjustRightInd/>
        <w:snapToGrid w:val="0"/>
        <w:spacing w:line="56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红原县联动指挥中心办公室事业编制</w:t>
      </w:r>
      <w:r>
        <w:rPr>
          <w:rFonts w:hint="eastAsia" w:ascii="仿宋_GB2312" w:hAnsi="仿宋_GB2312" w:eastAsia="仿宋_GB2312" w:cs="仿宋_GB2312"/>
          <w:b w:val="0"/>
          <w:bCs/>
          <w:sz w:val="32"/>
          <w:szCs w:val="32"/>
          <w:lang w:val="en-US" w:eastAsia="zh-CN"/>
        </w:rPr>
        <w:t>9</w:t>
      </w:r>
      <w:r>
        <w:rPr>
          <w:rFonts w:hint="eastAsia" w:ascii="仿宋_GB2312" w:hAnsi="仿宋_GB2312" w:eastAsia="仿宋_GB2312" w:cs="仿宋_GB2312"/>
          <w:b w:val="0"/>
          <w:bCs/>
          <w:sz w:val="32"/>
          <w:szCs w:val="32"/>
        </w:rPr>
        <w:t>名，其中：设主任1名(正科级)，副主任2名(副科级)；股级领导职数3名。</w:t>
      </w:r>
    </w:p>
    <w:p>
      <w:pPr>
        <w:keepNext w:val="0"/>
        <w:keepLines w:val="0"/>
        <w:pageBreakBefore w:val="0"/>
        <w:kinsoku/>
        <w:wordWrap/>
        <w:overflowPunct/>
        <w:topLinePunct w:val="0"/>
        <w:autoSpaceDN/>
        <w:bidi w:val="0"/>
        <w:adjustRightInd/>
        <w:snapToGrid w:val="0"/>
        <w:spacing w:line="56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人员情况</w:t>
      </w:r>
      <w:r>
        <w:rPr>
          <w:rFonts w:hint="eastAsia" w:ascii="仿宋_GB2312" w:hAnsi="仿宋_GB2312" w:eastAsia="仿宋_GB2312" w:cs="仿宋_GB2312"/>
          <w:b w:val="0"/>
          <w:bCs/>
          <w:sz w:val="32"/>
          <w:szCs w:val="32"/>
          <w:lang w:eastAsia="zh-CN"/>
        </w:rPr>
        <w:t>。</w:t>
      </w:r>
    </w:p>
    <w:p>
      <w:pPr>
        <w:keepNext w:val="0"/>
        <w:keepLines w:val="0"/>
        <w:pageBreakBefore w:val="0"/>
        <w:kinsoku/>
        <w:wordWrap/>
        <w:overflowPunct/>
        <w:topLinePunct w:val="0"/>
        <w:autoSpaceDN/>
        <w:bidi w:val="0"/>
        <w:adjustRightInd/>
        <w:snapToGrid w:val="0"/>
        <w:spacing w:line="560" w:lineRule="exact"/>
        <w:ind w:firstLine="640" w:firstLineChars="200"/>
        <w:rPr>
          <w:rFonts w:hint="eastAsia"/>
        </w:rPr>
      </w:pPr>
      <w:r>
        <w:rPr>
          <w:rFonts w:hint="eastAsia" w:ascii="仿宋_GB2312" w:hAnsi="仿宋_GB2312" w:eastAsia="仿宋_GB2312" w:cs="仿宋_GB2312"/>
          <w:b w:val="0"/>
          <w:bCs/>
          <w:sz w:val="32"/>
          <w:szCs w:val="32"/>
          <w:lang w:eastAsia="zh-CN"/>
        </w:rPr>
        <w:t>联动指挥中心</w:t>
      </w:r>
      <w:r>
        <w:rPr>
          <w:rFonts w:hint="eastAsia" w:ascii="仿宋_GB2312" w:hAnsi="仿宋_GB2312" w:eastAsia="仿宋_GB2312" w:cs="仿宋_GB2312"/>
          <w:b w:val="0"/>
          <w:bCs/>
          <w:sz w:val="32"/>
          <w:szCs w:val="32"/>
          <w:lang w:val="en-US" w:eastAsia="zh-CN"/>
        </w:rPr>
        <w:t>2023年调入主任1名（正科级），调出1名副主任职务人员、1名股级领导人员。截止年末，实有在职人员共计7人。</w:t>
      </w:r>
    </w:p>
    <w:bookmarkEnd w:id="16"/>
    <w:bookmarkEnd w:id="17"/>
    <w:p>
      <w:pPr>
        <w:keepNext w:val="0"/>
        <w:keepLines w:val="0"/>
        <w:pageBreakBefore w:val="0"/>
        <w:kinsoku/>
        <w:wordWrap/>
        <w:overflowPunct/>
        <w:topLinePunct w:val="0"/>
        <w:autoSpaceDN/>
        <w:bidi w:val="0"/>
        <w:adjustRightInd/>
        <w:snapToGrid w:val="0"/>
        <w:spacing w:line="56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rPr>
        <w:t>（二）当年取得的主要事业成效。</w:t>
      </w:r>
    </w:p>
    <w:p>
      <w:pPr>
        <w:keepNext w:val="0"/>
        <w:keepLines w:val="0"/>
        <w:pageBreakBefore w:val="0"/>
        <w:kinsoku/>
        <w:wordWrap/>
        <w:overflowPunct/>
        <w:topLinePunct w:val="0"/>
        <w:autoSpaceDN/>
        <w:bidi w:val="0"/>
        <w:adjustRightInd/>
        <w:snapToGrid w:val="0"/>
        <w:spacing w:line="560" w:lineRule="exact"/>
        <w:ind w:firstLine="640" w:firstLineChars="200"/>
        <w:rPr>
          <w:rFonts w:hint="default" w:ascii="仿宋_GB2312" w:hAnsi="仿宋_GB2312" w:eastAsia="仿宋_GB2312" w:cs="仿宋_GB2312"/>
          <w:b w:val="0"/>
          <w:bCs/>
          <w:sz w:val="32"/>
          <w:szCs w:val="32"/>
        </w:rPr>
      </w:pPr>
      <w:r>
        <w:rPr>
          <w:rFonts w:hint="default" w:ascii="仿宋_GB2312" w:eastAsia="仿宋_GB2312" w:cs="仿宋_GB2312"/>
          <w:kern w:val="0"/>
          <w:sz w:val="32"/>
          <w:szCs w:val="32"/>
        </w:rPr>
        <w:t>一是进一步健全管理机制。中心目前虽有较完整的管理机制，但就如何激励各平台功能更好的发挥和整合平台信息</w:t>
      </w:r>
      <w:r>
        <w:rPr>
          <w:rFonts w:hint="default" w:ascii="仿宋_GB2312" w:hAnsi="仿宋_GB2312" w:eastAsia="仿宋_GB2312" w:cs="仿宋_GB2312"/>
          <w:b w:val="0"/>
          <w:bCs/>
          <w:sz w:val="32"/>
          <w:szCs w:val="32"/>
        </w:rPr>
        <w:t>共享方面还存在不足，下一步我们将就不断健全完善平台综合管理应用方面再做进一步探索和完善，力求确保在各自的管理体系中实现信息的多重共享。</w:t>
      </w:r>
    </w:p>
    <w:p>
      <w:pPr>
        <w:keepNext w:val="0"/>
        <w:keepLines w:val="0"/>
        <w:pageBreakBefore w:val="0"/>
        <w:kinsoku/>
        <w:wordWrap/>
        <w:overflowPunct/>
        <w:topLinePunct w:val="0"/>
        <w:autoSpaceDN/>
        <w:bidi w:val="0"/>
        <w:adjustRightInd/>
        <w:snapToGrid w:val="0"/>
        <w:spacing w:line="560" w:lineRule="exact"/>
        <w:ind w:firstLine="640" w:firstLineChars="200"/>
        <w:rPr>
          <w:rFonts w:hint="default" w:ascii="仿宋_GB2312" w:hAnsi="仿宋_GB2312" w:eastAsia="仿宋_GB2312" w:cs="仿宋_GB2312"/>
          <w:b w:val="0"/>
          <w:bCs/>
          <w:sz w:val="32"/>
          <w:szCs w:val="32"/>
        </w:rPr>
      </w:pPr>
      <w:r>
        <w:rPr>
          <w:rFonts w:hint="default" w:ascii="仿宋_GB2312" w:hAnsi="仿宋_GB2312" w:eastAsia="仿宋_GB2312" w:cs="仿宋_GB2312"/>
          <w:b w:val="0"/>
          <w:bCs/>
          <w:sz w:val="32"/>
          <w:szCs w:val="32"/>
        </w:rPr>
        <w:t>二是进一步优化平台应用。首先加大藏区依法常态化信息工作平台的推广应用，信息化工作平台功能更强大，涉及面更广，操作更加适用，通过近段时间的试运行，平台作用已得到发挥，下一步将加大平台的宣传，确保部门和乡镇能充分认识和应用该平台，同时我们也将综治中心通过视频监控发现的问题以及110转派非警务事件的转派和督办通过信息化工作平台来实现事件办理的线上痕迹化管理，以此倒逼乡镇和部门开展信息化工作平台的应用。其次是强化“红原在线”的提档升级，目前虽然通过大力宣传，“红原在线”平台服务于旅游的功能有所展现，但通过其GPS定位以实现民生服务方面还较不足，下一步我们将通过和部门合作，开发相应的民生服务项目，包括正在计划和民政局合作，利用平台定位优势，开展我县散居老人的“保姆式服务”项目开发应用。</w:t>
      </w:r>
    </w:p>
    <w:p>
      <w:pPr>
        <w:keepNext w:val="0"/>
        <w:keepLines w:val="0"/>
        <w:pageBreakBefore w:val="0"/>
        <w:kinsoku/>
        <w:wordWrap/>
        <w:overflowPunct/>
        <w:topLinePunct w:val="0"/>
        <w:autoSpaceDN/>
        <w:bidi w:val="0"/>
        <w:adjustRightInd/>
        <w:snapToGrid w:val="0"/>
        <w:spacing w:line="560" w:lineRule="exact"/>
        <w:ind w:firstLine="640" w:firstLineChars="200"/>
        <w:rPr>
          <w:rFonts w:hint="default" w:ascii="仿宋_GB2312" w:hAnsi="仿宋_GB2312" w:eastAsia="仿宋_GB2312" w:cs="仿宋_GB2312"/>
          <w:b w:val="0"/>
          <w:bCs/>
          <w:sz w:val="32"/>
          <w:szCs w:val="32"/>
        </w:rPr>
      </w:pPr>
      <w:r>
        <w:rPr>
          <w:rFonts w:hint="default" w:ascii="仿宋_GB2312" w:hAnsi="仿宋_GB2312" w:eastAsia="仿宋_GB2312" w:cs="仿宋_GB2312"/>
          <w:b w:val="0"/>
          <w:bCs/>
          <w:sz w:val="32"/>
          <w:szCs w:val="32"/>
        </w:rPr>
        <w:t>三是逐步推行线上线下双接件，同办理。为充分体现中心负责全县群众投诉、咨询、意见、建言建议的受理、交办和督查调度的作用，中心目前已申请8998989的热线服务电话，我们将加快服务热线的推广，已达到将群众非警务事件的所有投诉、求助事件纳入中心处置、分流、督办和回访。</w:t>
      </w:r>
    </w:p>
    <w:p>
      <w:pPr>
        <w:pStyle w:val="2"/>
        <w:rPr>
          <w:rFonts w:hint="default" w:ascii="仿宋_GB2312" w:hAnsi="仿宋_GB2312" w:eastAsia="仿宋_GB2312" w:cs="仿宋_GB2312"/>
          <w:b w:val="0"/>
          <w:bCs/>
          <w:sz w:val="32"/>
          <w:szCs w:val="32"/>
        </w:rPr>
      </w:pPr>
    </w:p>
    <w:p>
      <w:pPr>
        <w:pStyle w:val="2"/>
        <w:rPr>
          <w:rFonts w:hint="default" w:ascii="仿宋_GB2312" w:hAnsi="仿宋_GB2312" w:eastAsia="仿宋_GB2312" w:cs="仿宋_GB2312"/>
          <w:b w:val="0"/>
          <w:bCs/>
          <w:sz w:val="32"/>
          <w:szCs w:val="32"/>
        </w:rPr>
      </w:pPr>
    </w:p>
    <w:p>
      <w:pPr>
        <w:pStyle w:val="2"/>
        <w:rPr>
          <w:rFonts w:hint="default" w:ascii="仿宋_GB2312" w:hAnsi="仿宋_GB2312" w:eastAsia="仿宋_GB2312" w:cs="仿宋_GB2312"/>
          <w:b w:val="0"/>
          <w:bCs/>
          <w:sz w:val="32"/>
          <w:szCs w:val="32"/>
        </w:rPr>
      </w:pPr>
    </w:p>
    <w:p>
      <w:pPr>
        <w:pStyle w:val="2"/>
        <w:rPr>
          <w:rFonts w:hint="default" w:ascii="仿宋_GB2312" w:hAnsi="仿宋_GB2312" w:eastAsia="仿宋_GB2312" w:cs="仿宋_GB2312"/>
          <w:b w:val="0"/>
          <w:bCs/>
          <w:sz w:val="32"/>
          <w:szCs w:val="32"/>
        </w:rPr>
      </w:pPr>
    </w:p>
    <w:p>
      <w:pPr>
        <w:pStyle w:val="2"/>
        <w:rPr>
          <w:rFonts w:hint="default" w:ascii="仿宋_GB2312" w:hAnsi="仿宋_GB2312" w:eastAsia="仿宋_GB2312" w:cs="仿宋_GB2312"/>
          <w:b w:val="0"/>
          <w:bCs/>
          <w:sz w:val="32"/>
          <w:szCs w:val="32"/>
        </w:rPr>
      </w:pPr>
    </w:p>
    <w:p>
      <w:pPr>
        <w:pStyle w:val="2"/>
        <w:rPr>
          <w:rFonts w:hint="default" w:ascii="仿宋_GB2312" w:hAnsi="仿宋_GB2312" w:eastAsia="仿宋_GB2312" w:cs="仿宋_GB2312"/>
          <w:b w:val="0"/>
          <w:bCs/>
          <w:sz w:val="32"/>
          <w:szCs w:val="32"/>
        </w:rPr>
      </w:pPr>
    </w:p>
    <w:p>
      <w:pPr>
        <w:pStyle w:val="2"/>
        <w:rPr>
          <w:rFonts w:hint="default" w:ascii="仿宋_GB2312" w:hAnsi="仿宋_GB2312" w:eastAsia="仿宋_GB2312" w:cs="仿宋_GB2312"/>
          <w:b w:val="0"/>
          <w:bCs/>
          <w:sz w:val="32"/>
          <w:szCs w:val="32"/>
        </w:rPr>
      </w:pPr>
    </w:p>
    <w:p>
      <w:pPr>
        <w:pStyle w:val="2"/>
        <w:rPr>
          <w:rFonts w:hint="default" w:ascii="仿宋_GB2312" w:hAnsi="仿宋_GB2312" w:eastAsia="仿宋_GB2312" w:cs="仿宋_GB2312"/>
          <w:b w:val="0"/>
          <w:bCs/>
          <w:sz w:val="32"/>
          <w:szCs w:val="32"/>
        </w:rPr>
      </w:pPr>
    </w:p>
    <w:p>
      <w:pPr>
        <w:pStyle w:val="2"/>
        <w:ind w:left="0" w:leftChars="0" w:firstLine="0" w:firstLineChars="0"/>
        <w:rPr>
          <w:rFonts w:hint="eastAsia" w:ascii="仿宋_GB2312" w:hAnsi="仿宋_GB2312" w:eastAsia="仿宋_GB2312" w:cs="仿宋_GB2312"/>
          <w:b w:val="0"/>
          <w:bCs/>
          <w:sz w:val="32"/>
          <w:szCs w:val="32"/>
        </w:rPr>
      </w:pPr>
    </w:p>
    <w:p>
      <w:pPr>
        <w:pStyle w:val="3"/>
        <w:pageBreakBefore w:val="0"/>
        <w:kinsoku/>
        <w:wordWrap/>
        <w:overflowPunct/>
        <w:topLinePunct w:val="0"/>
        <w:bidi w:val="0"/>
        <w:spacing w:line="576" w:lineRule="exact"/>
        <w:ind w:right="440"/>
        <w:jc w:val="center"/>
      </w:pPr>
      <w:bookmarkStart w:id="20" w:name="_Toc15396602"/>
      <w:bookmarkStart w:id="21" w:name="_Toc15377204"/>
      <w:r>
        <w:rPr>
          <w:rFonts w:hint="eastAsia" w:ascii="黑体" w:eastAsia="黑体"/>
          <w:b w:val="0"/>
        </w:rPr>
        <w:t>第二部分 202</w:t>
      </w:r>
      <w:r>
        <w:rPr>
          <w:rFonts w:hint="eastAsia" w:ascii="黑体" w:eastAsia="黑体"/>
          <w:b w:val="0"/>
          <w:lang w:val="en-US" w:eastAsia="zh-CN"/>
        </w:rPr>
        <w:t>3</w:t>
      </w:r>
      <w:r>
        <w:rPr>
          <w:rFonts w:hint="eastAsia" w:ascii="黑体" w:eastAsia="黑体"/>
          <w:b w:val="0"/>
        </w:rPr>
        <w:t>年度</w:t>
      </w:r>
      <w:r>
        <w:rPr>
          <w:rStyle w:val="17"/>
          <w:rFonts w:hint="eastAsia" w:ascii="黑体" w:eastAsia="黑体"/>
          <w:b w:val="0"/>
          <w:bCs/>
        </w:rPr>
        <w:t>单位决算情况说明</w:t>
      </w:r>
      <w:bookmarkEnd w:id="20"/>
      <w:bookmarkEnd w:id="21"/>
    </w:p>
    <w:p>
      <w:pPr>
        <w:pStyle w:val="23"/>
        <w:pageBreakBefore w:val="0"/>
        <w:numPr>
          <w:ilvl w:val="0"/>
          <w:numId w:val="2"/>
        </w:numPr>
        <w:kinsoku/>
        <w:wordWrap/>
        <w:overflowPunct/>
        <w:topLinePunct w:val="0"/>
        <w:bidi w:val="0"/>
        <w:spacing w:line="576" w:lineRule="exact"/>
        <w:ind w:firstLineChars="0"/>
        <w:outlineLvl w:val="1"/>
        <w:rPr>
          <w:rStyle w:val="18"/>
          <w:rFonts w:ascii="黑体" w:eastAsia="黑体"/>
          <w:b w:val="0"/>
        </w:rPr>
      </w:pPr>
      <w:bookmarkStart w:id="22" w:name="_Toc15396603"/>
      <w:bookmarkStart w:id="23" w:name="_Toc15377205"/>
      <w:r>
        <w:rPr>
          <w:rFonts w:hint="eastAsia" w:ascii="黑体" w:eastAsia="黑体"/>
          <w:sz w:val="32"/>
          <w:szCs w:val="32"/>
        </w:rPr>
        <w:t>收</w:t>
      </w:r>
      <w:r>
        <w:rPr>
          <w:rStyle w:val="18"/>
          <w:rFonts w:hint="eastAsia" w:ascii="黑体" w:eastAsia="黑体"/>
          <w:b w:val="0"/>
        </w:rPr>
        <w:t>入支出决算总体情况说明</w:t>
      </w:r>
      <w:bookmarkEnd w:id="22"/>
      <w:bookmarkEnd w:id="23"/>
    </w:p>
    <w:p>
      <w:pPr>
        <w:pageBreakBefore w:val="0"/>
        <w:kinsoku/>
        <w:wordWrap/>
        <w:overflowPunct/>
        <w:topLinePunct w:val="0"/>
        <w:bidi w:val="0"/>
        <w:spacing w:line="576" w:lineRule="exact"/>
        <w:ind w:firstLine="640" w:firstLineChars="200"/>
        <w:rPr>
          <w:rFonts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3</w:t>
      </w:r>
      <w:r>
        <w:rPr>
          <w:rFonts w:hint="eastAsia" w:ascii="仿宋" w:eastAsia="仿宋"/>
          <w:sz w:val="32"/>
          <w:szCs w:val="32"/>
        </w:rPr>
        <w:t>年度</w:t>
      </w:r>
      <w:r>
        <w:rPr>
          <w:rFonts w:hint="eastAsia" w:ascii="仿宋" w:eastAsia="仿宋"/>
          <w:sz w:val="32"/>
          <w:szCs w:val="32"/>
          <w:lang w:eastAsia="zh-CN"/>
        </w:rPr>
        <w:t>收入总计</w:t>
      </w:r>
      <w:r>
        <w:rPr>
          <w:rFonts w:hint="eastAsia" w:ascii="仿宋" w:eastAsia="仿宋"/>
          <w:sz w:val="32"/>
          <w:szCs w:val="32"/>
          <w:lang w:val="en-US" w:eastAsia="zh-CN"/>
        </w:rPr>
        <w:t>232.95万元</w:t>
      </w:r>
      <w:r>
        <w:rPr>
          <w:rFonts w:hint="eastAsia" w:ascii="仿宋" w:eastAsia="仿宋"/>
          <w:sz w:val="32"/>
          <w:szCs w:val="32"/>
        </w:rPr>
        <w:t>、支</w:t>
      </w:r>
      <w:r>
        <w:rPr>
          <w:rFonts w:hint="eastAsia" w:ascii="仿宋" w:eastAsia="仿宋"/>
          <w:sz w:val="32"/>
          <w:szCs w:val="32"/>
          <w:lang w:eastAsia="zh-CN"/>
        </w:rPr>
        <w:t>出</w:t>
      </w:r>
      <w:r>
        <w:rPr>
          <w:rFonts w:hint="eastAsia" w:ascii="仿宋" w:eastAsia="仿宋"/>
          <w:sz w:val="32"/>
          <w:szCs w:val="32"/>
        </w:rPr>
        <w:t>总计</w:t>
      </w:r>
      <w:r>
        <w:rPr>
          <w:rFonts w:hint="eastAsia" w:ascii="仿宋" w:eastAsia="仿宋"/>
          <w:sz w:val="32"/>
          <w:szCs w:val="32"/>
          <w:lang w:val="en-US" w:eastAsia="zh-CN"/>
        </w:rPr>
        <w:t>232.95</w:t>
      </w:r>
      <w:r>
        <w:rPr>
          <w:rFonts w:hint="eastAsia" w:ascii="仿宋" w:eastAsia="仿宋"/>
          <w:sz w:val="32"/>
          <w:szCs w:val="32"/>
        </w:rPr>
        <w:t>万元。与202</w:t>
      </w:r>
      <w:r>
        <w:rPr>
          <w:rFonts w:hint="eastAsia" w:ascii="仿宋" w:eastAsia="仿宋"/>
          <w:sz w:val="32"/>
          <w:szCs w:val="32"/>
          <w:lang w:val="en-US" w:eastAsia="zh-CN"/>
        </w:rPr>
        <w:t>2</w:t>
      </w:r>
      <w:r>
        <w:rPr>
          <w:rFonts w:hint="eastAsia" w:ascii="仿宋" w:eastAsia="仿宋"/>
          <w:sz w:val="32"/>
          <w:szCs w:val="32"/>
        </w:rPr>
        <w:t>年相比，收、支总计各增加</w:t>
      </w:r>
      <w:r>
        <w:rPr>
          <w:rFonts w:hint="eastAsia" w:ascii="仿宋" w:eastAsia="仿宋"/>
          <w:sz w:val="32"/>
          <w:szCs w:val="32"/>
          <w:lang w:val="en-US" w:eastAsia="zh-CN"/>
        </w:rPr>
        <w:t>23.67</w:t>
      </w:r>
      <w:r>
        <w:rPr>
          <w:rFonts w:hint="eastAsia" w:ascii="仿宋" w:eastAsia="仿宋"/>
          <w:sz w:val="32"/>
          <w:szCs w:val="32"/>
        </w:rPr>
        <w:t>万元，增长</w:t>
      </w:r>
      <w:r>
        <w:rPr>
          <w:rFonts w:hint="eastAsia" w:ascii="仿宋" w:eastAsia="仿宋"/>
          <w:sz w:val="32"/>
          <w:szCs w:val="32"/>
          <w:lang w:val="en-US" w:eastAsia="zh-CN"/>
        </w:rPr>
        <w:t>10.16</w:t>
      </w:r>
      <w:r>
        <w:rPr>
          <w:rFonts w:ascii="仿宋" w:eastAsia="仿宋"/>
          <w:sz w:val="32"/>
          <w:szCs w:val="32"/>
        </w:rPr>
        <w:t>%</w:t>
      </w:r>
      <w:r>
        <w:rPr>
          <w:rFonts w:hint="eastAsia" w:ascii="仿宋" w:eastAsia="仿宋"/>
          <w:sz w:val="32"/>
          <w:szCs w:val="32"/>
        </w:rPr>
        <w:t>。主要变动原因是</w:t>
      </w:r>
      <w:r>
        <w:rPr>
          <w:rFonts w:hint="eastAsia" w:ascii="仿宋" w:hAnsi="仿宋" w:eastAsia="仿宋" w:cs="仿宋"/>
          <w:sz w:val="32"/>
          <w:szCs w:val="32"/>
          <w:lang w:eastAsia="zh-CN"/>
        </w:rPr>
        <w:t>人员和项目支出较上年增加。</w:t>
      </w:r>
    </w:p>
    <w:p>
      <w:pPr>
        <w:pageBreakBefore w:val="0"/>
        <w:kinsoku/>
        <w:wordWrap/>
        <w:overflowPunct/>
        <w:topLinePunct w:val="0"/>
        <w:bidi w:val="0"/>
        <w:spacing w:line="576" w:lineRule="exact"/>
        <w:ind w:firstLine="640" w:firstLineChars="200"/>
        <w:rPr>
          <w:rFonts w:hint="eastAsia" w:ascii="仿宋" w:eastAsia="仿宋"/>
          <w:sz w:val="32"/>
          <w:szCs w:val="32"/>
          <w:lang w:eastAsia="zh-CN"/>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pStyle w:val="6"/>
        <w:rPr>
          <w:rFonts w:ascii="仿宋_GB2312" w:eastAsia="仿宋_GB2312"/>
          <w:sz w:val="32"/>
          <w:szCs w:val="32"/>
        </w:rPr>
      </w:pPr>
      <w:r>
        <w:rPr>
          <w:rFonts w:hint="eastAsia" w:eastAsia="仿宋_GB2312"/>
          <w:lang w:eastAsia="zh-CN"/>
        </w:rPr>
        <w:object>
          <v:shape id="_x0000_i1026" o:spt="75" alt="" type="#_x0000_t75" style="height:238.05pt;width:390.35pt;" o:ole="t" filled="f" o:preferrelative="t" stroked="f" coordsize="21600,21600">
            <v:path/>
            <v:fill on="f" focussize="0,0"/>
            <v:stroke on="f"/>
            <v:imagedata r:id="rId8" o:title=""/>
            <o:lock v:ext="edit" aspectratio="t"/>
            <w10:wrap type="none"/>
            <w10:anchorlock/>
          </v:shape>
          <o:OLEObject Type="Embed" ProgID="Excel.Chart.8" ShapeID="_x0000_i1026" DrawAspect="Content" ObjectID="_1468075725" r:id="rId7">
            <o:LockedField>false</o:LockedField>
          </o:OLEObject>
        </w:object>
      </w:r>
    </w:p>
    <w:p>
      <w:pPr>
        <w:pStyle w:val="23"/>
        <w:pageBreakBefore w:val="0"/>
        <w:numPr>
          <w:ilvl w:val="0"/>
          <w:numId w:val="2"/>
        </w:numPr>
        <w:kinsoku/>
        <w:wordWrap/>
        <w:overflowPunct/>
        <w:topLinePunct w:val="0"/>
        <w:bidi w:val="0"/>
        <w:spacing w:line="576" w:lineRule="exact"/>
        <w:ind w:firstLineChars="0"/>
        <w:outlineLvl w:val="1"/>
        <w:rPr>
          <w:rStyle w:val="18"/>
          <w:rFonts w:ascii="黑体" w:eastAsia="黑体"/>
          <w:b w:val="0"/>
        </w:rPr>
      </w:pPr>
      <w:bookmarkStart w:id="24" w:name="_Toc15396604"/>
      <w:bookmarkStart w:id="25" w:name="_Toc15377206"/>
      <w:r>
        <w:rPr>
          <w:rFonts w:hint="eastAsia" w:ascii="黑体" w:eastAsia="黑体"/>
          <w:sz w:val="32"/>
          <w:szCs w:val="32"/>
        </w:rPr>
        <w:t>收</w:t>
      </w:r>
      <w:r>
        <w:rPr>
          <w:rStyle w:val="18"/>
          <w:rFonts w:hint="eastAsia" w:ascii="黑体" w:eastAsia="黑体"/>
          <w:b w:val="0"/>
        </w:rPr>
        <w:t>入决算情况说明</w:t>
      </w:r>
      <w:bookmarkEnd w:id="24"/>
      <w:bookmarkEnd w:id="25"/>
    </w:p>
    <w:p>
      <w:pPr>
        <w:pageBreakBefore w:val="0"/>
        <w:kinsoku/>
        <w:wordWrap/>
        <w:overflowPunct/>
        <w:topLinePunct w:val="0"/>
        <w:bidi w:val="0"/>
        <w:spacing w:line="576"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年本年收入合计</w:t>
      </w:r>
      <w:r>
        <w:rPr>
          <w:rFonts w:hint="eastAsia" w:ascii="仿宋" w:eastAsia="仿宋"/>
          <w:sz w:val="32"/>
          <w:szCs w:val="32"/>
          <w:lang w:val="en-US" w:eastAsia="zh-CN"/>
        </w:rPr>
        <w:t>232.95</w:t>
      </w:r>
      <w:r>
        <w:rPr>
          <w:rFonts w:hint="eastAsia" w:ascii="仿宋" w:eastAsia="仿宋"/>
          <w:sz w:val="32"/>
          <w:szCs w:val="32"/>
        </w:rPr>
        <w:t>万元，其中：一般公共预算财政拨款收入</w:t>
      </w:r>
      <w:r>
        <w:rPr>
          <w:rFonts w:hint="eastAsia" w:ascii="仿宋" w:eastAsia="仿宋"/>
          <w:sz w:val="32"/>
          <w:szCs w:val="32"/>
          <w:lang w:val="en-US" w:eastAsia="zh-CN"/>
        </w:rPr>
        <w:t>232.95</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（图2：收入决算结构图）（饼状图）</w:t>
      </w:r>
    </w:p>
    <w:p>
      <w:pPr>
        <w:pStyle w:val="6"/>
      </w:pPr>
      <w:r>
        <w:object>
          <v:shape id="_x0000_i1027" o:spt="75" alt="" type="#_x0000_t75" style="height:167.7pt;width:350.25pt;" o:ole="t" filled="f" o:preferrelative="t" stroked="f" coordsize="21600,21600">
            <v:path/>
            <v:fill on="f" focussize="0,0"/>
            <v:stroke on="f"/>
            <v:imagedata r:id="rId10" o:title=""/>
            <o:lock v:ext="edit" aspectratio="t"/>
            <w10:wrap type="none"/>
            <w10:anchorlock/>
          </v:shape>
          <o:OLEObject Type="Embed" ProgID="Excel.Chart.8" ShapeID="_x0000_i1027" DrawAspect="Content" ObjectID="_1468075726" r:id="rId9">
            <o:LockedField>false</o:LockedField>
          </o:OLEObject>
        </w:object>
      </w:r>
    </w:p>
    <w:p>
      <w:pPr>
        <w:pStyle w:val="23"/>
        <w:pageBreakBefore w:val="0"/>
        <w:numPr>
          <w:ilvl w:val="0"/>
          <w:numId w:val="2"/>
        </w:numPr>
        <w:kinsoku/>
        <w:wordWrap/>
        <w:overflowPunct/>
        <w:topLinePunct w:val="0"/>
        <w:bidi w:val="0"/>
        <w:spacing w:line="576" w:lineRule="exact"/>
        <w:ind w:firstLineChars="0"/>
        <w:outlineLvl w:val="1"/>
        <w:rPr>
          <w:rStyle w:val="18"/>
          <w:rFonts w:ascii="黑体" w:eastAsia="黑体"/>
          <w:b w:val="0"/>
        </w:rPr>
      </w:pPr>
      <w:bookmarkStart w:id="26" w:name="_Toc15396605"/>
      <w:bookmarkStart w:id="27" w:name="_Toc15377207"/>
      <w:r>
        <w:rPr>
          <w:rFonts w:hint="eastAsia" w:ascii="黑体" w:eastAsia="黑体"/>
          <w:sz w:val="32"/>
          <w:szCs w:val="32"/>
        </w:rPr>
        <w:t>支</w:t>
      </w:r>
      <w:r>
        <w:rPr>
          <w:rStyle w:val="18"/>
          <w:rFonts w:hint="eastAsia" w:ascii="黑体" w:eastAsia="黑体"/>
          <w:b w:val="0"/>
        </w:rPr>
        <w:t>出决算情况说明</w:t>
      </w:r>
      <w:bookmarkEnd w:id="26"/>
      <w:bookmarkEnd w:id="27"/>
    </w:p>
    <w:p>
      <w:pPr>
        <w:pageBreakBefore w:val="0"/>
        <w:kinsoku/>
        <w:wordWrap/>
        <w:overflowPunct/>
        <w:topLinePunct w:val="0"/>
        <w:bidi w:val="0"/>
        <w:spacing w:line="576" w:lineRule="exact"/>
        <w:ind w:firstLine="640" w:firstLineChars="200"/>
        <w:outlineLvl w:val="1"/>
        <w:rPr>
          <w:rFonts w:ascii="仿宋" w:eastAsia="仿宋"/>
          <w:sz w:val="32"/>
          <w:szCs w:val="32"/>
          <w:shd w:val="pct10" w:color="auto" w:fill="FFFFFF"/>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年本年支出合计</w:t>
      </w:r>
      <w:r>
        <w:rPr>
          <w:rFonts w:hint="eastAsia" w:ascii="仿宋" w:eastAsia="仿宋"/>
          <w:sz w:val="32"/>
          <w:szCs w:val="32"/>
          <w:lang w:val="en-US" w:eastAsia="zh-CN"/>
        </w:rPr>
        <w:t>232.95</w:t>
      </w:r>
      <w:r>
        <w:rPr>
          <w:rFonts w:hint="eastAsia" w:ascii="仿宋" w:eastAsia="仿宋"/>
          <w:sz w:val="32"/>
          <w:szCs w:val="32"/>
        </w:rPr>
        <w:t>万元，其中：基本支出</w:t>
      </w:r>
      <w:r>
        <w:rPr>
          <w:rFonts w:hint="eastAsia" w:ascii="仿宋" w:eastAsia="仿宋"/>
          <w:sz w:val="32"/>
          <w:szCs w:val="32"/>
          <w:lang w:val="en-US" w:eastAsia="zh-CN"/>
        </w:rPr>
        <w:t>171.10</w:t>
      </w:r>
      <w:r>
        <w:rPr>
          <w:rFonts w:hint="eastAsia" w:ascii="仿宋" w:eastAsia="仿宋"/>
          <w:sz w:val="32"/>
          <w:szCs w:val="32"/>
        </w:rPr>
        <w:t>万元，占</w:t>
      </w:r>
      <w:r>
        <w:rPr>
          <w:rFonts w:hint="eastAsia" w:ascii="仿宋" w:eastAsia="仿宋"/>
          <w:sz w:val="32"/>
          <w:szCs w:val="32"/>
          <w:lang w:val="en-US" w:eastAsia="zh-CN"/>
        </w:rPr>
        <w:t>73.44</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61.85</w:t>
      </w:r>
      <w:r>
        <w:rPr>
          <w:rFonts w:hint="eastAsia" w:ascii="仿宋" w:eastAsia="仿宋"/>
          <w:sz w:val="32"/>
          <w:szCs w:val="32"/>
        </w:rPr>
        <w:t>万元，占</w:t>
      </w:r>
      <w:r>
        <w:rPr>
          <w:rFonts w:hint="eastAsia" w:ascii="仿宋" w:eastAsia="仿宋"/>
          <w:sz w:val="32"/>
          <w:szCs w:val="32"/>
          <w:lang w:val="en-US" w:eastAsia="zh-CN"/>
        </w:rPr>
        <w:t>26.55</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0万</w:t>
      </w:r>
      <w:r>
        <w:rPr>
          <w:rFonts w:hint="eastAsia" w:ascii="仿宋" w:eastAsia="仿宋"/>
          <w:sz w:val="32"/>
          <w:szCs w:val="32"/>
        </w:rPr>
        <w:t>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（图3：支出决算结构图）（饼状图）</w:t>
      </w:r>
    </w:p>
    <w:p>
      <w:pPr>
        <w:pStyle w:val="6"/>
        <w:rPr>
          <w:rFonts w:hint="eastAsia" w:ascii="仿宋" w:eastAsia="仿宋"/>
          <w:sz w:val="32"/>
          <w:szCs w:val="32"/>
        </w:rPr>
      </w:pPr>
      <w:r>
        <w:rPr>
          <w:rFonts w:hint="eastAsia" w:ascii="仿宋" w:eastAsia="仿宋"/>
          <w:color w:val="000000"/>
          <w:sz w:val="32"/>
          <w:szCs w:val="32"/>
        </w:rPr>
        <w:drawing>
          <wp:anchor distT="0" distB="0" distL="114935" distR="114935" simplePos="0" relativeHeight="251674624" behindDoc="1" locked="0" layoutInCell="1" allowOverlap="1">
            <wp:simplePos x="0" y="0"/>
            <wp:positionH relativeFrom="column">
              <wp:posOffset>375920</wp:posOffset>
            </wp:positionH>
            <wp:positionV relativeFrom="paragraph">
              <wp:posOffset>67310</wp:posOffset>
            </wp:positionV>
            <wp:extent cx="4406265" cy="2852420"/>
            <wp:effectExtent l="4445" t="4445" r="8890" b="19685"/>
            <wp:wrapNone/>
            <wp:docPr id="1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6"/>
        <w:rPr>
          <w:rFonts w:hint="eastAsia" w:ascii="仿宋" w:eastAsia="仿宋"/>
          <w:sz w:val="32"/>
          <w:szCs w:val="32"/>
        </w:rPr>
      </w:pPr>
    </w:p>
    <w:p>
      <w:pPr>
        <w:pStyle w:val="6"/>
        <w:rPr>
          <w:rFonts w:hint="eastAsia" w:ascii="仿宋" w:eastAsia="仿宋"/>
          <w:sz w:val="32"/>
          <w:szCs w:val="32"/>
        </w:rPr>
      </w:pPr>
    </w:p>
    <w:p>
      <w:pPr>
        <w:pStyle w:val="6"/>
        <w:rPr>
          <w:rFonts w:hint="eastAsia" w:ascii="仿宋" w:eastAsia="仿宋"/>
          <w:sz w:val="32"/>
          <w:szCs w:val="32"/>
        </w:rPr>
      </w:pPr>
    </w:p>
    <w:p>
      <w:pPr>
        <w:pStyle w:val="6"/>
        <w:rPr>
          <w:rFonts w:hint="eastAsia" w:ascii="仿宋" w:eastAsia="仿宋"/>
          <w:sz w:val="32"/>
          <w:szCs w:val="32"/>
        </w:rPr>
      </w:pPr>
    </w:p>
    <w:p>
      <w:pPr>
        <w:pStyle w:val="6"/>
        <w:rPr>
          <w:rFonts w:hint="eastAsia" w:ascii="仿宋" w:eastAsia="仿宋"/>
          <w:sz w:val="32"/>
          <w:szCs w:val="32"/>
        </w:rPr>
      </w:pPr>
    </w:p>
    <w:p>
      <w:pPr>
        <w:pageBreakBefore w:val="0"/>
        <w:kinsoku/>
        <w:wordWrap/>
        <w:overflowPunct/>
        <w:topLinePunct w:val="0"/>
        <w:bidi w:val="0"/>
        <w:spacing w:line="576" w:lineRule="exact"/>
        <w:ind w:firstLine="640" w:firstLineChars="200"/>
        <w:outlineLvl w:val="1"/>
        <w:rPr>
          <w:rStyle w:val="18"/>
          <w:rFonts w:ascii="黑体" w:eastAsia="黑体"/>
          <w:b w:val="0"/>
        </w:rPr>
      </w:pPr>
      <w:bookmarkStart w:id="28" w:name="_Toc15377208"/>
      <w:bookmarkStart w:id="29" w:name="_Toc15396606"/>
      <w:r>
        <w:rPr>
          <w:rFonts w:hint="eastAsia" w:ascii="黑体" w:eastAsia="黑体"/>
          <w:sz w:val="32"/>
          <w:szCs w:val="32"/>
        </w:rPr>
        <w:t>四、财</w:t>
      </w:r>
      <w:r>
        <w:rPr>
          <w:rStyle w:val="18"/>
          <w:rFonts w:hint="eastAsia" w:ascii="黑体" w:eastAsia="黑体"/>
          <w:b w:val="0"/>
        </w:rPr>
        <w:t>政拨款收入支出决算总体情况说明</w:t>
      </w:r>
      <w:bookmarkEnd w:id="28"/>
      <w:bookmarkEnd w:id="29"/>
    </w:p>
    <w:p>
      <w:pPr>
        <w:pageBreakBefore w:val="0"/>
        <w:kinsoku/>
        <w:wordWrap/>
        <w:overflowPunct/>
        <w:topLinePunct w:val="0"/>
        <w:bidi w:val="0"/>
        <w:spacing w:line="576"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年财政拨款收</w:t>
      </w:r>
      <w:r>
        <w:rPr>
          <w:rFonts w:hint="eastAsia" w:ascii="仿宋" w:eastAsia="仿宋"/>
          <w:sz w:val="32"/>
          <w:szCs w:val="32"/>
          <w:lang w:eastAsia="zh-CN"/>
        </w:rPr>
        <w:t>入总计</w:t>
      </w:r>
      <w:r>
        <w:rPr>
          <w:rFonts w:hint="eastAsia" w:ascii="仿宋" w:eastAsia="仿宋"/>
          <w:sz w:val="32"/>
          <w:szCs w:val="32"/>
          <w:lang w:val="en-US" w:eastAsia="zh-CN"/>
        </w:rPr>
        <w:t>232.95</w:t>
      </w:r>
      <w:r>
        <w:rPr>
          <w:rFonts w:hint="eastAsia" w:ascii="仿宋" w:eastAsia="仿宋"/>
          <w:sz w:val="32"/>
          <w:szCs w:val="32"/>
        </w:rPr>
        <w:t>万元、支</w:t>
      </w:r>
      <w:r>
        <w:rPr>
          <w:rFonts w:hint="eastAsia" w:ascii="仿宋" w:eastAsia="仿宋"/>
          <w:sz w:val="32"/>
          <w:szCs w:val="32"/>
          <w:lang w:eastAsia="zh-CN"/>
        </w:rPr>
        <w:t>出</w:t>
      </w:r>
      <w:r>
        <w:rPr>
          <w:rFonts w:hint="eastAsia" w:ascii="仿宋" w:eastAsia="仿宋"/>
          <w:sz w:val="32"/>
          <w:szCs w:val="32"/>
        </w:rPr>
        <w:t>总计</w:t>
      </w:r>
      <w:r>
        <w:rPr>
          <w:rFonts w:hint="eastAsia" w:ascii="仿宋" w:eastAsia="仿宋"/>
          <w:sz w:val="32"/>
          <w:szCs w:val="32"/>
          <w:lang w:val="en-US" w:eastAsia="zh-CN"/>
        </w:rPr>
        <w:t>232.95</w:t>
      </w:r>
      <w:r>
        <w:rPr>
          <w:rFonts w:hint="eastAsia" w:ascii="仿宋" w:eastAsia="仿宋"/>
          <w:sz w:val="32"/>
          <w:szCs w:val="32"/>
        </w:rPr>
        <w:t>万元。与</w:t>
      </w:r>
      <w:r>
        <w:rPr>
          <w:rFonts w:hint="eastAsia" w:ascii="仿宋" w:eastAsia="仿宋"/>
          <w:sz w:val="32"/>
          <w:szCs w:val="32"/>
          <w:lang w:val="en-US" w:eastAsia="zh-CN"/>
        </w:rPr>
        <w:t>2022</w:t>
      </w:r>
      <w:r>
        <w:rPr>
          <w:rFonts w:hint="eastAsia" w:ascii="仿宋" w:eastAsia="仿宋"/>
          <w:sz w:val="32"/>
          <w:szCs w:val="32"/>
        </w:rPr>
        <w:t>年相比，财政拨款收、支总计各增加</w:t>
      </w:r>
      <w:r>
        <w:rPr>
          <w:rFonts w:hint="eastAsia" w:ascii="仿宋" w:eastAsia="仿宋"/>
          <w:sz w:val="32"/>
          <w:szCs w:val="32"/>
          <w:lang w:val="en-US" w:eastAsia="zh-CN"/>
        </w:rPr>
        <w:t>23.67</w:t>
      </w:r>
      <w:r>
        <w:rPr>
          <w:rFonts w:hint="eastAsia" w:ascii="仿宋" w:eastAsia="仿宋"/>
          <w:sz w:val="32"/>
          <w:szCs w:val="32"/>
        </w:rPr>
        <w:t>万元，增长</w:t>
      </w:r>
      <w:r>
        <w:rPr>
          <w:rFonts w:hint="eastAsia" w:ascii="仿宋" w:eastAsia="仿宋"/>
          <w:sz w:val="32"/>
          <w:szCs w:val="32"/>
          <w:lang w:val="en-US" w:eastAsia="zh-CN"/>
        </w:rPr>
        <w:t>10.16</w:t>
      </w:r>
      <w:r>
        <w:rPr>
          <w:rFonts w:ascii="仿宋" w:eastAsia="仿宋"/>
          <w:sz w:val="32"/>
          <w:szCs w:val="32"/>
        </w:rPr>
        <w:t>%</w:t>
      </w:r>
      <w:r>
        <w:rPr>
          <w:rFonts w:hint="eastAsia" w:ascii="仿宋" w:eastAsia="仿宋"/>
          <w:sz w:val="32"/>
          <w:szCs w:val="32"/>
        </w:rPr>
        <w:t>。主要变动原因是</w:t>
      </w:r>
      <w:r>
        <w:rPr>
          <w:rFonts w:hint="default" w:ascii="仿宋_GB2312" w:eastAsia="仿宋_GB2312" w:cs="仿宋_GB2312"/>
          <w:kern w:val="0"/>
          <w:sz w:val="32"/>
          <w:szCs w:val="32"/>
          <w:shd w:val="clear" w:fill="FFFFFF"/>
        </w:rPr>
        <w:t>人员经费增加</w:t>
      </w:r>
      <w:r>
        <w:rPr>
          <w:rFonts w:hint="eastAsia" w:ascii="仿宋_GB2312" w:eastAsia="仿宋_GB2312" w:cs="仿宋_GB2312"/>
          <w:kern w:val="0"/>
          <w:sz w:val="32"/>
          <w:szCs w:val="32"/>
          <w:shd w:val="clear" w:fill="FFFFFF"/>
          <w:lang w:eastAsia="zh-CN"/>
        </w:rPr>
        <w:t>。</w:t>
      </w:r>
    </w:p>
    <w:p>
      <w:pPr>
        <w:pageBreakBefore w:val="0"/>
        <w:kinsoku/>
        <w:wordWrap/>
        <w:overflowPunct/>
        <w:topLinePunct w:val="0"/>
        <w:bidi w:val="0"/>
        <w:spacing w:line="576" w:lineRule="exact"/>
        <w:ind w:firstLine="640" w:firstLineChars="200"/>
        <w:rPr>
          <w:rFonts w:ascii="仿宋" w:eastAsia="仿宋"/>
          <w:b/>
          <w:sz w:val="32"/>
          <w:szCs w:val="32"/>
        </w:rPr>
      </w:pPr>
      <w:r>
        <w:rPr>
          <w:rFonts w:hint="eastAsia" w:ascii="仿宋" w:eastAsia="仿宋"/>
          <w:sz w:val="32"/>
          <w:szCs w:val="32"/>
        </w:rPr>
        <w:t>（图4：财政拨款收、支决算总计变动情况）</w:t>
      </w:r>
    </w:p>
    <w:p>
      <w:pPr>
        <w:pStyle w:val="6"/>
      </w:pPr>
    </w:p>
    <w:p>
      <w:pPr>
        <w:pageBreakBefore w:val="0"/>
        <w:kinsoku/>
        <w:wordWrap/>
        <w:overflowPunct/>
        <w:topLinePunct w:val="0"/>
        <w:bidi w:val="0"/>
        <w:spacing w:line="576" w:lineRule="exact"/>
        <w:outlineLvl w:val="1"/>
        <w:rPr>
          <w:rFonts w:hint="eastAsia" w:ascii="黑体" w:eastAsia="黑体"/>
          <w:sz w:val="32"/>
          <w:szCs w:val="32"/>
        </w:rPr>
      </w:pPr>
      <w:bookmarkStart w:id="30" w:name="_Toc15377209"/>
      <w:bookmarkStart w:id="31" w:name="_Toc15396607"/>
    </w:p>
    <w:p>
      <w:pPr>
        <w:pageBreakBefore w:val="0"/>
        <w:kinsoku/>
        <w:wordWrap/>
        <w:overflowPunct/>
        <w:topLinePunct w:val="0"/>
        <w:bidi w:val="0"/>
        <w:spacing w:line="576" w:lineRule="exact"/>
        <w:ind w:firstLine="640" w:firstLineChars="200"/>
        <w:outlineLvl w:val="1"/>
        <w:rPr>
          <w:rFonts w:hint="eastAsia" w:ascii="黑体" w:eastAsia="黑体"/>
          <w:sz w:val="32"/>
          <w:szCs w:val="32"/>
        </w:rPr>
      </w:pPr>
      <w:r>
        <w:rPr>
          <w:rFonts w:hint="eastAsia" w:ascii="仿宋" w:eastAsia="仿宋"/>
          <w:color w:val="000000"/>
          <w:sz w:val="32"/>
          <w:szCs w:val="32"/>
        </w:rPr>
        <w:drawing>
          <wp:anchor distT="0" distB="0" distL="114935" distR="114935" simplePos="0" relativeHeight="251676672" behindDoc="1" locked="0" layoutInCell="1" allowOverlap="1">
            <wp:simplePos x="0" y="0"/>
            <wp:positionH relativeFrom="column">
              <wp:posOffset>443230</wp:posOffset>
            </wp:positionH>
            <wp:positionV relativeFrom="paragraph">
              <wp:posOffset>-608965</wp:posOffset>
            </wp:positionV>
            <wp:extent cx="4775835" cy="3023870"/>
            <wp:effectExtent l="4445" t="4445" r="20320" b="19685"/>
            <wp:wrapNone/>
            <wp:docPr id="1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bidi w:val="0"/>
        <w:spacing w:line="576" w:lineRule="exact"/>
        <w:ind w:firstLine="640" w:firstLineChars="200"/>
        <w:outlineLvl w:val="1"/>
        <w:rPr>
          <w:rFonts w:hint="eastAsia" w:ascii="黑体" w:eastAsia="黑体"/>
          <w:sz w:val="32"/>
          <w:szCs w:val="32"/>
        </w:rPr>
      </w:pPr>
    </w:p>
    <w:p>
      <w:pPr>
        <w:pageBreakBefore w:val="0"/>
        <w:kinsoku/>
        <w:wordWrap/>
        <w:overflowPunct/>
        <w:topLinePunct w:val="0"/>
        <w:bidi w:val="0"/>
        <w:spacing w:line="576" w:lineRule="exact"/>
        <w:ind w:firstLine="640" w:firstLineChars="200"/>
        <w:outlineLvl w:val="1"/>
        <w:rPr>
          <w:rFonts w:hint="eastAsia" w:ascii="黑体" w:eastAsia="黑体"/>
          <w:sz w:val="32"/>
          <w:szCs w:val="32"/>
        </w:rPr>
      </w:pPr>
    </w:p>
    <w:p>
      <w:pPr>
        <w:pageBreakBefore w:val="0"/>
        <w:kinsoku/>
        <w:wordWrap/>
        <w:overflowPunct/>
        <w:topLinePunct w:val="0"/>
        <w:bidi w:val="0"/>
        <w:spacing w:line="576" w:lineRule="exact"/>
        <w:ind w:firstLine="640" w:firstLineChars="200"/>
        <w:outlineLvl w:val="1"/>
        <w:rPr>
          <w:rFonts w:hint="eastAsia" w:ascii="黑体" w:eastAsia="黑体"/>
          <w:sz w:val="32"/>
          <w:szCs w:val="32"/>
        </w:rPr>
      </w:pPr>
    </w:p>
    <w:p>
      <w:pPr>
        <w:pageBreakBefore w:val="0"/>
        <w:kinsoku/>
        <w:wordWrap/>
        <w:overflowPunct/>
        <w:topLinePunct w:val="0"/>
        <w:bidi w:val="0"/>
        <w:spacing w:line="576" w:lineRule="exact"/>
        <w:ind w:firstLine="640" w:firstLineChars="200"/>
        <w:outlineLvl w:val="1"/>
        <w:rPr>
          <w:rFonts w:hint="eastAsia" w:ascii="黑体" w:eastAsia="黑体"/>
          <w:sz w:val="32"/>
          <w:szCs w:val="32"/>
        </w:rPr>
      </w:pPr>
    </w:p>
    <w:p>
      <w:pPr>
        <w:pageBreakBefore w:val="0"/>
        <w:kinsoku/>
        <w:wordWrap/>
        <w:overflowPunct/>
        <w:topLinePunct w:val="0"/>
        <w:bidi w:val="0"/>
        <w:spacing w:line="576" w:lineRule="exact"/>
        <w:ind w:firstLine="640" w:firstLineChars="200"/>
        <w:outlineLvl w:val="1"/>
        <w:rPr>
          <w:rFonts w:hint="eastAsia" w:ascii="黑体" w:eastAsia="黑体"/>
          <w:sz w:val="32"/>
          <w:szCs w:val="32"/>
        </w:rPr>
      </w:pPr>
    </w:p>
    <w:p>
      <w:pPr>
        <w:pageBreakBefore w:val="0"/>
        <w:kinsoku/>
        <w:wordWrap/>
        <w:overflowPunct/>
        <w:topLinePunct w:val="0"/>
        <w:bidi w:val="0"/>
        <w:spacing w:line="576" w:lineRule="exact"/>
        <w:outlineLvl w:val="1"/>
        <w:rPr>
          <w:rFonts w:hint="eastAsia" w:ascii="黑体" w:eastAsia="黑体"/>
          <w:sz w:val="32"/>
          <w:szCs w:val="32"/>
        </w:rPr>
      </w:pPr>
    </w:p>
    <w:p>
      <w:pPr>
        <w:pageBreakBefore w:val="0"/>
        <w:kinsoku/>
        <w:wordWrap/>
        <w:overflowPunct/>
        <w:topLinePunct w:val="0"/>
        <w:bidi w:val="0"/>
        <w:spacing w:line="576" w:lineRule="exact"/>
        <w:ind w:firstLine="640" w:firstLineChars="200"/>
        <w:outlineLvl w:val="1"/>
        <w:rPr>
          <w:rStyle w:val="18"/>
          <w:rFonts w:ascii="黑体" w:eastAsia="黑体"/>
          <w:b w:val="0"/>
        </w:rPr>
      </w:pPr>
      <w:r>
        <w:rPr>
          <w:rFonts w:hint="eastAsia" w:ascii="黑体" w:eastAsia="黑体"/>
          <w:sz w:val="32"/>
          <w:szCs w:val="32"/>
        </w:rPr>
        <w:t>五、</w:t>
      </w:r>
      <w:r>
        <w:rPr>
          <w:rFonts w:hint="eastAsia" w:ascii="黑体" w:eastAsia="黑体"/>
          <w:b/>
          <w:sz w:val="32"/>
          <w:szCs w:val="32"/>
        </w:rPr>
        <w:t>一</w:t>
      </w:r>
      <w:r>
        <w:rPr>
          <w:rStyle w:val="18"/>
          <w:rFonts w:hint="eastAsia" w:ascii="黑体" w:eastAsia="黑体"/>
          <w:b w:val="0"/>
        </w:rPr>
        <w:t>般公共预算财政拨款支出决算情况说明</w:t>
      </w:r>
      <w:bookmarkEnd w:id="30"/>
      <w:bookmarkEnd w:id="31"/>
    </w:p>
    <w:p>
      <w:pPr>
        <w:pageBreakBefore w:val="0"/>
        <w:kinsoku/>
        <w:wordWrap/>
        <w:overflowPunct/>
        <w:topLinePunct w:val="0"/>
        <w:bidi w:val="0"/>
        <w:spacing w:line="576" w:lineRule="exact"/>
        <w:ind w:firstLine="643" w:firstLineChars="200"/>
        <w:outlineLvl w:val="2"/>
        <w:rPr>
          <w:rFonts w:ascii="仿宋" w:eastAsia="仿宋"/>
          <w:b/>
          <w:sz w:val="32"/>
          <w:szCs w:val="32"/>
        </w:rPr>
      </w:pPr>
      <w:bookmarkStart w:id="32" w:name="_Toc15377210"/>
      <w:r>
        <w:rPr>
          <w:rFonts w:hint="eastAsia" w:ascii="仿宋" w:eastAsia="仿宋"/>
          <w:b/>
          <w:sz w:val="32"/>
          <w:szCs w:val="32"/>
        </w:rPr>
        <w:t>（一）一般公共预算财政拨款支出决算总体情况</w:t>
      </w:r>
      <w:bookmarkEnd w:id="32"/>
    </w:p>
    <w:p>
      <w:pPr>
        <w:pageBreakBefore w:val="0"/>
        <w:kinsoku/>
        <w:wordWrap/>
        <w:overflowPunct/>
        <w:topLinePunct w:val="0"/>
        <w:bidi w:val="0"/>
        <w:spacing w:line="576" w:lineRule="exact"/>
        <w:ind w:firstLine="640" w:firstLineChars="200"/>
        <w:rPr>
          <w:rFonts w:hint="eastAsia" w:ascii="仿宋" w:eastAsia="仿宋"/>
          <w:sz w:val="32"/>
          <w:szCs w:val="32"/>
          <w:lang w:eastAsia="zh-CN"/>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年一般公共预算财政拨款支出</w:t>
      </w:r>
      <w:r>
        <w:rPr>
          <w:rFonts w:hint="eastAsia" w:ascii="仿宋" w:eastAsia="仿宋"/>
          <w:sz w:val="32"/>
          <w:szCs w:val="32"/>
          <w:lang w:val="en-US" w:eastAsia="zh-CN"/>
        </w:rPr>
        <w:t>232.95</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年相比，一般公共预算财政拨款支出增加</w:t>
      </w:r>
      <w:r>
        <w:rPr>
          <w:rFonts w:hint="eastAsia" w:ascii="仿宋" w:eastAsia="仿宋"/>
          <w:sz w:val="32"/>
          <w:szCs w:val="32"/>
          <w:lang w:val="en-US" w:eastAsia="zh-CN"/>
        </w:rPr>
        <w:t>23.67</w:t>
      </w:r>
      <w:r>
        <w:rPr>
          <w:rFonts w:hint="eastAsia" w:ascii="仿宋" w:eastAsia="仿宋"/>
          <w:sz w:val="32"/>
          <w:szCs w:val="32"/>
        </w:rPr>
        <w:t>万元，增长</w:t>
      </w:r>
      <w:r>
        <w:rPr>
          <w:rFonts w:hint="eastAsia" w:ascii="仿宋" w:eastAsia="仿宋"/>
          <w:sz w:val="32"/>
          <w:szCs w:val="32"/>
          <w:lang w:val="en-US" w:eastAsia="zh-CN"/>
        </w:rPr>
        <w:t>10.16</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人员增加。</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（图5：一般公共预算财政拨款支出决算变动情况）（柱状图）</w:t>
      </w:r>
    </w:p>
    <w:p>
      <w:pPr>
        <w:pStyle w:val="6"/>
        <w:rPr>
          <w:rFonts w:ascii="仿宋" w:eastAsia="仿宋"/>
          <w:sz w:val="32"/>
          <w:szCs w:val="32"/>
        </w:rPr>
      </w:pPr>
      <w:r>
        <w:rPr>
          <w:rStyle w:val="14"/>
          <w:rFonts w:hint="eastAsia" w:ascii="仿宋_GB2312" w:hAnsi="仿宋_GB2312" w:eastAsia="仿宋_GB2312" w:cs="仿宋_GB2312"/>
          <w:sz w:val="32"/>
          <w:szCs w:val="32"/>
          <w:rtl w:val="0"/>
          <w:lang w:eastAsia="zh-CN"/>
        </w:rPr>
        <w:object>
          <v:shape id="_x0000_i1029" o:spt="75" alt="" type="#_x0000_t75" style="height:135.4pt;width:386.9pt;" o:ole="t" filled="f" o:preferrelative="t" stroked="f" coordsize="21600,21600">
            <v:path/>
            <v:fill on="f" focussize="0,0"/>
            <v:stroke on="f"/>
            <v:imagedata r:id="rId14" o:title=""/>
            <o:lock v:ext="edit" aspectratio="t"/>
            <w10:wrap type="none"/>
            <w10:anchorlock/>
          </v:shape>
          <o:OLEObject Type="Embed" ProgID="Excel.Chart.8" ShapeID="_x0000_i1029" DrawAspect="Content" ObjectID="_1468075727" r:id="rId13">
            <o:LockedField>false</o:LockedField>
          </o:OLEObject>
        </w:object>
      </w:r>
    </w:p>
    <w:p>
      <w:pPr>
        <w:pageBreakBefore w:val="0"/>
        <w:kinsoku/>
        <w:wordWrap/>
        <w:overflowPunct/>
        <w:topLinePunct w:val="0"/>
        <w:bidi w:val="0"/>
        <w:spacing w:line="576" w:lineRule="exact"/>
        <w:ind w:firstLine="643" w:firstLineChars="200"/>
        <w:outlineLvl w:val="2"/>
        <w:rPr>
          <w:rFonts w:ascii="仿宋" w:eastAsia="仿宋"/>
          <w:b/>
          <w:sz w:val="32"/>
          <w:szCs w:val="32"/>
        </w:rPr>
      </w:pPr>
      <w:bookmarkStart w:id="33" w:name="_Toc15377211"/>
      <w:r>
        <w:rPr>
          <w:rFonts w:hint="eastAsia" w:ascii="仿宋" w:eastAsia="仿宋"/>
          <w:b/>
          <w:sz w:val="32"/>
          <w:szCs w:val="32"/>
        </w:rPr>
        <w:t>（二）一般公共预算财政拨款支出决算结构情况</w:t>
      </w:r>
      <w:bookmarkEnd w:id="33"/>
    </w:p>
    <w:p>
      <w:pPr>
        <w:pageBreakBefore w:val="0"/>
        <w:kinsoku/>
        <w:wordWrap/>
        <w:overflowPunct/>
        <w:topLinePunct w:val="0"/>
        <w:bidi w:val="0"/>
        <w:spacing w:line="576"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年一般公共预算财政拨款支出</w:t>
      </w:r>
      <w:r>
        <w:rPr>
          <w:rFonts w:hint="eastAsia" w:ascii="仿宋" w:eastAsia="仿宋"/>
          <w:sz w:val="32"/>
          <w:szCs w:val="32"/>
          <w:lang w:val="en-US" w:eastAsia="zh-CN"/>
        </w:rPr>
        <w:t>232.95</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_GB2312" w:hAnsi="宋体" w:eastAsia="仿宋_GB2312" w:cs="仿宋_GB2312"/>
          <w:b w:val="0"/>
          <w:bCs w:val="0"/>
          <w:kern w:val="0"/>
          <w:sz w:val="32"/>
          <w:szCs w:val="32"/>
          <w:shd w:val="clear" w:fill="FFFFFF"/>
          <w:lang w:val="en-US" w:eastAsia="zh-CN" w:bidi="ar"/>
        </w:rPr>
        <w:t>189.2</w:t>
      </w:r>
      <w:r>
        <w:rPr>
          <w:rFonts w:hint="eastAsia" w:ascii="仿宋" w:eastAsia="仿宋"/>
          <w:sz w:val="32"/>
          <w:szCs w:val="32"/>
        </w:rPr>
        <w:t>万元，占</w:t>
      </w:r>
      <w:r>
        <w:rPr>
          <w:rFonts w:hint="eastAsia" w:ascii="仿宋_GB2312" w:hAnsi="宋体" w:eastAsia="仿宋_GB2312" w:cs="仿宋_GB2312"/>
          <w:b w:val="0"/>
          <w:bCs w:val="0"/>
          <w:kern w:val="0"/>
          <w:sz w:val="32"/>
          <w:szCs w:val="32"/>
          <w:shd w:val="clear" w:fill="FFFFFF"/>
          <w:lang w:val="en-US" w:eastAsia="zh-CN" w:bidi="ar"/>
        </w:rPr>
        <w:t>81.22</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w:t>
      </w:r>
      <w:r>
        <w:rPr>
          <w:rFonts w:hint="eastAsia" w:ascii="仿宋" w:eastAsia="仿宋"/>
          <w:b/>
          <w:bCs/>
          <w:sz w:val="32"/>
          <w:szCs w:val="32"/>
          <w:lang w:val="en-US" w:eastAsia="zh-CN"/>
        </w:rPr>
        <w:t>0</w:t>
      </w:r>
      <w:r>
        <w:rPr>
          <w:rFonts w:hint="eastAsia" w:ascii="仿宋" w:eastAsia="仿宋"/>
          <w:b/>
          <w:bCs/>
          <w:sz w:val="32"/>
          <w:szCs w:val="32"/>
        </w:rPr>
        <w:t>万元，占</w:t>
      </w:r>
      <w:r>
        <w:rPr>
          <w:rFonts w:hint="eastAsia" w:ascii="仿宋" w:eastAsia="仿宋"/>
          <w:b/>
          <w:bCs/>
          <w:sz w:val="32"/>
          <w:szCs w:val="32"/>
          <w:lang w:val="en-US" w:eastAsia="zh-CN"/>
        </w:rPr>
        <w:t>0</w:t>
      </w:r>
      <w:r>
        <w:rPr>
          <w:rFonts w:ascii="仿宋" w:eastAsia="仿宋"/>
          <w:b/>
          <w:bCs/>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_GB2312" w:hAnsi="宋体" w:eastAsia="仿宋_GB2312" w:cs="仿宋_GB2312"/>
          <w:b w:val="0"/>
          <w:bCs w:val="0"/>
          <w:kern w:val="0"/>
          <w:sz w:val="32"/>
          <w:szCs w:val="32"/>
          <w:shd w:val="clear" w:fill="FFFFFF"/>
          <w:lang w:val="en-US" w:eastAsia="zh-CN" w:bidi="ar"/>
        </w:rPr>
        <w:t>23.03</w:t>
      </w:r>
      <w:r>
        <w:rPr>
          <w:rFonts w:hint="eastAsia" w:ascii="仿宋" w:eastAsia="仿宋"/>
          <w:sz w:val="32"/>
          <w:szCs w:val="32"/>
        </w:rPr>
        <w:t>万元，占</w:t>
      </w:r>
      <w:r>
        <w:rPr>
          <w:rFonts w:hint="eastAsia" w:ascii="仿宋" w:eastAsia="仿宋"/>
          <w:sz w:val="32"/>
          <w:szCs w:val="32"/>
          <w:lang w:val="en-US" w:eastAsia="zh-CN"/>
        </w:rPr>
        <w:t>9.89</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_GB2312" w:hAnsi="宋体" w:eastAsia="仿宋_GB2312" w:cs="仿宋_GB2312"/>
          <w:b w:val="0"/>
          <w:bCs w:val="0"/>
          <w:kern w:val="0"/>
          <w:sz w:val="32"/>
          <w:szCs w:val="32"/>
          <w:shd w:val="clear" w:fill="FFFFFF"/>
          <w:lang w:val="en-US" w:eastAsia="zh-CN" w:bidi="ar"/>
        </w:rPr>
        <w:t>9.23</w:t>
      </w:r>
      <w:r>
        <w:rPr>
          <w:rFonts w:hint="eastAsia" w:ascii="仿宋" w:eastAsia="仿宋"/>
          <w:sz w:val="32"/>
          <w:szCs w:val="32"/>
        </w:rPr>
        <w:t>万元，占</w:t>
      </w:r>
      <w:r>
        <w:rPr>
          <w:rFonts w:hint="eastAsia" w:ascii="仿宋" w:eastAsia="仿宋"/>
          <w:sz w:val="32"/>
          <w:szCs w:val="32"/>
          <w:lang w:val="en-US" w:eastAsia="zh-CN"/>
        </w:rPr>
        <w:t>3.96</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_GB2312" w:hAnsi="宋体" w:eastAsia="仿宋_GB2312" w:cs="仿宋_GB2312"/>
          <w:b w:val="0"/>
          <w:bCs w:val="0"/>
          <w:kern w:val="0"/>
          <w:sz w:val="32"/>
          <w:szCs w:val="32"/>
          <w:shd w:val="clear" w:fill="FFFFFF"/>
          <w:lang w:val="en-US" w:eastAsia="zh-CN" w:bidi="ar"/>
        </w:rPr>
        <w:t>11.49万元，</w:t>
      </w:r>
      <w:r>
        <w:rPr>
          <w:rFonts w:hint="eastAsia" w:ascii="仿宋" w:eastAsia="仿宋"/>
          <w:sz w:val="32"/>
          <w:szCs w:val="32"/>
        </w:rPr>
        <w:t>，占</w:t>
      </w:r>
      <w:r>
        <w:rPr>
          <w:rFonts w:hint="eastAsia" w:ascii="仿宋" w:eastAsia="仿宋"/>
          <w:sz w:val="32"/>
          <w:szCs w:val="32"/>
          <w:lang w:val="en-US" w:eastAsia="zh-CN"/>
        </w:rPr>
        <w:t>4.93</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firstLineChars="200"/>
        <w:rPr>
          <w:rFonts w:hint="eastAsia" w:ascii="仿宋" w:eastAsia="仿宋"/>
          <w:sz w:val="32"/>
          <w:szCs w:val="32"/>
        </w:rPr>
      </w:pPr>
      <w:r>
        <w:rPr>
          <w:rFonts w:hint="eastAsia" w:ascii="仿宋" w:eastAsia="仿宋"/>
          <w:sz w:val="32"/>
          <w:szCs w:val="32"/>
        </w:rPr>
        <w:t>（图6：一般公共预算财政拨款支出决算结构）（饼状图）</w:t>
      </w:r>
    </w:p>
    <w:p>
      <w:pPr>
        <w:pStyle w:val="6"/>
        <w:rPr>
          <w:rFonts w:hint="eastAsia" w:ascii="仿宋" w:eastAsia="仿宋"/>
          <w:sz w:val="32"/>
          <w:szCs w:val="32"/>
        </w:rPr>
      </w:pPr>
      <w:r>
        <w:rPr>
          <w:rFonts w:hint="eastAsia" w:ascii="仿宋" w:eastAsia="仿宋"/>
          <w:color w:val="000000"/>
          <w:sz w:val="32"/>
          <w:szCs w:val="32"/>
        </w:rPr>
        <w:drawing>
          <wp:anchor distT="0" distB="0" distL="114935" distR="114935" simplePos="0" relativeHeight="251680768" behindDoc="1" locked="0" layoutInCell="1" allowOverlap="1">
            <wp:simplePos x="0" y="0"/>
            <wp:positionH relativeFrom="column">
              <wp:posOffset>775970</wp:posOffset>
            </wp:positionH>
            <wp:positionV relativeFrom="paragraph">
              <wp:posOffset>254635</wp:posOffset>
            </wp:positionV>
            <wp:extent cx="3818890" cy="2540635"/>
            <wp:effectExtent l="4445" t="4445" r="5715" b="7620"/>
            <wp:wrapNone/>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pStyle w:val="6"/>
        <w:rPr>
          <w:rFonts w:hint="eastAsia" w:ascii="仿宋" w:eastAsia="仿宋"/>
          <w:sz w:val="32"/>
          <w:szCs w:val="32"/>
        </w:rPr>
      </w:pPr>
    </w:p>
    <w:p>
      <w:pPr>
        <w:pStyle w:val="6"/>
        <w:rPr>
          <w:rFonts w:hint="eastAsia" w:ascii="仿宋" w:eastAsia="仿宋"/>
          <w:sz w:val="32"/>
          <w:szCs w:val="32"/>
        </w:rPr>
      </w:pPr>
    </w:p>
    <w:p>
      <w:pPr>
        <w:pStyle w:val="6"/>
        <w:rPr>
          <w:rFonts w:hint="eastAsia" w:ascii="仿宋" w:eastAsia="仿宋"/>
          <w:sz w:val="32"/>
          <w:szCs w:val="32"/>
        </w:rPr>
      </w:pPr>
    </w:p>
    <w:p>
      <w:pPr>
        <w:pageBreakBefore w:val="0"/>
        <w:kinsoku/>
        <w:wordWrap/>
        <w:overflowPunct/>
        <w:topLinePunct w:val="0"/>
        <w:bidi w:val="0"/>
        <w:spacing w:line="576" w:lineRule="exact"/>
        <w:ind w:firstLine="640" w:firstLineChars="200"/>
        <w:rPr>
          <w:rFonts w:ascii="仿宋" w:eastAsia="仿宋"/>
          <w:sz w:val="32"/>
          <w:szCs w:val="32"/>
        </w:rPr>
      </w:pPr>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bookmarkStart w:id="34" w:name="_Toc15377212"/>
    </w:p>
    <w:p>
      <w:pPr>
        <w:pageBreakBefore w:val="0"/>
        <w:kinsoku/>
        <w:wordWrap/>
        <w:overflowPunct/>
        <w:topLinePunct w:val="0"/>
        <w:bidi w:val="0"/>
        <w:spacing w:line="576" w:lineRule="exact"/>
        <w:ind w:firstLine="643" w:firstLineChars="200"/>
        <w:outlineLvl w:val="2"/>
        <w:rPr>
          <w:rFonts w:hint="eastAsia" w:ascii="仿宋" w:eastAsia="仿宋"/>
          <w:b/>
          <w:sz w:val="32"/>
          <w:szCs w:val="32"/>
        </w:rPr>
      </w:pPr>
    </w:p>
    <w:p>
      <w:pPr>
        <w:pageBreakBefore w:val="0"/>
        <w:kinsoku/>
        <w:wordWrap/>
        <w:overflowPunct/>
        <w:topLinePunct w:val="0"/>
        <w:bidi w:val="0"/>
        <w:spacing w:line="576" w:lineRule="exact"/>
        <w:ind w:firstLine="643" w:firstLineChars="200"/>
        <w:outlineLvl w:val="2"/>
        <w:rPr>
          <w:rFonts w:ascii="仿宋" w:eastAsia="仿宋"/>
          <w:b/>
          <w:sz w:val="32"/>
          <w:szCs w:val="32"/>
        </w:rPr>
      </w:pPr>
      <w:r>
        <w:rPr>
          <w:rFonts w:hint="eastAsia" w:ascii="仿宋" w:eastAsia="仿宋"/>
          <w:b/>
          <w:sz w:val="32"/>
          <w:szCs w:val="32"/>
        </w:rPr>
        <w:t>（三）一般公共预算财政拨款支出决算具体情况</w:t>
      </w:r>
      <w:bookmarkEnd w:id="34"/>
    </w:p>
    <w:p>
      <w:pPr>
        <w:pageBreakBefore w:val="0"/>
        <w:kinsoku/>
        <w:wordWrap/>
        <w:overflowPunct/>
        <w:topLinePunct w:val="0"/>
        <w:bidi w:val="0"/>
        <w:spacing w:line="576" w:lineRule="exact"/>
        <w:ind w:firstLine="643" w:firstLineChars="200"/>
        <w:outlineLvl w:val="2"/>
        <w:rPr>
          <w:rFonts w:ascii="仿宋" w:eastAsia="仿宋"/>
          <w:sz w:val="32"/>
          <w:szCs w:val="32"/>
        </w:rPr>
      </w:pPr>
      <w:bookmarkStart w:id="35" w:name="_Toc15377444"/>
      <w:bookmarkStart w:id="36" w:name="_Toc15378460"/>
      <w:bookmarkStart w:id="37" w:name="_Toc15377213"/>
      <w:r>
        <w:rPr>
          <w:rFonts w:hint="eastAsia" w:ascii="仿宋" w:eastAsia="仿宋"/>
          <w:b/>
          <w:sz w:val="32"/>
          <w:szCs w:val="32"/>
        </w:rPr>
        <w:t>202</w:t>
      </w:r>
      <w:r>
        <w:rPr>
          <w:rFonts w:hint="eastAsia" w:ascii="仿宋" w:eastAsia="仿宋"/>
          <w:b/>
          <w:sz w:val="32"/>
          <w:szCs w:val="32"/>
          <w:lang w:val="en-US" w:eastAsia="zh-CN"/>
        </w:rPr>
        <w:t>3</w:t>
      </w:r>
      <w:r>
        <w:rPr>
          <w:rFonts w:hint="eastAsia" w:ascii="仿宋" w:eastAsia="仿宋"/>
          <w:b/>
          <w:sz w:val="32"/>
          <w:szCs w:val="32"/>
        </w:rPr>
        <w:t>年一般公共预算支出决算数为</w:t>
      </w:r>
      <w:r>
        <w:rPr>
          <w:rFonts w:hint="eastAsia" w:ascii="仿宋" w:eastAsia="仿宋"/>
          <w:b/>
          <w:sz w:val="32"/>
          <w:szCs w:val="32"/>
          <w:lang w:val="en-US" w:eastAsia="zh-CN"/>
        </w:rPr>
        <w:t>232.95万元</w:t>
      </w:r>
      <w:r>
        <w:rPr>
          <w:rFonts w:hint="eastAsia" w:ascii="仿宋" w:eastAsia="仿宋"/>
          <w:sz w:val="32"/>
          <w:szCs w:val="32"/>
        </w:rPr>
        <w:t>，</w:t>
      </w:r>
      <w:r>
        <w:rPr>
          <w:rStyle w:val="15"/>
          <w:rFonts w:hint="eastAsia" w:ascii="仿宋" w:eastAsia="仿宋"/>
          <w:bCs/>
          <w:sz w:val="32"/>
          <w:szCs w:val="32"/>
        </w:rPr>
        <w:t>完成预算</w:t>
      </w:r>
      <w:r>
        <w:rPr>
          <w:rStyle w:val="15"/>
          <w:rFonts w:hint="eastAsia" w:ascii="仿宋" w:eastAsia="仿宋"/>
          <w:bCs/>
          <w:sz w:val="32"/>
          <w:szCs w:val="32"/>
          <w:lang w:val="en-US" w:eastAsia="zh-CN"/>
        </w:rPr>
        <w:t>100</w:t>
      </w:r>
      <w:r>
        <w:rPr>
          <w:rStyle w:val="15"/>
          <w:rFonts w:ascii="仿宋" w:eastAsia="仿宋"/>
          <w:bCs/>
          <w:sz w:val="32"/>
          <w:szCs w:val="32"/>
        </w:rPr>
        <w:t>%</w:t>
      </w:r>
      <w:r>
        <w:rPr>
          <w:rStyle w:val="15"/>
          <w:rFonts w:hint="eastAsia" w:ascii="仿宋" w:eastAsia="仿宋"/>
          <w:bCs/>
          <w:sz w:val="32"/>
          <w:szCs w:val="32"/>
        </w:rPr>
        <w:t>。其中：</w:t>
      </w:r>
      <w:bookmarkEnd w:id="35"/>
      <w:bookmarkEnd w:id="36"/>
      <w:bookmarkEnd w:id="37"/>
    </w:p>
    <w:p>
      <w:pPr>
        <w:pageBreakBefore w:val="0"/>
        <w:kinsoku/>
        <w:wordWrap/>
        <w:overflowPunct/>
        <w:topLinePunct w:val="0"/>
        <w:bidi w:val="0"/>
        <w:spacing w:line="576" w:lineRule="exact"/>
        <w:ind w:firstLine="643" w:firstLineChars="200"/>
        <w:rPr>
          <w:rFonts w:ascii="仿宋" w:eastAsia="仿宋"/>
          <w:b/>
          <w:sz w:val="32"/>
          <w:szCs w:val="32"/>
        </w:rPr>
      </w:pPr>
      <w:r>
        <w:rPr>
          <w:rStyle w:val="15"/>
          <w:rFonts w:ascii="仿宋" w:eastAsia="仿宋"/>
          <w:bCs/>
          <w:sz w:val="32"/>
          <w:szCs w:val="32"/>
        </w:rPr>
        <w:t>1.</w:t>
      </w:r>
      <w:r>
        <w:rPr>
          <w:rStyle w:val="15"/>
          <w:rFonts w:hint="eastAsia" w:ascii="仿宋" w:eastAsia="仿宋"/>
          <w:bCs/>
          <w:sz w:val="32"/>
          <w:szCs w:val="32"/>
        </w:rPr>
        <w:t>一般公共服务</w:t>
      </w:r>
      <w:r>
        <w:rPr>
          <w:rStyle w:val="15"/>
          <w:rFonts w:hint="eastAsia" w:ascii="仿宋" w:eastAsia="仿宋"/>
          <w:bCs/>
          <w:sz w:val="32"/>
          <w:szCs w:val="32"/>
          <w:lang w:val="en-US" w:eastAsia="zh-CN"/>
        </w:rPr>
        <w:t>20103</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w:t>
      </w:r>
      <w:r>
        <w:rPr>
          <w:rFonts w:hint="eastAsia" w:ascii="仿宋_GB2312" w:hAnsi="宋体" w:eastAsia="仿宋_GB2312" w:cs="仿宋_GB2312"/>
          <w:b w:val="0"/>
          <w:bCs w:val="0"/>
          <w:kern w:val="0"/>
          <w:sz w:val="32"/>
          <w:szCs w:val="32"/>
          <w:shd w:val="clear" w:fill="FFFFFF"/>
          <w:lang w:val="en-US" w:eastAsia="zh-CN" w:bidi="ar"/>
        </w:rPr>
        <w:t>189.2</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5"/>
          <w:rFonts w:ascii="仿宋" w:eastAsia="仿宋"/>
          <w:bCs/>
          <w:sz w:val="32"/>
          <w:szCs w:val="32"/>
        </w:rPr>
        <w:t>2.</w:t>
      </w:r>
      <w:r>
        <w:rPr>
          <w:rStyle w:val="15"/>
          <w:rFonts w:hint="eastAsia" w:ascii="仿宋" w:eastAsia="仿宋"/>
          <w:bCs/>
          <w:sz w:val="32"/>
          <w:szCs w:val="32"/>
        </w:rPr>
        <w:t>教育（类）</w:t>
      </w:r>
      <w:r>
        <w:rPr>
          <w:rStyle w:val="15"/>
          <w:rFonts w:ascii="仿宋" w:eastAsia="仿宋"/>
          <w:bCs/>
          <w:sz w:val="32"/>
          <w:szCs w:val="32"/>
        </w:rPr>
        <w:t>***</w:t>
      </w:r>
      <w:r>
        <w:rPr>
          <w:rStyle w:val="15"/>
          <w:rFonts w:hint="eastAsia" w:ascii="仿宋" w:eastAsia="仿宋"/>
          <w:bCs/>
          <w:sz w:val="32"/>
          <w:szCs w:val="32"/>
        </w:rPr>
        <w:t>（款）</w:t>
      </w:r>
      <w:r>
        <w:rPr>
          <w:rStyle w:val="15"/>
          <w:rFonts w:ascii="仿宋" w:eastAsia="仿宋"/>
          <w:bCs/>
          <w:sz w:val="32"/>
          <w:szCs w:val="32"/>
        </w:rPr>
        <w:t>***</w:t>
      </w:r>
      <w:r>
        <w:rPr>
          <w:rStyle w:val="15"/>
          <w:rFonts w:hint="eastAsia" w:ascii="仿宋" w:eastAsia="仿宋"/>
          <w:bCs/>
          <w:sz w:val="32"/>
          <w:szCs w:val="32"/>
        </w:rPr>
        <w:t>（项）</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0</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0</w:t>
      </w:r>
      <w:r>
        <w:rPr>
          <w:rStyle w:val="15"/>
          <w:rFonts w:ascii="仿宋" w:eastAsia="仿宋"/>
          <w:b w:val="0"/>
          <w:bCs/>
          <w:sz w:val="32"/>
          <w:szCs w:val="32"/>
        </w:rPr>
        <w:t>%</w:t>
      </w:r>
      <w:r>
        <w:rPr>
          <w:rStyle w:val="15"/>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5"/>
          <w:rFonts w:ascii="仿宋" w:eastAsia="仿宋"/>
          <w:bCs/>
          <w:sz w:val="32"/>
          <w:szCs w:val="32"/>
        </w:rPr>
        <w:t>3.</w:t>
      </w:r>
      <w:r>
        <w:rPr>
          <w:rStyle w:val="15"/>
          <w:rFonts w:hint="eastAsia" w:ascii="仿宋" w:eastAsia="仿宋"/>
          <w:bCs/>
          <w:sz w:val="32"/>
          <w:szCs w:val="32"/>
        </w:rPr>
        <w:t>科学技术（类）</w:t>
      </w:r>
      <w:r>
        <w:rPr>
          <w:rStyle w:val="15"/>
          <w:rFonts w:ascii="仿宋" w:eastAsia="仿宋"/>
          <w:bCs/>
          <w:sz w:val="32"/>
          <w:szCs w:val="32"/>
        </w:rPr>
        <w:t>***</w:t>
      </w:r>
      <w:r>
        <w:rPr>
          <w:rStyle w:val="15"/>
          <w:rFonts w:hint="eastAsia" w:ascii="仿宋" w:eastAsia="仿宋"/>
          <w:bCs/>
          <w:sz w:val="32"/>
          <w:szCs w:val="32"/>
        </w:rPr>
        <w:t>（款）</w:t>
      </w:r>
      <w:r>
        <w:rPr>
          <w:rStyle w:val="15"/>
          <w:rFonts w:ascii="仿宋" w:eastAsia="仿宋"/>
          <w:bCs/>
          <w:sz w:val="32"/>
          <w:szCs w:val="32"/>
        </w:rPr>
        <w:t>***</w:t>
      </w:r>
      <w:r>
        <w:rPr>
          <w:rStyle w:val="15"/>
          <w:rFonts w:hint="eastAsia" w:ascii="仿宋" w:eastAsia="仿宋"/>
          <w:bCs/>
          <w:sz w:val="32"/>
          <w:szCs w:val="32"/>
        </w:rPr>
        <w:t>（项）</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0</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0</w:t>
      </w:r>
      <w:r>
        <w:rPr>
          <w:rStyle w:val="15"/>
          <w:rFonts w:ascii="仿宋" w:eastAsia="仿宋"/>
          <w:b w:val="0"/>
          <w:bCs/>
          <w:sz w:val="32"/>
          <w:szCs w:val="32"/>
        </w:rPr>
        <w:t>%</w:t>
      </w:r>
      <w:r>
        <w:rPr>
          <w:rStyle w:val="15"/>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5"/>
          <w:rFonts w:ascii="仿宋" w:eastAsia="仿宋"/>
          <w:bCs/>
          <w:sz w:val="32"/>
          <w:szCs w:val="32"/>
        </w:rPr>
        <w:t>4.</w:t>
      </w:r>
      <w:r>
        <w:rPr>
          <w:rStyle w:val="15"/>
          <w:rFonts w:hint="eastAsia" w:ascii="仿宋" w:eastAsia="仿宋"/>
          <w:bCs/>
          <w:sz w:val="32"/>
          <w:szCs w:val="32"/>
        </w:rPr>
        <w:t>文化旅游体育与传媒（类）</w:t>
      </w:r>
      <w:r>
        <w:rPr>
          <w:rStyle w:val="15"/>
          <w:rFonts w:ascii="仿宋" w:eastAsia="仿宋"/>
          <w:bCs/>
          <w:sz w:val="32"/>
          <w:szCs w:val="32"/>
        </w:rPr>
        <w:t>***</w:t>
      </w:r>
      <w:r>
        <w:rPr>
          <w:rStyle w:val="15"/>
          <w:rFonts w:hint="eastAsia" w:ascii="仿宋" w:eastAsia="仿宋"/>
          <w:bCs/>
          <w:sz w:val="32"/>
          <w:szCs w:val="32"/>
        </w:rPr>
        <w:t>（款）</w:t>
      </w:r>
      <w:r>
        <w:rPr>
          <w:rStyle w:val="15"/>
          <w:rFonts w:ascii="仿宋" w:eastAsia="仿宋"/>
          <w:bCs/>
          <w:sz w:val="32"/>
          <w:szCs w:val="32"/>
        </w:rPr>
        <w:t>***</w:t>
      </w:r>
      <w:r>
        <w:rPr>
          <w:rStyle w:val="15"/>
          <w:rFonts w:hint="eastAsia" w:ascii="仿宋" w:eastAsia="仿宋"/>
          <w:bCs/>
          <w:sz w:val="32"/>
          <w:szCs w:val="32"/>
        </w:rPr>
        <w:t>（项）</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0</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0</w:t>
      </w:r>
      <w:r>
        <w:rPr>
          <w:rStyle w:val="15"/>
          <w:rFonts w:ascii="仿宋" w:eastAsia="仿宋"/>
          <w:b w:val="0"/>
          <w:bCs/>
          <w:sz w:val="32"/>
          <w:szCs w:val="32"/>
        </w:rPr>
        <w:t>%</w:t>
      </w:r>
      <w:r>
        <w:rPr>
          <w:rStyle w:val="15"/>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5"/>
          <w:rFonts w:ascii="仿宋" w:eastAsia="仿宋"/>
          <w:bCs/>
          <w:sz w:val="32"/>
          <w:szCs w:val="32"/>
        </w:rPr>
        <w:t>5.</w:t>
      </w:r>
      <w:r>
        <w:rPr>
          <w:rStyle w:val="15"/>
          <w:rFonts w:hint="eastAsia" w:ascii="仿宋" w:eastAsia="仿宋"/>
          <w:bCs/>
          <w:sz w:val="32"/>
          <w:szCs w:val="32"/>
        </w:rPr>
        <w:t>社会保障和就业</w:t>
      </w:r>
      <w:r>
        <w:rPr>
          <w:rStyle w:val="15"/>
          <w:rFonts w:hint="eastAsia" w:ascii="仿宋" w:eastAsia="仿宋"/>
          <w:bCs/>
          <w:sz w:val="32"/>
          <w:szCs w:val="32"/>
          <w:lang w:val="en-US" w:eastAsia="zh-CN"/>
        </w:rPr>
        <w:t>20805</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23.03</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sz w:val="32"/>
          <w:szCs w:val="32"/>
        </w:rPr>
      </w:pPr>
      <w:r>
        <w:rPr>
          <w:rStyle w:val="15"/>
          <w:rFonts w:ascii="仿宋" w:eastAsia="仿宋"/>
          <w:bCs/>
          <w:sz w:val="32"/>
          <w:szCs w:val="32"/>
        </w:rPr>
        <w:t>6.</w:t>
      </w:r>
      <w:r>
        <w:rPr>
          <w:rFonts w:hint="eastAsia" w:ascii="仿宋" w:eastAsia="仿宋"/>
          <w:b/>
          <w:bCs/>
          <w:sz w:val="32"/>
          <w:szCs w:val="32"/>
        </w:rPr>
        <w:t>卫生健康</w:t>
      </w:r>
      <w:r>
        <w:rPr>
          <w:rStyle w:val="15"/>
          <w:rFonts w:hint="eastAsia" w:ascii="仿宋" w:eastAsia="仿宋"/>
          <w:bCs/>
          <w:sz w:val="32"/>
          <w:szCs w:val="32"/>
          <w:lang w:val="en-US" w:eastAsia="zh-CN"/>
        </w:rPr>
        <w:t>21011</w:t>
      </w:r>
      <w:r>
        <w:rPr>
          <w:rStyle w:val="15"/>
          <w:rFonts w:ascii="仿宋" w:eastAsia="仿宋"/>
          <w:bCs/>
          <w:sz w:val="32"/>
          <w:szCs w:val="32"/>
        </w:rPr>
        <w:t>:</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9.23</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pageBreakBefore w:val="0"/>
        <w:kinsoku/>
        <w:wordWrap/>
        <w:overflowPunct/>
        <w:topLinePunct w:val="0"/>
        <w:bidi w:val="0"/>
        <w:spacing w:line="576" w:lineRule="exact"/>
        <w:ind w:firstLine="643" w:firstLineChars="200"/>
        <w:rPr>
          <w:rFonts w:ascii="仿宋" w:eastAsia="仿宋"/>
          <w:b w:val="0"/>
          <w:bCs/>
          <w:sz w:val="32"/>
          <w:szCs w:val="32"/>
        </w:rPr>
      </w:pPr>
      <w:r>
        <w:rPr>
          <w:rStyle w:val="15"/>
          <w:rFonts w:hint="eastAsia" w:ascii="仿宋" w:eastAsia="仿宋"/>
          <w:bCs/>
          <w:sz w:val="32"/>
          <w:szCs w:val="32"/>
          <w:lang w:val="en-US" w:eastAsia="zh-CN"/>
        </w:rPr>
        <w:t>7</w:t>
      </w:r>
      <w:r>
        <w:rPr>
          <w:rStyle w:val="15"/>
          <w:rFonts w:ascii="仿宋" w:eastAsia="仿宋"/>
          <w:bCs/>
          <w:sz w:val="32"/>
          <w:szCs w:val="32"/>
        </w:rPr>
        <w:t>.</w:t>
      </w:r>
      <w:r>
        <w:rPr>
          <w:rFonts w:hint="eastAsia" w:ascii="仿宋" w:eastAsia="仿宋"/>
          <w:b/>
          <w:bCs/>
          <w:sz w:val="32"/>
          <w:szCs w:val="32"/>
          <w:lang w:eastAsia="zh-CN"/>
        </w:rPr>
        <w:t>住房保障</w:t>
      </w:r>
      <w:r>
        <w:rPr>
          <w:rStyle w:val="15"/>
          <w:rFonts w:hint="eastAsia" w:ascii="仿宋" w:eastAsia="仿宋"/>
          <w:bCs/>
          <w:sz w:val="32"/>
          <w:szCs w:val="32"/>
          <w:lang w:val="en-US" w:eastAsia="zh-CN"/>
        </w:rPr>
        <w:t>22102</w:t>
      </w:r>
      <w:r>
        <w:rPr>
          <w:rStyle w:val="15"/>
          <w:rFonts w:ascii="仿宋" w:eastAsia="仿宋"/>
          <w:bCs/>
          <w:sz w:val="32"/>
          <w:szCs w:val="32"/>
        </w:rPr>
        <w:t>:</w:t>
      </w:r>
      <w:r>
        <w:rPr>
          <w:rStyle w:val="15"/>
          <w:rFonts w:hint="eastAsia" w:ascii="仿宋" w:eastAsia="仿宋"/>
          <w:b w:val="0"/>
          <w:bCs/>
          <w:sz w:val="32"/>
          <w:szCs w:val="32"/>
        </w:rPr>
        <w:t>支出决算为</w:t>
      </w:r>
      <w:r>
        <w:rPr>
          <w:rStyle w:val="15"/>
          <w:rFonts w:hint="eastAsia" w:ascii="仿宋" w:eastAsia="仿宋"/>
          <w:b w:val="0"/>
          <w:bCs/>
          <w:sz w:val="32"/>
          <w:szCs w:val="32"/>
          <w:lang w:val="en-US" w:eastAsia="zh-CN"/>
        </w:rPr>
        <w:t>11.49</w:t>
      </w:r>
      <w:r>
        <w:rPr>
          <w:rStyle w:val="15"/>
          <w:rFonts w:hint="eastAsia" w:ascii="仿宋" w:eastAsia="仿宋"/>
          <w:b w:val="0"/>
          <w:bCs/>
          <w:sz w:val="32"/>
          <w:szCs w:val="32"/>
        </w:rPr>
        <w:t>万元，完成预算</w:t>
      </w:r>
      <w:r>
        <w:rPr>
          <w:rStyle w:val="15"/>
          <w:rFonts w:hint="eastAsia" w:ascii="仿宋" w:eastAsia="仿宋"/>
          <w:b w:val="0"/>
          <w:bCs/>
          <w:sz w:val="32"/>
          <w:szCs w:val="32"/>
          <w:lang w:val="en-US" w:eastAsia="zh-CN"/>
        </w:rPr>
        <w:t>100</w:t>
      </w:r>
      <w:r>
        <w:rPr>
          <w:rStyle w:val="15"/>
          <w:rFonts w:ascii="仿宋" w:eastAsia="仿宋"/>
          <w:b w:val="0"/>
          <w:bCs/>
          <w:sz w:val="32"/>
          <w:szCs w:val="32"/>
        </w:rPr>
        <w:t>%</w:t>
      </w:r>
      <w:r>
        <w:rPr>
          <w:rStyle w:val="15"/>
          <w:rFonts w:hint="eastAsia" w:ascii="仿宋" w:eastAsia="仿宋"/>
          <w:b w:val="0"/>
          <w:bCs/>
          <w:sz w:val="32"/>
          <w:szCs w:val="32"/>
        </w:rPr>
        <w:t>。</w:t>
      </w:r>
    </w:p>
    <w:p>
      <w:pPr>
        <w:pageBreakBefore w:val="0"/>
        <w:tabs>
          <w:tab w:val="right" w:pos="8306"/>
        </w:tabs>
        <w:kinsoku/>
        <w:wordWrap/>
        <w:overflowPunct/>
        <w:topLinePunct w:val="0"/>
        <w:bidi w:val="0"/>
        <w:spacing w:line="576" w:lineRule="exact"/>
        <w:ind w:firstLine="640"/>
        <w:outlineLvl w:val="1"/>
        <w:rPr>
          <w:rStyle w:val="18"/>
        </w:rPr>
      </w:pPr>
      <w:bookmarkStart w:id="38" w:name="_Toc15396608"/>
      <w:bookmarkStart w:id="39" w:name="_Toc15377214"/>
      <w:r>
        <w:rPr>
          <w:rFonts w:hint="eastAsia" w:ascii="黑体" w:eastAsia="黑体"/>
          <w:sz w:val="32"/>
          <w:szCs w:val="32"/>
        </w:rPr>
        <w:t>六</w:t>
      </w:r>
      <w:r>
        <w:rPr>
          <w:rFonts w:hint="eastAsia" w:ascii="黑体" w:eastAsia="黑体"/>
          <w:b/>
          <w:sz w:val="32"/>
          <w:szCs w:val="32"/>
        </w:rPr>
        <w:t>、一</w:t>
      </w:r>
      <w:r>
        <w:rPr>
          <w:rStyle w:val="18"/>
          <w:rFonts w:hint="eastAsia" w:ascii="黑体" w:eastAsia="黑体"/>
          <w:b w:val="0"/>
        </w:rPr>
        <w:t>般公共预算财政拨款基本支出决算情况说明</w:t>
      </w:r>
      <w:bookmarkEnd w:id="38"/>
      <w:bookmarkEnd w:id="39"/>
      <w:r>
        <w:rPr>
          <w:rStyle w:val="18"/>
          <w:rFonts w:ascii="黑体" w:eastAsia="黑体"/>
          <w:b w:val="0"/>
        </w:rPr>
        <w:tab/>
      </w:r>
    </w:p>
    <w:p>
      <w:pPr>
        <w:pageBreakBefore w:val="0"/>
        <w:kinsoku/>
        <w:wordWrap/>
        <w:overflowPunct/>
        <w:topLinePunct w:val="0"/>
        <w:bidi w:val="0"/>
        <w:spacing w:line="576"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年一般公共预算财政拨款基本支出</w:t>
      </w:r>
      <w:r>
        <w:rPr>
          <w:rFonts w:hint="eastAsia" w:ascii="仿宋" w:eastAsia="仿宋"/>
          <w:sz w:val="32"/>
          <w:szCs w:val="32"/>
          <w:lang w:val="en-US" w:eastAsia="zh-CN"/>
        </w:rPr>
        <w:t>171.1</w:t>
      </w:r>
      <w:r>
        <w:rPr>
          <w:rFonts w:hint="eastAsia" w:ascii="仿宋" w:eastAsia="仿宋"/>
          <w:sz w:val="32"/>
          <w:szCs w:val="32"/>
        </w:rPr>
        <w:t>万元，其中：</w:t>
      </w:r>
    </w:p>
    <w:p>
      <w:pPr>
        <w:pageBreakBefore w:val="0"/>
        <w:kinsoku/>
        <w:wordWrap/>
        <w:overflowPunct/>
        <w:topLinePunct w:val="0"/>
        <w:bidi w:val="0"/>
        <w:spacing w:line="576"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166.16</w:t>
      </w:r>
      <w:r>
        <w:rPr>
          <w:rFonts w:hint="eastAsia" w:ascii="仿宋" w:eastAsia="仿宋"/>
          <w:sz w:val="32"/>
          <w:szCs w:val="32"/>
        </w:rPr>
        <w:t>万元，主要包括：基本工资</w:t>
      </w:r>
      <w:r>
        <w:rPr>
          <w:rFonts w:hint="eastAsia" w:ascii="仿宋" w:eastAsia="仿宋"/>
          <w:sz w:val="32"/>
          <w:szCs w:val="32"/>
          <w:lang w:val="en-US" w:eastAsia="zh-CN"/>
        </w:rPr>
        <w:t>26.44万元</w:t>
      </w:r>
      <w:r>
        <w:rPr>
          <w:rFonts w:hint="eastAsia" w:ascii="仿宋" w:eastAsia="仿宋"/>
          <w:sz w:val="32"/>
          <w:szCs w:val="32"/>
        </w:rPr>
        <w:t>、津贴补贴</w:t>
      </w:r>
      <w:r>
        <w:rPr>
          <w:rFonts w:hint="eastAsia" w:ascii="仿宋" w:eastAsia="仿宋"/>
          <w:sz w:val="32"/>
          <w:szCs w:val="32"/>
          <w:lang w:val="en-US" w:eastAsia="zh-CN"/>
        </w:rPr>
        <w:t>28.67万元</w:t>
      </w:r>
      <w:r>
        <w:rPr>
          <w:rFonts w:hint="eastAsia" w:ascii="仿宋" w:eastAsia="仿宋"/>
          <w:sz w:val="32"/>
          <w:szCs w:val="32"/>
        </w:rPr>
        <w:t>、绩效工资</w:t>
      </w:r>
      <w:r>
        <w:rPr>
          <w:rFonts w:hint="eastAsia" w:ascii="仿宋" w:eastAsia="仿宋"/>
          <w:sz w:val="32"/>
          <w:szCs w:val="32"/>
          <w:lang w:val="en-US" w:eastAsia="zh-CN"/>
        </w:rPr>
        <w:t>22.49万元</w:t>
      </w:r>
      <w:r>
        <w:rPr>
          <w:rFonts w:hint="eastAsia" w:ascii="仿宋" w:eastAsia="仿宋"/>
          <w:sz w:val="32"/>
          <w:szCs w:val="32"/>
        </w:rPr>
        <w:t>、</w:t>
      </w:r>
      <w:r>
        <w:rPr>
          <w:rFonts w:hint="eastAsia" w:ascii="仿宋" w:eastAsia="仿宋"/>
          <w:sz w:val="32"/>
          <w:szCs w:val="32"/>
          <w:lang w:eastAsia="zh-CN"/>
        </w:rPr>
        <w:t>奖金</w:t>
      </w:r>
      <w:r>
        <w:rPr>
          <w:rFonts w:hint="eastAsia" w:ascii="仿宋" w:eastAsia="仿宋"/>
          <w:sz w:val="32"/>
          <w:szCs w:val="32"/>
          <w:lang w:val="en-US" w:eastAsia="zh-CN"/>
        </w:rPr>
        <w:t>41.16万元，</w:t>
      </w:r>
      <w:r>
        <w:rPr>
          <w:rFonts w:hint="eastAsia" w:ascii="仿宋" w:eastAsia="仿宋"/>
          <w:sz w:val="32"/>
          <w:szCs w:val="32"/>
        </w:rPr>
        <w:t>机关事业单位基本养老保险缴费</w:t>
      </w:r>
      <w:r>
        <w:rPr>
          <w:rFonts w:hint="eastAsia" w:ascii="仿宋" w:eastAsia="仿宋"/>
          <w:sz w:val="32"/>
          <w:szCs w:val="32"/>
          <w:lang w:val="en-US" w:eastAsia="zh-CN"/>
        </w:rPr>
        <w:t>15.35万元</w:t>
      </w:r>
      <w:r>
        <w:rPr>
          <w:rFonts w:hint="eastAsia" w:ascii="仿宋" w:eastAsia="仿宋"/>
          <w:sz w:val="32"/>
          <w:szCs w:val="32"/>
        </w:rPr>
        <w:t>、</w:t>
      </w:r>
      <w:r>
        <w:rPr>
          <w:rFonts w:hint="eastAsia" w:ascii="仿宋" w:eastAsia="仿宋"/>
          <w:sz w:val="32"/>
          <w:szCs w:val="32"/>
          <w:lang w:eastAsia="zh-CN"/>
        </w:rPr>
        <w:t>基本医疗保险</w:t>
      </w:r>
      <w:r>
        <w:rPr>
          <w:rFonts w:hint="eastAsia" w:ascii="仿宋" w:eastAsia="仿宋"/>
          <w:sz w:val="32"/>
          <w:szCs w:val="32"/>
          <w:lang w:val="en-US" w:eastAsia="zh-CN"/>
        </w:rPr>
        <w:t>7.65万元，</w:t>
      </w:r>
      <w:r>
        <w:rPr>
          <w:rFonts w:hint="eastAsia" w:ascii="仿宋" w:eastAsia="仿宋"/>
          <w:sz w:val="32"/>
          <w:szCs w:val="32"/>
        </w:rPr>
        <w:t>职业年金缴费</w:t>
      </w:r>
      <w:r>
        <w:rPr>
          <w:rFonts w:hint="eastAsia" w:ascii="仿宋" w:eastAsia="仿宋"/>
          <w:sz w:val="32"/>
          <w:szCs w:val="32"/>
          <w:lang w:val="en-US" w:eastAsia="zh-CN"/>
        </w:rPr>
        <w:t>7.68万元</w:t>
      </w:r>
      <w:r>
        <w:rPr>
          <w:rFonts w:hint="eastAsia" w:ascii="仿宋" w:eastAsia="仿宋"/>
          <w:sz w:val="32"/>
          <w:szCs w:val="32"/>
        </w:rPr>
        <w:t>、</w:t>
      </w:r>
      <w:r>
        <w:rPr>
          <w:rFonts w:hint="eastAsia" w:ascii="仿宋" w:eastAsia="仿宋"/>
          <w:sz w:val="32"/>
          <w:szCs w:val="32"/>
          <w:lang w:eastAsia="zh-CN"/>
        </w:rPr>
        <w:t>公务员医疗补助缴费</w:t>
      </w:r>
      <w:r>
        <w:rPr>
          <w:rFonts w:hint="eastAsia" w:ascii="仿宋" w:eastAsia="仿宋"/>
          <w:sz w:val="32"/>
          <w:szCs w:val="32"/>
          <w:lang w:val="en-US" w:eastAsia="zh-CN"/>
        </w:rPr>
        <w:t>1.59万元、</w:t>
      </w:r>
      <w:r>
        <w:rPr>
          <w:rFonts w:hint="eastAsia" w:ascii="仿宋" w:eastAsia="仿宋"/>
          <w:sz w:val="32"/>
          <w:szCs w:val="32"/>
        </w:rPr>
        <w:t>其他社会保障缴费</w:t>
      </w:r>
      <w:r>
        <w:rPr>
          <w:rFonts w:hint="eastAsia" w:ascii="仿宋" w:eastAsia="仿宋"/>
          <w:sz w:val="32"/>
          <w:szCs w:val="32"/>
          <w:lang w:val="en-US" w:eastAsia="zh-CN"/>
        </w:rPr>
        <w:t>2.19万元</w:t>
      </w:r>
      <w:r>
        <w:rPr>
          <w:rFonts w:hint="eastAsia" w:ascii="仿宋" w:eastAsia="仿宋"/>
          <w:sz w:val="32"/>
          <w:szCs w:val="32"/>
        </w:rPr>
        <w:t>、其他工资福利支出</w:t>
      </w:r>
      <w:r>
        <w:rPr>
          <w:rFonts w:hint="eastAsia" w:ascii="仿宋" w:eastAsia="仿宋"/>
          <w:sz w:val="32"/>
          <w:szCs w:val="32"/>
          <w:lang w:val="en-US" w:eastAsia="zh-CN"/>
        </w:rPr>
        <w:t>0万元</w:t>
      </w:r>
      <w:r>
        <w:rPr>
          <w:rFonts w:hint="eastAsia" w:ascii="仿宋" w:eastAsia="仿宋"/>
          <w:sz w:val="32"/>
          <w:szCs w:val="32"/>
        </w:rPr>
        <w:t>、</w:t>
      </w:r>
      <w:r>
        <w:rPr>
          <w:rFonts w:hint="eastAsia" w:ascii="仿宋" w:eastAsia="仿宋"/>
          <w:sz w:val="32"/>
          <w:szCs w:val="32"/>
          <w:lang w:eastAsia="zh-CN"/>
        </w:rPr>
        <w:t>住房公积金</w:t>
      </w:r>
      <w:r>
        <w:rPr>
          <w:rFonts w:hint="eastAsia" w:ascii="仿宋" w:eastAsia="仿宋"/>
          <w:sz w:val="32"/>
          <w:szCs w:val="32"/>
          <w:lang w:val="en-US" w:eastAsia="zh-CN"/>
        </w:rPr>
        <w:t>11.49万元、医疗费1.45万元</w:t>
      </w:r>
      <w:r>
        <w:rPr>
          <w:rFonts w:hint="eastAsia" w:ascii="仿宋" w:eastAsia="仿宋"/>
          <w:sz w:val="32"/>
          <w:szCs w:val="32"/>
        </w:rPr>
        <w:t>。</w:t>
      </w:r>
    </w:p>
    <w:p>
      <w:pPr>
        <w:pageBreakBefore w:val="0"/>
        <w:kinsoku/>
        <w:wordWrap/>
        <w:overflowPunct/>
        <w:topLinePunct w:val="0"/>
        <w:bidi w:val="0"/>
        <w:spacing w:line="576" w:lineRule="exact"/>
        <w:ind w:firstLine="645"/>
        <w:rPr>
          <w:rFonts w:ascii="仿宋" w:eastAsia="仿宋"/>
          <w:b/>
          <w:sz w:val="32"/>
          <w:szCs w:val="32"/>
        </w:rPr>
      </w:pPr>
      <w:r>
        <w:rPr>
          <w:rFonts w:hint="eastAsia" w:ascii="仿宋" w:eastAsia="仿宋"/>
          <w:sz w:val="32"/>
          <w:szCs w:val="32"/>
        </w:rPr>
        <w:t>公用经费</w:t>
      </w:r>
      <w:r>
        <w:rPr>
          <w:rFonts w:hint="eastAsia" w:ascii="仿宋" w:eastAsia="仿宋"/>
          <w:sz w:val="32"/>
          <w:szCs w:val="32"/>
          <w:lang w:val="en-US" w:eastAsia="zh-CN"/>
        </w:rPr>
        <w:t>4.94</w:t>
      </w:r>
      <w:r>
        <w:rPr>
          <w:rFonts w:hint="eastAsia" w:ascii="仿宋" w:eastAsia="仿宋"/>
          <w:sz w:val="32"/>
          <w:szCs w:val="32"/>
        </w:rPr>
        <w:t>万元，主要包括：办公费</w:t>
      </w:r>
      <w:r>
        <w:rPr>
          <w:rFonts w:hint="eastAsia" w:ascii="仿宋" w:eastAsia="仿宋"/>
          <w:sz w:val="32"/>
          <w:szCs w:val="32"/>
          <w:lang w:val="en-US" w:eastAsia="zh-CN"/>
        </w:rPr>
        <w:t>2.76万元</w:t>
      </w:r>
      <w:r>
        <w:rPr>
          <w:rFonts w:hint="eastAsia" w:ascii="仿宋" w:eastAsia="仿宋"/>
          <w:sz w:val="32"/>
          <w:szCs w:val="32"/>
        </w:rPr>
        <w:t>、</w:t>
      </w:r>
      <w:r>
        <w:rPr>
          <w:rFonts w:hint="eastAsia" w:ascii="仿宋" w:eastAsia="仿宋"/>
          <w:sz w:val="32"/>
          <w:szCs w:val="32"/>
          <w:lang w:eastAsia="zh-CN"/>
        </w:rPr>
        <w:t>印刷费</w:t>
      </w:r>
      <w:r>
        <w:rPr>
          <w:rFonts w:hint="eastAsia" w:ascii="仿宋" w:eastAsia="仿宋"/>
          <w:sz w:val="32"/>
          <w:szCs w:val="32"/>
          <w:lang w:val="en-US" w:eastAsia="zh-CN"/>
        </w:rPr>
        <w:t>0.24万元、工会会费1.23万元、</w:t>
      </w:r>
      <w:r>
        <w:rPr>
          <w:rFonts w:hint="eastAsia" w:ascii="仿宋" w:eastAsia="仿宋"/>
          <w:sz w:val="32"/>
          <w:szCs w:val="32"/>
        </w:rPr>
        <w:t>邮电费</w:t>
      </w:r>
      <w:r>
        <w:rPr>
          <w:rFonts w:hint="eastAsia" w:ascii="仿宋" w:eastAsia="仿宋"/>
          <w:sz w:val="32"/>
          <w:szCs w:val="32"/>
          <w:lang w:val="en-US" w:eastAsia="zh-CN"/>
        </w:rPr>
        <w:t>0万元</w:t>
      </w:r>
      <w:r>
        <w:rPr>
          <w:rFonts w:hint="eastAsia" w:ascii="仿宋" w:eastAsia="仿宋"/>
          <w:sz w:val="32"/>
          <w:szCs w:val="32"/>
        </w:rPr>
        <w:t>、</w:t>
      </w:r>
      <w:r>
        <w:rPr>
          <w:rFonts w:hint="eastAsia" w:ascii="仿宋" w:eastAsia="仿宋"/>
          <w:sz w:val="32"/>
          <w:szCs w:val="32"/>
          <w:lang w:eastAsia="zh-CN"/>
        </w:rPr>
        <w:t>水费</w:t>
      </w:r>
      <w:r>
        <w:rPr>
          <w:rFonts w:hint="eastAsia" w:ascii="仿宋" w:eastAsia="仿宋"/>
          <w:sz w:val="32"/>
          <w:szCs w:val="32"/>
          <w:lang w:val="en-US" w:eastAsia="zh-CN"/>
        </w:rPr>
        <w:t>0.08万元、</w:t>
      </w:r>
      <w:r>
        <w:rPr>
          <w:rFonts w:hint="eastAsia" w:ascii="仿宋" w:eastAsia="仿宋"/>
          <w:sz w:val="32"/>
          <w:szCs w:val="32"/>
        </w:rPr>
        <w:t>取暖费</w:t>
      </w:r>
      <w:r>
        <w:rPr>
          <w:rFonts w:hint="eastAsia" w:ascii="仿宋" w:eastAsia="仿宋"/>
          <w:sz w:val="32"/>
          <w:szCs w:val="32"/>
          <w:lang w:val="en-US" w:eastAsia="zh-CN"/>
        </w:rPr>
        <w:t>0万元</w:t>
      </w:r>
      <w:r>
        <w:rPr>
          <w:rFonts w:hint="eastAsia" w:ascii="仿宋" w:eastAsia="仿宋"/>
          <w:sz w:val="32"/>
          <w:szCs w:val="32"/>
        </w:rPr>
        <w:t>、差旅费</w:t>
      </w:r>
      <w:r>
        <w:rPr>
          <w:rFonts w:hint="eastAsia" w:ascii="仿宋" w:eastAsia="仿宋"/>
          <w:sz w:val="32"/>
          <w:szCs w:val="32"/>
          <w:lang w:val="en-US" w:eastAsia="zh-CN"/>
        </w:rPr>
        <w:t>0.62万元</w:t>
      </w:r>
      <w:r>
        <w:rPr>
          <w:rFonts w:hint="eastAsia" w:ascii="仿宋" w:eastAsia="仿宋"/>
          <w:sz w:val="32"/>
          <w:szCs w:val="32"/>
        </w:rPr>
        <w:t>、因公出国（境）费用</w:t>
      </w:r>
      <w:r>
        <w:rPr>
          <w:rFonts w:hint="eastAsia" w:ascii="仿宋" w:eastAsia="仿宋"/>
          <w:sz w:val="32"/>
          <w:szCs w:val="32"/>
          <w:lang w:val="en-US" w:eastAsia="zh-CN"/>
        </w:rPr>
        <w:t>0万元。</w:t>
      </w:r>
    </w:p>
    <w:p>
      <w:pPr>
        <w:pageBreakBefore w:val="0"/>
        <w:kinsoku/>
        <w:wordWrap/>
        <w:overflowPunct/>
        <w:topLinePunct w:val="0"/>
        <w:bidi w:val="0"/>
        <w:spacing w:line="576" w:lineRule="exact"/>
        <w:ind w:firstLine="640"/>
        <w:outlineLvl w:val="1"/>
        <w:rPr>
          <w:rStyle w:val="18"/>
          <w:rFonts w:ascii="黑体" w:eastAsia="黑体"/>
          <w:b w:val="0"/>
        </w:rPr>
      </w:pPr>
      <w:bookmarkStart w:id="40" w:name="_Toc15377215"/>
      <w:bookmarkStart w:id="41" w:name="_Toc15396609"/>
      <w:r>
        <w:rPr>
          <w:rFonts w:hint="eastAsia" w:ascii="黑体" w:eastAsia="黑体"/>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0"/>
      <w:bookmarkEnd w:id="41"/>
    </w:p>
    <w:p>
      <w:pPr>
        <w:pageBreakBefore w:val="0"/>
        <w:kinsoku/>
        <w:wordWrap/>
        <w:overflowPunct/>
        <w:topLinePunct w:val="0"/>
        <w:bidi w:val="0"/>
        <w:spacing w:line="576" w:lineRule="exact"/>
        <w:ind w:firstLine="640"/>
        <w:outlineLvl w:val="2"/>
        <w:rPr>
          <w:rFonts w:ascii="仿宋" w:eastAsia="仿宋"/>
          <w:b/>
          <w:sz w:val="32"/>
          <w:szCs w:val="32"/>
        </w:rPr>
      </w:pPr>
      <w:bookmarkStart w:id="42" w:name="_Toc15377216"/>
      <w:r>
        <w:rPr>
          <w:rFonts w:hint="eastAsia" w:ascii="仿宋" w:eastAsia="仿宋"/>
          <w:b/>
          <w:sz w:val="32"/>
          <w:szCs w:val="32"/>
        </w:rPr>
        <w:t>（一）“三公”经费财政拨款支出决算总体情况说明</w:t>
      </w:r>
      <w:bookmarkEnd w:id="42"/>
    </w:p>
    <w:p>
      <w:pPr>
        <w:pageBreakBefore w:val="0"/>
        <w:kinsoku/>
        <w:wordWrap/>
        <w:overflowPunct/>
        <w:topLinePunct w:val="0"/>
        <w:bidi w:val="0"/>
        <w:spacing w:line="576" w:lineRule="exact"/>
        <w:ind w:firstLine="640"/>
        <w:rPr>
          <w:rFonts w:hint="eastAsia" w:ascii="仿宋" w:eastAsia="仿宋"/>
          <w:b/>
          <w:sz w:val="32"/>
          <w:szCs w:val="32"/>
          <w:lang w:eastAsia="zh-CN"/>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年“三公”经费财政拨款支出决算为</w:t>
      </w:r>
      <w:r>
        <w:rPr>
          <w:rFonts w:hint="eastAsia" w:ascii="仿宋" w:eastAsia="仿宋"/>
          <w:sz w:val="32"/>
          <w:szCs w:val="32"/>
          <w:lang w:val="en-US" w:eastAsia="zh-CN"/>
        </w:rPr>
        <w:t>0</w:t>
      </w:r>
      <w:r>
        <w:rPr>
          <w:rFonts w:hint="eastAsia" w:ascii="仿宋" w:eastAsia="仿宋"/>
          <w:sz w:val="32"/>
          <w:szCs w:val="32"/>
        </w:rPr>
        <w:t>万元，完成预算</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lang w:eastAsia="zh-CN"/>
        </w:rPr>
        <w:t>。</w:t>
      </w:r>
    </w:p>
    <w:p>
      <w:pPr>
        <w:pageBreakBefore w:val="0"/>
        <w:kinsoku/>
        <w:wordWrap/>
        <w:overflowPunct/>
        <w:topLinePunct w:val="0"/>
        <w:bidi w:val="0"/>
        <w:spacing w:line="576" w:lineRule="exact"/>
        <w:ind w:firstLine="640"/>
        <w:outlineLvl w:val="2"/>
        <w:rPr>
          <w:rFonts w:ascii="仿宋" w:eastAsia="仿宋"/>
          <w:b/>
          <w:sz w:val="32"/>
          <w:szCs w:val="32"/>
        </w:rPr>
      </w:pPr>
      <w:bookmarkStart w:id="43" w:name="_Toc15377217"/>
      <w:r>
        <w:rPr>
          <w:rFonts w:hint="eastAsia" w:ascii="仿宋" w:eastAsia="仿宋"/>
          <w:b/>
          <w:sz w:val="32"/>
          <w:szCs w:val="32"/>
        </w:rPr>
        <w:t>（二）“三公”经费财政拨款支出决算具体情况说明</w:t>
      </w:r>
      <w:bookmarkEnd w:id="43"/>
    </w:p>
    <w:p>
      <w:pPr>
        <w:pageBreakBefore w:val="0"/>
        <w:kinsoku/>
        <w:wordWrap/>
        <w:overflowPunct/>
        <w:topLinePunct w:val="0"/>
        <w:bidi w:val="0"/>
        <w:spacing w:line="576" w:lineRule="exact"/>
        <w:ind w:firstLine="640"/>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ageBreakBefore w:val="0"/>
        <w:kinsoku/>
        <w:wordWrap/>
        <w:overflowPunct/>
        <w:topLinePunct w:val="0"/>
        <w:bidi w:val="0"/>
        <w:spacing w:line="576"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5"/>
          <w:rFonts w:hint="eastAsia" w:ascii="仿宋" w:eastAsia="仿宋"/>
          <w:b w:val="0"/>
          <w:bCs/>
          <w:sz w:val="32"/>
          <w:szCs w:val="32"/>
        </w:rPr>
        <w:t>完成预算</w:t>
      </w:r>
      <w:r>
        <w:rPr>
          <w:rStyle w:val="15"/>
          <w:rFonts w:hint="eastAsia" w:ascii="仿宋" w:eastAsia="仿宋"/>
          <w:b w:val="0"/>
          <w:bCs/>
          <w:sz w:val="32"/>
          <w:szCs w:val="32"/>
          <w:lang w:val="en-US" w:eastAsia="zh-CN"/>
        </w:rPr>
        <w:t>0</w:t>
      </w:r>
      <w:r>
        <w:rPr>
          <w:rStyle w:val="15"/>
          <w:rFonts w:ascii="仿宋" w:eastAsia="仿宋"/>
          <w:b w:val="0"/>
          <w:bCs/>
          <w:sz w:val="32"/>
          <w:szCs w:val="32"/>
        </w:rPr>
        <w:t>%</w:t>
      </w:r>
      <w:r>
        <w:rPr>
          <w:rStyle w:val="15"/>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576"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5"/>
          <w:rFonts w:hint="eastAsia" w:ascii="仿宋" w:eastAsia="仿宋"/>
          <w:b w:val="0"/>
          <w:bCs/>
          <w:sz w:val="32"/>
          <w:szCs w:val="32"/>
        </w:rPr>
        <w:t>完成预算</w:t>
      </w:r>
      <w:r>
        <w:rPr>
          <w:rStyle w:val="15"/>
          <w:rFonts w:hint="eastAsia" w:ascii="仿宋" w:eastAsia="仿宋"/>
          <w:b w:val="0"/>
          <w:bCs/>
          <w:sz w:val="32"/>
          <w:szCs w:val="32"/>
          <w:lang w:val="en-US" w:eastAsia="zh-CN"/>
        </w:rPr>
        <w:t>0</w:t>
      </w:r>
      <w:r>
        <w:rPr>
          <w:rStyle w:val="15"/>
          <w:rFonts w:ascii="仿宋" w:eastAsia="仿宋"/>
          <w:b w:val="0"/>
          <w:bCs/>
          <w:sz w:val="32"/>
          <w:szCs w:val="32"/>
        </w:rPr>
        <w:t>%</w:t>
      </w:r>
      <w:r>
        <w:rPr>
          <w:rStyle w:val="15"/>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576"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w:t>
      </w:r>
    </w:p>
    <w:p>
      <w:pPr>
        <w:pageBreakBefore w:val="0"/>
        <w:kinsoku/>
        <w:wordWrap/>
        <w:overflowPunct/>
        <w:topLinePunct w:val="0"/>
        <w:bidi w:val="0"/>
        <w:spacing w:line="576" w:lineRule="exact"/>
        <w:ind w:firstLine="640"/>
        <w:rPr>
          <w:rFonts w:hint="eastAsia"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spacing w:line="576"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5"/>
          <w:rFonts w:hint="eastAsia" w:ascii="仿宋" w:eastAsia="仿宋"/>
          <w:b w:val="0"/>
          <w:bCs/>
          <w:sz w:val="32"/>
          <w:szCs w:val="32"/>
        </w:rPr>
        <w:t>完成预算</w:t>
      </w:r>
      <w:r>
        <w:rPr>
          <w:rStyle w:val="15"/>
          <w:rFonts w:hint="eastAsia" w:ascii="仿宋" w:eastAsia="仿宋"/>
          <w:b w:val="0"/>
          <w:bCs/>
          <w:sz w:val="32"/>
          <w:szCs w:val="32"/>
          <w:lang w:val="en-US" w:eastAsia="zh-CN"/>
        </w:rPr>
        <w:t>0</w:t>
      </w:r>
      <w:r>
        <w:rPr>
          <w:rStyle w:val="15"/>
          <w:rFonts w:ascii="仿宋" w:eastAsia="仿宋"/>
          <w:b w:val="0"/>
          <w:bCs/>
          <w:sz w:val="32"/>
          <w:szCs w:val="32"/>
        </w:rPr>
        <w:t>%</w:t>
      </w:r>
      <w:r>
        <w:rPr>
          <w:rStyle w:val="15"/>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w:t>
      </w:r>
    </w:p>
    <w:p>
      <w:pPr>
        <w:pageBreakBefore w:val="0"/>
        <w:kinsoku/>
        <w:wordWrap/>
        <w:overflowPunct/>
        <w:topLinePunct w:val="0"/>
        <w:bidi w:val="0"/>
        <w:spacing w:line="576"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w:t>
      </w:r>
      <w:r>
        <w:rPr>
          <w:rFonts w:hint="eastAsia" w:ascii="仿宋_GB2312" w:eastAsia="仿宋_GB2312"/>
          <w:sz w:val="32"/>
          <w:szCs w:val="32"/>
        </w:rPr>
        <w:t>万元。</w:t>
      </w:r>
    </w:p>
    <w:p>
      <w:pPr>
        <w:pageBreakBefore w:val="0"/>
        <w:kinsoku/>
        <w:wordWrap/>
        <w:overflowPunct/>
        <w:topLinePunct w:val="0"/>
        <w:bidi w:val="0"/>
        <w:spacing w:line="576" w:lineRule="exact"/>
        <w:ind w:firstLine="643" w:firstLineChars="200"/>
        <w:rPr>
          <w:rFonts w:ascii="黑体" w:eastAsia="黑体"/>
          <w:sz w:val="32"/>
          <w:szCs w:val="32"/>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bookmarkStart w:id="44" w:name="_Toc15377218"/>
      <w:bookmarkStart w:id="45" w:name="_Toc15396610"/>
    </w:p>
    <w:p>
      <w:pPr>
        <w:pageBreakBefore w:val="0"/>
        <w:kinsoku/>
        <w:wordWrap/>
        <w:overflowPunct/>
        <w:topLinePunct w:val="0"/>
        <w:bidi w:val="0"/>
        <w:spacing w:line="576" w:lineRule="exact"/>
        <w:ind w:firstLine="640"/>
        <w:outlineLvl w:val="1"/>
        <w:rPr>
          <w:rStyle w:val="18"/>
          <w:rFonts w:ascii="黑体" w:eastAsia="黑体"/>
        </w:rPr>
      </w:pPr>
      <w:r>
        <w:rPr>
          <w:rFonts w:hint="eastAsia" w:ascii="黑体" w:eastAsia="黑体"/>
          <w:sz w:val="32"/>
          <w:szCs w:val="32"/>
        </w:rPr>
        <w:t>八、</w:t>
      </w:r>
      <w:r>
        <w:rPr>
          <w:rStyle w:val="18"/>
          <w:rFonts w:hint="eastAsia" w:ascii="黑体" w:eastAsia="黑体"/>
          <w:b w:val="0"/>
        </w:rPr>
        <w:t>政府性基金预算支出决算情况说明</w:t>
      </w:r>
      <w:bookmarkEnd w:id="44"/>
      <w:bookmarkEnd w:id="45"/>
    </w:p>
    <w:p>
      <w:pPr>
        <w:pageBreakBefore w:val="0"/>
        <w:kinsoku/>
        <w:wordWrap/>
        <w:overflowPunct/>
        <w:topLinePunct w:val="0"/>
        <w:bidi w:val="0"/>
        <w:spacing w:line="576"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numPr>
          <w:ilvl w:val="0"/>
          <w:numId w:val="3"/>
        </w:numPr>
        <w:kinsoku/>
        <w:wordWrap/>
        <w:overflowPunct/>
        <w:topLinePunct w:val="0"/>
        <w:bidi w:val="0"/>
        <w:spacing w:line="576" w:lineRule="exact"/>
        <w:ind w:firstLine="640"/>
        <w:outlineLvl w:val="1"/>
        <w:rPr>
          <w:rStyle w:val="18"/>
          <w:rFonts w:ascii="黑体" w:eastAsia="黑体"/>
          <w:b w:val="0"/>
        </w:rPr>
      </w:pPr>
      <w:bookmarkStart w:id="46" w:name="_Toc15377219"/>
      <w:bookmarkStart w:id="47" w:name="_Toc15396611"/>
      <w:r>
        <w:rPr>
          <w:rStyle w:val="18"/>
          <w:rFonts w:hint="eastAsia" w:ascii="黑体" w:eastAsia="黑体"/>
          <w:b w:val="0"/>
        </w:rPr>
        <w:t>国有资本经营预算支出决算情况说明</w:t>
      </w:r>
      <w:bookmarkEnd w:id="46"/>
      <w:bookmarkEnd w:id="47"/>
    </w:p>
    <w:p>
      <w:pPr>
        <w:pageBreakBefore w:val="0"/>
        <w:kinsoku/>
        <w:wordWrap/>
        <w:overflowPunct/>
        <w:topLinePunct w:val="0"/>
        <w:bidi w:val="0"/>
        <w:spacing w:line="576"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numPr>
          <w:ilvl w:val="0"/>
          <w:numId w:val="3"/>
        </w:numPr>
        <w:kinsoku/>
        <w:wordWrap/>
        <w:overflowPunct/>
        <w:topLinePunct w:val="0"/>
        <w:bidi w:val="0"/>
        <w:spacing w:line="576" w:lineRule="exact"/>
        <w:ind w:firstLine="640"/>
        <w:outlineLvl w:val="1"/>
        <w:rPr>
          <w:rStyle w:val="18"/>
          <w:rFonts w:ascii="黑体" w:eastAsia="黑体"/>
          <w:b w:val="0"/>
        </w:rPr>
      </w:pPr>
      <w:bookmarkStart w:id="48" w:name="_Toc15377221"/>
      <w:bookmarkStart w:id="49" w:name="_Toc15396612"/>
      <w:r>
        <w:rPr>
          <w:rStyle w:val="18"/>
          <w:rFonts w:hint="eastAsia" w:ascii="黑体" w:eastAsia="黑体"/>
          <w:b w:val="0"/>
        </w:rPr>
        <w:t>其他重要事项的情况说明</w:t>
      </w:r>
      <w:bookmarkEnd w:id="48"/>
      <w:bookmarkEnd w:id="49"/>
    </w:p>
    <w:p>
      <w:pPr>
        <w:pageBreakBefore w:val="0"/>
        <w:kinsoku/>
        <w:wordWrap/>
        <w:overflowPunct/>
        <w:topLinePunct w:val="0"/>
        <w:bidi w:val="0"/>
        <w:spacing w:line="576" w:lineRule="exact"/>
        <w:ind w:firstLine="643" w:firstLineChars="200"/>
        <w:outlineLvl w:val="2"/>
        <w:rPr>
          <w:rFonts w:ascii="仿宋" w:eastAsia="仿宋"/>
          <w:sz w:val="32"/>
          <w:szCs w:val="32"/>
        </w:rPr>
      </w:pPr>
      <w:bookmarkStart w:id="50" w:name="_Toc15377222"/>
      <w:r>
        <w:rPr>
          <w:rFonts w:hint="eastAsia" w:ascii="仿宋" w:eastAsia="仿宋"/>
          <w:b/>
          <w:sz w:val="32"/>
          <w:szCs w:val="32"/>
        </w:rPr>
        <w:t>（一）机关运行经费支出情况</w:t>
      </w:r>
      <w:bookmarkEnd w:id="50"/>
    </w:p>
    <w:p>
      <w:pPr>
        <w:pageBreakBefore w:val="0"/>
        <w:kinsoku/>
        <w:wordWrap/>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w:t>
      </w:r>
      <w:r>
        <w:rPr>
          <w:rFonts w:hint="default" w:ascii="仿宋_GB2312" w:eastAsia="仿宋_GB2312" w:cs="仿宋_GB2312"/>
          <w:kern w:val="0"/>
          <w:sz w:val="32"/>
          <w:szCs w:val="32"/>
          <w:shd w:val="clear" w:fill="FFFFFF"/>
        </w:rPr>
        <w:t>中共阿坝州红原县委县政府联动指挥中心机关运行经费支出0.00万元，比20</w:t>
      </w:r>
      <w:r>
        <w:rPr>
          <w:rFonts w:hint="eastAsia" w:ascii="仿宋_GB2312" w:eastAsia="仿宋_GB2312" w:cs="仿宋_GB2312"/>
          <w:kern w:val="0"/>
          <w:sz w:val="32"/>
          <w:szCs w:val="32"/>
          <w:shd w:val="clear" w:fill="FFFFFF"/>
          <w:lang w:val="en-US" w:eastAsia="zh-CN"/>
        </w:rPr>
        <w:t>22</w:t>
      </w:r>
      <w:r>
        <w:rPr>
          <w:rFonts w:hint="default" w:ascii="仿宋_GB2312" w:eastAsia="仿宋_GB2312" w:cs="仿宋_GB2312"/>
          <w:kern w:val="0"/>
          <w:sz w:val="32"/>
          <w:szCs w:val="32"/>
          <w:shd w:val="clear" w:fill="FFFFFF"/>
        </w:rPr>
        <w:t>年增加 0.00万元。</w:t>
      </w:r>
    </w:p>
    <w:p>
      <w:pPr>
        <w:pageBreakBefore w:val="0"/>
        <w:kinsoku/>
        <w:wordWrap/>
        <w:overflowPunct/>
        <w:topLinePunct w:val="0"/>
        <w:autoSpaceDE w:val="0"/>
        <w:autoSpaceDN w:val="0"/>
        <w:bidi w:val="0"/>
        <w:adjustRightInd w:val="0"/>
        <w:spacing w:line="576" w:lineRule="exact"/>
        <w:ind w:firstLine="643" w:firstLineChars="200"/>
        <w:jc w:val="left"/>
        <w:outlineLvl w:val="2"/>
        <w:rPr>
          <w:rFonts w:ascii="仿宋" w:eastAsia="仿宋"/>
          <w:b/>
          <w:sz w:val="32"/>
          <w:szCs w:val="32"/>
        </w:rPr>
      </w:pPr>
      <w:bookmarkStart w:id="51" w:name="_Toc15377223"/>
      <w:r>
        <w:rPr>
          <w:rFonts w:hint="eastAsia" w:ascii="仿宋" w:eastAsia="仿宋"/>
          <w:b/>
          <w:sz w:val="32"/>
          <w:szCs w:val="32"/>
        </w:rPr>
        <w:t>（二）政府采购支出情况</w:t>
      </w:r>
      <w:bookmarkEnd w:id="51"/>
    </w:p>
    <w:p>
      <w:pPr>
        <w:pageBreakBefore w:val="0"/>
        <w:kinsoku/>
        <w:wordWrap/>
        <w:overflowPunct/>
        <w:topLinePunct w:val="0"/>
        <w:bidi w:val="0"/>
        <w:spacing w:line="576" w:lineRule="exact"/>
        <w:ind w:firstLine="640" w:firstLineChars="200"/>
        <w:rPr>
          <w:rFonts w:hint="default" w:ascii="仿宋_GB2312" w:eastAsia="仿宋_GB2312" w:cs="仿宋_GB2312"/>
          <w:kern w:val="0"/>
          <w:sz w:val="32"/>
          <w:szCs w:val="32"/>
          <w:shd w:val="clear" w:fill="FFFFFF"/>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default" w:ascii="仿宋_GB2312" w:eastAsia="仿宋_GB2312" w:cs="仿宋_GB2312"/>
          <w:kern w:val="0"/>
          <w:sz w:val="32"/>
          <w:szCs w:val="32"/>
          <w:shd w:val="clear" w:fill="FFFFFF"/>
        </w:rPr>
        <w:t>，中共阿坝州红原县委县政府联动指挥中心政府采购支出总额0.00万元，其中：政府采购货物支出 0.00万元、政府采购工程支出0.00万元、政府采购服务支出0.00万元。授予中小企 业合同金额0.00万元，占政府采购支出总额的0.00%，其中：授予小微企业合同金额0.00万元，占政府采购支出总额的0.00%。</w:t>
      </w:r>
    </w:p>
    <w:p>
      <w:pPr>
        <w:pageBreakBefore w:val="0"/>
        <w:kinsoku/>
        <w:wordWrap/>
        <w:overflowPunct/>
        <w:topLinePunct w:val="0"/>
        <w:bidi w:val="0"/>
        <w:spacing w:line="576" w:lineRule="exact"/>
        <w:ind w:firstLine="640" w:firstLineChars="200"/>
        <w:rPr>
          <w:rFonts w:hint="default" w:ascii="仿宋_GB2312" w:eastAsia="仿宋_GB2312" w:cs="仿宋_GB2312"/>
          <w:kern w:val="0"/>
          <w:sz w:val="32"/>
          <w:szCs w:val="32"/>
          <w:shd w:val="clear" w:fill="FFFFFF"/>
        </w:rPr>
      </w:pPr>
      <w:bookmarkStart w:id="52" w:name="_Toc15377224"/>
      <w:r>
        <w:rPr>
          <w:rFonts w:hint="eastAsia" w:ascii="仿宋_GB2312" w:eastAsia="仿宋_GB2312" w:cs="仿宋_GB2312"/>
          <w:kern w:val="0"/>
          <w:sz w:val="32"/>
          <w:szCs w:val="32"/>
          <w:shd w:val="clear" w:fill="FFFFFF"/>
        </w:rPr>
        <w:t>（三）国有资产占有使用情况</w:t>
      </w:r>
      <w:bookmarkEnd w:id="52"/>
    </w:p>
    <w:p>
      <w:pPr>
        <w:pageBreakBefore w:val="0"/>
        <w:kinsoku/>
        <w:wordWrap/>
        <w:overflowPunct/>
        <w:topLinePunct w:val="0"/>
        <w:bidi w:val="0"/>
        <w:spacing w:line="576" w:lineRule="exact"/>
        <w:ind w:firstLine="640" w:firstLineChars="200"/>
        <w:rPr>
          <w:rFonts w:hint="default" w:ascii="仿宋_GB2312" w:eastAsia="仿宋_GB2312" w:cs="仿宋_GB2312"/>
          <w:kern w:val="0"/>
          <w:sz w:val="32"/>
          <w:szCs w:val="32"/>
          <w:shd w:val="clear" w:fill="FFFFFF"/>
        </w:rPr>
      </w:pPr>
      <w:r>
        <w:rPr>
          <w:rFonts w:hint="eastAsia" w:ascii="仿宋_GB2312" w:eastAsia="仿宋_GB2312" w:cs="仿宋_GB2312"/>
          <w:kern w:val="0"/>
          <w:sz w:val="32"/>
          <w:szCs w:val="32"/>
          <w:shd w:val="clear" w:fill="FFFFFF"/>
        </w:rPr>
        <w:t>截至</w:t>
      </w:r>
      <w:r>
        <w:rPr>
          <w:rFonts w:hint="default" w:ascii="仿宋_GB2312" w:eastAsia="仿宋_GB2312" w:cs="仿宋_GB2312"/>
          <w:kern w:val="0"/>
          <w:sz w:val="32"/>
          <w:szCs w:val="32"/>
          <w:shd w:val="clear" w:fill="FFFFFF"/>
        </w:rPr>
        <w:t>20</w:t>
      </w:r>
      <w:r>
        <w:rPr>
          <w:rFonts w:hint="eastAsia" w:ascii="仿宋_GB2312" w:eastAsia="仿宋_GB2312" w:cs="仿宋_GB2312"/>
          <w:kern w:val="0"/>
          <w:sz w:val="32"/>
          <w:szCs w:val="32"/>
          <w:shd w:val="clear" w:fill="FFFFFF"/>
        </w:rPr>
        <w:t>2</w:t>
      </w:r>
      <w:r>
        <w:rPr>
          <w:rFonts w:hint="eastAsia" w:ascii="仿宋_GB2312" w:eastAsia="仿宋_GB2312" w:cs="仿宋_GB2312"/>
          <w:kern w:val="0"/>
          <w:sz w:val="32"/>
          <w:szCs w:val="32"/>
          <w:shd w:val="clear" w:fill="FFFFFF"/>
          <w:lang w:val="en-US" w:eastAsia="zh-CN"/>
        </w:rPr>
        <w:t>3</w:t>
      </w:r>
      <w:r>
        <w:rPr>
          <w:rFonts w:hint="eastAsia" w:ascii="仿宋_GB2312" w:eastAsia="仿宋_GB2312" w:cs="仿宋_GB2312"/>
          <w:kern w:val="0"/>
          <w:sz w:val="32"/>
          <w:szCs w:val="32"/>
          <w:shd w:val="clear" w:fill="FFFFFF"/>
        </w:rPr>
        <w:t>年</w:t>
      </w:r>
      <w:r>
        <w:rPr>
          <w:rFonts w:hint="default" w:ascii="仿宋_GB2312" w:eastAsia="仿宋_GB2312" w:cs="仿宋_GB2312"/>
          <w:kern w:val="0"/>
          <w:sz w:val="32"/>
          <w:szCs w:val="32"/>
          <w:shd w:val="clear" w:fill="FFFFFF"/>
        </w:rPr>
        <w:t>12</w:t>
      </w:r>
      <w:r>
        <w:rPr>
          <w:rFonts w:hint="eastAsia" w:ascii="仿宋_GB2312" w:eastAsia="仿宋_GB2312" w:cs="仿宋_GB2312"/>
          <w:kern w:val="0"/>
          <w:sz w:val="32"/>
          <w:szCs w:val="32"/>
          <w:shd w:val="clear" w:fill="FFFFFF"/>
        </w:rPr>
        <w:t>月</w:t>
      </w:r>
      <w:r>
        <w:rPr>
          <w:rFonts w:hint="default" w:ascii="仿宋_GB2312" w:eastAsia="仿宋_GB2312" w:cs="仿宋_GB2312"/>
          <w:kern w:val="0"/>
          <w:sz w:val="32"/>
          <w:szCs w:val="32"/>
          <w:shd w:val="clear" w:fill="FFFFFF"/>
        </w:rPr>
        <w:t>31</w:t>
      </w:r>
      <w:r>
        <w:rPr>
          <w:rFonts w:hint="eastAsia" w:ascii="仿宋_GB2312" w:eastAsia="仿宋_GB2312" w:cs="仿宋_GB2312"/>
          <w:kern w:val="0"/>
          <w:sz w:val="32"/>
          <w:szCs w:val="32"/>
          <w:shd w:val="clear" w:fill="FFFFFF"/>
        </w:rPr>
        <w:t>日，</w:t>
      </w:r>
      <w:r>
        <w:rPr>
          <w:rFonts w:hint="default" w:ascii="仿宋_GB2312" w:eastAsia="仿宋_GB2312" w:cs="仿宋_GB2312"/>
          <w:kern w:val="0"/>
          <w:sz w:val="32"/>
          <w:szCs w:val="32"/>
          <w:shd w:val="clear" w:fill="FFFFFF"/>
        </w:rPr>
        <w:t>中共阿坝州红原县委县政府联动指挥中心共有车辆0辆，其中：主要领导干部用车0 辆、机要通信用车0辆、应急保障用车0辆、执法执勤用车0 辆、特种专业技术用车0辆、离退休干部用车0辆、其他用车 0辆。单价50万元以上通用设备0台（套），单价100万元以上专用设备0台（套）。</w:t>
      </w:r>
    </w:p>
    <w:p>
      <w:pPr>
        <w:pageBreakBefore w:val="0"/>
        <w:kinsoku/>
        <w:wordWrap/>
        <w:overflowPunct/>
        <w:topLinePunct w:val="0"/>
        <w:autoSpaceDE w:val="0"/>
        <w:autoSpaceDN w:val="0"/>
        <w:bidi w:val="0"/>
        <w:adjustRightInd w:val="0"/>
        <w:spacing w:line="576"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keepNext w:val="0"/>
        <w:keepLines w:val="0"/>
        <w:widowControl w:val="0"/>
        <w:suppressLineNumbers w:val="0"/>
        <w:autoSpaceDE w:val="0"/>
        <w:autoSpaceDN/>
        <w:spacing w:before="0" w:beforeAutospacing="0" w:line="576" w:lineRule="exact"/>
        <w:ind w:left="0" w:firstLine="640" w:firstLineChars="200"/>
        <w:rPr>
          <w:rFonts w:hint="default" w:ascii="仿宋_GB2312" w:eastAsia="仿宋_GB2312" w:cs="仿宋_GB2312"/>
          <w:kern w:val="0"/>
          <w:sz w:val="32"/>
          <w:szCs w:val="32"/>
        </w:rPr>
      </w:pPr>
      <w:r>
        <w:rPr>
          <w:rFonts w:hint="default" w:ascii="仿宋_GB2312" w:eastAsia="仿宋_GB2312" w:cs="仿宋_GB2312"/>
          <w:kern w:val="0"/>
          <w:sz w:val="32"/>
          <w:szCs w:val="32"/>
          <w:shd w:val="clear" w:fill="FFFFFF"/>
        </w:rPr>
        <w:t xml:space="preserve"> </w:t>
      </w:r>
      <w:r>
        <w:rPr>
          <w:rFonts w:hint="default" w:ascii="仿宋_GB2312" w:eastAsia="仿宋_GB2312" w:cs="仿宋_GB2312"/>
          <w:kern w:val="0"/>
          <w:sz w:val="32"/>
          <w:szCs w:val="32"/>
        </w:rPr>
        <w:t>根据预算绩效管理要求，本部门（单位）在年初预算编制阶段，组织对项目（项目名称）开展了预算事前绩效评估，对0个项目编制了绩效目标，预算执行过程中，选取0个项目开展绩效监控，年终执行完毕后，对0个项目开展了绩效目标完成情况自评。</w:t>
      </w:r>
    </w:p>
    <w:p>
      <w:pPr>
        <w:keepNext w:val="0"/>
        <w:keepLines w:val="0"/>
        <w:widowControl w:val="0"/>
        <w:suppressLineNumbers w:val="0"/>
        <w:autoSpaceDE w:val="0"/>
        <w:autoSpaceDN/>
        <w:spacing w:before="0" w:beforeAutospacing="0" w:line="576" w:lineRule="exact"/>
        <w:ind w:left="0" w:firstLine="640" w:firstLineChars="200"/>
        <w:rPr>
          <w:rFonts w:hint="default" w:ascii="仿宋_GB2312" w:eastAsia="仿宋_GB2312" w:cs="仿宋_GB2312"/>
          <w:kern w:val="0"/>
          <w:sz w:val="32"/>
          <w:szCs w:val="32"/>
        </w:rPr>
      </w:pPr>
      <w:r>
        <w:rPr>
          <w:rFonts w:hint="default" w:ascii="仿宋_GB2312" w:eastAsia="仿宋_GB2312" w:cs="仿宋_GB2312"/>
          <w:kern w:val="0"/>
          <w:sz w:val="32"/>
          <w:szCs w:val="32"/>
        </w:rPr>
        <w:t>本部门按要求对20</w:t>
      </w:r>
      <w:r>
        <w:rPr>
          <w:rFonts w:hint="eastAsia" w:ascii="仿宋_GB2312" w:eastAsia="仿宋_GB2312" w:cs="仿宋_GB2312"/>
          <w:kern w:val="0"/>
          <w:sz w:val="32"/>
          <w:szCs w:val="32"/>
          <w:lang w:val="en-US" w:eastAsia="zh-CN"/>
        </w:rPr>
        <w:t>23</w:t>
      </w:r>
      <w:r>
        <w:rPr>
          <w:rFonts w:hint="default" w:ascii="仿宋_GB2312" w:eastAsia="仿宋_GB2312" w:cs="仿宋_GB2312"/>
          <w:kern w:val="0"/>
          <w:sz w:val="32"/>
          <w:szCs w:val="32"/>
        </w:rPr>
        <w:t>年部门整体支出开展绩效自评，从评价情况来看。本部门还自行组织了0个项目支出绩效评价，从评价情况来看。</w:t>
      </w:r>
    </w:p>
    <w:p>
      <w:pPr>
        <w:pStyle w:val="6"/>
        <w:pageBreakBefore w:val="0"/>
        <w:kinsoku/>
        <w:wordWrap/>
        <w:overflowPunct/>
        <w:topLinePunct w:val="0"/>
        <w:bidi w:val="0"/>
        <w:spacing w:before="93" w:line="576" w:lineRule="exact"/>
        <w:rPr>
          <w:highlight w:val="yellow"/>
        </w:rPr>
      </w:pPr>
    </w:p>
    <w:p>
      <w:pPr>
        <w:pageBreakBefore w:val="0"/>
        <w:widowControl/>
        <w:kinsoku/>
        <w:wordWrap/>
        <w:overflowPunct/>
        <w:topLinePunct w:val="0"/>
        <w:bidi w:val="0"/>
        <w:spacing w:line="576" w:lineRule="exact"/>
        <w:jc w:val="left"/>
        <w:rPr>
          <w:rFonts w:ascii="仿宋_GB2312" w:eastAsia="仿宋_GB2312"/>
          <w:b/>
          <w:sz w:val="32"/>
          <w:szCs w:val="32"/>
        </w:rPr>
      </w:pPr>
      <w:r>
        <w:rPr>
          <w:rFonts w:ascii="仿宋_GB2312" w:eastAsia="仿宋_GB2312"/>
          <w:b/>
          <w:sz w:val="32"/>
          <w:szCs w:val="32"/>
        </w:rPr>
        <w:br w:type="page"/>
      </w:r>
    </w:p>
    <w:p>
      <w:pPr>
        <w:pageBreakBefore w:val="0"/>
        <w:numPr>
          <w:ilvl w:val="0"/>
          <w:numId w:val="4"/>
        </w:numPr>
        <w:kinsoku/>
        <w:wordWrap/>
        <w:overflowPunct/>
        <w:topLinePunct w:val="0"/>
        <w:bidi w:val="0"/>
        <w:spacing w:line="576" w:lineRule="exact"/>
        <w:ind w:firstLine="660" w:firstLineChars="150"/>
        <w:jc w:val="center"/>
        <w:outlineLvl w:val="0"/>
        <w:rPr>
          <w:rStyle w:val="17"/>
          <w:rFonts w:ascii="黑体" w:eastAsia="黑体"/>
          <w:b w:val="0"/>
        </w:rPr>
      </w:pPr>
      <w:bookmarkStart w:id="53" w:name="_Toc15396613"/>
      <w:bookmarkStart w:id="54" w:name="_Toc15377225"/>
      <w:r>
        <w:rPr>
          <w:rFonts w:hint="eastAsia" w:ascii="黑体" w:eastAsia="黑体"/>
          <w:sz w:val="44"/>
          <w:szCs w:val="44"/>
        </w:rPr>
        <w:t>名</w:t>
      </w:r>
      <w:r>
        <w:rPr>
          <w:rStyle w:val="17"/>
          <w:rFonts w:hint="eastAsia" w:ascii="黑体" w:eastAsia="黑体"/>
          <w:b w:val="0"/>
        </w:rPr>
        <w:t>词解释</w:t>
      </w:r>
      <w:bookmarkEnd w:id="53"/>
      <w:bookmarkEnd w:id="54"/>
    </w:p>
    <w:p>
      <w:pPr>
        <w:pageBreakBefore w:val="0"/>
        <w:kinsoku/>
        <w:wordWrap/>
        <w:overflowPunct/>
        <w:topLinePunct w:val="0"/>
        <w:bidi w:val="0"/>
        <w:spacing w:line="576" w:lineRule="exact"/>
        <w:jc w:val="left"/>
        <w:rPr>
          <w:rFonts w:ascii="宋体"/>
          <w:b/>
          <w:sz w:val="44"/>
          <w:szCs w:val="44"/>
        </w:rPr>
      </w:pPr>
    </w:p>
    <w:p>
      <w:pPr>
        <w:pStyle w:val="22"/>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2"/>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2"/>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2"/>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2"/>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2"/>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2"/>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2"/>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9.一般公共服务201类20103款2010350项事业支出指事业人员工资支出。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10.公共安全204类20499款2049901项其他公共安全支出指项目支出，维稳机动金支出。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11.社会保障和就业208类20805款2080505项指机关事业单位基本养老保险缴费支出。2020506指机关事业单位职业年金缴费支出。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12.卫生健康支出210类21011款2101102项指事业单位医疗支出，2101199指其他行政事业单位医疗支出。</w:t>
      </w:r>
    </w:p>
    <w:p>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13.住房保障221类22102款2210201项指住房公积金支出。</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2"/>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77226"/>
      <w:r>
        <w:rPr>
          <w:rFonts w:hint="eastAsia" w:ascii="仿宋_GB2312" w:eastAsia="仿宋_GB2312"/>
          <w:color w:val="auto"/>
          <w:sz w:val="32"/>
          <w:szCs w:val="32"/>
          <w:lang w:eastAsia="zh-CN"/>
        </w:rPr>
        <w:t>。</w:t>
      </w:r>
      <w:bookmarkStart w:id="56" w:name="_Toc15396614"/>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p>
    <w:p>
      <w:pPr>
        <w:pStyle w:val="22"/>
        <w:pageBreakBefore w:val="0"/>
        <w:kinsoku/>
        <w:wordWrap/>
        <w:overflowPunct/>
        <w:topLinePunct w:val="0"/>
        <w:bidi w:val="0"/>
        <w:spacing w:line="576" w:lineRule="exact"/>
        <w:ind w:firstLine="880" w:firstLineChars="200"/>
        <w:jc w:val="center"/>
        <w:rPr>
          <w:rStyle w:val="17"/>
          <w:rFonts w:ascii="黑体" w:eastAsia="黑体"/>
          <w:b w:val="0"/>
        </w:rPr>
      </w:pPr>
      <w:r>
        <w:rPr>
          <w:rFonts w:hint="eastAsia" w:ascii="黑体" w:eastAsia="黑体"/>
          <w:sz w:val="44"/>
          <w:szCs w:val="44"/>
        </w:rPr>
        <w:t>第</w:t>
      </w:r>
      <w:r>
        <w:rPr>
          <w:rStyle w:val="17"/>
          <w:rFonts w:hint="eastAsia" w:ascii="黑体" w:eastAsia="黑体"/>
          <w:b w:val="0"/>
        </w:rPr>
        <w:t>四部分 附件</w:t>
      </w:r>
      <w:bookmarkEnd w:id="56"/>
    </w:p>
    <w:p>
      <w:pPr>
        <w:pageBreakBefore w:val="0"/>
        <w:kinsoku/>
        <w:wordWrap/>
        <w:overflowPunct/>
        <w:topLinePunct w:val="0"/>
        <w:bidi w:val="0"/>
        <w:spacing w:line="576" w:lineRule="exact"/>
        <w:jc w:val="left"/>
        <w:outlineLvl w:val="0"/>
        <w:rPr>
          <w:rFonts w:ascii="仿宋_GB2312" w:eastAsia="仿宋_GB2312" w:cs="仿宋_GB2312"/>
          <w:sz w:val="32"/>
          <w:szCs w:val="32"/>
        </w:rPr>
      </w:pPr>
      <w:r>
        <w:rPr>
          <w:rFonts w:hint="eastAsia" w:ascii="黑体" w:eastAsia="黑体" w:cs="黑体"/>
          <w:sz w:val="32"/>
          <w:szCs w:val="32"/>
        </w:rPr>
        <w:t>附件</w:t>
      </w: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textAlignment w:val="center"/>
              <w:rPr>
                <w:rFonts w:ascii="宋体" w:cs="宋体"/>
                <w:b/>
                <w:sz w:val="32"/>
                <w:szCs w:val="32"/>
              </w:rPr>
            </w:pPr>
            <w:bookmarkStart w:id="57" w:name="_Toc15396618"/>
            <w:r>
              <w:rPr>
                <w:rFonts w:hint="eastAsia" w:ascii="宋体" w:cs="宋体"/>
                <w:b/>
                <w:sz w:val="32"/>
                <w:szCs w:val="32"/>
              </w:rPr>
              <w:t>202</w:t>
            </w:r>
            <w:r>
              <w:rPr>
                <w:rFonts w:hint="eastAsia" w:ascii="宋体" w:cs="宋体"/>
                <w:b/>
                <w:sz w:val="32"/>
                <w:szCs w:val="32"/>
                <w:lang w:val="en-US" w:eastAsia="zh-CN"/>
              </w:rPr>
              <w:t>3</w:t>
            </w:r>
            <w:r>
              <w:rPr>
                <w:rFonts w:hint="eastAsia" w:ascii="宋体" w:cs="宋体"/>
                <w:b/>
                <w:sz w:val="32"/>
                <w:szCs w:val="32"/>
              </w:rPr>
              <w:t>年100万元以上（含）特定目标类部门预算项目绩效目标自评</w:t>
            </w:r>
          </w:p>
        </w:tc>
        <w:tc>
          <w:tcPr>
            <w:tcW w:w="234" w:type="dxa"/>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hint="eastAsia" w:ascii="宋体" w:eastAsia="宋体" w:cs="宋体"/>
                <w:kern w:val="0"/>
                <w:sz w:val="24"/>
                <w:lang w:eastAsia="zh-CN"/>
              </w:rPr>
            </w:pPr>
            <w:r>
              <w:rPr>
                <w:rFonts w:hint="eastAsia" w:ascii="宋体" w:cs="宋体"/>
                <w:kern w:val="0"/>
                <w:sz w:val="24"/>
              </w:rPr>
              <w:t>项目预算</w:t>
            </w:r>
          </w:p>
          <w:p>
            <w:pPr>
              <w:pageBreakBefore w:val="0"/>
              <w:widowControl/>
              <w:kinsoku/>
              <w:wordWrap/>
              <w:overflowPunct/>
              <w:topLinePunct w:val="0"/>
              <w:bidi w:val="0"/>
              <w:spacing w:line="576" w:lineRule="exact"/>
              <w:jc w:val="center"/>
              <w:textAlignment w:val="center"/>
              <w:rPr>
                <w:rFonts w:hint="eastAsia" w:ascii="宋体" w:eastAsia="宋体" w:cs="宋体"/>
                <w:kern w:val="0"/>
                <w:sz w:val="24"/>
                <w:lang w:eastAsia="zh-CN"/>
              </w:rPr>
            </w:pPr>
            <w:r>
              <w:rPr>
                <w:rFonts w:hint="eastAsia" w:ascii="宋体" w:cs="宋体"/>
                <w:kern w:val="0"/>
                <w:sz w:val="24"/>
              </w:rPr>
              <w:t>执行情况</w:t>
            </w:r>
          </w:p>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righ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kern w:val="0"/>
                <w:sz w:val="24"/>
              </w:rPr>
            </w:pPr>
            <w:r>
              <w:rPr>
                <w:rFonts w:hint="eastAsia" w:ascii="宋体" w:cs="宋体"/>
                <w:kern w:val="0"/>
                <w:sz w:val="24"/>
              </w:rPr>
              <w:t>其中：</w:t>
            </w:r>
          </w:p>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kern w:val="0"/>
                <w:sz w:val="24"/>
              </w:rPr>
            </w:pPr>
            <w:r>
              <w:rPr>
                <w:rFonts w:hint="eastAsia" w:ascii="宋体" w:cs="宋体"/>
                <w:kern w:val="0"/>
                <w:sz w:val="24"/>
              </w:rPr>
              <w:t>其中：</w:t>
            </w:r>
          </w:p>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kern w:val="0"/>
                <w:sz w:val="24"/>
              </w:rPr>
            </w:pPr>
            <w:r>
              <w:rPr>
                <w:rFonts w:hint="eastAsia" w:ascii="宋体" w:cs="宋体"/>
                <w:kern w:val="0"/>
                <w:sz w:val="24"/>
              </w:rPr>
              <w:t>年度总体目标</w:t>
            </w:r>
          </w:p>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pageBreakBefore w:val="0"/>
              <w:widowControl/>
              <w:kinsoku/>
              <w:wordWrap/>
              <w:overflowPunct/>
              <w:topLinePunct w:val="0"/>
              <w:bidi w:val="0"/>
              <w:spacing w:line="576"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pageBreakBefore w:val="0"/>
              <w:widowControl/>
              <w:kinsoku/>
              <w:wordWrap/>
              <w:overflowPunct/>
              <w:topLinePunct w:val="0"/>
              <w:bidi w:val="0"/>
              <w:spacing w:line="576"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bidi w:val="0"/>
              <w:spacing w:line="576"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效益</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kinsoku/>
              <w:wordWrap/>
              <w:overflowPunct/>
              <w:topLinePunct w:val="0"/>
              <w:bidi w:val="0"/>
              <w:spacing w:line="576" w:lineRule="exact"/>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bidi w:val="0"/>
              <w:spacing w:line="576" w:lineRule="exact"/>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满意</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pageBreakBefore w:val="0"/>
              <w:widowControl/>
              <w:kinsoku/>
              <w:wordWrap/>
              <w:overflowPunct/>
              <w:topLinePunct w:val="0"/>
              <w:bidi w:val="0"/>
              <w:spacing w:line="576" w:lineRule="exact"/>
              <w:jc w:val="center"/>
              <w:textAlignment w:val="bottom"/>
              <w:rPr>
                <w:rFonts w:ascii="仿宋_GB2312" w:eastAsia="仿宋_GB2312" w:cs="仿宋_GB2312"/>
                <w:sz w:val="28"/>
                <w:szCs w:val="28"/>
              </w:rPr>
            </w:pPr>
          </w:p>
        </w:tc>
      </w:tr>
    </w:tbl>
    <w:p>
      <w:pPr>
        <w:pageBreakBefore w:val="0"/>
        <w:kinsoku/>
        <w:wordWrap/>
        <w:overflowPunct/>
        <w:topLinePunct w:val="0"/>
        <w:bidi w:val="0"/>
        <w:spacing w:line="576" w:lineRule="exact"/>
        <w:jc w:val="center"/>
        <w:outlineLvl w:val="0"/>
        <w:rPr>
          <w:rFonts w:ascii="黑体" w:eastAsia="黑体"/>
          <w:sz w:val="44"/>
          <w:szCs w:val="44"/>
        </w:rPr>
      </w:pPr>
    </w:p>
    <w:p>
      <w:pPr>
        <w:pageBreakBefore w:val="0"/>
        <w:widowControl/>
        <w:kinsoku/>
        <w:wordWrap/>
        <w:overflowPunct/>
        <w:topLinePunct w:val="0"/>
        <w:bidi w:val="0"/>
        <w:adjustRightInd w:val="0"/>
        <w:snapToGrid w:val="0"/>
        <w:spacing w:line="576" w:lineRule="exact"/>
        <w:contextualSpacing/>
        <w:jc w:val="left"/>
      </w:pPr>
      <w:r>
        <w:rPr>
          <w:rFonts w:hint="eastAsia" w:ascii="仿宋_GB2312" w:eastAsia="仿宋_GB2312" w:cs="宋体"/>
          <w:color w:val="000000"/>
          <w:kern w:val="0"/>
          <w:sz w:val="32"/>
          <w:szCs w:val="32"/>
          <w:shd w:val="clear" w:color="auto" w:fill="FFFFFF"/>
        </w:rPr>
        <w:t>（注：有两个及以上100万元以上（含）特定目标类部门预算项目的，需分别开展绩效目标自评并填写附表）</w:t>
      </w:r>
    </w:p>
    <w:p>
      <w:pPr>
        <w:pageBreakBefore w:val="0"/>
        <w:kinsoku/>
        <w:wordWrap/>
        <w:overflowPunct/>
        <w:topLinePunct w:val="0"/>
        <w:bidi w:val="0"/>
        <w:spacing w:line="576" w:lineRule="exact"/>
        <w:jc w:val="center"/>
        <w:outlineLvl w:val="0"/>
        <w:rPr>
          <w:rFonts w:ascii="黑体" w:eastAsia="黑体"/>
          <w:sz w:val="44"/>
          <w:szCs w:val="44"/>
        </w:rPr>
      </w:pPr>
    </w:p>
    <w:p>
      <w:pPr>
        <w:pageBreakBefore w:val="0"/>
        <w:kinsoku/>
        <w:wordWrap/>
        <w:overflowPunct/>
        <w:topLinePunct w:val="0"/>
        <w:bidi w:val="0"/>
        <w:spacing w:line="576" w:lineRule="exact"/>
        <w:jc w:val="center"/>
        <w:outlineLvl w:val="0"/>
        <w:rPr>
          <w:rFonts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Style w:val="2"/>
        <w:ind w:left="0" w:leftChars="0" w:firstLine="0" w:firstLineChars="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Fonts w:hint="eastAsia" w:ascii="黑体" w:eastAsia="黑体"/>
          <w:sz w:val="44"/>
          <w:szCs w:val="44"/>
        </w:rPr>
      </w:pPr>
    </w:p>
    <w:p>
      <w:pPr>
        <w:pageBreakBefore w:val="0"/>
        <w:kinsoku/>
        <w:wordWrap/>
        <w:overflowPunct/>
        <w:topLinePunct w:val="0"/>
        <w:bidi w:val="0"/>
        <w:spacing w:line="576" w:lineRule="exact"/>
        <w:jc w:val="center"/>
        <w:outlineLvl w:val="0"/>
        <w:rPr>
          <w:rStyle w:val="17"/>
          <w:rFonts w:hint="eastAsia" w:ascii="黑体" w:eastAsia="黑体"/>
          <w:b w:val="0"/>
        </w:rPr>
      </w:pPr>
      <w:r>
        <w:rPr>
          <w:rFonts w:hint="eastAsia" w:ascii="黑体" w:eastAsia="黑体"/>
          <w:sz w:val="44"/>
          <w:szCs w:val="44"/>
        </w:rPr>
        <w:t>第</w:t>
      </w:r>
      <w:r>
        <w:rPr>
          <w:rStyle w:val="17"/>
          <w:rFonts w:hint="eastAsia" w:ascii="黑体" w:eastAsia="黑体"/>
          <w:b w:val="0"/>
        </w:rPr>
        <w:t>五部分 附表</w:t>
      </w:r>
      <w:bookmarkEnd w:id="55"/>
      <w:bookmarkEnd w:id="57"/>
      <w:bookmarkStart w:id="58" w:name="_Toc15396619"/>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一、收入支出决算总表</w:t>
      </w:r>
      <w:bookmarkEnd w:id="58"/>
      <w:bookmarkStart w:id="59" w:name="_Toc15396620"/>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二、收入决算表</w:t>
      </w:r>
      <w:bookmarkEnd w:id="59"/>
      <w:bookmarkStart w:id="60" w:name="_Toc15396621"/>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三、支出决算表</w:t>
      </w:r>
      <w:bookmarkEnd w:id="60"/>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bookmarkStart w:id="61" w:name="_Toc15396622"/>
      <w:r>
        <w:rPr>
          <w:rFonts w:hint="eastAsia" w:ascii="仿宋_GB2312" w:eastAsia="仿宋_GB2312"/>
          <w:color w:val="auto"/>
          <w:sz w:val="32"/>
          <w:szCs w:val="32"/>
        </w:rPr>
        <w:t>四、财政拨款收入支出决算总表</w:t>
      </w:r>
      <w:bookmarkEnd w:id="61"/>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bookmarkStart w:id="62" w:name="_Toc15396623"/>
      <w:r>
        <w:rPr>
          <w:rFonts w:hint="eastAsia" w:ascii="仿宋_GB2312" w:eastAsia="仿宋_GB2312"/>
          <w:color w:val="auto"/>
          <w:sz w:val="32"/>
          <w:szCs w:val="32"/>
        </w:rPr>
        <w:t>五、财政拨款支出决算明细表</w:t>
      </w:r>
      <w:bookmarkEnd w:id="62"/>
      <w:bookmarkStart w:id="63" w:name="_Toc15396624"/>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六、一般公共预算财政拨款支出决算表</w:t>
      </w:r>
      <w:bookmarkEnd w:id="63"/>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bookmarkStart w:id="64" w:name="_Toc15396625"/>
      <w:r>
        <w:rPr>
          <w:rFonts w:hint="eastAsia" w:ascii="仿宋_GB2312" w:eastAsia="仿宋_GB2312"/>
          <w:color w:val="auto"/>
          <w:sz w:val="32"/>
          <w:szCs w:val="32"/>
        </w:rPr>
        <w:t>七、一般公共预算财政拨款支出决算明细表</w:t>
      </w:r>
      <w:bookmarkEnd w:id="64"/>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bookmarkStart w:id="65" w:name="_Toc15396626"/>
      <w:r>
        <w:rPr>
          <w:rFonts w:hint="eastAsia" w:ascii="仿宋_GB2312" w:eastAsia="仿宋_GB2312"/>
          <w:color w:val="auto"/>
          <w:sz w:val="32"/>
          <w:szCs w:val="32"/>
        </w:rPr>
        <w:t>八、一般公共预算财政拨款基本支出决算表</w:t>
      </w:r>
      <w:bookmarkEnd w:id="65"/>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bookmarkStart w:id="66" w:name="_Toc15396627"/>
      <w:r>
        <w:rPr>
          <w:rFonts w:hint="eastAsia" w:ascii="仿宋_GB2312" w:eastAsia="仿宋_GB2312"/>
          <w:color w:val="auto"/>
          <w:sz w:val="32"/>
          <w:szCs w:val="32"/>
        </w:rPr>
        <w:t>九、一般公共预算财政拨款项目支出决算表</w:t>
      </w:r>
      <w:bookmarkEnd w:id="66"/>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bookmarkStart w:id="67" w:name="_Toc15396628"/>
      <w:r>
        <w:rPr>
          <w:rFonts w:hint="eastAsia" w:ascii="仿宋_GB2312" w:eastAsia="仿宋_GB2312"/>
          <w:color w:val="auto"/>
          <w:sz w:val="32"/>
          <w:szCs w:val="32"/>
        </w:rPr>
        <w:t>十、一般公共预算财政拨款“三公”经费支出决算表</w:t>
      </w:r>
      <w:bookmarkEnd w:id="67"/>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bookmarkStart w:id="68" w:name="_Toc15396629"/>
      <w:r>
        <w:rPr>
          <w:rFonts w:hint="eastAsia" w:ascii="仿宋_GB2312" w:eastAsia="仿宋_GB2312"/>
          <w:color w:val="auto"/>
          <w:sz w:val="32"/>
          <w:szCs w:val="32"/>
        </w:rPr>
        <w:t>十一、政府性基金预算财政拨款收入支出决算表</w:t>
      </w:r>
      <w:bookmarkEnd w:id="68"/>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bookmarkStart w:id="69" w:name="_Toc15396630"/>
      <w:r>
        <w:rPr>
          <w:rFonts w:hint="eastAsia" w:ascii="仿宋_GB2312" w:eastAsia="仿宋_GB2312"/>
          <w:color w:val="auto"/>
          <w:sz w:val="32"/>
          <w:szCs w:val="32"/>
        </w:rPr>
        <w:t>十二、政府性基金预算财政拨款“三公”经费支出决算表</w:t>
      </w:r>
      <w:bookmarkEnd w:id="69"/>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bookmarkStart w:id="70" w:name="_Toc15396631"/>
      <w:r>
        <w:rPr>
          <w:rFonts w:hint="eastAsia" w:ascii="仿宋_GB2312" w:eastAsia="仿宋_GB2312"/>
          <w:color w:val="auto"/>
          <w:sz w:val="32"/>
          <w:szCs w:val="32"/>
        </w:rPr>
        <w:t>十三、国有资本经营预算财政拨款收入支出决算表</w:t>
      </w:r>
      <w:bookmarkEnd w:id="70"/>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十四、国有资本经营预算财政拨款支出决算表</w:t>
      </w:r>
    </w:p>
    <w:p>
      <w:pPr>
        <w:pStyle w:val="22"/>
        <w:pageBreakBefore w:val="0"/>
        <w:kinsoku/>
        <w:wordWrap/>
        <w:overflowPunct/>
        <w:topLinePunct w:val="0"/>
        <w:bidi w:val="0"/>
        <w:spacing w:line="576" w:lineRule="exact"/>
        <w:ind w:firstLine="640" w:firstLineChars="200"/>
        <w:rPr>
          <w:rFonts w:hint="eastAsia" w:ascii="仿宋_GB2312" w:eastAsia="仿宋_GB2312"/>
          <w:color w:val="auto"/>
          <w:sz w:val="32"/>
          <w:szCs w:val="32"/>
        </w:rPr>
      </w:pPr>
    </w:p>
    <w:sectPr>
      <w:footerReference r:id="rId5" w:type="first"/>
      <w:footerReference r:id="rId4" w:type="default"/>
      <w:pgSz w:w="11906" w:h="16838"/>
      <w:pgMar w:top="2098" w:right="1474" w:bottom="1984" w:left="158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3"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2AF" w:usb1="01D77CFB" w:usb2="00000012" w:usb3="00000000" w:csb0="00080001"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2">
    <w:nsid w:val="0B34FAB7"/>
    <w:multiLevelType w:val="singleLevel"/>
    <w:tmpl w:val="0B34FAB7"/>
    <w:lvl w:ilvl="0" w:tentative="0">
      <w:start w:val="1"/>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GE1OWI0MGE5MmYwY2YwNTJhYTViOGM0NDRiMGJjMjUifQ=="/>
  </w:docVars>
  <w:rsids>
    <w:rsidRoot w:val="008C6A67"/>
    <w:rsid w:val="00190606"/>
    <w:rsid w:val="004F482C"/>
    <w:rsid w:val="008C6A67"/>
    <w:rsid w:val="02356D8C"/>
    <w:rsid w:val="02570F77"/>
    <w:rsid w:val="0E913392"/>
    <w:rsid w:val="0ED246E9"/>
    <w:rsid w:val="164C0FAD"/>
    <w:rsid w:val="1A3E28B9"/>
    <w:rsid w:val="1CCA04D3"/>
    <w:rsid w:val="22C814EA"/>
    <w:rsid w:val="265F0728"/>
    <w:rsid w:val="33E95BD1"/>
    <w:rsid w:val="38D36539"/>
    <w:rsid w:val="4BA93BEB"/>
    <w:rsid w:val="4ECD3CCE"/>
    <w:rsid w:val="52E76434"/>
    <w:rsid w:val="5DA61C7D"/>
    <w:rsid w:val="5EBB4F67"/>
    <w:rsid w:val="5F7B589B"/>
    <w:rsid w:val="616A611C"/>
    <w:rsid w:val="61B26849"/>
    <w:rsid w:val="627C3145"/>
    <w:rsid w:val="63395BF4"/>
    <w:rsid w:val="63E406FD"/>
    <w:rsid w:val="648213B2"/>
    <w:rsid w:val="6B9E391B"/>
    <w:rsid w:val="6DBD7BE5"/>
    <w:rsid w:val="70395FDC"/>
    <w:rsid w:val="76C749D2"/>
    <w:rsid w:val="78EE3D92"/>
    <w:rsid w:val="798E05AA"/>
    <w:rsid w:val="7DFF63F6"/>
    <w:rsid w:val="7F653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8"/>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
    <w:basedOn w:val="1"/>
    <w:qFormat/>
    <w:uiPriority w:val="0"/>
    <w:pPr>
      <w:spacing w:line="540" w:lineRule="exact"/>
      <w:ind w:firstLine="200" w:firstLineChars="200"/>
      <w:textAlignment w:val="baseline"/>
    </w:pPr>
    <w:rPr>
      <w:kern w:val="0"/>
      <w:szCs w:val="32"/>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字符"/>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字符"/>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7">
    <w:name w:val="15"/>
    <w:basedOn w:val="14"/>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3.xml"/><Relationship Id="rId14" Type="http://schemas.openxmlformats.org/officeDocument/2006/relationships/image" Target="media/image3.emf"/><Relationship Id="rId13" Type="http://schemas.openxmlformats.org/officeDocument/2006/relationships/oleObject" Target="embeddings/oleObject3.bin"/><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2.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支出决算结构图（万元）</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chemeClr val="accent1">
                <a:lumMod val="40000"/>
                <a:lumOff val="60000"/>
              </a:schemeClr>
            </a:solidFill>
            <a:ln>
              <a:noFill/>
            </a:ln>
          </c:spPr>
          <c:explosion val="0"/>
          <c:dPt>
            <c:idx val="0"/>
            <c:bubble3D val="0"/>
            <c:spPr>
              <a:solidFill>
                <a:schemeClr val="accent2">
                  <a:lumMod val="60000"/>
                  <a:lumOff val="40000"/>
                </a:schemeClr>
              </a:solidFill>
              <a:ln w="19050">
                <a:solidFill>
                  <a:srgbClr val="FFFFFF"/>
                </a:solidFill>
                <a:prstDash val="solid"/>
              </a:ln>
            </c:spPr>
          </c:dPt>
          <c:dPt>
            <c:idx val="1"/>
            <c:bubble3D val="0"/>
            <c:spPr>
              <a:solidFill>
                <a:schemeClr val="accent1">
                  <a:lumMod val="40000"/>
                  <a:lumOff val="60000"/>
                </a:schemeClr>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t>171.</a:t>
                    </a:r>
                    <a:r>
                      <a:rPr lang="en-US" altLang="zh-CN"/>
                      <a:t>10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61.85</a:t>
                    </a:r>
                  </a:p>
                </c:rich>
              </c:tx>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171.55</c:v>
                </c:pt>
                <c:pt idx="1">
                  <c:v>37.73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panose="020B0602030504020204"/>
              </a:defRPr>
            </a:pPr>
            <a:r>
              <a:rPr lang="zh-CN" sz="1400" b="0" i="0" u="none" strike="noStrike" baseline="0">
                <a:solidFill>
                  <a:srgbClr val="595959"/>
                </a:solidFill>
                <a:latin typeface="AR PL UKai CN"/>
                <a:ea typeface="AR PL UKai CN"/>
                <a:cs typeface="Lucida Sans" panose="020B0602030504020204"/>
              </a:rPr>
              <a:t>202</a:t>
            </a:r>
            <a:r>
              <a:rPr lang="en-US" altLang="zh-CN" sz="1400" b="0" i="0" u="none" strike="noStrike" baseline="0">
                <a:solidFill>
                  <a:srgbClr val="595959"/>
                </a:solidFill>
                <a:latin typeface="AR PL UKai CN"/>
                <a:ea typeface="AR PL UKai CN"/>
                <a:cs typeface="Lucida Sans" panose="020B0602030504020204"/>
              </a:rPr>
              <a:t>2</a:t>
            </a:r>
            <a:r>
              <a:rPr lang="zh-CN" sz="1400" b="0" i="0" u="none" strike="noStrike" baseline="0">
                <a:solidFill>
                  <a:srgbClr val="595959"/>
                </a:solidFill>
                <a:latin typeface="AR PL UKai CN"/>
                <a:ea typeface="AR PL UKai CN"/>
                <a:cs typeface="Lucida Sans" panose="020B0602030504020204"/>
              </a:rPr>
              <a:t>、202</a:t>
            </a:r>
            <a:r>
              <a:rPr lang="en-US" altLang="zh-CN" sz="1400" b="0" i="0" u="none" strike="noStrike" baseline="0">
                <a:solidFill>
                  <a:srgbClr val="595959"/>
                </a:solidFill>
                <a:latin typeface="AR PL UKai CN"/>
                <a:ea typeface="AR PL UKai CN"/>
                <a:cs typeface="Lucida Sans" panose="020B0602030504020204"/>
              </a:rPr>
              <a:t>3</a:t>
            </a:r>
            <a:r>
              <a:rPr lang="zh-CN" sz="1400" b="0" i="0" u="none" strike="noStrike" baseline="0">
                <a:solidFill>
                  <a:srgbClr val="595959"/>
                </a:solidFill>
                <a:latin typeface="AR PL UKai CN"/>
                <a:ea typeface="AR PL UKai CN"/>
                <a:cs typeface="Lucida Sans" panose="020B0602030504020204"/>
              </a:rPr>
              <a:t>年度财政拨款收、支决算总计变动情况表</a:t>
            </a:r>
            <a:endParaRPr lang="zh-CN" sz="1400" b="0" i="0" u="none" strike="noStrike" baseline="0">
              <a:solidFill>
                <a:srgbClr val="595959"/>
              </a:solidFill>
              <a:latin typeface="AR PL UKai CN"/>
              <a:ea typeface="AR PL UKai CN"/>
              <a:cs typeface="Lucida Sans" panose="020B0602030504020204"/>
            </a:endParaRPr>
          </a:p>
        </c:rich>
      </c:tx>
      <c:layout>
        <c:manualLayout>
          <c:xMode val="edge"/>
          <c:yMode val="edge"/>
          <c:x val="0.108222901800883"/>
          <c:y val="0.00791974656810982"/>
        </c:manualLayout>
      </c:layout>
      <c:overlay val="0"/>
      <c:spPr>
        <a:noFill/>
        <a:ln>
          <a:noFill/>
        </a:ln>
      </c:spPr>
    </c:title>
    <c:autoTitleDeleted val="0"/>
    <c:plotArea>
      <c:layout>
        <c:manualLayout>
          <c:layoutTarget val="inner"/>
          <c:xMode val="edge"/>
          <c:yMode val="edge"/>
          <c:x val="0.107965420182688"/>
          <c:y val="0.280601949399412"/>
          <c:w val="0.8553872"/>
          <c:h val="0.46629092"/>
        </c:manualLayout>
      </c:layout>
      <c:barChart>
        <c:barDir val="col"/>
        <c:grouping val="clustered"/>
        <c:varyColors val="0"/>
        <c:ser>
          <c:idx val="0"/>
          <c:order val="0"/>
          <c:tx>
            <c:strRef>
              <c:f>'Sheet1 (4)'!$B$1</c:f>
              <c:strCache>
                <c:ptCount val="1"/>
                <c:pt idx="0">
                  <c:v>收入</c:v>
                </c:pt>
              </c:strCache>
            </c:strRef>
          </c:tx>
          <c:spPr>
            <a:solidFill>
              <a:srgbClr val="4F81BD"/>
            </a:solidFill>
            <a:ln>
              <a:noFill/>
            </a:ln>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209.28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232.95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2022年</c:v>
                </c:pt>
                <c:pt idx="1">
                  <c:v>2023年</c:v>
                </c:pt>
              </c:strCache>
            </c:strRef>
          </c:cat>
          <c:val>
            <c:numRef>
              <c:f>'Sheet1 (4)'!$B$2:$B$3</c:f>
              <c:numCache>
                <c:formatCode>General</c:formatCode>
                <c:ptCount val="2"/>
                <c:pt idx="0">
                  <c:v>209.28</c:v>
                </c:pt>
                <c:pt idx="1">
                  <c:v>232.95</c:v>
                </c:pt>
              </c:numCache>
            </c:numRef>
          </c:val>
        </c:ser>
        <c:ser>
          <c:idx val="2"/>
          <c:order val="2"/>
          <c:tx>
            <c:strRef>
              <c:f>'Sheet1 (4)'!$C$1</c:f>
              <c:strCache>
                <c:ptCount val="1"/>
                <c:pt idx="0">
                  <c:v>支出</c:v>
                </c:pt>
              </c:strCache>
            </c:strRef>
          </c:tx>
          <c:spPr>
            <a:solidFill>
              <a:srgbClr val="9BBB59"/>
            </a:solidFill>
            <a:ln>
              <a:noFill/>
            </a:ln>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209.28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232.95</a:t>
                    </a: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2022年</c:v>
                </c:pt>
                <c:pt idx="1">
                  <c:v>2023年</c:v>
                </c:pt>
              </c:strCache>
            </c:strRef>
          </c:cat>
          <c:val>
            <c:numRef>
              <c:f>'Sheet1 (4)'!$C$2:$C$3</c:f>
              <c:numCache>
                <c:formatCode>General</c:formatCode>
                <c:ptCount val="2"/>
                <c:pt idx="0">
                  <c:v>209.28</c:v>
                </c:pt>
                <c:pt idx="1">
                  <c:v>232.95</c:v>
                </c:pt>
              </c:numCache>
            </c:numRef>
          </c:val>
        </c:ser>
        <c:dLbls>
          <c:showLegendKey val="0"/>
          <c:showVal val="0"/>
          <c:showCatName val="0"/>
          <c:showSerName val="0"/>
          <c:showPercent val="0"/>
          <c:showBubbleSize val="0"/>
        </c:dLbls>
        <c:gapWidth val="219"/>
        <c:overlap val="-27"/>
        <c:axId val="0"/>
        <c:axId val="1"/>
        <c:extLst>
          <c:ext xmlns:c15="http://schemas.microsoft.com/office/drawing/2012/chart" uri="{02D57815-91ED-43cb-92C2-25804820EDAC}">
            <c15:filteredBarSeries>
              <c15: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extLst>
                      <c:ext uri="{02D57815-91ED-43cb-92C2-25804820EDAC}">
                        <c15:fullRef>
                          <c15:sqref/>
                        </c15:fullRef>
                        <c15:formulaRef>
                          <c15:sqref>'Sheet1 (4)'!$A$2:$A$3</c15:sqref>
                        </c15:formulaRef>
                      </c:ext>
                    </c:extLst>
                    <c:strCache>
                      <c:ptCount val="2"/>
                      <c:pt idx="0">
                        <c:v>2022年</c:v>
                      </c:pt>
                      <c:pt idx="1">
                        <c:v>2023年</c:v>
                      </c:pt>
                    </c:strCache>
                  </c:strRef>
                </c:cat>
                <c:val>
                  <c:numRef>
                    <c:extLst>
                      <c:ext uri="{02D57815-91ED-43cb-92C2-25804820EDAC}">
                        <c15:formulaRef>
                          <c15:sqref>{1}</c15:sqref>
                        </c15:formulaRef>
                      </c:ext>
                    </c:extLst>
                    <c:numCache>
                      <c:formatCode>General</c:formatCode>
                      <c:ptCount val="1"/>
                      <c:pt idx="0">
                        <c:v>1</c:v>
                      </c:pt>
                    </c:numCache>
                  </c:numRef>
                </c:val>
              </c15:ser>
            </c15:filteredBarSeries>
          </c:ext>
        </c:extLst>
      </c:barChart>
      <c:catAx>
        <c:axId val="0"/>
        <c:scaling>
          <c:orientation val="minMax"/>
        </c:scaling>
        <c:delete val="1"/>
        <c:axPos val="b"/>
        <c:numFmt formatCode="General" sourceLinked="0"/>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out"/>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Table>
      <c:spPr>
        <a:noFill/>
        <a:ln>
          <a:noFill/>
        </a:ln>
      </c:spPr>
    </c:plotArea>
    <c:legend>
      <c:legendPos val="r"/>
      <c:layout>
        <c:manualLayout>
          <c:xMode val="edge"/>
          <c:yMode val="edge"/>
          <c:x val="0.897088153171121"/>
          <c:y val="0.520579588408232"/>
          <c:w val="0.0869565217391304"/>
          <c:h val="0.108987820243595"/>
        </c:manualLayout>
      </c:layout>
      <c:overlay val="0"/>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0" i="0" u="none" strike="noStrike" kern="1200" baseline="0">
                <a:solidFill>
                  <a:srgbClr val="595959"/>
                </a:solidFill>
                <a:latin typeface="AR PL UKai CN"/>
                <a:ea typeface="AR PL UKai CN"/>
                <a:cs typeface="Lucida Sans" panose="020B0602030504020204"/>
              </a:defRPr>
            </a:pPr>
            <a:r>
              <a:rPr lang="zh-CN"/>
              <a:t>一般公共预算财政拨款支出决算结构图</a:t>
            </a:r>
            <a:endParaRPr lang="zh-CN"/>
          </a:p>
        </c:rich>
      </c:tx>
      <c:layout>
        <c:manualLayout>
          <c:xMode val="edge"/>
          <c:yMode val="edge"/>
          <c:x val="0.14316595"/>
          <c:y val="0.03624094"/>
        </c:manualLayout>
      </c:layout>
      <c:overlay val="0"/>
      <c:spPr>
        <a:noFill/>
        <a:ln>
          <a:noFill/>
        </a:ln>
      </c:spPr>
    </c:title>
    <c:autoTitleDeleted val="0"/>
    <c:plotArea>
      <c:layout>
        <c:manualLayout>
          <c:layoutTarget val="inner"/>
          <c:xMode val="edge"/>
          <c:yMode val="edge"/>
          <c:x val="0.1909375"/>
          <c:y val="0.23416667"/>
          <c:w val="0.570625"/>
          <c:h val="0.7608333"/>
        </c:manualLayout>
      </c:layout>
      <c:pieChart>
        <c:varyColors val="1"/>
        <c:ser>
          <c:idx val="0"/>
          <c:order val="0"/>
          <c:tx>
            <c:strRef>
              <c:f>'Sheet1 (6)'!$B$1</c:f>
              <c:strCache>
                <c:ptCount val="1"/>
                <c:pt idx="0">
                  <c:v>支出</c:v>
                </c:pt>
              </c:strCache>
            </c:strRef>
          </c:tx>
          <c:spPr>
            <a:ln>
              <a:noFill/>
            </a:ln>
          </c:spPr>
          <c:explosion val="0"/>
          <c:dPt>
            <c:idx val="0"/>
            <c:bubble3D val="0"/>
            <c:spPr>
              <a:gradFill>
                <a:gsLst>
                  <a:gs pos="0">
                    <a:srgbClr val="FECF40"/>
                  </a:gs>
                  <a:gs pos="100000">
                    <a:srgbClr val="846C21"/>
                  </a:gs>
                </a:gsLst>
                <a:lin scaled="0"/>
              </a:gradFill>
              <a:ln w="19050">
                <a:solidFill>
                  <a:srgbClr val="FFFFFF"/>
                </a:solidFill>
                <a:prstDash val="solid"/>
              </a:ln>
            </c:spPr>
          </c:dPt>
          <c:dPt>
            <c:idx val="1"/>
            <c:bubble3D val="0"/>
            <c:spPr>
              <a:solidFill>
                <a:srgbClr val="FF0000"/>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189.2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23.03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t>9.</a:t>
                    </a:r>
                    <a:r>
                      <a:rPr lang="en-US" altLang="zh-CN"/>
                      <a:t>23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11.49</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卫生健康</c:v>
                </c:pt>
                <c:pt idx="3">
                  <c:v>住房保障</c:v>
                </c:pt>
              </c:strCache>
            </c:strRef>
          </c:cat>
          <c:val>
            <c:numRef>
              <c:f>'Sheet1 (6)'!$B$2:$B$5</c:f>
              <c:numCache>
                <c:formatCode>General</c:formatCode>
                <c:ptCount val="4"/>
                <c:pt idx="0">
                  <c:v>167.43</c:v>
                </c:pt>
                <c:pt idx="1">
                  <c:v>20.67</c:v>
                </c:pt>
                <c:pt idx="2">
                  <c:v>9.17</c:v>
                </c:pt>
                <c:pt idx="3">
                  <c:v>12.01</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egendEntry>
        <c:idx val="0"/>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1"/>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2"/>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egendEntry>
        <c:idx val="3"/>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Entry>
      <c:layout>
        <c:manualLayout>
          <c:xMode val="edge"/>
          <c:yMode val="edge"/>
          <c:x val="0.087795146"/>
          <c:y val="0.8867783"/>
          <c:w val="0.90688396"/>
          <c:h val="0.08322919"/>
        </c:manualLayout>
      </c:layout>
      <c:overlay val="0"/>
      <c:spPr>
        <a:noFill/>
        <a:ln>
          <a:noFill/>
        </a:ln>
      </c:spPr>
      <c:txPr>
        <a:bodyPr rot="0" spcFirstLastPara="0" vertOverflow="ellipsis" vert="horz" wrap="square" anchor="ctr" anchorCtr="1"/>
        <a:lstStyle/>
        <a:p>
          <a:pPr>
            <a:defRPr lang="zh-CN" sz="8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5549</Words>
  <Characters>6090</Characters>
  <Lines>44</Lines>
  <Paragraphs>12</Paragraphs>
  <TotalTime>7</TotalTime>
  <ScaleCrop>false</ScaleCrop>
  <LinksUpToDate>false</LinksUpToDate>
  <CharactersWithSpaces>6126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2022-12-12T05:55:00Z</cp:lastPrinted>
  <dcterms:modified xsi:type="dcterms:W3CDTF">2024-11-19T06:11:17Z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CF33FCAEC1174719B93A9C51217DF6B4</vt:lpwstr>
  </property>
</Properties>
</file>