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spacing w:line="576" w:lineRule="exact"/>
        <w:jc w:val="center"/>
        <w:outlineLvl w:val="0"/>
        <w:rPr>
          <w:rFonts w:ascii="方正小标宋简体" w:eastAsia="方正小标宋简体"/>
          <w:sz w:val="72"/>
          <w:szCs w:val="72"/>
        </w:rPr>
      </w:pPr>
      <w:bookmarkStart w:id="0" w:name="_Toc15306267"/>
    </w:p>
    <w:p>
      <w:pPr>
        <w:pageBreakBefore w:val="0"/>
        <w:kinsoku/>
        <w:wordWrap/>
        <w:overflowPunct/>
        <w:topLinePunct w:val="0"/>
        <w:bidi w:val="0"/>
        <w:spacing w:line="576" w:lineRule="exact"/>
        <w:jc w:val="center"/>
        <w:outlineLvl w:val="0"/>
        <w:rPr>
          <w:rFonts w:ascii="方正小标宋简体" w:eastAsia="方正小标宋简体"/>
          <w:sz w:val="72"/>
          <w:szCs w:val="72"/>
        </w:rPr>
      </w:pPr>
    </w:p>
    <w:p>
      <w:pPr>
        <w:pageBreakBefore w:val="0"/>
        <w:kinsoku/>
        <w:wordWrap/>
        <w:overflowPunct/>
        <w:topLinePunct w:val="0"/>
        <w:bidi w:val="0"/>
        <w:spacing w:line="576" w:lineRule="exact"/>
        <w:jc w:val="center"/>
        <w:outlineLvl w:val="0"/>
        <w:rPr>
          <w:rFonts w:ascii="方正小标宋简体" w:eastAsia="方正小标宋简体"/>
          <w:sz w:val="72"/>
          <w:szCs w:val="72"/>
        </w:rPr>
      </w:pPr>
    </w:p>
    <w:p>
      <w:pPr>
        <w:pageBreakBefore w:val="0"/>
        <w:kinsoku/>
        <w:wordWrap/>
        <w:overflowPunct/>
        <w:topLinePunct w:val="0"/>
        <w:bidi w:val="0"/>
        <w:spacing w:line="576" w:lineRule="exact"/>
        <w:jc w:val="center"/>
        <w:outlineLvl w:val="0"/>
        <w:rPr>
          <w:rFonts w:ascii="方正小标宋简体" w:eastAsia="方正小标宋简体"/>
          <w:sz w:val="72"/>
          <w:szCs w:val="72"/>
        </w:rPr>
      </w:pPr>
    </w:p>
    <w:p>
      <w:pPr>
        <w:keepNext w:val="0"/>
        <w:keepLines w:val="0"/>
        <w:pageBreakBefore w:val="0"/>
        <w:widowControl w:val="0"/>
        <w:kinsoku/>
        <w:wordWrap/>
        <w:overflowPunct/>
        <w:topLinePunct w:val="0"/>
        <w:autoSpaceDE/>
        <w:autoSpaceDN/>
        <w:bidi w:val="0"/>
        <w:adjustRightInd w:val="0"/>
        <w:snapToGrid w:val="0"/>
        <w:spacing w:line="1000" w:lineRule="exact"/>
        <w:jc w:val="center"/>
        <w:textAlignment w:val="auto"/>
        <w:outlineLvl w:val="0"/>
        <w:rPr>
          <w:rFonts w:ascii="方正小标宋简体" w:eastAsia="方正小标宋简体" w:cs="方正小标宋简体"/>
          <w:sz w:val="72"/>
          <w:szCs w:val="72"/>
        </w:rPr>
      </w:pPr>
      <w:bookmarkStart w:id="1" w:name="_Toc15378441"/>
      <w:bookmarkStart w:id="2" w:name="_Toc15377193"/>
      <w:bookmarkStart w:id="3" w:name="_Toc15377425"/>
      <w:bookmarkStart w:id="4" w:name="_Toc15396597"/>
      <w:bookmarkStart w:id="5" w:name="_Toc15396475"/>
      <w:r>
        <w:rPr>
          <w:rFonts w:hint="eastAsia" w:ascii="方正小标宋简体" w:eastAsia="方正小标宋简体" w:cs="方正小标宋简体"/>
          <w:sz w:val="72"/>
          <w:szCs w:val="72"/>
        </w:rPr>
        <w:t>202</w:t>
      </w:r>
      <w:r>
        <w:rPr>
          <w:rFonts w:hint="eastAsia" w:ascii="方正小标宋简体" w:eastAsia="方正小标宋简体" w:cs="方正小标宋简体"/>
          <w:sz w:val="72"/>
          <w:szCs w:val="72"/>
          <w:lang w:val="en-US" w:eastAsia="zh-CN"/>
        </w:rPr>
        <w:t>2</w:t>
      </w:r>
      <w:r>
        <w:rPr>
          <w:rFonts w:hint="eastAsia" w:ascii="方正小标宋简体" w:eastAsia="方正小标宋简体" w:cs="方正小标宋简体"/>
          <w:sz w:val="72"/>
          <w:szCs w:val="72"/>
        </w:rPr>
        <w:t>年度</w:t>
      </w:r>
      <w:bookmarkEnd w:id="1"/>
      <w:bookmarkEnd w:id="2"/>
      <w:bookmarkEnd w:id="3"/>
      <w:bookmarkEnd w:id="4"/>
      <w:bookmarkEnd w:id="5"/>
    </w:p>
    <w:p>
      <w:pPr>
        <w:keepNext w:val="0"/>
        <w:keepLines w:val="0"/>
        <w:pageBreakBefore w:val="0"/>
        <w:widowControl w:val="0"/>
        <w:kinsoku/>
        <w:wordWrap/>
        <w:overflowPunct/>
        <w:topLinePunct w:val="0"/>
        <w:autoSpaceDE/>
        <w:autoSpaceDN/>
        <w:bidi w:val="0"/>
        <w:adjustRightInd w:val="0"/>
        <w:snapToGrid w:val="0"/>
        <w:spacing w:line="1000" w:lineRule="exact"/>
        <w:jc w:val="center"/>
        <w:textAlignment w:val="auto"/>
        <w:outlineLvl w:val="0"/>
        <w:rPr>
          <w:rFonts w:ascii="方正小标宋简体" w:eastAsia="方正小标宋简体" w:cs="方正小标宋简体"/>
          <w:sz w:val="72"/>
          <w:szCs w:val="72"/>
        </w:rPr>
      </w:pPr>
      <w:bookmarkStart w:id="6" w:name="_Toc15377426"/>
      <w:bookmarkStart w:id="7" w:name="_Toc15377194"/>
      <w:bookmarkStart w:id="8" w:name="_Toc15396476"/>
      <w:bookmarkStart w:id="9" w:name="_Toc15378442"/>
      <w:bookmarkStart w:id="10" w:name="_Toc15396598"/>
      <w:r>
        <w:rPr>
          <w:rFonts w:ascii="方正小标宋简体" w:eastAsia="方正小标宋简体" w:cs="方正小标宋简体"/>
          <w:sz w:val="72"/>
          <w:szCs w:val="72"/>
        </w:rPr>
        <w:t>阿坝州</w:t>
      </w:r>
      <w:bookmarkEnd w:id="0"/>
      <w:bookmarkStart w:id="11" w:name="_Toc15306268"/>
      <w:r>
        <w:rPr>
          <w:rFonts w:hint="eastAsia" w:ascii="方正小标宋简体" w:eastAsia="方正小标宋简体" w:cs="方正小标宋简体"/>
          <w:sz w:val="72"/>
          <w:szCs w:val="72"/>
          <w:lang w:eastAsia="zh-CN"/>
        </w:rPr>
        <w:t>红原县委县政府联动指挥中心</w:t>
      </w:r>
      <w:r>
        <w:rPr>
          <w:rFonts w:hint="eastAsia" w:ascii="方正小标宋简体" w:eastAsia="方正小标宋简体" w:cs="方正小标宋简体"/>
          <w:sz w:val="72"/>
          <w:szCs w:val="72"/>
        </w:rPr>
        <w:t>单位决算</w:t>
      </w:r>
      <w:bookmarkEnd w:id="6"/>
      <w:bookmarkEnd w:id="7"/>
      <w:bookmarkEnd w:id="8"/>
      <w:bookmarkEnd w:id="9"/>
      <w:bookmarkEnd w:id="10"/>
      <w:bookmarkEnd w:id="11"/>
    </w:p>
    <w:p>
      <w:pPr>
        <w:pStyle w:val="2"/>
        <w:pageBreakBefore w:val="0"/>
        <w:kinsoku/>
        <w:wordWrap/>
        <w:overflowPunct/>
        <w:topLinePunct w:val="0"/>
        <w:bidi w:val="0"/>
        <w:spacing w:before="93" w:line="576" w:lineRule="exact"/>
      </w:pPr>
    </w:p>
    <w:p>
      <w:pPr>
        <w:pStyle w:val="2"/>
        <w:pageBreakBefore w:val="0"/>
        <w:kinsoku/>
        <w:wordWrap/>
        <w:overflowPunct/>
        <w:topLinePunct w:val="0"/>
        <w:bidi w:val="0"/>
        <w:spacing w:before="93" w:line="576" w:lineRule="exact"/>
      </w:pPr>
    </w:p>
    <w:p>
      <w:pPr>
        <w:pStyle w:val="2"/>
        <w:pageBreakBefore w:val="0"/>
        <w:kinsoku/>
        <w:wordWrap/>
        <w:overflowPunct/>
        <w:topLinePunct w:val="0"/>
        <w:bidi w:val="0"/>
        <w:spacing w:before="93" w:line="576" w:lineRule="exact"/>
      </w:pPr>
    </w:p>
    <w:p>
      <w:pPr>
        <w:pStyle w:val="2"/>
        <w:pageBreakBefore w:val="0"/>
        <w:kinsoku/>
        <w:wordWrap/>
        <w:overflowPunct/>
        <w:topLinePunct w:val="0"/>
        <w:bidi w:val="0"/>
        <w:spacing w:before="93" w:line="576" w:lineRule="exact"/>
        <w:jc w:val="center"/>
        <w:rPr>
          <w:rFonts w:hint="eastAsia" w:cs="仿宋_GB2312"/>
          <w:sz w:val="32"/>
          <w:szCs w:val="32"/>
        </w:rPr>
      </w:pPr>
      <w:bookmarkStart w:id="12" w:name="_Hlk113547609"/>
    </w:p>
    <w:p>
      <w:pPr>
        <w:pStyle w:val="2"/>
        <w:pageBreakBefore w:val="0"/>
        <w:kinsoku/>
        <w:wordWrap/>
        <w:overflowPunct/>
        <w:topLinePunct w:val="0"/>
        <w:bidi w:val="0"/>
        <w:spacing w:before="93" w:line="576" w:lineRule="exact"/>
        <w:jc w:val="center"/>
        <w:rPr>
          <w:rFonts w:hint="eastAsia" w:cs="仿宋_GB2312"/>
          <w:sz w:val="32"/>
          <w:szCs w:val="32"/>
        </w:rPr>
      </w:pPr>
    </w:p>
    <w:p>
      <w:pPr>
        <w:pStyle w:val="2"/>
        <w:pageBreakBefore w:val="0"/>
        <w:kinsoku/>
        <w:wordWrap/>
        <w:overflowPunct/>
        <w:topLinePunct w:val="0"/>
        <w:bidi w:val="0"/>
        <w:spacing w:before="93" w:line="576" w:lineRule="exact"/>
        <w:jc w:val="both"/>
        <w:rPr>
          <w:rFonts w:hint="eastAsia" w:cs="仿宋_GB2312"/>
          <w:sz w:val="32"/>
          <w:szCs w:val="32"/>
        </w:rPr>
      </w:pPr>
    </w:p>
    <w:p>
      <w:pPr>
        <w:pStyle w:val="2"/>
        <w:pageBreakBefore w:val="0"/>
        <w:kinsoku/>
        <w:wordWrap/>
        <w:overflowPunct/>
        <w:topLinePunct w:val="0"/>
        <w:bidi w:val="0"/>
        <w:spacing w:before="93" w:line="576" w:lineRule="exact"/>
        <w:jc w:val="center"/>
        <w:rPr>
          <w:rFonts w:hint="eastAsia" w:cs="仿宋_GB2312"/>
          <w:sz w:val="32"/>
          <w:szCs w:val="32"/>
        </w:rPr>
      </w:pPr>
    </w:p>
    <w:p>
      <w:pPr>
        <w:pStyle w:val="2"/>
        <w:pageBreakBefore w:val="0"/>
        <w:kinsoku/>
        <w:wordWrap/>
        <w:overflowPunct/>
        <w:topLinePunct w:val="0"/>
        <w:bidi w:val="0"/>
        <w:spacing w:before="93" w:line="576" w:lineRule="exact"/>
        <w:jc w:val="center"/>
        <w:rPr>
          <w:rFonts w:hint="eastAsia" w:ascii="方正黑体_GBK" w:hAnsi="方正黑体_GBK" w:eastAsia="方正黑体_GBK" w:cs="方正黑体_GBK"/>
          <w:sz w:val="36"/>
          <w:szCs w:val="32"/>
        </w:rPr>
      </w:pPr>
      <w:r>
        <w:rPr>
          <w:rFonts w:hint="eastAsia" w:ascii="方正黑体_GBK" w:hAnsi="方正黑体_GBK" w:eastAsia="方正黑体_GBK" w:cs="方正黑体_GBK"/>
          <w:sz w:val="40"/>
          <w:szCs w:val="40"/>
        </w:rPr>
        <w:t>已经保密审查、内容审定，同意对外公开</w:t>
      </w:r>
      <w:bookmarkEnd w:id="12"/>
    </w:p>
    <w:p>
      <w:pPr>
        <w:pStyle w:val="10"/>
        <w:pageBreakBefore w:val="0"/>
        <w:kinsoku/>
        <w:wordWrap/>
        <w:overflowPunct/>
        <w:topLinePunct w:val="0"/>
        <w:bidi w:val="0"/>
        <w:spacing w:line="576" w:lineRule="exact"/>
        <w:rPr>
          <w:rFonts w:hint="eastAsia"/>
        </w:rPr>
      </w:pPr>
    </w:p>
    <w:p>
      <w:pPr>
        <w:pStyle w:val="10"/>
        <w:pageBreakBefore w:val="0"/>
        <w:kinsoku/>
        <w:wordWrap/>
        <w:overflowPunct/>
        <w:topLinePunct w:val="0"/>
        <w:bidi w:val="0"/>
        <w:spacing w:line="576" w:lineRule="exact"/>
        <w:rPr>
          <w:rFonts w:hint="eastAsia"/>
        </w:rPr>
      </w:pPr>
    </w:p>
    <w:p>
      <w:pPr>
        <w:pStyle w:val="10"/>
        <w:pageBreakBefore w:val="0"/>
        <w:kinsoku/>
        <w:wordWrap/>
        <w:overflowPunct/>
        <w:topLinePunct w:val="0"/>
        <w:bidi w:val="0"/>
        <w:spacing w:line="576" w:lineRule="exact"/>
        <w:rPr>
          <w:rFonts w:hint="eastAsia"/>
        </w:rPr>
      </w:pPr>
    </w:p>
    <w:p>
      <w:pPr>
        <w:pStyle w:val="10"/>
        <w:pageBreakBefore w:val="0"/>
        <w:kinsoku/>
        <w:wordWrap/>
        <w:overflowPunct/>
        <w:topLinePunct w:val="0"/>
        <w:bidi w:val="0"/>
        <w:spacing w:line="576" w:lineRule="exact"/>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公开时间：202</w:t>
      </w:r>
      <w:r>
        <w:rPr>
          <w:rFonts w:hint="eastAsia" w:ascii="方正楷体_GBK" w:hAnsi="方正楷体_GBK" w:eastAsia="方正楷体_GBK" w:cs="方正楷体_GBK"/>
          <w:b/>
          <w:bCs/>
          <w:sz w:val="32"/>
          <w:szCs w:val="32"/>
          <w:lang w:val="en-US" w:eastAsia="zh-CN"/>
        </w:rPr>
        <w:t>3</w:t>
      </w:r>
      <w:r>
        <w:rPr>
          <w:rFonts w:hint="eastAsia" w:ascii="方正楷体_GBK" w:hAnsi="方正楷体_GBK" w:eastAsia="方正楷体_GBK" w:cs="方正楷体_GBK"/>
          <w:b/>
          <w:bCs/>
          <w:sz w:val="32"/>
          <w:szCs w:val="32"/>
        </w:rPr>
        <w:t>年</w:t>
      </w:r>
      <w:r>
        <w:rPr>
          <w:rFonts w:hint="eastAsia" w:ascii="方正楷体_GBK" w:hAnsi="方正楷体_GBK" w:eastAsia="方正楷体_GBK" w:cs="方正楷体_GBK"/>
          <w:b/>
          <w:bCs/>
          <w:sz w:val="32"/>
          <w:szCs w:val="32"/>
          <w:lang w:val="en-US" w:eastAsia="zh-CN"/>
        </w:rPr>
        <w:t>11</w:t>
      </w:r>
      <w:r>
        <w:rPr>
          <w:rFonts w:hint="eastAsia" w:ascii="方正楷体_GBK" w:hAnsi="方正楷体_GBK" w:eastAsia="方正楷体_GBK" w:cs="方正楷体_GBK"/>
          <w:b/>
          <w:bCs/>
          <w:sz w:val="32"/>
          <w:szCs w:val="32"/>
        </w:rPr>
        <w:t>月</w:t>
      </w:r>
      <w:r>
        <w:rPr>
          <w:rFonts w:hint="eastAsia" w:ascii="方正楷体_GBK" w:hAnsi="方正楷体_GBK" w:eastAsia="方正楷体_GBK" w:cs="方正楷体_GBK"/>
          <w:b/>
          <w:bCs/>
          <w:sz w:val="32"/>
          <w:szCs w:val="32"/>
          <w:lang w:val="en-US" w:eastAsia="zh-CN"/>
        </w:rPr>
        <w:t>05</w:t>
      </w:r>
      <w:r>
        <w:rPr>
          <w:rFonts w:hint="eastAsia" w:ascii="方正楷体_GBK" w:hAnsi="方正楷体_GBK" w:eastAsia="方正楷体_GBK" w:cs="方正楷体_GBK"/>
          <w:b/>
          <w:bCs/>
          <w:sz w:val="32"/>
          <w:szCs w:val="32"/>
        </w:rPr>
        <w:t>日</w:t>
      </w:r>
    </w:p>
    <w:p>
      <w:pPr>
        <w:pageBreakBefore w:val="0"/>
        <w:widowControl/>
        <w:kinsoku/>
        <w:wordWrap/>
        <w:overflowPunct/>
        <w:topLinePunct w:val="0"/>
        <w:bidi w:val="0"/>
        <w:spacing w:line="576" w:lineRule="exact"/>
        <w:jc w:val="center"/>
        <w:rPr>
          <w:rFonts w:hint="eastAsia" w:ascii="方正小标宋_GBK" w:hAnsi="方正小标宋_GBK" w:eastAsia="方正小标宋_GBK" w:cs="方正小标宋_GBK"/>
          <w:sz w:val="44"/>
          <w:szCs w:val="44"/>
        </w:rPr>
        <w:sectPr>
          <w:headerReference r:id="rId3" w:type="default"/>
          <w:pgSz w:w="11906" w:h="16838"/>
          <w:pgMar w:top="1440" w:right="1800" w:bottom="1440" w:left="1800" w:header="851" w:footer="992" w:gutter="0"/>
          <w:pgNumType w:start="1"/>
          <w:cols w:space="720" w:num="1"/>
          <w:titlePg/>
          <w:docGrid w:type="lines" w:linePitch="312" w:charSpace="0"/>
        </w:sectPr>
      </w:pPr>
    </w:p>
    <w:p>
      <w:pPr>
        <w:pageBreakBefore w:val="0"/>
        <w:widowControl/>
        <w:kinsoku/>
        <w:wordWrap/>
        <w:overflowPunct/>
        <w:topLinePunct w:val="0"/>
        <w:bidi w:val="0"/>
        <w:spacing w:line="576" w:lineRule="exact"/>
        <w:jc w:val="center"/>
        <w:rPr>
          <w:rFonts w:ascii="黑体" w:eastAsia="黑体"/>
          <w:sz w:val="48"/>
          <w:szCs w:val="48"/>
        </w:rPr>
      </w:pPr>
      <w:r>
        <w:rPr>
          <w:rFonts w:hint="eastAsia" w:ascii="方正小标宋_GBK" w:hAnsi="方正小标宋_GBK" w:eastAsia="方正小标宋_GBK" w:cs="方正小标宋_GBK"/>
          <w:sz w:val="44"/>
          <w:szCs w:val="44"/>
        </w:rPr>
        <w:t>目</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rPr>
        <w:t>录</w:t>
      </w:r>
    </w:p>
    <w:p>
      <w:pPr>
        <w:pageBreakBefore w:val="0"/>
        <w:widowControl/>
        <w:kinsoku/>
        <w:wordWrap/>
        <w:overflowPunct/>
        <w:topLinePunct w:val="0"/>
        <w:bidi w:val="0"/>
        <w:spacing w:line="576" w:lineRule="exact"/>
        <w:jc w:val="center"/>
        <w:rPr>
          <w:rFonts w:ascii="黑体" w:eastAsia="黑体" w:cs="Arial"/>
          <w:sz w:val="28"/>
          <w:szCs w:val="28"/>
        </w:rPr>
      </w:pPr>
    </w:p>
    <w:p>
      <w:pPr>
        <w:pStyle w:val="10"/>
        <w:keepNext w:val="0"/>
        <w:keepLines w:val="0"/>
        <w:pageBreakBefore w:val="0"/>
        <w:widowControl w:val="0"/>
        <w:kinsoku/>
        <w:wordWrap/>
        <w:overflowPunct/>
        <w:topLinePunct w:val="0"/>
        <w:autoSpaceDE/>
        <w:autoSpaceDN/>
        <w:bidi w:val="0"/>
        <w:adjustRightInd w:val="0"/>
        <w:snapToGrid w:val="0"/>
        <w:spacing w:before="0" w:line="576" w:lineRule="exact"/>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第一部分 单位概况</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............3</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一、职能简介</w:t>
      </w:r>
      <w:r>
        <w:rPr>
          <w:rFonts w:hint="eastAsia" w:ascii="楷体" w:hAnsi="楷体" w:eastAsia="楷体" w:cs="楷体"/>
          <w:sz w:val="30"/>
          <w:szCs w:val="30"/>
          <w:lang w:val="en-US" w:eastAsia="zh-CN"/>
        </w:rPr>
        <w:t>.......................................3</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二、202</w:t>
      </w:r>
      <w:r>
        <w:rPr>
          <w:rFonts w:hint="eastAsia" w:ascii="楷体" w:hAnsi="楷体" w:eastAsia="楷体" w:cs="楷体"/>
          <w:sz w:val="30"/>
          <w:szCs w:val="30"/>
          <w:lang w:val="en-US" w:eastAsia="zh-CN"/>
        </w:rPr>
        <w:t>2</w:t>
      </w:r>
      <w:r>
        <w:rPr>
          <w:rFonts w:hint="eastAsia" w:ascii="楷体" w:hAnsi="楷体" w:eastAsia="楷体" w:cs="楷体"/>
          <w:sz w:val="30"/>
          <w:szCs w:val="30"/>
        </w:rPr>
        <w:t>年重点工作完成情况</w:t>
      </w:r>
      <w:r>
        <w:rPr>
          <w:rFonts w:hint="eastAsia" w:ascii="楷体" w:hAnsi="楷体" w:eastAsia="楷体" w:cs="楷体"/>
          <w:sz w:val="30"/>
          <w:szCs w:val="30"/>
          <w:lang w:val="en-US" w:eastAsia="zh-CN"/>
        </w:rPr>
        <w:t>.........................4</w:t>
      </w:r>
    </w:p>
    <w:p>
      <w:pPr>
        <w:pStyle w:val="10"/>
        <w:keepNext w:val="0"/>
        <w:keepLines w:val="0"/>
        <w:pageBreakBefore w:val="0"/>
        <w:widowControl w:val="0"/>
        <w:kinsoku/>
        <w:wordWrap/>
        <w:overflowPunct/>
        <w:topLinePunct w:val="0"/>
        <w:autoSpaceDE/>
        <w:autoSpaceDN/>
        <w:bidi w:val="0"/>
        <w:adjustRightInd w:val="0"/>
        <w:snapToGrid w:val="0"/>
        <w:spacing w:before="0" w:line="576" w:lineRule="exact"/>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第二部分 202</w:t>
      </w:r>
      <w:r>
        <w:rPr>
          <w:rFonts w:hint="eastAsia" w:ascii="楷体" w:hAnsi="楷体" w:eastAsia="楷体" w:cs="楷体"/>
          <w:sz w:val="30"/>
          <w:szCs w:val="30"/>
          <w:lang w:val="en-US" w:eastAsia="zh-CN"/>
        </w:rPr>
        <w:t>2</w:t>
      </w:r>
      <w:r>
        <w:rPr>
          <w:rFonts w:hint="eastAsia" w:ascii="楷体" w:hAnsi="楷体" w:eastAsia="楷体" w:cs="楷体"/>
          <w:sz w:val="30"/>
          <w:szCs w:val="30"/>
        </w:rPr>
        <w:t>年度单位决算情况说明</w:t>
      </w:r>
      <w:r>
        <w:rPr>
          <w:rFonts w:hint="eastAsia" w:ascii="楷体" w:hAnsi="楷体" w:eastAsia="楷体" w:cs="楷体"/>
          <w:sz w:val="30"/>
          <w:szCs w:val="30"/>
          <w:lang w:val="en-US" w:eastAsia="zh-CN"/>
        </w:rPr>
        <w:t>.....................6</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一、收入支出决算总体情况说明</w:t>
      </w:r>
      <w:r>
        <w:rPr>
          <w:rFonts w:hint="eastAsia" w:ascii="楷体" w:hAnsi="楷体" w:eastAsia="楷体" w:cs="楷体"/>
          <w:sz w:val="30"/>
          <w:szCs w:val="30"/>
          <w:lang w:val="en-US" w:eastAsia="zh-CN"/>
        </w:rPr>
        <w:t>........................6</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二、收入决算情况说明</w:t>
      </w:r>
      <w:r>
        <w:rPr>
          <w:rFonts w:hint="eastAsia" w:ascii="楷体" w:hAnsi="楷体" w:eastAsia="楷体" w:cs="楷体"/>
          <w:sz w:val="30"/>
          <w:szCs w:val="30"/>
          <w:lang w:val="en-US" w:eastAsia="zh-CN"/>
        </w:rPr>
        <w:t>................................6</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三、支出决算情况说明</w:t>
      </w:r>
      <w:r>
        <w:rPr>
          <w:rFonts w:hint="eastAsia" w:ascii="楷体" w:hAnsi="楷体" w:eastAsia="楷体" w:cs="楷体"/>
          <w:sz w:val="30"/>
          <w:szCs w:val="30"/>
          <w:lang w:val="en-US" w:eastAsia="zh-CN"/>
        </w:rPr>
        <w:t>................................7</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四、财政拨款收入支出决算总体情况说明</w:t>
      </w:r>
      <w:r>
        <w:rPr>
          <w:rFonts w:hint="eastAsia" w:ascii="楷体" w:hAnsi="楷体" w:eastAsia="楷体" w:cs="楷体"/>
          <w:sz w:val="30"/>
          <w:szCs w:val="30"/>
          <w:lang w:val="en-US" w:eastAsia="zh-CN"/>
        </w:rPr>
        <w:t>................8</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五、一般公共预算财政拨款支出决算情况说明</w:t>
      </w:r>
      <w:r>
        <w:rPr>
          <w:rFonts w:hint="eastAsia" w:ascii="楷体" w:hAnsi="楷体" w:eastAsia="楷体" w:cs="楷体"/>
          <w:sz w:val="30"/>
          <w:szCs w:val="30"/>
          <w:lang w:val="en-US" w:eastAsia="zh-CN"/>
        </w:rPr>
        <w:t>............9</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六、一般公共预算财政拨款基本支出决算情况说明</w:t>
      </w:r>
      <w:r>
        <w:rPr>
          <w:rFonts w:hint="eastAsia" w:ascii="楷体" w:hAnsi="楷体" w:eastAsia="楷体" w:cs="楷体"/>
          <w:sz w:val="30"/>
          <w:szCs w:val="30"/>
          <w:lang w:val="en-US" w:eastAsia="zh-CN"/>
        </w:rPr>
        <w:t>.......11</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七、“三公”经费财政拨款支出决算情况说明</w:t>
      </w:r>
      <w:r>
        <w:rPr>
          <w:rFonts w:hint="eastAsia" w:ascii="楷体" w:hAnsi="楷体" w:eastAsia="楷体" w:cs="楷体"/>
          <w:sz w:val="30"/>
          <w:szCs w:val="30"/>
          <w:lang w:val="en-US" w:eastAsia="zh-CN"/>
        </w:rPr>
        <w:t>............12</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八、政府性基金预算支出决算情况说明</w:t>
      </w:r>
      <w:r>
        <w:rPr>
          <w:rFonts w:hint="eastAsia" w:ascii="楷体" w:hAnsi="楷体" w:eastAsia="楷体" w:cs="楷体"/>
          <w:sz w:val="30"/>
          <w:szCs w:val="30"/>
          <w:lang w:val="en-US" w:eastAsia="zh-CN"/>
        </w:rPr>
        <w:t>.................13</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九、国有资本经营预算支出决算情况说明</w:t>
      </w:r>
      <w:r>
        <w:rPr>
          <w:rFonts w:hint="eastAsia" w:ascii="楷体" w:hAnsi="楷体" w:eastAsia="楷体" w:cs="楷体"/>
          <w:sz w:val="30"/>
          <w:szCs w:val="30"/>
          <w:lang w:val="en-US" w:eastAsia="zh-CN"/>
        </w:rPr>
        <w:t>...............13</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十、其他重要事项的情况说明</w:t>
      </w:r>
      <w:r>
        <w:rPr>
          <w:rFonts w:hint="eastAsia" w:ascii="楷体" w:hAnsi="楷体" w:eastAsia="楷体" w:cs="楷体"/>
          <w:sz w:val="30"/>
          <w:szCs w:val="30"/>
          <w:lang w:val="en-US" w:eastAsia="zh-CN"/>
        </w:rPr>
        <w:t>.........................13</w:t>
      </w:r>
    </w:p>
    <w:p>
      <w:pPr>
        <w:pStyle w:val="10"/>
        <w:keepNext w:val="0"/>
        <w:keepLines w:val="0"/>
        <w:pageBreakBefore w:val="0"/>
        <w:widowControl w:val="0"/>
        <w:kinsoku/>
        <w:wordWrap/>
        <w:overflowPunct/>
        <w:topLinePunct w:val="0"/>
        <w:autoSpaceDE/>
        <w:autoSpaceDN/>
        <w:bidi w:val="0"/>
        <w:adjustRightInd w:val="0"/>
        <w:snapToGrid w:val="0"/>
        <w:spacing w:before="0" w:line="576" w:lineRule="exact"/>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第三部分 名词解释</w:t>
      </w:r>
      <w:r>
        <w:rPr>
          <w:rFonts w:hint="eastAsia" w:ascii="楷体" w:hAnsi="楷体" w:eastAsia="楷体" w:cs="楷体"/>
          <w:sz w:val="30"/>
          <w:szCs w:val="30"/>
          <w:lang w:val="en-US" w:eastAsia="zh-CN"/>
        </w:rPr>
        <w:t>....................................15</w:t>
      </w:r>
    </w:p>
    <w:p>
      <w:pPr>
        <w:pStyle w:val="10"/>
        <w:keepNext w:val="0"/>
        <w:keepLines w:val="0"/>
        <w:pageBreakBefore w:val="0"/>
        <w:widowControl w:val="0"/>
        <w:kinsoku/>
        <w:wordWrap/>
        <w:overflowPunct/>
        <w:topLinePunct w:val="0"/>
        <w:autoSpaceDE/>
        <w:autoSpaceDN/>
        <w:bidi w:val="0"/>
        <w:adjustRightInd w:val="0"/>
        <w:snapToGrid w:val="0"/>
        <w:spacing w:before="0" w:line="576" w:lineRule="exact"/>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第四部分 附件</w:t>
      </w:r>
      <w:r>
        <w:rPr>
          <w:rFonts w:hint="eastAsia" w:ascii="楷体" w:hAnsi="楷体" w:eastAsia="楷体" w:cs="楷体"/>
          <w:sz w:val="30"/>
          <w:szCs w:val="30"/>
          <w:lang w:val="en-US" w:eastAsia="zh-CN"/>
        </w:rPr>
        <w:t>........................................18</w:t>
      </w:r>
    </w:p>
    <w:p>
      <w:pPr>
        <w:pStyle w:val="10"/>
        <w:keepNext w:val="0"/>
        <w:keepLines w:val="0"/>
        <w:pageBreakBefore w:val="0"/>
        <w:widowControl w:val="0"/>
        <w:kinsoku/>
        <w:wordWrap/>
        <w:overflowPunct/>
        <w:topLinePunct w:val="0"/>
        <w:autoSpaceDE/>
        <w:autoSpaceDN/>
        <w:bidi w:val="0"/>
        <w:adjustRightInd w:val="0"/>
        <w:snapToGrid w:val="0"/>
        <w:spacing w:before="0" w:line="576" w:lineRule="exact"/>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第五部分 附表</w:t>
      </w:r>
      <w:r>
        <w:rPr>
          <w:rFonts w:hint="eastAsia" w:ascii="楷体" w:hAnsi="楷体" w:eastAsia="楷体" w:cs="楷体"/>
          <w:sz w:val="30"/>
          <w:szCs w:val="30"/>
          <w:lang w:val="en-US" w:eastAsia="zh-CN"/>
        </w:rPr>
        <w:t>........................................20</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一、收入支出决算总表</w:t>
      </w:r>
      <w:r>
        <w:rPr>
          <w:rFonts w:hint="eastAsia" w:ascii="楷体" w:hAnsi="楷体" w:eastAsia="楷体" w:cs="楷体"/>
          <w:sz w:val="30"/>
          <w:szCs w:val="30"/>
          <w:lang w:val="en-US" w:eastAsia="zh-CN"/>
        </w:rPr>
        <w:t>...............................20</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二、收入决算表</w:t>
      </w:r>
      <w:r>
        <w:rPr>
          <w:rFonts w:hint="eastAsia" w:ascii="楷体" w:hAnsi="楷体" w:eastAsia="楷体" w:cs="楷体"/>
          <w:sz w:val="30"/>
          <w:szCs w:val="30"/>
          <w:lang w:val="en-US" w:eastAsia="zh-CN"/>
        </w:rPr>
        <w:t>.....................................20</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eastAsia" w:ascii="楷体" w:hAnsi="楷体" w:eastAsia="楷体" w:cs="楷体"/>
          <w:sz w:val="30"/>
          <w:szCs w:val="30"/>
        </w:rPr>
      </w:pPr>
      <w:r>
        <w:rPr>
          <w:rFonts w:hint="eastAsia" w:ascii="楷体" w:hAnsi="楷体" w:eastAsia="楷体" w:cs="楷体"/>
          <w:sz w:val="30"/>
          <w:szCs w:val="30"/>
        </w:rPr>
        <w:t>三、支出决算表</w:t>
      </w:r>
      <w:r>
        <w:rPr>
          <w:rFonts w:hint="eastAsia" w:ascii="楷体" w:hAnsi="楷体" w:eastAsia="楷体" w:cs="楷体"/>
          <w:sz w:val="30"/>
          <w:szCs w:val="30"/>
          <w:lang w:val="en-US" w:eastAsia="zh-CN"/>
        </w:rPr>
        <w:t>.....................................20</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四、财政拨款收入支出决算总表</w:t>
      </w:r>
      <w:r>
        <w:rPr>
          <w:rFonts w:hint="eastAsia" w:ascii="楷体" w:hAnsi="楷体" w:eastAsia="楷体" w:cs="楷体"/>
          <w:sz w:val="30"/>
          <w:szCs w:val="30"/>
          <w:lang w:val="en-US" w:eastAsia="zh-CN"/>
        </w:rPr>
        <w:t>.......................20</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五、财政拨款支出决算明细表</w:t>
      </w:r>
      <w:r>
        <w:rPr>
          <w:rFonts w:hint="eastAsia" w:ascii="楷体" w:hAnsi="楷体" w:eastAsia="楷体" w:cs="楷体"/>
          <w:sz w:val="30"/>
          <w:szCs w:val="30"/>
          <w:lang w:val="en-US" w:eastAsia="zh-CN"/>
        </w:rPr>
        <w:t>.........................20</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六、一般公共预算财政拨款支出决算表</w:t>
      </w:r>
      <w:r>
        <w:rPr>
          <w:rFonts w:hint="eastAsia" w:ascii="楷体" w:hAnsi="楷体" w:eastAsia="楷体" w:cs="楷体"/>
          <w:sz w:val="30"/>
          <w:szCs w:val="30"/>
          <w:lang w:val="en-US" w:eastAsia="zh-CN"/>
        </w:rPr>
        <w:t>.................20</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七、一般公共预算财政拨款支出决算明细表</w:t>
      </w:r>
      <w:r>
        <w:rPr>
          <w:rFonts w:hint="eastAsia" w:ascii="楷体" w:hAnsi="楷体" w:eastAsia="楷体" w:cs="楷体"/>
          <w:sz w:val="30"/>
          <w:szCs w:val="30"/>
          <w:lang w:val="en-US" w:eastAsia="zh-CN"/>
        </w:rPr>
        <w:t>.............20</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八、一般公共预算财政拨款基本支出决算表</w:t>
      </w:r>
      <w:r>
        <w:rPr>
          <w:rFonts w:hint="eastAsia" w:ascii="楷体" w:hAnsi="楷体" w:eastAsia="楷体" w:cs="楷体"/>
          <w:sz w:val="30"/>
          <w:szCs w:val="30"/>
          <w:lang w:val="en-US" w:eastAsia="zh-CN"/>
        </w:rPr>
        <w:t>.............20</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九、一般公共预算财政拨款项目支出决算表</w:t>
      </w:r>
      <w:r>
        <w:rPr>
          <w:rFonts w:hint="eastAsia" w:ascii="楷体" w:hAnsi="楷体" w:eastAsia="楷体" w:cs="楷体"/>
          <w:sz w:val="30"/>
          <w:szCs w:val="30"/>
          <w:lang w:val="en-US" w:eastAsia="zh-CN"/>
        </w:rPr>
        <w:t>.............20</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十、一般公共预算财政拨款“三公”经费支出决算表</w:t>
      </w:r>
      <w:r>
        <w:rPr>
          <w:rFonts w:hint="eastAsia" w:ascii="楷体" w:hAnsi="楷体" w:eastAsia="楷体" w:cs="楷体"/>
          <w:sz w:val="30"/>
          <w:szCs w:val="30"/>
          <w:lang w:val="en-US" w:eastAsia="zh-CN"/>
        </w:rPr>
        <w:t>.....20</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十一、政府性基金预算财政拨款收入支出决算表</w:t>
      </w:r>
      <w:r>
        <w:rPr>
          <w:rFonts w:hint="eastAsia" w:ascii="楷体" w:hAnsi="楷体" w:eastAsia="楷体" w:cs="楷体"/>
          <w:sz w:val="30"/>
          <w:szCs w:val="30"/>
          <w:lang w:val="en-US" w:eastAsia="zh-CN"/>
        </w:rPr>
        <w:t>.........20</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十二、政府性基金预算财政拨款“三公”经费支出决算表</w:t>
      </w:r>
      <w:r>
        <w:rPr>
          <w:rFonts w:hint="eastAsia" w:ascii="楷体" w:hAnsi="楷体" w:eastAsia="楷体" w:cs="楷体"/>
          <w:sz w:val="30"/>
          <w:szCs w:val="30"/>
          <w:lang w:val="en-US" w:eastAsia="zh-CN"/>
        </w:rPr>
        <w:t>..20</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十三、国有资本经营预算财政拨款收入支出决算表</w:t>
      </w:r>
      <w:r>
        <w:rPr>
          <w:rFonts w:hint="eastAsia" w:ascii="楷体" w:hAnsi="楷体" w:eastAsia="楷体" w:cs="楷体"/>
          <w:sz w:val="30"/>
          <w:szCs w:val="30"/>
          <w:lang w:val="en-US" w:eastAsia="zh-CN"/>
        </w:rPr>
        <w:t>.......20</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十四、国有资本经营预算财政拨款支出决算表</w:t>
      </w:r>
      <w:r>
        <w:rPr>
          <w:rFonts w:hint="eastAsia" w:ascii="楷体" w:hAnsi="楷体" w:eastAsia="楷体" w:cs="楷体"/>
          <w:sz w:val="30"/>
          <w:szCs w:val="30"/>
          <w:lang w:val="en-US" w:eastAsia="zh-CN"/>
        </w:rPr>
        <w:t>...........20</w:t>
      </w:r>
      <w:bookmarkStart w:id="70" w:name="_GoBack"/>
      <w:bookmarkEnd w:id="70"/>
    </w:p>
    <w:p>
      <w:pPr>
        <w:pageBreakBefore w:val="0"/>
        <w:widowControl/>
        <w:kinsoku/>
        <w:wordWrap/>
        <w:overflowPunct/>
        <w:topLinePunct w:val="0"/>
        <w:bidi w:val="0"/>
        <w:spacing w:line="576" w:lineRule="exact"/>
        <w:jc w:val="left"/>
        <w:rPr>
          <w:rFonts w:ascii="仿宋" w:eastAsia="仿宋"/>
          <w:bCs/>
          <w:kern w:val="44"/>
          <w:sz w:val="24"/>
        </w:rPr>
      </w:pPr>
      <w:bookmarkStart w:id="13" w:name="_Toc15377196"/>
      <w:bookmarkStart w:id="14" w:name="_Toc15396599"/>
      <w:r>
        <w:rPr>
          <w:rFonts w:ascii="仿宋" w:eastAsia="仿宋"/>
          <w:b/>
          <w:sz w:val="24"/>
        </w:rPr>
        <w:br w:type="page"/>
      </w:r>
    </w:p>
    <w:p>
      <w:pPr>
        <w:pStyle w:val="3"/>
        <w:keepNext/>
        <w:keepLines/>
        <w:pageBreakBefore w:val="0"/>
        <w:widowControl w:val="0"/>
        <w:kinsoku/>
        <w:wordWrap/>
        <w:overflowPunct/>
        <w:topLinePunct w:val="0"/>
        <w:autoSpaceDE/>
        <w:autoSpaceDN/>
        <w:bidi w:val="0"/>
        <w:adjustRightInd/>
        <w:snapToGrid/>
        <w:spacing w:before="0" w:after="0" w:line="576" w:lineRule="exact"/>
        <w:jc w:val="center"/>
        <w:textAlignment w:val="auto"/>
        <w:rPr>
          <w:rStyle w:val="16"/>
          <w:rFonts w:hint="eastAsia" w:ascii="方正小标宋_GBK" w:hAnsi="方正小标宋_GBK" w:eastAsia="方正小标宋_GBK" w:cs="方正小标宋_GBK"/>
          <w:b/>
          <w:bCs w:val="0"/>
        </w:rPr>
      </w:pPr>
      <w:r>
        <w:rPr>
          <w:rFonts w:hint="eastAsia" w:ascii="方正小标宋_GBK" w:hAnsi="方正小标宋_GBK" w:eastAsia="方正小标宋_GBK" w:cs="方正小标宋_GBK"/>
          <w:b w:val="0"/>
        </w:rPr>
        <w:t>第一部分 单位</w:t>
      </w:r>
      <w:r>
        <w:rPr>
          <w:rStyle w:val="16"/>
          <w:rFonts w:hint="eastAsia" w:ascii="方正小标宋_GBK" w:hAnsi="方正小标宋_GBK" w:eastAsia="方正小标宋_GBK" w:cs="方正小标宋_GBK"/>
          <w:b w:val="0"/>
          <w:bCs w:val="0"/>
        </w:rPr>
        <w:t>概况</w:t>
      </w:r>
      <w:bookmarkEnd w:id="13"/>
      <w:bookmarkEnd w:id="14"/>
    </w:p>
    <w:p>
      <w:pPr>
        <w:pageBreakBefore w:val="0"/>
        <w:widowControl/>
        <w:kinsoku/>
        <w:wordWrap/>
        <w:overflowPunct/>
        <w:topLinePunct w:val="0"/>
        <w:bidi w:val="0"/>
        <w:spacing w:line="576" w:lineRule="exact"/>
        <w:jc w:val="left"/>
        <w:rPr>
          <w:rFonts w:ascii="黑体" w:eastAsia="黑体"/>
          <w:sz w:val="32"/>
          <w:szCs w:val="32"/>
        </w:rPr>
      </w:pPr>
    </w:p>
    <w:p>
      <w:pPr>
        <w:pStyle w:val="4"/>
        <w:pageBreakBefore w:val="0"/>
        <w:numPr>
          <w:ilvl w:val="0"/>
          <w:numId w:val="1"/>
        </w:numPr>
        <w:kinsoku/>
        <w:wordWrap/>
        <w:overflowPunct/>
        <w:topLinePunct w:val="0"/>
        <w:bidi w:val="0"/>
        <w:spacing w:line="576" w:lineRule="exact"/>
        <w:rPr>
          <w:rStyle w:val="17"/>
          <w:rFonts w:hint="eastAsia" w:ascii="黑体" w:eastAsia="黑体"/>
          <w:b w:val="0"/>
          <w:bCs w:val="0"/>
        </w:rPr>
      </w:pPr>
      <w:bookmarkStart w:id="15" w:name="_Toc15396600"/>
      <w:bookmarkStart w:id="16" w:name="_Toc15377197"/>
      <w:r>
        <w:rPr>
          <w:rStyle w:val="17"/>
          <w:rFonts w:hint="eastAsia" w:ascii="黑体" w:eastAsia="黑体"/>
          <w:b w:val="0"/>
          <w:bCs w:val="0"/>
        </w:rPr>
        <w:t>职能简介</w:t>
      </w:r>
    </w:p>
    <w:p>
      <w:pPr>
        <w:pStyle w:val="25"/>
        <w:keepNext w:val="0"/>
        <w:keepLines w:val="0"/>
        <w:pageBreakBefore w:val="0"/>
        <w:widowControl w:val="0"/>
        <w:suppressLineNumbers w:val="0"/>
        <w:kinsoku/>
        <w:wordWrap/>
        <w:overflowPunct/>
        <w:topLinePunct w:val="0"/>
        <w:autoSpaceDE w:val="0"/>
        <w:autoSpaceDN/>
        <w:bidi w:val="0"/>
        <w:spacing w:before="0" w:beforeAutospacing="0" w:line="576" w:lineRule="exact"/>
        <w:ind w:left="0" w:firstLine="643" w:firstLineChars="200"/>
        <w:jc w:val="both"/>
        <w:outlineLvl w:val="2"/>
        <w:rPr>
          <w:rFonts w:hint="default" w:ascii="楷体_GB2312" w:eastAsia="楷体_GB2312" w:cs="楷体_GB2312"/>
          <w:b/>
          <w:bCs/>
          <w:kern w:val="0"/>
          <w:sz w:val="32"/>
          <w:szCs w:val="32"/>
        </w:rPr>
      </w:pPr>
      <w:r>
        <w:rPr>
          <w:rFonts w:hint="default" w:ascii="楷体_GB2312" w:eastAsia="楷体_GB2312" w:cs="楷体_GB2312"/>
          <w:b/>
          <w:bCs/>
          <w:kern w:val="0"/>
          <w:sz w:val="32"/>
          <w:szCs w:val="32"/>
          <w:shd w:val="clear" w:fill="FFFFFF"/>
        </w:rPr>
        <w:t>（一）主要职能。</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76" w:lineRule="exact"/>
        <w:ind w:left="0" w:firstLine="640" w:firstLineChars="200"/>
        <w:jc w:val="both"/>
        <w:rPr>
          <w:rFonts w:hint="default" w:ascii="仿宋_GB2312" w:eastAsia="仿宋_GB2312" w:cs="仿宋_GB2312"/>
          <w:b w:val="0"/>
          <w:bCs w:val="0"/>
          <w:kern w:val="0"/>
          <w:sz w:val="32"/>
          <w:szCs w:val="32"/>
        </w:rPr>
      </w:pPr>
      <w:r>
        <w:rPr>
          <w:rFonts w:hint="default" w:ascii="仿宋_GB2312" w:eastAsia="仿宋_GB2312" w:cs="仿宋_GB2312"/>
          <w:b w:val="0"/>
          <w:bCs w:val="0"/>
          <w:kern w:val="0"/>
          <w:sz w:val="32"/>
          <w:szCs w:val="32"/>
        </w:rPr>
        <w:t>（1）受县委、县政府的委托、代表县联动指挥中心行使应急指挥权利；</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76" w:lineRule="exact"/>
        <w:ind w:left="0" w:firstLine="640" w:firstLineChars="200"/>
        <w:jc w:val="both"/>
        <w:rPr>
          <w:rFonts w:hint="default" w:ascii="仿宋_GB2312" w:eastAsia="仿宋_GB2312" w:cs="仿宋_GB2312"/>
          <w:b w:val="0"/>
          <w:bCs w:val="0"/>
          <w:kern w:val="0"/>
          <w:sz w:val="32"/>
          <w:szCs w:val="32"/>
        </w:rPr>
      </w:pPr>
      <w:r>
        <w:rPr>
          <w:rFonts w:hint="default" w:ascii="仿宋_GB2312" w:eastAsia="仿宋_GB2312" w:cs="仿宋_GB2312"/>
          <w:b w:val="0"/>
          <w:bCs w:val="0"/>
          <w:kern w:val="0"/>
          <w:sz w:val="32"/>
          <w:szCs w:val="32"/>
        </w:rPr>
        <w:t>（2）负责对中心入驻的六大中心工作人员的管理，负责对七大平台数据的收集和分析研判，并代表县委、政府和县联动指挥中心对重大事件和突发事件的应急指挥工作；</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76" w:lineRule="exact"/>
        <w:ind w:left="0" w:firstLine="640" w:firstLineChars="200"/>
        <w:jc w:val="both"/>
        <w:rPr>
          <w:rFonts w:hint="default" w:ascii="仿宋_GB2312" w:eastAsia="仿宋_GB2312" w:cs="仿宋_GB2312"/>
          <w:b w:val="0"/>
          <w:bCs w:val="0"/>
          <w:kern w:val="0"/>
          <w:sz w:val="32"/>
          <w:szCs w:val="32"/>
        </w:rPr>
      </w:pPr>
      <w:r>
        <w:rPr>
          <w:rFonts w:hint="default" w:ascii="仿宋_GB2312" w:eastAsia="仿宋_GB2312" w:cs="仿宋_GB2312"/>
          <w:b w:val="0"/>
          <w:bCs w:val="0"/>
          <w:kern w:val="0"/>
          <w:sz w:val="32"/>
          <w:szCs w:val="32"/>
        </w:rPr>
        <w:t>（3）负责组织督促；落实县委、县政府和县联动指挥中心下达的指令或工作安排部署，根据工作的实际情况和需要，适时召开联动部门工作协调会，研究解决有关联动服务事宜和问题；</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76" w:lineRule="exact"/>
        <w:ind w:left="0" w:firstLine="640" w:firstLineChars="200"/>
        <w:jc w:val="both"/>
        <w:rPr>
          <w:rFonts w:hint="default" w:ascii="仿宋_GB2312" w:eastAsia="仿宋_GB2312" w:cs="仿宋_GB2312"/>
          <w:b w:val="0"/>
          <w:bCs w:val="0"/>
          <w:kern w:val="0"/>
          <w:sz w:val="32"/>
          <w:szCs w:val="32"/>
        </w:rPr>
      </w:pPr>
      <w:r>
        <w:rPr>
          <w:rFonts w:hint="default" w:ascii="仿宋_GB2312" w:eastAsia="仿宋_GB2312" w:cs="仿宋_GB2312"/>
          <w:b w:val="0"/>
          <w:bCs w:val="0"/>
          <w:kern w:val="0"/>
          <w:sz w:val="32"/>
          <w:szCs w:val="32"/>
        </w:rPr>
        <w:t>（4）负责对重要信息的收集、报送工作，对全县应急处突、渉稳事件、安全生产急救、自然灾害等重大事件的协调工作，同时做好处置工作记录，并逐日归类汇总并备案；</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76" w:lineRule="exact"/>
        <w:ind w:left="0" w:firstLine="640" w:firstLineChars="200"/>
        <w:jc w:val="both"/>
        <w:rPr>
          <w:rFonts w:hint="default" w:ascii="仿宋_GB2312" w:eastAsia="仿宋_GB2312" w:cs="仿宋_GB2312"/>
          <w:b w:val="0"/>
          <w:bCs w:val="0"/>
          <w:kern w:val="0"/>
          <w:sz w:val="32"/>
          <w:szCs w:val="32"/>
        </w:rPr>
      </w:pPr>
      <w:r>
        <w:rPr>
          <w:rFonts w:hint="default" w:ascii="仿宋_GB2312" w:eastAsia="仿宋_GB2312" w:cs="仿宋_GB2312"/>
          <w:b w:val="0"/>
          <w:bCs w:val="0"/>
          <w:kern w:val="0"/>
          <w:sz w:val="32"/>
          <w:szCs w:val="32"/>
        </w:rPr>
        <w:t>（5）负责组织、督促有关部门抓好民生服务工作，矛盾纠纷排查化解工作。开展调查研究，对重大情况和问题应及时进行分析研判，并向县政府提交研判报告；</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76" w:lineRule="exact"/>
        <w:ind w:left="0" w:firstLine="640" w:firstLineChars="200"/>
        <w:jc w:val="both"/>
        <w:rPr>
          <w:rFonts w:hint="default" w:ascii="仿宋_GB2312" w:eastAsia="仿宋_GB2312" w:cs="仿宋_GB2312"/>
          <w:b w:val="0"/>
          <w:bCs w:val="0"/>
          <w:kern w:val="0"/>
          <w:sz w:val="32"/>
          <w:szCs w:val="32"/>
        </w:rPr>
      </w:pPr>
      <w:r>
        <w:rPr>
          <w:rFonts w:hint="default" w:ascii="仿宋_GB2312" w:eastAsia="仿宋_GB2312" w:cs="仿宋_GB2312"/>
          <w:b w:val="0"/>
          <w:bCs w:val="0"/>
          <w:kern w:val="0"/>
          <w:sz w:val="32"/>
          <w:szCs w:val="32"/>
        </w:rPr>
        <w:t>（6）负责建立健全联动指挥中心各项规章制度；</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76" w:lineRule="exact"/>
        <w:ind w:left="0" w:firstLine="640" w:firstLineChars="200"/>
        <w:jc w:val="both"/>
        <w:rPr>
          <w:rFonts w:hint="default" w:ascii="仿宋_GB2312" w:eastAsia="仿宋_GB2312" w:cs="仿宋_GB2312"/>
          <w:b w:val="0"/>
          <w:bCs w:val="0"/>
          <w:kern w:val="0"/>
          <w:sz w:val="32"/>
          <w:szCs w:val="32"/>
        </w:rPr>
      </w:pPr>
      <w:r>
        <w:rPr>
          <w:rFonts w:hint="default" w:ascii="仿宋_GB2312" w:eastAsia="仿宋_GB2312" w:cs="仿宋_GB2312"/>
          <w:b w:val="0"/>
          <w:bCs w:val="0"/>
          <w:kern w:val="0"/>
          <w:sz w:val="32"/>
          <w:szCs w:val="32"/>
        </w:rPr>
        <w:t>（7）负责协助和管理县民族宗教局入驻人员开展寺庙网格化精准服务系统管理工作；负责协助和管理县公安局入驻人员做好联动指挥中心系统维护以及天网视频调度工作；负责协助和管理县矛盾纠纷“大调解”中心做好全县大调解工作和基层大调解指导工作；负责协助和管理其它入驻单位的工作人员开展相关工作。</w:t>
      </w:r>
    </w:p>
    <w:p>
      <w:pPr>
        <w:pStyle w:val="25"/>
        <w:keepNext w:val="0"/>
        <w:keepLines w:val="0"/>
        <w:pageBreakBefore w:val="0"/>
        <w:widowControl w:val="0"/>
        <w:suppressLineNumbers w:val="0"/>
        <w:kinsoku/>
        <w:wordWrap/>
        <w:overflowPunct/>
        <w:topLinePunct w:val="0"/>
        <w:autoSpaceDE w:val="0"/>
        <w:autoSpaceDN/>
        <w:bidi w:val="0"/>
        <w:spacing w:before="0" w:beforeAutospacing="0" w:line="576" w:lineRule="exact"/>
        <w:ind w:left="0" w:firstLine="640" w:firstLineChars="200"/>
        <w:jc w:val="both"/>
        <w:rPr>
          <w:rFonts w:hint="default" w:ascii="仿宋_GB2312" w:eastAsia="仿宋_GB2312" w:cs="仿宋_GB2312"/>
          <w:kern w:val="0"/>
          <w:sz w:val="32"/>
          <w:szCs w:val="32"/>
        </w:rPr>
      </w:pPr>
      <w:r>
        <w:rPr>
          <w:rFonts w:hint="default" w:ascii="仿宋_GB2312" w:eastAsia="仿宋_GB2312" w:cs="仿宋_GB2312"/>
          <w:b w:val="0"/>
          <w:bCs w:val="0"/>
          <w:kern w:val="0"/>
          <w:sz w:val="32"/>
          <w:szCs w:val="32"/>
        </w:rPr>
        <w:t>（8）负责做好县委、政府临时交办的各项工作任务。</w:t>
      </w:r>
    </w:p>
    <w:p>
      <w:pPr>
        <w:pStyle w:val="25"/>
        <w:keepNext w:val="0"/>
        <w:keepLines w:val="0"/>
        <w:pageBreakBefore w:val="0"/>
        <w:widowControl w:val="0"/>
        <w:suppressLineNumbers w:val="0"/>
        <w:kinsoku/>
        <w:wordWrap/>
        <w:overflowPunct/>
        <w:topLinePunct w:val="0"/>
        <w:autoSpaceDE w:val="0"/>
        <w:autoSpaceDN/>
        <w:bidi w:val="0"/>
        <w:spacing w:before="0" w:beforeAutospacing="0" w:line="576" w:lineRule="exact"/>
        <w:ind w:left="0" w:firstLine="643" w:firstLineChars="200"/>
        <w:jc w:val="both"/>
        <w:outlineLvl w:val="1"/>
        <w:rPr>
          <w:rFonts w:hint="eastAsia" w:ascii="黑体" w:hAnsi="宋体" w:eastAsia="黑体" w:cs="黑体"/>
          <w:b/>
          <w:bCs/>
          <w:sz w:val="32"/>
          <w:szCs w:val="32"/>
          <w:shd w:val="clear" w:fill="FFFFFF"/>
        </w:rPr>
      </w:pPr>
      <w:bookmarkStart w:id="17" w:name="_Toc19082"/>
      <w:bookmarkEnd w:id="17"/>
      <w:bookmarkStart w:id="18" w:name="_Toc7522"/>
      <w:bookmarkEnd w:id="18"/>
      <w:r>
        <w:rPr>
          <w:rFonts w:hint="eastAsia" w:ascii="楷体_GB2312" w:eastAsia="楷体_GB2312" w:cs="楷体_GB2312"/>
          <w:b/>
          <w:bCs/>
          <w:kern w:val="0"/>
          <w:sz w:val="32"/>
          <w:szCs w:val="32"/>
          <w:shd w:val="clear" w:fill="FFFFFF"/>
          <w:lang w:eastAsia="zh-CN"/>
        </w:rPr>
        <w:t>（二）</w:t>
      </w:r>
      <w:r>
        <w:rPr>
          <w:rFonts w:hint="eastAsia" w:ascii="楷体_GB2312" w:eastAsia="楷体_GB2312" w:cs="楷体_GB2312"/>
          <w:b/>
          <w:bCs/>
          <w:kern w:val="0"/>
          <w:sz w:val="32"/>
          <w:szCs w:val="32"/>
          <w:shd w:val="clear" w:fill="FFFFFF"/>
        </w:rPr>
        <w:t>机构设置</w:t>
      </w:r>
    </w:p>
    <w:p>
      <w:pPr>
        <w:pStyle w:val="25"/>
        <w:keepNext w:val="0"/>
        <w:keepLines w:val="0"/>
        <w:pageBreakBefore w:val="0"/>
        <w:widowControl w:val="0"/>
        <w:suppressLineNumbers w:val="0"/>
        <w:kinsoku/>
        <w:wordWrap/>
        <w:overflowPunct/>
        <w:topLinePunct w:val="0"/>
        <w:autoSpaceDE w:val="0"/>
        <w:autoSpaceDN/>
        <w:bidi w:val="0"/>
        <w:spacing w:before="0" w:beforeAutospacing="0" w:line="576" w:lineRule="exact"/>
        <w:ind w:left="0" w:firstLine="640" w:firstLineChars="200"/>
        <w:jc w:val="both"/>
      </w:pPr>
      <w:r>
        <w:rPr>
          <w:rFonts w:hint="default" w:ascii="仿宋_GB2312" w:eastAsia="仿宋_GB2312" w:cs="仿宋_GB2312"/>
          <w:kern w:val="0"/>
          <w:sz w:val="32"/>
          <w:szCs w:val="32"/>
        </w:rPr>
        <w:t>红原县联动指挥中心办公室事业编制8名，其中：设主任1名(正科级)，副主任2名(副科级)；股级领导职数3名。</w:t>
      </w:r>
    </w:p>
    <w:p>
      <w:pPr>
        <w:pStyle w:val="4"/>
        <w:pageBreakBefore w:val="0"/>
        <w:kinsoku/>
        <w:wordWrap/>
        <w:overflowPunct/>
        <w:topLinePunct w:val="0"/>
        <w:bidi w:val="0"/>
        <w:spacing w:line="576" w:lineRule="exact"/>
        <w:ind w:firstLine="640" w:firstLineChars="200"/>
        <w:rPr>
          <w:rFonts w:hint="eastAsia" w:ascii="黑体" w:eastAsia="黑体"/>
          <w:b w:val="0"/>
        </w:rPr>
      </w:pPr>
      <w:r>
        <w:rPr>
          <w:rFonts w:hint="eastAsia" w:ascii="黑体" w:eastAsia="黑体"/>
          <w:b w:val="0"/>
        </w:rPr>
        <w:t>二、202</w:t>
      </w:r>
      <w:r>
        <w:rPr>
          <w:rFonts w:hint="eastAsia" w:ascii="黑体" w:eastAsia="黑体"/>
          <w:b w:val="0"/>
          <w:lang w:val="en-US" w:eastAsia="zh-CN"/>
        </w:rPr>
        <w:t>2</w:t>
      </w:r>
      <w:r>
        <w:rPr>
          <w:rFonts w:hint="eastAsia" w:ascii="黑体" w:eastAsia="黑体"/>
          <w:b w:val="0"/>
        </w:rPr>
        <w:t>年重点工作</w:t>
      </w:r>
      <w:bookmarkEnd w:id="15"/>
      <w:bookmarkEnd w:id="16"/>
      <w:r>
        <w:rPr>
          <w:rFonts w:hint="eastAsia" w:ascii="黑体" w:eastAsia="黑体"/>
          <w:b w:val="0"/>
        </w:rPr>
        <w:t>完成情况</w:t>
      </w:r>
    </w:p>
    <w:p>
      <w:pPr>
        <w:pStyle w:val="25"/>
        <w:keepNext w:val="0"/>
        <w:keepLines w:val="0"/>
        <w:pageBreakBefore w:val="0"/>
        <w:widowControl w:val="0"/>
        <w:suppressLineNumbers w:val="0"/>
        <w:kinsoku/>
        <w:wordWrap/>
        <w:overflowPunct/>
        <w:topLinePunct w:val="0"/>
        <w:autoSpaceDE w:val="0"/>
        <w:autoSpaceDN/>
        <w:bidi w:val="0"/>
        <w:spacing w:before="0" w:beforeAutospacing="0" w:line="576" w:lineRule="exact"/>
        <w:ind w:left="0" w:firstLine="640" w:firstLineChars="200"/>
        <w:jc w:val="both"/>
        <w:rPr>
          <w:rFonts w:hint="default" w:ascii="仿宋_GB2312" w:eastAsia="仿宋_GB2312" w:cs="仿宋_GB2312"/>
          <w:kern w:val="0"/>
          <w:sz w:val="32"/>
          <w:szCs w:val="32"/>
        </w:rPr>
      </w:pPr>
      <w:r>
        <w:rPr>
          <w:rFonts w:hint="default" w:ascii="仿宋_GB2312" w:eastAsia="仿宋_GB2312" w:cs="仿宋_GB2312"/>
          <w:kern w:val="0"/>
          <w:sz w:val="32"/>
          <w:szCs w:val="32"/>
        </w:rPr>
        <w:t>一是进一步健全管理机制。中心目前虽有较完整的管理机制，但就如何激励各平台功能更好的发挥和整合平台信息共享方面还存在不足，下一步我们将就不断健全完善平台综合管理应用方面再做进一步探索和完善，力求确保在各自的管理体系中实现信息的多重共享。</w:t>
      </w:r>
    </w:p>
    <w:p>
      <w:pPr>
        <w:pStyle w:val="25"/>
        <w:keepNext w:val="0"/>
        <w:keepLines w:val="0"/>
        <w:pageBreakBefore w:val="0"/>
        <w:widowControl w:val="0"/>
        <w:suppressLineNumbers w:val="0"/>
        <w:kinsoku/>
        <w:wordWrap/>
        <w:overflowPunct/>
        <w:topLinePunct w:val="0"/>
        <w:autoSpaceDE w:val="0"/>
        <w:autoSpaceDN/>
        <w:bidi w:val="0"/>
        <w:spacing w:before="0" w:beforeAutospacing="0" w:line="576" w:lineRule="exact"/>
        <w:ind w:left="0" w:firstLine="640" w:firstLineChars="200"/>
        <w:jc w:val="both"/>
        <w:rPr>
          <w:rFonts w:hint="default" w:ascii="仿宋_GB2312" w:eastAsia="仿宋_GB2312" w:cs="仿宋_GB2312"/>
          <w:kern w:val="0"/>
          <w:sz w:val="32"/>
          <w:szCs w:val="32"/>
        </w:rPr>
      </w:pPr>
      <w:r>
        <w:rPr>
          <w:rFonts w:hint="default" w:ascii="仿宋_GB2312" w:eastAsia="仿宋_GB2312" w:cs="仿宋_GB2312"/>
          <w:kern w:val="0"/>
          <w:sz w:val="32"/>
          <w:szCs w:val="32"/>
        </w:rPr>
        <w:t>二是进一步优化平台应用。首先加大藏区依法常态化信息工作平台的推广应用，信息化工作平台功能更强大，涉及面更广，操作更加适用，通过近段时间的试运行，平台作用已得到发挥，下一步将加大平台的宣传，确保部门和乡镇能充分认识和应用该平台，同时我们也将综治中心通过视频监控发现的问题以及110转派非警务事件的转派和督办通过信息化工作平台来实现事件办理的线上痕迹化管理，以此倒逼乡镇和部门开展信息化工作平台的应用。其次是强化“红原在线”的提档升级，目前虽然通过大力宣传，“红原在线”平台服务于旅游的功能有所展现，但通过其GPS定位以实现民生服务方面还较不足，下一步我们将通过和部门合作，开发相应的民生服务项目，包括正在计划和民政局合作，利用平台定位优势，开展我县散居老人的“保姆式服务”项目开发应用。</w:t>
      </w:r>
    </w:p>
    <w:p>
      <w:pPr>
        <w:pStyle w:val="25"/>
        <w:keepNext w:val="0"/>
        <w:keepLines w:val="0"/>
        <w:pageBreakBefore w:val="0"/>
        <w:widowControl w:val="0"/>
        <w:suppressLineNumbers w:val="0"/>
        <w:kinsoku/>
        <w:wordWrap/>
        <w:overflowPunct/>
        <w:topLinePunct w:val="0"/>
        <w:autoSpaceDE w:val="0"/>
        <w:autoSpaceDN/>
        <w:bidi w:val="0"/>
        <w:spacing w:before="0" w:beforeAutospacing="0" w:line="576" w:lineRule="exact"/>
        <w:ind w:left="0" w:firstLine="640" w:firstLineChars="200"/>
        <w:jc w:val="both"/>
        <w:rPr>
          <w:rFonts w:hint="default" w:ascii="仿宋_GB2312" w:eastAsia="仿宋_GB2312" w:cs="仿宋_GB2312"/>
          <w:kern w:val="0"/>
          <w:sz w:val="32"/>
          <w:szCs w:val="32"/>
        </w:rPr>
      </w:pPr>
      <w:r>
        <w:rPr>
          <w:rFonts w:hint="default" w:ascii="仿宋_GB2312" w:eastAsia="仿宋_GB2312" w:cs="仿宋_GB2312"/>
          <w:kern w:val="0"/>
          <w:sz w:val="32"/>
          <w:szCs w:val="32"/>
        </w:rPr>
        <w:t>三是逐步推行线上线下双接件，同办理。为充分体现中心负责全县群众投诉、咨询、意见、建言建议的受理、交办和督查调度的作用，中心目前已申请8998989的热线服务电话，我们将加快服务热线的推广，已达到将群众非警务事件的所有投诉、求助事件纳入中心处置、分流、督办和回访。</w:t>
      </w:r>
    </w:p>
    <w:p>
      <w:pPr>
        <w:pStyle w:val="25"/>
        <w:keepNext w:val="0"/>
        <w:keepLines w:val="0"/>
        <w:pageBreakBefore w:val="0"/>
        <w:widowControl w:val="0"/>
        <w:suppressLineNumbers w:val="0"/>
        <w:kinsoku/>
        <w:wordWrap/>
        <w:overflowPunct/>
        <w:topLinePunct w:val="0"/>
        <w:autoSpaceDE w:val="0"/>
        <w:autoSpaceDN/>
        <w:bidi w:val="0"/>
        <w:spacing w:before="0" w:beforeAutospacing="0" w:line="576" w:lineRule="exact"/>
        <w:ind w:left="0" w:firstLine="640" w:firstLineChars="200"/>
        <w:jc w:val="both"/>
        <w:rPr>
          <w:rFonts w:hint="default" w:ascii="仿宋_GB2312" w:eastAsia="仿宋_GB2312" w:cs="仿宋_GB2312"/>
          <w:kern w:val="0"/>
          <w:sz w:val="32"/>
          <w:szCs w:val="32"/>
        </w:rPr>
      </w:pPr>
    </w:p>
    <w:p>
      <w:pPr>
        <w:pStyle w:val="25"/>
        <w:keepNext w:val="0"/>
        <w:keepLines w:val="0"/>
        <w:pageBreakBefore w:val="0"/>
        <w:widowControl w:val="0"/>
        <w:suppressLineNumbers w:val="0"/>
        <w:kinsoku/>
        <w:wordWrap/>
        <w:overflowPunct/>
        <w:topLinePunct w:val="0"/>
        <w:autoSpaceDE w:val="0"/>
        <w:autoSpaceDN/>
        <w:bidi w:val="0"/>
        <w:spacing w:before="0" w:beforeAutospacing="0" w:line="576" w:lineRule="exact"/>
        <w:ind w:left="0" w:firstLine="640" w:firstLineChars="200"/>
        <w:jc w:val="both"/>
        <w:rPr>
          <w:rFonts w:hint="default" w:ascii="仿宋_GB2312" w:eastAsia="仿宋_GB2312" w:cs="仿宋_GB2312"/>
          <w:kern w:val="0"/>
          <w:sz w:val="32"/>
          <w:szCs w:val="32"/>
        </w:rPr>
      </w:pPr>
      <w:r>
        <w:rPr>
          <w:rFonts w:hint="default" w:ascii="仿宋_GB2312" w:eastAsia="仿宋_GB2312" w:cs="仿宋_GB2312"/>
          <w:kern w:val="0"/>
          <w:sz w:val="32"/>
          <w:szCs w:val="32"/>
        </w:rPr>
        <w:br w:type="page"/>
      </w:r>
    </w:p>
    <w:p>
      <w:pPr>
        <w:pStyle w:val="3"/>
        <w:pageBreakBefore w:val="0"/>
        <w:kinsoku/>
        <w:wordWrap/>
        <w:overflowPunct/>
        <w:topLinePunct w:val="0"/>
        <w:bidi w:val="0"/>
        <w:spacing w:line="576" w:lineRule="exact"/>
        <w:ind w:right="440"/>
        <w:jc w:val="center"/>
        <w:rPr>
          <w:rStyle w:val="16"/>
          <w:rFonts w:ascii="黑体" w:eastAsia="黑体"/>
          <w:b w:val="0"/>
          <w:bCs/>
        </w:rPr>
      </w:pPr>
      <w:bookmarkStart w:id="19" w:name="_Toc15396602"/>
      <w:bookmarkStart w:id="20" w:name="_Toc15377204"/>
      <w:r>
        <w:rPr>
          <w:rFonts w:hint="eastAsia" w:ascii="黑体" w:eastAsia="黑体"/>
          <w:b w:val="0"/>
        </w:rPr>
        <w:t>第二部分 202</w:t>
      </w:r>
      <w:r>
        <w:rPr>
          <w:rFonts w:hint="eastAsia" w:ascii="黑体" w:eastAsia="黑体"/>
          <w:b w:val="0"/>
          <w:lang w:val="en-US" w:eastAsia="zh-CN"/>
        </w:rPr>
        <w:t>2</w:t>
      </w:r>
      <w:r>
        <w:rPr>
          <w:rFonts w:hint="eastAsia" w:ascii="黑体" w:eastAsia="黑体"/>
          <w:b w:val="0"/>
        </w:rPr>
        <w:t>年度</w:t>
      </w:r>
      <w:r>
        <w:rPr>
          <w:rStyle w:val="16"/>
          <w:rFonts w:hint="eastAsia" w:ascii="黑体" w:eastAsia="黑体"/>
          <w:b w:val="0"/>
          <w:bCs/>
        </w:rPr>
        <w:t>单位决算情况说明</w:t>
      </w:r>
      <w:bookmarkEnd w:id="19"/>
      <w:bookmarkEnd w:id="20"/>
    </w:p>
    <w:p>
      <w:pPr>
        <w:pageBreakBefore w:val="0"/>
        <w:kinsoku/>
        <w:wordWrap/>
        <w:overflowPunct/>
        <w:topLinePunct w:val="0"/>
        <w:bidi w:val="0"/>
        <w:spacing w:line="576" w:lineRule="exact"/>
      </w:pPr>
    </w:p>
    <w:p>
      <w:pPr>
        <w:pStyle w:val="22"/>
        <w:pageBreakBefore w:val="0"/>
        <w:numPr>
          <w:ilvl w:val="0"/>
          <w:numId w:val="2"/>
        </w:numPr>
        <w:kinsoku/>
        <w:wordWrap/>
        <w:overflowPunct/>
        <w:topLinePunct w:val="0"/>
        <w:bidi w:val="0"/>
        <w:spacing w:line="576" w:lineRule="exact"/>
        <w:ind w:firstLineChars="0"/>
        <w:outlineLvl w:val="1"/>
        <w:rPr>
          <w:rStyle w:val="17"/>
          <w:rFonts w:ascii="黑体" w:eastAsia="黑体"/>
          <w:b w:val="0"/>
        </w:rPr>
      </w:pPr>
      <w:bookmarkStart w:id="21" w:name="_Toc15396603"/>
      <w:bookmarkStart w:id="22" w:name="_Toc15377205"/>
      <w:r>
        <w:rPr>
          <w:rFonts w:hint="eastAsia" w:ascii="黑体" w:eastAsia="黑体"/>
          <w:sz w:val="32"/>
          <w:szCs w:val="32"/>
        </w:rPr>
        <w:t>收</w:t>
      </w:r>
      <w:r>
        <w:rPr>
          <w:rStyle w:val="17"/>
          <w:rFonts w:hint="eastAsia" w:ascii="黑体" w:eastAsia="黑体"/>
          <w:b w:val="0"/>
        </w:rPr>
        <w:t>入支出决算总体情况说明</w:t>
      </w:r>
      <w:bookmarkEnd w:id="21"/>
      <w:bookmarkEnd w:id="22"/>
    </w:p>
    <w:p>
      <w:pPr>
        <w:pageBreakBefore w:val="0"/>
        <w:kinsoku/>
        <w:wordWrap/>
        <w:overflowPunct/>
        <w:topLinePunct w:val="0"/>
        <w:bidi w:val="0"/>
        <w:spacing w:line="576" w:lineRule="exact"/>
        <w:ind w:firstLine="640" w:firstLineChars="200"/>
        <w:rPr>
          <w:rFonts w:ascii="仿宋" w:eastAsia="仿宋"/>
          <w:sz w:val="32"/>
          <w:szCs w:val="32"/>
        </w:rPr>
      </w:pPr>
      <w:r>
        <w:rPr>
          <w:rFonts w:hint="eastAsia" w:ascii="仿宋" w:eastAsia="仿宋"/>
          <w:sz w:val="32"/>
          <w:szCs w:val="32"/>
        </w:rPr>
        <w:t>202</w:t>
      </w:r>
      <w:r>
        <w:rPr>
          <w:rFonts w:hint="eastAsia" w:ascii="仿宋" w:eastAsia="仿宋"/>
          <w:sz w:val="32"/>
          <w:szCs w:val="32"/>
          <w:lang w:val="en-US" w:eastAsia="zh-CN"/>
        </w:rPr>
        <w:t>2</w:t>
      </w:r>
      <w:r>
        <w:rPr>
          <w:rFonts w:hint="eastAsia" w:ascii="仿宋" w:eastAsia="仿宋"/>
          <w:sz w:val="32"/>
          <w:szCs w:val="32"/>
        </w:rPr>
        <w:t>年度</w:t>
      </w:r>
      <w:r>
        <w:rPr>
          <w:rFonts w:hint="eastAsia" w:ascii="仿宋" w:eastAsia="仿宋"/>
          <w:sz w:val="32"/>
          <w:szCs w:val="32"/>
          <w:lang w:eastAsia="zh-CN"/>
        </w:rPr>
        <w:t>收入总计</w:t>
      </w:r>
      <w:r>
        <w:rPr>
          <w:rFonts w:hint="eastAsia" w:ascii="仿宋" w:eastAsia="仿宋"/>
          <w:sz w:val="32"/>
          <w:szCs w:val="32"/>
          <w:lang w:val="en-US" w:eastAsia="zh-CN"/>
        </w:rPr>
        <w:t>209.28万元</w:t>
      </w:r>
      <w:r>
        <w:rPr>
          <w:rFonts w:hint="eastAsia" w:ascii="仿宋" w:eastAsia="仿宋"/>
          <w:sz w:val="32"/>
          <w:szCs w:val="32"/>
        </w:rPr>
        <w:t>、支</w:t>
      </w:r>
      <w:r>
        <w:rPr>
          <w:rFonts w:hint="eastAsia" w:ascii="仿宋" w:eastAsia="仿宋"/>
          <w:sz w:val="32"/>
          <w:szCs w:val="32"/>
          <w:lang w:eastAsia="zh-CN"/>
        </w:rPr>
        <w:t>出</w:t>
      </w:r>
      <w:r>
        <w:rPr>
          <w:rFonts w:hint="eastAsia" w:ascii="仿宋" w:eastAsia="仿宋"/>
          <w:sz w:val="32"/>
          <w:szCs w:val="32"/>
        </w:rPr>
        <w:t>总计</w:t>
      </w:r>
      <w:r>
        <w:rPr>
          <w:rFonts w:hint="eastAsia" w:ascii="仿宋" w:eastAsia="仿宋"/>
          <w:sz w:val="32"/>
          <w:szCs w:val="32"/>
          <w:lang w:val="en-US" w:eastAsia="zh-CN"/>
        </w:rPr>
        <w:t>209.28</w:t>
      </w:r>
      <w:r>
        <w:rPr>
          <w:rFonts w:hint="eastAsia" w:ascii="仿宋" w:eastAsia="仿宋"/>
          <w:sz w:val="32"/>
          <w:szCs w:val="32"/>
        </w:rPr>
        <w:t>万元。与202</w:t>
      </w:r>
      <w:r>
        <w:rPr>
          <w:rFonts w:hint="eastAsia" w:ascii="仿宋" w:eastAsia="仿宋"/>
          <w:sz w:val="32"/>
          <w:szCs w:val="32"/>
          <w:lang w:val="en-US" w:eastAsia="zh-CN"/>
        </w:rPr>
        <w:t>1</w:t>
      </w:r>
      <w:r>
        <w:rPr>
          <w:rFonts w:hint="eastAsia" w:ascii="仿宋" w:eastAsia="仿宋"/>
          <w:sz w:val="32"/>
          <w:szCs w:val="32"/>
        </w:rPr>
        <w:t>年相比，收、支总计各增加</w:t>
      </w:r>
      <w:r>
        <w:rPr>
          <w:rFonts w:hint="eastAsia" w:ascii="仿宋" w:eastAsia="仿宋"/>
          <w:sz w:val="32"/>
          <w:szCs w:val="32"/>
          <w:lang w:val="en-US" w:eastAsia="zh-CN"/>
        </w:rPr>
        <w:t>22.63</w:t>
      </w:r>
      <w:r>
        <w:rPr>
          <w:rFonts w:hint="eastAsia" w:ascii="仿宋" w:eastAsia="仿宋"/>
          <w:sz w:val="32"/>
          <w:szCs w:val="32"/>
        </w:rPr>
        <w:t>万元，增长</w:t>
      </w:r>
      <w:r>
        <w:rPr>
          <w:rFonts w:hint="eastAsia" w:ascii="仿宋" w:eastAsia="仿宋"/>
          <w:sz w:val="32"/>
          <w:szCs w:val="32"/>
          <w:lang w:val="en-US" w:eastAsia="zh-CN"/>
        </w:rPr>
        <w:t>10.81</w:t>
      </w:r>
      <w:r>
        <w:rPr>
          <w:rFonts w:ascii="仿宋" w:eastAsia="仿宋"/>
          <w:sz w:val="32"/>
          <w:szCs w:val="32"/>
        </w:rPr>
        <w:t>%</w:t>
      </w:r>
      <w:r>
        <w:rPr>
          <w:rFonts w:hint="eastAsia" w:ascii="仿宋" w:eastAsia="仿宋"/>
          <w:sz w:val="32"/>
          <w:szCs w:val="32"/>
        </w:rPr>
        <w:t>。主要变动原因是</w:t>
      </w:r>
      <w:r>
        <w:rPr>
          <w:rFonts w:hint="eastAsia" w:ascii="仿宋" w:hAnsi="仿宋" w:eastAsia="仿宋" w:cs="仿宋"/>
          <w:sz w:val="32"/>
          <w:szCs w:val="32"/>
        </w:rPr>
        <w:t>是</w:t>
      </w:r>
      <w:r>
        <w:rPr>
          <w:rFonts w:hint="eastAsia" w:ascii="仿宋" w:hAnsi="仿宋" w:eastAsia="仿宋" w:cs="仿宋"/>
          <w:sz w:val="32"/>
          <w:szCs w:val="32"/>
          <w:lang w:eastAsia="zh-CN"/>
        </w:rPr>
        <w:t>人员和项目支出较上年增加。</w:t>
      </w:r>
    </w:p>
    <w:p>
      <w:pPr>
        <w:pageBreakBefore w:val="0"/>
        <w:kinsoku/>
        <w:wordWrap/>
        <w:overflowPunct/>
        <w:topLinePunct w:val="0"/>
        <w:bidi w:val="0"/>
        <w:spacing w:line="576" w:lineRule="exact"/>
        <w:ind w:firstLine="640" w:firstLineChars="200"/>
        <w:rPr>
          <w:rFonts w:hint="eastAsia" w:ascii="仿宋" w:eastAsia="仿宋"/>
          <w:sz w:val="32"/>
          <w:szCs w:val="32"/>
        </w:rPr>
      </w:pPr>
      <w:r>
        <w:rPr>
          <w:rFonts w:hint="eastAsia" w:ascii="仿宋" w:eastAsia="仿宋"/>
          <w:sz w:val="32"/>
          <w:szCs w:val="32"/>
        </w:rPr>
        <w:t>（图</w:t>
      </w:r>
      <w:r>
        <w:rPr>
          <w:rFonts w:ascii="仿宋" w:eastAsia="仿宋"/>
          <w:sz w:val="32"/>
          <w:szCs w:val="32"/>
        </w:rPr>
        <w:t>1</w:t>
      </w:r>
      <w:r>
        <w:rPr>
          <w:rFonts w:hint="eastAsia" w:ascii="仿宋" w:eastAsia="仿宋"/>
          <w:sz w:val="32"/>
          <w:szCs w:val="32"/>
        </w:rPr>
        <w:t>：收、支决算总计变动情况图）</w:t>
      </w:r>
    </w:p>
    <w:p>
      <w:pPr>
        <w:pStyle w:val="2"/>
        <w:rPr>
          <w:rFonts w:hint="eastAsia" w:ascii="仿宋" w:eastAsia="仿宋"/>
          <w:sz w:val="32"/>
          <w:szCs w:val="32"/>
        </w:rPr>
      </w:pPr>
    </w:p>
    <w:p>
      <w:pPr>
        <w:pStyle w:val="2"/>
        <w:rPr>
          <w:rFonts w:hint="eastAsia" w:ascii="仿宋" w:eastAsia="仿宋"/>
          <w:sz w:val="32"/>
          <w:szCs w:val="32"/>
        </w:rPr>
      </w:pPr>
      <w:r>
        <w:rPr>
          <w:rFonts w:hint="eastAsia" w:ascii="仿宋" w:eastAsia="仿宋"/>
          <w:color w:val="000000"/>
          <w:sz w:val="32"/>
          <w:szCs w:val="32"/>
        </w:rPr>
        <w:drawing>
          <wp:anchor distT="0" distB="0" distL="114935" distR="114935" simplePos="0" relativeHeight="251670528" behindDoc="1" locked="0" layoutInCell="1" allowOverlap="1">
            <wp:simplePos x="0" y="0"/>
            <wp:positionH relativeFrom="column">
              <wp:posOffset>238125</wp:posOffset>
            </wp:positionH>
            <wp:positionV relativeFrom="paragraph">
              <wp:posOffset>22225</wp:posOffset>
            </wp:positionV>
            <wp:extent cx="5254625" cy="3091180"/>
            <wp:effectExtent l="4445" t="4445" r="17780" b="9525"/>
            <wp:wrapNone/>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Style w:val="2"/>
        <w:ind w:firstLine="420" w:firstLineChars="0"/>
        <w:rPr>
          <w:rFonts w:hint="eastAsia" w:ascii="仿宋" w:eastAsia="仿宋"/>
          <w:sz w:val="32"/>
          <w:szCs w:val="32"/>
        </w:rPr>
      </w:pPr>
    </w:p>
    <w:p>
      <w:pPr>
        <w:pStyle w:val="2"/>
        <w:rPr>
          <w:rFonts w:hint="eastAsia" w:ascii="仿宋" w:eastAsia="仿宋"/>
          <w:sz w:val="32"/>
          <w:szCs w:val="32"/>
        </w:rPr>
      </w:pPr>
    </w:p>
    <w:p>
      <w:pPr>
        <w:pageBreakBefore w:val="0"/>
        <w:kinsoku/>
        <w:wordWrap/>
        <w:overflowPunct/>
        <w:topLinePunct w:val="0"/>
        <w:bidi w:val="0"/>
        <w:spacing w:line="576" w:lineRule="exact"/>
        <w:jc w:val="left"/>
        <w:rPr>
          <w:rFonts w:ascii="仿宋_GB2312" w:eastAsia="仿宋_GB2312"/>
          <w:sz w:val="32"/>
          <w:szCs w:val="32"/>
        </w:rPr>
      </w:pPr>
    </w:p>
    <w:p>
      <w:pPr>
        <w:pStyle w:val="22"/>
        <w:pageBreakBefore w:val="0"/>
        <w:numPr>
          <w:ilvl w:val="0"/>
          <w:numId w:val="2"/>
        </w:numPr>
        <w:kinsoku/>
        <w:wordWrap/>
        <w:overflowPunct/>
        <w:topLinePunct w:val="0"/>
        <w:bidi w:val="0"/>
        <w:spacing w:line="576" w:lineRule="exact"/>
        <w:ind w:firstLineChars="0"/>
        <w:outlineLvl w:val="1"/>
        <w:rPr>
          <w:rStyle w:val="17"/>
          <w:rFonts w:ascii="黑体" w:eastAsia="黑体"/>
          <w:b w:val="0"/>
        </w:rPr>
      </w:pPr>
      <w:bookmarkStart w:id="23" w:name="_Toc15396604"/>
      <w:bookmarkStart w:id="24" w:name="_Toc15377206"/>
      <w:r>
        <w:rPr>
          <w:rFonts w:hint="eastAsia" w:ascii="黑体" w:eastAsia="黑体"/>
          <w:sz w:val="32"/>
          <w:szCs w:val="32"/>
        </w:rPr>
        <w:t>收</w:t>
      </w:r>
      <w:r>
        <w:rPr>
          <w:rStyle w:val="17"/>
          <w:rFonts w:hint="eastAsia" w:ascii="黑体" w:eastAsia="黑体"/>
          <w:b w:val="0"/>
        </w:rPr>
        <w:t>入决算情况说明</w:t>
      </w:r>
      <w:bookmarkEnd w:id="23"/>
      <w:bookmarkEnd w:id="24"/>
    </w:p>
    <w:p>
      <w:pPr>
        <w:pageBreakBefore w:val="0"/>
        <w:kinsoku/>
        <w:wordWrap/>
        <w:overflowPunct/>
        <w:topLinePunct w:val="0"/>
        <w:bidi w:val="0"/>
        <w:spacing w:line="576" w:lineRule="exact"/>
        <w:ind w:firstLine="640" w:firstLineChars="200"/>
        <w:outlineLvl w:val="1"/>
        <w:rPr>
          <w:rFonts w:ascii="仿宋" w:eastAsia="仿宋"/>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2</w:t>
      </w:r>
      <w:r>
        <w:rPr>
          <w:rFonts w:hint="eastAsia" w:ascii="仿宋" w:eastAsia="仿宋"/>
          <w:sz w:val="32"/>
          <w:szCs w:val="32"/>
        </w:rPr>
        <w:t>年本年收入合计</w:t>
      </w:r>
      <w:r>
        <w:rPr>
          <w:rFonts w:hint="eastAsia" w:ascii="仿宋" w:eastAsia="仿宋"/>
          <w:sz w:val="32"/>
          <w:szCs w:val="32"/>
          <w:lang w:val="en-US" w:eastAsia="zh-CN"/>
        </w:rPr>
        <w:t>209.28</w:t>
      </w:r>
      <w:r>
        <w:rPr>
          <w:rFonts w:hint="eastAsia" w:ascii="仿宋" w:eastAsia="仿宋"/>
          <w:sz w:val="32"/>
          <w:szCs w:val="32"/>
        </w:rPr>
        <w:t>万元，其中：一般公共预算财政拨款收入</w:t>
      </w:r>
      <w:r>
        <w:rPr>
          <w:rFonts w:hint="eastAsia" w:ascii="仿宋" w:eastAsia="仿宋"/>
          <w:sz w:val="32"/>
          <w:szCs w:val="32"/>
          <w:lang w:val="en-US" w:eastAsia="zh-CN"/>
        </w:rPr>
        <w:t>209.28</w:t>
      </w:r>
      <w:r>
        <w:rPr>
          <w:rFonts w:hint="eastAsia" w:ascii="仿宋" w:eastAsia="仿宋"/>
          <w:sz w:val="32"/>
          <w:szCs w:val="32"/>
        </w:rPr>
        <w:t>万元，占</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；政府性基金预算财政拨款收入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；国有资本经营预算财政拨款收入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；上级补助收入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；事业收入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；经营收入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；附属单位上缴收入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；其他收入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p>
    <w:p>
      <w:pPr>
        <w:pageBreakBefore w:val="0"/>
        <w:kinsoku/>
        <w:wordWrap/>
        <w:overflowPunct/>
        <w:topLinePunct w:val="0"/>
        <w:bidi w:val="0"/>
        <w:spacing w:line="576" w:lineRule="exact"/>
        <w:ind w:firstLine="640" w:firstLineChars="200"/>
        <w:rPr>
          <w:rFonts w:hint="eastAsia" w:ascii="仿宋" w:eastAsia="仿宋"/>
          <w:sz w:val="32"/>
          <w:szCs w:val="32"/>
        </w:rPr>
      </w:pPr>
      <w:r>
        <w:rPr>
          <w:rFonts w:hint="eastAsia" w:ascii="仿宋" w:eastAsia="仿宋"/>
          <w:sz w:val="32"/>
          <w:szCs w:val="32"/>
        </w:rPr>
        <w:t>（图2：收入决算结构图）（饼状图）</w:t>
      </w:r>
    </w:p>
    <w:p>
      <w:pPr>
        <w:pStyle w:val="2"/>
        <w:rPr>
          <w:rFonts w:hint="eastAsia" w:ascii="仿宋" w:eastAsia="仿宋"/>
          <w:sz w:val="32"/>
          <w:szCs w:val="32"/>
        </w:rPr>
      </w:pPr>
    </w:p>
    <w:p>
      <w:pPr>
        <w:pStyle w:val="2"/>
        <w:rPr>
          <w:rFonts w:hint="eastAsia" w:ascii="仿宋" w:eastAsia="仿宋"/>
          <w:sz w:val="32"/>
          <w:szCs w:val="32"/>
        </w:rPr>
      </w:pPr>
      <w:r>
        <w:rPr>
          <w:rFonts w:hint="eastAsia" w:ascii="仿宋" w:eastAsia="仿宋"/>
          <w:color w:val="000000"/>
          <w:sz w:val="32"/>
          <w:szCs w:val="32"/>
        </w:rPr>
        <w:drawing>
          <wp:anchor distT="0" distB="0" distL="114935" distR="114935" simplePos="0" relativeHeight="251672576" behindDoc="1" locked="0" layoutInCell="1" allowOverlap="1">
            <wp:simplePos x="0" y="0"/>
            <wp:positionH relativeFrom="column">
              <wp:posOffset>219075</wp:posOffset>
            </wp:positionH>
            <wp:positionV relativeFrom="paragraph">
              <wp:posOffset>414655</wp:posOffset>
            </wp:positionV>
            <wp:extent cx="5486400" cy="3188335"/>
            <wp:effectExtent l="4445" t="4445" r="14605" b="7620"/>
            <wp:wrapNone/>
            <wp:docPr id="1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ageBreakBefore w:val="0"/>
        <w:kinsoku/>
        <w:wordWrap/>
        <w:overflowPunct/>
        <w:topLinePunct w:val="0"/>
        <w:bidi w:val="0"/>
        <w:spacing w:line="576" w:lineRule="exact"/>
        <w:ind w:firstLine="640" w:firstLineChars="200"/>
        <w:rPr>
          <w:rFonts w:ascii="仿宋_GB2312" w:eastAsia="仿宋_GB2312"/>
          <w:sz w:val="32"/>
          <w:szCs w:val="32"/>
        </w:rPr>
      </w:pPr>
    </w:p>
    <w:p>
      <w:pPr>
        <w:pStyle w:val="2"/>
        <w:rPr>
          <w:rFonts w:ascii="仿宋_GB2312" w:eastAsia="仿宋_GB2312"/>
          <w:sz w:val="32"/>
          <w:szCs w:val="32"/>
        </w:rPr>
      </w:pPr>
    </w:p>
    <w:p>
      <w:pPr>
        <w:pStyle w:val="2"/>
        <w:rPr>
          <w:rFonts w:ascii="仿宋_GB2312" w:eastAsia="仿宋_GB2312"/>
          <w:sz w:val="32"/>
          <w:szCs w:val="32"/>
        </w:rPr>
      </w:pPr>
    </w:p>
    <w:p>
      <w:pPr>
        <w:pStyle w:val="2"/>
        <w:rPr>
          <w:rFonts w:ascii="仿宋_GB2312" w:eastAsia="仿宋_GB2312"/>
          <w:sz w:val="32"/>
          <w:szCs w:val="32"/>
        </w:rPr>
      </w:pPr>
    </w:p>
    <w:p>
      <w:pPr>
        <w:pStyle w:val="2"/>
        <w:rPr>
          <w:rFonts w:ascii="仿宋_GB2312" w:eastAsia="仿宋_GB2312"/>
          <w:sz w:val="32"/>
          <w:szCs w:val="32"/>
        </w:rPr>
      </w:pPr>
    </w:p>
    <w:p>
      <w:pPr>
        <w:pStyle w:val="22"/>
        <w:pageBreakBefore w:val="0"/>
        <w:numPr>
          <w:ilvl w:val="0"/>
          <w:numId w:val="2"/>
        </w:numPr>
        <w:kinsoku/>
        <w:wordWrap/>
        <w:overflowPunct/>
        <w:topLinePunct w:val="0"/>
        <w:bidi w:val="0"/>
        <w:spacing w:line="576" w:lineRule="exact"/>
        <w:ind w:firstLineChars="0"/>
        <w:outlineLvl w:val="1"/>
        <w:rPr>
          <w:rStyle w:val="17"/>
          <w:rFonts w:ascii="黑体" w:eastAsia="黑体"/>
          <w:b w:val="0"/>
        </w:rPr>
      </w:pPr>
      <w:bookmarkStart w:id="25" w:name="_Toc15396605"/>
      <w:bookmarkStart w:id="26" w:name="_Toc15377207"/>
      <w:r>
        <w:rPr>
          <w:rFonts w:hint="eastAsia" w:ascii="黑体" w:eastAsia="黑体"/>
          <w:sz w:val="32"/>
          <w:szCs w:val="32"/>
        </w:rPr>
        <w:t>支</w:t>
      </w:r>
      <w:r>
        <w:rPr>
          <w:rStyle w:val="17"/>
          <w:rFonts w:hint="eastAsia" w:ascii="黑体" w:eastAsia="黑体"/>
          <w:b w:val="0"/>
        </w:rPr>
        <w:t>出决算情况说明</w:t>
      </w:r>
      <w:bookmarkEnd w:id="25"/>
      <w:bookmarkEnd w:id="26"/>
    </w:p>
    <w:p>
      <w:pPr>
        <w:pageBreakBefore w:val="0"/>
        <w:kinsoku/>
        <w:wordWrap/>
        <w:overflowPunct/>
        <w:topLinePunct w:val="0"/>
        <w:bidi w:val="0"/>
        <w:spacing w:line="576" w:lineRule="exact"/>
        <w:ind w:firstLine="640" w:firstLineChars="200"/>
        <w:outlineLvl w:val="1"/>
        <w:rPr>
          <w:rFonts w:ascii="仿宋" w:eastAsia="仿宋"/>
          <w:sz w:val="32"/>
          <w:szCs w:val="32"/>
          <w:shd w:val="pct10" w:color="auto" w:fill="FFFFFF"/>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2</w:t>
      </w:r>
      <w:r>
        <w:rPr>
          <w:rFonts w:hint="eastAsia" w:ascii="仿宋" w:eastAsia="仿宋"/>
          <w:sz w:val="32"/>
          <w:szCs w:val="32"/>
        </w:rPr>
        <w:t>年本年支出合计</w:t>
      </w:r>
      <w:r>
        <w:rPr>
          <w:rFonts w:hint="eastAsia" w:ascii="仿宋" w:eastAsia="仿宋"/>
          <w:sz w:val="32"/>
          <w:szCs w:val="32"/>
          <w:lang w:val="en-US" w:eastAsia="zh-CN"/>
        </w:rPr>
        <w:t>209.28</w:t>
      </w:r>
      <w:r>
        <w:rPr>
          <w:rFonts w:hint="eastAsia" w:ascii="仿宋" w:eastAsia="仿宋"/>
          <w:sz w:val="32"/>
          <w:szCs w:val="32"/>
        </w:rPr>
        <w:t>万元，其中：基本支出</w:t>
      </w:r>
      <w:r>
        <w:rPr>
          <w:rFonts w:hint="eastAsia" w:ascii="仿宋" w:eastAsia="仿宋"/>
          <w:sz w:val="32"/>
          <w:szCs w:val="32"/>
          <w:lang w:val="en-US" w:eastAsia="zh-CN"/>
        </w:rPr>
        <w:t>171.55</w:t>
      </w:r>
      <w:r>
        <w:rPr>
          <w:rFonts w:hint="eastAsia" w:ascii="仿宋" w:eastAsia="仿宋"/>
          <w:sz w:val="32"/>
          <w:szCs w:val="32"/>
        </w:rPr>
        <w:t>万元，占</w:t>
      </w:r>
      <w:r>
        <w:rPr>
          <w:rFonts w:hint="eastAsia" w:ascii="仿宋" w:eastAsia="仿宋"/>
          <w:sz w:val="32"/>
          <w:szCs w:val="32"/>
          <w:lang w:val="en-US" w:eastAsia="zh-CN"/>
        </w:rPr>
        <w:t>81.97</w:t>
      </w:r>
      <w:r>
        <w:rPr>
          <w:rFonts w:ascii="仿宋" w:eastAsia="仿宋"/>
          <w:sz w:val="32"/>
          <w:szCs w:val="32"/>
        </w:rPr>
        <w:t>%</w:t>
      </w:r>
      <w:r>
        <w:rPr>
          <w:rFonts w:hint="eastAsia" w:ascii="仿宋" w:eastAsia="仿宋"/>
          <w:sz w:val="32"/>
          <w:szCs w:val="32"/>
        </w:rPr>
        <w:t>；项目支出</w:t>
      </w:r>
      <w:r>
        <w:rPr>
          <w:rFonts w:hint="eastAsia" w:ascii="仿宋" w:eastAsia="仿宋"/>
          <w:sz w:val="32"/>
          <w:szCs w:val="32"/>
          <w:lang w:val="en-US" w:eastAsia="zh-CN"/>
        </w:rPr>
        <w:t>37.73</w:t>
      </w:r>
      <w:r>
        <w:rPr>
          <w:rFonts w:hint="eastAsia" w:ascii="仿宋" w:eastAsia="仿宋"/>
          <w:sz w:val="32"/>
          <w:szCs w:val="32"/>
        </w:rPr>
        <w:t>万元，占</w:t>
      </w:r>
      <w:r>
        <w:rPr>
          <w:rFonts w:hint="eastAsia" w:ascii="仿宋" w:eastAsia="仿宋"/>
          <w:sz w:val="32"/>
          <w:szCs w:val="32"/>
          <w:lang w:val="en-US" w:eastAsia="zh-CN"/>
        </w:rPr>
        <w:t>18.03</w:t>
      </w:r>
      <w:r>
        <w:rPr>
          <w:rFonts w:ascii="仿宋" w:eastAsia="仿宋"/>
          <w:sz w:val="32"/>
          <w:szCs w:val="32"/>
        </w:rPr>
        <w:t>%</w:t>
      </w:r>
      <w:r>
        <w:rPr>
          <w:rFonts w:hint="eastAsia" w:ascii="仿宋" w:eastAsia="仿宋"/>
          <w:sz w:val="32"/>
          <w:szCs w:val="32"/>
        </w:rPr>
        <w:t>；上缴上级支出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；经营支出</w:t>
      </w:r>
      <w:r>
        <w:rPr>
          <w:rFonts w:hint="eastAsia" w:ascii="仿宋" w:eastAsia="仿宋"/>
          <w:sz w:val="32"/>
          <w:szCs w:val="32"/>
          <w:lang w:val="en-US" w:eastAsia="zh-CN"/>
        </w:rPr>
        <w:t>0万</w:t>
      </w:r>
      <w:r>
        <w:rPr>
          <w:rFonts w:hint="eastAsia" w:ascii="仿宋" w:eastAsia="仿宋"/>
          <w:sz w:val="32"/>
          <w:szCs w:val="32"/>
        </w:rPr>
        <w:t>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；对附属单位补助支出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p>
    <w:p>
      <w:pPr>
        <w:pageBreakBefore w:val="0"/>
        <w:kinsoku/>
        <w:wordWrap/>
        <w:overflowPunct/>
        <w:topLinePunct w:val="0"/>
        <w:bidi w:val="0"/>
        <w:spacing w:line="576" w:lineRule="exact"/>
        <w:ind w:firstLine="640" w:firstLineChars="200"/>
        <w:rPr>
          <w:rFonts w:hint="eastAsia" w:ascii="仿宋" w:eastAsia="仿宋"/>
          <w:sz w:val="32"/>
          <w:szCs w:val="32"/>
        </w:rPr>
      </w:pPr>
      <w:r>
        <w:rPr>
          <w:rFonts w:hint="eastAsia" w:ascii="仿宋" w:eastAsia="仿宋"/>
          <w:sz w:val="32"/>
          <w:szCs w:val="32"/>
        </w:rPr>
        <w:t>（图3：支出决算结构图）（饼状图）</w:t>
      </w:r>
    </w:p>
    <w:p>
      <w:pPr>
        <w:pStyle w:val="2"/>
        <w:rPr>
          <w:rFonts w:hint="eastAsia" w:ascii="仿宋" w:eastAsia="仿宋"/>
          <w:sz w:val="32"/>
          <w:szCs w:val="32"/>
        </w:rPr>
      </w:pPr>
      <w:r>
        <w:rPr>
          <w:rFonts w:hint="eastAsia" w:ascii="仿宋" w:eastAsia="仿宋"/>
          <w:color w:val="000000"/>
          <w:sz w:val="32"/>
          <w:szCs w:val="32"/>
        </w:rPr>
        <w:drawing>
          <wp:anchor distT="0" distB="0" distL="114935" distR="114935" simplePos="0" relativeHeight="251674624" behindDoc="1" locked="0" layoutInCell="1" allowOverlap="1">
            <wp:simplePos x="0" y="0"/>
            <wp:positionH relativeFrom="column">
              <wp:posOffset>381000</wp:posOffset>
            </wp:positionH>
            <wp:positionV relativeFrom="paragraph">
              <wp:posOffset>72390</wp:posOffset>
            </wp:positionV>
            <wp:extent cx="4406265" cy="2852420"/>
            <wp:effectExtent l="4445" t="4445" r="8890" b="19685"/>
            <wp:wrapNone/>
            <wp:docPr id="1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ageBreakBefore w:val="0"/>
        <w:kinsoku/>
        <w:wordWrap/>
        <w:overflowPunct/>
        <w:topLinePunct w:val="0"/>
        <w:bidi w:val="0"/>
        <w:spacing w:line="576" w:lineRule="exact"/>
        <w:ind w:firstLine="640" w:firstLineChars="200"/>
        <w:outlineLvl w:val="1"/>
        <w:rPr>
          <w:rStyle w:val="17"/>
          <w:rFonts w:ascii="黑体" w:eastAsia="黑体"/>
          <w:b w:val="0"/>
        </w:rPr>
      </w:pPr>
      <w:bookmarkStart w:id="27" w:name="_Toc15377208"/>
      <w:bookmarkStart w:id="28" w:name="_Toc15396606"/>
      <w:r>
        <w:rPr>
          <w:rFonts w:hint="eastAsia" w:ascii="黑体" w:eastAsia="黑体"/>
          <w:sz w:val="32"/>
          <w:szCs w:val="32"/>
        </w:rPr>
        <w:t>四、财</w:t>
      </w:r>
      <w:r>
        <w:rPr>
          <w:rStyle w:val="17"/>
          <w:rFonts w:hint="eastAsia" w:ascii="黑体" w:eastAsia="黑体"/>
          <w:b w:val="0"/>
        </w:rPr>
        <w:t>政拨款收入支出决算总体情况说明</w:t>
      </w:r>
      <w:bookmarkEnd w:id="27"/>
      <w:bookmarkEnd w:id="28"/>
    </w:p>
    <w:p>
      <w:pPr>
        <w:pageBreakBefore w:val="0"/>
        <w:kinsoku/>
        <w:wordWrap/>
        <w:overflowPunct/>
        <w:topLinePunct w:val="0"/>
        <w:bidi w:val="0"/>
        <w:spacing w:line="576"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2</w:t>
      </w:r>
      <w:r>
        <w:rPr>
          <w:rFonts w:hint="eastAsia" w:ascii="仿宋" w:eastAsia="仿宋"/>
          <w:sz w:val="32"/>
          <w:szCs w:val="32"/>
        </w:rPr>
        <w:t>年财政拨款收</w:t>
      </w:r>
      <w:r>
        <w:rPr>
          <w:rFonts w:hint="eastAsia" w:ascii="仿宋" w:eastAsia="仿宋"/>
          <w:sz w:val="32"/>
          <w:szCs w:val="32"/>
          <w:lang w:eastAsia="zh-CN"/>
        </w:rPr>
        <w:t>入总计</w:t>
      </w:r>
      <w:r>
        <w:rPr>
          <w:rFonts w:hint="eastAsia" w:ascii="仿宋" w:eastAsia="仿宋"/>
          <w:sz w:val="32"/>
          <w:szCs w:val="32"/>
          <w:lang w:val="en-US" w:eastAsia="zh-CN"/>
        </w:rPr>
        <w:t>209.28</w:t>
      </w:r>
      <w:r>
        <w:rPr>
          <w:rFonts w:hint="eastAsia" w:ascii="仿宋" w:eastAsia="仿宋"/>
          <w:sz w:val="32"/>
          <w:szCs w:val="32"/>
        </w:rPr>
        <w:t>万元、支</w:t>
      </w:r>
      <w:r>
        <w:rPr>
          <w:rFonts w:hint="eastAsia" w:ascii="仿宋" w:eastAsia="仿宋"/>
          <w:sz w:val="32"/>
          <w:szCs w:val="32"/>
          <w:lang w:eastAsia="zh-CN"/>
        </w:rPr>
        <w:t>出</w:t>
      </w:r>
      <w:r>
        <w:rPr>
          <w:rFonts w:hint="eastAsia" w:ascii="仿宋" w:eastAsia="仿宋"/>
          <w:sz w:val="32"/>
          <w:szCs w:val="32"/>
        </w:rPr>
        <w:t>总计</w:t>
      </w:r>
      <w:r>
        <w:rPr>
          <w:rFonts w:hint="eastAsia" w:ascii="仿宋" w:eastAsia="仿宋"/>
          <w:sz w:val="32"/>
          <w:szCs w:val="32"/>
          <w:lang w:val="en-US" w:eastAsia="zh-CN"/>
        </w:rPr>
        <w:t>209.28</w:t>
      </w:r>
      <w:r>
        <w:rPr>
          <w:rFonts w:hint="eastAsia" w:ascii="仿宋" w:eastAsia="仿宋"/>
          <w:sz w:val="32"/>
          <w:szCs w:val="32"/>
        </w:rPr>
        <w:t>万元。与</w:t>
      </w: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1</w:t>
      </w:r>
      <w:r>
        <w:rPr>
          <w:rFonts w:hint="eastAsia" w:ascii="仿宋" w:eastAsia="仿宋"/>
          <w:sz w:val="32"/>
          <w:szCs w:val="32"/>
        </w:rPr>
        <w:t>年相比，财政拨款收、支总计各增加</w:t>
      </w:r>
      <w:r>
        <w:rPr>
          <w:rFonts w:hint="eastAsia" w:ascii="仿宋" w:eastAsia="仿宋"/>
          <w:sz w:val="32"/>
          <w:szCs w:val="32"/>
          <w:lang w:val="en-US" w:eastAsia="zh-CN"/>
        </w:rPr>
        <w:t>22.63</w:t>
      </w:r>
      <w:r>
        <w:rPr>
          <w:rFonts w:hint="eastAsia" w:ascii="仿宋" w:eastAsia="仿宋"/>
          <w:sz w:val="32"/>
          <w:szCs w:val="32"/>
        </w:rPr>
        <w:t>万元，增长</w:t>
      </w:r>
      <w:r>
        <w:rPr>
          <w:rFonts w:hint="eastAsia" w:ascii="仿宋" w:eastAsia="仿宋"/>
          <w:sz w:val="32"/>
          <w:szCs w:val="32"/>
          <w:lang w:val="en-US" w:eastAsia="zh-CN"/>
        </w:rPr>
        <w:t>10.81</w:t>
      </w:r>
      <w:r>
        <w:rPr>
          <w:rFonts w:ascii="仿宋" w:eastAsia="仿宋"/>
          <w:sz w:val="32"/>
          <w:szCs w:val="32"/>
        </w:rPr>
        <w:t>%</w:t>
      </w:r>
      <w:r>
        <w:rPr>
          <w:rFonts w:hint="eastAsia" w:ascii="仿宋" w:eastAsia="仿宋"/>
          <w:sz w:val="32"/>
          <w:szCs w:val="32"/>
        </w:rPr>
        <w:t>。主要变动原因是</w:t>
      </w:r>
      <w:r>
        <w:rPr>
          <w:rFonts w:hint="default" w:ascii="仿宋_GB2312" w:eastAsia="仿宋_GB2312" w:cs="仿宋_GB2312"/>
          <w:kern w:val="0"/>
          <w:sz w:val="32"/>
          <w:szCs w:val="32"/>
          <w:shd w:val="clear" w:fill="FFFFFF"/>
        </w:rPr>
        <w:t>人员经费增加</w:t>
      </w:r>
      <w:r>
        <w:rPr>
          <w:rFonts w:hint="eastAsia" w:ascii="仿宋_GB2312" w:eastAsia="仿宋_GB2312" w:cs="仿宋_GB2312"/>
          <w:kern w:val="0"/>
          <w:sz w:val="32"/>
          <w:szCs w:val="32"/>
          <w:shd w:val="clear" w:fill="FFFFFF"/>
          <w:lang w:eastAsia="zh-CN"/>
        </w:rPr>
        <w:t>。</w:t>
      </w:r>
    </w:p>
    <w:p>
      <w:pPr>
        <w:pageBreakBefore w:val="0"/>
        <w:kinsoku/>
        <w:wordWrap/>
        <w:overflowPunct/>
        <w:topLinePunct w:val="0"/>
        <w:bidi w:val="0"/>
        <w:spacing w:line="576" w:lineRule="exact"/>
        <w:ind w:firstLine="640" w:firstLineChars="200"/>
        <w:rPr>
          <w:rFonts w:hint="eastAsia" w:ascii="仿宋" w:eastAsia="仿宋"/>
          <w:sz w:val="32"/>
          <w:szCs w:val="32"/>
        </w:rPr>
      </w:pPr>
      <w:r>
        <w:rPr>
          <w:rFonts w:hint="eastAsia" w:ascii="仿宋" w:eastAsia="仿宋"/>
          <w:sz w:val="32"/>
          <w:szCs w:val="32"/>
        </w:rPr>
        <w:t>（图4：财政拨款收、支决算总计变动情况）</w:t>
      </w:r>
    </w:p>
    <w:p>
      <w:pPr>
        <w:pStyle w:val="2"/>
      </w:pPr>
      <w:r>
        <w:rPr>
          <w:rFonts w:hint="eastAsia" w:ascii="仿宋" w:eastAsia="仿宋"/>
          <w:color w:val="000000"/>
          <w:sz w:val="32"/>
          <w:szCs w:val="32"/>
        </w:rPr>
        <w:drawing>
          <wp:anchor distT="0" distB="0" distL="114935" distR="114935" simplePos="0" relativeHeight="251676672" behindDoc="1" locked="0" layoutInCell="1" allowOverlap="1">
            <wp:simplePos x="0" y="0"/>
            <wp:positionH relativeFrom="column">
              <wp:posOffset>438150</wp:posOffset>
            </wp:positionH>
            <wp:positionV relativeFrom="paragraph">
              <wp:posOffset>109855</wp:posOffset>
            </wp:positionV>
            <wp:extent cx="4775835" cy="3023870"/>
            <wp:effectExtent l="4445" t="4445" r="20320" b="19685"/>
            <wp:wrapNone/>
            <wp:docPr id="13"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ageBreakBefore w:val="0"/>
        <w:kinsoku/>
        <w:wordWrap/>
        <w:overflowPunct/>
        <w:topLinePunct w:val="0"/>
        <w:bidi w:val="0"/>
        <w:spacing w:line="576" w:lineRule="exact"/>
        <w:ind w:firstLine="640"/>
        <w:rPr>
          <w:rFonts w:ascii="仿宋" w:eastAsia="仿宋"/>
          <w:b/>
          <w:sz w:val="32"/>
          <w:szCs w:val="32"/>
        </w:rPr>
      </w:pPr>
    </w:p>
    <w:p>
      <w:pPr>
        <w:pStyle w:val="2"/>
      </w:pPr>
    </w:p>
    <w:p>
      <w:pPr>
        <w:pStyle w:val="2"/>
      </w:pPr>
    </w:p>
    <w:p>
      <w:pPr>
        <w:pStyle w:val="2"/>
      </w:pPr>
    </w:p>
    <w:p>
      <w:pPr>
        <w:pStyle w:val="2"/>
      </w:pPr>
    </w:p>
    <w:p>
      <w:pPr>
        <w:pStyle w:val="2"/>
      </w:pPr>
    </w:p>
    <w:p>
      <w:pPr>
        <w:pageBreakBefore w:val="0"/>
        <w:kinsoku/>
        <w:wordWrap/>
        <w:overflowPunct/>
        <w:topLinePunct w:val="0"/>
        <w:bidi w:val="0"/>
        <w:spacing w:line="576" w:lineRule="exact"/>
        <w:ind w:firstLine="640" w:firstLineChars="200"/>
        <w:outlineLvl w:val="1"/>
        <w:rPr>
          <w:rFonts w:hint="eastAsia" w:ascii="黑体" w:eastAsia="黑体"/>
          <w:sz w:val="32"/>
          <w:szCs w:val="32"/>
        </w:rPr>
      </w:pPr>
      <w:bookmarkStart w:id="29" w:name="_Toc15377209"/>
      <w:bookmarkStart w:id="30" w:name="_Toc15396607"/>
    </w:p>
    <w:p>
      <w:pPr>
        <w:pageBreakBefore w:val="0"/>
        <w:kinsoku/>
        <w:wordWrap/>
        <w:overflowPunct/>
        <w:topLinePunct w:val="0"/>
        <w:bidi w:val="0"/>
        <w:spacing w:line="576" w:lineRule="exact"/>
        <w:ind w:firstLine="640" w:firstLineChars="200"/>
        <w:outlineLvl w:val="1"/>
        <w:rPr>
          <w:rStyle w:val="17"/>
          <w:rFonts w:ascii="黑体" w:eastAsia="黑体"/>
          <w:b w:val="0"/>
        </w:rPr>
      </w:pPr>
      <w:r>
        <w:rPr>
          <w:rFonts w:hint="eastAsia" w:ascii="黑体" w:eastAsia="黑体"/>
          <w:sz w:val="32"/>
          <w:szCs w:val="32"/>
        </w:rPr>
        <w:t>五、</w:t>
      </w:r>
      <w:r>
        <w:rPr>
          <w:rFonts w:hint="eastAsia" w:ascii="黑体" w:eastAsia="黑体"/>
          <w:b/>
          <w:sz w:val="32"/>
          <w:szCs w:val="32"/>
        </w:rPr>
        <w:t>一</w:t>
      </w:r>
      <w:r>
        <w:rPr>
          <w:rStyle w:val="17"/>
          <w:rFonts w:hint="eastAsia" w:ascii="黑体" w:eastAsia="黑体"/>
          <w:b w:val="0"/>
        </w:rPr>
        <w:t>般公共预算财政拨款支出决算情况说明</w:t>
      </w:r>
      <w:bookmarkEnd w:id="29"/>
      <w:bookmarkEnd w:id="30"/>
    </w:p>
    <w:p>
      <w:pPr>
        <w:pageBreakBefore w:val="0"/>
        <w:kinsoku/>
        <w:wordWrap/>
        <w:overflowPunct/>
        <w:topLinePunct w:val="0"/>
        <w:bidi w:val="0"/>
        <w:spacing w:line="576" w:lineRule="exact"/>
        <w:ind w:firstLine="643" w:firstLineChars="200"/>
        <w:outlineLvl w:val="2"/>
        <w:rPr>
          <w:rFonts w:ascii="仿宋" w:eastAsia="仿宋"/>
          <w:b/>
          <w:sz w:val="32"/>
          <w:szCs w:val="32"/>
        </w:rPr>
      </w:pPr>
      <w:bookmarkStart w:id="31" w:name="_Toc15377210"/>
      <w:r>
        <w:rPr>
          <w:rFonts w:hint="eastAsia" w:ascii="仿宋" w:eastAsia="仿宋"/>
          <w:b/>
          <w:sz w:val="32"/>
          <w:szCs w:val="32"/>
        </w:rPr>
        <w:t>（一）一般公共预算财政拨款支出决算总体情况</w:t>
      </w:r>
      <w:bookmarkEnd w:id="31"/>
    </w:p>
    <w:p>
      <w:pPr>
        <w:pageBreakBefore w:val="0"/>
        <w:kinsoku/>
        <w:wordWrap/>
        <w:overflowPunct/>
        <w:topLinePunct w:val="0"/>
        <w:bidi w:val="0"/>
        <w:spacing w:line="576" w:lineRule="exact"/>
        <w:ind w:firstLine="640" w:firstLineChars="200"/>
        <w:rPr>
          <w:rFonts w:hint="eastAsia" w:ascii="仿宋" w:eastAsia="仿宋"/>
          <w:sz w:val="32"/>
          <w:szCs w:val="32"/>
          <w:lang w:eastAsia="zh-CN"/>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2</w:t>
      </w:r>
      <w:r>
        <w:rPr>
          <w:rFonts w:hint="eastAsia" w:ascii="仿宋" w:eastAsia="仿宋"/>
          <w:sz w:val="32"/>
          <w:szCs w:val="32"/>
        </w:rPr>
        <w:t>年一般公共预算财政拨款支出</w:t>
      </w:r>
      <w:r>
        <w:rPr>
          <w:rFonts w:hint="eastAsia" w:ascii="仿宋" w:eastAsia="仿宋"/>
          <w:sz w:val="32"/>
          <w:szCs w:val="32"/>
          <w:lang w:val="en-US" w:eastAsia="zh-CN"/>
        </w:rPr>
        <w:t>209.28</w:t>
      </w:r>
      <w:r>
        <w:rPr>
          <w:rFonts w:hint="eastAsia" w:ascii="仿宋" w:eastAsia="仿宋"/>
          <w:sz w:val="32"/>
          <w:szCs w:val="32"/>
        </w:rPr>
        <w:t>万元，占本年支出合计的</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。与</w:t>
      </w: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1</w:t>
      </w:r>
      <w:r>
        <w:rPr>
          <w:rFonts w:hint="eastAsia" w:ascii="仿宋" w:eastAsia="仿宋"/>
          <w:sz w:val="32"/>
          <w:szCs w:val="32"/>
        </w:rPr>
        <w:t>年相比，一般公共预算财政拨款支出增加</w:t>
      </w:r>
      <w:r>
        <w:rPr>
          <w:rFonts w:hint="eastAsia" w:ascii="仿宋" w:eastAsia="仿宋"/>
          <w:sz w:val="32"/>
          <w:szCs w:val="32"/>
          <w:lang w:val="en-US" w:eastAsia="zh-CN"/>
        </w:rPr>
        <w:t>22.63</w:t>
      </w:r>
      <w:r>
        <w:rPr>
          <w:rFonts w:hint="eastAsia" w:ascii="仿宋" w:eastAsia="仿宋"/>
          <w:sz w:val="32"/>
          <w:szCs w:val="32"/>
        </w:rPr>
        <w:t>万元，增长</w:t>
      </w:r>
      <w:r>
        <w:rPr>
          <w:rFonts w:hint="eastAsia" w:ascii="仿宋" w:eastAsia="仿宋"/>
          <w:sz w:val="32"/>
          <w:szCs w:val="32"/>
          <w:lang w:val="en-US" w:eastAsia="zh-CN"/>
        </w:rPr>
        <w:t>10.81</w:t>
      </w:r>
      <w:r>
        <w:rPr>
          <w:rFonts w:ascii="仿宋" w:eastAsia="仿宋"/>
          <w:sz w:val="32"/>
          <w:szCs w:val="32"/>
        </w:rPr>
        <w:t>%</w:t>
      </w:r>
      <w:r>
        <w:rPr>
          <w:rFonts w:hint="eastAsia" w:ascii="仿宋" w:eastAsia="仿宋"/>
          <w:sz w:val="32"/>
          <w:szCs w:val="32"/>
        </w:rPr>
        <w:t>。主要变动原因是</w:t>
      </w:r>
      <w:r>
        <w:rPr>
          <w:rFonts w:hint="eastAsia" w:ascii="仿宋" w:eastAsia="仿宋"/>
          <w:sz w:val="32"/>
          <w:szCs w:val="32"/>
          <w:lang w:eastAsia="zh-CN"/>
        </w:rPr>
        <w:t>人员变动。</w:t>
      </w:r>
    </w:p>
    <w:p>
      <w:pPr>
        <w:pageBreakBefore w:val="0"/>
        <w:kinsoku/>
        <w:wordWrap/>
        <w:overflowPunct/>
        <w:topLinePunct w:val="0"/>
        <w:bidi w:val="0"/>
        <w:spacing w:line="576" w:lineRule="exact"/>
        <w:ind w:firstLine="640" w:firstLineChars="200"/>
        <w:rPr>
          <w:rFonts w:hint="eastAsia" w:ascii="仿宋" w:eastAsia="仿宋"/>
          <w:sz w:val="32"/>
          <w:szCs w:val="32"/>
        </w:rPr>
      </w:pPr>
      <w:r>
        <w:rPr>
          <w:rFonts w:hint="eastAsia" w:ascii="仿宋" w:eastAsia="仿宋"/>
          <w:sz w:val="32"/>
          <w:szCs w:val="32"/>
        </w:rPr>
        <w:t>（图5：一般公共预算财政拨款支出决算变动情况）（柱状图）</w:t>
      </w:r>
    </w:p>
    <w:p>
      <w:pPr>
        <w:pStyle w:val="2"/>
        <w:rPr>
          <w:rFonts w:hint="eastAsia" w:ascii="仿宋" w:eastAsia="仿宋"/>
          <w:sz w:val="32"/>
          <w:szCs w:val="32"/>
        </w:rPr>
      </w:pPr>
      <w:r>
        <w:rPr>
          <w:rFonts w:hint="eastAsia" w:ascii="仿宋" w:eastAsia="仿宋"/>
          <w:color w:val="000000"/>
          <w:sz w:val="32"/>
          <w:szCs w:val="32"/>
        </w:rPr>
        <w:drawing>
          <wp:anchor distT="0" distB="0" distL="114935" distR="114935" simplePos="0" relativeHeight="251678720" behindDoc="1" locked="0" layoutInCell="1" allowOverlap="1">
            <wp:simplePos x="0" y="0"/>
            <wp:positionH relativeFrom="column">
              <wp:posOffset>419100</wp:posOffset>
            </wp:positionH>
            <wp:positionV relativeFrom="paragraph">
              <wp:posOffset>407670</wp:posOffset>
            </wp:positionV>
            <wp:extent cx="5117465" cy="3339465"/>
            <wp:effectExtent l="4445" t="4445" r="21590" b="8890"/>
            <wp:wrapNone/>
            <wp:docPr id="8"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2"/>
        <w:rPr>
          <w:rFonts w:hint="eastAsia" w:ascii="仿宋" w:eastAsia="仿宋"/>
          <w:sz w:val="32"/>
          <w:szCs w:val="32"/>
        </w:rPr>
      </w:pPr>
    </w:p>
    <w:p>
      <w:pPr>
        <w:pStyle w:val="2"/>
        <w:rPr>
          <w:rFonts w:hint="eastAsia" w:ascii="仿宋" w:eastAsia="仿宋"/>
          <w:sz w:val="32"/>
          <w:szCs w:val="32"/>
        </w:rPr>
      </w:pPr>
    </w:p>
    <w:p>
      <w:pPr>
        <w:pageBreakBefore w:val="0"/>
        <w:kinsoku/>
        <w:wordWrap/>
        <w:overflowPunct/>
        <w:topLinePunct w:val="0"/>
        <w:bidi w:val="0"/>
        <w:spacing w:line="576" w:lineRule="exact"/>
        <w:ind w:firstLine="640" w:firstLineChars="200"/>
        <w:rPr>
          <w:rFonts w:ascii="仿宋" w:eastAsia="仿宋"/>
          <w:sz w:val="32"/>
          <w:szCs w:val="32"/>
        </w:rPr>
      </w:pPr>
    </w:p>
    <w:p>
      <w:pPr>
        <w:pStyle w:val="2"/>
        <w:rPr>
          <w:rFonts w:ascii="仿宋" w:eastAsia="仿宋"/>
          <w:sz w:val="32"/>
          <w:szCs w:val="32"/>
        </w:rPr>
      </w:pPr>
    </w:p>
    <w:p>
      <w:pPr>
        <w:pStyle w:val="2"/>
        <w:rPr>
          <w:rFonts w:ascii="仿宋" w:eastAsia="仿宋"/>
          <w:sz w:val="32"/>
          <w:szCs w:val="32"/>
        </w:rPr>
      </w:pPr>
    </w:p>
    <w:p>
      <w:pPr>
        <w:pStyle w:val="2"/>
        <w:rPr>
          <w:rFonts w:ascii="仿宋" w:eastAsia="仿宋"/>
          <w:sz w:val="32"/>
          <w:szCs w:val="32"/>
        </w:rPr>
      </w:pPr>
    </w:p>
    <w:p>
      <w:pPr>
        <w:pStyle w:val="2"/>
        <w:rPr>
          <w:rFonts w:ascii="仿宋" w:eastAsia="仿宋"/>
          <w:sz w:val="32"/>
          <w:szCs w:val="32"/>
        </w:rPr>
      </w:pPr>
    </w:p>
    <w:p>
      <w:pPr>
        <w:pStyle w:val="2"/>
        <w:rPr>
          <w:rFonts w:ascii="仿宋" w:eastAsia="仿宋"/>
          <w:sz w:val="32"/>
          <w:szCs w:val="32"/>
        </w:rPr>
      </w:pPr>
    </w:p>
    <w:p>
      <w:pPr>
        <w:pStyle w:val="2"/>
        <w:rPr>
          <w:rFonts w:ascii="仿宋" w:eastAsia="仿宋"/>
          <w:sz w:val="32"/>
          <w:szCs w:val="32"/>
        </w:rPr>
      </w:pPr>
    </w:p>
    <w:p>
      <w:pPr>
        <w:pStyle w:val="2"/>
        <w:rPr>
          <w:rFonts w:ascii="仿宋" w:eastAsia="仿宋"/>
          <w:sz w:val="32"/>
          <w:szCs w:val="32"/>
        </w:rPr>
      </w:pPr>
    </w:p>
    <w:p>
      <w:pPr>
        <w:pageBreakBefore w:val="0"/>
        <w:kinsoku/>
        <w:wordWrap/>
        <w:overflowPunct/>
        <w:topLinePunct w:val="0"/>
        <w:bidi w:val="0"/>
        <w:spacing w:line="576" w:lineRule="exact"/>
        <w:ind w:firstLine="643" w:firstLineChars="200"/>
        <w:outlineLvl w:val="2"/>
        <w:rPr>
          <w:rFonts w:ascii="仿宋" w:eastAsia="仿宋"/>
          <w:b/>
          <w:sz w:val="32"/>
          <w:szCs w:val="32"/>
        </w:rPr>
      </w:pPr>
      <w:bookmarkStart w:id="32" w:name="_Toc15377211"/>
      <w:r>
        <w:rPr>
          <w:rFonts w:hint="eastAsia" w:ascii="仿宋" w:eastAsia="仿宋"/>
          <w:b/>
          <w:sz w:val="32"/>
          <w:szCs w:val="32"/>
        </w:rPr>
        <w:t>（二）一般公共预算财政拨款支出决算结构情况</w:t>
      </w:r>
      <w:bookmarkEnd w:id="32"/>
    </w:p>
    <w:p>
      <w:pPr>
        <w:pageBreakBefore w:val="0"/>
        <w:kinsoku/>
        <w:wordWrap/>
        <w:overflowPunct/>
        <w:topLinePunct w:val="0"/>
        <w:bidi w:val="0"/>
        <w:spacing w:line="576"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2</w:t>
      </w:r>
      <w:r>
        <w:rPr>
          <w:rFonts w:hint="eastAsia" w:ascii="仿宋" w:eastAsia="仿宋"/>
          <w:sz w:val="32"/>
          <w:szCs w:val="32"/>
        </w:rPr>
        <w:t>年一般公共预算财政拨款支出</w:t>
      </w:r>
      <w:r>
        <w:rPr>
          <w:rFonts w:hint="eastAsia" w:ascii="仿宋" w:eastAsia="仿宋"/>
          <w:sz w:val="32"/>
          <w:szCs w:val="32"/>
          <w:lang w:val="en-US" w:eastAsia="zh-CN"/>
        </w:rPr>
        <w:t>209.28</w:t>
      </w:r>
      <w:r>
        <w:rPr>
          <w:rFonts w:hint="eastAsia" w:ascii="仿宋" w:eastAsia="仿宋"/>
          <w:sz w:val="32"/>
          <w:szCs w:val="32"/>
        </w:rPr>
        <w:t>万元，主要用于以下方面</w:t>
      </w:r>
      <w:r>
        <w:rPr>
          <w:rFonts w:ascii="仿宋" w:eastAsia="仿宋"/>
          <w:sz w:val="32"/>
          <w:szCs w:val="32"/>
        </w:rPr>
        <w:t>:</w:t>
      </w:r>
      <w:r>
        <w:rPr>
          <w:rFonts w:hint="eastAsia" w:ascii="仿宋" w:eastAsia="仿宋"/>
          <w:b/>
          <w:sz w:val="32"/>
          <w:szCs w:val="32"/>
        </w:rPr>
        <w:t>一般公共服务（类）</w:t>
      </w:r>
      <w:r>
        <w:rPr>
          <w:rFonts w:hint="eastAsia" w:ascii="仿宋" w:eastAsia="仿宋"/>
          <w:sz w:val="32"/>
          <w:szCs w:val="32"/>
        </w:rPr>
        <w:t>支出</w:t>
      </w:r>
      <w:r>
        <w:rPr>
          <w:rFonts w:hint="eastAsia" w:ascii="仿宋_GB2312" w:hAnsi="宋体" w:eastAsia="仿宋_GB2312" w:cs="仿宋_GB2312"/>
          <w:b w:val="0"/>
          <w:bCs w:val="0"/>
          <w:kern w:val="0"/>
          <w:sz w:val="32"/>
          <w:szCs w:val="32"/>
          <w:shd w:val="clear" w:fill="FFFFFF"/>
          <w:lang w:val="en-US" w:eastAsia="zh-CN" w:bidi="ar"/>
        </w:rPr>
        <w:t>167.43</w:t>
      </w:r>
      <w:r>
        <w:rPr>
          <w:rFonts w:hint="eastAsia" w:ascii="仿宋" w:eastAsia="仿宋"/>
          <w:sz w:val="32"/>
          <w:szCs w:val="32"/>
        </w:rPr>
        <w:t>万元，占</w:t>
      </w:r>
      <w:r>
        <w:rPr>
          <w:rFonts w:hint="eastAsia" w:ascii="仿宋_GB2312" w:hAnsi="宋体" w:eastAsia="仿宋_GB2312" w:cs="仿宋_GB2312"/>
          <w:b w:val="0"/>
          <w:bCs w:val="0"/>
          <w:kern w:val="0"/>
          <w:sz w:val="32"/>
          <w:szCs w:val="32"/>
          <w:shd w:val="clear" w:fill="FFFFFF"/>
          <w:lang w:val="en-US" w:eastAsia="zh-CN" w:bidi="ar"/>
        </w:rPr>
        <w:t>80.00</w:t>
      </w:r>
      <w:r>
        <w:rPr>
          <w:rFonts w:ascii="仿宋" w:eastAsia="仿宋"/>
          <w:sz w:val="32"/>
          <w:szCs w:val="32"/>
        </w:rPr>
        <w:t>%</w:t>
      </w:r>
      <w:r>
        <w:rPr>
          <w:rFonts w:hint="eastAsia" w:ascii="仿宋" w:eastAsia="仿宋"/>
          <w:sz w:val="32"/>
          <w:szCs w:val="32"/>
        </w:rPr>
        <w:t>；</w:t>
      </w:r>
      <w:r>
        <w:rPr>
          <w:rFonts w:hint="eastAsia" w:ascii="仿宋" w:eastAsia="仿宋"/>
          <w:b/>
          <w:sz w:val="32"/>
          <w:szCs w:val="32"/>
        </w:rPr>
        <w:t>教育支出（类）</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r>
        <w:rPr>
          <w:rFonts w:hint="eastAsia" w:ascii="仿宋" w:eastAsia="仿宋"/>
          <w:b/>
          <w:sz w:val="32"/>
          <w:szCs w:val="32"/>
        </w:rPr>
        <w:t>科学技术（类）</w:t>
      </w:r>
      <w:r>
        <w:rPr>
          <w:rFonts w:hint="eastAsia" w:ascii="仿宋" w:eastAsia="仿宋"/>
          <w:sz w:val="32"/>
          <w:szCs w:val="32"/>
        </w:rPr>
        <w:t>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文化旅游体育与传媒（类）支出</w:t>
      </w:r>
      <w:r>
        <w:rPr>
          <w:rFonts w:hint="eastAsia" w:ascii="仿宋" w:eastAsia="仿宋"/>
          <w:b/>
          <w:bCs/>
          <w:sz w:val="32"/>
          <w:szCs w:val="32"/>
          <w:lang w:val="en-US" w:eastAsia="zh-CN"/>
        </w:rPr>
        <w:t>0</w:t>
      </w:r>
      <w:r>
        <w:rPr>
          <w:rFonts w:hint="eastAsia" w:ascii="仿宋" w:eastAsia="仿宋"/>
          <w:b/>
          <w:bCs/>
          <w:sz w:val="32"/>
          <w:szCs w:val="32"/>
        </w:rPr>
        <w:t>万元，占</w:t>
      </w:r>
      <w:r>
        <w:rPr>
          <w:rFonts w:hint="eastAsia" w:ascii="仿宋" w:eastAsia="仿宋"/>
          <w:b/>
          <w:bCs/>
          <w:sz w:val="32"/>
          <w:szCs w:val="32"/>
          <w:lang w:val="en-US" w:eastAsia="zh-CN"/>
        </w:rPr>
        <w:t>0</w:t>
      </w:r>
      <w:r>
        <w:rPr>
          <w:rFonts w:ascii="仿宋" w:eastAsia="仿宋"/>
          <w:b/>
          <w:bCs/>
          <w:sz w:val="32"/>
          <w:szCs w:val="32"/>
        </w:rPr>
        <w:t>%</w:t>
      </w:r>
      <w:r>
        <w:rPr>
          <w:rFonts w:hint="eastAsia" w:ascii="仿宋" w:eastAsia="仿宋"/>
          <w:sz w:val="32"/>
          <w:szCs w:val="32"/>
        </w:rPr>
        <w:t>；</w:t>
      </w:r>
      <w:r>
        <w:rPr>
          <w:rFonts w:hint="eastAsia" w:ascii="仿宋" w:eastAsia="仿宋"/>
          <w:b/>
          <w:sz w:val="32"/>
          <w:szCs w:val="32"/>
        </w:rPr>
        <w:t>社会保障和就业（类）</w:t>
      </w:r>
      <w:r>
        <w:rPr>
          <w:rFonts w:hint="eastAsia" w:ascii="仿宋" w:eastAsia="仿宋"/>
          <w:sz w:val="32"/>
          <w:szCs w:val="32"/>
        </w:rPr>
        <w:t>支出</w:t>
      </w:r>
      <w:r>
        <w:rPr>
          <w:rFonts w:hint="eastAsia" w:ascii="仿宋_GB2312" w:hAnsi="宋体" w:eastAsia="仿宋_GB2312" w:cs="仿宋_GB2312"/>
          <w:b w:val="0"/>
          <w:bCs w:val="0"/>
          <w:kern w:val="0"/>
          <w:sz w:val="32"/>
          <w:szCs w:val="32"/>
          <w:shd w:val="clear" w:fill="FFFFFF"/>
          <w:lang w:val="en-US" w:eastAsia="zh-CN" w:bidi="ar"/>
        </w:rPr>
        <w:t>20.67</w:t>
      </w:r>
      <w:r>
        <w:rPr>
          <w:rFonts w:hint="eastAsia" w:ascii="仿宋" w:eastAsia="仿宋"/>
          <w:sz w:val="32"/>
          <w:szCs w:val="32"/>
        </w:rPr>
        <w:t>万元，占</w:t>
      </w:r>
      <w:r>
        <w:rPr>
          <w:rFonts w:hint="eastAsia" w:ascii="仿宋" w:eastAsia="仿宋"/>
          <w:sz w:val="32"/>
          <w:szCs w:val="32"/>
          <w:lang w:val="en-US" w:eastAsia="zh-CN"/>
        </w:rPr>
        <w:t>9.88</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卫生健康支出</w:t>
      </w:r>
      <w:r>
        <w:rPr>
          <w:rFonts w:hint="eastAsia" w:ascii="仿宋_GB2312" w:hAnsi="宋体" w:eastAsia="仿宋_GB2312" w:cs="仿宋_GB2312"/>
          <w:b w:val="0"/>
          <w:bCs w:val="0"/>
          <w:kern w:val="0"/>
          <w:sz w:val="32"/>
          <w:szCs w:val="32"/>
          <w:shd w:val="clear" w:fill="FFFFFF"/>
          <w:lang w:val="en-US" w:eastAsia="zh-CN" w:bidi="ar"/>
        </w:rPr>
        <w:t>9.17</w:t>
      </w:r>
      <w:r>
        <w:rPr>
          <w:rFonts w:hint="eastAsia" w:ascii="仿宋" w:eastAsia="仿宋"/>
          <w:sz w:val="32"/>
          <w:szCs w:val="32"/>
        </w:rPr>
        <w:t>万元，占</w:t>
      </w:r>
      <w:r>
        <w:rPr>
          <w:rFonts w:hint="eastAsia" w:ascii="仿宋" w:eastAsia="仿宋"/>
          <w:sz w:val="32"/>
          <w:szCs w:val="32"/>
          <w:lang w:val="en-US" w:eastAsia="zh-CN"/>
        </w:rPr>
        <w:t>4.38</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住房保障支出</w:t>
      </w:r>
      <w:r>
        <w:rPr>
          <w:rFonts w:hint="eastAsia" w:ascii="仿宋_GB2312" w:hAnsi="宋体" w:eastAsia="仿宋_GB2312" w:cs="仿宋_GB2312"/>
          <w:b w:val="0"/>
          <w:bCs w:val="0"/>
          <w:kern w:val="0"/>
          <w:sz w:val="32"/>
          <w:szCs w:val="32"/>
          <w:shd w:val="clear" w:fill="FFFFFF"/>
          <w:lang w:val="en-US" w:eastAsia="zh-CN" w:bidi="ar"/>
        </w:rPr>
        <w:t>12.01万元，</w:t>
      </w:r>
      <w:r>
        <w:rPr>
          <w:rFonts w:hint="eastAsia" w:ascii="仿宋" w:eastAsia="仿宋"/>
          <w:sz w:val="32"/>
          <w:szCs w:val="32"/>
        </w:rPr>
        <w:t>，占</w:t>
      </w:r>
      <w:r>
        <w:rPr>
          <w:rFonts w:hint="eastAsia" w:ascii="仿宋_GB2312" w:hAnsi="宋体" w:eastAsia="仿宋_GB2312" w:cs="仿宋_GB2312"/>
          <w:b w:val="0"/>
          <w:bCs w:val="0"/>
          <w:kern w:val="0"/>
          <w:sz w:val="32"/>
          <w:szCs w:val="32"/>
          <w:shd w:val="clear" w:fill="FFFFFF"/>
          <w:lang w:val="en-US" w:eastAsia="zh-CN" w:bidi="ar"/>
        </w:rPr>
        <w:t>5.74</w:t>
      </w:r>
      <w:r>
        <w:rPr>
          <w:rFonts w:ascii="仿宋" w:eastAsia="仿宋"/>
          <w:sz w:val="32"/>
          <w:szCs w:val="32"/>
        </w:rPr>
        <w:t>%</w:t>
      </w:r>
      <w:r>
        <w:rPr>
          <w:rFonts w:hint="eastAsia" w:ascii="仿宋" w:eastAsia="仿宋"/>
          <w:sz w:val="32"/>
          <w:szCs w:val="32"/>
        </w:rPr>
        <w:t>。</w:t>
      </w:r>
    </w:p>
    <w:p>
      <w:pPr>
        <w:pageBreakBefore w:val="0"/>
        <w:kinsoku/>
        <w:wordWrap/>
        <w:overflowPunct/>
        <w:topLinePunct w:val="0"/>
        <w:bidi w:val="0"/>
        <w:spacing w:line="576" w:lineRule="exact"/>
        <w:ind w:firstLine="640" w:firstLineChars="200"/>
        <w:rPr>
          <w:rFonts w:hint="eastAsia" w:ascii="仿宋" w:eastAsia="仿宋"/>
          <w:sz w:val="32"/>
          <w:szCs w:val="32"/>
        </w:rPr>
      </w:pPr>
      <w:r>
        <w:rPr>
          <w:rFonts w:hint="eastAsia" w:ascii="仿宋" w:eastAsia="仿宋"/>
          <w:sz w:val="32"/>
          <w:szCs w:val="32"/>
        </w:rPr>
        <w:t>（图6：一般公共预算财政拨款支出决算结构）（饼状图）</w:t>
      </w:r>
    </w:p>
    <w:p>
      <w:pPr>
        <w:pStyle w:val="2"/>
        <w:rPr>
          <w:rFonts w:hint="eastAsia" w:ascii="仿宋" w:eastAsia="仿宋"/>
          <w:sz w:val="32"/>
          <w:szCs w:val="32"/>
        </w:rPr>
      </w:pPr>
      <w:r>
        <w:rPr>
          <w:rFonts w:hint="eastAsia" w:ascii="仿宋" w:eastAsia="仿宋"/>
          <w:color w:val="000000"/>
          <w:sz w:val="32"/>
          <w:szCs w:val="32"/>
        </w:rPr>
        <w:drawing>
          <wp:anchor distT="0" distB="0" distL="114935" distR="114935" simplePos="0" relativeHeight="251680768" behindDoc="1" locked="0" layoutInCell="1" allowOverlap="1">
            <wp:simplePos x="0" y="0"/>
            <wp:positionH relativeFrom="column">
              <wp:posOffset>781050</wp:posOffset>
            </wp:positionH>
            <wp:positionV relativeFrom="paragraph">
              <wp:posOffset>249555</wp:posOffset>
            </wp:positionV>
            <wp:extent cx="3818890" cy="2540635"/>
            <wp:effectExtent l="4445" t="4445" r="5715" b="7620"/>
            <wp:wrapNone/>
            <wp:docPr id="9"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ageBreakBefore w:val="0"/>
        <w:kinsoku/>
        <w:wordWrap/>
        <w:overflowPunct/>
        <w:topLinePunct w:val="0"/>
        <w:bidi w:val="0"/>
        <w:spacing w:line="576" w:lineRule="exact"/>
        <w:ind w:firstLine="640" w:firstLineChars="200"/>
        <w:rPr>
          <w:rFonts w:ascii="仿宋" w:eastAsia="仿宋"/>
          <w:sz w:val="32"/>
          <w:szCs w:val="32"/>
        </w:rPr>
      </w:pPr>
    </w:p>
    <w:p>
      <w:pPr>
        <w:pageBreakBefore w:val="0"/>
        <w:kinsoku/>
        <w:wordWrap/>
        <w:overflowPunct/>
        <w:topLinePunct w:val="0"/>
        <w:bidi w:val="0"/>
        <w:spacing w:line="576" w:lineRule="exact"/>
        <w:ind w:firstLine="643" w:firstLineChars="200"/>
        <w:outlineLvl w:val="2"/>
        <w:rPr>
          <w:rFonts w:hint="eastAsia" w:ascii="仿宋" w:eastAsia="仿宋"/>
          <w:b/>
          <w:sz w:val="32"/>
          <w:szCs w:val="32"/>
        </w:rPr>
      </w:pPr>
      <w:bookmarkStart w:id="33" w:name="_Toc15377212"/>
    </w:p>
    <w:p>
      <w:pPr>
        <w:pageBreakBefore w:val="0"/>
        <w:kinsoku/>
        <w:wordWrap/>
        <w:overflowPunct/>
        <w:topLinePunct w:val="0"/>
        <w:bidi w:val="0"/>
        <w:spacing w:line="576" w:lineRule="exact"/>
        <w:ind w:firstLine="643" w:firstLineChars="200"/>
        <w:outlineLvl w:val="2"/>
        <w:rPr>
          <w:rFonts w:hint="eastAsia" w:ascii="仿宋" w:eastAsia="仿宋"/>
          <w:b/>
          <w:sz w:val="32"/>
          <w:szCs w:val="32"/>
        </w:rPr>
      </w:pPr>
    </w:p>
    <w:p>
      <w:pPr>
        <w:pageBreakBefore w:val="0"/>
        <w:kinsoku/>
        <w:wordWrap/>
        <w:overflowPunct/>
        <w:topLinePunct w:val="0"/>
        <w:bidi w:val="0"/>
        <w:spacing w:line="576" w:lineRule="exact"/>
        <w:ind w:firstLine="643" w:firstLineChars="200"/>
        <w:outlineLvl w:val="2"/>
        <w:rPr>
          <w:rFonts w:ascii="仿宋" w:eastAsia="仿宋"/>
          <w:b/>
          <w:sz w:val="32"/>
          <w:szCs w:val="32"/>
        </w:rPr>
      </w:pPr>
      <w:r>
        <w:rPr>
          <w:rFonts w:hint="eastAsia" w:ascii="仿宋" w:eastAsia="仿宋"/>
          <w:b/>
          <w:sz w:val="32"/>
          <w:szCs w:val="32"/>
        </w:rPr>
        <w:t>（三）一般公共预算财政拨款支出决算具体情况</w:t>
      </w:r>
      <w:bookmarkEnd w:id="33"/>
    </w:p>
    <w:p>
      <w:pPr>
        <w:pageBreakBefore w:val="0"/>
        <w:kinsoku/>
        <w:wordWrap/>
        <w:overflowPunct/>
        <w:topLinePunct w:val="0"/>
        <w:bidi w:val="0"/>
        <w:spacing w:line="576" w:lineRule="exact"/>
        <w:ind w:firstLine="643" w:firstLineChars="200"/>
        <w:outlineLvl w:val="2"/>
        <w:rPr>
          <w:rFonts w:ascii="仿宋" w:eastAsia="仿宋"/>
          <w:sz w:val="32"/>
          <w:szCs w:val="32"/>
        </w:rPr>
      </w:pPr>
      <w:bookmarkStart w:id="34" w:name="_Toc15377444"/>
      <w:bookmarkStart w:id="35" w:name="_Toc15378460"/>
      <w:bookmarkStart w:id="36" w:name="_Toc15377213"/>
      <w:r>
        <w:rPr>
          <w:rFonts w:hint="eastAsia" w:ascii="仿宋" w:eastAsia="仿宋"/>
          <w:b/>
          <w:sz w:val="32"/>
          <w:szCs w:val="32"/>
        </w:rPr>
        <w:t>2021年一般公共预算支出决算数为</w:t>
      </w:r>
      <w:r>
        <w:rPr>
          <w:rFonts w:hint="eastAsia" w:ascii="仿宋" w:eastAsia="仿宋"/>
          <w:b/>
          <w:sz w:val="32"/>
          <w:szCs w:val="32"/>
          <w:lang w:val="en-US" w:eastAsia="zh-CN"/>
        </w:rPr>
        <w:t>209.28万元</w:t>
      </w:r>
      <w:r>
        <w:rPr>
          <w:rFonts w:hint="eastAsia" w:ascii="仿宋" w:eastAsia="仿宋"/>
          <w:sz w:val="32"/>
          <w:szCs w:val="32"/>
        </w:rPr>
        <w:t>，</w:t>
      </w:r>
      <w:r>
        <w:rPr>
          <w:rStyle w:val="14"/>
          <w:rFonts w:hint="eastAsia" w:ascii="仿宋" w:eastAsia="仿宋"/>
          <w:bCs/>
          <w:sz w:val="32"/>
          <w:szCs w:val="32"/>
        </w:rPr>
        <w:t>完成预算</w:t>
      </w:r>
      <w:r>
        <w:rPr>
          <w:rStyle w:val="14"/>
          <w:rFonts w:hint="eastAsia" w:ascii="仿宋" w:eastAsia="仿宋"/>
          <w:bCs/>
          <w:sz w:val="32"/>
          <w:szCs w:val="32"/>
          <w:lang w:val="en-US" w:eastAsia="zh-CN"/>
        </w:rPr>
        <w:t>100</w:t>
      </w:r>
      <w:r>
        <w:rPr>
          <w:rStyle w:val="14"/>
          <w:rFonts w:ascii="仿宋" w:eastAsia="仿宋"/>
          <w:bCs/>
          <w:sz w:val="32"/>
          <w:szCs w:val="32"/>
        </w:rPr>
        <w:t>%</w:t>
      </w:r>
      <w:r>
        <w:rPr>
          <w:rStyle w:val="14"/>
          <w:rFonts w:hint="eastAsia" w:ascii="仿宋" w:eastAsia="仿宋"/>
          <w:bCs/>
          <w:sz w:val="32"/>
          <w:szCs w:val="32"/>
        </w:rPr>
        <w:t>。其中：</w:t>
      </w:r>
      <w:bookmarkEnd w:id="34"/>
      <w:bookmarkEnd w:id="35"/>
      <w:bookmarkEnd w:id="36"/>
    </w:p>
    <w:p>
      <w:pPr>
        <w:pageBreakBefore w:val="0"/>
        <w:kinsoku/>
        <w:wordWrap/>
        <w:overflowPunct/>
        <w:topLinePunct w:val="0"/>
        <w:bidi w:val="0"/>
        <w:spacing w:line="576" w:lineRule="exact"/>
        <w:ind w:firstLine="643" w:firstLineChars="200"/>
        <w:rPr>
          <w:rFonts w:ascii="仿宋" w:eastAsia="仿宋"/>
          <w:b/>
          <w:sz w:val="32"/>
          <w:szCs w:val="32"/>
        </w:rPr>
      </w:pPr>
      <w:r>
        <w:rPr>
          <w:rStyle w:val="14"/>
          <w:rFonts w:ascii="仿宋" w:eastAsia="仿宋"/>
          <w:bCs/>
          <w:sz w:val="32"/>
          <w:szCs w:val="32"/>
        </w:rPr>
        <w:t>1.</w:t>
      </w:r>
      <w:r>
        <w:rPr>
          <w:rStyle w:val="14"/>
          <w:rFonts w:hint="eastAsia" w:ascii="仿宋" w:eastAsia="仿宋"/>
          <w:bCs/>
          <w:sz w:val="32"/>
          <w:szCs w:val="32"/>
        </w:rPr>
        <w:t>一般公共服务</w:t>
      </w:r>
      <w:r>
        <w:rPr>
          <w:rStyle w:val="14"/>
          <w:rFonts w:hint="eastAsia" w:ascii="仿宋" w:eastAsia="仿宋"/>
          <w:bCs/>
          <w:sz w:val="32"/>
          <w:szCs w:val="32"/>
          <w:lang w:val="en-US" w:eastAsia="zh-CN"/>
        </w:rPr>
        <w:t>20103</w:t>
      </w:r>
      <w:r>
        <w:rPr>
          <w:rStyle w:val="14"/>
          <w:rFonts w:ascii="仿宋" w:eastAsia="仿宋"/>
          <w:bCs/>
          <w:sz w:val="32"/>
          <w:szCs w:val="32"/>
        </w:rPr>
        <w:t>:</w:t>
      </w:r>
      <w:r>
        <w:rPr>
          <w:rStyle w:val="14"/>
          <w:rFonts w:ascii="仿宋" w:eastAsia="仿宋"/>
          <w:b w:val="0"/>
          <w:bCs/>
          <w:sz w:val="32"/>
          <w:szCs w:val="32"/>
        </w:rPr>
        <w:t xml:space="preserve"> </w:t>
      </w:r>
      <w:r>
        <w:rPr>
          <w:rStyle w:val="14"/>
          <w:rFonts w:hint="eastAsia" w:ascii="仿宋" w:eastAsia="仿宋"/>
          <w:b w:val="0"/>
          <w:bCs/>
          <w:sz w:val="32"/>
          <w:szCs w:val="32"/>
        </w:rPr>
        <w:t>支出决算为</w:t>
      </w:r>
      <w:r>
        <w:rPr>
          <w:rFonts w:hint="eastAsia" w:ascii="仿宋_GB2312" w:hAnsi="宋体" w:eastAsia="仿宋_GB2312" w:cs="仿宋_GB2312"/>
          <w:b w:val="0"/>
          <w:bCs w:val="0"/>
          <w:kern w:val="0"/>
          <w:sz w:val="32"/>
          <w:szCs w:val="32"/>
          <w:shd w:val="clear" w:fill="FFFFFF"/>
          <w:lang w:val="en-US" w:eastAsia="zh-CN" w:bidi="ar"/>
        </w:rPr>
        <w:t>167.43</w:t>
      </w:r>
      <w:r>
        <w:rPr>
          <w:rStyle w:val="14"/>
          <w:rFonts w:hint="eastAsia" w:ascii="仿宋" w:eastAsia="仿宋"/>
          <w:b w:val="0"/>
          <w:bCs/>
          <w:sz w:val="32"/>
          <w:szCs w:val="32"/>
        </w:rPr>
        <w:t>万元，完成预算</w:t>
      </w:r>
      <w:r>
        <w:rPr>
          <w:rStyle w:val="14"/>
          <w:rFonts w:hint="eastAsia" w:ascii="仿宋" w:eastAsia="仿宋"/>
          <w:b w:val="0"/>
          <w:bCs/>
          <w:sz w:val="32"/>
          <w:szCs w:val="32"/>
          <w:lang w:val="en-US" w:eastAsia="zh-CN"/>
        </w:rPr>
        <w:t>100</w:t>
      </w:r>
      <w:r>
        <w:rPr>
          <w:rStyle w:val="14"/>
          <w:rFonts w:ascii="仿宋" w:eastAsia="仿宋"/>
          <w:b w:val="0"/>
          <w:bCs/>
          <w:sz w:val="32"/>
          <w:szCs w:val="32"/>
        </w:rPr>
        <w:t>%</w:t>
      </w:r>
      <w:r>
        <w:rPr>
          <w:rStyle w:val="14"/>
          <w:rFonts w:hint="eastAsia" w:ascii="仿宋" w:eastAsia="仿宋"/>
          <w:b w:val="0"/>
          <w:bCs/>
          <w:sz w:val="32"/>
          <w:szCs w:val="32"/>
        </w:rPr>
        <w:t>。</w:t>
      </w:r>
    </w:p>
    <w:p>
      <w:pPr>
        <w:pageBreakBefore w:val="0"/>
        <w:kinsoku/>
        <w:wordWrap/>
        <w:overflowPunct/>
        <w:topLinePunct w:val="0"/>
        <w:bidi w:val="0"/>
        <w:spacing w:line="576" w:lineRule="exact"/>
        <w:ind w:firstLine="643" w:firstLineChars="200"/>
        <w:rPr>
          <w:rFonts w:ascii="仿宋" w:eastAsia="仿宋"/>
          <w:b/>
          <w:sz w:val="32"/>
          <w:szCs w:val="32"/>
        </w:rPr>
      </w:pPr>
      <w:r>
        <w:rPr>
          <w:rStyle w:val="14"/>
          <w:rFonts w:ascii="仿宋" w:eastAsia="仿宋"/>
          <w:bCs/>
          <w:sz w:val="32"/>
          <w:szCs w:val="32"/>
        </w:rPr>
        <w:t>2.</w:t>
      </w:r>
      <w:r>
        <w:rPr>
          <w:rStyle w:val="14"/>
          <w:rFonts w:hint="eastAsia" w:ascii="仿宋" w:eastAsia="仿宋"/>
          <w:bCs/>
          <w:sz w:val="32"/>
          <w:szCs w:val="32"/>
        </w:rPr>
        <w:t>教育（类）</w:t>
      </w:r>
      <w:r>
        <w:rPr>
          <w:rStyle w:val="14"/>
          <w:rFonts w:ascii="仿宋" w:eastAsia="仿宋"/>
          <w:bCs/>
          <w:sz w:val="32"/>
          <w:szCs w:val="32"/>
        </w:rPr>
        <w:t>***</w:t>
      </w:r>
      <w:r>
        <w:rPr>
          <w:rStyle w:val="14"/>
          <w:rFonts w:hint="eastAsia" w:ascii="仿宋" w:eastAsia="仿宋"/>
          <w:bCs/>
          <w:sz w:val="32"/>
          <w:szCs w:val="32"/>
        </w:rPr>
        <w:t>（款）</w:t>
      </w:r>
      <w:r>
        <w:rPr>
          <w:rStyle w:val="14"/>
          <w:rFonts w:ascii="仿宋" w:eastAsia="仿宋"/>
          <w:bCs/>
          <w:sz w:val="32"/>
          <w:szCs w:val="32"/>
        </w:rPr>
        <w:t>***</w:t>
      </w:r>
      <w:r>
        <w:rPr>
          <w:rStyle w:val="14"/>
          <w:rFonts w:hint="eastAsia" w:ascii="仿宋" w:eastAsia="仿宋"/>
          <w:bCs/>
          <w:sz w:val="32"/>
          <w:szCs w:val="32"/>
        </w:rPr>
        <w:t>（项）</w:t>
      </w:r>
      <w:r>
        <w:rPr>
          <w:rStyle w:val="14"/>
          <w:rFonts w:ascii="仿宋" w:eastAsia="仿宋"/>
          <w:bCs/>
          <w:sz w:val="32"/>
          <w:szCs w:val="32"/>
        </w:rPr>
        <w:t>:</w:t>
      </w:r>
      <w:r>
        <w:rPr>
          <w:rStyle w:val="14"/>
          <w:rFonts w:ascii="仿宋" w:eastAsia="仿宋"/>
          <w:b w:val="0"/>
          <w:bCs/>
          <w:sz w:val="32"/>
          <w:szCs w:val="32"/>
        </w:rPr>
        <w:t xml:space="preserve"> </w:t>
      </w:r>
      <w:r>
        <w:rPr>
          <w:rStyle w:val="14"/>
          <w:rFonts w:hint="eastAsia" w:ascii="仿宋" w:eastAsia="仿宋"/>
          <w:b w:val="0"/>
          <w:bCs/>
          <w:sz w:val="32"/>
          <w:szCs w:val="32"/>
        </w:rPr>
        <w:t>支出决算为</w:t>
      </w:r>
      <w:r>
        <w:rPr>
          <w:rStyle w:val="14"/>
          <w:rFonts w:hint="eastAsia" w:ascii="仿宋" w:eastAsia="仿宋"/>
          <w:b w:val="0"/>
          <w:bCs/>
          <w:sz w:val="32"/>
          <w:szCs w:val="32"/>
          <w:lang w:val="en-US" w:eastAsia="zh-CN"/>
        </w:rPr>
        <w:t>0</w:t>
      </w:r>
      <w:r>
        <w:rPr>
          <w:rStyle w:val="14"/>
          <w:rFonts w:hint="eastAsia" w:ascii="仿宋" w:eastAsia="仿宋"/>
          <w:b w:val="0"/>
          <w:bCs/>
          <w:sz w:val="32"/>
          <w:szCs w:val="32"/>
        </w:rPr>
        <w:t>万元，完成预算</w:t>
      </w:r>
      <w:r>
        <w:rPr>
          <w:rStyle w:val="14"/>
          <w:rFonts w:hint="eastAsia" w:ascii="仿宋" w:eastAsia="仿宋"/>
          <w:b w:val="0"/>
          <w:bCs/>
          <w:sz w:val="32"/>
          <w:szCs w:val="32"/>
          <w:lang w:val="en-US" w:eastAsia="zh-CN"/>
        </w:rPr>
        <w:t>0</w:t>
      </w:r>
      <w:r>
        <w:rPr>
          <w:rStyle w:val="14"/>
          <w:rFonts w:ascii="仿宋" w:eastAsia="仿宋"/>
          <w:b w:val="0"/>
          <w:bCs/>
          <w:sz w:val="32"/>
          <w:szCs w:val="32"/>
        </w:rPr>
        <w:t>%</w:t>
      </w:r>
      <w:r>
        <w:rPr>
          <w:rStyle w:val="14"/>
          <w:rFonts w:hint="eastAsia" w:ascii="仿宋" w:eastAsia="仿宋"/>
          <w:b w:val="0"/>
          <w:bCs/>
          <w:sz w:val="32"/>
          <w:szCs w:val="32"/>
        </w:rPr>
        <w:t>。</w:t>
      </w:r>
    </w:p>
    <w:p>
      <w:pPr>
        <w:pageBreakBefore w:val="0"/>
        <w:kinsoku/>
        <w:wordWrap/>
        <w:overflowPunct/>
        <w:topLinePunct w:val="0"/>
        <w:bidi w:val="0"/>
        <w:spacing w:line="576" w:lineRule="exact"/>
        <w:ind w:firstLine="643" w:firstLineChars="200"/>
        <w:rPr>
          <w:rFonts w:ascii="仿宋" w:eastAsia="仿宋"/>
          <w:b/>
          <w:sz w:val="32"/>
          <w:szCs w:val="32"/>
        </w:rPr>
      </w:pPr>
      <w:r>
        <w:rPr>
          <w:rStyle w:val="14"/>
          <w:rFonts w:ascii="仿宋" w:eastAsia="仿宋"/>
          <w:bCs/>
          <w:sz w:val="32"/>
          <w:szCs w:val="32"/>
        </w:rPr>
        <w:t>3.</w:t>
      </w:r>
      <w:r>
        <w:rPr>
          <w:rStyle w:val="14"/>
          <w:rFonts w:hint="eastAsia" w:ascii="仿宋" w:eastAsia="仿宋"/>
          <w:bCs/>
          <w:sz w:val="32"/>
          <w:szCs w:val="32"/>
        </w:rPr>
        <w:t>科学技术（类）</w:t>
      </w:r>
      <w:r>
        <w:rPr>
          <w:rStyle w:val="14"/>
          <w:rFonts w:ascii="仿宋" w:eastAsia="仿宋"/>
          <w:bCs/>
          <w:sz w:val="32"/>
          <w:szCs w:val="32"/>
        </w:rPr>
        <w:t>***</w:t>
      </w:r>
      <w:r>
        <w:rPr>
          <w:rStyle w:val="14"/>
          <w:rFonts w:hint="eastAsia" w:ascii="仿宋" w:eastAsia="仿宋"/>
          <w:bCs/>
          <w:sz w:val="32"/>
          <w:szCs w:val="32"/>
        </w:rPr>
        <w:t>（款）</w:t>
      </w:r>
      <w:r>
        <w:rPr>
          <w:rStyle w:val="14"/>
          <w:rFonts w:ascii="仿宋" w:eastAsia="仿宋"/>
          <w:bCs/>
          <w:sz w:val="32"/>
          <w:szCs w:val="32"/>
        </w:rPr>
        <w:t>***</w:t>
      </w:r>
      <w:r>
        <w:rPr>
          <w:rStyle w:val="14"/>
          <w:rFonts w:hint="eastAsia" w:ascii="仿宋" w:eastAsia="仿宋"/>
          <w:bCs/>
          <w:sz w:val="32"/>
          <w:szCs w:val="32"/>
        </w:rPr>
        <w:t>（项）</w:t>
      </w:r>
      <w:r>
        <w:rPr>
          <w:rStyle w:val="14"/>
          <w:rFonts w:ascii="仿宋" w:eastAsia="仿宋"/>
          <w:bCs/>
          <w:sz w:val="32"/>
          <w:szCs w:val="32"/>
        </w:rPr>
        <w:t>:</w:t>
      </w:r>
      <w:r>
        <w:rPr>
          <w:rStyle w:val="14"/>
          <w:rFonts w:ascii="仿宋" w:eastAsia="仿宋"/>
          <w:b w:val="0"/>
          <w:bCs/>
          <w:sz w:val="32"/>
          <w:szCs w:val="32"/>
        </w:rPr>
        <w:t xml:space="preserve"> </w:t>
      </w:r>
      <w:r>
        <w:rPr>
          <w:rStyle w:val="14"/>
          <w:rFonts w:hint="eastAsia" w:ascii="仿宋" w:eastAsia="仿宋"/>
          <w:b w:val="0"/>
          <w:bCs/>
          <w:sz w:val="32"/>
          <w:szCs w:val="32"/>
        </w:rPr>
        <w:t>支出决算为</w:t>
      </w:r>
      <w:r>
        <w:rPr>
          <w:rStyle w:val="14"/>
          <w:rFonts w:hint="eastAsia" w:ascii="仿宋" w:eastAsia="仿宋"/>
          <w:b w:val="0"/>
          <w:bCs/>
          <w:sz w:val="32"/>
          <w:szCs w:val="32"/>
          <w:lang w:val="en-US" w:eastAsia="zh-CN"/>
        </w:rPr>
        <w:t>0</w:t>
      </w:r>
      <w:r>
        <w:rPr>
          <w:rStyle w:val="14"/>
          <w:rFonts w:hint="eastAsia" w:ascii="仿宋" w:eastAsia="仿宋"/>
          <w:b w:val="0"/>
          <w:bCs/>
          <w:sz w:val="32"/>
          <w:szCs w:val="32"/>
        </w:rPr>
        <w:t>万元，完成预算</w:t>
      </w:r>
      <w:r>
        <w:rPr>
          <w:rStyle w:val="14"/>
          <w:rFonts w:hint="eastAsia" w:ascii="仿宋" w:eastAsia="仿宋"/>
          <w:b w:val="0"/>
          <w:bCs/>
          <w:sz w:val="32"/>
          <w:szCs w:val="32"/>
          <w:lang w:val="en-US" w:eastAsia="zh-CN"/>
        </w:rPr>
        <w:t>0</w:t>
      </w:r>
      <w:r>
        <w:rPr>
          <w:rStyle w:val="14"/>
          <w:rFonts w:ascii="仿宋" w:eastAsia="仿宋"/>
          <w:b w:val="0"/>
          <w:bCs/>
          <w:sz w:val="32"/>
          <w:szCs w:val="32"/>
        </w:rPr>
        <w:t>%</w:t>
      </w:r>
      <w:r>
        <w:rPr>
          <w:rStyle w:val="14"/>
          <w:rFonts w:hint="eastAsia" w:ascii="仿宋" w:eastAsia="仿宋"/>
          <w:b w:val="0"/>
          <w:bCs/>
          <w:sz w:val="32"/>
          <w:szCs w:val="32"/>
        </w:rPr>
        <w:t>。</w:t>
      </w:r>
    </w:p>
    <w:p>
      <w:pPr>
        <w:pageBreakBefore w:val="0"/>
        <w:kinsoku/>
        <w:wordWrap/>
        <w:overflowPunct/>
        <w:topLinePunct w:val="0"/>
        <w:bidi w:val="0"/>
        <w:spacing w:line="576" w:lineRule="exact"/>
        <w:ind w:firstLine="643" w:firstLineChars="200"/>
        <w:rPr>
          <w:rFonts w:ascii="仿宋" w:eastAsia="仿宋"/>
          <w:b/>
          <w:sz w:val="32"/>
          <w:szCs w:val="32"/>
        </w:rPr>
      </w:pPr>
      <w:r>
        <w:rPr>
          <w:rStyle w:val="14"/>
          <w:rFonts w:ascii="仿宋" w:eastAsia="仿宋"/>
          <w:bCs/>
          <w:sz w:val="32"/>
          <w:szCs w:val="32"/>
        </w:rPr>
        <w:t>4.</w:t>
      </w:r>
      <w:r>
        <w:rPr>
          <w:rStyle w:val="14"/>
          <w:rFonts w:hint="eastAsia" w:ascii="仿宋" w:eastAsia="仿宋"/>
          <w:bCs/>
          <w:sz w:val="32"/>
          <w:szCs w:val="32"/>
        </w:rPr>
        <w:t>文化旅游体育与传媒（类）</w:t>
      </w:r>
      <w:r>
        <w:rPr>
          <w:rStyle w:val="14"/>
          <w:rFonts w:ascii="仿宋" w:eastAsia="仿宋"/>
          <w:bCs/>
          <w:sz w:val="32"/>
          <w:szCs w:val="32"/>
        </w:rPr>
        <w:t>***</w:t>
      </w:r>
      <w:r>
        <w:rPr>
          <w:rStyle w:val="14"/>
          <w:rFonts w:hint="eastAsia" w:ascii="仿宋" w:eastAsia="仿宋"/>
          <w:bCs/>
          <w:sz w:val="32"/>
          <w:szCs w:val="32"/>
        </w:rPr>
        <w:t>（款）</w:t>
      </w:r>
      <w:r>
        <w:rPr>
          <w:rStyle w:val="14"/>
          <w:rFonts w:ascii="仿宋" w:eastAsia="仿宋"/>
          <w:bCs/>
          <w:sz w:val="32"/>
          <w:szCs w:val="32"/>
        </w:rPr>
        <w:t>***</w:t>
      </w:r>
      <w:r>
        <w:rPr>
          <w:rStyle w:val="14"/>
          <w:rFonts w:hint="eastAsia" w:ascii="仿宋" w:eastAsia="仿宋"/>
          <w:bCs/>
          <w:sz w:val="32"/>
          <w:szCs w:val="32"/>
        </w:rPr>
        <w:t>（项）</w:t>
      </w:r>
      <w:r>
        <w:rPr>
          <w:rStyle w:val="14"/>
          <w:rFonts w:ascii="仿宋" w:eastAsia="仿宋"/>
          <w:bCs/>
          <w:sz w:val="32"/>
          <w:szCs w:val="32"/>
        </w:rPr>
        <w:t>:</w:t>
      </w:r>
      <w:r>
        <w:rPr>
          <w:rStyle w:val="14"/>
          <w:rFonts w:ascii="仿宋" w:eastAsia="仿宋"/>
          <w:b w:val="0"/>
          <w:bCs/>
          <w:sz w:val="32"/>
          <w:szCs w:val="32"/>
        </w:rPr>
        <w:t xml:space="preserve"> </w:t>
      </w:r>
      <w:r>
        <w:rPr>
          <w:rStyle w:val="14"/>
          <w:rFonts w:hint="eastAsia" w:ascii="仿宋" w:eastAsia="仿宋"/>
          <w:b w:val="0"/>
          <w:bCs/>
          <w:sz w:val="32"/>
          <w:szCs w:val="32"/>
        </w:rPr>
        <w:t>支出决算为</w:t>
      </w:r>
      <w:r>
        <w:rPr>
          <w:rStyle w:val="14"/>
          <w:rFonts w:hint="eastAsia" w:ascii="仿宋" w:eastAsia="仿宋"/>
          <w:b w:val="0"/>
          <w:bCs/>
          <w:sz w:val="32"/>
          <w:szCs w:val="32"/>
          <w:lang w:val="en-US" w:eastAsia="zh-CN"/>
        </w:rPr>
        <w:t>0</w:t>
      </w:r>
      <w:r>
        <w:rPr>
          <w:rStyle w:val="14"/>
          <w:rFonts w:hint="eastAsia" w:ascii="仿宋" w:eastAsia="仿宋"/>
          <w:b w:val="0"/>
          <w:bCs/>
          <w:sz w:val="32"/>
          <w:szCs w:val="32"/>
        </w:rPr>
        <w:t>万元，完成预算</w:t>
      </w:r>
      <w:r>
        <w:rPr>
          <w:rStyle w:val="14"/>
          <w:rFonts w:hint="eastAsia" w:ascii="仿宋" w:eastAsia="仿宋"/>
          <w:b w:val="0"/>
          <w:bCs/>
          <w:sz w:val="32"/>
          <w:szCs w:val="32"/>
          <w:lang w:val="en-US" w:eastAsia="zh-CN"/>
        </w:rPr>
        <w:t>0</w:t>
      </w:r>
      <w:r>
        <w:rPr>
          <w:rStyle w:val="14"/>
          <w:rFonts w:ascii="仿宋" w:eastAsia="仿宋"/>
          <w:b w:val="0"/>
          <w:bCs/>
          <w:sz w:val="32"/>
          <w:szCs w:val="32"/>
        </w:rPr>
        <w:t>%</w:t>
      </w:r>
      <w:r>
        <w:rPr>
          <w:rStyle w:val="14"/>
          <w:rFonts w:hint="eastAsia" w:ascii="仿宋" w:eastAsia="仿宋"/>
          <w:b w:val="0"/>
          <w:bCs/>
          <w:sz w:val="32"/>
          <w:szCs w:val="32"/>
        </w:rPr>
        <w:t>。</w:t>
      </w:r>
    </w:p>
    <w:p>
      <w:pPr>
        <w:pageBreakBefore w:val="0"/>
        <w:kinsoku/>
        <w:wordWrap/>
        <w:overflowPunct/>
        <w:topLinePunct w:val="0"/>
        <w:bidi w:val="0"/>
        <w:spacing w:line="576" w:lineRule="exact"/>
        <w:ind w:firstLine="643" w:firstLineChars="200"/>
        <w:rPr>
          <w:rFonts w:ascii="仿宋" w:eastAsia="仿宋"/>
          <w:b/>
          <w:sz w:val="32"/>
          <w:szCs w:val="32"/>
        </w:rPr>
      </w:pPr>
      <w:r>
        <w:rPr>
          <w:rStyle w:val="14"/>
          <w:rFonts w:ascii="仿宋" w:eastAsia="仿宋"/>
          <w:bCs/>
          <w:sz w:val="32"/>
          <w:szCs w:val="32"/>
        </w:rPr>
        <w:t>5.</w:t>
      </w:r>
      <w:r>
        <w:rPr>
          <w:rStyle w:val="14"/>
          <w:rFonts w:hint="eastAsia" w:ascii="仿宋" w:eastAsia="仿宋"/>
          <w:bCs/>
          <w:sz w:val="32"/>
          <w:szCs w:val="32"/>
        </w:rPr>
        <w:t>社会保障和就业</w:t>
      </w:r>
      <w:r>
        <w:rPr>
          <w:rStyle w:val="14"/>
          <w:rFonts w:hint="eastAsia" w:ascii="仿宋" w:eastAsia="仿宋"/>
          <w:bCs/>
          <w:sz w:val="32"/>
          <w:szCs w:val="32"/>
          <w:lang w:val="en-US" w:eastAsia="zh-CN"/>
        </w:rPr>
        <w:t>20805</w:t>
      </w:r>
      <w:r>
        <w:rPr>
          <w:rStyle w:val="14"/>
          <w:rFonts w:ascii="仿宋" w:eastAsia="仿宋"/>
          <w:bCs/>
          <w:sz w:val="32"/>
          <w:szCs w:val="32"/>
        </w:rPr>
        <w:t>:</w:t>
      </w:r>
      <w:r>
        <w:rPr>
          <w:rStyle w:val="14"/>
          <w:rFonts w:ascii="仿宋" w:eastAsia="仿宋"/>
          <w:b w:val="0"/>
          <w:bCs/>
          <w:sz w:val="32"/>
          <w:szCs w:val="32"/>
        </w:rPr>
        <w:t xml:space="preserve"> </w:t>
      </w:r>
      <w:r>
        <w:rPr>
          <w:rStyle w:val="14"/>
          <w:rFonts w:hint="eastAsia" w:ascii="仿宋" w:eastAsia="仿宋"/>
          <w:b w:val="0"/>
          <w:bCs/>
          <w:sz w:val="32"/>
          <w:szCs w:val="32"/>
        </w:rPr>
        <w:t>支出决算为</w:t>
      </w:r>
      <w:r>
        <w:rPr>
          <w:rStyle w:val="14"/>
          <w:rFonts w:hint="eastAsia" w:ascii="仿宋" w:eastAsia="仿宋"/>
          <w:b w:val="0"/>
          <w:bCs/>
          <w:sz w:val="32"/>
          <w:szCs w:val="32"/>
          <w:lang w:val="en-US" w:eastAsia="zh-CN"/>
        </w:rPr>
        <w:t>20.67</w:t>
      </w:r>
      <w:r>
        <w:rPr>
          <w:rStyle w:val="14"/>
          <w:rFonts w:hint="eastAsia" w:ascii="仿宋" w:eastAsia="仿宋"/>
          <w:b w:val="0"/>
          <w:bCs/>
          <w:sz w:val="32"/>
          <w:szCs w:val="32"/>
        </w:rPr>
        <w:t>万元，完成预算</w:t>
      </w:r>
      <w:r>
        <w:rPr>
          <w:rStyle w:val="14"/>
          <w:rFonts w:hint="eastAsia" w:ascii="仿宋" w:eastAsia="仿宋"/>
          <w:b w:val="0"/>
          <w:bCs/>
          <w:sz w:val="32"/>
          <w:szCs w:val="32"/>
          <w:lang w:val="en-US" w:eastAsia="zh-CN"/>
        </w:rPr>
        <w:t>100</w:t>
      </w:r>
      <w:r>
        <w:rPr>
          <w:rStyle w:val="14"/>
          <w:rFonts w:ascii="仿宋" w:eastAsia="仿宋"/>
          <w:b w:val="0"/>
          <w:bCs/>
          <w:sz w:val="32"/>
          <w:szCs w:val="32"/>
        </w:rPr>
        <w:t>%</w:t>
      </w:r>
      <w:r>
        <w:rPr>
          <w:rStyle w:val="14"/>
          <w:rFonts w:hint="eastAsia" w:ascii="仿宋" w:eastAsia="仿宋"/>
          <w:b w:val="0"/>
          <w:bCs/>
          <w:sz w:val="32"/>
          <w:szCs w:val="32"/>
        </w:rPr>
        <w:t>。</w:t>
      </w:r>
    </w:p>
    <w:p>
      <w:pPr>
        <w:pageBreakBefore w:val="0"/>
        <w:kinsoku/>
        <w:wordWrap/>
        <w:overflowPunct/>
        <w:topLinePunct w:val="0"/>
        <w:bidi w:val="0"/>
        <w:spacing w:line="576" w:lineRule="exact"/>
        <w:ind w:firstLine="643" w:firstLineChars="200"/>
        <w:rPr>
          <w:rFonts w:ascii="仿宋" w:eastAsia="仿宋"/>
          <w:b/>
          <w:sz w:val="32"/>
          <w:szCs w:val="32"/>
        </w:rPr>
      </w:pPr>
      <w:r>
        <w:rPr>
          <w:rStyle w:val="14"/>
          <w:rFonts w:ascii="仿宋" w:eastAsia="仿宋"/>
          <w:bCs/>
          <w:sz w:val="32"/>
          <w:szCs w:val="32"/>
        </w:rPr>
        <w:t>6.</w:t>
      </w:r>
      <w:r>
        <w:rPr>
          <w:rFonts w:hint="eastAsia" w:ascii="仿宋" w:eastAsia="仿宋"/>
          <w:b/>
          <w:bCs/>
          <w:sz w:val="32"/>
          <w:szCs w:val="32"/>
        </w:rPr>
        <w:t>卫生健康</w:t>
      </w:r>
      <w:r>
        <w:rPr>
          <w:rStyle w:val="14"/>
          <w:rFonts w:hint="eastAsia" w:ascii="仿宋" w:eastAsia="仿宋"/>
          <w:bCs/>
          <w:sz w:val="32"/>
          <w:szCs w:val="32"/>
          <w:lang w:val="en-US" w:eastAsia="zh-CN"/>
        </w:rPr>
        <w:t>21011</w:t>
      </w:r>
      <w:r>
        <w:rPr>
          <w:rStyle w:val="14"/>
          <w:rFonts w:ascii="仿宋" w:eastAsia="仿宋"/>
          <w:bCs/>
          <w:sz w:val="32"/>
          <w:szCs w:val="32"/>
        </w:rPr>
        <w:t>:</w:t>
      </w:r>
      <w:r>
        <w:rPr>
          <w:rStyle w:val="14"/>
          <w:rFonts w:hint="eastAsia" w:ascii="仿宋" w:eastAsia="仿宋"/>
          <w:b w:val="0"/>
          <w:bCs/>
          <w:sz w:val="32"/>
          <w:szCs w:val="32"/>
        </w:rPr>
        <w:t>支出决算为</w:t>
      </w:r>
      <w:r>
        <w:rPr>
          <w:rStyle w:val="14"/>
          <w:rFonts w:hint="eastAsia" w:ascii="仿宋" w:eastAsia="仿宋"/>
          <w:b w:val="0"/>
          <w:bCs/>
          <w:sz w:val="32"/>
          <w:szCs w:val="32"/>
          <w:lang w:val="en-US" w:eastAsia="zh-CN"/>
        </w:rPr>
        <w:t>9.17</w:t>
      </w:r>
      <w:r>
        <w:rPr>
          <w:rStyle w:val="14"/>
          <w:rFonts w:hint="eastAsia" w:ascii="仿宋" w:eastAsia="仿宋"/>
          <w:b w:val="0"/>
          <w:bCs/>
          <w:sz w:val="32"/>
          <w:szCs w:val="32"/>
        </w:rPr>
        <w:t>万元，完成预算</w:t>
      </w:r>
      <w:r>
        <w:rPr>
          <w:rStyle w:val="14"/>
          <w:rFonts w:hint="eastAsia" w:ascii="仿宋" w:eastAsia="仿宋"/>
          <w:b w:val="0"/>
          <w:bCs/>
          <w:sz w:val="32"/>
          <w:szCs w:val="32"/>
          <w:lang w:val="en-US" w:eastAsia="zh-CN"/>
        </w:rPr>
        <w:t>100</w:t>
      </w:r>
      <w:r>
        <w:rPr>
          <w:rStyle w:val="14"/>
          <w:rFonts w:ascii="仿宋" w:eastAsia="仿宋"/>
          <w:b w:val="0"/>
          <w:bCs/>
          <w:sz w:val="32"/>
          <w:szCs w:val="32"/>
        </w:rPr>
        <w:t>%</w:t>
      </w:r>
      <w:r>
        <w:rPr>
          <w:rStyle w:val="14"/>
          <w:rFonts w:hint="eastAsia" w:ascii="仿宋" w:eastAsia="仿宋"/>
          <w:b w:val="0"/>
          <w:bCs/>
          <w:sz w:val="32"/>
          <w:szCs w:val="32"/>
        </w:rPr>
        <w:t>。</w:t>
      </w:r>
    </w:p>
    <w:p>
      <w:pPr>
        <w:pageBreakBefore w:val="0"/>
        <w:kinsoku/>
        <w:wordWrap/>
        <w:overflowPunct/>
        <w:topLinePunct w:val="0"/>
        <w:bidi w:val="0"/>
        <w:spacing w:line="576" w:lineRule="exact"/>
        <w:ind w:firstLine="643" w:firstLineChars="200"/>
        <w:rPr>
          <w:rFonts w:ascii="仿宋" w:eastAsia="仿宋"/>
          <w:b/>
          <w:sz w:val="32"/>
          <w:szCs w:val="32"/>
        </w:rPr>
      </w:pPr>
      <w:r>
        <w:rPr>
          <w:rStyle w:val="14"/>
          <w:rFonts w:hint="eastAsia" w:ascii="仿宋" w:eastAsia="仿宋"/>
          <w:bCs/>
          <w:sz w:val="32"/>
          <w:szCs w:val="32"/>
          <w:lang w:val="en-US" w:eastAsia="zh-CN"/>
        </w:rPr>
        <w:t>7</w:t>
      </w:r>
      <w:r>
        <w:rPr>
          <w:rStyle w:val="14"/>
          <w:rFonts w:ascii="仿宋" w:eastAsia="仿宋"/>
          <w:bCs/>
          <w:sz w:val="32"/>
          <w:szCs w:val="32"/>
        </w:rPr>
        <w:t>.</w:t>
      </w:r>
      <w:r>
        <w:rPr>
          <w:rFonts w:hint="eastAsia" w:ascii="仿宋" w:eastAsia="仿宋"/>
          <w:b/>
          <w:bCs/>
          <w:sz w:val="32"/>
          <w:szCs w:val="32"/>
          <w:lang w:eastAsia="zh-CN"/>
        </w:rPr>
        <w:t>住房保障</w:t>
      </w:r>
      <w:r>
        <w:rPr>
          <w:rStyle w:val="14"/>
          <w:rFonts w:hint="eastAsia" w:ascii="仿宋" w:eastAsia="仿宋"/>
          <w:bCs/>
          <w:sz w:val="32"/>
          <w:szCs w:val="32"/>
          <w:lang w:val="en-US" w:eastAsia="zh-CN"/>
        </w:rPr>
        <w:t>22102</w:t>
      </w:r>
      <w:r>
        <w:rPr>
          <w:rStyle w:val="14"/>
          <w:rFonts w:ascii="仿宋" w:eastAsia="仿宋"/>
          <w:bCs/>
          <w:sz w:val="32"/>
          <w:szCs w:val="32"/>
        </w:rPr>
        <w:t>:</w:t>
      </w:r>
      <w:r>
        <w:rPr>
          <w:rStyle w:val="14"/>
          <w:rFonts w:hint="eastAsia" w:ascii="仿宋" w:eastAsia="仿宋"/>
          <w:b w:val="0"/>
          <w:bCs/>
          <w:sz w:val="32"/>
          <w:szCs w:val="32"/>
        </w:rPr>
        <w:t>支出决算为</w:t>
      </w:r>
      <w:r>
        <w:rPr>
          <w:rStyle w:val="14"/>
          <w:rFonts w:hint="eastAsia" w:ascii="仿宋" w:eastAsia="仿宋"/>
          <w:b w:val="0"/>
          <w:bCs/>
          <w:sz w:val="32"/>
          <w:szCs w:val="32"/>
          <w:lang w:val="en-US" w:eastAsia="zh-CN"/>
        </w:rPr>
        <w:t>12.01</w:t>
      </w:r>
      <w:r>
        <w:rPr>
          <w:rStyle w:val="14"/>
          <w:rFonts w:hint="eastAsia" w:ascii="仿宋" w:eastAsia="仿宋"/>
          <w:b w:val="0"/>
          <w:bCs/>
          <w:sz w:val="32"/>
          <w:szCs w:val="32"/>
        </w:rPr>
        <w:t>万元，完成预算</w:t>
      </w:r>
      <w:r>
        <w:rPr>
          <w:rStyle w:val="14"/>
          <w:rFonts w:hint="eastAsia" w:ascii="仿宋" w:eastAsia="仿宋"/>
          <w:b w:val="0"/>
          <w:bCs/>
          <w:sz w:val="32"/>
          <w:szCs w:val="32"/>
          <w:lang w:val="en-US" w:eastAsia="zh-CN"/>
        </w:rPr>
        <w:t>100</w:t>
      </w:r>
      <w:r>
        <w:rPr>
          <w:rStyle w:val="14"/>
          <w:rFonts w:ascii="仿宋" w:eastAsia="仿宋"/>
          <w:b w:val="0"/>
          <w:bCs/>
          <w:sz w:val="32"/>
          <w:szCs w:val="32"/>
        </w:rPr>
        <w:t>%</w:t>
      </w:r>
      <w:r>
        <w:rPr>
          <w:rStyle w:val="14"/>
          <w:rFonts w:hint="eastAsia" w:ascii="仿宋" w:eastAsia="仿宋"/>
          <w:b w:val="0"/>
          <w:bCs/>
          <w:sz w:val="32"/>
          <w:szCs w:val="32"/>
        </w:rPr>
        <w:t>。</w:t>
      </w:r>
    </w:p>
    <w:p>
      <w:pPr>
        <w:pageBreakBefore w:val="0"/>
        <w:kinsoku/>
        <w:wordWrap/>
        <w:overflowPunct/>
        <w:topLinePunct w:val="0"/>
        <w:bidi w:val="0"/>
        <w:spacing w:line="576" w:lineRule="exact"/>
        <w:ind w:firstLine="640"/>
        <w:rPr>
          <w:rFonts w:ascii="仿宋" w:eastAsia="仿宋"/>
          <w:b w:val="0"/>
          <w:bCs/>
          <w:sz w:val="32"/>
          <w:szCs w:val="32"/>
        </w:rPr>
      </w:pPr>
    </w:p>
    <w:p>
      <w:pPr>
        <w:pageBreakBefore w:val="0"/>
        <w:tabs>
          <w:tab w:val="right" w:pos="8306"/>
        </w:tabs>
        <w:kinsoku/>
        <w:wordWrap/>
        <w:overflowPunct/>
        <w:topLinePunct w:val="0"/>
        <w:bidi w:val="0"/>
        <w:spacing w:line="576" w:lineRule="exact"/>
        <w:ind w:firstLine="640"/>
        <w:outlineLvl w:val="1"/>
        <w:rPr>
          <w:rStyle w:val="17"/>
        </w:rPr>
      </w:pPr>
      <w:bookmarkStart w:id="37" w:name="_Toc15396608"/>
      <w:bookmarkStart w:id="38" w:name="_Toc15377214"/>
      <w:r>
        <w:rPr>
          <w:rFonts w:hint="eastAsia" w:ascii="黑体" w:eastAsia="黑体"/>
          <w:sz w:val="32"/>
          <w:szCs w:val="32"/>
        </w:rPr>
        <w:t>六</w:t>
      </w:r>
      <w:r>
        <w:rPr>
          <w:rFonts w:hint="eastAsia" w:ascii="黑体" w:eastAsia="黑体"/>
          <w:b/>
          <w:sz w:val="32"/>
          <w:szCs w:val="32"/>
        </w:rPr>
        <w:t>、一</w:t>
      </w:r>
      <w:r>
        <w:rPr>
          <w:rStyle w:val="17"/>
          <w:rFonts w:hint="eastAsia" w:ascii="黑体" w:eastAsia="黑体"/>
          <w:b w:val="0"/>
        </w:rPr>
        <w:t>般公共预算财政拨款基本支出决算情况说明</w:t>
      </w:r>
      <w:bookmarkEnd w:id="37"/>
      <w:bookmarkEnd w:id="38"/>
      <w:r>
        <w:rPr>
          <w:rStyle w:val="17"/>
          <w:rFonts w:ascii="黑体" w:eastAsia="黑体"/>
          <w:b w:val="0"/>
        </w:rPr>
        <w:tab/>
      </w:r>
    </w:p>
    <w:p>
      <w:pPr>
        <w:pageBreakBefore w:val="0"/>
        <w:kinsoku/>
        <w:wordWrap/>
        <w:overflowPunct/>
        <w:topLinePunct w:val="0"/>
        <w:bidi w:val="0"/>
        <w:spacing w:line="576" w:lineRule="exact"/>
        <w:ind w:firstLine="645"/>
        <w:rPr>
          <w:rFonts w:ascii="仿宋" w:eastAsia="仿宋"/>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2</w:t>
      </w:r>
      <w:r>
        <w:rPr>
          <w:rFonts w:hint="eastAsia" w:ascii="仿宋" w:eastAsia="仿宋"/>
          <w:sz w:val="32"/>
          <w:szCs w:val="32"/>
        </w:rPr>
        <w:t>年一般公共预算财政拨款基本支出</w:t>
      </w:r>
      <w:r>
        <w:rPr>
          <w:rFonts w:hint="eastAsia" w:ascii="仿宋" w:eastAsia="仿宋"/>
          <w:sz w:val="32"/>
          <w:szCs w:val="32"/>
          <w:lang w:val="en-US" w:eastAsia="zh-CN"/>
        </w:rPr>
        <w:t>209.28</w:t>
      </w:r>
      <w:r>
        <w:rPr>
          <w:rFonts w:hint="eastAsia" w:ascii="仿宋" w:eastAsia="仿宋"/>
          <w:sz w:val="32"/>
          <w:szCs w:val="32"/>
        </w:rPr>
        <w:t>万元，其中：</w:t>
      </w:r>
    </w:p>
    <w:p>
      <w:pPr>
        <w:pageBreakBefore w:val="0"/>
        <w:kinsoku/>
        <w:wordWrap/>
        <w:overflowPunct/>
        <w:topLinePunct w:val="0"/>
        <w:bidi w:val="0"/>
        <w:spacing w:line="576" w:lineRule="exact"/>
        <w:ind w:firstLine="645"/>
        <w:rPr>
          <w:rFonts w:hint="eastAsia" w:ascii="仿宋" w:eastAsia="仿宋"/>
          <w:sz w:val="32"/>
          <w:szCs w:val="32"/>
          <w:lang w:eastAsia="zh-CN"/>
        </w:rPr>
      </w:pPr>
      <w:r>
        <w:rPr>
          <w:rFonts w:hint="eastAsia" w:ascii="仿宋" w:eastAsia="仿宋"/>
          <w:sz w:val="32"/>
          <w:szCs w:val="32"/>
        </w:rPr>
        <w:t>人员经费</w:t>
      </w:r>
      <w:r>
        <w:rPr>
          <w:rFonts w:hint="eastAsia" w:ascii="仿宋" w:eastAsia="仿宋"/>
          <w:sz w:val="32"/>
          <w:szCs w:val="32"/>
          <w:lang w:val="en-US" w:eastAsia="zh-CN"/>
        </w:rPr>
        <w:t>162.73</w:t>
      </w:r>
      <w:r>
        <w:rPr>
          <w:rFonts w:hint="eastAsia" w:ascii="仿宋" w:eastAsia="仿宋"/>
          <w:sz w:val="32"/>
          <w:szCs w:val="32"/>
        </w:rPr>
        <w:t>万元，主要包括：基本工资</w:t>
      </w:r>
      <w:r>
        <w:rPr>
          <w:rFonts w:hint="eastAsia" w:ascii="仿宋" w:eastAsia="仿宋"/>
          <w:sz w:val="32"/>
          <w:szCs w:val="32"/>
          <w:lang w:val="en-US" w:eastAsia="zh-CN"/>
        </w:rPr>
        <w:t>28.41万元</w:t>
      </w:r>
      <w:r>
        <w:rPr>
          <w:rFonts w:hint="eastAsia" w:ascii="仿宋" w:eastAsia="仿宋"/>
          <w:sz w:val="32"/>
          <w:szCs w:val="32"/>
        </w:rPr>
        <w:t>、津贴补贴</w:t>
      </w:r>
      <w:r>
        <w:rPr>
          <w:rFonts w:hint="eastAsia" w:ascii="仿宋" w:eastAsia="仿宋"/>
          <w:sz w:val="32"/>
          <w:szCs w:val="32"/>
          <w:lang w:val="en-US" w:eastAsia="zh-CN"/>
        </w:rPr>
        <w:t>64.31万元</w:t>
      </w:r>
      <w:r>
        <w:rPr>
          <w:rFonts w:hint="eastAsia" w:ascii="仿宋" w:eastAsia="仿宋"/>
          <w:sz w:val="32"/>
          <w:szCs w:val="32"/>
        </w:rPr>
        <w:t>、奖金、伙食补助费</w:t>
      </w:r>
      <w:r>
        <w:rPr>
          <w:rFonts w:hint="eastAsia" w:ascii="仿宋" w:eastAsia="仿宋"/>
          <w:sz w:val="32"/>
          <w:szCs w:val="32"/>
          <w:lang w:val="en-US" w:eastAsia="zh-CN"/>
        </w:rPr>
        <w:t>0万元</w:t>
      </w:r>
      <w:r>
        <w:rPr>
          <w:rFonts w:hint="eastAsia" w:ascii="仿宋" w:eastAsia="仿宋"/>
          <w:sz w:val="32"/>
          <w:szCs w:val="32"/>
        </w:rPr>
        <w:t>、绩效工资</w:t>
      </w:r>
      <w:r>
        <w:rPr>
          <w:rFonts w:hint="eastAsia" w:ascii="仿宋" w:eastAsia="仿宋"/>
          <w:sz w:val="32"/>
          <w:szCs w:val="32"/>
          <w:lang w:val="en-US" w:eastAsia="zh-CN"/>
        </w:rPr>
        <w:t>25.11万元</w:t>
      </w:r>
      <w:r>
        <w:rPr>
          <w:rFonts w:hint="eastAsia" w:ascii="仿宋" w:eastAsia="仿宋"/>
          <w:sz w:val="32"/>
          <w:szCs w:val="32"/>
        </w:rPr>
        <w:t>、</w:t>
      </w:r>
      <w:r>
        <w:rPr>
          <w:rFonts w:hint="eastAsia" w:ascii="仿宋" w:eastAsia="仿宋"/>
          <w:sz w:val="32"/>
          <w:szCs w:val="32"/>
          <w:lang w:eastAsia="zh-CN"/>
        </w:rPr>
        <w:t>奖金</w:t>
      </w:r>
      <w:r>
        <w:rPr>
          <w:rFonts w:hint="eastAsia" w:ascii="仿宋" w:eastAsia="仿宋"/>
          <w:sz w:val="32"/>
          <w:szCs w:val="32"/>
          <w:lang w:val="en-US" w:eastAsia="zh-CN"/>
        </w:rPr>
        <w:t>1.46万元，</w:t>
      </w:r>
      <w:r>
        <w:rPr>
          <w:rFonts w:hint="eastAsia" w:ascii="仿宋" w:eastAsia="仿宋"/>
          <w:sz w:val="32"/>
          <w:szCs w:val="32"/>
        </w:rPr>
        <w:t>机关事业单位基本养老保险缴费</w:t>
      </w:r>
      <w:r>
        <w:rPr>
          <w:rFonts w:hint="eastAsia" w:ascii="仿宋" w:eastAsia="仿宋"/>
          <w:sz w:val="32"/>
          <w:szCs w:val="32"/>
          <w:lang w:val="en-US" w:eastAsia="zh-CN"/>
        </w:rPr>
        <w:t>13.78万元</w:t>
      </w:r>
      <w:r>
        <w:rPr>
          <w:rFonts w:hint="eastAsia" w:ascii="仿宋" w:eastAsia="仿宋"/>
          <w:sz w:val="32"/>
          <w:szCs w:val="32"/>
        </w:rPr>
        <w:t>、</w:t>
      </w:r>
      <w:r>
        <w:rPr>
          <w:rFonts w:hint="eastAsia" w:ascii="仿宋" w:eastAsia="仿宋"/>
          <w:sz w:val="32"/>
          <w:szCs w:val="32"/>
          <w:lang w:eastAsia="zh-CN"/>
        </w:rPr>
        <w:t>基本医疗保险</w:t>
      </w:r>
      <w:r>
        <w:rPr>
          <w:rFonts w:hint="eastAsia" w:ascii="仿宋" w:eastAsia="仿宋"/>
          <w:sz w:val="32"/>
          <w:szCs w:val="32"/>
          <w:lang w:val="en-US" w:eastAsia="zh-CN"/>
        </w:rPr>
        <w:t>7.70万元，</w:t>
      </w:r>
      <w:r>
        <w:rPr>
          <w:rFonts w:hint="eastAsia" w:ascii="仿宋" w:eastAsia="仿宋"/>
          <w:sz w:val="32"/>
          <w:szCs w:val="32"/>
        </w:rPr>
        <w:t>职业年金缴费</w:t>
      </w:r>
      <w:r>
        <w:rPr>
          <w:rFonts w:hint="eastAsia" w:ascii="仿宋" w:eastAsia="仿宋"/>
          <w:sz w:val="32"/>
          <w:szCs w:val="32"/>
          <w:lang w:val="en-US" w:eastAsia="zh-CN"/>
        </w:rPr>
        <w:t>6.89万元</w:t>
      </w:r>
      <w:r>
        <w:rPr>
          <w:rFonts w:hint="eastAsia" w:ascii="仿宋" w:eastAsia="仿宋"/>
          <w:sz w:val="32"/>
          <w:szCs w:val="32"/>
        </w:rPr>
        <w:t>、</w:t>
      </w:r>
      <w:r>
        <w:rPr>
          <w:rFonts w:hint="eastAsia" w:ascii="仿宋" w:eastAsia="仿宋"/>
          <w:sz w:val="32"/>
          <w:szCs w:val="32"/>
          <w:lang w:eastAsia="zh-CN"/>
        </w:rPr>
        <w:t>公务员医疗补助缴费</w:t>
      </w:r>
      <w:r>
        <w:rPr>
          <w:rFonts w:hint="eastAsia" w:ascii="仿宋" w:eastAsia="仿宋"/>
          <w:sz w:val="32"/>
          <w:szCs w:val="32"/>
          <w:lang w:val="en-US" w:eastAsia="zh-CN"/>
        </w:rPr>
        <w:t>1.47万元、</w:t>
      </w:r>
      <w:r>
        <w:rPr>
          <w:rFonts w:hint="eastAsia" w:ascii="仿宋" w:eastAsia="仿宋"/>
          <w:sz w:val="32"/>
          <w:szCs w:val="32"/>
        </w:rPr>
        <w:t>其他社会保障缴费</w:t>
      </w:r>
      <w:r>
        <w:rPr>
          <w:rFonts w:hint="eastAsia" w:ascii="仿宋" w:eastAsia="仿宋"/>
          <w:sz w:val="32"/>
          <w:szCs w:val="32"/>
          <w:lang w:val="en-US" w:eastAsia="zh-CN"/>
        </w:rPr>
        <w:t>1.58万元</w:t>
      </w:r>
      <w:r>
        <w:rPr>
          <w:rFonts w:hint="eastAsia" w:ascii="仿宋" w:eastAsia="仿宋"/>
          <w:sz w:val="32"/>
          <w:szCs w:val="32"/>
        </w:rPr>
        <w:t>、其他工资福利支出</w:t>
      </w:r>
      <w:r>
        <w:rPr>
          <w:rFonts w:hint="eastAsia" w:ascii="仿宋" w:eastAsia="仿宋"/>
          <w:sz w:val="32"/>
          <w:szCs w:val="32"/>
          <w:lang w:val="en-US" w:eastAsia="zh-CN"/>
        </w:rPr>
        <w:t>0万元</w:t>
      </w:r>
      <w:r>
        <w:rPr>
          <w:rFonts w:hint="eastAsia" w:ascii="仿宋" w:eastAsia="仿宋"/>
          <w:sz w:val="32"/>
          <w:szCs w:val="32"/>
        </w:rPr>
        <w:t>、</w:t>
      </w:r>
      <w:r>
        <w:rPr>
          <w:rFonts w:hint="eastAsia" w:ascii="仿宋" w:eastAsia="仿宋"/>
          <w:sz w:val="32"/>
          <w:szCs w:val="32"/>
          <w:lang w:eastAsia="zh-CN"/>
        </w:rPr>
        <w:t>住房公积金</w:t>
      </w:r>
      <w:r>
        <w:rPr>
          <w:rFonts w:hint="eastAsia" w:ascii="仿宋" w:eastAsia="仿宋"/>
          <w:sz w:val="32"/>
          <w:szCs w:val="32"/>
          <w:lang w:val="en-US" w:eastAsia="zh-CN"/>
        </w:rPr>
        <w:t>12.01万元</w:t>
      </w:r>
      <w:r>
        <w:rPr>
          <w:rFonts w:hint="eastAsia" w:ascii="仿宋" w:eastAsia="仿宋"/>
          <w:sz w:val="32"/>
          <w:szCs w:val="32"/>
        </w:rPr>
        <w:t>。</w:t>
      </w:r>
    </w:p>
    <w:p>
      <w:pPr>
        <w:pageBreakBefore w:val="0"/>
        <w:kinsoku/>
        <w:wordWrap/>
        <w:overflowPunct/>
        <w:topLinePunct w:val="0"/>
        <w:bidi w:val="0"/>
        <w:spacing w:line="576" w:lineRule="exact"/>
        <w:ind w:firstLine="645"/>
        <w:rPr>
          <w:rFonts w:ascii="仿宋" w:eastAsia="仿宋"/>
          <w:b/>
          <w:sz w:val="32"/>
          <w:szCs w:val="32"/>
        </w:rPr>
      </w:pPr>
      <w:r>
        <w:rPr>
          <w:rFonts w:hint="eastAsia" w:ascii="仿宋" w:eastAsia="仿宋"/>
          <w:sz w:val="32"/>
          <w:szCs w:val="32"/>
        </w:rPr>
        <w:t>公用经费</w:t>
      </w:r>
      <w:r>
        <w:rPr>
          <w:rFonts w:hint="eastAsia" w:ascii="仿宋" w:eastAsia="仿宋"/>
          <w:sz w:val="32"/>
          <w:szCs w:val="32"/>
          <w:lang w:val="en-US" w:eastAsia="zh-CN"/>
        </w:rPr>
        <w:t>8.82</w:t>
      </w:r>
      <w:r>
        <w:rPr>
          <w:rFonts w:hint="eastAsia" w:ascii="仿宋" w:eastAsia="仿宋"/>
          <w:sz w:val="32"/>
          <w:szCs w:val="32"/>
        </w:rPr>
        <w:t>万元，主要包括：办公费</w:t>
      </w:r>
      <w:r>
        <w:rPr>
          <w:rFonts w:hint="eastAsia" w:ascii="仿宋" w:eastAsia="仿宋"/>
          <w:sz w:val="32"/>
          <w:szCs w:val="32"/>
          <w:lang w:val="en-US" w:eastAsia="zh-CN"/>
        </w:rPr>
        <w:t>7.51万元</w:t>
      </w:r>
      <w:r>
        <w:rPr>
          <w:rFonts w:hint="eastAsia" w:ascii="仿宋" w:eastAsia="仿宋"/>
          <w:sz w:val="32"/>
          <w:szCs w:val="32"/>
        </w:rPr>
        <w:t>、</w:t>
      </w:r>
      <w:r>
        <w:rPr>
          <w:rFonts w:hint="eastAsia" w:ascii="仿宋" w:eastAsia="仿宋"/>
          <w:sz w:val="32"/>
          <w:szCs w:val="32"/>
          <w:lang w:eastAsia="zh-CN"/>
        </w:rPr>
        <w:t>印刷费</w:t>
      </w:r>
      <w:r>
        <w:rPr>
          <w:rFonts w:hint="eastAsia" w:ascii="仿宋" w:eastAsia="仿宋"/>
          <w:sz w:val="32"/>
          <w:szCs w:val="32"/>
          <w:lang w:val="en-US" w:eastAsia="zh-CN"/>
        </w:rPr>
        <w:t>0.46万元、工会会费0.86万元、</w:t>
      </w:r>
      <w:r>
        <w:rPr>
          <w:rFonts w:hint="eastAsia" w:ascii="仿宋" w:eastAsia="仿宋"/>
          <w:sz w:val="32"/>
          <w:szCs w:val="32"/>
        </w:rPr>
        <w:t>邮电费</w:t>
      </w:r>
      <w:r>
        <w:rPr>
          <w:rFonts w:hint="eastAsia" w:ascii="仿宋" w:eastAsia="仿宋"/>
          <w:sz w:val="32"/>
          <w:szCs w:val="32"/>
          <w:lang w:val="en-US" w:eastAsia="zh-CN"/>
        </w:rPr>
        <w:t>0万元</w:t>
      </w:r>
      <w:r>
        <w:rPr>
          <w:rFonts w:hint="eastAsia" w:ascii="仿宋" w:eastAsia="仿宋"/>
          <w:sz w:val="32"/>
          <w:szCs w:val="32"/>
        </w:rPr>
        <w:t>、取暖费</w:t>
      </w:r>
      <w:r>
        <w:rPr>
          <w:rFonts w:hint="eastAsia" w:ascii="仿宋" w:eastAsia="仿宋"/>
          <w:sz w:val="32"/>
          <w:szCs w:val="32"/>
          <w:lang w:val="en-US" w:eastAsia="zh-CN"/>
        </w:rPr>
        <w:t>0万元</w:t>
      </w:r>
      <w:r>
        <w:rPr>
          <w:rFonts w:hint="eastAsia" w:ascii="仿宋" w:eastAsia="仿宋"/>
          <w:sz w:val="32"/>
          <w:szCs w:val="32"/>
        </w:rPr>
        <w:t>、差旅费</w:t>
      </w:r>
      <w:r>
        <w:rPr>
          <w:rFonts w:hint="eastAsia" w:ascii="仿宋" w:eastAsia="仿宋"/>
          <w:sz w:val="32"/>
          <w:szCs w:val="32"/>
          <w:lang w:val="en-US" w:eastAsia="zh-CN"/>
        </w:rPr>
        <w:t>0万元</w:t>
      </w:r>
      <w:r>
        <w:rPr>
          <w:rFonts w:hint="eastAsia" w:ascii="仿宋" w:eastAsia="仿宋"/>
          <w:sz w:val="32"/>
          <w:szCs w:val="32"/>
        </w:rPr>
        <w:t>、因公出国（境）费用</w:t>
      </w:r>
      <w:r>
        <w:rPr>
          <w:rFonts w:hint="eastAsia" w:ascii="仿宋" w:eastAsia="仿宋"/>
          <w:sz w:val="32"/>
          <w:szCs w:val="32"/>
          <w:lang w:val="en-US" w:eastAsia="zh-CN"/>
        </w:rPr>
        <w:t>0万元。</w:t>
      </w:r>
    </w:p>
    <w:p>
      <w:pPr>
        <w:pageBreakBefore w:val="0"/>
        <w:kinsoku/>
        <w:wordWrap/>
        <w:overflowPunct/>
        <w:topLinePunct w:val="0"/>
        <w:bidi w:val="0"/>
        <w:spacing w:line="576" w:lineRule="exact"/>
        <w:ind w:firstLine="640"/>
        <w:rPr>
          <w:rFonts w:ascii="仿宋" w:eastAsia="仿宋"/>
          <w:b/>
          <w:sz w:val="32"/>
          <w:szCs w:val="32"/>
        </w:rPr>
      </w:pPr>
    </w:p>
    <w:p>
      <w:pPr>
        <w:pageBreakBefore w:val="0"/>
        <w:kinsoku/>
        <w:wordWrap/>
        <w:overflowPunct/>
        <w:topLinePunct w:val="0"/>
        <w:bidi w:val="0"/>
        <w:spacing w:line="576" w:lineRule="exact"/>
        <w:ind w:firstLine="640"/>
        <w:outlineLvl w:val="1"/>
        <w:rPr>
          <w:rStyle w:val="17"/>
          <w:rFonts w:ascii="黑体" w:eastAsia="黑体"/>
          <w:b w:val="0"/>
        </w:rPr>
      </w:pPr>
      <w:bookmarkStart w:id="39" w:name="_Toc15396609"/>
      <w:bookmarkStart w:id="40" w:name="_Toc15377215"/>
      <w:r>
        <w:rPr>
          <w:rFonts w:hint="eastAsia" w:ascii="黑体" w:eastAsia="黑体"/>
          <w:sz w:val="32"/>
          <w:szCs w:val="32"/>
        </w:rPr>
        <w:t>七、</w:t>
      </w:r>
      <w:r>
        <w:rPr>
          <w:rStyle w:val="17"/>
          <w:rFonts w:hint="eastAsia" w:ascii="黑体" w:eastAsia="黑体"/>
        </w:rPr>
        <w:t>“</w:t>
      </w:r>
      <w:r>
        <w:rPr>
          <w:rStyle w:val="17"/>
          <w:rFonts w:hint="eastAsia" w:ascii="黑体" w:eastAsia="黑体"/>
          <w:b w:val="0"/>
        </w:rPr>
        <w:t>三公”经费财政拨款支出决算情况说明</w:t>
      </w:r>
      <w:bookmarkEnd w:id="39"/>
      <w:bookmarkEnd w:id="40"/>
    </w:p>
    <w:p>
      <w:pPr>
        <w:pageBreakBefore w:val="0"/>
        <w:kinsoku/>
        <w:wordWrap/>
        <w:overflowPunct/>
        <w:topLinePunct w:val="0"/>
        <w:bidi w:val="0"/>
        <w:spacing w:line="576" w:lineRule="exact"/>
        <w:ind w:firstLine="640"/>
        <w:outlineLvl w:val="2"/>
        <w:rPr>
          <w:rFonts w:ascii="仿宋" w:eastAsia="仿宋"/>
          <w:b/>
          <w:sz w:val="32"/>
          <w:szCs w:val="32"/>
        </w:rPr>
      </w:pPr>
      <w:bookmarkStart w:id="41" w:name="_Toc15377216"/>
      <w:r>
        <w:rPr>
          <w:rFonts w:hint="eastAsia" w:ascii="仿宋" w:eastAsia="仿宋"/>
          <w:b/>
          <w:sz w:val="32"/>
          <w:szCs w:val="32"/>
        </w:rPr>
        <w:t>（一）“三公”经费财政拨款支出决算总体情况说明</w:t>
      </w:r>
      <w:bookmarkEnd w:id="41"/>
    </w:p>
    <w:p>
      <w:pPr>
        <w:pageBreakBefore w:val="0"/>
        <w:kinsoku/>
        <w:wordWrap/>
        <w:overflowPunct/>
        <w:topLinePunct w:val="0"/>
        <w:bidi w:val="0"/>
        <w:spacing w:line="576" w:lineRule="exact"/>
        <w:ind w:firstLine="640"/>
        <w:rPr>
          <w:rFonts w:hint="eastAsia" w:ascii="仿宋" w:eastAsia="仿宋"/>
          <w:b/>
          <w:sz w:val="32"/>
          <w:szCs w:val="32"/>
          <w:lang w:eastAsia="zh-CN"/>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2</w:t>
      </w:r>
      <w:r>
        <w:rPr>
          <w:rFonts w:hint="eastAsia" w:ascii="仿宋" w:eastAsia="仿宋"/>
          <w:sz w:val="32"/>
          <w:szCs w:val="32"/>
        </w:rPr>
        <w:t>年“三公”经费财政拨款支出决算为</w:t>
      </w:r>
      <w:r>
        <w:rPr>
          <w:rFonts w:hint="eastAsia" w:ascii="仿宋" w:eastAsia="仿宋"/>
          <w:sz w:val="32"/>
          <w:szCs w:val="32"/>
          <w:lang w:val="en-US" w:eastAsia="zh-CN"/>
        </w:rPr>
        <w:t>0</w:t>
      </w:r>
      <w:r>
        <w:rPr>
          <w:rFonts w:hint="eastAsia" w:ascii="仿宋" w:eastAsia="仿宋"/>
          <w:sz w:val="32"/>
          <w:szCs w:val="32"/>
        </w:rPr>
        <w:t>万元，完成预算</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lang w:eastAsia="zh-CN"/>
        </w:rPr>
        <w:t>。</w:t>
      </w:r>
    </w:p>
    <w:p>
      <w:pPr>
        <w:pageBreakBefore w:val="0"/>
        <w:kinsoku/>
        <w:wordWrap/>
        <w:overflowPunct/>
        <w:topLinePunct w:val="0"/>
        <w:bidi w:val="0"/>
        <w:spacing w:line="576" w:lineRule="exact"/>
        <w:ind w:firstLine="640"/>
        <w:outlineLvl w:val="2"/>
        <w:rPr>
          <w:rFonts w:ascii="仿宋" w:eastAsia="仿宋"/>
          <w:b/>
          <w:sz w:val="32"/>
          <w:szCs w:val="32"/>
        </w:rPr>
      </w:pPr>
      <w:bookmarkStart w:id="42" w:name="_Toc15377217"/>
      <w:r>
        <w:rPr>
          <w:rFonts w:hint="eastAsia" w:ascii="仿宋" w:eastAsia="仿宋"/>
          <w:b/>
          <w:sz w:val="32"/>
          <w:szCs w:val="32"/>
        </w:rPr>
        <w:t>（二）“三公”经费财政拨款支出决算具体情况说明</w:t>
      </w:r>
      <w:bookmarkEnd w:id="42"/>
    </w:p>
    <w:p>
      <w:pPr>
        <w:pageBreakBefore w:val="0"/>
        <w:kinsoku/>
        <w:wordWrap/>
        <w:overflowPunct/>
        <w:topLinePunct w:val="0"/>
        <w:bidi w:val="0"/>
        <w:spacing w:line="576" w:lineRule="exact"/>
        <w:ind w:firstLine="640"/>
        <w:rPr>
          <w:rFonts w:hint="eastAsia" w:ascii="仿宋" w:eastAsia="仿宋"/>
          <w:sz w:val="32"/>
          <w:szCs w:val="32"/>
          <w:lang w:val="en-US" w:eastAsia="zh-CN"/>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2</w:t>
      </w:r>
      <w:r>
        <w:rPr>
          <w:rFonts w:hint="eastAsia" w:ascii="仿宋" w:eastAsia="仿宋"/>
          <w:sz w:val="32"/>
          <w:szCs w:val="32"/>
        </w:rPr>
        <w:t>年“三公”经费财政拨款支出决算中，因公出国（境）费支出决算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；公务用车购置及运行维护费支出决算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；公务接待费支出决算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p>
    <w:p>
      <w:pPr>
        <w:pageBreakBefore w:val="0"/>
        <w:kinsoku/>
        <w:wordWrap/>
        <w:overflowPunct/>
        <w:topLinePunct w:val="0"/>
        <w:bidi w:val="0"/>
        <w:spacing w:line="576"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4"/>
          <w:rFonts w:hint="eastAsia" w:ascii="仿宋" w:eastAsia="仿宋"/>
          <w:b w:val="0"/>
          <w:bCs/>
          <w:sz w:val="32"/>
          <w:szCs w:val="32"/>
        </w:rPr>
        <w:t>完成预算</w:t>
      </w:r>
      <w:r>
        <w:rPr>
          <w:rStyle w:val="14"/>
          <w:rFonts w:hint="eastAsia" w:ascii="仿宋" w:eastAsia="仿宋"/>
          <w:b w:val="0"/>
          <w:bCs/>
          <w:sz w:val="32"/>
          <w:szCs w:val="32"/>
          <w:lang w:val="en-US" w:eastAsia="zh-CN"/>
        </w:rPr>
        <w:t>0</w:t>
      </w:r>
      <w:r>
        <w:rPr>
          <w:rStyle w:val="14"/>
          <w:rFonts w:ascii="仿宋" w:eastAsia="仿宋"/>
          <w:b w:val="0"/>
          <w:bCs/>
          <w:sz w:val="32"/>
          <w:szCs w:val="32"/>
        </w:rPr>
        <w:t>%</w:t>
      </w:r>
      <w:r>
        <w:rPr>
          <w:rStyle w:val="14"/>
          <w:rFonts w:hint="eastAsia" w:ascii="仿宋" w:eastAsia="仿宋"/>
          <w:b w:val="0"/>
          <w:bCs/>
          <w:sz w:val="32"/>
          <w:szCs w:val="32"/>
        </w:rPr>
        <w:t>。</w:t>
      </w:r>
      <w:r>
        <w:rPr>
          <w:rFonts w:hint="eastAsia" w:ascii="仿宋_GB2312" w:eastAsia="仿宋_GB2312"/>
          <w:sz w:val="32"/>
          <w:szCs w:val="32"/>
        </w:rPr>
        <w:t>全年安排因公出国（境）团组</w:t>
      </w:r>
      <w:r>
        <w:rPr>
          <w:rFonts w:hint="eastAsia" w:ascii="仿宋_GB2312" w:eastAsia="仿宋_GB2312"/>
          <w:sz w:val="32"/>
          <w:szCs w:val="32"/>
          <w:lang w:val="en-US" w:eastAsia="zh-CN"/>
        </w:rPr>
        <w:t>0</w:t>
      </w:r>
      <w:r>
        <w:rPr>
          <w:rFonts w:hint="eastAsia" w:ascii="仿宋_GB2312" w:eastAsia="仿宋_GB2312"/>
          <w:sz w:val="32"/>
          <w:szCs w:val="32"/>
        </w:rPr>
        <w:t>次，出国（境）</w:t>
      </w:r>
      <w:r>
        <w:rPr>
          <w:rFonts w:hint="eastAsia" w:ascii="仿宋_GB2312" w:eastAsia="仿宋_GB2312"/>
          <w:sz w:val="32"/>
          <w:szCs w:val="32"/>
          <w:lang w:val="en-US" w:eastAsia="zh-CN"/>
        </w:rPr>
        <w:t>0</w:t>
      </w:r>
      <w:r>
        <w:rPr>
          <w:rFonts w:hint="eastAsia" w:ascii="仿宋_GB2312" w:eastAsia="仿宋_GB2312"/>
          <w:sz w:val="32"/>
          <w:szCs w:val="32"/>
        </w:rPr>
        <w:t>人。因公出国（境）支出决算比</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1</w:t>
      </w:r>
      <w:r>
        <w:rPr>
          <w:rFonts w:hint="eastAsia" w:ascii="仿宋_GB2312" w:eastAsia="仿宋_GB2312"/>
          <w:sz w:val="32"/>
          <w:szCs w:val="32"/>
        </w:rPr>
        <w:t>年增加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pageBreakBefore w:val="0"/>
        <w:kinsoku/>
        <w:wordWrap/>
        <w:overflowPunct/>
        <w:topLinePunct w:val="0"/>
        <w:bidi w:val="0"/>
        <w:spacing w:line="576"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4"/>
          <w:rFonts w:hint="eastAsia" w:ascii="仿宋" w:eastAsia="仿宋"/>
          <w:b w:val="0"/>
          <w:bCs/>
          <w:sz w:val="32"/>
          <w:szCs w:val="32"/>
        </w:rPr>
        <w:t>完成预算</w:t>
      </w:r>
      <w:r>
        <w:rPr>
          <w:rStyle w:val="14"/>
          <w:rFonts w:hint="eastAsia" w:ascii="仿宋" w:eastAsia="仿宋"/>
          <w:b w:val="0"/>
          <w:bCs/>
          <w:sz w:val="32"/>
          <w:szCs w:val="32"/>
          <w:lang w:val="en-US" w:eastAsia="zh-CN"/>
        </w:rPr>
        <w:t>0</w:t>
      </w:r>
      <w:r>
        <w:rPr>
          <w:rStyle w:val="14"/>
          <w:rFonts w:ascii="仿宋" w:eastAsia="仿宋"/>
          <w:b w:val="0"/>
          <w:bCs/>
          <w:sz w:val="32"/>
          <w:szCs w:val="32"/>
        </w:rPr>
        <w:t>%</w:t>
      </w:r>
      <w:r>
        <w:rPr>
          <w:rStyle w:val="14"/>
          <w:rFonts w:hint="eastAsia" w:asci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1</w:t>
      </w:r>
      <w:r>
        <w:rPr>
          <w:rFonts w:hint="eastAsia" w:ascii="仿宋_GB2312" w:eastAsia="仿宋_GB2312"/>
          <w:sz w:val="32"/>
          <w:szCs w:val="32"/>
        </w:rPr>
        <w:t>年增加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pageBreakBefore w:val="0"/>
        <w:kinsoku/>
        <w:wordWrap/>
        <w:overflowPunct/>
        <w:topLinePunct w:val="0"/>
        <w:bidi w:val="0"/>
        <w:spacing w:line="576"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lang w:val="en-US" w:eastAsia="zh-CN"/>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万元，主要用于…。截至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月底，单位共有公务用车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0</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w:t>
      </w:r>
    </w:p>
    <w:p>
      <w:pPr>
        <w:pageBreakBefore w:val="0"/>
        <w:kinsoku/>
        <w:wordWrap/>
        <w:overflowPunct/>
        <w:topLinePunct w:val="0"/>
        <w:bidi w:val="0"/>
        <w:spacing w:line="576" w:lineRule="exact"/>
        <w:ind w:firstLine="640"/>
        <w:rPr>
          <w:rFonts w:hint="eastAsia"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pageBreakBefore w:val="0"/>
        <w:kinsoku/>
        <w:wordWrap/>
        <w:overflowPunct/>
        <w:topLinePunct w:val="0"/>
        <w:bidi w:val="0"/>
        <w:spacing w:line="576"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4"/>
          <w:rFonts w:hint="eastAsia" w:ascii="仿宋" w:eastAsia="仿宋"/>
          <w:b w:val="0"/>
          <w:bCs/>
          <w:sz w:val="32"/>
          <w:szCs w:val="32"/>
        </w:rPr>
        <w:t>完成预算</w:t>
      </w:r>
      <w:r>
        <w:rPr>
          <w:rStyle w:val="14"/>
          <w:rFonts w:hint="eastAsia" w:ascii="仿宋" w:eastAsia="仿宋"/>
          <w:b w:val="0"/>
          <w:bCs/>
          <w:sz w:val="32"/>
          <w:szCs w:val="32"/>
          <w:lang w:val="en-US" w:eastAsia="zh-CN"/>
        </w:rPr>
        <w:t>0</w:t>
      </w:r>
      <w:r>
        <w:rPr>
          <w:rStyle w:val="14"/>
          <w:rFonts w:ascii="仿宋" w:eastAsia="仿宋"/>
          <w:b w:val="0"/>
          <w:bCs/>
          <w:sz w:val="32"/>
          <w:szCs w:val="32"/>
        </w:rPr>
        <w:t>%</w:t>
      </w:r>
      <w:r>
        <w:rPr>
          <w:rStyle w:val="14"/>
          <w:rFonts w:hint="eastAsia" w:asci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1</w:t>
      </w:r>
      <w:r>
        <w:rPr>
          <w:rFonts w:hint="eastAsia" w:ascii="仿宋_GB2312" w:eastAsia="仿宋_GB2312"/>
          <w:sz w:val="32"/>
          <w:szCs w:val="32"/>
        </w:rPr>
        <w:t>年增加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。其中：</w:t>
      </w:r>
    </w:p>
    <w:p>
      <w:pPr>
        <w:pageBreakBefore w:val="0"/>
        <w:kinsoku/>
        <w:wordWrap/>
        <w:overflowPunct/>
        <w:topLinePunct w:val="0"/>
        <w:bidi w:val="0"/>
        <w:spacing w:line="576" w:lineRule="exact"/>
        <w:ind w:firstLine="640"/>
        <w:rPr>
          <w:rFonts w:ascii="仿宋_GB2312" w:eastAsia="仿宋_GB2312"/>
          <w:sz w:val="32"/>
          <w:szCs w:val="32"/>
        </w:rPr>
      </w:pPr>
      <w:r>
        <w:rPr>
          <w:rFonts w:hint="eastAsia" w:ascii="仿宋" w:eastAsia="仿宋"/>
          <w:b/>
          <w:sz w:val="32"/>
          <w:szCs w:val="32"/>
        </w:rPr>
        <w:t>国内公务接待支出</w:t>
      </w:r>
      <w:r>
        <w:rPr>
          <w:rFonts w:hint="eastAsia" w:ascii="仿宋" w:eastAsia="仿宋"/>
          <w:sz w:val="32"/>
          <w:szCs w:val="32"/>
          <w:lang w:val="en-US" w:eastAsia="zh-CN"/>
        </w:rPr>
        <w:t>0</w:t>
      </w:r>
      <w:r>
        <w:rPr>
          <w:rFonts w:hint="eastAsia" w:ascii="仿宋_GB2312" w:eastAsia="仿宋_GB2312"/>
          <w:sz w:val="32"/>
          <w:szCs w:val="32"/>
        </w:rPr>
        <w:t>万元。</w:t>
      </w:r>
    </w:p>
    <w:p>
      <w:pPr>
        <w:pageBreakBefore w:val="0"/>
        <w:kinsoku/>
        <w:wordWrap/>
        <w:overflowPunct/>
        <w:topLinePunct w:val="0"/>
        <w:bidi w:val="0"/>
        <w:spacing w:line="576" w:lineRule="exact"/>
        <w:ind w:firstLine="643" w:firstLineChars="200"/>
        <w:rPr>
          <w:rFonts w:hint="eastAsia" w:ascii="仿宋_GB2312" w:eastAsia="仿宋_GB2312"/>
          <w:sz w:val="32"/>
          <w:szCs w:val="32"/>
          <w:lang w:eastAsia="zh-CN"/>
        </w:rPr>
      </w:pPr>
      <w:r>
        <w:rPr>
          <w:rFonts w:hint="eastAsia" w:ascii="仿宋" w:eastAsia="仿宋"/>
          <w:b/>
          <w:sz w:val="32"/>
          <w:szCs w:val="32"/>
        </w:rPr>
        <w:t>外事接待支出</w:t>
      </w:r>
      <w:r>
        <w:rPr>
          <w:rFonts w:hint="eastAsia" w:ascii="仿宋" w:eastAsia="仿宋"/>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p>
    <w:p>
      <w:pPr>
        <w:pageBreakBefore w:val="0"/>
        <w:kinsoku/>
        <w:wordWrap/>
        <w:overflowPunct/>
        <w:topLinePunct w:val="0"/>
        <w:bidi w:val="0"/>
        <w:spacing w:line="576" w:lineRule="exact"/>
        <w:ind w:firstLine="640"/>
        <w:outlineLvl w:val="1"/>
        <w:rPr>
          <w:rFonts w:ascii="黑体" w:eastAsia="黑体"/>
          <w:sz w:val="32"/>
          <w:szCs w:val="32"/>
        </w:rPr>
      </w:pPr>
      <w:bookmarkStart w:id="43" w:name="_Toc15396610"/>
      <w:bookmarkStart w:id="44" w:name="_Toc15377218"/>
    </w:p>
    <w:p>
      <w:pPr>
        <w:pageBreakBefore w:val="0"/>
        <w:kinsoku/>
        <w:wordWrap/>
        <w:overflowPunct/>
        <w:topLinePunct w:val="0"/>
        <w:bidi w:val="0"/>
        <w:spacing w:line="576" w:lineRule="exact"/>
        <w:ind w:firstLine="640"/>
        <w:outlineLvl w:val="1"/>
        <w:rPr>
          <w:rStyle w:val="17"/>
          <w:rFonts w:ascii="黑体" w:eastAsia="黑体"/>
        </w:rPr>
      </w:pPr>
      <w:r>
        <w:rPr>
          <w:rFonts w:hint="eastAsia" w:ascii="黑体" w:eastAsia="黑体"/>
          <w:sz w:val="32"/>
          <w:szCs w:val="32"/>
        </w:rPr>
        <w:t>八、</w:t>
      </w:r>
      <w:r>
        <w:rPr>
          <w:rStyle w:val="17"/>
          <w:rFonts w:hint="eastAsia" w:ascii="黑体" w:eastAsia="黑体"/>
          <w:b w:val="0"/>
        </w:rPr>
        <w:t>政府性基金预算支出决算情况说明</w:t>
      </w:r>
      <w:bookmarkEnd w:id="43"/>
      <w:bookmarkEnd w:id="44"/>
    </w:p>
    <w:p>
      <w:pPr>
        <w:pageBreakBefore w:val="0"/>
        <w:kinsoku/>
        <w:wordWrap/>
        <w:overflowPunct/>
        <w:topLinePunct w:val="0"/>
        <w:bidi w:val="0"/>
        <w:spacing w:line="576"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pageBreakBefore w:val="0"/>
        <w:kinsoku/>
        <w:wordWrap/>
        <w:overflowPunct/>
        <w:topLinePunct w:val="0"/>
        <w:bidi w:val="0"/>
        <w:spacing w:line="576" w:lineRule="exact"/>
        <w:ind w:firstLine="640"/>
        <w:rPr>
          <w:rFonts w:ascii="仿宋_GB2312" w:eastAsia="仿宋_GB2312"/>
          <w:sz w:val="32"/>
          <w:szCs w:val="32"/>
        </w:rPr>
      </w:pPr>
    </w:p>
    <w:p>
      <w:pPr>
        <w:pageBreakBefore w:val="0"/>
        <w:numPr>
          <w:ilvl w:val="0"/>
          <w:numId w:val="3"/>
        </w:numPr>
        <w:kinsoku/>
        <w:wordWrap/>
        <w:overflowPunct/>
        <w:topLinePunct w:val="0"/>
        <w:bidi w:val="0"/>
        <w:spacing w:line="576" w:lineRule="exact"/>
        <w:ind w:firstLine="640"/>
        <w:outlineLvl w:val="1"/>
        <w:rPr>
          <w:rStyle w:val="17"/>
          <w:rFonts w:ascii="黑体" w:eastAsia="黑体"/>
          <w:b w:val="0"/>
        </w:rPr>
      </w:pPr>
      <w:bookmarkStart w:id="45" w:name="_Toc15377219"/>
      <w:bookmarkStart w:id="46" w:name="_Toc15396611"/>
      <w:r>
        <w:rPr>
          <w:rStyle w:val="17"/>
          <w:rFonts w:hint="eastAsia" w:ascii="黑体" w:eastAsia="黑体"/>
          <w:b w:val="0"/>
        </w:rPr>
        <w:t>国有资本经营预算支出决算情况说明</w:t>
      </w:r>
      <w:bookmarkEnd w:id="45"/>
      <w:bookmarkEnd w:id="46"/>
    </w:p>
    <w:p>
      <w:pPr>
        <w:pageBreakBefore w:val="0"/>
        <w:kinsoku/>
        <w:wordWrap/>
        <w:overflowPunct/>
        <w:topLinePunct w:val="0"/>
        <w:bidi w:val="0"/>
        <w:spacing w:line="576"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pageBreakBefore w:val="0"/>
        <w:kinsoku/>
        <w:wordWrap/>
        <w:overflowPunct/>
        <w:topLinePunct w:val="0"/>
        <w:bidi w:val="0"/>
        <w:spacing w:line="576" w:lineRule="exact"/>
        <w:jc w:val="center"/>
        <w:rPr>
          <w:rFonts w:ascii="方正小标宋简体" w:eastAsia="方正小标宋简体" w:cs="方正小标宋简体"/>
          <w:sz w:val="44"/>
          <w:szCs w:val="44"/>
        </w:rPr>
      </w:pPr>
    </w:p>
    <w:p>
      <w:pPr>
        <w:pageBreakBefore w:val="0"/>
        <w:numPr>
          <w:ilvl w:val="0"/>
          <w:numId w:val="3"/>
        </w:numPr>
        <w:kinsoku/>
        <w:wordWrap/>
        <w:overflowPunct/>
        <w:topLinePunct w:val="0"/>
        <w:bidi w:val="0"/>
        <w:spacing w:line="576" w:lineRule="exact"/>
        <w:ind w:firstLine="640"/>
        <w:outlineLvl w:val="1"/>
        <w:rPr>
          <w:rStyle w:val="17"/>
          <w:rFonts w:ascii="黑体" w:eastAsia="黑体"/>
          <w:b w:val="0"/>
        </w:rPr>
      </w:pPr>
      <w:bookmarkStart w:id="47" w:name="_Toc15377221"/>
      <w:bookmarkStart w:id="48" w:name="_Toc15396612"/>
      <w:r>
        <w:rPr>
          <w:rStyle w:val="17"/>
          <w:rFonts w:hint="eastAsia" w:ascii="黑体" w:eastAsia="黑体"/>
          <w:b w:val="0"/>
        </w:rPr>
        <w:t>其他重要事项的情况说明</w:t>
      </w:r>
      <w:bookmarkEnd w:id="47"/>
      <w:bookmarkEnd w:id="48"/>
    </w:p>
    <w:p>
      <w:pPr>
        <w:pageBreakBefore w:val="0"/>
        <w:kinsoku/>
        <w:wordWrap/>
        <w:overflowPunct/>
        <w:topLinePunct w:val="0"/>
        <w:bidi w:val="0"/>
        <w:spacing w:line="576" w:lineRule="exact"/>
        <w:ind w:firstLine="643" w:firstLineChars="200"/>
        <w:outlineLvl w:val="2"/>
        <w:rPr>
          <w:rFonts w:ascii="仿宋" w:eastAsia="仿宋"/>
          <w:sz w:val="32"/>
          <w:szCs w:val="32"/>
        </w:rPr>
      </w:pPr>
      <w:bookmarkStart w:id="49" w:name="_Toc15377222"/>
      <w:r>
        <w:rPr>
          <w:rFonts w:hint="eastAsia" w:ascii="仿宋" w:eastAsia="仿宋"/>
          <w:b/>
          <w:sz w:val="32"/>
          <w:szCs w:val="32"/>
        </w:rPr>
        <w:t>（一）机关运行经费支出情况</w:t>
      </w:r>
      <w:bookmarkEnd w:id="49"/>
    </w:p>
    <w:p>
      <w:pPr>
        <w:pageBreakBefore w:val="0"/>
        <w:kinsoku/>
        <w:wordWrap/>
        <w:overflowPunct/>
        <w:topLinePunct w:val="0"/>
        <w:bidi w:val="0"/>
        <w:spacing w:line="576"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eastAsia="zh-CN"/>
        </w:rPr>
        <w:t>，</w:t>
      </w:r>
      <w:r>
        <w:rPr>
          <w:rFonts w:hint="default" w:ascii="仿宋_GB2312" w:eastAsia="仿宋_GB2312" w:cs="仿宋_GB2312"/>
          <w:kern w:val="0"/>
          <w:sz w:val="32"/>
          <w:szCs w:val="32"/>
          <w:shd w:val="clear" w:fill="FFFFFF"/>
        </w:rPr>
        <w:t>中共阿坝州红原县委县政府联动指挥中心机关运行经费支出0.00万元，比20</w:t>
      </w:r>
      <w:r>
        <w:rPr>
          <w:rFonts w:hint="eastAsia" w:ascii="仿宋_GB2312" w:eastAsia="仿宋_GB2312" w:cs="仿宋_GB2312"/>
          <w:kern w:val="0"/>
          <w:sz w:val="32"/>
          <w:szCs w:val="32"/>
          <w:shd w:val="clear" w:fill="FFFFFF"/>
          <w:lang w:val="en-US" w:eastAsia="zh-CN"/>
        </w:rPr>
        <w:t>21</w:t>
      </w:r>
      <w:r>
        <w:rPr>
          <w:rFonts w:hint="default" w:ascii="仿宋_GB2312" w:eastAsia="仿宋_GB2312" w:cs="仿宋_GB2312"/>
          <w:kern w:val="0"/>
          <w:sz w:val="32"/>
          <w:szCs w:val="32"/>
          <w:shd w:val="clear" w:fill="FFFFFF"/>
        </w:rPr>
        <w:t>年增加 0.00万元。</w:t>
      </w:r>
    </w:p>
    <w:p>
      <w:pPr>
        <w:pageBreakBefore w:val="0"/>
        <w:kinsoku/>
        <w:wordWrap/>
        <w:overflowPunct/>
        <w:topLinePunct w:val="0"/>
        <w:autoSpaceDE w:val="0"/>
        <w:autoSpaceDN w:val="0"/>
        <w:bidi w:val="0"/>
        <w:adjustRightInd w:val="0"/>
        <w:spacing w:line="576" w:lineRule="exact"/>
        <w:ind w:firstLine="643" w:firstLineChars="200"/>
        <w:jc w:val="left"/>
        <w:outlineLvl w:val="2"/>
        <w:rPr>
          <w:rFonts w:ascii="仿宋" w:eastAsia="仿宋"/>
          <w:b/>
          <w:sz w:val="32"/>
          <w:szCs w:val="32"/>
        </w:rPr>
      </w:pPr>
      <w:bookmarkStart w:id="50" w:name="_Toc15377223"/>
      <w:r>
        <w:rPr>
          <w:rFonts w:hint="eastAsia" w:ascii="仿宋" w:eastAsia="仿宋"/>
          <w:b/>
          <w:sz w:val="32"/>
          <w:szCs w:val="32"/>
        </w:rPr>
        <w:t>（二）政府采购支出情况</w:t>
      </w:r>
      <w:bookmarkEnd w:id="50"/>
    </w:p>
    <w:p>
      <w:pPr>
        <w:pStyle w:val="25"/>
        <w:keepNext w:val="0"/>
        <w:keepLines w:val="0"/>
        <w:widowControl w:val="0"/>
        <w:suppressLineNumbers w:val="0"/>
        <w:autoSpaceDE w:val="0"/>
        <w:autoSpaceDN/>
        <w:spacing w:before="0" w:beforeAutospacing="0" w:line="576" w:lineRule="exact"/>
        <w:ind w:left="0" w:firstLine="640" w:firstLineChars="200"/>
        <w:jc w:val="left"/>
        <w:rPr>
          <w:rFonts w:ascii="仿宋" w:eastAsia="仿宋"/>
          <w:b/>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default" w:ascii="仿宋_GB2312" w:eastAsia="仿宋_GB2312" w:cs="仿宋_GB2312"/>
          <w:kern w:val="0"/>
          <w:sz w:val="32"/>
          <w:szCs w:val="32"/>
          <w:shd w:val="clear" w:fill="FFFFFF"/>
        </w:rPr>
        <w:t>，中共阿坝州红原县委县政府联动指挥中心政府采购支出总额0.00万元，其中：政府采购货物支出 0.00万元、政府采购工程支出0.00万元、政府采购服务支出0.00万元。授予中小企 业合同金额0.00万元，占政府采购支出总额的0.00%，其中：授予小微企业合同金额0.00万元，占政府采购支出总额的0.00%。</w:t>
      </w:r>
    </w:p>
    <w:p>
      <w:pPr>
        <w:pageBreakBefore w:val="0"/>
        <w:kinsoku/>
        <w:wordWrap/>
        <w:overflowPunct/>
        <w:topLinePunct w:val="0"/>
        <w:autoSpaceDE w:val="0"/>
        <w:autoSpaceDN w:val="0"/>
        <w:bidi w:val="0"/>
        <w:adjustRightInd w:val="0"/>
        <w:spacing w:line="576" w:lineRule="exact"/>
        <w:ind w:firstLine="643" w:firstLineChars="200"/>
        <w:jc w:val="left"/>
        <w:outlineLvl w:val="2"/>
        <w:rPr>
          <w:rFonts w:ascii="仿宋" w:eastAsia="仿宋"/>
          <w:b/>
          <w:sz w:val="32"/>
          <w:szCs w:val="32"/>
        </w:rPr>
      </w:pPr>
      <w:bookmarkStart w:id="51" w:name="_Toc15377224"/>
      <w:r>
        <w:rPr>
          <w:rFonts w:hint="eastAsia" w:ascii="仿宋" w:eastAsia="仿宋"/>
          <w:b/>
          <w:sz w:val="32"/>
          <w:szCs w:val="32"/>
        </w:rPr>
        <w:t>（三）国有资产占有使用情况</w:t>
      </w:r>
      <w:bookmarkEnd w:id="51"/>
    </w:p>
    <w:p>
      <w:pPr>
        <w:pStyle w:val="25"/>
        <w:keepNext w:val="0"/>
        <w:keepLines w:val="0"/>
        <w:widowControl w:val="0"/>
        <w:suppressLineNumbers w:val="0"/>
        <w:autoSpaceDE w:val="0"/>
        <w:autoSpaceDN/>
        <w:spacing w:before="0" w:beforeAutospacing="0" w:line="576" w:lineRule="exact"/>
        <w:ind w:left="0" w:firstLine="640" w:firstLineChars="200"/>
        <w:jc w:val="left"/>
        <w:rPr>
          <w:rFonts w:hint="default" w:ascii="仿宋_GB2312" w:eastAsia="仿宋_GB2312" w:cs="仿宋_GB2312"/>
          <w:kern w:val="0"/>
          <w:sz w:val="32"/>
          <w:szCs w:val="32"/>
          <w:shd w:val="clear" w:fill="FFFFFF"/>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default" w:ascii="仿宋_GB2312" w:eastAsia="仿宋_GB2312" w:cs="仿宋_GB2312"/>
          <w:kern w:val="0"/>
          <w:sz w:val="32"/>
          <w:szCs w:val="32"/>
          <w:shd w:val="clear" w:fill="FFFFFF"/>
        </w:rPr>
        <w:t>中共阿坝州红原县委县政府联动指挥中心共有车辆0辆，其中：主要领导干部用车0 辆、机要通信用车0辆、应急保障用车0辆、执法执勤用车0 辆、特种专业技术用车0辆、离退休干部用车0辆、其他用车 0辆。单价50万元以上通用设备0台（套），单价100万元以上专用设备0台（套）。</w:t>
      </w:r>
    </w:p>
    <w:p>
      <w:pPr>
        <w:pageBreakBefore w:val="0"/>
        <w:kinsoku/>
        <w:wordWrap/>
        <w:overflowPunct/>
        <w:topLinePunct w:val="0"/>
        <w:autoSpaceDE w:val="0"/>
        <w:autoSpaceDN w:val="0"/>
        <w:bidi w:val="0"/>
        <w:adjustRightInd w:val="0"/>
        <w:spacing w:line="576" w:lineRule="exact"/>
        <w:ind w:firstLine="643" w:firstLineChars="200"/>
        <w:jc w:val="left"/>
        <w:outlineLvl w:val="2"/>
        <w:rPr>
          <w:rFonts w:ascii="仿宋" w:eastAsia="仿宋"/>
          <w:b/>
          <w:sz w:val="32"/>
          <w:szCs w:val="32"/>
        </w:rPr>
      </w:pPr>
      <w:r>
        <w:rPr>
          <w:rFonts w:hint="eastAsia" w:ascii="仿宋" w:eastAsia="仿宋"/>
          <w:b/>
          <w:sz w:val="32"/>
          <w:szCs w:val="32"/>
        </w:rPr>
        <w:t>（四）预算绩效管理情况</w:t>
      </w:r>
    </w:p>
    <w:p>
      <w:pPr>
        <w:keepNext w:val="0"/>
        <w:keepLines w:val="0"/>
        <w:widowControl w:val="0"/>
        <w:suppressLineNumbers w:val="0"/>
        <w:autoSpaceDE w:val="0"/>
        <w:autoSpaceDN/>
        <w:spacing w:before="0" w:beforeAutospacing="0" w:line="576" w:lineRule="exact"/>
        <w:ind w:left="0" w:firstLine="640" w:firstLineChars="200"/>
        <w:rPr>
          <w:rFonts w:hint="default" w:ascii="仿宋_GB2312" w:eastAsia="仿宋_GB2312" w:cs="仿宋_GB2312"/>
          <w:kern w:val="0"/>
          <w:sz w:val="32"/>
          <w:szCs w:val="32"/>
        </w:rPr>
      </w:pPr>
      <w:r>
        <w:rPr>
          <w:rFonts w:hint="default" w:ascii="仿宋_GB2312" w:eastAsia="仿宋_GB2312" w:cs="仿宋_GB2312"/>
          <w:kern w:val="0"/>
          <w:sz w:val="32"/>
          <w:szCs w:val="32"/>
          <w:shd w:val="clear" w:fill="FFFFFF"/>
        </w:rPr>
        <w:t xml:space="preserve"> </w:t>
      </w:r>
      <w:r>
        <w:rPr>
          <w:rFonts w:hint="default" w:ascii="仿宋_GB2312" w:eastAsia="仿宋_GB2312" w:cs="仿宋_GB2312"/>
          <w:kern w:val="0"/>
          <w:sz w:val="32"/>
          <w:szCs w:val="32"/>
        </w:rPr>
        <w:t>根据预算绩效管理要求，本部门（单位）在年初预算编制阶段，组织对项目（项目名称）开展了预算事前绩效评估，对0个项目编制了绩效目标，预算执行过程中，选取0个项目开展绩效监控，年终执行完毕后，对0个项目开展了绩效目标完成情况自评。</w:t>
      </w:r>
    </w:p>
    <w:p>
      <w:pPr>
        <w:keepNext w:val="0"/>
        <w:keepLines w:val="0"/>
        <w:widowControl w:val="0"/>
        <w:suppressLineNumbers w:val="0"/>
        <w:autoSpaceDE w:val="0"/>
        <w:autoSpaceDN/>
        <w:spacing w:before="0" w:beforeAutospacing="0" w:line="576" w:lineRule="exact"/>
        <w:ind w:left="0" w:firstLine="640" w:firstLineChars="200"/>
        <w:rPr>
          <w:rFonts w:hint="default" w:ascii="仿宋_GB2312" w:eastAsia="仿宋_GB2312" w:cs="仿宋_GB2312"/>
          <w:kern w:val="0"/>
          <w:sz w:val="32"/>
          <w:szCs w:val="32"/>
        </w:rPr>
      </w:pPr>
      <w:r>
        <w:rPr>
          <w:rFonts w:hint="default" w:ascii="仿宋_GB2312" w:eastAsia="仿宋_GB2312" w:cs="仿宋_GB2312"/>
          <w:kern w:val="0"/>
          <w:sz w:val="32"/>
          <w:szCs w:val="32"/>
        </w:rPr>
        <w:t>本部门按要求对20</w:t>
      </w:r>
      <w:r>
        <w:rPr>
          <w:rFonts w:hint="eastAsia" w:ascii="仿宋_GB2312" w:eastAsia="仿宋_GB2312" w:cs="仿宋_GB2312"/>
          <w:kern w:val="0"/>
          <w:sz w:val="32"/>
          <w:szCs w:val="32"/>
          <w:lang w:val="en-US" w:eastAsia="zh-CN"/>
        </w:rPr>
        <w:t>22</w:t>
      </w:r>
      <w:r>
        <w:rPr>
          <w:rFonts w:hint="default" w:ascii="仿宋_GB2312" w:eastAsia="仿宋_GB2312" w:cs="仿宋_GB2312"/>
          <w:kern w:val="0"/>
          <w:sz w:val="32"/>
          <w:szCs w:val="32"/>
        </w:rPr>
        <w:t>年部门整体支出开展绩效自评，从评价情况来看。本部门还自行组织了0个项目支出绩效评价，从评价情况来看。</w:t>
      </w:r>
    </w:p>
    <w:p>
      <w:pPr>
        <w:pStyle w:val="2"/>
        <w:pageBreakBefore w:val="0"/>
        <w:kinsoku/>
        <w:wordWrap/>
        <w:overflowPunct/>
        <w:topLinePunct w:val="0"/>
        <w:bidi w:val="0"/>
        <w:spacing w:before="93" w:line="576" w:lineRule="exact"/>
        <w:rPr>
          <w:highlight w:val="yellow"/>
        </w:rPr>
      </w:pPr>
    </w:p>
    <w:p>
      <w:pPr>
        <w:pageBreakBefore w:val="0"/>
        <w:widowControl/>
        <w:kinsoku/>
        <w:wordWrap/>
        <w:overflowPunct/>
        <w:topLinePunct w:val="0"/>
        <w:bidi w:val="0"/>
        <w:spacing w:line="576" w:lineRule="exact"/>
        <w:jc w:val="left"/>
        <w:rPr>
          <w:rFonts w:ascii="仿宋_GB2312" w:eastAsia="仿宋_GB2312"/>
          <w:b/>
          <w:sz w:val="32"/>
          <w:szCs w:val="32"/>
        </w:rPr>
      </w:pPr>
      <w:r>
        <w:rPr>
          <w:rFonts w:ascii="仿宋_GB2312" w:eastAsia="仿宋_GB2312"/>
          <w:b/>
          <w:sz w:val="32"/>
          <w:szCs w:val="32"/>
        </w:rPr>
        <w:br w:type="page"/>
      </w:r>
    </w:p>
    <w:p>
      <w:pPr>
        <w:pageBreakBefore w:val="0"/>
        <w:numPr>
          <w:ilvl w:val="0"/>
          <w:numId w:val="4"/>
        </w:numPr>
        <w:kinsoku/>
        <w:wordWrap/>
        <w:overflowPunct/>
        <w:topLinePunct w:val="0"/>
        <w:bidi w:val="0"/>
        <w:spacing w:line="576" w:lineRule="exact"/>
        <w:ind w:firstLine="660" w:firstLineChars="150"/>
        <w:jc w:val="center"/>
        <w:outlineLvl w:val="0"/>
        <w:rPr>
          <w:rStyle w:val="16"/>
          <w:rFonts w:ascii="黑体" w:eastAsia="黑体"/>
          <w:b w:val="0"/>
        </w:rPr>
      </w:pPr>
      <w:bookmarkStart w:id="52" w:name="_Toc15396613"/>
      <w:bookmarkStart w:id="53" w:name="_Toc15377225"/>
      <w:r>
        <w:rPr>
          <w:rFonts w:hint="eastAsia" w:ascii="黑体" w:eastAsia="黑体"/>
          <w:sz w:val="44"/>
          <w:szCs w:val="44"/>
        </w:rPr>
        <w:t>名</w:t>
      </w:r>
      <w:r>
        <w:rPr>
          <w:rStyle w:val="16"/>
          <w:rFonts w:hint="eastAsia" w:ascii="黑体" w:eastAsia="黑体"/>
          <w:b w:val="0"/>
        </w:rPr>
        <w:t>词解释</w:t>
      </w:r>
      <w:bookmarkEnd w:id="52"/>
      <w:bookmarkEnd w:id="53"/>
    </w:p>
    <w:p>
      <w:pPr>
        <w:pageBreakBefore w:val="0"/>
        <w:kinsoku/>
        <w:wordWrap/>
        <w:overflowPunct/>
        <w:topLinePunct w:val="0"/>
        <w:bidi w:val="0"/>
        <w:spacing w:line="576" w:lineRule="exact"/>
        <w:jc w:val="left"/>
        <w:rPr>
          <w:rFonts w:ascii="宋体"/>
          <w:b/>
          <w:sz w:val="44"/>
          <w:szCs w:val="44"/>
        </w:rPr>
      </w:pPr>
    </w:p>
    <w:p>
      <w:pPr>
        <w:pStyle w:val="21"/>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1"/>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事业收入：指事业单位开展专业业务活动及辅助活动取得的收入。如…（二级预算单位事业收入情况）等。</w:t>
      </w:r>
    </w:p>
    <w:p>
      <w:pPr>
        <w:pStyle w:val="21"/>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经营收入：指事业单位在专业业务活动及其辅助活动之外开展非独立核算经营活动取得的收入。如…（二级预算单位经营收入情况）等。</w:t>
      </w:r>
    </w:p>
    <w:p>
      <w:pPr>
        <w:pStyle w:val="21"/>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其他收入：指单位取得的除上述收入以外的各项收入。主要是…（收入类型）等。</w:t>
      </w:r>
      <w:r>
        <w:rPr>
          <w:rFonts w:ascii="仿宋_GB2312" w:eastAsia="仿宋_GB2312"/>
          <w:color w:val="auto"/>
          <w:sz w:val="32"/>
          <w:szCs w:val="32"/>
        </w:rPr>
        <w:t xml:space="preserve"> </w:t>
      </w:r>
    </w:p>
    <w:p>
      <w:pPr>
        <w:pStyle w:val="21"/>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使用非财政拨款结余：指事业单位使用以前年度积累的非财政拨款结余弥补当年收支差额的金额。</w:t>
      </w:r>
      <w:r>
        <w:rPr>
          <w:rFonts w:ascii="仿宋_GB2312" w:eastAsia="仿宋_GB2312"/>
          <w:color w:val="auto"/>
          <w:sz w:val="32"/>
          <w:szCs w:val="32"/>
        </w:rPr>
        <w:t xml:space="preserve"> </w:t>
      </w:r>
    </w:p>
    <w:p>
      <w:pPr>
        <w:pStyle w:val="21"/>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1"/>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1"/>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9.一般公共服务201类20103款2010350项事业支出指事业人员工资支出。</w:t>
      </w:r>
    </w:p>
    <w:p>
      <w:pPr>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10.公共安全204类20499款2049901项其他公共安全支出指项目支出，维稳机动金支出。</w:t>
      </w:r>
    </w:p>
    <w:p>
      <w:pPr>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11.社会保障和就业208类20805款2080505项指机关事业单位基本养老保险缴费支出。2020506指机关事业单位职业年金缴费支出。</w:t>
      </w:r>
    </w:p>
    <w:p>
      <w:pPr>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12.卫生健康支出210类21011款2101102项指事业单位医疗支出，2101199指其他行政事业单位医疗支出。</w:t>
      </w:r>
    </w:p>
    <w:p>
      <w:pPr>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13.住房保障221类22102款2210201项指住房公积金支出。</w:t>
      </w:r>
    </w:p>
    <w:p>
      <w:pPr>
        <w:pageBreakBefore w:val="0"/>
        <w:kinsoku/>
        <w:wordWrap/>
        <w:overflowPunct/>
        <w:topLinePunct w:val="0"/>
        <w:bidi w:val="0"/>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14</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pPr>
        <w:pageBreakBefore w:val="0"/>
        <w:kinsoku/>
        <w:wordWrap/>
        <w:overflowPunct/>
        <w:topLinePunct w:val="0"/>
        <w:bidi w:val="0"/>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pPr>
        <w:pageBreakBefore w:val="0"/>
        <w:kinsoku/>
        <w:wordWrap/>
        <w:overflowPunct/>
        <w:topLinePunct w:val="0"/>
        <w:bidi w:val="0"/>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pPr>
        <w:pStyle w:val="21"/>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17</w:t>
      </w:r>
      <w:r>
        <w:rPr>
          <w:rFonts w:ascii="仿宋_GB2312" w:eastAsia="仿宋_GB2312"/>
          <w:color w:val="auto"/>
          <w:sz w:val="32"/>
          <w:szCs w:val="32"/>
        </w:rPr>
        <w:t>.</w:t>
      </w: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pageBreakBefore w:val="0"/>
        <w:kinsoku/>
        <w:wordWrap/>
        <w:overflowPunct/>
        <w:topLinePunct w:val="0"/>
        <w:bidi w:val="0"/>
        <w:spacing w:line="576" w:lineRule="exact"/>
        <w:ind w:firstLine="640" w:firstLineChars="200"/>
        <w:rPr>
          <w:rFonts w:ascii="仿宋_GB2312" w:eastAsia="仿宋_GB2312" w:cs="黑体"/>
          <w:color w:val="auto"/>
          <w:sz w:val="32"/>
          <w:szCs w:val="32"/>
        </w:rPr>
      </w:pPr>
      <w:r>
        <w:rPr>
          <w:rFonts w:hint="eastAsia" w:ascii="仿宋_GB2312" w:eastAsia="仿宋_GB2312"/>
          <w:color w:val="auto"/>
          <w:sz w:val="32"/>
          <w:szCs w:val="32"/>
          <w:lang w:val="en-US" w:eastAsia="zh-CN"/>
        </w:rPr>
        <w:t>18</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kinsoku/>
        <w:wordWrap/>
        <w:overflowPunct/>
        <w:topLinePunct w:val="0"/>
        <w:bidi w:val="0"/>
        <w:spacing w:line="576" w:lineRule="exact"/>
        <w:jc w:val="center"/>
        <w:outlineLvl w:val="0"/>
        <w:rPr>
          <w:rStyle w:val="16"/>
          <w:rFonts w:ascii="黑体" w:eastAsia="黑体"/>
          <w:b w:val="0"/>
        </w:rPr>
      </w:pPr>
      <w:bookmarkStart w:id="54" w:name="_Toc15377226"/>
      <w:r>
        <w:rPr>
          <w:rFonts w:ascii="宋体"/>
          <w:b/>
          <w:sz w:val="44"/>
          <w:szCs w:val="44"/>
        </w:rPr>
        <w:br w:type="page"/>
      </w:r>
      <w:bookmarkStart w:id="55" w:name="_Toc15396614"/>
      <w:r>
        <w:rPr>
          <w:rFonts w:hint="eastAsia" w:ascii="黑体" w:eastAsia="黑体"/>
          <w:sz w:val="44"/>
          <w:szCs w:val="44"/>
        </w:rPr>
        <w:t>第</w:t>
      </w:r>
      <w:r>
        <w:rPr>
          <w:rStyle w:val="16"/>
          <w:rFonts w:hint="eastAsia" w:ascii="黑体" w:eastAsia="黑体"/>
          <w:b w:val="0"/>
        </w:rPr>
        <w:t>四部分 附件</w:t>
      </w:r>
      <w:bookmarkEnd w:id="55"/>
    </w:p>
    <w:p>
      <w:pPr>
        <w:pageBreakBefore w:val="0"/>
        <w:kinsoku/>
        <w:wordWrap/>
        <w:overflowPunct/>
        <w:topLinePunct w:val="0"/>
        <w:bidi w:val="0"/>
        <w:spacing w:line="576" w:lineRule="exact"/>
        <w:jc w:val="left"/>
        <w:outlineLvl w:val="0"/>
        <w:rPr>
          <w:rFonts w:ascii="仿宋_GB2312" w:eastAsia="仿宋_GB2312" w:cs="仿宋_GB2312"/>
          <w:sz w:val="32"/>
          <w:szCs w:val="32"/>
        </w:rPr>
      </w:pPr>
      <w:r>
        <w:rPr>
          <w:rFonts w:hint="eastAsia" w:ascii="黑体" w:eastAsia="黑体" w:cs="黑体"/>
          <w:sz w:val="32"/>
          <w:szCs w:val="32"/>
        </w:rPr>
        <w:t>附件</w:t>
      </w:r>
    </w:p>
    <w:tbl>
      <w:tblPr>
        <w:tblStyle w:val="12"/>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1142"/>
        <w:gridCol w:w="1635"/>
        <w:gridCol w:w="1189"/>
        <w:gridCol w:w="1224"/>
        <w:gridCol w:w="2409"/>
        <w:gridCol w:w="236"/>
      </w:tblGrid>
      <w:tr>
        <w:tblPrEx>
          <w:tblCellMar>
            <w:top w:w="0" w:type="dxa"/>
            <w:left w:w="108" w:type="dxa"/>
            <w:bottom w:w="0" w:type="dxa"/>
            <w:right w:w="108" w:type="dxa"/>
          </w:tblCellMar>
        </w:tblPrEx>
        <w:trPr>
          <w:trHeight w:val="675" w:hRule="atLeast"/>
        </w:trPr>
        <w:tc>
          <w:tcPr>
            <w:tcW w:w="9577" w:type="dxa"/>
            <w:gridSpan w:val="6"/>
            <w:tcBorders>
              <w:top w:val="nil"/>
              <w:left w:val="nil"/>
              <w:bottom w:val="nil"/>
              <w:right w:val="nil"/>
            </w:tcBorders>
            <w:shd w:val="clear" w:color="auto" w:fill="auto"/>
            <w:noWrap/>
            <w:vAlign w:val="center"/>
          </w:tcPr>
          <w:p>
            <w:pPr>
              <w:pageBreakBefore w:val="0"/>
              <w:widowControl/>
              <w:kinsoku/>
              <w:wordWrap/>
              <w:overflowPunct/>
              <w:topLinePunct w:val="0"/>
              <w:bidi w:val="0"/>
              <w:spacing w:line="576" w:lineRule="exact"/>
              <w:textAlignment w:val="center"/>
              <w:rPr>
                <w:rFonts w:ascii="宋体" w:cs="宋体"/>
                <w:b/>
                <w:sz w:val="32"/>
                <w:szCs w:val="32"/>
              </w:rPr>
            </w:pPr>
            <w:bookmarkStart w:id="56" w:name="_Toc15396618"/>
            <w:r>
              <w:rPr>
                <w:rFonts w:hint="eastAsia" w:ascii="宋体" w:cs="宋体"/>
                <w:b/>
                <w:sz w:val="32"/>
                <w:szCs w:val="32"/>
              </w:rPr>
              <w:t>2021年100万元以上（含）特定目标类部门预算项目绩效目标自评</w:t>
            </w:r>
          </w:p>
        </w:tc>
        <w:tc>
          <w:tcPr>
            <w:tcW w:w="234" w:type="dxa"/>
            <w:tcBorders>
              <w:top w:val="nil"/>
              <w:left w:val="nil"/>
              <w:bottom w:val="nil"/>
              <w:right w:val="nil"/>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4" w:type="dxa"/>
          <w:trHeight w:val="254" w:hRule="atLeast"/>
        </w:trPr>
        <w:tc>
          <w:tcPr>
            <w:tcW w:w="3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宋体" w:cs="宋体"/>
                <w:sz w:val="24"/>
              </w:rPr>
            </w:pPr>
            <w:r>
              <w:rPr>
                <w:rFonts w:hint="eastAsia" w:ascii="宋体" w:cs="宋体"/>
                <w:kern w:val="0"/>
                <w:sz w:val="24"/>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宋体" w:cs="宋体"/>
                <w:sz w:val="24"/>
              </w:rPr>
            </w:pPr>
            <w:r>
              <w:rPr>
                <w:rFonts w:hint="eastAsia" w:ascii="宋体" w:cs="宋体"/>
                <w:kern w:val="0"/>
                <w:sz w:val="24"/>
              </w:rPr>
              <w:t>实施单位</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341" w:hRule="atLeast"/>
        </w:trPr>
        <w:tc>
          <w:tcPr>
            <w:tcW w:w="3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hint="eastAsia" w:ascii="宋体" w:eastAsia="宋体" w:cs="宋体"/>
                <w:kern w:val="0"/>
                <w:sz w:val="24"/>
                <w:lang w:eastAsia="zh-CN"/>
              </w:rPr>
            </w:pPr>
            <w:r>
              <w:rPr>
                <w:rFonts w:hint="eastAsia" w:ascii="宋体" w:cs="宋体"/>
                <w:kern w:val="0"/>
                <w:sz w:val="24"/>
              </w:rPr>
              <w:t>项目预算</w:t>
            </w:r>
          </w:p>
          <w:p>
            <w:pPr>
              <w:pageBreakBefore w:val="0"/>
              <w:widowControl/>
              <w:kinsoku/>
              <w:wordWrap/>
              <w:overflowPunct/>
              <w:topLinePunct w:val="0"/>
              <w:bidi w:val="0"/>
              <w:spacing w:line="576" w:lineRule="exact"/>
              <w:jc w:val="center"/>
              <w:textAlignment w:val="center"/>
              <w:rPr>
                <w:rFonts w:hint="eastAsia" w:ascii="宋体" w:eastAsia="宋体" w:cs="宋体"/>
                <w:kern w:val="0"/>
                <w:sz w:val="24"/>
                <w:lang w:eastAsia="zh-CN"/>
              </w:rPr>
            </w:pPr>
            <w:r>
              <w:rPr>
                <w:rFonts w:hint="eastAsia" w:ascii="宋体" w:cs="宋体"/>
                <w:kern w:val="0"/>
                <w:sz w:val="24"/>
              </w:rPr>
              <w:t>执行情况</w:t>
            </w:r>
          </w:p>
          <w:p>
            <w:pPr>
              <w:pageBreakBefore w:val="0"/>
              <w:widowControl/>
              <w:kinsoku/>
              <w:wordWrap/>
              <w:overflowPunct/>
              <w:topLinePunct w:val="0"/>
              <w:bidi w:val="0"/>
              <w:spacing w:line="576" w:lineRule="exact"/>
              <w:jc w:val="center"/>
              <w:textAlignment w:val="center"/>
              <w:rPr>
                <w:rFonts w:ascii="宋体" w:cs="宋体"/>
                <w:sz w:val="24"/>
              </w:rPr>
            </w:pPr>
            <w:r>
              <w:rPr>
                <w:rFonts w:hint="eastAsia" w:ascii="宋体" w:cs="宋体"/>
                <w:kern w:val="0"/>
                <w:sz w:val="24"/>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宋体" w:cs="宋体"/>
                <w:sz w:val="24"/>
              </w:rPr>
            </w:pPr>
            <w:r>
              <w:rPr>
                <w:rFonts w:hint="eastAsia" w:ascii="宋体" w:cs="宋体"/>
                <w:kern w:val="0"/>
                <w:sz w:val="24"/>
              </w:rPr>
              <w:t xml:space="preserve"> 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宋体" w:cs="宋体"/>
                <w:sz w:val="24"/>
              </w:rPr>
            </w:pPr>
            <w:r>
              <w:rPr>
                <w:rFonts w:hint="eastAsia" w:ascii="宋体" w:cs="宋体"/>
                <w:kern w:val="0"/>
                <w:sz w:val="24"/>
              </w:rPr>
              <w:t xml:space="preserve"> 执行数：</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right"/>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555"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宋体" w:cs="宋体"/>
                <w:kern w:val="0"/>
                <w:sz w:val="24"/>
              </w:rPr>
            </w:pPr>
            <w:r>
              <w:rPr>
                <w:rFonts w:hint="eastAsia" w:ascii="宋体" w:cs="宋体"/>
                <w:kern w:val="0"/>
                <w:sz w:val="24"/>
              </w:rPr>
              <w:t>其中：</w:t>
            </w:r>
          </w:p>
          <w:p>
            <w:pPr>
              <w:pageBreakBefore w:val="0"/>
              <w:widowControl/>
              <w:kinsoku/>
              <w:wordWrap/>
              <w:overflowPunct/>
              <w:topLinePunct w:val="0"/>
              <w:bidi w:val="0"/>
              <w:spacing w:line="576" w:lineRule="exact"/>
              <w:jc w:val="left"/>
              <w:textAlignment w:val="center"/>
              <w:rPr>
                <w:rFonts w:ascii="宋体" w:cs="宋体"/>
                <w:sz w:val="24"/>
              </w:rPr>
            </w:pPr>
            <w:r>
              <w:rPr>
                <w:rFonts w:hint="eastAsia" w:ascii="宋体" w:cs="宋体"/>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宋体" w:cs="宋体"/>
                <w:kern w:val="0"/>
                <w:sz w:val="24"/>
              </w:rPr>
            </w:pPr>
            <w:r>
              <w:rPr>
                <w:rFonts w:hint="eastAsia" w:ascii="宋体" w:cs="宋体"/>
                <w:kern w:val="0"/>
                <w:sz w:val="24"/>
              </w:rPr>
              <w:t>其中：</w:t>
            </w:r>
          </w:p>
          <w:p>
            <w:pPr>
              <w:pageBreakBefore w:val="0"/>
              <w:widowControl/>
              <w:kinsoku/>
              <w:wordWrap/>
              <w:overflowPunct/>
              <w:topLinePunct w:val="0"/>
              <w:bidi w:val="0"/>
              <w:spacing w:line="576" w:lineRule="exact"/>
              <w:jc w:val="left"/>
              <w:textAlignment w:val="center"/>
              <w:rPr>
                <w:rFonts w:ascii="宋体" w:cs="宋体"/>
                <w:sz w:val="24"/>
              </w:rPr>
            </w:pPr>
            <w:r>
              <w:rPr>
                <w:rFonts w:hint="eastAsia" w:ascii="宋体" w:cs="宋体"/>
                <w:kern w:val="0"/>
                <w:sz w:val="24"/>
              </w:rPr>
              <w:t>财政拨款</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341"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宋体" w:cs="宋体"/>
                <w:sz w:val="24"/>
              </w:rPr>
            </w:pPr>
            <w:r>
              <w:rPr>
                <w:rFonts w:hint="eastAsia" w:ascii="宋体" w:cs="宋体"/>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宋体" w:cs="宋体"/>
                <w:sz w:val="24"/>
              </w:rPr>
            </w:pPr>
            <w:r>
              <w:rPr>
                <w:rFonts w:hint="eastAsia" w:ascii="宋体" w:cs="宋体"/>
                <w:kern w:val="0"/>
                <w:sz w:val="24"/>
              </w:rPr>
              <w:t>其他资金</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217" w:hRule="atLeast"/>
        </w:trPr>
        <w:tc>
          <w:tcPr>
            <w:tcW w:w="19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宋体" w:cs="宋体"/>
                <w:kern w:val="0"/>
                <w:sz w:val="24"/>
              </w:rPr>
            </w:pPr>
            <w:r>
              <w:rPr>
                <w:rFonts w:hint="eastAsia" w:ascii="宋体" w:cs="宋体"/>
                <w:kern w:val="0"/>
                <w:sz w:val="24"/>
              </w:rPr>
              <w:t>年度总体目标</w:t>
            </w:r>
          </w:p>
          <w:p>
            <w:pPr>
              <w:pageBreakBefore w:val="0"/>
              <w:widowControl/>
              <w:kinsoku/>
              <w:wordWrap/>
              <w:overflowPunct/>
              <w:topLinePunct w:val="0"/>
              <w:bidi w:val="0"/>
              <w:spacing w:line="576" w:lineRule="exact"/>
              <w:jc w:val="center"/>
              <w:textAlignment w:val="center"/>
              <w:rPr>
                <w:rFonts w:ascii="宋体" w:cs="宋体"/>
                <w:sz w:val="24"/>
              </w:rPr>
            </w:pPr>
            <w:r>
              <w:rPr>
                <w:rFonts w:hint="eastAsia" w:ascii="宋体" w:cs="宋体"/>
                <w:kern w:val="0"/>
                <w:sz w:val="24"/>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宋体" w:cs="宋体"/>
                <w:sz w:val="24"/>
              </w:rPr>
            </w:pPr>
            <w:r>
              <w:rPr>
                <w:rFonts w:hint="eastAsia" w:ascii="宋体" w:cs="宋体"/>
                <w:kern w:val="0"/>
                <w:sz w:val="24"/>
              </w:rPr>
              <w:t>预期目标</w:t>
            </w: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宋体" w:cs="宋体"/>
                <w:sz w:val="24"/>
              </w:rPr>
            </w:pPr>
            <w:r>
              <w:rPr>
                <w:rFonts w:hint="eastAsia" w:ascii="宋体" w:cs="宋体"/>
                <w:kern w:val="0"/>
                <w:sz w:val="24"/>
              </w:rPr>
              <w:t>目标实际完成情况</w:t>
            </w:r>
          </w:p>
        </w:tc>
      </w:tr>
      <w:tr>
        <w:tblPrEx>
          <w:tblCellMar>
            <w:top w:w="0" w:type="dxa"/>
            <w:left w:w="108" w:type="dxa"/>
            <w:bottom w:w="0" w:type="dxa"/>
            <w:right w:w="108" w:type="dxa"/>
          </w:tblCellMar>
        </w:tblPrEx>
        <w:trPr>
          <w:gridAfter w:val="1"/>
          <w:wAfter w:w="234" w:type="dxa"/>
          <w:trHeight w:val="797" w:hRule="atLeast"/>
        </w:trPr>
        <w:tc>
          <w:tcPr>
            <w:tcW w:w="19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pageBreakBefore w:val="0"/>
              <w:widowControl/>
              <w:kinsoku/>
              <w:wordWrap/>
              <w:overflowPunct/>
              <w:topLinePunct w:val="0"/>
              <w:bidi w:val="0"/>
              <w:spacing w:line="576" w:lineRule="exact"/>
              <w:jc w:val="left"/>
              <w:textAlignment w:val="top"/>
              <w:rPr>
                <w:rFonts w:ascii="宋体" w:cs="宋体"/>
                <w:sz w:val="24"/>
              </w:rPr>
            </w:pP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tcPr>
          <w:p>
            <w:pPr>
              <w:pageBreakBefore w:val="0"/>
              <w:widowControl/>
              <w:kinsoku/>
              <w:wordWrap/>
              <w:overflowPunct/>
              <w:topLinePunct w:val="0"/>
              <w:bidi w:val="0"/>
              <w:spacing w:line="576" w:lineRule="exact"/>
              <w:jc w:val="left"/>
              <w:textAlignment w:val="top"/>
              <w:rPr>
                <w:rFonts w:ascii="宋体" w:cs="宋体"/>
                <w:sz w:val="24"/>
              </w:rPr>
            </w:pPr>
          </w:p>
        </w:tc>
      </w:tr>
      <w:tr>
        <w:tblPrEx>
          <w:tblCellMar>
            <w:top w:w="0" w:type="dxa"/>
            <w:left w:w="108" w:type="dxa"/>
            <w:bottom w:w="0" w:type="dxa"/>
            <w:right w:w="108" w:type="dxa"/>
          </w:tblCellMar>
        </w:tblPrEx>
        <w:trPr>
          <w:gridAfter w:val="1"/>
          <w:wAfter w:w="234" w:type="dxa"/>
          <w:trHeight w:val="693" w:hRule="atLeast"/>
        </w:trPr>
        <w:tc>
          <w:tcPr>
            <w:tcW w:w="1977" w:type="dxa"/>
            <w:vMerge w:val="restart"/>
            <w:tcBorders>
              <w:top w:val="single" w:color="000000" w:sz="4" w:space="0"/>
              <w:left w:val="single" w:color="000000" w:sz="4" w:space="0"/>
              <w:bottom w:val="nil"/>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一级</w:t>
            </w:r>
          </w:p>
          <w:p>
            <w:pPr>
              <w:pageBreakBefore w:val="0"/>
              <w:widowControl/>
              <w:kinsoku/>
              <w:wordWrap/>
              <w:overflowPunct/>
              <w:topLinePunct w:val="0"/>
              <w:bidi w:val="0"/>
              <w:spacing w:line="576"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二级</w:t>
            </w:r>
          </w:p>
          <w:p>
            <w:pPr>
              <w:pageBreakBefore w:val="0"/>
              <w:widowControl/>
              <w:kinsoku/>
              <w:wordWrap/>
              <w:overflowPunct/>
              <w:topLinePunct w:val="0"/>
              <w:bidi w:val="0"/>
              <w:spacing w:line="576"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三级</w:t>
            </w:r>
          </w:p>
          <w:p>
            <w:pPr>
              <w:pageBreakBefore w:val="0"/>
              <w:widowControl/>
              <w:kinsoku/>
              <w:wordWrap/>
              <w:overflowPunct/>
              <w:topLinePunct w:val="0"/>
              <w:bidi w:val="0"/>
              <w:spacing w:line="576"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预期指标值</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实际完成指标值</w:t>
            </w: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完成</w:t>
            </w:r>
          </w:p>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kinsoku/>
              <w:wordWrap/>
              <w:overflowPunct/>
              <w:topLinePunct w:val="0"/>
              <w:bidi w:val="0"/>
              <w:spacing w:line="576" w:lineRule="exact"/>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kinsoku/>
              <w:wordWrap/>
              <w:overflowPunct/>
              <w:topLinePunct w:val="0"/>
              <w:bidi w:val="0"/>
              <w:spacing w:line="576" w:lineRule="exact"/>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kinsoku/>
              <w:wordWrap/>
              <w:overflowPunct/>
              <w:topLinePunct w:val="0"/>
              <w:bidi w:val="0"/>
              <w:spacing w:line="576" w:lineRule="exact"/>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bottom"/>
              <w:rPr>
                <w:rFonts w:hint="eastAsia" w:ascii="仿宋_GB2312" w:eastAsia="仿宋_GB2312" w:cs="仿宋_GB2312"/>
                <w:kern w:val="0"/>
                <w:sz w:val="28"/>
                <w:szCs w:val="28"/>
                <w:lang w:eastAsia="zh-CN"/>
              </w:rPr>
            </w:pPr>
            <w:r>
              <w:rPr>
                <w:rFonts w:hint="eastAsia" w:ascii="仿宋_GB2312" w:eastAsia="仿宋_GB2312" w:cs="仿宋_GB2312"/>
                <w:kern w:val="0"/>
                <w:sz w:val="28"/>
                <w:szCs w:val="28"/>
              </w:rPr>
              <w:t>效益</w:t>
            </w:r>
          </w:p>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kinsoku/>
              <w:wordWrap/>
              <w:overflowPunct/>
              <w:topLinePunct w:val="0"/>
              <w:bidi w:val="0"/>
              <w:spacing w:line="576" w:lineRule="exact"/>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577"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kinsoku/>
              <w:wordWrap/>
              <w:overflowPunct/>
              <w:topLinePunct w:val="0"/>
              <w:bidi w:val="0"/>
              <w:spacing w:line="576" w:lineRule="exact"/>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ind w:left="463" w:leftChars="87" w:hanging="280" w:hangingChars="100"/>
              <w:jc w:val="left"/>
              <w:textAlignment w:val="bottom"/>
              <w:rPr>
                <w:rFonts w:ascii="仿宋_GB2312" w:eastAsia="仿宋_GB2312" w:cs="仿宋_GB2312"/>
                <w:sz w:val="28"/>
                <w:szCs w:val="28"/>
              </w:rPr>
            </w:pPr>
            <w:r>
              <w:rPr>
                <w:rFonts w:hint="eastAsia" w:ascii="仿宋_GB2312" w:eastAsia="仿宋_GB2312" w:cs="仿宋_GB2312"/>
                <w:kern w:val="0"/>
                <w:sz w:val="28"/>
                <w:szCs w:val="28"/>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kinsoku/>
              <w:wordWrap/>
              <w:overflowPunct/>
              <w:topLinePunct w:val="0"/>
              <w:bidi w:val="0"/>
              <w:spacing w:line="576" w:lineRule="exact"/>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530" w:hRule="atLeast"/>
        </w:trPr>
        <w:tc>
          <w:tcPr>
            <w:tcW w:w="1977" w:type="dxa"/>
            <w:vMerge w:val="continue"/>
            <w:tcBorders>
              <w:top w:val="nil"/>
              <w:left w:val="single" w:color="000000" w:sz="4" w:space="0"/>
              <w:bottom w:val="single" w:color="000000" w:sz="4" w:space="0"/>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hint="eastAsia" w:ascii="仿宋_GB2312" w:eastAsia="仿宋_GB2312" w:cs="仿宋_GB2312"/>
                <w:kern w:val="0"/>
                <w:sz w:val="28"/>
                <w:szCs w:val="28"/>
                <w:lang w:eastAsia="zh-CN"/>
              </w:rPr>
            </w:pPr>
            <w:r>
              <w:rPr>
                <w:rFonts w:hint="eastAsia" w:ascii="仿宋_GB2312" w:eastAsia="仿宋_GB2312" w:cs="仿宋_GB2312"/>
                <w:kern w:val="0"/>
                <w:sz w:val="28"/>
                <w:szCs w:val="28"/>
              </w:rPr>
              <w:t>满意</w:t>
            </w:r>
          </w:p>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满意度</w:t>
            </w:r>
          </w:p>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r>
    </w:tbl>
    <w:p>
      <w:pPr>
        <w:pageBreakBefore w:val="0"/>
        <w:kinsoku/>
        <w:wordWrap/>
        <w:overflowPunct/>
        <w:topLinePunct w:val="0"/>
        <w:bidi w:val="0"/>
        <w:spacing w:line="576" w:lineRule="exact"/>
        <w:jc w:val="center"/>
        <w:outlineLvl w:val="0"/>
        <w:rPr>
          <w:rFonts w:ascii="黑体" w:eastAsia="黑体"/>
          <w:sz w:val="44"/>
          <w:szCs w:val="44"/>
        </w:rPr>
      </w:pPr>
    </w:p>
    <w:p>
      <w:pPr>
        <w:pageBreakBefore w:val="0"/>
        <w:widowControl/>
        <w:kinsoku/>
        <w:wordWrap/>
        <w:overflowPunct/>
        <w:topLinePunct w:val="0"/>
        <w:bidi w:val="0"/>
        <w:adjustRightInd w:val="0"/>
        <w:snapToGrid w:val="0"/>
        <w:spacing w:line="576" w:lineRule="exact"/>
        <w:contextualSpacing/>
        <w:jc w:val="left"/>
      </w:pPr>
      <w:r>
        <w:rPr>
          <w:rFonts w:hint="eastAsia" w:ascii="仿宋_GB2312" w:eastAsia="仿宋_GB2312" w:cs="宋体"/>
          <w:color w:val="000000"/>
          <w:kern w:val="0"/>
          <w:sz w:val="32"/>
          <w:szCs w:val="32"/>
          <w:shd w:val="clear" w:color="auto" w:fill="FFFFFF"/>
        </w:rPr>
        <w:t>（注：有两个及以上100万元以上（含）特定目标类部门预算项目的，需分别开展绩效目标自评并填写附表）</w:t>
      </w:r>
    </w:p>
    <w:p>
      <w:pPr>
        <w:pageBreakBefore w:val="0"/>
        <w:kinsoku/>
        <w:wordWrap/>
        <w:overflowPunct/>
        <w:topLinePunct w:val="0"/>
        <w:bidi w:val="0"/>
        <w:spacing w:line="576" w:lineRule="exact"/>
        <w:jc w:val="center"/>
        <w:outlineLvl w:val="0"/>
        <w:rPr>
          <w:rFonts w:ascii="黑体" w:eastAsia="黑体"/>
          <w:sz w:val="44"/>
          <w:szCs w:val="44"/>
        </w:rPr>
      </w:pPr>
    </w:p>
    <w:p>
      <w:pPr>
        <w:pageBreakBefore w:val="0"/>
        <w:kinsoku/>
        <w:wordWrap/>
        <w:overflowPunct/>
        <w:topLinePunct w:val="0"/>
        <w:bidi w:val="0"/>
        <w:spacing w:line="576" w:lineRule="exact"/>
        <w:jc w:val="center"/>
        <w:outlineLvl w:val="0"/>
        <w:rPr>
          <w:rFonts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ascii="仿宋" w:eastAsia="仿宋"/>
        </w:rPr>
      </w:pPr>
      <w:r>
        <w:rPr>
          <w:rFonts w:hint="eastAsia" w:ascii="黑体" w:eastAsia="黑体"/>
          <w:sz w:val="44"/>
          <w:szCs w:val="44"/>
        </w:rPr>
        <w:t>第</w:t>
      </w:r>
      <w:r>
        <w:rPr>
          <w:rStyle w:val="16"/>
          <w:rFonts w:hint="eastAsia" w:ascii="黑体" w:eastAsia="黑体"/>
          <w:b w:val="0"/>
        </w:rPr>
        <w:t>五部分 附表</w:t>
      </w:r>
      <w:bookmarkEnd w:id="54"/>
      <w:bookmarkEnd w:id="56"/>
      <w:bookmarkStart w:id="57" w:name="_Toc15396619"/>
    </w:p>
    <w:p>
      <w:pPr>
        <w:pStyle w:val="4"/>
        <w:pageBreakBefore w:val="0"/>
        <w:kinsoku/>
        <w:wordWrap/>
        <w:overflowPunct/>
        <w:topLinePunct w:val="0"/>
        <w:bidi w:val="0"/>
        <w:spacing w:line="576" w:lineRule="exact"/>
        <w:rPr>
          <w:rFonts w:ascii="仿宋" w:eastAsia="仿宋"/>
        </w:rPr>
      </w:pPr>
      <w:r>
        <w:rPr>
          <w:rFonts w:hint="eastAsia" w:ascii="仿宋" w:eastAsia="仿宋"/>
          <w:b w:val="0"/>
        </w:rPr>
        <w:t>一、收</w:t>
      </w:r>
      <w:r>
        <w:rPr>
          <w:rStyle w:val="17"/>
          <w:rFonts w:hint="eastAsia" w:ascii="仿宋" w:eastAsia="仿宋"/>
          <w:b w:val="0"/>
          <w:bCs w:val="0"/>
        </w:rPr>
        <w:t>入支出决算总表</w:t>
      </w:r>
      <w:bookmarkEnd w:id="57"/>
    </w:p>
    <w:p>
      <w:pPr>
        <w:pStyle w:val="4"/>
        <w:pageBreakBefore w:val="0"/>
        <w:kinsoku/>
        <w:wordWrap/>
        <w:overflowPunct/>
        <w:topLinePunct w:val="0"/>
        <w:bidi w:val="0"/>
        <w:spacing w:line="576" w:lineRule="exact"/>
        <w:rPr>
          <w:rFonts w:ascii="仿宋" w:eastAsia="仿宋"/>
        </w:rPr>
      </w:pPr>
      <w:bookmarkStart w:id="58" w:name="_Toc15396620"/>
      <w:r>
        <w:rPr>
          <w:rFonts w:hint="eastAsia" w:ascii="仿宋" w:eastAsia="仿宋"/>
          <w:b w:val="0"/>
        </w:rPr>
        <w:t>二、收</w:t>
      </w:r>
      <w:r>
        <w:rPr>
          <w:rStyle w:val="17"/>
          <w:rFonts w:hint="eastAsia" w:ascii="仿宋" w:eastAsia="仿宋"/>
          <w:b w:val="0"/>
          <w:bCs w:val="0"/>
        </w:rPr>
        <w:t>入决算表</w:t>
      </w:r>
      <w:bookmarkEnd w:id="58"/>
    </w:p>
    <w:p>
      <w:pPr>
        <w:pStyle w:val="4"/>
        <w:pageBreakBefore w:val="0"/>
        <w:kinsoku/>
        <w:wordWrap/>
        <w:overflowPunct/>
        <w:topLinePunct w:val="0"/>
        <w:bidi w:val="0"/>
        <w:spacing w:line="576" w:lineRule="exact"/>
        <w:rPr>
          <w:rFonts w:ascii="仿宋" w:eastAsia="仿宋"/>
        </w:rPr>
      </w:pPr>
      <w:bookmarkStart w:id="59" w:name="_Toc15396621"/>
      <w:r>
        <w:rPr>
          <w:rStyle w:val="17"/>
          <w:rFonts w:hint="eastAsia" w:ascii="仿宋" w:eastAsia="仿宋"/>
          <w:b w:val="0"/>
          <w:bCs w:val="0"/>
        </w:rPr>
        <w:t>三、</w:t>
      </w:r>
      <w:r>
        <w:rPr>
          <w:rFonts w:hint="eastAsia" w:ascii="仿宋" w:eastAsia="仿宋"/>
          <w:b w:val="0"/>
        </w:rPr>
        <w:t>支</w:t>
      </w:r>
      <w:r>
        <w:rPr>
          <w:rStyle w:val="17"/>
          <w:rFonts w:hint="eastAsia" w:ascii="仿宋" w:eastAsia="仿宋"/>
          <w:b w:val="0"/>
          <w:bCs w:val="0"/>
        </w:rPr>
        <w:t>出决算表</w:t>
      </w:r>
      <w:bookmarkEnd w:id="59"/>
    </w:p>
    <w:p>
      <w:pPr>
        <w:pStyle w:val="4"/>
        <w:pageBreakBefore w:val="0"/>
        <w:kinsoku/>
        <w:wordWrap/>
        <w:overflowPunct/>
        <w:topLinePunct w:val="0"/>
        <w:bidi w:val="0"/>
        <w:spacing w:line="576" w:lineRule="exact"/>
        <w:rPr>
          <w:rFonts w:ascii="仿宋" w:eastAsia="仿宋"/>
          <w:b w:val="0"/>
        </w:rPr>
      </w:pPr>
      <w:bookmarkStart w:id="60" w:name="_Toc15396622"/>
      <w:r>
        <w:rPr>
          <w:rStyle w:val="17"/>
          <w:rFonts w:hint="eastAsia" w:ascii="仿宋" w:eastAsia="仿宋"/>
          <w:b w:val="0"/>
          <w:bCs w:val="0"/>
        </w:rPr>
        <w:t>四、</w:t>
      </w:r>
      <w:r>
        <w:rPr>
          <w:rFonts w:hint="eastAsia" w:ascii="仿宋" w:eastAsia="仿宋"/>
          <w:b w:val="0"/>
        </w:rPr>
        <w:t>财</w:t>
      </w:r>
      <w:r>
        <w:rPr>
          <w:rStyle w:val="17"/>
          <w:rFonts w:hint="eastAsia" w:ascii="仿宋" w:eastAsia="仿宋"/>
          <w:b w:val="0"/>
          <w:bCs w:val="0"/>
        </w:rPr>
        <w:t>政拨款收入支出决算总表</w:t>
      </w:r>
      <w:bookmarkEnd w:id="60"/>
    </w:p>
    <w:p>
      <w:pPr>
        <w:pStyle w:val="4"/>
        <w:pageBreakBefore w:val="0"/>
        <w:kinsoku/>
        <w:wordWrap/>
        <w:overflowPunct/>
        <w:topLinePunct w:val="0"/>
        <w:bidi w:val="0"/>
        <w:spacing w:line="576" w:lineRule="exact"/>
        <w:rPr>
          <w:rStyle w:val="17"/>
          <w:rFonts w:ascii="仿宋" w:eastAsia="仿宋"/>
          <w:b w:val="0"/>
          <w:bCs w:val="0"/>
        </w:rPr>
      </w:pPr>
      <w:bookmarkStart w:id="61" w:name="_Toc15396623"/>
      <w:r>
        <w:rPr>
          <w:rStyle w:val="17"/>
          <w:rFonts w:hint="eastAsia" w:ascii="仿宋" w:eastAsia="仿宋"/>
          <w:b w:val="0"/>
          <w:bCs w:val="0"/>
        </w:rPr>
        <w:t>五、</w:t>
      </w:r>
      <w:r>
        <w:rPr>
          <w:rFonts w:hint="eastAsia" w:ascii="仿宋" w:eastAsia="仿宋"/>
          <w:b w:val="0"/>
        </w:rPr>
        <w:t>财</w:t>
      </w:r>
      <w:r>
        <w:rPr>
          <w:rStyle w:val="17"/>
          <w:rFonts w:hint="eastAsia" w:ascii="仿宋" w:eastAsia="仿宋"/>
          <w:b w:val="0"/>
          <w:bCs w:val="0"/>
        </w:rPr>
        <w:t>政拨款支出决算明细表</w:t>
      </w:r>
      <w:bookmarkEnd w:id="61"/>
      <w:bookmarkStart w:id="62" w:name="_Toc15396624"/>
    </w:p>
    <w:p>
      <w:pPr>
        <w:pStyle w:val="4"/>
        <w:pageBreakBefore w:val="0"/>
        <w:kinsoku/>
        <w:wordWrap/>
        <w:overflowPunct/>
        <w:topLinePunct w:val="0"/>
        <w:bidi w:val="0"/>
        <w:spacing w:line="576" w:lineRule="exact"/>
        <w:rPr>
          <w:rFonts w:ascii="仿宋" w:eastAsia="仿宋"/>
        </w:rPr>
      </w:pPr>
      <w:r>
        <w:rPr>
          <w:rStyle w:val="17"/>
          <w:rFonts w:hint="eastAsia" w:ascii="仿宋" w:eastAsia="仿宋"/>
          <w:b w:val="0"/>
          <w:bCs w:val="0"/>
        </w:rPr>
        <w:t>六、</w:t>
      </w:r>
      <w:r>
        <w:rPr>
          <w:rFonts w:hint="eastAsia" w:ascii="仿宋" w:eastAsia="仿宋"/>
          <w:b w:val="0"/>
        </w:rPr>
        <w:t>一</w:t>
      </w:r>
      <w:r>
        <w:rPr>
          <w:rStyle w:val="17"/>
          <w:rFonts w:hint="eastAsia" w:ascii="仿宋" w:eastAsia="仿宋"/>
          <w:b w:val="0"/>
          <w:bCs w:val="0"/>
        </w:rPr>
        <w:t>般公共预算财政拨款支出决算表</w:t>
      </w:r>
      <w:bookmarkEnd w:id="62"/>
    </w:p>
    <w:p>
      <w:pPr>
        <w:pStyle w:val="4"/>
        <w:pageBreakBefore w:val="0"/>
        <w:kinsoku/>
        <w:wordWrap/>
        <w:overflowPunct/>
        <w:topLinePunct w:val="0"/>
        <w:bidi w:val="0"/>
        <w:spacing w:line="576" w:lineRule="exact"/>
        <w:rPr>
          <w:rFonts w:ascii="仿宋" w:eastAsia="仿宋"/>
        </w:rPr>
      </w:pPr>
      <w:bookmarkStart w:id="63" w:name="_Toc15396625"/>
      <w:r>
        <w:rPr>
          <w:rStyle w:val="17"/>
          <w:rFonts w:hint="eastAsia" w:ascii="仿宋" w:eastAsia="仿宋"/>
          <w:b w:val="0"/>
          <w:bCs w:val="0"/>
        </w:rPr>
        <w:t>七、</w:t>
      </w:r>
      <w:r>
        <w:rPr>
          <w:rFonts w:hint="eastAsia" w:ascii="仿宋" w:eastAsia="仿宋"/>
          <w:b w:val="0"/>
        </w:rPr>
        <w:t>一</w:t>
      </w:r>
      <w:r>
        <w:rPr>
          <w:rStyle w:val="17"/>
          <w:rFonts w:hint="eastAsia" w:ascii="仿宋" w:eastAsia="仿宋"/>
          <w:b w:val="0"/>
          <w:bCs w:val="0"/>
        </w:rPr>
        <w:t>般公共预算财政拨款支出决算明细表</w:t>
      </w:r>
      <w:bookmarkEnd w:id="63"/>
    </w:p>
    <w:p>
      <w:pPr>
        <w:pStyle w:val="4"/>
        <w:pageBreakBefore w:val="0"/>
        <w:kinsoku/>
        <w:wordWrap/>
        <w:overflowPunct/>
        <w:topLinePunct w:val="0"/>
        <w:bidi w:val="0"/>
        <w:spacing w:line="576" w:lineRule="exact"/>
        <w:rPr>
          <w:rFonts w:ascii="仿宋" w:eastAsia="仿宋"/>
        </w:rPr>
      </w:pPr>
      <w:bookmarkStart w:id="64" w:name="_Toc15396626"/>
      <w:r>
        <w:rPr>
          <w:rStyle w:val="17"/>
          <w:rFonts w:hint="eastAsia" w:ascii="仿宋" w:eastAsia="仿宋"/>
          <w:b w:val="0"/>
          <w:bCs w:val="0"/>
        </w:rPr>
        <w:t>八、</w:t>
      </w:r>
      <w:r>
        <w:rPr>
          <w:rFonts w:hint="eastAsia" w:ascii="仿宋" w:eastAsia="仿宋"/>
          <w:b w:val="0"/>
        </w:rPr>
        <w:t>一</w:t>
      </w:r>
      <w:r>
        <w:rPr>
          <w:rStyle w:val="17"/>
          <w:rFonts w:hint="eastAsia" w:ascii="仿宋" w:eastAsia="仿宋"/>
          <w:b w:val="0"/>
          <w:bCs w:val="0"/>
        </w:rPr>
        <w:t>般公共预算财政拨款基本支出决算表</w:t>
      </w:r>
      <w:bookmarkEnd w:id="64"/>
    </w:p>
    <w:p>
      <w:pPr>
        <w:pStyle w:val="4"/>
        <w:pageBreakBefore w:val="0"/>
        <w:kinsoku/>
        <w:wordWrap/>
        <w:overflowPunct/>
        <w:topLinePunct w:val="0"/>
        <w:bidi w:val="0"/>
        <w:spacing w:line="576" w:lineRule="exact"/>
        <w:rPr>
          <w:rFonts w:ascii="仿宋" w:eastAsia="仿宋"/>
        </w:rPr>
      </w:pPr>
      <w:bookmarkStart w:id="65" w:name="_Toc15396627"/>
      <w:r>
        <w:rPr>
          <w:rStyle w:val="17"/>
          <w:rFonts w:hint="eastAsia" w:ascii="仿宋" w:eastAsia="仿宋"/>
          <w:b w:val="0"/>
          <w:bCs w:val="0"/>
        </w:rPr>
        <w:t>九、</w:t>
      </w:r>
      <w:r>
        <w:rPr>
          <w:rFonts w:hint="eastAsia" w:ascii="仿宋" w:eastAsia="仿宋"/>
          <w:b w:val="0"/>
        </w:rPr>
        <w:t>一</w:t>
      </w:r>
      <w:r>
        <w:rPr>
          <w:rStyle w:val="17"/>
          <w:rFonts w:hint="eastAsia" w:ascii="仿宋" w:eastAsia="仿宋"/>
          <w:b w:val="0"/>
          <w:bCs w:val="0"/>
        </w:rPr>
        <w:t>般公共预算财政拨款项目支出决算表</w:t>
      </w:r>
      <w:bookmarkEnd w:id="65"/>
    </w:p>
    <w:p>
      <w:pPr>
        <w:pStyle w:val="4"/>
        <w:pageBreakBefore w:val="0"/>
        <w:kinsoku/>
        <w:wordWrap/>
        <w:overflowPunct/>
        <w:topLinePunct w:val="0"/>
        <w:bidi w:val="0"/>
        <w:spacing w:line="576" w:lineRule="exact"/>
        <w:rPr>
          <w:rFonts w:ascii="仿宋" w:eastAsia="仿宋"/>
        </w:rPr>
      </w:pPr>
      <w:bookmarkStart w:id="66" w:name="_Toc15396628"/>
      <w:r>
        <w:rPr>
          <w:rStyle w:val="17"/>
          <w:rFonts w:hint="eastAsia" w:ascii="仿宋" w:eastAsia="仿宋"/>
          <w:b w:val="0"/>
          <w:bCs w:val="0"/>
        </w:rPr>
        <w:t>十、</w:t>
      </w:r>
      <w:r>
        <w:rPr>
          <w:rFonts w:hint="eastAsia" w:ascii="仿宋" w:eastAsia="仿宋"/>
          <w:b w:val="0"/>
        </w:rPr>
        <w:t>一</w:t>
      </w:r>
      <w:r>
        <w:rPr>
          <w:rStyle w:val="17"/>
          <w:rFonts w:hint="eastAsia" w:ascii="仿宋" w:eastAsia="仿宋"/>
          <w:b w:val="0"/>
          <w:bCs w:val="0"/>
        </w:rPr>
        <w:t>般公共预算财政拨款“三公”经费支出决算表</w:t>
      </w:r>
      <w:bookmarkEnd w:id="66"/>
    </w:p>
    <w:p>
      <w:pPr>
        <w:pStyle w:val="4"/>
        <w:pageBreakBefore w:val="0"/>
        <w:kinsoku/>
        <w:wordWrap/>
        <w:overflowPunct/>
        <w:topLinePunct w:val="0"/>
        <w:bidi w:val="0"/>
        <w:spacing w:line="576" w:lineRule="exact"/>
        <w:rPr>
          <w:rFonts w:ascii="仿宋" w:eastAsia="仿宋"/>
        </w:rPr>
      </w:pPr>
      <w:bookmarkStart w:id="67" w:name="_Toc15396629"/>
      <w:r>
        <w:rPr>
          <w:rStyle w:val="17"/>
          <w:rFonts w:hint="eastAsia" w:ascii="仿宋" w:eastAsia="仿宋"/>
          <w:b w:val="0"/>
          <w:bCs w:val="0"/>
        </w:rPr>
        <w:t>十一、</w:t>
      </w:r>
      <w:r>
        <w:rPr>
          <w:rFonts w:hint="eastAsia" w:ascii="仿宋" w:eastAsia="仿宋"/>
          <w:b w:val="0"/>
        </w:rPr>
        <w:t>政</w:t>
      </w:r>
      <w:r>
        <w:rPr>
          <w:rStyle w:val="17"/>
          <w:rFonts w:hint="eastAsia" w:ascii="仿宋" w:eastAsia="仿宋"/>
          <w:b w:val="0"/>
          <w:bCs w:val="0"/>
        </w:rPr>
        <w:t>府性基金预算财政拨款收入支出决算表</w:t>
      </w:r>
      <w:bookmarkEnd w:id="67"/>
    </w:p>
    <w:p>
      <w:pPr>
        <w:pStyle w:val="4"/>
        <w:pageBreakBefore w:val="0"/>
        <w:kinsoku/>
        <w:wordWrap/>
        <w:overflowPunct/>
        <w:topLinePunct w:val="0"/>
        <w:bidi w:val="0"/>
        <w:spacing w:line="576" w:lineRule="exact"/>
        <w:rPr>
          <w:rFonts w:ascii="仿宋" w:eastAsia="仿宋"/>
        </w:rPr>
      </w:pPr>
      <w:bookmarkStart w:id="68" w:name="_Toc15396630"/>
      <w:r>
        <w:rPr>
          <w:rStyle w:val="17"/>
          <w:rFonts w:hint="eastAsia" w:ascii="仿宋" w:eastAsia="仿宋"/>
          <w:b w:val="0"/>
          <w:bCs w:val="0"/>
        </w:rPr>
        <w:t>十二、</w:t>
      </w:r>
      <w:r>
        <w:rPr>
          <w:rFonts w:hint="eastAsia" w:ascii="仿宋" w:eastAsia="仿宋"/>
          <w:b w:val="0"/>
        </w:rPr>
        <w:t>政</w:t>
      </w:r>
      <w:r>
        <w:rPr>
          <w:rStyle w:val="17"/>
          <w:rFonts w:hint="eastAsia" w:ascii="仿宋" w:eastAsia="仿宋"/>
          <w:b w:val="0"/>
          <w:bCs w:val="0"/>
        </w:rPr>
        <w:t>府性基金预算财政拨款“三公”经费支出决算表</w:t>
      </w:r>
      <w:bookmarkEnd w:id="68"/>
    </w:p>
    <w:p>
      <w:pPr>
        <w:pStyle w:val="4"/>
        <w:pageBreakBefore w:val="0"/>
        <w:kinsoku/>
        <w:wordWrap/>
        <w:overflowPunct/>
        <w:topLinePunct w:val="0"/>
        <w:bidi w:val="0"/>
        <w:spacing w:line="576" w:lineRule="exact"/>
        <w:rPr>
          <w:rStyle w:val="17"/>
          <w:rFonts w:ascii="仿宋" w:eastAsia="仿宋"/>
          <w:b w:val="0"/>
          <w:bCs w:val="0"/>
        </w:rPr>
      </w:pPr>
      <w:bookmarkStart w:id="69" w:name="_Toc15396631"/>
      <w:r>
        <w:rPr>
          <w:rStyle w:val="17"/>
          <w:rFonts w:hint="eastAsia" w:ascii="仿宋" w:eastAsia="仿宋"/>
          <w:b w:val="0"/>
          <w:bCs w:val="0"/>
        </w:rPr>
        <w:t>十三、</w:t>
      </w:r>
      <w:r>
        <w:rPr>
          <w:rFonts w:hint="eastAsia" w:ascii="仿宋" w:eastAsia="仿宋"/>
          <w:b w:val="0"/>
        </w:rPr>
        <w:t>国</w:t>
      </w:r>
      <w:r>
        <w:rPr>
          <w:rStyle w:val="17"/>
          <w:rFonts w:hint="eastAsia" w:ascii="仿宋" w:eastAsia="仿宋"/>
          <w:b w:val="0"/>
          <w:bCs w:val="0"/>
        </w:rPr>
        <w:t>有资本经营预算财政拨款收入支出决算表</w:t>
      </w:r>
      <w:bookmarkEnd w:id="69"/>
    </w:p>
    <w:p>
      <w:pPr>
        <w:pageBreakBefore w:val="0"/>
        <w:kinsoku/>
        <w:wordWrap/>
        <w:overflowPunct/>
        <w:topLinePunct w:val="0"/>
        <w:bidi w:val="0"/>
        <w:spacing w:line="576" w:lineRule="exact"/>
        <w:rPr>
          <w:rFonts w:eastAsia="仿宋"/>
        </w:rPr>
      </w:pPr>
      <w:r>
        <w:rPr>
          <w:rStyle w:val="17"/>
          <w:rFonts w:hint="eastAsia" w:ascii="仿宋" w:eastAsia="仿宋"/>
          <w:b w:val="0"/>
          <w:bCs w:val="0"/>
        </w:rPr>
        <w:t>十四、国有资本经营预算财政拨款支出决算表</w:t>
      </w:r>
    </w:p>
    <w:sectPr>
      <w:footerReference r:id="rId5" w:type="first"/>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宋?">
    <w:altName w:val="Malgun Gothic"/>
    <w:panose1 w:val="00000000000000000000"/>
    <w:charset w:val="81"/>
    <w:family w:val="roman"/>
    <w:pitch w:val="default"/>
    <w:sig w:usb0="00000000" w:usb1="00000000" w:usb2="00000010" w:usb3="00000000" w:csb0="00080000" w:csb1="00000000"/>
  </w:font>
  <w:font w:name="Malgun Gothic">
    <w:panose1 w:val="020B0503020000020004"/>
    <w:charset w:val="81"/>
    <w:family w:val="auto"/>
    <w:pitch w:val="default"/>
    <w:sig w:usb0="900002AF" w:usb1="01D77CFB" w:usb2="00000012" w:usb3="00000000" w:csb0="00080001"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20B0602030504020204"/>
    <w:charset w:val="01"/>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Lucida Sans Unicode">
    <w:panose1 w:val="020B0602030504020204"/>
    <w:charset w:val="00"/>
    <w:family w:val="auto"/>
    <w:pitch w:val="default"/>
    <w:sig w:usb0="80001AFF" w:usb1="0000396B" w:usb2="00000000" w:usb3="00000000" w:csb0="200000BF" w:csb1="D7F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doX50U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RtKNFPY0enH99PPh9OvbwQ6ANRaP4PfxsIzdO9MB+dB76GMc3eV&#10;U/HGRAR2QH28wCu6QHgMmk6m0xwmDtvwQP7sMdw6H94Lo0gUCuqwvwQrO6x96F0Hl1hNm1UjZdqh&#10;1KQt6NXrt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B2hfnRQCAAAVBAAADgAAAAAAAAAB&#10;ACAAAAAfAQAAZHJzL2Uyb0RvYy54bWxQSwUGAAAAAAYABgBZAQAApQ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XAyHIU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vr/I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RcDIchQCAAAVBAAADgAAAAAAAAAB&#10;ACAAAAAfAQAAZHJzL2Uyb0RvYy54bWxQSwUGAAAAAAYABgBZAQAApQ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ascii="黑体" w:hAnsi="黑体" w:eastAsia="黑体" w:cs="黑体"/>
        <w:sz w:val="44"/>
        <w:szCs w:val="44"/>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575D494F"/>
    <w:multiLevelType w:val="singleLevel"/>
    <w:tmpl w:val="575D494F"/>
    <w:lvl w:ilvl="0" w:tentative="0">
      <w:start w:val="1"/>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MGE1OWI0MGE5MmYwY2YwNTJhYTViOGM0NDRiMGJjMjUifQ=="/>
  </w:docVars>
  <w:rsids>
    <w:rsidRoot w:val="008C6A67"/>
    <w:rsid w:val="00190606"/>
    <w:rsid w:val="004F482C"/>
    <w:rsid w:val="008C6A67"/>
    <w:rsid w:val="02356D8C"/>
    <w:rsid w:val="0ED246E9"/>
    <w:rsid w:val="164C0FAD"/>
    <w:rsid w:val="1A3E28B9"/>
    <w:rsid w:val="1CCA04D3"/>
    <w:rsid w:val="33E95BD1"/>
    <w:rsid w:val="38D36539"/>
    <w:rsid w:val="4BA93BEB"/>
    <w:rsid w:val="4ECD3CCE"/>
    <w:rsid w:val="52E76434"/>
    <w:rsid w:val="5DA61C7D"/>
    <w:rsid w:val="5F7B589B"/>
    <w:rsid w:val="61B26849"/>
    <w:rsid w:val="627C3145"/>
    <w:rsid w:val="63395BF4"/>
    <w:rsid w:val="63E406FD"/>
    <w:rsid w:val="648213B2"/>
    <w:rsid w:val="6B9E391B"/>
    <w:rsid w:val="6DBD7BE5"/>
    <w:rsid w:val="76C749D2"/>
    <w:rsid w:val="78EE3D92"/>
    <w:rsid w:val="798E05AA"/>
    <w:rsid w:val="7DFF63F6"/>
    <w:rsid w:val="7F653A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7"/>
    <w:unhideWhenUsed/>
    <w:qFormat/>
    <w:uiPriority w:val="9"/>
    <w:pPr>
      <w:keepNext/>
      <w:keepLines/>
      <w:spacing w:before="260" w:after="260" w:line="415" w:lineRule="auto"/>
      <w:outlineLvl w:val="1"/>
    </w:pPr>
    <w:rPr>
      <w:rFonts w:ascii="Cambria" w:hAnsi="Cambria"/>
      <w:b/>
      <w:bCs/>
      <w:sz w:val="32"/>
      <w:szCs w:val="32"/>
    </w:rPr>
  </w:style>
  <w:style w:type="paragraph" w:styleId="5">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before="30"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character" w:customStyle="1" w:styleId="16">
    <w:name w:val="标题 1 字符"/>
    <w:basedOn w:val="13"/>
    <w:link w:val="3"/>
    <w:qFormat/>
    <w:uiPriority w:val="0"/>
    <w:rPr>
      <w:rFonts w:ascii="Times New Roman" w:hAnsi="Times New Roman" w:eastAsia="宋体" w:cs="Times New Roman"/>
      <w:b/>
      <w:bCs/>
      <w:kern w:val="44"/>
      <w:sz w:val="44"/>
      <w:szCs w:val="44"/>
      <w:lang w:val="en-US" w:eastAsia="zh-CN" w:bidi="ar-SA"/>
    </w:rPr>
  </w:style>
  <w:style w:type="character" w:customStyle="1" w:styleId="17">
    <w:name w:val="标题 2 字符"/>
    <w:basedOn w:val="13"/>
    <w:link w:val="4"/>
    <w:qFormat/>
    <w:uiPriority w:val="0"/>
    <w:rPr>
      <w:rFonts w:ascii="Cambria" w:hAnsi="Cambria" w:eastAsia="宋体" w:cs="Times New Roman"/>
      <w:b/>
      <w:bCs/>
      <w:kern w:val="2"/>
      <w:sz w:val="32"/>
      <w:szCs w:val="32"/>
      <w:lang w:val="en-US" w:eastAsia="zh-CN" w:bidi="ar-SA"/>
    </w:rPr>
  </w:style>
  <w:style w:type="character" w:customStyle="1" w:styleId="18">
    <w:name w:val="Header Char"/>
    <w:basedOn w:val="13"/>
    <w:qFormat/>
    <w:uiPriority w:val="0"/>
    <w:rPr>
      <w:rFonts w:ascii="Times New Roman" w:hAnsi="Times New Roman"/>
      <w:sz w:val="18"/>
      <w:szCs w:val="18"/>
    </w:rPr>
  </w:style>
  <w:style w:type="character" w:customStyle="1" w:styleId="19">
    <w:name w:val="Footer Char"/>
    <w:basedOn w:val="13"/>
    <w:qFormat/>
    <w:uiPriority w:val="0"/>
    <w:rPr>
      <w:rFonts w:ascii="Times New Roman" w:hAnsi="Times New Roman"/>
      <w:sz w:val="18"/>
      <w:szCs w:val="18"/>
    </w:rPr>
  </w:style>
  <w:style w:type="character" w:customStyle="1" w:styleId="20">
    <w:name w:val="Body Text Char"/>
    <w:basedOn w:val="13"/>
    <w:qFormat/>
    <w:uiPriority w:val="0"/>
    <w:rPr>
      <w:rFonts w:ascii="Times New Roman" w:hAnsi="Times New Roman"/>
      <w:szCs w:val="24"/>
    </w:rPr>
  </w:style>
  <w:style w:type="paragraph" w:customStyle="1" w:styleId="2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2">
    <w:name w:val="List Paragraph"/>
    <w:basedOn w:val="1"/>
    <w:qFormat/>
    <w:uiPriority w:val="0"/>
    <w:pPr>
      <w:ind w:firstLine="200" w:firstLineChars="200"/>
    </w:pPr>
  </w:style>
  <w:style w:type="paragraph" w:customStyle="1" w:styleId="23">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4">
    <w:name w:val="TOC 标题2"/>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5">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26">
    <w:name w:val="15"/>
    <w:basedOn w:val="13"/>
    <w:qFormat/>
    <w:uiPriority w:val="0"/>
    <w:rPr>
      <w:rFonts w:hint="default" w:ascii="Times New Roman" w:hAnsi="Times New Roman" w:cs="Times New Roman"/>
      <w:b/>
      <w:bCs/>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AR PL UKai CN"/>
                <a:ea typeface="AR PL UKai CN"/>
                <a:cs typeface="Lucida Sans" panose="020B0602030504020204"/>
              </a:defRPr>
            </a:pPr>
            <a:r>
              <a:rPr lang="en-US" altLang="zh-CN" sz="1400" b="0" i="0" u="none" strike="noStrike" baseline="0">
                <a:solidFill>
                  <a:srgbClr val="595959"/>
                </a:solidFill>
                <a:latin typeface="AR PL UKai CN"/>
                <a:ea typeface="AR PL UKai CN"/>
                <a:cs typeface="Lucida Sans" panose="020B0602030504020204"/>
              </a:rPr>
              <a:t>2022</a:t>
            </a:r>
            <a:r>
              <a:rPr lang="zh-CN" sz="1400" b="0" i="0" u="none" strike="noStrike" baseline="0">
                <a:solidFill>
                  <a:srgbClr val="595959"/>
                </a:solidFill>
                <a:latin typeface="AR PL UKai CN"/>
                <a:ea typeface="AR PL UKai CN"/>
                <a:cs typeface="Lucida Sans" panose="020B0602030504020204"/>
              </a:rPr>
              <a:t>年收支变动情况图（万元）</a:t>
            </a:r>
            <a:endParaRPr lang="zh-CN" sz="1400" b="0" i="0" u="none" strike="noStrike" baseline="0">
              <a:solidFill>
                <a:srgbClr val="595959"/>
              </a:solidFill>
              <a:latin typeface="AR PL UKai CN"/>
              <a:ea typeface="AR PL UKai CN"/>
              <a:cs typeface="Lucida Sans" panose="020B0602030504020204"/>
            </a:endParaRPr>
          </a:p>
        </c:rich>
      </c:tx>
      <c:layout>
        <c:manualLayout>
          <c:xMode val="edge"/>
          <c:yMode val="edge"/>
          <c:x val="0.38896552"/>
          <c:y val="0.04330107"/>
        </c:manualLayout>
      </c:layout>
      <c:overlay val="0"/>
      <c:spPr>
        <a:noFill/>
        <a:ln>
          <a:noFill/>
        </a:ln>
      </c:spPr>
    </c:title>
    <c:autoTitleDeleted val="0"/>
    <c:plotArea>
      <c:layout>
        <c:manualLayout>
          <c:layoutTarget val="inner"/>
          <c:xMode val="edge"/>
          <c:yMode val="edge"/>
          <c:x val="0.0869607250755287"/>
          <c:y val="0.185734039523418"/>
          <c:w val="0.927925"/>
          <c:h val="0.7165667"/>
        </c:manualLayout>
      </c:layout>
      <c:barChart>
        <c:barDir val="col"/>
        <c:grouping val="clustered"/>
        <c:varyColors val="0"/>
        <c:ser>
          <c:idx val="0"/>
          <c:order val="0"/>
          <c:tx>
            <c:strRef>
              <c:f>Sheet1!$B$1</c:f>
              <c:strCache>
                <c:ptCount val="1"/>
                <c:pt idx="0">
                  <c:v>收入</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Sheet1!$B$2</c:f>
              <c:numCache>
                <c:formatCode>General</c:formatCode>
                <c:ptCount val="1"/>
                <c:pt idx="0">
                  <c:v>209.28</c:v>
                </c:pt>
              </c:numCache>
            </c:numRef>
          </c:val>
        </c:ser>
        <c:ser>
          <c:idx val="1"/>
          <c:order val="1"/>
          <c:tx>
            <c:strRef>
              <c:f>Sheet1!$C$1</c:f>
              <c:strCache>
                <c:ptCount val="1"/>
                <c:pt idx="0">
                  <c:v>支出</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Sheet1!$C$2</c:f>
              <c:numCache>
                <c:formatCode>General</c:formatCode>
                <c:ptCount val="1"/>
                <c:pt idx="0">
                  <c:v>209.28</c:v>
                </c:pt>
              </c:numCache>
            </c:numRef>
          </c:val>
        </c:ser>
        <c:ser>
          <c:idx val="2"/>
          <c:order val="2"/>
          <c:spPr>
            <a:solidFill>
              <a:srgbClr val="9BBB59"/>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0"/>
        <c:crossesAt val="1"/>
        <c:crossBetween val="between"/>
      </c:valAx>
      <c:spPr>
        <a:noFill/>
        <a:ln>
          <a:noFill/>
        </a:ln>
      </c:spPr>
    </c:plotArea>
    <c:legend>
      <c:legendPos val="b"/>
      <c:legendEntry>
        <c:idx val="2"/>
        <c:delete val="1"/>
      </c:legendEntry>
      <c:layout>
        <c:manualLayout>
          <c:xMode val="edge"/>
          <c:yMode val="edge"/>
          <c:x val="0.1272797"/>
          <c:y val="0.04355578"/>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收入决算结构图（万元）</a:t>
            </a:r>
            <a:endParaRPr lang="zh-CN"/>
          </a:p>
        </c:rich>
      </c:tx>
      <c:layout>
        <c:manualLayout>
          <c:xMode val="edge"/>
          <c:yMode val="edge"/>
          <c:x val="0.4413377"/>
          <c:y val="0.048938163"/>
        </c:manualLayout>
      </c:layout>
      <c:overlay val="0"/>
      <c:spPr>
        <a:noFill/>
        <a:ln>
          <a:noFill/>
        </a:ln>
      </c:spPr>
    </c:title>
    <c:autoTitleDeleted val="0"/>
    <c:plotArea>
      <c:layout/>
      <c:pieChart>
        <c:varyColors val="1"/>
        <c:ser>
          <c:idx val="0"/>
          <c:order val="0"/>
          <c:tx>
            <c:strRef>
              <c:f>'Sheet1 (2)'!$B$1</c:f>
              <c:strCache>
                <c:ptCount val="1"/>
                <c:pt idx="0">
                  <c:v>收入</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strCache>
            </c:strRef>
          </c:cat>
          <c:val>
            <c:numRef>
              <c:f>'Sheet1 (2)'!$B$2:$B$3</c:f>
              <c:numCache>
                <c:formatCode>General</c:formatCode>
                <c:ptCount val="2"/>
                <c:pt idx="0">
                  <c:v>209.28</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支出决算结构图（万元）</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171.55</c:v>
                </c:pt>
                <c:pt idx="1">
                  <c:v>37.73</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AR PL UKai CN"/>
                <a:ea typeface="AR PL UKai CN"/>
                <a:cs typeface="Lucida Sans" panose="020B0602030504020204"/>
              </a:defRPr>
            </a:pPr>
            <a:r>
              <a:rPr lang="zh-CN" sz="1400" b="0" i="0" u="none" strike="noStrike" baseline="0">
                <a:solidFill>
                  <a:srgbClr val="595959"/>
                </a:solidFill>
                <a:latin typeface="AR PL UKai CN"/>
                <a:ea typeface="AR PL UKai CN"/>
                <a:cs typeface="Lucida Sans" panose="020B0602030504020204"/>
              </a:rPr>
              <a:t>202</a:t>
            </a:r>
            <a:r>
              <a:rPr lang="en-US" altLang="zh-CN" sz="1400" b="0" i="0" u="none" strike="noStrike" baseline="0">
                <a:solidFill>
                  <a:srgbClr val="595959"/>
                </a:solidFill>
                <a:latin typeface="AR PL UKai CN"/>
                <a:ea typeface="AR PL UKai CN"/>
                <a:cs typeface="Lucida Sans" panose="020B0602030504020204"/>
              </a:rPr>
              <a:t>1</a:t>
            </a:r>
            <a:r>
              <a:rPr lang="zh-CN" sz="1400" b="0" i="0" u="none" strike="noStrike" baseline="0">
                <a:solidFill>
                  <a:srgbClr val="595959"/>
                </a:solidFill>
                <a:latin typeface="AR PL UKai CN"/>
                <a:ea typeface="AR PL UKai CN"/>
                <a:cs typeface="Lucida Sans" panose="020B0602030504020204"/>
              </a:rPr>
              <a:t>、202</a:t>
            </a:r>
            <a:r>
              <a:rPr lang="en-US" altLang="zh-CN" sz="1400" b="0" i="0" u="none" strike="noStrike" baseline="0">
                <a:solidFill>
                  <a:srgbClr val="595959"/>
                </a:solidFill>
                <a:latin typeface="AR PL UKai CN"/>
                <a:ea typeface="AR PL UKai CN"/>
                <a:cs typeface="Lucida Sans" panose="020B0602030504020204"/>
              </a:rPr>
              <a:t>2</a:t>
            </a:r>
            <a:r>
              <a:rPr lang="zh-CN" sz="1400" b="0" i="0" u="none" strike="noStrike" baseline="0">
                <a:solidFill>
                  <a:srgbClr val="595959"/>
                </a:solidFill>
                <a:latin typeface="AR PL UKai CN"/>
                <a:ea typeface="AR PL UKai CN"/>
                <a:cs typeface="Lucida Sans" panose="020B0602030504020204"/>
              </a:rPr>
              <a:t>年度财政拨款收、支决算总计变动情况表</a:t>
            </a:r>
            <a:endParaRPr lang="zh-CN" sz="1400" b="0" i="0" u="none" strike="noStrike" baseline="0">
              <a:solidFill>
                <a:srgbClr val="595959"/>
              </a:solidFill>
              <a:latin typeface="AR PL UKai CN"/>
              <a:ea typeface="AR PL UKai CN"/>
              <a:cs typeface="Lucida Sans" panose="020B0602030504020204"/>
            </a:endParaRPr>
          </a:p>
        </c:rich>
      </c:tx>
      <c:layout>
        <c:manualLayout>
          <c:xMode val="edge"/>
          <c:yMode val="edge"/>
          <c:x val="0.108222901800883"/>
          <c:y val="0.00791974656810982"/>
        </c:manualLayout>
      </c:layout>
      <c:overlay val="0"/>
      <c:spPr>
        <a:noFill/>
        <a:ln>
          <a:noFill/>
        </a:ln>
      </c:spPr>
    </c:title>
    <c:autoTitleDeleted val="0"/>
    <c:plotArea>
      <c:layout>
        <c:manualLayout>
          <c:layoutTarget val="inner"/>
          <c:xMode val="edge"/>
          <c:yMode val="edge"/>
          <c:x val="0.119931914"/>
          <c:y val="0.28207192"/>
          <c:w val="0.8553872"/>
          <c:h val="0.46629092"/>
        </c:manualLayout>
      </c:layout>
      <c:barChart>
        <c:barDir val="col"/>
        <c:grouping val="clustered"/>
        <c:varyColors val="0"/>
        <c:ser>
          <c:idx val="0"/>
          <c:order val="0"/>
          <c:tx>
            <c:strRef>
              <c:f>'Sheet1 (4)'!$B$1</c:f>
              <c:strCache>
                <c:ptCount val="1"/>
                <c:pt idx="0">
                  <c:v>收入</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(4)'!$A$2:$A$3</c:f>
              <c:strCache>
                <c:ptCount val="2"/>
                <c:pt idx="0">
                  <c:v>2021年</c:v>
                </c:pt>
                <c:pt idx="1">
                  <c:v>2022年</c:v>
                </c:pt>
              </c:strCache>
            </c:strRef>
          </c:cat>
          <c:val>
            <c:numRef>
              <c:f>'Sheet1 (4)'!$B$2:$B$3</c:f>
              <c:numCache>
                <c:formatCode>General</c:formatCode>
                <c:ptCount val="2"/>
                <c:pt idx="0">
                  <c:v>186.65</c:v>
                </c:pt>
                <c:pt idx="1">
                  <c:v>209.28</c:v>
                </c:pt>
              </c:numCache>
            </c:numRef>
          </c:val>
        </c:ser>
        <c:ser>
          <c:idx val="1"/>
          <c:order val="1"/>
          <c:spPr>
            <a:solidFill>
              <a:srgbClr val="C0504D"/>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(4)'!$A$2:$A$3</c:f>
              <c:strCache>
                <c:ptCount val="2"/>
                <c:pt idx="0">
                  <c:v>2021年</c:v>
                </c:pt>
                <c:pt idx="1">
                  <c:v>2022年</c:v>
                </c:pt>
              </c:strCache>
            </c:strRef>
          </c:cat>
          <c:val>
            <c:numRef>
              <c:f>{1}</c:f>
              <c:numCache>
                <c:formatCode>General</c:formatCode>
                <c:ptCount val="1"/>
                <c:pt idx="0">
                  <c:v>1</c:v>
                </c:pt>
              </c:numCache>
            </c:numRef>
          </c:val>
        </c:ser>
        <c:ser>
          <c:idx val="2"/>
          <c:order val="2"/>
          <c:tx>
            <c:strRef>
              <c:f>'Sheet1 (4)'!$C$1</c:f>
              <c:strCache>
                <c:ptCount val="1"/>
                <c:pt idx="0">
                  <c:v>支出</c:v>
                </c:pt>
              </c:strCache>
            </c:strRef>
          </c:tx>
          <c:spPr>
            <a:solidFill>
              <a:srgbClr val="9BBB59"/>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(4)'!$A$2:$A$3</c:f>
              <c:strCache>
                <c:ptCount val="2"/>
                <c:pt idx="0">
                  <c:v>2021年</c:v>
                </c:pt>
                <c:pt idx="1">
                  <c:v>2022年</c:v>
                </c:pt>
              </c:strCache>
            </c:strRef>
          </c:cat>
          <c:val>
            <c:numRef>
              <c:f>'Sheet1 (4)'!$C$2:$C$3</c:f>
              <c:numCache>
                <c:formatCode>General</c:formatCode>
                <c:ptCount val="2"/>
                <c:pt idx="0">
                  <c:v>186.65</c:v>
                </c:pt>
                <c:pt idx="1">
                  <c:v>209.28</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0"/>
        <c:crossesAt val="1"/>
        <c:crossBetween val="between"/>
      </c:valAx>
      <c:spPr>
        <a:noFill/>
        <a:ln>
          <a:noFill/>
        </a:ln>
      </c:spPr>
    </c:plotArea>
    <c:legend>
      <c:legendPos val="b"/>
      <c:legendEntry>
        <c:idx val="1"/>
        <c:delete val="1"/>
      </c:legendEntry>
      <c:layout>
        <c:manualLayout>
          <c:xMode val="edge"/>
          <c:yMode val="edge"/>
          <c:x val="0.345875"/>
          <c:y val="0.93916667"/>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一般公共预算财政拨款支出决算变动情况表</a:t>
            </a:r>
            <a:endParaRPr lang="zh-CN"/>
          </a:p>
        </c:rich>
      </c:tx>
      <c:layout>
        <c:manualLayout>
          <c:xMode val="edge"/>
          <c:yMode val="edge"/>
          <c:x val="0.0790812"/>
          <c:y val="0.7020897"/>
        </c:manualLayout>
      </c:layout>
      <c:overlay val="0"/>
      <c:spPr>
        <a:solidFill>
          <a:srgbClr val="FFFFFF"/>
        </a:solidFill>
        <a:ln>
          <a:noFill/>
        </a:ln>
      </c:spPr>
    </c:title>
    <c:autoTitleDeleted val="0"/>
    <c:plotArea>
      <c:layout>
        <c:manualLayout>
          <c:layoutTarget val="inner"/>
          <c:xMode val="edge"/>
          <c:yMode val="edge"/>
          <c:x val="0.09802726"/>
          <c:y val="0.16993031"/>
          <c:w val="0.89659256"/>
          <c:h val="0.43557915"/>
        </c:manualLayout>
      </c:layout>
      <c:barChart>
        <c:barDir val="col"/>
        <c:grouping val="clustered"/>
        <c:varyColors val="0"/>
        <c:ser>
          <c:idx val="0"/>
          <c:order val="0"/>
          <c:spPr>
            <a:solidFill>
              <a:srgbClr val="4F81BD"/>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2021年</c:v>
                </c:pt>
                <c:pt idx="1">
                  <c:v>2022年</c:v>
                </c:pt>
              </c:strCache>
            </c:strRef>
          </c:cat>
          <c:val>
            <c:numRef>
              <c:f>{1}</c:f>
              <c:numCache>
                <c:formatCode>General</c:formatCode>
                <c:ptCount val="1"/>
                <c:pt idx="0">
                  <c:v>1</c:v>
                </c:pt>
              </c:numCache>
            </c:numRef>
          </c:val>
        </c:ser>
        <c:ser>
          <c:idx val="1"/>
          <c:order val="1"/>
          <c:spPr>
            <a:solidFill>
              <a:srgbClr val="C0504D"/>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2021年</c:v>
                </c:pt>
                <c:pt idx="1">
                  <c:v>2022年</c:v>
                </c:pt>
              </c:strCache>
            </c:strRef>
          </c:cat>
          <c:val>
            <c:numRef>
              <c:f>{1}</c:f>
              <c:numCache>
                <c:formatCode>General</c:formatCode>
                <c:ptCount val="1"/>
                <c:pt idx="0">
                  <c:v>1</c:v>
                </c:pt>
              </c:numCache>
            </c:numRef>
          </c:val>
        </c:ser>
        <c:ser>
          <c:idx val="2"/>
          <c:order val="2"/>
          <c:tx>
            <c:strRef>
              <c:f>'Sheet1 (5)'!$B$1</c:f>
              <c:strCache>
                <c:ptCount val="1"/>
                <c:pt idx="0">
                  <c:v>支出</c:v>
                </c:pt>
              </c:strCache>
            </c:strRef>
          </c:tx>
          <c:spPr>
            <a:solidFill>
              <a:srgbClr val="9BBB59"/>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2021年</c:v>
                </c:pt>
                <c:pt idx="1">
                  <c:v>2022年</c:v>
                </c:pt>
              </c:strCache>
            </c:strRef>
          </c:cat>
          <c:val>
            <c:numRef>
              <c:f>'Sheet1 (5)'!$B$2:$B$3</c:f>
              <c:numCache>
                <c:formatCode>General</c:formatCode>
                <c:ptCount val="2"/>
                <c:pt idx="0">
                  <c:v>186.65</c:v>
                </c:pt>
                <c:pt idx="1">
                  <c:v>209.28</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0"/>
        <c:crossesAt val="1"/>
        <c:crossBetween val="between"/>
      </c:valAx>
      <c:spPr>
        <a:noFill/>
        <a:ln>
          <a:noFill/>
        </a:ln>
      </c:spPr>
    </c:plotArea>
    <c:legend>
      <c:legendPos val="b"/>
      <c:legendEntry>
        <c:idx val="0"/>
        <c:delete val="1"/>
      </c:legendEntry>
      <c:legendEntry>
        <c:idx val="1"/>
        <c:delete val="1"/>
      </c:legendEntry>
      <c:layout>
        <c:manualLayout>
          <c:xMode val="edge"/>
          <c:yMode val="edge"/>
          <c:x val="0.5567893"/>
          <c:y val="0.027522936"/>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0" i="0" u="none" strike="noStrike" kern="1200" baseline="0">
                <a:solidFill>
                  <a:srgbClr val="595959"/>
                </a:solidFill>
                <a:latin typeface="AR PL UKai CN"/>
                <a:ea typeface="AR PL UKai CN"/>
                <a:cs typeface="Lucida Sans" panose="020B0602030504020204"/>
              </a:defRPr>
            </a:pPr>
            <a:r>
              <a:rPr lang="zh-CN"/>
              <a:t>一般公共预算财政拨款支出决算结构图</a:t>
            </a:r>
            <a:endParaRPr lang="zh-CN"/>
          </a:p>
        </c:rich>
      </c:tx>
      <c:layout>
        <c:manualLayout>
          <c:xMode val="edge"/>
          <c:yMode val="edge"/>
          <c:x val="0.14316595"/>
          <c:y val="0.03624094"/>
        </c:manualLayout>
      </c:layout>
      <c:overlay val="0"/>
      <c:spPr>
        <a:noFill/>
        <a:ln>
          <a:noFill/>
        </a:ln>
      </c:spPr>
    </c:title>
    <c:autoTitleDeleted val="0"/>
    <c:plotArea>
      <c:layout>
        <c:manualLayout>
          <c:layoutTarget val="inner"/>
          <c:xMode val="edge"/>
          <c:yMode val="edge"/>
          <c:x val="0.1909375"/>
          <c:y val="0.23416667"/>
          <c:w val="0.570625"/>
          <c:h val="0.7608333"/>
        </c:manualLayout>
      </c:layout>
      <c:pieChart>
        <c:varyColors val="1"/>
        <c:ser>
          <c:idx val="0"/>
          <c:order val="0"/>
          <c:tx>
            <c:strRef>
              <c:f>'Sheet1 (6)'!$B$1</c:f>
              <c:strCache>
                <c:ptCount val="1"/>
                <c:pt idx="0">
                  <c:v>支出</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(6)'!$A$2:$A$5</c:f>
              <c:strCache>
                <c:ptCount val="4"/>
                <c:pt idx="0">
                  <c:v>一般公共服务</c:v>
                </c:pt>
                <c:pt idx="1">
                  <c:v>社会保障和就业</c:v>
                </c:pt>
                <c:pt idx="2">
                  <c:v>卫生健康</c:v>
                </c:pt>
                <c:pt idx="3">
                  <c:v>住房保障</c:v>
                </c:pt>
              </c:strCache>
            </c:strRef>
          </c:cat>
          <c:val>
            <c:numRef>
              <c:f>'Sheet1 (6)'!$B$2:$B$5</c:f>
              <c:numCache>
                <c:formatCode>General</c:formatCode>
                <c:ptCount val="4"/>
                <c:pt idx="0">
                  <c:v>167.43</c:v>
                </c:pt>
                <c:pt idx="1">
                  <c:v>20.67</c:v>
                </c:pt>
                <c:pt idx="2">
                  <c:v>9.17</c:v>
                </c:pt>
                <c:pt idx="3">
                  <c:v>12.01</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egendEntry>
        <c:idx val="0"/>
        <c:txPr>
          <a:bodyPr rot="0" spcFirstLastPara="0" vertOverflow="ellipsis" vert="horz" wrap="square" anchor="ctr" anchorCtr="1"/>
          <a:lstStyle/>
          <a:p>
            <a:pPr>
              <a:defRPr lang="zh-CN" sz="800" b="0" i="0" u="none" strike="noStrike" kern="1200" baseline="0">
                <a:solidFill>
                  <a:srgbClr val="595959"/>
                </a:solidFill>
                <a:latin typeface="AR PL UKai CN"/>
                <a:ea typeface="AR PL UKai CN"/>
                <a:cs typeface="Lucida Sans" panose="020B0602030504020204"/>
              </a:defRPr>
            </a:pPr>
          </a:p>
        </c:txPr>
      </c:legendEntry>
      <c:legendEntry>
        <c:idx val="1"/>
        <c:txPr>
          <a:bodyPr rot="0" spcFirstLastPara="0" vertOverflow="ellipsis" vert="horz" wrap="square" anchor="ctr" anchorCtr="1"/>
          <a:lstStyle/>
          <a:p>
            <a:pPr>
              <a:defRPr lang="zh-CN" sz="800" b="0" i="0" u="none" strike="noStrike" kern="1200" baseline="0">
                <a:solidFill>
                  <a:srgbClr val="595959"/>
                </a:solidFill>
                <a:latin typeface="AR PL UKai CN"/>
                <a:ea typeface="AR PL UKai CN"/>
                <a:cs typeface="Lucida Sans" panose="020B0602030504020204"/>
              </a:defRPr>
            </a:pPr>
          </a:p>
        </c:txPr>
      </c:legendEntry>
      <c:legendEntry>
        <c:idx val="2"/>
        <c:txPr>
          <a:bodyPr rot="0" spcFirstLastPara="0" vertOverflow="ellipsis" vert="horz" wrap="square" anchor="ctr" anchorCtr="1"/>
          <a:lstStyle/>
          <a:p>
            <a:pPr>
              <a:defRPr lang="zh-CN" sz="800" b="0" i="0" u="none" strike="noStrike" kern="1200" baseline="0">
                <a:solidFill>
                  <a:srgbClr val="595959"/>
                </a:solidFill>
                <a:latin typeface="AR PL UKai CN"/>
                <a:ea typeface="AR PL UKai CN"/>
                <a:cs typeface="Lucida Sans" panose="020B0602030504020204"/>
              </a:defRPr>
            </a:pPr>
          </a:p>
        </c:txPr>
      </c:legendEntry>
      <c:legendEntry>
        <c:idx val="3"/>
        <c:txPr>
          <a:bodyPr rot="0" spcFirstLastPara="0" vertOverflow="ellipsis" vert="horz" wrap="square" anchor="ctr" anchorCtr="1"/>
          <a:lstStyle/>
          <a:p>
            <a:pPr>
              <a:defRPr lang="zh-CN" sz="800" b="0" i="0" u="none" strike="noStrike" kern="1200" baseline="0">
                <a:solidFill>
                  <a:srgbClr val="595959"/>
                </a:solidFill>
                <a:latin typeface="AR PL UKai CN"/>
                <a:ea typeface="AR PL UKai CN"/>
                <a:cs typeface="Lucida Sans" panose="020B0602030504020204"/>
              </a:defRPr>
            </a:pPr>
          </a:p>
        </c:txPr>
      </c:legendEntry>
      <c:layout>
        <c:manualLayout>
          <c:xMode val="edge"/>
          <c:yMode val="edge"/>
          <c:x val="0.087795146"/>
          <c:y val="0.8867783"/>
          <c:w val="0.90688396"/>
          <c:h val="0.08322919"/>
        </c:manualLayout>
      </c:layout>
      <c:overlay val="0"/>
      <c:spPr>
        <a:noFill/>
        <a:ln>
          <a:noFill/>
        </a:ln>
      </c:spPr>
      <c:txPr>
        <a:bodyPr rot="0" spcFirstLastPara="0" vertOverflow="ellipsis" vert="horz" wrap="square" anchor="ctr" anchorCtr="1"/>
        <a:lstStyle/>
        <a:p>
          <a:pPr>
            <a:defRPr lang="zh-CN" sz="8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21</Pages>
  <Words>5549</Words>
  <Characters>6090</Characters>
  <Lines>44</Lines>
  <Paragraphs>12</Paragraphs>
  <TotalTime>1</TotalTime>
  <ScaleCrop>false</ScaleCrop>
  <LinksUpToDate>false</LinksUpToDate>
  <CharactersWithSpaces>6126</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Administrator</cp:lastModifiedBy>
  <cp:lastPrinted>2022-12-12T05:55:00Z</cp:lastPrinted>
  <dcterms:modified xsi:type="dcterms:W3CDTF">2023-10-30T13:07:10Z</dcterms:modified>
  <dc:title>四川省***</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ICV">
    <vt:lpwstr>CF33FCAEC1174719B93A9C51217DF6B4</vt:lpwstr>
  </property>
</Properties>
</file>