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jc w:val="center"/>
        <w:outlineLvl w:val="0"/>
        <w:rPr>
          <w:rFonts w:ascii="方正小标宋简体" w:eastAsia="方正小标宋简体"/>
          <w:sz w:val="72"/>
          <w:szCs w:val="72"/>
        </w:rPr>
      </w:pPr>
      <w:bookmarkStart w:id="0" w:name="_Toc15306267"/>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方正小标宋简体" w:eastAsia="方正小标宋简体" w:cs="方正小标宋简体"/>
          <w:sz w:val="72"/>
          <w:szCs w:val="72"/>
        </w:rPr>
      </w:pPr>
      <w:bookmarkStart w:id="1" w:name="_Toc15378441"/>
      <w:bookmarkStart w:id="2" w:name="_Toc15377193"/>
      <w:bookmarkStart w:id="3" w:name="_Toc15377425"/>
      <w:bookmarkStart w:id="4" w:name="_Toc15396597"/>
      <w:bookmarkStart w:id="5" w:name="_Toc15396475"/>
      <w:r>
        <w:rPr>
          <w:rFonts w:hint="eastAsia" w:ascii="方正小标宋简体" w:eastAsia="方正小标宋简体" w:cs="方正小标宋简体"/>
          <w:sz w:val="72"/>
          <w:szCs w:val="72"/>
        </w:rPr>
        <w:t>2021年度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方正小标宋简体" w:eastAsia="方正小标宋简体" w:cs="方正小标宋简体"/>
          <w:sz w:val="72"/>
          <w:szCs w:val="72"/>
        </w:rPr>
      </w:pPr>
      <w:bookmarkStart w:id="6" w:name="_Toc15377194"/>
      <w:bookmarkStart w:id="7" w:name="_Toc15377426"/>
      <w:bookmarkStart w:id="8" w:name="_Toc15396476"/>
      <w:bookmarkStart w:id="9" w:name="_Toc15378442"/>
      <w:bookmarkStart w:id="10" w:name="_Toc15396598"/>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lang w:eastAsia="zh-CN"/>
        </w:rPr>
        <w:t>红原县委县政府联动指挥中心</w:t>
      </w:r>
      <w:r>
        <w:rPr>
          <w:rFonts w:hint="eastAsia" w:ascii="方正小标宋简体" w:eastAsia="方正小标宋简体" w:cs="方正小标宋简体"/>
          <w:sz w:val="72"/>
          <w:szCs w:val="72"/>
        </w:rPr>
        <w:t>单位决算</w:t>
      </w:r>
      <w:bookmarkEnd w:id="6"/>
      <w:bookmarkEnd w:id="7"/>
      <w:bookmarkEnd w:id="8"/>
      <w:bookmarkEnd w:id="9"/>
      <w:bookmarkEnd w:id="10"/>
      <w:bookmarkEnd w:id="11"/>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jc w:val="center"/>
        <w:rPr>
          <w:rFonts w:hint="eastAsia" w:cs="仿宋_GB2312"/>
          <w:sz w:val="32"/>
          <w:szCs w:val="32"/>
        </w:rPr>
      </w:pPr>
      <w:bookmarkStart w:id="12" w:name="_Hlk113547609"/>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both"/>
        <w:rPr>
          <w:rFonts w:hint="eastAsia" w:cs="仿宋_GB2312"/>
          <w:sz w:val="32"/>
          <w:szCs w:val="32"/>
        </w:rPr>
      </w:pPr>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2"/>
    </w:p>
    <w:p>
      <w:pPr>
        <w:pStyle w:val="10"/>
        <w:pageBreakBefore w:val="0"/>
        <w:kinsoku/>
        <w:wordWrap/>
        <w:overflowPunct/>
        <w:topLinePunct w:val="0"/>
        <w:bidi w:val="0"/>
        <w:spacing w:line="576" w:lineRule="exact"/>
        <w:rPr>
          <w:rFonts w:hint="eastAsia"/>
        </w:rPr>
      </w:pPr>
    </w:p>
    <w:p>
      <w:pPr>
        <w:pStyle w:val="10"/>
        <w:pageBreakBefore w:val="0"/>
        <w:kinsoku/>
        <w:wordWrap/>
        <w:overflowPunct/>
        <w:topLinePunct w:val="0"/>
        <w:bidi w:val="0"/>
        <w:spacing w:line="576" w:lineRule="exact"/>
        <w:rPr>
          <w:rFonts w:hint="eastAsia"/>
        </w:rPr>
      </w:pPr>
    </w:p>
    <w:p>
      <w:pPr>
        <w:pStyle w:val="10"/>
        <w:pageBreakBefore w:val="0"/>
        <w:kinsoku/>
        <w:wordWrap/>
        <w:overflowPunct/>
        <w:topLinePunct w:val="0"/>
        <w:bidi w:val="0"/>
        <w:spacing w:line="576" w:lineRule="exact"/>
        <w:rPr>
          <w:rFonts w:hint="eastAsia"/>
        </w:rPr>
      </w:pPr>
    </w:p>
    <w:p>
      <w:pPr>
        <w:pStyle w:val="10"/>
        <w:pageBreakBefore w:val="0"/>
        <w:kinsoku/>
        <w:wordWrap/>
        <w:overflowPunct/>
        <w:topLinePunct w:val="0"/>
        <w:bidi w:val="0"/>
        <w:spacing w:line="576" w:lineRule="exact"/>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公开时间：2022年</w:t>
      </w:r>
      <w:r>
        <w:rPr>
          <w:rFonts w:hint="eastAsia" w:ascii="方正楷体_GBK" w:hAnsi="方正楷体_GBK" w:eastAsia="方正楷体_GBK" w:cs="方正楷体_GBK"/>
          <w:b/>
          <w:bCs/>
          <w:sz w:val="32"/>
          <w:szCs w:val="32"/>
          <w:lang w:val="en-US" w:eastAsia="zh-CN"/>
        </w:rPr>
        <w:t>12</w:t>
      </w:r>
      <w:r>
        <w:rPr>
          <w:rFonts w:hint="eastAsia" w:ascii="方正楷体_GBK" w:hAnsi="方正楷体_GBK" w:eastAsia="方正楷体_GBK" w:cs="方正楷体_GBK"/>
          <w:b/>
          <w:bCs/>
          <w:sz w:val="32"/>
          <w:szCs w:val="32"/>
        </w:rPr>
        <w:t>月</w:t>
      </w:r>
      <w:r>
        <w:rPr>
          <w:rFonts w:hint="eastAsia" w:ascii="方正楷体_GBK" w:hAnsi="方正楷体_GBK" w:eastAsia="方正楷体_GBK" w:cs="方正楷体_GBK"/>
          <w:b/>
          <w:bCs/>
          <w:sz w:val="32"/>
          <w:szCs w:val="32"/>
          <w:lang w:val="en-US" w:eastAsia="zh-CN"/>
        </w:rPr>
        <w:t>13</w:t>
      </w:r>
      <w:r>
        <w:rPr>
          <w:rFonts w:hint="eastAsia" w:ascii="方正楷体_GBK" w:hAnsi="方正楷体_GBK" w:eastAsia="方正楷体_GBK" w:cs="方正楷体_GBK"/>
          <w:b/>
          <w:bCs/>
          <w:sz w:val="32"/>
          <w:szCs w:val="32"/>
        </w:rPr>
        <w:t>日</w:t>
      </w:r>
    </w:p>
    <w:p>
      <w:pPr>
        <w:pageBreakBefore w:val="0"/>
        <w:widowControl/>
        <w:kinsoku/>
        <w:wordWrap/>
        <w:overflowPunct/>
        <w:topLinePunct w:val="0"/>
        <w:bidi w:val="0"/>
        <w:spacing w:line="576" w:lineRule="exact"/>
        <w:jc w:val="center"/>
        <w:rPr>
          <w:rFonts w:ascii="黑体" w:eastAsia="黑体"/>
          <w:sz w:val="48"/>
          <w:szCs w:val="48"/>
        </w:rPr>
      </w:pPr>
      <w:r>
        <w:rPr>
          <w:rFonts w:ascii="方正小标宋简体" w:eastAsia="方正小标宋简体"/>
          <w:sz w:val="36"/>
          <w:szCs w:val="36"/>
        </w:rPr>
        <w:br w:type="page"/>
      </w: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ageBreakBefore w:val="0"/>
        <w:widowControl/>
        <w:kinsoku/>
        <w:wordWrap/>
        <w:overflowPunct/>
        <w:topLinePunct w:val="0"/>
        <w:bidi w:val="0"/>
        <w:spacing w:line="576" w:lineRule="exact"/>
        <w:jc w:val="center"/>
        <w:rPr>
          <w:rFonts w:ascii="黑体" w:eastAsia="黑体" w:cs="Arial"/>
          <w:sz w:val="28"/>
          <w:szCs w:val="28"/>
        </w:rPr>
      </w:pP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第一部分 单位概况</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一、职能简介</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二、2021年重点工作完成情况</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第二部分 2021年度单位决算情况说明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三、支出决算情况说明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七、“三公”经费财政拨款支出决算情况说明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八、政府性基金预算支出决算情况说明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九、国有资本经营预算支出决算情况说明</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十、其他重要事项的情况说明</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第三部分 名词解释</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第四部分 附件</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第五部分 附表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五、财政拨款支出决算明细表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七、一般公共预算财政拨款支出决算明细表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八、一般公共预算财政拨款基本支出决算表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九、一般公共预算财政拨款项目支出决算表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十、一般公共预算财政拨款“三公”经费支出决算表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十一、政府性基金预算财政拨款收入支出决算表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十二、政府性基金预算财政拨款“三公”经费支出决算表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十三、国有资本经营预算财政拨款收入支出决算表</w:t>
      </w:r>
    </w:p>
    <w:p>
      <w:pPr>
        <w:pStyle w:val="11"/>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十四、国有资本经营预算财政拨款支出决算表</w:t>
      </w:r>
    </w:p>
    <w:p>
      <w:pPr>
        <w:pageBreakBefore w:val="0"/>
        <w:widowControl/>
        <w:kinsoku/>
        <w:wordWrap/>
        <w:overflowPunct/>
        <w:topLinePunct w:val="0"/>
        <w:bidi w:val="0"/>
        <w:spacing w:line="576" w:lineRule="exact"/>
        <w:jc w:val="left"/>
        <w:rPr>
          <w:rFonts w:ascii="仿宋" w:eastAsia="仿宋"/>
          <w:bCs/>
          <w:kern w:val="44"/>
          <w:sz w:val="24"/>
        </w:rPr>
      </w:pPr>
      <w:bookmarkStart w:id="13" w:name="_Toc15377196"/>
      <w:bookmarkStart w:id="14" w:name="_Toc15396599"/>
      <w:r>
        <w:rPr>
          <w:rFonts w:ascii="仿宋" w:eastAsia="仿宋"/>
          <w:b/>
          <w:sz w:val="24"/>
        </w:rPr>
        <w:br w:type="page"/>
      </w:r>
    </w:p>
    <w:p>
      <w:pPr>
        <w:pStyle w:val="3"/>
        <w:keepNext/>
        <w:keepLines/>
        <w:pageBreakBefore w:val="0"/>
        <w:widowControl w:val="0"/>
        <w:kinsoku/>
        <w:wordWrap/>
        <w:overflowPunct/>
        <w:topLinePunct w:val="0"/>
        <w:autoSpaceDE/>
        <w:autoSpaceDN/>
        <w:bidi w:val="0"/>
        <w:adjustRightInd/>
        <w:snapToGrid/>
        <w:spacing w:before="0" w:after="0" w:line="576" w:lineRule="exact"/>
        <w:jc w:val="center"/>
        <w:textAlignment w:val="auto"/>
        <w:rPr>
          <w:rStyle w:val="16"/>
          <w:rFonts w:hint="eastAsia" w:ascii="方正小标宋_GBK" w:hAnsi="方正小标宋_GBK" w:eastAsia="方正小标宋_GBK" w:cs="方正小标宋_GBK"/>
          <w:b/>
          <w:bCs w:val="0"/>
        </w:rPr>
      </w:pPr>
      <w:r>
        <w:rPr>
          <w:rFonts w:hint="eastAsia" w:ascii="方正小标宋_GBK" w:hAnsi="方正小标宋_GBK" w:eastAsia="方正小标宋_GBK" w:cs="方正小标宋_GBK"/>
          <w:b w:val="0"/>
        </w:rPr>
        <w:t>第一部分 单位</w:t>
      </w:r>
      <w:r>
        <w:rPr>
          <w:rStyle w:val="16"/>
          <w:rFonts w:hint="eastAsia" w:ascii="方正小标宋_GBK" w:hAnsi="方正小标宋_GBK" w:eastAsia="方正小标宋_GBK" w:cs="方正小标宋_GBK"/>
          <w:b w:val="0"/>
          <w:bCs w:val="0"/>
        </w:rPr>
        <w:t>概况</w:t>
      </w:r>
      <w:bookmarkEnd w:id="13"/>
      <w:bookmarkEnd w:id="14"/>
    </w:p>
    <w:p>
      <w:pPr>
        <w:pageBreakBefore w:val="0"/>
        <w:widowControl/>
        <w:kinsoku/>
        <w:wordWrap/>
        <w:overflowPunct/>
        <w:topLinePunct w:val="0"/>
        <w:bidi w:val="0"/>
        <w:spacing w:line="576" w:lineRule="exact"/>
        <w:jc w:val="left"/>
        <w:rPr>
          <w:rFonts w:ascii="黑体" w:eastAsia="黑体"/>
          <w:sz w:val="32"/>
          <w:szCs w:val="32"/>
        </w:rPr>
      </w:pPr>
    </w:p>
    <w:p>
      <w:pPr>
        <w:pStyle w:val="4"/>
        <w:pageBreakBefore w:val="0"/>
        <w:numPr>
          <w:ilvl w:val="0"/>
          <w:numId w:val="1"/>
        </w:numPr>
        <w:kinsoku/>
        <w:wordWrap/>
        <w:overflowPunct/>
        <w:topLinePunct w:val="0"/>
        <w:bidi w:val="0"/>
        <w:spacing w:line="576" w:lineRule="exact"/>
        <w:rPr>
          <w:rStyle w:val="17"/>
          <w:rFonts w:hint="eastAsia" w:ascii="黑体" w:eastAsia="黑体"/>
          <w:b w:val="0"/>
          <w:bCs w:val="0"/>
        </w:rPr>
      </w:pPr>
      <w:bookmarkStart w:id="15" w:name="_Toc15396600"/>
      <w:bookmarkStart w:id="16" w:name="_Toc15377197"/>
      <w:r>
        <w:rPr>
          <w:rStyle w:val="17"/>
          <w:rFonts w:hint="eastAsia" w:ascii="黑体" w:eastAsia="黑体"/>
          <w:b w:val="0"/>
          <w:bCs w:val="0"/>
        </w:rPr>
        <w:t>职能简介</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3" w:firstLineChars="200"/>
        <w:jc w:val="both"/>
        <w:outlineLvl w:val="2"/>
        <w:rPr>
          <w:rFonts w:hint="default" w:ascii="楷体_GB2312" w:eastAsia="楷体_GB2312" w:cs="楷体_GB2312"/>
          <w:b/>
          <w:bCs/>
          <w:kern w:val="0"/>
          <w:sz w:val="32"/>
          <w:szCs w:val="32"/>
        </w:rPr>
      </w:pPr>
      <w:r>
        <w:rPr>
          <w:rFonts w:hint="default" w:ascii="楷体_GB2312" w:eastAsia="楷体_GB2312" w:cs="楷体_GB2312"/>
          <w:b/>
          <w:bCs/>
          <w:kern w:val="0"/>
          <w:sz w:val="32"/>
          <w:szCs w:val="32"/>
          <w:shd w:val="clear" w:fill="FFFFFF"/>
        </w:rPr>
        <w:t>（一）主要职能。</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（1）受县委、县政府的委托、代表县联动指挥中心行使应急指挥权利；</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（2）负责对中心入驻的六大中心工作人员的管理，负责对七大平台数据的收集和分析研判，并代表县委、政府和县联动指挥中心对重大事件和突发事件的应急指挥工作；</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（3）负责组织督促；落实县委、县政府和县联动指挥中心下达的指令或工作安排部署，根据工作的实际情况和需要，适时召开联动部门工作协调会，研究解决有关联动服务事宜和问题；</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（4）负责对重要信息的收集、报送工作，对全县应急处突、渉稳事件、安全生产急救、自然灾害等重大事件的协调工作，同时做好处置工作记录，并逐日归类汇总并备案；</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（5）负责组织、督促有关部门抓好民生服务工作，矛盾纠纷排查化解工作。开展调查研究，对重大情况和问题应及时进行分析研判，并向县政府提交研判报告；</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（6）负责建立健全联动指挥中心各项规章制度；</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7）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作人员开展相关工作。</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b w:val="0"/>
          <w:bCs w:val="0"/>
          <w:kern w:val="0"/>
          <w:sz w:val="32"/>
          <w:szCs w:val="32"/>
        </w:rPr>
        <w:t>（8）负责做好县委、政府临时交办的各项工作任务。</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3" w:firstLineChars="200"/>
        <w:jc w:val="both"/>
        <w:outlineLvl w:val="1"/>
        <w:rPr>
          <w:rFonts w:hint="eastAsia" w:ascii="黑体" w:hAnsi="宋体" w:eastAsia="黑体" w:cs="黑体"/>
          <w:b/>
          <w:bCs/>
          <w:sz w:val="32"/>
          <w:szCs w:val="32"/>
          <w:shd w:val="clear" w:fill="FFFFFF"/>
        </w:rPr>
      </w:pPr>
      <w:bookmarkStart w:id="17" w:name="_Toc7522"/>
      <w:bookmarkEnd w:id="17"/>
      <w:bookmarkStart w:id="18" w:name="_Toc19082"/>
      <w:bookmarkEnd w:id="18"/>
      <w:r>
        <w:rPr>
          <w:rFonts w:hint="eastAsia" w:ascii="楷体_GB2312" w:eastAsia="楷体_GB2312" w:cs="楷体_GB2312"/>
          <w:b/>
          <w:bCs/>
          <w:kern w:val="0"/>
          <w:sz w:val="32"/>
          <w:szCs w:val="32"/>
          <w:shd w:val="clear" w:fill="FFFFFF"/>
          <w:lang w:eastAsia="zh-CN"/>
        </w:rPr>
        <w:t>（二）</w:t>
      </w:r>
      <w:r>
        <w:rPr>
          <w:rFonts w:hint="eastAsia" w:ascii="楷体_GB2312" w:eastAsia="楷体_GB2312" w:cs="楷体_GB2312"/>
          <w:b/>
          <w:bCs/>
          <w:kern w:val="0"/>
          <w:sz w:val="32"/>
          <w:szCs w:val="32"/>
          <w:shd w:val="clear" w:fill="FFFFFF"/>
        </w:rPr>
        <w:t>机构设置</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pPr>
      <w:r>
        <w:rPr>
          <w:rFonts w:hint="default" w:ascii="仿宋_GB2312" w:eastAsia="仿宋_GB2312" w:cs="仿宋_GB2312"/>
          <w:kern w:val="0"/>
          <w:sz w:val="32"/>
          <w:szCs w:val="32"/>
        </w:rPr>
        <w:t>红原县联动指挥中心办公室事业编制8名，其中：设主任1名(正科级)，副主任2名(副科级)；股级领导职数3名。</w:t>
      </w:r>
    </w:p>
    <w:p>
      <w:pPr>
        <w:pStyle w:val="4"/>
        <w:pageBreakBefore w:val="0"/>
        <w:kinsoku/>
        <w:wordWrap/>
        <w:overflowPunct/>
        <w:topLinePunct w:val="0"/>
        <w:bidi w:val="0"/>
        <w:spacing w:line="576" w:lineRule="exact"/>
        <w:ind w:firstLine="640" w:firstLineChars="200"/>
        <w:rPr>
          <w:rFonts w:hint="eastAsia" w:ascii="黑体" w:eastAsia="黑体"/>
          <w:b w:val="0"/>
        </w:rPr>
      </w:pPr>
      <w:r>
        <w:rPr>
          <w:rFonts w:hint="eastAsia" w:ascii="黑体" w:eastAsia="黑体"/>
          <w:b w:val="0"/>
        </w:rPr>
        <w:t>二、2021年重点工作</w:t>
      </w:r>
      <w:bookmarkEnd w:id="15"/>
      <w:bookmarkEnd w:id="16"/>
      <w:r>
        <w:rPr>
          <w:rFonts w:hint="eastAsia" w:ascii="黑体" w:eastAsia="黑体"/>
          <w:b w:val="0"/>
        </w:rPr>
        <w:t>完成情况</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t>一是进一步健全管理机制。中心目前虽有较完整的管理机制，但就如何激励各平台功能更好的发挥和整合平台信息共享方面还存在不足，下一步我们将就不断健全完善平台综合管理应用方面再做进一步探索和完善，力求确保在各自的管理体系中实现信息的多重共享。</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t>二是进一步优化平台应用。首先加大藏区依法常态化信息工作平台的推广应用，信息化工作平台功能更强大，涉及面更广，操作更加适用，通过近段时间的试运行，平台作用已得到发挥，下一步将加大平台的宣传，确保部门和乡镇能充分认识和应用该平台，同时我们也将综治中心通过视频监控发现的问题以及110转派非警务事件的转派和督办通过信息化工作平台来实现事件办理的线上痕迹化管理，以此倒逼乡镇和部门开展信息化工作平台的应用。其次是强化“红原在线”的提档升级，目前虽然通过大力宣传，“红原在线”平台服务于旅游的功能有所展现，但通过其GPS定位以实现民生服务方面还较不足，下一步我们将通过和部门合作，开发相应的民生服务项目，包括正在计划和民政局合作，利用平台定位优势，开展我县散居老人的“保姆式服务”项目开发应用。</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t>三是逐步推行线上线下双接件，同办理。为充分体现中心负责全县群众投诉、咨询、意见、建言建议的受理、交办和督查调度的作用，中心目前已申请8998989的热线服务电话，我们将加快服务热线的推广，已达到将群众非警务事件的所有投诉、求助事件纳入中心处置、分流、督办和回访。</w:t>
      </w: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p>
    <w:p>
      <w:pPr>
        <w:pStyle w:val="25"/>
        <w:keepNext w:val="0"/>
        <w:keepLines w:val="0"/>
        <w:pageBreakBefore w:val="0"/>
        <w:widowControl w:val="0"/>
        <w:suppressLineNumbers w:val="0"/>
        <w:kinsoku/>
        <w:wordWrap/>
        <w:overflowPunct/>
        <w:topLinePunct w:val="0"/>
        <w:autoSpaceDE w:val="0"/>
        <w:autoSpaceDN/>
        <w:bidi w:val="0"/>
        <w:spacing w:before="0" w:beforeAutospacing="0" w:line="576" w:lineRule="exact"/>
        <w:ind w:left="0" w:firstLine="640" w:firstLineChars="200"/>
        <w:jc w:val="both"/>
        <w:rPr>
          <w:rFonts w:hint="default" w:ascii="仿宋_GB2312" w:eastAsia="仿宋_GB2312" w:cs="仿宋_GB2312"/>
          <w:kern w:val="0"/>
          <w:sz w:val="32"/>
          <w:szCs w:val="32"/>
        </w:rPr>
      </w:pPr>
      <w:r>
        <w:rPr>
          <w:rFonts w:hint="default" w:ascii="仿宋_GB2312" w:eastAsia="仿宋_GB2312" w:cs="仿宋_GB2312"/>
          <w:kern w:val="0"/>
          <w:sz w:val="32"/>
          <w:szCs w:val="32"/>
        </w:rPr>
        <w:br w:type="page"/>
      </w:r>
    </w:p>
    <w:p>
      <w:pPr>
        <w:pStyle w:val="3"/>
        <w:pageBreakBefore w:val="0"/>
        <w:kinsoku/>
        <w:wordWrap/>
        <w:overflowPunct/>
        <w:topLinePunct w:val="0"/>
        <w:bidi w:val="0"/>
        <w:spacing w:line="576" w:lineRule="exact"/>
        <w:ind w:right="440"/>
        <w:jc w:val="center"/>
        <w:rPr>
          <w:rStyle w:val="16"/>
          <w:rFonts w:ascii="黑体" w:eastAsia="黑体"/>
          <w:b w:val="0"/>
          <w:bCs/>
        </w:rPr>
      </w:pPr>
      <w:bookmarkStart w:id="19" w:name="_Toc15377204"/>
      <w:bookmarkStart w:id="20" w:name="_Toc15396602"/>
      <w:r>
        <w:rPr>
          <w:rFonts w:hint="eastAsia" w:ascii="黑体" w:eastAsia="黑体"/>
          <w:b w:val="0"/>
        </w:rPr>
        <w:t>第二部分 2021年度</w:t>
      </w:r>
      <w:r>
        <w:rPr>
          <w:rStyle w:val="16"/>
          <w:rFonts w:hint="eastAsia" w:ascii="黑体" w:eastAsia="黑体"/>
          <w:b w:val="0"/>
          <w:bCs/>
        </w:rPr>
        <w:t>单位决算情况说明</w:t>
      </w:r>
      <w:bookmarkEnd w:id="19"/>
      <w:bookmarkEnd w:id="20"/>
    </w:p>
    <w:p>
      <w:pPr>
        <w:pageBreakBefore w:val="0"/>
        <w:kinsoku/>
        <w:wordWrap/>
        <w:overflowPunct/>
        <w:topLinePunct w:val="0"/>
        <w:bidi w:val="0"/>
        <w:spacing w:line="576" w:lineRule="exact"/>
      </w:pPr>
    </w:p>
    <w:p>
      <w:pPr>
        <w:pStyle w:val="22"/>
        <w:pageBreakBefore w:val="0"/>
        <w:numPr>
          <w:ilvl w:val="0"/>
          <w:numId w:val="2"/>
        </w:numPr>
        <w:kinsoku/>
        <w:wordWrap/>
        <w:overflowPunct/>
        <w:topLinePunct w:val="0"/>
        <w:bidi w:val="0"/>
        <w:spacing w:line="576" w:lineRule="exact"/>
        <w:ind w:firstLineChars="0"/>
        <w:outlineLvl w:val="1"/>
        <w:rPr>
          <w:rStyle w:val="17"/>
          <w:rFonts w:ascii="黑体" w:eastAsia="黑体"/>
          <w:b w:val="0"/>
        </w:rPr>
      </w:pPr>
      <w:bookmarkStart w:id="21" w:name="_Toc15396603"/>
      <w:bookmarkStart w:id="22" w:name="_Toc15377205"/>
      <w:r>
        <w:rPr>
          <w:rFonts w:hint="eastAsia" w:ascii="黑体" w:eastAsia="黑体"/>
          <w:sz w:val="32"/>
          <w:szCs w:val="32"/>
        </w:rPr>
        <w:t>收</w:t>
      </w:r>
      <w:r>
        <w:rPr>
          <w:rStyle w:val="17"/>
          <w:rFonts w:hint="eastAsia" w:ascii="黑体" w:eastAsia="黑体"/>
          <w:b w:val="0"/>
        </w:rPr>
        <w:t>入支出决算总体情况说明</w:t>
      </w:r>
      <w:bookmarkEnd w:id="21"/>
      <w:bookmarkEnd w:id="22"/>
    </w:p>
    <w:p>
      <w:pPr>
        <w:pageBreakBefore w:val="0"/>
        <w:kinsoku/>
        <w:wordWrap/>
        <w:overflowPunct/>
        <w:topLinePunct w:val="0"/>
        <w:bidi w:val="0"/>
        <w:spacing w:line="576" w:lineRule="exact"/>
        <w:ind w:firstLine="640" w:firstLineChars="200"/>
        <w:rPr>
          <w:rFonts w:ascii="仿宋" w:eastAsia="仿宋"/>
          <w:sz w:val="32"/>
          <w:szCs w:val="32"/>
        </w:rPr>
      </w:pPr>
      <w:r>
        <w:rPr>
          <w:rFonts w:hint="eastAsia" w:ascii="仿宋" w:eastAsia="仿宋"/>
          <w:sz w:val="32"/>
          <w:szCs w:val="32"/>
        </w:rPr>
        <w:t>2021年度</w:t>
      </w:r>
      <w:r>
        <w:rPr>
          <w:rFonts w:hint="eastAsia" w:ascii="仿宋" w:eastAsia="仿宋"/>
          <w:sz w:val="32"/>
          <w:szCs w:val="32"/>
          <w:lang w:eastAsia="zh-CN"/>
        </w:rPr>
        <w:t>收入总计</w:t>
      </w:r>
      <w:r>
        <w:rPr>
          <w:rFonts w:hint="eastAsia" w:ascii="仿宋" w:eastAsia="仿宋"/>
          <w:sz w:val="32"/>
          <w:szCs w:val="32"/>
          <w:lang w:val="en-US" w:eastAsia="zh-CN"/>
        </w:rPr>
        <w:t>186.65万元</w:t>
      </w:r>
      <w:r>
        <w:rPr>
          <w:rFonts w:hint="eastAsia" w:ascii="仿宋" w:eastAsia="仿宋"/>
          <w:sz w:val="32"/>
          <w:szCs w:val="32"/>
        </w:rPr>
        <w:t>、支</w:t>
      </w:r>
      <w:r>
        <w:rPr>
          <w:rFonts w:hint="eastAsia" w:ascii="仿宋" w:eastAsia="仿宋"/>
          <w:sz w:val="32"/>
          <w:szCs w:val="32"/>
          <w:lang w:eastAsia="zh-CN"/>
        </w:rPr>
        <w:t>出</w:t>
      </w:r>
      <w:r>
        <w:rPr>
          <w:rFonts w:hint="eastAsia" w:ascii="仿宋" w:eastAsia="仿宋"/>
          <w:sz w:val="32"/>
          <w:szCs w:val="32"/>
        </w:rPr>
        <w:t>总计</w:t>
      </w:r>
      <w:r>
        <w:rPr>
          <w:rFonts w:hint="eastAsia" w:ascii="仿宋" w:eastAsia="仿宋"/>
          <w:sz w:val="32"/>
          <w:szCs w:val="32"/>
          <w:lang w:val="en-US" w:eastAsia="zh-CN"/>
        </w:rPr>
        <w:t>186.65</w:t>
      </w:r>
      <w:r>
        <w:rPr>
          <w:rFonts w:hint="eastAsia" w:ascii="仿宋" w:eastAsia="仿宋"/>
          <w:sz w:val="32"/>
          <w:szCs w:val="32"/>
        </w:rPr>
        <w:t>万元。与2020年相比，收、支总计各增加</w:t>
      </w:r>
      <w:r>
        <w:rPr>
          <w:rFonts w:hint="eastAsia" w:ascii="仿宋" w:eastAsia="仿宋"/>
          <w:sz w:val="32"/>
          <w:szCs w:val="32"/>
          <w:lang w:val="en-US" w:eastAsia="zh-CN"/>
        </w:rPr>
        <w:t>62.42</w:t>
      </w:r>
      <w:r>
        <w:rPr>
          <w:rFonts w:hint="eastAsia" w:ascii="仿宋" w:eastAsia="仿宋"/>
          <w:sz w:val="32"/>
          <w:szCs w:val="32"/>
        </w:rPr>
        <w:t>万元，增长</w:t>
      </w:r>
      <w:r>
        <w:rPr>
          <w:rFonts w:hint="eastAsia" w:ascii="仿宋" w:eastAsia="仿宋"/>
          <w:sz w:val="32"/>
          <w:szCs w:val="32"/>
          <w:lang w:val="en-US" w:eastAsia="zh-CN"/>
        </w:rPr>
        <w:t>33.44</w:t>
      </w:r>
      <w:r>
        <w:rPr>
          <w:rFonts w:ascii="仿宋" w:eastAsia="仿宋"/>
          <w:sz w:val="32"/>
          <w:szCs w:val="32"/>
        </w:rPr>
        <w:t>%</w:t>
      </w:r>
      <w:r>
        <w:rPr>
          <w:rFonts w:hint="eastAsia" w:ascii="仿宋" w:eastAsia="仿宋"/>
          <w:sz w:val="32"/>
          <w:szCs w:val="32"/>
        </w:rPr>
        <w:t>。主要变动原因是</w:t>
      </w:r>
      <w:r>
        <w:rPr>
          <w:rFonts w:hint="eastAsia" w:ascii="仿宋" w:hAnsi="仿宋" w:eastAsia="仿宋" w:cs="仿宋"/>
          <w:sz w:val="32"/>
          <w:szCs w:val="32"/>
        </w:rPr>
        <w:t>是</w:t>
      </w:r>
      <w:r>
        <w:rPr>
          <w:rFonts w:hint="eastAsia" w:ascii="仿宋" w:hAnsi="仿宋" w:eastAsia="仿宋" w:cs="仿宋"/>
          <w:sz w:val="32"/>
          <w:szCs w:val="32"/>
          <w:lang w:eastAsia="zh-CN"/>
        </w:rPr>
        <w:t>人员和项目支出较上年增加。</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2"/>
        <w:rPr>
          <w:rFonts w:hint="eastAsia" w:ascii="仿宋" w:eastAsia="仿宋"/>
          <w:sz w:val="32"/>
          <w:szCs w:val="32"/>
        </w:rPr>
      </w:pPr>
      <w:r>
        <w:drawing>
          <wp:anchor distT="0" distB="0" distL="114300" distR="114300" simplePos="0" relativeHeight="251660288" behindDoc="0" locked="0" layoutInCell="1" allowOverlap="1">
            <wp:simplePos x="0" y="0"/>
            <wp:positionH relativeFrom="column">
              <wp:posOffset>283210</wp:posOffset>
            </wp:positionH>
            <wp:positionV relativeFrom="paragraph">
              <wp:posOffset>169545</wp:posOffset>
            </wp:positionV>
            <wp:extent cx="4276725" cy="4236720"/>
            <wp:effectExtent l="0" t="0" r="9525" b="1143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276725" cy="4236720"/>
                    </a:xfrm>
                    <a:prstGeom prst="rect">
                      <a:avLst/>
                    </a:prstGeom>
                    <a:noFill/>
                    <a:ln>
                      <a:noFill/>
                    </a:ln>
                  </pic:spPr>
                </pic:pic>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ind w:firstLine="420" w:firstLineChars="0"/>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jc w:val="left"/>
        <w:rPr>
          <w:rFonts w:ascii="仿宋_GB2312" w:eastAsia="仿宋_GB2312"/>
          <w:sz w:val="32"/>
          <w:szCs w:val="32"/>
        </w:rPr>
      </w:pPr>
    </w:p>
    <w:p>
      <w:pPr>
        <w:pStyle w:val="22"/>
        <w:pageBreakBefore w:val="0"/>
        <w:numPr>
          <w:ilvl w:val="0"/>
          <w:numId w:val="2"/>
        </w:numPr>
        <w:kinsoku/>
        <w:wordWrap/>
        <w:overflowPunct/>
        <w:topLinePunct w:val="0"/>
        <w:bidi w:val="0"/>
        <w:spacing w:line="576" w:lineRule="exact"/>
        <w:ind w:firstLineChars="0"/>
        <w:outlineLvl w:val="1"/>
        <w:rPr>
          <w:rStyle w:val="17"/>
          <w:rFonts w:ascii="黑体" w:eastAsia="黑体"/>
          <w:b w:val="0"/>
        </w:rPr>
      </w:pPr>
      <w:bookmarkStart w:id="23" w:name="_Toc15396604"/>
      <w:bookmarkStart w:id="24" w:name="_Toc15377206"/>
      <w:r>
        <w:rPr>
          <w:rFonts w:hint="eastAsia" w:ascii="黑体" w:eastAsia="黑体"/>
          <w:sz w:val="32"/>
          <w:szCs w:val="32"/>
        </w:rPr>
        <w:t>收</w:t>
      </w:r>
      <w:r>
        <w:rPr>
          <w:rStyle w:val="17"/>
          <w:rFonts w:hint="eastAsia" w:ascii="黑体" w:eastAsia="黑体"/>
          <w:b w:val="0"/>
        </w:rPr>
        <w:t>入决算情况说明</w:t>
      </w:r>
      <w:bookmarkEnd w:id="23"/>
      <w:bookmarkEnd w:id="24"/>
    </w:p>
    <w:p>
      <w:pPr>
        <w:pageBreakBefore w:val="0"/>
        <w:kinsoku/>
        <w:wordWrap/>
        <w:overflowPunct/>
        <w:topLinePunct w:val="0"/>
        <w:bidi w:val="0"/>
        <w:spacing w:line="576"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186.65</w:t>
      </w:r>
      <w:r>
        <w:rPr>
          <w:rFonts w:hint="eastAsia" w:ascii="仿宋" w:eastAsia="仿宋"/>
          <w:sz w:val="32"/>
          <w:szCs w:val="32"/>
        </w:rPr>
        <w:t>万元，其中：一般公共预算财政拨款收入</w:t>
      </w:r>
      <w:r>
        <w:rPr>
          <w:rFonts w:hint="eastAsia" w:ascii="仿宋" w:eastAsia="仿宋"/>
          <w:sz w:val="32"/>
          <w:szCs w:val="32"/>
          <w:lang w:val="en-US" w:eastAsia="zh-CN"/>
        </w:rPr>
        <w:t>186.65</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（图2：收入决算结构图）（饼状图）</w:t>
      </w:r>
    </w:p>
    <w:p>
      <w:pPr>
        <w:pStyle w:val="2"/>
        <w:rPr>
          <w:rFonts w:hint="eastAsia" w:ascii="仿宋" w:eastAsia="仿宋"/>
          <w:sz w:val="32"/>
          <w:szCs w:val="32"/>
        </w:rPr>
      </w:pPr>
      <w:r>
        <w:drawing>
          <wp:anchor distT="0" distB="0" distL="114300" distR="114300" simplePos="0" relativeHeight="251661312" behindDoc="0" locked="0" layoutInCell="1" allowOverlap="1">
            <wp:simplePos x="0" y="0"/>
            <wp:positionH relativeFrom="column">
              <wp:posOffset>54610</wp:posOffset>
            </wp:positionH>
            <wp:positionV relativeFrom="paragraph">
              <wp:posOffset>225425</wp:posOffset>
            </wp:positionV>
            <wp:extent cx="5270500" cy="4713605"/>
            <wp:effectExtent l="0" t="0" r="6350" b="1079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70500" cy="4713605"/>
                    </a:xfrm>
                    <a:prstGeom prst="rect">
                      <a:avLst/>
                    </a:prstGeom>
                    <a:noFill/>
                    <a:ln>
                      <a:noFill/>
                    </a:ln>
                  </pic:spPr>
                </pic:pic>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rPr>
          <w:rFonts w:ascii="仿宋_GB2312" w:eastAsia="仿宋_GB2312"/>
          <w:sz w:val="32"/>
          <w:szCs w:val="32"/>
        </w:rPr>
      </w:pPr>
    </w:p>
    <w:p>
      <w:pPr>
        <w:pStyle w:val="22"/>
        <w:pageBreakBefore w:val="0"/>
        <w:numPr>
          <w:ilvl w:val="0"/>
          <w:numId w:val="2"/>
        </w:numPr>
        <w:kinsoku/>
        <w:wordWrap/>
        <w:overflowPunct/>
        <w:topLinePunct w:val="0"/>
        <w:bidi w:val="0"/>
        <w:spacing w:line="576" w:lineRule="exact"/>
        <w:ind w:firstLineChars="0"/>
        <w:outlineLvl w:val="1"/>
        <w:rPr>
          <w:rStyle w:val="17"/>
          <w:rFonts w:ascii="黑体" w:eastAsia="黑体"/>
          <w:b w:val="0"/>
        </w:rPr>
      </w:pPr>
      <w:bookmarkStart w:id="25" w:name="_Toc15377207"/>
      <w:bookmarkStart w:id="26" w:name="_Toc15396605"/>
      <w:r>
        <w:rPr>
          <w:rFonts w:hint="eastAsia" w:ascii="黑体" w:eastAsia="黑体"/>
          <w:sz w:val="32"/>
          <w:szCs w:val="32"/>
        </w:rPr>
        <w:t>支</w:t>
      </w:r>
      <w:r>
        <w:rPr>
          <w:rStyle w:val="17"/>
          <w:rFonts w:hint="eastAsia" w:ascii="黑体" w:eastAsia="黑体"/>
          <w:b w:val="0"/>
        </w:rPr>
        <w:t>出决算情况说明</w:t>
      </w:r>
      <w:bookmarkEnd w:id="25"/>
      <w:bookmarkEnd w:id="26"/>
    </w:p>
    <w:p>
      <w:pPr>
        <w:pageBreakBefore w:val="0"/>
        <w:kinsoku/>
        <w:wordWrap/>
        <w:overflowPunct/>
        <w:topLinePunct w:val="0"/>
        <w:bidi w:val="0"/>
        <w:spacing w:line="576" w:lineRule="exact"/>
        <w:ind w:firstLine="640" w:firstLineChars="200"/>
        <w:outlineLvl w:val="1"/>
        <w:rPr>
          <w:rFonts w:ascii="仿宋" w:eastAsia="仿宋"/>
          <w:sz w:val="32"/>
          <w:szCs w:val="32"/>
          <w:shd w:val="pct10" w:color="auto" w:fill="FFFFFF"/>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186.65</w:t>
      </w:r>
      <w:r>
        <w:rPr>
          <w:rFonts w:hint="eastAsia" w:ascii="仿宋" w:eastAsia="仿宋"/>
          <w:sz w:val="32"/>
          <w:szCs w:val="32"/>
        </w:rPr>
        <w:t>万元，其中：基本支出</w:t>
      </w:r>
      <w:r>
        <w:rPr>
          <w:rFonts w:hint="eastAsia" w:ascii="仿宋" w:eastAsia="仿宋"/>
          <w:sz w:val="32"/>
          <w:szCs w:val="32"/>
          <w:lang w:val="en-US" w:eastAsia="zh-CN"/>
        </w:rPr>
        <w:t>158.58</w:t>
      </w:r>
      <w:r>
        <w:rPr>
          <w:rFonts w:hint="eastAsia" w:ascii="仿宋" w:eastAsia="仿宋"/>
          <w:sz w:val="32"/>
          <w:szCs w:val="32"/>
        </w:rPr>
        <w:t>万元，占</w:t>
      </w:r>
      <w:r>
        <w:rPr>
          <w:rFonts w:hint="eastAsia" w:ascii="仿宋" w:eastAsia="仿宋"/>
          <w:sz w:val="32"/>
          <w:szCs w:val="32"/>
          <w:lang w:val="en-US" w:eastAsia="zh-CN"/>
        </w:rPr>
        <w:t>84.96</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28.06</w:t>
      </w:r>
      <w:r>
        <w:rPr>
          <w:rFonts w:hint="eastAsia" w:ascii="仿宋" w:eastAsia="仿宋"/>
          <w:sz w:val="32"/>
          <w:szCs w:val="32"/>
        </w:rPr>
        <w:t>万元，占</w:t>
      </w:r>
      <w:r>
        <w:rPr>
          <w:rFonts w:hint="eastAsia" w:ascii="仿宋" w:eastAsia="仿宋"/>
          <w:sz w:val="32"/>
          <w:szCs w:val="32"/>
          <w:lang w:val="en-US" w:eastAsia="zh-CN"/>
        </w:rPr>
        <w:t>15.03</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0万</w:t>
      </w:r>
      <w:r>
        <w:rPr>
          <w:rFonts w:hint="eastAsia" w:ascii="仿宋" w:eastAsia="仿宋"/>
          <w:sz w:val="32"/>
          <w:szCs w:val="32"/>
        </w:rPr>
        <w:t>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420" w:firstLineChars="200"/>
        <w:rPr>
          <w:rFonts w:hint="eastAsia" w:ascii="仿宋" w:eastAsia="仿宋"/>
          <w:sz w:val="32"/>
          <w:szCs w:val="32"/>
        </w:rPr>
      </w:pPr>
      <w:r>
        <w:drawing>
          <wp:anchor distT="0" distB="0" distL="114300" distR="114300" simplePos="0" relativeHeight="251662336" behindDoc="0" locked="0" layoutInCell="1" allowOverlap="1">
            <wp:simplePos x="0" y="0"/>
            <wp:positionH relativeFrom="column">
              <wp:posOffset>-179070</wp:posOffset>
            </wp:positionH>
            <wp:positionV relativeFrom="paragraph">
              <wp:posOffset>166370</wp:posOffset>
            </wp:positionV>
            <wp:extent cx="5271135" cy="352107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clrChange>
                        <a:clrFrom>
                          <a:srgbClr val="FFFFFF">
                            <a:alpha val="100000"/>
                          </a:srgbClr>
                        </a:clrFrom>
                        <a:clrTo>
                          <a:srgbClr val="FFFFFF">
                            <a:alpha val="100000"/>
                            <a:alpha val="0"/>
                          </a:srgbClr>
                        </a:clrTo>
                      </a:clrChange>
                    </a:blip>
                    <a:stretch>
                      <a:fillRect/>
                    </a:stretch>
                  </pic:blipFill>
                  <pic:spPr>
                    <a:xfrm>
                      <a:off x="0" y="0"/>
                      <a:ext cx="5271135" cy="3521075"/>
                    </a:xfrm>
                    <a:prstGeom prst="rect">
                      <a:avLst/>
                    </a:prstGeom>
                    <a:noFill/>
                    <a:ln>
                      <a:noFill/>
                    </a:ln>
                  </pic:spPr>
                </pic:pic>
              </a:graphicData>
            </a:graphic>
          </wp:anchor>
        </w:drawing>
      </w:r>
      <w:r>
        <w:rPr>
          <w:rFonts w:hint="eastAsia" w:ascii="仿宋" w:eastAsia="仿宋"/>
          <w:sz w:val="32"/>
          <w:szCs w:val="32"/>
        </w:rPr>
        <w:t>（图3：支出决算结构图）（饼状图）</w:t>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outlineLvl w:val="1"/>
        <w:rPr>
          <w:rStyle w:val="17"/>
          <w:rFonts w:ascii="黑体" w:eastAsia="黑体"/>
          <w:b w:val="0"/>
        </w:rPr>
      </w:pPr>
      <w:bookmarkStart w:id="27" w:name="_Toc15377208"/>
      <w:bookmarkStart w:id="28" w:name="_Toc15396606"/>
      <w:r>
        <w:rPr>
          <w:rFonts w:hint="eastAsia" w:ascii="黑体" w:eastAsia="黑体"/>
          <w:sz w:val="32"/>
          <w:szCs w:val="32"/>
        </w:rPr>
        <w:t>四、财</w:t>
      </w:r>
      <w:r>
        <w:rPr>
          <w:rStyle w:val="17"/>
          <w:rFonts w:hint="eastAsia" w:ascii="黑体" w:eastAsia="黑体"/>
          <w:b w:val="0"/>
        </w:rPr>
        <w:t>政拨款收入支出决算总体情况说明</w:t>
      </w:r>
      <w:bookmarkEnd w:id="27"/>
      <w:bookmarkEnd w:id="28"/>
    </w:p>
    <w:p>
      <w:pPr>
        <w:pageBreakBefore w:val="0"/>
        <w:kinsoku/>
        <w:wordWrap/>
        <w:overflowPunct/>
        <w:topLinePunct w:val="0"/>
        <w:bidi w:val="0"/>
        <w:spacing w:line="576"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21年财政拨款收</w:t>
      </w:r>
      <w:r>
        <w:rPr>
          <w:rFonts w:hint="eastAsia" w:ascii="仿宋" w:eastAsia="仿宋"/>
          <w:sz w:val="32"/>
          <w:szCs w:val="32"/>
          <w:lang w:eastAsia="zh-CN"/>
        </w:rPr>
        <w:t>入总计</w:t>
      </w:r>
      <w:r>
        <w:rPr>
          <w:rFonts w:hint="eastAsia" w:ascii="仿宋" w:eastAsia="仿宋"/>
          <w:sz w:val="32"/>
          <w:szCs w:val="32"/>
          <w:lang w:val="en-US" w:eastAsia="zh-CN"/>
        </w:rPr>
        <w:t>186.65</w:t>
      </w:r>
      <w:r>
        <w:rPr>
          <w:rFonts w:hint="eastAsia" w:ascii="仿宋" w:eastAsia="仿宋"/>
          <w:sz w:val="32"/>
          <w:szCs w:val="32"/>
        </w:rPr>
        <w:t>万元、支</w:t>
      </w:r>
      <w:r>
        <w:rPr>
          <w:rFonts w:hint="eastAsia" w:ascii="仿宋" w:eastAsia="仿宋"/>
          <w:sz w:val="32"/>
          <w:szCs w:val="32"/>
          <w:lang w:eastAsia="zh-CN"/>
        </w:rPr>
        <w:t>出</w:t>
      </w:r>
      <w:r>
        <w:rPr>
          <w:rFonts w:hint="eastAsia" w:ascii="仿宋" w:eastAsia="仿宋"/>
          <w:sz w:val="32"/>
          <w:szCs w:val="32"/>
        </w:rPr>
        <w:t>总计</w:t>
      </w:r>
      <w:r>
        <w:rPr>
          <w:rFonts w:hint="eastAsia" w:ascii="仿宋" w:eastAsia="仿宋"/>
          <w:sz w:val="32"/>
          <w:szCs w:val="32"/>
          <w:lang w:val="en-US" w:eastAsia="zh-CN"/>
        </w:rPr>
        <w:t>186.65</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20年相比，财政拨款收、支总计各增加</w:t>
      </w:r>
      <w:r>
        <w:rPr>
          <w:rFonts w:hint="eastAsia" w:ascii="仿宋" w:eastAsia="仿宋"/>
          <w:sz w:val="32"/>
          <w:szCs w:val="32"/>
          <w:lang w:val="en-US" w:eastAsia="zh-CN"/>
        </w:rPr>
        <w:t>62.42</w:t>
      </w:r>
      <w:r>
        <w:rPr>
          <w:rFonts w:hint="eastAsia" w:ascii="仿宋" w:eastAsia="仿宋"/>
          <w:sz w:val="32"/>
          <w:szCs w:val="32"/>
        </w:rPr>
        <w:t>万元，增长</w:t>
      </w:r>
      <w:r>
        <w:rPr>
          <w:rFonts w:hint="eastAsia" w:ascii="仿宋" w:eastAsia="仿宋"/>
          <w:sz w:val="32"/>
          <w:szCs w:val="32"/>
          <w:lang w:val="en-US" w:eastAsia="zh-CN"/>
        </w:rPr>
        <w:t>33.44</w:t>
      </w:r>
      <w:r>
        <w:rPr>
          <w:rFonts w:ascii="仿宋" w:eastAsia="仿宋"/>
          <w:sz w:val="32"/>
          <w:szCs w:val="32"/>
        </w:rPr>
        <w:t>%</w:t>
      </w:r>
      <w:r>
        <w:rPr>
          <w:rFonts w:hint="eastAsia" w:ascii="仿宋" w:eastAsia="仿宋"/>
          <w:sz w:val="32"/>
          <w:szCs w:val="32"/>
        </w:rPr>
        <w:t>。主要变动原因是</w:t>
      </w:r>
      <w:r>
        <w:rPr>
          <w:rFonts w:hint="default" w:ascii="仿宋_GB2312" w:eastAsia="仿宋_GB2312" w:cs="仿宋_GB2312"/>
          <w:kern w:val="0"/>
          <w:sz w:val="32"/>
          <w:szCs w:val="32"/>
          <w:shd w:val="clear" w:fill="FFFFFF"/>
        </w:rPr>
        <w:t>人员经费增加</w:t>
      </w:r>
      <w:r>
        <w:rPr>
          <w:rFonts w:hint="eastAsia" w:ascii="仿宋_GB2312" w:eastAsia="仿宋_GB2312" w:cs="仿宋_GB2312"/>
          <w:kern w:val="0"/>
          <w:sz w:val="32"/>
          <w:szCs w:val="32"/>
          <w:shd w:val="clear" w:fill="FFFFFF"/>
          <w:lang w:eastAsia="zh-CN"/>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（图4：财政拨款收、支决算总计变动情况）</w:t>
      </w:r>
    </w:p>
    <w:p>
      <w:pPr>
        <w:pStyle w:val="2"/>
      </w:pPr>
      <w:r>
        <w:drawing>
          <wp:anchor distT="0" distB="0" distL="114300" distR="114300" simplePos="0" relativeHeight="251663360" behindDoc="0" locked="0" layoutInCell="1" allowOverlap="1">
            <wp:simplePos x="0" y="0"/>
            <wp:positionH relativeFrom="column">
              <wp:posOffset>457200</wp:posOffset>
            </wp:positionH>
            <wp:positionV relativeFrom="paragraph">
              <wp:posOffset>115570</wp:posOffset>
            </wp:positionV>
            <wp:extent cx="4260850" cy="313499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4260850" cy="3134995"/>
                    </a:xfrm>
                    <a:prstGeom prst="rect">
                      <a:avLst/>
                    </a:prstGeom>
                    <a:noFill/>
                    <a:ln>
                      <a:noFill/>
                    </a:ln>
                  </pic:spPr>
                </pic:pic>
              </a:graphicData>
            </a:graphic>
          </wp:anchor>
        </w:drawing>
      </w:r>
    </w:p>
    <w:p>
      <w:pPr>
        <w:pageBreakBefore w:val="0"/>
        <w:kinsoku/>
        <w:wordWrap/>
        <w:overflowPunct/>
        <w:topLinePunct w:val="0"/>
        <w:bidi w:val="0"/>
        <w:spacing w:line="576" w:lineRule="exact"/>
        <w:ind w:firstLine="640"/>
        <w:rPr>
          <w:rFonts w:ascii="仿宋" w:eastAsia="仿宋"/>
          <w:b/>
          <w:sz w:val="32"/>
          <w:szCs w:val="32"/>
        </w:rPr>
      </w:pPr>
    </w:p>
    <w:p>
      <w:pPr>
        <w:pStyle w:val="2"/>
      </w:pPr>
    </w:p>
    <w:p>
      <w:pPr>
        <w:pStyle w:val="2"/>
      </w:pPr>
    </w:p>
    <w:p>
      <w:pPr>
        <w:pStyle w:val="2"/>
      </w:pPr>
    </w:p>
    <w:p>
      <w:pPr>
        <w:pStyle w:val="2"/>
      </w:pPr>
    </w:p>
    <w:p>
      <w:pPr>
        <w:pStyle w:val="2"/>
      </w:pP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bookmarkStart w:id="29" w:name="_Toc15377209"/>
      <w:bookmarkStart w:id="30" w:name="_Toc15396607"/>
    </w:p>
    <w:p>
      <w:pPr>
        <w:pageBreakBefore w:val="0"/>
        <w:kinsoku/>
        <w:wordWrap/>
        <w:overflowPunct/>
        <w:topLinePunct w:val="0"/>
        <w:bidi w:val="0"/>
        <w:spacing w:line="576" w:lineRule="exact"/>
        <w:ind w:firstLine="640" w:firstLineChars="200"/>
        <w:outlineLvl w:val="1"/>
        <w:rPr>
          <w:rStyle w:val="17"/>
          <w:rFonts w:ascii="黑体" w:eastAsia="黑体"/>
          <w:b w:val="0"/>
        </w:rPr>
      </w:pPr>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29"/>
      <w:bookmarkEnd w:id="30"/>
    </w:p>
    <w:p>
      <w:pPr>
        <w:pageBreakBefore w:val="0"/>
        <w:kinsoku/>
        <w:wordWrap/>
        <w:overflowPunct/>
        <w:topLinePunct w:val="0"/>
        <w:bidi w:val="0"/>
        <w:spacing w:line="576" w:lineRule="exact"/>
        <w:ind w:firstLine="643" w:firstLineChars="200"/>
        <w:outlineLvl w:val="2"/>
        <w:rPr>
          <w:rFonts w:ascii="仿宋" w:eastAsia="仿宋"/>
          <w:b/>
          <w:sz w:val="32"/>
          <w:szCs w:val="32"/>
        </w:rPr>
      </w:pPr>
      <w:bookmarkStart w:id="31" w:name="_Toc15377210"/>
      <w:r>
        <w:rPr>
          <w:rFonts w:hint="eastAsia" w:ascii="仿宋" w:eastAsia="仿宋"/>
          <w:b/>
          <w:sz w:val="32"/>
          <w:szCs w:val="32"/>
        </w:rPr>
        <w:t>（一）一般公共预算财政拨款支出决算总体情况</w:t>
      </w:r>
      <w:bookmarkEnd w:id="31"/>
    </w:p>
    <w:p>
      <w:pPr>
        <w:pageBreakBefore w:val="0"/>
        <w:kinsoku/>
        <w:wordWrap/>
        <w:overflowPunct/>
        <w:topLinePunct w:val="0"/>
        <w:bidi w:val="0"/>
        <w:spacing w:line="576" w:lineRule="exact"/>
        <w:ind w:firstLine="640" w:firstLineChars="20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186.65</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62.42</w:t>
      </w:r>
      <w:r>
        <w:rPr>
          <w:rFonts w:hint="eastAsia" w:ascii="仿宋" w:eastAsia="仿宋"/>
          <w:sz w:val="32"/>
          <w:szCs w:val="32"/>
        </w:rPr>
        <w:t>万元，增长</w:t>
      </w:r>
      <w:r>
        <w:rPr>
          <w:rFonts w:hint="eastAsia" w:ascii="仿宋" w:eastAsia="仿宋"/>
          <w:sz w:val="32"/>
          <w:szCs w:val="32"/>
          <w:lang w:val="en-US" w:eastAsia="zh-CN"/>
        </w:rPr>
        <w:t>33.44</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人员变动。</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（图5：一般公共预算财政拨款支出决算变动情况）（柱状图）</w:t>
      </w:r>
    </w:p>
    <w:p>
      <w:pPr>
        <w:pStyle w:val="2"/>
        <w:rPr>
          <w:rFonts w:hint="eastAsia" w:ascii="仿宋" w:eastAsia="仿宋"/>
          <w:sz w:val="32"/>
          <w:szCs w:val="32"/>
        </w:rPr>
      </w:pPr>
      <w:r>
        <w:drawing>
          <wp:anchor distT="0" distB="0" distL="114300" distR="114300" simplePos="0" relativeHeight="251664384" behindDoc="0" locked="0" layoutInCell="1" allowOverlap="1">
            <wp:simplePos x="0" y="0"/>
            <wp:positionH relativeFrom="column">
              <wp:posOffset>142875</wp:posOffset>
            </wp:positionH>
            <wp:positionV relativeFrom="paragraph">
              <wp:posOffset>290830</wp:posOffset>
            </wp:positionV>
            <wp:extent cx="5273040" cy="425132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clrChange>
                        <a:clrFrom>
                          <a:srgbClr val="FFFFFF">
                            <a:alpha val="100000"/>
                          </a:srgbClr>
                        </a:clrFrom>
                        <a:clrTo>
                          <a:srgbClr val="FFFFFF">
                            <a:alpha val="100000"/>
                            <a:alpha val="0"/>
                          </a:srgbClr>
                        </a:clrTo>
                      </a:clrChange>
                    </a:blip>
                    <a:stretch>
                      <a:fillRect/>
                    </a:stretch>
                  </pic:blipFill>
                  <pic:spPr>
                    <a:xfrm>
                      <a:off x="0" y="0"/>
                      <a:ext cx="5273040" cy="4251325"/>
                    </a:xfrm>
                    <a:prstGeom prst="rect">
                      <a:avLst/>
                    </a:prstGeom>
                    <a:noFill/>
                    <a:ln>
                      <a:noFill/>
                    </a:ln>
                  </pic:spPr>
                </pic:pic>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ageBreakBefore w:val="0"/>
        <w:kinsoku/>
        <w:wordWrap/>
        <w:overflowPunct/>
        <w:topLinePunct w:val="0"/>
        <w:bidi w:val="0"/>
        <w:spacing w:line="576" w:lineRule="exact"/>
        <w:ind w:firstLine="640" w:firstLineChars="200"/>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ageBreakBefore w:val="0"/>
        <w:kinsoku/>
        <w:wordWrap/>
        <w:overflowPunct/>
        <w:topLinePunct w:val="0"/>
        <w:bidi w:val="0"/>
        <w:spacing w:line="576" w:lineRule="exact"/>
        <w:ind w:firstLine="643" w:firstLineChars="200"/>
        <w:outlineLvl w:val="2"/>
        <w:rPr>
          <w:rFonts w:ascii="仿宋" w:eastAsia="仿宋"/>
          <w:b/>
          <w:sz w:val="32"/>
          <w:szCs w:val="32"/>
        </w:rPr>
      </w:pPr>
      <w:bookmarkStart w:id="32" w:name="_Toc15377211"/>
      <w:r>
        <w:rPr>
          <w:rFonts w:hint="eastAsia" w:ascii="仿宋" w:eastAsia="仿宋"/>
          <w:b/>
          <w:sz w:val="32"/>
          <w:szCs w:val="32"/>
        </w:rPr>
        <w:t>（二）一般公共预算财政拨款支出决算结构情况</w:t>
      </w:r>
      <w:bookmarkEnd w:id="32"/>
    </w:p>
    <w:p>
      <w:pPr>
        <w:pageBreakBefore w:val="0"/>
        <w:kinsoku/>
        <w:wordWrap/>
        <w:overflowPunct/>
        <w:topLinePunct w:val="0"/>
        <w:bidi w:val="0"/>
        <w:spacing w:line="576"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186.65</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151.91</w:t>
      </w:r>
      <w:r>
        <w:rPr>
          <w:rFonts w:hint="eastAsia" w:ascii="仿宋" w:eastAsia="仿宋"/>
          <w:sz w:val="32"/>
          <w:szCs w:val="32"/>
        </w:rPr>
        <w:t>万元，占</w:t>
      </w:r>
      <w:r>
        <w:rPr>
          <w:rFonts w:hint="eastAsia" w:ascii="仿宋" w:eastAsia="仿宋"/>
          <w:sz w:val="32"/>
          <w:szCs w:val="32"/>
          <w:lang w:val="en-US" w:eastAsia="zh-CN"/>
        </w:rPr>
        <w:t>81.39</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16.68</w:t>
      </w:r>
      <w:r>
        <w:rPr>
          <w:rFonts w:hint="eastAsia" w:ascii="仿宋" w:eastAsia="仿宋"/>
          <w:sz w:val="32"/>
          <w:szCs w:val="32"/>
        </w:rPr>
        <w:t>万元，占</w:t>
      </w:r>
      <w:r>
        <w:rPr>
          <w:rFonts w:hint="eastAsia" w:ascii="仿宋" w:eastAsia="仿宋"/>
          <w:sz w:val="32"/>
          <w:szCs w:val="32"/>
          <w:lang w:val="en-US" w:eastAsia="zh-CN"/>
        </w:rPr>
        <w:t>8.94</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6.75</w:t>
      </w:r>
      <w:r>
        <w:rPr>
          <w:rFonts w:hint="eastAsia" w:ascii="仿宋" w:eastAsia="仿宋"/>
          <w:sz w:val="32"/>
          <w:szCs w:val="32"/>
        </w:rPr>
        <w:t>万元，占</w:t>
      </w:r>
      <w:r>
        <w:rPr>
          <w:rFonts w:hint="eastAsia" w:ascii="仿宋" w:eastAsia="仿宋"/>
          <w:sz w:val="32"/>
          <w:szCs w:val="32"/>
          <w:lang w:val="en-US" w:eastAsia="zh-CN"/>
        </w:rPr>
        <w:t>3.62</w:t>
      </w:r>
      <w:r>
        <w:rPr>
          <w:rFonts w:ascii="仿宋" w:eastAsia="仿宋"/>
          <w:sz w:val="32"/>
          <w:szCs w:val="32"/>
        </w:rPr>
        <w:t>%</w:t>
      </w:r>
      <w:r>
        <w:rPr>
          <w:rFonts w:hint="eastAsia" w:ascii="仿宋" w:eastAsia="仿宋"/>
          <w:sz w:val="32"/>
          <w:szCs w:val="32"/>
        </w:rPr>
        <w:t>；住房保障支出</w:t>
      </w:r>
      <w:r>
        <w:rPr>
          <w:rFonts w:hint="eastAsia" w:ascii="仿宋" w:eastAsia="仿宋"/>
          <w:sz w:val="32"/>
          <w:szCs w:val="32"/>
          <w:lang w:val="en-US" w:eastAsia="zh-CN"/>
        </w:rPr>
        <w:t>11.30</w:t>
      </w:r>
      <w:r>
        <w:rPr>
          <w:rFonts w:hint="eastAsia" w:ascii="仿宋" w:eastAsia="仿宋"/>
          <w:sz w:val="32"/>
          <w:szCs w:val="32"/>
        </w:rPr>
        <w:t>万元，占</w:t>
      </w:r>
      <w:r>
        <w:rPr>
          <w:rFonts w:hint="eastAsia" w:ascii="仿宋" w:eastAsia="仿宋"/>
          <w:sz w:val="32"/>
          <w:szCs w:val="32"/>
          <w:lang w:val="en-US" w:eastAsia="zh-CN"/>
        </w:rPr>
        <w:t>6.05</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pageBreakBefore w:val="0"/>
        <w:kinsoku/>
        <w:wordWrap/>
        <w:overflowPunct/>
        <w:topLinePunct w:val="0"/>
        <w:bidi w:val="0"/>
        <w:spacing w:line="576" w:lineRule="exact"/>
        <w:ind w:firstLine="420" w:firstLineChars="200"/>
        <w:rPr>
          <w:rFonts w:ascii="仿宋" w:eastAsia="仿宋"/>
          <w:sz w:val="32"/>
          <w:szCs w:val="32"/>
        </w:rPr>
      </w:pPr>
      <w:r>
        <w:drawing>
          <wp:anchor distT="0" distB="0" distL="114300" distR="114300" simplePos="0" relativeHeight="251665408" behindDoc="0" locked="0" layoutInCell="1" allowOverlap="1">
            <wp:simplePos x="0" y="0"/>
            <wp:positionH relativeFrom="column">
              <wp:posOffset>54610</wp:posOffset>
            </wp:positionH>
            <wp:positionV relativeFrom="paragraph">
              <wp:posOffset>234315</wp:posOffset>
            </wp:positionV>
            <wp:extent cx="5269865" cy="2991485"/>
            <wp:effectExtent l="0" t="0" r="6985" b="1841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69865" cy="2991485"/>
                    </a:xfrm>
                    <a:prstGeom prst="rect">
                      <a:avLst/>
                    </a:prstGeom>
                    <a:noFill/>
                    <a:ln>
                      <a:noFill/>
                    </a:ln>
                  </pic:spPr>
                </pic:pic>
              </a:graphicData>
            </a:graphic>
          </wp:anchor>
        </w:drawing>
      </w: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bookmarkStart w:id="33" w:name="_Toc15377212"/>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33"/>
    </w:p>
    <w:p>
      <w:pPr>
        <w:pageBreakBefore w:val="0"/>
        <w:kinsoku/>
        <w:wordWrap/>
        <w:overflowPunct/>
        <w:topLinePunct w:val="0"/>
        <w:bidi w:val="0"/>
        <w:spacing w:line="576" w:lineRule="exact"/>
        <w:ind w:firstLine="643" w:firstLineChars="200"/>
        <w:outlineLvl w:val="2"/>
        <w:rPr>
          <w:rFonts w:ascii="仿宋" w:eastAsia="仿宋"/>
          <w:sz w:val="32"/>
          <w:szCs w:val="32"/>
        </w:rPr>
      </w:pPr>
      <w:bookmarkStart w:id="34" w:name="_Toc15377213"/>
      <w:bookmarkStart w:id="35" w:name="_Toc15378460"/>
      <w:bookmarkStart w:id="36" w:name="_Toc15377444"/>
      <w:r>
        <w:rPr>
          <w:rFonts w:hint="eastAsia" w:ascii="仿宋" w:eastAsia="仿宋"/>
          <w:b/>
          <w:sz w:val="32"/>
          <w:szCs w:val="32"/>
        </w:rPr>
        <w:t>2021年一般公共预算支出决算数为</w:t>
      </w:r>
      <w:r>
        <w:rPr>
          <w:rFonts w:hint="eastAsia" w:ascii="仿宋" w:eastAsia="仿宋"/>
          <w:b/>
          <w:sz w:val="32"/>
          <w:szCs w:val="32"/>
          <w:lang w:val="en-US" w:eastAsia="zh-CN"/>
        </w:rPr>
        <w:t>186.65</w:t>
      </w:r>
      <w:r>
        <w:rPr>
          <w:rFonts w:hint="eastAsia" w:ascii="仿宋" w:eastAsia="仿宋"/>
          <w:sz w:val="32"/>
          <w:szCs w:val="32"/>
        </w:rPr>
        <w:t>，</w:t>
      </w:r>
      <w:r>
        <w:rPr>
          <w:rStyle w:val="14"/>
          <w:rFonts w:hint="eastAsia" w:ascii="仿宋" w:eastAsia="仿宋"/>
          <w:bCs/>
          <w:sz w:val="32"/>
          <w:szCs w:val="32"/>
        </w:rPr>
        <w:t>完成预算</w:t>
      </w:r>
      <w:r>
        <w:rPr>
          <w:rStyle w:val="14"/>
          <w:rFonts w:hint="eastAsia" w:ascii="仿宋" w:eastAsia="仿宋"/>
          <w:bCs/>
          <w:sz w:val="32"/>
          <w:szCs w:val="32"/>
          <w:lang w:val="en-US" w:eastAsia="zh-CN"/>
        </w:rPr>
        <w:t>100</w:t>
      </w:r>
      <w:r>
        <w:rPr>
          <w:rStyle w:val="14"/>
          <w:rFonts w:ascii="仿宋" w:eastAsia="仿宋"/>
          <w:bCs/>
          <w:sz w:val="32"/>
          <w:szCs w:val="32"/>
        </w:rPr>
        <w:t>%</w:t>
      </w:r>
      <w:r>
        <w:rPr>
          <w:rStyle w:val="14"/>
          <w:rFonts w:hint="eastAsia" w:ascii="仿宋" w:eastAsia="仿宋"/>
          <w:bCs/>
          <w:sz w:val="32"/>
          <w:szCs w:val="32"/>
        </w:rPr>
        <w:t>。其中：</w:t>
      </w:r>
      <w:bookmarkEnd w:id="34"/>
      <w:bookmarkEnd w:id="35"/>
      <w:bookmarkEnd w:id="36"/>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1.</w:t>
      </w:r>
      <w:r>
        <w:rPr>
          <w:rStyle w:val="14"/>
          <w:rFonts w:hint="eastAsia" w:ascii="仿宋" w:eastAsia="仿宋"/>
          <w:bCs/>
          <w:sz w:val="32"/>
          <w:szCs w:val="32"/>
        </w:rPr>
        <w:t>一般公共服务</w:t>
      </w:r>
      <w:r>
        <w:rPr>
          <w:rStyle w:val="14"/>
          <w:rFonts w:hint="eastAsia" w:ascii="仿宋" w:eastAsia="仿宋"/>
          <w:bCs/>
          <w:sz w:val="32"/>
          <w:szCs w:val="32"/>
          <w:lang w:val="en-US" w:eastAsia="zh-CN"/>
        </w:rPr>
        <w:t>20103</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151.91</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2.</w:t>
      </w:r>
      <w:r>
        <w:rPr>
          <w:rStyle w:val="14"/>
          <w:rFonts w:hint="eastAsia" w:ascii="仿宋" w:eastAsia="仿宋"/>
          <w:bCs/>
          <w:sz w:val="32"/>
          <w:szCs w:val="32"/>
        </w:rPr>
        <w:t>教育（类）</w:t>
      </w:r>
      <w:r>
        <w:rPr>
          <w:rStyle w:val="14"/>
          <w:rFonts w:ascii="仿宋" w:eastAsia="仿宋"/>
          <w:bCs/>
          <w:sz w:val="32"/>
          <w:szCs w:val="32"/>
        </w:rPr>
        <w:t>***</w:t>
      </w:r>
      <w:r>
        <w:rPr>
          <w:rStyle w:val="14"/>
          <w:rFonts w:hint="eastAsia" w:ascii="仿宋" w:eastAsia="仿宋"/>
          <w:bCs/>
          <w:sz w:val="32"/>
          <w:szCs w:val="32"/>
        </w:rPr>
        <w:t>（款）</w:t>
      </w:r>
      <w:r>
        <w:rPr>
          <w:rStyle w:val="14"/>
          <w:rFonts w:ascii="仿宋" w:eastAsia="仿宋"/>
          <w:bCs/>
          <w:sz w:val="32"/>
          <w:szCs w:val="32"/>
        </w:rPr>
        <w:t>***</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3.</w:t>
      </w:r>
      <w:r>
        <w:rPr>
          <w:rStyle w:val="14"/>
          <w:rFonts w:hint="eastAsia" w:ascii="仿宋" w:eastAsia="仿宋"/>
          <w:bCs/>
          <w:sz w:val="32"/>
          <w:szCs w:val="32"/>
        </w:rPr>
        <w:t>科学技术（类）</w:t>
      </w:r>
      <w:r>
        <w:rPr>
          <w:rStyle w:val="14"/>
          <w:rFonts w:ascii="仿宋" w:eastAsia="仿宋"/>
          <w:bCs/>
          <w:sz w:val="32"/>
          <w:szCs w:val="32"/>
        </w:rPr>
        <w:t>***</w:t>
      </w:r>
      <w:r>
        <w:rPr>
          <w:rStyle w:val="14"/>
          <w:rFonts w:hint="eastAsia" w:ascii="仿宋" w:eastAsia="仿宋"/>
          <w:bCs/>
          <w:sz w:val="32"/>
          <w:szCs w:val="32"/>
        </w:rPr>
        <w:t>（款）</w:t>
      </w:r>
      <w:r>
        <w:rPr>
          <w:rStyle w:val="14"/>
          <w:rFonts w:ascii="仿宋" w:eastAsia="仿宋"/>
          <w:bCs/>
          <w:sz w:val="32"/>
          <w:szCs w:val="32"/>
        </w:rPr>
        <w:t>***</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4.</w:t>
      </w:r>
      <w:r>
        <w:rPr>
          <w:rStyle w:val="14"/>
          <w:rFonts w:hint="eastAsia" w:ascii="仿宋" w:eastAsia="仿宋"/>
          <w:bCs/>
          <w:sz w:val="32"/>
          <w:szCs w:val="32"/>
        </w:rPr>
        <w:t>文化旅游体育与传媒（类）</w:t>
      </w:r>
      <w:r>
        <w:rPr>
          <w:rStyle w:val="14"/>
          <w:rFonts w:ascii="仿宋" w:eastAsia="仿宋"/>
          <w:bCs/>
          <w:sz w:val="32"/>
          <w:szCs w:val="32"/>
        </w:rPr>
        <w:t>***</w:t>
      </w:r>
      <w:r>
        <w:rPr>
          <w:rStyle w:val="14"/>
          <w:rFonts w:hint="eastAsia" w:ascii="仿宋" w:eastAsia="仿宋"/>
          <w:bCs/>
          <w:sz w:val="32"/>
          <w:szCs w:val="32"/>
        </w:rPr>
        <w:t>（款）</w:t>
      </w:r>
      <w:r>
        <w:rPr>
          <w:rStyle w:val="14"/>
          <w:rFonts w:ascii="仿宋" w:eastAsia="仿宋"/>
          <w:bCs/>
          <w:sz w:val="32"/>
          <w:szCs w:val="32"/>
        </w:rPr>
        <w:t>***</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5.</w:t>
      </w:r>
      <w:r>
        <w:rPr>
          <w:rStyle w:val="14"/>
          <w:rFonts w:hint="eastAsia" w:ascii="仿宋" w:eastAsia="仿宋"/>
          <w:bCs/>
          <w:sz w:val="32"/>
          <w:szCs w:val="32"/>
        </w:rPr>
        <w:t>社会保障和就业</w:t>
      </w:r>
      <w:r>
        <w:rPr>
          <w:rStyle w:val="14"/>
          <w:rFonts w:hint="eastAsia" w:ascii="仿宋" w:eastAsia="仿宋"/>
          <w:bCs/>
          <w:sz w:val="32"/>
          <w:szCs w:val="32"/>
          <w:lang w:val="en-US" w:eastAsia="zh-CN"/>
        </w:rPr>
        <w:t>20805</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16.68</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ascii="仿宋" w:eastAsia="仿宋"/>
          <w:bCs/>
          <w:sz w:val="32"/>
          <w:szCs w:val="32"/>
        </w:rPr>
        <w:t>6.</w:t>
      </w:r>
      <w:r>
        <w:rPr>
          <w:rFonts w:hint="eastAsia" w:ascii="仿宋" w:eastAsia="仿宋"/>
          <w:b/>
          <w:bCs/>
          <w:sz w:val="32"/>
          <w:szCs w:val="32"/>
        </w:rPr>
        <w:t>卫生健康</w:t>
      </w:r>
      <w:r>
        <w:rPr>
          <w:rStyle w:val="14"/>
          <w:rFonts w:hint="eastAsia" w:ascii="仿宋" w:eastAsia="仿宋"/>
          <w:bCs/>
          <w:sz w:val="32"/>
          <w:szCs w:val="32"/>
          <w:lang w:val="en-US" w:eastAsia="zh-CN"/>
        </w:rPr>
        <w:t>21011</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6.75</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4"/>
          <w:rFonts w:hint="eastAsia" w:ascii="仿宋" w:eastAsia="仿宋"/>
          <w:bCs/>
          <w:sz w:val="32"/>
          <w:szCs w:val="32"/>
          <w:lang w:val="en-US" w:eastAsia="zh-CN"/>
        </w:rPr>
        <w:t>7</w:t>
      </w:r>
      <w:r>
        <w:rPr>
          <w:rStyle w:val="14"/>
          <w:rFonts w:ascii="仿宋" w:eastAsia="仿宋"/>
          <w:bCs/>
          <w:sz w:val="32"/>
          <w:szCs w:val="32"/>
        </w:rPr>
        <w:t>.</w:t>
      </w:r>
      <w:r>
        <w:rPr>
          <w:rFonts w:hint="eastAsia" w:ascii="仿宋" w:eastAsia="仿宋"/>
          <w:b/>
          <w:bCs/>
          <w:sz w:val="32"/>
          <w:szCs w:val="32"/>
          <w:lang w:eastAsia="zh-CN"/>
        </w:rPr>
        <w:t>住房保障</w:t>
      </w:r>
      <w:r>
        <w:rPr>
          <w:rStyle w:val="14"/>
          <w:rFonts w:hint="eastAsia" w:ascii="仿宋" w:eastAsia="仿宋"/>
          <w:bCs/>
          <w:sz w:val="32"/>
          <w:szCs w:val="32"/>
          <w:lang w:val="en-US" w:eastAsia="zh-CN"/>
        </w:rPr>
        <w:t>22102</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11.30</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p>
    <w:p>
      <w:pPr>
        <w:pageBreakBefore w:val="0"/>
        <w:kinsoku/>
        <w:wordWrap/>
        <w:overflowPunct/>
        <w:topLinePunct w:val="0"/>
        <w:bidi w:val="0"/>
        <w:spacing w:line="576" w:lineRule="exact"/>
        <w:ind w:firstLine="640"/>
        <w:rPr>
          <w:rFonts w:ascii="仿宋" w:eastAsia="仿宋"/>
          <w:b w:val="0"/>
          <w:bCs/>
          <w:sz w:val="32"/>
          <w:szCs w:val="32"/>
        </w:rPr>
      </w:pPr>
    </w:p>
    <w:p>
      <w:pPr>
        <w:pageBreakBefore w:val="0"/>
        <w:tabs>
          <w:tab w:val="right" w:pos="8306"/>
        </w:tabs>
        <w:kinsoku/>
        <w:wordWrap/>
        <w:overflowPunct/>
        <w:topLinePunct w:val="0"/>
        <w:bidi w:val="0"/>
        <w:spacing w:line="576" w:lineRule="exact"/>
        <w:ind w:firstLine="640"/>
        <w:outlineLvl w:val="1"/>
        <w:rPr>
          <w:rStyle w:val="17"/>
        </w:rPr>
      </w:pPr>
      <w:bookmarkStart w:id="37" w:name="_Toc15396608"/>
      <w:bookmarkStart w:id="38" w:name="_Toc15377214"/>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37"/>
      <w:bookmarkEnd w:id="38"/>
      <w:r>
        <w:rPr>
          <w:rStyle w:val="17"/>
          <w:rFonts w:ascii="黑体" w:eastAsia="黑体"/>
          <w:b w:val="0"/>
        </w:rPr>
        <w:tab/>
      </w:r>
    </w:p>
    <w:p>
      <w:pPr>
        <w:pageBreakBefore w:val="0"/>
        <w:kinsoku/>
        <w:wordWrap/>
        <w:overflowPunct/>
        <w:topLinePunct w:val="0"/>
        <w:bidi w:val="0"/>
        <w:spacing w:line="576"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186.65</w:t>
      </w:r>
      <w:r>
        <w:rPr>
          <w:rFonts w:hint="eastAsia" w:ascii="仿宋" w:eastAsia="仿宋"/>
          <w:sz w:val="32"/>
          <w:szCs w:val="32"/>
        </w:rPr>
        <w:t>万元，其中：</w:t>
      </w:r>
    </w:p>
    <w:p>
      <w:pPr>
        <w:pageBreakBefore w:val="0"/>
        <w:kinsoku/>
        <w:wordWrap/>
        <w:overflowPunct/>
        <w:topLinePunct w:val="0"/>
        <w:bidi w:val="0"/>
        <w:spacing w:line="576"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147.70</w:t>
      </w:r>
      <w:r>
        <w:rPr>
          <w:rFonts w:hint="eastAsia" w:ascii="仿宋" w:eastAsia="仿宋"/>
          <w:sz w:val="32"/>
          <w:szCs w:val="32"/>
        </w:rPr>
        <w:t>万元，主要包括：基本工资</w:t>
      </w:r>
      <w:r>
        <w:rPr>
          <w:rFonts w:hint="eastAsia" w:ascii="仿宋" w:eastAsia="仿宋"/>
          <w:sz w:val="32"/>
          <w:szCs w:val="32"/>
          <w:lang w:val="en-US" w:eastAsia="zh-CN"/>
        </w:rPr>
        <w:t>24.08万元</w:t>
      </w:r>
      <w:r>
        <w:rPr>
          <w:rFonts w:hint="eastAsia" w:ascii="仿宋" w:eastAsia="仿宋"/>
          <w:sz w:val="32"/>
          <w:szCs w:val="32"/>
        </w:rPr>
        <w:t>、津贴补贴</w:t>
      </w:r>
      <w:r>
        <w:rPr>
          <w:rFonts w:hint="eastAsia" w:ascii="仿宋" w:eastAsia="仿宋"/>
          <w:sz w:val="32"/>
          <w:szCs w:val="32"/>
          <w:lang w:val="en-US" w:eastAsia="zh-CN"/>
        </w:rPr>
        <w:t>60.19万元</w:t>
      </w:r>
      <w:r>
        <w:rPr>
          <w:rFonts w:hint="eastAsia" w:ascii="仿宋" w:eastAsia="仿宋"/>
          <w:sz w:val="32"/>
          <w:szCs w:val="32"/>
        </w:rPr>
        <w:t>、奖金、伙食补助费</w:t>
      </w:r>
      <w:r>
        <w:rPr>
          <w:rFonts w:hint="eastAsia" w:ascii="仿宋" w:eastAsia="仿宋"/>
          <w:sz w:val="32"/>
          <w:szCs w:val="32"/>
          <w:lang w:val="en-US" w:eastAsia="zh-CN"/>
        </w:rPr>
        <w:t>0万元</w:t>
      </w:r>
      <w:r>
        <w:rPr>
          <w:rFonts w:hint="eastAsia" w:ascii="仿宋" w:eastAsia="仿宋"/>
          <w:sz w:val="32"/>
          <w:szCs w:val="32"/>
        </w:rPr>
        <w:t>、绩效工资</w:t>
      </w:r>
      <w:r>
        <w:rPr>
          <w:rFonts w:hint="eastAsia" w:ascii="仿宋" w:eastAsia="仿宋"/>
          <w:sz w:val="32"/>
          <w:szCs w:val="32"/>
          <w:lang w:val="en-US" w:eastAsia="zh-CN"/>
        </w:rPr>
        <w:t>26.30万元</w:t>
      </w:r>
      <w:r>
        <w:rPr>
          <w:rFonts w:hint="eastAsia" w:ascii="仿宋" w:eastAsia="仿宋"/>
          <w:sz w:val="32"/>
          <w:szCs w:val="32"/>
        </w:rPr>
        <w:t>、机关事业单位基本养老保险缴费</w:t>
      </w:r>
      <w:r>
        <w:rPr>
          <w:rFonts w:hint="eastAsia" w:ascii="仿宋" w:eastAsia="仿宋"/>
          <w:sz w:val="32"/>
          <w:szCs w:val="32"/>
          <w:lang w:val="en-US" w:eastAsia="zh-CN"/>
        </w:rPr>
        <w:t>11.12万元</w:t>
      </w:r>
      <w:r>
        <w:rPr>
          <w:rFonts w:hint="eastAsia" w:ascii="仿宋" w:eastAsia="仿宋"/>
          <w:sz w:val="32"/>
          <w:szCs w:val="32"/>
        </w:rPr>
        <w:t>、职业年金缴费</w:t>
      </w:r>
      <w:r>
        <w:rPr>
          <w:rFonts w:hint="eastAsia" w:ascii="仿宋" w:eastAsia="仿宋"/>
          <w:sz w:val="32"/>
          <w:szCs w:val="32"/>
          <w:lang w:val="en-US" w:eastAsia="zh-CN"/>
        </w:rPr>
        <w:t>5.56万元</w:t>
      </w:r>
      <w:r>
        <w:rPr>
          <w:rFonts w:hint="eastAsia" w:ascii="仿宋" w:eastAsia="仿宋"/>
          <w:sz w:val="32"/>
          <w:szCs w:val="32"/>
        </w:rPr>
        <w:t>、</w:t>
      </w:r>
      <w:r>
        <w:rPr>
          <w:rFonts w:hint="eastAsia" w:ascii="仿宋" w:eastAsia="仿宋"/>
          <w:sz w:val="32"/>
          <w:szCs w:val="32"/>
          <w:lang w:eastAsia="zh-CN"/>
        </w:rPr>
        <w:t>公务员医疗补助缴费</w:t>
      </w:r>
      <w:r>
        <w:rPr>
          <w:rFonts w:hint="eastAsia" w:ascii="仿宋" w:eastAsia="仿宋"/>
          <w:sz w:val="32"/>
          <w:szCs w:val="32"/>
          <w:lang w:val="en-US" w:eastAsia="zh-CN"/>
        </w:rPr>
        <w:t>1.46万元、</w:t>
      </w:r>
      <w:r>
        <w:rPr>
          <w:rFonts w:hint="eastAsia" w:ascii="仿宋" w:eastAsia="仿宋"/>
          <w:sz w:val="32"/>
          <w:szCs w:val="32"/>
        </w:rPr>
        <w:t>其他社会保障缴费</w:t>
      </w:r>
      <w:r>
        <w:rPr>
          <w:rFonts w:hint="eastAsia" w:ascii="仿宋" w:eastAsia="仿宋"/>
          <w:sz w:val="32"/>
          <w:szCs w:val="32"/>
          <w:lang w:val="en-US" w:eastAsia="zh-CN"/>
        </w:rPr>
        <w:t>1.67万元</w:t>
      </w:r>
      <w:r>
        <w:rPr>
          <w:rFonts w:hint="eastAsia" w:ascii="仿宋" w:eastAsia="仿宋"/>
          <w:sz w:val="32"/>
          <w:szCs w:val="32"/>
        </w:rPr>
        <w:t>、其他工资福利支出</w:t>
      </w:r>
      <w:r>
        <w:rPr>
          <w:rFonts w:hint="eastAsia" w:ascii="仿宋" w:eastAsia="仿宋"/>
          <w:sz w:val="32"/>
          <w:szCs w:val="32"/>
          <w:lang w:val="en-US" w:eastAsia="zh-CN"/>
        </w:rPr>
        <w:t>0万元</w:t>
      </w:r>
      <w:r>
        <w:rPr>
          <w:rFonts w:hint="eastAsia" w:ascii="仿宋" w:eastAsia="仿宋"/>
          <w:sz w:val="32"/>
          <w:szCs w:val="32"/>
        </w:rPr>
        <w:t>、</w:t>
      </w:r>
      <w:r>
        <w:rPr>
          <w:rFonts w:hint="eastAsia" w:ascii="仿宋" w:eastAsia="仿宋"/>
          <w:sz w:val="32"/>
          <w:szCs w:val="32"/>
          <w:lang w:eastAsia="zh-CN"/>
        </w:rPr>
        <w:t>住房公积金</w:t>
      </w:r>
      <w:r>
        <w:rPr>
          <w:rFonts w:hint="eastAsia" w:ascii="仿宋" w:eastAsia="仿宋"/>
          <w:sz w:val="32"/>
          <w:szCs w:val="32"/>
          <w:lang w:val="en-US" w:eastAsia="zh-CN"/>
        </w:rPr>
        <w:t>11.30万元、医疗费0.72万元</w:t>
      </w:r>
      <w:r>
        <w:rPr>
          <w:rFonts w:hint="eastAsia" w:ascii="仿宋" w:eastAsia="仿宋"/>
          <w:sz w:val="32"/>
          <w:szCs w:val="32"/>
        </w:rPr>
        <w:t>。</w:t>
      </w:r>
    </w:p>
    <w:p>
      <w:pPr>
        <w:pageBreakBefore w:val="0"/>
        <w:kinsoku/>
        <w:wordWrap/>
        <w:overflowPunct/>
        <w:topLinePunct w:val="0"/>
        <w:bidi w:val="0"/>
        <w:spacing w:line="576" w:lineRule="exact"/>
        <w:ind w:firstLine="645"/>
        <w:rPr>
          <w:rFonts w:ascii="仿宋" w:eastAsia="仿宋"/>
          <w:b/>
          <w:sz w:val="32"/>
          <w:szCs w:val="32"/>
        </w:rPr>
      </w:pPr>
      <w:r>
        <w:rPr>
          <w:rFonts w:hint="eastAsia" w:ascii="仿宋" w:eastAsia="仿宋"/>
          <w:sz w:val="32"/>
          <w:szCs w:val="32"/>
        </w:rPr>
        <w:t>公用经费</w:t>
      </w:r>
      <w:r>
        <w:rPr>
          <w:rFonts w:hint="eastAsia" w:ascii="仿宋" w:eastAsia="仿宋"/>
          <w:sz w:val="32"/>
          <w:szCs w:val="32"/>
          <w:lang w:val="en-US" w:eastAsia="zh-CN"/>
        </w:rPr>
        <w:t>10.89</w:t>
      </w:r>
      <w:r>
        <w:rPr>
          <w:rFonts w:hint="eastAsia" w:ascii="仿宋" w:eastAsia="仿宋"/>
          <w:sz w:val="32"/>
          <w:szCs w:val="32"/>
        </w:rPr>
        <w:t>万元，主要包括：办公费</w:t>
      </w:r>
      <w:r>
        <w:rPr>
          <w:rFonts w:hint="eastAsia" w:ascii="仿宋" w:eastAsia="仿宋"/>
          <w:sz w:val="32"/>
          <w:szCs w:val="32"/>
          <w:lang w:val="en-US" w:eastAsia="zh-CN"/>
        </w:rPr>
        <w:t>2.62万元</w:t>
      </w:r>
      <w:r>
        <w:rPr>
          <w:rFonts w:hint="eastAsia" w:ascii="仿宋" w:eastAsia="仿宋"/>
          <w:sz w:val="32"/>
          <w:szCs w:val="32"/>
        </w:rPr>
        <w:t>、邮电费</w:t>
      </w:r>
      <w:r>
        <w:rPr>
          <w:rFonts w:hint="eastAsia" w:ascii="仿宋" w:eastAsia="仿宋"/>
          <w:sz w:val="32"/>
          <w:szCs w:val="32"/>
          <w:lang w:val="en-US" w:eastAsia="zh-CN"/>
        </w:rPr>
        <w:t>3.60万元</w:t>
      </w:r>
      <w:r>
        <w:rPr>
          <w:rFonts w:hint="eastAsia" w:ascii="仿宋" w:eastAsia="仿宋"/>
          <w:sz w:val="32"/>
          <w:szCs w:val="32"/>
        </w:rPr>
        <w:t>、取暖费</w:t>
      </w:r>
      <w:r>
        <w:rPr>
          <w:rFonts w:hint="eastAsia" w:ascii="仿宋" w:eastAsia="仿宋"/>
          <w:sz w:val="32"/>
          <w:szCs w:val="32"/>
          <w:lang w:val="en-US" w:eastAsia="zh-CN"/>
        </w:rPr>
        <w:t>0.92万元</w:t>
      </w:r>
      <w:r>
        <w:rPr>
          <w:rFonts w:hint="eastAsia" w:ascii="仿宋" w:eastAsia="仿宋"/>
          <w:sz w:val="32"/>
          <w:szCs w:val="32"/>
        </w:rPr>
        <w:t>、差旅费</w:t>
      </w:r>
      <w:r>
        <w:rPr>
          <w:rFonts w:hint="eastAsia" w:ascii="仿宋" w:eastAsia="仿宋"/>
          <w:sz w:val="32"/>
          <w:szCs w:val="32"/>
          <w:lang w:val="en-US" w:eastAsia="zh-CN"/>
        </w:rPr>
        <w:t>0.93万元</w:t>
      </w:r>
      <w:r>
        <w:rPr>
          <w:rFonts w:hint="eastAsia" w:ascii="仿宋" w:eastAsia="仿宋"/>
          <w:sz w:val="32"/>
          <w:szCs w:val="32"/>
        </w:rPr>
        <w:t>、因公出国（境）费用</w:t>
      </w:r>
      <w:r>
        <w:rPr>
          <w:rFonts w:hint="eastAsia" w:ascii="仿宋" w:eastAsia="仿宋"/>
          <w:sz w:val="32"/>
          <w:szCs w:val="32"/>
          <w:lang w:val="en-US" w:eastAsia="zh-CN"/>
        </w:rPr>
        <w:t>0万元</w:t>
      </w:r>
      <w:r>
        <w:rPr>
          <w:rFonts w:hint="eastAsia" w:ascii="仿宋" w:eastAsia="仿宋"/>
          <w:sz w:val="32"/>
          <w:szCs w:val="32"/>
        </w:rPr>
        <w:t>、维修（护）费</w:t>
      </w:r>
      <w:r>
        <w:rPr>
          <w:rFonts w:hint="eastAsia" w:ascii="仿宋" w:eastAsia="仿宋"/>
          <w:sz w:val="32"/>
          <w:szCs w:val="32"/>
          <w:lang w:val="en-US" w:eastAsia="zh-CN"/>
        </w:rPr>
        <w:t>2.24万元</w:t>
      </w:r>
      <w:r>
        <w:rPr>
          <w:rFonts w:hint="eastAsia" w:ascii="仿宋" w:eastAsia="仿宋"/>
          <w:sz w:val="32"/>
          <w:szCs w:val="32"/>
        </w:rPr>
        <w:t>、劳务费</w:t>
      </w:r>
      <w:r>
        <w:rPr>
          <w:rFonts w:hint="eastAsia" w:ascii="仿宋" w:eastAsia="仿宋"/>
          <w:sz w:val="32"/>
          <w:szCs w:val="32"/>
          <w:lang w:val="en-US" w:eastAsia="zh-CN"/>
        </w:rPr>
        <w:t>0.58万元。</w:t>
      </w:r>
    </w:p>
    <w:p>
      <w:pPr>
        <w:pageBreakBefore w:val="0"/>
        <w:kinsoku/>
        <w:wordWrap/>
        <w:overflowPunct/>
        <w:topLinePunct w:val="0"/>
        <w:bidi w:val="0"/>
        <w:spacing w:line="576" w:lineRule="exact"/>
        <w:ind w:firstLine="640"/>
        <w:rPr>
          <w:rFonts w:ascii="仿宋" w:eastAsia="仿宋"/>
          <w:b/>
          <w:sz w:val="32"/>
          <w:szCs w:val="32"/>
        </w:rPr>
      </w:pPr>
    </w:p>
    <w:p>
      <w:pPr>
        <w:pageBreakBefore w:val="0"/>
        <w:kinsoku/>
        <w:wordWrap/>
        <w:overflowPunct/>
        <w:topLinePunct w:val="0"/>
        <w:bidi w:val="0"/>
        <w:spacing w:line="576" w:lineRule="exact"/>
        <w:ind w:firstLine="640"/>
        <w:outlineLvl w:val="1"/>
        <w:rPr>
          <w:rStyle w:val="17"/>
          <w:rFonts w:ascii="黑体" w:eastAsia="黑体"/>
          <w:b w:val="0"/>
        </w:rPr>
      </w:pPr>
      <w:bookmarkStart w:id="39" w:name="_Toc15396609"/>
      <w:bookmarkStart w:id="40" w:name="_Toc15377215"/>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39"/>
      <w:bookmarkEnd w:id="40"/>
    </w:p>
    <w:p>
      <w:pPr>
        <w:pageBreakBefore w:val="0"/>
        <w:kinsoku/>
        <w:wordWrap/>
        <w:overflowPunct/>
        <w:topLinePunct w:val="0"/>
        <w:bidi w:val="0"/>
        <w:spacing w:line="576" w:lineRule="exact"/>
        <w:ind w:firstLine="640"/>
        <w:outlineLvl w:val="2"/>
        <w:rPr>
          <w:rFonts w:ascii="仿宋" w:eastAsia="仿宋"/>
          <w:b/>
          <w:sz w:val="32"/>
          <w:szCs w:val="32"/>
        </w:rPr>
      </w:pPr>
      <w:bookmarkStart w:id="41" w:name="_Toc15377216"/>
      <w:r>
        <w:rPr>
          <w:rFonts w:hint="eastAsia" w:ascii="仿宋" w:eastAsia="仿宋"/>
          <w:b/>
          <w:sz w:val="32"/>
          <w:szCs w:val="32"/>
        </w:rPr>
        <w:t>（一）“三公”经费财政拨款支出决算总体情况说明</w:t>
      </w:r>
      <w:bookmarkEnd w:id="41"/>
    </w:p>
    <w:p>
      <w:pPr>
        <w:pageBreakBefore w:val="0"/>
        <w:kinsoku/>
        <w:wordWrap/>
        <w:overflowPunct/>
        <w:topLinePunct w:val="0"/>
        <w:bidi w:val="0"/>
        <w:spacing w:line="576" w:lineRule="exact"/>
        <w:ind w:firstLine="640"/>
        <w:rPr>
          <w:rFonts w:hint="eastAsia" w:ascii="仿宋" w:eastAsia="仿宋"/>
          <w:b/>
          <w:sz w:val="32"/>
          <w:szCs w:val="32"/>
          <w:lang w:eastAsia="zh-CN"/>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lang w:eastAsia="zh-CN"/>
        </w:rPr>
        <w:t>。</w:t>
      </w:r>
    </w:p>
    <w:p>
      <w:pPr>
        <w:pageBreakBefore w:val="0"/>
        <w:kinsoku/>
        <w:wordWrap/>
        <w:overflowPunct/>
        <w:topLinePunct w:val="0"/>
        <w:bidi w:val="0"/>
        <w:spacing w:line="576" w:lineRule="exact"/>
        <w:ind w:firstLine="640"/>
        <w:outlineLvl w:val="2"/>
        <w:rPr>
          <w:rFonts w:ascii="仿宋" w:eastAsia="仿宋"/>
          <w:b/>
          <w:sz w:val="32"/>
          <w:szCs w:val="32"/>
        </w:rPr>
      </w:pPr>
      <w:bookmarkStart w:id="42" w:name="_Toc15377217"/>
      <w:r>
        <w:rPr>
          <w:rFonts w:hint="eastAsia" w:ascii="仿宋" w:eastAsia="仿宋"/>
          <w:b/>
          <w:sz w:val="32"/>
          <w:szCs w:val="32"/>
        </w:rPr>
        <w:t>（二）“三公”经费财政拨款支出决算具体情况说明</w:t>
      </w:r>
      <w:bookmarkEnd w:id="42"/>
    </w:p>
    <w:p>
      <w:pPr>
        <w:pageBreakBefore w:val="0"/>
        <w:kinsoku/>
        <w:wordWrap/>
        <w:overflowPunct/>
        <w:topLinePunct w:val="0"/>
        <w:bidi w:val="0"/>
        <w:spacing w:line="576" w:lineRule="exact"/>
        <w:ind w:firstLine="64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w:t>
      </w:r>
    </w:p>
    <w:p>
      <w:pPr>
        <w:pageBreakBefore w:val="0"/>
        <w:kinsoku/>
        <w:wordWrap/>
        <w:overflowPunct/>
        <w:topLinePunct w:val="0"/>
        <w:bidi w:val="0"/>
        <w:spacing w:line="576"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w:t>
      </w:r>
    </w:p>
    <w:p>
      <w:pPr>
        <w:pageBreakBefore w:val="0"/>
        <w:kinsoku/>
        <w:wordWrap/>
        <w:overflowPunct/>
        <w:topLinePunct w:val="0"/>
        <w:bidi w:val="0"/>
        <w:spacing w:line="576"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3" w:firstLineChars="200"/>
        <w:rPr>
          <w:rFonts w:hint="eastAsia" w:ascii="仿宋_GB2312" w:eastAsia="仿宋_GB2312"/>
          <w:sz w:val="32"/>
          <w:szCs w:val="32"/>
          <w:lang w:eastAsia="zh-CN"/>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ageBreakBefore w:val="0"/>
        <w:kinsoku/>
        <w:wordWrap/>
        <w:overflowPunct/>
        <w:topLinePunct w:val="0"/>
        <w:bidi w:val="0"/>
        <w:spacing w:line="576" w:lineRule="exact"/>
        <w:ind w:firstLine="640"/>
        <w:outlineLvl w:val="1"/>
        <w:rPr>
          <w:rFonts w:ascii="黑体" w:eastAsia="黑体"/>
          <w:sz w:val="32"/>
          <w:szCs w:val="32"/>
        </w:rPr>
      </w:pPr>
      <w:bookmarkStart w:id="43" w:name="_Toc15396610"/>
      <w:bookmarkStart w:id="44" w:name="_Toc15377218"/>
    </w:p>
    <w:p>
      <w:pPr>
        <w:pageBreakBefore w:val="0"/>
        <w:kinsoku/>
        <w:wordWrap/>
        <w:overflowPunct/>
        <w:topLinePunct w:val="0"/>
        <w:bidi w:val="0"/>
        <w:spacing w:line="576" w:lineRule="exact"/>
        <w:ind w:firstLine="640"/>
        <w:outlineLvl w:val="1"/>
        <w:rPr>
          <w:rStyle w:val="17"/>
          <w:rFonts w:ascii="黑体" w:eastAsia="黑体"/>
        </w:rPr>
      </w:pPr>
      <w:r>
        <w:rPr>
          <w:rFonts w:hint="eastAsia" w:ascii="黑体" w:eastAsia="黑体"/>
          <w:sz w:val="32"/>
          <w:szCs w:val="32"/>
        </w:rPr>
        <w:t>八、</w:t>
      </w:r>
      <w:r>
        <w:rPr>
          <w:rStyle w:val="17"/>
          <w:rFonts w:hint="eastAsia" w:ascii="黑体" w:eastAsia="黑体"/>
          <w:b w:val="0"/>
        </w:rPr>
        <w:t>政府性基金预算支出决算情况说明</w:t>
      </w:r>
      <w:bookmarkEnd w:id="43"/>
      <w:bookmarkEnd w:id="44"/>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0"/>
        <w:rPr>
          <w:rFonts w:ascii="仿宋_GB2312" w:eastAsia="仿宋_GB2312"/>
          <w:sz w:val="32"/>
          <w:szCs w:val="32"/>
        </w:rPr>
      </w:pPr>
    </w:p>
    <w:p>
      <w:pPr>
        <w:pageBreakBefore w:val="0"/>
        <w:numPr>
          <w:ilvl w:val="0"/>
          <w:numId w:val="3"/>
        </w:numPr>
        <w:kinsoku/>
        <w:wordWrap/>
        <w:overflowPunct/>
        <w:topLinePunct w:val="0"/>
        <w:bidi w:val="0"/>
        <w:spacing w:line="576" w:lineRule="exact"/>
        <w:ind w:firstLine="640"/>
        <w:outlineLvl w:val="1"/>
        <w:rPr>
          <w:rStyle w:val="17"/>
          <w:rFonts w:ascii="黑体" w:eastAsia="黑体"/>
          <w:b w:val="0"/>
        </w:rPr>
      </w:pPr>
      <w:bookmarkStart w:id="45" w:name="_Toc15377219"/>
      <w:bookmarkStart w:id="46" w:name="_Toc15396611"/>
      <w:r>
        <w:rPr>
          <w:rStyle w:val="17"/>
          <w:rFonts w:hint="eastAsia" w:ascii="黑体" w:eastAsia="黑体"/>
          <w:b w:val="0"/>
        </w:rPr>
        <w:t>国有资本经营预算支出决算情况说明</w:t>
      </w:r>
      <w:bookmarkEnd w:id="45"/>
      <w:bookmarkEnd w:id="46"/>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jc w:val="center"/>
        <w:rPr>
          <w:rFonts w:ascii="方正小标宋简体" w:eastAsia="方正小标宋简体" w:cs="方正小标宋简体"/>
          <w:sz w:val="44"/>
          <w:szCs w:val="44"/>
        </w:rPr>
      </w:pPr>
    </w:p>
    <w:p>
      <w:pPr>
        <w:pageBreakBefore w:val="0"/>
        <w:numPr>
          <w:ilvl w:val="0"/>
          <w:numId w:val="3"/>
        </w:numPr>
        <w:kinsoku/>
        <w:wordWrap/>
        <w:overflowPunct/>
        <w:topLinePunct w:val="0"/>
        <w:bidi w:val="0"/>
        <w:spacing w:line="576" w:lineRule="exact"/>
        <w:ind w:firstLine="640"/>
        <w:outlineLvl w:val="1"/>
        <w:rPr>
          <w:rStyle w:val="17"/>
          <w:rFonts w:ascii="黑体" w:eastAsia="黑体"/>
          <w:b w:val="0"/>
        </w:rPr>
      </w:pPr>
      <w:bookmarkStart w:id="47" w:name="_Toc15396612"/>
      <w:bookmarkStart w:id="48" w:name="_Toc15377221"/>
      <w:r>
        <w:rPr>
          <w:rStyle w:val="17"/>
          <w:rFonts w:hint="eastAsia" w:ascii="黑体" w:eastAsia="黑体"/>
          <w:b w:val="0"/>
        </w:rPr>
        <w:t>其他重要事项的情况说明</w:t>
      </w:r>
      <w:bookmarkEnd w:id="47"/>
      <w:bookmarkEnd w:id="48"/>
    </w:p>
    <w:p>
      <w:pPr>
        <w:pageBreakBefore w:val="0"/>
        <w:kinsoku/>
        <w:wordWrap/>
        <w:overflowPunct/>
        <w:topLinePunct w:val="0"/>
        <w:bidi w:val="0"/>
        <w:spacing w:line="576" w:lineRule="exact"/>
        <w:ind w:firstLine="643" w:firstLineChars="200"/>
        <w:outlineLvl w:val="2"/>
        <w:rPr>
          <w:rFonts w:ascii="仿宋" w:eastAsia="仿宋"/>
          <w:sz w:val="32"/>
          <w:szCs w:val="32"/>
        </w:rPr>
      </w:pPr>
      <w:bookmarkStart w:id="49" w:name="_Toc15377222"/>
      <w:r>
        <w:rPr>
          <w:rFonts w:hint="eastAsia" w:ascii="仿宋" w:eastAsia="仿宋"/>
          <w:b/>
          <w:sz w:val="32"/>
          <w:szCs w:val="32"/>
        </w:rPr>
        <w:t>（一）机关运行经费支出情况</w:t>
      </w:r>
      <w:bookmarkEnd w:id="49"/>
    </w:p>
    <w:p>
      <w:pPr>
        <w:pageBreakBefore w:val="0"/>
        <w:kinsoku/>
        <w:wordWrap/>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eastAsia="zh-CN"/>
        </w:rPr>
        <w:t>，</w:t>
      </w:r>
      <w:r>
        <w:rPr>
          <w:rFonts w:hint="default" w:ascii="仿宋_GB2312" w:eastAsia="仿宋_GB2312" w:cs="仿宋_GB2312"/>
          <w:kern w:val="0"/>
          <w:sz w:val="32"/>
          <w:szCs w:val="32"/>
          <w:shd w:val="clear" w:fill="FFFFFF"/>
        </w:rPr>
        <w:t>中共阿坝州红原县委县政府联动指挥中心机关运行经费支出0.00万元，比20</w:t>
      </w:r>
      <w:r>
        <w:rPr>
          <w:rFonts w:hint="eastAsia" w:ascii="仿宋_GB2312" w:eastAsia="仿宋_GB2312" w:cs="仿宋_GB2312"/>
          <w:kern w:val="0"/>
          <w:sz w:val="32"/>
          <w:szCs w:val="32"/>
          <w:shd w:val="clear" w:fill="FFFFFF"/>
          <w:lang w:val="en-US" w:eastAsia="zh-CN"/>
        </w:rPr>
        <w:t>20</w:t>
      </w:r>
      <w:r>
        <w:rPr>
          <w:rFonts w:hint="default" w:ascii="仿宋_GB2312" w:eastAsia="仿宋_GB2312" w:cs="仿宋_GB2312"/>
          <w:kern w:val="0"/>
          <w:sz w:val="32"/>
          <w:szCs w:val="32"/>
          <w:shd w:val="clear" w:fill="FFFFFF"/>
        </w:rPr>
        <w:t>年增加 0.00万元。</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bookmarkStart w:id="50" w:name="_Toc15377223"/>
      <w:r>
        <w:rPr>
          <w:rFonts w:hint="eastAsia" w:ascii="仿宋" w:eastAsia="仿宋"/>
          <w:b/>
          <w:sz w:val="32"/>
          <w:szCs w:val="32"/>
        </w:rPr>
        <w:t>（二）政府采购支出情况</w:t>
      </w:r>
      <w:bookmarkEnd w:id="50"/>
    </w:p>
    <w:p>
      <w:pPr>
        <w:pStyle w:val="25"/>
        <w:keepNext w:val="0"/>
        <w:keepLines w:val="0"/>
        <w:widowControl w:val="0"/>
        <w:suppressLineNumbers w:val="0"/>
        <w:autoSpaceDE w:val="0"/>
        <w:autoSpaceDN/>
        <w:spacing w:before="0" w:beforeAutospacing="0" w:line="576" w:lineRule="exact"/>
        <w:ind w:left="0" w:firstLine="640" w:firstLineChars="200"/>
        <w:jc w:val="left"/>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21年</w:t>
      </w:r>
      <w:r>
        <w:rPr>
          <w:rFonts w:hint="default" w:ascii="仿宋_GB2312" w:eastAsia="仿宋_GB2312" w:cs="仿宋_GB2312"/>
          <w:kern w:val="0"/>
          <w:sz w:val="32"/>
          <w:szCs w:val="32"/>
          <w:shd w:val="clear" w:fill="FFFFFF"/>
        </w:rPr>
        <w:t>，中共阿坝州红原县委县政府联动指挥中心政府采购支出总额0.00万元，其中：政府采购货物支出 0.00万元、政府采购工程支出0.00万元、政府采购服务支出0.00万元。授予中小企 业合同金额0.00万元，占政府采购支出总额的0.00%，其中：授予小微企业合同金额0.00万元，占政府采购支出总额的0.00%。</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bookmarkStart w:id="51" w:name="_Toc15377224"/>
      <w:r>
        <w:rPr>
          <w:rFonts w:hint="eastAsia" w:ascii="仿宋" w:eastAsia="仿宋"/>
          <w:b/>
          <w:sz w:val="32"/>
          <w:szCs w:val="32"/>
        </w:rPr>
        <w:t>（三）国有资产占有使用情况</w:t>
      </w:r>
      <w:bookmarkEnd w:id="51"/>
    </w:p>
    <w:p>
      <w:pPr>
        <w:pStyle w:val="25"/>
        <w:keepNext w:val="0"/>
        <w:keepLines w:val="0"/>
        <w:widowControl w:val="0"/>
        <w:suppressLineNumbers w:val="0"/>
        <w:autoSpaceDE w:val="0"/>
        <w:autoSpaceDN/>
        <w:spacing w:before="0" w:beforeAutospacing="0" w:line="576" w:lineRule="exact"/>
        <w:ind w:left="0" w:firstLine="640" w:firstLineChars="200"/>
        <w:jc w:val="left"/>
        <w:rPr>
          <w:rFonts w:hint="default" w:ascii="仿宋_GB2312" w:eastAsia="仿宋_GB2312" w:cs="仿宋_GB2312"/>
          <w:kern w:val="0"/>
          <w:sz w:val="32"/>
          <w:szCs w:val="32"/>
          <w:shd w:val="clear" w:fill="FFFFFF"/>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default" w:ascii="仿宋_GB2312" w:eastAsia="仿宋_GB2312" w:cs="仿宋_GB2312"/>
          <w:kern w:val="0"/>
          <w:sz w:val="32"/>
          <w:szCs w:val="32"/>
          <w:shd w:val="clear" w:fill="FFFFFF"/>
        </w:rPr>
        <w:t>中共阿坝州红原县委县政府联动指挥中心共有车辆0辆，其中：主要领导干部用车0 辆、机要通信用车0辆、应急保障用车0辆、执法执勤用车0 辆、特种专业技术用车0辆、离退休干部用车0辆、其他用车 0辆。单价50万元以上通用设备0台（套），单价100万元以上专用设备0台（套）。</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 xml:space="preserve"> </w:t>
      </w:r>
      <w:r>
        <w:rPr>
          <w:rFonts w:hint="default" w:ascii="仿宋_GB2312" w:eastAsia="仿宋_GB2312" w:cs="仿宋_GB2312"/>
          <w:kern w:val="0"/>
          <w:sz w:val="32"/>
          <w:szCs w:val="32"/>
        </w:rPr>
        <w:t>根据预算绩效管理要求，本部门（单位）在年初预算编制阶段，组织对项目（项目名称）开展了预算事前绩效评估，对0个项目编制了绩效目标，预算执行过程中，选取0个项目开展绩效监控，年终执行完毕后，对0个项目开展了绩效目标完成情况自评。</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rPr>
        <w:t>本部门按要求对20</w:t>
      </w:r>
      <w:r>
        <w:rPr>
          <w:rFonts w:hint="eastAsia" w:ascii="仿宋_GB2312" w:eastAsia="仿宋_GB2312" w:cs="仿宋_GB2312"/>
          <w:kern w:val="0"/>
          <w:sz w:val="32"/>
          <w:szCs w:val="32"/>
          <w:lang w:val="en-US" w:eastAsia="zh-CN"/>
        </w:rPr>
        <w:t>21</w:t>
      </w:r>
      <w:r>
        <w:rPr>
          <w:rFonts w:hint="default" w:ascii="仿宋_GB2312" w:eastAsia="仿宋_GB2312" w:cs="仿宋_GB2312"/>
          <w:kern w:val="0"/>
          <w:sz w:val="32"/>
          <w:szCs w:val="32"/>
        </w:rPr>
        <w:t>年部门整体支出开展绩效自评，从评价情况来看。本部门还自行组织了0个项目支出绩效评价，从评价情况来看。</w:t>
      </w:r>
    </w:p>
    <w:p>
      <w:pPr>
        <w:pStyle w:val="2"/>
        <w:pageBreakBefore w:val="0"/>
        <w:kinsoku/>
        <w:wordWrap/>
        <w:overflowPunct/>
        <w:topLinePunct w:val="0"/>
        <w:bidi w:val="0"/>
        <w:spacing w:before="93" w:line="576" w:lineRule="exact"/>
        <w:rPr>
          <w:highlight w:val="yellow"/>
        </w:rPr>
      </w:pPr>
    </w:p>
    <w:p>
      <w:pPr>
        <w:pageBreakBefore w:val="0"/>
        <w:widowControl/>
        <w:kinsoku/>
        <w:wordWrap/>
        <w:overflowPunct/>
        <w:topLinePunct w:val="0"/>
        <w:bidi w:val="0"/>
        <w:spacing w:line="576" w:lineRule="exact"/>
        <w:jc w:val="left"/>
        <w:rPr>
          <w:rFonts w:ascii="仿宋_GB2312" w:eastAsia="仿宋_GB2312"/>
          <w:b/>
          <w:sz w:val="32"/>
          <w:szCs w:val="32"/>
        </w:rPr>
      </w:pPr>
      <w:r>
        <w:rPr>
          <w:rFonts w:ascii="仿宋_GB2312" w:eastAsia="仿宋_GB2312"/>
          <w:b/>
          <w:sz w:val="32"/>
          <w:szCs w:val="32"/>
        </w:rPr>
        <w:br w:type="page"/>
      </w:r>
    </w:p>
    <w:p>
      <w:pPr>
        <w:pageBreakBefore w:val="0"/>
        <w:numPr>
          <w:ilvl w:val="0"/>
          <w:numId w:val="4"/>
        </w:numPr>
        <w:kinsoku/>
        <w:wordWrap/>
        <w:overflowPunct/>
        <w:topLinePunct w:val="0"/>
        <w:bidi w:val="0"/>
        <w:spacing w:line="576" w:lineRule="exact"/>
        <w:ind w:firstLine="660" w:firstLineChars="150"/>
        <w:jc w:val="center"/>
        <w:outlineLvl w:val="0"/>
        <w:rPr>
          <w:rStyle w:val="16"/>
          <w:rFonts w:ascii="黑体" w:eastAsia="黑体"/>
          <w:b w:val="0"/>
        </w:rPr>
      </w:pPr>
      <w:bookmarkStart w:id="52" w:name="_Toc15396613"/>
      <w:bookmarkStart w:id="53" w:name="_Toc15377225"/>
      <w:r>
        <w:rPr>
          <w:rFonts w:hint="eastAsia" w:ascii="黑体" w:eastAsia="黑体"/>
          <w:sz w:val="44"/>
          <w:szCs w:val="44"/>
        </w:rPr>
        <w:t>名</w:t>
      </w:r>
      <w:r>
        <w:rPr>
          <w:rStyle w:val="16"/>
          <w:rFonts w:hint="eastAsia" w:ascii="黑体" w:eastAsia="黑体"/>
          <w:b w:val="0"/>
        </w:rPr>
        <w:t>词解释</w:t>
      </w:r>
      <w:bookmarkEnd w:id="52"/>
      <w:bookmarkEnd w:id="53"/>
    </w:p>
    <w:p>
      <w:pPr>
        <w:pageBreakBefore w:val="0"/>
        <w:kinsoku/>
        <w:wordWrap/>
        <w:overflowPunct/>
        <w:topLinePunct w:val="0"/>
        <w:bidi w:val="0"/>
        <w:spacing w:line="576" w:lineRule="exact"/>
        <w:jc w:val="left"/>
        <w:rPr>
          <w:rFonts w:ascii="宋体"/>
          <w:b/>
          <w:sz w:val="44"/>
          <w:szCs w:val="44"/>
        </w:rPr>
      </w:pP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9.一般公共服务201类20103款2010350项事业支出指事业人员工资支出。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10.公共安全204类20499款2049901项其他公共安全支出指项目支出，维稳机动金支出。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11.社会保障和就业208类20805款2080505项指机关事业单位基本养老保险缴费支出。2020506指机关事业单位职业年金缴费支出。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12.卫生健康支出210类21011款2101102项指事业单位医疗支出，2101199指其他行政事业单位医疗支出。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13.住房保障221类22102款2210201项指住房公积金支出。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pageBreakBefore w:val="0"/>
        <w:kinsoku/>
        <w:wordWrap/>
        <w:overflowPunct/>
        <w:topLinePunct w:val="0"/>
        <w:bidi w:val="0"/>
        <w:spacing w:line="576" w:lineRule="exact"/>
        <w:ind w:firstLine="640" w:firstLineChars="200"/>
        <w:rPr>
          <w:rFonts w:ascii="仿宋_GB2312" w:eastAsia="仿宋_GB2312" w:cs="黑体"/>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jc w:val="center"/>
        <w:outlineLvl w:val="0"/>
        <w:rPr>
          <w:rStyle w:val="16"/>
          <w:rFonts w:ascii="黑体" w:eastAsia="黑体"/>
          <w:b w:val="0"/>
        </w:rPr>
      </w:pPr>
      <w:bookmarkStart w:id="54" w:name="_Toc15377226"/>
      <w:r>
        <w:rPr>
          <w:rFonts w:ascii="宋体"/>
          <w:b/>
          <w:sz w:val="44"/>
          <w:szCs w:val="44"/>
        </w:rPr>
        <w:br w:type="page"/>
      </w:r>
      <w:bookmarkStart w:id="55" w:name="_Toc15396614"/>
      <w:r>
        <w:rPr>
          <w:rFonts w:hint="eastAsia" w:ascii="黑体" w:eastAsia="黑体"/>
          <w:sz w:val="44"/>
          <w:szCs w:val="44"/>
        </w:rPr>
        <w:t>第</w:t>
      </w:r>
      <w:r>
        <w:rPr>
          <w:rStyle w:val="16"/>
          <w:rFonts w:hint="eastAsia" w:ascii="黑体" w:eastAsia="黑体"/>
          <w:b w:val="0"/>
        </w:rPr>
        <w:t>四部分 附件</w:t>
      </w:r>
      <w:bookmarkEnd w:id="55"/>
    </w:p>
    <w:p>
      <w:pPr>
        <w:pageBreakBefore w:val="0"/>
        <w:kinsoku/>
        <w:wordWrap/>
        <w:overflowPunct/>
        <w:topLinePunct w:val="0"/>
        <w:bidi w:val="0"/>
        <w:spacing w:line="576" w:lineRule="exact"/>
        <w:jc w:val="left"/>
        <w:outlineLvl w:val="0"/>
        <w:rPr>
          <w:rFonts w:ascii="仿宋_GB2312" w:eastAsia="仿宋_GB2312" w:cs="仿宋_GB2312"/>
          <w:sz w:val="32"/>
          <w:szCs w:val="32"/>
        </w:rPr>
      </w:pPr>
      <w:r>
        <w:rPr>
          <w:rFonts w:hint="eastAsia" w:ascii="黑体" w:eastAsia="黑体" w:cs="黑体"/>
          <w:sz w:val="32"/>
          <w:szCs w:val="32"/>
        </w:rPr>
        <w:t>附件</w:t>
      </w:r>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b/>
                <w:sz w:val="32"/>
                <w:szCs w:val="32"/>
              </w:rPr>
            </w:pPr>
            <w:bookmarkStart w:id="56" w:name="_Toc15396618"/>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pageBreakBefore w:val="0"/>
              <w:widowControl/>
              <w:kinsoku/>
              <w:wordWrap/>
              <w:overflowPunct/>
              <w:topLinePunct w:val="0"/>
              <w:bidi w:val="0"/>
              <w:spacing w:line="576"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kern w:val="0"/>
                <w:sz w:val="24"/>
              </w:rPr>
            </w:pPr>
            <w:r>
              <w:rPr>
                <w:rFonts w:hint="eastAsia" w:ascii="宋体" w:cs="宋体"/>
                <w:kern w:val="0"/>
                <w:sz w:val="24"/>
              </w:rPr>
              <w:t>其中：</w:t>
            </w:r>
          </w:p>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kern w:val="0"/>
                <w:sz w:val="24"/>
              </w:rPr>
            </w:pPr>
            <w:r>
              <w:rPr>
                <w:rFonts w:hint="eastAsia" w:ascii="宋体" w:cs="宋体"/>
                <w:kern w:val="0"/>
                <w:sz w:val="24"/>
              </w:rPr>
              <w:t>其中：</w:t>
            </w:r>
          </w:p>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kern w:val="0"/>
                <w:sz w:val="24"/>
              </w:rPr>
            </w:pPr>
            <w:r>
              <w:rPr>
                <w:rFonts w:hint="eastAsia" w:ascii="宋体" w:cs="宋体"/>
                <w:kern w:val="0"/>
                <w:sz w:val="24"/>
              </w:rPr>
              <w:t>年度总体目标</w:t>
            </w:r>
          </w:p>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pageBreakBefore w:val="0"/>
              <w:widowControl/>
              <w:kinsoku/>
              <w:wordWrap/>
              <w:overflowPunct/>
              <w:topLinePunct w:val="0"/>
              <w:bidi w:val="0"/>
              <w:spacing w:line="576"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pageBreakBefore w:val="0"/>
              <w:widowControl/>
              <w:kinsoku/>
              <w:wordWrap/>
              <w:overflowPunct/>
              <w:topLinePunct w:val="0"/>
              <w:bidi w:val="0"/>
              <w:spacing w:line="576"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bl>
    <w:p>
      <w:pPr>
        <w:pageBreakBefore w:val="0"/>
        <w:kinsoku/>
        <w:wordWrap/>
        <w:overflowPunct/>
        <w:topLinePunct w:val="0"/>
        <w:bidi w:val="0"/>
        <w:spacing w:line="576" w:lineRule="exact"/>
        <w:jc w:val="center"/>
        <w:outlineLvl w:val="0"/>
        <w:rPr>
          <w:rFonts w:ascii="黑体" w:eastAsia="黑体"/>
          <w:sz w:val="44"/>
          <w:szCs w:val="44"/>
        </w:rPr>
      </w:pPr>
    </w:p>
    <w:p>
      <w:pPr>
        <w:pageBreakBefore w:val="0"/>
        <w:widowControl/>
        <w:kinsoku/>
        <w:wordWrap/>
        <w:overflowPunct/>
        <w:topLinePunct w:val="0"/>
        <w:bidi w:val="0"/>
        <w:adjustRightInd w:val="0"/>
        <w:snapToGrid w:val="0"/>
        <w:spacing w:line="576" w:lineRule="exact"/>
        <w:contextualSpacing/>
        <w:jc w:val="left"/>
      </w:pPr>
      <w:r>
        <w:rPr>
          <w:rFonts w:hint="eastAsia" w:ascii="仿宋_GB2312" w:eastAsia="仿宋_GB2312" w:cs="宋体"/>
          <w:color w:val="000000"/>
          <w:kern w:val="0"/>
          <w:sz w:val="32"/>
          <w:szCs w:val="32"/>
          <w:shd w:val="clear" w:color="auto" w:fill="FFFFFF"/>
        </w:rPr>
        <w:t>（注：有两个及以上100万元以上（含）特定目标类部门预算项目的，需分别开展绩效目标自评并填写附表）</w:t>
      </w:r>
    </w:p>
    <w:p>
      <w:pPr>
        <w:pageBreakBefore w:val="0"/>
        <w:kinsoku/>
        <w:wordWrap/>
        <w:overflowPunct/>
        <w:topLinePunct w:val="0"/>
        <w:bidi w:val="0"/>
        <w:spacing w:line="576" w:lineRule="exact"/>
        <w:jc w:val="center"/>
        <w:outlineLvl w:val="0"/>
        <w:rPr>
          <w:rFonts w:ascii="黑体" w:eastAsia="黑体"/>
          <w:sz w:val="44"/>
          <w:szCs w:val="44"/>
        </w:rPr>
      </w:pPr>
    </w:p>
    <w:p>
      <w:pPr>
        <w:pageBreakBefore w:val="0"/>
        <w:kinsoku/>
        <w:wordWrap/>
        <w:overflowPunct/>
        <w:topLinePunct w:val="0"/>
        <w:bidi w:val="0"/>
        <w:spacing w:line="576" w:lineRule="exact"/>
        <w:jc w:val="center"/>
        <w:outlineLvl w:val="0"/>
        <w:rPr>
          <w:rFonts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ascii="仿宋" w:eastAsia="仿宋"/>
        </w:rPr>
      </w:pPr>
      <w:r>
        <w:rPr>
          <w:rFonts w:hint="eastAsia" w:ascii="黑体" w:eastAsia="黑体"/>
          <w:sz w:val="44"/>
          <w:szCs w:val="44"/>
        </w:rPr>
        <w:t>第</w:t>
      </w:r>
      <w:r>
        <w:rPr>
          <w:rStyle w:val="16"/>
          <w:rFonts w:hint="eastAsia" w:ascii="黑体" w:eastAsia="黑体"/>
          <w:b w:val="0"/>
        </w:rPr>
        <w:t>五部分 附表</w:t>
      </w:r>
      <w:bookmarkEnd w:id="54"/>
      <w:bookmarkEnd w:id="56"/>
      <w:bookmarkStart w:id="57" w:name="_Toc15396619"/>
    </w:p>
    <w:p>
      <w:pPr>
        <w:pStyle w:val="4"/>
        <w:pageBreakBefore w:val="0"/>
        <w:kinsoku/>
        <w:wordWrap/>
        <w:overflowPunct/>
        <w:topLinePunct w:val="0"/>
        <w:bidi w:val="0"/>
        <w:spacing w:line="576" w:lineRule="exact"/>
        <w:rPr>
          <w:rFonts w:ascii="仿宋" w:eastAsia="仿宋"/>
        </w:rPr>
      </w:pPr>
      <w:r>
        <w:rPr>
          <w:rFonts w:hint="eastAsia" w:ascii="仿宋" w:eastAsia="仿宋"/>
          <w:b w:val="0"/>
        </w:rPr>
        <w:t>一、收</w:t>
      </w:r>
      <w:r>
        <w:rPr>
          <w:rStyle w:val="17"/>
          <w:rFonts w:hint="eastAsia" w:ascii="仿宋" w:eastAsia="仿宋"/>
          <w:b w:val="0"/>
          <w:bCs w:val="0"/>
        </w:rPr>
        <w:t>入支出决算总表</w:t>
      </w:r>
      <w:bookmarkEnd w:id="57"/>
    </w:p>
    <w:p>
      <w:pPr>
        <w:pStyle w:val="4"/>
        <w:pageBreakBefore w:val="0"/>
        <w:kinsoku/>
        <w:wordWrap/>
        <w:overflowPunct/>
        <w:topLinePunct w:val="0"/>
        <w:bidi w:val="0"/>
        <w:spacing w:line="576" w:lineRule="exact"/>
        <w:rPr>
          <w:rFonts w:ascii="仿宋" w:eastAsia="仿宋"/>
        </w:rPr>
      </w:pPr>
      <w:bookmarkStart w:id="58" w:name="_Toc15396620"/>
      <w:r>
        <w:rPr>
          <w:rFonts w:hint="eastAsia" w:ascii="仿宋" w:eastAsia="仿宋"/>
          <w:b w:val="0"/>
        </w:rPr>
        <w:t>二、收</w:t>
      </w:r>
      <w:r>
        <w:rPr>
          <w:rStyle w:val="17"/>
          <w:rFonts w:hint="eastAsia" w:ascii="仿宋" w:eastAsia="仿宋"/>
          <w:b w:val="0"/>
          <w:bCs w:val="0"/>
        </w:rPr>
        <w:t>入决算表</w:t>
      </w:r>
      <w:bookmarkEnd w:id="58"/>
    </w:p>
    <w:p>
      <w:pPr>
        <w:pStyle w:val="4"/>
        <w:pageBreakBefore w:val="0"/>
        <w:kinsoku/>
        <w:wordWrap/>
        <w:overflowPunct/>
        <w:topLinePunct w:val="0"/>
        <w:bidi w:val="0"/>
        <w:spacing w:line="576" w:lineRule="exact"/>
        <w:rPr>
          <w:rFonts w:ascii="仿宋" w:eastAsia="仿宋"/>
        </w:rPr>
      </w:pPr>
      <w:bookmarkStart w:id="59" w:name="_Toc15396621"/>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59"/>
    </w:p>
    <w:p>
      <w:pPr>
        <w:pStyle w:val="4"/>
        <w:pageBreakBefore w:val="0"/>
        <w:kinsoku/>
        <w:wordWrap/>
        <w:overflowPunct/>
        <w:topLinePunct w:val="0"/>
        <w:bidi w:val="0"/>
        <w:spacing w:line="576" w:lineRule="exact"/>
        <w:rPr>
          <w:rFonts w:ascii="仿宋" w:eastAsia="仿宋"/>
          <w:b w:val="0"/>
        </w:rPr>
      </w:pPr>
      <w:bookmarkStart w:id="60" w:name="_Toc15396622"/>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60"/>
    </w:p>
    <w:p>
      <w:pPr>
        <w:pStyle w:val="4"/>
        <w:pageBreakBefore w:val="0"/>
        <w:kinsoku/>
        <w:wordWrap/>
        <w:overflowPunct/>
        <w:topLinePunct w:val="0"/>
        <w:bidi w:val="0"/>
        <w:spacing w:line="576" w:lineRule="exact"/>
        <w:rPr>
          <w:rStyle w:val="17"/>
          <w:rFonts w:ascii="仿宋" w:eastAsia="仿宋"/>
          <w:b w:val="0"/>
          <w:bCs w:val="0"/>
        </w:rPr>
      </w:pPr>
      <w:bookmarkStart w:id="61" w:name="_Toc15396623"/>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61"/>
      <w:bookmarkStart w:id="62" w:name="_Toc15396624"/>
    </w:p>
    <w:p>
      <w:pPr>
        <w:pStyle w:val="4"/>
        <w:pageBreakBefore w:val="0"/>
        <w:kinsoku/>
        <w:wordWrap/>
        <w:overflowPunct/>
        <w:topLinePunct w:val="0"/>
        <w:bidi w:val="0"/>
        <w:spacing w:line="576" w:lineRule="exact"/>
        <w:rPr>
          <w:rFonts w:ascii="仿宋" w:eastAsia="仿宋"/>
        </w:rPr>
      </w:pPr>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62"/>
    </w:p>
    <w:p>
      <w:pPr>
        <w:pStyle w:val="4"/>
        <w:pageBreakBefore w:val="0"/>
        <w:kinsoku/>
        <w:wordWrap/>
        <w:overflowPunct/>
        <w:topLinePunct w:val="0"/>
        <w:bidi w:val="0"/>
        <w:spacing w:line="576" w:lineRule="exact"/>
        <w:rPr>
          <w:rFonts w:ascii="仿宋" w:eastAsia="仿宋"/>
        </w:rPr>
      </w:pPr>
      <w:bookmarkStart w:id="63"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63"/>
    </w:p>
    <w:p>
      <w:pPr>
        <w:pStyle w:val="4"/>
        <w:pageBreakBefore w:val="0"/>
        <w:kinsoku/>
        <w:wordWrap/>
        <w:overflowPunct/>
        <w:topLinePunct w:val="0"/>
        <w:bidi w:val="0"/>
        <w:spacing w:line="576" w:lineRule="exact"/>
        <w:rPr>
          <w:rFonts w:ascii="仿宋" w:eastAsia="仿宋"/>
        </w:rPr>
      </w:pPr>
      <w:bookmarkStart w:id="64"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64"/>
    </w:p>
    <w:p>
      <w:pPr>
        <w:pStyle w:val="4"/>
        <w:pageBreakBefore w:val="0"/>
        <w:kinsoku/>
        <w:wordWrap/>
        <w:overflowPunct/>
        <w:topLinePunct w:val="0"/>
        <w:bidi w:val="0"/>
        <w:spacing w:line="576" w:lineRule="exact"/>
        <w:rPr>
          <w:rFonts w:ascii="仿宋" w:eastAsia="仿宋"/>
        </w:rPr>
      </w:pPr>
      <w:bookmarkStart w:id="65" w:name="_Toc15396627"/>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65"/>
    </w:p>
    <w:p>
      <w:pPr>
        <w:pStyle w:val="4"/>
        <w:pageBreakBefore w:val="0"/>
        <w:kinsoku/>
        <w:wordWrap/>
        <w:overflowPunct/>
        <w:topLinePunct w:val="0"/>
        <w:bidi w:val="0"/>
        <w:spacing w:line="576" w:lineRule="exact"/>
        <w:rPr>
          <w:rFonts w:ascii="仿宋" w:eastAsia="仿宋"/>
        </w:rPr>
      </w:pPr>
      <w:bookmarkStart w:id="66" w:name="_Toc15396628"/>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66"/>
    </w:p>
    <w:p>
      <w:pPr>
        <w:pStyle w:val="4"/>
        <w:pageBreakBefore w:val="0"/>
        <w:kinsoku/>
        <w:wordWrap/>
        <w:overflowPunct/>
        <w:topLinePunct w:val="0"/>
        <w:bidi w:val="0"/>
        <w:spacing w:line="576" w:lineRule="exact"/>
        <w:rPr>
          <w:rFonts w:ascii="仿宋" w:eastAsia="仿宋"/>
        </w:rPr>
      </w:pPr>
      <w:bookmarkStart w:id="67" w:name="_Toc15396629"/>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67"/>
    </w:p>
    <w:p>
      <w:pPr>
        <w:pStyle w:val="4"/>
        <w:pageBreakBefore w:val="0"/>
        <w:kinsoku/>
        <w:wordWrap/>
        <w:overflowPunct/>
        <w:topLinePunct w:val="0"/>
        <w:bidi w:val="0"/>
        <w:spacing w:line="576" w:lineRule="exact"/>
        <w:rPr>
          <w:rFonts w:ascii="仿宋" w:eastAsia="仿宋"/>
        </w:rPr>
      </w:pPr>
      <w:bookmarkStart w:id="68" w:name="_Toc15396630"/>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68"/>
    </w:p>
    <w:p>
      <w:pPr>
        <w:pStyle w:val="4"/>
        <w:pageBreakBefore w:val="0"/>
        <w:kinsoku/>
        <w:wordWrap/>
        <w:overflowPunct/>
        <w:topLinePunct w:val="0"/>
        <w:bidi w:val="0"/>
        <w:spacing w:line="576" w:lineRule="exact"/>
        <w:rPr>
          <w:rStyle w:val="17"/>
          <w:rFonts w:ascii="仿宋" w:eastAsia="仿宋"/>
          <w:b w:val="0"/>
          <w:bCs w:val="0"/>
        </w:rPr>
      </w:pPr>
      <w:bookmarkStart w:id="69" w:name="_Toc15396631"/>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69"/>
    </w:p>
    <w:p>
      <w:pPr>
        <w:pageBreakBefore w:val="0"/>
        <w:kinsoku/>
        <w:wordWrap/>
        <w:overflowPunct/>
        <w:topLinePunct w:val="0"/>
        <w:bidi w:val="0"/>
        <w:spacing w:line="576" w:lineRule="exact"/>
        <w:rPr>
          <w:rFonts w:eastAsia="仿宋"/>
        </w:rPr>
      </w:pPr>
      <w:r>
        <w:rPr>
          <w:rStyle w:val="17"/>
          <w:rFonts w:hint="eastAsia" w:ascii="仿宋" w:eastAsia="仿宋"/>
          <w:b w:val="0"/>
          <w:bCs w:val="0"/>
        </w:rPr>
        <w:t>十四、国有资本经营预算财政拨款支出决算表</w:t>
      </w:r>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31EF224-DF93-4493-886B-EF762386795D}"/>
  </w:font>
  <w:font w:name="黑体">
    <w:panose1 w:val="02010609060101010101"/>
    <w:charset w:val="86"/>
    <w:family w:val="auto"/>
    <w:pitch w:val="default"/>
    <w:sig w:usb0="800002BF" w:usb1="38CF7CFA" w:usb2="00000016" w:usb3="00000000" w:csb0="00040001" w:csb1="00000000"/>
    <w:embedRegular r:id="rId2" w:fontKey="{9353A814-C821-4993-9983-A175644B62B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7EFC0C80-6754-49B9-B468-7B666C404DD9}"/>
  </w:font>
  <w:font w:name="仿宋_GB2312">
    <w:panose1 w:val="02010609030101010101"/>
    <w:charset w:val="86"/>
    <w:family w:val="modern"/>
    <w:pitch w:val="default"/>
    <w:sig w:usb0="00000001" w:usb1="080E0000" w:usb2="00000000" w:usb3="00000000" w:csb0="00040000" w:csb1="00000000"/>
    <w:embedRegular r:id="rId4" w:fontKey="{238804C9-F3D9-4CC6-A3DF-7851E223D046}"/>
  </w:font>
  <w:font w:name="仿宋">
    <w:panose1 w:val="02010609060101010101"/>
    <w:charset w:val="86"/>
    <w:family w:val="modern"/>
    <w:pitch w:val="default"/>
    <w:sig w:usb0="800002BF" w:usb1="38CF7CFA" w:usb2="00000016" w:usb3="00000000" w:csb0="00040001" w:csb1="00000000"/>
    <w:embedRegular r:id="rId5" w:fontKey="{09707E9A-FA98-40A4-B5F7-3014CC27EE78}"/>
  </w:font>
  <w:font w:name="方正小标宋简体">
    <w:panose1 w:val="02010601030101010101"/>
    <w:charset w:val="86"/>
    <w:family w:val="script"/>
    <w:pitch w:val="default"/>
    <w:sig w:usb0="00000001" w:usb1="080E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6" w:fontKey="{5B3B8C5E-E970-426E-B0E6-86D1711047CF}"/>
  </w:font>
  <w:font w:name="楷体_GB2312">
    <w:panose1 w:val="02010609030101010101"/>
    <w:charset w:val="86"/>
    <w:family w:val="auto"/>
    <w:pitch w:val="default"/>
    <w:sig w:usb0="00000001" w:usb1="080E0000" w:usb2="00000000" w:usb3="00000000" w:csb0="00040000" w:csb1="00000000"/>
    <w:embedRegular r:id="rId7" w:fontKey="{967ECE09-287A-4A3B-B814-BF81870785D5}"/>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bookmarkStart w:id="70" w:name="_GoBack"/>
    <w:bookmarkEnd w:id="7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75D494F"/>
    <w:multiLevelType w:val="singleLevel"/>
    <w:tmpl w:val="575D494F"/>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E1OWI0MGE5MmYwY2YwNTJhYTViOGM0NDRiMGJjMjUifQ=="/>
  </w:docVars>
  <w:rsids>
    <w:rsidRoot w:val="008C6A67"/>
    <w:rsid w:val="00190606"/>
    <w:rsid w:val="004F482C"/>
    <w:rsid w:val="008C6A67"/>
    <w:rsid w:val="02356D8C"/>
    <w:rsid w:val="164C0FAD"/>
    <w:rsid w:val="1A3E28B9"/>
    <w:rsid w:val="1CCA04D3"/>
    <w:rsid w:val="38D36539"/>
    <w:rsid w:val="4BA93BEB"/>
    <w:rsid w:val="4ECD3CCE"/>
    <w:rsid w:val="5DA61C7D"/>
    <w:rsid w:val="5F7B589B"/>
    <w:rsid w:val="61B26849"/>
    <w:rsid w:val="63395BF4"/>
    <w:rsid w:val="648213B2"/>
    <w:rsid w:val="6DBD7BE5"/>
    <w:rsid w:val="78EE3D92"/>
    <w:rsid w:val="7F653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字符"/>
    <w:basedOn w:val="13"/>
    <w:link w:val="3"/>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6">
    <w:name w:val="15"/>
    <w:basedOn w:val="13"/>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5549</Words>
  <Characters>6090</Characters>
  <Lines>44</Lines>
  <Paragraphs>12</Paragraphs>
  <TotalTime>43</TotalTime>
  <ScaleCrop>false</ScaleCrop>
  <LinksUpToDate>false</LinksUpToDate>
  <CharactersWithSpaces>6126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dell</cp:lastModifiedBy>
  <cp:lastPrinted>2022-12-12T05:55:00Z</cp:lastPrinted>
  <dcterms:modified xsi:type="dcterms:W3CDTF">2022-12-13T01:46:54Z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CF33FCAEC1174719B93A9C51217DF6B4</vt:lpwstr>
  </property>
</Properties>
</file>