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576" w:lineRule="exact"/>
        <w:jc w:val="center"/>
        <w:outlineLvl w:val="0"/>
        <w:rPr>
          <w:rFonts w:ascii="方正小标宋简体" w:eastAsia="方正小标宋简体"/>
          <w:sz w:val="72"/>
          <w:szCs w:val="72"/>
        </w:rPr>
      </w:pPr>
      <w:bookmarkStart w:id="0" w:name="_Toc15306267"/>
    </w:p>
    <w:p>
      <w:pPr>
        <w:pageBreakBefore w:val="0"/>
        <w:kinsoku/>
        <w:wordWrap/>
        <w:overflowPunct/>
        <w:topLinePunct w:val="0"/>
        <w:bidi w:val="0"/>
        <w:spacing w:line="576" w:lineRule="exact"/>
        <w:jc w:val="center"/>
        <w:outlineLvl w:val="0"/>
        <w:rPr>
          <w:rFonts w:ascii="方正小标宋简体" w:eastAsia="方正小标宋简体"/>
          <w:sz w:val="72"/>
          <w:szCs w:val="72"/>
        </w:rPr>
      </w:pPr>
    </w:p>
    <w:p>
      <w:pPr>
        <w:pageBreakBefore w:val="0"/>
        <w:kinsoku/>
        <w:wordWrap/>
        <w:overflowPunct/>
        <w:topLinePunct w:val="0"/>
        <w:bidi w:val="0"/>
        <w:spacing w:line="576" w:lineRule="exact"/>
        <w:jc w:val="center"/>
        <w:outlineLvl w:val="0"/>
        <w:rPr>
          <w:rFonts w:ascii="方正小标宋简体" w:eastAsia="方正小标宋简体"/>
          <w:sz w:val="72"/>
          <w:szCs w:val="72"/>
        </w:rPr>
      </w:pPr>
    </w:p>
    <w:p>
      <w:pPr>
        <w:pageBreakBefore w:val="0"/>
        <w:kinsoku/>
        <w:wordWrap/>
        <w:overflowPunct/>
        <w:topLinePunct w:val="0"/>
        <w:bidi w:val="0"/>
        <w:spacing w:line="576" w:lineRule="exact"/>
        <w:jc w:val="center"/>
        <w:outlineLvl w:val="0"/>
        <w:rPr>
          <w:rFonts w:ascii="方正小标宋简体" w:eastAsia="方正小标宋简体"/>
          <w:sz w:val="72"/>
          <w:szCs w:val="72"/>
        </w:rPr>
      </w:pPr>
    </w:p>
    <w:p>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hint="eastAsia" w:ascii="方正小标宋简体" w:eastAsia="方正小标宋简体" w:cs="方正小标宋简体"/>
          <w:b/>
          <w:bCs/>
          <w:sz w:val="48"/>
          <w:szCs w:val="48"/>
          <w:lang w:eastAsia="zh-CN"/>
        </w:rPr>
      </w:pPr>
      <w:bookmarkStart w:id="1" w:name="_Toc15396475"/>
      <w:bookmarkStart w:id="2" w:name="_Toc15378441"/>
      <w:bookmarkStart w:id="3" w:name="_Toc15377193"/>
      <w:bookmarkStart w:id="4" w:name="_Toc15396597"/>
      <w:bookmarkStart w:id="5" w:name="_Toc15377425"/>
      <w:r>
        <w:rPr>
          <w:rFonts w:hint="eastAsia" w:ascii="方正小标宋简体" w:eastAsia="方正小标宋简体" w:cs="方正小标宋简体"/>
          <w:b/>
          <w:bCs/>
          <w:sz w:val="48"/>
          <w:szCs w:val="48"/>
          <w:lang w:eastAsia="zh-CN"/>
        </w:rPr>
        <w:t>202</w:t>
      </w:r>
      <w:r>
        <w:rPr>
          <w:rFonts w:hint="eastAsia" w:ascii="方正小标宋简体" w:eastAsia="方正小标宋简体" w:cs="方正小标宋简体"/>
          <w:b/>
          <w:bCs/>
          <w:sz w:val="48"/>
          <w:szCs w:val="48"/>
          <w:lang w:val="en-US" w:eastAsia="zh-CN"/>
        </w:rPr>
        <w:t>2</w:t>
      </w:r>
      <w:r>
        <w:rPr>
          <w:rFonts w:hint="eastAsia" w:ascii="方正小标宋简体" w:eastAsia="方正小标宋简体" w:cs="方正小标宋简体"/>
          <w:b/>
          <w:bCs/>
          <w:sz w:val="48"/>
          <w:szCs w:val="48"/>
          <w:lang w:eastAsia="zh-CN"/>
        </w:rPr>
        <w:t>年度</w:t>
      </w:r>
      <w:bookmarkEnd w:id="1"/>
      <w:bookmarkEnd w:id="2"/>
      <w:bookmarkEnd w:id="3"/>
      <w:bookmarkEnd w:id="4"/>
      <w:bookmarkEnd w:id="5"/>
    </w:p>
    <w:bookmarkEnd w:id="0"/>
    <w:p>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hint="eastAsia" w:ascii="方正小标宋简体" w:eastAsia="方正小标宋简体" w:cs="方正小标宋简体"/>
          <w:b/>
          <w:bCs/>
          <w:sz w:val="48"/>
          <w:szCs w:val="48"/>
          <w:lang w:eastAsia="zh-CN"/>
        </w:rPr>
      </w:pPr>
      <w:bookmarkStart w:id="6" w:name="_Toc15378442"/>
      <w:bookmarkStart w:id="7" w:name="_Toc15396476"/>
      <w:bookmarkStart w:id="8" w:name="_Toc15377194"/>
      <w:bookmarkStart w:id="9" w:name="_Toc15377426"/>
      <w:bookmarkStart w:id="10" w:name="_Toc15396598"/>
      <w:bookmarkStart w:id="11" w:name="_Toc15306268"/>
      <w:r>
        <w:rPr>
          <w:rFonts w:hint="eastAsia" w:ascii="方正小标宋简体" w:eastAsia="方正小标宋简体" w:cs="方正小标宋简体"/>
          <w:b/>
          <w:bCs/>
          <w:sz w:val="48"/>
          <w:szCs w:val="48"/>
          <w:lang w:eastAsia="zh-CN"/>
        </w:rPr>
        <w:t>红原县委县政府联动指挥中心</w:t>
      </w:r>
      <w:bookmarkEnd w:id="6"/>
      <w:bookmarkEnd w:id="7"/>
      <w:bookmarkEnd w:id="8"/>
      <w:bookmarkEnd w:id="9"/>
      <w:bookmarkEnd w:id="10"/>
      <w:bookmarkEnd w:id="11"/>
    </w:p>
    <w:p>
      <w:pPr>
        <w:keepNext w:val="0"/>
        <w:keepLines w:val="0"/>
        <w:pageBreakBefore w:val="0"/>
        <w:widowControl w:val="0"/>
        <w:kinsoku/>
        <w:wordWrap/>
        <w:overflowPunct/>
        <w:topLinePunct w:val="0"/>
        <w:autoSpaceDE/>
        <w:autoSpaceDN/>
        <w:bidi w:val="0"/>
        <w:adjustRightInd w:val="0"/>
        <w:snapToGrid w:val="0"/>
        <w:spacing w:line="1000" w:lineRule="exact"/>
        <w:jc w:val="center"/>
        <w:textAlignment w:val="auto"/>
        <w:outlineLvl w:val="0"/>
        <w:rPr>
          <w:rFonts w:hint="eastAsia" w:ascii="方正小标宋简体" w:eastAsia="方正小标宋简体" w:cs="方正小标宋简体"/>
          <w:b/>
          <w:bCs/>
          <w:sz w:val="72"/>
          <w:szCs w:val="72"/>
          <w:lang w:eastAsia="zh-CN"/>
        </w:rPr>
      </w:pPr>
      <w:r>
        <w:rPr>
          <w:rFonts w:hint="eastAsia" w:ascii="方正小标宋简体" w:eastAsia="方正小标宋简体" w:cs="方正小标宋简体"/>
          <w:b/>
          <w:bCs/>
          <w:sz w:val="48"/>
          <w:szCs w:val="48"/>
          <w:lang w:eastAsia="zh-CN"/>
        </w:rPr>
        <w:t>预算公开编制说明</w:t>
      </w:r>
    </w:p>
    <w:p>
      <w:pPr>
        <w:pStyle w:val="2"/>
        <w:pageBreakBefore w:val="0"/>
        <w:kinsoku/>
        <w:wordWrap/>
        <w:overflowPunct/>
        <w:topLinePunct w:val="0"/>
        <w:bidi w:val="0"/>
        <w:spacing w:before="93" w:line="576" w:lineRule="exact"/>
      </w:pPr>
    </w:p>
    <w:p>
      <w:pPr>
        <w:pStyle w:val="2"/>
        <w:pageBreakBefore w:val="0"/>
        <w:kinsoku/>
        <w:wordWrap/>
        <w:overflowPunct/>
        <w:topLinePunct w:val="0"/>
        <w:bidi w:val="0"/>
        <w:spacing w:before="93" w:line="576" w:lineRule="exact"/>
      </w:pPr>
    </w:p>
    <w:p>
      <w:pPr>
        <w:pStyle w:val="2"/>
        <w:pageBreakBefore w:val="0"/>
        <w:kinsoku/>
        <w:wordWrap/>
        <w:overflowPunct/>
        <w:topLinePunct w:val="0"/>
        <w:bidi w:val="0"/>
        <w:spacing w:before="93" w:line="576" w:lineRule="exact"/>
      </w:pPr>
    </w:p>
    <w:p>
      <w:pPr>
        <w:pStyle w:val="2"/>
        <w:pageBreakBefore w:val="0"/>
        <w:kinsoku/>
        <w:wordWrap/>
        <w:overflowPunct/>
        <w:topLinePunct w:val="0"/>
        <w:bidi w:val="0"/>
        <w:spacing w:before="93" w:line="576" w:lineRule="exact"/>
        <w:jc w:val="center"/>
        <w:rPr>
          <w:rFonts w:hint="eastAsia" w:cs="仿宋_GB2312"/>
          <w:sz w:val="32"/>
          <w:szCs w:val="32"/>
        </w:rPr>
      </w:pPr>
      <w:bookmarkStart w:id="12" w:name="_Hlk113547609"/>
    </w:p>
    <w:p>
      <w:pPr>
        <w:pStyle w:val="2"/>
        <w:pageBreakBefore w:val="0"/>
        <w:kinsoku/>
        <w:wordWrap/>
        <w:overflowPunct/>
        <w:topLinePunct w:val="0"/>
        <w:bidi w:val="0"/>
        <w:spacing w:before="93" w:line="576" w:lineRule="exact"/>
        <w:jc w:val="center"/>
        <w:rPr>
          <w:rFonts w:hint="eastAsia" w:cs="仿宋_GB2312"/>
          <w:sz w:val="32"/>
          <w:szCs w:val="32"/>
        </w:rPr>
      </w:pPr>
    </w:p>
    <w:p>
      <w:pPr>
        <w:pStyle w:val="2"/>
        <w:pageBreakBefore w:val="0"/>
        <w:kinsoku/>
        <w:wordWrap/>
        <w:overflowPunct/>
        <w:topLinePunct w:val="0"/>
        <w:bidi w:val="0"/>
        <w:spacing w:before="93" w:line="576" w:lineRule="exact"/>
        <w:jc w:val="center"/>
        <w:rPr>
          <w:rFonts w:hint="eastAsia" w:cs="仿宋_GB2312"/>
          <w:sz w:val="32"/>
          <w:szCs w:val="32"/>
        </w:rPr>
      </w:pPr>
    </w:p>
    <w:p>
      <w:pPr>
        <w:pStyle w:val="2"/>
        <w:pageBreakBefore w:val="0"/>
        <w:kinsoku/>
        <w:wordWrap/>
        <w:overflowPunct/>
        <w:topLinePunct w:val="0"/>
        <w:bidi w:val="0"/>
        <w:spacing w:before="93" w:line="576" w:lineRule="exact"/>
        <w:jc w:val="center"/>
        <w:rPr>
          <w:rFonts w:hint="eastAsia" w:cs="仿宋_GB2312"/>
          <w:sz w:val="32"/>
          <w:szCs w:val="32"/>
        </w:rPr>
      </w:pPr>
    </w:p>
    <w:p>
      <w:pPr>
        <w:pStyle w:val="2"/>
        <w:pageBreakBefore w:val="0"/>
        <w:kinsoku/>
        <w:wordWrap/>
        <w:overflowPunct/>
        <w:topLinePunct w:val="0"/>
        <w:bidi w:val="0"/>
        <w:spacing w:before="93" w:line="576" w:lineRule="exact"/>
        <w:jc w:val="both"/>
        <w:rPr>
          <w:rFonts w:hint="eastAsia" w:cs="仿宋_GB2312"/>
          <w:sz w:val="32"/>
          <w:szCs w:val="32"/>
        </w:rPr>
      </w:pPr>
    </w:p>
    <w:p>
      <w:pPr>
        <w:pStyle w:val="2"/>
        <w:pageBreakBefore w:val="0"/>
        <w:kinsoku/>
        <w:wordWrap/>
        <w:overflowPunct/>
        <w:topLinePunct w:val="0"/>
        <w:bidi w:val="0"/>
        <w:spacing w:before="93" w:line="576" w:lineRule="exact"/>
        <w:jc w:val="center"/>
        <w:rPr>
          <w:rFonts w:hint="eastAsia" w:cs="仿宋_GB2312"/>
          <w:sz w:val="32"/>
          <w:szCs w:val="32"/>
        </w:rPr>
      </w:pPr>
    </w:p>
    <w:p>
      <w:pPr>
        <w:pStyle w:val="2"/>
        <w:pageBreakBefore w:val="0"/>
        <w:kinsoku/>
        <w:wordWrap/>
        <w:overflowPunct/>
        <w:topLinePunct w:val="0"/>
        <w:bidi w:val="0"/>
        <w:spacing w:before="93" w:line="576" w:lineRule="exact"/>
        <w:jc w:val="center"/>
        <w:rPr>
          <w:rFonts w:hint="eastAsia" w:ascii="方正黑体_GBK" w:hAnsi="方正黑体_GBK" w:eastAsia="方正黑体_GBK" w:cs="方正黑体_GBK"/>
          <w:sz w:val="36"/>
          <w:szCs w:val="32"/>
        </w:rPr>
      </w:pPr>
      <w:r>
        <w:rPr>
          <w:rFonts w:hint="eastAsia" w:ascii="方正黑体_GBK" w:hAnsi="方正黑体_GBK" w:eastAsia="方正黑体_GBK" w:cs="方正黑体_GBK"/>
          <w:sz w:val="40"/>
          <w:szCs w:val="40"/>
        </w:rPr>
        <w:t>已经保密审查、内容审定，同意对外公开</w:t>
      </w:r>
      <w:bookmarkEnd w:id="12"/>
    </w:p>
    <w:p>
      <w:pPr>
        <w:pStyle w:val="6"/>
        <w:pageBreakBefore w:val="0"/>
        <w:kinsoku/>
        <w:wordWrap/>
        <w:overflowPunct/>
        <w:topLinePunct w:val="0"/>
        <w:bidi w:val="0"/>
        <w:spacing w:line="576" w:lineRule="exact"/>
        <w:rPr>
          <w:rFonts w:hint="eastAsia"/>
        </w:rPr>
      </w:pPr>
    </w:p>
    <w:p>
      <w:pPr>
        <w:pStyle w:val="6"/>
        <w:pageBreakBefore w:val="0"/>
        <w:kinsoku/>
        <w:wordWrap/>
        <w:overflowPunct/>
        <w:topLinePunct w:val="0"/>
        <w:bidi w:val="0"/>
        <w:spacing w:line="576" w:lineRule="exact"/>
        <w:jc w:val="both"/>
        <w:rPr>
          <w:rFonts w:hint="eastAsia"/>
        </w:rPr>
      </w:pPr>
    </w:p>
    <w:p>
      <w:pPr>
        <w:pageBreakBefore w:val="0"/>
        <w:widowControl/>
        <w:kinsoku/>
        <w:wordWrap/>
        <w:overflowPunct/>
        <w:topLinePunct w:val="0"/>
        <w:bidi w:val="0"/>
        <w:spacing w:line="576" w:lineRule="exact"/>
        <w:jc w:val="center"/>
        <w:rPr>
          <w:rFonts w:hint="eastAsia" w:ascii="方正小标宋_GBK" w:hAnsi="方正小标宋_GBK" w:eastAsia="方正小标宋_GBK" w:cs="方正小标宋_GBK"/>
          <w:sz w:val="44"/>
          <w:szCs w:val="44"/>
        </w:rPr>
        <w:sectPr>
          <w:pgSz w:w="11906" w:h="16838"/>
          <w:pgMar w:top="1440" w:right="1800" w:bottom="1440" w:left="1800" w:header="851" w:footer="992" w:gutter="0"/>
          <w:pgNumType w:fmt="decimal" w:start="1"/>
          <w:cols w:space="425" w:num="1"/>
          <w:docGrid w:type="lines" w:linePitch="312" w:charSpace="0"/>
        </w:sectPr>
      </w:pPr>
    </w:p>
    <w:p>
      <w:pPr>
        <w:pageBreakBefore w:val="0"/>
        <w:widowControl/>
        <w:kinsoku/>
        <w:wordWrap/>
        <w:overflowPunct/>
        <w:topLinePunct w:val="0"/>
        <w:bidi w:val="0"/>
        <w:spacing w:line="576" w:lineRule="exact"/>
        <w:jc w:val="center"/>
        <w:rPr>
          <w:rFonts w:ascii="黑体" w:eastAsia="黑体"/>
          <w:sz w:val="48"/>
          <w:szCs w:val="48"/>
        </w:rPr>
      </w:pPr>
      <w:r>
        <w:rPr>
          <w:rFonts w:hint="eastAsia" w:ascii="方正小标宋_GBK" w:hAnsi="方正小标宋_GBK" w:eastAsia="方正小标宋_GBK" w:cs="方正小标宋_GBK"/>
          <w:sz w:val="44"/>
          <w:szCs w:val="44"/>
        </w:rPr>
        <w:t>目</w:t>
      </w:r>
      <w:r>
        <w:rPr>
          <w:rFonts w:hint="eastAsia" w:ascii="方正小标宋_GBK" w:hAnsi="方正小标宋_GBK" w:eastAsia="方正小标宋_GBK" w:cs="方正小标宋_GBK"/>
          <w:sz w:val="44"/>
          <w:szCs w:val="44"/>
          <w:lang w:val="en-US" w:eastAsia="zh-CN"/>
        </w:rPr>
        <w:t xml:space="preserve"> </w:t>
      </w:r>
      <w:r>
        <w:rPr>
          <w:rFonts w:hint="eastAsia" w:ascii="方正小标宋_GBK" w:hAnsi="方正小标宋_GBK" w:eastAsia="方正小标宋_GBK" w:cs="方正小标宋_GBK"/>
          <w:sz w:val="44"/>
          <w:szCs w:val="44"/>
        </w:rPr>
        <w:t>录</w:t>
      </w:r>
    </w:p>
    <w:p>
      <w:pPr>
        <w:pageBreakBefore w:val="0"/>
        <w:widowControl/>
        <w:kinsoku/>
        <w:wordWrap/>
        <w:overflowPunct/>
        <w:topLinePunct w:val="0"/>
        <w:bidi w:val="0"/>
        <w:spacing w:line="576" w:lineRule="exact"/>
        <w:jc w:val="center"/>
        <w:rPr>
          <w:rFonts w:ascii="黑体" w:eastAsia="黑体" w:cs="Arial"/>
          <w:sz w:val="28"/>
          <w:szCs w:val="28"/>
        </w:rPr>
      </w:pPr>
    </w:p>
    <w:p>
      <w:pPr>
        <w:pStyle w:val="7"/>
        <w:keepNext w:val="0"/>
        <w:keepLines w:val="0"/>
        <w:pageBreakBefore w:val="0"/>
        <w:widowControl w:val="0"/>
        <w:numPr>
          <w:ilvl w:val="0"/>
          <w:numId w:val="1"/>
        </w:numPr>
        <w:kinsoku/>
        <w:wordWrap/>
        <w:overflowPunct/>
        <w:topLinePunct w:val="0"/>
        <w:autoSpaceDE/>
        <w:autoSpaceDN/>
        <w:bidi w:val="0"/>
        <w:adjustRightInd w:val="0"/>
        <w:snapToGrid w:val="0"/>
        <w:spacing w:line="576" w:lineRule="exact"/>
        <w:ind w:left="420"/>
        <w:jc w:val="left"/>
        <w:textAlignment w:val="auto"/>
        <w:rPr>
          <w:rFonts w:hint="eastAsia" w:ascii="楷体_GB2312" w:hAnsi="楷体_GB2312" w:eastAsia="楷体_GB2312" w:cs="楷体_GB2312"/>
          <w:b/>
          <w:bCs/>
          <w:sz w:val="28"/>
          <w:szCs w:val="28"/>
          <w:lang w:eastAsia="zh-CN"/>
        </w:rPr>
      </w:pPr>
      <w:r>
        <w:rPr>
          <w:rFonts w:hint="eastAsia" w:ascii="楷体_GB2312" w:hAnsi="楷体_GB2312" w:eastAsia="楷体_GB2312" w:cs="楷体_GB2312"/>
          <w:b/>
          <w:bCs/>
          <w:sz w:val="28"/>
          <w:szCs w:val="28"/>
          <w:lang w:eastAsia="zh-CN"/>
        </w:rPr>
        <w:t>基本职能及主要工作</w:t>
      </w:r>
      <w:r>
        <w:rPr>
          <w:rFonts w:hint="eastAsia" w:ascii="楷体_GB2312" w:hAnsi="楷体_GB2312" w:eastAsia="楷体_GB2312" w:cs="楷体_GB2312"/>
          <w:b/>
          <w:bCs/>
          <w:sz w:val="28"/>
          <w:szCs w:val="28"/>
          <w:lang w:val="en-US" w:eastAsia="zh-CN"/>
        </w:rPr>
        <w:t>.............................3</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560" w:firstLineChars="200"/>
        <w:textAlignment w:val="auto"/>
        <w:rPr>
          <w:rFonts w:hint="eastAsia" w:ascii="楷体_GB2312" w:hAnsi="楷体_GB2312" w:eastAsia="楷体_GB2312" w:cs="楷体_GB2312"/>
          <w:b w:val="0"/>
          <w:bCs w:val="0"/>
          <w:kern w:val="2"/>
          <w:sz w:val="28"/>
          <w:szCs w:val="28"/>
          <w:lang w:val="en-US" w:eastAsia="zh-CN" w:bidi="ar-SA"/>
        </w:rPr>
      </w:pPr>
      <w:r>
        <w:rPr>
          <w:rFonts w:hint="eastAsia" w:ascii="楷体_GB2312" w:hAnsi="楷体_GB2312" w:eastAsia="楷体_GB2312" w:cs="楷体_GB2312"/>
          <w:b w:val="0"/>
          <w:bCs w:val="0"/>
          <w:sz w:val="28"/>
          <w:szCs w:val="28"/>
        </w:rPr>
        <w:t>基本职能</w:t>
      </w:r>
      <w:r>
        <w:rPr>
          <w:rFonts w:hint="eastAsia" w:ascii="楷体_GB2312" w:hAnsi="楷体_GB2312" w:eastAsia="楷体_GB2312" w:cs="楷体_GB2312"/>
          <w:b/>
          <w:bCs/>
          <w:sz w:val="28"/>
          <w:szCs w:val="28"/>
          <w:lang w:val="en-US" w:eastAsia="zh-CN"/>
        </w:rPr>
        <w:t>....................................3</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default" w:ascii="楷体_GB2312" w:hAnsi="楷体_GB2312" w:eastAsia="楷体_GB2312" w:cs="楷体_GB2312"/>
          <w:kern w:val="2"/>
          <w:sz w:val="28"/>
          <w:szCs w:val="28"/>
          <w:lang w:val="en-US" w:eastAsia="zh-CN" w:bidi="ar-SA"/>
        </w:rPr>
      </w:pPr>
      <w:r>
        <w:rPr>
          <w:rFonts w:hint="eastAsia" w:ascii="楷体_GB2312" w:hAnsi="楷体_GB2312" w:eastAsia="楷体_GB2312" w:cs="楷体_GB2312"/>
          <w:kern w:val="2"/>
          <w:sz w:val="28"/>
          <w:szCs w:val="28"/>
          <w:lang w:val="en-US" w:eastAsia="zh-CN" w:bidi="ar-SA"/>
        </w:rPr>
        <w:t>（二）2022年重点工作任务</w:t>
      </w:r>
      <w:r>
        <w:rPr>
          <w:rFonts w:hint="eastAsia" w:ascii="楷体_GB2312" w:hAnsi="楷体_GB2312" w:eastAsia="楷体_GB2312" w:cs="楷体_GB2312"/>
          <w:b/>
          <w:bCs/>
          <w:sz w:val="28"/>
          <w:szCs w:val="28"/>
          <w:lang w:val="en-US" w:eastAsia="zh-CN"/>
        </w:rPr>
        <w:t>..........................4</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420" w:leftChars="200" w:firstLine="0" w:firstLineChars="0"/>
        <w:textAlignment w:val="auto"/>
        <w:rPr>
          <w:rFonts w:hint="eastAsia"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部门预算单位构成</w:t>
      </w:r>
      <w:r>
        <w:rPr>
          <w:rFonts w:hint="eastAsia" w:ascii="楷体_GB2312" w:hAnsi="楷体_GB2312" w:eastAsia="楷体_GB2312" w:cs="楷体_GB2312"/>
          <w:b/>
          <w:bCs/>
          <w:sz w:val="28"/>
          <w:szCs w:val="28"/>
          <w:lang w:val="en-US" w:eastAsia="zh-CN"/>
        </w:rPr>
        <w:t>................................4</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textAlignment w:val="auto"/>
        <w:rPr>
          <w:rFonts w:hint="eastAsia"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三、收支预算总体情况</w:t>
      </w:r>
      <w:r>
        <w:rPr>
          <w:rFonts w:hint="eastAsia" w:ascii="楷体_GB2312" w:hAnsi="楷体_GB2312" w:eastAsia="楷体_GB2312" w:cs="楷体_GB2312"/>
          <w:b/>
          <w:bCs/>
          <w:sz w:val="28"/>
          <w:szCs w:val="28"/>
          <w:lang w:val="en-US" w:eastAsia="zh-CN"/>
        </w:rPr>
        <w:t>................................4</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textAlignment w:val="auto"/>
        <w:rPr>
          <w:rFonts w:hint="eastAsia"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四、支出预算安排情况</w:t>
      </w:r>
      <w:r>
        <w:rPr>
          <w:rFonts w:hint="eastAsia" w:ascii="楷体_GB2312" w:hAnsi="楷体_GB2312" w:eastAsia="楷体_GB2312" w:cs="楷体_GB2312"/>
          <w:b/>
          <w:bCs/>
          <w:sz w:val="28"/>
          <w:szCs w:val="28"/>
          <w:lang w:val="en-US" w:eastAsia="zh-CN"/>
        </w:rPr>
        <w:t>................................4</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五、较上年度增减变化</w:t>
      </w:r>
      <w:r>
        <w:rPr>
          <w:rFonts w:hint="eastAsia" w:ascii="楷体_GB2312" w:hAnsi="楷体_GB2312" w:eastAsia="楷体_GB2312" w:cs="楷体_GB2312"/>
          <w:b/>
          <w:bCs/>
          <w:sz w:val="28"/>
          <w:szCs w:val="28"/>
          <w:lang w:val="en-US" w:eastAsia="zh-CN"/>
        </w:rPr>
        <w:t>................................5</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六、“三公”经费预算</w:t>
      </w:r>
      <w:r>
        <w:rPr>
          <w:rFonts w:hint="eastAsia" w:ascii="楷体_GB2312" w:hAnsi="楷体_GB2312" w:eastAsia="楷体_GB2312" w:cs="楷体_GB2312"/>
          <w:b/>
          <w:bCs/>
          <w:sz w:val="28"/>
          <w:szCs w:val="28"/>
          <w:lang w:val="en-US" w:eastAsia="zh-CN"/>
        </w:rPr>
        <w:t>.................................5</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七、政府性基金预算收支情况说明</w:t>
      </w:r>
      <w:r>
        <w:rPr>
          <w:rFonts w:hint="eastAsia" w:ascii="楷体_GB2312" w:hAnsi="楷体_GB2312" w:eastAsia="楷体_GB2312" w:cs="楷体_GB2312"/>
          <w:b/>
          <w:bCs/>
          <w:sz w:val="28"/>
          <w:szCs w:val="28"/>
          <w:lang w:val="en-US" w:eastAsia="zh-CN"/>
        </w:rPr>
        <w:t>......................6</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八、国有资本经营预算收支情况说明</w:t>
      </w:r>
      <w:r>
        <w:rPr>
          <w:rFonts w:hint="eastAsia" w:ascii="楷体_GB2312" w:hAnsi="楷体_GB2312" w:eastAsia="楷体_GB2312" w:cs="楷体_GB2312"/>
          <w:b/>
          <w:bCs/>
          <w:sz w:val="28"/>
          <w:szCs w:val="28"/>
          <w:lang w:val="en-US" w:eastAsia="zh-CN"/>
        </w:rPr>
        <w:t>....................6</w:t>
      </w:r>
    </w:p>
    <w:p>
      <w:pPr>
        <w:keepNext w:val="0"/>
        <w:keepLines w:val="0"/>
        <w:pageBreakBefore w:val="0"/>
        <w:widowControl w:val="0"/>
        <w:numPr>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九、其他重要事项的情况说明</w:t>
      </w:r>
      <w:r>
        <w:rPr>
          <w:rFonts w:hint="eastAsia" w:ascii="楷体_GB2312" w:hAnsi="楷体_GB2312" w:eastAsia="楷体_GB2312" w:cs="楷体_GB2312"/>
          <w:b/>
          <w:bCs/>
          <w:sz w:val="28"/>
          <w:szCs w:val="28"/>
          <w:lang w:val="en-US" w:eastAsia="zh-CN"/>
        </w:rPr>
        <w:t>..........................6</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eastAsia" w:ascii="楷体_GB2312" w:hAnsi="楷体_GB2312" w:eastAsia="楷体_GB2312" w:cs="楷体_GB2312"/>
          <w:kern w:val="2"/>
          <w:sz w:val="28"/>
          <w:szCs w:val="28"/>
          <w:lang w:val="en-US" w:eastAsia="zh-CN" w:bidi="ar-SA"/>
        </w:rPr>
      </w:pPr>
      <w:r>
        <w:rPr>
          <w:rFonts w:hint="eastAsia" w:ascii="楷体_GB2312" w:hAnsi="楷体_GB2312" w:eastAsia="楷体_GB2312" w:cs="楷体_GB2312"/>
          <w:kern w:val="2"/>
          <w:sz w:val="28"/>
          <w:szCs w:val="28"/>
          <w:lang w:val="en-US" w:eastAsia="zh-CN" w:bidi="ar-SA"/>
        </w:rPr>
        <w:t>（一）政府采购预算情况 </w:t>
      </w:r>
      <w:r>
        <w:rPr>
          <w:rFonts w:hint="eastAsia" w:ascii="楷体_GB2312" w:hAnsi="楷体_GB2312" w:eastAsia="楷体_GB2312" w:cs="楷体_GB2312"/>
          <w:b/>
          <w:bCs/>
          <w:sz w:val="28"/>
          <w:szCs w:val="28"/>
          <w:lang w:val="en-US" w:eastAsia="zh-CN"/>
        </w:rPr>
        <w:t>.............................6</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eastAsia" w:ascii="楷体_GB2312" w:hAnsi="楷体_GB2312" w:eastAsia="楷体_GB2312" w:cs="楷体_GB2312"/>
          <w:kern w:val="2"/>
          <w:sz w:val="28"/>
          <w:szCs w:val="28"/>
          <w:lang w:val="en-US" w:eastAsia="zh-CN" w:bidi="ar-SA"/>
        </w:rPr>
      </w:pPr>
      <w:r>
        <w:rPr>
          <w:rFonts w:hint="eastAsia" w:ascii="楷体_GB2312" w:hAnsi="楷体_GB2312" w:eastAsia="楷体_GB2312" w:cs="楷体_GB2312"/>
          <w:kern w:val="2"/>
          <w:sz w:val="28"/>
          <w:szCs w:val="28"/>
          <w:lang w:val="en-US" w:eastAsia="zh-CN" w:bidi="ar-SA"/>
        </w:rPr>
        <w:t>（二）政府财政国有资产占用情况</w:t>
      </w:r>
      <w:r>
        <w:rPr>
          <w:rFonts w:hint="eastAsia" w:ascii="楷体_GB2312" w:hAnsi="楷体_GB2312" w:eastAsia="楷体_GB2312" w:cs="楷体_GB2312"/>
          <w:b/>
          <w:bCs/>
          <w:sz w:val="28"/>
          <w:szCs w:val="28"/>
          <w:lang w:val="en-US" w:eastAsia="zh-CN"/>
        </w:rPr>
        <w:t>...........,,.........6</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eastAsia" w:ascii="楷体_GB2312" w:hAnsi="楷体_GB2312" w:eastAsia="楷体_GB2312" w:cs="楷体_GB2312"/>
          <w:kern w:val="2"/>
          <w:sz w:val="28"/>
          <w:szCs w:val="28"/>
          <w:lang w:val="en-US" w:eastAsia="zh-CN" w:bidi="ar-SA"/>
        </w:rPr>
      </w:pPr>
      <w:r>
        <w:rPr>
          <w:rFonts w:hint="eastAsia" w:ascii="楷体_GB2312" w:hAnsi="楷体_GB2312" w:eastAsia="楷体_GB2312" w:cs="楷体_GB2312"/>
          <w:kern w:val="2"/>
          <w:sz w:val="28"/>
          <w:szCs w:val="28"/>
          <w:lang w:val="en-US" w:eastAsia="zh-CN" w:bidi="ar-SA"/>
        </w:rPr>
        <w:t>（三）绩效目标设置情况</w:t>
      </w:r>
      <w:r>
        <w:rPr>
          <w:rFonts w:hint="eastAsia" w:ascii="楷体_GB2312" w:hAnsi="楷体_GB2312" w:eastAsia="楷体_GB2312" w:cs="楷体_GB2312"/>
          <w:b/>
          <w:bCs/>
          <w:sz w:val="28"/>
          <w:szCs w:val="28"/>
          <w:lang w:val="en-US" w:eastAsia="zh-CN"/>
        </w:rPr>
        <w:t>..............................6</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eastAsia" w:ascii="楷体_GB2312" w:hAnsi="楷体_GB2312" w:eastAsia="楷体_GB2312" w:cs="楷体_GB2312"/>
          <w:b/>
          <w:bCs/>
          <w:kern w:val="2"/>
          <w:sz w:val="28"/>
          <w:szCs w:val="28"/>
          <w:lang w:val="en-US" w:eastAsia="zh-CN" w:bidi="ar-SA"/>
        </w:rPr>
      </w:pPr>
      <w:r>
        <w:rPr>
          <w:rFonts w:hint="eastAsia" w:ascii="楷体_GB2312" w:hAnsi="楷体_GB2312" w:eastAsia="楷体_GB2312" w:cs="楷体_GB2312"/>
          <w:b/>
          <w:bCs/>
          <w:kern w:val="2"/>
          <w:sz w:val="28"/>
          <w:szCs w:val="28"/>
          <w:lang w:val="en-US" w:eastAsia="zh-CN" w:bidi="ar-SA"/>
        </w:rPr>
        <w:t>十、名词解释</w:t>
      </w:r>
      <w:r>
        <w:rPr>
          <w:rFonts w:hint="eastAsia" w:ascii="楷体_GB2312" w:hAnsi="楷体_GB2312" w:eastAsia="楷体_GB2312" w:cs="楷体_GB2312"/>
          <w:b/>
          <w:bCs/>
          <w:sz w:val="28"/>
          <w:szCs w:val="28"/>
          <w:lang w:val="en-US" w:eastAsia="zh-CN"/>
        </w:rPr>
        <w:t>........................................6</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楷体_GB2312" w:hAnsi="楷体_GB2312" w:eastAsia="楷体_GB2312" w:cs="楷体_GB2312"/>
          <w:sz w:val="28"/>
          <w:szCs w:val="28"/>
          <w:lang w:val="en-US"/>
        </w:rPr>
      </w:pPr>
      <w:r>
        <w:rPr>
          <w:rFonts w:hint="eastAsia" w:ascii="楷体_GB2312" w:hAnsi="楷体_GB2312" w:eastAsia="楷体_GB2312" w:cs="楷体_GB2312"/>
          <w:b/>
          <w:bCs/>
          <w:kern w:val="2"/>
          <w:sz w:val="28"/>
          <w:szCs w:val="28"/>
          <w:lang w:val="en-US" w:eastAsia="zh-CN" w:bidi="ar-SA"/>
        </w:rPr>
        <w:t>附件：</w:t>
      </w:r>
      <w:r>
        <w:rPr>
          <w:rFonts w:hint="eastAsia" w:ascii="楷体_GB2312" w:hAnsi="楷体_GB2312" w:eastAsia="楷体_GB2312" w:cs="楷体_GB2312"/>
          <w:sz w:val="28"/>
          <w:szCs w:val="28"/>
        </w:rPr>
        <w:t>表1.财政拨款收支总表</w:t>
      </w:r>
      <w:r>
        <w:rPr>
          <w:rFonts w:hint="eastAsia" w:ascii="楷体_GB2312" w:hAnsi="楷体_GB2312" w:eastAsia="楷体_GB2312" w:cs="楷体_GB2312"/>
          <w:b/>
          <w:bCs/>
          <w:sz w:val="28"/>
          <w:szCs w:val="28"/>
          <w:lang w:val="en-US" w:eastAsia="zh-CN"/>
        </w:rPr>
        <w:t>..........................7</w:t>
      </w:r>
    </w:p>
    <w:p>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表2.一般公共预算支出表</w:t>
      </w:r>
      <w:r>
        <w:rPr>
          <w:rFonts w:hint="eastAsia" w:ascii="楷体_GB2312" w:hAnsi="楷体_GB2312" w:eastAsia="楷体_GB2312" w:cs="楷体_GB2312"/>
          <w:b/>
          <w:bCs/>
          <w:sz w:val="28"/>
          <w:szCs w:val="28"/>
          <w:lang w:val="en-US" w:eastAsia="zh-CN"/>
        </w:rPr>
        <w:t>...........................7</w:t>
      </w:r>
    </w:p>
    <w:p>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表3.一般公共预算基本支出表</w:t>
      </w:r>
      <w:r>
        <w:rPr>
          <w:rFonts w:hint="eastAsia" w:ascii="楷体_GB2312" w:hAnsi="楷体_GB2312" w:eastAsia="楷体_GB2312" w:cs="楷体_GB2312"/>
          <w:b/>
          <w:bCs/>
          <w:sz w:val="28"/>
          <w:szCs w:val="28"/>
          <w:lang w:val="en-US" w:eastAsia="zh-CN"/>
        </w:rPr>
        <w:t>.......................7</w:t>
      </w:r>
    </w:p>
    <w:p>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28"/>
          <w:szCs w:val="28"/>
        </w:rPr>
        <w:t>表4.一般公共预算“三公”经费支出表</w:t>
      </w:r>
      <w:r>
        <w:rPr>
          <w:rFonts w:hint="eastAsia" w:ascii="楷体_GB2312" w:hAnsi="楷体_GB2312" w:eastAsia="楷体_GB2312" w:cs="楷体_GB2312"/>
          <w:b/>
          <w:bCs/>
          <w:sz w:val="28"/>
          <w:szCs w:val="28"/>
          <w:lang w:val="en-US" w:eastAsia="zh-CN"/>
        </w:rPr>
        <w:t>...............7</w:t>
      </w:r>
      <w:r>
        <w:rPr>
          <w:rFonts w:hint="eastAsia" w:ascii="楷体_GB2312" w:hAnsi="楷体_GB2312" w:eastAsia="楷体_GB2312" w:cs="楷体_GB2312"/>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表5.政府性基金预算支出表</w:t>
      </w:r>
      <w:r>
        <w:rPr>
          <w:rFonts w:hint="eastAsia" w:ascii="楷体_GB2312" w:hAnsi="楷体_GB2312" w:eastAsia="楷体_GB2312" w:cs="楷体_GB2312"/>
          <w:b/>
          <w:bCs/>
          <w:sz w:val="28"/>
          <w:szCs w:val="28"/>
          <w:lang w:val="en-US" w:eastAsia="zh-CN"/>
        </w:rPr>
        <w:t>.........................7</w:t>
      </w:r>
    </w:p>
    <w:p>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表6.政府性基金预算“三公”经费支出表</w:t>
      </w:r>
      <w:r>
        <w:rPr>
          <w:rFonts w:hint="eastAsia" w:ascii="楷体_GB2312" w:hAnsi="楷体_GB2312" w:eastAsia="楷体_GB2312" w:cs="楷体_GB2312"/>
          <w:b/>
          <w:bCs/>
          <w:sz w:val="28"/>
          <w:szCs w:val="28"/>
          <w:lang w:val="en-US" w:eastAsia="zh-CN"/>
        </w:rPr>
        <w:t>.............7</w:t>
      </w:r>
    </w:p>
    <w:p>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表7.部门收支总表</w:t>
      </w:r>
      <w:r>
        <w:rPr>
          <w:rFonts w:hint="eastAsia" w:ascii="楷体_GB2312" w:hAnsi="楷体_GB2312" w:eastAsia="楷体_GB2312" w:cs="楷体_GB2312"/>
          <w:b/>
          <w:bCs/>
          <w:sz w:val="28"/>
          <w:szCs w:val="28"/>
          <w:lang w:val="en-US" w:eastAsia="zh-CN"/>
        </w:rPr>
        <w:t>.................................7</w:t>
      </w:r>
    </w:p>
    <w:p>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表8.部门收入总表</w:t>
      </w:r>
      <w:r>
        <w:rPr>
          <w:rFonts w:hint="eastAsia" w:ascii="楷体_GB2312" w:hAnsi="楷体_GB2312" w:eastAsia="楷体_GB2312" w:cs="楷体_GB2312"/>
          <w:b/>
          <w:bCs/>
          <w:sz w:val="28"/>
          <w:szCs w:val="28"/>
          <w:lang w:val="en-US" w:eastAsia="zh-CN"/>
        </w:rPr>
        <w:t>...............................7</w:t>
      </w:r>
    </w:p>
    <w:p>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表9.部门支出总表</w:t>
      </w:r>
      <w:r>
        <w:rPr>
          <w:rFonts w:hint="eastAsia" w:ascii="楷体_GB2312" w:hAnsi="楷体_GB2312" w:eastAsia="楷体_GB2312" w:cs="楷体_GB2312"/>
          <w:b/>
          <w:bCs/>
          <w:sz w:val="28"/>
          <w:szCs w:val="28"/>
          <w:lang w:val="en-US" w:eastAsia="zh-CN"/>
        </w:rPr>
        <w:t>...............................7</w:t>
      </w:r>
    </w:p>
    <w:p>
      <w:pPr>
        <w:keepNext w:val="0"/>
        <w:keepLines w:val="0"/>
        <w:pageBreakBefore w:val="0"/>
        <w:widowControl w:val="0"/>
        <w:kinsoku/>
        <w:wordWrap/>
        <w:overflowPunct/>
        <w:topLinePunct w:val="0"/>
        <w:autoSpaceDE/>
        <w:autoSpaceDN/>
        <w:bidi w:val="0"/>
        <w:adjustRightInd/>
        <w:snapToGrid/>
        <w:spacing w:line="560" w:lineRule="exact"/>
        <w:ind w:firstLine="840" w:firstLineChars="300"/>
        <w:textAlignment w:val="auto"/>
        <w:rPr>
          <w:rFonts w:hint="default" w:ascii="楷体_GB2312" w:hAnsi="楷体_GB2312" w:eastAsia="楷体_GB2312" w:cs="楷体_GB2312"/>
          <w:sz w:val="28"/>
          <w:szCs w:val="28"/>
          <w:lang w:val="en-US" w:eastAsia="zh-CN"/>
        </w:rPr>
      </w:pPr>
      <w:r>
        <w:rPr>
          <w:rFonts w:hint="eastAsia" w:ascii="楷体_GB2312" w:hAnsi="楷体_GB2312" w:eastAsia="楷体_GB2312" w:cs="楷体_GB2312"/>
          <w:sz w:val="28"/>
          <w:szCs w:val="28"/>
        </w:rPr>
        <w:t>表10.2022年红原县部门预算项目绩效目标（部门预算）</w:t>
      </w:r>
      <w:r>
        <w:rPr>
          <w:rFonts w:hint="eastAsia" w:ascii="楷体_GB2312" w:hAnsi="楷体_GB2312" w:eastAsia="楷体_GB2312" w:cs="楷体_GB2312"/>
          <w:b/>
          <w:bCs/>
          <w:sz w:val="28"/>
          <w:szCs w:val="28"/>
          <w:lang w:val="en-US" w:eastAsia="zh-CN"/>
        </w:rPr>
        <w:t>..7</w:t>
      </w:r>
    </w:p>
    <w:p>
      <w:pPr>
        <w:pStyle w:val="2"/>
        <w:rPr>
          <w:rFonts w:hint="eastAsia" w:ascii="楷体_GB2312" w:hAnsi="楷体_GB2312" w:eastAsia="楷体_GB2312" w:cs="楷体_GB2312"/>
          <w:sz w:val="28"/>
          <w:szCs w:val="28"/>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kern w:val="2"/>
          <w:sz w:val="32"/>
          <w:szCs w:val="32"/>
          <w:lang w:val="en-US" w:eastAsia="zh-CN" w:bidi="ar-SA"/>
        </w:rPr>
      </w:pPr>
    </w:p>
    <w:p>
      <w:pPr>
        <w:pStyle w:val="2"/>
        <w:rPr>
          <w:rFonts w:hint="eastAsia" w:ascii="楷体_GB2312" w:hAnsi="楷体_GB2312" w:eastAsia="楷体_GB2312" w:cs="楷体_GB2312"/>
          <w:b/>
          <w:bCs/>
          <w:sz w:val="32"/>
          <w:szCs w:val="32"/>
          <w:lang w:eastAsia="zh-CN"/>
        </w:rPr>
      </w:pPr>
    </w:p>
    <w:p>
      <w:pPr>
        <w:pStyle w:val="2"/>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rPr>
        <w:t>按照预算管理有关规定，目前部门预算的编制实行综合预算制度，即全部收入和支出都反映在预算中。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黑体" w:hAnsi="黑体" w:eastAsia="黑体" w:cs="黑体"/>
          <w:b/>
          <w:bCs/>
          <w:sz w:val="32"/>
          <w:szCs w:val="32"/>
        </w:rPr>
        <w:t>一、基本职能及主要工作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（一）基本职能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（1）受县委、县政府的委托、代表县联动指挥中心行使应急指挥权利；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（2）负责对中心入驻的六大中心工作人员的管理，负责对七大平台数据的收集和分析研判，并代表县委、政府和县联动指挥中心对重大事件和突发事件的应急指挥工作；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（3）负责组织督促；落实县委、县政府和县联动指挥中心下达的指令或工作安排部署，根据工作的实际情况和需要，适时召开联动部门工作协调会，研究解决有关联动服务事宜和问题；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（4）负责对重要信息的收集、报送工作，对全县应急处突、渉稳事件、安全生产急救、自然灾害等重大事件的协调工作，同时做好处置工作记录，并逐日归类汇总并备案；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（5）负责组织、督促有关部门抓好民生服务工作，矛盾纠纷排查化解工作。开展调查研究，对重大情况和问题应及时进行分析研判，并向县政府提交研判报告；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（6）负责建立健全联动指挥中心各项规章制度；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负责协助和管理县民族宗教局入驻人员开展寺庙网格化精准服务系统管理工作；负责协助和管理县公安局入驻人员做好联动指挥中心系统维护以及天网视频调度工作；负责协助和管理县矛盾纠纷“大调解”中心做好全县大调解工作和基层大调解指导工作；负责协助和管理其它入驻单位的工作人员开展相关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（8）负责做好县委、政府临时交办的各项工作任务。</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（二）2022年重点工作任务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2022年重点工作任务介绍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心今年根据财政资金的安排情况，加强了资金使用的管理工作，对中心各大平台数据进行了定期的上报。加强了对各平台的管理及使用。对城乡网格人员进行了多次培训。对我县服务于民生工作全面发展发挥了积极作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黑体" w:hAnsi="黑体" w:eastAsia="黑体" w:cs="黑体"/>
          <w:b/>
          <w:bCs/>
          <w:sz w:val="32"/>
          <w:szCs w:val="32"/>
        </w:rPr>
        <w:t>二、部门预算单位构成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联动指挥中心为独立核算全额拨款事业单位。截止21年底我单位共有在职人员8人，全部为事业人员。</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黑体" w:hAnsi="黑体" w:eastAsia="黑体" w:cs="黑体"/>
          <w:b/>
          <w:bCs/>
          <w:sz w:val="32"/>
          <w:szCs w:val="32"/>
        </w:rPr>
        <w:t>三、收支预算总体情况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2022年我单位收入预算总额为158.12万元，其中：当年财政拨款收入158.12万元。相应安排支出预算158.12万元，其中：一般公共服务123.45万元，社会保障和就业17.18万元，医疗卫生6.47万元，住房保障支出11.02万元。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黑体" w:hAnsi="黑体" w:eastAsia="黑体" w:cs="黑体"/>
          <w:b/>
          <w:bCs/>
          <w:sz w:val="32"/>
          <w:szCs w:val="32"/>
        </w:rPr>
        <w:t>四、支出预算安排情况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我单位安排支出主要用于保障机构正常运转、完成日常工作任务以及承担联动指挥中心相关工作。 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基本支出118.38万元。其中人员经费支出108.8万元，机关运行经费9.57万元，其中：办公费7.72万元，印刷费0.5万元，培训费0.5万元，工会经费0.85万元。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按支出功能分类主要用于以下方面: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（一）2013650-事业运行83.71万元，主要用于单位人员工资、个人部分保险、日常运转等支出；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（二）2019999-其他一般公共服务支出39.74万元，为网格员专项办公费；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（三）2080505-机关事业单位基本养老保险缴费支出11.45万元，全部用于在职职工缴纳单位部分养老保险；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（四）2080506-机关事业单位职业年金缴费支出5.73万元，全部用于在职职工缴纳单位部分职业年金；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（五）2101102-事业单位医疗5.01万元，全部用于缴纳在职职工单位部分医疗保险；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（六）2101199-其他行政事业单位医疗支出1.46万元，全部用于缴纳在职职工公务员医疗保险；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（十）2210201-住房公积金支出11.02万元，全部用于缴纳在职职工单位部分住房公积金。</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黑体" w:hAnsi="黑体" w:eastAsia="黑体" w:cs="黑体"/>
          <w:b/>
          <w:bCs/>
          <w:sz w:val="32"/>
          <w:szCs w:val="32"/>
        </w:rPr>
        <w:t>五、较上年度增减变化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预算拨款收入158.12万元较上年度预算156.51万元增加了1.61万元，增长1.02%，其中基本行政运行经费预算118.38万元，占全部总预算的74.87%，较上年115.63万元增加了2.75万元，增长了2.38%，增长主要原因是保险公积金调整导致；专项业务工作经费预算39.74万元，上年预算40.88万元，减少1.14万元，占总预算的25.13%，减少主要原因是根据实际需要厉行节约减少不必要的开支。  </w:t>
      </w:r>
      <w:r>
        <w:rPr>
          <w:rFonts w:hint="eastAsia" w:ascii="黑体" w:hAnsi="黑体" w:eastAsia="黑体" w:cs="黑体"/>
          <w:b/>
          <w:bCs/>
          <w:sz w:val="32"/>
          <w:szCs w:val="32"/>
        </w:rPr>
        <w:t>六、“三公”经费预算</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年度三公经费预算安排支出为0万元，其中：出国费0万元，与上年持平，主要原因为未安排因公出国；公车购置费0元，与上年持平；公务用车维护费支出0万元，与上年持平；公务接待费0万元，较上年度预算减少0.064万元，主要原因为本年度我们将严格执行“八项规定、六项禁令”，结合本年度工作需要，减少不必要的开支。</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bCs/>
          <w:sz w:val="32"/>
          <w:szCs w:val="32"/>
        </w:rPr>
      </w:pPr>
      <w:r>
        <w:rPr>
          <w:rFonts w:hint="eastAsia" w:ascii="黑体" w:hAnsi="黑体" w:eastAsia="黑体" w:cs="黑体"/>
          <w:b/>
          <w:bCs/>
          <w:sz w:val="32"/>
          <w:szCs w:val="32"/>
        </w:rPr>
        <w:t>七、政府性基金预算收支情况说明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2022年没有使用政府性基金预算拨款安排的支出。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黑体" w:hAnsi="黑体" w:eastAsia="黑体" w:cs="黑体"/>
          <w:b/>
          <w:bCs/>
          <w:sz w:val="32"/>
          <w:szCs w:val="32"/>
        </w:rPr>
        <w:t>八、国有资本经营预算收支情况说明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2022年没有使用国有资本经营预算拨款安排的支出。</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黑体" w:hAnsi="黑体" w:eastAsia="黑体" w:cs="黑体"/>
          <w:b/>
          <w:bCs/>
          <w:sz w:val="32"/>
          <w:szCs w:val="32"/>
        </w:rPr>
        <w:t>九、其他重要事项的情况说明</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（一）政府采购预算情况 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2022年度未安排政府采购预算支出。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（二）政府财政国有资产占用情况 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截止2021年底，实际共有固定资产价值原值358.4万元：全部为通用设备及家具，年底无车辆及房屋资产。</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rPr>
        <w:t>（三）绩效目标设置情况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绩效目标是预算编制的前提和基础，按照“费随事定”的原则，2021年我单位项目支出按要求编制了事前绩效目标，并上传了事前绩效评估报告，从项目完成、项目效益、满意度等方面做了测评，具体情况详见附表6.</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黑体" w:hAnsi="黑体" w:eastAsia="黑体" w:cs="黑体"/>
          <w:b/>
          <w:bCs/>
          <w:sz w:val="32"/>
          <w:szCs w:val="32"/>
        </w:rPr>
        <w:t>十、名词解释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1.财政拨款收入：指财政部门核拨给单位的财政预算资金。</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2.其他收入：指除上述财政部门拨付单位以外的收入。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3.基本支出：指为保障单位机关正常运转、完成日常工作任务而发生的人员支出和公用支出。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附件：表1.财政拨款收支总表</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表2.一般公共预算支出表</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表3.一般公共预算基本支出表</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表4.一般公共预算“三公”经费支出表</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表5.政府性基金预算支出表</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表6.政府性基金预算“三公”经费支出表</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表7.部门收支总表</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表8.部门收入总表</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表9.部门支出总表</w:t>
      </w:r>
      <w:bookmarkStart w:id="13" w:name="_GoBack"/>
      <w:bookmarkEnd w:id="13"/>
    </w:p>
    <w:p>
      <w:pPr>
        <w:keepNext w:val="0"/>
        <w:keepLines w:val="0"/>
        <w:pageBreakBefore w:val="0"/>
        <w:widowControl w:val="0"/>
        <w:kinsoku/>
        <w:wordWrap/>
        <w:overflowPunct/>
        <w:topLinePunct w:val="0"/>
        <w:autoSpaceDE/>
        <w:autoSpaceDN/>
        <w:bidi w:val="0"/>
        <w:adjustRightInd/>
        <w:snapToGrid/>
        <w:spacing w:line="560" w:lineRule="exact"/>
        <w:ind w:firstLine="960" w:firstLineChars="3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表10.2022年红原县部门预算项目绩效目标（部门预算）</w:t>
      </w: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EFCA6A6C-6631-4454-89F0-4F8944A8B16C}"/>
  </w:font>
  <w:font w:name="黑体">
    <w:panose1 w:val="02010609060101010101"/>
    <w:charset w:val="86"/>
    <w:family w:val="auto"/>
    <w:pitch w:val="default"/>
    <w:sig w:usb0="800002BF" w:usb1="38CF7CFA" w:usb2="00000016" w:usb3="00000000" w:csb0="00040001" w:csb1="00000000"/>
    <w:embedRegular r:id="rId2" w:fontKey="{133C6EE5-6C7B-42B1-A20A-8C85764EE61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3" w:fontKey="{9BDA9829-D435-4304-B4CB-20155B73707F}"/>
  </w:font>
  <w:font w:name="楷体_GB2312">
    <w:panose1 w:val="02010609030101010101"/>
    <w:charset w:val="86"/>
    <w:family w:val="auto"/>
    <w:pitch w:val="default"/>
    <w:sig w:usb0="00000001" w:usb1="080E0000" w:usb2="00000000" w:usb3="00000000" w:csb0="00040000" w:csb1="00000000"/>
    <w:embedRegular r:id="rId4" w:fontKey="{C6CEE679-6CA0-42FB-9B24-6F4D6FDB2B7F}"/>
  </w:font>
  <w:font w:name="宋?">
    <w:altName w:val="Malgun Gothic"/>
    <w:panose1 w:val="00000000000000000000"/>
    <w:charset w:val="81"/>
    <w:family w:val="roman"/>
    <w:pitch w:val="default"/>
    <w:sig w:usb0="00000000" w:usb1="00000000" w:usb2="00000010" w:usb3="00000000" w:csb0="00080000" w:csb1="00000000"/>
  </w:font>
  <w:font w:name="仿宋">
    <w:panose1 w:val="02010609060101010101"/>
    <w:charset w:val="86"/>
    <w:family w:val="modern"/>
    <w:pitch w:val="default"/>
    <w:sig w:usb0="800002BF" w:usb1="38CF7CFA" w:usb2="00000016" w:usb3="00000000" w:csb0="00040001" w:csb1="00000000"/>
    <w:embedRegular r:id="rId5" w:fontKey="{EF42BFD8-86DF-4D1D-A783-7A5D321FE057}"/>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E0000" w:usb2="00000000" w:usb3="00000000" w:csb0="00040000" w:csb1="00000000"/>
    <w:embedRegular r:id="rId6" w:fontKey="{1AB9EB14-0C11-4A88-AF72-AE06BE05DC7A}"/>
  </w:font>
  <w:font w:name="Malgun Gothic">
    <w:panose1 w:val="020B0503020000020004"/>
    <w:charset w:val="81"/>
    <w:family w:val="auto"/>
    <w:pitch w:val="default"/>
    <w:sig w:usb0="900002AF" w:usb1="01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468D921"/>
    <w:multiLevelType w:val="singleLevel"/>
    <w:tmpl w:val="4468D921"/>
    <w:lvl w:ilvl="0" w:tentative="0">
      <w:start w:val="1"/>
      <w:numFmt w:val="chineseCounting"/>
      <w:suff w:val="nothing"/>
      <w:lvlText w:val="（%1）"/>
      <w:lvlJc w:val="left"/>
      <w:rPr>
        <w:rFonts w:hint="eastAsia"/>
      </w:rPr>
    </w:lvl>
  </w:abstractNum>
  <w:abstractNum w:abstractNumId="1">
    <w:nsid w:val="6C91465C"/>
    <w:multiLevelType w:val="singleLevel"/>
    <w:tmpl w:val="6C91465C"/>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1OWI0MGE5MmYwY2YwNTJhYTViOGM0NDRiMGJjMjUifQ=="/>
  </w:docVars>
  <w:rsids>
    <w:rsidRoot w:val="00000000"/>
    <w:rsid w:val="7D0B4C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10"/>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before="30" w:beforeLines="30"/>
    </w:pPr>
    <w:rPr>
      <w:rFonts w:ascii="仿宋_GB2312" w:eastAsia="仿宋_GB2312"/>
      <w:kern w:val="0"/>
      <w:sz w:val="30"/>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pPr>
      <w:tabs>
        <w:tab w:val="right" w:leader="dot" w:pos="8296"/>
      </w:tabs>
      <w:spacing w:before="93"/>
      <w:jc w:val="center"/>
    </w:pPr>
    <w:rPr>
      <w:rFonts w:ascii="仿宋" w:eastAsia="仿宋"/>
      <w:sz w:val="28"/>
      <w:szCs w:val="28"/>
    </w:rPr>
  </w:style>
  <w:style w:type="paragraph" w:styleId="7">
    <w:name w:val="toc 2"/>
    <w:basedOn w:val="1"/>
    <w:next w:val="1"/>
    <w:qFormat/>
    <w:uiPriority w:val="0"/>
    <w:pPr>
      <w:tabs>
        <w:tab w:val="right" w:leader="dot" w:pos="8296"/>
      </w:tabs>
      <w:ind w:left="200" w:leftChars="200"/>
    </w:pPr>
  </w:style>
  <w:style w:type="character" w:customStyle="1" w:styleId="10">
    <w:name w:val="标题 1 字符"/>
    <w:basedOn w:val="9"/>
    <w:link w:val="3"/>
    <w:qFormat/>
    <w:uiPriority w:val="0"/>
    <w:rPr>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dell</cp:lastModifiedBy>
  <dcterms:modified xsi:type="dcterms:W3CDTF">2023-10-25T09:06:40Z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B9984984CDFE4CC2BD510C227E667143_12</vt:lpwstr>
  </property>
</Properties>
</file>