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0"/>
        <w:keepNext w:val="0"/>
        <w:keepLines w:val="0"/>
        <w:widowControl/>
        <w:suppressLineNumbers w:val="0"/>
        <w:autoSpaceDE w:val="0"/>
        <w:autoSpaceDN/>
        <w:spacing w:before="0" w:beforeAutospacing="0" w:line="900" w:lineRule="exact"/>
        <w:ind w:left="0"/>
        <w:jc w:val="center"/>
        <w:rPr>
          <w:rFonts w:hint="default" w:ascii="方正小标宋简体" w:hAnsi="方正小标宋简体" w:eastAsia="方正小标宋简体" w:cs="方正小标宋简体"/>
          <w:b/>
          <w:bCs/>
          <w:color w:val="000000"/>
          <w:sz w:val="44"/>
          <w:szCs w:val="44"/>
          <w:shd w:val="clear" w:fill="FFFFFF"/>
        </w:rPr>
      </w:pPr>
      <w:r>
        <w:rPr>
          <w:rStyle w:val="27"/>
          <w:rFonts w:hint="default" w:ascii="方正小标宋简体" w:hAnsi="方正小标宋简体" w:eastAsia="方正小标宋简体" w:cs="方正小标宋简体"/>
          <w:b/>
          <w:bCs/>
          <w:color w:val="000000"/>
          <w:sz w:val="44"/>
          <w:szCs w:val="44"/>
          <w:shd w:val="clear" w:fill="FFFFFF"/>
        </w:rPr>
        <w:t>2020年度</w:t>
      </w:r>
    </w:p>
    <w:p>
      <w:pPr>
        <w:pStyle w:val="20"/>
        <w:keepNext w:val="0"/>
        <w:keepLines w:val="0"/>
        <w:widowControl/>
        <w:suppressLineNumbers w:val="0"/>
        <w:autoSpaceDE w:val="0"/>
        <w:autoSpaceDN/>
        <w:spacing w:before="0" w:beforeAutospacing="0" w:line="900" w:lineRule="exact"/>
        <w:ind w:left="0"/>
        <w:jc w:val="center"/>
        <w:rPr>
          <w:rFonts w:hint="default" w:ascii="方正小标宋简体" w:hAnsi="方正小标宋简体" w:eastAsia="方正小标宋简体" w:cs="方正小标宋简体"/>
          <w:b/>
          <w:bCs/>
          <w:color w:val="000000"/>
          <w:sz w:val="44"/>
          <w:szCs w:val="44"/>
          <w:shd w:val="clear" w:fill="FFFFFF"/>
        </w:rPr>
      </w:pPr>
      <w:r>
        <w:rPr>
          <w:rStyle w:val="27"/>
          <w:rFonts w:hint="default" w:ascii="方正小标宋简体" w:hAnsi="方正小标宋简体" w:eastAsia="方正小标宋简体" w:cs="方正小标宋简体"/>
          <w:b/>
          <w:bCs/>
          <w:color w:val="000000"/>
          <w:sz w:val="44"/>
          <w:szCs w:val="44"/>
          <w:shd w:val="clear" w:fill="FFFFFF"/>
        </w:rPr>
        <w:t>中共阿坝州红原县委、县人民政府</w:t>
      </w:r>
    </w:p>
    <w:p>
      <w:pPr>
        <w:pStyle w:val="20"/>
        <w:keepNext w:val="0"/>
        <w:keepLines w:val="0"/>
        <w:widowControl/>
        <w:suppressLineNumbers w:val="0"/>
        <w:autoSpaceDE w:val="0"/>
        <w:autoSpaceDN/>
        <w:spacing w:before="0" w:beforeAutospacing="0" w:line="900" w:lineRule="exact"/>
        <w:ind w:left="0"/>
        <w:jc w:val="center"/>
        <w:rPr>
          <w:rFonts w:hint="default" w:ascii="方正小标宋简体" w:hAnsi="方正小标宋简体" w:eastAsia="方正小标宋简体" w:cs="方正小标宋简体"/>
          <w:b/>
          <w:bCs/>
          <w:color w:val="000000"/>
          <w:sz w:val="44"/>
          <w:szCs w:val="44"/>
          <w:shd w:val="clear" w:fill="FFFFFF"/>
        </w:rPr>
      </w:pPr>
      <w:r>
        <w:rPr>
          <w:rStyle w:val="27"/>
          <w:rFonts w:hint="default" w:ascii="方正小标宋简体" w:hAnsi="方正小标宋简体" w:eastAsia="方正小标宋简体" w:cs="方正小标宋简体"/>
          <w:b/>
          <w:bCs/>
          <w:color w:val="000000"/>
          <w:sz w:val="44"/>
          <w:szCs w:val="44"/>
          <w:shd w:val="clear" w:fill="FFFFFF"/>
        </w:rPr>
        <w:t>联动指挥中心办公室部门决算</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保密审查情况：已审查，内容审定</w:t>
      </w:r>
    </w:p>
    <w:p>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部门主要负责人审签情况：已审签，同意对外公开</w:t>
      </w:r>
    </w:p>
    <w:p>
      <w:pPr>
        <w:keepNext w:val="0"/>
        <w:keepLines w:val="0"/>
        <w:widowControl/>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bCs/>
          <w:kern w:val="0"/>
          <w:sz w:val="30"/>
          <w:szCs w:val="30"/>
        </w:rPr>
      </w:pPr>
      <w:r>
        <w:rPr>
          <w:rFonts w:hint="eastAsia" w:ascii="宋体" w:hAnsi="宋体" w:eastAsia="宋体" w:cs="宋体"/>
          <w:b/>
          <w:bCs/>
          <w:kern w:val="0"/>
          <w:sz w:val="30"/>
          <w:szCs w:val="30"/>
        </w:rPr>
        <w:t>目  录</w:t>
      </w:r>
    </w:p>
    <w:p>
      <w:pPr>
        <w:pStyle w:val="24"/>
        <w:keepNext w:val="0"/>
        <w:keepLines w:val="0"/>
        <w:widowControl/>
        <w:suppressLineNumbers w:val="0"/>
        <w:autoSpaceDE w:val="0"/>
        <w:autoSpaceDN/>
        <w:spacing w:before="0" w:beforeAutospacing="1" w:after="0" w:afterAutospacing="1" w:line="500" w:lineRule="exact"/>
        <w:ind w:left="0" w:leftChars="0" w:right="0"/>
        <w:rPr>
          <w:rFonts w:hint="default" w:ascii="Wingdings" w:hAnsi="Wingdings" w:cs="Wingdings"/>
          <w:sz w:val="28"/>
          <w:szCs w:val="28"/>
        </w:rPr>
      </w:pPr>
      <w:r>
        <w:fldChar w:fldCharType="begin"/>
      </w:r>
      <w:r>
        <w:instrText xml:space="preserve"> HYPERLINK "" \l "_Toc17525 " </w:instrText>
      </w:r>
      <w:r>
        <w:fldChar w:fldCharType="separate"/>
      </w:r>
      <w:r>
        <w:rPr>
          <w:rStyle w:val="19"/>
          <w:rFonts w:hint="eastAsia" w:ascii="宋体" w:hAnsi="宋体" w:eastAsia="宋体" w:cs="宋体"/>
          <w:bCs/>
          <w:sz w:val="28"/>
          <w:szCs w:val="28"/>
          <w:shd w:val="clear" w:fill="FFFFFF"/>
        </w:rPr>
        <w:t>第一部分   部门概况</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_Toc17525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- 4 -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"_Toc30788 " </w:instrText>
      </w:r>
      <w:r>
        <w:fldChar w:fldCharType="separate"/>
      </w:r>
      <w:r>
        <w:rPr>
          <w:rStyle w:val="19"/>
          <w:rFonts w:hint="eastAsia" w:ascii="黑体" w:hAnsi="宋体" w:eastAsia="黑体" w:cs="黑体"/>
          <w:bCs/>
          <w:sz w:val="28"/>
          <w:szCs w:val="28"/>
          <w:shd w:val="clear" w:fill="FFFFFF"/>
        </w:rPr>
        <w:t>一、基本职能及主要工作</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_Toc30788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- 4 -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"_Toc11872 " </w:instrText>
      </w:r>
      <w:r>
        <w:fldChar w:fldCharType="separate"/>
      </w:r>
      <w:r>
        <w:rPr>
          <w:rStyle w:val="19"/>
          <w:rFonts w:hint="default" w:ascii="楷体_GB2312" w:eastAsia="楷体_GB2312" w:cs="楷体_GB2312"/>
          <w:bCs/>
          <w:kern w:val="0"/>
          <w:sz w:val="28"/>
          <w:szCs w:val="28"/>
          <w:shd w:val="clear" w:fill="FFFFFF"/>
        </w:rPr>
        <w:t>（一）主要职能。</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_Toc11872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- 4 -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"_Toc7522 " </w:instrText>
      </w:r>
      <w:r>
        <w:fldChar w:fldCharType="separate"/>
      </w:r>
      <w:r>
        <w:rPr>
          <w:rStyle w:val="19"/>
          <w:rFonts w:hint="default" w:ascii="楷体_GB2312" w:eastAsia="楷体_GB2312" w:cs="楷体_GB2312"/>
          <w:bCs/>
          <w:kern w:val="0"/>
          <w:sz w:val="28"/>
          <w:szCs w:val="28"/>
          <w:shd w:val="clear" w:fill="FFFFFF"/>
        </w:rPr>
        <w:t>（二）2020年重点工作完成情况。</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_Toc7522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- 5 -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"_Toc19082 " </w:instrText>
      </w:r>
      <w:r>
        <w:fldChar w:fldCharType="separate"/>
      </w:r>
      <w:r>
        <w:rPr>
          <w:rStyle w:val="19"/>
          <w:rFonts w:hint="eastAsia" w:ascii="黑体" w:hAnsi="宋体" w:eastAsia="黑体" w:cs="黑体"/>
          <w:bCs/>
          <w:sz w:val="28"/>
          <w:szCs w:val="28"/>
          <w:shd w:val="clear" w:fill="FFFFFF"/>
        </w:rPr>
        <w:t>二、机构设置</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_Toc19082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- 6 -</w:t>
      </w:r>
      <w:r>
        <w:rPr>
          <w:rStyle w:val="19"/>
          <w:rFonts w:hint="default" w:ascii="Wingdings" w:hAnsi="Wingdings" w:cs="Wingdings"/>
          <w:sz w:val="28"/>
          <w:szCs w:val="28"/>
        </w:rPr>
        <w:fldChar w:fldCharType="end"/>
      </w:r>
      <w:r>
        <w:fldChar w:fldCharType="end"/>
      </w:r>
    </w:p>
    <w:p>
      <w:pPr>
        <w:pStyle w:val="24"/>
        <w:keepNext w:val="0"/>
        <w:keepLines w:val="0"/>
        <w:widowControl/>
        <w:suppressLineNumbers w:val="0"/>
        <w:autoSpaceDE w:val="0"/>
        <w:autoSpaceDN/>
        <w:spacing w:before="0" w:beforeAutospacing="1" w:after="0" w:afterAutospacing="1" w:line="500" w:lineRule="exact"/>
        <w:ind w:left="0" w:leftChars="0" w:right="0"/>
        <w:rPr>
          <w:rFonts w:hint="default" w:ascii="Wingdings" w:hAnsi="Wingdings" w:cs="Wingdings"/>
          <w:sz w:val="28"/>
          <w:szCs w:val="28"/>
        </w:rPr>
      </w:pPr>
      <w:r>
        <w:fldChar w:fldCharType="begin"/>
      </w:r>
      <w:r>
        <w:instrText xml:space="preserve"> HYPERLINK "" \l "_Toc2550 " </w:instrText>
      </w:r>
      <w:r>
        <w:fldChar w:fldCharType="separate"/>
      </w:r>
      <w:r>
        <w:rPr>
          <w:rStyle w:val="19"/>
          <w:rFonts w:hint="eastAsia" w:ascii="宋体" w:hAnsi="宋体" w:eastAsia="宋体" w:cs="宋体"/>
          <w:bCs/>
          <w:sz w:val="28"/>
          <w:szCs w:val="28"/>
          <w:shd w:val="clear" w:fill="FFFFFF"/>
        </w:rPr>
        <w:t>第二部分  2020年度部门决算情况说明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_Toc2550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- 6 -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"_Toc5815 " </w:instrText>
      </w:r>
      <w:r>
        <w:fldChar w:fldCharType="separate"/>
      </w:r>
      <w:r>
        <w:rPr>
          <w:rStyle w:val="19"/>
          <w:rFonts w:hint="eastAsia" w:ascii="黑体" w:hAnsi="宋体" w:eastAsia="黑体" w:cs="黑体"/>
          <w:bCs/>
          <w:sz w:val="28"/>
          <w:szCs w:val="28"/>
          <w:shd w:val="clear" w:fill="FFFFFF"/>
        </w:rPr>
        <w:t>一、收入支出决算总体情况说明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_Toc5815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- 6 -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"_Toc28762 " </w:instrText>
      </w:r>
      <w:r>
        <w:fldChar w:fldCharType="separate"/>
      </w:r>
      <w:r>
        <w:rPr>
          <w:rStyle w:val="19"/>
          <w:rFonts w:hint="eastAsia" w:ascii="黑体" w:hAnsi="宋体" w:eastAsia="黑体" w:cs="黑体"/>
          <w:bCs/>
          <w:sz w:val="28"/>
          <w:szCs w:val="28"/>
          <w:shd w:val="clear" w:fill="FFFFFF"/>
        </w:rPr>
        <w:t>二、收入决算情况说明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_Toc28762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- 6 -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"_Toc240 " </w:instrText>
      </w:r>
      <w:r>
        <w:fldChar w:fldCharType="separate"/>
      </w:r>
      <w:r>
        <w:rPr>
          <w:rStyle w:val="19"/>
          <w:rFonts w:hint="eastAsia" w:ascii="黑体" w:hAnsi="宋体" w:eastAsia="黑体" w:cs="黑体"/>
          <w:bCs/>
          <w:sz w:val="28"/>
          <w:szCs w:val="28"/>
          <w:shd w:val="clear" w:fill="FFFFFF"/>
        </w:rPr>
        <w:t>三、支出决算情况说明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_Toc240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- 7 -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"_Toc24353 " </w:instrText>
      </w:r>
      <w:r>
        <w:fldChar w:fldCharType="separate"/>
      </w:r>
      <w:r>
        <w:rPr>
          <w:rStyle w:val="19"/>
          <w:rFonts w:hint="eastAsia" w:ascii="黑体" w:hAnsi="宋体" w:eastAsia="黑体" w:cs="黑体"/>
          <w:bCs/>
          <w:sz w:val="28"/>
          <w:szCs w:val="28"/>
          <w:shd w:val="clear" w:fill="FFFFFF"/>
        </w:rPr>
        <w:t>四、财政拨款收入支出决算总体情况说明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_Toc24353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- 8 -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"_Toc7016 " </w:instrText>
      </w:r>
      <w:r>
        <w:fldChar w:fldCharType="separate"/>
      </w:r>
      <w:r>
        <w:rPr>
          <w:rStyle w:val="19"/>
          <w:rFonts w:hint="eastAsia" w:ascii="黑体" w:hAnsi="宋体" w:eastAsia="黑体" w:cs="黑体"/>
          <w:bCs/>
          <w:sz w:val="28"/>
          <w:szCs w:val="28"/>
          <w:shd w:val="clear" w:fill="FFFFFF"/>
        </w:rPr>
        <w:t>五、一般公共预算财政拨款支出决算情况说明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_Toc7016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- 9 -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"_Toc3572 " </w:instrText>
      </w:r>
      <w:r>
        <w:fldChar w:fldCharType="separate"/>
      </w:r>
      <w:r>
        <w:rPr>
          <w:rStyle w:val="19"/>
          <w:rFonts w:hint="default" w:ascii="楷体_GB2312" w:eastAsia="楷体_GB2312" w:cs="楷体_GB2312"/>
          <w:bCs/>
          <w:sz w:val="28"/>
          <w:szCs w:val="28"/>
          <w:shd w:val="clear" w:fill="FFFFFF"/>
        </w:rPr>
        <w:t>（一）一般公共预算财政拨款支出决算总体情况</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_Toc3572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- 9 -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"_Toc31835 " </w:instrText>
      </w:r>
      <w:r>
        <w:fldChar w:fldCharType="separate"/>
      </w:r>
      <w:r>
        <w:rPr>
          <w:rStyle w:val="19"/>
          <w:rFonts w:hint="default" w:ascii="楷体_GB2312" w:eastAsia="楷体_GB2312" w:cs="楷体_GB2312"/>
          <w:bCs/>
          <w:sz w:val="28"/>
          <w:szCs w:val="28"/>
          <w:shd w:val="clear" w:fill="FFFFFF"/>
        </w:rPr>
        <w:t>（二）一般公共预算财政拨款支出决算结构情况</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_Toc31835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- 9 -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"_Toc27250 " </w:instrText>
      </w:r>
      <w:r>
        <w:fldChar w:fldCharType="separate"/>
      </w:r>
      <w:r>
        <w:rPr>
          <w:rStyle w:val="19"/>
          <w:rFonts w:hint="default" w:ascii="楷体_GB2312" w:eastAsia="楷体_GB2312" w:cs="楷体_GB2312"/>
          <w:bCs/>
          <w:sz w:val="28"/>
          <w:szCs w:val="28"/>
          <w:shd w:val="clear" w:fill="FFFFFF"/>
        </w:rPr>
        <w:t>（三）一般公共预算财政拨款支出决算具体情况</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_Toc27250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- 10 -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"_Toc4600 " </w:instrText>
      </w:r>
      <w:r>
        <w:fldChar w:fldCharType="separate"/>
      </w:r>
      <w:r>
        <w:rPr>
          <w:rStyle w:val="19"/>
          <w:rFonts w:hint="eastAsia" w:ascii="黑体" w:hAnsi="宋体" w:eastAsia="黑体" w:cs="黑体"/>
          <w:bCs/>
          <w:sz w:val="28"/>
          <w:szCs w:val="28"/>
          <w:shd w:val="clear" w:fill="FFFFFF"/>
        </w:rPr>
        <w:t>六、一般公共预算财政拨款基本支出决算情况说明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_Toc4600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- 11 -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"_Toc11504 " </w:instrText>
      </w:r>
      <w:r>
        <w:fldChar w:fldCharType="separate"/>
      </w:r>
      <w:r>
        <w:rPr>
          <w:rStyle w:val="19"/>
          <w:rFonts w:hint="eastAsia" w:ascii="黑体" w:hAnsi="宋体" w:eastAsia="黑体" w:cs="黑体"/>
          <w:bCs/>
          <w:sz w:val="28"/>
          <w:szCs w:val="28"/>
          <w:shd w:val="clear" w:fill="FFFFFF"/>
        </w:rPr>
        <w:t>七、“三公”经费财政拨款支出决算情况说明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_Toc11504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- 12 -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"_Toc12958 " </w:instrText>
      </w:r>
      <w:r>
        <w:fldChar w:fldCharType="separate"/>
      </w:r>
      <w:r>
        <w:rPr>
          <w:rStyle w:val="19"/>
          <w:rFonts w:hint="default" w:ascii="仿宋_GB2312" w:eastAsia="仿宋_GB2312" w:cs="仿宋_GB2312"/>
          <w:bCs/>
          <w:sz w:val="28"/>
          <w:szCs w:val="28"/>
          <w:shd w:val="clear" w:fill="FFFFFF"/>
        </w:rPr>
        <w:t>（一）“三公”经费财政拨款支出决算总体情况说明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_Toc12958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- 12 -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"_Toc15429 " </w:instrText>
      </w:r>
      <w:r>
        <w:fldChar w:fldCharType="separate"/>
      </w:r>
      <w:r>
        <w:rPr>
          <w:rStyle w:val="19"/>
          <w:rFonts w:hint="default" w:ascii="仿宋_GB2312" w:eastAsia="仿宋_GB2312" w:cs="仿宋_GB2312"/>
          <w:bCs/>
          <w:sz w:val="28"/>
          <w:szCs w:val="28"/>
          <w:shd w:val="clear" w:fill="FFFFFF"/>
        </w:rPr>
        <w:t>（二）“三公”经费财政拨款支出决算具体情况说明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_Toc15429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"_Toc13293 " </w:instrText>
      </w:r>
      <w:r>
        <w:fldChar w:fldCharType="separate"/>
      </w:r>
      <w:r>
        <w:rPr>
          <w:rStyle w:val="19"/>
          <w:rFonts w:hint="eastAsia" w:ascii="黑体" w:hAnsi="宋体" w:eastAsia="黑体" w:cs="黑体"/>
          <w:bCs/>
          <w:sz w:val="28"/>
          <w:szCs w:val="28"/>
          <w:shd w:val="clear" w:fill="FFFFFF"/>
        </w:rPr>
        <w:t>八、政府性基金预算支出决算情况说明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_Toc13293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- 13 -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"_Toc8466 " </w:instrText>
      </w:r>
      <w:r>
        <w:fldChar w:fldCharType="separate"/>
      </w:r>
      <w:r>
        <w:rPr>
          <w:rStyle w:val="19"/>
          <w:rFonts w:hint="eastAsia" w:ascii="黑体" w:hAnsi="宋体" w:eastAsia="黑体" w:cs="黑体"/>
          <w:bCs/>
          <w:sz w:val="28"/>
          <w:szCs w:val="28"/>
          <w:shd w:val="clear" w:fill="FFFFFF"/>
        </w:rPr>
        <w:t>九、国有资本经营预算支出决算情况说明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_Toc8466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- 13 -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"_Toc26492 " </w:instrText>
      </w:r>
      <w:r>
        <w:fldChar w:fldCharType="separate"/>
      </w:r>
      <w:r>
        <w:rPr>
          <w:rStyle w:val="19"/>
          <w:rFonts w:hint="eastAsia" w:ascii="黑体" w:hAnsi="宋体" w:eastAsia="黑体" w:cs="黑体"/>
          <w:bCs/>
          <w:sz w:val="28"/>
          <w:szCs w:val="28"/>
          <w:shd w:val="clear" w:fill="FFFFFF"/>
        </w:rPr>
        <w:t>十、其他重要事项的情况说明</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_Toc26492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- 13 -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"_Toc3104 " </w:instrText>
      </w:r>
      <w:r>
        <w:fldChar w:fldCharType="separate"/>
      </w:r>
      <w:r>
        <w:rPr>
          <w:rStyle w:val="19"/>
          <w:rFonts w:hint="default" w:ascii="楷体_GB2312" w:eastAsia="楷体_GB2312" w:cs="楷体_GB2312"/>
          <w:bCs/>
          <w:sz w:val="28"/>
          <w:szCs w:val="28"/>
          <w:shd w:val="clear" w:fill="FFFFFF"/>
        </w:rPr>
        <w:t>（一）机关运行经费支出情况</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_Toc3104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- 13 -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"_Toc4667 " </w:instrText>
      </w:r>
      <w:r>
        <w:fldChar w:fldCharType="separate"/>
      </w:r>
      <w:r>
        <w:rPr>
          <w:rStyle w:val="19"/>
          <w:rFonts w:hint="default" w:ascii="楷体_GB2312" w:eastAsia="楷体_GB2312" w:cs="楷体_GB2312"/>
          <w:bCs/>
          <w:sz w:val="28"/>
          <w:szCs w:val="28"/>
          <w:shd w:val="clear" w:fill="FFFFFF"/>
        </w:rPr>
        <w:t>（二）政府采购支出情况</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_Toc4667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- 14 -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"_Toc20679 " </w:instrText>
      </w:r>
      <w:r>
        <w:fldChar w:fldCharType="separate"/>
      </w:r>
      <w:r>
        <w:rPr>
          <w:rStyle w:val="19"/>
          <w:rFonts w:hint="default" w:ascii="仿宋_GB2312" w:eastAsia="仿宋_GB2312" w:cs="仿宋_GB2312"/>
          <w:bCs/>
          <w:sz w:val="28"/>
          <w:szCs w:val="28"/>
          <w:shd w:val="clear" w:fill="FFFFFF"/>
        </w:rPr>
        <w:t>（三）国有资产占有使用情况</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_Toc20679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- 14 -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"_Toc23483 " </w:instrText>
      </w:r>
      <w:r>
        <w:fldChar w:fldCharType="separate"/>
      </w:r>
      <w:r>
        <w:rPr>
          <w:rStyle w:val="19"/>
          <w:rFonts w:hint="default" w:ascii="楷体_GB2312" w:eastAsia="楷体_GB2312" w:cs="楷体_GB2312"/>
          <w:bCs/>
          <w:sz w:val="28"/>
          <w:szCs w:val="28"/>
          <w:shd w:val="clear" w:fill="FFFFFF"/>
        </w:rPr>
        <w:t>（四）预算绩效管理情况</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_Toc23483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- 14 -</w:t>
      </w:r>
      <w:r>
        <w:rPr>
          <w:rStyle w:val="19"/>
          <w:rFonts w:hint="default" w:ascii="Wingdings" w:hAnsi="Wingdings" w:cs="Wingdings"/>
          <w:sz w:val="28"/>
          <w:szCs w:val="28"/>
        </w:rPr>
        <w:fldChar w:fldCharType="end"/>
      </w:r>
      <w:r>
        <w:fldChar w:fldCharType="end"/>
      </w:r>
    </w:p>
    <w:p>
      <w:pPr>
        <w:pStyle w:val="24"/>
        <w:keepNext w:val="0"/>
        <w:keepLines w:val="0"/>
        <w:widowControl/>
        <w:suppressLineNumbers w:val="0"/>
        <w:autoSpaceDE w:val="0"/>
        <w:autoSpaceDN/>
        <w:spacing w:before="0" w:beforeAutospacing="1" w:after="0" w:afterAutospacing="1" w:line="500" w:lineRule="exact"/>
        <w:ind w:left="0" w:leftChars="0" w:right="0"/>
        <w:rPr>
          <w:rFonts w:hint="default" w:ascii="Wingdings" w:hAnsi="Wingdings" w:cs="Wingdings"/>
          <w:sz w:val="28"/>
          <w:szCs w:val="28"/>
        </w:rPr>
      </w:pPr>
      <w:r>
        <w:fldChar w:fldCharType="begin"/>
      </w:r>
      <w:r>
        <w:instrText xml:space="preserve"> HYPERLINK "" \l "_Toc31616 " </w:instrText>
      </w:r>
      <w:r>
        <w:fldChar w:fldCharType="separate"/>
      </w:r>
      <w:r>
        <w:rPr>
          <w:rStyle w:val="19"/>
          <w:rFonts w:hint="eastAsia" w:ascii="宋体" w:hAnsi="宋体" w:eastAsia="宋体" w:cs="宋体"/>
          <w:bCs/>
          <w:kern w:val="0"/>
          <w:sz w:val="28"/>
          <w:szCs w:val="28"/>
          <w:shd w:val="clear" w:fill="FFFFFF"/>
        </w:rPr>
        <w:t>第三部分   名词解释</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_Toc31616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- 15 -</w:t>
      </w:r>
      <w:r>
        <w:rPr>
          <w:rStyle w:val="19"/>
          <w:rFonts w:hint="default" w:ascii="Wingdings" w:hAnsi="Wingdings" w:cs="Wingdings"/>
          <w:sz w:val="28"/>
          <w:szCs w:val="28"/>
        </w:rPr>
        <w:fldChar w:fldCharType="end"/>
      </w:r>
      <w:r>
        <w:fldChar w:fldCharType="end"/>
      </w:r>
    </w:p>
    <w:p>
      <w:pPr>
        <w:pStyle w:val="24"/>
        <w:keepNext w:val="0"/>
        <w:keepLines w:val="0"/>
        <w:widowControl/>
        <w:suppressLineNumbers w:val="0"/>
        <w:autoSpaceDE w:val="0"/>
        <w:autoSpaceDN/>
        <w:spacing w:before="0" w:beforeAutospacing="1" w:after="0" w:afterAutospacing="1" w:line="500" w:lineRule="exact"/>
        <w:ind w:left="0" w:leftChars="0" w:right="0"/>
        <w:rPr>
          <w:rFonts w:hint="default" w:ascii="Wingdings" w:hAnsi="Wingdings" w:cs="Wingdings"/>
          <w:sz w:val="28"/>
          <w:szCs w:val="28"/>
        </w:rPr>
      </w:pPr>
      <w:r>
        <w:fldChar w:fldCharType="begin"/>
      </w:r>
      <w:r>
        <w:instrText xml:space="preserve"> HYPERLINK "" \l "_Toc23807 " </w:instrText>
      </w:r>
      <w:r>
        <w:fldChar w:fldCharType="separate"/>
      </w:r>
      <w:r>
        <w:rPr>
          <w:rStyle w:val="19"/>
          <w:rFonts w:hint="eastAsia" w:ascii="宋体" w:hAnsi="宋体" w:eastAsia="宋体" w:cs="宋体"/>
          <w:bCs/>
          <w:kern w:val="0"/>
          <w:sz w:val="28"/>
          <w:szCs w:val="28"/>
          <w:shd w:val="clear" w:fill="FFFFFF"/>
        </w:rPr>
        <w:t>第四部分   附件</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_Toc23807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- 17 -</w:t>
      </w:r>
      <w:r>
        <w:rPr>
          <w:rStyle w:val="19"/>
          <w:rFonts w:hint="default" w:ascii="Wingdings" w:hAnsi="Wingdings" w:cs="Wingdings"/>
          <w:sz w:val="28"/>
          <w:szCs w:val="28"/>
        </w:rPr>
        <w:fldChar w:fldCharType="end"/>
      </w:r>
      <w:r>
        <w:fldChar w:fldCharType="end"/>
      </w:r>
    </w:p>
    <w:p>
      <w:pPr>
        <w:pStyle w:val="21"/>
        <w:keepNext w:val="0"/>
        <w:keepLines w:val="0"/>
        <w:widowControl/>
        <w:suppressLineNumbers w:val="0"/>
        <w:autoSpaceDE w:val="0"/>
        <w:autoSpaceDN/>
        <w:spacing w:before="0" w:beforeAutospacing="1" w:after="0" w:afterAutospacing="1" w:line="500" w:lineRule="exact"/>
        <w:ind w:left="960" w:leftChars="400" w:right="0"/>
        <w:rPr>
          <w:rFonts w:hint="default" w:ascii="Wingdings" w:hAnsi="Wingdings" w:cs="Wingdings"/>
          <w:sz w:val="28"/>
          <w:szCs w:val="28"/>
        </w:rPr>
      </w:pPr>
      <w:r>
        <w:fldChar w:fldCharType="begin"/>
      </w:r>
      <w:r>
        <w:instrText xml:space="preserve"> HYPERLINK "" \l "_Toc11788 " </w:instrText>
      </w:r>
      <w:r>
        <w:fldChar w:fldCharType="separate"/>
      </w:r>
      <w:r>
        <w:rPr>
          <w:rStyle w:val="19"/>
          <w:rFonts w:hint="default" w:ascii="仿宋_GB2312" w:eastAsia="仿宋_GB2312" w:cs="仿宋_GB2312"/>
          <w:kern w:val="0"/>
          <w:sz w:val="28"/>
          <w:szCs w:val="28"/>
        </w:rPr>
        <w:t>8、负责做好县委、政府临时交办的各项工作任务。</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_Toc11788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- 18 -</w:t>
      </w:r>
      <w:r>
        <w:rPr>
          <w:rStyle w:val="19"/>
          <w:rFonts w:hint="default" w:ascii="Wingdings" w:hAnsi="Wingdings" w:cs="Wingdings"/>
          <w:sz w:val="28"/>
          <w:szCs w:val="28"/>
        </w:rPr>
        <w:fldChar w:fldCharType="end"/>
      </w:r>
      <w:r>
        <w:fldChar w:fldCharType="end"/>
      </w:r>
    </w:p>
    <w:p>
      <w:pPr>
        <w:pStyle w:val="24"/>
        <w:keepNext w:val="0"/>
        <w:keepLines w:val="0"/>
        <w:widowControl/>
        <w:suppressLineNumbers w:val="0"/>
        <w:autoSpaceDE w:val="0"/>
        <w:autoSpaceDN/>
        <w:spacing w:before="0" w:beforeAutospacing="1" w:after="0" w:afterAutospacing="1" w:line="500" w:lineRule="exact"/>
        <w:ind w:left="0" w:leftChars="0" w:right="0"/>
        <w:rPr>
          <w:rFonts w:hint="default" w:ascii="Wingdings" w:hAnsi="Wingdings" w:cs="Wingdings"/>
          <w:sz w:val="28"/>
          <w:szCs w:val="28"/>
        </w:rPr>
      </w:pPr>
      <w:r>
        <w:fldChar w:fldCharType="begin"/>
      </w:r>
      <w:r>
        <w:instrText xml:space="preserve"> HYPERLINK "" \l "_Toc29307 " </w:instrText>
      </w:r>
      <w:r>
        <w:fldChar w:fldCharType="separate"/>
      </w:r>
      <w:r>
        <w:rPr>
          <w:rStyle w:val="19"/>
          <w:rFonts w:hint="eastAsia" w:ascii="宋体" w:hAnsi="宋体" w:eastAsia="宋体" w:cs="宋体"/>
          <w:bCs/>
          <w:kern w:val="0"/>
          <w:sz w:val="28"/>
          <w:szCs w:val="28"/>
          <w:shd w:val="clear" w:fill="FFFFFF"/>
        </w:rPr>
        <w:t>第五部分 附表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_Toc29307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"_Toc30169 " </w:instrText>
      </w:r>
      <w:r>
        <w:fldChar w:fldCharType="separate"/>
      </w:r>
      <w:r>
        <w:rPr>
          <w:rStyle w:val="19"/>
          <w:rFonts w:hint="eastAsia" w:ascii="宋体" w:hAnsi="宋体" w:eastAsia="宋体" w:cs="宋体"/>
          <w:bCs/>
          <w:kern w:val="0"/>
          <w:sz w:val="28"/>
          <w:szCs w:val="28"/>
          <w:shd w:val="clear" w:fill="FFFFFF"/>
        </w:rPr>
        <w:t>一、收入支出决算总表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_Toc30169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"_Toc21359 " </w:instrText>
      </w:r>
      <w:r>
        <w:fldChar w:fldCharType="separate"/>
      </w:r>
      <w:r>
        <w:rPr>
          <w:rStyle w:val="19"/>
          <w:rFonts w:hint="eastAsia" w:ascii="宋体" w:hAnsi="宋体" w:eastAsia="宋体" w:cs="宋体"/>
          <w:bCs/>
          <w:kern w:val="0"/>
          <w:sz w:val="28"/>
          <w:szCs w:val="28"/>
          <w:shd w:val="clear" w:fill="FFFFFF"/>
        </w:rPr>
        <w:t>二、收入决算表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_Toc21359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"_Toc13964 " </w:instrText>
      </w:r>
      <w:r>
        <w:fldChar w:fldCharType="separate"/>
      </w:r>
      <w:r>
        <w:rPr>
          <w:rStyle w:val="19"/>
          <w:rFonts w:hint="eastAsia" w:ascii="宋体" w:hAnsi="宋体" w:eastAsia="宋体" w:cs="宋体"/>
          <w:bCs/>
          <w:kern w:val="0"/>
          <w:sz w:val="28"/>
          <w:szCs w:val="28"/>
          <w:shd w:val="clear" w:fill="FFFFFF"/>
        </w:rPr>
        <w:t>三、支出决算表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_Toc13964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"_Toc16582 " </w:instrText>
      </w:r>
      <w:r>
        <w:fldChar w:fldCharType="separate"/>
      </w:r>
      <w:r>
        <w:rPr>
          <w:rStyle w:val="19"/>
          <w:rFonts w:hint="eastAsia" w:ascii="宋体" w:hAnsi="宋体" w:eastAsia="宋体" w:cs="宋体"/>
          <w:bCs/>
          <w:kern w:val="0"/>
          <w:sz w:val="28"/>
          <w:szCs w:val="28"/>
          <w:shd w:val="clear" w:fill="FFFFFF"/>
        </w:rPr>
        <w:t>四、财政拨款收入支出决算总表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_Toc16582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"_Toc20952 " </w:instrText>
      </w:r>
      <w:r>
        <w:fldChar w:fldCharType="separate"/>
      </w:r>
      <w:r>
        <w:rPr>
          <w:rStyle w:val="19"/>
          <w:rFonts w:hint="eastAsia" w:ascii="宋体" w:hAnsi="宋体" w:eastAsia="宋体" w:cs="宋体"/>
          <w:bCs/>
          <w:kern w:val="0"/>
          <w:sz w:val="28"/>
          <w:szCs w:val="28"/>
          <w:shd w:val="clear" w:fill="FFFFFF"/>
        </w:rPr>
        <w:t>五、财政拨款支出决算明细表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_Toc20952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"_Toc28689 " </w:instrText>
      </w:r>
      <w:r>
        <w:fldChar w:fldCharType="separate"/>
      </w:r>
      <w:r>
        <w:rPr>
          <w:rStyle w:val="19"/>
          <w:rFonts w:hint="eastAsia" w:ascii="宋体" w:hAnsi="宋体" w:eastAsia="宋体" w:cs="宋体"/>
          <w:bCs/>
          <w:kern w:val="0"/>
          <w:sz w:val="28"/>
          <w:szCs w:val="28"/>
          <w:shd w:val="clear" w:fill="FFFFFF"/>
        </w:rPr>
        <w:t>六、一般公共预算财政拨款支出决算表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_Toc28689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"_Toc16136 " </w:instrText>
      </w:r>
      <w:r>
        <w:fldChar w:fldCharType="separate"/>
      </w:r>
      <w:r>
        <w:rPr>
          <w:rStyle w:val="19"/>
          <w:rFonts w:hint="eastAsia" w:ascii="宋体" w:hAnsi="宋体" w:eastAsia="宋体" w:cs="宋体"/>
          <w:bCs/>
          <w:kern w:val="0"/>
          <w:sz w:val="28"/>
          <w:szCs w:val="28"/>
          <w:shd w:val="clear" w:fill="FFFFFF"/>
        </w:rPr>
        <w:t>七、一般公共预算财政拨款支出决算明细表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_Toc16136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"_Toc15208 " </w:instrText>
      </w:r>
      <w:r>
        <w:fldChar w:fldCharType="separate"/>
      </w:r>
      <w:r>
        <w:rPr>
          <w:rStyle w:val="19"/>
          <w:rFonts w:hint="eastAsia" w:ascii="宋体" w:hAnsi="宋体" w:eastAsia="宋体" w:cs="宋体"/>
          <w:bCs/>
          <w:kern w:val="0"/>
          <w:sz w:val="28"/>
          <w:szCs w:val="28"/>
          <w:shd w:val="clear" w:fill="FFFFFF"/>
        </w:rPr>
        <w:t>八、一般公共预算财政拨款基本支出决算表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_Toc15208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"_Toc6123 " </w:instrText>
      </w:r>
      <w:r>
        <w:fldChar w:fldCharType="separate"/>
      </w:r>
      <w:r>
        <w:rPr>
          <w:rStyle w:val="19"/>
          <w:rFonts w:hint="eastAsia" w:ascii="宋体" w:hAnsi="宋体" w:eastAsia="宋体" w:cs="宋体"/>
          <w:bCs/>
          <w:kern w:val="0"/>
          <w:sz w:val="28"/>
          <w:szCs w:val="28"/>
          <w:shd w:val="clear" w:fill="FFFFFF"/>
        </w:rPr>
        <w:t>九、一般公共预算财政拨款项目支出决算表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_Toc6123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"_Toc9516 " </w:instrText>
      </w:r>
      <w:r>
        <w:fldChar w:fldCharType="separate"/>
      </w:r>
      <w:r>
        <w:rPr>
          <w:rStyle w:val="19"/>
          <w:rFonts w:hint="eastAsia" w:ascii="宋体" w:hAnsi="宋体" w:eastAsia="宋体" w:cs="宋体"/>
          <w:bCs/>
          <w:kern w:val="0"/>
          <w:sz w:val="28"/>
          <w:szCs w:val="28"/>
          <w:shd w:val="clear" w:fill="FFFFFF"/>
        </w:rPr>
        <w:t>十、一般公共预算财政拨款“三公”经费支出决算表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_Toc9516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"_Toc3580 " </w:instrText>
      </w:r>
      <w:r>
        <w:fldChar w:fldCharType="separate"/>
      </w:r>
      <w:r>
        <w:rPr>
          <w:rStyle w:val="19"/>
          <w:rFonts w:hint="eastAsia" w:ascii="宋体" w:hAnsi="宋体" w:eastAsia="宋体" w:cs="宋体"/>
          <w:bCs/>
          <w:kern w:val="0"/>
          <w:sz w:val="28"/>
          <w:szCs w:val="28"/>
          <w:shd w:val="clear" w:fill="FFFFFF"/>
        </w:rPr>
        <w:t>十一、政府性基金预算财政拨款收入支出决算表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_Toc3580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- 22 -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"_Toc30465 " </w:instrText>
      </w:r>
      <w:r>
        <w:fldChar w:fldCharType="separate"/>
      </w:r>
      <w:r>
        <w:rPr>
          <w:rStyle w:val="19"/>
          <w:rFonts w:hint="eastAsia" w:ascii="宋体" w:hAnsi="宋体" w:eastAsia="宋体" w:cs="宋体"/>
          <w:bCs/>
          <w:kern w:val="0"/>
          <w:sz w:val="28"/>
          <w:szCs w:val="28"/>
          <w:shd w:val="clear" w:fill="FFFFFF"/>
        </w:rPr>
        <w:t>十二、政府性基金预算财政拨款“三公”经费支出决算表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_Toc30465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- 23 -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"_Toc4611 " </w:instrText>
      </w:r>
      <w:r>
        <w:fldChar w:fldCharType="separate"/>
      </w:r>
      <w:r>
        <w:rPr>
          <w:rStyle w:val="19"/>
          <w:rFonts w:hint="eastAsia" w:ascii="宋体" w:hAnsi="宋体" w:eastAsia="宋体" w:cs="宋体"/>
          <w:bCs/>
          <w:kern w:val="0"/>
          <w:sz w:val="28"/>
          <w:szCs w:val="28"/>
          <w:shd w:val="clear" w:fill="FFFFFF"/>
        </w:rPr>
        <w:t>十三、国有资本经营预算财政拨款收入支出决算表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_Toc4611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- 23 -</w:t>
      </w:r>
      <w:r>
        <w:rPr>
          <w:rStyle w:val="19"/>
          <w:rFonts w:hint="default" w:ascii="Wingdings" w:hAnsi="Wingdings" w:cs="Wingdings"/>
          <w:sz w:val="28"/>
          <w:szCs w:val="28"/>
        </w:rPr>
        <w:fldChar w:fldCharType="end"/>
      </w:r>
      <w:r>
        <w:fldChar w:fldCharType="end"/>
      </w:r>
    </w:p>
    <w:p>
      <w:pPr>
        <w:pStyle w:val="28"/>
        <w:keepNext w:val="0"/>
        <w:keepLines w:val="0"/>
        <w:widowControl/>
        <w:suppressLineNumbers w:val="0"/>
        <w:autoSpaceDE w:val="0"/>
        <w:autoSpaceDN/>
        <w:spacing w:before="0" w:beforeAutospacing="1" w:after="0" w:afterAutospacing="1" w:line="500" w:lineRule="exact"/>
        <w:ind w:left="480" w:leftChars="200" w:right="0"/>
        <w:rPr>
          <w:rFonts w:hint="default" w:ascii="Wingdings" w:hAnsi="Wingdings" w:cs="Wingdings"/>
          <w:sz w:val="28"/>
          <w:szCs w:val="28"/>
        </w:rPr>
      </w:pPr>
      <w:r>
        <w:fldChar w:fldCharType="begin"/>
      </w:r>
      <w:r>
        <w:instrText xml:space="preserve"> HYPERLINK "" \l "_Toc15741 " </w:instrText>
      </w:r>
      <w:r>
        <w:fldChar w:fldCharType="separate"/>
      </w:r>
      <w:r>
        <w:rPr>
          <w:rStyle w:val="19"/>
          <w:rFonts w:hint="eastAsia" w:ascii="宋体" w:hAnsi="宋体" w:eastAsia="宋体" w:cs="宋体"/>
          <w:bCs/>
          <w:kern w:val="0"/>
          <w:sz w:val="28"/>
          <w:szCs w:val="28"/>
          <w:shd w:val="clear" w:fill="FFFFFF"/>
        </w:rPr>
        <w:t>十四、国有资本经营预算财政拨款支出决算表</w:t>
      </w:r>
      <w:r>
        <w:rPr>
          <w:rStyle w:val="19"/>
          <w:rFonts w:hint="default" w:ascii="Wingdings" w:hAnsi="Wingdings" w:cs="Wingdings"/>
          <w:sz w:val="28"/>
          <w:szCs w:val="28"/>
        </w:rPr>
        <w:tab/>
      </w:r>
      <w:r>
        <w:rPr>
          <w:rStyle w:val="19"/>
          <w:rFonts w:hint="default" w:ascii="Wingdings" w:hAnsi="Wingdings" w:cs="Wingdings"/>
          <w:sz w:val="28"/>
          <w:szCs w:val="28"/>
        </w:rPr>
        <w:fldChar w:fldCharType="begin"/>
      </w:r>
      <w:r>
        <w:rPr>
          <w:rStyle w:val="19"/>
          <w:rFonts w:hint="default" w:ascii="Wingdings" w:hAnsi="Wingdings" w:cs="Wingdings"/>
          <w:sz w:val="28"/>
          <w:szCs w:val="28"/>
        </w:rPr>
        <w:instrText xml:space="preserve"> PAGEREF _Toc15741 \h </w:instrText>
      </w:r>
      <w:r>
        <w:rPr>
          <w:rStyle w:val="19"/>
          <w:rFonts w:hint="default" w:ascii="Wingdings" w:hAnsi="Wingdings" w:cs="Wingdings"/>
          <w:sz w:val="28"/>
          <w:szCs w:val="28"/>
        </w:rPr>
        <w:fldChar w:fldCharType="separate"/>
      </w:r>
      <w:r>
        <w:rPr>
          <w:rStyle w:val="19"/>
          <w:rFonts w:hint="default" w:ascii="Wingdings" w:hAnsi="Wingdings" w:cs="Wingdings"/>
          <w:sz w:val="28"/>
          <w:szCs w:val="28"/>
        </w:rPr>
        <w:t>- 23 -</w:t>
      </w:r>
      <w:r>
        <w:rPr>
          <w:rStyle w:val="19"/>
          <w:rFonts w:hint="default" w:ascii="Wingdings" w:hAnsi="Wingdings" w:cs="Wingdings"/>
          <w:sz w:val="28"/>
          <w:szCs w:val="28"/>
        </w:rPr>
        <w:fldChar w:fldCharType="end"/>
      </w:r>
      <w:r>
        <w:fldChar w:fldCharType="end"/>
      </w:r>
    </w:p>
    <w:p>
      <w:pPr>
        <w:keepNext w:val="0"/>
        <w:keepLines w:val="0"/>
        <w:widowControl/>
        <w:suppressLineNumbers w:val="0"/>
        <w:autoSpaceDE w:val="0"/>
        <w:autoSpaceDN/>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b/>
          <w:bCs/>
          <w:kern w:val="0"/>
          <w:sz w:val="32"/>
          <w:szCs w:val="32"/>
        </w:rPr>
      </w:pPr>
      <w:bookmarkStart w:id="0" w:name="_Toc17525"/>
      <w:bookmarkEnd w:id="0"/>
      <w:r>
        <w:rPr>
          <w:rStyle w:val="25"/>
          <w:rFonts w:hint="eastAsia" w:ascii="宋体" w:hAnsi="宋体" w:eastAsia="宋体" w:cs="宋体"/>
          <w:b/>
          <w:bCs/>
          <w:sz w:val="32"/>
          <w:szCs w:val="32"/>
          <w:shd w:val="clear" w:fill="FFFFFF"/>
        </w:rPr>
        <w:t>第一部分   部门概况</w:t>
      </w:r>
    </w:p>
    <w:p>
      <w:pPr>
        <w:pStyle w:val="20"/>
        <w:keepNext w:val="0"/>
        <w:keepLines w:val="0"/>
        <w:widowControl w:val="0"/>
        <w:suppressLineNumbers w:val="0"/>
        <w:autoSpaceDE w:val="0"/>
        <w:autoSpaceDN/>
        <w:spacing w:before="0" w:beforeAutospacing="0" w:line="536" w:lineRule="exact"/>
        <w:ind w:left="0"/>
        <w:jc w:val="left"/>
        <w:outlineLvl w:val="1"/>
        <w:rPr>
          <w:rFonts w:hint="eastAsia" w:ascii="黑体" w:hAnsi="宋体" w:eastAsia="黑体" w:cs="黑体"/>
          <w:kern w:val="0"/>
          <w:sz w:val="32"/>
          <w:szCs w:val="32"/>
        </w:rPr>
      </w:pPr>
      <w:r>
        <w:rPr>
          <w:rFonts w:hint="default" w:ascii="仿宋_GB2312" w:eastAsia="仿宋_GB2312" w:cs="仿宋_GB2312"/>
          <w:kern w:val="0"/>
          <w:sz w:val="32"/>
          <w:szCs w:val="32"/>
          <w:shd w:val="clear" w:fill="FFFFFF"/>
        </w:rPr>
        <w:t xml:space="preserve">    </w:t>
      </w:r>
      <w:bookmarkStart w:id="1" w:name="_Toc30788"/>
      <w:bookmarkEnd w:id="1"/>
      <w:r>
        <w:rPr>
          <w:rStyle w:val="25"/>
          <w:rFonts w:hint="eastAsia" w:ascii="黑体" w:hAnsi="宋体" w:eastAsia="黑体" w:cs="黑体"/>
          <w:b/>
          <w:bCs/>
          <w:sz w:val="32"/>
          <w:szCs w:val="32"/>
          <w:shd w:val="clear" w:fill="FFFFFF"/>
        </w:rPr>
        <w:t>一、基本职能及主要工作</w:t>
      </w:r>
    </w:p>
    <w:p>
      <w:pPr>
        <w:pStyle w:val="20"/>
        <w:keepNext w:val="0"/>
        <w:keepLines w:val="0"/>
        <w:widowControl w:val="0"/>
        <w:suppressLineNumbers w:val="0"/>
        <w:autoSpaceDE w:val="0"/>
        <w:autoSpaceDN/>
        <w:spacing w:before="0" w:beforeAutospacing="0" w:line="536" w:lineRule="exact"/>
        <w:ind w:left="0" w:firstLine="643" w:firstLineChars="200"/>
        <w:jc w:val="both"/>
        <w:outlineLvl w:val="2"/>
        <w:rPr>
          <w:rFonts w:hint="default" w:ascii="楷体_GB2312" w:eastAsia="楷体_GB2312" w:cs="楷体_GB2312"/>
          <w:b/>
          <w:bCs/>
          <w:kern w:val="0"/>
          <w:sz w:val="32"/>
          <w:szCs w:val="32"/>
        </w:rPr>
      </w:pPr>
      <w:bookmarkStart w:id="2" w:name="_Toc11872"/>
      <w:bookmarkEnd w:id="2"/>
      <w:r>
        <w:rPr>
          <w:rFonts w:hint="default" w:ascii="楷体_GB2312" w:eastAsia="楷体_GB2312" w:cs="楷体_GB2312"/>
          <w:b/>
          <w:bCs/>
          <w:kern w:val="0"/>
          <w:sz w:val="32"/>
          <w:szCs w:val="32"/>
          <w:shd w:val="clear" w:fill="FFFFFF"/>
        </w:rPr>
        <w:t>（一）主要职能。</w:t>
      </w:r>
    </w:p>
    <w:p>
      <w:pPr>
        <w:keepNext w:val="0"/>
        <w:keepLines w:val="0"/>
        <w:widowControl w:val="0"/>
        <w:suppressLineNumbers w:val="0"/>
        <w:autoSpaceDE w:val="0"/>
        <w:autoSpaceDN/>
        <w:spacing w:before="0" w:beforeAutospacing="0" w:after="0" w:afterAutospacing="0" w:line="53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（1）受县委、县政府的委托、代表县联动指挥中心行使应急指挥权利；</w:t>
      </w:r>
    </w:p>
    <w:p>
      <w:pPr>
        <w:keepNext w:val="0"/>
        <w:keepLines w:val="0"/>
        <w:widowControl w:val="0"/>
        <w:suppressLineNumbers w:val="0"/>
        <w:autoSpaceDE w:val="0"/>
        <w:autoSpaceDN/>
        <w:spacing w:before="0" w:beforeAutospacing="0" w:after="0" w:afterAutospacing="0" w:line="53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（2）负责对中心入驻的六大中心工作人员的管理，负责对七大平台数据的收集和分析研判，并代表县委、政府和县联动指挥中心对重大事件和突发事件的应急指挥工作；</w:t>
      </w:r>
    </w:p>
    <w:p>
      <w:pPr>
        <w:keepNext w:val="0"/>
        <w:keepLines w:val="0"/>
        <w:widowControl w:val="0"/>
        <w:suppressLineNumbers w:val="0"/>
        <w:autoSpaceDE w:val="0"/>
        <w:autoSpaceDN/>
        <w:spacing w:before="0" w:beforeAutospacing="0" w:after="0" w:afterAutospacing="0" w:line="53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（3）负责组织督促；落实县委、县政府和县联动指挥中心下达的指令或工作安排部署，根据工作的实际情况和需要，适时召开联动部门工作协调会，研究解决有关联动服务事宜和问题；</w:t>
      </w:r>
    </w:p>
    <w:p>
      <w:pPr>
        <w:keepNext w:val="0"/>
        <w:keepLines w:val="0"/>
        <w:widowControl w:val="0"/>
        <w:suppressLineNumbers w:val="0"/>
        <w:autoSpaceDE w:val="0"/>
        <w:autoSpaceDN/>
        <w:spacing w:before="0" w:beforeAutospacing="0" w:after="0" w:afterAutospacing="0" w:line="53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（4）负责对重要信息的收集、报送工作，对全县应急处突、渉稳事件、安全生产急救、自然灾害等重大事件的协调工作，同时做好处置工作记录，并逐日归类汇总并备案；</w:t>
      </w:r>
    </w:p>
    <w:p>
      <w:pPr>
        <w:keepNext w:val="0"/>
        <w:keepLines w:val="0"/>
        <w:widowControl w:val="0"/>
        <w:suppressLineNumbers w:val="0"/>
        <w:autoSpaceDE w:val="0"/>
        <w:autoSpaceDN/>
        <w:spacing w:before="0" w:beforeAutospacing="0" w:after="0" w:afterAutospacing="0" w:line="53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（5）负责组织、督促有关部门抓好民生服务工作，矛盾纠纷排查化解工作。开展调查研究，对重大情况和问题应及时进行分析研判，并向县政府提交研判报告；</w:t>
      </w:r>
    </w:p>
    <w:p>
      <w:pPr>
        <w:keepNext w:val="0"/>
        <w:keepLines w:val="0"/>
        <w:widowControl w:val="0"/>
        <w:suppressLineNumbers w:val="0"/>
        <w:autoSpaceDE w:val="0"/>
        <w:autoSpaceDN/>
        <w:spacing w:before="0" w:beforeAutospacing="0" w:after="0" w:afterAutospacing="0" w:line="53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（6）负责建立健全联动指挥中心各项规章制度；</w:t>
      </w:r>
    </w:p>
    <w:p>
      <w:pPr>
        <w:keepNext w:val="0"/>
        <w:keepLines w:val="0"/>
        <w:widowControl w:val="0"/>
        <w:suppressLineNumbers w:val="0"/>
        <w:autoSpaceDE w:val="0"/>
        <w:autoSpaceDN/>
        <w:spacing w:before="0" w:beforeAutospacing="0" w:after="0" w:afterAutospacing="0" w:line="53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7）负责协助和管理县民族宗教局入驻人员开展寺庙网格化精准服务系统管理工作；负责协助和管理县公安局入驻人员做好联动指挥中心系统维护以及天网视频调度工作；负责协助和管理县矛盾纠纷“大调解”中心做好全县大调解工作和基层大调解指导工作；负责协助和管理其它入驻单位的工作人员开展相关工作。</w:t>
      </w:r>
    </w:p>
    <w:p>
      <w:pPr>
        <w:pStyle w:val="20"/>
        <w:keepNext w:val="0"/>
        <w:keepLines w:val="0"/>
        <w:widowControl w:val="0"/>
        <w:suppressLineNumbers w:val="0"/>
        <w:autoSpaceDE w:val="0"/>
        <w:autoSpaceDN/>
        <w:spacing w:before="0" w:beforeAutospacing="0" w:line="53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b w:val="0"/>
          <w:bCs w:val="0"/>
          <w:kern w:val="0"/>
          <w:sz w:val="32"/>
          <w:szCs w:val="32"/>
        </w:rPr>
        <w:t>（8）负责做好县委、政府临时交办的各项工作任务。</w:t>
      </w:r>
    </w:p>
    <w:p>
      <w:pPr>
        <w:pStyle w:val="20"/>
        <w:keepNext w:val="0"/>
        <w:keepLines w:val="0"/>
        <w:widowControl w:val="0"/>
        <w:suppressLineNumbers w:val="0"/>
        <w:autoSpaceDE w:val="0"/>
        <w:autoSpaceDN/>
        <w:spacing w:before="0" w:beforeAutospacing="0" w:line="536" w:lineRule="exact"/>
        <w:ind w:left="0" w:firstLine="643" w:firstLineChars="200"/>
        <w:jc w:val="both"/>
        <w:outlineLvl w:val="2"/>
        <w:rPr>
          <w:rFonts w:hint="default" w:ascii="楷体_GB2312" w:eastAsia="楷体_GB2312" w:cs="楷体_GB2312"/>
          <w:b/>
          <w:bCs/>
          <w:kern w:val="0"/>
          <w:sz w:val="32"/>
          <w:szCs w:val="32"/>
          <w:shd w:val="clear" w:fill="FFFFFF"/>
        </w:rPr>
      </w:pPr>
      <w:bookmarkStart w:id="3" w:name="_Toc7522"/>
      <w:bookmarkEnd w:id="3"/>
      <w:r>
        <w:rPr>
          <w:rFonts w:hint="default" w:ascii="楷体_GB2312" w:eastAsia="楷体_GB2312" w:cs="楷体_GB2312"/>
          <w:b/>
          <w:bCs/>
          <w:kern w:val="0"/>
          <w:sz w:val="32"/>
          <w:szCs w:val="32"/>
          <w:shd w:val="clear" w:fill="FFFFFF"/>
        </w:rPr>
        <w:t>（二）2020年重点工作完成情况。</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36" w:lineRule="exact"/>
        <w:ind w:left="0" w:right="0" w:firstLine="640" w:firstLineChars="200"/>
        <w:jc w:val="both"/>
        <w:rPr>
          <w:rFonts w:hint="default" w:ascii="仿宋_GB2312" w:eastAsia="仿宋_GB2312" w:cs="仿宋_GB2312"/>
          <w:kern w:val="2"/>
          <w:sz w:val="32"/>
          <w:szCs w:val="32"/>
          <w:bdr w:val="none" w:color="auto" w:sz="0" w:space="0"/>
          <w:shd w:val="clear" w:fill="FFFFFF"/>
        </w:rPr>
      </w:pPr>
      <w:r>
        <w:rPr>
          <w:rFonts w:hint="default" w:ascii="仿宋_GB2312" w:eastAsia="仿宋_GB2312" w:cs="仿宋_GB2312"/>
          <w:kern w:val="2"/>
          <w:sz w:val="32"/>
          <w:szCs w:val="32"/>
          <w:bdr w:val="none" w:color="auto" w:sz="0" w:space="0"/>
          <w:shd w:val="clear" w:fill="FFFFFF"/>
        </w:rPr>
        <w:t>一是进一步健全管理机制。中心目前虽有较完整的管理机制，但就如何激励各平台功能更好的发挥和整合平台信息共享方面还存在不足，下一步我们将就不断健全完善平台综合管理应用方面再做进一步探索和完善，力求确保在各自的管理体系中实现信息的多重共享。</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36" w:lineRule="exact"/>
        <w:ind w:left="0" w:right="0" w:firstLine="640" w:firstLineChars="200"/>
        <w:jc w:val="both"/>
        <w:rPr>
          <w:rFonts w:hint="default" w:ascii="仿宋_GB2312" w:eastAsia="仿宋_GB2312" w:cs="仿宋_GB2312"/>
          <w:kern w:val="2"/>
          <w:sz w:val="32"/>
          <w:szCs w:val="32"/>
          <w:bdr w:val="none" w:color="auto" w:sz="0" w:space="0"/>
          <w:shd w:val="clear" w:fill="FFFFFF"/>
        </w:rPr>
      </w:pPr>
      <w:r>
        <w:rPr>
          <w:rFonts w:hint="default" w:ascii="仿宋_GB2312" w:eastAsia="仿宋_GB2312" w:cs="仿宋_GB2312"/>
          <w:kern w:val="2"/>
          <w:sz w:val="32"/>
          <w:szCs w:val="32"/>
          <w:bdr w:val="none" w:color="auto" w:sz="0" w:space="0"/>
          <w:shd w:val="clear" w:fill="FFFFFF"/>
        </w:rPr>
        <w:t>二是进一步优化平台应用。首先加大藏区依法常态化信息工作平台的推广应用，信息化工作平台功能更强大，涉及面更广，操作更加适用，通过近段时间的试运行，平台作用已得到发挥，下一步将加大平台的宣传，确保部门和乡镇能充分认识和应用该平台，同时我们也将综治中心通过视频监控发现的问题以及110转派非警务事件的转派和督办通过信息化工作平台来实现事件办理的线上痕迹化管理，以此倒逼乡镇和部门开展信息化工作平台的应用。其次是强化“红原在线”的提档升级，目前虽然通过大力宣传，“红原在线”平台服务于旅游的功能有所展现，但通过其GPS定位以实现民生服务方面还较不足，下一步我们将通过和部门合作，开发相应的民生服务项目，包括正在计划和民政局合作，利用平台定位优势，开展我县散居老人的“保姆式服务”项目开发应用。</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36" w:lineRule="exact"/>
        <w:ind w:left="0" w:right="0" w:firstLine="640" w:firstLineChars="200"/>
        <w:jc w:val="both"/>
        <w:rPr>
          <w:rFonts w:hint="default" w:ascii="仿宋_GB2312" w:eastAsia="仿宋_GB2312" w:cs="仿宋_GB2312"/>
          <w:color w:val="000000"/>
          <w:kern w:val="0"/>
          <w:sz w:val="32"/>
          <w:szCs w:val="32"/>
          <w:bdr w:val="none" w:color="auto" w:sz="0" w:space="0"/>
          <w:shd w:val="clear" w:fill="FFFFFF"/>
        </w:rPr>
      </w:pPr>
      <w:r>
        <w:rPr>
          <w:rFonts w:hint="default" w:ascii="仿宋_GB2312" w:eastAsia="仿宋_GB2312" w:cs="仿宋_GB2312"/>
          <w:kern w:val="2"/>
          <w:sz w:val="32"/>
          <w:szCs w:val="32"/>
          <w:bdr w:val="none" w:color="auto" w:sz="0" w:space="0"/>
          <w:shd w:val="clear" w:fill="FFFFFF"/>
        </w:rPr>
        <w:t>三是逐步推行线上线下双接件，同办理。为充分体现中心负责全县群众投诉、咨询、意见、建言建议的受理、交办和督查调度的作用，中心目前已申请8998989的热线服务电话，我们将加快服务热线的推广，已达到将群众非警务事件的所有投诉、求助事件纳入中心处置、分流、督办和回访。</w:t>
      </w:r>
    </w:p>
    <w:p>
      <w:pPr>
        <w:pStyle w:val="20"/>
        <w:keepNext w:val="0"/>
        <w:keepLines w:val="0"/>
        <w:widowControl w:val="0"/>
        <w:suppressLineNumbers w:val="0"/>
        <w:autoSpaceDE w:val="0"/>
        <w:autoSpaceDN/>
        <w:spacing w:before="0" w:beforeAutospacing="0" w:line="536" w:lineRule="exact"/>
        <w:ind w:left="0" w:firstLine="643" w:firstLineChars="200"/>
        <w:jc w:val="both"/>
        <w:outlineLvl w:val="1"/>
        <w:rPr>
          <w:rFonts w:hint="eastAsia" w:ascii="黑体" w:hAnsi="宋体" w:eastAsia="黑体" w:cs="黑体"/>
          <w:b/>
          <w:bCs/>
          <w:sz w:val="32"/>
          <w:szCs w:val="32"/>
          <w:shd w:val="clear" w:fill="FFFFFF"/>
        </w:rPr>
      </w:pPr>
      <w:bookmarkStart w:id="4" w:name="_Toc19082"/>
      <w:bookmarkEnd w:id="4"/>
      <w:r>
        <w:rPr>
          <w:rStyle w:val="25"/>
          <w:rFonts w:hint="eastAsia" w:ascii="黑体" w:hAnsi="宋体" w:eastAsia="黑体" w:cs="黑体"/>
          <w:b/>
          <w:bCs/>
          <w:sz w:val="32"/>
          <w:szCs w:val="32"/>
          <w:shd w:val="clear" w:fill="FFFFFF"/>
        </w:rPr>
        <w:t>二、机构设置</w:t>
      </w:r>
    </w:p>
    <w:p>
      <w:pPr>
        <w:pStyle w:val="20"/>
        <w:keepNext w:val="0"/>
        <w:keepLines w:val="0"/>
        <w:widowControl w:val="0"/>
        <w:suppressLineNumbers w:val="0"/>
        <w:autoSpaceDE w:val="0"/>
        <w:autoSpaceDN/>
        <w:spacing w:before="0" w:beforeAutospacing="0" w:line="536" w:lineRule="exact"/>
        <w:ind w:left="0" w:firstLine="640" w:firstLineChars="200"/>
        <w:jc w:val="both"/>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rPr>
        <w:t>红原县联动指挥中心办公室事业编制8名，其中：设主任1名(正科级)，副主任2名(副科级)；股级领导职数3名。</w:t>
      </w:r>
    </w:p>
    <w:p>
      <w:pPr>
        <w:pStyle w:val="20"/>
        <w:keepNext w:val="0"/>
        <w:keepLines w:val="0"/>
        <w:widowControl w:val="0"/>
        <w:suppressLineNumbers w:val="0"/>
        <w:autoSpaceDE w:val="0"/>
        <w:autoSpaceDN/>
        <w:spacing w:before="0" w:beforeAutospacing="0" w:line="536" w:lineRule="exact"/>
        <w:jc w:val="center"/>
        <w:outlineLvl w:val="0"/>
        <w:rPr>
          <w:rFonts w:hint="eastAsia" w:ascii="宋体" w:hAnsi="宋体" w:eastAsia="宋体" w:cs="宋体"/>
          <w:b/>
          <w:bCs/>
          <w:kern w:val="0"/>
          <w:sz w:val="32"/>
          <w:szCs w:val="32"/>
        </w:rPr>
      </w:pPr>
      <w:bookmarkStart w:id="5" w:name="_Toc2550"/>
      <w:bookmarkEnd w:id="5"/>
      <w:r>
        <w:rPr>
          <w:rStyle w:val="25"/>
          <w:rFonts w:hint="eastAsia" w:ascii="宋体" w:hAnsi="宋体" w:eastAsia="宋体" w:cs="宋体"/>
          <w:b/>
          <w:bCs/>
          <w:sz w:val="32"/>
          <w:szCs w:val="32"/>
          <w:shd w:val="clear" w:fill="FFFFFF"/>
        </w:rPr>
        <w:t>第二部分  2020年度部门决算情况说明</w:t>
      </w:r>
    </w:p>
    <w:p>
      <w:pPr>
        <w:pStyle w:val="20"/>
        <w:keepNext w:val="0"/>
        <w:keepLines w:val="0"/>
        <w:widowControl w:val="0"/>
        <w:suppressLineNumbers w:val="0"/>
        <w:autoSpaceDE w:val="0"/>
        <w:autoSpaceDN/>
        <w:spacing w:before="0" w:beforeAutospacing="0" w:line="536" w:lineRule="exact"/>
        <w:ind w:left="0" w:firstLine="643" w:firstLineChars="200"/>
        <w:jc w:val="both"/>
        <w:outlineLvl w:val="1"/>
        <w:rPr>
          <w:rFonts w:hint="eastAsia" w:ascii="黑体" w:hAnsi="宋体" w:eastAsia="黑体" w:cs="黑体"/>
          <w:kern w:val="0"/>
          <w:sz w:val="32"/>
          <w:szCs w:val="32"/>
        </w:rPr>
      </w:pPr>
      <w:bookmarkStart w:id="6" w:name="_Toc5815"/>
      <w:bookmarkEnd w:id="6"/>
      <w:r>
        <w:rPr>
          <w:rStyle w:val="25"/>
          <w:rFonts w:hint="eastAsia" w:ascii="黑体" w:hAnsi="宋体" w:eastAsia="黑体" w:cs="黑体"/>
          <w:b/>
          <w:bCs/>
          <w:sz w:val="32"/>
          <w:szCs w:val="32"/>
          <w:shd w:val="clear" w:fill="FFFFFF"/>
        </w:rPr>
        <w:t>一、收入支出决算总体情况说明</w:t>
      </w:r>
    </w:p>
    <w:p>
      <w:pPr>
        <w:pStyle w:val="20"/>
        <w:keepNext w:val="0"/>
        <w:keepLines w:val="0"/>
        <w:widowControl w:val="0"/>
        <w:suppressLineNumbers w:val="0"/>
        <w:autoSpaceDE w:val="0"/>
        <w:autoSpaceDN/>
        <w:spacing w:before="0" w:beforeAutospacing="0" w:line="53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2020年度收、支总计124.23万元。与2019年相比，收、支总计各增加 1.13万元，增长 0.92%。主要变动原因是人员经费增加。</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r>
        <w:drawing>
          <wp:inline distT="0" distB="0" distL="114300" distR="114300">
            <wp:extent cx="5105400" cy="2971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link="rId6"/>
                    <a:stretch>
                      <a:fillRect/>
                    </a:stretch>
                  </pic:blipFill>
                  <pic:spPr>
                    <a:xfrm>
                      <a:off x="0" y="0"/>
                      <a:ext cx="5105400" cy="2971800"/>
                    </a:xfrm>
                    <a:prstGeom prst="rect">
                      <a:avLst/>
                    </a:prstGeom>
                    <a:noFill/>
                    <a:ln w="9525">
                      <a:noFill/>
                    </a:ln>
                  </pic:spPr>
                </pic:pic>
              </a:graphicData>
            </a:graphic>
          </wp:inline>
        </w:drawing>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（图1：收、支决算总计变动情况图）（柱状图）</w:t>
      </w:r>
    </w:p>
    <w:p>
      <w:pPr>
        <w:pStyle w:val="20"/>
        <w:keepNext w:val="0"/>
        <w:keepLines w:val="0"/>
        <w:widowControl/>
        <w:suppressLineNumbers w:val="0"/>
        <w:autoSpaceDE w:val="0"/>
        <w:autoSpaceDN/>
        <w:spacing w:before="0" w:beforeAutospacing="0"/>
        <w:ind w:left="0" w:firstLine="643" w:firstLineChars="200"/>
        <w:jc w:val="left"/>
        <w:outlineLvl w:val="1"/>
        <w:rPr>
          <w:rFonts w:hint="eastAsia" w:ascii="黑体" w:hAnsi="宋体" w:eastAsia="黑体" w:cs="黑体"/>
          <w:kern w:val="0"/>
          <w:sz w:val="32"/>
          <w:szCs w:val="32"/>
        </w:rPr>
      </w:pPr>
      <w:bookmarkStart w:id="7" w:name="_Toc28762"/>
      <w:bookmarkEnd w:id="7"/>
      <w:r>
        <w:rPr>
          <w:rStyle w:val="25"/>
          <w:rFonts w:hint="eastAsia" w:ascii="黑体" w:hAnsi="宋体" w:eastAsia="黑体" w:cs="黑体"/>
          <w:b/>
          <w:bCs/>
          <w:sz w:val="32"/>
          <w:szCs w:val="32"/>
          <w:shd w:val="clear" w:fill="FFFFFF"/>
        </w:rPr>
        <w:t>二、收入决算情况说明</w:t>
      </w:r>
    </w:p>
    <w:p>
      <w:pPr>
        <w:pStyle w:val="20"/>
        <w:keepNext w:val="0"/>
        <w:keepLines w:val="0"/>
        <w:widowControl/>
        <w:suppressLineNumbers w:val="0"/>
        <w:autoSpaceDE w:val="0"/>
        <w:autoSpaceDN/>
        <w:spacing w:before="0" w:beforeAutospacing="0" w:line="576" w:lineRule="exact"/>
        <w:ind w:left="0" w:firstLine="640" w:firstLineChars="200"/>
        <w:jc w:val="left"/>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2020年本年收入合计124.23万元，其中：一般公共预算财政拨款收入124.23万元，占 100.00%；政府性基金预算财政拨款收入0.00万元，占 0.00%；国有资本经营预算财政拨款收入0.00万元，占 0.00%;上级补助收入0.00万元，占 0.00%；事业收入0.00万元，占 0.00%；经营收入0.00万元，占 0.00%；附属单位上缴收入0.00万元，占 0.00%；其他收入0.00万元，占 0.00%。</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drawing>
          <wp:inline distT="0" distB="0" distL="114300" distR="114300">
            <wp:extent cx="4533900" cy="28575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link="rId7"/>
                    <a:stretch>
                      <a:fillRect/>
                    </a:stretch>
                  </pic:blipFill>
                  <pic:spPr>
                    <a:xfrm>
                      <a:off x="0" y="0"/>
                      <a:ext cx="4533900" cy="2857500"/>
                    </a:xfrm>
                    <a:prstGeom prst="rect">
                      <a:avLst/>
                    </a:prstGeom>
                    <a:noFill/>
                    <a:ln w="9525">
                      <a:noFill/>
                    </a:ln>
                  </pic:spPr>
                </pic:pic>
              </a:graphicData>
            </a:graphic>
          </wp:inline>
        </w:drawing>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（图2：收入决算结构图）（饼状图）</w:t>
      </w:r>
    </w:p>
    <w:p>
      <w:pPr>
        <w:pStyle w:val="20"/>
        <w:keepNext w:val="0"/>
        <w:keepLines w:val="0"/>
        <w:widowControl/>
        <w:suppressLineNumbers w:val="0"/>
        <w:autoSpaceDE w:val="0"/>
        <w:autoSpaceDN/>
        <w:spacing w:before="0" w:beforeAutospacing="0" w:line="576" w:lineRule="exact"/>
        <w:ind w:left="0" w:firstLine="643" w:firstLineChars="200"/>
        <w:jc w:val="left"/>
        <w:outlineLvl w:val="1"/>
        <w:rPr>
          <w:rFonts w:hint="eastAsia" w:ascii="黑体" w:hAnsi="宋体" w:eastAsia="黑体" w:cs="黑体"/>
          <w:b/>
          <w:bCs/>
          <w:sz w:val="32"/>
          <w:szCs w:val="32"/>
          <w:shd w:val="clear" w:fill="FFFFFF"/>
        </w:rPr>
      </w:pPr>
      <w:bookmarkStart w:id="8" w:name="_Toc240"/>
      <w:bookmarkEnd w:id="8"/>
      <w:r>
        <w:rPr>
          <w:rStyle w:val="25"/>
          <w:rFonts w:hint="eastAsia" w:ascii="黑体" w:hAnsi="宋体" w:eastAsia="黑体" w:cs="黑体"/>
          <w:b/>
          <w:bCs/>
          <w:sz w:val="32"/>
          <w:szCs w:val="32"/>
          <w:shd w:val="clear" w:fill="FFFFFF"/>
        </w:rPr>
        <w:t>三、支出决算情况说明</w:t>
      </w:r>
    </w:p>
    <w:p>
      <w:pPr>
        <w:pStyle w:val="20"/>
        <w:keepNext w:val="0"/>
        <w:keepLines w:val="0"/>
        <w:widowControl/>
        <w:suppressLineNumbers w:val="0"/>
        <w:autoSpaceDE w:val="0"/>
        <w:autoSpaceDN/>
        <w:spacing w:before="0" w:beforeAutospacing="0" w:line="576" w:lineRule="exact"/>
        <w:ind w:left="0" w:firstLine="640" w:firstLineChars="200"/>
        <w:jc w:val="left"/>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2020年本年支出合计124.23万元，其中：基本支出100.28万元，占 80.72%；项目支出23.95万元，占 19.28%；上缴上级支出0.00万元，占 0.00%；经营支出0.00万元，占 0.00%；对附属单位补助支出0.00万元，占 0.00%。</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drawing>
          <wp:inline distT="0" distB="0" distL="114300" distR="114300">
            <wp:extent cx="4467225" cy="2790825"/>
            <wp:effectExtent l="0" t="0" r="9525" b="952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link="rId8"/>
                    <a:stretch>
                      <a:fillRect/>
                    </a:stretch>
                  </pic:blipFill>
                  <pic:spPr>
                    <a:xfrm>
                      <a:off x="0" y="0"/>
                      <a:ext cx="4467225" cy="2790825"/>
                    </a:xfrm>
                    <a:prstGeom prst="rect">
                      <a:avLst/>
                    </a:prstGeom>
                    <a:noFill/>
                    <a:ln w="9525">
                      <a:noFill/>
                    </a:ln>
                  </pic:spPr>
                </pic:pic>
              </a:graphicData>
            </a:graphic>
          </wp:inline>
        </w:drawing>
      </w:r>
    </w:p>
    <w:p>
      <w:pPr>
        <w:pStyle w:val="20"/>
        <w:keepNext w:val="0"/>
        <w:keepLines w:val="0"/>
        <w:widowControl w:val="0"/>
        <w:suppressLineNumbers w:val="0"/>
        <w:autoSpaceDE w:val="0"/>
        <w:autoSpaceDN/>
        <w:spacing w:before="0" w:beforeAutospacing="0" w:line="576" w:lineRule="exact"/>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（图3：支出决算结构图）（饼状图）</w:t>
      </w:r>
    </w:p>
    <w:p>
      <w:pPr>
        <w:pStyle w:val="20"/>
        <w:keepNext w:val="0"/>
        <w:keepLines w:val="0"/>
        <w:widowControl w:val="0"/>
        <w:suppressLineNumbers w:val="0"/>
        <w:autoSpaceDE w:val="0"/>
        <w:autoSpaceDN/>
        <w:spacing w:before="0" w:beforeAutospacing="0" w:line="576" w:lineRule="exact"/>
        <w:ind w:left="0"/>
        <w:jc w:val="left"/>
        <w:outlineLvl w:val="1"/>
        <w:rPr>
          <w:rFonts w:hint="default" w:ascii="仿宋_GB2312" w:eastAsia="仿宋_GB2312" w:cs="仿宋_GB2312"/>
          <w:b/>
          <w:bCs/>
          <w:sz w:val="32"/>
          <w:szCs w:val="32"/>
          <w:shd w:val="clear" w:fill="FFFFFF"/>
        </w:rPr>
      </w:pPr>
      <w:r>
        <w:rPr>
          <w:rFonts w:hint="eastAsia" w:ascii="宋体" w:hAnsi="宋体" w:eastAsia="宋体" w:cs="宋体"/>
          <w:kern w:val="0"/>
          <w:sz w:val="24"/>
          <w:szCs w:val="24"/>
          <w:shd w:val="clear" w:fill="FFFFFF"/>
        </w:rPr>
        <w:t xml:space="preserve">  </w:t>
      </w:r>
      <w:r>
        <w:rPr>
          <w:rFonts w:hint="eastAsia" w:ascii="黑体" w:hAnsi="宋体" w:eastAsia="黑体" w:cs="黑体"/>
          <w:kern w:val="0"/>
          <w:sz w:val="24"/>
          <w:szCs w:val="24"/>
          <w:shd w:val="clear" w:fill="FFFFFF"/>
        </w:rPr>
        <w:t xml:space="preserve">   </w:t>
      </w:r>
      <w:bookmarkStart w:id="9" w:name="_Toc24353"/>
      <w:bookmarkEnd w:id="9"/>
      <w:r>
        <w:rPr>
          <w:rStyle w:val="25"/>
          <w:rFonts w:hint="eastAsia" w:ascii="黑体" w:hAnsi="宋体" w:eastAsia="黑体" w:cs="黑体"/>
          <w:b/>
          <w:bCs/>
          <w:sz w:val="32"/>
          <w:szCs w:val="32"/>
          <w:shd w:val="clear" w:fill="FFFFFF"/>
        </w:rPr>
        <w:t>四、财政拨款收入支出决算总体情况说明</w:t>
      </w:r>
    </w:p>
    <w:p>
      <w:pPr>
        <w:pStyle w:val="20"/>
        <w:keepNext w:val="0"/>
        <w:keepLines w:val="0"/>
        <w:widowControl w:val="0"/>
        <w:suppressLineNumbers w:val="0"/>
        <w:autoSpaceDE w:val="0"/>
        <w:autoSpaceDN/>
        <w:spacing w:before="0" w:beforeAutospacing="0" w:line="576" w:lineRule="exact"/>
        <w:ind w:left="0" w:firstLine="640" w:firstLineChars="200"/>
        <w:jc w:val="left"/>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2020年财政拨款收入总计124.23万元，支出总计124.23万元。与2019年相比，财政拨款收、支总计各增加3.98万元，增长3.67%。主 要变动原因是人员经费增加。</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drawing>
          <wp:inline distT="0" distB="0" distL="114300" distR="114300">
            <wp:extent cx="5105400" cy="2562225"/>
            <wp:effectExtent l="0" t="0" r="0" b="952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link="rId9"/>
                    <a:stretch>
                      <a:fillRect/>
                    </a:stretch>
                  </pic:blipFill>
                  <pic:spPr>
                    <a:xfrm>
                      <a:off x="0" y="0"/>
                      <a:ext cx="5105400" cy="2562225"/>
                    </a:xfrm>
                    <a:prstGeom prst="rect">
                      <a:avLst/>
                    </a:prstGeom>
                    <a:noFill/>
                    <a:ln w="9525">
                      <a:noFill/>
                    </a:ln>
                  </pic:spPr>
                </pic:pic>
              </a:graphicData>
            </a:graphic>
          </wp:inline>
        </w:drawing>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（图4：财政拨款收、支决算总计变动情况）（柱状图）</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1"/>
        <w:rPr>
          <w:rFonts w:hint="eastAsia" w:ascii="黑体" w:hAnsi="宋体" w:eastAsia="黑体" w:cs="黑体"/>
          <w:kern w:val="0"/>
          <w:sz w:val="32"/>
          <w:szCs w:val="32"/>
        </w:rPr>
      </w:pPr>
      <w:bookmarkStart w:id="10" w:name="_Toc7016"/>
      <w:bookmarkEnd w:id="10"/>
      <w:r>
        <w:rPr>
          <w:rStyle w:val="25"/>
          <w:rFonts w:hint="eastAsia" w:ascii="黑体" w:hAnsi="宋体" w:eastAsia="黑体" w:cs="黑体"/>
          <w:b/>
          <w:bCs/>
          <w:sz w:val="32"/>
          <w:szCs w:val="32"/>
          <w:shd w:val="clear" w:fill="FFFFFF"/>
        </w:rPr>
        <w:t>五、一般公共预算财政拨款支出决算情况说明</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2"/>
        <w:rPr>
          <w:rFonts w:hint="default" w:ascii="楷体_GB2312" w:eastAsia="楷体_GB2312" w:cs="楷体_GB2312"/>
          <w:kern w:val="0"/>
          <w:sz w:val="32"/>
          <w:szCs w:val="32"/>
        </w:rPr>
      </w:pPr>
      <w:bookmarkStart w:id="11" w:name="_Toc3572"/>
      <w:bookmarkEnd w:id="11"/>
      <w:r>
        <w:rPr>
          <w:rStyle w:val="25"/>
          <w:rFonts w:hint="default" w:ascii="楷体_GB2312" w:eastAsia="楷体_GB2312" w:cs="楷体_GB2312"/>
          <w:b/>
          <w:bCs/>
          <w:sz w:val="32"/>
          <w:szCs w:val="32"/>
          <w:shd w:val="clear" w:fill="FFFFFF"/>
        </w:rPr>
        <w:t>（一）一般公共预算财政拨款支出决算总体情况</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eastAsia" w:ascii="宋体" w:hAnsi="宋体" w:eastAsia="宋体" w:cs="宋体"/>
          <w:kern w:val="0"/>
          <w:sz w:val="24"/>
          <w:szCs w:val="24"/>
          <w:shd w:val="clear" w:fill="FFFFFF"/>
        </w:rPr>
      </w:pPr>
      <w:r>
        <w:rPr>
          <w:rFonts w:hint="default" w:ascii="仿宋_GB2312" w:eastAsia="仿宋_GB2312" w:cs="仿宋_GB2312"/>
          <w:kern w:val="0"/>
          <w:sz w:val="32"/>
          <w:szCs w:val="32"/>
          <w:shd w:val="clear" w:fill="FFFFFF"/>
        </w:rPr>
        <w:t xml:space="preserve">2020年一般公共预算财政拨款支出124.23万元，占本年支出合计的 100.00%。与2019年相比，一般公共预算财政拨款增加 1.24万元，增长1.01%。主要变动原因是人员经费增加。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drawing>
          <wp:inline distT="0" distB="0" distL="114300" distR="114300">
            <wp:extent cx="5000625" cy="2924175"/>
            <wp:effectExtent l="0" t="0" r="9525" b="9525"/>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link="rId10"/>
                    <a:stretch>
                      <a:fillRect/>
                    </a:stretch>
                  </pic:blipFill>
                  <pic:spPr>
                    <a:xfrm>
                      <a:off x="0" y="0"/>
                      <a:ext cx="5000625" cy="2924175"/>
                    </a:xfrm>
                    <a:prstGeom prst="rect">
                      <a:avLst/>
                    </a:prstGeom>
                    <a:noFill/>
                    <a:ln w="9525">
                      <a:noFill/>
                    </a:ln>
                  </pic:spPr>
                </pic:pic>
              </a:graphicData>
            </a:graphic>
          </wp:inline>
        </w:drawing>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（图5：一般公共预算财政拨款支出决算变动情况）（柱状图）</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2"/>
        <w:rPr>
          <w:rFonts w:hint="default" w:ascii="楷体_GB2312" w:eastAsia="楷体_GB2312" w:cs="楷体_GB2312"/>
          <w:b/>
          <w:bCs/>
          <w:kern w:val="0"/>
          <w:sz w:val="32"/>
          <w:szCs w:val="32"/>
        </w:rPr>
      </w:pPr>
      <w:bookmarkStart w:id="12" w:name="_Toc31835"/>
      <w:bookmarkEnd w:id="12"/>
      <w:r>
        <w:rPr>
          <w:rStyle w:val="25"/>
          <w:rFonts w:hint="default" w:ascii="楷体_GB2312" w:eastAsia="楷体_GB2312" w:cs="楷体_GB2312"/>
          <w:b/>
          <w:bCs/>
          <w:sz w:val="32"/>
          <w:szCs w:val="32"/>
          <w:shd w:val="clear" w:fill="FFFFFF"/>
        </w:rPr>
        <w:t>（二）一般公共预算财政拨款支出决算结构情况</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2020年一般公共预算财政拨款支出124.23万元，主要用于以下方面:</w:t>
      </w:r>
      <w:r>
        <w:rPr>
          <w:rStyle w:val="25"/>
          <w:rFonts w:hint="default" w:ascii="仿宋_GB2312" w:eastAsia="仿宋_GB2312" w:cs="仿宋_GB2312"/>
          <w:b/>
          <w:bCs/>
          <w:sz w:val="32"/>
          <w:szCs w:val="32"/>
          <w:shd w:val="clear" w:fill="FFFFFF"/>
        </w:rPr>
        <w:t>一般公共服务（类）支出</w:t>
      </w:r>
      <w:r>
        <w:rPr>
          <w:rFonts w:hint="default" w:ascii="仿宋_GB2312" w:eastAsia="仿宋_GB2312" w:cs="仿宋_GB2312"/>
          <w:kern w:val="0"/>
          <w:sz w:val="32"/>
          <w:szCs w:val="32"/>
          <w:shd w:val="clear" w:fill="FFFFFF"/>
        </w:rPr>
        <w:t>100.63万元，占81.00%；</w:t>
      </w:r>
      <w:r>
        <w:rPr>
          <w:rStyle w:val="25"/>
          <w:rFonts w:hint="default" w:ascii="仿宋_GB2312" w:eastAsia="仿宋_GB2312" w:cs="仿宋_GB2312"/>
          <w:b/>
          <w:bCs/>
          <w:sz w:val="32"/>
          <w:szCs w:val="32"/>
          <w:shd w:val="clear" w:fill="FFFFFF"/>
        </w:rPr>
        <w:t>社会保障和就业（类）</w:t>
      </w:r>
      <w:r>
        <w:rPr>
          <w:rFonts w:hint="default" w:ascii="仿宋_GB2312" w:eastAsia="仿宋_GB2312" w:cs="仿宋_GB2312"/>
          <w:kern w:val="0"/>
          <w:sz w:val="32"/>
          <w:szCs w:val="32"/>
          <w:shd w:val="clear" w:fill="FFFFFF"/>
        </w:rPr>
        <w:t>支出12.10万元，占9.74%；</w:t>
      </w:r>
      <w:r>
        <w:rPr>
          <w:rStyle w:val="25"/>
          <w:rFonts w:hint="default" w:ascii="仿宋_GB2312" w:eastAsia="仿宋_GB2312" w:cs="仿宋_GB2312"/>
          <w:b/>
          <w:bCs/>
          <w:sz w:val="32"/>
          <w:szCs w:val="32"/>
          <w:shd w:val="clear" w:fill="FFFFFF"/>
        </w:rPr>
        <w:t>卫生健康支出（类）</w:t>
      </w:r>
      <w:r>
        <w:rPr>
          <w:rFonts w:hint="default" w:ascii="仿宋_GB2312" w:eastAsia="仿宋_GB2312" w:cs="仿宋_GB2312"/>
          <w:kern w:val="0"/>
          <w:sz w:val="32"/>
          <w:szCs w:val="32"/>
          <w:shd w:val="clear" w:fill="FFFFFF"/>
        </w:rPr>
        <w:t>4.63万元，占3.73%%；</w:t>
      </w:r>
      <w:r>
        <w:rPr>
          <w:rStyle w:val="25"/>
          <w:rFonts w:hint="default" w:ascii="仿宋_GB2312" w:eastAsia="仿宋_GB2312" w:cs="仿宋_GB2312"/>
          <w:b/>
          <w:bCs/>
          <w:sz w:val="32"/>
          <w:szCs w:val="32"/>
          <w:shd w:val="clear" w:fill="FFFFFF"/>
        </w:rPr>
        <w:t>住房保障支出（类）</w:t>
      </w:r>
      <w:r>
        <w:rPr>
          <w:rFonts w:hint="default" w:ascii="仿宋_GB2312" w:eastAsia="仿宋_GB2312" w:cs="仿宋_GB2312"/>
          <w:kern w:val="0"/>
          <w:sz w:val="32"/>
          <w:szCs w:val="32"/>
          <w:shd w:val="clear" w:fill="FFFFFF"/>
        </w:rPr>
        <w:t>6.87万元，占5.53%；</w:t>
      </w:r>
    </w:p>
    <w:p>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drawing>
          <wp:inline distT="0" distB="0" distL="114300" distR="114300">
            <wp:extent cx="5038725" cy="3362325"/>
            <wp:effectExtent l="0" t="0" r="9525" b="952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link="rId11"/>
                    <a:stretch>
                      <a:fillRect/>
                    </a:stretch>
                  </pic:blipFill>
                  <pic:spPr>
                    <a:xfrm>
                      <a:off x="0" y="0"/>
                      <a:ext cx="5038725" cy="3362325"/>
                    </a:xfrm>
                    <a:prstGeom prst="rect">
                      <a:avLst/>
                    </a:prstGeom>
                    <a:noFill/>
                    <a:ln w="9525">
                      <a:noFill/>
                    </a:ln>
                  </pic:spPr>
                </pic:pic>
              </a:graphicData>
            </a:graphic>
          </wp:inline>
        </w:drawing>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（图6：一般公共预算财政拨款支出决算结构）（饼状图）</w:t>
      </w:r>
    </w:p>
    <w:p>
      <w:pPr>
        <w:pStyle w:val="20"/>
        <w:keepNext w:val="0"/>
        <w:keepLines w:val="0"/>
        <w:widowControl w:val="0"/>
        <w:suppressLineNumbers w:val="0"/>
        <w:autoSpaceDE w:val="0"/>
        <w:autoSpaceDN/>
        <w:spacing w:before="0" w:beforeAutospacing="0" w:line="576" w:lineRule="exact"/>
        <w:ind w:left="0" w:firstLine="480" w:firstLineChars="200"/>
        <w:jc w:val="left"/>
        <w:outlineLvl w:val="2"/>
        <w:rPr>
          <w:rFonts w:hint="default" w:ascii="楷体_GB2312" w:eastAsia="楷体_GB2312" w:cs="楷体_GB2312"/>
          <w:b/>
          <w:bCs/>
          <w:kern w:val="0"/>
          <w:sz w:val="32"/>
          <w:szCs w:val="32"/>
        </w:rPr>
      </w:pPr>
      <w:r>
        <w:rPr>
          <w:rFonts w:hint="eastAsia" w:ascii="宋体" w:hAnsi="宋体" w:eastAsia="宋体" w:cs="宋体"/>
          <w:kern w:val="0"/>
          <w:sz w:val="24"/>
          <w:szCs w:val="24"/>
          <w:shd w:val="clear" w:fill="FFFFFF"/>
        </w:rPr>
        <w:t xml:space="preserve"> </w:t>
      </w:r>
      <w:bookmarkStart w:id="13" w:name="_Toc27250"/>
      <w:bookmarkEnd w:id="13"/>
      <w:r>
        <w:rPr>
          <w:rStyle w:val="25"/>
          <w:rFonts w:hint="default" w:ascii="楷体_GB2312" w:eastAsia="楷体_GB2312" w:cs="楷体_GB2312"/>
          <w:b/>
          <w:bCs/>
          <w:sz w:val="32"/>
          <w:szCs w:val="32"/>
          <w:shd w:val="clear" w:fill="FFFFFF"/>
        </w:rPr>
        <w:t>（三）一般公共预算财政拨款支出决算具体情况</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 xml:space="preserve"> 2020年一般公共预算支出决算数为124.23，完成预算100.00%。其中：</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1.一般公共服务支出决算为100.62万元，完成预算100%，决算数等于预算数。</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2010399-其他政府办公厅（室）及相关机构事务支出决算数为23.95万元；2013650-事业支出决算数为76.67万元。</w:t>
      </w:r>
    </w:p>
    <w:p>
      <w:pPr>
        <w:pStyle w:val="20"/>
        <w:keepNext w:val="0"/>
        <w:keepLines w:val="0"/>
        <w:widowControl w:val="0"/>
        <w:suppressLineNumbers w:val="0"/>
        <w:autoSpaceDE w:val="0"/>
        <w:autoSpaceDN/>
        <w:spacing w:before="0" w:beforeAutospacing="0" w:line="576" w:lineRule="exact"/>
        <w:ind w:left="0" w:right="0" w:rightChars="0" w:firstLine="640" w:firstLineChars="200"/>
        <w:jc w:val="left"/>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2.社会保障和就业支出决算为12.10万元，完成预算100%，决算数等于预算数。</w:t>
      </w:r>
    </w:p>
    <w:p>
      <w:pPr>
        <w:pStyle w:val="20"/>
        <w:keepNext w:val="0"/>
        <w:keepLines w:val="0"/>
        <w:widowControl w:val="0"/>
        <w:suppressLineNumbers w:val="0"/>
        <w:autoSpaceDE w:val="0"/>
        <w:autoSpaceDN/>
        <w:spacing w:before="0" w:beforeAutospacing="0" w:line="576" w:lineRule="exact"/>
        <w:ind w:left="0" w:right="0" w:rightChars="0" w:firstLine="640" w:firstLineChars="200"/>
        <w:jc w:val="left"/>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3.2080505-机关事业单位养老保险缴费支出决算数为8.37万元；2080506-机关事业单位职业年金缴费支出决算数为3.73万元。</w:t>
      </w:r>
    </w:p>
    <w:p>
      <w:pPr>
        <w:pStyle w:val="20"/>
        <w:keepNext w:val="0"/>
        <w:keepLines w:val="0"/>
        <w:widowControl w:val="0"/>
        <w:suppressLineNumbers w:val="0"/>
        <w:autoSpaceDE w:val="0"/>
        <w:autoSpaceDN/>
        <w:spacing w:before="0" w:beforeAutospacing="0" w:line="576" w:lineRule="exact"/>
        <w:ind w:left="0" w:right="0" w:rightChars="0" w:firstLine="640" w:firstLineChars="200"/>
        <w:jc w:val="left"/>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4.卫生健康支出决算为4.64万元，完成预算100%，决算数等于预算数。</w:t>
      </w:r>
    </w:p>
    <w:p>
      <w:pPr>
        <w:pStyle w:val="20"/>
        <w:keepNext w:val="0"/>
        <w:keepLines w:val="0"/>
        <w:widowControl w:val="0"/>
        <w:suppressLineNumbers w:val="0"/>
        <w:autoSpaceDE w:val="0"/>
        <w:autoSpaceDN/>
        <w:spacing w:before="0" w:beforeAutospacing="0" w:line="576" w:lineRule="exact"/>
        <w:ind w:left="0" w:right="0" w:rightChars="0" w:firstLine="640" w:firstLineChars="200"/>
        <w:jc w:val="left"/>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2101102-事业单位医疗支出决算数为3.74万元；2101199-其他行政事业单位医疗支出决算数为0.90万元。</w:t>
      </w:r>
    </w:p>
    <w:p>
      <w:pPr>
        <w:pStyle w:val="20"/>
        <w:keepNext w:val="0"/>
        <w:keepLines w:val="0"/>
        <w:widowControl w:val="0"/>
        <w:suppressLineNumbers w:val="0"/>
        <w:autoSpaceDE w:val="0"/>
        <w:autoSpaceDN/>
        <w:spacing w:before="0" w:beforeAutospacing="0" w:line="576" w:lineRule="exact"/>
        <w:ind w:left="0" w:right="0" w:rightChars="0" w:firstLine="640" w:firstLineChars="200"/>
        <w:jc w:val="left"/>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5.住房保障支出决算为6.87万元，完成预算100%，决算数等于预算数。</w:t>
      </w:r>
    </w:p>
    <w:p>
      <w:pPr>
        <w:pStyle w:val="20"/>
        <w:keepNext w:val="0"/>
        <w:keepLines w:val="0"/>
        <w:widowControl w:val="0"/>
        <w:suppressLineNumbers w:val="0"/>
        <w:autoSpaceDE w:val="0"/>
        <w:autoSpaceDN/>
        <w:spacing w:before="0" w:beforeAutospacing="0" w:line="576" w:lineRule="exact"/>
        <w:ind w:left="0" w:right="0" w:rightChars="0" w:firstLine="640" w:firstLineChars="200"/>
        <w:jc w:val="left"/>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2210201-住房公积金支出决算数为6.87万元。</w:t>
      </w:r>
    </w:p>
    <w:p>
      <w:pPr>
        <w:pStyle w:val="20"/>
        <w:keepNext w:val="0"/>
        <w:keepLines w:val="0"/>
        <w:widowControl w:val="0"/>
        <w:suppressLineNumbers w:val="0"/>
        <w:autoSpaceDE w:val="0"/>
        <w:autoSpaceDN/>
        <w:spacing w:before="0" w:beforeAutospacing="0" w:line="576" w:lineRule="exact"/>
        <w:ind w:left="0" w:right="0" w:rightChars="0" w:firstLine="643" w:firstLineChars="200"/>
        <w:jc w:val="left"/>
        <w:outlineLvl w:val="1"/>
        <w:rPr>
          <w:rFonts w:hint="eastAsia" w:ascii="黑体" w:hAnsi="宋体" w:eastAsia="黑体" w:cs="黑体"/>
          <w:b/>
          <w:bCs/>
          <w:sz w:val="32"/>
          <w:szCs w:val="32"/>
          <w:shd w:val="clear" w:fill="FFFFFF"/>
        </w:rPr>
      </w:pPr>
      <w:bookmarkStart w:id="14" w:name="_Toc4600"/>
      <w:bookmarkEnd w:id="14"/>
      <w:r>
        <w:rPr>
          <w:rStyle w:val="25"/>
          <w:rFonts w:hint="eastAsia" w:ascii="黑体" w:hAnsi="宋体" w:eastAsia="黑体" w:cs="黑体"/>
          <w:b/>
          <w:bCs/>
          <w:sz w:val="32"/>
          <w:szCs w:val="32"/>
          <w:shd w:val="clear" w:fill="FFFFFF"/>
        </w:rPr>
        <w:t>六、一般公共预算财政拨款基本支出决算情况说明</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2020年一般公共预算财政拨款基本支出100.28万元，其中：</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人员经费84.53万元，主要包括：基本工资、津贴补贴、奖金、伙食补助费、绩效工资、机关事业单位基本养老保险缴费、职业年金缴费、 其 他社会保障缴费、其他工资福利支出、离休费、退休费、抚恤金、生活补助、医疗费补助、奖励金、住房公积金、其他对个人和家庭的补助支出等。</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日常公用经费15.77万元，主要包括：办公费、印刷费、咨询费、手续费、水费、电费、邮电费、取暖费、物业管理费、差旅费、因公出国 （境）费用、维修（护）费、租赁费、会议费、培训费、公务接待费、劳务费、委托业务费、工会经费、福利费、公务用车运行维护费、其他交通费、税金及附加费 用、其他商品和服务支出、办公设备购置、专用设备购置、信息网络及软件购置更新、其他资本性支出等。</w:t>
      </w:r>
    </w:p>
    <w:p>
      <w:pPr>
        <w:pStyle w:val="20"/>
        <w:keepNext w:val="0"/>
        <w:keepLines w:val="0"/>
        <w:widowControl w:val="0"/>
        <w:suppressLineNumbers w:val="0"/>
        <w:autoSpaceDE w:val="0"/>
        <w:autoSpaceDN/>
        <w:spacing w:before="0" w:beforeAutospacing="0" w:line="576" w:lineRule="exact"/>
        <w:ind w:left="0" w:firstLine="643" w:firstLineChars="200"/>
        <w:jc w:val="both"/>
        <w:outlineLvl w:val="1"/>
        <w:rPr>
          <w:rFonts w:hint="eastAsia" w:ascii="黑体" w:hAnsi="宋体" w:eastAsia="黑体" w:cs="黑体"/>
          <w:kern w:val="0"/>
          <w:sz w:val="32"/>
          <w:szCs w:val="32"/>
        </w:rPr>
      </w:pPr>
      <w:bookmarkStart w:id="15" w:name="_Toc11504"/>
      <w:bookmarkEnd w:id="15"/>
      <w:r>
        <w:rPr>
          <w:rStyle w:val="25"/>
          <w:rFonts w:hint="eastAsia" w:ascii="黑体" w:hAnsi="宋体" w:eastAsia="黑体" w:cs="黑体"/>
          <w:b/>
          <w:bCs/>
          <w:sz w:val="32"/>
          <w:szCs w:val="32"/>
          <w:shd w:val="clear" w:fill="FFFFFF"/>
        </w:rPr>
        <w:t>七、“三公”经费财政拨款支出决算情况说明</w:t>
      </w:r>
    </w:p>
    <w:p>
      <w:pPr>
        <w:pStyle w:val="20"/>
        <w:keepNext w:val="0"/>
        <w:keepLines w:val="0"/>
        <w:widowControl w:val="0"/>
        <w:suppressLineNumbers w:val="0"/>
        <w:autoSpaceDE w:val="0"/>
        <w:autoSpaceDN/>
        <w:spacing w:before="0" w:beforeAutospacing="0" w:line="576" w:lineRule="exact"/>
        <w:ind w:left="0" w:firstLine="643" w:firstLineChars="200"/>
        <w:jc w:val="both"/>
        <w:outlineLvl w:val="2"/>
        <w:rPr>
          <w:rFonts w:hint="default" w:ascii="仿宋_GB2312" w:eastAsia="仿宋_GB2312" w:cs="仿宋_GB2312"/>
          <w:kern w:val="0"/>
          <w:sz w:val="32"/>
          <w:szCs w:val="32"/>
        </w:rPr>
      </w:pPr>
      <w:bookmarkStart w:id="16" w:name="_Toc12958"/>
      <w:bookmarkEnd w:id="16"/>
      <w:r>
        <w:rPr>
          <w:rStyle w:val="25"/>
          <w:rFonts w:hint="default" w:ascii="仿宋_GB2312" w:eastAsia="仿宋_GB2312" w:cs="仿宋_GB2312"/>
          <w:b/>
          <w:bCs/>
          <w:sz w:val="32"/>
          <w:szCs w:val="32"/>
          <w:shd w:val="clear" w:fill="FFFFFF"/>
        </w:rPr>
        <w:t>（一）“三公”经费财政拨款支出决算总体情况说明</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2020年“三公”经费财政拨款支出决算为0.06万元，完成预算100.00%，决算数与预算数持平。</w:t>
      </w:r>
    </w:p>
    <w:p>
      <w:pPr>
        <w:pStyle w:val="20"/>
        <w:keepNext w:val="0"/>
        <w:keepLines w:val="0"/>
        <w:widowControl w:val="0"/>
        <w:suppressLineNumbers w:val="0"/>
        <w:autoSpaceDE w:val="0"/>
        <w:autoSpaceDN/>
        <w:spacing w:before="0" w:beforeAutospacing="0" w:line="576" w:lineRule="exact"/>
        <w:ind w:left="0" w:firstLine="643" w:firstLineChars="200"/>
        <w:jc w:val="both"/>
        <w:outlineLvl w:val="2"/>
        <w:rPr>
          <w:rFonts w:hint="default" w:ascii="仿宋_GB2312" w:eastAsia="仿宋_GB2312" w:cs="仿宋_GB2312"/>
          <w:kern w:val="0"/>
          <w:sz w:val="32"/>
          <w:szCs w:val="32"/>
        </w:rPr>
      </w:pPr>
      <w:bookmarkStart w:id="17" w:name="_Toc15429"/>
      <w:bookmarkEnd w:id="17"/>
      <w:r>
        <w:rPr>
          <w:rStyle w:val="25"/>
          <w:rFonts w:hint="default" w:ascii="仿宋_GB2312" w:eastAsia="仿宋_GB2312" w:cs="仿宋_GB2312"/>
          <w:b/>
          <w:bCs/>
          <w:sz w:val="32"/>
          <w:szCs w:val="32"/>
          <w:shd w:val="clear" w:fill="FFFFFF"/>
        </w:rPr>
        <w:t>（二）“三公”经费财政拨款支出决算具体情况说明</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2020年“三公”经费财政拨款支出决算中，因公出国（境）费支出决算0.00万元，占 0.00%；公务用车购置及运行维护费支出决算0.00万元，占 0.00%；公务接待费支出决算0.06万元，占 100%。具体情况如下：</w:t>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drawing>
          <wp:inline distT="0" distB="0" distL="114300" distR="114300">
            <wp:extent cx="4943475" cy="2590800"/>
            <wp:effectExtent l="0" t="0" r="9525" b="0"/>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link="rId12"/>
                    <a:stretch>
                      <a:fillRect/>
                    </a:stretch>
                  </pic:blipFill>
                  <pic:spPr>
                    <a:xfrm>
                      <a:off x="0" y="0"/>
                      <a:ext cx="4943475" cy="2590800"/>
                    </a:xfrm>
                    <a:prstGeom prst="rect">
                      <a:avLst/>
                    </a:prstGeom>
                    <a:noFill/>
                    <a:ln w="9525">
                      <a:noFill/>
                    </a:ln>
                  </pic:spPr>
                </pic:pic>
              </a:graphicData>
            </a:graphic>
          </wp:inline>
        </w:drawing>
      </w:r>
    </w:p>
    <w:p>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（图7：“三公”经费财政拨款支出结构）（饼状图）</w:t>
      </w:r>
    </w:p>
    <w:p>
      <w:pPr>
        <w:pStyle w:val="20"/>
        <w:keepNext w:val="0"/>
        <w:keepLines w:val="0"/>
        <w:widowControl w:val="0"/>
        <w:suppressLineNumbers w:val="0"/>
        <w:autoSpaceDE w:val="0"/>
        <w:autoSpaceDN/>
        <w:spacing w:before="0" w:beforeAutospacing="0" w:line="576" w:lineRule="exact"/>
        <w:ind w:left="0" w:firstLine="643" w:firstLineChars="200"/>
        <w:jc w:val="both"/>
        <w:rPr>
          <w:rFonts w:hint="default" w:ascii="仿宋_GB2312" w:eastAsia="仿宋_GB2312" w:cs="仿宋_GB2312"/>
          <w:kern w:val="0"/>
          <w:sz w:val="32"/>
          <w:szCs w:val="32"/>
        </w:rPr>
      </w:pPr>
      <w:r>
        <w:rPr>
          <w:rStyle w:val="25"/>
          <w:rFonts w:hint="default" w:ascii="仿宋_GB2312" w:eastAsia="仿宋_GB2312" w:cs="仿宋_GB2312"/>
          <w:b/>
          <w:bCs/>
          <w:sz w:val="32"/>
          <w:szCs w:val="32"/>
          <w:shd w:val="clear" w:fill="FFFFFF"/>
        </w:rPr>
        <w:t>1.因公出国（境）经费支出</w:t>
      </w:r>
      <w:r>
        <w:rPr>
          <w:rFonts w:hint="default" w:ascii="仿宋_GB2312" w:eastAsia="仿宋_GB2312" w:cs="仿宋_GB2312"/>
          <w:kern w:val="0"/>
          <w:sz w:val="32"/>
          <w:szCs w:val="32"/>
          <w:shd w:val="clear" w:fill="FFFFFF"/>
        </w:rPr>
        <w:t>0.00</w:t>
      </w:r>
      <w:r>
        <w:rPr>
          <w:rStyle w:val="25"/>
          <w:rFonts w:hint="default" w:ascii="仿宋_GB2312" w:eastAsia="仿宋_GB2312" w:cs="仿宋_GB2312"/>
          <w:b/>
          <w:bCs/>
          <w:sz w:val="32"/>
          <w:szCs w:val="32"/>
          <w:shd w:val="clear" w:fill="FFFFFF"/>
        </w:rPr>
        <w:t>万元，完成预算</w:t>
      </w:r>
      <w:r>
        <w:rPr>
          <w:rFonts w:hint="default" w:ascii="仿宋_GB2312" w:eastAsia="仿宋_GB2312" w:cs="仿宋_GB2312"/>
          <w:kern w:val="0"/>
          <w:sz w:val="32"/>
          <w:szCs w:val="32"/>
          <w:shd w:val="clear" w:fill="FFFFFF"/>
        </w:rPr>
        <w:t>0.00</w:t>
      </w:r>
      <w:r>
        <w:rPr>
          <w:rStyle w:val="25"/>
          <w:rFonts w:hint="default" w:ascii="仿宋_GB2312" w:eastAsia="仿宋_GB2312" w:cs="仿宋_GB2312"/>
          <w:b/>
          <w:bCs/>
          <w:sz w:val="32"/>
          <w:szCs w:val="32"/>
          <w:shd w:val="clear" w:fill="FFFFFF"/>
        </w:rPr>
        <w:t>%。</w:t>
      </w:r>
      <w:r>
        <w:rPr>
          <w:rFonts w:hint="default" w:ascii="仿宋_GB2312" w:eastAsia="仿宋_GB2312" w:cs="仿宋_GB2312"/>
          <w:kern w:val="0"/>
          <w:sz w:val="32"/>
          <w:szCs w:val="32"/>
          <w:shd w:val="clear" w:fill="FFFFFF"/>
        </w:rPr>
        <w:t>全年安排因公出国（境）团组0个，出国（境）0人。因公出国（境）支出决算比2019年增加 0.00万元。</w:t>
      </w:r>
    </w:p>
    <w:p>
      <w:pPr>
        <w:pStyle w:val="20"/>
        <w:keepNext w:val="0"/>
        <w:keepLines w:val="0"/>
        <w:widowControl w:val="0"/>
        <w:suppressLineNumbers w:val="0"/>
        <w:autoSpaceDE w:val="0"/>
        <w:autoSpaceDN/>
        <w:spacing w:before="0" w:beforeAutospacing="0" w:line="576" w:lineRule="exact"/>
        <w:ind w:left="0" w:firstLine="643" w:firstLineChars="200"/>
        <w:jc w:val="both"/>
        <w:rPr>
          <w:rFonts w:hint="default" w:ascii="仿宋_GB2312" w:eastAsia="仿宋_GB2312" w:cs="仿宋_GB2312"/>
          <w:kern w:val="0"/>
          <w:sz w:val="32"/>
          <w:szCs w:val="32"/>
        </w:rPr>
      </w:pPr>
      <w:r>
        <w:rPr>
          <w:rStyle w:val="25"/>
          <w:rFonts w:hint="default" w:ascii="仿宋_GB2312" w:eastAsia="仿宋_GB2312" w:cs="仿宋_GB2312"/>
          <w:b/>
          <w:bCs/>
          <w:sz w:val="32"/>
          <w:szCs w:val="32"/>
          <w:shd w:val="clear" w:fill="FFFFFF"/>
        </w:rPr>
        <w:t>2.公务用车购置及运行维护费支出</w:t>
      </w:r>
      <w:r>
        <w:rPr>
          <w:rFonts w:hint="default" w:ascii="仿宋_GB2312" w:eastAsia="仿宋_GB2312" w:cs="仿宋_GB2312"/>
          <w:kern w:val="0"/>
          <w:sz w:val="32"/>
          <w:szCs w:val="32"/>
          <w:shd w:val="clear" w:fill="FFFFFF"/>
        </w:rPr>
        <w:t>0.00</w:t>
      </w:r>
      <w:r>
        <w:rPr>
          <w:rStyle w:val="25"/>
          <w:rFonts w:hint="default" w:ascii="仿宋_GB2312" w:eastAsia="仿宋_GB2312" w:cs="仿宋_GB2312"/>
          <w:b/>
          <w:bCs/>
          <w:sz w:val="32"/>
          <w:szCs w:val="32"/>
          <w:shd w:val="clear" w:fill="FFFFFF"/>
        </w:rPr>
        <w:t>万元,完成预算</w:t>
      </w:r>
      <w:r>
        <w:rPr>
          <w:rFonts w:hint="default" w:ascii="仿宋_GB2312" w:eastAsia="仿宋_GB2312" w:cs="仿宋_GB2312"/>
          <w:kern w:val="0"/>
          <w:sz w:val="32"/>
          <w:szCs w:val="32"/>
          <w:shd w:val="clear" w:fill="FFFFFF"/>
        </w:rPr>
        <w:t>0.00</w:t>
      </w:r>
      <w:r>
        <w:rPr>
          <w:rStyle w:val="25"/>
          <w:rFonts w:hint="default" w:ascii="仿宋_GB2312" w:eastAsia="仿宋_GB2312" w:cs="仿宋_GB2312"/>
          <w:b/>
          <w:bCs/>
          <w:sz w:val="32"/>
          <w:szCs w:val="32"/>
          <w:shd w:val="clear" w:fill="FFFFFF"/>
        </w:rPr>
        <w:t>%。</w:t>
      </w:r>
      <w:r>
        <w:rPr>
          <w:rFonts w:hint="default" w:ascii="仿宋_GB2312" w:eastAsia="仿宋_GB2312" w:cs="仿宋_GB2312"/>
          <w:kern w:val="0"/>
          <w:sz w:val="32"/>
          <w:szCs w:val="32"/>
          <w:shd w:val="clear" w:fill="FFFFFF"/>
        </w:rPr>
        <w:t>公务用车购置及运行维护费支出决算比2019年增加0.00万元，增长-100.00%。主要原因是…</w:t>
      </w:r>
      <w:r>
        <w:rPr>
          <w:rStyle w:val="25"/>
          <w:rFonts w:hint="default" w:ascii="仿宋_GB2312" w:eastAsia="仿宋_GB2312" w:cs="仿宋_GB2312"/>
          <w:b/>
          <w:bCs/>
          <w:sz w:val="32"/>
          <w:szCs w:val="32"/>
          <w:shd w:val="clear" w:fill="FFFFFF"/>
        </w:rPr>
        <w:t>，</w:t>
      </w:r>
      <w:r>
        <w:rPr>
          <w:rFonts w:hint="default" w:ascii="仿宋_GB2312" w:eastAsia="仿宋_GB2312" w:cs="仿宋_GB2312"/>
          <w:kern w:val="0"/>
          <w:sz w:val="32"/>
          <w:szCs w:val="32"/>
          <w:shd w:val="clear" w:fill="FFFFFF"/>
        </w:rPr>
        <w:t>其中：</w:t>
      </w:r>
      <w:r>
        <w:rPr>
          <w:rStyle w:val="25"/>
          <w:rFonts w:hint="default" w:ascii="仿宋_GB2312" w:eastAsia="仿宋_GB2312" w:cs="仿宋_GB2312"/>
          <w:b/>
          <w:bCs/>
          <w:sz w:val="32"/>
          <w:szCs w:val="32"/>
          <w:shd w:val="clear" w:fill="FFFFFF"/>
        </w:rPr>
        <w:t>公务用车购置支出</w:t>
      </w:r>
      <w:r>
        <w:rPr>
          <w:rFonts w:hint="default" w:ascii="仿宋_GB2312" w:eastAsia="仿宋_GB2312" w:cs="仿宋_GB2312"/>
          <w:kern w:val="0"/>
          <w:sz w:val="32"/>
          <w:szCs w:val="32"/>
          <w:shd w:val="clear" w:fill="FFFFFF"/>
        </w:rPr>
        <w:t>0.00</w:t>
      </w:r>
      <w:r>
        <w:rPr>
          <w:rStyle w:val="25"/>
          <w:rFonts w:hint="default" w:ascii="仿宋_GB2312" w:eastAsia="仿宋_GB2312" w:cs="仿宋_GB2312"/>
          <w:b/>
          <w:bCs/>
          <w:sz w:val="32"/>
          <w:szCs w:val="32"/>
          <w:shd w:val="clear" w:fill="FFFFFF"/>
        </w:rPr>
        <w:t>万元。</w:t>
      </w:r>
      <w:r>
        <w:rPr>
          <w:rFonts w:hint="default" w:ascii="仿宋_GB2312" w:eastAsia="仿宋_GB2312" w:cs="仿宋_GB2312"/>
          <w:kern w:val="0"/>
          <w:sz w:val="32"/>
          <w:szCs w:val="32"/>
          <w:shd w:val="clear" w:fill="FFFFFF"/>
        </w:rPr>
        <w:t>全年按规定更新购置公务用车0辆，金额0.00万元。截至2020年12月底，单位共有公务用车 0辆，其中：主要领导干部用车0辆、机要通信用车0辆、应 急保障用车0辆、执法执勤用车0辆、特种专业技术用车0 辆、离退休干部用车0辆、其他用车0辆。</w:t>
      </w:r>
    </w:p>
    <w:p>
      <w:pPr>
        <w:pStyle w:val="20"/>
        <w:keepNext w:val="0"/>
        <w:keepLines w:val="0"/>
        <w:widowControl w:val="0"/>
        <w:suppressLineNumbers w:val="0"/>
        <w:autoSpaceDE w:val="0"/>
        <w:autoSpaceDN/>
        <w:spacing w:before="0" w:beforeAutospacing="0" w:line="576" w:lineRule="exact"/>
        <w:ind w:left="0" w:firstLine="643" w:firstLineChars="200"/>
        <w:jc w:val="both"/>
        <w:rPr>
          <w:rFonts w:hint="default" w:ascii="仿宋_GB2312" w:eastAsia="仿宋_GB2312" w:cs="仿宋_GB2312"/>
          <w:b/>
          <w:bCs/>
          <w:kern w:val="0"/>
          <w:sz w:val="32"/>
          <w:szCs w:val="32"/>
          <w:shd w:val="clear" w:fill="FFFFFF"/>
        </w:rPr>
      </w:pPr>
      <w:r>
        <w:rPr>
          <w:rStyle w:val="25"/>
          <w:rFonts w:hint="default" w:ascii="仿宋_GB2312" w:eastAsia="仿宋_GB2312" w:cs="仿宋_GB2312"/>
          <w:b/>
          <w:bCs/>
          <w:sz w:val="32"/>
          <w:szCs w:val="32"/>
          <w:shd w:val="clear" w:fill="FFFFFF"/>
        </w:rPr>
        <w:t>3.公务用车运行维护费支出</w:t>
      </w:r>
      <w:r>
        <w:rPr>
          <w:rFonts w:hint="default" w:ascii="仿宋_GB2312" w:eastAsia="仿宋_GB2312" w:cs="仿宋_GB2312"/>
          <w:kern w:val="0"/>
          <w:sz w:val="32"/>
          <w:szCs w:val="32"/>
          <w:shd w:val="clear" w:fill="FFFFFF"/>
        </w:rPr>
        <w:t>0.00</w:t>
      </w:r>
      <w:r>
        <w:rPr>
          <w:rStyle w:val="25"/>
          <w:rFonts w:hint="default" w:ascii="仿宋_GB2312" w:eastAsia="仿宋_GB2312" w:cs="仿宋_GB2312"/>
          <w:b/>
          <w:bCs/>
          <w:sz w:val="32"/>
          <w:szCs w:val="32"/>
          <w:shd w:val="clear" w:fill="FFFFFF"/>
        </w:rPr>
        <w:t>万元。</w:t>
      </w:r>
    </w:p>
    <w:p>
      <w:pPr>
        <w:pStyle w:val="20"/>
        <w:keepNext w:val="0"/>
        <w:keepLines w:val="0"/>
        <w:widowControl w:val="0"/>
        <w:suppressLineNumbers w:val="0"/>
        <w:autoSpaceDE w:val="0"/>
        <w:autoSpaceDN/>
        <w:spacing w:before="0" w:beforeAutospacing="0" w:line="576" w:lineRule="exact"/>
        <w:ind w:left="0" w:firstLine="643" w:firstLineChars="200"/>
        <w:jc w:val="both"/>
        <w:rPr>
          <w:rFonts w:hint="default" w:ascii="仿宋_GB2312" w:eastAsia="仿宋_GB2312" w:cs="仿宋_GB2312"/>
          <w:kern w:val="0"/>
          <w:sz w:val="32"/>
          <w:szCs w:val="32"/>
        </w:rPr>
      </w:pPr>
      <w:r>
        <w:rPr>
          <w:rStyle w:val="25"/>
          <w:rFonts w:hint="default" w:ascii="仿宋_GB2312" w:eastAsia="仿宋_GB2312" w:cs="仿宋_GB2312"/>
          <w:b/>
          <w:bCs/>
          <w:sz w:val="32"/>
          <w:szCs w:val="32"/>
          <w:shd w:val="clear" w:fill="FFFFFF"/>
        </w:rPr>
        <w:t>4.公务接待费支出</w:t>
      </w:r>
      <w:r>
        <w:rPr>
          <w:rFonts w:hint="default" w:ascii="仿宋_GB2312" w:eastAsia="仿宋_GB2312" w:cs="仿宋_GB2312"/>
          <w:kern w:val="0"/>
          <w:sz w:val="32"/>
          <w:szCs w:val="32"/>
          <w:shd w:val="clear" w:fill="FFFFFF"/>
        </w:rPr>
        <w:t>0.06</w:t>
      </w:r>
      <w:r>
        <w:rPr>
          <w:rStyle w:val="25"/>
          <w:rFonts w:hint="default" w:ascii="仿宋_GB2312" w:eastAsia="仿宋_GB2312" w:cs="仿宋_GB2312"/>
          <w:b/>
          <w:bCs/>
          <w:sz w:val="32"/>
          <w:szCs w:val="32"/>
          <w:shd w:val="clear" w:fill="FFFFFF"/>
        </w:rPr>
        <w:t>万元，完成预算</w:t>
      </w:r>
      <w:r>
        <w:rPr>
          <w:rFonts w:hint="default" w:ascii="仿宋_GB2312" w:eastAsia="仿宋_GB2312" w:cs="仿宋_GB2312"/>
          <w:kern w:val="0"/>
          <w:sz w:val="32"/>
          <w:szCs w:val="32"/>
          <w:shd w:val="clear" w:fill="FFFFFF"/>
        </w:rPr>
        <w:t>100</w:t>
      </w:r>
      <w:r>
        <w:rPr>
          <w:rStyle w:val="25"/>
          <w:rFonts w:hint="default" w:ascii="仿宋_GB2312" w:eastAsia="仿宋_GB2312" w:cs="仿宋_GB2312"/>
          <w:b/>
          <w:bCs/>
          <w:sz w:val="32"/>
          <w:szCs w:val="32"/>
          <w:shd w:val="clear" w:fill="FFFFFF"/>
        </w:rPr>
        <w:t>%。</w:t>
      </w:r>
      <w:r>
        <w:rPr>
          <w:rFonts w:hint="default" w:ascii="仿宋_GB2312" w:eastAsia="仿宋_GB2312" w:cs="仿宋_GB2312"/>
          <w:kern w:val="0"/>
          <w:sz w:val="32"/>
          <w:szCs w:val="32"/>
          <w:shd w:val="clear" w:fill="FFFFFF"/>
        </w:rPr>
        <w:t>公务接待费支出决算比2019年增加0.00万元。其中：</w:t>
      </w:r>
      <w:r>
        <w:rPr>
          <w:rStyle w:val="25"/>
          <w:rFonts w:hint="default" w:ascii="仿宋_GB2312" w:eastAsia="仿宋_GB2312" w:cs="仿宋_GB2312"/>
          <w:b/>
          <w:bCs/>
          <w:sz w:val="32"/>
          <w:szCs w:val="32"/>
          <w:shd w:val="clear" w:fill="FFFFFF"/>
        </w:rPr>
        <w:t>国内公务接待支出</w:t>
      </w:r>
      <w:r>
        <w:rPr>
          <w:rFonts w:hint="default" w:ascii="仿宋_GB2312" w:eastAsia="仿宋_GB2312" w:cs="仿宋_GB2312"/>
          <w:kern w:val="0"/>
          <w:sz w:val="32"/>
          <w:szCs w:val="32"/>
          <w:shd w:val="clear" w:fill="FFFFFF"/>
        </w:rPr>
        <w:t>0.06万元，主要用于执行公务、开展业务活动开支的交通费、住宿费、用餐费等。国内公务接待1批 次，3人次（不包括陪同人员），共计支出0.06万元。</w:t>
      </w:r>
      <w:r>
        <w:rPr>
          <w:rStyle w:val="25"/>
          <w:rFonts w:hint="default" w:ascii="仿宋_GB2312" w:eastAsia="仿宋_GB2312" w:cs="仿宋_GB2312"/>
          <w:b/>
          <w:bCs/>
          <w:sz w:val="32"/>
          <w:szCs w:val="32"/>
          <w:shd w:val="clear" w:fill="FFFFFF"/>
        </w:rPr>
        <w:t>外事接待支出</w:t>
      </w:r>
      <w:r>
        <w:rPr>
          <w:rFonts w:hint="default" w:ascii="仿宋_GB2312" w:eastAsia="仿宋_GB2312" w:cs="仿宋_GB2312"/>
          <w:kern w:val="0"/>
          <w:sz w:val="32"/>
          <w:szCs w:val="32"/>
          <w:shd w:val="clear" w:fill="FFFFFF"/>
        </w:rPr>
        <w:t>0.00 万元，外事接待0批次，0人，共计支出0.00 万元。</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1"/>
        <w:rPr>
          <w:rFonts w:hint="eastAsia" w:ascii="黑体" w:hAnsi="宋体" w:eastAsia="黑体" w:cs="黑体"/>
          <w:kern w:val="0"/>
          <w:sz w:val="32"/>
          <w:szCs w:val="32"/>
        </w:rPr>
      </w:pPr>
      <w:bookmarkStart w:id="18" w:name="_Toc13293"/>
      <w:bookmarkEnd w:id="18"/>
      <w:r>
        <w:rPr>
          <w:rStyle w:val="25"/>
          <w:rFonts w:hint="eastAsia" w:ascii="黑体" w:hAnsi="宋体" w:eastAsia="黑体" w:cs="黑体"/>
          <w:b/>
          <w:bCs/>
          <w:sz w:val="32"/>
          <w:szCs w:val="32"/>
          <w:shd w:val="clear" w:fill="FFFFFF"/>
        </w:rPr>
        <w:t>八、政府性基金预算支出决算情况说明</w:t>
      </w:r>
    </w:p>
    <w:p>
      <w:pPr>
        <w:pStyle w:val="20"/>
        <w:keepNext w:val="0"/>
        <w:keepLines w:val="0"/>
        <w:widowControl w:val="0"/>
        <w:suppressLineNumbers w:val="0"/>
        <w:autoSpaceDE w:val="0"/>
        <w:autoSpaceDN/>
        <w:spacing w:before="0" w:beforeAutospacing="0" w:line="576" w:lineRule="exact"/>
        <w:ind w:left="0" w:firstLine="640" w:firstLineChars="200"/>
        <w:jc w:val="left"/>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2020年政府性基金预算拨款支出0.00万元。</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1"/>
        <w:rPr>
          <w:rFonts w:hint="eastAsia" w:ascii="黑体" w:hAnsi="宋体" w:eastAsia="黑体" w:cs="黑体"/>
          <w:b/>
          <w:bCs/>
          <w:sz w:val="32"/>
          <w:szCs w:val="32"/>
          <w:shd w:val="clear" w:fill="FFFFFF"/>
        </w:rPr>
      </w:pPr>
      <w:bookmarkStart w:id="19" w:name="_Toc8466"/>
      <w:bookmarkEnd w:id="19"/>
      <w:r>
        <w:rPr>
          <w:rStyle w:val="25"/>
          <w:rFonts w:hint="eastAsia" w:ascii="黑体" w:hAnsi="宋体" w:eastAsia="黑体" w:cs="黑体"/>
          <w:b/>
          <w:bCs/>
          <w:sz w:val="32"/>
          <w:szCs w:val="32"/>
          <w:shd w:val="clear" w:fill="FFFFFF"/>
        </w:rPr>
        <w:t>九、国有资本经营预算支出决算情况说明</w:t>
      </w:r>
    </w:p>
    <w:p>
      <w:pPr>
        <w:pStyle w:val="20"/>
        <w:keepNext w:val="0"/>
        <w:keepLines w:val="0"/>
        <w:widowControl w:val="0"/>
        <w:suppressLineNumbers w:val="0"/>
        <w:autoSpaceDE w:val="0"/>
        <w:autoSpaceDN/>
        <w:spacing w:before="0" w:beforeAutospacing="0" w:line="576" w:lineRule="exact"/>
        <w:ind w:left="0" w:firstLine="640" w:firstLineChars="200"/>
        <w:jc w:val="left"/>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2020年国有资本经营预算拨款支出0.00万元。</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1"/>
        <w:rPr>
          <w:rFonts w:hint="eastAsia" w:ascii="黑体" w:hAnsi="宋体" w:eastAsia="黑体" w:cs="黑体"/>
          <w:b/>
          <w:bCs/>
          <w:sz w:val="32"/>
          <w:szCs w:val="32"/>
          <w:shd w:val="clear" w:fill="FFFFFF"/>
        </w:rPr>
      </w:pPr>
      <w:bookmarkStart w:id="20" w:name="_Toc26492"/>
      <w:bookmarkEnd w:id="20"/>
      <w:r>
        <w:rPr>
          <w:rStyle w:val="25"/>
          <w:rFonts w:hint="eastAsia" w:ascii="黑体" w:hAnsi="宋体" w:eastAsia="黑体" w:cs="黑体"/>
          <w:b/>
          <w:bCs/>
          <w:sz w:val="32"/>
          <w:szCs w:val="32"/>
          <w:shd w:val="clear" w:fill="FFFFFF"/>
        </w:rPr>
        <w:t>十、其他重要事项的情况说明</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2"/>
        <w:rPr>
          <w:rFonts w:hint="default" w:ascii="楷体_GB2312" w:eastAsia="楷体_GB2312" w:cs="楷体_GB2312"/>
          <w:kern w:val="0"/>
          <w:sz w:val="32"/>
          <w:szCs w:val="32"/>
        </w:rPr>
      </w:pPr>
      <w:bookmarkStart w:id="21" w:name="_Toc3104"/>
      <w:bookmarkEnd w:id="21"/>
      <w:r>
        <w:rPr>
          <w:rStyle w:val="25"/>
          <w:rFonts w:hint="default" w:ascii="楷体_GB2312" w:eastAsia="楷体_GB2312" w:cs="楷体_GB2312"/>
          <w:b/>
          <w:bCs/>
          <w:sz w:val="32"/>
          <w:szCs w:val="32"/>
          <w:shd w:val="clear" w:fill="FFFFFF"/>
        </w:rPr>
        <w:t>（一）机关运行经费支出情况</w:t>
      </w:r>
    </w:p>
    <w:p>
      <w:pPr>
        <w:pStyle w:val="20"/>
        <w:keepNext w:val="0"/>
        <w:keepLines w:val="0"/>
        <w:widowControl w:val="0"/>
        <w:suppressLineNumbers w:val="0"/>
        <w:autoSpaceDE w:val="0"/>
        <w:autoSpaceDN/>
        <w:spacing w:before="0" w:beforeAutospacing="0" w:line="576" w:lineRule="exact"/>
        <w:ind w:left="0" w:firstLine="640" w:firstLineChars="200"/>
        <w:jc w:val="left"/>
        <w:rPr>
          <w:rFonts w:hint="default" w:ascii="仿宋_GB2312" w:eastAsia="仿宋_GB2312" w:cs="仿宋_GB2312"/>
          <w:b/>
          <w:bCs/>
          <w:kern w:val="0"/>
          <w:sz w:val="32"/>
          <w:szCs w:val="32"/>
          <w:shd w:val="clear" w:fill="FFFFFF"/>
        </w:rPr>
      </w:pPr>
      <w:r>
        <w:rPr>
          <w:rFonts w:hint="default" w:ascii="仿宋_GB2312" w:eastAsia="仿宋_GB2312" w:cs="仿宋_GB2312"/>
          <w:kern w:val="0"/>
          <w:sz w:val="32"/>
          <w:szCs w:val="32"/>
          <w:shd w:val="clear" w:fill="FFFFFF"/>
        </w:rPr>
        <w:t xml:space="preserve"> 2020年，中共阿坝州红原县委、县人民政府联动指挥中心办公室机关运行经费支出0.00万元，比2019年增加 0.00万元。</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2"/>
        <w:rPr>
          <w:rFonts w:hint="default" w:ascii="楷体_GB2312" w:eastAsia="楷体_GB2312" w:cs="楷体_GB2312"/>
          <w:b/>
          <w:bCs/>
          <w:sz w:val="32"/>
          <w:szCs w:val="32"/>
          <w:shd w:val="clear" w:fill="FFFFFF"/>
        </w:rPr>
      </w:pPr>
      <w:bookmarkStart w:id="22" w:name="_Toc4667"/>
      <w:bookmarkEnd w:id="22"/>
      <w:r>
        <w:rPr>
          <w:rStyle w:val="25"/>
          <w:rFonts w:hint="default" w:ascii="楷体_GB2312" w:eastAsia="楷体_GB2312" w:cs="楷体_GB2312"/>
          <w:b/>
          <w:bCs/>
          <w:sz w:val="32"/>
          <w:szCs w:val="32"/>
          <w:shd w:val="clear" w:fill="FFFFFF"/>
        </w:rPr>
        <w:t>（二）政府采购支出情况</w:t>
      </w:r>
    </w:p>
    <w:p>
      <w:pPr>
        <w:pStyle w:val="20"/>
        <w:keepNext w:val="0"/>
        <w:keepLines w:val="0"/>
        <w:widowControl w:val="0"/>
        <w:suppressLineNumbers w:val="0"/>
        <w:autoSpaceDE w:val="0"/>
        <w:autoSpaceDN/>
        <w:spacing w:before="0" w:beforeAutospacing="0" w:line="576" w:lineRule="exact"/>
        <w:ind w:left="0" w:firstLine="640" w:firstLineChars="200"/>
        <w:jc w:val="left"/>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 xml:space="preserve"> 2020年，中共阿坝州红原县委、县人民政府联动指挥中心办公室政府采购支出总额0.00万元，其中：政府采购货物支出 0.00万元、政府采购工程支出0.00万元、政府采购服务支出0.00万元。授予中小企 业合同金额0.00万元，占政府采购支出总额的0.00%，其中：授予小微企业合同金额0.00万元，占政府采购支出总额的0.00%。</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2"/>
        <w:rPr>
          <w:rFonts w:hint="default" w:ascii="仿宋_GB2312" w:eastAsia="仿宋_GB2312" w:cs="仿宋_GB2312"/>
          <w:kern w:val="0"/>
          <w:sz w:val="32"/>
          <w:szCs w:val="32"/>
        </w:rPr>
      </w:pPr>
      <w:bookmarkStart w:id="23" w:name="_Toc20679"/>
      <w:bookmarkEnd w:id="23"/>
      <w:r>
        <w:rPr>
          <w:rStyle w:val="25"/>
          <w:rFonts w:hint="default" w:ascii="仿宋_GB2312" w:eastAsia="仿宋_GB2312" w:cs="仿宋_GB2312"/>
          <w:b/>
          <w:bCs/>
          <w:sz w:val="32"/>
          <w:szCs w:val="32"/>
          <w:shd w:val="clear" w:fill="FFFFFF"/>
        </w:rPr>
        <w:t>（三）国有资产占有使用情况</w:t>
      </w:r>
    </w:p>
    <w:p>
      <w:pPr>
        <w:pStyle w:val="20"/>
        <w:keepNext w:val="0"/>
        <w:keepLines w:val="0"/>
        <w:widowControl w:val="0"/>
        <w:suppressLineNumbers w:val="0"/>
        <w:autoSpaceDE w:val="0"/>
        <w:autoSpaceDN/>
        <w:spacing w:before="0" w:beforeAutospacing="0" w:line="576" w:lineRule="exact"/>
        <w:ind w:left="0" w:firstLine="640" w:firstLineChars="200"/>
        <w:jc w:val="left"/>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截 至2020年12月31日，中共阿坝州红原县委、县人民政府联动指挥中心办公室共有车辆0辆，其中：主要领导干部用车0 辆、机要通信用车0辆、应急保障用车0辆、执法执勤用车0 辆、特种专业技术用车0辆、离退休干部用车0辆、其他用车 0辆。单价50万元以上通用设备0台（套），单价100万元以上专用设备0台（套）。</w:t>
      </w:r>
    </w:p>
    <w:p>
      <w:pPr>
        <w:pStyle w:val="20"/>
        <w:keepNext w:val="0"/>
        <w:keepLines w:val="0"/>
        <w:widowControl w:val="0"/>
        <w:suppressLineNumbers w:val="0"/>
        <w:autoSpaceDE w:val="0"/>
        <w:autoSpaceDN/>
        <w:spacing w:before="0" w:beforeAutospacing="0" w:line="576" w:lineRule="exact"/>
        <w:ind w:left="0" w:firstLine="643" w:firstLineChars="200"/>
        <w:jc w:val="left"/>
        <w:outlineLvl w:val="2"/>
        <w:rPr>
          <w:rFonts w:hint="default" w:ascii="楷体_GB2312" w:eastAsia="楷体_GB2312" w:cs="楷体_GB2312"/>
          <w:b/>
          <w:bCs/>
          <w:sz w:val="32"/>
          <w:szCs w:val="32"/>
          <w:shd w:val="clear" w:fill="FFFFFF"/>
        </w:rPr>
      </w:pPr>
      <w:bookmarkStart w:id="24" w:name="_Toc23483"/>
      <w:bookmarkEnd w:id="24"/>
      <w:r>
        <w:rPr>
          <w:rStyle w:val="25"/>
          <w:rFonts w:hint="default" w:ascii="楷体_GB2312" w:eastAsia="楷体_GB2312" w:cs="楷体_GB2312"/>
          <w:b/>
          <w:bCs/>
          <w:sz w:val="32"/>
          <w:szCs w:val="32"/>
          <w:shd w:val="clear" w:fill="FFFFFF"/>
        </w:rPr>
        <w:t>（四）预算绩效管理情况</w:t>
      </w:r>
    </w:p>
    <w:p>
      <w:pPr>
        <w:keepNext w:val="0"/>
        <w:keepLines w:val="0"/>
        <w:widowControl w:val="0"/>
        <w:suppressLineNumbers w:val="0"/>
        <w:autoSpaceDE w:val="0"/>
        <w:autoSpaceDN/>
        <w:spacing w:before="0" w:beforeAutospacing="0" w:line="576" w:lineRule="exact"/>
        <w:ind w:left="0" w:firstLine="640" w:firstLineChars="200"/>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 xml:space="preserve"> </w:t>
      </w:r>
      <w:r>
        <w:rPr>
          <w:rFonts w:hint="default" w:ascii="仿宋_GB2312" w:eastAsia="仿宋_GB2312" w:cs="仿宋_GB2312"/>
          <w:kern w:val="0"/>
          <w:sz w:val="32"/>
          <w:szCs w:val="32"/>
        </w:rPr>
        <w:t>根据预算绩效管理要求，本部门（单位）在年初预算编制阶段，组织对项目（项目名称）开展了预算事前绩效评估，对0个项目编制了绩效目标，预算执行过程中，选取0个项目开展绩效监控，年终执行完毕后，对0个项目开展了绩效目标完成情况自评。</w:t>
      </w:r>
    </w:p>
    <w:p>
      <w:pPr>
        <w:keepNext w:val="0"/>
        <w:keepLines w:val="0"/>
        <w:widowControl w:val="0"/>
        <w:suppressLineNumbers w:val="0"/>
        <w:autoSpaceDE w:val="0"/>
        <w:autoSpaceDN/>
        <w:spacing w:before="0" w:beforeAutospacing="0" w:line="576" w:lineRule="exact"/>
        <w:ind w:left="0" w:firstLine="640" w:firstLineChars="200"/>
        <w:rPr>
          <w:rFonts w:hint="default" w:ascii="仿宋_GB2312" w:eastAsia="仿宋_GB2312" w:cs="仿宋_GB2312"/>
          <w:kern w:val="0"/>
          <w:sz w:val="32"/>
          <w:szCs w:val="32"/>
        </w:rPr>
      </w:pPr>
      <w:r>
        <w:rPr>
          <w:rFonts w:hint="default" w:ascii="仿宋_GB2312" w:eastAsia="仿宋_GB2312" w:cs="仿宋_GB2312"/>
          <w:kern w:val="0"/>
          <w:sz w:val="32"/>
          <w:szCs w:val="32"/>
        </w:rPr>
        <w:t>本部门按要求对2019年部门整体支出开展绩效自评，从评价情况来看。本部门还自行组织了0个项目支出绩效评价，从评价情况来看。</w:t>
      </w:r>
    </w:p>
    <w:p>
      <w:pPr>
        <w:keepNext w:val="0"/>
        <w:keepLines w:val="0"/>
        <w:widowControl w:val="0"/>
        <w:suppressLineNumbers w:val="0"/>
        <w:autoSpaceDE w:val="0"/>
        <w:autoSpaceDN/>
        <w:spacing w:before="0" w:beforeAutospacing="0" w:line="576" w:lineRule="exact"/>
        <w:jc w:val="center"/>
        <w:outlineLvl w:val="0"/>
        <w:rPr>
          <w:rFonts w:hint="eastAsia" w:ascii="宋体" w:hAnsi="宋体" w:eastAsia="宋体" w:cs="宋体"/>
          <w:b/>
          <w:bCs/>
          <w:kern w:val="0"/>
          <w:sz w:val="32"/>
          <w:szCs w:val="32"/>
        </w:rPr>
      </w:pPr>
      <w:bookmarkStart w:id="25" w:name="_Toc31616"/>
      <w:bookmarkEnd w:id="25"/>
      <w:r>
        <w:rPr>
          <w:rFonts w:hint="eastAsia" w:ascii="宋体" w:hAnsi="宋体" w:eastAsia="宋体" w:cs="宋体"/>
          <w:b/>
          <w:bCs/>
          <w:kern w:val="0"/>
          <w:sz w:val="32"/>
          <w:szCs w:val="32"/>
          <w:shd w:val="clear" w:fill="FFFFFF"/>
        </w:rPr>
        <w:t>第三部分   名词解释</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shd w:val="clear" w:fill="FFFFFF"/>
        </w:rPr>
      </w:pPr>
      <w:r>
        <w:rPr>
          <w:rFonts w:hint="default" w:ascii="仿宋_GB2312" w:eastAsia="仿宋_GB2312" w:cs="仿宋_GB2312"/>
          <w:kern w:val="0"/>
          <w:sz w:val="32"/>
          <w:szCs w:val="32"/>
          <w:shd w:val="clear" w:fill="FFFFFF"/>
        </w:rPr>
        <w:t>1.财政拨款收入：指单位从同级财政部门取得的财政预算资金。</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2.事业收入：指事业单位开展专业业务活动及辅助活动取得的收入。如…（二级预算单位事业收入情况）等。</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3.经营收入：指事业单位在专业业务活动及其辅助活动之外开展非独立核算经营活动取得的收入。如…（二级预算单位经营收入情况）等。</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4.其他收入：指单位取得的除上述收入以外的各项收入。主要是…（收入类型）等。</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5.使用非财政拨款结余：指事业单位使用以前年度积累的非财政拨款结余弥补当年收支差额的金额。</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6.年初结转和结余：指以前年度尚未完成、结转到本年按有关规定继续使用的资金。</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7.结余分配：指事业单位按照会计制度规定缴纳的所得税、提取的专用结余以及转入非财政拨款结余的金额等。</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8、年末结转和结余：指单位按有关规定结转到下年或以后年度继续使用的资金。</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9.一般公共服务201类20103款2010350项事业支出指事业人员工资支出。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10.公共安全204类20499款2049901项其他公共安全支出指项目支出，维稳机动金支出。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11.社会保障和就业208类20805款2080505项指机关事业单位基本养老保险缴费支出。2020506指机关事业单位职业年金缴费支出。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12.卫生健康支出210类21011款2101102项指事业单位医疗支出，2101199指其他行政事业单位医疗支出。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13.住房保障221类22102款2210201项指住房公积金支出。</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14.基本支出：指为保障机构正常运转、完成日常工作任务而发生的人员支出和公用支出。</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15.项目支出：指在基本支出之外为完成特定行政任务和事业发展目标所发生的支出。</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16.经营支出：指事业单位在专业业务活动及其辅助活动之外开展非独立核算经营活动发生的支出。</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0"/>
        <w:keepNext w:val="0"/>
        <w:keepLines w:val="0"/>
        <w:widowControl w:val="0"/>
        <w:suppressLineNumbers w:val="0"/>
        <w:autoSpaceDE w:val="0"/>
        <w:autoSpaceDN/>
        <w:spacing w:before="0" w:beforeAutospacing="0" w:line="576" w:lineRule="exact"/>
        <w:ind w:left="0" w:firstLine="643" w:firstLineChars="200"/>
        <w:jc w:val="both"/>
        <w:rPr>
          <w:rFonts w:hint="default" w:ascii="仿宋_GB2312" w:eastAsia="仿宋_GB2312" w:cs="仿宋_GB2312"/>
          <w:b/>
          <w:bCs/>
          <w:sz w:val="32"/>
          <w:szCs w:val="32"/>
          <w:shd w:val="clear" w:fill="FFFFFF"/>
        </w:rPr>
      </w:pPr>
      <w:r>
        <w:rPr>
          <w:rStyle w:val="25"/>
          <w:rFonts w:hint="default" w:ascii="仿宋_GB2312" w:eastAsia="仿宋_GB2312" w:cs="仿宋_GB2312"/>
          <w:b/>
          <w:bCs/>
          <w:sz w:val="32"/>
          <w:szCs w:val="32"/>
          <w:shd w:val="clear" w:fill="FFFFFF"/>
        </w:rPr>
        <w:t>（名词解释部分请根据各部门实际列支情况罗列，并根据本部门职责职能增减名词解释内容。）</w:t>
      </w:r>
    </w:p>
    <w:p>
      <w:pPr>
        <w:pStyle w:val="20"/>
        <w:keepNext w:val="0"/>
        <w:keepLines w:val="0"/>
        <w:widowControl w:val="0"/>
        <w:suppressLineNumbers w:val="0"/>
        <w:autoSpaceDE w:val="0"/>
        <w:autoSpaceDN/>
        <w:spacing w:before="0" w:beforeAutospacing="0" w:line="576" w:lineRule="exact"/>
        <w:ind w:left="0" w:firstLine="643" w:firstLineChars="200"/>
        <w:jc w:val="both"/>
        <w:rPr>
          <w:rFonts w:hint="default" w:ascii="仿宋_GB2312" w:eastAsia="仿宋_GB2312" w:cs="仿宋_GB2312"/>
          <w:b/>
          <w:bCs/>
          <w:sz w:val="32"/>
          <w:szCs w:val="32"/>
          <w:shd w:val="clear" w:fill="FFFFFF"/>
        </w:rPr>
      </w:pPr>
      <w:r>
        <w:rPr>
          <w:rStyle w:val="25"/>
          <w:rFonts w:hint="default" w:ascii="仿宋_GB2312" w:eastAsia="仿宋_GB2312" w:cs="仿宋_GB2312"/>
          <w:b/>
          <w:bCs/>
          <w:sz w:val="32"/>
          <w:szCs w:val="32"/>
          <w:shd w:val="clear" w:fill="FFFFFF"/>
        </w:rPr>
        <w:t xml:space="preserve"> </w:t>
      </w:r>
    </w:p>
    <w:p>
      <w:pPr>
        <w:pStyle w:val="20"/>
        <w:keepNext w:val="0"/>
        <w:keepLines w:val="0"/>
        <w:widowControl w:val="0"/>
        <w:suppressLineNumbers w:val="0"/>
        <w:autoSpaceDE w:val="0"/>
        <w:autoSpaceDN/>
        <w:spacing w:before="0" w:beforeAutospacing="0" w:line="576" w:lineRule="exact"/>
        <w:ind w:left="0" w:firstLine="643" w:firstLineChars="200"/>
        <w:jc w:val="center"/>
        <w:outlineLvl w:val="0"/>
        <w:rPr>
          <w:rFonts w:hint="eastAsia" w:ascii="宋体" w:hAnsi="宋体" w:eastAsia="宋体" w:cs="宋体"/>
          <w:b/>
          <w:bCs/>
          <w:kern w:val="0"/>
          <w:sz w:val="32"/>
          <w:szCs w:val="32"/>
        </w:rPr>
      </w:pPr>
      <w:bookmarkStart w:id="26" w:name="_Toc23807"/>
      <w:bookmarkEnd w:id="26"/>
      <w:r>
        <w:rPr>
          <w:rFonts w:hint="eastAsia" w:ascii="宋体" w:hAnsi="宋体" w:eastAsia="宋体" w:cs="宋体"/>
          <w:b/>
          <w:bCs/>
          <w:kern w:val="0"/>
          <w:sz w:val="32"/>
          <w:szCs w:val="32"/>
          <w:shd w:val="clear" w:fill="FFFFFF"/>
        </w:rPr>
        <w:t>第四部分   附件</w:t>
      </w:r>
    </w:p>
    <w:p>
      <w:pPr>
        <w:pStyle w:val="20"/>
        <w:keepNext w:val="0"/>
        <w:keepLines w:val="0"/>
        <w:widowControl w:val="0"/>
        <w:suppressLineNumbers w:val="0"/>
        <w:autoSpaceDE w:val="0"/>
        <w:autoSpaceDN/>
        <w:spacing w:before="0" w:beforeAutospacing="0" w:line="576" w:lineRule="exact"/>
        <w:jc w:val="left"/>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附件1</w:t>
      </w:r>
    </w:p>
    <w:p>
      <w:pPr>
        <w:keepNext w:val="0"/>
        <w:keepLines w:val="0"/>
        <w:widowControl w:val="0"/>
        <w:suppressLineNumbers w:val="0"/>
        <w:autoSpaceDE w:val="0"/>
        <w:autoSpaceDN/>
        <w:spacing w:before="0" w:beforeAutospacing="0" w:line="576" w:lineRule="exact"/>
        <w:ind w:left="0" w:leftChars="0" w:firstLine="0" w:firstLineChars="0"/>
        <w:jc w:val="center"/>
        <w:rPr>
          <w:rFonts w:hint="eastAsia" w:ascii="宋体" w:hAnsi="宋体" w:eastAsia="宋体" w:cs="宋体"/>
          <w:b/>
          <w:bCs/>
          <w:color w:val="000000"/>
          <w:kern w:val="0"/>
          <w:sz w:val="36"/>
          <w:szCs w:val="36"/>
        </w:rPr>
      </w:pPr>
      <w:r>
        <w:rPr>
          <w:rFonts w:hint="eastAsia" w:ascii="宋体" w:hAnsi="宋体" w:eastAsia="宋体" w:cs="宋体"/>
          <w:b/>
          <w:bCs/>
          <w:color w:val="000000"/>
          <w:kern w:val="0"/>
          <w:sz w:val="36"/>
          <w:szCs w:val="36"/>
        </w:rPr>
        <w:t>联动中心2020年部门整体支出绩效评价报告</w:t>
      </w:r>
    </w:p>
    <w:p>
      <w:pPr>
        <w:keepNext w:val="0"/>
        <w:keepLines w:val="0"/>
        <w:widowControl w:val="0"/>
        <w:suppressLineNumbers w:val="0"/>
        <w:autoSpaceDE w:val="0"/>
        <w:autoSpaceDN/>
        <w:adjustRightInd w:val="0"/>
        <w:snapToGrid w:val="0"/>
        <w:spacing w:before="0" w:beforeAutospacing="0" w:line="576" w:lineRule="exact"/>
        <w:ind w:left="0" w:firstLine="640" w:firstLineChars="200"/>
        <w:contextualSpacing/>
        <w:jc w:val="left"/>
        <w:rPr>
          <w:rFonts w:hint="default" w:ascii="仿宋_GB2312" w:eastAsia="仿宋_GB2312" w:cs="仿宋_GB2312"/>
          <w:color w:val="000000"/>
          <w:kern w:val="0"/>
          <w:sz w:val="32"/>
          <w:szCs w:val="32"/>
          <w:shd w:val="clear" w:fill="FFFFFF"/>
        </w:rPr>
      </w:pPr>
      <w:r>
        <w:rPr>
          <w:rFonts w:hint="default" w:ascii="仿宋_GB2312" w:eastAsia="仿宋_GB2312" w:cs="仿宋_GB2312"/>
          <w:color w:val="000000"/>
          <w:kern w:val="0"/>
          <w:sz w:val="32"/>
          <w:szCs w:val="32"/>
          <w:shd w:val="clear" w:fill="FFFFFF"/>
        </w:rPr>
        <w:t xml:space="preserve"> </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left"/>
        <w:rPr>
          <w:rFonts w:hint="eastAsia" w:ascii="黑体" w:hAnsi="宋体" w:eastAsia="黑体" w:cs="黑体"/>
          <w:b/>
          <w:bCs/>
          <w:color w:val="000000"/>
          <w:kern w:val="0"/>
          <w:sz w:val="32"/>
          <w:szCs w:val="32"/>
          <w:shd w:val="clear" w:fill="FFFFFF"/>
        </w:rPr>
      </w:pPr>
      <w:r>
        <w:rPr>
          <w:rFonts w:hint="eastAsia" w:ascii="黑体" w:hAnsi="宋体" w:eastAsia="黑体" w:cs="黑体"/>
          <w:b/>
          <w:bCs/>
          <w:color w:val="000000"/>
          <w:kern w:val="0"/>
          <w:sz w:val="32"/>
          <w:szCs w:val="32"/>
          <w:shd w:val="clear" w:fill="FFFFFF"/>
        </w:rPr>
        <w:t>一、部门（单位）概况</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（一）机构组成。</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2"/>
          <w:sz w:val="32"/>
          <w:szCs w:val="32"/>
        </w:rPr>
      </w:pPr>
      <w:r>
        <w:rPr>
          <w:rFonts w:hint="default" w:ascii="仿宋_GB2312" w:eastAsia="仿宋_GB2312" w:cs="仿宋_GB2312"/>
          <w:kern w:val="0"/>
          <w:sz w:val="32"/>
          <w:szCs w:val="32"/>
        </w:rPr>
        <w:t>联动中心下属二级单位0个，其中行政单位0个，参照公务员法管理的事业单位0个，其他事业单位0个。</w:t>
      </w:r>
      <w:r>
        <w:rPr>
          <w:rFonts w:hint="default" w:ascii="仿宋_GB2312" w:eastAsia="仿宋_GB2312" w:cs="仿宋_GB2312"/>
          <w:kern w:val="2"/>
          <w:sz w:val="32"/>
          <w:szCs w:val="32"/>
        </w:rPr>
        <w:t>单位编制数8人，在职事业人员5人。</w:t>
      </w:r>
    </w:p>
    <w:p>
      <w:pPr>
        <w:keepNext w:val="0"/>
        <w:keepLines w:val="0"/>
        <w:widowControl w:val="0"/>
        <w:suppressLineNumbers w:val="0"/>
        <w:autoSpaceDE w:val="0"/>
        <w:autoSpaceDN/>
        <w:spacing w:before="0" w:beforeAutospacing="0" w:line="576" w:lineRule="exact"/>
        <w:ind w:left="0" w:firstLine="643" w:firstLineChars="200"/>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（二）机构职能。</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76" w:lineRule="exact"/>
        <w:ind w:left="0" w:right="0" w:firstLine="640" w:firstLineChars="200"/>
        <w:jc w:val="both"/>
        <w:rPr>
          <w:rFonts w:hint="default" w:ascii="仿宋_GB2312" w:eastAsia="仿宋_GB2312" w:cs="仿宋_GB2312"/>
          <w:kern w:val="0"/>
          <w:sz w:val="32"/>
          <w:szCs w:val="32"/>
          <w:bdr w:val="none" w:color="auto" w:sz="0" w:space="0"/>
          <w:shd w:val="clear" w:fill="FFFFFF"/>
        </w:rPr>
      </w:pPr>
      <w:r>
        <w:rPr>
          <w:rFonts w:hint="default" w:ascii="仿宋_GB2312" w:eastAsia="仿宋_GB2312" w:cs="仿宋_GB2312"/>
          <w:kern w:val="0"/>
          <w:sz w:val="32"/>
          <w:szCs w:val="32"/>
          <w:bdr w:val="none" w:color="auto" w:sz="0" w:space="0"/>
          <w:shd w:val="clear" w:fill="FFFFFF"/>
        </w:rPr>
        <w:t>1、受县委、县政府的委托,代表县联动指挥中心行使应急指挥权利。</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76" w:lineRule="exact"/>
        <w:ind w:left="0" w:right="0" w:firstLine="640" w:firstLineChars="200"/>
        <w:jc w:val="both"/>
        <w:rPr>
          <w:rFonts w:hint="default" w:ascii="仿宋_GB2312" w:eastAsia="仿宋_GB2312" w:cs="仿宋_GB2312"/>
          <w:kern w:val="0"/>
          <w:sz w:val="32"/>
          <w:szCs w:val="32"/>
          <w:bdr w:val="none" w:color="auto" w:sz="0" w:space="0"/>
          <w:shd w:val="clear" w:fill="FFFFFF"/>
        </w:rPr>
      </w:pPr>
      <w:r>
        <w:rPr>
          <w:rFonts w:hint="default" w:ascii="仿宋_GB2312" w:eastAsia="仿宋_GB2312" w:cs="仿宋_GB2312"/>
          <w:kern w:val="0"/>
          <w:sz w:val="32"/>
          <w:szCs w:val="32"/>
          <w:bdr w:val="none" w:color="auto" w:sz="0" w:space="0"/>
          <w:shd w:val="clear" w:fill="FFFFFF"/>
        </w:rPr>
        <w:t xml:space="preserve"> 2、负责对中心入驻的五大中心工作人员的管理,负责对七大平台数据的收集和分析研判,并代表县委、政府和县联动指挥中心对重大事件和突发事件的应急指挥工作。</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76" w:lineRule="exact"/>
        <w:ind w:left="0" w:right="0" w:firstLine="640" w:firstLineChars="200"/>
        <w:jc w:val="both"/>
        <w:rPr>
          <w:rFonts w:hint="default" w:ascii="仿宋_GB2312" w:eastAsia="仿宋_GB2312" w:cs="仿宋_GB2312"/>
          <w:kern w:val="0"/>
          <w:sz w:val="32"/>
          <w:szCs w:val="32"/>
          <w:bdr w:val="none" w:color="auto" w:sz="0" w:space="0"/>
          <w:shd w:val="clear" w:fill="FFFFFF"/>
        </w:rPr>
      </w:pPr>
      <w:r>
        <w:rPr>
          <w:rFonts w:hint="default" w:ascii="仿宋_GB2312" w:eastAsia="仿宋_GB2312" w:cs="仿宋_GB2312"/>
          <w:kern w:val="0"/>
          <w:sz w:val="32"/>
          <w:szCs w:val="32"/>
          <w:bdr w:val="none" w:color="auto" w:sz="0" w:space="0"/>
          <w:shd w:val="clear" w:fill="FFFFFF"/>
        </w:rPr>
        <w:t>3、负责组织督促落实县委、政府和县联动指挥中心下达的指令或工作安排部署,棖据工作的宾际情况和需要,适时召开联动部门工作协调会、研究解决有关联动服务事宜和问题。</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76" w:lineRule="exact"/>
        <w:ind w:left="0" w:right="0" w:firstLine="640" w:firstLineChars="200"/>
        <w:jc w:val="both"/>
        <w:rPr>
          <w:rFonts w:hint="default" w:ascii="仿宋_GB2312" w:eastAsia="仿宋_GB2312" w:cs="仿宋_GB2312"/>
          <w:kern w:val="0"/>
          <w:sz w:val="32"/>
          <w:szCs w:val="32"/>
          <w:bdr w:val="none" w:color="auto" w:sz="0" w:space="0"/>
          <w:shd w:val="clear" w:fill="FFFFFF"/>
        </w:rPr>
      </w:pPr>
      <w:r>
        <w:rPr>
          <w:rFonts w:hint="default" w:ascii="仿宋_GB2312" w:eastAsia="仿宋_GB2312" w:cs="仿宋_GB2312"/>
          <w:kern w:val="0"/>
          <w:sz w:val="32"/>
          <w:szCs w:val="32"/>
          <w:bdr w:val="none" w:color="auto" w:sz="0" w:space="0"/>
          <w:shd w:val="clear" w:fill="FFFFFF"/>
        </w:rPr>
        <w:t>4、负责对重要信息的收集,报送工作,对全县应急处突涉稳事件、安全生产急救、自然灾害等重大事件的协调工作,同时做好处置工作记录,并逐日归类汇总并备案；</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76" w:lineRule="exact"/>
        <w:ind w:left="0" w:right="0" w:firstLine="640" w:firstLineChars="200"/>
        <w:jc w:val="both"/>
        <w:rPr>
          <w:rFonts w:hint="default" w:ascii="仿宋_GB2312" w:eastAsia="仿宋_GB2312" w:cs="仿宋_GB2312"/>
          <w:kern w:val="0"/>
          <w:sz w:val="32"/>
          <w:szCs w:val="32"/>
          <w:bdr w:val="none" w:color="auto" w:sz="0" w:space="0"/>
          <w:shd w:val="clear" w:fill="FFFFFF"/>
        </w:rPr>
      </w:pPr>
      <w:r>
        <w:rPr>
          <w:rFonts w:hint="default" w:ascii="仿宋_GB2312" w:eastAsia="仿宋_GB2312" w:cs="仿宋_GB2312"/>
          <w:kern w:val="0"/>
          <w:sz w:val="32"/>
          <w:szCs w:val="32"/>
          <w:bdr w:val="none" w:color="auto" w:sz="0" w:space="0"/>
          <w:shd w:val="clear" w:fill="FFFFFF"/>
        </w:rPr>
        <w:t>5、负责组织、督促有关部门抓好民生服务工作矛盾纠纷排查化解工作,开展调查研究,对重大情况和问题应及时进行分析研判,并向县政府长交研判报告。</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76" w:lineRule="exact"/>
        <w:ind w:left="0" w:right="0" w:firstLine="640" w:firstLineChars="200"/>
        <w:jc w:val="both"/>
        <w:rPr>
          <w:rFonts w:hint="default" w:ascii="仿宋_GB2312" w:eastAsia="仿宋_GB2312" w:cs="仿宋_GB2312"/>
          <w:kern w:val="0"/>
          <w:sz w:val="32"/>
          <w:szCs w:val="32"/>
          <w:bdr w:val="none" w:color="auto" w:sz="0" w:space="0"/>
          <w:shd w:val="clear" w:fill="FFFFFF"/>
        </w:rPr>
      </w:pPr>
      <w:r>
        <w:rPr>
          <w:rFonts w:hint="default" w:ascii="仿宋_GB2312" w:eastAsia="仿宋_GB2312" w:cs="仿宋_GB2312"/>
          <w:kern w:val="0"/>
          <w:sz w:val="32"/>
          <w:szCs w:val="32"/>
          <w:bdr w:val="none" w:color="auto" w:sz="0" w:space="0"/>
          <w:shd w:val="clear" w:fill="FFFFFF"/>
        </w:rPr>
        <w:t>6、负责建立会联动指挥中心各项规章制度；</w:t>
      </w:r>
    </w:p>
    <w:p>
      <w:pPr>
        <w:pStyle w:val="20"/>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76" w:lineRule="exact"/>
        <w:ind w:left="0" w:right="0" w:firstLine="640" w:firstLineChars="200"/>
        <w:jc w:val="both"/>
        <w:rPr>
          <w:rFonts w:hint="default" w:ascii="仿宋_GB2312" w:eastAsia="仿宋_GB2312" w:cs="仿宋_GB2312"/>
          <w:kern w:val="0"/>
          <w:sz w:val="32"/>
          <w:szCs w:val="32"/>
          <w:bdr w:val="none" w:color="auto" w:sz="0" w:space="0"/>
          <w:shd w:val="clear" w:fill="FFFFFF"/>
        </w:rPr>
      </w:pPr>
      <w:r>
        <w:rPr>
          <w:rFonts w:hint="default" w:ascii="仿宋_GB2312" w:eastAsia="仿宋_GB2312" w:cs="仿宋_GB2312"/>
          <w:kern w:val="0"/>
          <w:sz w:val="32"/>
          <w:szCs w:val="32"/>
          <w:bdr w:val="none" w:color="auto" w:sz="0" w:space="0"/>
          <w:shd w:val="clear" w:fill="FFFFFF"/>
        </w:rPr>
        <w:t>7、负责协助和管理县民族宗教局入驻人员开展寺网格化精准服务系统管理工作;负责协助和管层公安局入驻人员做好联动指挥中心系统维护以及天网视频调度工作;负责协助和管理县矛盾纠纷“大调解”中心做好全县大谓解工作和基层大调解指导工作;负责协助和管理其它入驻单位的工作人员开展相关工作。</w:t>
      </w:r>
    </w:p>
    <w:p>
      <w:pPr>
        <w:pStyle w:val="8"/>
        <w:keepNext w:val="0"/>
        <w:keepLines w:val="0"/>
        <w:widowControl w:val="0"/>
        <w:suppressLineNumbers w:val="0"/>
        <w:autoSpaceDE w:val="0"/>
        <w:autoSpaceDN/>
        <w:adjustRightInd w:val="0"/>
        <w:snapToGrid w:val="0"/>
        <w:spacing w:before="0" w:beforeLines="0" w:beforeAutospacing="0" w:after="0" w:afterAutospacing="0" w:line="576" w:lineRule="exact"/>
        <w:ind w:left="0" w:right="0" w:firstLine="640" w:firstLineChars="200"/>
        <w:jc w:val="both"/>
        <w:outlineLvl w:val="2"/>
        <w:rPr>
          <w:rFonts w:hint="default" w:ascii="仿宋_GB2312" w:eastAsia="仿宋_GB2312" w:cs="仿宋_GB2312"/>
          <w:color w:val="000000"/>
          <w:kern w:val="0"/>
          <w:sz w:val="32"/>
          <w:szCs w:val="32"/>
          <w:shd w:val="clear" w:fill="FFFFFF"/>
        </w:rPr>
      </w:pPr>
      <w:bookmarkStart w:id="27" w:name="_Toc14982"/>
      <w:bookmarkEnd w:id="27"/>
      <w:bookmarkStart w:id="28" w:name="_Toc11788"/>
      <w:r>
        <w:rPr>
          <w:rFonts w:hint="default" w:ascii="仿宋_GB2312" w:eastAsia="仿宋_GB2312" w:cs="仿宋_GB2312"/>
          <w:kern w:val="0"/>
          <w:sz w:val="32"/>
          <w:szCs w:val="32"/>
        </w:rPr>
        <w:t>8、负责做好县委、政府临时交办的各项工作任务。</w:t>
      </w:r>
      <w:bookmarkEnd w:id="28"/>
    </w:p>
    <w:p>
      <w:pPr>
        <w:keepNext w:val="0"/>
        <w:keepLines w:val="0"/>
        <w:widowControl w:val="0"/>
        <w:suppressLineNumbers w:val="0"/>
        <w:autoSpaceDE w:val="0"/>
        <w:autoSpaceDN/>
        <w:adjustRightInd w:val="0"/>
        <w:snapToGrid w:val="0"/>
        <w:spacing w:before="0" w:beforeAutospacing="0" w:line="576" w:lineRule="exact"/>
        <w:ind w:leftChars="200" w:right="0" w:rightChars="0"/>
        <w:contextualSpacing/>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（三）人员概况。</w:t>
      </w:r>
    </w:p>
    <w:p>
      <w:pPr>
        <w:keepNext w:val="0"/>
        <w:keepLines w:val="0"/>
        <w:widowControl w:val="0"/>
        <w:suppressLineNumbers w:val="0"/>
        <w:autoSpaceDE w:val="0"/>
        <w:autoSpaceDN/>
        <w:adjustRightInd w:val="0"/>
        <w:snapToGrid w:val="0"/>
        <w:spacing w:before="0" w:beforeAutospacing="0" w:line="576" w:lineRule="exact"/>
        <w:ind w:left="0" w:firstLine="640" w:firstLineChars="200"/>
        <w:contextualSpacing/>
        <w:jc w:val="both"/>
        <w:rPr>
          <w:rFonts w:hint="default" w:ascii="仿宋_GB2312" w:eastAsia="仿宋_GB2312" w:cs="仿宋_GB2312"/>
          <w:kern w:val="2"/>
          <w:sz w:val="32"/>
          <w:szCs w:val="32"/>
        </w:rPr>
      </w:pPr>
      <w:r>
        <w:rPr>
          <w:rFonts w:hint="default" w:ascii="仿宋_GB2312" w:eastAsia="仿宋_GB2312" w:cs="仿宋_GB2312"/>
          <w:kern w:val="2"/>
          <w:sz w:val="32"/>
          <w:szCs w:val="32"/>
        </w:rPr>
        <w:t>联动中心单位编制数8人，在职人员5人。</w:t>
      </w:r>
    </w:p>
    <w:p>
      <w:pPr>
        <w:keepNext w:val="0"/>
        <w:keepLines w:val="0"/>
        <w:widowControl w:val="0"/>
        <w:suppressLineNumbers w:val="0"/>
        <w:autoSpaceDE w:val="0"/>
        <w:autoSpaceDN/>
        <w:adjustRightInd w:val="0"/>
        <w:snapToGrid w:val="0"/>
        <w:spacing w:before="0" w:beforeAutospacing="0" w:line="576" w:lineRule="exact"/>
        <w:ind w:left="0" w:firstLine="640" w:firstLineChars="200"/>
        <w:contextualSpacing/>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截止2020年底我单位共有事业编制8个。在职5人，无新增人员。</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eastAsia" w:ascii="黑体" w:hAnsi="宋体" w:eastAsia="黑体" w:cs="黑体"/>
          <w:b/>
          <w:bCs/>
          <w:color w:val="000000"/>
          <w:kern w:val="0"/>
          <w:sz w:val="32"/>
          <w:szCs w:val="32"/>
          <w:shd w:val="clear" w:fill="FFFFFF"/>
        </w:rPr>
      </w:pPr>
      <w:r>
        <w:rPr>
          <w:rFonts w:hint="eastAsia" w:ascii="黑体" w:hAnsi="宋体" w:eastAsia="黑体" w:cs="黑体"/>
          <w:b/>
          <w:bCs/>
          <w:color w:val="000000"/>
          <w:kern w:val="0"/>
          <w:sz w:val="32"/>
          <w:szCs w:val="32"/>
          <w:shd w:val="clear" w:fill="FFFFFF"/>
        </w:rPr>
        <w:t>二、部门财政资金收支情况</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（一）部门财政资金收入情况。</w:t>
      </w:r>
    </w:p>
    <w:p>
      <w:pPr>
        <w:keepNext w:val="0"/>
        <w:keepLines w:val="0"/>
        <w:widowControl w:val="0"/>
        <w:suppressLineNumbers w:val="0"/>
        <w:autoSpaceDE w:val="0"/>
        <w:autoSpaceDN/>
        <w:adjustRightInd w:val="0"/>
        <w:snapToGrid w:val="0"/>
        <w:spacing w:before="0" w:beforeAutospacing="0" w:line="576" w:lineRule="exact"/>
        <w:ind w:left="0" w:firstLine="640" w:firstLineChars="200"/>
        <w:contextualSpacing/>
        <w:jc w:val="both"/>
        <w:rPr>
          <w:rFonts w:hint="default" w:ascii="仿宋_GB2312" w:eastAsia="仿宋_GB2312" w:cs="仿宋_GB2312"/>
          <w:color w:val="000000"/>
          <w:kern w:val="0"/>
          <w:sz w:val="32"/>
          <w:szCs w:val="32"/>
          <w:shd w:val="clear" w:fill="FFFFFF"/>
        </w:rPr>
      </w:pPr>
      <w:r>
        <w:rPr>
          <w:rFonts w:hint="default" w:ascii="仿宋_GB2312" w:eastAsia="仿宋_GB2312" w:cs="仿宋_GB2312"/>
          <w:color w:val="000000"/>
          <w:kern w:val="0"/>
          <w:sz w:val="32"/>
          <w:szCs w:val="32"/>
          <w:shd w:val="clear" w:fill="FFFFFF"/>
        </w:rPr>
        <w:t>2020年联动中心财政资金收入124.23万元。</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（二）部门财政资金支出情况。</w:t>
      </w:r>
    </w:p>
    <w:p>
      <w:pPr>
        <w:keepNext w:val="0"/>
        <w:keepLines w:val="0"/>
        <w:widowControl w:val="0"/>
        <w:suppressLineNumbers w:val="0"/>
        <w:autoSpaceDE w:val="0"/>
        <w:autoSpaceDN/>
        <w:adjustRightInd w:val="0"/>
        <w:snapToGrid w:val="0"/>
        <w:spacing w:before="0" w:beforeAutospacing="0" w:line="576" w:lineRule="exact"/>
        <w:ind w:left="0" w:firstLine="640" w:firstLineChars="200"/>
        <w:contextualSpacing/>
        <w:jc w:val="both"/>
        <w:rPr>
          <w:rFonts w:hint="default" w:ascii="仿宋_GB2312" w:eastAsia="仿宋_GB2312" w:cs="仿宋_GB2312"/>
          <w:color w:val="000000"/>
          <w:kern w:val="0"/>
          <w:sz w:val="32"/>
          <w:szCs w:val="32"/>
          <w:shd w:val="clear" w:fill="FFFFFF"/>
        </w:rPr>
      </w:pPr>
      <w:r>
        <w:rPr>
          <w:rFonts w:hint="default" w:ascii="仿宋_GB2312" w:eastAsia="仿宋_GB2312" w:cs="仿宋_GB2312"/>
          <w:color w:val="000000"/>
          <w:kern w:val="0"/>
          <w:sz w:val="32"/>
          <w:szCs w:val="32"/>
          <w:shd w:val="clear" w:fill="FFFFFF"/>
        </w:rPr>
        <w:t>2020年联动中心财政资金支出124.23万元。</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eastAsia" w:ascii="黑体" w:hAnsi="宋体" w:eastAsia="黑体" w:cs="黑体"/>
          <w:b/>
          <w:bCs/>
          <w:color w:val="000000"/>
          <w:kern w:val="0"/>
          <w:sz w:val="32"/>
          <w:szCs w:val="32"/>
          <w:shd w:val="clear" w:fill="FFFFFF"/>
        </w:rPr>
      </w:pPr>
      <w:r>
        <w:rPr>
          <w:rFonts w:hint="eastAsia" w:ascii="黑体" w:hAnsi="宋体" w:eastAsia="黑体" w:cs="黑体"/>
          <w:b/>
          <w:bCs/>
          <w:color w:val="000000"/>
          <w:kern w:val="0"/>
          <w:sz w:val="32"/>
          <w:szCs w:val="32"/>
          <w:shd w:val="clear" w:fill="FFFFFF"/>
        </w:rPr>
        <w:t>三、部门整体预算绩效管理情况</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（一）部门预算管理。</w:t>
      </w:r>
    </w:p>
    <w:p>
      <w:pPr>
        <w:keepNext w:val="0"/>
        <w:keepLines w:val="0"/>
        <w:widowControl w:val="0"/>
        <w:suppressLineNumbers w:val="0"/>
        <w:autoSpaceDE w:val="0"/>
        <w:autoSpaceDN/>
        <w:adjustRightInd w:val="0"/>
        <w:snapToGrid w:val="0"/>
        <w:spacing w:before="0" w:beforeAutospacing="0" w:line="576" w:lineRule="exact"/>
        <w:ind w:left="0" w:firstLine="640" w:firstLineChars="200"/>
        <w:contextualSpacing/>
        <w:jc w:val="both"/>
        <w:rPr>
          <w:rFonts w:hint="default" w:ascii="仿宋_GB2312" w:eastAsia="仿宋_GB2312" w:cs="仿宋_GB2312"/>
          <w:color w:val="000000"/>
          <w:kern w:val="0"/>
          <w:sz w:val="32"/>
          <w:szCs w:val="32"/>
          <w:shd w:val="clear" w:fill="FFFFFF"/>
        </w:rPr>
      </w:pPr>
      <w:r>
        <w:rPr>
          <w:rFonts w:hint="default" w:ascii="仿宋_GB2312" w:eastAsia="仿宋_GB2312" w:cs="仿宋_GB2312"/>
          <w:color w:val="000000"/>
          <w:kern w:val="0"/>
          <w:sz w:val="32"/>
          <w:szCs w:val="32"/>
          <w:shd w:val="clear" w:fill="FFFFFF"/>
        </w:rPr>
        <w:t>包括部门绩效目标制定、目标实现、预算编制准确、支出控制、预算动态调整、执行进度、预算完成情况和违规记录等情况。</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1.预算编制情况。</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主要由三公经费、项目支出、公用经费、人员经费构成。</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2.执行管理情况。</w:t>
      </w:r>
      <w:r>
        <w:rPr>
          <w:rFonts w:hint="default" w:ascii="仿宋_GB2312" w:eastAsia="仿宋_GB2312" w:cs="仿宋_GB2312"/>
          <w:color w:val="000000"/>
          <w:kern w:val="0"/>
          <w:sz w:val="32"/>
          <w:szCs w:val="32"/>
        </w:rPr>
        <w:tab/>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2020年度“三公”经费财政拨款支出决算中，因公出国（境）费支出决算0元；公务用车购置及运行维护费支出决算0万元，占0%；公务接待费支出决算0.06万元，占100%。预算执行完成情况较好。</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3.综合管理情况。</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2020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（二）结果应用情况。</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1.部门职责履行情况分析</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2020年度我单位年初根据工作规划和重点工作规划，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2.社会经济效益分析</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（1）本年预算配置控制较好。财政供养人员控制在预算编制以内，编制内在职人员控制率为100%；“三公经费”控制在年初预算以内。</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（2）预算执行情况控制较好。支出总额控制在年初预算总额以内，本年部门预算完成率达到了100%，未进行预算相关事项的调整，预算控制良好。</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（3）预算管理较为理想。由于严格执行财政相关法律、法规的规定，我单位的预算管理工作取得了较好的成绩，全年人员经费支出、日常用公用经费支出的控制率均达到了100%。</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3.行政效能分析</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shd w:val="clear" w:fill="FFFFFF"/>
        </w:rPr>
      </w:pPr>
      <w:r>
        <w:rPr>
          <w:rFonts w:hint="default" w:ascii="仿宋_GB2312" w:eastAsia="仿宋_GB2312" w:cs="仿宋_GB2312"/>
          <w:color w:val="000000"/>
          <w:kern w:val="0"/>
          <w:sz w:val="32"/>
          <w:szCs w:val="32"/>
        </w:rPr>
        <w:t>财政预算安排在很大程度上保障了本单位基本支出及公用经费支出的正常工作运转。预算安排的项目支出也是非常必要的。财政预算安排大大提财政资金的使用效率，财政资金的安全性得到了有效保障，我们在执行预算过程中是严格按照财政各项制度规定来办理，单位在项目资金的使用上也是安全的。</w:t>
      </w:r>
      <w:r>
        <w:rPr>
          <w:rFonts w:hint="default" w:ascii="仿宋_GB2312" w:eastAsia="仿宋_GB2312" w:cs="仿宋_GB2312"/>
          <w:color w:val="000000"/>
          <w:kern w:val="0"/>
          <w:sz w:val="32"/>
          <w:szCs w:val="32"/>
          <w:shd w:val="clear" w:fill="FFFFFF"/>
        </w:rPr>
        <w:t xml:space="preserve"> </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eastAsia" w:ascii="黑体" w:hAnsi="宋体" w:eastAsia="黑体" w:cs="黑体"/>
          <w:b/>
          <w:bCs/>
          <w:color w:val="000000"/>
          <w:kern w:val="0"/>
          <w:sz w:val="32"/>
          <w:szCs w:val="32"/>
          <w:shd w:val="clear" w:fill="FFFFFF"/>
        </w:rPr>
      </w:pPr>
      <w:r>
        <w:rPr>
          <w:rFonts w:hint="eastAsia" w:ascii="黑体" w:hAnsi="宋体" w:eastAsia="黑体" w:cs="黑体"/>
          <w:b/>
          <w:bCs/>
          <w:color w:val="000000"/>
          <w:kern w:val="0"/>
          <w:sz w:val="32"/>
          <w:szCs w:val="32"/>
          <w:shd w:val="clear" w:fill="FFFFFF"/>
        </w:rPr>
        <w:t>四、评价结论及建议</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（一）评价结论。</w:t>
      </w:r>
    </w:p>
    <w:p>
      <w:pPr>
        <w:keepNext w:val="0"/>
        <w:keepLines w:val="0"/>
        <w:widowControl w:val="0"/>
        <w:suppressLineNumbers w:val="0"/>
        <w:autoSpaceDE w:val="0"/>
        <w:autoSpaceDN/>
        <w:adjustRightInd w:val="0"/>
        <w:snapToGrid w:val="0"/>
        <w:spacing w:before="0" w:beforeAutospacing="0" w:line="576" w:lineRule="exact"/>
        <w:ind w:left="0" w:firstLine="640" w:firstLineChars="200"/>
        <w:contextualSpacing/>
        <w:jc w:val="both"/>
        <w:rPr>
          <w:rFonts w:hint="default" w:ascii="仿宋_GB2312" w:eastAsia="仿宋_GB2312" w:cs="仿宋_GB2312"/>
          <w:color w:val="000000"/>
          <w:kern w:val="0"/>
          <w:sz w:val="32"/>
          <w:szCs w:val="32"/>
          <w:shd w:val="clear" w:fill="FFFFFF"/>
        </w:rPr>
      </w:pPr>
      <w:r>
        <w:rPr>
          <w:rFonts w:hint="default" w:ascii="仿宋_GB2312" w:eastAsia="仿宋_GB2312" w:cs="仿宋_GB2312"/>
          <w:color w:val="000000"/>
          <w:kern w:val="0"/>
          <w:sz w:val="32"/>
          <w:szCs w:val="32"/>
          <w:shd w:val="clear" w:fill="FFFFFF"/>
        </w:rPr>
        <w:t>2020年度根据预算编制，严格执行预算经费使用，总体效果较好。</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（二）存在问题。</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1、预算编制欠严谨</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预算编制欠全面，项目有临时追加不够完整、细化。</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2、预算执行存在偏差</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在实际经费列支中，未严格按照预算科目进行列支，部分基本支出挤占了项目支出。</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3、会计核算欠规范</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shd w:val="clear" w:fill="FFFFFF"/>
        </w:rPr>
      </w:pPr>
      <w:r>
        <w:rPr>
          <w:rFonts w:hint="default" w:ascii="仿宋_GB2312" w:eastAsia="仿宋_GB2312" w:cs="仿宋_GB2312"/>
          <w:color w:val="000000"/>
          <w:kern w:val="0"/>
          <w:sz w:val="32"/>
          <w:szCs w:val="32"/>
        </w:rPr>
        <w:t>经费支出核算过程中，部分存在部分大额办公支出无明细、发票内容填写不规范等现象。</w:t>
      </w:r>
    </w:p>
    <w:p>
      <w:pPr>
        <w:keepNext w:val="0"/>
        <w:keepLines w:val="0"/>
        <w:widowControl w:val="0"/>
        <w:suppressLineNumbers w:val="0"/>
        <w:autoSpaceDE w:val="0"/>
        <w:autoSpaceDN/>
        <w:adjustRightInd w:val="0"/>
        <w:snapToGrid w:val="0"/>
        <w:spacing w:before="0" w:beforeAutospacing="0" w:line="576" w:lineRule="exact"/>
        <w:ind w:left="0" w:firstLine="643" w:firstLineChars="200"/>
        <w:contextualSpacing/>
        <w:jc w:val="both"/>
        <w:rPr>
          <w:rFonts w:hint="default" w:ascii="楷体_GB2312" w:eastAsia="楷体_GB2312" w:cs="楷体_GB2312"/>
          <w:b/>
          <w:bCs/>
          <w:color w:val="000000"/>
          <w:kern w:val="0"/>
          <w:sz w:val="32"/>
          <w:szCs w:val="32"/>
          <w:shd w:val="clear" w:fill="FFFFFF"/>
        </w:rPr>
      </w:pPr>
      <w:r>
        <w:rPr>
          <w:rFonts w:hint="default" w:ascii="楷体_GB2312" w:eastAsia="楷体_GB2312" w:cs="楷体_GB2312"/>
          <w:b/>
          <w:bCs/>
          <w:color w:val="000000"/>
          <w:kern w:val="0"/>
          <w:sz w:val="32"/>
          <w:szCs w:val="32"/>
          <w:shd w:val="clear" w:fill="FFFFFF"/>
        </w:rPr>
        <w:t>（三）改进建议。</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1、科学合理编制预算，严格执行预算</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keepNext w:val="0"/>
        <w:keepLines w:val="0"/>
        <w:widowControl w:val="0"/>
        <w:suppressLineNumbers w:val="0"/>
        <w:autoSpaceDE w:val="0"/>
        <w:autoSpaceDN/>
        <w:adjustRightInd w:val="0"/>
        <w:snapToGrid w:val="0"/>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2、规范账务处理，提高财务信息质量</w:t>
      </w:r>
    </w:p>
    <w:p>
      <w:pPr>
        <w:pStyle w:val="20"/>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color w:val="000000"/>
          <w:kern w:val="0"/>
          <w:sz w:val="32"/>
          <w:szCs w:val="32"/>
        </w:rPr>
        <w:t>严格按照《会计法》、《行政单位会计制度》、《行政单位财务规则》等规定，结合实际情况，科学设置支出科目，规范财务核算，完整披露相关信息</w:t>
      </w:r>
      <w:r>
        <w:rPr>
          <w:rFonts w:hint="default" w:ascii="仿宋_GB2312" w:eastAsia="仿宋_GB2312" w:cs="仿宋_GB2312"/>
          <w:kern w:val="0"/>
          <w:sz w:val="32"/>
          <w:szCs w:val="32"/>
          <w:shd w:val="clear" w:fill="FFFFFF"/>
        </w:rPr>
        <w:t xml:space="preserve"> </w:t>
      </w:r>
    </w:p>
    <w:p>
      <w:pPr>
        <w:pStyle w:val="20"/>
        <w:keepNext w:val="0"/>
        <w:keepLines w:val="0"/>
        <w:widowControl/>
        <w:suppressLineNumbers w:val="0"/>
        <w:autoSpaceDE w:val="0"/>
        <w:autoSpaceDN/>
        <w:spacing w:before="0" w:beforeAutospacing="0" w:line="576" w:lineRule="exact"/>
        <w:ind w:left="0"/>
        <w:jc w:val="center"/>
        <w:outlineLvl w:val="0"/>
        <w:rPr>
          <w:rFonts w:hint="eastAsia" w:ascii="宋体" w:hAnsi="宋体" w:eastAsia="宋体" w:cs="宋体"/>
          <w:b/>
          <w:bCs/>
          <w:kern w:val="0"/>
          <w:sz w:val="32"/>
          <w:szCs w:val="32"/>
        </w:rPr>
      </w:pPr>
      <w:bookmarkStart w:id="29" w:name="_Toc29307"/>
      <w:bookmarkEnd w:id="29"/>
      <w:r>
        <w:rPr>
          <w:rFonts w:hint="eastAsia" w:ascii="宋体" w:hAnsi="宋体" w:eastAsia="宋体" w:cs="宋体"/>
          <w:b/>
          <w:bCs/>
          <w:kern w:val="0"/>
          <w:sz w:val="32"/>
          <w:szCs w:val="32"/>
          <w:shd w:val="clear" w:fill="FFFFFF"/>
        </w:rPr>
        <w:t>第五部分 附表</w:t>
      </w:r>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30" w:name="_Toc21501"/>
      <w:bookmarkEnd w:id="30"/>
      <w:bookmarkStart w:id="31" w:name="_Toc30169"/>
      <w:r>
        <w:rPr>
          <w:rFonts w:hint="eastAsia" w:ascii="宋体" w:hAnsi="宋体" w:eastAsia="宋体" w:cs="宋体"/>
          <w:b/>
          <w:bCs/>
          <w:kern w:val="0"/>
          <w:sz w:val="24"/>
          <w:szCs w:val="24"/>
          <w:shd w:val="clear" w:fill="FFFFFF"/>
        </w:rPr>
        <w:t>一、收入支出决算总表</w:t>
      </w:r>
      <w:bookmarkEnd w:id="31"/>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32" w:name="_Toc1779"/>
      <w:bookmarkEnd w:id="32"/>
      <w:bookmarkStart w:id="33" w:name="_Toc21359"/>
      <w:r>
        <w:rPr>
          <w:rFonts w:hint="eastAsia" w:ascii="宋体" w:hAnsi="宋体" w:eastAsia="宋体" w:cs="宋体"/>
          <w:b/>
          <w:bCs/>
          <w:kern w:val="0"/>
          <w:sz w:val="24"/>
          <w:szCs w:val="24"/>
          <w:shd w:val="clear" w:fill="FFFFFF"/>
        </w:rPr>
        <w:t>二、收入决算表</w:t>
      </w:r>
      <w:bookmarkEnd w:id="33"/>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34" w:name="_Toc24561"/>
      <w:bookmarkEnd w:id="34"/>
      <w:bookmarkStart w:id="35" w:name="_Toc13964"/>
      <w:r>
        <w:rPr>
          <w:rFonts w:hint="eastAsia" w:ascii="宋体" w:hAnsi="宋体" w:eastAsia="宋体" w:cs="宋体"/>
          <w:b/>
          <w:bCs/>
          <w:kern w:val="0"/>
          <w:sz w:val="24"/>
          <w:szCs w:val="24"/>
          <w:shd w:val="clear" w:fill="FFFFFF"/>
        </w:rPr>
        <w:t>三、支出决算表</w:t>
      </w:r>
      <w:bookmarkEnd w:id="35"/>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36" w:name="_Toc28556"/>
      <w:bookmarkEnd w:id="36"/>
      <w:bookmarkStart w:id="37" w:name="_Toc16582"/>
      <w:r>
        <w:rPr>
          <w:rFonts w:hint="eastAsia" w:ascii="宋体" w:hAnsi="宋体" w:eastAsia="宋体" w:cs="宋体"/>
          <w:b/>
          <w:bCs/>
          <w:kern w:val="0"/>
          <w:sz w:val="24"/>
          <w:szCs w:val="24"/>
          <w:shd w:val="clear" w:fill="FFFFFF"/>
        </w:rPr>
        <w:t>四、财政拨款收入支出决算总表</w:t>
      </w:r>
      <w:bookmarkEnd w:id="37"/>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38" w:name="_Toc24683"/>
      <w:bookmarkEnd w:id="38"/>
      <w:bookmarkStart w:id="39" w:name="_Toc20952"/>
      <w:r>
        <w:rPr>
          <w:rFonts w:hint="eastAsia" w:ascii="宋体" w:hAnsi="宋体" w:eastAsia="宋体" w:cs="宋体"/>
          <w:b/>
          <w:bCs/>
          <w:kern w:val="0"/>
          <w:sz w:val="24"/>
          <w:szCs w:val="24"/>
          <w:shd w:val="clear" w:fill="FFFFFF"/>
        </w:rPr>
        <w:t>五、财政拨款支出决算明细表</w:t>
      </w:r>
      <w:bookmarkEnd w:id="39"/>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40" w:name="_Toc8298"/>
      <w:bookmarkEnd w:id="40"/>
      <w:bookmarkStart w:id="41" w:name="_Toc28689"/>
      <w:r>
        <w:rPr>
          <w:rFonts w:hint="eastAsia" w:ascii="宋体" w:hAnsi="宋体" w:eastAsia="宋体" w:cs="宋体"/>
          <w:b/>
          <w:bCs/>
          <w:kern w:val="0"/>
          <w:sz w:val="24"/>
          <w:szCs w:val="24"/>
          <w:shd w:val="clear" w:fill="FFFFFF"/>
        </w:rPr>
        <w:t>六、一般公共预算财政拨款支出决算表</w:t>
      </w:r>
      <w:bookmarkEnd w:id="41"/>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42" w:name="_Toc4996"/>
      <w:bookmarkEnd w:id="42"/>
      <w:bookmarkStart w:id="43" w:name="_Toc16136"/>
      <w:r>
        <w:rPr>
          <w:rFonts w:hint="eastAsia" w:ascii="宋体" w:hAnsi="宋体" w:eastAsia="宋体" w:cs="宋体"/>
          <w:b/>
          <w:bCs/>
          <w:kern w:val="0"/>
          <w:sz w:val="24"/>
          <w:szCs w:val="24"/>
          <w:shd w:val="clear" w:fill="FFFFFF"/>
        </w:rPr>
        <w:t>七、一般公共预算财政拨款支出决算明细表</w:t>
      </w:r>
      <w:bookmarkEnd w:id="43"/>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44" w:name="_Toc8229"/>
      <w:bookmarkEnd w:id="44"/>
      <w:bookmarkStart w:id="45" w:name="_Toc15208"/>
      <w:r>
        <w:rPr>
          <w:rFonts w:hint="eastAsia" w:ascii="宋体" w:hAnsi="宋体" w:eastAsia="宋体" w:cs="宋体"/>
          <w:b/>
          <w:bCs/>
          <w:kern w:val="0"/>
          <w:sz w:val="24"/>
          <w:szCs w:val="24"/>
          <w:shd w:val="clear" w:fill="FFFFFF"/>
        </w:rPr>
        <w:t>八、一般公共预算财政拨款基本支出决算表</w:t>
      </w:r>
      <w:bookmarkEnd w:id="45"/>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46" w:name="_Toc2792"/>
      <w:bookmarkEnd w:id="46"/>
      <w:bookmarkStart w:id="47" w:name="_Toc6123"/>
      <w:r>
        <w:rPr>
          <w:rFonts w:hint="eastAsia" w:ascii="宋体" w:hAnsi="宋体" w:eastAsia="宋体" w:cs="宋体"/>
          <w:b/>
          <w:bCs/>
          <w:kern w:val="0"/>
          <w:sz w:val="24"/>
          <w:szCs w:val="24"/>
          <w:shd w:val="clear" w:fill="FFFFFF"/>
        </w:rPr>
        <w:t>九、一般公共预算财政拨款项目支出决算表</w:t>
      </w:r>
      <w:bookmarkEnd w:id="47"/>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48" w:name="_Toc4444"/>
      <w:bookmarkEnd w:id="48"/>
      <w:bookmarkStart w:id="49" w:name="_Toc9516"/>
      <w:r>
        <w:rPr>
          <w:rFonts w:hint="eastAsia" w:ascii="宋体" w:hAnsi="宋体" w:eastAsia="宋体" w:cs="宋体"/>
          <w:b/>
          <w:bCs/>
          <w:kern w:val="0"/>
          <w:sz w:val="24"/>
          <w:szCs w:val="24"/>
          <w:shd w:val="clear" w:fill="FFFFFF"/>
        </w:rPr>
        <w:t>十、一般公共预算财政拨款“三公”经费支出决算表</w:t>
      </w:r>
      <w:bookmarkEnd w:id="49"/>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50" w:name="_Toc32696"/>
      <w:bookmarkEnd w:id="50"/>
      <w:bookmarkStart w:id="51" w:name="_Toc3580"/>
      <w:r>
        <w:rPr>
          <w:rFonts w:hint="eastAsia" w:ascii="宋体" w:hAnsi="宋体" w:eastAsia="宋体" w:cs="宋体"/>
          <w:b/>
          <w:bCs/>
          <w:kern w:val="0"/>
          <w:sz w:val="24"/>
          <w:szCs w:val="24"/>
          <w:shd w:val="clear" w:fill="FFFFFF"/>
        </w:rPr>
        <w:t>十一、政府性基金预算财政拨款收入支出决算表</w:t>
      </w:r>
      <w:bookmarkEnd w:id="51"/>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52" w:name="_Toc28071"/>
      <w:bookmarkEnd w:id="52"/>
      <w:bookmarkStart w:id="53" w:name="_Toc30465"/>
      <w:r>
        <w:rPr>
          <w:rFonts w:hint="eastAsia" w:ascii="宋体" w:hAnsi="宋体" w:eastAsia="宋体" w:cs="宋体"/>
          <w:b/>
          <w:bCs/>
          <w:kern w:val="0"/>
          <w:sz w:val="24"/>
          <w:szCs w:val="24"/>
          <w:shd w:val="clear" w:fill="FFFFFF"/>
        </w:rPr>
        <w:t>十二、政府性基金预算财政拨款“三公”经费支出决算表</w:t>
      </w:r>
      <w:bookmarkEnd w:id="53"/>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54" w:name="_Toc32322"/>
      <w:bookmarkEnd w:id="54"/>
      <w:bookmarkStart w:id="55" w:name="_Toc4611"/>
      <w:r>
        <w:rPr>
          <w:rFonts w:hint="eastAsia" w:ascii="宋体" w:hAnsi="宋体" w:eastAsia="宋体" w:cs="宋体"/>
          <w:b/>
          <w:bCs/>
          <w:kern w:val="0"/>
          <w:sz w:val="24"/>
          <w:szCs w:val="24"/>
          <w:shd w:val="clear" w:fill="FFFFFF"/>
        </w:rPr>
        <w:t>十三、国有资本经营预算财政拨款收入支出决算表</w:t>
      </w:r>
      <w:bookmarkEnd w:id="55"/>
    </w:p>
    <w:p>
      <w:pPr>
        <w:pStyle w:val="3"/>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56" w:name="_Toc27882"/>
      <w:bookmarkEnd w:id="56"/>
      <w:bookmarkStart w:id="57" w:name="_Toc15741"/>
      <w:r>
        <w:rPr>
          <w:rFonts w:hint="eastAsia" w:ascii="宋体" w:hAnsi="宋体" w:eastAsia="宋体" w:cs="宋体"/>
          <w:b/>
          <w:bCs/>
          <w:kern w:val="0"/>
          <w:sz w:val="24"/>
          <w:szCs w:val="24"/>
          <w:shd w:val="clear" w:fill="FFFFFF"/>
        </w:rPr>
        <w:t>十四、国有资本经营预算财政拨款支出决算表</w:t>
      </w:r>
      <w:bookmarkEnd w:id="57"/>
    </w:p>
    <w:sectPr>
      <w:footerReference r:id="rId4" w:type="default"/>
      <w:pgSz w:w="11915" w:h="16851"/>
      <w:pgMar w:top="2098" w:right="1531" w:bottom="1984"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keepNext w:val="0"/>
      <w:keepLines w:val="0"/>
      <w:widowControl/>
      <w:suppressLineNumbers w:val="0"/>
      <w:rPr>
        <w:rFonts w:hint="eastAsia" w:ascii="宋体" w:hAnsi="宋体" w:eastAsia="宋体" w:cs="宋体"/>
        <w:kern w:val="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7"/>
  <w:displayHorizontalDrawingGridEvery w:val="0"/>
  <w:displayVerticalDrawingGridEvery w:val="2"/>
  <w:noPunctuationKerning w:val="1"/>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BD5F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99"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semiHidden/>
    <w:unhideWhenUsed/>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0"/>
    <w:pPr>
      <w:spacing w:before="0" w:beforeAutospacing="1" w:after="0" w:afterAutospacing="1"/>
      <w:ind w:left="0" w:right="0"/>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0" w:beforeAutospacing="1" w:after="0" w:afterAutospacing="1"/>
      <w:ind w:left="0" w:right="0"/>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spacing w:before="0" w:beforeAutospacing="1" w:after="0" w:afterAutospacing="1"/>
      <w:ind w:left="0" w:right="0"/>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spacing w:before="0" w:beforeAutospacing="1" w:after="0" w:afterAutospacing="1"/>
      <w:ind w:left="0" w:right="0"/>
      <w:jc w:val="left"/>
    </w:pPr>
    <w:rPr>
      <w:rFonts w:hint="eastAsia" w:ascii="宋体" w:hAnsi="宋体" w:eastAsia="宋体" w:cs="宋体"/>
      <w:b/>
      <w:bCs/>
      <w:kern w:val="0"/>
      <w:sz w:val="24"/>
      <w:szCs w:val="24"/>
      <w:lang w:val="en-US" w:eastAsia="zh-CN" w:bidi="ar"/>
    </w:rPr>
  </w:style>
  <w:style w:type="paragraph" w:styleId="6">
    <w:name w:val="heading 5"/>
    <w:basedOn w:val="1"/>
    <w:next w:val="1"/>
    <w:qFormat/>
    <w:uiPriority w:val="0"/>
    <w:pPr>
      <w:spacing w:before="0" w:beforeAutospacing="1" w:after="0" w:afterAutospacing="1"/>
      <w:ind w:left="0" w:right="0"/>
      <w:jc w:val="left"/>
    </w:pPr>
    <w:rPr>
      <w:rFonts w:hint="eastAsia" w:ascii="宋体" w:hAnsi="宋体" w:eastAsia="宋体" w:cs="宋体"/>
      <w:b/>
      <w:bCs/>
      <w:kern w:val="0"/>
      <w:sz w:val="20"/>
      <w:szCs w:val="20"/>
      <w:lang w:val="en-US" w:eastAsia="zh-CN" w:bidi="ar"/>
    </w:rPr>
  </w:style>
  <w:style w:type="paragraph" w:styleId="7">
    <w:name w:val="heading 6"/>
    <w:basedOn w:val="1"/>
    <w:next w:val="1"/>
    <w:qFormat/>
    <w:uiPriority w:val="0"/>
    <w:pPr>
      <w:spacing w:before="0" w:beforeAutospacing="1" w:after="0" w:afterAutospacing="1"/>
      <w:ind w:left="0" w:right="0"/>
      <w:jc w:val="left"/>
    </w:pPr>
    <w:rPr>
      <w:rFonts w:hint="eastAsia" w:ascii="宋体" w:hAnsi="宋体" w:eastAsia="宋体" w:cs="宋体"/>
      <w:b/>
      <w:bCs/>
      <w:kern w:val="0"/>
      <w:sz w:val="15"/>
      <w:szCs w:val="15"/>
      <w:lang w:val="en-US" w:eastAsia="zh-CN" w:bidi="ar"/>
    </w:rPr>
  </w:style>
  <w:style w:type="character" w:default="1" w:styleId="18">
    <w:name w:val="Default Paragraph Font"/>
    <w:semiHidden/>
    <w:unhideWhenUsed/>
    <w:uiPriority w:val="99"/>
  </w:style>
  <w:style w:type="table" w:default="1" w:styleId="17">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Body Text"/>
    <w:basedOn w:val="1"/>
    <w:qFormat/>
    <w:uiPriority w:val="99"/>
    <w:pPr>
      <w:spacing w:before="0" w:beforeLines="30" w:beforeAutospacing="0" w:after="0" w:afterAutospacing="0"/>
      <w:ind w:left="0" w:right="0"/>
      <w:jc w:val="left"/>
    </w:pPr>
    <w:rPr>
      <w:rFonts w:hint="default" w:ascii="仿宋_GB2312" w:hAnsi="宋体" w:eastAsia="仿宋_GB2312" w:cs="宋体"/>
      <w:kern w:val="0"/>
      <w:sz w:val="30"/>
      <w:szCs w:val="30"/>
      <w:lang w:val="en-US" w:eastAsia="zh-CN" w:bidi="ar"/>
    </w:rPr>
  </w:style>
  <w:style w:type="paragraph" w:styleId="9">
    <w:name w:val="Body Text Indent"/>
    <w:basedOn w:val="1"/>
    <w:qFormat/>
    <w:uiPriority w:val="0"/>
    <w:pPr>
      <w:keepNext w:val="0"/>
      <w:keepLines w:val="0"/>
      <w:widowControl w:val="0"/>
      <w:suppressLineNumbers w:val="0"/>
      <w:spacing w:before="0" w:beforeAutospacing="0" w:after="0" w:afterAutospacing="0" w:line="540" w:lineRule="exact"/>
      <w:ind w:left="0" w:right="0" w:firstLine="5440" w:firstLineChars="1700"/>
      <w:jc w:val="both"/>
    </w:pPr>
    <w:rPr>
      <w:rFonts w:hint="default" w:ascii="Calibri" w:hAnsi="Calibri" w:eastAsia="宋体" w:cs="Times New Roman"/>
      <w:kern w:val="2"/>
      <w:sz w:val="32"/>
      <w:szCs w:val="32"/>
      <w:lang w:val="en-US" w:eastAsia="zh-CN" w:bidi="ar"/>
    </w:rPr>
  </w:style>
  <w:style w:type="paragraph" w:styleId="10">
    <w:name w:val="toc 3"/>
    <w:basedOn w:val="1"/>
    <w:next w:val="1"/>
    <w:uiPriority w:val="0"/>
    <w:pPr>
      <w:spacing w:before="0" w:beforeAutospacing="0" w:after="0" w:afterAutospacing="0"/>
      <w:ind w:left="840" w:leftChars="400" w:right="0"/>
      <w:jc w:val="left"/>
    </w:pPr>
    <w:rPr>
      <w:rFonts w:hint="eastAsia" w:ascii="宋体" w:hAnsi="宋体" w:eastAsia="宋体" w:cs="宋体"/>
      <w:kern w:val="0"/>
      <w:sz w:val="24"/>
      <w:szCs w:val="24"/>
      <w:lang w:val="en-US" w:eastAsia="zh-CN" w:bidi="ar"/>
    </w:rPr>
  </w:style>
  <w:style w:type="paragraph" w:styleId="11">
    <w:name w:val="footer"/>
    <w:basedOn w:val="1"/>
    <w:uiPriority w:val="0"/>
    <w:pPr>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12">
    <w:name w:val="header"/>
    <w:basedOn w:val="1"/>
    <w:uiPriority w:val="0"/>
    <w:pPr>
      <w:pBdr>
        <w:top w:val="none" w:color="auto" w:sz="0" w:space="0"/>
        <w:left w:val="none" w:color="auto" w:sz="0" w:space="0"/>
        <w:bottom w:val="none" w:color="auto" w:sz="0" w:space="0"/>
        <w:right w:val="none" w:color="auto" w:sz="0" w:space="0"/>
      </w:pBdr>
      <w:snapToGrid w:val="0"/>
      <w:spacing w:before="0" w:beforeAutospacing="0" w:after="0" w:afterAutospacing="0"/>
      <w:ind w:left="0" w:right="0"/>
      <w:jc w:val="both"/>
    </w:pPr>
    <w:rPr>
      <w:rFonts w:hint="eastAsia" w:ascii="宋体" w:hAnsi="宋体" w:eastAsia="宋体" w:cs="宋体"/>
      <w:kern w:val="0"/>
      <w:sz w:val="18"/>
      <w:szCs w:val="18"/>
      <w:lang w:val="en-US" w:eastAsia="zh-CN" w:bidi="ar"/>
    </w:rPr>
  </w:style>
  <w:style w:type="paragraph" w:styleId="13">
    <w:name w:val="toc 2"/>
    <w:basedOn w:val="1"/>
    <w:next w:val="1"/>
    <w:uiPriority w:val="0"/>
    <w:pPr>
      <w:spacing w:before="0" w:beforeAutospacing="0" w:after="0" w:afterAutospacing="0"/>
      <w:ind w:left="420" w:leftChars="200" w:right="0"/>
      <w:jc w:val="left"/>
    </w:pPr>
    <w:rPr>
      <w:rFonts w:hint="eastAsia" w:ascii="宋体" w:hAnsi="宋体" w:eastAsia="宋体" w:cs="宋体"/>
      <w:kern w:val="0"/>
      <w:sz w:val="24"/>
      <w:szCs w:val="24"/>
      <w:lang w:val="en-US" w:eastAsia="zh-CN" w:bidi="ar"/>
    </w:rPr>
  </w:style>
  <w:style w:type="paragraph" w:styleId="1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16">
    <w:name w:val="Body Text First Indent 2"/>
    <w:basedOn w:val="9"/>
    <w:qFormat/>
    <w:uiPriority w:val="0"/>
    <w:pPr>
      <w:keepNext w:val="0"/>
      <w:keepLines w:val="0"/>
      <w:widowControl w:val="0"/>
      <w:suppressLineNumbers w:val="0"/>
      <w:spacing w:before="0" w:beforeAutospacing="0" w:after="0" w:afterAutospacing="0" w:line="540" w:lineRule="exact"/>
      <w:ind w:left="0" w:right="0" w:firstLine="420" w:firstLineChars="200"/>
      <w:jc w:val="both"/>
    </w:pPr>
    <w:rPr>
      <w:rFonts w:hint="default" w:ascii="Calibri" w:hAnsi="Calibri" w:eastAsia="宋体" w:cs="Times New Roman"/>
      <w:kern w:val="2"/>
      <w:sz w:val="32"/>
      <w:szCs w:val="32"/>
      <w:lang w:val="en-US" w:eastAsia="zh-CN" w:bidi="ar"/>
    </w:rPr>
  </w:style>
  <w:style w:type="character" w:styleId="19">
    <w:name w:val="Hyperlink"/>
    <w:basedOn w:val="18"/>
    <w:uiPriority w:val="0"/>
    <w:rPr>
      <w:color w:val="0000FF"/>
      <w:u w:val="single"/>
    </w:rPr>
  </w:style>
  <w:style w:type="paragraph" w:customStyle="1" w:styleId="20">
    <w:name w:val="普通(网站) Char"/>
    <w:basedOn w:val="1"/>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1">
    <w:name w:val="WPSOffice手动目录 3"/>
    <w:basedOn w:val="1"/>
    <w:uiPriority w:val="0"/>
    <w:pPr>
      <w:ind w:leftChars="400"/>
      <w:jc w:val="left"/>
    </w:pPr>
    <w:rPr>
      <w:rFonts w:hint="default" w:ascii="Wingdings" w:hAnsi="Wingdings" w:eastAsia="宋体" w:cs="Wingdings"/>
      <w:kern w:val="0"/>
      <w:sz w:val="20"/>
      <w:szCs w:val="20"/>
      <w:lang w:val="en-US" w:eastAsia="zh-CN" w:bidi="ar"/>
    </w:rPr>
  </w:style>
  <w:style w:type="paragraph" w:customStyle="1" w:styleId="22">
    <w:name w:val="HTML 预设格式 Char"/>
    <w:basedOn w:val="1"/>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23">
    <w:name w:val="10"/>
    <w:basedOn w:val="18"/>
    <w:uiPriority w:val="0"/>
    <w:rPr>
      <w:rFonts w:hint="default" w:ascii="Wingdings" w:hAnsi="Wingdings" w:cs="Wingdings"/>
    </w:rPr>
  </w:style>
  <w:style w:type="paragraph" w:customStyle="1" w:styleId="24">
    <w:name w:val="WPSOffice手动目录 1"/>
    <w:basedOn w:val="1"/>
    <w:uiPriority w:val="0"/>
    <w:pPr>
      <w:ind w:leftChars="0"/>
      <w:jc w:val="left"/>
    </w:pPr>
    <w:rPr>
      <w:rFonts w:hint="default" w:ascii="Wingdings" w:hAnsi="Wingdings" w:eastAsia="宋体" w:cs="Wingdings"/>
      <w:kern w:val="0"/>
      <w:sz w:val="20"/>
      <w:szCs w:val="20"/>
      <w:lang w:val="en-US" w:eastAsia="zh-CN" w:bidi="ar"/>
    </w:rPr>
  </w:style>
  <w:style w:type="character" w:customStyle="1" w:styleId="25">
    <w:name w:val="15"/>
    <w:basedOn w:val="18"/>
    <w:uiPriority w:val="0"/>
    <w:rPr>
      <w:rFonts w:hint="default" w:ascii="Times New Roman" w:hAnsi="Times New Roman" w:cs="Times New Roman"/>
      <w:b/>
      <w:bCs/>
    </w:rPr>
  </w:style>
  <w:style w:type="character" w:customStyle="1" w:styleId="26">
    <w:name w:val="16"/>
    <w:basedOn w:val="18"/>
    <w:uiPriority w:val="0"/>
    <w:rPr>
      <w:rFonts w:hint="default" w:ascii="Times New Roman" w:hAnsi="Times New Roman" w:cs="Times New Roman"/>
    </w:rPr>
  </w:style>
  <w:style w:type="character" w:customStyle="1" w:styleId="27">
    <w:name w:val="17"/>
    <w:basedOn w:val="18"/>
    <w:uiPriority w:val="0"/>
    <w:rPr>
      <w:rFonts w:hint="default" w:ascii="Times New Roman" w:hAnsi="Times New Roman" w:cs="Times New Roman"/>
    </w:rPr>
  </w:style>
  <w:style w:type="paragraph" w:customStyle="1" w:styleId="28">
    <w:name w:val="WPSOffice手动目录 2"/>
    <w:basedOn w:val="1"/>
    <w:uiPriority w:val="0"/>
    <w:pPr>
      <w:ind w:leftChars="200"/>
      <w:jc w:val="left"/>
    </w:pPr>
    <w:rPr>
      <w:rFonts w:hint="default" w:ascii="Wingdings" w:hAnsi="Wingdings" w:eastAsia="宋体" w:cs="Wingdings"/>
      <w:kern w:val="0"/>
      <w:sz w:val="20"/>
      <w:szCs w:val="2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file:///C:\Users\Administrator\AppData\Local\Temp\~tmp1638349824\Users\ADMINI~1\AppData\Local\Temp\~tmp%7B697e60fa-54df-4614-86c5-19654a327e41%7D1250666.files/~tmp%7B697e60fa-54df-4614-86c5-19654a327e41%7D12506666275.png" TargetMode="External"/><Relationship Id="rId8" Type="http://schemas.openxmlformats.org/officeDocument/2006/relationships/image" Target="file:///C:\Users\Administrator\AppData\Local\Temp\~tmp1638349824\Users\ADMINI~1\AppData\Local\Temp\~tmp%7B697e60fa-54df-4614-86c5-19654a327e41%7D1250666.files/~tmp%7B697e60fa-54df-4614-86c5-19654a327e41%7D12506665887.png" TargetMode="External"/><Relationship Id="rId7" Type="http://schemas.openxmlformats.org/officeDocument/2006/relationships/image" Target="file:///C:\Users\Administrator\AppData\Local\Temp\~tmp1638349824\Users\ADMINI~1\AppData\Local\Temp\~tmp%7B697e60fa-54df-4614-86c5-19654a327e41%7D1250666.files/~tmp%7B697e60fa-54df-4614-86c5-19654a327e41%7D12506665468.png" TargetMode="External"/><Relationship Id="rId6" Type="http://schemas.openxmlformats.org/officeDocument/2006/relationships/image" Target="file:///C:\Users\Administrator\AppData\Local\Temp\~tmp1638349824\Users\ADMINI~1\AppData\Local\Temp\~tmp%7B697e60fa-54df-4614-86c5-19654a327e41%7D1250666.files/~tmp%7B697e60fa-54df-4614-86c5-19654a327e41%7D12506664962.png" TargetMode="Externa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file:///C:\Users\Administrator\AppData\Local\Temp\~tmp1638349824\Users\ADMINI~1\AppData\Local\Temp\~tmp%7B697e60fa-54df-4614-86c5-19654a327e41%7D1250666.files/~tmp%7B697e60fa-54df-4614-86c5-19654a327e41%7D12506668475.png" TargetMode="External"/><Relationship Id="rId11" Type="http://schemas.openxmlformats.org/officeDocument/2006/relationships/image" Target="file:///C:\Users\Administrator\AppData\Local\Temp\~tmp1638349824\Users\ADMINI~1\AppData\Local\Temp\~tmp%7B697e60fa-54df-4614-86c5-19654a327e41%7D1250666.files/~tmp%7B697e60fa-54df-4614-86c5-19654a327e41%7D12506667149.png" TargetMode="External"/><Relationship Id="rId10" Type="http://schemas.openxmlformats.org/officeDocument/2006/relationships/image" Target="file:///C:\Users\Administrator\AppData\Local\Temp\~tmp1638349824\Users\ADMINI~1\AppData\Local\Temp\~tmp%7B697e60fa-54df-4614-86c5-19654a327e41%7D1250666.files/~tmp%7B697e60fa-54df-4614-86c5-19654a327e41%7D12506666699.png" TargetMode="Externa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Lines>1</Lines>
  <Paragraphs>1</Paragraphs>
  <TotalTime>0</TotalTime>
  <ScaleCrop>false</ScaleCrop>
  <LinksUpToDate>false</LinksUpToDate>
  <Application>WPS Office_11.1.0.11115_F1E327BC-269C-435d-A152-05C5408002CA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2021-12-01T09:10:24Z</dcterms:created>
  <dc:creator>Administrator</dc:creator>
  <cp:lastModifiedBy>一苇以航</cp:lastModifiedBy>
  <dcterms:modified xsi:type="dcterms:W3CDTF">2021-12-01T09:11:41Z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5ECD3ACAAB6045C98484820DA227B41E</vt:lpwstr>
  </property>
</Properties>
</file>