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597"/>
      <w:bookmarkStart w:id="3" w:name="_Toc15377193"/>
      <w:bookmarkStart w:id="4" w:name="_Toc15378441"/>
      <w:bookmarkStart w:id="5" w:name="_Toc1539647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96476"/>
      <w:bookmarkStart w:id="7" w:name="_Toc15377194"/>
      <w:bookmarkStart w:id="8" w:name="_Toc15396598"/>
      <w:bookmarkStart w:id="9" w:name="_Toc15378442"/>
      <w:bookmarkStart w:id="10" w:name="_Toc15377426"/>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中共红原县</w:t>
      </w:r>
      <w:bookmarkEnd w:id="0"/>
      <w:bookmarkStart w:id="11" w:name="_Toc15306268"/>
      <w:r>
        <w:rPr>
          <w:rFonts w:hint="eastAsia" w:ascii="方正小标宋简体" w:hAnsi="宋体" w:eastAsia="方正小标宋简体"/>
          <w:color w:val="000000"/>
          <w:sz w:val="72"/>
          <w:szCs w:val="72"/>
          <w:lang w:eastAsia="zh-CN"/>
        </w:rPr>
        <w:t>委、县人民政府联动指挥</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lang w:eastAsia="zh-CN"/>
        </w:rPr>
        <w:t>中心</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
      <w:pPr>
        <w:pStyle w:val="10"/>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pPr>
        <w:pStyle w:val="11"/>
        <w:adjustRightInd w:val="0"/>
        <w:snapToGrid w:val="0"/>
        <w:spacing w:line="440" w:lineRule="exact"/>
        <w:jc w:val="left"/>
        <w:rPr>
          <w:rFonts w:ascii="仿宋" w:hAnsi="仿宋" w:eastAsia="仿宋"/>
          <w:sz w:val="24"/>
        </w:rPr>
      </w:pPr>
      <w:r>
        <w:rPr>
          <w:rFonts w:hint="eastAsia"/>
          <w:sz w:val="24"/>
        </w:rPr>
        <w:t>一、基本职能及主要工作</w:t>
      </w:r>
    </w:p>
    <w:p>
      <w:pPr>
        <w:pStyle w:val="11"/>
        <w:adjustRightInd w:val="0"/>
        <w:snapToGrid w:val="0"/>
        <w:spacing w:line="440" w:lineRule="exact"/>
        <w:jc w:val="left"/>
        <w:rPr>
          <w:rFonts w:ascii="仿宋" w:hAnsi="仿宋" w:eastAsia="仿宋" w:cstheme="minorBidi"/>
          <w:sz w:val="24"/>
        </w:rPr>
      </w:pPr>
      <w:r>
        <w:rPr>
          <w:rFonts w:hint="eastAsia"/>
          <w:sz w:val="24"/>
        </w:rPr>
        <w:t>二、机构设置</w:t>
      </w:r>
    </w:p>
    <w:p>
      <w:pPr>
        <w:pStyle w:val="10"/>
        <w:adjustRightInd w:val="0"/>
        <w:snapToGrid w:val="0"/>
        <w:spacing w:before="0" w:line="440" w:lineRule="exact"/>
        <w:jc w:val="left"/>
        <w:rPr>
          <w:sz w:val="24"/>
          <w:szCs w:val="24"/>
        </w:rPr>
      </w:pPr>
      <w:r>
        <w:rPr>
          <w:rFonts w:hint="eastAsia"/>
          <w:sz w:val="24"/>
        </w:rPr>
        <w:t>第二部分度部门决算情况说明</w:t>
      </w:r>
    </w:p>
    <w:p>
      <w:pPr>
        <w:pStyle w:val="11"/>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pPr>
        <w:pStyle w:val="11"/>
        <w:adjustRightInd w:val="0"/>
        <w:snapToGrid w:val="0"/>
        <w:spacing w:line="440" w:lineRule="exact"/>
        <w:jc w:val="left"/>
        <w:rPr>
          <w:rFonts w:ascii="仿宋" w:hAnsi="仿宋" w:eastAsia="仿宋" w:cstheme="minorBidi"/>
          <w:sz w:val="24"/>
        </w:rPr>
      </w:pPr>
      <w:r>
        <w:rPr>
          <w:rFonts w:hint="eastAsia"/>
          <w:sz w:val="24"/>
        </w:rPr>
        <w:t>二、收入决算情况说明</w:t>
      </w:r>
    </w:p>
    <w:p>
      <w:pPr>
        <w:pStyle w:val="11"/>
        <w:adjustRightInd w:val="0"/>
        <w:snapToGrid w:val="0"/>
        <w:spacing w:line="440" w:lineRule="exact"/>
        <w:jc w:val="left"/>
        <w:rPr>
          <w:rFonts w:ascii="仿宋" w:hAnsi="仿宋" w:eastAsia="仿宋" w:cstheme="minorBidi"/>
          <w:sz w:val="24"/>
        </w:rPr>
      </w:pPr>
      <w:r>
        <w:rPr>
          <w:rFonts w:hint="eastAsia"/>
          <w:sz w:val="24"/>
        </w:rPr>
        <w:t>三、支出决算情况说明</w:t>
      </w:r>
    </w:p>
    <w:p>
      <w:pPr>
        <w:pStyle w:val="11"/>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pPr>
        <w:pStyle w:val="11"/>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pPr>
        <w:pStyle w:val="11"/>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pPr>
        <w:pStyle w:val="11"/>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p>
    <w:p>
      <w:pPr>
        <w:pStyle w:val="11"/>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pPr>
        <w:pStyle w:val="11"/>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国</w:t>
      </w:r>
      <w:r>
        <w:rPr>
          <w:rFonts w:hint="eastAsia"/>
          <w:sz w:val="24"/>
        </w:rPr>
        <w:t>有资本经营预算支出决算情况说明</w:t>
      </w:r>
    </w:p>
    <w:p>
      <w:pPr>
        <w:adjustRightInd w:val="0"/>
        <w:snapToGrid w:val="0"/>
        <w:spacing w:line="440" w:lineRule="exact"/>
        <w:ind w:firstLine="480" w:firstLineChars="200"/>
        <w:jc w:val="left"/>
        <w:rPr>
          <w:rFonts w:ascii="仿宋" w:hAnsi="仿宋" w:eastAsia="仿宋" w:cstheme="minorBidi"/>
          <w:sz w:val="24"/>
        </w:rPr>
      </w:pPr>
      <w:r>
        <w:rPr>
          <w:rStyle w:val="16"/>
          <w:rFonts w:hint="eastAsia" w:ascii="仿宋" w:hAnsi="仿宋" w:eastAsia="仿宋"/>
          <w:color w:val="000000" w:themeColor="text1"/>
          <w:sz w:val="24"/>
          <w:u w:val="none"/>
          <w14:textFill>
            <w14:solidFill>
              <w14:schemeClr w14:val="tx1"/>
            </w14:solidFill>
          </w14:textFill>
        </w:rPr>
        <w:t>十、</w:t>
      </w:r>
      <w:r>
        <w:rPr>
          <w:rFonts w:hint="eastAsia"/>
          <w:sz w:val="24"/>
        </w:rPr>
        <w:t>其他重要事项的情况说明</w:t>
      </w:r>
      <w:r>
        <w:rPr>
          <w:rFonts w:ascii="仿宋" w:hAnsi="仿宋" w:eastAsia="仿宋"/>
          <w:sz w:val="24"/>
        </w:rPr>
        <w:tab/>
      </w:r>
    </w:p>
    <w:p>
      <w:pPr>
        <w:pStyle w:val="10"/>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pPr>
        <w:pStyle w:val="10"/>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pPr>
        <w:pStyle w:val="11"/>
        <w:adjustRightInd w:val="0"/>
        <w:snapToGrid w:val="0"/>
        <w:spacing w:line="440" w:lineRule="exact"/>
        <w:jc w:val="left"/>
        <w:rPr>
          <w:rFonts w:ascii="仿宋" w:hAnsi="仿宋" w:eastAsia="仿宋" w:cstheme="minorBidi"/>
          <w:sz w:val="24"/>
        </w:rPr>
      </w:pPr>
      <w:r>
        <w:rPr>
          <w:rFonts w:hint="eastAsia"/>
          <w:sz w:val="24"/>
        </w:rPr>
        <w:t>附件</w:t>
      </w:r>
      <w:r>
        <w:rPr>
          <w:sz w:val="24"/>
        </w:rPr>
        <w:t>1</w:t>
      </w:r>
    </w:p>
    <w:p>
      <w:pPr>
        <w:pStyle w:val="11"/>
        <w:adjustRightInd w:val="0"/>
        <w:snapToGrid w:val="0"/>
        <w:spacing w:line="440" w:lineRule="exact"/>
        <w:jc w:val="left"/>
        <w:rPr>
          <w:rFonts w:ascii="仿宋" w:hAnsi="仿宋" w:eastAsia="仿宋" w:cstheme="minorBidi"/>
          <w:sz w:val="24"/>
        </w:rPr>
      </w:pPr>
      <w:r>
        <w:rPr>
          <w:rFonts w:hint="eastAsia"/>
          <w:sz w:val="24"/>
        </w:rPr>
        <w:t>附件</w:t>
      </w:r>
      <w:r>
        <w:rPr>
          <w:sz w:val="24"/>
        </w:rPr>
        <w:t>2</w:t>
      </w:r>
    </w:p>
    <w:p>
      <w:pPr>
        <w:pStyle w:val="10"/>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pPr>
        <w:pStyle w:val="11"/>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2"/>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6"/>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p>
    <w:bookmarkEnd w:id="16"/>
    <w:bookmarkEnd w:id="17"/>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rPr>
          <w:rFonts w:hint="eastAsia" w:ascii="仿宋_GB2312" w:hAnsi="仿宋_GB2312" w:eastAsia="仿宋_GB2312" w:cs="仿宋_GB2312"/>
          <w:bCs/>
          <w:sz w:val="32"/>
          <w:szCs w:val="32"/>
        </w:rPr>
      </w:pPr>
      <w:bookmarkStart w:id="18" w:name="_Toc15377199"/>
      <w:bookmarkStart w:id="19" w:name="_Toc15378446"/>
      <w:r>
        <w:rPr>
          <w:rFonts w:hint="eastAsia" w:ascii="仿宋_GB2312" w:hAnsi="仿宋_GB2312" w:eastAsia="仿宋_GB2312" w:cs="仿宋_GB2312"/>
          <w:bCs/>
          <w:sz w:val="32"/>
          <w:szCs w:val="32"/>
        </w:rPr>
        <w:t>1、受县委、县政府的委托,代表县联动指挥中心行使应急指挥权利。</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2、负责对中心入驻的五大中心工作人员的管理,负责对七大平台数据的收集和分析研判,并代表县委、政府和县联动指挥中心对重大事件和突发事件的应急指挥工作。</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3、负责组织督促落实县委、政府和县联动指挥中心下达的指令或工作安排部署,棖据工作的宾际情况和需要,适时召开联动部门工作协调会、研究解决有关联动服务事宜和问题。</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4、负责对重要信息的收集,报送工作,对全县应急处突涉稳事件、安全生产急救、自然灾害等重大事件的协调工作,同时做好处置工作记录,并逐日归类汇总并备案；</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5、负责组织、督促有关部门抓好民生服务工作矛盾纠纷排查化解工作,开展调查研究,对重大情况和问题应及时进行分析研判,并向县政府长交研判报告。</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6、负责建立会联动指挥中心各项规章制度；</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7、负责协助和管理县民族宗教局入驻人员开展寺网格化精准服务系统管理工作;负责协助和管层公安局入驻人员做好联动指挥中心系统维护以及天网视频调度工作;</w:t>
      </w:r>
      <w:r>
        <w:rPr>
          <w:rFonts w:hint="eastAsia" w:ascii="仿宋_GB2312" w:hAnsi="仿宋_GB2312" w:eastAsia="仿宋_GB2312" w:cs="仿宋_GB2312"/>
          <w:bCs/>
          <w:sz w:val="32"/>
          <w:szCs w:val="32"/>
          <w:lang w:eastAsia="zh-CN"/>
        </w:rPr>
        <w:t>负责</w:t>
      </w:r>
      <w:r>
        <w:rPr>
          <w:rFonts w:hint="eastAsia" w:ascii="仿宋_GB2312" w:hAnsi="仿宋_GB2312" w:eastAsia="仿宋_GB2312" w:cs="仿宋_GB2312"/>
          <w:bCs/>
          <w:sz w:val="32"/>
          <w:szCs w:val="32"/>
        </w:rPr>
        <w:t>协助和管理县矛盾纠纷“大调解”中心做好全县大谓解工作和基层大调解指导工作;负责协助和管理其它入驻单位的工作人员开展相关工作。</w:t>
      </w:r>
    </w:p>
    <w:p>
      <w:pPr>
        <w:pStyle w:val="5"/>
        <w:adjustRightInd w:val="0"/>
        <w:snapToGrid w:val="0"/>
        <w:spacing w:before="93" w:line="600" w:lineRule="exact"/>
        <w:ind w:left="638" w:leftChars="304" w:firstLine="28" w:firstLineChars="9"/>
        <w:outlineLvl w:val="2"/>
        <w:rPr>
          <w:rFonts w:hint="eastAsia"/>
          <w:bCs/>
          <w:sz w:val="32"/>
          <w:szCs w:val="32"/>
        </w:rPr>
      </w:pPr>
      <w:r>
        <w:rPr>
          <w:rFonts w:hint="eastAsia"/>
          <w:bCs/>
          <w:sz w:val="32"/>
          <w:szCs w:val="32"/>
        </w:rPr>
        <w:t>8、负责做好县委、政府临时交办的各项工作任务。</w:t>
      </w:r>
    </w:p>
    <w:p>
      <w:pPr>
        <w:pStyle w:val="5"/>
        <w:adjustRightInd w:val="0"/>
        <w:snapToGrid w:val="0"/>
        <w:spacing w:before="93" w:line="600" w:lineRule="exact"/>
        <w:ind w:left="638" w:leftChars="304" w:firstLine="28" w:firstLineChars="9"/>
        <w:outlineLvl w:val="2"/>
        <w:rPr>
          <w:rFonts w:hint="eastAsia" w:ascii="仿宋" w:hAnsi="仿宋" w:eastAsia="仿宋"/>
          <w:bCs/>
          <w:color w:val="000000"/>
          <w:sz w:val="32"/>
          <w:szCs w:val="32"/>
        </w:rPr>
      </w:pPr>
      <w:r>
        <w:rPr>
          <w:rFonts w:hint="eastAsia" w:ascii="仿宋" w:hAnsi="仿宋" w:eastAsia="仿宋"/>
          <w:bCs/>
          <w:color w:val="000000"/>
          <w:sz w:val="32"/>
          <w:szCs w:val="32"/>
          <w:lang w:eastAsia="zh-CN"/>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一是进一步健全管理机制。中心目前虽有较完整的管理机制，但就如何激励各平台功能更好的发挥和整合平台信息共享方面还存在不足，下一步我们将就不断健全完善平台综合管理应用方面再做进一步探索和完善，力求确保在各自的管理体系中实现信息的多重共享。</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二是进一步优化平台应用。首先加大藏区依法常态化信息工作平台的推广应用，信息化工作平台功能更强大，涉及面更广，操作更加适用，通过近段时间的试运行，平台作用已得到发挥，下一步将加大平台的宣传，确保部门和乡镇能充分认识和应用该平台，同时我们也将综治中心通过视频监控发现的问题以及110转派非警务事件的转派和督办通过信息化工作平台来实现事件办理的线上痕迹化管理，以此倒逼乡镇和部门开展信息化工作平台的应用。其次是强化“红原在线”的提档升级，目前虽然通过大力宣传，“红原在线”平台服务于旅游的功能有所展现，但通过其GPS定位以实现民生服务方面还较不足，下一步我们将通过和部门合作，开发相应的民生服务项目，包括正在计划和民政局合作，利用平台定位优势，开展我县散居老人的“保姆式服务”项目开发应用。</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rPr>
          <w:rFonts w:hint="eastAsia" w:ascii="仿宋" w:hAnsi="仿宋" w:eastAsia="仿宋"/>
          <w:bCs/>
          <w:color w:val="000000"/>
          <w:sz w:val="32"/>
          <w:szCs w:val="32"/>
        </w:rPr>
      </w:pPr>
      <w:r>
        <w:rPr>
          <w:rFonts w:hint="eastAsia" w:ascii="仿宋_GB2312" w:eastAsia="仿宋_GB2312" w:hAnsiTheme="minorHAnsi" w:cstheme="minorBidi"/>
          <w:kern w:val="2"/>
          <w:sz w:val="32"/>
          <w:szCs w:val="32"/>
          <w:lang w:val="en-US" w:eastAsia="zh-CN" w:bidi="ar-SA"/>
        </w:rPr>
        <w:t>三是逐步推行线上线下双接件，同办理。为充分体现中心负责全县群众投诉、咨询、意见、建言建议的受理、交办和督查调度的作用，中心目前已申请8998989的热线服务电话，我们将加快服务热线的推广，已达到将群众非警务事件的所有投诉、求助事件纳入中心处置、分流、督办和回访。</w:t>
      </w:r>
    </w:p>
    <w:p>
      <w:pPr>
        <w:pStyle w:val="3"/>
        <w:rPr>
          <w:rStyle w:val="26"/>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ind w:firstLine="800" w:firstLineChars="250"/>
        <w:rPr>
          <w:rFonts w:ascii="仿宋" w:hAnsi="仿宋" w:eastAsia="仿宋"/>
          <w:sz w:val="32"/>
          <w:szCs w:val="32"/>
        </w:rPr>
      </w:pPr>
      <w:r>
        <w:rPr>
          <w:rFonts w:hint="eastAsia" w:ascii="仿宋" w:hAnsi="仿宋" w:eastAsia="仿宋"/>
          <w:sz w:val="32"/>
          <w:szCs w:val="32"/>
          <w:lang w:eastAsia="zh-CN"/>
        </w:rPr>
        <w:t>联动中心</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r>
        <w:rPr>
          <w:rFonts w:hint="eastAsia" w:ascii="仿宋_GB2312" w:eastAsia="仿宋_GB2312" w:hAnsiTheme="minorHAnsi" w:cstheme="minorBidi"/>
          <w:kern w:val="2"/>
          <w:sz w:val="32"/>
          <w:szCs w:val="32"/>
          <w:lang w:val="en-US" w:eastAsia="zh-CN" w:bidi="ar-SA"/>
        </w:rPr>
        <w:t>单位编制数8人，在职事业人员</w:t>
      </w:r>
      <w:r>
        <w:rPr>
          <w:rFonts w:hint="eastAsia" w:ascii="仿宋_GB2312" w:eastAsia="仿宋_GB2312" w:cstheme="minorBidi"/>
          <w:kern w:val="2"/>
          <w:sz w:val="32"/>
          <w:szCs w:val="32"/>
          <w:lang w:val="en-US" w:eastAsia="zh-CN" w:bidi="ar-SA"/>
        </w:rPr>
        <w:t>5</w:t>
      </w:r>
      <w:r>
        <w:rPr>
          <w:rFonts w:hint="eastAsia" w:ascii="仿宋_GB2312" w:eastAsia="仿宋_GB2312" w:hAnsiTheme="minorHAnsi" w:cstheme="minorBidi"/>
          <w:kern w:val="2"/>
          <w:sz w:val="32"/>
          <w:szCs w:val="32"/>
          <w:lang w:val="en-US" w:eastAsia="zh-CN" w:bidi="ar-SA"/>
        </w:rPr>
        <w:t>人。</w:t>
      </w: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pStyle w:val="2"/>
        <w:ind w:right="440"/>
        <w:jc w:val="right"/>
        <w:rPr>
          <w:rFonts w:hint="eastAsia" w:ascii="黑体" w:hAnsi="黑体" w:eastAsia="黑体"/>
          <w:b w:val="0"/>
          <w:color w:val="000000"/>
        </w:rPr>
      </w:pPr>
      <w:bookmarkStart w:id="22" w:name="_Toc15396602"/>
      <w:bookmarkStart w:id="23" w:name="_Toc15377204"/>
    </w:p>
    <w:p>
      <w:pPr>
        <w:pStyle w:val="2"/>
        <w:ind w:right="440"/>
        <w:jc w:val="right"/>
        <w:rPr>
          <w:rStyle w:val="25"/>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22"/>
      <w:bookmarkEnd w:id="23"/>
    </w:p>
    <w:p/>
    <w:p>
      <w:pPr>
        <w:pStyle w:val="24"/>
        <w:numPr>
          <w:ilvl w:val="0"/>
          <w:numId w:val="1"/>
        </w:numPr>
        <w:spacing w:line="600" w:lineRule="exact"/>
        <w:ind w:firstLineChars="0"/>
        <w:outlineLvl w:val="1"/>
        <w:rPr>
          <w:rStyle w:val="26"/>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122.22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122.99</w:t>
      </w:r>
      <w:r>
        <w:rPr>
          <w:rFonts w:hint="eastAsia" w:ascii="仿宋" w:hAnsi="仿宋" w:eastAsia="仿宋"/>
          <w:color w:val="000000"/>
          <w:sz w:val="32"/>
          <w:szCs w:val="32"/>
        </w:rPr>
        <w:t>万元。与2018年相比，收</w:t>
      </w:r>
      <w:r>
        <w:rPr>
          <w:rFonts w:hint="eastAsia" w:ascii="仿宋" w:hAnsi="仿宋" w:eastAsia="仿宋"/>
          <w:color w:val="000000"/>
          <w:sz w:val="32"/>
          <w:szCs w:val="32"/>
          <w:lang w:eastAsia="zh-CN"/>
        </w:rPr>
        <w:t>入总计增加</w:t>
      </w:r>
      <w:r>
        <w:rPr>
          <w:rFonts w:hint="eastAsia" w:ascii="仿宋" w:hAnsi="仿宋" w:eastAsia="仿宋"/>
          <w:color w:val="000000"/>
          <w:sz w:val="32"/>
          <w:szCs w:val="32"/>
          <w:lang w:val="en-US" w:eastAsia="zh-CN"/>
        </w:rPr>
        <w:t>15.28万元，增长14.29%，主要原因是人员经费增加。</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1.71</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1.37</w:t>
      </w:r>
      <w:r>
        <w:rPr>
          <w:rFonts w:ascii="仿宋" w:hAnsi="仿宋" w:eastAsia="仿宋"/>
          <w:color w:val="000000"/>
          <w:sz w:val="32"/>
          <w:szCs w:val="32"/>
        </w:rPr>
        <w:t>%</w:t>
      </w:r>
      <w:r>
        <w:rPr>
          <w:rFonts w:hint="eastAsia" w:ascii="仿宋" w:hAnsi="仿宋" w:eastAsia="仿宋"/>
          <w:color w:val="000000"/>
          <w:sz w:val="32"/>
          <w:szCs w:val="32"/>
          <w:lang w:eastAsia="zh-CN"/>
        </w:rPr>
        <w:t>，主要原因是项目减少</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w:t>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58240" behindDoc="0" locked="0" layoutInCell="1" allowOverlap="1">
            <wp:simplePos x="0" y="0"/>
            <wp:positionH relativeFrom="column">
              <wp:posOffset>485775</wp:posOffset>
            </wp:positionH>
            <wp:positionV relativeFrom="paragraph">
              <wp:posOffset>62865</wp:posOffset>
            </wp:positionV>
            <wp:extent cx="4032250" cy="2953385"/>
            <wp:effectExtent l="4445" t="4445" r="20955" b="1397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4"/>
        <w:numPr>
          <w:ilvl w:val="0"/>
          <w:numId w:val="1"/>
        </w:numPr>
        <w:spacing w:line="600" w:lineRule="exact"/>
        <w:ind w:firstLineChars="0"/>
        <w:outlineLvl w:val="1"/>
        <w:rPr>
          <w:rStyle w:val="26"/>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122.22</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122.22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59264" behindDoc="1" locked="0" layoutInCell="1" allowOverlap="1">
            <wp:simplePos x="0" y="0"/>
            <wp:positionH relativeFrom="column">
              <wp:posOffset>444500</wp:posOffset>
            </wp:positionH>
            <wp:positionV relativeFrom="paragraph">
              <wp:posOffset>280035</wp:posOffset>
            </wp:positionV>
            <wp:extent cx="4678680" cy="2653665"/>
            <wp:effectExtent l="4445" t="4445" r="22225" b="8890"/>
            <wp:wrapTight wrapText="bothSides">
              <wp:wrapPolygon>
                <wp:start x="-21" y="-36"/>
                <wp:lineTo x="-21" y="21517"/>
                <wp:lineTo x="21527" y="21517"/>
                <wp:lineTo x="21527" y="-36"/>
                <wp:lineTo x="-21" y="-36"/>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4"/>
        <w:numPr>
          <w:ilvl w:val="0"/>
          <w:numId w:val="0"/>
        </w:numPr>
        <w:spacing w:line="600" w:lineRule="exact"/>
        <w:ind w:firstLine="640" w:firstLineChars="200"/>
        <w:outlineLvl w:val="1"/>
        <w:rPr>
          <w:rStyle w:val="26"/>
          <w:rFonts w:ascii="黑体" w:hAnsi="黑体" w:eastAsia="黑体"/>
          <w:b w:val="0"/>
        </w:rPr>
      </w:pPr>
      <w:bookmarkStart w:id="28" w:name="_Toc15396605"/>
      <w:bookmarkStart w:id="29" w:name="_Toc15377207"/>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122.99</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122.22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99.37</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0.78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0.63</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w:t>
      </w:r>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0288" behindDoc="1" locked="0" layoutInCell="1" allowOverlap="1">
            <wp:simplePos x="0" y="0"/>
            <wp:positionH relativeFrom="column">
              <wp:posOffset>756920</wp:posOffset>
            </wp:positionH>
            <wp:positionV relativeFrom="paragraph">
              <wp:posOffset>8255</wp:posOffset>
            </wp:positionV>
            <wp:extent cx="3726815" cy="2280920"/>
            <wp:effectExtent l="5080" t="5080" r="20955" b="19050"/>
            <wp:wrapTight wrapText="bothSides">
              <wp:wrapPolygon>
                <wp:start x="-29" y="-48"/>
                <wp:lineTo x="-29" y="21420"/>
                <wp:lineTo x="21501" y="21420"/>
                <wp:lineTo x="21501" y="-48"/>
                <wp:lineTo x="-29" y="-48"/>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hint="eastAsia" w:ascii="黑体" w:hAnsi="黑体" w:eastAsia="黑体"/>
          <w:color w:val="000000"/>
          <w:sz w:val="32"/>
          <w:szCs w:val="32"/>
        </w:rPr>
      </w:pPr>
      <w:bookmarkStart w:id="30" w:name="_Toc15396606"/>
      <w:bookmarkStart w:id="31" w:name="_Toc15377208"/>
    </w:p>
    <w:p>
      <w:pPr>
        <w:spacing w:line="600" w:lineRule="exact"/>
        <w:outlineLvl w:val="1"/>
        <w:rPr>
          <w:rFonts w:hint="eastAsia" w:ascii="黑体" w:hAnsi="黑体" w:eastAsia="黑体"/>
          <w:color w:val="000000"/>
          <w:sz w:val="32"/>
          <w:szCs w:val="32"/>
        </w:rPr>
      </w:pPr>
    </w:p>
    <w:p>
      <w:pPr>
        <w:spacing w:line="600" w:lineRule="exact"/>
        <w:ind w:firstLine="640" w:firstLineChars="200"/>
        <w:outlineLvl w:val="1"/>
        <w:rPr>
          <w:rStyle w:val="26"/>
          <w:rFonts w:ascii="黑体" w:hAnsi="黑体" w:eastAsia="黑体"/>
          <w:b w:val="0"/>
        </w:rPr>
      </w:pPr>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122.22万元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122.99</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w:t>
      </w:r>
      <w:r>
        <w:rPr>
          <w:rFonts w:hint="eastAsia" w:ascii="仿宋" w:hAnsi="仿宋" w:eastAsia="仿宋"/>
          <w:color w:val="000000"/>
          <w:sz w:val="32"/>
          <w:szCs w:val="32"/>
          <w:lang w:eastAsia="zh-CN"/>
        </w:rPr>
        <w:t>入总计增加</w:t>
      </w:r>
      <w:r>
        <w:rPr>
          <w:rFonts w:hint="eastAsia" w:ascii="仿宋" w:hAnsi="仿宋" w:eastAsia="仿宋"/>
          <w:color w:val="000000"/>
          <w:sz w:val="32"/>
          <w:szCs w:val="32"/>
          <w:lang w:val="en-US" w:eastAsia="zh-CN"/>
        </w:rPr>
        <w:t>15.28</w:t>
      </w:r>
      <w:r>
        <w:rPr>
          <w:rFonts w:hint="eastAsia" w:ascii="仿宋" w:hAnsi="仿宋" w:eastAsia="仿宋"/>
          <w:color w:val="000000"/>
          <w:sz w:val="32"/>
          <w:szCs w:val="32"/>
          <w:lang w:eastAsia="zh-CN"/>
        </w:rPr>
        <w:t>万元，</w:t>
      </w:r>
      <w:r>
        <w:rPr>
          <w:rFonts w:hint="eastAsia" w:ascii="仿宋" w:hAnsi="仿宋" w:eastAsia="仿宋"/>
          <w:color w:val="000000"/>
          <w:sz w:val="32"/>
          <w:szCs w:val="32"/>
          <w:lang w:val="en-US" w:eastAsia="zh-CN"/>
        </w:rPr>
        <w:t>增长14.29%，主要原因是人员经费增加。</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1.71</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1.37</w:t>
      </w:r>
      <w:r>
        <w:rPr>
          <w:rFonts w:ascii="仿宋" w:hAnsi="仿宋" w:eastAsia="仿宋"/>
          <w:color w:val="000000"/>
          <w:sz w:val="32"/>
          <w:szCs w:val="32"/>
        </w:rPr>
        <w:t>%</w:t>
      </w:r>
      <w:r>
        <w:rPr>
          <w:rFonts w:hint="eastAsia" w:ascii="仿宋" w:hAnsi="仿宋" w:eastAsia="仿宋"/>
          <w:color w:val="000000"/>
          <w:sz w:val="32"/>
          <w:szCs w:val="32"/>
          <w:lang w:eastAsia="zh-CN"/>
        </w:rPr>
        <w:t>，主要原因是项目减少</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w:t>
      </w:r>
    </w:p>
    <w:p>
      <w:pPr>
        <w:spacing w:line="600" w:lineRule="exact"/>
        <w:ind w:firstLine="640"/>
        <w:rPr>
          <w:rFonts w:ascii="仿宋" w:hAnsi="仿宋" w:eastAsia="仿宋"/>
          <w:b/>
          <w:color w:val="00B05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1312" behindDoc="0" locked="0" layoutInCell="1" allowOverlap="1">
            <wp:simplePos x="0" y="0"/>
            <wp:positionH relativeFrom="column">
              <wp:posOffset>344805</wp:posOffset>
            </wp:positionH>
            <wp:positionV relativeFrom="paragraph">
              <wp:posOffset>213360</wp:posOffset>
            </wp:positionV>
            <wp:extent cx="4032250" cy="2953385"/>
            <wp:effectExtent l="4445" t="4445" r="20955" b="1397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outlineLvl w:val="1"/>
        <w:rPr>
          <w:rStyle w:val="26"/>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122.99</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w:t>
      </w:r>
      <w:r>
        <w:rPr>
          <w:rFonts w:hint="eastAsia" w:ascii="仿宋" w:hAnsi="仿宋" w:eastAsia="仿宋"/>
          <w:color w:val="000000"/>
          <w:sz w:val="32"/>
          <w:szCs w:val="32"/>
          <w:lang w:val="en-US" w:eastAsia="zh-CN"/>
        </w:rPr>
        <w:t>1.71</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1.37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项目减少。</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w:t>
      </w:r>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2336" behindDoc="0" locked="0" layoutInCell="1" allowOverlap="1">
            <wp:simplePos x="0" y="0"/>
            <wp:positionH relativeFrom="column">
              <wp:posOffset>410845</wp:posOffset>
            </wp:positionH>
            <wp:positionV relativeFrom="paragraph">
              <wp:posOffset>-2776855</wp:posOffset>
            </wp:positionV>
            <wp:extent cx="4324985" cy="3061970"/>
            <wp:effectExtent l="4445" t="4445" r="13970" b="1968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122.99</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w:t>
      </w:r>
      <w:r>
        <w:rPr>
          <w:rFonts w:hint="eastAsia" w:ascii="仿宋" w:hAnsi="仿宋" w:eastAsia="仿宋"/>
          <w:b/>
          <w:color w:val="000000" w:themeColor="text1"/>
          <w:sz w:val="32"/>
          <w:szCs w:val="32"/>
          <w:lang w:val="en-US" w:eastAsia="zh-CN"/>
          <w14:textFill>
            <w14:solidFill>
              <w14:schemeClr w14:val="tx1"/>
            </w14:solidFill>
          </w14:textFill>
        </w:rPr>
        <w:t>201</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100.73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81.9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w:t>
      </w:r>
      <w:r>
        <w:rPr>
          <w:rFonts w:hint="eastAsia" w:ascii="仿宋" w:hAnsi="仿宋" w:eastAsia="仿宋"/>
          <w:b/>
          <w:color w:val="000000" w:themeColor="text1"/>
          <w:sz w:val="32"/>
          <w:szCs w:val="32"/>
          <w:lang w:val="en-US" w:eastAsia="zh-CN"/>
          <w14:textFill>
            <w14:solidFill>
              <w14:schemeClr w14:val="tx1"/>
            </w14:solidFill>
          </w14:textFill>
        </w:rPr>
        <w:t>205</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w:t>
      </w:r>
      <w:r>
        <w:rPr>
          <w:rFonts w:hint="eastAsia" w:ascii="仿宋" w:hAnsi="仿宋" w:eastAsia="仿宋"/>
          <w:b/>
          <w:color w:val="000000" w:themeColor="text1"/>
          <w:sz w:val="32"/>
          <w:szCs w:val="32"/>
          <w:lang w:val="en-US" w:eastAsia="zh-CN"/>
          <w14:textFill>
            <w14:solidFill>
              <w14:schemeClr w14:val="tx1"/>
            </w14:solidFill>
          </w14:textFill>
        </w:rPr>
        <w:t>206</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文化旅游体育与传媒（</w:t>
      </w:r>
      <w:r>
        <w:rPr>
          <w:rFonts w:hint="eastAsia" w:ascii="仿宋" w:hAnsi="仿宋" w:eastAsia="仿宋"/>
          <w:b/>
          <w:bCs/>
          <w:color w:val="000000" w:themeColor="text1"/>
          <w:sz w:val="32"/>
          <w:szCs w:val="32"/>
          <w:lang w:val="en-US" w:eastAsia="zh-CN"/>
          <w14:textFill>
            <w14:solidFill>
              <w14:schemeClr w14:val="tx1"/>
            </w14:solidFill>
          </w14:textFill>
        </w:rPr>
        <w:t>207</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b/>
          <w:bCs/>
          <w:color w:val="000000" w:themeColor="text1"/>
          <w:sz w:val="32"/>
          <w:szCs w:val="32"/>
          <w:lang w:val="en-US" w:eastAsia="zh-CN"/>
          <w14:textFill>
            <w14:solidFill>
              <w14:schemeClr w14:val="tx1"/>
            </w14:solidFill>
          </w14:textFill>
        </w:rPr>
        <w:t>0</w:t>
      </w:r>
      <w:r>
        <w:rPr>
          <w:rFonts w:hint="eastAsia" w:ascii="仿宋" w:hAnsi="仿宋" w:eastAsia="仿宋"/>
          <w:b/>
          <w:bCs/>
          <w:color w:val="000000" w:themeColor="text1"/>
          <w:sz w:val="32"/>
          <w:szCs w:val="32"/>
          <w14:textFill>
            <w14:solidFill>
              <w14:schemeClr w14:val="tx1"/>
            </w14:solidFill>
          </w14:textFill>
        </w:rPr>
        <w:t>万元，占</w:t>
      </w:r>
      <w:r>
        <w:rPr>
          <w:rFonts w:hint="eastAsia" w:ascii="仿宋" w:hAnsi="仿宋" w:eastAsia="仿宋"/>
          <w:b/>
          <w:bCs/>
          <w:color w:val="000000" w:themeColor="text1"/>
          <w:sz w:val="32"/>
          <w:szCs w:val="32"/>
          <w:lang w:val="en-US" w:eastAsia="zh-CN"/>
          <w14:textFill>
            <w14:solidFill>
              <w14:schemeClr w14:val="tx1"/>
            </w14:solidFill>
          </w14:textFill>
        </w:rPr>
        <w:t>0</w:t>
      </w:r>
      <w:r>
        <w:rPr>
          <w:rFonts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10.84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8.81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210</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4.38</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3.56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221</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6.27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图6：一般公共预算财政拨款支出决算结构</w:t>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3360" behindDoc="0" locked="0" layoutInCell="1" allowOverlap="1">
            <wp:simplePos x="0" y="0"/>
            <wp:positionH relativeFrom="column">
              <wp:posOffset>410845</wp:posOffset>
            </wp:positionH>
            <wp:positionV relativeFrom="paragraph">
              <wp:posOffset>-2167255</wp:posOffset>
            </wp:positionV>
            <wp:extent cx="4712970" cy="2559685"/>
            <wp:effectExtent l="4445" t="5080" r="6985" b="698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213"/>
      <w:bookmarkStart w:id="38" w:name="_Toc15378460"/>
      <w:bookmarkStart w:id="39" w:name="_Toc15377444"/>
      <w:r>
        <w:rPr>
          <w:rFonts w:hint="eastAsia" w:ascii="仿宋" w:hAnsi="仿宋" w:eastAsia="仿宋"/>
          <w:b/>
          <w:color w:val="000000" w:themeColor="text1"/>
          <w:sz w:val="32"/>
          <w:szCs w:val="32"/>
          <w14:textFill>
            <w14:solidFill>
              <w14:schemeClr w14:val="tx1"/>
            </w14:solidFill>
          </w14:textFill>
        </w:rPr>
        <w:t>2019年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122.99</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pPr>
        <w:numPr>
          <w:ilvl w:val="0"/>
          <w:numId w:val="2"/>
        </w:num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rPr>
        <w:t>一般公共服务</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100.73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 w:val="0"/>
          <w:bCs/>
          <w:color w:val="000000"/>
          <w:sz w:val="32"/>
          <w:szCs w:val="32"/>
          <w:lang w:val="en-US" w:eastAsia="zh-CN"/>
        </w:rPr>
        <w:t>2010350事业支出100.73万元，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numPr>
          <w:ilvl w:val="0"/>
          <w:numId w:val="0"/>
        </w:numPr>
        <w:spacing w:line="600" w:lineRule="exact"/>
        <w:ind w:firstLine="643" w:firstLineChars="200"/>
        <w:rPr>
          <w:rStyle w:val="15"/>
          <w:rFonts w:hint="default" w:ascii="仿宋" w:hAnsi="仿宋" w:eastAsia="仿宋" w:cs="Times New Roman"/>
          <w:b w:val="0"/>
          <w:bCs w:val="0"/>
          <w:color w:val="000000"/>
          <w:sz w:val="32"/>
          <w:szCs w:val="32"/>
          <w:lang w:val="en-US"/>
        </w:rPr>
      </w:pPr>
      <w:r>
        <w:rPr>
          <w:rStyle w:val="15"/>
          <w:rFonts w:hint="eastAsia" w:ascii="仿宋" w:hAnsi="仿宋" w:eastAsia="仿宋" w:cs="Times New Roman"/>
          <w:bCs/>
          <w:color w:val="000000"/>
          <w:sz w:val="32"/>
          <w:szCs w:val="32"/>
          <w:lang w:val="en-US" w:eastAsia="zh-CN"/>
        </w:rPr>
        <w:t>2.</w:t>
      </w:r>
      <w:r>
        <w:rPr>
          <w:rStyle w:val="15"/>
          <w:rFonts w:hint="eastAsia" w:ascii="仿宋" w:hAnsi="仿宋" w:eastAsia="仿宋" w:cs="Times New Roman"/>
          <w:bCs/>
          <w:color w:val="000000"/>
          <w:sz w:val="32"/>
          <w:szCs w:val="32"/>
          <w:lang w:eastAsia="zh-CN"/>
        </w:rPr>
        <w:t>公共安全支出</w:t>
      </w:r>
      <w:r>
        <w:rPr>
          <w:rStyle w:val="15"/>
          <w:rFonts w:hint="eastAsia" w:ascii="仿宋" w:hAnsi="仿宋" w:eastAsia="仿宋" w:cs="Times New Roman"/>
          <w:b w:val="0"/>
          <w:bCs w:val="0"/>
          <w:color w:val="000000"/>
          <w:sz w:val="32"/>
          <w:szCs w:val="32"/>
          <w:lang w:eastAsia="zh-CN"/>
        </w:rPr>
        <w:t>决算数为</w:t>
      </w:r>
      <w:r>
        <w:rPr>
          <w:rStyle w:val="15"/>
          <w:rFonts w:hint="eastAsia" w:ascii="仿宋" w:hAnsi="仿宋" w:eastAsia="仿宋" w:cs="Times New Roman"/>
          <w:b w:val="0"/>
          <w:bCs w:val="0"/>
          <w:color w:val="000000"/>
          <w:sz w:val="32"/>
          <w:szCs w:val="32"/>
          <w:lang w:val="en-US" w:eastAsia="zh-CN"/>
        </w:rPr>
        <w:t>0.78万元，2049901其他公共安全支出0.78万元，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default" w:ascii="仿宋" w:hAnsi="仿宋" w:eastAsia="仿宋"/>
          <w:b w:val="0"/>
          <w:bCs/>
          <w:color w:val="000000" w:themeColor="text1"/>
          <w:sz w:val="32"/>
          <w:szCs w:val="32"/>
          <w:lang w:val="en-US" w:eastAsia="zh-CN"/>
          <w14:textFill>
            <w14:solidFill>
              <w14:schemeClr w14:val="tx1"/>
            </w14:solidFill>
          </w14:textFill>
        </w:rPr>
      </w:pPr>
      <w:r>
        <w:rPr>
          <w:rStyle w:val="15"/>
          <w:rFonts w:hint="eastAsia" w:ascii="仿宋" w:hAnsi="仿宋" w:eastAsia="仿宋"/>
          <w:bCs/>
          <w:color w:val="000000"/>
          <w:sz w:val="32"/>
          <w:szCs w:val="32"/>
          <w:lang w:val="en-US" w:eastAsia="zh-CN"/>
        </w:rPr>
        <w:t>3</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10.84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 w:val="0"/>
          <w:bCs/>
          <w:color w:val="000000" w:themeColor="text1"/>
          <w:sz w:val="32"/>
          <w:szCs w:val="32"/>
          <w14:textFill>
            <w14:solidFill>
              <w14:schemeClr w14:val="tx1"/>
            </w14:solidFill>
          </w14:textFill>
        </w:rPr>
        <w:t>2080505机关事业单位基本养老保险缴费支出</w:t>
      </w:r>
      <w:r>
        <w:rPr>
          <w:rStyle w:val="15"/>
          <w:rFonts w:hint="eastAsia" w:ascii="仿宋" w:hAnsi="仿宋" w:eastAsia="仿宋"/>
          <w:b w:val="0"/>
          <w:bCs/>
          <w:color w:val="000000" w:themeColor="text1"/>
          <w:sz w:val="32"/>
          <w:szCs w:val="32"/>
          <w:lang w:val="en-US" w:eastAsia="zh-CN"/>
          <w14:textFill>
            <w14:solidFill>
              <w14:schemeClr w14:val="tx1"/>
            </w14:solidFill>
          </w14:textFill>
        </w:rPr>
        <w:t>7.5</w:t>
      </w:r>
      <w:r>
        <w:rPr>
          <w:rStyle w:val="15"/>
          <w:rFonts w:hint="eastAsia" w:ascii="仿宋" w:hAnsi="仿宋" w:eastAsia="仿宋"/>
          <w:b w:val="0"/>
          <w:bCs/>
          <w:color w:val="000000" w:themeColor="text1"/>
          <w:sz w:val="32"/>
          <w:szCs w:val="32"/>
          <w14:textFill>
            <w14:solidFill>
              <w14:schemeClr w14:val="tx1"/>
            </w14:solidFill>
          </w14:textFill>
        </w:rPr>
        <w:t>万元，完成预算100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lang w:val="en-US" w:eastAsia="zh-CN"/>
          <w14:textFill>
            <w14:solidFill>
              <w14:schemeClr w14:val="tx1"/>
            </w14:solidFill>
          </w14:textFill>
        </w:rPr>
        <w:t>2080506</w:t>
      </w:r>
      <w:r>
        <w:rPr>
          <w:rStyle w:val="15"/>
          <w:rFonts w:hint="eastAsia" w:ascii="仿宋" w:hAnsi="仿宋" w:eastAsia="仿宋"/>
          <w:b w:val="0"/>
          <w:bCs/>
          <w:color w:val="000000" w:themeColor="text1"/>
          <w:sz w:val="32"/>
          <w:szCs w:val="32"/>
          <w14:textFill>
            <w14:solidFill>
              <w14:schemeClr w14:val="tx1"/>
            </w14:solidFill>
          </w14:textFill>
        </w:rPr>
        <w:t>机关事业单位职业年金缴费支出</w:t>
      </w:r>
      <w:r>
        <w:rPr>
          <w:rStyle w:val="15"/>
          <w:rFonts w:hint="eastAsia" w:ascii="仿宋" w:hAnsi="仿宋" w:eastAsia="仿宋"/>
          <w:b w:val="0"/>
          <w:bCs/>
          <w:color w:val="000000" w:themeColor="text1"/>
          <w:sz w:val="32"/>
          <w:szCs w:val="32"/>
          <w:lang w:val="en-US" w:eastAsia="zh-CN"/>
          <w14:textFill>
            <w14:solidFill>
              <w14:schemeClr w14:val="tx1"/>
            </w14:solidFill>
          </w14:textFill>
        </w:rPr>
        <w:t>3.34万元，完成预算100%。</w:t>
      </w:r>
    </w:p>
    <w:p>
      <w:pPr>
        <w:spacing w:line="600" w:lineRule="exact"/>
        <w:ind w:firstLine="643" w:firstLineChars="200"/>
        <w:rPr>
          <w:rStyle w:val="15"/>
          <w:rFonts w:hint="eastAsia" w:ascii="仿宋" w:hAnsi="仿宋" w:eastAsia="仿宋"/>
          <w:b w:val="0"/>
          <w:bCs/>
          <w:color w:val="000000"/>
          <w:sz w:val="32"/>
          <w:szCs w:val="32"/>
          <w:lang w:val="en-US" w:eastAsia="zh-CN"/>
        </w:rPr>
      </w:pPr>
      <w:r>
        <w:rPr>
          <w:rStyle w:val="15"/>
          <w:rFonts w:hint="eastAsia" w:ascii="仿宋" w:hAnsi="仿宋" w:eastAsia="仿宋"/>
          <w:bCs/>
          <w:color w:val="000000"/>
          <w:sz w:val="32"/>
          <w:szCs w:val="32"/>
          <w:lang w:val="en-US" w:eastAsia="zh-CN"/>
        </w:rPr>
        <w:t>4</w:t>
      </w:r>
      <w:r>
        <w:rPr>
          <w:rStyle w:val="15"/>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卫生健康</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4.38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 w:val="0"/>
          <w:bCs/>
          <w:color w:val="000000"/>
          <w:sz w:val="32"/>
          <w:szCs w:val="32"/>
          <w:lang w:val="en-US" w:eastAsia="zh-CN"/>
        </w:rPr>
        <w:t>2101</w:t>
      </w:r>
      <w:r>
        <w:rPr>
          <w:rStyle w:val="15"/>
          <w:rFonts w:hint="eastAsia" w:ascii="仿宋" w:hAnsi="仿宋" w:eastAsia="仿宋" w:cs="Times New Roman"/>
          <w:b w:val="0"/>
          <w:bCs/>
          <w:color w:val="000000"/>
          <w:sz w:val="32"/>
          <w:szCs w:val="32"/>
          <w:lang w:val="en-US" w:eastAsia="zh-CN"/>
        </w:rPr>
        <w:t>102  事业单位医疗支出0.73万元，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lang w:val="en-US" w:eastAsia="zh-CN"/>
        </w:rPr>
        <w:t>2101199</w:t>
      </w:r>
      <w:r>
        <w:rPr>
          <w:rStyle w:val="15"/>
          <w:rFonts w:hint="eastAsia" w:ascii="仿宋" w:hAnsi="仿宋" w:eastAsia="仿宋" w:cs="Times New Roman"/>
          <w:b w:val="0"/>
          <w:bCs/>
          <w:color w:val="000000"/>
          <w:sz w:val="32"/>
          <w:szCs w:val="32"/>
          <w:lang w:val="en-US" w:eastAsia="zh-CN"/>
        </w:rPr>
        <w:t>其他行政事业单位医疗支出3.65万元，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spacing w:line="600" w:lineRule="exact"/>
        <w:ind w:firstLine="640"/>
        <w:rPr>
          <w:rFonts w:ascii="仿宋" w:hAnsi="仿宋" w:eastAsia="仿宋"/>
          <w:b/>
          <w:color w:val="000000"/>
          <w:sz w:val="32"/>
          <w:szCs w:val="32"/>
        </w:rPr>
      </w:pPr>
      <w:r>
        <w:rPr>
          <w:rFonts w:hint="eastAsia" w:ascii="仿宋" w:hAnsi="仿宋" w:eastAsia="仿宋"/>
          <w:b/>
          <w:color w:val="000000" w:themeColor="text1"/>
          <w:sz w:val="32"/>
          <w:szCs w:val="32"/>
          <w:lang w:val="en-US" w:eastAsia="zh-CN"/>
          <w14:textFill>
            <w14:solidFill>
              <w14:schemeClr w14:val="tx1"/>
            </w14:solidFill>
          </w14:textFill>
        </w:rPr>
        <w:t>5</w:t>
      </w:r>
      <w:r>
        <w:rPr>
          <w:rFonts w:hint="eastAsia" w:ascii="仿宋" w:hAnsi="仿宋" w:eastAsia="仿宋"/>
          <w:b/>
          <w:color w:val="000000" w:themeColor="text1"/>
          <w:sz w:val="32"/>
          <w:szCs w:val="32"/>
          <w14:textFill>
            <w14:solidFill>
              <w14:schemeClr w14:val="tx1"/>
            </w14:solidFill>
          </w14:textFill>
        </w:rPr>
        <w:t>.住房保障支出</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2210201住房公积金支出决算为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6.27</w:t>
      </w:r>
      <w:r>
        <w:rPr>
          <w:rStyle w:val="15"/>
          <w:rFonts w:hint="eastAsia" w:ascii="仿宋" w:hAnsi="仿宋" w:eastAsia="仿宋"/>
          <w:b w:val="0"/>
          <w:bCs/>
          <w:color w:val="000000" w:themeColor="text1"/>
          <w:sz w:val="32"/>
          <w:szCs w:val="32"/>
          <w14:textFill>
            <w14:solidFill>
              <w14:schemeClr w14:val="tx1"/>
            </w14:solidFill>
          </w14:textFill>
        </w:rPr>
        <w:t>万元，完成预算100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w:t>
      </w:r>
    </w:p>
    <w:p>
      <w:pPr>
        <w:tabs>
          <w:tab w:val="right" w:pos="8306"/>
        </w:tabs>
        <w:spacing w:line="600" w:lineRule="exact"/>
        <w:ind w:firstLine="640"/>
        <w:outlineLvl w:val="1"/>
        <w:rPr>
          <w:rStyle w:val="26"/>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122.22</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77.94</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14.42万元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12.79万元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13.24万元</w:t>
      </w:r>
      <w:r>
        <w:rPr>
          <w:rFonts w:hint="eastAsia" w:ascii="仿宋" w:hAnsi="仿宋" w:eastAsia="仿宋"/>
          <w:color w:val="000000"/>
          <w:sz w:val="32"/>
          <w:szCs w:val="32"/>
        </w:rPr>
        <w:t>、伙食补助费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14.62万元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7.5万元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3.34万元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公务员医疗补助缴费</w:t>
      </w:r>
      <w:r>
        <w:rPr>
          <w:rFonts w:hint="eastAsia" w:ascii="仿宋" w:hAnsi="仿宋" w:eastAsia="仿宋"/>
          <w:color w:val="000000"/>
          <w:sz w:val="32"/>
          <w:szCs w:val="32"/>
          <w:lang w:val="en-US" w:eastAsia="zh-CN"/>
        </w:rPr>
        <w:t>0.73万元、医疗费0.38万元、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1.01万元</w:t>
      </w:r>
      <w:r>
        <w:rPr>
          <w:rFonts w:hint="eastAsia" w:ascii="仿宋" w:hAnsi="仿宋" w:eastAsia="仿宋"/>
          <w:color w:val="000000"/>
          <w:sz w:val="32"/>
          <w:szCs w:val="32"/>
        </w:rPr>
        <w:t>、其他工资福利支出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、离休费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、退休费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、抚恤金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、医疗费补助</w:t>
      </w:r>
      <w:r>
        <w:rPr>
          <w:rFonts w:hint="eastAsia" w:ascii="仿宋" w:hAnsi="仿宋" w:eastAsia="仿宋"/>
          <w:color w:val="000000"/>
          <w:sz w:val="32"/>
          <w:szCs w:val="32"/>
          <w:lang w:val="en-US" w:eastAsia="zh-CN"/>
        </w:rPr>
        <w:t>0.38</w:t>
      </w:r>
      <w:r>
        <w:rPr>
          <w:rFonts w:hint="eastAsia" w:ascii="仿宋" w:hAnsi="仿宋" w:eastAsia="仿宋"/>
          <w:color w:val="000000"/>
          <w:sz w:val="32"/>
          <w:szCs w:val="32"/>
        </w:rPr>
        <w:t>、奖励金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6.27万元</w:t>
      </w:r>
      <w:r>
        <w:rPr>
          <w:rFonts w:hint="eastAsia" w:ascii="仿宋" w:hAnsi="仿宋" w:eastAsia="仿宋"/>
          <w:color w:val="000000"/>
          <w:sz w:val="32"/>
          <w:szCs w:val="32"/>
        </w:rPr>
        <w:t>、其他对个人和家庭的补助支出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44.28</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4.91万元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0.5万元</w:t>
      </w:r>
      <w:r>
        <w:rPr>
          <w:rFonts w:hint="eastAsia" w:ascii="仿宋" w:hAnsi="仿宋" w:eastAsia="仿宋"/>
          <w:color w:val="000000"/>
          <w:sz w:val="32"/>
          <w:szCs w:val="32"/>
        </w:rPr>
        <w:t>、咨询费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、手续费</w:t>
      </w:r>
      <w:r>
        <w:rPr>
          <w:rFonts w:hint="eastAsia" w:ascii="仿宋" w:hAnsi="仿宋" w:eastAsia="仿宋"/>
          <w:color w:val="000000"/>
          <w:sz w:val="32"/>
          <w:szCs w:val="32"/>
          <w:lang w:val="en-US" w:eastAsia="zh-CN"/>
        </w:rPr>
        <w:t>0.09万元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0.1万元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4万元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3.6万元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2.28万元</w:t>
      </w:r>
      <w:r>
        <w:rPr>
          <w:rFonts w:hint="eastAsia" w:ascii="仿宋" w:hAnsi="仿宋" w:eastAsia="仿宋"/>
          <w:color w:val="000000"/>
          <w:sz w:val="32"/>
          <w:szCs w:val="32"/>
        </w:rPr>
        <w:t>、物业管理费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1.7万元</w:t>
      </w:r>
      <w:r>
        <w:rPr>
          <w:rFonts w:hint="eastAsia" w:ascii="仿宋" w:hAnsi="仿宋" w:eastAsia="仿宋"/>
          <w:color w:val="000000"/>
          <w:sz w:val="32"/>
          <w:szCs w:val="32"/>
        </w:rPr>
        <w:t>、因公出国（境）费用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3.49万元</w:t>
      </w:r>
      <w:r>
        <w:rPr>
          <w:rFonts w:hint="eastAsia" w:ascii="仿宋" w:hAnsi="仿宋" w:eastAsia="仿宋"/>
          <w:color w:val="000000"/>
          <w:sz w:val="32"/>
          <w:szCs w:val="32"/>
        </w:rPr>
        <w:t>、租赁费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1.26万元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0.06万元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23.07万元</w:t>
      </w:r>
      <w:r>
        <w:rPr>
          <w:rFonts w:hint="eastAsia" w:ascii="仿宋" w:hAnsi="仿宋" w:eastAsia="仿宋"/>
          <w:color w:val="000000"/>
          <w:sz w:val="32"/>
          <w:szCs w:val="32"/>
        </w:rPr>
        <w:t>等。</w:t>
      </w:r>
    </w:p>
    <w:p>
      <w:pPr>
        <w:spacing w:line="600" w:lineRule="exact"/>
        <w:ind w:firstLine="640"/>
        <w:outlineLvl w:val="1"/>
        <w:rPr>
          <w:rFonts w:hint="eastAsia" w:ascii="黑体" w:eastAsia="黑体"/>
          <w:color w:val="000000"/>
          <w:sz w:val="32"/>
          <w:szCs w:val="32"/>
        </w:rPr>
      </w:pPr>
      <w:bookmarkStart w:id="42" w:name="_Toc15396609"/>
      <w:bookmarkStart w:id="43" w:name="_Toc15377215"/>
    </w:p>
    <w:p>
      <w:pPr>
        <w:spacing w:line="600" w:lineRule="exact"/>
        <w:ind w:firstLine="640"/>
        <w:outlineLvl w:val="1"/>
        <w:rPr>
          <w:rStyle w:val="26"/>
          <w:rFonts w:ascii="黑体" w:hAnsi="黑体" w:eastAsia="黑体"/>
          <w:b w:val="0"/>
        </w:rPr>
      </w:pPr>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0.06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，决算数预算数持平</w:t>
      </w:r>
      <w:r>
        <w:rPr>
          <w:rFonts w:hint="eastAsia" w:ascii="仿宋" w:hAnsi="仿宋" w:eastAsia="仿宋"/>
          <w:color w:val="000000"/>
          <w:sz w:val="32"/>
          <w:szCs w:val="32"/>
          <w:lang w:eastAsia="zh-CN"/>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numPr>
          <w:ilvl w:val="0"/>
          <w:numId w:val="0"/>
        </w:numPr>
        <w:spacing w:line="60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2018年无变化</w:t>
      </w:r>
      <w:r>
        <w:rPr>
          <w:rFonts w:hint="eastAsia" w:ascii="仿宋_GB2312" w:eastAsia="仿宋_GB2312"/>
          <w:color w:val="000000"/>
          <w:sz w:val="32"/>
          <w:szCs w:val="32"/>
        </w:rPr>
        <w:t>。</w:t>
      </w:r>
    </w:p>
    <w:p>
      <w:pPr>
        <w:numPr>
          <w:ilvl w:val="0"/>
          <w:numId w:val="0"/>
        </w:num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lang w:eastAsia="zh-CN"/>
        </w:rPr>
        <w:t>其中，</w:t>
      </w: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left="0" w:leftChars="0" w:firstLine="640" w:firstLineChars="0"/>
        <w:rPr>
          <w:rFonts w:hint="eastAsia" w:ascii="仿宋_GB2312" w:eastAsia="仿宋_GB2312"/>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0.06</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0.03</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50</w:t>
      </w:r>
      <w:r>
        <w:rPr>
          <w:rFonts w:ascii="仿宋_GB2312" w:eastAsia="仿宋_GB2312"/>
          <w:color w:val="000000"/>
          <w:sz w:val="32"/>
          <w:szCs w:val="32"/>
        </w:rPr>
        <w:t>%</w:t>
      </w:r>
      <w:r>
        <w:rPr>
          <w:rFonts w:hint="eastAsia" w:ascii="仿宋_GB2312" w:eastAsia="仿宋_GB2312"/>
          <w:color w:val="000000"/>
          <w:sz w:val="32"/>
          <w:szCs w:val="32"/>
        </w:rPr>
        <w:t>。</w:t>
      </w:r>
    </w:p>
    <w:p>
      <w:pPr>
        <w:numPr>
          <w:ilvl w:val="0"/>
          <w:numId w:val="0"/>
        </w:numPr>
        <w:spacing w:line="600" w:lineRule="exact"/>
        <w:ind w:left="640" w:leftChars="0"/>
        <w:rPr>
          <w:rFonts w:ascii="黑体" w:eastAsia="黑体"/>
          <w:color w:val="000000"/>
          <w:sz w:val="32"/>
          <w:szCs w:val="32"/>
        </w:rPr>
      </w:pPr>
      <w:r>
        <w:rPr>
          <w:rFonts w:hint="eastAsia" w:ascii="仿宋" w:hAnsi="仿宋" w:eastAsia="仿宋"/>
          <w:b/>
          <w:color w:val="000000"/>
          <w:sz w:val="32"/>
          <w:szCs w:val="32"/>
          <w:lang w:eastAsia="zh-CN"/>
        </w:rPr>
        <w:t>其中，</w:t>
      </w: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0.06</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住宿费。</w:t>
      </w:r>
      <w:bookmarkStart w:id="46" w:name="_Toc15377218"/>
      <w:bookmarkStart w:id="47" w:name="_Toc15396610"/>
    </w:p>
    <w:p>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4"/>
        </w:numPr>
        <w:spacing w:line="600" w:lineRule="exact"/>
        <w:ind w:firstLine="640"/>
        <w:outlineLvl w:val="1"/>
        <w:rPr>
          <w:rStyle w:val="26"/>
          <w:rFonts w:ascii="黑体" w:hAnsi="黑体" w:eastAsia="黑体"/>
          <w:b w:val="0"/>
        </w:rPr>
      </w:pPr>
      <w:bookmarkStart w:id="48" w:name="_Toc15377219"/>
      <w:bookmarkStart w:id="49" w:name="_Toc15396611"/>
      <w:r>
        <w:rPr>
          <w:rStyle w:val="26"/>
          <w:rFonts w:hint="eastAsia" w:ascii="黑体" w:hAnsi="黑体" w:eastAsia="黑体"/>
          <w:b w:val="0"/>
        </w:rPr>
        <w:t>国有资本经营预算支出决算情况说明</w:t>
      </w:r>
      <w:bookmarkEnd w:id="48"/>
      <w:bookmarkEnd w:id="4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6"/>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联动中心</w:t>
      </w:r>
      <w:r>
        <w:rPr>
          <w:rFonts w:hint="eastAsia" w:ascii="仿宋_GB2312" w:eastAsia="仿宋_GB2312"/>
          <w:color w:val="000000"/>
          <w:sz w:val="32"/>
          <w:szCs w:val="32"/>
        </w:rPr>
        <w:t>运行经费支出</w:t>
      </w:r>
      <w:r>
        <w:rPr>
          <w:rFonts w:hint="eastAsia" w:ascii="仿宋_GB2312" w:eastAsia="仿宋_GB2312"/>
          <w:color w:val="000000"/>
          <w:sz w:val="32"/>
          <w:szCs w:val="32"/>
          <w:lang w:val="en-US" w:eastAsia="zh-CN"/>
        </w:rPr>
        <w:t>122.99</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1.71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1.37</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项目减少。</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其他用车主要是用于单价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根据预算绩效管理要求，本部门（单位）在年初预算编制阶段，组织对项目（项目名称）开展了预算事前绩效评估，对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本部门按要求对2019年部门整体支出开展绩效自评，从评价情况来看。本部门还自行组织了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个项目支出绩效评价，从评价情况来看。</w:t>
      </w:r>
    </w:p>
    <w:p>
      <w:pPr>
        <w:spacing w:line="580" w:lineRule="exact"/>
        <w:ind w:firstLine="640" w:firstLineChars="200"/>
        <w:rPr>
          <w:rFonts w:hint="eastAsia" w:ascii="仿宋_GB2312" w:hAnsi="仿宋_GB2312" w:eastAsia="仿宋_GB2312" w:cs="仿宋_GB2312"/>
          <w:sz w:val="32"/>
          <w:szCs w:val="32"/>
        </w:rPr>
      </w:pPr>
    </w:p>
    <w:p>
      <w:pPr>
        <w:numPr>
          <w:ilvl w:val="0"/>
          <w:numId w:val="5"/>
        </w:numPr>
        <w:spacing w:line="600" w:lineRule="exact"/>
        <w:ind w:firstLine="660" w:firstLineChars="150"/>
        <w:jc w:val="center"/>
        <w:outlineLvl w:val="0"/>
        <w:rPr>
          <w:rStyle w:val="25"/>
          <w:rFonts w:ascii="黑体" w:hAnsi="黑体" w:eastAsia="黑体"/>
          <w:b w:val="0"/>
        </w:rPr>
      </w:pPr>
      <w:bookmarkStart w:id="55" w:name="_Toc15377225"/>
      <w:bookmarkStart w:id="56" w:name="_Toc15396613"/>
      <w:r>
        <w:rPr>
          <w:rFonts w:hint="eastAsia" w:ascii="黑体" w:hAnsi="黑体" w:eastAsia="黑体"/>
          <w:color w:val="000000"/>
          <w:sz w:val="44"/>
          <w:szCs w:val="44"/>
        </w:rPr>
        <w:t>名</w:t>
      </w:r>
      <w:r>
        <w:rPr>
          <w:rStyle w:val="25"/>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3"/>
        <w:spacing w:line="560" w:lineRule="exact"/>
        <w:ind w:firstLine="640" w:firstLineChars="200"/>
        <w:jc w:val="both"/>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jc w:val="both"/>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jc w:val="both"/>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left="638" w:leftChars="304" w:firstLine="0" w:firstLineChars="0"/>
        <w:jc w:val="both"/>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w:t>
      </w:r>
    </w:p>
    <w:p>
      <w:pPr>
        <w:pStyle w:val="23"/>
        <w:spacing w:line="560" w:lineRule="exact"/>
        <w:ind w:firstLine="640" w:firstLineChars="200"/>
        <w:jc w:val="both"/>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jc w:val="both"/>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jc w:val="both"/>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jc w:val="both"/>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20103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2010350项事业支出</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事业人员工资支出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公共安全</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20499</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2049901</w:t>
      </w:r>
      <w:r>
        <w:rPr>
          <w:rFonts w:hint="eastAsia" w:ascii="仿宋_GB2312" w:eastAsia="仿宋_GB2312"/>
          <w:color w:val="000000"/>
          <w:sz w:val="32"/>
          <w:szCs w:val="32"/>
        </w:rPr>
        <w:t>项</w:t>
      </w:r>
      <w:r>
        <w:rPr>
          <w:rFonts w:hint="eastAsia" w:ascii="仿宋_GB2312" w:eastAsia="仿宋_GB2312"/>
          <w:color w:val="000000"/>
          <w:sz w:val="32"/>
          <w:szCs w:val="32"/>
          <w:lang w:eastAsia="zh-CN"/>
        </w:rPr>
        <w:t>其他公共安全支出</w:t>
      </w:r>
      <w:r>
        <w:rPr>
          <w:rFonts w:hint="eastAsia" w:ascii="仿宋_GB2312" w:eastAsia="仿宋_GB2312"/>
          <w:color w:val="000000"/>
          <w:sz w:val="32"/>
          <w:szCs w:val="32"/>
        </w:rPr>
        <w:t>指</w:t>
      </w:r>
      <w:r>
        <w:rPr>
          <w:rFonts w:hint="eastAsia" w:ascii="仿宋_GB2312" w:eastAsia="仿宋_GB2312"/>
          <w:color w:val="000000"/>
          <w:sz w:val="32"/>
          <w:szCs w:val="32"/>
          <w:lang w:eastAsia="zh-CN"/>
        </w:rPr>
        <w:t>项目支出，维稳机动金支出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lang w:val="en-US" w:eastAsia="zh-CN"/>
        </w:rPr>
      </w:pPr>
      <w:r>
        <w:rPr>
          <w:rFonts w:ascii="仿宋_GB2312" w:eastAsia="仿宋_GB2312"/>
          <w:color w:val="000000"/>
          <w:sz w:val="32"/>
          <w:szCs w:val="32"/>
        </w:rPr>
        <w:t>1</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20805</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2080505项</w:t>
      </w:r>
      <w:r>
        <w:rPr>
          <w:rFonts w:hint="eastAsia" w:ascii="仿宋_GB2312" w:eastAsia="仿宋_GB2312"/>
          <w:color w:val="000000"/>
          <w:sz w:val="32"/>
          <w:szCs w:val="32"/>
        </w:rPr>
        <w:t>指机关事业单位基本养老保险缴费支出。</w:t>
      </w:r>
      <w:r>
        <w:rPr>
          <w:rFonts w:hint="eastAsia" w:ascii="仿宋_GB2312" w:eastAsia="仿宋_GB2312"/>
          <w:color w:val="000000"/>
          <w:sz w:val="32"/>
          <w:szCs w:val="32"/>
          <w:lang w:val="en-US" w:eastAsia="zh-CN"/>
        </w:rPr>
        <w:t>2020506指机关事业单位职业年金缴费支出。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12.卫生健康支出210类21011款2101102项指事业单位医疗支出，2101199指其他行政事业单位医疗支出。</w:t>
      </w:r>
    </w:p>
    <w:p>
      <w:p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13.住房保障221类22102款2210201项指住房公积金支出。</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7" w:name="_Toc15377226"/>
    </w:p>
    <w:p>
      <w:pPr>
        <w:bidi w:val="0"/>
        <w:rPr>
          <w:rFonts w:ascii="宋体"/>
          <w:b/>
          <w:color w:val="000000"/>
          <w:sz w:val="44"/>
          <w:szCs w:val="44"/>
        </w:rPr>
      </w:pPr>
    </w:p>
    <w:p>
      <w:pPr>
        <w:bidi w:val="0"/>
        <w:rPr>
          <w:rFonts w:ascii="宋体"/>
          <w:b/>
          <w:color w:val="000000"/>
          <w:sz w:val="44"/>
          <w:szCs w:val="44"/>
        </w:rPr>
      </w:pPr>
    </w:p>
    <w:p>
      <w:pPr>
        <w:bidi w:val="0"/>
        <w:rPr>
          <w:rFonts w:ascii="宋体"/>
          <w:b/>
          <w:color w:val="000000"/>
          <w:sz w:val="44"/>
          <w:szCs w:val="44"/>
        </w:rPr>
      </w:pPr>
    </w:p>
    <w:p>
      <w:pPr>
        <w:bidi w:val="0"/>
        <w:jc w:val="left"/>
        <w:rPr>
          <w:rFonts w:ascii="宋体"/>
          <w:b/>
          <w:color w:val="000000"/>
          <w:sz w:val="44"/>
          <w:szCs w:val="44"/>
        </w:rPr>
      </w:pPr>
    </w:p>
    <w:p>
      <w:pPr>
        <w:bidi w:val="0"/>
        <w:rPr>
          <w:rFonts w:ascii="宋体"/>
          <w:b/>
          <w:color w:val="000000"/>
          <w:sz w:val="44"/>
          <w:szCs w:val="44"/>
        </w:rPr>
      </w:pPr>
    </w:p>
    <w:p>
      <w:pPr>
        <w:bidi w:val="0"/>
        <w:rPr>
          <w:rFonts w:ascii="宋体"/>
          <w:b/>
          <w:color w:val="000000"/>
          <w:sz w:val="44"/>
          <w:szCs w:val="44"/>
        </w:rPr>
      </w:pPr>
    </w:p>
    <w:p>
      <w:pPr>
        <w:bidi w:val="0"/>
        <w:rPr>
          <w:rFonts w:ascii="宋体"/>
          <w:b/>
          <w:color w:val="000000"/>
          <w:sz w:val="44"/>
          <w:szCs w:val="44"/>
        </w:rPr>
      </w:pPr>
    </w:p>
    <w:p>
      <w:pPr>
        <w:bidi w:val="0"/>
        <w:rPr>
          <w:rFonts w:ascii="宋体"/>
          <w:b/>
          <w:color w:val="000000"/>
          <w:sz w:val="44"/>
          <w:szCs w:val="44"/>
        </w:rPr>
      </w:pPr>
    </w:p>
    <w:p>
      <w:pPr>
        <w:bidi w:val="0"/>
        <w:rPr>
          <w:rFonts w:ascii="宋体"/>
          <w:b/>
          <w:color w:val="000000"/>
          <w:sz w:val="44"/>
          <w:szCs w:val="44"/>
        </w:rPr>
      </w:pPr>
    </w:p>
    <w:p>
      <w:pPr>
        <w:bidi w:val="0"/>
        <w:rPr>
          <w:rFonts w:ascii="宋体"/>
          <w:b/>
          <w:color w:val="000000"/>
          <w:sz w:val="44"/>
          <w:szCs w:val="44"/>
        </w:rPr>
      </w:pPr>
    </w:p>
    <w:p>
      <w:pPr>
        <w:bidi w:val="0"/>
        <w:jc w:val="center"/>
        <w:rPr>
          <w:rStyle w:val="25"/>
          <w:rFonts w:ascii="黑体" w:hAnsi="黑体" w:eastAsia="黑体"/>
          <w:b w:val="0"/>
        </w:rPr>
      </w:pPr>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eastAsia="zh-CN"/>
        </w:rPr>
        <w:t>联动中心</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ind w:firstLine="800" w:firstLineChars="250"/>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sz w:val="32"/>
          <w:szCs w:val="32"/>
          <w:lang w:eastAsia="zh-CN"/>
        </w:rPr>
        <w:t>联动中心</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r>
        <w:rPr>
          <w:rFonts w:hint="eastAsia" w:ascii="仿宋_GB2312" w:eastAsia="仿宋_GB2312" w:hAnsiTheme="minorHAnsi" w:cstheme="minorBidi"/>
          <w:kern w:val="2"/>
          <w:sz w:val="32"/>
          <w:szCs w:val="32"/>
          <w:lang w:val="en-US" w:eastAsia="zh-CN" w:bidi="ar-SA"/>
        </w:rPr>
        <w:t>单位编制数8人，在职事业人员</w:t>
      </w:r>
      <w:r>
        <w:rPr>
          <w:rFonts w:hint="eastAsia" w:ascii="仿宋_GB2312" w:eastAsia="仿宋_GB2312" w:cstheme="minorBidi"/>
          <w:kern w:val="2"/>
          <w:sz w:val="32"/>
          <w:szCs w:val="32"/>
          <w:lang w:val="en-US" w:eastAsia="zh-CN" w:bidi="ar-SA"/>
        </w:rPr>
        <w:t>5</w:t>
      </w:r>
      <w:r>
        <w:rPr>
          <w:rFonts w:hint="eastAsia" w:ascii="仿宋_GB2312" w:eastAsia="仿宋_GB2312" w:hAnsiTheme="minorHAnsi" w:cstheme="minorBidi"/>
          <w:kern w:val="2"/>
          <w:sz w:val="32"/>
          <w:szCs w:val="32"/>
          <w:lang w:val="en-US" w:eastAsia="zh-CN" w:bidi="ar-SA"/>
        </w:rPr>
        <w:t>人。</w:t>
      </w:r>
    </w:p>
    <w:p>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1、受县委、县政府的委托,代表县联动指挥中心行使应急指挥权利。</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2、负责对中心入驻的五大中心工作人员的管理,负责对七大平台数据的收集和分析研判,并代表县委、政府和县联动指挥中心对重大事件和突发事件的应急指挥工作。</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3、负责组织督促落实县委、政府和县联动指挥中心下达的指令或工作安排部署,棖据工作的宾际情况和需要,适时召开联动部门工作协调会、研究解决有关联动服务事宜和问题。</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4、负责对重要信息的收集,报送工作,对全县应急处突涉稳事件、安全生产急救、自然灾害等重大事件的协调工作,同时做好处置工作记录,并逐日归类汇总并备案；</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5、负责组织、督促有关部门抓好民生服务工作矛盾纠纷排查化解工作,开展调查研究,对重大情况和问题应及时进行分析研判,并向县政府长交研判报告。</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6、负责建立会联动指挥中心各项规章制度；</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7、负责协助和管理县民族宗教局入驻人员开展寺网格化精准服务系统管理工作;负责协助和管层公安局入驻人员做好联动指挥中心系统维护以及天网视频调度工作;</w:t>
      </w:r>
      <w:r>
        <w:rPr>
          <w:rFonts w:hint="eastAsia" w:ascii="仿宋_GB2312" w:hAnsi="仿宋_GB2312" w:eastAsia="仿宋_GB2312" w:cs="仿宋_GB2312"/>
          <w:bCs/>
          <w:sz w:val="32"/>
          <w:szCs w:val="32"/>
          <w:lang w:eastAsia="zh-CN"/>
        </w:rPr>
        <w:t>负责</w:t>
      </w:r>
      <w:r>
        <w:rPr>
          <w:rFonts w:hint="eastAsia" w:ascii="仿宋_GB2312" w:hAnsi="仿宋_GB2312" w:eastAsia="仿宋_GB2312" w:cs="仿宋_GB2312"/>
          <w:bCs/>
          <w:sz w:val="32"/>
          <w:szCs w:val="32"/>
        </w:rPr>
        <w:t>协助和管理县矛盾纠纷“大调解”中心做好全县大谓解工作和基层大调解指导工作;负责协助和管理其它入驻单位的工作人员开展相关工作。</w:t>
      </w:r>
    </w:p>
    <w:p>
      <w:pPr>
        <w:pStyle w:val="5"/>
        <w:adjustRightInd w:val="0"/>
        <w:snapToGrid w:val="0"/>
        <w:spacing w:before="93" w:line="600" w:lineRule="exact"/>
        <w:ind w:left="638" w:leftChars="304" w:firstLine="28" w:firstLineChars="9"/>
        <w:outlineLvl w:val="2"/>
        <w:rPr>
          <w:rFonts w:hint="eastAsia" w:ascii="仿宋_GB2312" w:hAnsi="宋体" w:eastAsia="仿宋_GB2312" w:cs="宋体"/>
          <w:color w:val="000000"/>
          <w:kern w:val="0"/>
          <w:sz w:val="32"/>
          <w:szCs w:val="32"/>
          <w:shd w:val="clear" w:color="auto" w:fill="FFFFFF"/>
          <w:lang w:val="zh-CN"/>
        </w:rPr>
      </w:pPr>
      <w:r>
        <w:rPr>
          <w:rFonts w:hint="eastAsia"/>
          <w:bCs/>
          <w:sz w:val="32"/>
          <w:szCs w:val="32"/>
        </w:rPr>
        <w:t>8、负责做好县委、政府临时交办的各项工作任务。</w:t>
      </w:r>
    </w:p>
    <w:p>
      <w:pPr>
        <w:widowControl/>
        <w:numPr>
          <w:ilvl w:val="0"/>
          <w:numId w:val="6"/>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widowControl/>
        <w:numPr>
          <w:ilvl w:val="0"/>
          <w:numId w:val="0"/>
        </w:numPr>
        <w:adjustRightInd w:val="0"/>
        <w:snapToGrid w:val="0"/>
        <w:spacing w:line="580" w:lineRule="exact"/>
        <w:ind w:firstLine="640" w:firstLineChars="200"/>
        <w:contextualSpacing/>
        <w:jc w:val="left"/>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联动中心单位编制数8人，在职人员</w:t>
      </w:r>
      <w:r>
        <w:rPr>
          <w:rFonts w:hint="eastAsia" w:ascii="仿宋_GB2312" w:eastAsia="仿宋_GB2312" w:cstheme="minorBidi"/>
          <w:kern w:val="2"/>
          <w:sz w:val="32"/>
          <w:szCs w:val="32"/>
          <w:lang w:val="en-US" w:eastAsia="zh-CN" w:bidi="ar-SA"/>
        </w:rPr>
        <w:t>5</w:t>
      </w:r>
      <w:r>
        <w:rPr>
          <w:rFonts w:hint="eastAsia" w:ascii="仿宋_GB2312" w:eastAsia="仿宋_GB2312" w:hAnsiTheme="minorHAnsi" w:cstheme="minorBidi"/>
          <w:kern w:val="2"/>
          <w:sz w:val="32"/>
          <w:szCs w:val="32"/>
          <w:lang w:val="en-US" w:eastAsia="zh-CN" w:bidi="ar-SA"/>
        </w:rPr>
        <w:t>人。</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截止201</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bCs/>
          <w:color w:val="000000" w:themeColor="text1"/>
          <w:sz w:val="32"/>
          <w:szCs w:val="32"/>
          <w14:textFill>
            <w14:solidFill>
              <w14:schemeClr w14:val="tx1"/>
            </w14:solidFill>
          </w14:textFill>
        </w:rPr>
        <w:t>年底我单位共有</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事业</w:t>
      </w:r>
      <w:r>
        <w:rPr>
          <w:rFonts w:hint="eastAsia" w:ascii="仿宋_GB2312" w:hAnsi="仿宋_GB2312" w:eastAsia="仿宋_GB2312" w:cs="仿宋_GB2312"/>
          <w:bCs/>
          <w:color w:val="000000" w:themeColor="text1"/>
          <w:sz w:val="32"/>
          <w:szCs w:val="32"/>
          <w14:textFill>
            <w14:solidFill>
              <w14:schemeClr w14:val="tx1"/>
            </w14:solidFill>
          </w14:textFill>
        </w:rPr>
        <w:t>编制</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bCs/>
          <w:color w:val="000000" w:themeColor="text1"/>
          <w:sz w:val="32"/>
          <w:szCs w:val="32"/>
          <w14:textFill>
            <w14:solidFill>
              <w14:schemeClr w14:val="tx1"/>
            </w14:solidFill>
          </w14:textFill>
        </w:rPr>
        <w:t>个。在职</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Cs/>
          <w:color w:val="000000" w:themeColor="text1"/>
          <w:sz w:val="32"/>
          <w:szCs w:val="32"/>
          <w14:textFill>
            <w14:solidFill>
              <w14:schemeClr w14:val="tx1"/>
            </w14:solidFill>
          </w14:textFill>
        </w:rPr>
        <w:t>人，</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无新增人员</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2019年联动中心财政资金收入100.73万元。</w:t>
      </w:r>
    </w:p>
    <w:p>
      <w:pPr>
        <w:widowControl/>
        <w:numPr>
          <w:ilvl w:val="0"/>
          <w:numId w:val="7"/>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2019年联动中心财政资金支出122.99万元。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w:t>
      </w:r>
    </w:p>
    <w:p>
      <w:pPr>
        <w:widowControl/>
        <w:adjustRightInd w:val="0"/>
        <w:snapToGrid w:val="0"/>
        <w:spacing w:line="480" w:lineRule="exact"/>
        <w:ind w:firstLine="720"/>
        <w:jc w:val="left"/>
        <w:rPr>
          <w:rFonts w:ascii="楷体" w:hAnsi="楷体" w:eastAsia="楷体" w:cs="宋体"/>
          <w:color w:val="000000" w:themeColor="text1"/>
          <w:kern w:val="0"/>
          <w:lang w:val="zh-CN"/>
          <w14:textFill>
            <w14:solidFill>
              <w14:schemeClr w14:val="tx1"/>
            </w14:solidFill>
          </w14:textFill>
        </w:rPr>
      </w:pPr>
      <w:r>
        <w:rPr>
          <w:rFonts w:hint="eastAsia" w:ascii="楷体" w:hAnsi="楷体" w:eastAsia="楷体" w:cs="宋体"/>
          <w:color w:val="000000" w:themeColor="text1"/>
          <w:kern w:val="0"/>
          <w:sz w:val="32"/>
          <w:lang w:val="en-US" w:eastAsia="zh-CN"/>
          <w14:textFill>
            <w14:solidFill>
              <w14:schemeClr w14:val="tx1"/>
            </w14:solidFill>
          </w14:textFill>
        </w:rPr>
        <w:t>1.</w:t>
      </w:r>
      <w:r>
        <w:rPr>
          <w:rFonts w:hint="eastAsia" w:ascii="楷体" w:hAnsi="楷体" w:eastAsia="楷体" w:cs="宋体"/>
          <w:color w:val="000000" w:themeColor="text1"/>
          <w:kern w:val="0"/>
          <w:sz w:val="32"/>
          <w:lang w:val="zh-CN"/>
          <w14:textFill>
            <w14:solidFill>
              <w14:schemeClr w14:val="tx1"/>
            </w14:solidFill>
          </w14:textFill>
        </w:rPr>
        <w:t>预算编制情况。</w:t>
      </w:r>
    </w:p>
    <w:p>
      <w:pPr>
        <w:widowControl/>
        <w:adjustRightInd w:val="0"/>
        <w:snapToGrid w:val="0"/>
        <w:spacing w:line="480" w:lineRule="exact"/>
        <w:ind w:firstLine="72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主要由三公经费、项目支出、公用经费、</w:t>
      </w:r>
      <w:r>
        <w:rPr>
          <w:rFonts w:hint="eastAsia" w:ascii="仿宋_GB2312" w:eastAsia="仿宋_GB2312"/>
          <w:color w:val="000000" w:themeColor="text1"/>
          <w:sz w:val="32"/>
          <w:szCs w:val="32"/>
          <w14:textFill>
            <w14:solidFill>
              <w14:schemeClr w14:val="tx1"/>
            </w14:solidFill>
          </w14:textFill>
        </w:rPr>
        <w:t>人员经费构成。</w:t>
      </w:r>
    </w:p>
    <w:p>
      <w:pPr>
        <w:widowControl/>
        <w:adjustRightInd w:val="0"/>
        <w:snapToGrid w:val="0"/>
        <w:spacing w:line="480" w:lineRule="exact"/>
        <w:ind w:firstLine="720"/>
        <w:jc w:val="left"/>
        <w:rPr>
          <w:rFonts w:ascii="楷体" w:hAnsi="楷体" w:eastAsia="楷体" w:cs="宋体"/>
          <w:color w:val="000000" w:themeColor="text1"/>
          <w:kern w:val="0"/>
          <w:lang w:val="zh-CN"/>
          <w14:textFill>
            <w14:solidFill>
              <w14:schemeClr w14:val="tx1"/>
            </w14:solidFill>
          </w14:textFill>
        </w:rPr>
      </w:pPr>
      <w:r>
        <w:rPr>
          <w:rFonts w:hint="eastAsia" w:ascii="楷体" w:hAnsi="楷体" w:eastAsia="楷体" w:cs="宋体"/>
          <w:color w:val="000000" w:themeColor="text1"/>
          <w:kern w:val="0"/>
          <w:sz w:val="32"/>
          <w:lang w:val="en-US" w:eastAsia="zh-CN"/>
          <w14:textFill>
            <w14:solidFill>
              <w14:schemeClr w14:val="tx1"/>
            </w14:solidFill>
          </w14:textFill>
        </w:rPr>
        <w:t>2.</w:t>
      </w:r>
      <w:r>
        <w:rPr>
          <w:rFonts w:hint="eastAsia" w:ascii="楷体" w:hAnsi="楷体" w:eastAsia="楷体" w:cs="宋体"/>
          <w:color w:val="000000" w:themeColor="text1"/>
          <w:kern w:val="0"/>
          <w:sz w:val="32"/>
          <w:lang w:val="zh-CN"/>
          <w14:textFill>
            <w14:solidFill>
              <w14:schemeClr w14:val="tx1"/>
            </w14:solidFill>
          </w14:textFill>
        </w:rPr>
        <w:t>执行管理情况。</w:t>
      </w:r>
      <w:r>
        <w:rPr>
          <w:rFonts w:hint="eastAsia" w:ascii="楷体" w:hAnsi="楷体" w:eastAsia="楷体" w:cs="宋体"/>
          <w:color w:val="000000" w:themeColor="text1"/>
          <w:kern w:val="0"/>
          <w:sz w:val="32"/>
          <w:lang w:val="zh-CN"/>
          <w14:textFill>
            <w14:solidFill>
              <w14:schemeClr w14:val="tx1"/>
            </w14:solidFill>
          </w14:textFill>
        </w:rPr>
        <w:tab/>
      </w:r>
    </w:p>
    <w:p>
      <w:pPr>
        <w:widowControl/>
        <w:adjustRightInd w:val="0"/>
        <w:snapToGrid w:val="0"/>
        <w:spacing w:line="560" w:lineRule="exact"/>
        <w:ind w:firstLine="640" w:firstLineChars="200"/>
        <w:jc w:val="left"/>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lang w:val="en-US" w:eastAsia="zh-CN"/>
          <w14:textFill>
            <w14:solidFill>
              <w14:schemeClr w14:val="tx1"/>
            </w14:solidFill>
          </w14:textFill>
        </w:rPr>
        <w:t>9</w:t>
      </w:r>
      <w:r>
        <w:rPr>
          <w:rFonts w:hint="eastAsia" w:ascii="仿宋_GB2312" w:eastAsia="仿宋_GB2312"/>
          <w:color w:val="000000" w:themeColor="text1"/>
          <w:sz w:val="32"/>
          <w:szCs w:val="32"/>
          <w14:textFill>
            <w14:solidFill>
              <w14:schemeClr w14:val="tx1"/>
            </w14:solidFill>
          </w14:textFill>
        </w:rPr>
        <w:t>年度“三公”经费财政拨款支出决算中，因公出国（境）费支出决算0元；公务用车购置及运行维护费支出决算</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万元，占</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%；公务接待费支出决算</w:t>
      </w:r>
      <w:r>
        <w:rPr>
          <w:rFonts w:hint="eastAsia" w:ascii="仿宋_GB2312" w:eastAsia="仿宋_GB2312"/>
          <w:color w:val="000000" w:themeColor="text1"/>
          <w:sz w:val="32"/>
          <w:szCs w:val="32"/>
          <w:lang w:val="en-US" w:eastAsia="zh-CN"/>
          <w14:textFill>
            <w14:solidFill>
              <w14:schemeClr w14:val="tx1"/>
            </w14:solidFill>
          </w14:textFill>
        </w:rPr>
        <w:t>0.06</w:t>
      </w:r>
      <w:r>
        <w:rPr>
          <w:rFonts w:hint="eastAsia" w:ascii="仿宋_GB2312" w:eastAsia="仿宋_GB2312"/>
          <w:color w:val="000000" w:themeColor="text1"/>
          <w:sz w:val="32"/>
          <w:szCs w:val="32"/>
          <w14:textFill>
            <w14:solidFill>
              <w14:schemeClr w14:val="tx1"/>
            </w14:solidFill>
          </w14:textFill>
        </w:rPr>
        <w:t>万元，占</w:t>
      </w:r>
      <w:r>
        <w:rPr>
          <w:rFonts w:hint="eastAsia" w:ascii="仿宋_GB2312" w:eastAsia="仿宋_GB2312"/>
          <w:color w:val="000000" w:themeColor="text1"/>
          <w:sz w:val="32"/>
          <w:szCs w:val="32"/>
          <w:lang w:val="en-US" w:eastAsia="zh-CN"/>
          <w14:textFill>
            <w14:solidFill>
              <w14:schemeClr w14:val="tx1"/>
            </w14:solidFill>
          </w14:textFill>
        </w:rPr>
        <w:t>100</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预算执行完成情况较好。</w:t>
      </w:r>
    </w:p>
    <w:p>
      <w:pPr>
        <w:widowControl/>
        <w:adjustRightInd w:val="0"/>
        <w:snapToGrid w:val="0"/>
        <w:spacing w:line="480" w:lineRule="exact"/>
        <w:ind w:firstLine="720"/>
        <w:jc w:val="left"/>
        <w:rPr>
          <w:rFonts w:ascii="楷体" w:hAnsi="楷体" w:eastAsia="楷体" w:cs="宋体"/>
          <w:color w:val="000000" w:themeColor="text1"/>
          <w:kern w:val="0"/>
          <w:lang w:val="zh-CN"/>
          <w14:textFill>
            <w14:solidFill>
              <w14:schemeClr w14:val="tx1"/>
            </w14:solidFill>
          </w14:textFill>
        </w:rPr>
      </w:pPr>
      <w:r>
        <w:rPr>
          <w:rFonts w:hint="eastAsia" w:ascii="楷体" w:hAnsi="楷体" w:eastAsia="楷体" w:cs="宋体"/>
          <w:color w:val="000000" w:themeColor="text1"/>
          <w:kern w:val="0"/>
          <w:sz w:val="32"/>
          <w:lang w:val="en-US" w:eastAsia="zh-CN"/>
          <w14:textFill>
            <w14:solidFill>
              <w14:schemeClr w14:val="tx1"/>
            </w14:solidFill>
          </w14:textFill>
        </w:rPr>
        <w:t>3.</w:t>
      </w:r>
      <w:r>
        <w:rPr>
          <w:rFonts w:hint="eastAsia" w:ascii="楷体" w:hAnsi="楷体" w:eastAsia="楷体" w:cs="宋体"/>
          <w:color w:val="000000" w:themeColor="text1"/>
          <w:kern w:val="0"/>
          <w:sz w:val="32"/>
          <w:lang w:val="zh-CN"/>
          <w14:textFill>
            <w14:solidFill>
              <w14:schemeClr w14:val="tx1"/>
            </w14:solidFill>
          </w14:textFill>
        </w:rPr>
        <w:t>综合管理情况。</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201</w:t>
      </w:r>
      <w:r>
        <w:rPr>
          <w:rFonts w:hint="eastAsia" w:ascii="仿宋_GB2312" w:eastAsia="仿宋_GB2312"/>
          <w:color w:val="000000" w:themeColor="text1"/>
          <w:sz w:val="32"/>
          <w:szCs w:val="32"/>
          <w:lang w:val="en-US" w:eastAsia="zh-CN"/>
          <w14:textFill>
            <w14:solidFill>
              <w14:schemeClr w14:val="tx1"/>
            </w14:solidFill>
          </w14:textFill>
        </w:rPr>
        <w:t>9</w:t>
      </w:r>
      <w:r>
        <w:rPr>
          <w:rFonts w:hint="eastAsia" w:ascii="仿宋_GB2312" w:eastAsia="仿宋_GB2312"/>
          <w:color w:val="000000" w:themeColor="text1"/>
          <w:sz w:val="32"/>
          <w:szCs w:val="32"/>
          <w:lang w:val="zh-CN"/>
          <w14:textFill>
            <w14:solidFill>
              <w14:schemeClr w14:val="tx1"/>
            </w14:solidFill>
          </w14:textFill>
        </w:rPr>
        <w:t>年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60" w:lineRule="exact"/>
        <w:ind w:firstLine="640" w:firstLineChars="200"/>
        <w:jc w:val="left"/>
        <w:rPr>
          <w:rFonts w:ascii="楷体" w:hAnsi="楷体" w:eastAsia="楷体" w:cs="宋体"/>
          <w:color w:val="000000" w:themeColor="text1"/>
          <w:kern w:val="0"/>
          <w:sz w:val="32"/>
          <w:lang w:val="zh-CN"/>
          <w14:textFill>
            <w14:solidFill>
              <w14:schemeClr w14:val="tx1"/>
            </w14:solidFill>
          </w14:textFill>
        </w:rPr>
      </w:pPr>
      <w:r>
        <w:rPr>
          <w:rFonts w:hint="eastAsia" w:ascii="楷体" w:hAnsi="楷体" w:eastAsia="楷体" w:cs="宋体"/>
          <w:color w:val="000000" w:themeColor="text1"/>
          <w:kern w:val="0"/>
          <w:sz w:val="32"/>
          <w:lang w:val="en-US" w:eastAsia="zh-CN"/>
          <w14:textFill>
            <w14:solidFill>
              <w14:schemeClr w14:val="tx1"/>
            </w14:solidFill>
          </w14:textFill>
        </w:rPr>
        <w:t>1.</w:t>
      </w:r>
      <w:r>
        <w:rPr>
          <w:rFonts w:hint="eastAsia" w:ascii="楷体" w:hAnsi="楷体" w:eastAsia="楷体" w:cs="宋体"/>
          <w:color w:val="000000" w:themeColor="text1"/>
          <w:kern w:val="0"/>
          <w:sz w:val="32"/>
          <w:lang w:val="zh-CN"/>
          <w14:textFill>
            <w14:solidFill>
              <w14:schemeClr w14:val="tx1"/>
            </w14:solidFill>
          </w14:textFill>
        </w:rPr>
        <w:t>部门职责履行情况分析</w:t>
      </w:r>
    </w:p>
    <w:p>
      <w:pPr>
        <w:widowControl/>
        <w:adjustRightInd w:val="0"/>
        <w:snapToGrid w:val="0"/>
        <w:spacing w:line="560" w:lineRule="exact"/>
        <w:ind w:firstLine="640" w:firstLineChars="200"/>
        <w:jc w:val="both"/>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201</w:t>
      </w:r>
      <w:r>
        <w:rPr>
          <w:rFonts w:hint="eastAsia" w:ascii="仿宋_GB2312" w:eastAsia="仿宋_GB2312"/>
          <w:color w:val="000000" w:themeColor="text1"/>
          <w:sz w:val="32"/>
          <w:szCs w:val="32"/>
          <w:lang w:val="en-US" w:eastAsia="zh-CN"/>
          <w14:textFill>
            <w14:solidFill>
              <w14:schemeClr w14:val="tx1"/>
            </w14:solidFill>
          </w14:textFill>
        </w:rPr>
        <w:t>9</w:t>
      </w:r>
      <w:r>
        <w:rPr>
          <w:rFonts w:hint="eastAsia" w:ascii="仿宋_GB2312" w:eastAsia="仿宋_GB2312"/>
          <w:color w:val="000000" w:themeColor="text1"/>
          <w:sz w:val="32"/>
          <w:szCs w:val="32"/>
          <w:lang w:val="zh-CN"/>
          <w14:textFill>
            <w14:solidFill>
              <w14:schemeClr w14:val="tx1"/>
            </w14:solidFill>
          </w14:textFill>
        </w:rPr>
        <w:t>年度我单位年初</w:t>
      </w:r>
      <w:r>
        <w:rPr>
          <w:rFonts w:hint="eastAsia" w:ascii="仿宋_GB2312" w:eastAsia="仿宋_GB2312"/>
          <w:color w:val="000000" w:themeColor="text1"/>
          <w:sz w:val="32"/>
          <w:szCs w:val="32"/>
          <w14:textFill>
            <w14:solidFill>
              <w14:schemeClr w14:val="tx1"/>
            </w14:solidFill>
          </w14:textFill>
        </w:rPr>
        <w:t>根据</w:t>
      </w:r>
      <w:r>
        <w:rPr>
          <w:rFonts w:hint="eastAsia" w:ascii="仿宋_GB2312" w:eastAsia="仿宋_GB2312"/>
          <w:color w:val="000000" w:themeColor="text1"/>
          <w:sz w:val="32"/>
          <w:szCs w:val="32"/>
          <w:lang w:val="zh-CN"/>
          <w14:textFill>
            <w14:solidFill>
              <w14:schemeClr w14:val="tx1"/>
            </w14:solidFill>
          </w14:textFill>
        </w:rPr>
        <w:t>工作规划和重点工作</w:t>
      </w:r>
      <w:r>
        <w:rPr>
          <w:rFonts w:hint="eastAsia" w:ascii="仿宋_GB2312" w:eastAsia="仿宋_GB2312"/>
          <w:color w:val="000000" w:themeColor="text1"/>
          <w:sz w:val="32"/>
          <w:szCs w:val="32"/>
          <w14:textFill>
            <w14:solidFill>
              <w14:schemeClr w14:val="tx1"/>
            </w14:solidFill>
          </w14:textFill>
        </w:rPr>
        <w:t>规划</w:t>
      </w:r>
      <w:r>
        <w:rPr>
          <w:rFonts w:hint="eastAsia" w:ascii="仿宋_GB2312" w:eastAsia="仿宋_GB2312"/>
          <w:color w:val="000000" w:themeColor="text1"/>
          <w:sz w:val="32"/>
          <w:szCs w:val="32"/>
          <w:lang w:val="zh-CN"/>
          <w14:textFill>
            <w14:solidFill>
              <w14:schemeClr w14:val="tx1"/>
            </w14:solidFill>
          </w14:textFill>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widowControl/>
        <w:adjustRightInd w:val="0"/>
        <w:snapToGrid w:val="0"/>
        <w:spacing w:line="560" w:lineRule="exact"/>
        <w:ind w:firstLine="640" w:firstLineChars="200"/>
        <w:jc w:val="both"/>
        <w:rPr>
          <w:rFonts w:ascii="楷体" w:hAnsi="楷体" w:eastAsia="楷体" w:cs="宋体"/>
          <w:color w:val="000000" w:themeColor="text1"/>
          <w:kern w:val="0"/>
          <w:sz w:val="32"/>
          <w:lang w:val="zh-CN"/>
          <w14:textFill>
            <w14:solidFill>
              <w14:schemeClr w14:val="tx1"/>
            </w14:solidFill>
          </w14:textFill>
        </w:rPr>
      </w:pPr>
      <w:r>
        <w:rPr>
          <w:rFonts w:hint="eastAsia" w:ascii="楷体" w:hAnsi="楷体" w:eastAsia="楷体" w:cs="宋体"/>
          <w:color w:val="000000" w:themeColor="text1"/>
          <w:kern w:val="0"/>
          <w:sz w:val="32"/>
          <w:lang w:val="en-US" w:eastAsia="zh-CN"/>
          <w14:textFill>
            <w14:solidFill>
              <w14:schemeClr w14:val="tx1"/>
            </w14:solidFill>
          </w14:textFill>
        </w:rPr>
        <w:t>2.</w:t>
      </w:r>
      <w:r>
        <w:rPr>
          <w:rFonts w:hint="eastAsia" w:ascii="楷体" w:hAnsi="楷体" w:eastAsia="楷体" w:cs="宋体"/>
          <w:color w:val="000000" w:themeColor="text1"/>
          <w:kern w:val="0"/>
          <w:sz w:val="32"/>
          <w:lang w:val="zh-CN"/>
          <w14:textFill>
            <w14:solidFill>
              <w14:schemeClr w14:val="tx1"/>
            </w14:solidFill>
          </w14:textFill>
        </w:rPr>
        <w:t>社会经济效益分析</w:t>
      </w:r>
    </w:p>
    <w:p>
      <w:pPr>
        <w:widowControl/>
        <w:adjustRightInd w:val="0"/>
        <w:snapToGrid w:val="0"/>
        <w:spacing w:line="560" w:lineRule="exact"/>
        <w:ind w:firstLine="640" w:firstLineChars="200"/>
        <w:jc w:val="both"/>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lang w:val="zh-CN"/>
          <w14:textFill>
            <w14:solidFill>
              <w14:schemeClr w14:val="tx1"/>
            </w14:solidFill>
          </w14:textFill>
        </w:rPr>
        <w:t>）本年预算配置控制较好。财政供养人员控制在预算编制以内，编制内在职人员控制率为100%；“三公经费”控制在年初预算以内。</w:t>
      </w:r>
    </w:p>
    <w:p>
      <w:pPr>
        <w:widowControl/>
        <w:adjustRightInd w:val="0"/>
        <w:snapToGrid w:val="0"/>
        <w:spacing w:line="560" w:lineRule="exact"/>
        <w:ind w:firstLine="640" w:firstLineChars="200"/>
        <w:jc w:val="both"/>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lang w:val="zh-CN"/>
          <w14:textFill>
            <w14:solidFill>
              <w14:schemeClr w14:val="tx1"/>
            </w14:solidFill>
          </w14:textFill>
        </w:rPr>
        <w:t>）预算执行情况控制较好。支出总额控制在年初预算总额以内，本年部门预算完成率达到了100%，未进行预算相关事项的调整，预算控制良好。</w:t>
      </w:r>
    </w:p>
    <w:p>
      <w:pPr>
        <w:widowControl/>
        <w:adjustRightInd w:val="0"/>
        <w:snapToGrid w:val="0"/>
        <w:spacing w:line="560" w:lineRule="exact"/>
        <w:ind w:firstLine="640" w:firstLineChars="200"/>
        <w:jc w:val="both"/>
        <w:rPr>
          <w:rFonts w:ascii="楷体" w:hAnsi="楷体" w:eastAsia="楷体" w:cs="宋体"/>
          <w:color w:val="000000" w:themeColor="text1"/>
          <w:kern w:val="0"/>
          <w:sz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lang w:val="zh-CN"/>
          <w14:textFill>
            <w14:solidFill>
              <w14:schemeClr w14:val="tx1"/>
            </w14:solidFill>
          </w14:textFill>
        </w:rPr>
        <w:t>）预算管理较为理想。由于严格执行财政相关法律、法规的规定，我单位的预算管理工作取得了较好的成绩，全年人员经费支出、日常用公用经费支出的控制率均达到了100%</w:t>
      </w:r>
      <w:r>
        <w:rPr>
          <w:rFonts w:hint="eastAsia" w:ascii="楷体" w:hAnsi="楷体" w:eastAsia="楷体" w:cs="宋体"/>
          <w:color w:val="000000" w:themeColor="text1"/>
          <w:kern w:val="0"/>
          <w:sz w:val="32"/>
          <w:lang w:val="zh-CN"/>
          <w14:textFill>
            <w14:solidFill>
              <w14:schemeClr w14:val="tx1"/>
            </w14:solidFill>
          </w14:textFill>
        </w:rPr>
        <w:t>。</w:t>
      </w:r>
    </w:p>
    <w:p>
      <w:pPr>
        <w:widowControl/>
        <w:adjustRightInd w:val="0"/>
        <w:snapToGrid w:val="0"/>
        <w:spacing w:line="560" w:lineRule="exact"/>
        <w:ind w:firstLine="640" w:firstLineChars="200"/>
        <w:jc w:val="both"/>
        <w:rPr>
          <w:rFonts w:ascii="楷体" w:hAnsi="楷体" w:eastAsia="楷体" w:cs="宋体"/>
          <w:color w:val="000000" w:themeColor="text1"/>
          <w:kern w:val="0"/>
          <w:sz w:val="32"/>
          <w:lang w:val="zh-CN"/>
          <w14:textFill>
            <w14:solidFill>
              <w14:schemeClr w14:val="tx1"/>
            </w14:solidFill>
          </w14:textFill>
        </w:rPr>
      </w:pPr>
      <w:r>
        <w:rPr>
          <w:rFonts w:hint="eastAsia" w:ascii="楷体" w:hAnsi="楷体" w:eastAsia="楷体" w:cs="宋体"/>
          <w:color w:val="000000" w:themeColor="text1"/>
          <w:kern w:val="0"/>
          <w:sz w:val="32"/>
          <w:lang w:val="en-US" w:eastAsia="zh-CN"/>
          <w14:textFill>
            <w14:solidFill>
              <w14:schemeClr w14:val="tx1"/>
            </w14:solidFill>
          </w14:textFill>
        </w:rPr>
        <w:t>3.</w:t>
      </w:r>
      <w:r>
        <w:rPr>
          <w:rFonts w:hint="eastAsia" w:ascii="楷体" w:hAnsi="楷体" w:eastAsia="楷体" w:cs="宋体"/>
          <w:color w:val="000000" w:themeColor="text1"/>
          <w:kern w:val="0"/>
          <w:sz w:val="32"/>
          <w:lang w:val="zh-CN"/>
          <w14:textFill>
            <w14:solidFill>
              <w14:schemeClr w14:val="tx1"/>
            </w14:solidFill>
          </w14:textFill>
        </w:rPr>
        <w:t>行政效能分析</w:t>
      </w:r>
    </w:p>
    <w:p>
      <w:pPr>
        <w:widowControl/>
        <w:adjustRightInd w:val="0"/>
        <w:snapToGrid w:val="0"/>
        <w:spacing w:line="560" w:lineRule="exact"/>
        <w:ind w:firstLine="640" w:firstLineChars="200"/>
        <w:jc w:val="both"/>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财政预算安排在很大程度上保障了本单位基本支出及公用经费支出的正常工作运转。预算安排的项目支出也是非常必要的。财政预算安排</w:t>
      </w:r>
      <w:bookmarkStart w:id="73" w:name="_GoBack"/>
      <w:bookmarkEnd w:id="73"/>
      <w:r>
        <w:rPr>
          <w:rFonts w:hint="eastAsia" w:ascii="仿宋_GB2312" w:eastAsia="仿宋_GB2312"/>
          <w:color w:val="000000" w:themeColor="text1"/>
          <w:sz w:val="32"/>
          <w:szCs w:val="32"/>
          <w:lang w:val="zh-CN"/>
          <w14:textFill>
            <w14:solidFill>
              <w14:schemeClr w14:val="tx1"/>
            </w14:solidFill>
          </w14:textFill>
        </w:rPr>
        <w:t>大大提财政资金的使用效率，财政资金的安全性得到了有效保障，我们在执行预算过程中是严格按照财政各项制度规定来办理，单位在项目资金的使用上也是安全的。</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themeColor="text1"/>
          <w:kern w:val="0"/>
          <w:sz w:val="32"/>
          <w:szCs w:val="32"/>
          <w:shd w:val="clear" w:color="auto" w:fill="FFFFFF"/>
          <w:lang w:val="en-US" w:eastAsia="zh-CN"/>
          <w14:textFill>
            <w14:solidFill>
              <w14:schemeClr w14:val="tx1"/>
            </w14:solidFill>
          </w14:textFill>
        </w:rPr>
        <w:t>2019年度根据</w:t>
      </w: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预算编制，严格执行预算经费使用，总体效果较好。</w:t>
      </w:r>
    </w:p>
    <w:p>
      <w:pPr>
        <w:widowControl/>
        <w:numPr>
          <w:ilvl w:val="0"/>
          <w:numId w:val="7"/>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1、预算编制欠严谨</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预算编制欠全面，项目有临时追加不够完整、细化</w:t>
      </w:r>
      <w:r>
        <w:rPr>
          <w:rFonts w:hint="eastAsia" w:ascii="仿宋_GB2312"/>
          <w:color w:val="000000" w:themeColor="text1"/>
          <w:sz w:val="32"/>
          <w:szCs w:val="32"/>
          <w:lang w:val="zh-CN"/>
          <w14:textFill>
            <w14:solidFill>
              <w14:schemeClr w14:val="tx1"/>
            </w14:solidFill>
          </w14:textFill>
        </w:rPr>
        <w:t>。</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2、预算执行存在偏差</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在实际经费列支中，未严格按照预算科目进行列支，部分基本支出挤占了项目支出。</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3、会计核算欠规范</w:t>
      </w:r>
    </w:p>
    <w:p>
      <w:pPr>
        <w:widowControl/>
        <w:adjustRightInd w:val="0"/>
        <w:snapToGrid w:val="0"/>
        <w:spacing w:line="56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eastAsia="仿宋_GB2312"/>
          <w:color w:val="000000" w:themeColor="text1"/>
          <w:sz w:val="32"/>
          <w:szCs w:val="32"/>
          <w:lang w:val="zh-CN"/>
          <w14:textFill>
            <w14:solidFill>
              <w14:schemeClr w14:val="tx1"/>
            </w14:solidFill>
          </w14:textFill>
        </w:rPr>
        <w:t>经费支出核算过程中，部分存在部分大额办公支出无明细、发票内容填写不规范等现象。</w:t>
      </w:r>
    </w:p>
    <w:p>
      <w:pPr>
        <w:widowControl/>
        <w:numPr>
          <w:ilvl w:val="0"/>
          <w:numId w:val="7"/>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1、科学合理编制预算，严格执行预算</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建议按照《预算法》及其实施条例的相关规定，参考上一年的预算执行情况和年度的收支预测科学编制预算，避免年中大幅追加以及超预算。在预算执行中，严格按照预算科目支出，避免预算科目间的预算资金调剂，确需调剂的，按规定程序报经批准。</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2、规范账务处理，提高财务信息质量</w:t>
      </w:r>
    </w:p>
    <w:p>
      <w:pPr>
        <w:widowControl/>
        <w:numPr>
          <w:ilvl w:val="0"/>
          <w:numId w:val="0"/>
        </w:numPr>
        <w:adjustRightInd w:val="0"/>
        <w:snapToGrid w:val="0"/>
        <w:spacing w:line="580" w:lineRule="exact"/>
        <w:ind w:leftChars="200"/>
        <w:contextualSpacing/>
        <w:jc w:val="left"/>
        <w:rPr>
          <w:rStyle w:val="25"/>
          <w:rFonts w:ascii="黑体" w:hAnsi="黑体" w:eastAsia="黑体"/>
          <w:b w:val="0"/>
        </w:rPr>
      </w:pPr>
      <w:r>
        <w:rPr>
          <w:rFonts w:hint="eastAsia" w:ascii="仿宋_GB2312" w:eastAsia="仿宋_GB2312"/>
          <w:color w:val="000000" w:themeColor="text1"/>
          <w:sz w:val="32"/>
          <w:szCs w:val="32"/>
          <w:lang w:val="zh-CN"/>
          <w14:textFill>
            <w14:solidFill>
              <w14:schemeClr w14:val="tx1"/>
            </w14:solidFill>
          </w14:textFill>
        </w:rPr>
        <w:t>严格按照《会计法》、《行政单位会计制度》、《行政单位财务规则》等规定，结合实际情况，科学设置支出科目，规范财务核算，完整披露相关信息。</w:t>
      </w: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bookmarkStart w:id="59"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7"/>
      <w:bookmarkEnd w:id="59"/>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61"/>
    </w:p>
    <w:p>
      <w:pPr>
        <w:pStyle w:val="3"/>
        <w:rPr>
          <w:rFonts w:ascii="仿宋" w:hAnsi="仿宋" w:eastAsia="仿宋"/>
          <w:color w:val="000000"/>
        </w:rPr>
      </w:pPr>
      <w:bookmarkStart w:id="62"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62"/>
    </w:p>
    <w:p>
      <w:pPr>
        <w:pStyle w:val="3"/>
        <w:rPr>
          <w:rFonts w:ascii="仿宋" w:hAnsi="仿宋" w:eastAsia="仿宋"/>
          <w:b w:val="0"/>
          <w:color w:val="000000"/>
        </w:rPr>
      </w:pPr>
      <w:bookmarkStart w:id="63"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3"/>
    </w:p>
    <w:p>
      <w:pPr>
        <w:pStyle w:val="3"/>
        <w:rPr>
          <w:rStyle w:val="26"/>
          <w:rFonts w:ascii="仿宋" w:hAnsi="仿宋" w:eastAsia="仿宋"/>
          <w:b w:val="0"/>
          <w:bCs w:val="0"/>
        </w:rPr>
      </w:pPr>
      <w:bookmarkStart w:id="64"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64"/>
      <w:bookmarkStart w:id="65" w:name="_Toc15396624"/>
    </w:p>
    <w:p>
      <w:pPr>
        <w:pStyle w:val="3"/>
        <w:rPr>
          <w:rFonts w:ascii="仿宋" w:hAnsi="仿宋" w:eastAsia="仿宋"/>
          <w:color w:val="000000"/>
        </w:rPr>
      </w:pPr>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1"/>
    </w:p>
    <w:p>
      <w:pPr>
        <w:pStyle w:val="3"/>
        <w:rPr>
          <w:rFonts w:ascii="仿宋" w:hAnsi="仿宋" w:eastAsia="仿宋"/>
          <w:color w:val="000000" w:themeColor="text1"/>
          <w14:textFill>
            <w14:solidFill>
              <w14:schemeClr w14:val="tx1"/>
            </w14:solidFill>
          </w14:textFill>
        </w:rPr>
      </w:pPr>
      <w:bookmarkStart w:id="72"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2"/>
    </w:p>
    <w:sectPr>
      <w:footerReference r:id="rId5" w:type="first"/>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txbxContent>
              </v:textbox>
            </v:shape>
          </w:pict>
        </mc:Fallback>
      </mc:AlternateContent>
    </w:r>
    <w:r>
      <w:rPr>
        <w:rFonts w:hint="eastAsia"/>
        <w:lang w:eastAsia="zh-CN"/>
      </w:rPr>
      <w:tab/>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60A6C6"/>
    <w:multiLevelType w:val="singleLevel"/>
    <w:tmpl w:val="9F60A6C6"/>
    <w:lvl w:ilvl="0" w:tentative="0">
      <w:start w:val="2"/>
      <w:numFmt w:val="chineseCounting"/>
      <w:suff w:val="nothing"/>
      <w:lvlText w:val="（%1）"/>
      <w:lvlJc w:val="left"/>
      <w:rPr>
        <w:rFonts w:hint="eastAsia"/>
      </w:rPr>
    </w:lvl>
  </w:abstractNum>
  <w:abstractNum w:abstractNumId="1">
    <w:nsid w:val="A0AED1AF"/>
    <w:multiLevelType w:val="singleLevel"/>
    <w:tmpl w:val="A0AED1AF"/>
    <w:lvl w:ilvl="0" w:tentative="0">
      <w:start w:val="2"/>
      <w:numFmt w:val="chineseCounting"/>
      <w:suff w:val="nothing"/>
      <w:lvlText w:val="（%1）"/>
      <w:lvlJc w:val="left"/>
      <w:rPr>
        <w:rFonts w:hint="eastAsia"/>
      </w:rPr>
    </w:lvl>
  </w:abstractNum>
  <w:abstractNum w:abstractNumId="2">
    <w:nsid w:val="C779CDE1"/>
    <w:multiLevelType w:val="singleLevel"/>
    <w:tmpl w:val="C779CDE1"/>
    <w:lvl w:ilvl="0" w:tentative="0">
      <w:start w:val="1"/>
      <w:numFmt w:val="decimal"/>
      <w:lvlText w:val="%1."/>
      <w:lvlJc w:val="left"/>
      <w:pPr>
        <w:tabs>
          <w:tab w:val="left" w:pos="312"/>
        </w:tabs>
      </w:pPr>
    </w:lvl>
  </w:abstractNum>
  <w:abstractNum w:abstractNumId="3">
    <w:nsid w:val="CF652CEC"/>
    <w:multiLevelType w:val="singleLevel"/>
    <w:tmpl w:val="CF652CEC"/>
    <w:lvl w:ilvl="0" w:tentative="0">
      <w:start w:val="9"/>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283301C6"/>
    <w:multiLevelType w:val="singleLevel"/>
    <w:tmpl w:val="283301C6"/>
    <w:lvl w:ilvl="0" w:tentative="0">
      <w:start w:val="1"/>
      <w:numFmt w:val="decimal"/>
      <w:lvlText w:val="%1."/>
      <w:lvlJc w:val="left"/>
      <w:pPr>
        <w:tabs>
          <w:tab w:val="left" w:pos="312"/>
        </w:tabs>
      </w:pPr>
    </w:lvl>
  </w:abstractNum>
  <w:num w:numId="1">
    <w:abstractNumId w:val="5"/>
  </w:num>
  <w:num w:numId="2">
    <w:abstractNumId w:val="2"/>
  </w:num>
  <w:num w:numId="3">
    <w:abstractNumId w:val="6"/>
  </w:num>
  <w:num w:numId="4">
    <w:abstractNumId w:val="3"/>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7677C"/>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C4346E"/>
    <w:rsid w:val="05BC1D9B"/>
    <w:rsid w:val="09C23E57"/>
    <w:rsid w:val="0D351D4C"/>
    <w:rsid w:val="10C055FF"/>
    <w:rsid w:val="11202E99"/>
    <w:rsid w:val="156612F2"/>
    <w:rsid w:val="16BB723D"/>
    <w:rsid w:val="175311AE"/>
    <w:rsid w:val="18E318F3"/>
    <w:rsid w:val="215C7447"/>
    <w:rsid w:val="240371BF"/>
    <w:rsid w:val="27597CA0"/>
    <w:rsid w:val="29FD04D3"/>
    <w:rsid w:val="2A96234D"/>
    <w:rsid w:val="312A6CE3"/>
    <w:rsid w:val="319F7F4E"/>
    <w:rsid w:val="34C93621"/>
    <w:rsid w:val="35E60552"/>
    <w:rsid w:val="415417D9"/>
    <w:rsid w:val="41F34DAD"/>
    <w:rsid w:val="42D76D49"/>
    <w:rsid w:val="4B1931D8"/>
    <w:rsid w:val="4B36105E"/>
    <w:rsid w:val="4ECE2238"/>
    <w:rsid w:val="55E87E19"/>
    <w:rsid w:val="57A70DE1"/>
    <w:rsid w:val="613F3469"/>
    <w:rsid w:val="61A07C0B"/>
    <w:rsid w:val="65F04053"/>
    <w:rsid w:val="6BAD28DC"/>
    <w:rsid w:val="7001163D"/>
    <w:rsid w:val="727341F5"/>
    <w:rsid w:val="72734D90"/>
    <w:rsid w:val="7A63645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5"/>
    <w:qFormat/>
    <w:locked/>
    <w:uiPriority w:val="99"/>
    <w:rPr>
      <w:rFonts w:ascii="仿宋_GB2312" w:hAnsi="Times New Roman" w:eastAsia="仿宋_GB2312"/>
      <w:sz w:val="24"/>
    </w:rPr>
  </w:style>
  <w:style w:type="paragraph" w:customStyle="1" w:styleId="23">
    <w:name w:val="Defaul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4">
    <w:name w:val="List Paragraph"/>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字符"/>
    <w:basedOn w:val="14"/>
    <w:link w:val="7"/>
    <w:semiHidden/>
    <w:qFormat/>
    <w:uiPriority w:val="99"/>
    <w:rPr>
      <w:rFonts w:ascii="Times New Roman" w:hAnsi="Times New Roman"/>
      <w:kern w:val="2"/>
      <w:sz w:val="18"/>
      <w:szCs w:val="18"/>
    </w:rPr>
  </w:style>
  <w:style w:type="character" w:customStyle="1" w:styleId="29">
    <w:name w:val="标题 3 字符"/>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Sheet1!#REF!</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Sheet1!$A$1:$A$4</c:f>
              <c:strCache>
                <c:ptCount val="4"/>
                <c:pt idx="0">
                  <c:v>2018年收入</c:v>
                </c:pt>
                <c:pt idx="1">
                  <c:v>2019年收入</c:v>
                </c:pt>
                <c:pt idx="2">
                  <c:v>2018年支出</c:v>
                </c:pt>
                <c:pt idx="3">
                  <c:v>2019年支出</c:v>
                </c:pt>
              </c:strCache>
            </c:strRef>
          </c:cat>
          <c:val>
            <c:numRef>
              <c:f>Sheet1!$B$1:$B$4</c:f>
              <c:numCache>
                <c:formatCode>General</c:formatCode>
                <c:ptCount val="4"/>
                <c:pt idx="0">
                  <c:v>106.94</c:v>
                </c:pt>
                <c:pt idx="1">
                  <c:v>122.22</c:v>
                </c:pt>
                <c:pt idx="2">
                  <c:v>124.7</c:v>
                </c:pt>
                <c:pt idx="3">
                  <c:v>122.99</c:v>
                </c:pt>
              </c:numCache>
            </c:numRef>
          </c:val>
        </c:ser>
        <c:dLbls>
          <c:showLegendKey val="0"/>
          <c:showVal val="1"/>
          <c:showCatName val="0"/>
          <c:showSerName val="0"/>
          <c:showPercent val="0"/>
          <c:showBubbleSize val="0"/>
        </c:dLbls>
        <c:gapWidth val="219"/>
        <c:overlap val="-27"/>
        <c:axId val="765449944"/>
        <c:axId val="69468242"/>
      </c:barChart>
      <c:catAx>
        <c:axId val="76544994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468242"/>
        <c:crosses val="autoZero"/>
        <c:auto val="1"/>
        <c:lblAlgn val="ctr"/>
        <c:lblOffset val="100"/>
        <c:noMultiLvlLbl val="0"/>
      </c:catAx>
      <c:valAx>
        <c:axId val="6946824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5449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财政拨款收入</c:v>
                </c:pt>
              </c:strCache>
            </c:strRef>
          </c:cat>
          <c:val>
            <c:numRef>
              <c:f>Sheet1!$B$2:$B$5</c:f>
              <c:numCache>
                <c:formatCode>General</c:formatCode>
                <c:ptCount val="4"/>
                <c:pt idx="0">
                  <c:v>122.22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1"/>
        <c:delete val="1"/>
      </c:legendEntry>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General</c:formatCode>
                <c:ptCount val="4"/>
                <c:pt idx="0">
                  <c:v>122.22</c:v>
                </c:pt>
                <c:pt idx="1">
                  <c:v>0.78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48976377952756"/>
          <c:y val="0.0298860460116104"/>
          <c:w val="0.880535433070866"/>
          <c:h val="0.848720705224683"/>
        </c:manualLayout>
      </c:layout>
      <c:barChart>
        <c:barDir val="col"/>
        <c:grouping val="clustered"/>
        <c:varyColors val="0"/>
        <c:ser>
          <c:idx val="0"/>
          <c:order val="0"/>
          <c:tx>
            <c:strRef>
              <c:f>Sheet1!#REF!</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Sheet1!$A$1:$A$4</c:f>
              <c:strCache>
                <c:ptCount val="4"/>
                <c:pt idx="0">
                  <c:v>2018年收入</c:v>
                </c:pt>
                <c:pt idx="1">
                  <c:v>2019年收入</c:v>
                </c:pt>
                <c:pt idx="2">
                  <c:v>2018年支出</c:v>
                </c:pt>
                <c:pt idx="3">
                  <c:v>2019年支出</c:v>
                </c:pt>
              </c:strCache>
            </c:strRef>
          </c:cat>
          <c:val>
            <c:numRef>
              <c:f>Sheet1!$B$1:$B$4</c:f>
              <c:numCache>
                <c:formatCode>General</c:formatCode>
                <c:ptCount val="4"/>
                <c:pt idx="0">
                  <c:v>106.94</c:v>
                </c:pt>
                <c:pt idx="1">
                  <c:v>122.22</c:v>
                </c:pt>
                <c:pt idx="2">
                  <c:v>124.7</c:v>
                </c:pt>
                <c:pt idx="3">
                  <c:v>122.99</c:v>
                </c:pt>
              </c:numCache>
            </c:numRef>
          </c:val>
        </c:ser>
        <c:dLbls>
          <c:showLegendKey val="0"/>
          <c:showVal val="1"/>
          <c:showCatName val="0"/>
          <c:showSerName val="0"/>
          <c:showPercent val="0"/>
          <c:showBubbleSize val="0"/>
        </c:dLbls>
        <c:gapWidth val="219"/>
        <c:overlap val="-27"/>
        <c:axId val="765449944"/>
        <c:axId val="69468242"/>
      </c:barChart>
      <c:catAx>
        <c:axId val="76544994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468242"/>
        <c:crosses val="autoZero"/>
        <c:auto val="1"/>
        <c:lblAlgn val="ctr"/>
        <c:lblOffset val="100"/>
        <c:noMultiLvlLbl val="0"/>
      </c:catAx>
      <c:valAx>
        <c:axId val="6946824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5449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2019年财政拨款支出</c:v>
                </c:pt>
                <c:pt idx="1">
                  <c:v>2018年财政拨款支出</c:v>
                </c:pt>
              </c:strCache>
            </c:strRef>
          </c:cat>
          <c:val>
            <c:numRef>
              <c:f>Sheet1!$B$2:$B$5</c:f>
              <c:numCache>
                <c:formatCode>General</c:formatCode>
                <c:ptCount val="4"/>
                <c:pt idx="0">
                  <c:v>122.99</c:v>
                </c:pt>
                <c:pt idx="1">
                  <c:v>124.7</c:v>
                </c:pt>
              </c:numCache>
            </c:numRef>
          </c:val>
        </c:ser>
        <c:ser>
          <c:idx val="1"/>
          <c:order val="1"/>
          <c:tx>
            <c:strRef>
              <c:f>Sheet1!$C$1</c:f>
              <c:strCache>
                <c:ptCount val="1"/>
                <c:pt idx="0">
                  <c:v>系列 2</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2019年财政拨款支出</c:v>
                </c:pt>
                <c:pt idx="1">
                  <c:v>2018年财政拨款支出</c:v>
                </c:pt>
              </c:strCache>
            </c:strRef>
          </c:cat>
          <c:val>
            <c:numRef>
              <c:f>Sheet1!$C$2:$C$5</c:f>
              <c:numCache>
                <c:formatCode>General</c:formatCode>
                <c:ptCount val="4"/>
              </c:numCache>
            </c:numRef>
          </c:val>
        </c:ser>
        <c:ser>
          <c:idx val="2"/>
          <c:order val="2"/>
          <c:tx>
            <c:strRef>
              <c:f>Sheet1!$D$1</c:f>
              <c:strCache>
                <c:ptCount val="1"/>
                <c:pt idx="0">
                  <c:v>系列 3</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2019年财政拨款支出</c:v>
                </c:pt>
                <c:pt idx="1">
                  <c:v>2018年财政拨款支出</c:v>
                </c:pt>
              </c:strCache>
            </c:strRef>
          </c:cat>
          <c:val>
            <c:numRef>
              <c:f>Sheet1!$D$2:$D$5</c:f>
              <c:numCache>
                <c:formatCode>General</c:formatCode>
                <c:ptCount val="4"/>
              </c:numCache>
            </c:numRef>
          </c:val>
        </c:ser>
        <c:dLbls>
          <c:showLegendKey val="0"/>
          <c:showVal val="1"/>
          <c:showCatName val="0"/>
          <c:showSerName val="0"/>
          <c:showPercent val="0"/>
          <c:showBubbleSize val="0"/>
        </c:dLbls>
        <c:gapWidth val="219"/>
        <c:overlap val="-27"/>
        <c:axId val="146433854"/>
        <c:axId val="844960702"/>
      </c:barChart>
      <c:catAx>
        <c:axId val="14643385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4960702"/>
        <c:crosses val="autoZero"/>
        <c:auto val="1"/>
        <c:lblAlgn val="ctr"/>
        <c:lblOffset val="100"/>
        <c:noMultiLvlLbl val="0"/>
      </c:catAx>
      <c:valAx>
        <c:axId val="84496070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643385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100.73</c:v>
                </c:pt>
                <c:pt idx="1">
                  <c:v>10.84</c:v>
                </c:pt>
                <c:pt idx="2">
                  <c:v>4.38</c:v>
                </c:pt>
                <c:pt idx="3">
                  <c:v>6.27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10</TotalTime>
  <ScaleCrop>false</ScaleCrop>
  <LinksUpToDate>false</LinksUpToDate>
  <CharactersWithSpaces>8587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2020-07-23T02:58:00Z</cp:lastPrinted>
  <dcterms:modified xsi:type="dcterms:W3CDTF">2021-02-26T07:40:04Z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