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96597"/>
      <w:bookmarkStart w:id="2" w:name="_Toc15377193"/>
      <w:bookmarkStart w:id="3" w:name="_Toc15377425"/>
      <w:bookmarkStart w:id="4" w:name="_Toc15378441"/>
      <w:bookmarkStart w:id="5" w:name="_Toc15396475"/>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78442"/>
      <w:bookmarkStart w:id="7" w:name="_Toc15377194"/>
      <w:bookmarkStart w:id="8" w:name="_Toc15396476"/>
      <w:bookmarkStart w:id="9" w:name="_Toc15396598"/>
      <w:bookmarkStart w:id="10" w:name="_Toc15377426"/>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rPr>
        <w:t>中共红原县委、</w:t>
      </w:r>
    </w:p>
    <w:p>
      <w:pPr>
        <w:adjustRightInd w:val="0"/>
        <w:snapToGrid w:val="0"/>
        <w:spacing w:line="360" w:lineRule="auto"/>
        <w:jc w:val="center"/>
        <w:outlineLvl w:val="0"/>
        <w:rPr>
          <w:rFonts w:ascii="方正小标宋简体" w:hAnsi="宋体" w:eastAsia="方正小标宋简体"/>
          <w:color w:val="000000"/>
          <w:sz w:val="72"/>
          <w:szCs w:val="72"/>
        </w:rPr>
      </w:pPr>
      <w:r>
        <w:rPr>
          <w:rFonts w:hint="eastAsia" w:ascii="方正小标宋简体" w:hAnsi="宋体" w:eastAsia="方正小标宋简体"/>
          <w:color w:val="000000"/>
          <w:sz w:val="72"/>
          <w:szCs w:val="72"/>
        </w:rPr>
        <w:t>县人民政府联动指挥中心办公室部门决算</w:t>
      </w:r>
      <w:bookmarkEnd w:id="6"/>
      <w:bookmarkEnd w:id="7"/>
      <w:bookmarkEnd w:id="8"/>
      <w:bookmarkEnd w:id="9"/>
      <w:bookmarkEnd w:id="10"/>
      <w:bookmarkEnd w:id="11"/>
    </w:p>
    <w:p>
      <w:pPr>
        <w:widowControl/>
        <w:jc w:val="center"/>
        <w:rPr>
          <w:rFonts w:hint="eastAsia" w:ascii="方正小标宋简体" w:hAnsi="宋体" w:eastAsia="方正小标宋简体"/>
          <w:color w:val="000000"/>
          <w:sz w:val="36"/>
          <w:szCs w:val="36"/>
        </w:rPr>
      </w:pPr>
      <w:r>
        <w:rPr>
          <w:rFonts w:ascii="方正小标宋简体" w:hAnsi="宋体" w:eastAsia="方正小标宋简体"/>
          <w:color w:val="000000"/>
          <w:sz w:val="36"/>
          <w:szCs w:val="36"/>
        </w:rPr>
        <w:br w:type="page"/>
      </w:r>
    </w:p>
    <w:p>
      <w:pPr>
        <w:widowControl/>
        <w:jc w:val="center"/>
        <w:rPr>
          <w:rFonts w:ascii="黑体" w:hAnsi="黑体" w:eastAsia="黑体"/>
          <w:color w:val="000000"/>
          <w:sz w:val="48"/>
          <w:szCs w:val="48"/>
        </w:rPr>
      </w:pP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1"/>
        <w:rPr>
          <w:rFonts w:cstheme="minorBidi"/>
        </w:rPr>
      </w:pPr>
      <w:r>
        <w:fldChar w:fldCharType="begin"/>
      </w:r>
      <w:r>
        <w:instrText xml:space="preserve"> HYPERLINK \l "_Toc15396599" </w:instrText>
      </w:r>
      <w:r>
        <w:fldChar w:fldCharType="separate"/>
      </w:r>
      <w:r>
        <w:rPr>
          <w:rStyle w:val="17"/>
          <w:rFonts w:hint="eastAsia"/>
        </w:rPr>
        <w:t>第一部分部门概况</w:t>
      </w:r>
      <w:r>
        <w:rPr>
          <w:rStyle w:val="17"/>
          <w:rFonts w:hint="eastAsia"/>
        </w:rPr>
        <w:fldChar w:fldCharType="end"/>
      </w:r>
    </w:p>
    <w:p>
      <w:pPr>
        <w:pStyle w:val="12"/>
        <w:rPr>
          <w:rFonts w:ascii="仿宋" w:hAnsi="仿宋" w:eastAsia="仿宋" w:cstheme="minorBidi"/>
          <w:sz w:val="28"/>
          <w:szCs w:val="28"/>
        </w:rPr>
      </w:pPr>
      <w:r>
        <w:fldChar w:fldCharType="begin"/>
      </w:r>
      <w:r>
        <w:instrText xml:space="preserve"> HYPERLINK \l "_Toc15396600" </w:instrText>
      </w:r>
      <w:r>
        <w:fldChar w:fldCharType="separate"/>
      </w:r>
      <w:r>
        <w:rPr>
          <w:rStyle w:val="17"/>
          <w:rFonts w:hint="eastAsia" w:ascii="仿宋" w:hAnsi="仿宋" w:eastAsia="仿宋"/>
          <w:sz w:val="28"/>
          <w:szCs w:val="28"/>
        </w:rPr>
        <w:t>一、基本职能及主要工作</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fldChar w:fldCharType="begin"/>
      </w:r>
      <w:r>
        <w:instrText xml:space="preserve"> HYPERLINK \l "_Toc15396601" </w:instrText>
      </w:r>
      <w:r>
        <w:fldChar w:fldCharType="separate"/>
      </w:r>
      <w:r>
        <w:rPr>
          <w:rStyle w:val="17"/>
          <w:rFonts w:hint="eastAsia" w:ascii="仿宋" w:hAnsi="仿宋" w:eastAsia="仿宋"/>
          <w:sz w:val="28"/>
          <w:szCs w:val="28"/>
        </w:rPr>
        <w:t>二、机构设置</w:t>
      </w:r>
      <w:r>
        <w:rPr>
          <w:rStyle w:val="17"/>
          <w:rFonts w:hint="eastAsia" w:ascii="仿宋" w:hAnsi="仿宋" w:eastAsia="仿宋"/>
          <w:sz w:val="28"/>
          <w:szCs w:val="28"/>
        </w:rPr>
        <w:fldChar w:fldCharType="end"/>
      </w:r>
    </w:p>
    <w:p>
      <w:pPr>
        <w:pStyle w:val="11"/>
      </w:pPr>
      <w:r>
        <w:fldChar w:fldCharType="begin"/>
      </w:r>
      <w:r>
        <w:instrText xml:space="preserve"> HYPERLINK \l "_Toc15396602" </w:instrText>
      </w:r>
      <w:r>
        <w:fldChar w:fldCharType="separate"/>
      </w:r>
      <w:r>
        <w:rPr>
          <w:rStyle w:val="17"/>
          <w:rFonts w:hint="eastAsia"/>
        </w:rPr>
        <w:t>第二部分</w:t>
      </w:r>
      <w:r>
        <w:rPr>
          <w:rStyle w:val="17"/>
        </w:rPr>
        <w:t xml:space="preserve"> 2018</w:t>
      </w:r>
      <w:r>
        <w:rPr>
          <w:rStyle w:val="17"/>
          <w:rFonts w:hint="eastAsia"/>
        </w:rPr>
        <w:t>年度部门决算情况说明</w:t>
      </w:r>
      <w:r>
        <w:rPr>
          <w:rStyle w:val="17"/>
          <w:rFonts w:hint="eastAsia"/>
        </w:rPr>
        <w:fldChar w:fldCharType="end"/>
      </w:r>
    </w:p>
    <w:p>
      <w:pPr>
        <w:pStyle w:val="12"/>
        <w:rPr>
          <w:rFonts w:ascii="仿宋" w:hAnsi="仿宋" w:eastAsia="仿宋" w:cstheme="minorBidi"/>
          <w:sz w:val="28"/>
          <w:szCs w:val="28"/>
        </w:rPr>
      </w:pPr>
      <w:r>
        <w:fldChar w:fldCharType="begin"/>
      </w:r>
      <w:r>
        <w:instrText xml:space="preserve"> HYPERLINK \l "_Toc15396603" </w:instrText>
      </w:r>
      <w:r>
        <w:fldChar w:fldCharType="separate"/>
      </w:r>
      <w:r>
        <w:rPr>
          <w:rStyle w:val="17"/>
          <w:rFonts w:hint="eastAsia" w:ascii="仿宋" w:hAnsi="仿宋" w:eastAsia="仿宋" w:cstheme="majorBidi"/>
          <w:bCs/>
          <w:sz w:val="28"/>
          <w:szCs w:val="28"/>
        </w:rPr>
        <w:t>一、</w:t>
      </w:r>
      <w:r>
        <w:rPr>
          <w:rStyle w:val="17"/>
          <w:rFonts w:hint="eastAsia" w:ascii="仿宋" w:hAnsi="仿宋" w:eastAsia="仿宋"/>
          <w:sz w:val="28"/>
          <w:szCs w:val="28"/>
        </w:rPr>
        <w:t>收</w:t>
      </w:r>
      <w:r>
        <w:rPr>
          <w:rStyle w:val="17"/>
          <w:rFonts w:hint="eastAsia" w:ascii="仿宋" w:hAnsi="仿宋" w:eastAsia="仿宋" w:cstheme="majorBidi"/>
          <w:bCs/>
          <w:sz w:val="28"/>
          <w:szCs w:val="28"/>
        </w:rPr>
        <w:t>入支出决算总体情况说明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"_Toc15396604" </w:instrText>
      </w:r>
      <w:r>
        <w:fldChar w:fldCharType="separate"/>
      </w:r>
      <w:r>
        <w:rPr>
          <w:rStyle w:val="17"/>
          <w:rFonts w:hint="eastAsia" w:ascii="仿宋" w:hAnsi="仿宋" w:eastAsia="仿宋" w:cstheme="majorBidi"/>
          <w:bCs/>
          <w:sz w:val="28"/>
          <w:szCs w:val="28"/>
        </w:rPr>
        <w:t>二、</w:t>
      </w:r>
      <w:r>
        <w:rPr>
          <w:rStyle w:val="17"/>
          <w:rFonts w:hint="eastAsia" w:ascii="仿宋" w:hAnsi="仿宋" w:eastAsia="仿宋"/>
          <w:sz w:val="28"/>
          <w:szCs w:val="28"/>
        </w:rPr>
        <w:t>收</w:t>
      </w:r>
      <w:r>
        <w:rPr>
          <w:rStyle w:val="17"/>
          <w:rFonts w:hint="eastAsia" w:ascii="仿宋" w:hAnsi="仿宋" w:eastAsia="仿宋" w:cstheme="majorBidi"/>
          <w:bCs/>
          <w:sz w:val="28"/>
          <w:szCs w:val="28"/>
        </w:rPr>
        <w:t>入决算情况说明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"_Toc15396605" </w:instrText>
      </w:r>
      <w:r>
        <w:fldChar w:fldCharType="separate"/>
      </w:r>
      <w:r>
        <w:rPr>
          <w:rStyle w:val="17"/>
          <w:rFonts w:hint="eastAsia" w:ascii="仿宋" w:hAnsi="仿宋" w:eastAsia="仿宋" w:cstheme="majorBidi"/>
          <w:bCs/>
          <w:sz w:val="28"/>
          <w:szCs w:val="28"/>
        </w:rPr>
        <w:t>三、</w:t>
      </w:r>
      <w:r>
        <w:rPr>
          <w:rStyle w:val="17"/>
          <w:rFonts w:hint="eastAsia" w:ascii="仿宋" w:hAnsi="仿宋" w:eastAsia="仿宋"/>
          <w:sz w:val="28"/>
          <w:szCs w:val="28"/>
        </w:rPr>
        <w:t>支</w:t>
      </w:r>
      <w:r>
        <w:rPr>
          <w:rStyle w:val="17"/>
          <w:rFonts w:hint="eastAsia" w:ascii="仿宋" w:hAnsi="仿宋" w:eastAsia="仿宋" w:cstheme="majorBidi"/>
          <w:bCs/>
          <w:sz w:val="28"/>
          <w:szCs w:val="28"/>
        </w:rPr>
        <w:t>出决算情况说明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"_Toc15396606" </w:instrText>
      </w:r>
      <w:r>
        <w:fldChar w:fldCharType="separate"/>
      </w:r>
      <w:r>
        <w:rPr>
          <w:rStyle w:val="17"/>
          <w:rFonts w:hint="eastAsia" w:ascii="仿宋" w:hAnsi="仿宋" w:eastAsia="仿宋"/>
          <w:sz w:val="28"/>
          <w:szCs w:val="28"/>
        </w:rPr>
        <w:t>四、财</w:t>
      </w:r>
      <w:r>
        <w:rPr>
          <w:rStyle w:val="17"/>
          <w:rFonts w:hint="eastAsia" w:ascii="仿宋" w:hAnsi="仿宋" w:eastAsia="仿宋" w:cstheme="majorBidi"/>
          <w:bCs/>
          <w:sz w:val="28"/>
          <w:szCs w:val="28"/>
        </w:rPr>
        <w:t>政拨款收入支出决算总体情况说明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"_Toc15396607" </w:instrText>
      </w:r>
      <w:r>
        <w:fldChar w:fldCharType="separate"/>
      </w:r>
      <w:r>
        <w:rPr>
          <w:rStyle w:val="17"/>
          <w:rFonts w:hint="eastAsia" w:ascii="仿宋" w:hAnsi="仿宋" w:eastAsia="仿宋"/>
          <w:sz w:val="28"/>
          <w:szCs w:val="28"/>
        </w:rPr>
        <w:t>五、一</w:t>
      </w:r>
      <w:r>
        <w:rPr>
          <w:rStyle w:val="17"/>
          <w:rFonts w:hint="eastAsia" w:ascii="仿宋" w:hAnsi="仿宋" w:eastAsia="仿宋" w:cstheme="majorBidi"/>
          <w:bCs/>
          <w:sz w:val="28"/>
          <w:szCs w:val="28"/>
        </w:rPr>
        <w:t>般公共预算财政拨款支出决算情况说明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"_Toc15396608" </w:instrText>
      </w:r>
      <w:r>
        <w:fldChar w:fldCharType="separate"/>
      </w:r>
      <w:r>
        <w:rPr>
          <w:rStyle w:val="17"/>
          <w:rFonts w:hint="eastAsia" w:ascii="仿宋" w:hAnsi="仿宋" w:eastAsia="仿宋"/>
          <w:sz w:val="28"/>
          <w:szCs w:val="28"/>
        </w:rPr>
        <w:t>六、一</w:t>
      </w:r>
      <w:r>
        <w:rPr>
          <w:rStyle w:val="17"/>
          <w:rFonts w:hint="eastAsia" w:ascii="仿宋" w:hAnsi="仿宋" w:eastAsia="仿宋" w:cstheme="majorBidi"/>
          <w:bCs/>
          <w:sz w:val="28"/>
          <w:szCs w:val="28"/>
        </w:rPr>
        <w:t>般公共预算财政拨款基本支出决算情况说明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"_Toc15396609" </w:instrText>
      </w:r>
      <w:r>
        <w:fldChar w:fldCharType="separate"/>
      </w:r>
      <w:r>
        <w:rPr>
          <w:rStyle w:val="17"/>
          <w:rFonts w:hint="eastAsia" w:ascii="仿宋" w:hAnsi="仿宋" w:eastAsia="仿宋"/>
          <w:sz w:val="28"/>
          <w:szCs w:val="28"/>
        </w:rPr>
        <w:t>七、</w:t>
      </w:r>
      <w:r>
        <w:rPr>
          <w:rStyle w:val="17"/>
          <w:rFonts w:ascii="仿宋" w:hAnsi="仿宋" w:eastAsia="仿宋"/>
          <w:sz w:val="28"/>
          <w:szCs w:val="28"/>
        </w:rPr>
        <w:t>“</w:t>
      </w:r>
      <w:r>
        <w:rPr>
          <w:rStyle w:val="17"/>
          <w:rFonts w:hint="eastAsia" w:ascii="仿宋" w:hAnsi="仿宋" w:eastAsia="仿宋" w:cstheme="majorBidi"/>
          <w:bCs/>
          <w:sz w:val="28"/>
          <w:szCs w:val="28"/>
        </w:rPr>
        <w:t>三公”经费财政拨款支出决算情况说明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"_Toc15396610" </w:instrText>
      </w:r>
      <w:r>
        <w:fldChar w:fldCharType="separate"/>
      </w:r>
      <w:r>
        <w:rPr>
          <w:rStyle w:val="17"/>
          <w:rFonts w:hint="eastAsia" w:ascii="仿宋" w:hAnsi="仿宋" w:eastAsia="仿宋"/>
          <w:sz w:val="28"/>
          <w:szCs w:val="28"/>
        </w:rPr>
        <w:t>八、</w:t>
      </w:r>
      <w:r>
        <w:rPr>
          <w:rStyle w:val="17"/>
          <w:rFonts w:hint="eastAsia" w:ascii="仿宋" w:hAnsi="仿宋" w:eastAsia="仿宋" w:cstheme="majorBidi"/>
          <w:bCs/>
          <w:sz w:val="28"/>
          <w:szCs w:val="28"/>
        </w:rPr>
        <w:t>政府性基金预算支出决算情况说明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"_Toc15396611" </w:instrText>
      </w:r>
      <w:r>
        <w:fldChar w:fldCharType="separate"/>
      </w:r>
      <w:r>
        <w:rPr>
          <w:rStyle w:val="17"/>
          <w:rFonts w:hint="eastAsia" w:ascii="仿宋" w:hAnsi="仿宋" w:eastAsia="仿宋" w:cstheme="majorBidi"/>
          <w:bCs/>
          <w:sz w:val="28"/>
          <w:szCs w:val="28"/>
        </w:rPr>
        <w:t>九、</w:t>
      </w:r>
      <w:r>
        <w:rPr>
          <w:rStyle w:val="17"/>
          <w:rFonts w:hint="eastAsia" w:ascii="仿宋" w:hAnsi="仿宋" w:eastAsia="仿宋"/>
          <w:sz w:val="28"/>
          <w:szCs w:val="28"/>
        </w:rPr>
        <w:t xml:space="preserve"> 国</w:t>
      </w:r>
      <w:r>
        <w:rPr>
          <w:rStyle w:val="17"/>
          <w:rFonts w:hint="eastAsia" w:ascii="仿宋" w:hAnsi="仿宋" w:eastAsia="仿宋" w:cstheme="majorBidi"/>
          <w:bCs/>
          <w:sz w:val="28"/>
          <w:szCs w:val="28"/>
        </w:rPr>
        <w:t>有资本经营预算支出决算情况说明</w:t>
      </w:r>
      <w:r>
        <w:rPr>
          <w:rStyle w:val="17"/>
          <w:rFonts w:hint="eastAsia" w:ascii="仿宋" w:hAnsi="仿宋" w:eastAsia="仿宋" w:cstheme="majorBidi"/>
          <w:bCs/>
          <w:sz w:val="28"/>
          <w:szCs w:val="28"/>
        </w:rPr>
        <w:fldChar w:fldCharType="end"/>
      </w:r>
    </w:p>
    <w:p>
      <w:pPr>
        <w:pStyle w:val="12"/>
        <w:rPr>
          <w:rFonts w:ascii="仿宋" w:hAnsi="仿宋" w:eastAsia="仿宋" w:cstheme="minorBidi"/>
          <w:sz w:val="28"/>
          <w:szCs w:val="28"/>
        </w:rPr>
      </w:pPr>
      <w:r>
        <w:fldChar w:fldCharType="begin"/>
      </w:r>
      <w:r>
        <w:instrText xml:space="preserve"> HYPERLINK \l "_Toc15396612" </w:instrText>
      </w:r>
      <w:r>
        <w:fldChar w:fldCharType="separate"/>
      </w:r>
      <w:r>
        <w:rPr>
          <w:rStyle w:val="17"/>
          <w:rFonts w:hint="eastAsia" w:ascii="仿宋" w:hAnsi="仿宋" w:eastAsia="仿宋"/>
          <w:sz w:val="28"/>
          <w:szCs w:val="28"/>
        </w:rPr>
        <w:t>十</w:t>
      </w:r>
      <w:r>
        <w:rPr>
          <w:rStyle w:val="17"/>
          <w:rFonts w:hint="eastAsia" w:ascii="仿宋" w:hAnsi="仿宋" w:eastAsia="仿宋" w:cstheme="majorBidi"/>
          <w:bCs/>
          <w:sz w:val="28"/>
          <w:szCs w:val="28"/>
        </w:rPr>
        <w:t>一、其他重要事项的情况说明</w:t>
      </w:r>
      <w:r>
        <w:rPr>
          <w:rStyle w:val="17"/>
          <w:rFonts w:hint="eastAsia" w:ascii="仿宋" w:hAnsi="仿宋" w:eastAsia="仿宋" w:cstheme="majorBidi"/>
          <w:bCs/>
          <w:sz w:val="28"/>
          <w:szCs w:val="28"/>
        </w:rPr>
        <w:fldChar w:fldCharType="end"/>
      </w:r>
    </w:p>
    <w:p>
      <w:pPr>
        <w:pStyle w:val="11"/>
        <w:rPr>
          <w:rFonts w:cstheme="minorBidi"/>
        </w:rPr>
      </w:pPr>
      <w:r>
        <w:fldChar w:fldCharType="begin"/>
      </w:r>
      <w:r>
        <w:instrText xml:space="preserve"> HYPERLINK \l "_Toc15396613" </w:instrText>
      </w:r>
      <w:r>
        <w:fldChar w:fldCharType="separate"/>
      </w:r>
      <w:r>
        <w:rPr>
          <w:rStyle w:val="17"/>
          <w:rFonts w:hint="eastAsia"/>
          <w:bCs/>
          <w:kern w:val="44"/>
        </w:rPr>
        <w:t>第三部分</w:t>
      </w:r>
      <w:r>
        <w:rPr>
          <w:rStyle w:val="17"/>
          <w:rFonts w:hint="eastAsia"/>
        </w:rPr>
        <w:t xml:space="preserve"> 名</w:t>
      </w:r>
      <w:r>
        <w:rPr>
          <w:rStyle w:val="17"/>
          <w:rFonts w:hint="eastAsia"/>
          <w:bCs/>
          <w:kern w:val="44"/>
        </w:rPr>
        <w:t>词解释</w:t>
      </w:r>
      <w:r>
        <w:rPr>
          <w:rStyle w:val="17"/>
          <w:rFonts w:hint="eastAsia"/>
          <w:bCs/>
          <w:kern w:val="44"/>
        </w:rPr>
        <w:fldChar w:fldCharType="end"/>
      </w:r>
    </w:p>
    <w:p>
      <w:pPr>
        <w:pStyle w:val="11"/>
        <w:rPr>
          <w:rFonts w:cstheme="minorBidi"/>
        </w:rPr>
      </w:pPr>
      <w:r>
        <w:fldChar w:fldCharType="begin"/>
      </w:r>
      <w:r>
        <w:instrText xml:space="preserve"> HYPERLINK \l "_Toc15396614" </w:instrText>
      </w:r>
      <w:r>
        <w:fldChar w:fldCharType="separate"/>
      </w:r>
      <w:r>
        <w:rPr>
          <w:rStyle w:val="17"/>
          <w:rFonts w:hint="eastAsia"/>
        </w:rPr>
        <w:t>第</w:t>
      </w:r>
      <w:r>
        <w:rPr>
          <w:rStyle w:val="17"/>
          <w:rFonts w:hint="eastAsia"/>
          <w:bCs/>
          <w:kern w:val="44"/>
        </w:rPr>
        <w:t>四部分附件</w:t>
      </w:r>
      <w:r>
        <w:rPr>
          <w:rStyle w:val="17"/>
          <w:rFonts w:hint="eastAsia"/>
          <w:bCs/>
          <w:kern w:val="44"/>
        </w:rPr>
        <w:fldChar w:fldCharType="end"/>
      </w:r>
    </w:p>
    <w:p>
      <w:pPr>
        <w:pStyle w:val="12"/>
        <w:rPr>
          <w:rFonts w:ascii="仿宋" w:hAnsi="仿宋" w:eastAsia="仿宋" w:cstheme="minorBidi"/>
          <w:sz w:val="28"/>
          <w:szCs w:val="28"/>
        </w:rPr>
      </w:pPr>
      <w:r>
        <w:fldChar w:fldCharType="begin"/>
      </w:r>
      <w:r>
        <w:instrText xml:space="preserve"> HYPERLINK \l "_Toc15396615"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1</w:t>
      </w:r>
      <w:r>
        <w:rPr>
          <w:rStyle w:val="17"/>
          <w:rFonts w:ascii="仿宋" w:hAnsi="仿宋" w:eastAsia="仿宋"/>
          <w:kern w:val="44"/>
          <w:sz w:val="28"/>
          <w:szCs w:val="28"/>
        </w:rPr>
        <w:fldChar w:fldCharType="end"/>
      </w:r>
    </w:p>
    <w:p>
      <w:pPr>
        <w:pStyle w:val="11"/>
        <w:rPr>
          <w:rFonts w:cstheme="minorBidi"/>
        </w:rPr>
      </w:pPr>
      <w:r>
        <w:fldChar w:fldCharType="begin"/>
      </w:r>
      <w:r>
        <w:instrText xml:space="preserve"> HYPERLINK \l "_Toc15396618" </w:instrText>
      </w:r>
      <w:r>
        <w:fldChar w:fldCharType="separate"/>
      </w:r>
      <w:r>
        <w:rPr>
          <w:rStyle w:val="17"/>
          <w:rFonts w:hint="eastAsia"/>
        </w:rPr>
        <w:t>第</w:t>
      </w:r>
      <w:r>
        <w:rPr>
          <w:rStyle w:val="17"/>
          <w:rFonts w:hint="eastAsia"/>
          <w:bCs/>
          <w:kern w:val="44"/>
        </w:rPr>
        <w:t>五部分附表</w:t>
      </w:r>
      <w:r>
        <w:rPr>
          <w:rStyle w:val="17"/>
          <w:rFonts w:hint="eastAsia"/>
          <w:bCs/>
          <w:kern w:val="44"/>
        </w:rPr>
        <w:fldChar w:fldCharType="end"/>
      </w:r>
    </w:p>
    <w:p>
      <w:pPr>
        <w:pStyle w:val="12"/>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7"/>
          <w:rFonts w:hint="eastAsia" w:ascii="仿宋" w:hAnsi="仿宋" w:eastAsia="仿宋"/>
          <w:sz w:val="28"/>
          <w:szCs w:val="28"/>
        </w:rPr>
        <w:t>收入支出决算总表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7"/>
          <w:rFonts w:hint="eastAsia" w:ascii="仿宋" w:hAnsi="仿宋" w:eastAsia="仿宋"/>
          <w:sz w:val="28"/>
          <w:szCs w:val="28"/>
        </w:rPr>
        <w:t>收入总表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7"/>
          <w:rFonts w:hint="eastAsia" w:ascii="仿宋" w:hAnsi="仿宋" w:eastAsia="仿宋"/>
          <w:sz w:val="28"/>
          <w:szCs w:val="28"/>
        </w:rPr>
        <w:t>支出总表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7"/>
          <w:rFonts w:hint="eastAsia" w:ascii="仿宋" w:hAnsi="仿宋" w:eastAsia="仿宋"/>
          <w:sz w:val="28"/>
          <w:szCs w:val="28"/>
        </w:rPr>
        <w:t>财政拨款收入支出决算总表</w:t>
      </w:r>
      <w:r>
        <w:rPr>
          <w:rStyle w:val="17"/>
          <w:rFonts w:hint="eastAsia" w:ascii="仿宋" w:hAnsi="仿宋" w:eastAsia="仿宋"/>
          <w:sz w:val="28"/>
          <w:szCs w:val="28"/>
        </w:rPr>
        <w:fldChar w:fldCharType="end"/>
      </w:r>
    </w:p>
    <w:p>
      <w:pPr>
        <w:pStyle w:val="12"/>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7"/>
          <w:rFonts w:hint="eastAsia" w:ascii="仿宋" w:hAnsi="仿宋" w:eastAsia="仿宋"/>
          <w:sz w:val="28"/>
          <w:szCs w:val="28"/>
        </w:rPr>
        <w:t>一般公共预算财政拨款支出决算表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7"/>
          <w:rFonts w:hint="eastAsia" w:ascii="仿宋" w:hAnsi="仿宋" w:eastAsia="仿宋"/>
          <w:sz w:val="28"/>
          <w:szCs w:val="28"/>
        </w:rPr>
        <w:t>一般公共预算财政拨款支出决算明细表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7"/>
          <w:rFonts w:hint="eastAsia" w:ascii="仿宋" w:hAnsi="仿宋" w:eastAsia="仿宋"/>
          <w:sz w:val="28"/>
          <w:szCs w:val="28"/>
        </w:rPr>
        <w:t>一般公共预算财政拨款基本支出决算表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7"/>
          <w:rFonts w:hint="eastAsia" w:ascii="仿宋" w:hAnsi="仿宋" w:eastAsia="仿宋"/>
          <w:sz w:val="28"/>
          <w:szCs w:val="28"/>
        </w:rPr>
        <w:t>一般公共预算财政拨款项目支出决算表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7"/>
          <w:rFonts w:hint="eastAsia" w:ascii="仿宋" w:hAnsi="仿宋" w:eastAsia="仿宋"/>
          <w:sz w:val="28"/>
          <w:szCs w:val="28"/>
        </w:rPr>
        <w:t>一般公共预算财政拨款“三公”经费支出决算表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7"/>
          <w:rFonts w:hint="eastAsia" w:ascii="仿宋" w:hAnsi="仿宋" w:eastAsia="仿宋"/>
          <w:sz w:val="28"/>
          <w:szCs w:val="28"/>
        </w:rPr>
        <w:t>政府性基金预算财政拨款收入支出决算表</w:t>
      </w:r>
      <w:r>
        <w:rPr>
          <w:rStyle w:val="17"/>
          <w:rFonts w:hint="eastAsia" w:ascii="仿宋" w:hAnsi="仿宋" w:eastAsia="仿宋"/>
          <w:sz w:val="28"/>
          <w:szCs w:val="28"/>
        </w:rPr>
        <w:fldChar w:fldCharType="end"/>
      </w:r>
    </w:p>
    <w:p>
      <w:pPr>
        <w:pStyle w:val="12"/>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7"/>
          <w:rFonts w:hint="eastAsia" w:ascii="仿宋" w:hAnsi="仿宋" w:eastAsia="仿宋"/>
          <w:sz w:val="28"/>
          <w:szCs w:val="28"/>
        </w:rPr>
        <w:t>政府性基金预算财政拨款“三公”经费支出决算表</w:t>
      </w:r>
      <w:r>
        <w:rPr>
          <w:rStyle w:val="17"/>
          <w:rFonts w:hint="eastAsia" w:ascii="仿宋" w:hAnsi="仿宋" w:eastAsia="仿宋"/>
          <w:sz w:val="28"/>
          <w:szCs w:val="28"/>
        </w:rPr>
        <w:fldChar w:fldCharType="end"/>
      </w:r>
    </w:p>
    <w:p>
      <w:pPr>
        <w:pStyle w:val="12"/>
        <w:rPr>
          <w:rStyle w:val="17"/>
          <w:rFonts w:hint="eastAsia"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7"/>
          <w:rFonts w:hint="eastAsia" w:ascii="仿宋" w:hAnsi="仿宋" w:eastAsia="仿宋"/>
          <w:sz w:val="28"/>
          <w:szCs w:val="28"/>
        </w:rPr>
        <w:t>国有资本经营预算支出决算表</w:t>
      </w:r>
      <w:r>
        <w:rPr>
          <w:rStyle w:val="17"/>
          <w:rFonts w:hint="eastAsia" w:ascii="仿宋" w:hAnsi="仿宋" w:eastAsia="仿宋"/>
          <w:sz w:val="28"/>
          <w:szCs w:val="28"/>
        </w:rPr>
        <w:fldChar w:fldCharType="end"/>
      </w:r>
    </w:p>
    <w:p>
      <w:pPr>
        <w:rPr>
          <w:rFonts w:hint="eastAsia" w:eastAsia="仿宋"/>
          <w:lang w:val="en-US" w:eastAsia="zh-CN"/>
        </w:rPr>
      </w:pPr>
      <w:r>
        <w:rPr>
          <w:rStyle w:val="17"/>
          <w:rFonts w:hint="eastAsia" w:ascii="仿宋" w:hAnsi="仿宋" w:eastAsia="仿宋"/>
          <w:sz w:val="28"/>
          <w:szCs w:val="28"/>
          <w:lang w:val="en-US" w:eastAsia="zh-CN"/>
        </w:rPr>
        <w:t xml:space="preserve">   十四、2018年红原县部门整体支出绩效评价得分情况表</w:t>
      </w:r>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77196"/>
      <w:bookmarkStart w:id="13" w:name="_Toc15396599"/>
      <w:r>
        <w:rPr>
          <w:rFonts w:ascii="黑体" w:hAnsi="黑体" w:eastAsia="黑体"/>
          <w:b/>
        </w:rPr>
        <w:br w:type="page"/>
      </w:r>
    </w:p>
    <w:p>
      <w:pPr>
        <w:pStyle w:val="2"/>
        <w:jc w:val="center"/>
        <w:rPr>
          <w:rStyle w:val="26"/>
          <w:rFonts w:ascii="黑体" w:hAnsi="黑体" w:eastAsia="黑体"/>
          <w:b/>
          <w:bCs w:val="0"/>
        </w:rPr>
      </w:pPr>
      <w:r>
        <w:rPr>
          <w:rFonts w:hint="eastAsia" w:ascii="黑体" w:hAnsi="黑体" w:eastAsia="黑体"/>
          <w:b w:val="0"/>
        </w:rPr>
        <w:t xml:space="preserve">第一部分 </w:t>
      </w:r>
      <w:r>
        <w:rPr>
          <w:rStyle w:val="26"/>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3"/>
        <w:rPr>
          <w:rStyle w:val="27"/>
          <w:rFonts w:ascii="仿宋" w:hAnsi="仿宋" w:eastAsia="仿宋"/>
          <w:b w:val="0"/>
          <w:bCs w:val="0"/>
        </w:rPr>
      </w:pPr>
      <w:bookmarkStart w:id="14" w:name="_Toc15396600"/>
      <w:bookmarkStart w:id="15" w:name="_Toc15377197"/>
      <w:r>
        <w:rPr>
          <w:rFonts w:hint="eastAsia" w:ascii="黑体" w:hAnsi="黑体" w:eastAsia="黑体"/>
          <w:b w:val="0"/>
          <w:color w:val="000000"/>
        </w:rPr>
        <w:t>一、基</w:t>
      </w:r>
      <w:r>
        <w:rPr>
          <w:rStyle w:val="27"/>
          <w:rFonts w:hint="eastAsia" w:ascii="黑体" w:hAnsi="黑体" w:eastAsia="黑体"/>
          <w:b w:val="0"/>
          <w:bCs w:val="0"/>
        </w:rPr>
        <w:t>本职能及主要工作</w:t>
      </w:r>
      <w:bookmarkEnd w:id="14"/>
      <w:bookmarkEnd w:id="15"/>
    </w:p>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6" w:name="_Toc15377198"/>
      <w:bookmarkStart w:id="17" w:name="_Toc15378445"/>
      <w:r>
        <w:rPr>
          <w:rFonts w:hint="eastAsia" w:ascii="仿宋" w:hAnsi="仿宋" w:eastAsia="仿宋"/>
          <w:bCs/>
          <w:color w:val="000000"/>
          <w:sz w:val="32"/>
          <w:szCs w:val="32"/>
        </w:rPr>
        <w:t>（一）主要职能。</w:t>
      </w:r>
    </w:p>
    <w:p>
      <w:pPr>
        <w:widowControl/>
        <w:autoSpaceDE w:val="0"/>
        <w:spacing w:line="560" w:lineRule="exact"/>
        <w:ind w:firstLine="640"/>
        <w:jc w:val="left"/>
        <w:rPr>
          <w:rFonts w:ascii="仿宋_GB2312" w:eastAsia="仿宋_GB2312"/>
          <w:sz w:val="32"/>
          <w:szCs w:val="32"/>
        </w:rPr>
      </w:pPr>
      <w:r>
        <w:rPr>
          <w:rFonts w:hint="eastAsia" w:ascii="仿宋_GB2312" w:eastAsia="仿宋_GB2312"/>
          <w:sz w:val="32"/>
          <w:szCs w:val="32"/>
        </w:rPr>
        <w:t>（1）受县委、县政府的委托、代表县联动指挥中心行使应急指挥权利；</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（2）负责对中心入驻的六大中心工作人员的管理，负责对七大平台数据的收集和分析研判，并代表县委、政府和县联动指挥中心对重大事件和突发事件的应急指挥工作；</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（3）负责组织督促；落实县委、县政府和县联动指挥中心下达的指令或工作安排部署，根据工作的实际情况和需要，适时召开联动部门工作协调会，研究解决有关联动服务事宜和问题；</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（4）负责对重要信息的收集、报送工作，对全县应急处突、</w:t>
      </w:r>
      <w:r>
        <w:rPr>
          <w:rFonts w:hint="eastAsia" w:ascii="宋体" w:hAnsi="宋体" w:cs="宋体"/>
          <w:sz w:val="32"/>
          <w:szCs w:val="32"/>
        </w:rPr>
        <w:t>渉</w:t>
      </w:r>
      <w:r>
        <w:rPr>
          <w:rFonts w:hint="eastAsia" w:ascii="仿宋_GB2312" w:hAnsi="仿宋_GB2312" w:eastAsia="仿宋_GB2312" w:cs="仿宋_GB2312"/>
          <w:sz w:val="32"/>
          <w:szCs w:val="32"/>
        </w:rPr>
        <w:t>稳事件、安全生产急救、自然灾害等重大事件的协调工作，同时做好处置工作记录，并逐日归类汇总并备案；</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（5）负责组织、督促有关部门抓好民生服务工作，矛盾纠纷排查化解工作。开展调查研究，对重大情况和问题应及时进行分析研判，并向县政府提交研判报告；</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（6）负责建立健全联动指挥中心各项规章制度；</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7）负责协助和管理县民族宗教局入驻人员开展寺庙网格化精准服务系统管理工作；负责协助和管理县公安局入驻人员做好联动指挥中心系统维护以及天网视频调度工作；负责协助和管理县矛盾纠纷“大调解”中心做好全县大调解工作和基层大调解指导工作；负责协助和管理其它入驻单位的工作人员开展相关工作。</w:t>
      </w:r>
    </w:p>
    <w:p>
      <w:pPr>
        <w:widowControl/>
        <w:autoSpaceDE w:val="0"/>
        <w:spacing w:line="560" w:lineRule="exact"/>
        <w:ind w:firstLine="640"/>
        <w:jc w:val="left"/>
        <w:rPr>
          <w:rFonts w:hint="eastAsia" w:ascii="仿宋_GB2312" w:hAnsi="仿宋" w:eastAsia="仿宋_GB2312"/>
          <w:sz w:val="32"/>
          <w:szCs w:val="32"/>
        </w:rPr>
      </w:pPr>
      <w:r>
        <w:rPr>
          <w:rFonts w:hint="eastAsia" w:ascii="仿宋_GB2312" w:eastAsia="仿宋_GB2312"/>
          <w:sz w:val="32"/>
          <w:szCs w:val="32"/>
        </w:rPr>
        <w:t>（8）负责做好县委、政府临时交办的各项工作任务。</w:t>
      </w:r>
    </w:p>
    <w:bookmarkEnd w:id="16"/>
    <w:bookmarkEnd w:id="17"/>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8" w:name="_Toc15377199"/>
      <w:bookmarkStart w:id="19" w:name="_Toc15378446"/>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r>
        <w:rPr>
          <w:rFonts w:hint="eastAsia" w:ascii="仿宋_GB2312" w:eastAsia="仿宋_GB2312"/>
          <w:sz w:val="32"/>
          <w:szCs w:val="32"/>
        </w:rPr>
        <w:t xml:space="preserve">    中心今年根据财政资金的安排情况，加强了资金使用的管理工作，对中心各大平台数据进行了定期的上报。加强了对各平台的管理及使用。对城乡网格人员进行了多次培训。对我县服务于民生工作全面发展发挥了积极作用。</w:t>
      </w:r>
    </w:p>
    <w:p>
      <w:pPr>
        <w:pStyle w:val="3"/>
        <w:rPr>
          <w:rStyle w:val="27"/>
          <w:b w:val="0"/>
          <w:bCs w:val="0"/>
        </w:rPr>
      </w:pPr>
      <w:bookmarkStart w:id="20" w:name="_Toc15396601"/>
      <w:bookmarkStart w:id="21" w:name="_Toc15377200"/>
      <w:r>
        <w:rPr>
          <w:rFonts w:hint="eastAsia" w:ascii="黑体" w:eastAsia="黑体"/>
          <w:b w:val="0"/>
          <w:color w:val="000000"/>
        </w:rPr>
        <w:t>二、</w:t>
      </w:r>
      <w:r>
        <w:rPr>
          <w:rFonts w:hint="eastAsia" w:ascii="黑体" w:hAnsi="黑体" w:eastAsia="黑体"/>
          <w:b w:val="0"/>
          <w:color w:val="000000"/>
        </w:rPr>
        <w:t>机</w:t>
      </w:r>
      <w:r>
        <w:rPr>
          <w:rStyle w:val="27"/>
          <w:rFonts w:hint="eastAsia" w:ascii="黑体" w:hAnsi="黑体" w:eastAsia="黑体"/>
          <w:b w:val="0"/>
          <w:bCs w:val="0"/>
        </w:rPr>
        <w:t>构设置</w:t>
      </w:r>
      <w:bookmarkEnd w:id="20"/>
      <w:bookmarkEnd w:id="21"/>
    </w:p>
    <w:p>
      <w:pPr>
        <w:autoSpaceDE w:val="0"/>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我单位为独立核算全额拨款正科级事业单位，无下设机构。截止2018年底我单位共有编制8个。在职5人，其中事业5人。</w:t>
      </w:r>
      <w:bookmarkStart w:id="22" w:name="_Toc15396602"/>
      <w:bookmarkStart w:id="23" w:name="_Toc15377204"/>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640" w:firstLineChars="200"/>
        <w:rPr>
          <w:rFonts w:hint="eastAsia" w:ascii="仿宋_GB2312" w:eastAsia="仿宋_GB2312"/>
          <w:sz w:val="32"/>
          <w:szCs w:val="32"/>
        </w:rPr>
      </w:pPr>
    </w:p>
    <w:p>
      <w:pPr>
        <w:autoSpaceDE w:val="0"/>
        <w:snapToGrid w:val="0"/>
        <w:spacing w:line="560" w:lineRule="exact"/>
        <w:ind w:firstLine="440" w:firstLineChars="100"/>
        <w:rPr>
          <w:rStyle w:val="26"/>
          <w:rFonts w:ascii="黑体" w:hAnsi="黑体" w:eastAsia="黑体"/>
          <w:b w:val="0"/>
          <w:bCs w:val="0"/>
        </w:rPr>
      </w:pPr>
      <w:r>
        <w:rPr>
          <w:rStyle w:val="26"/>
          <w:rFonts w:hint="eastAsia" w:ascii="黑体" w:hAnsi="黑体" w:eastAsia="黑体"/>
          <w:b w:val="0"/>
          <w:bCs w:val="0"/>
        </w:rPr>
        <w:t>第二部分2018年度部门决算情况说明</w:t>
      </w:r>
      <w:bookmarkEnd w:id="22"/>
      <w:bookmarkEnd w:id="23"/>
    </w:p>
    <w:p/>
    <w:p>
      <w:pPr>
        <w:pStyle w:val="25"/>
        <w:numPr>
          <w:ilvl w:val="0"/>
          <w:numId w:val="1"/>
        </w:numPr>
        <w:spacing w:line="600" w:lineRule="exact"/>
        <w:ind w:firstLineChars="0"/>
        <w:outlineLvl w:val="1"/>
        <w:rPr>
          <w:rStyle w:val="27"/>
          <w:rFonts w:ascii="黑体" w:hAnsi="黑体" w:eastAsia="黑体"/>
          <w:b w:val="0"/>
        </w:rPr>
      </w:pPr>
      <w:bookmarkStart w:id="24" w:name="_Toc15377205"/>
      <w:bookmarkStart w:id="25" w:name="_Toc15396603"/>
      <w:r>
        <w:rPr>
          <w:rFonts w:hint="eastAsia" w:ascii="黑体" w:hAnsi="黑体" w:eastAsia="黑体"/>
          <w:color w:val="000000"/>
          <w:sz w:val="32"/>
          <w:szCs w:val="32"/>
        </w:rPr>
        <w:t>收</w:t>
      </w:r>
      <w:r>
        <w:rPr>
          <w:rStyle w:val="27"/>
          <w:rFonts w:hint="eastAsia" w:ascii="黑体" w:hAnsi="黑体" w:eastAsia="黑体"/>
          <w:b w:val="0"/>
        </w:rPr>
        <w:t>入支出决算总体情况说明</w:t>
      </w:r>
      <w:bookmarkEnd w:id="24"/>
      <w:bookmarkEnd w:id="25"/>
    </w:p>
    <w:p>
      <w:pPr>
        <w:spacing w:line="600" w:lineRule="exact"/>
        <w:ind w:firstLine="640" w:firstLineChars="200"/>
        <w:rPr>
          <w:rFonts w:hint="eastAsia" w:ascii="仿宋_GB2312" w:hAnsi="仿宋" w:eastAsia="仿宋_GB2312"/>
          <w:sz w:val="32"/>
          <w:szCs w:val="32"/>
          <w:lang w:val="en-US" w:eastAsia="zh-CN"/>
        </w:rPr>
      </w:pPr>
      <w:r>
        <w:rPr>
          <w:rFonts w:hint="eastAsia" w:ascii="仿宋" w:hAnsi="仿宋" w:eastAsia="仿宋"/>
          <w:color w:val="000000"/>
          <w:sz w:val="32"/>
          <w:szCs w:val="32"/>
        </w:rPr>
        <w:t>2018年度收、支总计124.80万元。与2017年相比，收、支总计增加</w:t>
      </w:r>
      <w:r>
        <w:rPr>
          <w:rFonts w:hint="eastAsia" w:ascii="仿宋" w:hAnsi="仿宋" w:eastAsia="仿宋"/>
          <w:color w:val="000000"/>
          <w:sz w:val="32"/>
          <w:szCs w:val="32"/>
          <w:lang w:val="en-US" w:eastAsia="zh-CN"/>
        </w:rPr>
        <w:t>85.76</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2.20</w:t>
      </w:r>
      <w:r>
        <w:rPr>
          <w:rFonts w:ascii="仿宋" w:hAnsi="仿宋" w:eastAsia="仿宋"/>
          <w:color w:val="000000"/>
          <w:sz w:val="32"/>
          <w:szCs w:val="32"/>
        </w:rPr>
        <w:t>%</w:t>
      </w:r>
      <w:r>
        <w:rPr>
          <w:rFonts w:hint="eastAsia" w:ascii="仿宋" w:hAnsi="仿宋" w:eastAsia="仿宋"/>
          <w:color w:val="000000"/>
          <w:sz w:val="32"/>
          <w:szCs w:val="32"/>
        </w:rPr>
        <w:t>。主要变动原因</w:t>
      </w:r>
      <w:r>
        <w:rPr>
          <w:rFonts w:hint="eastAsia" w:ascii="仿宋" w:hAnsi="仿宋" w:eastAsia="仿宋"/>
          <w:color w:val="000000"/>
          <w:sz w:val="32"/>
          <w:szCs w:val="32"/>
          <w:lang w:eastAsia="zh-CN"/>
        </w:rPr>
        <w:t>一是</w:t>
      </w:r>
      <w:r>
        <w:rPr>
          <w:rFonts w:hint="eastAsia" w:ascii="仿宋" w:hAnsi="仿宋" w:eastAsia="仿宋"/>
          <w:color w:val="000000"/>
          <w:sz w:val="32"/>
          <w:szCs w:val="32"/>
          <w:lang w:val="en-US" w:eastAsia="zh-CN"/>
        </w:rPr>
        <w:t>2018年我单位</w:t>
      </w:r>
      <w:r>
        <w:rPr>
          <w:rFonts w:hint="eastAsia" w:ascii="仿宋_GB2312" w:hAnsi="仿宋" w:eastAsia="仿宋_GB2312"/>
          <w:sz w:val="32"/>
          <w:szCs w:val="32"/>
          <w:lang w:val="en-US" w:eastAsia="zh-CN"/>
        </w:rPr>
        <w:t>增加了网格员劳务费及六个一装备费，二是新增人员及人员经费。</w:t>
      </w:r>
    </w:p>
    <w:p>
      <w:pPr>
        <w:spacing w:line="600" w:lineRule="exact"/>
        <w:ind w:firstLine="640" w:firstLineChars="200"/>
        <w:rPr>
          <w:rFonts w:hint="eastAsia" w:ascii="仿宋_GB2312" w:hAnsi="仿宋" w:eastAsia="仿宋_GB2312"/>
          <w:sz w:val="32"/>
          <w:szCs w:val="32"/>
          <w:lang w:val="en-US" w:eastAsia="zh-CN"/>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420" w:firstLineChars="200"/>
        <w:rPr>
          <w:rFonts w:hint="eastAsia" w:ascii="仿宋" w:hAnsi="仿宋" w:eastAsia="仿宋"/>
          <w:color w:val="000000" w:themeColor="text1"/>
          <w:sz w:val="32"/>
          <w:szCs w:val="32"/>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271145</wp:posOffset>
            </wp:positionH>
            <wp:positionV relativeFrom="paragraph">
              <wp:posOffset>-1938020</wp:posOffset>
            </wp:positionV>
            <wp:extent cx="3778250" cy="2235835"/>
            <wp:effectExtent l="4445" t="5080" r="8255" b="698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pStyle w:val="25"/>
        <w:numPr>
          <w:ilvl w:val="0"/>
          <w:numId w:val="1"/>
        </w:numPr>
        <w:spacing w:line="600" w:lineRule="exact"/>
        <w:ind w:firstLineChars="0"/>
        <w:outlineLvl w:val="1"/>
        <w:rPr>
          <w:rStyle w:val="27"/>
          <w:rFonts w:ascii="黑体" w:hAnsi="黑体" w:eastAsia="黑体"/>
          <w:b w:val="0"/>
        </w:rPr>
      </w:pPr>
      <w:bookmarkStart w:id="26" w:name="_Toc15377206"/>
      <w:bookmarkStart w:id="27" w:name="_Toc15396604"/>
      <w:r>
        <w:rPr>
          <w:rFonts w:hint="eastAsia" w:ascii="黑体" w:hAnsi="黑体" w:eastAsia="黑体"/>
          <w:color w:val="000000"/>
          <w:sz w:val="32"/>
          <w:szCs w:val="32"/>
        </w:rPr>
        <w:t>收</w:t>
      </w:r>
      <w:r>
        <w:rPr>
          <w:rStyle w:val="27"/>
          <w:rFonts w:hint="eastAsia" w:ascii="黑体" w:hAnsi="黑体" w:eastAsia="黑体"/>
          <w:b w:val="0"/>
        </w:rPr>
        <w:t>入决算情况说明</w:t>
      </w:r>
      <w:bookmarkEnd w:id="26"/>
      <w:bookmarkEnd w:id="27"/>
    </w:p>
    <w:p>
      <w:pPr>
        <w:spacing w:line="600" w:lineRule="exact"/>
        <w:ind w:firstLine="640" w:firstLineChars="200"/>
        <w:outlineLvl w:val="1"/>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8年本年收入合计106.94万元，其中：一般公共预算财政拨款收入106.84万元，占99</w:t>
      </w:r>
      <w:r>
        <w:rPr>
          <w:rFonts w:ascii="仿宋" w:hAnsi="仿宋" w:eastAsia="仿宋"/>
          <w:color w:val="000000"/>
          <w:sz w:val="32"/>
          <w:szCs w:val="32"/>
        </w:rPr>
        <w:t>%</w:t>
      </w:r>
      <w:r>
        <w:rPr>
          <w:rFonts w:hint="eastAsia" w:ascii="仿宋" w:hAnsi="仿宋" w:eastAsia="仿宋"/>
          <w:color w:val="000000"/>
          <w:sz w:val="32"/>
          <w:szCs w:val="32"/>
        </w:rPr>
        <w:t>；政府性基金预算财政拨款收入0万元，占0</w:t>
      </w:r>
      <w:r>
        <w:rPr>
          <w:rFonts w:ascii="仿宋" w:hAnsi="仿宋" w:eastAsia="仿宋"/>
          <w:color w:val="000000"/>
          <w:sz w:val="32"/>
          <w:szCs w:val="32"/>
        </w:rPr>
        <w:t>%</w:t>
      </w:r>
      <w:r>
        <w:rPr>
          <w:rFonts w:hint="eastAsia" w:ascii="仿宋" w:hAnsi="仿宋" w:eastAsia="仿宋"/>
          <w:color w:val="000000"/>
          <w:sz w:val="32"/>
          <w:szCs w:val="32"/>
        </w:rPr>
        <w:t>；国有资本经营预算财政拨款收入0万元，占0</w:t>
      </w:r>
      <w:r>
        <w:rPr>
          <w:rFonts w:ascii="仿宋" w:hAnsi="仿宋" w:eastAsia="仿宋"/>
          <w:color w:val="000000"/>
          <w:sz w:val="32"/>
          <w:szCs w:val="32"/>
        </w:rPr>
        <w:t>%</w:t>
      </w:r>
      <w:r>
        <w:rPr>
          <w:rFonts w:hint="eastAsia" w:ascii="仿宋" w:hAnsi="仿宋" w:eastAsia="仿宋"/>
          <w:color w:val="000000"/>
          <w:sz w:val="32"/>
          <w:szCs w:val="32"/>
        </w:rPr>
        <w:t>；事业收入0万元，占0</w:t>
      </w:r>
      <w:r>
        <w:rPr>
          <w:rFonts w:ascii="仿宋" w:hAnsi="仿宋" w:eastAsia="仿宋"/>
          <w:color w:val="000000"/>
          <w:sz w:val="32"/>
          <w:szCs w:val="32"/>
        </w:rPr>
        <w:t>%</w:t>
      </w:r>
      <w:r>
        <w:rPr>
          <w:rFonts w:hint="eastAsia" w:ascii="仿宋" w:hAnsi="仿宋" w:eastAsia="仿宋"/>
          <w:color w:val="000000"/>
          <w:sz w:val="32"/>
          <w:szCs w:val="32"/>
        </w:rPr>
        <w:t>；经营收入0万元，占0</w:t>
      </w:r>
      <w:r>
        <w:rPr>
          <w:rFonts w:ascii="仿宋" w:hAnsi="仿宋" w:eastAsia="仿宋"/>
          <w:color w:val="000000"/>
          <w:sz w:val="32"/>
          <w:szCs w:val="32"/>
        </w:rPr>
        <w:t>%</w:t>
      </w:r>
      <w:r>
        <w:rPr>
          <w:rFonts w:hint="eastAsia" w:ascii="仿宋" w:hAnsi="仿宋" w:eastAsia="仿宋"/>
          <w:color w:val="000000"/>
          <w:sz w:val="32"/>
          <w:szCs w:val="32"/>
        </w:rPr>
        <w:t>；附属单位上缴收入0万元，占0</w:t>
      </w:r>
      <w:r>
        <w:rPr>
          <w:rFonts w:ascii="仿宋" w:hAnsi="仿宋" w:eastAsia="仿宋"/>
          <w:color w:val="000000"/>
          <w:sz w:val="32"/>
          <w:szCs w:val="32"/>
        </w:rPr>
        <w:t>%</w:t>
      </w:r>
      <w:r>
        <w:rPr>
          <w:rFonts w:hint="eastAsia" w:ascii="仿宋" w:hAnsi="仿宋" w:eastAsia="仿宋"/>
          <w:color w:val="000000"/>
          <w:sz w:val="32"/>
          <w:szCs w:val="32"/>
        </w:rPr>
        <w:t>；其他收入0.10万元，占1</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r>
        <w:rPr>
          <w:rFonts w:hint="eastAsia" w:ascii="仿宋_GB2312" w:eastAsia="仿宋_GB2312"/>
          <w:color w:val="FF0000"/>
          <w:sz w:val="32"/>
          <w:szCs w:val="32"/>
          <w:lang w:eastAsia="zh-CN"/>
        </w:rPr>
        <w:drawing>
          <wp:anchor distT="0" distB="0" distL="114300" distR="114300" simplePos="0" relativeHeight="251659264" behindDoc="0" locked="0" layoutInCell="1" allowOverlap="1">
            <wp:simplePos x="0" y="0"/>
            <wp:positionH relativeFrom="column">
              <wp:posOffset>753110</wp:posOffset>
            </wp:positionH>
            <wp:positionV relativeFrom="paragraph">
              <wp:posOffset>271145</wp:posOffset>
            </wp:positionV>
            <wp:extent cx="4357370" cy="2039620"/>
            <wp:effectExtent l="4445" t="5080" r="19685" b="12700"/>
            <wp:wrapSquare wrapText="bothSides"/>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ascii="仿宋_GB2312" w:eastAsia="仿宋_GB2312"/>
          <w:color w:val="FF0000"/>
          <w:sz w:val="32"/>
          <w:szCs w:val="32"/>
        </w:rPr>
      </w:pPr>
    </w:p>
    <w:p>
      <w:pPr>
        <w:spacing w:line="600" w:lineRule="exact"/>
        <w:ind w:firstLine="640" w:firstLineChars="200"/>
        <w:rPr>
          <w:rFonts w:ascii="仿宋_GB2312" w:eastAsia="仿宋_GB2312"/>
          <w:color w:val="FF0000"/>
          <w:sz w:val="32"/>
          <w:szCs w:val="32"/>
        </w:rPr>
      </w:pPr>
    </w:p>
    <w:p>
      <w:pPr>
        <w:spacing w:line="600" w:lineRule="exact"/>
        <w:ind w:firstLine="640" w:firstLineChars="200"/>
        <w:rPr>
          <w:rFonts w:ascii="仿宋_GB2312" w:eastAsia="仿宋_GB2312"/>
          <w:color w:val="FF0000"/>
          <w:sz w:val="32"/>
          <w:szCs w:val="32"/>
        </w:rPr>
      </w:pPr>
    </w:p>
    <w:p>
      <w:pPr>
        <w:spacing w:line="600" w:lineRule="exact"/>
        <w:rPr>
          <w:rFonts w:hint="eastAsia" w:ascii="仿宋_GB2312" w:eastAsia="仿宋_GB2312"/>
          <w:color w:val="FF0000"/>
          <w:sz w:val="32"/>
          <w:szCs w:val="32"/>
          <w:lang w:eastAsia="zh-CN"/>
        </w:rPr>
      </w:pPr>
    </w:p>
    <w:p>
      <w:pPr>
        <w:pStyle w:val="25"/>
        <w:numPr>
          <w:ilvl w:val="0"/>
          <w:numId w:val="1"/>
        </w:numPr>
        <w:spacing w:line="600" w:lineRule="exact"/>
        <w:ind w:firstLineChars="0"/>
        <w:outlineLvl w:val="1"/>
        <w:rPr>
          <w:rStyle w:val="27"/>
          <w:rFonts w:ascii="黑体" w:hAnsi="黑体" w:eastAsia="黑体"/>
          <w:b w:val="0"/>
        </w:rPr>
      </w:pPr>
      <w:bookmarkStart w:id="28" w:name="_Toc15396605"/>
      <w:bookmarkStart w:id="29" w:name="_Toc15377207"/>
      <w:r>
        <w:rPr>
          <w:rFonts w:hint="eastAsia" w:ascii="黑体" w:hAnsi="黑体" w:eastAsia="黑体"/>
          <w:color w:val="000000"/>
          <w:sz w:val="32"/>
          <w:szCs w:val="32"/>
        </w:rPr>
        <w:t>支</w:t>
      </w:r>
      <w:r>
        <w:rPr>
          <w:rStyle w:val="27"/>
          <w:rFonts w:hint="eastAsia" w:ascii="黑体" w:hAnsi="黑体" w:eastAsia="黑体"/>
          <w:b w:val="0"/>
        </w:rPr>
        <w:t>出决算情况说明</w:t>
      </w:r>
      <w:bookmarkEnd w:id="28"/>
      <w:bookmarkEnd w:id="29"/>
    </w:p>
    <w:p>
      <w:pPr>
        <w:spacing w:line="600" w:lineRule="exact"/>
        <w:ind w:firstLine="640"/>
        <w:rPr>
          <w:rFonts w:ascii="仿宋" w:hAnsi="仿宋" w:eastAsia="仿宋"/>
          <w:color w:val="000000"/>
          <w:sz w:val="32"/>
          <w:szCs w:val="32"/>
          <w:shd w:val="pct10" w:color="auto" w:fill="FFFFFF"/>
        </w:rPr>
      </w:pPr>
      <w:r>
        <w:rPr>
          <w:rFonts w:ascii="仿宋" w:hAnsi="仿宋" w:eastAsia="仿宋"/>
          <w:color w:val="000000"/>
          <w:sz w:val="32"/>
          <w:szCs w:val="32"/>
        </w:rPr>
        <w:t>201</w:t>
      </w:r>
      <w:r>
        <w:rPr>
          <w:rFonts w:hint="eastAsia" w:ascii="仿宋" w:hAnsi="仿宋" w:eastAsia="仿宋"/>
          <w:color w:val="000000"/>
          <w:sz w:val="32"/>
          <w:szCs w:val="32"/>
        </w:rPr>
        <w:t>8年本年支出合计124.70万元，其中：基本支出106.84万元，占86</w:t>
      </w:r>
      <w:r>
        <w:rPr>
          <w:rFonts w:ascii="仿宋" w:hAnsi="仿宋" w:eastAsia="仿宋"/>
          <w:color w:val="000000"/>
          <w:sz w:val="32"/>
          <w:szCs w:val="32"/>
        </w:rPr>
        <w:t>%</w:t>
      </w:r>
      <w:r>
        <w:rPr>
          <w:rFonts w:hint="eastAsia" w:ascii="仿宋" w:hAnsi="仿宋" w:eastAsia="仿宋"/>
          <w:color w:val="000000"/>
          <w:sz w:val="32"/>
          <w:szCs w:val="32"/>
        </w:rPr>
        <w:t>；项目支出17.86万元，占14</w:t>
      </w:r>
      <w:r>
        <w:rPr>
          <w:rFonts w:ascii="仿宋" w:hAnsi="仿宋" w:eastAsia="仿宋"/>
          <w:color w:val="000000"/>
          <w:sz w:val="32"/>
          <w:szCs w:val="32"/>
        </w:rPr>
        <w:t>%</w:t>
      </w:r>
      <w:r>
        <w:rPr>
          <w:rFonts w:hint="eastAsia" w:ascii="仿宋" w:hAnsi="仿宋" w:eastAsia="仿宋"/>
          <w:color w:val="000000"/>
          <w:sz w:val="32"/>
          <w:szCs w:val="32"/>
        </w:rPr>
        <w:t>；上缴上级支出0万元，占0</w:t>
      </w:r>
      <w:r>
        <w:rPr>
          <w:rFonts w:ascii="仿宋" w:hAnsi="仿宋" w:eastAsia="仿宋"/>
          <w:color w:val="000000"/>
          <w:sz w:val="32"/>
          <w:szCs w:val="32"/>
        </w:rPr>
        <w:t>%</w:t>
      </w:r>
      <w:r>
        <w:rPr>
          <w:rFonts w:hint="eastAsia" w:ascii="仿宋" w:hAnsi="仿宋" w:eastAsia="仿宋"/>
          <w:color w:val="000000"/>
          <w:sz w:val="32"/>
          <w:szCs w:val="32"/>
        </w:rPr>
        <w:t>；经营支出0万元，占0</w:t>
      </w:r>
      <w:r>
        <w:rPr>
          <w:rFonts w:ascii="仿宋" w:hAnsi="仿宋" w:eastAsia="仿宋"/>
          <w:color w:val="000000"/>
          <w:sz w:val="32"/>
          <w:szCs w:val="32"/>
        </w:rPr>
        <w:t>%</w:t>
      </w:r>
      <w:r>
        <w:rPr>
          <w:rFonts w:hint="eastAsia" w:ascii="仿宋" w:hAnsi="仿宋" w:eastAsia="仿宋"/>
          <w:color w:val="000000"/>
          <w:sz w:val="32"/>
          <w:szCs w:val="32"/>
        </w:rPr>
        <w:t>；对附属单位补助支出0万元，占0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ascii="仿宋_GB2312" w:eastAsia="仿宋_GB2312"/>
          <w:color w:val="FF0000"/>
          <w:sz w:val="32"/>
          <w:szCs w:val="32"/>
        </w:rPr>
      </w:pPr>
    </w:p>
    <w:p>
      <w:pPr>
        <w:spacing w:line="600" w:lineRule="exact"/>
        <w:ind w:firstLine="640" w:firstLineChars="200"/>
        <w:rPr>
          <w:rFonts w:ascii="仿宋_GB2312" w:eastAsia="仿宋_GB2312"/>
          <w:color w:val="FF0000"/>
          <w:sz w:val="32"/>
          <w:szCs w:val="32"/>
        </w:rPr>
      </w:pPr>
      <w:r>
        <w:rPr>
          <w:rFonts w:hint="eastAsia" w:ascii="仿宋_GB2312" w:eastAsia="仿宋_GB2312"/>
          <w:color w:val="FF0000"/>
          <w:sz w:val="32"/>
          <w:szCs w:val="32"/>
          <w:lang w:eastAsia="zh-CN"/>
        </w:rPr>
        <w:drawing>
          <wp:anchor distT="0" distB="0" distL="114300" distR="114300" simplePos="0" relativeHeight="251660288" behindDoc="0" locked="0" layoutInCell="1" allowOverlap="1">
            <wp:simplePos x="0" y="0"/>
            <wp:positionH relativeFrom="column">
              <wp:posOffset>791845</wp:posOffset>
            </wp:positionH>
            <wp:positionV relativeFrom="paragraph">
              <wp:posOffset>156845</wp:posOffset>
            </wp:positionV>
            <wp:extent cx="4114800" cy="2001520"/>
            <wp:effectExtent l="5080" t="4445" r="13970" b="13335"/>
            <wp:wrapSquare wrapText="bothSides"/>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line="600" w:lineRule="exact"/>
        <w:ind w:firstLine="640" w:firstLineChars="200"/>
        <w:rPr>
          <w:rFonts w:ascii="仿宋_GB2312" w:eastAsia="仿宋_GB2312"/>
          <w:color w:val="FF0000"/>
          <w:sz w:val="32"/>
          <w:szCs w:val="32"/>
        </w:rPr>
      </w:pPr>
    </w:p>
    <w:p>
      <w:pPr>
        <w:spacing w:line="600" w:lineRule="exact"/>
        <w:ind w:firstLine="640" w:firstLineChars="200"/>
        <w:rPr>
          <w:rFonts w:ascii="仿宋_GB2312" w:eastAsia="仿宋_GB2312"/>
          <w:color w:val="FF0000"/>
          <w:sz w:val="32"/>
          <w:szCs w:val="32"/>
        </w:rPr>
      </w:pPr>
    </w:p>
    <w:p>
      <w:pPr>
        <w:spacing w:line="600" w:lineRule="exact"/>
        <w:ind w:firstLine="640" w:firstLineChars="200"/>
        <w:rPr>
          <w:rFonts w:ascii="仿宋_GB2312" w:eastAsia="仿宋_GB2312"/>
          <w:color w:val="FF0000"/>
          <w:sz w:val="32"/>
          <w:szCs w:val="32"/>
        </w:rPr>
      </w:pPr>
    </w:p>
    <w:p>
      <w:pPr>
        <w:spacing w:line="600" w:lineRule="exact"/>
        <w:ind w:firstLine="640" w:firstLineChars="200"/>
        <w:rPr>
          <w:rFonts w:ascii="仿宋_GB2312" w:eastAsia="仿宋_GB2312"/>
          <w:color w:val="FF0000"/>
          <w:sz w:val="32"/>
          <w:szCs w:val="32"/>
        </w:rPr>
      </w:pPr>
    </w:p>
    <w:p>
      <w:pPr>
        <w:spacing w:line="600" w:lineRule="exact"/>
        <w:rPr>
          <w:rFonts w:hint="eastAsia" w:ascii="仿宋_GB2312" w:eastAsia="仿宋_GB2312"/>
          <w:color w:val="FF0000"/>
          <w:sz w:val="32"/>
          <w:szCs w:val="32"/>
          <w:lang w:eastAsia="zh-CN"/>
        </w:rPr>
      </w:pPr>
    </w:p>
    <w:p>
      <w:pPr>
        <w:spacing w:line="600" w:lineRule="exact"/>
        <w:ind w:firstLine="640" w:firstLineChars="200"/>
        <w:outlineLvl w:val="1"/>
        <w:rPr>
          <w:rStyle w:val="27"/>
          <w:rFonts w:ascii="黑体" w:hAnsi="黑体" w:eastAsia="黑体"/>
          <w:b w:val="0"/>
        </w:rPr>
      </w:pPr>
      <w:bookmarkStart w:id="30" w:name="_Toc15377208"/>
      <w:bookmarkStart w:id="31" w:name="_Toc15396606"/>
      <w:r>
        <w:rPr>
          <w:rFonts w:hint="eastAsia" w:ascii="黑体" w:hAnsi="黑体" w:eastAsia="黑体"/>
          <w:color w:val="000000"/>
          <w:sz w:val="32"/>
          <w:szCs w:val="32"/>
        </w:rPr>
        <w:t>四、财</w:t>
      </w:r>
      <w:r>
        <w:rPr>
          <w:rStyle w:val="27"/>
          <w:rFonts w:hint="eastAsia" w:ascii="黑体" w:hAnsi="黑体" w:eastAsia="黑体"/>
          <w:b w:val="0"/>
        </w:rPr>
        <w:t>政拨款收入支出决算总体情况说明</w:t>
      </w:r>
      <w:bookmarkEnd w:id="30"/>
      <w:bookmarkEnd w:id="31"/>
    </w:p>
    <w:p>
      <w:pPr>
        <w:spacing w:line="600" w:lineRule="exact"/>
        <w:ind w:firstLine="640" w:firstLineChars="200"/>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8年财政拨款收</w:t>
      </w:r>
      <w:r>
        <w:rPr>
          <w:rFonts w:hint="eastAsia" w:ascii="仿宋" w:hAnsi="仿宋" w:eastAsia="仿宋"/>
          <w:color w:val="000000"/>
          <w:sz w:val="32"/>
          <w:szCs w:val="32"/>
          <w:lang w:eastAsia="zh-CN"/>
        </w:rPr>
        <w:t>入总计</w:t>
      </w:r>
      <w:r>
        <w:rPr>
          <w:rFonts w:hint="eastAsia" w:ascii="仿宋" w:hAnsi="仿宋" w:eastAsia="仿宋"/>
          <w:color w:val="000000"/>
          <w:sz w:val="32"/>
          <w:szCs w:val="32"/>
        </w:rPr>
        <w:t>124.70万元、支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总计124.70万元。与</w:t>
      </w:r>
      <w:r>
        <w:rPr>
          <w:rFonts w:ascii="仿宋" w:hAnsi="仿宋" w:eastAsia="仿宋"/>
          <w:color w:val="000000"/>
          <w:sz w:val="32"/>
          <w:szCs w:val="32"/>
        </w:rPr>
        <w:t>201</w:t>
      </w:r>
      <w:r>
        <w:rPr>
          <w:rFonts w:hint="eastAsia" w:ascii="仿宋" w:hAnsi="仿宋" w:eastAsia="仿宋"/>
          <w:color w:val="000000"/>
          <w:sz w:val="32"/>
          <w:szCs w:val="32"/>
        </w:rPr>
        <w:t>7年相比，财政拨款收</w:t>
      </w:r>
      <w:r>
        <w:rPr>
          <w:rFonts w:hint="eastAsia" w:ascii="仿宋" w:hAnsi="仿宋" w:eastAsia="仿宋"/>
          <w:color w:val="000000"/>
          <w:sz w:val="32"/>
          <w:szCs w:val="32"/>
          <w:lang w:eastAsia="zh-CN"/>
        </w:rPr>
        <w:t>入</w:t>
      </w:r>
      <w:r>
        <w:rPr>
          <w:rFonts w:hint="eastAsia" w:ascii="仿宋" w:hAnsi="仿宋" w:eastAsia="仿宋"/>
          <w:color w:val="000000"/>
          <w:sz w:val="32"/>
          <w:szCs w:val="32"/>
        </w:rPr>
        <w:t>增加</w:t>
      </w:r>
      <w:r>
        <w:rPr>
          <w:rFonts w:hint="eastAsia" w:ascii="仿宋" w:hAnsi="仿宋" w:eastAsia="仿宋"/>
          <w:color w:val="000000"/>
          <w:sz w:val="32"/>
          <w:szCs w:val="32"/>
          <w:lang w:val="en-US" w:eastAsia="zh-CN"/>
        </w:rPr>
        <w:t>856591.54</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2.19</w:t>
      </w:r>
      <w:r>
        <w:rPr>
          <w:rFonts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856591.54</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2.19</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hint="eastAsia" w:ascii="仿宋_GB2312" w:hAnsi="仿宋" w:eastAsia="仿宋_GB2312"/>
          <w:sz w:val="32"/>
          <w:szCs w:val="32"/>
          <w:lang w:val="en-US" w:eastAsia="zh-CN"/>
        </w:rPr>
      </w:pPr>
      <w:r>
        <w:rPr>
          <w:rFonts w:hint="eastAsia" w:ascii="仿宋" w:hAnsi="仿宋" w:eastAsia="仿宋"/>
          <w:color w:val="000000"/>
          <w:sz w:val="32"/>
          <w:szCs w:val="32"/>
        </w:rPr>
        <w:t>主要变动原因</w:t>
      </w:r>
      <w:r>
        <w:rPr>
          <w:rFonts w:hint="eastAsia" w:ascii="仿宋" w:hAnsi="仿宋" w:eastAsia="仿宋"/>
          <w:color w:val="000000"/>
          <w:sz w:val="32"/>
          <w:szCs w:val="32"/>
          <w:lang w:eastAsia="zh-CN"/>
        </w:rPr>
        <w:t>一是</w:t>
      </w:r>
      <w:r>
        <w:rPr>
          <w:rFonts w:hint="eastAsia" w:ascii="仿宋" w:hAnsi="仿宋" w:eastAsia="仿宋"/>
          <w:color w:val="000000"/>
          <w:sz w:val="32"/>
          <w:szCs w:val="32"/>
          <w:lang w:val="en-US" w:eastAsia="zh-CN"/>
        </w:rPr>
        <w:t>2018年我单位</w:t>
      </w:r>
      <w:r>
        <w:rPr>
          <w:rFonts w:hint="eastAsia" w:ascii="仿宋_GB2312" w:hAnsi="仿宋" w:eastAsia="仿宋_GB2312"/>
          <w:sz w:val="32"/>
          <w:szCs w:val="32"/>
          <w:lang w:val="en-US" w:eastAsia="zh-CN"/>
        </w:rPr>
        <w:t>增加了网格员劳务费及六个一装备费，二是新增人员及人员经费。</w:t>
      </w:r>
    </w:p>
    <w:p>
      <w:pPr>
        <w:spacing w:line="600" w:lineRule="exact"/>
        <w:ind w:firstLine="640" w:firstLineChars="200"/>
        <w:rPr>
          <w:rFonts w:hint="eastAsia" w:ascii="仿宋_GB2312" w:hAnsi="仿宋" w:eastAsia="仿宋_GB2312"/>
          <w:sz w:val="32"/>
          <w:szCs w:val="32"/>
          <w:lang w:val="en-US" w:eastAsia="zh-CN"/>
        </w:rPr>
      </w:pPr>
    </w:p>
    <w:p>
      <w:pPr>
        <w:spacing w:line="600" w:lineRule="exact"/>
        <w:ind w:firstLine="640" w:firstLineChars="200"/>
        <w:rPr>
          <w:rFonts w:hint="eastAsia" w:ascii="仿宋_GB2312" w:hAnsi="仿宋" w:eastAsia="仿宋_GB2312"/>
          <w:sz w:val="32"/>
          <w:szCs w:val="32"/>
          <w:lang w:val="en-US" w:eastAsia="zh-CN"/>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rPr>
      </w:pPr>
    </w:p>
    <w:p>
      <w:pPr>
        <w:spacing w:line="600" w:lineRule="exact"/>
        <w:ind w:firstLine="640" w:firstLineChars="200"/>
        <w:rPr>
          <w:rFonts w:hint="eastAsia" w:ascii="仿宋" w:hAnsi="仿宋" w:eastAsia="仿宋"/>
          <w:color w:val="000000" w:themeColor="text1"/>
          <w:sz w:val="32"/>
          <w:szCs w:val="32"/>
          <w:lang w:eastAsia="zh-CN"/>
        </w:rPr>
      </w:pPr>
      <w:r>
        <w:rPr>
          <w:rFonts w:hint="eastAsia" w:ascii="仿宋" w:hAnsi="仿宋" w:eastAsia="仿宋"/>
          <w:color w:val="000000" w:themeColor="text1"/>
          <w:sz w:val="32"/>
          <w:szCs w:val="32"/>
          <w:lang w:eastAsia="zh-CN"/>
        </w:rPr>
        <w:drawing>
          <wp:anchor distT="0" distB="0" distL="114300" distR="114300" simplePos="0" relativeHeight="251661312" behindDoc="0" locked="0" layoutInCell="1" allowOverlap="1">
            <wp:simplePos x="0" y="0"/>
            <wp:positionH relativeFrom="column">
              <wp:posOffset>410845</wp:posOffset>
            </wp:positionH>
            <wp:positionV relativeFrom="paragraph">
              <wp:posOffset>-2376805</wp:posOffset>
            </wp:positionV>
            <wp:extent cx="4839335" cy="2534285"/>
            <wp:effectExtent l="4445" t="5080" r="13970" b="13335"/>
            <wp:wrapSquare wrapText="bothSides"/>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rPr>
          <w:rFonts w:ascii="仿宋" w:hAnsi="仿宋" w:eastAsia="仿宋"/>
          <w:b/>
          <w:color w:val="00B050"/>
          <w:sz w:val="32"/>
          <w:szCs w:val="32"/>
        </w:rPr>
      </w:pPr>
    </w:p>
    <w:p>
      <w:pPr>
        <w:spacing w:line="600" w:lineRule="exact"/>
        <w:ind w:firstLine="640" w:firstLineChars="200"/>
        <w:outlineLvl w:val="1"/>
        <w:rPr>
          <w:rStyle w:val="27"/>
          <w:rFonts w:ascii="黑体" w:hAnsi="黑体" w:eastAsia="黑体"/>
          <w:b w:val="0"/>
        </w:rPr>
      </w:pPr>
      <w:bookmarkStart w:id="32" w:name="_Toc15377209"/>
      <w:bookmarkStart w:id="33" w:name="_Toc15396607"/>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7"/>
          <w:rFonts w:hint="eastAsia" w:ascii="黑体" w:hAnsi="黑体" w:eastAsia="黑体"/>
          <w:b w:val="0"/>
        </w:rPr>
        <w:t>般公共预算财政拨款支出决算情况说明</w:t>
      </w:r>
      <w:bookmarkEnd w:id="32"/>
      <w:bookmarkEnd w:id="33"/>
    </w:p>
    <w:p>
      <w:pPr>
        <w:spacing w:line="600" w:lineRule="exact"/>
        <w:ind w:firstLine="643" w:firstLineChars="200"/>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pPr>
        <w:spacing w:line="600" w:lineRule="exact"/>
        <w:ind w:firstLine="640" w:firstLineChars="200"/>
        <w:rPr>
          <w:rFonts w:hint="eastAsia" w:ascii="仿宋_GB2312" w:hAnsi="仿宋" w:eastAsia="仿宋_GB2312"/>
          <w:color w:val="000000" w:themeColor="text1"/>
          <w:sz w:val="32"/>
          <w:szCs w:val="32"/>
          <w:lang w:val="en-US" w:eastAsia="zh-CN"/>
        </w:rPr>
      </w:pPr>
      <w:r>
        <w:rPr>
          <w:rFonts w:ascii="仿宋" w:hAnsi="仿宋" w:eastAsia="仿宋"/>
          <w:color w:val="000000" w:themeColor="text1"/>
          <w:sz w:val="32"/>
          <w:szCs w:val="32"/>
        </w:rPr>
        <w:t>201</w:t>
      </w:r>
      <w:r>
        <w:rPr>
          <w:rFonts w:hint="eastAsia" w:ascii="仿宋" w:hAnsi="仿宋" w:eastAsia="仿宋"/>
          <w:color w:val="000000" w:themeColor="text1"/>
          <w:sz w:val="32"/>
          <w:szCs w:val="32"/>
        </w:rPr>
        <w:t>8年一般公共预算财政拨款支出</w:t>
      </w:r>
      <w:r>
        <w:rPr>
          <w:rFonts w:hint="eastAsia" w:ascii="仿宋" w:hAnsi="仿宋" w:eastAsia="仿宋"/>
          <w:color w:val="000000" w:themeColor="text1"/>
          <w:sz w:val="32"/>
          <w:szCs w:val="32"/>
          <w:lang w:val="en-US" w:eastAsia="zh-CN"/>
        </w:rPr>
        <w:t>124.70</w:t>
      </w:r>
      <w:r>
        <w:rPr>
          <w:rFonts w:hint="eastAsia" w:ascii="仿宋" w:hAnsi="仿宋" w:eastAsia="仿宋"/>
          <w:color w:val="000000" w:themeColor="text1"/>
          <w:sz w:val="32"/>
          <w:szCs w:val="32"/>
        </w:rPr>
        <w:t>万元，占本年支出合计的100</w:t>
      </w:r>
      <w:r>
        <w:rPr>
          <w:rFonts w:ascii="仿宋" w:hAnsi="仿宋" w:eastAsia="仿宋"/>
          <w:color w:val="000000" w:themeColor="text1"/>
          <w:sz w:val="32"/>
          <w:szCs w:val="32"/>
        </w:rPr>
        <w:t>%</w:t>
      </w:r>
      <w:r>
        <w:rPr>
          <w:rFonts w:hint="eastAsia" w:ascii="仿宋" w:hAnsi="仿宋" w:eastAsia="仿宋"/>
          <w:color w:val="000000" w:themeColor="text1"/>
          <w:sz w:val="32"/>
          <w:szCs w:val="32"/>
        </w:rPr>
        <w:t>。与</w:t>
      </w:r>
      <w:r>
        <w:rPr>
          <w:rFonts w:ascii="仿宋" w:hAnsi="仿宋" w:eastAsia="仿宋"/>
          <w:color w:val="000000" w:themeColor="text1"/>
          <w:sz w:val="32"/>
          <w:szCs w:val="32"/>
        </w:rPr>
        <w:t>201</w:t>
      </w:r>
      <w:r>
        <w:rPr>
          <w:rFonts w:hint="eastAsia" w:ascii="仿宋" w:hAnsi="仿宋" w:eastAsia="仿宋"/>
          <w:color w:val="000000" w:themeColor="text1"/>
          <w:sz w:val="32"/>
          <w:szCs w:val="32"/>
        </w:rPr>
        <w:t>7年相比，一般公共预算财政拨款增加</w:t>
      </w:r>
      <w:r>
        <w:rPr>
          <w:rFonts w:hint="eastAsia" w:ascii="仿宋" w:hAnsi="仿宋" w:eastAsia="仿宋"/>
          <w:color w:val="000000" w:themeColor="text1"/>
          <w:sz w:val="32"/>
          <w:szCs w:val="32"/>
          <w:lang w:val="en-US" w:eastAsia="zh-CN"/>
        </w:rPr>
        <w:t>85.66</w:t>
      </w:r>
      <w:r>
        <w:rPr>
          <w:rFonts w:hint="eastAsia" w:ascii="仿宋" w:hAnsi="仿宋" w:eastAsia="仿宋"/>
          <w:color w:val="000000" w:themeColor="text1"/>
          <w:sz w:val="32"/>
          <w:szCs w:val="32"/>
        </w:rPr>
        <w:t>万元，增长</w:t>
      </w:r>
      <w:r>
        <w:rPr>
          <w:rFonts w:hint="eastAsia" w:ascii="仿宋" w:hAnsi="仿宋" w:eastAsia="仿宋"/>
          <w:color w:val="000000" w:themeColor="text1"/>
          <w:sz w:val="32"/>
          <w:szCs w:val="32"/>
          <w:lang w:val="en-US" w:eastAsia="zh-CN"/>
        </w:rPr>
        <w:t>2.20</w:t>
      </w:r>
      <w:r>
        <w:rPr>
          <w:rFonts w:ascii="仿宋" w:hAnsi="仿宋" w:eastAsia="仿宋"/>
          <w:color w:val="000000" w:themeColor="text1"/>
          <w:sz w:val="32"/>
          <w:szCs w:val="32"/>
        </w:rPr>
        <w:t>%</w:t>
      </w:r>
      <w:r>
        <w:rPr>
          <w:rFonts w:hint="eastAsia" w:ascii="仿宋" w:hAnsi="仿宋" w:eastAsia="仿宋"/>
          <w:color w:val="000000" w:themeColor="text1"/>
          <w:sz w:val="32"/>
          <w:szCs w:val="32"/>
        </w:rPr>
        <w:t>。主要变动原因</w:t>
      </w:r>
      <w:r>
        <w:rPr>
          <w:rFonts w:hint="eastAsia" w:ascii="仿宋" w:hAnsi="仿宋" w:eastAsia="仿宋"/>
          <w:color w:val="000000" w:themeColor="text1"/>
          <w:sz w:val="32"/>
          <w:szCs w:val="32"/>
          <w:lang w:eastAsia="zh-CN"/>
        </w:rPr>
        <w:t>一是</w:t>
      </w:r>
      <w:r>
        <w:rPr>
          <w:rFonts w:hint="eastAsia" w:ascii="仿宋" w:hAnsi="仿宋" w:eastAsia="仿宋"/>
          <w:color w:val="000000" w:themeColor="text1"/>
          <w:sz w:val="32"/>
          <w:szCs w:val="32"/>
          <w:lang w:val="en-US" w:eastAsia="zh-CN"/>
        </w:rPr>
        <w:t>2018年我单位</w:t>
      </w:r>
      <w:r>
        <w:rPr>
          <w:rFonts w:hint="eastAsia" w:ascii="仿宋_GB2312" w:hAnsi="仿宋" w:eastAsia="仿宋_GB2312"/>
          <w:color w:val="000000" w:themeColor="text1"/>
          <w:sz w:val="32"/>
          <w:szCs w:val="32"/>
          <w:lang w:val="en-US" w:eastAsia="zh-CN"/>
        </w:rPr>
        <w:t>增加了网格员劳务费及六个一装备费，二是新</w:t>
      </w:r>
    </w:p>
    <w:p>
      <w:pPr>
        <w:spacing w:line="600" w:lineRule="exact"/>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增人员及人员经费。</w:t>
      </w:r>
    </w:p>
    <w:p>
      <w:pPr>
        <w:spacing w:line="600" w:lineRule="exact"/>
        <w:rPr>
          <w:rFonts w:hint="eastAsia" w:ascii="仿宋_GB2312" w:hAnsi="仿宋" w:eastAsia="仿宋_GB2312"/>
          <w:sz w:val="32"/>
          <w:szCs w:val="32"/>
          <w:lang w:val="en-US" w:eastAsia="zh-CN"/>
        </w:rPr>
      </w:pPr>
    </w:p>
    <w:p>
      <w:pPr>
        <w:spacing w:line="600" w:lineRule="exact"/>
        <w:rPr>
          <w:rFonts w:hint="eastAsia" w:ascii="仿宋_GB2312" w:hAnsi="仿宋" w:eastAsia="仿宋_GB2312"/>
          <w:sz w:val="32"/>
          <w:szCs w:val="32"/>
          <w:lang w:val="en-US" w:eastAsia="zh-CN"/>
        </w:rPr>
      </w:pPr>
    </w:p>
    <w:p>
      <w:pPr>
        <w:spacing w:line="600" w:lineRule="exact"/>
        <w:rPr>
          <w:rFonts w:hint="eastAsia" w:ascii="仿宋_GB2312" w:hAnsi="仿宋" w:eastAsia="仿宋_GB2312"/>
          <w:sz w:val="32"/>
          <w:szCs w:val="32"/>
          <w:lang w:val="en-US" w:eastAsia="zh-CN"/>
        </w:rPr>
      </w:pPr>
    </w:p>
    <w:p>
      <w:pPr>
        <w:spacing w:line="600" w:lineRule="exact"/>
        <w:rPr>
          <w:rFonts w:hint="eastAsia" w:ascii="仿宋_GB2312" w:hAnsi="仿宋" w:eastAsia="仿宋_GB2312"/>
          <w:sz w:val="32"/>
          <w:szCs w:val="32"/>
          <w:lang w:val="en-US" w:eastAsia="zh-CN"/>
        </w:rPr>
      </w:pPr>
    </w:p>
    <w:p>
      <w:pPr>
        <w:spacing w:line="600" w:lineRule="exact"/>
        <w:rPr>
          <w:rFonts w:hint="eastAsia" w:ascii="仿宋_GB2312" w:hAnsi="仿宋" w:eastAsia="仿宋_GB2312"/>
          <w:sz w:val="32"/>
          <w:szCs w:val="32"/>
          <w:lang w:val="en-US" w:eastAsia="zh-CN"/>
        </w:rPr>
      </w:pPr>
    </w:p>
    <w:p>
      <w:pPr>
        <w:spacing w:line="600" w:lineRule="exact"/>
        <w:rPr>
          <w:rFonts w:hint="eastAsia" w:ascii="仿宋_GB2312" w:hAnsi="仿宋" w:eastAsia="仿宋_GB2312"/>
          <w:sz w:val="32"/>
          <w:szCs w:val="32"/>
          <w:lang w:val="en-US" w:eastAsia="zh-CN"/>
        </w:rPr>
      </w:pPr>
    </w:p>
    <w:p>
      <w:pPr>
        <w:spacing w:line="600" w:lineRule="exact"/>
        <w:rPr>
          <w:rFonts w:hint="eastAsia" w:ascii="仿宋" w:hAnsi="仿宋" w:eastAsia="仿宋"/>
          <w:color w:val="FF0000"/>
          <w:sz w:val="32"/>
          <w:szCs w:val="32"/>
        </w:rPr>
      </w:pPr>
      <w:r>
        <w:rPr>
          <w:rFonts w:hint="eastAsia" w:ascii="仿宋" w:hAnsi="仿宋" w:eastAsia="仿宋"/>
          <w:color w:val="FF0000"/>
          <w:sz w:val="32"/>
          <w:szCs w:val="32"/>
          <w:lang w:eastAsia="zh-CN"/>
        </w:rPr>
        <w:drawing>
          <wp:anchor distT="0" distB="0" distL="114300" distR="114300" simplePos="0" relativeHeight="251664384" behindDoc="0" locked="0" layoutInCell="1" allowOverlap="1">
            <wp:simplePos x="0" y="0"/>
            <wp:positionH relativeFrom="column">
              <wp:posOffset>245745</wp:posOffset>
            </wp:positionH>
            <wp:positionV relativeFrom="paragraph">
              <wp:posOffset>99695</wp:posOffset>
            </wp:positionV>
            <wp:extent cx="4928235" cy="2294255"/>
            <wp:effectExtent l="4445" t="4445" r="20320" b="6350"/>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spacing w:line="600" w:lineRule="exact"/>
        <w:ind w:firstLine="643" w:firstLineChars="200"/>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lang w:eastAsia="zh-CN"/>
        </w:rPr>
        <w:t>（二）</w:t>
      </w:r>
      <w:r>
        <w:rPr>
          <w:rFonts w:hint="eastAsia" w:ascii="仿宋" w:hAnsi="仿宋" w:eastAsia="仿宋"/>
          <w:b/>
          <w:color w:val="000000"/>
          <w:sz w:val="32"/>
          <w:szCs w:val="32"/>
        </w:rPr>
        <w:t>一般公共预算财政拨款支出决算结构情况</w:t>
      </w:r>
      <w:bookmarkEnd w:id="35"/>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rPr>
        <w:t>政拨款支出124.70万元，主要用于以下方面</w:t>
      </w:r>
      <w:r>
        <w:rPr>
          <w:rFonts w:ascii="仿宋" w:hAnsi="仿宋" w:eastAsia="仿宋"/>
          <w:color w:val="000000" w:themeColor="text1"/>
          <w:sz w:val="32"/>
          <w:szCs w:val="32"/>
        </w:rPr>
        <w:t>:</w:t>
      </w:r>
      <w:r>
        <w:rPr>
          <w:rFonts w:hint="eastAsia" w:ascii="仿宋" w:hAnsi="仿宋" w:eastAsia="仿宋"/>
          <w:b/>
          <w:color w:val="000000" w:themeColor="text1"/>
          <w:sz w:val="32"/>
          <w:szCs w:val="32"/>
        </w:rPr>
        <w:t>一般公共服务（类）</w:t>
      </w:r>
      <w:r>
        <w:rPr>
          <w:rFonts w:hint="eastAsia" w:ascii="仿宋" w:hAnsi="仿宋" w:eastAsia="仿宋"/>
          <w:color w:val="000000" w:themeColor="text1"/>
          <w:sz w:val="32"/>
          <w:szCs w:val="32"/>
        </w:rPr>
        <w:t>支出107.66万元，占86</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教育支出（类）</w:t>
      </w:r>
      <w:r>
        <w:rPr>
          <w:rFonts w:hint="eastAsia" w:ascii="仿宋" w:hAnsi="仿宋" w:eastAsia="仿宋"/>
          <w:color w:val="000000" w:themeColor="text1"/>
          <w:sz w:val="32"/>
          <w:szCs w:val="32"/>
        </w:rPr>
        <w:t>0万元，占0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科学技术（类）</w:t>
      </w:r>
      <w:r>
        <w:rPr>
          <w:rFonts w:hint="eastAsia" w:ascii="仿宋" w:hAnsi="仿宋" w:eastAsia="仿宋"/>
          <w:color w:val="000000" w:themeColor="text1"/>
          <w:sz w:val="32"/>
          <w:szCs w:val="32"/>
        </w:rPr>
        <w:t>支出0万元，占0</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r>
        <w:rPr>
          <w:rFonts w:hint="eastAsia" w:ascii="仿宋" w:hAnsi="仿宋" w:eastAsia="仿宋"/>
          <w:b/>
          <w:color w:val="000000" w:themeColor="text1"/>
          <w:sz w:val="32"/>
          <w:szCs w:val="32"/>
        </w:rPr>
        <w:t>社会保障和就业（类）</w:t>
      </w:r>
      <w:r>
        <w:rPr>
          <w:rFonts w:hint="eastAsia" w:ascii="仿宋" w:hAnsi="仿宋" w:eastAsia="仿宋"/>
          <w:color w:val="000000" w:themeColor="text1"/>
          <w:sz w:val="32"/>
          <w:szCs w:val="32"/>
        </w:rPr>
        <w:t>支出9.55万元，占8</w:t>
      </w:r>
      <w:r>
        <w:rPr>
          <w:rFonts w:ascii="仿宋" w:hAnsi="仿宋" w:eastAsia="仿宋"/>
          <w:color w:val="000000" w:themeColor="text1"/>
          <w:sz w:val="32"/>
          <w:szCs w:val="32"/>
        </w:rPr>
        <w:t>%</w:t>
      </w:r>
      <w:r>
        <w:rPr>
          <w:rFonts w:hint="eastAsia" w:ascii="仿宋" w:hAnsi="仿宋" w:eastAsia="仿宋"/>
          <w:color w:val="000000" w:themeColor="text1"/>
          <w:sz w:val="32"/>
          <w:szCs w:val="32"/>
        </w:rPr>
        <w:t>；医疗卫生支出2.81万元，占2</w:t>
      </w:r>
      <w:r>
        <w:rPr>
          <w:rFonts w:ascii="仿宋" w:hAnsi="仿宋" w:eastAsia="仿宋"/>
          <w:color w:val="000000" w:themeColor="text1"/>
          <w:sz w:val="32"/>
          <w:szCs w:val="32"/>
        </w:rPr>
        <w:t>%</w:t>
      </w:r>
      <w:r>
        <w:rPr>
          <w:rFonts w:hint="eastAsia" w:ascii="仿宋" w:hAnsi="仿宋" w:eastAsia="仿宋"/>
          <w:color w:val="000000" w:themeColor="text1"/>
          <w:sz w:val="32"/>
          <w:szCs w:val="32"/>
        </w:rPr>
        <w:t>；住房保障支出4.67万元，占4</w:t>
      </w:r>
      <w:r>
        <w:rPr>
          <w:rFonts w:ascii="仿宋" w:hAnsi="仿宋" w:eastAsia="仿宋"/>
          <w:color w:val="000000" w:themeColor="text1"/>
          <w:sz w:val="32"/>
          <w:szCs w:val="32"/>
        </w:rPr>
        <w:t>%</w:t>
      </w:r>
      <w:r>
        <w:rPr>
          <w:rFonts w:hint="eastAsia" w:ascii="仿宋" w:hAnsi="仿宋" w:eastAsia="仿宋"/>
          <w:color w:val="000000" w:themeColor="text1"/>
          <w:sz w:val="32"/>
          <w:szCs w:val="32"/>
        </w:rPr>
        <w:t>；粮油物资储备支出0万元，占0%；其他支出0万元，占0%。</w:t>
      </w:r>
    </w:p>
    <w:p>
      <w:pPr>
        <w:spacing w:line="600" w:lineRule="exact"/>
        <w:ind w:firstLine="640" w:firstLineChars="200"/>
        <w:rPr>
          <w:rFonts w:hint="eastAsia" w:ascii="仿宋" w:hAnsi="仿宋" w:eastAsia="仿宋"/>
          <w:b/>
          <w:color w:val="000000"/>
          <w:sz w:val="32"/>
          <w:szCs w:val="32"/>
        </w:rPr>
      </w:pPr>
      <w:r>
        <w:rPr>
          <w:rFonts w:hint="eastAsia" w:ascii="仿宋" w:hAnsi="仿宋" w:eastAsia="仿宋"/>
          <w:color w:val="000000"/>
          <w:sz w:val="32"/>
          <w:szCs w:val="32"/>
          <w:lang w:eastAsia="zh-CN"/>
        </w:rPr>
        <w:drawing>
          <wp:anchor distT="0" distB="0" distL="114300" distR="114300" simplePos="0" relativeHeight="251662336" behindDoc="0" locked="0" layoutInCell="1" allowOverlap="1">
            <wp:simplePos x="0" y="0"/>
            <wp:positionH relativeFrom="column">
              <wp:posOffset>340995</wp:posOffset>
            </wp:positionH>
            <wp:positionV relativeFrom="paragraph">
              <wp:posOffset>353695</wp:posOffset>
            </wp:positionV>
            <wp:extent cx="4756785" cy="2326005"/>
            <wp:effectExtent l="4445" t="4445" r="20320" b="12700"/>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bookmarkStart w:id="36" w:name="_Toc15377212"/>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lang w:eastAsia="zh-CN"/>
        </w:rPr>
        <w:t>（三）</w:t>
      </w:r>
      <w:r>
        <w:rPr>
          <w:rFonts w:hint="eastAsia" w:ascii="仿宋" w:hAnsi="仿宋" w:eastAsia="仿宋"/>
          <w:b/>
          <w:color w:val="000000"/>
          <w:sz w:val="32"/>
          <w:szCs w:val="32"/>
        </w:rPr>
        <w:t>一般公共预算财政拨款支出决算具体情况</w:t>
      </w:r>
      <w:bookmarkEnd w:id="36"/>
    </w:p>
    <w:p>
      <w:pPr>
        <w:spacing w:line="600" w:lineRule="exact"/>
        <w:ind w:firstLine="643" w:firstLineChars="200"/>
        <w:outlineLvl w:val="2"/>
        <w:rPr>
          <w:rFonts w:ascii="仿宋" w:hAnsi="仿宋" w:eastAsia="仿宋"/>
          <w:color w:val="FF0000"/>
          <w:sz w:val="32"/>
          <w:szCs w:val="32"/>
        </w:rPr>
      </w:pPr>
      <w:bookmarkStart w:id="37" w:name="_Toc15377213"/>
      <w:bookmarkStart w:id="38" w:name="_Toc15378460"/>
      <w:bookmarkStart w:id="39" w:name="_Toc15377444"/>
      <w:r>
        <w:rPr>
          <w:rFonts w:hint="eastAsia" w:ascii="仿宋" w:hAnsi="仿宋" w:eastAsia="仿宋"/>
          <w:b/>
          <w:color w:val="000000" w:themeColor="text1"/>
          <w:sz w:val="32"/>
          <w:szCs w:val="32"/>
        </w:rPr>
        <w:t>2018年</w:t>
      </w:r>
      <w:r>
        <w:rPr>
          <w:rFonts w:hint="eastAsia" w:ascii="仿宋" w:hAnsi="仿宋" w:eastAsia="仿宋"/>
          <w:b/>
          <w:color w:val="000000" w:themeColor="text1"/>
          <w:sz w:val="32"/>
          <w:szCs w:val="32"/>
          <w:lang w:eastAsia="zh-CN"/>
        </w:rPr>
        <w:t>一</w:t>
      </w:r>
      <w:r>
        <w:rPr>
          <w:rFonts w:hint="eastAsia" w:ascii="仿宋" w:hAnsi="仿宋" w:eastAsia="仿宋"/>
          <w:b/>
          <w:color w:val="000000" w:themeColor="text1"/>
          <w:sz w:val="32"/>
          <w:szCs w:val="32"/>
        </w:rPr>
        <w:t>般公共预算支出决算数为</w:t>
      </w:r>
      <w:r>
        <w:rPr>
          <w:rFonts w:hint="eastAsia" w:ascii="仿宋" w:hAnsi="仿宋" w:eastAsia="仿宋"/>
          <w:b/>
          <w:color w:val="000000" w:themeColor="text1"/>
          <w:sz w:val="32"/>
          <w:szCs w:val="32"/>
          <w:lang w:val="en-US" w:eastAsia="zh-CN"/>
        </w:rPr>
        <w:t>124.80万元</w:t>
      </w:r>
      <w:r>
        <w:rPr>
          <w:rFonts w:hint="eastAsia" w:ascii="仿宋" w:hAnsi="仿宋" w:eastAsia="仿宋"/>
          <w:color w:val="000000" w:themeColor="text1"/>
          <w:sz w:val="32"/>
          <w:szCs w:val="32"/>
        </w:rPr>
        <w:t>，</w:t>
      </w:r>
      <w:r>
        <w:rPr>
          <w:rStyle w:val="16"/>
          <w:rFonts w:hint="eastAsia" w:ascii="仿宋" w:hAnsi="仿宋" w:eastAsia="仿宋"/>
          <w:bCs/>
          <w:color w:val="000000" w:themeColor="text1"/>
          <w:sz w:val="32"/>
          <w:szCs w:val="32"/>
        </w:rPr>
        <w:t>完成</w:t>
      </w:r>
      <w:r>
        <w:rPr>
          <w:rStyle w:val="16"/>
          <w:rFonts w:hint="eastAsia" w:ascii="仿宋" w:hAnsi="仿宋" w:eastAsia="仿宋"/>
          <w:bCs/>
          <w:color w:val="000000"/>
          <w:sz w:val="32"/>
          <w:szCs w:val="32"/>
        </w:rPr>
        <w:t>预算</w:t>
      </w:r>
      <w:r>
        <w:rPr>
          <w:rStyle w:val="16"/>
          <w:rFonts w:hint="eastAsia" w:ascii="仿宋" w:hAnsi="仿宋" w:eastAsia="仿宋"/>
          <w:bCs/>
          <w:color w:val="000000"/>
          <w:sz w:val="32"/>
          <w:szCs w:val="32"/>
          <w:lang w:val="en-US" w:eastAsia="zh-CN"/>
        </w:rPr>
        <w:t>100</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。其中：</w:t>
      </w:r>
      <w:bookmarkEnd w:id="37"/>
      <w:bookmarkEnd w:id="38"/>
      <w:bookmarkEnd w:id="39"/>
    </w:p>
    <w:p>
      <w:pPr>
        <w:numPr>
          <w:ilvl w:val="0"/>
          <w:numId w:val="2"/>
        </w:numPr>
        <w:spacing w:line="600" w:lineRule="exact"/>
        <w:ind w:firstLine="643" w:firstLineChars="200"/>
        <w:rPr>
          <w:rFonts w:ascii="仿宋" w:hAnsi="仿宋" w:eastAsia="仿宋"/>
          <w:b/>
          <w:color w:val="000000"/>
          <w:sz w:val="32"/>
          <w:szCs w:val="32"/>
        </w:rPr>
      </w:pPr>
      <w:r>
        <w:rPr>
          <w:rStyle w:val="16"/>
          <w:rFonts w:hint="eastAsia" w:ascii="仿宋" w:hAnsi="仿宋" w:eastAsia="仿宋"/>
          <w:bCs/>
          <w:color w:val="000000"/>
          <w:sz w:val="32"/>
          <w:szCs w:val="32"/>
        </w:rPr>
        <w:t>一般公共服务（类）</w:t>
      </w:r>
      <w:r>
        <w:rPr>
          <w:rStyle w:val="16"/>
          <w:rFonts w:hint="eastAsia" w:ascii="仿宋" w:hAnsi="仿宋" w:eastAsia="仿宋"/>
          <w:bCs/>
          <w:color w:val="000000"/>
          <w:sz w:val="32"/>
          <w:szCs w:val="32"/>
          <w:lang w:val="en-US" w:eastAsia="zh-CN"/>
        </w:rPr>
        <w:t>201</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03</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107.66</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w:t>
      </w:r>
    </w:p>
    <w:p>
      <w:pPr>
        <w:spacing w:line="600" w:lineRule="exact"/>
        <w:ind w:firstLine="643" w:firstLineChars="200"/>
        <w:rPr>
          <w:rFonts w:ascii="仿宋" w:hAnsi="仿宋" w:eastAsia="仿宋"/>
          <w:b/>
          <w:color w:val="000000"/>
          <w:sz w:val="32"/>
          <w:szCs w:val="32"/>
        </w:rPr>
      </w:pPr>
      <w:r>
        <w:rPr>
          <w:rStyle w:val="16"/>
          <w:rFonts w:hint="eastAsia" w:ascii="仿宋" w:hAnsi="仿宋" w:eastAsia="仿宋"/>
          <w:bCs/>
          <w:color w:val="000000"/>
          <w:sz w:val="32"/>
          <w:szCs w:val="32"/>
          <w:lang w:val="en-US" w:eastAsia="zh-CN"/>
        </w:rPr>
        <w:t>2</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社会保障和就业（类）</w:t>
      </w:r>
      <w:r>
        <w:rPr>
          <w:rStyle w:val="16"/>
          <w:rFonts w:hint="eastAsia" w:ascii="仿宋" w:hAnsi="仿宋" w:eastAsia="仿宋"/>
          <w:bCs/>
          <w:color w:val="000000"/>
          <w:sz w:val="32"/>
          <w:szCs w:val="32"/>
          <w:lang w:val="en-US" w:eastAsia="zh-CN"/>
        </w:rPr>
        <w:t>208</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05</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9.55</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3</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医疗卫生与计划生育（类）</w:t>
      </w:r>
      <w:r>
        <w:rPr>
          <w:rStyle w:val="16"/>
          <w:rFonts w:hint="eastAsia" w:ascii="仿宋" w:hAnsi="仿宋" w:eastAsia="仿宋"/>
          <w:bCs/>
          <w:color w:val="000000"/>
          <w:sz w:val="32"/>
          <w:szCs w:val="32"/>
          <w:lang w:val="en-US" w:eastAsia="zh-CN"/>
        </w:rPr>
        <w:t>210</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11</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2.81</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Style w:val="16"/>
          <w:rFonts w:hint="eastAsia" w:ascii="仿宋" w:hAnsi="仿宋" w:eastAsia="仿宋"/>
          <w:bCs/>
          <w:color w:val="000000"/>
          <w:sz w:val="32"/>
          <w:szCs w:val="32"/>
          <w:lang w:val="en-US" w:eastAsia="zh-CN"/>
        </w:rPr>
        <w:t>4</w:t>
      </w:r>
      <w:r>
        <w:rPr>
          <w:rStyle w:val="16"/>
          <w:rFonts w:ascii="仿宋" w:hAnsi="仿宋" w:eastAsia="仿宋"/>
          <w:bCs/>
          <w:color w:val="000000"/>
          <w:sz w:val="32"/>
          <w:szCs w:val="32"/>
        </w:rPr>
        <w:t>.</w:t>
      </w:r>
      <w:r>
        <w:rPr>
          <w:rStyle w:val="16"/>
          <w:rFonts w:hint="eastAsia" w:ascii="仿宋" w:hAnsi="仿宋" w:eastAsia="仿宋"/>
          <w:bCs/>
          <w:color w:val="000000"/>
          <w:sz w:val="32"/>
          <w:szCs w:val="32"/>
          <w:lang w:eastAsia="zh-CN"/>
        </w:rPr>
        <w:t>住房保障支出</w:t>
      </w:r>
      <w:r>
        <w:rPr>
          <w:rStyle w:val="16"/>
          <w:rFonts w:hint="eastAsia" w:ascii="仿宋" w:hAnsi="仿宋" w:eastAsia="仿宋"/>
          <w:bCs/>
          <w:color w:val="000000"/>
          <w:sz w:val="32"/>
          <w:szCs w:val="32"/>
        </w:rPr>
        <w:t>（类）</w:t>
      </w:r>
      <w:r>
        <w:rPr>
          <w:rStyle w:val="16"/>
          <w:rFonts w:hint="eastAsia" w:ascii="仿宋" w:hAnsi="仿宋" w:eastAsia="仿宋"/>
          <w:bCs/>
          <w:color w:val="000000"/>
          <w:sz w:val="32"/>
          <w:szCs w:val="32"/>
          <w:lang w:val="en-US" w:eastAsia="zh-CN"/>
        </w:rPr>
        <w:t>221</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02</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4.67</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tabs>
          <w:tab w:val="right" w:pos="8306"/>
        </w:tabs>
        <w:spacing w:line="600" w:lineRule="exact"/>
        <w:ind w:firstLine="640"/>
        <w:outlineLvl w:val="1"/>
        <w:rPr>
          <w:rStyle w:val="27"/>
        </w:rPr>
      </w:pPr>
      <w:bookmarkStart w:id="40" w:name="_Toc15377214"/>
      <w:bookmarkStart w:id="41"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7"/>
          <w:rFonts w:hint="eastAsia" w:ascii="黑体" w:hAnsi="黑体" w:eastAsia="黑体"/>
          <w:b w:val="0"/>
        </w:rPr>
        <w:t>般公共预算财政拨款基本支出决算情况说明</w:t>
      </w:r>
      <w:bookmarkEnd w:id="40"/>
      <w:bookmarkEnd w:id="41"/>
      <w:r>
        <w:rPr>
          <w:rStyle w:val="27"/>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hint="eastAsia" w:ascii="仿宋" w:hAnsi="仿宋" w:eastAsia="仿宋"/>
          <w:color w:val="000000"/>
          <w:sz w:val="32"/>
          <w:szCs w:val="32"/>
          <w:lang w:val="en-US" w:eastAsia="zh-CN"/>
        </w:rPr>
        <w:t>106.83</w:t>
      </w:r>
      <w:r>
        <w:rPr>
          <w:rFonts w:hint="eastAsia" w:ascii="仿宋" w:hAnsi="仿宋" w:eastAsia="仿宋"/>
          <w:color w:val="000000"/>
          <w:sz w:val="32"/>
          <w:szCs w:val="32"/>
        </w:rPr>
        <w:t>万元，其中：</w:t>
      </w:r>
    </w:p>
    <w:p>
      <w:pPr>
        <w:spacing w:line="600" w:lineRule="exact"/>
        <w:ind w:firstLine="645"/>
        <w:rPr>
          <w:rFonts w:ascii="仿宋" w:hAnsi="仿宋" w:eastAsia="仿宋"/>
          <w:b/>
          <w:color w:val="FF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65.40</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11.47万元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14.54万元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9.04万元</w:t>
      </w:r>
      <w:r>
        <w:rPr>
          <w:rFonts w:hint="eastAsia" w:ascii="仿宋" w:hAnsi="仿宋" w:eastAsia="仿宋"/>
          <w:color w:val="000000"/>
          <w:sz w:val="32"/>
          <w:szCs w:val="32"/>
        </w:rPr>
        <w:t>、绩效工资</w:t>
      </w:r>
      <w:r>
        <w:rPr>
          <w:rFonts w:hint="eastAsia" w:ascii="仿宋" w:hAnsi="仿宋" w:eastAsia="仿宋"/>
          <w:color w:val="000000"/>
          <w:sz w:val="32"/>
          <w:szCs w:val="32"/>
          <w:lang w:val="en-US" w:eastAsia="zh-CN"/>
        </w:rPr>
        <w:t>12.23万元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6.82万元</w:t>
      </w:r>
      <w:r>
        <w:rPr>
          <w:rFonts w:hint="eastAsia" w:ascii="仿宋" w:hAnsi="仿宋" w:eastAsia="仿宋"/>
          <w:color w:val="000000"/>
          <w:sz w:val="32"/>
          <w:szCs w:val="32"/>
        </w:rPr>
        <w:t>、职业年金缴费</w:t>
      </w:r>
      <w:r>
        <w:rPr>
          <w:rFonts w:hint="eastAsia" w:ascii="仿宋" w:hAnsi="仿宋" w:eastAsia="仿宋"/>
          <w:color w:val="000000"/>
          <w:sz w:val="32"/>
          <w:szCs w:val="32"/>
          <w:lang w:val="en-US" w:eastAsia="zh-CN"/>
        </w:rPr>
        <w:t>2.73万元</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0.72万元</w:t>
      </w:r>
      <w:r>
        <w:rPr>
          <w:rFonts w:hint="eastAsia" w:ascii="仿宋" w:hAnsi="仿宋" w:eastAsia="仿宋"/>
          <w:color w:val="000000"/>
          <w:sz w:val="32"/>
          <w:szCs w:val="32"/>
        </w:rPr>
        <w:t>、医疗费</w:t>
      </w:r>
      <w:r>
        <w:rPr>
          <w:rFonts w:hint="eastAsia" w:ascii="仿宋" w:hAnsi="仿宋" w:eastAsia="仿宋"/>
          <w:color w:val="000000"/>
          <w:sz w:val="32"/>
          <w:szCs w:val="32"/>
          <w:lang w:val="en-US" w:eastAsia="zh-CN"/>
        </w:rPr>
        <w:t>0.93万元</w:t>
      </w:r>
      <w:r>
        <w:rPr>
          <w:rFonts w:hint="eastAsia" w:ascii="仿宋" w:hAnsi="仿宋" w:eastAsia="仿宋"/>
          <w:color w:val="000000"/>
          <w:sz w:val="32"/>
          <w:szCs w:val="32"/>
        </w:rPr>
        <w:t>、住房公积金</w:t>
      </w:r>
      <w:r>
        <w:rPr>
          <w:rFonts w:hint="eastAsia" w:ascii="仿宋" w:hAnsi="仿宋" w:eastAsia="仿宋"/>
          <w:color w:val="000000"/>
          <w:sz w:val="32"/>
          <w:szCs w:val="32"/>
          <w:lang w:val="en-US" w:eastAsia="zh-CN"/>
        </w:rPr>
        <w:t>4.67万元</w:t>
      </w:r>
      <w:r>
        <w:rPr>
          <w:rFonts w:hint="eastAsia" w:ascii="仿宋" w:hAnsi="仿宋" w:eastAsia="仿宋"/>
          <w:color w:val="000000"/>
          <w:sz w:val="32"/>
          <w:szCs w:val="32"/>
        </w:rPr>
        <w:t>。</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hint="eastAsia" w:ascii="仿宋" w:hAnsi="仿宋" w:eastAsia="仿宋"/>
          <w:color w:val="000000"/>
          <w:sz w:val="32"/>
          <w:szCs w:val="32"/>
          <w:lang w:val="en-US" w:eastAsia="zh-CN"/>
        </w:rPr>
        <w:t>41.44</w:t>
      </w:r>
      <w:r>
        <w:rPr>
          <w:rFonts w:hint="eastAsia" w:ascii="仿宋" w:hAnsi="仿宋" w:eastAsia="仿宋"/>
          <w:color w:val="000000"/>
          <w:sz w:val="32"/>
          <w:szCs w:val="32"/>
        </w:rPr>
        <w:t>万元，主要包括：办公费</w:t>
      </w:r>
      <w:r>
        <w:rPr>
          <w:rFonts w:hint="eastAsia" w:ascii="仿宋" w:hAnsi="仿宋" w:eastAsia="仿宋"/>
          <w:color w:val="000000"/>
          <w:sz w:val="32"/>
          <w:szCs w:val="32"/>
          <w:lang w:val="en-US" w:eastAsia="zh-CN"/>
        </w:rPr>
        <w:t>1.96万元</w:t>
      </w:r>
      <w:r>
        <w:rPr>
          <w:rFonts w:hint="eastAsia" w:ascii="仿宋" w:hAnsi="仿宋" w:eastAsia="仿宋"/>
          <w:color w:val="000000"/>
          <w:sz w:val="32"/>
          <w:szCs w:val="32"/>
        </w:rPr>
        <w:t>、印刷费</w:t>
      </w:r>
      <w:r>
        <w:rPr>
          <w:rFonts w:hint="eastAsia" w:ascii="仿宋" w:hAnsi="仿宋" w:eastAsia="仿宋"/>
          <w:color w:val="000000"/>
          <w:sz w:val="32"/>
          <w:szCs w:val="32"/>
          <w:lang w:val="en-US" w:eastAsia="zh-CN"/>
        </w:rPr>
        <w:t>0.58万元</w:t>
      </w:r>
      <w:r>
        <w:rPr>
          <w:rFonts w:hint="eastAsia" w:ascii="仿宋" w:hAnsi="仿宋" w:eastAsia="仿宋"/>
          <w:color w:val="000000"/>
          <w:sz w:val="32"/>
          <w:szCs w:val="32"/>
        </w:rPr>
        <w:t>、手续费</w:t>
      </w:r>
      <w:r>
        <w:rPr>
          <w:rFonts w:hint="eastAsia" w:ascii="仿宋" w:hAnsi="仿宋" w:eastAsia="仿宋"/>
          <w:color w:val="000000"/>
          <w:sz w:val="32"/>
          <w:szCs w:val="32"/>
          <w:lang w:val="en-US" w:eastAsia="zh-CN"/>
        </w:rPr>
        <w:t>0.05万元</w:t>
      </w:r>
      <w:r>
        <w:rPr>
          <w:rFonts w:hint="eastAsia" w:ascii="仿宋" w:hAnsi="仿宋" w:eastAsia="仿宋"/>
          <w:color w:val="000000"/>
          <w:sz w:val="32"/>
          <w:szCs w:val="32"/>
        </w:rPr>
        <w:t>、水费</w:t>
      </w:r>
      <w:r>
        <w:rPr>
          <w:rFonts w:hint="eastAsia" w:ascii="仿宋" w:hAnsi="仿宋" w:eastAsia="仿宋"/>
          <w:color w:val="000000"/>
          <w:sz w:val="32"/>
          <w:szCs w:val="32"/>
          <w:lang w:val="en-US" w:eastAsia="zh-CN"/>
        </w:rPr>
        <w:t>0.1万元</w:t>
      </w:r>
      <w:r>
        <w:rPr>
          <w:rFonts w:hint="eastAsia" w:ascii="仿宋" w:hAnsi="仿宋" w:eastAsia="仿宋"/>
          <w:color w:val="000000"/>
          <w:sz w:val="32"/>
          <w:szCs w:val="32"/>
        </w:rPr>
        <w:t>、电费</w:t>
      </w:r>
      <w:r>
        <w:rPr>
          <w:rFonts w:hint="eastAsia" w:ascii="仿宋" w:hAnsi="仿宋" w:eastAsia="仿宋"/>
          <w:color w:val="000000"/>
          <w:sz w:val="32"/>
          <w:szCs w:val="32"/>
          <w:lang w:val="en-US" w:eastAsia="zh-CN"/>
        </w:rPr>
        <w:t>3.1万元</w:t>
      </w:r>
      <w:r>
        <w:rPr>
          <w:rFonts w:hint="eastAsia" w:ascii="仿宋" w:hAnsi="仿宋" w:eastAsia="仿宋"/>
          <w:color w:val="000000"/>
          <w:sz w:val="32"/>
          <w:szCs w:val="32"/>
        </w:rPr>
        <w:t>、邮电费</w:t>
      </w:r>
      <w:r>
        <w:rPr>
          <w:rFonts w:hint="eastAsia" w:ascii="仿宋" w:hAnsi="仿宋" w:eastAsia="仿宋"/>
          <w:color w:val="000000"/>
          <w:sz w:val="32"/>
          <w:szCs w:val="32"/>
          <w:lang w:val="en-US" w:eastAsia="zh-CN"/>
        </w:rPr>
        <w:t>4.1万元</w:t>
      </w:r>
      <w:r>
        <w:rPr>
          <w:rFonts w:hint="eastAsia" w:ascii="仿宋" w:hAnsi="仿宋" w:eastAsia="仿宋"/>
          <w:color w:val="000000"/>
          <w:sz w:val="32"/>
          <w:szCs w:val="32"/>
        </w:rPr>
        <w:t>、差旅费</w:t>
      </w:r>
      <w:r>
        <w:rPr>
          <w:rFonts w:hint="eastAsia" w:ascii="仿宋" w:hAnsi="仿宋" w:eastAsia="仿宋"/>
          <w:color w:val="000000"/>
          <w:sz w:val="32"/>
          <w:szCs w:val="32"/>
          <w:lang w:val="en-US" w:eastAsia="zh-CN"/>
        </w:rPr>
        <w:t>0.92万元</w:t>
      </w:r>
      <w:r>
        <w:rPr>
          <w:rFonts w:hint="eastAsia" w:ascii="仿宋" w:hAnsi="仿宋" w:eastAsia="仿宋"/>
          <w:color w:val="000000"/>
          <w:sz w:val="32"/>
          <w:szCs w:val="32"/>
        </w:rPr>
        <w:t>、维修（护）费</w:t>
      </w:r>
      <w:r>
        <w:rPr>
          <w:rFonts w:hint="eastAsia" w:ascii="仿宋" w:hAnsi="仿宋" w:eastAsia="仿宋"/>
          <w:color w:val="000000"/>
          <w:sz w:val="32"/>
          <w:szCs w:val="32"/>
          <w:lang w:val="en-US" w:eastAsia="zh-CN"/>
        </w:rPr>
        <w:t>2.63万元</w:t>
      </w:r>
      <w:r>
        <w:rPr>
          <w:rFonts w:hint="eastAsia" w:ascii="仿宋" w:hAnsi="仿宋" w:eastAsia="仿宋"/>
          <w:color w:val="000000"/>
          <w:sz w:val="32"/>
          <w:szCs w:val="32"/>
        </w:rPr>
        <w:t>、公务接待费</w:t>
      </w:r>
      <w:r>
        <w:rPr>
          <w:rFonts w:hint="eastAsia" w:ascii="仿宋" w:hAnsi="仿宋" w:eastAsia="仿宋"/>
          <w:color w:val="000000"/>
          <w:sz w:val="32"/>
          <w:szCs w:val="32"/>
          <w:lang w:val="en-US" w:eastAsia="zh-CN"/>
        </w:rPr>
        <w:t>0.03万元</w:t>
      </w:r>
      <w:r>
        <w:rPr>
          <w:rFonts w:hint="eastAsia" w:ascii="仿宋" w:hAnsi="仿宋" w:eastAsia="仿宋"/>
          <w:color w:val="000000"/>
          <w:sz w:val="32"/>
          <w:szCs w:val="32"/>
        </w:rPr>
        <w:t>、劳务费</w:t>
      </w:r>
      <w:r>
        <w:rPr>
          <w:rFonts w:hint="eastAsia" w:ascii="仿宋" w:hAnsi="仿宋" w:eastAsia="仿宋"/>
          <w:color w:val="000000"/>
          <w:sz w:val="32"/>
          <w:szCs w:val="32"/>
          <w:lang w:val="en-US" w:eastAsia="zh-CN"/>
        </w:rPr>
        <w:t>27.98万元</w:t>
      </w:r>
      <w:r>
        <w:rPr>
          <w:rFonts w:hint="eastAsia" w:ascii="仿宋" w:hAnsi="仿宋" w:eastAsia="仿宋"/>
          <w:color w:val="000000"/>
          <w:sz w:val="32"/>
          <w:szCs w:val="32"/>
        </w:rPr>
        <w:t>等。</w:t>
      </w:r>
    </w:p>
    <w:p>
      <w:pPr>
        <w:spacing w:line="600" w:lineRule="exact"/>
        <w:ind w:firstLine="640"/>
        <w:outlineLvl w:val="1"/>
        <w:rPr>
          <w:rStyle w:val="27"/>
          <w:rFonts w:ascii="黑体" w:hAnsi="黑体" w:eastAsia="黑体"/>
          <w:b w:val="0"/>
        </w:rPr>
      </w:pPr>
      <w:bookmarkStart w:id="42" w:name="_Toc15377215"/>
      <w:bookmarkStart w:id="43" w:name="_Toc15396609"/>
      <w:r>
        <w:rPr>
          <w:rFonts w:hint="eastAsia" w:ascii="黑体" w:eastAsia="黑体"/>
          <w:color w:val="000000"/>
          <w:sz w:val="32"/>
          <w:szCs w:val="32"/>
        </w:rPr>
        <w:t>七、</w:t>
      </w:r>
      <w:r>
        <w:rPr>
          <w:rStyle w:val="27"/>
          <w:rFonts w:hint="eastAsia" w:ascii="黑体" w:hAnsi="黑体" w:eastAsia="黑体"/>
        </w:rPr>
        <w:t>“</w:t>
      </w:r>
      <w:r>
        <w:rPr>
          <w:rStyle w:val="27"/>
          <w:rFonts w:hint="eastAsia" w:ascii="黑体" w:hAnsi="黑体" w:eastAsia="黑体"/>
          <w:b w:val="0"/>
        </w:rPr>
        <w:t>三公”经费财政拨款支出决算情况说明</w:t>
      </w:r>
      <w:bookmarkEnd w:id="42"/>
      <w:bookmarkEnd w:id="43"/>
    </w:p>
    <w:p>
      <w:pPr>
        <w:spacing w:line="600" w:lineRule="exact"/>
        <w:ind w:firstLine="640"/>
        <w:outlineLvl w:val="2"/>
        <w:rPr>
          <w:rFonts w:ascii="仿宋" w:hAnsi="仿宋" w:eastAsia="仿宋"/>
          <w:b/>
          <w:color w:val="000000"/>
          <w:sz w:val="32"/>
          <w:szCs w:val="32"/>
        </w:rPr>
      </w:pPr>
      <w:bookmarkStart w:id="44" w:name="_Toc15377216"/>
      <w:r>
        <w:rPr>
          <w:rFonts w:hint="eastAsia" w:ascii="仿宋" w:hAnsi="仿宋" w:eastAsia="仿宋"/>
          <w:b/>
          <w:color w:val="000000"/>
          <w:sz w:val="32"/>
          <w:szCs w:val="32"/>
        </w:rPr>
        <w:t>（一）“三公”经费财政拨款支出决算总体情况说明</w:t>
      </w:r>
      <w:bookmarkEnd w:id="44"/>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0.03</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outlineLvl w:val="2"/>
        <w:rPr>
          <w:rFonts w:ascii="仿宋" w:hAnsi="仿宋" w:eastAsia="仿宋"/>
          <w:b/>
          <w:color w:val="000000"/>
          <w:sz w:val="32"/>
          <w:szCs w:val="32"/>
        </w:rPr>
      </w:pPr>
      <w:bookmarkStart w:id="45" w:name="_Toc15377217"/>
      <w:r>
        <w:rPr>
          <w:rFonts w:hint="eastAsia" w:ascii="仿宋" w:hAnsi="仿宋" w:eastAsia="仿宋"/>
          <w:b/>
          <w:color w:val="000000"/>
          <w:sz w:val="32"/>
          <w:szCs w:val="32"/>
        </w:rPr>
        <w:t>（二）“三公”经费财政拨款支出决算具体情况说明</w:t>
      </w:r>
      <w:bookmarkEnd w:id="45"/>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0.03</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rPr>
        <w:t>（图</w:t>
      </w:r>
      <w:r>
        <w:rPr>
          <w:rFonts w:hint="eastAsia" w:ascii="仿宋" w:hAnsi="仿宋" w:eastAsia="仿宋"/>
          <w:color w:val="000000"/>
          <w:sz w:val="32"/>
          <w:szCs w:val="32"/>
          <w:lang w:val="en-US" w:eastAsia="zh-CN"/>
        </w:rPr>
        <w:t>7</w:t>
      </w:r>
      <w:r>
        <w:rPr>
          <w:rFonts w:hint="eastAsia" w:ascii="仿宋" w:hAnsi="仿宋" w:eastAsia="仿宋"/>
          <w:color w:val="000000"/>
          <w:sz w:val="32"/>
          <w:szCs w:val="32"/>
        </w:rPr>
        <w:t>：“三公”经费财政拨款支出结构）（饼状图）</w:t>
      </w: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63360" behindDoc="0" locked="0" layoutInCell="1" allowOverlap="1">
            <wp:simplePos x="0" y="0"/>
            <wp:positionH relativeFrom="column">
              <wp:posOffset>404495</wp:posOffset>
            </wp:positionH>
            <wp:positionV relativeFrom="paragraph">
              <wp:posOffset>360045</wp:posOffset>
            </wp:positionV>
            <wp:extent cx="5080000" cy="2202815"/>
            <wp:effectExtent l="4445" t="4445" r="20955" b="21590"/>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lang w:eastAsia="zh-CN"/>
        </w:rPr>
      </w:pPr>
    </w:p>
    <w:p>
      <w:pPr>
        <w:numPr>
          <w:ilvl w:val="0"/>
          <w:numId w:val="3"/>
        </w:numPr>
        <w:spacing w:line="600" w:lineRule="exact"/>
        <w:ind w:firstLine="640"/>
        <w:rPr>
          <w:rFonts w:ascii="仿宋_GB2312" w:eastAsia="仿宋_GB2312"/>
          <w:b/>
          <w:color w:val="000000"/>
          <w:sz w:val="32"/>
          <w:szCs w:val="32"/>
        </w:rPr>
      </w:pP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w:t>
      </w:r>
      <w:r>
        <w:rPr>
          <w:rFonts w:hint="eastAsia" w:ascii="仿宋_GB2312" w:eastAsia="仿宋_GB2312"/>
          <w:color w:val="000000"/>
          <w:sz w:val="32"/>
          <w:szCs w:val="32"/>
          <w:lang w:eastAsia="zh-CN"/>
        </w:rPr>
        <w:t>，与上年持平。</w:t>
      </w:r>
    </w:p>
    <w:p>
      <w:pPr>
        <w:numPr>
          <w:ilvl w:val="0"/>
          <w:numId w:val="0"/>
        </w:numPr>
        <w:spacing w:line="600" w:lineRule="exact"/>
        <w:ind w:firstLine="643" w:firstLineChars="20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万元，越野车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万元，载客汽车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辆、越野车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辆、载客汽车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p>
    <w:p>
      <w:pPr>
        <w:spacing w:line="600" w:lineRule="exact"/>
        <w:ind w:firstLine="640"/>
        <w:rPr>
          <w:rFonts w:hint="eastAsia"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keepNext w:val="0"/>
        <w:keepLines w:val="0"/>
        <w:pageBreakBefore w:val="0"/>
        <w:kinsoku/>
        <w:wordWrap/>
        <w:overflowPunct/>
        <w:topLinePunct w:val="0"/>
        <w:autoSpaceDE/>
        <w:autoSpaceDN/>
        <w:bidi w:val="0"/>
        <w:snapToGrid w:val="0"/>
        <w:spacing w:beforeAutospacing="0" w:afterAutospacing="0" w:line="560" w:lineRule="exact"/>
        <w:ind w:firstLine="643" w:firstLineChars="200"/>
        <w:textAlignment w:val="auto"/>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0.03</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0.03</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100</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hAnsi="仿宋" w:eastAsia="仿宋_GB2312"/>
          <w:sz w:val="32"/>
          <w:szCs w:val="32"/>
          <w:lang w:eastAsia="zh-CN"/>
        </w:rPr>
        <w:t>接待茂县联动中心工作人员</w:t>
      </w:r>
      <w:r>
        <w:rPr>
          <w:rFonts w:hint="eastAsia" w:ascii="仿宋_GB2312" w:hAnsi="仿宋" w:eastAsia="仿宋_GB2312"/>
          <w:sz w:val="32"/>
          <w:szCs w:val="32"/>
          <w:lang w:val="en-US" w:eastAsia="zh-CN"/>
        </w:rPr>
        <w:t>2人，住宿费260元，人均130元。</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人次，共计支出</w:t>
      </w:r>
      <w:r>
        <w:rPr>
          <w:rFonts w:hint="eastAsia" w:ascii="仿宋_GB2312" w:eastAsia="仿宋_GB2312"/>
          <w:color w:val="000000"/>
          <w:sz w:val="32"/>
          <w:szCs w:val="32"/>
          <w:lang w:val="en-US" w:eastAsia="zh-CN"/>
        </w:rPr>
        <w:t>0.03</w:t>
      </w:r>
      <w:r>
        <w:rPr>
          <w:rFonts w:hint="eastAsia" w:ascii="仿宋_GB2312" w:eastAsia="仿宋_GB2312"/>
          <w:color w:val="000000"/>
          <w:sz w:val="32"/>
          <w:szCs w:val="32"/>
        </w:rPr>
        <w:t>万元，具体内容包括：</w:t>
      </w:r>
      <w:r>
        <w:rPr>
          <w:rFonts w:hint="eastAsia" w:ascii="仿宋_GB2312" w:hAnsi="仿宋" w:eastAsia="仿宋_GB2312"/>
          <w:sz w:val="32"/>
          <w:szCs w:val="32"/>
          <w:lang w:eastAsia="zh-CN"/>
        </w:rPr>
        <w:t>接待茂县联动中心工作人员</w:t>
      </w:r>
      <w:r>
        <w:rPr>
          <w:rFonts w:hint="eastAsia" w:ascii="仿宋_GB2312" w:hAnsi="仿宋" w:eastAsia="仿宋_GB2312"/>
          <w:sz w:val="32"/>
          <w:szCs w:val="32"/>
          <w:lang w:val="en-US" w:eastAsia="zh-CN"/>
        </w:rPr>
        <w:t>2人，住宿费260元，人均130元</w:t>
      </w:r>
      <w:r>
        <w:rPr>
          <w:rFonts w:hint="eastAsia" w:ascii="仿宋_GB2312" w:eastAsia="仿宋_GB2312"/>
          <w:color w:val="000000"/>
          <w:sz w:val="32"/>
          <w:szCs w:val="32"/>
        </w:rPr>
        <w:t>。其中：</w:t>
      </w:r>
    </w:p>
    <w:p>
      <w:pPr>
        <w:spacing w:line="600" w:lineRule="exact"/>
        <w:ind w:firstLine="643" w:firstLineChars="200"/>
        <w:rPr>
          <w:rFonts w:hint="eastAsia" w:ascii="仿宋_GB2312" w:eastAsia="仿宋_GB2312"/>
          <w:color w:val="000000" w:themeColor="text1"/>
          <w:sz w:val="32"/>
          <w:szCs w:val="32"/>
          <w:lang w:eastAsia="zh-CN"/>
        </w:rPr>
      </w:pPr>
      <w:r>
        <w:rPr>
          <w:rFonts w:hint="eastAsia" w:ascii="仿宋" w:hAnsi="仿宋" w:eastAsia="仿宋"/>
          <w:b/>
          <w:color w:val="000000"/>
          <w:sz w:val="32"/>
          <w:szCs w:val="32"/>
        </w:rPr>
        <w:t>外事接待支出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themeColor="text1"/>
          <w:sz w:val="32"/>
          <w:szCs w:val="32"/>
        </w:rPr>
        <w:t>，外事接待</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批次，</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人，共计支出</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万元</w:t>
      </w:r>
      <w:r>
        <w:rPr>
          <w:rFonts w:hint="eastAsia" w:ascii="仿宋_GB2312" w:eastAsia="仿宋_GB2312"/>
          <w:color w:val="000000" w:themeColor="text1"/>
          <w:sz w:val="32"/>
          <w:szCs w:val="32"/>
          <w:lang w:eastAsia="zh-CN"/>
        </w:rPr>
        <w:t>。</w:t>
      </w:r>
    </w:p>
    <w:p>
      <w:pPr>
        <w:spacing w:line="600" w:lineRule="exact"/>
        <w:ind w:firstLine="640"/>
        <w:rPr>
          <w:rFonts w:ascii="黑体" w:eastAsia="黑体"/>
          <w:color w:val="000000"/>
          <w:sz w:val="32"/>
          <w:szCs w:val="32"/>
        </w:rPr>
      </w:pPr>
      <w:r>
        <w:rPr>
          <w:rFonts w:hint="eastAsia" w:ascii="仿宋" w:hAnsi="仿宋" w:eastAsia="仿宋"/>
          <w:b/>
          <w:color w:val="000000"/>
          <w:sz w:val="32"/>
          <w:szCs w:val="32"/>
        </w:rPr>
        <w:t>其他国内公务接待支出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bookmarkStart w:id="46" w:name="_Toc15396610"/>
      <w:bookmarkStart w:id="47" w:name="_Toc15377218"/>
    </w:p>
    <w:p>
      <w:pPr>
        <w:spacing w:line="600" w:lineRule="exact"/>
        <w:ind w:firstLine="640"/>
        <w:outlineLvl w:val="1"/>
        <w:rPr>
          <w:rStyle w:val="27"/>
          <w:rFonts w:ascii="黑体" w:hAnsi="黑体" w:eastAsia="黑体"/>
        </w:rPr>
      </w:pPr>
      <w:r>
        <w:rPr>
          <w:rFonts w:hint="eastAsia" w:ascii="黑体" w:eastAsia="黑体"/>
          <w:color w:val="000000"/>
          <w:sz w:val="32"/>
          <w:szCs w:val="32"/>
        </w:rPr>
        <w:t>八、</w:t>
      </w:r>
      <w:r>
        <w:rPr>
          <w:rStyle w:val="27"/>
          <w:rFonts w:hint="eastAsia" w:ascii="黑体" w:hAnsi="黑体" w:eastAsia="黑体"/>
          <w:b w:val="0"/>
        </w:rPr>
        <w:t>政府性基金预算支出决算情况说明</w:t>
      </w:r>
      <w:bookmarkEnd w:id="46"/>
      <w:bookmarkEnd w:id="47"/>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numPr>
          <w:ilvl w:val="0"/>
          <w:numId w:val="4"/>
        </w:numPr>
        <w:spacing w:line="600" w:lineRule="exact"/>
        <w:ind w:firstLine="640"/>
        <w:outlineLvl w:val="1"/>
        <w:rPr>
          <w:rStyle w:val="27"/>
          <w:rFonts w:ascii="黑体" w:hAnsi="黑体" w:eastAsia="黑体"/>
          <w:b w:val="0"/>
        </w:rPr>
      </w:pPr>
      <w:bookmarkStart w:id="48" w:name="_Toc15377219"/>
      <w:bookmarkStart w:id="49" w:name="_Toc15396611"/>
      <w:r>
        <w:rPr>
          <w:rStyle w:val="27"/>
          <w:rFonts w:hint="eastAsia" w:ascii="黑体" w:hAnsi="黑体" w:eastAsia="黑体"/>
          <w:b w:val="0"/>
        </w:rPr>
        <w:t>国有资本经营预算支出决算情况说明</w:t>
      </w:r>
      <w:bookmarkEnd w:id="48"/>
      <w:bookmarkEnd w:id="49"/>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Style w:val="25"/>
        <w:numPr>
          <w:ilvl w:val="0"/>
          <w:numId w:val="5"/>
        </w:numPr>
        <w:spacing w:line="580" w:lineRule="exact"/>
        <w:ind w:firstLineChars="0"/>
        <w:rPr>
          <w:rStyle w:val="27"/>
          <w:rFonts w:ascii="黑体" w:hAnsi="黑体" w:eastAsia="黑体"/>
          <w:b w:val="0"/>
        </w:rPr>
      </w:pPr>
      <w:r>
        <w:rPr>
          <w:rStyle w:val="27"/>
          <w:rFonts w:hint="eastAsia" w:ascii="黑体" w:hAnsi="黑体" w:eastAsia="黑体"/>
          <w:b w:val="0"/>
        </w:rPr>
        <w:t>预算绩效情况说明</w:t>
      </w:r>
    </w:p>
    <w:p>
      <w:pPr>
        <w:numPr>
          <w:ilvl w:val="0"/>
          <w:numId w:val="0"/>
        </w:numPr>
        <w:spacing w:line="580" w:lineRule="exact"/>
        <w:ind w:firstLine="964" w:firstLineChars="3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方正小标宋简体" w:hAnsi="方正小标宋简体" w:eastAsia="方正小标宋简体" w:cs="方正小标宋简体"/>
          <w:sz w:val="44"/>
          <w:szCs w:val="44"/>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eastAsia="zh-CN"/>
        </w:rPr>
        <w:t>联动中心</w:t>
      </w:r>
      <w:r>
        <w:rPr>
          <w:rFonts w:hint="eastAsia" w:ascii="仿宋_GB2312" w:hAnsi="仿宋_GB2312" w:eastAsia="仿宋_GB2312" w:cs="仿宋_GB2312"/>
          <w:sz w:val="32"/>
          <w:szCs w:val="32"/>
        </w:rPr>
        <w:t>2018年部门整体支出绩效评价报告》见附件。</w:t>
      </w:r>
    </w:p>
    <w:p>
      <w:pPr>
        <w:spacing w:line="600" w:lineRule="exact"/>
        <w:ind w:firstLine="800" w:firstLineChars="250"/>
        <w:outlineLvl w:val="1"/>
        <w:rPr>
          <w:rStyle w:val="27"/>
          <w:rFonts w:ascii="黑体" w:hAnsi="黑体" w:eastAsia="黑体"/>
        </w:rPr>
      </w:pPr>
      <w:bookmarkStart w:id="50" w:name="_Toc15396612"/>
      <w:bookmarkStart w:id="51" w:name="_Toc15377221"/>
      <w:r>
        <w:rPr>
          <w:rFonts w:hint="eastAsia" w:ascii="黑体" w:hAnsi="黑体" w:eastAsia="黑体"/>
          <w:color w:val="000000"/>
          <w:sz w:val="32"/>
          <w:szCs w:val="32"/>
        </w:rPr>
        <w:t>十</w:t>
      </w:r>
      <w:r>
        <w:rPr>
          <w:rStyle w:val="27"/>
          <w:rFonts w:hint="eastAsia" w:ascii="黑体" w:hAnsi="黑体" w:eastAsia="黑体"/>
        </w:rPr>
        <w:t>一、</w:t>
      </w:r>
      <w:r>
        <w:rPr>
          <w:rStyle w:val="27"/>
          <w:rFonts w:hint="eastAsia" w:ascii="黑体" w:hAnsi="黑体" w:eastAsia="黑体"/>
          <w:b w:val="0"/>
        </w:rPr>
        <w:t>其他重要事项的情况说明</w:t>
      </w:r>
      <w:bookmarkEnd w:id="50"/>
      <w:bookmarkEnd w:id="51"/>
    </w:p>
    <w:p>
      <w:pPr>
        <w:spacing w:line="600" w:lineRule="exact"/>
        <w:ind w:firstLine="643" w:firstLineChars="200"/>
        <w:outlineLvl w:val="2"/>
        <w:rPr>
          <w:rFonts w:ascii="仿宋" w:hAnsi="仿宋" w:eastAsia="仿宋"/>
          <w:color w:val="000000"/>
          <w:sz w:val="32"/>
          <w:szCs w:val="32"/>
        </w:rPr>
      </w:pPr>
      <w:bookmarkStart w:id="52" w:name="_Toc15377222"/>
      <w:r>
        <w:rPr>
          <w:rFonts w:hint="eastAsia" w:ascii="仿宋" w:hAnsi="仿宋" w:eastAsia="仿宋"/>
          <w:b/>
          <w:color w:val="000000"/>
          <w:sz w:val="32"/>
          <w:szCs w:val="32"/>
        </w:rPr>
        <w:t>（一）机关运行经费支出情况</w:t>
      </w:r>
      <w:bookmarkEnd w:id="52"/>
    </w:p>
    <w:p>
      <w:pPr>
        <w:spacing w:line="600" w:lineRule="exact"/>
        <w:ind w:firstLine="640" w:firstLineChars="200"/>
        <w:rPr>
          <w:rFonts w:ascii="仿宋_GB2312" w:eastAsia="仿宋_GB2312"/>
          <w:color w:val="000000" w:themeColor="text1"/>
          <w:sz w:val="32"/>
          <w:szCs w:val="32"/>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联动中心</w:t>
      </w:r>
      <w:r>
        <w:rPr>
          <w:rFonts w:hint="eastAsia" w:ascii="仿宋_GB2312" w:eastAsia="仿宋_GB2312"/>
          <w:color w:val="000000"/>
          <w:sz w:val="32"/>
          <w:szCs w:val="32"/>
        </w:rPr>
        <w:t>运行经费支出</w:t>
      </w:r>
      <w:r>
        <w:rPr>
          <w:rFonts w:hint="eastAsia" w:ascii="仿宋_GB2312" w:eastAsia="仿宋_GB2312"/>
          <w:color w:val="000000"/>
          <w:sz w:val="32"/>
          <w:szCs w:val="32"/>
          <w:lang w:val="en-US" w:eastAsia="zh-CN"/>
        </w:rPr>
        <w:t>0.03</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0.03</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100</w:t>
      </w:r>
      <w:r>
        <w:rPr>
          <w:rFonts w:ascii="仿宋_GB2312" w:eastAsia="仿宋_GB2312"/>
          <w:color w:val="000000"/>
          <w:sz w:val="32"/>
          <w:szCs w:val="32"/>
        </w:rPr>
        <w:t>%</w:t>
      </w:r>
      <w:r>
        <w:rPr>
          <w:rFonts w:hint="eastAsia" w:ascii="仿宋_GB2312" w:eastAsia="仿宋_GB2312"/>
          <w:color w:val="000000"/>
          <w:sz w:val="32"/>
          <w:szCs w:val="32"/>
        </w:rPr>
        <w:t>。</w:t>
      </w:r>
      <w:r>
        <w:rPr>
          <w:rFonts w:hint="eastAsia" w:ascii="仿宋_GB2312" w:eastAsia="仿宋_GB2312"/>
          <w:color w:val="000000" w:themeColor="text1"/>
          <w:sz w:val="32"/>
          <w:szCs w:val="32"/>
        </w:rPr>
        <w:t>主要原因是</w:t>
      </w:r>
      <w:r>
        <w:rPr>
          <w:rFonts w:hint="eastAsia" w:ascii="仿宋_GB2312" w:hAnsi="仿宋" w:eastAsia="仿宋_GB2312"/>
          <w:sz w:val="32"/>
          <w:szCs w:val="32"/>
          <w:lang w:eastAsia="zh-CN"/>
        </w:rPr>
        <w:t>接待茂县联动中心工作人员</w:t>
      </w:r>
      <w:r>
        <w:rPr>
          <w:rFonts w:hint="eastAsia" w:ascii="仿宋_GB2312" w:hAnsi="仿宋" w:eastAsia="仿宋_GB2312"/>
          <w:sz w:val="32"/>
          <w:szCs w:val="32"/>
          <w:lang w:val="en-US" w:eastAsia="zh-CN"/>
        </w:rPr>
        <w:t>2人，住宿费260元，人均130元。</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3" w:name="_Toc15377223"/>
      <w:r>
        <w:rPr>
          <w:rFonts w:hint="eastAsia" w:ascii="仿宋" w:hAnsi="仿宋" w:eastAsia="仿宋"/>
          <w:b/>
          <w:color w:val="000000"/>
          <w:sz w:val="32"/>
          <w:szCs w:val="32"/>
        </w:rPr>
        <w:t>（二）政府采购支出情况</w:t>
      </w:r>
      <w:bookmarkEnd w:id="53"/>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联动中心</w:t>
      </w:r>
      <w:r>
        <w:rPr>
          <w:rFonts w:hint="eastAsia" w:ascii="仿宋_GB2312" w:eastAsia="仿宋_GB2312"/>
          <w:color w:val="000000"/>
          <w:sz w:val="32"/>
          <w:szCs w:val="32"/>
        </w:rPr>
        <w:t>采购支出总额</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万元，其中：政府采购货物支出</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万元、政府采购工程支出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万元、政府采购服务支出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采购网格员手机，用于网格化工作开展。</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4" w:name="_Toc15377224"/>
      <w:r>
        <w:rPr>
          <w:rFonts w:hint="eastAsia" w:ascii="仿宋" w:hAnsi="仿宋" w:eastAsia="仿宋"/>
          <w:b/>
          <w:color w:val="000000"/>
          <w:sz w:val="32"/>
          <w:szCs w:val="32"/>
        </w:rPr>
        <w:t>（三）国有资产占有使用情况</w:t>
      </w:r>
      <w:bookmarkEnd w:id="54"/>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联动中心</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辆，其中：部级领导干部用车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辆、一般执法执勤用车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辆、特种专业技术用车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p>
    <w:p>
      <w:pPr>
        <w:spacing w:line="600" w:lineRule="atLeast"/>
        <w:ind w:firstLine="643" w:firstLineChars="200"/>
        <w:rPr>
          <w:rFonts w:ascii="仿宋_GB2312" w:eastAsia="仿宋_GB2312"/>
          <w:b/>
          <w:color w:val="000000"/>
          <w:sz w:val="32"/>
          <w:szCs w:val="32"/>
        </w:rPr>
      </w:pP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6"/>
        </w:numPr>
        <w:spacing w:line="600" w:lineRule="exact"/>
        <w:ind w:firstLine="663" w:firstLineChars="150"/>
        <w:jc w:val="center"/>
        <w:outlineLvl w:val="0"/>
        <w:rPr>
          <w:rStyle w:val="26"/>
          <w:rFonts w:ascii="黑体" w:hAnsi="黑体" w:eastAsia="黑体"/>
          <w:b w:val="0"/>
        </w:rPr>
      </w:pPr>
      <w:bookmarkStart w:id="55" w:name="_Toc15377225"/>
      <w:bookmarkStart w:id="56" w:name="_Toc15396613"/>
      <w:r>
        <w:rPr>
          <w:rFonts w:hint="eastAsia" w:ascii="黑体" w:hAnsi="黑体" w:eastAsia="黑体"/>
          <w:b/>
          <w:color w:val="000000"/>
          <w:sz w:val="44"/>
          <w:szCs w:val="44"/>
        </w:rPr>
        <w:t>名</w:t>
      </w:r>
      <w:r>
        <w:rPr>
          <w:rStyle w:val="26"/>
          <w:rFonts w:hint="eastAsia" w:ascii="黑体" w:hAnsi="黑体" w:eastAsia="黑体"/>
          <w:b w:val="0"/>
        </w:rPr>
        <w:t>词解释</w:t>
      </w:r>
      <w:bookmarkEnd w:id="55"/>
      <w:bookmarkEnd w:id="56"/>
    </w:p>
    <w:p>
      <w:pPr>
        <w:spacing w:line="600" w:lineRule="exact"/>
        <w:jc w:val="left"/>
        <w:rPr>
          <w:rFonts w:ascii="宋体"/>
          <w:b/>
          <w:color w:val="000000"/>
          <w:sz w:val="44"/>
          <w:szCs w:val="44"/>
        </w:rPr>
      </w:pPr>
    </w:p>
    <w:p>
      <w:pPr>
        <w:pStyle w:val="24"/>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p>
    <w:p>
      <w:pPr>
        <w:pStyle w:val="24"/>
        <w:spacing w:line="560" w:lineRule="exact"/>
        <w:ind w:firstLine="640" w:firstLineChars="200"/>
        <w:rPr>
          <w:rFonts w:hint="eastAsia"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w:t>
      </w:r>
    </w:p>
    <w:p>
      <w:pPr>
        <w:pStyle w:val="24"/>
        <w:spacing w:line="560" w:lineRule="exact"/>
        <w:ind w:firstLine="640" w:firstLineChars="200"/>
        <w:rPr>
          <w:rFonts w:hint="default" w:ascii="仿宋_GB2312" w:eastAsia="仿宋_GB2312"/>
          <w:color w:val="auto"/>
          <w:sz w:val="32"/>
          <w:szCs w:val="32"/>
          <w:lang w:val="en-US" w:eastAsia="zh-CN"/>
        </w:rPr>
      </w:pPr>
      <w:r>
        <w:rPr>
          <w:rFonts w:hint="eastAsia" w:ascii="仿宋_GB2312" w:eastAsia="仿宋_GB2312"/>
          <w:color w:val="auto"/>
          <w:sz w:val="32"/>
          <w:szCs w:val="32"/>
          <w:lang w:val="en-US" w:eastAsia="zh-CN"/>
        </w:rPr>
        <w:t>3.政府性基金收入：指各级政府及其所属部门根据法律、行政法规规定并经国务院或财政部批准，向公民、法人和其他组织征收的政府性基金，以及参照政府性基金管理或纳入基金预算、具有特定用途的财政资金。</w:t>
      </w:r>
    </w:p>
    <w:p>
      <w:pPr>
        <w:pStyle w:val="24"/>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lang w:val="en-US" w:eastAsia="zh-CN"/>
        </w:rPr>
        <w:t>4</w:t>
      </w:r>
      <w:r>
        <w:rPr>
          <w:rFonts w:ascii="仿宋_GB2312" w:eastAsia="仿宋_GB2312"/>
          <w:color w:val="auto"/>
          <w:sz w:val="32"/>
          <w:szCs w:val="32"/>
        </w:rPr>
        <w:t>.</w:t>
      </w:r>
      <w:r>
        <w:rPr>
          <w:rFonts w:hint="eastAsia" w:ascii="仿宋_GB2312" w:eastAsia="仿宋_GB2312"/>
          <w:color w:val="auto"/>
          <w:sz w:val="32"/>
          <w:szCs w:val="32"/>
        </w:rPr>
        <w:t>经营收入：指事业单位在专业业务活动及其辅助活动之外开展非独立核算经营活动取得的收入。</w:t>
      </w:r>
    </w:p>
    <w:p>
      <w:pPr>
        <w:pStyle w:val="24"/>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5</w:t>
      </w:r>
      <w:r>
        <w:rPr>
          <w:rFonts w:ascii="仿宋_GB2312" w:eastAsia="仿宋_GB2312"/>
          <w:color w:val="auto"/>
          <w:sz w:val="32"/>
          <w:szCs w:val="32"/>
        </w:rPr>
        <w:t>.</w:t>
      </w:r>
      <w:r>
        <w:rPr>
          <w:rFonts w:hint="eastAsia" w:ascii="仿宋_GB2312" w:eastAsia="仿宋_GB2312"/>
          <w:color w:val="auto"/>
          <w:sz w:val="32"/>
          <w:szCs w:val="32"/>
        </w:rPr>
        <w:t>其他收入：指单位取得的除上述收入以外的各项收入。主要是</w:t>
      </w:r>
      <w:r>
        <w:rPr>
          <w:rFonts w:hint="eastAsia" w:ascii="仿宋_GB2312" w:eastAsia="仿宋_GB2312"/>
          <w:color w:val="auto"/>
          <w:sz w:val="32"/>
          <w:szCs w:val="32"/>
          <w:lang w:eastAsia="zh-CN"/>
        </w:rPr>
        <w:t>利息收入</w:t>
      </w:r>
      <w:r>
        <w:rPr>
          <w:rFonts w:hint="eastAsia" w:ascii="仿宋_GB2312" w:eastAsia="仿宋_GB2312"/>
          <w:color w:val="auto"/>
          <w:sz w:val="32"/>
          <w:szCs w:val="32"/>
        </w:rPr>
        <w:t>。</w:t>
      </w:r>
      <w:r>
        <w:rPr>
          <w:rFonts w:ascii="仿宋_GB2312" w:eastAsia="仿宋_GB2312"/>
          <w:color w:val="auto"/>
          <w:sz w:val="32"/>
          <w:szCs w:val="32"/>
        </w:rPr>
        <w:t xml:space="preserve"> </w:t>
      </w:r>
    </w:p>
    <w:p>
      <w:pPr>
        <w:pStyle w:val="24"/>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6</w:t>
      </w:r>
      <w:r>
        <w:rPr>
          <w:rFonts w:ascii="仿宋_GB2312" w:eastAsia="仿宋_GB2312"/>
          <w:color w:val="auto"/>
          <w:sz w:val="32"/>
          <w:szCs w:val="32"/>
        </w:rPr>
        <w:t>.</w:t>
      </w:r>
      <w:r>
        <w:rPr>
          <w:rFonts w:hint="eastAsia" w:ascii="仿宋_GB2312" w:eastAsia="仿宋_GB2312"/>
          <w:color w:val="auto"/>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color w:val="auto"/>
          <w:sz w:val="32"/>
          <w:szCs w:val="32"/>
        </w:rPr>
        <w:t xml:space="preserve"> </w:t>
      </w:r>
    </w:p>
    <w:p>
      <w:pPr>
        <w:pStyle w:val="24"/>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7</w:t>
      </w:r>
      <w:r>
        <w:rPr>
          <w:rFonts w:ascii="仿宋_GB2312" w:eastAsia="仿宋_GB2312"/>
          <w:color w:val="auto"/>
          <w:sz w:val="32"/>
          <w:szCs w:val="32"/>
        </w:rPr>
        <w:t>.</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pPr>
        <w:pStyle w:val="24"/>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8</w:t>
      </w:r>
      <w:r>
        <w:rPr>
          <w:rFonts w:ascii="仿宋_GB2312" w:eastAsia="仿宋_GB2312"/>
          <w:color w:val="auto"/>
          <w:sz w:val="32"/>
          <w:szCs w:val="32"/>
        </w:rPr>
        <w:t>.</w:t>
      </w:r>
      <w:r>
        <w:rPr>
          <w:rFonts w:hint="eastAsia" w:ascii="仿宋_GB2312" w:eastAsia="仿宋_GB2312"/>
          <w:color w:val="auto"/>
          <w:sz w:val="32"/>
          <w:szCs w:val="32"/>
        </w:rPr>
        <w:t>结余分配：指事业单位按照事业单位会计制度的规定从非财政补助结余中分配的事业基金和职工福利基金等。</w:t>
      </w:r>
    </w:p>
    <w:p>
      <w:pPr>
        <w:pStyle w:val="24"/>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9</w:t>
      </w:r>
      <w:r>
        <w:rPr>
          <w:rFonts w:hint="eastAsia" w:ascii="仿宋_GB2312" w:eastAsia="仿宋_GB2312"/>
          <w:color w:val="auto"/>
          <w:sz w:val="32"/>
          <w:szCs w:val="32"/>
        </w:rPr>
        <w:t>、年末结转和结余：指单位按有关规定结转到下年或以后年度继续使用的资金。</w:t>
      </w:r>
    </w:p>
    <w:p>
      <w:pPr>
        <w:numPr>
          <w:ilvl w:val="0"/>
          <w:numId w:val="0"/>
        </w:numPr>
        <w:spacing w:line="600" w:lineRule="exact"/>
        <w:ind w:firstLine="640" w:firstLineChars="200"/>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10.一般公共服务（类）201（款）03（项）:指事业单位行政运行支出。</w:t>
      </w:r>
    </w:p>
    <w:p>
      <w:pPr>
        <w:numPr>
          <w:ilvl w:val="0"/>
          <w:numId w:val="0"/>
        </w:numPr>
        <w:spacing w:line="600" w:lineRule="exact"/>
        <w:ind w:firstLine="640" w:firstLineChars="200"/>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11.社会保障和就业（类）208（款）05（项）:指事业单位社会保障和就业方面的支出。</w:t>
      </w:r>
    </w:p>
    <w:p>
      <w:pPr>
        <w:pStyle w:val="13"/>
        <w:ind w:left="0" w:leftChars="0" w:firstLine="640" w:firstLineChars="200"/>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12.医疗卫生与计划生育（类）210（款）11（项）:</w:t>
      </w:r>
      <w:r>
        <w:rPr>
          <w:rFonts w:hint="eastAsia" w:ascii="仿宋_GB2312" w:hAnsi="Calibri" w:eastAsia="仿宋_GB2312" w:cs="仿宋"/>
          <w:color w:val="auto"/>
          <w:kern w:val="0"/>
          <w:sz w:val="32"/>
          <w:szCs w:val="32"/>
          <w:lang w:val="en-US" w:eastAsia="zh-CN" w:bidi="ar-SA"/>
        </w:rPr>
        <w:t>指事业单位</w:t>
      </w:r>
      <w:r>
        <w:rPr>
          <w:rFonts w:hint="eastAsia" w:ascii="仿宋_GB2312" w:hAnsi="Calibri" w:eastAsia="仿宋_GB2312" w:cs="仿宋"/>
          <w:color w:val="000000"/>
          <w:kern w:val="0"/>
          <w:sz w:val="32"/>
          <w:szCs w:val="32"/>
          <w:lang w:val="en-US" w:eastAsia="zh-CN" w:bidi="ar-SA"/>
        </w:rPr>
        <w:t>医疗卫生与计划生育</w:t>
      </w:r>
      <w:r>
        <w:rPr>
          <w:rFonts w:hint="eastAsia" w:ascii="仿宋_GB2312" w:hAnsi="Calibri" w:eastAsia="仿宋_GB2312" w:cs="仿宋"/>
          <w:color w:val="auto"/>
          <w:kern w:val="0"/>
          <w:sz w:val="32"/>
          <w:szCs w:val="32"/>
          <w:lang w:val="en-US" w:eastAsia="zh-CN" w:bidi="ar-SA"/>
        </w:rPr>
        <w:t>方面的支出。</w:t>
      </w:r>
    </w:p>
    <w:p>
      <w:pPr>
        <w:spacing w:line="600" w:lineRule="exact"/>
        <w:ind w:firstLine="640" w:firstLineChars="200"/>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13.住房保障支出（类）221（款）02（项）:指事业单位住房保障方面的支出。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14.</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15</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16</w:t>
      </w:r>
      <w:r>
        <w:rPr>
          <w:rFonts w:ascii="仿宋_GB2312" w:eastAsia="仿宋_GB2312"/>
          <w:color w:val="000000"/>
          <w:sz w:val="32"/>
          <w:szCs w:val="32"/>
        </w:rPr>
        <w:t>.</w:t>
      </w:r>
      <w:r>
        <w:rPr>
          <w:rFonts w:hint="eastAsia" w:ascii="仿宋_GB2312" w:eastAsia="仿宋_GB2312"/>
          <w:color w:val="000000"/>
          <w:sz w:val="32"/>
          <w:szCs w:val="32"/>
        </w:rPr>
        <w:t>经营支出：指事业单位在专业业务活动及其辅助活动之外开展非独立核算经营活动发生的支出。</w:t>
      </w:r>
    </w:p>
    <w:p>
      <w:pPr>
        <w:pStyle w:val="24"/>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17</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4"/>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18</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outlineLvl w:val="0"/>
        <w:rPr>
          <w:rFonts w:hint="eastAsia" w:ascii="黑体" w:hAnsi="黑体" w:eastAsia="黑体"/>
          <w:color w:val="000000"/>
          <w:sz w:val="44"/>
          <w:szCs w:val="44"/>
        </w:rPr>
      </w:pPr>
      <w:bookmarkStart w:id="57" w:name="_Toc15396614"/>
      <w:bookmarkStart w:id="58" w:name="_Toc15377226"/>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Style w:val="26"/>
          <w:rFonts w:ascii="黑体" w:hAnsi="黑体" w:eastAsia="黑体"/>
          <w:b w:val="0"/>
        </w:rPr>
      </w:pPr>
      <w:r>
        <w:rPr>
          <w:rFonts w:hint="eastAsia" w:ascii="黑体" w:hAnsi="黑体" w:eastAsia="黑体"/>
          <w:color w:val="000000"/>
          <w:sz w:val="44"/>
          <w:szCs w:val="44"/>
        </w:rPr>
        <w:t>第</w:t>
      </w:r>
      <w:r>
        <w:rPr>
          <w:rStyle w:val="26"/>
          <w:rFonts w:hint="eastAsia" w:ascii="黑体" w:hAnsi="黑体" w:eastAsia="黑体"/>
          <w:b w:val="0"/>
        </w:rPr>
        <w:t>四部分 附件</w:t>
      </w:r>
      <w:bookmarkEnd w:id="57"/>
    </w:p>
    <w:p>
      <w:pPr>
        <w:spacing w:line="600" w:lineRule="exact"/>
        <w:jc w:val="center"/>
        <w:outlineLvl w:val="0"/>
        <w:rPr>
          <w:rStyle w:val="26"/>
        </w:rPr>
      </w:pPr>
    </w:p>
    <w:p>
      <w:pPr>
        <w:pStyle w:val="3"/>
        <w:rPr>
          <w:rStyle w:val="26"/>
          <w:rFonts w:ascii="仿宋" w:hAnsi="仿宋" w:eastAsia="仿宋"/>
          <w:b w:val="0"/>
          <w:bCs w:val="0"/>
          <w:sz w:val="32"/>
          <w:szCs w:val="32"/>
        </w:rPr>
      </w:pPr>
      <w:bookmarkStart w:id="59" w:name="_Toc15396615"/>
      <w:r>
        <w:rPr>
          <w:rStyle w:val="26"/>
          <w:rFonts w:hint="eastAsia" w:ascii="仿宋" w:hAnsi="仿宋" w:eastAsia="仿宋"/>
          <w:b w:val="0"/>
          <w:bCs w:val="0"/>
          <w:sz w:val="32"/>
          <w:szCs w:val="32"/>
        </w:rPr>
        <w:t>附件1</w:t>
      </w:r>
      <w:bookmarkEnd w:id="59"/>
    </w:p>
    <w:p>
      <w:pPr>
        <w:widowControl/>
        <w:spacing w:line="480" w:lineRule="exact"/>
        <w:jc w:val="center"/>
        <w:rPr>
          <w:rFonts w:ascii="方正小标宋简体" w:hAnsi="宋体" w:eastAsia="方正小标宋简体" w:cs="方正小标宋简体"/>
          <w:sz w:val="44"/>
          <w:szCs w:val="44"/>
        </w:rPr>
      </w:pPr>
      <w:bookmarkStart w:id="60" w:name="_Toc15396617"/>
      <w:r>
        <w:rPr>
          <w:rFonts w:hint="eastAsia" w:ascii="方正小标宋简体" w:hAnsi="宋体" w:eastAsia="方正小标宋简体" w:cs="方正小标宋简体"/>
          <w:sz w:val="44"/>
          <w:szCs w:val="44"/>
        </w:rPr>
        <w:t>部门整体支出绩效报告</w:t>
      </w:r>
    </w:p>
    <w:p>
      <w:pPr>
        <w:pStyle w:val="3"/>
        <w:rPr>
          <w:rStyle w:val="27"/>
          <w:rFonts w:ascii="仿宋" w:hAnsi="仿宋" w:eastAsia="仿宋"/>
          <w:b w:val="0"/>
          <w:bCs w:val="0"/>
        </w:rPr>
      </w:pPr>
      <w:r>
        <w:rPr>
          <w:rFonts w:hint="eastAsia" w:ascii="黑体" w:hAnsi="黑体" w:eastAsia="黑体"/>
          <w:b w:val="0"/>
          <w:color w:val="000000"/>
        </w:rPr>
        <w:t>一、基</w:t>
      </w:r>
      <w:r>
        <w:rPr>
          <w:rStyle w:val="27"/>
          <w:rFonts w:hint="eastAsia" w:ascii="黑体" w:hAnsi="黑体" w:eastAsia="黑体"/>
          <w:b w:val="0"/>
          <w:bCs w:val="0"/>
        </w:rPr>
        <w:t>本职能及主要工作</w:t>
      </w:r>
    </w:p>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r>
        <w:rPr>
          <w:rFonts w:hint="eastAsia" w:ascii="仿宋" w:hAnsi="仿宋" w:eastAsia="仿宋"/>
          <w:bCs/>
          <w:color w:val="000000"/>
          <w:sz w:val="32"/>
          <w:szCs w:val="32"/>
        </w:rPr>
        <w:t>（一）主要职能。</w:t>
      </w:r>
    </w:p>
    <w:p>
      <w:pPr>
        <w:widowControl/>
        <w:autoSpaceDE w:val="0"/>
        <w:spacing w:line="560" w:lineRule="exact"/>
        <w:ind w:firstLine="640"/>
        <w:jc w:val="left"/>
        <w:rPr>
          <w:rFonts w:ascii="仿宋_GB2312" w:eastAsia="仿宋_GB2312"/>
          <w:sz w:val="32"/>
          <w:szCs w:val="32"/>
        </w:rPr>
      </w:pPr>
      <w:r>
        <w:rPr>
          <w:rFonts w:hint="eastAsia" w:ascii="仿宋_GB2312" w:eastAsia="仿宋_GB2312"/>
          <w:sz w:val="32"/>
          <w:szCs w:val="32"/>
        </w:rPr>
        <w:t>（1）受县委、县政府的委托、代表县联动指挥中心行使应急指挥权利；</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（2）负责对中心入驻的六大中心工作人员的管理，负责对七大平台数据的收集和分析研判，并代表县委、政府和县联动指挥中心对重大事件和突发事件的应急指挥工作；</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（3）负责组织督促；落实县委、县政府和县联动指挥中心下达的指令或工作安排部署，根据工作的实际情况和需要，适时召开联动部门工作协调会，研究解决有关联动服务事宜和问题；</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（4）负责对重要信息的收集、报送工作，对全县应急处突、</w:t>
      </w:r>
      <w:r>
        <w:rPr>
          <w:rFonts w:hint="eastAsia" w:ascii="宋体" w:hAnsi="宋体" w:cs="宋体"/>
          <w:sz w:val="32"/>
          <w:szCs w:val="32"/>
        </w:rPr>
        <w:t>渉</w:t>
      </w:r>
      <w:r>
        <w:rPr>
          <w:rFonts w:hint="eastAsia" w:ascii="仿宋_GB2312" w:hAnsi="仿宋_GB2312" w:eastAsia="仿宋_GB2312" w:cs="仿宋_GB2312"/>
          <w:sz w:val="32"/>
          <w:szCs w:val="32"/>
        </w:rPr>
        <w:t>稳事件、安全生产急救、自然灾害等重大事件的协调工作，同时做好处置工作记录，并逐日归类汇总并备案；</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（5）负责组织、督促有关部门抓好民生服务工作，矛盾纠纷排查化解工作。开展调查研究，对重大情况和问题应及时进行分析研判，并向县政府提交研判报告；</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（6）负责建立健全联动指挥中心各项规章制度；</w:t>
      </w:r>
    </w:p>
    <w:p>
      <w:pPr>
        <w:widowControl/>
        <w:autoSpaceDE w:val="0"/>
        <w:spacing w:line="560" w:lineRule="exact"/>
        <w:ind w:firstLine="640"/>
        <w:jc w:val="left"/>
        <w:rPr>
          <w:rFonts w:hint="eastAsia" w:ascii="仿宋_GB2312" w:eastAsia="仿宋_GB2312"/>
          <w:sz w:val="32"/>
          <w:szCs w:val="32"/>
        </w:rPr>
      </w:pPr>
      <w:r>
        <w:rPr>
          <w:rFonts w:hint="eastAsia" w:ascii="仿宋_GB2312" w:eastAsia="仿宋_GB2312"/>
          <w:sz w:val="32"/>
          <w:szCs w:val="32"/>
        </w:rPr>
        <w:t>（7）负责协助和管理县民族宗教局入驻人员开展寺庙网格化精准服务系统管理工作；负责协助和管理县公安局入驻人员做好联动指挥中心系统维护以及天网视频调度工作；负责协助和管理县矛盾纠纷“大调解”中心做好全县大调解工作和基层大调解指导工作；负责协助和管理其它入驻单位的工作人员开展相关工作。</w:t>
      </w:r>
    </w:p>
    <w:p>
      <w:pPr>
        <w:widowControl/>
        <w:autoSpaceDE w:val="0"/>
        <w:spacing w:line="560" w:lineRule="exact"/>
        <w:ind w:firstLine="640"/>
        <w:jc w:val="left"/>
        <w:rPr>
          <w:rFonts w:hint="eastAsia" w:ascii="仿宋_GB2312" w:hAnsi="仿宋" w:eastAsia="仿宋_GB2312"/>
          <w:sz w:val="32"/>
          <w:szCs w:val="32"/>
        </w:rPr>
      </w:pPr>
      <w:r>
        <w:rPr>
          <w:rFonts w:hint="eastAsia" w:ascii="仿宋_GB2312" w:eastAsia="仿宋_GB2312"/>
          <w:sz w:val="32"/>
          <w:szCs w:val="32"/>
        </w:rPr>
        <w:t>（8）负责做好县委、政府临时交办的各项工作任务。</w:t>
      </w:r>
    </w:p>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p>
    <w:p>
      <w:r>
        <w:rPr>
          <w:rFonts w:hint="eastAsia" w:ascii="仿宋_GB2312" w:eastAsia="仿宋_GB2312"/>
          <w:sz w:val="32"/>
          <w:szCs w:val="32"/>
        </w:rPr>
        <w:t xml:space="preserve">    中心今年根据财政资金的安排情况，加强了资金使用的管理工作，对中心各大平台数据进行了定期的上报。加强了对各平台的管理及使用。对城乡网格人员进行了多次培训。对我县服务于民生工作全面发展发挥了积极作用。</w:t>
      </w:r>
    </w:p>
    <w:p>
      <w:pPr>
        <w:pStyle w:val="3"/>
        <w:rPr>
          <w:rStyle w:val="27"/>
          <w:b w:val="0"/>
          <w:bCs w:val="0"/>
        </w:rPr>
      </w:pPr>
      <w:r>
        <w:rPr>
          <w:rFonts w:hint="eastAsia" w:ascii="黑体" w:eastAsia="黑体"/>
          <w:b w:val="0"/>
          <w:color w:val="000000"/>
        </w:rPr>
        <w:t>二、</w:t>
      </w:r>
      <w:r>
        <w:rPr>
          <w:rFonts w:hint="eastAsia" w:ascii="黑体" w:hAnsi="黑体" w:eastAsia="黑体"/>
          <w:b w:val="0"/>
          <w:color w:val="000000"/>
        </w:rPr>
        <w:t>机</w:t>
      </w:r>
      <w:r>
        <w:rPr>
          <w:rStyle w:val="27"/>
          <w:rFonts w:hint="eastAsia" w:ascii="黑体" w:hAnsi="黑体" w:eastAsia="黑体"/>
          <w:b w:val="0"/>
          <w:bCs w:val="0"/>
        </w:rPr>
        <w:t>构设置</w:t>
      </w:r>
    </w:p>
    <w:p>
      <w:pPr>
        <w:autoSpaceDE w:val="0"/>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我单位为独立核算全额拨款正科级事业单位，无下设机构。截止2018年底我单位共有编制8个。在职5人，其中事业5人。</w:t>
      </w:r>
    </w:p>
    <w:p>
      <w:pPr>
        <w:widowControl/>
        <w:adjustRightInd w:val="0"/>
        <w:snapToGrid w:val="0"/>
        <w:spacing w:line="48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二、部门财政资金收支情况</w:t>
      </w:r>
    </w:p>
    <w:p>
      <w:pPr>
        <w:widowControl/>
        <w:adjustRightInd w:val="0"/>
        <w:snapToGrid w:val="0"/>
        <w:spacing w:line="480" w:lineRule="exact"/>
        <w:ind w:firstLine="720"/>
        <w:jc w:val="left"/>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（一）部门财政资金收入情况。</w:t>
      </w:r>
    </w:p>
    <w:p>
      <w:pPr>
        <w:spacing w:line="600" w:lineRule="exact"/>
        <w:ind w:firstLine="640" w:firstLineChars="200"/>
        <w:outlineLvl w:val="1"/>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8年本年收入合计106.94万元，其中：一般公共预算财政拨款收入106.84万元，占99</w:t>
      </w:r>
      <w:r>
        <w:rPr>
          <w:rFonts w:ascii="仿宋" w:hAnsi="仿宋" w:eastAsia="仿宋"/>
          <w:color w:val="000000"/>
          <w:sz w:val="32"/>
          <w:szCs w:val="32"/>
        </w:rPr>
        <w:t>%</w:t>
      </w:r>
      <w:r>
        <w:rPr>
          <w:rFonts w:hint="eastAsia" w:ascii="仿宋" w:hAnsi="仿宋" w:eastAsia="仿宋"/>
          <w:color w:val="000000"/>
          <w:sz w:val="32"/>
          <w:szCs w:val="32"/>
        </w:rPr>
        <w:t>；政府性基金预算财政拨款收入0万元，占0</w:t>
      </w:r>
      <w:r>
        <w:rPr>
          <w:rFonts w:ascii="仿宋" w:hAnsi="仿宋" w:eastAsia="仿宋"/>
          <w:color w:val="000000"/>
          <w:sz w:val="32"/>
          <w:szCs w:val="32"/>
        </w:rPr>
        <w:t>%</w:t>
      </w:r>
      <w:r>
        <w:rPr>
          <w:rFonts w:hint="eastAsia" w:ascii="仿宋" w:hAnsi="仿宋" w:eastAsia="仿宋"/>
          <w:color w:val="000000"/>
          <w:sz w:val="32"/>
          <w:szCs w:val="32"/>
        </w:rPr>
        <w:t>；国有资本经营预算财政拨款收入0万元，占0</w:t>
      </w:r>
      <w:r>
        <w:rPr>
          <w:rFonts w:ascii="仿宋" w:hAnsi="仿宋" w:eastAsia="仿宋"/>
          <w:color w:val="000000"/>
          <w:sz w:val="32"/>
          <w:szCs w:val="32"/>
        </w:rPr>
        <w:t>%</w:t>
      </w:r>
      <w:r>
        <w:rPr>
          <w:rFonts w:hint="eastAsia" w:ascii="仿宋" w:hAnsi="仿宋" w:eastAsia="仿宋"/>
          <w:color w:val="000000"/>
          <w:sz w:val="32"/>
          <w:szCs w:val="32"/>
        </w:rPr>
        <w:t>；事业收入0万元，占0</w:t>
      </w:r>
      <w:r>
        <w:rPr>
          <w:rFonts w:ascii="仿宋" w:hAnsi="仿宋" w:eastAsia="仿宋"/>
          <w:color w:val="000000"/>
          <w:sz w:val="32"/>
          <w:szCs w:val="32"/>
        </w:rPr>
        <w:t>%</w:t>
      </w:r>
      <w:r>
        <w:rPr>
          <w:rFonts w:hint="eastAsia" w:ascii="仿宋" w:hAnsi="仿宋" w:eastAsia="仿宋"/>
          <w:color w:val="000000"/>
          <w:sz w:val="32"/>
          <w:szCs w:val="32"/>
        </w:rPr>
        <w:t>；经营收入0万元，占0</w:t>
      </w:r>
      <w:r>
        <w:rPr>
          <w:rFonts w:ascii="仿宋" w:hAnsi="仿宋" w:eastAsia="仿宋"/>
          <w:color w:val="000000"/>
          <w:sz w:val="32"/>
          <w:szCs w:val="32"/>
        </w:rPr>
        <w:t>%</w:t>
      </w:r>
      <w:r>
        <w:rPr>
          <w:rFonts w:hint="eastAsia" w:ascii="仿宋" w:hAnsi="仿宋" w:eastAsia="仿宋"/>
          <w:color w:val="000000"/>
          <w:sz w:val="32"/>
          <w:szCs w:val="32"/>
        </w:rPr>
        <w:t>；附属单位上缴收入0万元，占0</w:t>
      </w:r>
      <w:r>
        <w:rPr>
          <w:rFonts w:ascii="仿宋" w:hAnsi="仿宋" w:eastAsia="仿宋"/>
          <w:color w:val="000000"/>
          <w:sz w:val="32"/>
          <w:szCs w:val="32"/>
        </w:rPr>
        <w:t>%</w:t>
      </w:r>
      <w:r>
        <w:rPr>
          <w:rFonts w:hint="eastAsia" w:ascii="仿宋" w:hAnsi="仿宋" w:eastAsia="仿宋"/>
          <w:color w:val="000000"/>
          <w:sz w:val="32"/>
          <w:szCs w:val="32"/>
        </w:rPr>
        <w:t>；其他收入0.10万元，占1</w:t>
      </w:r>
      <w:r>
        <w:rPr>
          <w:rFonts w:ascii="仿宋" w:hAnsi="仿宋" w:eastAsia="仿宋"/>
          <w:color w:val="000000"/>
          <w:sz w:val="32"/>
          <w:szCs w:val="32"/>
        </w:rPr>
        <w:t>%</w:t>
      </w:r>
      <w:r>
        <w:rPr>
          <w:rFonts w:hint="eastAsia" w:ascii="仿宋" w:hAnsi="仿宋" w:eastAsia="仿宋"/>
          <w:color w:val="000000"/>
          <w:sz w:val="32"/>
          <w:szCs w:val="32"/>
        </w:rPr>
        <w:t>。</w:t>
      </w:r>
    </w:p>
    <w:p>
      <w:pPr>
        <w:widowControl/>
        <w:adjustRightInd w:val="0"/>
        <w:snapToGrid w:val="0"/>
        <w:spacing w:line="480" w:lineRule="exact"/>
        <w:ind w:firstLine="720"/>
        <w:jc w:val="left"/>
        <w:rPr>
          <w:rFonts w:hint="eastAsia" w:ascii="仿宋_GB2312" w:hAnsi="宋体" w:eastAsia="仿宋_GB2312" w:cs="宋体"/>
          <w:color w:val="000000"/>
          <w:kern w:val="0"/>
          <w:sz w:val="32"/>
          <w:lang w:val="zh-CN"/>
        </w:rPr>
      </w:pPr>
    </w:p>
    <w:p>
      <w:pPr>
        <w:widowControl/>
        <w:numPr>
          <w:ilvl w:val="0"/>
          <w:numId w:val="7"/>
        </w:numPr>
        <w:adjustRightInd w:val="0"/>
        <w:snapToGrid w:val="0"/>
        <w:spacing w:line="480" w:lineRule="exact"/>
        <w:ind w:firstLine="720"/>
        <w:jc w:val="left"/>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部门财政资金支出情况。</w:t>
      </w:r>
    </w:p>
    <w:p>
      <w:pPr>
        <w:spacing w:line="600" w:lineRule="exact"/>
        <w:ind w:firstLine="640"/>
        <w:rPr>
          <w:rFonts w:ascii="仿宋" w:hAnsi="仿宋" w:eastAsia="仿宋"/>
          <w:color w:val="000000"/>
          <w:sz w:val="32"/>
          <w:szCs w:val="32"/>
          <w:shd w:val="pct10" w:color="auto" w:fill="FFFFFF"/>
        </w:rPr>
      </w:pPr>
      <w:r>
        <w:rPr>
          <w:rFonts w:ascii="仿宋" w:hAnsi="仿宋" w:eastAsia="仿宋"/>
          <w:color w:val="000000"/>
          <w:sz w:val="32"/>
          <w:szCs w:val="32"/>
        </w:rPr>
        <w:t>201</w:t>
      </w:r>
      <w:r>
        <w:rPr>
          <w:rFonts w:hint="eastAsia" w:ascii="仿宋" w:hAnsi="仿宋" w:eastAsia="仿宋"/>
          <w:color w:val="000000"/>
          <w:sz w:val="32"/>
          <w:szCs w:val="32"/>
        </w:rPr>
        <w:t>8年本年支出合计124.70万元，其中：基本支出106.84万元，占86</w:t>
      </w:r>
      <w:r>
        <w:rPr>
          <w:rFonts w:ascii="仿宋" w:hAnsi="仿宋" w:eastAsia="仿宋"/>
          <w:color w:val="000000"/>
          <w:sz w:val="32"/>
          <w:szCs w:val="32"/>
        </w:rPr>
        <w:t>%</w:t>
      </w:r>
      <w:r>
        <w:rPr>
          <w:rFonts w:hint="eastAsia" w:ascii="仿宋" w:hAnsi="仿宋" w:eastAsia="仿宋"/>
          <w:color w:val="000000"/>
          <w:sz w:val="32"/>
          <w:szCs w:val="32"/>
        </w:rPr>
        <w:t>；项目支出17.86万元，占14</w:t>
      </w:r>
      <w:r>
        <w:rPr>
          <w:rFonts w:ascii="仿宋" w:hAnsi="仿宋" w:eastAsia="仿宋"/>
          <w:color w:val="000000"/>
          <w:sz w:val="32"/>
          <w:szCs w:val="32"/>
        </w:rPr>
        <w:t>%</w:t>
      </w:r>
      <w:r>
        <w:rPr>
          <w:rFonts w:hint="eastAsia" w:ascii="仿宋" w:hAnsi="仿宋" w:eastAsia="仿宋"/>
          <w:color w:val="000000"/>
          <w:sz w:val="32"/>
          <w:szCs w:val="32"/>
        </w:rPr>
        <w:t>；上缴上级支出0万元，占0</w:t>
      </w:r>
      <w:r>
        <w:rPr>
          <w:rFonts w:ascii="仿宋" w:hAnsi="仿宋" w:eastAsia="仿宋"/>
          <w:color w:val="000000"/>
          <w:sz w:val="32"/>
          <w:szCs w:val="32"/>
        </w:rPr>
        <w:t>%</w:t>
      </w:r>
      <w:r>
        <w:rPr>
          <w:rFonts w:hint="eastAsia" w:ascii="仿宋" w:hAnsi="仿宋" w:eastAsia="仿宋"/>
          <w:color w:val="000000"/>
          <w:sz w:val="32"/>
          <w:szCs w:val="32"/>
        </w:rPr>
        <w:t>；经营支出0万元，占0</w:t>
      </w:r>
      <w:r>
        <w:rPr>
          <w:rFonts w:ascii="仿宋" w:hAnsi="仿宋" w:eastAsia="仿宋"/>
          <w:color w:val="000000"/>
          <w:sz w:val="32"/>
          <w:szCs w:val="32"/>
        </w:rPr>
        <w:t>%</w:t>
      </w:r>
      <w:r>
        <w:rPr>
          <w:rFonts w:hint="eastAsia" w:ascii="仿宋" w:hAnsi="仿宋" w:eastAsia="仿宋"/>
          <w:color w:val="000000"/>
          <w:sz w:val="32"/>
          <w:szCs w:val="32"/>
        </w:rPr>
        <w:t>；对附属单位补助支出0万元，占0</w:t>
      </w:r>
      <w:r>
        <w:rPr>
          <w:rFonts w:ascii="仿宋" w:hAnsi="仿宋" w:eastAsia="仿宋"/>
          <w:color w:val="000000"/>
          <w:sz w:val="32"/>
          <w:szCs w:val="32"/>
        </w:rPr>
        <w:t>%</w:t>
      </w:r>
      <w:r>
        <w:rPr>
          <w:rFonts w:hint="eastAsia" w:ascii="仿宋" w:hAnsi="仿宋" w:eastAsia="仿宋"/>
          <w:color w:val="000000"/>
          <w:sz w:val="32"/>
          <w:szCs w:val="32"/>
        </w:rPr>
        <w:t>。</w:t>
      </w:r>
    </w:p>
    <w:p>
      <w:pPr>
        <w:widowControl/>
        <w:numPr>
          <w:ilvl w:val="0"/>
          <w:numId w:val="0"/>
        </w:numPr>
        <w:adjustRightInd w:val="0"/>
        <w:snapToGrid w:val="0"/>
        <w:spacing w:line="480" w:lineRule="exact"/>
        <w:jc w:val="left"/>
        <w:rPr>
          <w:rFonts w:hint="eastAsia" w:ascii="仿宋_GB2312" w:hAnsi="宋体" w:eastAsia="仿宋_GB2312" w:cs="宋体"/>
          <w:color w:val="000000"/>
          <w:kern w:val="0"/>
          <w:sz w:val="32"/>
          <w:lang w:val="zh-CN"/>
        </w:rPr>
      </w:pPr>
    </w:p>
    <w:p>
      <w:pPr>
        <w:widowControl/>
        <w:adjustRightInd w:val="0"/>
        <w:snapToGrid w:val="0"/>
        <w:spacing w:line="48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三、部门财政支出管理情况</w:t>
      </w:r>
    </w:p>
    <w:p>
      <w:pPr>
        <w:widowControl/>
        <w:adjustRightInd w:val="0"/>
        <w:snapToGrid w:val="0"/>
        <w:spacing w:line="48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（一）预算编制情况。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eastAsia="zh-CN"/>
        </w:rPr>
        <w:t>中心</w:t>
      </w:r>
      <w:r>
        <w:rPr>
          <w:rFonts w:hint="eastAsia" w:ascii="仿宋_GB2312" w:hAnsi="仿宋_GB2312" w:eastAsia="仿宋_GB2312" w:cs="仿宋_GB2312"/>
          <w:sz w:val="32"/>
          <w:szCs w:val="32"/>
        </w:rPr>
        <w:t>严格按照《预算法》及相关财经法规和政策编制本年度预算，严格控制编报质量，保证所有资金合法合规，严格按照相关规定进行预算编制，中央转移支付资金按照文件要求下达，专项转移支付严格根据分地区分项目进行编制。</w:t>
      </w:r>
    </w:p>
    <w:p>
      <w:pPr>
        <w:widowControl/>
        <w:adjustRightInd w:val="0"/>
        <w:snapToGrid w:val="0"/>
        <w:spacing w:line="48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（二）执行管理情况。</w:t>
      </w:r>
      <w:r>
        <w:rPr>
          <w:rFonts w:hint="eastAsia" w:ascii="楷体" w:hAnsi="楷体" w:eastAsia="楷体" w:cs="宋体"/>
          <w:color w:val="000000"/>
          <w:kern w:val="0"/>
          <w:sz w:val="32"/>
          <w:lang w:val="zh-CN"/>
        </w:rPr>
        <w:tab/>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sz w:val="32"/>
          <w:szCs w:val="32"/>
        </w:rPr>
      </w:pPr>
      <w:r>
        <w:rPr>
          <w:rFonts w:hint="eastAsia" w:ascii="仿宋_GB2312" w:hAnsi="仿宋_GB2312" w:cs="仿宋_GB2312"/>
          <w:sz w:val="32"/>
          <w:szCs w:val="32"/>
        </w:rPr>
        <w:t>我</w:t>
      </w:r>
      <w:r>
        <w:rPr>
          <w:rFonts w:hint="eastAsia" w:ascii="仿宋_GB2312" w:hAnsi="仿宋_GB2312" w:cs="仿宋_GB2312"/>
          <w:sz w:val="32"/>
          <w:szCs w:val="32"/>
          <w:lang w:eastAsia="zh-CN"/>
        </w:rPr>
        <w:t>中心</w:t>
      </w:r>
      <w:r>
        <w:rPr>
          <w:rFonts w:hint="eastAsia" w:ascii="仿宋_GB2312" w:hAnsi="仿宋_GB2312" w:eastAsia="仿宋_GB2312" w:cs="仿宋_GB2312"/>
          <w:sz w:val="32"/>
          <w:szCs w:val="32"/>
        </w:rPr>
        <w:t>预算执行到位，严格按照预算管理进行支付并做到节能降耗，“三公”经费严格按照年初预算执行。</w:t>
      </w:r>
    </w:p>
    <w:p>
      <w:pPr>
        <w:widowControl/>
        <w:adjustRightInd w:val="0"/>
        <w:snapToGrid w:val="0"/>
        <w:spacing w:line="48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（三）综合管理情况。</w:t>
      </w:r>
    </w:p>
    <w:p>
      <w:pPr>
        <w:widowControl/>
        <w:adjustRightInd w:val="0"/>
        <w:snapToGrid w:val="0"/>
        <w:spacing w:line="560" w:lineRule="exact"/>
        <w:ind w:firstLine="720"/>
        <w:jc w:val="left"/>
        <w:rPr>
          <w:rFonts w:ascii="仿宋" w:hAnsi="仿宋" w:eastAsia="仿宋" w:cs="宋?"/>
          <w:kern w:val="0"/>
          <w:sz w:val="32"/>
          <w:szCs w:val="32"/>
          <w:lang w:val="zh-CN"/>
        </w:rPr>
      </w:pPr>
      <w:r>
        <w:rPr>
          <w:rFonts w:hint="eastAsia" w:ascii="仿宋" w:hAnsi="仿宋" w:eastAsia="仿宋" w:cs="宋?"/>
          <w:kern w:val="0"/>
          <w:sz w:val="32"/>
          <w:szCs w:val="32"/>
        </w:rPr>
        <w:t>在财务管理过程中建立健全财务核算制度、严格执行国家相关财经法规，加强了会计基础工作、逐渐规范了财务管理行为。严格按照《行政单位会计制度》和《行政单位财务规则》的规定设置的会计科目，建立了科学有效的会计核算方式，均真实、合法、</w:t>
      </w:r>
      <w:bookmarkStart w:id="74" w:name="_GoBack"/>
      <w:bookmarkEnd w:id="74"/>
      <w:r>
        <w:rPr>
          <w:rFonts w:hint="eastAsia" w:ascii="仿宋" w:hAnsi="仿宋" w:eastAsia="仿宋" w:cs="宋?"/>
          <w:kern w:val="0"/>
          <w:sz w:val="32"/>
          <w:szCs w:val="32"/>
          <w:lang w:eastAsia="zh-CN"/>
        </w:rPr>
        <w:t>准确地反映</w:t>
      </w:r>
      <w:r>
        <w:rPr>
          <w:rFonts w:hint="eastAsia" w:ascii="仿宋" w:hAnsi="仿宋" w:eastAsia="仿宋" w:cs="宋?"/>
          <w:kern w:val="0"/>
          <w:sz w:val="32"/>
          <w:szCs w:val="32"/>
        </w:rPr>
        <w:t>各项收支活动；建立健全了内控制度，加强和完善了经费收支和财务管理，积极配合各级财政部门开展相关经费的考评工作；本院在资金使用过程中，合理使用各项资金，严格执行各项经费开支范围和标准。对中央、省转移支付资金的使用全部用于与国土事务，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在采购资金支出时手续齐备，采购的固定资产及时登记并入账；严格落实《党政机关厉行节约反对浪费条例》的相关规定，进一步规范了“三公经费”的管理并严格控制了“三公经费”的支出。</w:t>
      </w:r>
    </w:p>
    <w:p>
      <w:pPr>
        <w:widowControl/>
        <w:adjustRightInd w:val="0"/>
        <w:snapToGrid w:val="0"/>
        <w:spacing w:line="48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（四）整体绩效。</w:t>
      </w:r>
    </w:p>
    <w:p>
      <w:pPr>
        <w:widowControl/>
        <w:adjustRightInd w:val="0"/>
        <w:snapToGrid w:val="0"/>
        <w:spacing w:line="480" w:lineRule="exact"/>
        <w:ind w:firstLine="720"/>
        <w:jc w:val="left"/>
        <w:rPr>
          <w:rFonts w:ascii="仿宋_GB2312" w:hAnsi="宋体" w:eastAsia="仿宋_GB2312" w:cs="宋体"/>
          <w:color w:val="000000"/>
          <w:kern w:val="0"/>
          <w:lang w:val="zh-CN"/>
        </w:rPr>
      </w:pPr>
      <w:r>
        <w:rPr>
          <w:rFonts w:hint="eastAsia" w:ascii="仿宋_GB2312" w:hAnsi="宋体" w:eastAsia="仿宋_GB2312" w:cs="宋体"/>
          <w:color w:val="000000"/>
          <w:kern w:val="0"/>
          <w:sz w:val="32"/>
          <w:lang w:val="zh-CN"/>
        </w:rPr>
        <w:t>包括部门职责履行结果、重点项目绩效评价结果和服务对象满意度等。</w:t>
      </w:r>
    </w:p>
    <w:p>
      <w:pPr>
        <w:widowControl/>
        <w:adjustRightInd w:val="0"/>
        <w:snapToGrid w:val="0"/>
        <w:spacing w:line="48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四、评价结论及建议</w:t>
      </w:r>
    </w:p>
    <w:p>
      <w:pPr>
        <w:widowControl/>
        <w:adjustRightInd w:val="0"/>
        <w:snapToGrid w:val="0"/>
        <w:spacing w:line="480" w:lineRule="exact"/>
        <w:ind w:firstLine="720"/>
        <w:jc w:val="left"/>
        <w:rPr>
          <w:rFonts w:ascii="仿宋_GB2312" w:hAnsi="宋体" w:eastAsia="仿宋_GB2312" w:cs="宋体"/>
          <w:color w:val="000000"/>
          <w:kern w:val="0"/>
          <w:lang w:val="zh-CN"/>
        </w:rPr>
      </w:pPr>
      <w:r>
        <w:rPr>
          <w:rFonts w:hint="eastAsia" w:ascii="仿宋_GB2312" w:hAnsi="宋体" w:eastAsia="仿宋_GB2312" w:cs="宋体"/>
          <w:color w:val="000000"/>
          <w:kern w:val="0"/>
          <w:sz w:val="32"/>
          <w:lang w:val="zh-CN"/>
        </w:rPr>
        <w:t>（一）评价结论。好</w:t>
      </w:r>
    </w:p>
    <w:p>
      <w:pPr>
        <w:widowControl/>
        <w:adjustRightInd w:val="0"/>
        <w:snapToGrid w:val="0"/>
        <w:spacing w:line="480" w:lineRule="exact"/>
        <w:ind w:firstLine="720"/>
        <w:jc w:val="left"/>
        <w:rPr>
          <w:rFonts w:ascii="仿宋_GB2312" w:hAnsi="宋体" w:eastAsia="仿宋_GB2312" w:cs="宋体"/>
          <w:color w:val="000000"/>
          <w:kern w:val="0"/>
          <w:lang w:val="zh-CN"/>
        </w:rPr>
      </w:pPr>
      <w:r>
        <w:rPr>
          <w:rFonts w:hint="eastAsia" w:ascii="仿宋_GB2312" w:hAnsi="宋体" w:eastAsia="仿宋_GB2312" w:cs="宋体"/>
          <w:color w:val="000000"/>
          <w:kern w:val="0"/>
          <w:sz w:val="32"/>
          <w:lang w:val="zh-CN"/>
        </w:rPr>
        <w:t>（二）存在问题。无</w:t>
      </w:r>
    </w:p>
    <w:p>
      <w:pPr>
        <w:widowControl/>
        <w:adjustRightInd w:val="0"/>
        <w:snapToGrid w:val="0"/>
        <w:spacing w:line="480" w:lineRule="exact"/>
        <w:ind w:firstLine="720"/>
        <w:jc w:val="left"/>
        <w:rPr>
          <w:rFonts w:ascii="黑体" w:hAnsi="黑体" w:eastAsia="黑体"/>
          <w:color w:val="000000"/>
          <w:sz w:val="44"/>
          <w:szCs w:val="44"/>
        </w:rPr>
      </w:pPr>
      <w:r>
        <w:rPr>
          <w:rFonts w:hint="eastAsia" w:ascii="仿宋_GB2312" w:hAnsi="宋体" w:eastAsia="仿宋_GB2312" w:cs="宋体"/>
          <w:color w:val="000000"/>
          <w:kern w:val="0"/>
          <w:sz w:val="32"/>
          <w:lang w:val="zh-CN"/>
        </w:rPr>
        <w:t>（三）改进建议</w:t>
      </w:r>
      <w:bookmarkEnd w:id="60"/>
      <w:bookmarkStart w:id="61" w:name="_Toc15396618"/>
      <w:r>
        <w:rPr>
          <w:rFonts w:hint="eastAsia" w:ascii="仿宋_GB2312" w:hAnsi="宋体" w:eastAsia="仿宋_GB2312" w:cs="宋体"/>
          <w:color w:val="000000"/>
          <w:kern w:val="0"/>
          <w:sz w:val="32"/>
          <w:lang w:val="zh-CN"/>
        </w:rPr>
        <w:t>。无</w:t>
      </w: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jc w:val="center"/>
        <w:outlineLvl w:val="0"/>
        <w:rPr>
          <w:rStyle w:val="26"/>
          <w:rFonts w:ascii="黑体" w:hAnsi="黑体" w:eastAsia="黑体"/>
          <w:b w:val="0"/>
        </w:rPr>
      </w:pPr>
      <w:r>
        <w:rPr>
          <w:rFonts w:hint="eastAsia" w:ascii="黑体" w:hAnsi="黑体" w:eastAsia="黑体"/>
          <w:color w:val="000000"/>
          <w:sz w:val="44"/>
          <w:szCs w:val="44"/>
        </w:rPr>
        <w:t>第</w:t>
      </w:r>
      <w:r>
        <w:rPr>
          <w:rStyle w:val="26"/>
          <w:rFonts w:hint="eastAsia" w:ascii="黑体" w:hAnsi="黑体" w:eastAsia="黑体"/>
          <w:b w:val="0"/>
        </w:rPr>
        <w:t>五部分 附表</w:t>
      </w:r>
      <w:bookmarkEnd w:id="58"/>
      <w:bookmarkEnd w:id="61"/>
    </w:p>
    <w:p>
      <w:pPr>
        <w:spacing w:line="600" w:lineRule="exact"/>
        <w:jc w:val="center"/>
        <w:outlineLvl w:val="0"/>
        <w:rPr>
          <w:rFonts w:ascii="仿宋" w:hAnsi="仿宋" w:eastAsia="仿宋"/>
          <w:b/>
          <w:color w:val="000000"/>
          <w:sz w:val="44"/>
          <w:szCs w:val="44"/>
        </w:rPr>
      </w:pPr>
    </w:p>
    <w:p>
      <w:pPr>
        <w:pStyle w:val="3"/>
        <w:numPr>
          <w:ilvl w:val="0"/>
          <w:numId w:val="8"/>
        </w:numPr>
        <w:rPr>
          <w:rFonts w:ascii="仿宋" w:hAnsi="仿宋" w:eastAsia="仿宋"/>
          <w:b w:val="0"/>
          <w:color w:val="000000"/>
        </w:rPr>
      </w:pPr>
      <w:bookmarkStart w:id="62" w:name="_Toc15396620"/>
      <w:r>
        <w:rPr>
          <w:rFonts w:hint="eastAsia" w:ascii="仿宋" w:hAnsi="仿宋" w:eastAsia="仿宋"/>
          <w:b w:val="0"/>
          <w:color w:val="000000"/>
        </w:rPr>
        <w:t>收入支出决算总表</w:t>
      </w:r>
    </w:p>
    <w:p>
      <w:pPr>
        <w:pStyle w:val="3"/>
        <w:rPr>
          <w:rFonts w:ascii="仿宋" w:hAnsi="仿宋" w:eastAsia="仿宋"/>
          <w:color w:val="000000"/>
        </w:rPr>
      </w:pPr>
      <w:r>
        <w:rPr>
          <w:rFonts w:hint="eastAsia" w:ascii="仿宋" w:hAnsi="仿宋" w:eastAsia="仿宋"/>
          <w:b w:val="0"/>
          <w:color w:val="000000"/>
        </w:rPr>
        <w:t>二、收</w:t>
      </w:r>
      <w:r>
        <w:rPr>
          <w:rStyle w:val="27"/>
          <w:rFonts w:hint="eastAsia" w:ascii="仿宋" w:hAnsi="仿宋" w:eastAsia="仿宋"/>
          <w:b w:val="0"/>
          <w:bCs w:val="0"/>
        </w:rPr>
        <w:t>入总表</w:t>
      </w:r>
      <w:bookmarkEnd w:id="62"/>
    </w:p>
    <w:p>
      <w:pPr>
        <w:pStyle w:val="3"/>
        <w:rPr>
          <w:rFonts w:ascii="仿宋" w:hAnsi="仿宋" w:eastAsia="仿宋"/>
          <w:color w:val="000000"/>
        </w:rPr>
      </w:pPr>
      <w:bookmarkStart w:id="63" w:name="_Toc15396621"/>
      <w:r>
        <w:rPr>
          <w:rStyle w:val="27"/>
          <w:rFonts w:hint="eastAsia" w:ascii="仿宋" w:hAnsi="仿宋" w:eastAsia="仿宋"/>
          <w:b w:val="0"/>
          <w:bCs w:val="0"/>
        </w:rPr>
        <w:t>三、</w:t>
      </w:r>
      <w:r>
        <w:rPr>
          <w:rFonts w:hint="eastAsia" w:ascii="仿宋" w:hAnsi="仿宋" w:eastAsia="仿宋"/>
          <w:b w:val="0"/>
          <w:color w:val="000000"/>
        </w:rPr>
        <w:t>支</w:t>
      </w:r>
      <w:r>
        <w:rPr>
          <w:rStyle w:val="27"/>
          <w:rFonts w:hint="eastAsia" w:ascii="仿宋" w:hAnsi="仿宋" w:eastAsia="仿宋"/>
          <w:b w:val="0"/>
          <w:bCs w:val="0"/>
        </w:rPr>
        <w:t>出总表</w:t>
      </w:r>
      <w:bookmarkEnd w:id="63"/>
    </w:p>
    <w:p>
      <w:pPr>
        <w:pStyle w:val="3"/>
        <w:rPr>
          <w:rFonts w:ascii="仿宋" w:hAnsi="仿宋" w:eastAsia="仿宋"/>
          <w:b w:val="0"/>
          <w:color w:val="000000"/>
        </w:rPr>
      </w:pPr>
      <w:bookmarkStart w:id="64" w:name="_Toc15396622"/>
      <w:r>
        <w:rPr>
          <w:rStyle w:val="27"/>
          <w:rFonts w:hint="eastAsia" w:ascii="仿宋" w:hAnsi="仿宋" w:eastAsia="仿宋"/>
          <w:b w:val="0"/>
          <w:bCs w:val="0"/>
        </w:rPr>
        <w:t>四、</w:t>
      </w:r>
      <w:r>
        <w:rPr>
          <w:rFonts w:hint="eastAsia" w:ascii="仿宋" w:hAnsi="仿宋" w:eastAsia="仿宋"/>
          <w:b w:val="0"/>
          <w:color w:val="000000"/>
        </w:rPr>
        <w:t>财</w:t>
      </w:r>
      <w:r>
        <w:rPr>
          <w:rStyle w:val="27"/>
          <w:rFonts w:hint="eastAsia" w:ascii="仿宋" w:hAnsi="仿宋" w:eastAsia="仿宋"/>
          <w:b w:val="0"/>
          <w:bCs w:val="0"/>
        </w:rPr>
        <w:t>政拨款收入支出决算总表</w:t>
      </w:r>
      <w:bookmarkEnd w:id="64"/>
    </w:p>
    <w:p>
      <w:pPr>
        <w:pStyle w:val="3"/>
        <w:rPr>
          <w:rFonts w:ascii="仿宋" w:hAnsi="仿宋" w:eastAsia="仿宋"/>
          <w:color w:val="000000"/>
        </w:rPr>
      </w:pPr>
      <w:bookmarkStart w:id="65" w:name="_Toc15396623"/>
      <w:r>
        <w:rPr>
          <w:rStyle w:val="27"/>
          <w:rFonts w:hint="eastAsia" w:ascii="仿宋" w:hAnsi="仿宋" w:eastAsia="仿宋"/>
          <w:b w:val="0"/>
          <w:bCs w:val="0"/>
        </w:rPr>
        <w:t>五、</w:t>
      </w:r>
      <w:r>
        <w:rPr>
          <w:rFonts w:hint="eastAsia" w:ascii="仿宋" w:hAnsi="仿宋" w:eastAsia="仿宋"/>
          <w:b w:val="0"/>
          <w:color w:val="000000"/>
        </w:rPr>
        <w:t>财</w:t>
      </w:r>
      <w:r>
        <w:rPr>
          <w:rStyle w:val="27"/>
          <w:rFonts w:hint="eastAsia" w:ascii="仿宋" w:hAnsi="仿宋" w:eastAsia="仿宋"/>
          <w:b w:val="0"/>
          <w:bCs w:val="0"/>
        </w:rPr>
        <w:t>政拨款支出决算明细表（政府经济分类科目）</w:t>
      </w:r>
      <w:bookmarkEnd w:id="65"/>
    </w:p>
    <w:p>
      <w:pPr>
        <w:pStyle w:val="3"/>
        <w:rPr>
          <w:rFonts w:ascii="仿宋" w:hAnsi="仿宋" w:eastAsia="仿宋"/>
          <w:color w:val="000000"/>
        </w:rPr>
      </w:pPr>
      <w:bookmarkStart w:id="66" w:name="_Toc15396624"/>
      <w:r>
        <w:rPr>
          <w:rStyle w:val="27"/>
          <w:rFonts w:hint="eastAsia" w:ascii="仿宋" w:hAnsi="仿宋" w:eastAsia="仿宋"/>
          <w:b w:val="0"/>
          <w:bCs w:val="0"/>
        </w:rPr>
        <w:t>六、</w:t>
      </w:r>
      <w:r>
        <w:rPr>
          <w:rFonts w:hint="eastAsia" w:ascii="仿宋" w:hAnsi="仿宋" w:eastAsia="仿宋"/>
          <w:b w:val="0"/>
          <w:color w:val="000000"/>
        </w:rPr>
        <w:t>一</w:t>
      </w:r>
      <w:r>
        <w:rPr>
          <w:rStyle w:val="27"/>
          <w:rFonts w:hint="eastAsia" w:ascii="仿宋" w:hAnsi="仿宋" w:eastAsia="仿宋"/>
          <w:b w:val="0"/>
          <w:bCs w:val="0"/>
        </w:rPr>
        <w:t>般公共预算财政拨款支出决算表</w:t>
      </w:r>
      <w:bookmarkEnd w:id="66"/>
    </w:p>
    <w:p>
      <w:pPr>
        <w:pStyle w:val="3"/>
        <w:rPr>
          <w:rFonts w:ascii="仿宋" w:hAnsi="仿宋" w:eastAsia="仿宋"/>
          <w:color w:val="000000"/>
        </w:rPr>
      </w:pPr>
      <w:bookmarkStart w:id="67" w:name="_Toc15396625"/>
      <w:r>
        <w:rPr>
          <w:rStyle w:val="27"/>
          <w:rFonts w:hint="eastAsia" w:ascii="仿宋" w:hAnsi="仿宋" w:eastAsia="仿宋"/>
          <w:b w:val="0"/>
          <w:bCs w:val="0"/>
        </w:rPr>
        <w:t>七、</w:t>
      </w:r>
      <w:r>
        <w:rPr>
          <w:rFonts w:hint="eastAsia" w:ascii="仿宋" w:hAnsi="仿宋" w:eastAsia="仿宋"/>
          <w:b w:val="0"/>
          <w:color w:val="000000"/>
        </w:rPr>
        <w:t>一</w:t>
      </w:r>
      <w:r>
        <w:rPr>
          <w:rStyle w:val="27"/>
          <w:rFonts w:hint="eastAsia" w:ascii="仿宋" w:hAnsi="仿宋" w:eastAsia="仿宋"/>
          <w:b w:val="0"/>
          <w:bCs w:val="0"/>
        </w:rPr>
        <w:t>般公共预算财政拨款支出决算明细表</w:t>
      </w:r>
      <w:bookmarkEnd w:id="67"/>
    </w:p>
    <w:p>
      <w:pPr>
        <w:pStyle w:val="3"/>
        <w:rPr>
          <w:rFonts w:ascii="仿宋" w:hAnsi="仿宋" w:eastAsia="仿宋"/>
          <w:color w:val="000000"/>
        </w:rPr>
      </w:pPr>
      <w:bookmarkStart w:id="68" w:name="_Toc15396626"/>
      <w:r>
        <w:rPr>
          <w:rStyle w:val="27"/>
          <w:rFonts w:hint="eastAsia" w:ascii="仿宋" w:hAnsi="仿宋" w:eastAsia="仿宋"/>
          <w:b w:val="0"/>
          <w:bCs w:val="0"/>
        </w:rPr>
        <w:t>八、</w:t>
      </w:r>
      <w:r>
        <w:rPr>
          <w:rFonts w:hint="eastAsia" w:ascii="仿宋" w:hAnsi="仿宋" w:eastAsia="仿宋"/>
          <w:b w:val="0"/>
          <w:color w:val="000000"/>
        </w:rPr>
        <w:t>一</w:t>
      </w:r>
      <w:r>
        <w:rPr>
          <w:rStyle w:val="27"/>
          <w:rFonts w:hint="eastAsia" w:ascii="仿宋" w:hAnsi="仿宋" w:eastAsia="仿宋"/>
          <w:b w:val="0"/>
          <w:bCs w:val="0"/>
        </w:rPr>
        <w:t>般公共预算财政拨款基本支出决算表</w:t>
      </w:r>
      <w:bookmarkEnd w:id="68"/>
    </w:p>
    <w:p>
      <w:pPr>
        <w:pStyle w:val="3"/>
        <w:rPr>
          <w:rFonts w:ascii="仿宋" w:hAnsi="仿宋" w:eastAsia="仿宋"/>
          <w:color w:val="000000"/>
        </w:rPr>
      </w:pPr>
      <w:bookmarkStart w:id="69" w:name="_Toc15396627"/>
      <w:r>
        <w:rPr>
          <w:rStyle w:val="27"/>
          <w:rFonts w:hint="eastAsia" w:ascii="仿宋" w:hAnsi="仿宋" w:eastAsia="仿宋"/>
          <w:b w:val="0"/>
          <w:bCs w:val="0"/>
        </w:rPr>
        <w:t>九、</w:t>
      </w:r>
      <w:r>
        <w:rPr>
          <w:rFonts w:hint="eastAsia" w:ascii="仿宋" w:hAnsi="仿宋" w:eastAsia="仿宋"/>
          <w:b w:val="0"/>
          <w:color w:val="000000"/>
        </w:rPr>
        <w:t>一</w:t>
      </w:r>
      <w:r>
        <w:rPr>
          <w:rStyle w:val="27"/>
          <w:rFonts w:hint="eastAsia" w:ascii="仿宋" w:hAnsi="仿宋" w:eastAsia="仿宋"/>
          <w:b w:val="0"/>
          <w:bCs w:val="0"/>
        </w:rPr>
        <w:t>般公共预算财政拨款项目支出决算表</w:t>
      </w:r>
      <w:bookmarkEnd w:id="69"/>
    </w:p>
    <w:p>
      <w:pPr>
        <w:pStyle w:val="3"/>
        <w:rPr>
          <w:rFonts w:ascii="仿宋" w:hAnsi="仿宋" w:eastAsia="仿宋"/>
          <w:color w:val="000000"/>
        </w:rPr>
      </w:pPr>
      <w:bookmarkStart w:id="70" w:name="_Toc15396628"/>
      <w:r>
        <w:rPr>
          <w:rStyle w:val="27"/>
          <w:rFonts w:hint="eastAsia" w:ascii="仿宋" w:hAnsi="仿宋" w:eastAsia="仿宋"/>
          <w:b w:val="0"/>
          <w:bCs w:val="0"/>
        </w:rPr>
        <w:t>十、</w:t>
      </w:r>
      <w:r>
        <w:rPr>
          <w:rFonts w:hint="eastAsia" w:ascii="仿宋" w:hAnsi="仿宋" w:eastAsia="仿宋"/>
          <w:b w:val="0"/>
          <w:color w:val="000000"/>
        </w:rPr>
        <w:t>一</w:t>
      </w:r>
      <w:r>
        <w:rPr>
          <w:rStyle w:val="27"/>
          <w:rFonts w:hint="eastAsia" w:ascii="仿宋" w:hAnsi="仿宋" w:eastAsia="仿宋"/>
          <w:b w:val="0"/>
          <w:bCs w:val="0"/>
        </w:rPr>
        <w:t>般公共预算财政拨款“三公”经费支出决算表</w:t>
      </w:r>
      <w:bookmarkEnd w:id="70"/>
    </w:p>
    <w:p>
      <w:pPr>
        <w:pStyle w:val="3"/>
        <w:rPr>
          <w:rFonts w:ascii="仿宋" w:hAnsi="仿宋" w:eastAsia="仿宋"/>
          <w:color w:val="000000"/>
        </w:rPr>
      </w:pPr>
      <w:bookmarkStart w:id="71" w:name="_Toc15396629"/>
      <w:r>
        <w:rPr>
          <w:rStyle w:val="27"/>
          <w:rFonts w:hint="eastAsia" w:ascii="仿宋" w:hAnsi="仿宋" w:eastAsia="仿宋"/>
          <w:b w:val="0"/>
          <w:bCs w:val="0"/>
        </w:rPr>
        <w:t>十一、</w:t>
      </w:r>
      <w:r>
        <w:rPr>
          <w:rFonts w:hint="eastAsia" w:ascii="仿宋" w:hAnsi="仿宋" w:eastAsia="仿宋"/>
          <w:b w:val="0"/>
          <w:color w:val="000000"/>
        </w:rPr>
        <w:t>政</w:t>
      </w:r>
      <w:r>
        <w:rPr>
          <w:rStyle w:val="27"/>
          <w:rFonts w:hint="eastAsia" w:ascii="仿宋" w:hAnsi="仿宋" w:eastAsia="仿宋"/>
          <w:b w:val="0"/>
          <w:bCs w:val="0"/>
        </w:rPr>
        <w:t>府性基金预算财政拨款收入支出决算表</w:t>
      </w:r>
      <w:bookmarkEnd w:id="71"/>
    </w:p>
    <w:p>
      <w:pPr>
        <w:pStyle w:val="3"/>
        <w:rPr>
          <w:rFonts w:ascii="仿宋" w:hAnsi="仿宋" w:eastAsia="仿宋"/>
          <w:color w:val="000000"/>
        </w:rPr>
      </w:pPr>
      <w:bookmarkStart w:id="72" w:name="_Toc15396630"/>
      <w:r>
        <w:rPr>
          <w:rStyle w:val="27"/>
          <w:rFonts w:hint="eastAsia" w:ascii="仿宋" w:hAnsi="仿宋" w:eastAsia="仿宋"/>
          <w:b w:val="0"/>
          <w:bCs w:val="0"/>
        </w:rPr>
        <w:t>十二、</w:t>
      </w:r>
      <w:r>
        <w:rPr>
          <w:rFonts w:hint="eastAsia" w:ascii="仿宋" w:hAnsi="仿宋" w:eastAsia="仿宋"/>
          <w:b w:val="0"/>
          <w:color w:val="000000"/>
        </w:rPr>
        <w:t>政</w:t>
      </w:r>
      <w:r>
        <w:rPr>
          <w:rStyle w:val="27"/>
          <w:rFonts w:hint="eastAsia" w:ascii="仿宋" w:hAnsi="仿宋" w:eastAsia="仿宋"/>
          <w:b w:val="0"/>
          <w:bCs w:val="0"/>
        </w:rPr>
        <w:t>府性基金预算财政拨款“三公”经费支出决算表</w:t>
      </w:r>
      <w:bookmarkEnd w:id="72"/>
    </w:p>
    <w:p>
      <w:pPr>
        <w:pStyle w:val="3"/>
        <w:rPr>
          <w:rStyle w:val="27"/>
          <w:rFonts w:hint="eastAsia" w:ascii="仿宋" w:hAnsi="仿宋" w:eastAsia="仿宋"/>
          <w:b w:val="0"/>
          <w:bCs w:val="0"/>
        </w:rPr>
      </w:pPr>
      <w:bookmarkStart w:id="73" w:name="_Toc15396631"/>
      <w:r>
        <w:rPr>
          <w:rStyle w:val="27"/>
          <w:rFonts w:hint="eastAsia" w:ascii="仿宋" w:hAnsi="仿宋" w:eastAsia="仿宋"/>
          <w:b w:val="0"/>
          <w:bCs w:val="0"/>
        </w:rPr>
        <w:t>十三、</w:t>
      </w:r>
      <w:r>
        <w:rPr>
          <w:rFonts w:hint="eastAsia" w:ascii="仿宋" w:hAnsi="仿宋" w:eastAsia="仿宋"/>
          <w:b w:val="0"/>
          <w:color w:val="000000"/>
        </w:rPr>
        <w:t>国</w:t>
      </w:r>
      <w:r>
        <w:rPr>
          <w:rStyle w:val="27"/>
          <w:rFonts w:hint="eastAsia" w:ascii="仿宋" w:hAnsi="仿宋" w:eastAsia="仿宋"/>
          <w:b w:val="0"/>
          <w:bCs w:val="0"/>
        </w:rPr>
        <w:t>有资本经营预算支出决算表</w:t>
      </w:r>
      <w:bookmarkEnd w:id="73"/>
    </w:p>
    <w:p>
      <w:pPr>
        <w:rPr>
          <w:rStyle w:val="27"/>
          <w:rFonts w:hint="eastAsia" w:ascii="仿宋" w:hAnsi="仿宋" w:eastAsia="仿宋"/>
          <w:b w:val="0"/>
          <w:bCs w:val="0"/>
          <w:lang w:val="en-US" w:eastAsia="zh-CN" w:bidi="ar-SA"/>
        </w:rPr>
      </w:pPr>
      <w:r>
        <w:rPr>
          <w:rStyle w:val="27"/>
          <w:rFonts w:hint="eastAsia" w:ascii="仿宋" w:hAnsi="仿宋" w:eastAsia="仿宋"/>
          <w:b w:val="0"/>
          <w:bCs w:val="0"/>
          <w:lang w:val="en-US" w:eastAsia="zh-CN" w:bidi="ar-SA"/>
        </w:rPr>
        <w:t>十四、2018年红原县部门整体支出绩效评价得分情况表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宋?">
    <w:altName w:val="Malgun Gothic"/>
    <w:panose1 w:val="00000000000000000000"/>
    <w:charset w:val="81"/>
    <w:family w:val="roman"/>
    <w:pitch w:val="default"/>
    <w:sig w:usb0="00000000" w:usb1="00000000" w:usb2="00000010" w:usb3="00000000" w:csb0="0008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algun Gothic">
    <w:panose1 w:val="020B0503020000020004"/>
    <w:charset w:val="81"/>
    <w:family w:val="auto"/>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9"/>
          <w:jc w:val="center"/>
        </w:pPr>
        <w:r>
          <w:fldChar w:fldCharType="begin"/>
        </w:r>
        <w:r>
          <w:instrText xml:space="preserve">PAGE   \* MERGEFORMAT</w:instrText>
        </w:r>
        <w:r>
          <w:fldChar w:fldCharType="separate"/>
        </w:r>
        <w:r>
          <w:rPr>
            <w:lang w:val="zh-CN"/>
          </w:rPr>
          <w:t>8</w:t>
        </w:r>
        <w:r>
          <w:rPr>
            <w:lang w:val="zh-CN"/>
          </w:rPr>
          <w:fldChar w:fldCharType="end"/>
        </w:r>
      </w:p>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D1A4BB"/>
    <w:multiLevelType w:val="singleLevel"/>
    <w:tmpl w:val="A6D1A4BB"/>
    <w:lvl w:ilvl="0" w:tentative="0">
      <w:start w:val="1"/>
      <w:numFmt w:val="decimal"/>
      <w:lvlText w:val="%1."/>
      <w:lvlJc w:val="left"/>
      <w:pPr>
        <w:tabs>
          <w:tab w:val="left" w:pos="312"/>
        </w:tabs>
      </w:pPr>
    </w:lvl>
  </w:abstractNum>
  <w:abstractNum w:abstractNumId="1">
    <w:nsid w:val="BD769E88"/>
    <w:multiLevelType w:val="singleLevel"/>
    <w:tmpl w:val="BD769E88"/>
    <w:lvl w:ilvl="0" w:tentative="0">
      <w:start w:val="2"/>
      <w:numFmt w:val="chineseCounting"/>
      <w:suff w:val="nothing"/>
      <w:lvlText w:val="（%1）"/>
      <w:lvlJc w:val="left"/>
      <w:rPr>
        <w:rFonts w:hint="eastAsia"/>
      </w:rPr>
    </w:lvl>
  </w:abstractNum>
  <w:abstractNum w:abstractNumId="2">
    <w:nsid w:val="CF652CEC"/>
    <w:multiLevelType w:val="singleLevel"/>
    <w:tmpl w:val="CF652CEC"/>
    <w:lvl w:ilvl="0" w:tentative="0">
      <w:start w:val="9"/>
      <w:numFmt w:val="chineseCounting"/>
      <w:suff w:val="nothing"/>
      <w:lvlText w:val="%1、"/>
      <w:lvlJc w:val="left"/>
      <w:rPr>
        <w:rFonts w:hint="eastAsia"/>
      </w:rPr>
    </w:lvl>
  </w:abstractNum>
  <w:abstractNum w:abstractNumId="3">
    <w:nsid w:val="E2FA047D"/>
    <w:multiLevelType w:val="singleLevel"/>
    <w:tmpl w:val="E2FA047D"/>
    <w:lvl w:ilvl="0" w:tentative="0">
      <w:start w:val="3"/>
      <w:numFmt w:val="chineseCounting"/>
      <w:suff w:val="space"/>
      <w:lvlText w:val="第%1部分"/>
      <w:lvlJc w:val="left"/>
      <w:rPr>
        <w:rFonts w:hint="eastAsia"/>
      </w:r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5">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6">
    <w:nsid w:val="5680EC16"/>
    <w:multiLevelType w:val="singleLevel"/>
    <w:tmpl w:val="5680EC16"/>
    <w:lvl w:ilvl="0" w:tentative="0">
      <w:start w:val="1"/>
      <w:numFmt w:val="decimal"/>
      <w:lvlText w:val="%1."/>
      <w:lvlJc w:val="left"/>
      <w:pPr>
        <w:tabs>
          <w:tab w:val="left" w:pos="312"/>
        </w:tabs>
      </w:pPr>
    </w:lvl>
  </w:abstractNum>
  <w:abstractNum w:abstractNumId="7">
    <w:nsid w:val="5D5382B5"/>
    <w:multiLevelType w:val="singleLevel"/>
    <w:tmpl w:val="5D5382B5"/>
    <w:lvl w:ilvl="0" w:tentative="0">
      <w:start w:val="1"/>
      <w:numFmt w:val="chineseCounting"/>
      <w:suff w:val="nothing"/>
      <w:lvlText w:val="%1、"/>
      <w:lvlJc w:val="left"/>
    </w:lvl>
  </w:abstractNum>
  <w:num w:numId="1">
    <w:abstractNumId w:val="4"/>
  </w:num>
  <w:num w:numId="2">
    <w:abstractNumId w:val="0"/>
  </w:num>
  <w:num w:numId="3">
    <w:abstractNumId w:val="6"/>
  </w:num>
  <w:num w:numId="4">
    <w:abstractNumId w:val="2"/>
  </w:num>
  <w:num w:numId="5">
    <w:abstractNumId w:val="5"/>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970D8"/>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3774B"/>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AE475C"/>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0EBF"/>
    <w:rsid w:val="00DC410D"/>
    <w:rsid w:val="00DC68CA"/>
    <w:rsid w:val="00DC7CBA"/>
    <w:rsid w:val="00DD73B7"/>
    <w:rsid w:val="00DF28BC"/>
    <w:rsid w:val="00DF34B9"/>
    <w:rsid w:val="00E01053"/>
    <w:rsid w:val="00E05B74"/>
    <w:rsid w:val="00E07ACF"/>
    <w:rsid w:val="00E331A1"/>
    <w:rsid w:val="00E33202"/>
    <w:rsid w:val="00E336A9"/>
    <w:rsid w:val="00E50624"/>
    <w:rsid w:val="00E568DF"/>
    <w:rsid w:val="00E64269"/>
    <w:rsid w:val="00E82267"/>
    <w:rsid w:val="00EA010F"/>
    <w:rsid w:val="00ED1B63"/>
    <w:rsid w:val="00ED3C1F"/>
    <w:rsid w:val="00ED4085"/>
    <w:rsid w:val="00ED420E"/>
    <w:rsid w:val="00ED4990"/>
    <w:rsid w:val="00EE2F57"/>
    <w:rsid w:val="00EF4C34"/>
    <w:rsid w:val="00EF77C6"/>
    <w:rsid w:val="00F05438"/>
    <w:rsid w:val="00F1361C"/>
    <w:rsid w:val="00F160C7"/>
    <w:rsid w:val="00F36D8F"/>
    <w:rsid w:val="00F417B1"/>
    <w:rsid w:val="00F602DF"/>
    <w:rsid w:val="00F81FD9"/>
    <w:rsid w:val="00F841AA"/>
    <w:rsid w:val="00FA23E8"/>
    <w:rsid w:val="00FB61EF"/>
    <w:rsid w:val="00FD3CC1"/>
    <w:rsid w:val="00FF1E02"/>
    <w:rsid w:val="00FF30B4"/>
    <w:rsid w:val="047D654F"/>
    <w:rsid w:val="05E20B1D"/>
    <w:rsid w:val="0AFC49FB"/>
    <w:rsid w:val="0BA63D6A"/>
    <w:rsid w:val="0BBF0531"/>
    <w:rsid w:val="0E7E5D4A"/>
    <w:rsid w:val="0E940FB4"/>
    <w:rsid w:val="0ED62A80"/>
    <w:rsid w:val="10C055FF"/>
    <w:rsid w:val="10F529AD"/>
    <w:rsid w:val="120003AF"/>
    <w:rsid w:val="128C0123"/>
    <w:rsid w:val="14197400"/>
    <w:rsid w:val="16BB723D"/>
    <w:rsid w:val="178300E4"/>
    <w:rsid w:val="185A25DF"/>
    <w:rsid w:val="23E836E8"/>
    <w:rsid w:val="240371BF"/>
    <w:rsid w:val="25B46BBD"/>
    <w:rsid w:val="27CB1307"/>
    <w:rsid w:val="29FD04D3"/>
    <w:rsid w:val="2F025852"/>
    <w:rsid w:val="319F7F4E"/>
    <w:rsid w:val="366165E2"/>
    <w:rsid w:val="38B3609F"/>
    <w:rsid w:val="3ABF06FE"/>
    <w:rsid w:val="3CE0514D"/>
    <w:rsid w:val="3EB079F2"/>
    <w:rsid w:val="40033FD0"/>
    <w:rsid w:val="41732B87"/>
    <w:rsid w:val="41C30426"/>
    <w:rsid w:val="445745E8"/>
    <w:rsid w:val="453E098F"/>
    <w:rsid w:val="464A014D"/>
    <w:rsid w:val="4BC4067F"/>
    <w:rsid w:val="51466F68"/>
    <w:rsid w:val="524B64EE"/>
    <w:rsid w:val="533E7084"/>
    <w:rsid w:val="534B47F1"/>
    <w:rsid w:val="53DB3F77"/>
    <w:rsid w:val="56780D83"/>
    <w:rsid w:val="58833E40"/>
    <w:rsid w:val="58F31AF5"/>
    <w:rsid w:val="5B600494"/>
    <w:rsid w:val="5F521761"/>
    <w:rsid w:val="63C24368"/>
    <w:rsid w:val="65CE51C8"/>
    <w:rsid w:val="6B7F3207"/>
    <w:rsid w:val="6BF43633"/>
    <w:rsid w:val="70D35E58"/>
    <w:rsid w:val="75282356"/>
    <w:rsid w:val="780F2DE9"/>
    <w:rsid w:val="79215F4C"/>
    <w:rsid w:val="7D794B7D"/>
    <w:rsid w:val="7DB146BC"/>
    <w:rsid w:val="7E48529E"/>
    <w:rsid w:val="7F902EC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0"/>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Body Text"/>
    <w:basedOn w:val="1"/>
    <w:link w:val="23"/>
    <w:qFormat/>
    <w:uiPriority w:val="99"/>
    <w:pPr>
      <w:spacing w:beforeLines="30"/>
    </w:pPr>
    <w:rPr>
      <w:rFonts w:ascii="仿宋_GB2312" w:eastAsia="仿宋_GB2312"/>
      <w:kern w:val="0"/>
      <w:sz w:val="30"/>
    </w:rPr>
  </w:style>
  <w:style w:type="paragraph" w:styleId="6">
    <w:name w:val="Body Text Indent"/>
    <w:basedOn w:val="1"/>
    <w:qFormat/>
    <w:uiPriority w:val="99"/>
    <w:pPr>
      <w:spacing w:after="120"/>
      <w:ind w:left="420" w:leftChars="200"/>
    </w:pPr>
    <w:rPr>
      <w:szCs w:val="20"/>
    </w:rPr>
  </w:style>
  <w:style w:type="paragraph" w:styleId="7">
    <w:name w:val="toc 3"/>
    <w:basedOn w:val="1"/>
    <w:next w:val="1"/>
    <w:unhideWhenUsed/>
    <w:qFormat/>
    <w:uiPriority w:val="39"/>
    <w:pPr>
      <w:tabs>
        <w:tab w:val="right" w:leader="dot" w:pos="8296"/>
      </w:tabs>
      <w:ind w:left="840" w:leftChars="400"/>
    </w:pPr>
  </w:style>
  <w:style w:type="paragraph" w:styleId="8">
    <w:name w:val="Balloon Text"/>
    <w:basedOn w:val="1"/>
    <w:link w:val="29"/>
    <w:unhideWhenUsed/>
    <w:qFormat/>
    <w:uiPriority w:val="99"/>
    <w:rPr>
      <w:sz w:val="18"/>
      <w:szCs w:val="18"/>
    </w:rPr>
  </w:style>
  <w:style w:type="paragraph" w:styleId="9">
    <w:name w:val="footer"/>
    <w:basedOn w:val="1"/>
    <w:link w:val="21"/>
    <w:qFormat/>
    <w:uiPriority w:val="99"/>
    <w:pPr>
      <w:tabs>
        <w:tab w:val="center" w:pos="4153"/>
        <w:tab w:val="right" w:pos="8306"/>
      </w:tabs>
      <w:snapToGrid w:val="0"/>
      <w:jc w:val="left"/>
    </w:pPr>
    <w:rPr>
      <w:rFonts w:ascii="Calibri" w:hAnsi="Calibri"/>
      <w:kern w:val="0"/>
      <w:sz w:val="18"/>
      <w:szCs w:val="18"/>
    </w:rPr>
  </w:style>
  <w:style w:type="paragraph" w:styleId="10">
    <w:name w:val="header"/>
    <w:basedOn w:val="1"/>
    <w:link w:val="19"/>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1">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2">
    <w:name w:val="toc 2"/>
    <w:basedOn w:val="1"/>
    <w:next w:val="1"/>
    <w:unhideWhenUsed/>
    <w:qFormat/>
    <w:uiPriority w:val="39"/>
    <w:pPr>
      <w:tabs>
        <w:tab w:val="right" w:leader="dot" w:pos="8296"/>
      </w:tabs>
      <w:ind w:left="420" w:leftChars="200"/>
    </w:pPr>
  </w:style>
  <w:style w:type="paragraph" w:styleId="13">
    <w:name w:val="Body Text First Indent 2"/>
    <w:basedOn w:val="6"/>
    <w:qFormat/>
    <w:uiPriority w:val="99"/>
    <w:pPr>
      <w:ind w:firstLine="420" w:firstLineChars="200"/>
    </w:pPr>
  </w:style>
  <w:style w:type="character" w:styleId="16">
    <w:name w:val="Strong"/>
    <w:basedOn w:val="15"/>
    <w:qFormat/>
    <w:uiPriority w:val="99"/>
    <w:rPr>
      <w:b/>
    </w:rPr>
  </w:style>
  <w:style w:type="character" w:styleId="17">
    <w:name w:val="Hyperlink"/>
    <w:basedOn w:val="15"/>
    <w:unhideWhenUsed/>
    <w:qFormat/>
    <w:uiPriority w:val="99"/>
    <w:rPr>
      <w:color w:val="0000FF" w:themeColor="hyperlink"/>
      <w:u w:val="single"/>
    </w:rPr>
  </w:style>
  <w:style w:type="character" w:customStyle="1" w:styleId="18">
    <w:name w:val="Header Char"/>
    <w:basedOn w:val="15"/>
    <w:semiHidden/>
    <w:qFormat/>
    <w:uiPriority w:val="99"/>
    <w:rPr>
      <w:rFonts w:ascii="Times New Roman" w:hAnsi="Times New Roman"/>
      <w:sz w:val="18"/>
      <w:szCs w:val="18"/>
    </w:rPr>
  </w:style>
  <w:style w:type="character" w:customStyle="1" w:styleId="19">
    <w:name w:val="页眉 Char"/>
    <w:link w:val="10"/>
    <w:semiHidden/>
    <w:qFormat/>
    <w:locked/>
    <w:uiPriority w:val="99"/>
    <w:rPr>
      <w:sz w:val="18"/>
    </w:rPr>
  </w:style>
  <w:style w:type="character" w:customStyle="1" w:styleId="20">
    <w:name w:val="Footer Char"/>
    <w:basedOn w:val="15"/>
    <w:semiHidden/>
    <w:qFormat/>
    <w:uiPriority w:val="99"/>
    <w:rPr>
      <w:rFonts w:ascii="Times New Roman" w:hAnsi="Times New Roman"/>
      <w:sz w:val="18"/>
      <w:szCs w:val="18"/>
    </w:rPr>
  </w:style>
  <w:style w:type="character" w:customStyle="1" w:styleId="21">
    <w:name w:val="页脚 Char"/>
    <w:link w:val="9"/>
    <w:qFormat/>
    <w:locked/>
    <w:uiPriority w:val="99"/>
    <w:rPr>
      <w:sz w:val="18"/>
    </w:rPr>
  </w:style>
  <w:style w:type="character" w:customStyle="1" w:styleId="22">
    <w:name w:val="Body Text Char"/>
    <w:basedOn w:val="15"/>
    <w:semiHidden/>
    <w:qFormat/>
    <w:uiPriority w:val="99"/>
    <w:rPr>
      <w:rFonts w:ascii="Times New Roman" w:hAnsi="Times New Roman"/>
      <w:szCs w:val="24"/>
    </w:rPr>
  </w:style>
  <w:style w:type="character" w:customStyle="1" w:styleId="23">
    <w:name w:val="正文文本 Char"/>
    <w:link w:val="5"/>
    <w:qFormat/>
    <w:locked/>
    <w:uiPriority w:val="99"/>
    <w:rPr>
      <w:rFonts w:ascii="仿宋_GB2312" w:hAnsi="Times New Roman" w:eastAsia="仿宋_GB2312"/>
      <w:sz w:val="24"/>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5">
    <w:name w:val="List Paragraph"/>
    <w:basedOn w:val="1"/>
    <w:qFormat/>
    <w:uiPriority w:val="34"/>
    <w:pPr>
      <w:ind w:firstLine="420" w:firstLineChars="200"/>
    </w:pPr>
  </w:style>
  <w:style w:type="character" w:customStyle="1" w:styleId="26">
    <w:name w:val="标题 1 Char"/>
    <w:basedOn w:val="15"/>
    <w:link w:val="2"/>
    <w:qFormat/>
    <w:uiPriority w:val="9"/>
    <w:rPr>
      <w:rFonts w:ascii="Times New Roman" w:hAnsi="Times New Roman"/>
      <w:b/>
      <w:bCs/>
      <w:kern w:val="44"/>
      <w:sz w:val="44"/>
      <w:szCs w:val="44"/>
    </w:rPr>
  </w:style>
  <w:style w:type="character" w:customStyle="1" w:styleId="27">
    <w:name w:val="标题 2 Char"/>
    <w:basedOn w:val="15"/>
    <w:link w:val="3"/>
    <w:qFormat/>
    <w:uiPriority w:val="9"/>
    <w:rPr>
      <w:rFonts w:asciiTheme="majorHAnsi" w:hAnsiTheme="majorHAnsi" w:eastAsiaTheme="majorEastAsia" w:cstheme="majorBidi"/>
      <w:b/>
      <w:bCs/>
      <w:kern w:val="2"/>
      <w:sz w:val="32"/>
      <w:szCs w:val="32"/>
    </w:rPr>
  </w:style>
  <w:style w:type="paragraph" w:customStyle="1" w:styleId="28">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9">
    <w:name w:val="批注框文本 Char"/>
    <w:basedOn w:val="15"/>
    <w:link w:val="8"/>
    <w:semiHidden/>
    <w:qFormat/>
    <w:uiPriority w:val="99"/>
    <w:rPr>
      <w:rFonts w:ascii="Times New Roman" w:hAnsi="Times New Roman"/>
      <w:kern w:val="2"/>
      <w:sz w:val="18"/>
      <w:szCs w:val="18"/>
    </w:rPr>
  </w:style>
  <w:style w:type="character" w:customStyle="1" w:styleId="30">
    <w:name w:val="标题 3 Char"/>
    <w:basedOn w:val="15"/>
    <w:link w:val="4"/>
    <w:qFormat/>
    <w:uiPriority w:val="9"/>
    <w:rPr>
      <w:rFonts w:ascii="Times New Roman" w:hAnsi="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600" b="1" i="0" u="none" strike="noStrike" kern="1200" cap="all" spc="120" normalizeH="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图:2：收入决算结构图</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2018年</c:v>
                </c:pt>
                <c:pt idx="1">
                  <c:v>2017年</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124.8</c:v>
                </c:pt>
                <c:pt idx="1">
                  <c:v>39.03</c:v>
                </c:pt>
              </c:numCache>
            </c:numRef>
          </c:val>
        </c:ser>
        <c:dLbls>
          <c:showLegendKey val="0"/>
          <c:showVal val="1"/>
          <c:showCatName val="0"/>
          <c:showSerName val="0"/>
          <c:showPercent val="0"/>
          <c:showBubbleSize val="0"/>
        </c:dLbls>
        <c:gapWidth val="444"/>
        <c:overlap val="-90"/>
        <c:axId val="355118391"/>
        <c:axId val="347082737"/>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系列 2</c:v>
                      </c:pt>
                    </c:strCache>
                  </c:strRef>
                </c:tx>
                <c:spPr>
                  <a:solidFill>
                    <a:schemeClr val="accent2"/>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extLst>
                      <c:ext uri="{02D57815-91ED-43cb-92C2-25804820EDAC}">
                        <c15:fullRef>
                          <c15:sqref>Sheet1!$A$2:$A$5</c15:sqref>
                        </c15:fullRef>
                        <c15:formulaRef>
                          <c15:sqref>Sheet1!$A$2:$A$3</c15:sqref>
                        </c15:formulaRef>
                      </c:ext>
                    </c:extLst>
                    <c:strCache>
                      <c:ptCount val="2"/>
                      <c:pt idx="0">
                        <c:v>2018年</c:v>
                      </c:pt>
                      <c:pt idx="1">
                        <c:v>2017年</c:v>
                      </c:pt>
                    </c:strCache>
                  </c:strRef>
                </c:cat>
                <c:val>
                  <c:numRef>
                    <c:extLst>
                      <c:ext uri="{02D57815-91ED-43cb-92C2-25804820EDAC}">
                        <c15:fullRef>
                          <c15:sqref>Sheet1!$C$2:$C$5</c15:sqref>
                        </c15:fullRef>
                        <c15:formulaRef>
                          <c15:sqref>Sheet1!$C$2:$C$3</c15:sqref>
                        </c15:formulaRef>
                      </c:ext>
                    </c:extLst>
                    <c:numCache>
                      <c:formatCode>General</c:formatCode>
                      <c:ptCount val="2"/>
                      <c:pt idx="0">
                        <c:v>2.4</c:v>
                      </c:pt>
                      <c:pt idx="1">
                        <c:v>4.4</c:v>
                      </c:pt>
                    </c:numCache>
                  </c:numRef>
                </c:val>
              </c15:ser>
            </c15:filteredBarSeries>
            <c15:filteredBarSeries>
              <c15:ser>
                <c:idx val="2"/>
                <c:order val="2"/>
                <c:tx>
                  <c:strRef>
                    <c:extLst>
                      <c:ext uri="{02D57815-91ED-43cb-92C2-25804820EDAC}">
                        <c15:formulaRef>
                          <c15:sqref>Sheet1!$D$1</c15:sqref>
                        </c15:formulaRef>
                      </c:ext>
                    </c:extLst>
                    <c:strCache>
                      <c:ptCount val="1"/>
                      <c:pt idx="0">
                        <c:v>系列 3</c:v>
                      </c:pt>
                    </c:strCache>
                  </c:strRef>
                </c:tx>
                <c:spPr>
                  <a:solidFill>
                    <a:schemeClr val="accent3"/>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extLst>
                      <c:ext uri="{02D57815-91ED-43cb-92C2-25804820EDAC}">
                        <c15:fullRef>
                          <c15:sqref>Sheet1!$A$2:$A$5</c15:sqref>
                        </c15:fullRef>
                        <c15:formulaRef>
                          <c15:sqref>Sheet1!$A$2:$A$3</c15:sqref>
                        </c15:formulaRef>
                      </c:ext>
                    </c:extLst>
                    <c:strCache>
                      <c:ptCount val="2"/>
                      <c:pt idx="0">
                        <c:v>2018年</c:v>
                      </c:pt>
                      <c:pt idx="1">
                        <c:v>2017年</c:v>
                      </c:pt>
                    </c:strCache>
                  </c:strRef>
                </c:cat>
                <c:val>
                  <c:numRef>
                    <c:extLst>
                      <c:ext uri="{02D57815-91ED-43cb-92C2-25804820EDAC}">
                        <c15:fullRef>
                          <c15:sqref>Sheet1!$D$2:$D$5</c15:sqref>
                        </c15:fullRef>
                        <c15:formulaRef>
                          <c15:sqref>Sheet1!$D$2:$D$3</c15:sqref>
                        </c15:formulaRef>
                      </c:ext>
                    </c:extLst>
                    <c:numCache>
                      <c:formatCode>General</c:formatCode>
                      <c:ptCount val="2"/>
                      <c:pt idx="0">
                        <c:v>2</c:v>
                      </c:pt>
                      <c:pt idx="1">
                        <c:v>2</c:v>
                      </c:pt>
                    </c:numCache>
                  </c:numRef>
                </c:val>
              </c15:ser>
            </c15:filteredBarSeries>
          </c:ext>
        </c:extLst>
      </c:barChart>
      <c:catAx>
        <c:axId val="355118391"/>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cap="all" spc="120" normalizeH="0" baseline="0">
                <a:solidFill>
                  <a:schemeClr val="tx1">
                    <a:lumMod val="65000"/>
                    <a:lumOff val="35000"/>
                  </a:schemeClr>
                </a:solidFill>
                <a:latin typeface="+mn-lt"/>
                <a:ea typeface="+mn-ea"/>
                <a:cs typeface="+mn-cs"/>
              </a:defRPr>
            </a:pPr>
          </a:p>
        </c:txPr>
        <c:crossAx val="347082737"/>
        <c:crosses val="autoZero"/>
        <c:auto val="1"/>
        <c:lblAlgn val="ctr"/>
        <c:lblOffset val="100"/>
        <c:noMultiLvlLbl val="0"/>
      </c:catAx>
      <c:valAx>
        <c:axId val="347082737"/>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55118391"/>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图2：收入决算结构图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其他收入</c:v>
                </c:pt>
              </c:strCache>
            </c:strRef>
          </c:cat>
          <c:val>
            <c:numRef>
              <c:f>Sheet1!$B$2:$B$5</c:f>
              <c:numCache>
                <c:formatCode>General</c:formatCode>
                <c:ptCount val="4"/>
                <c:pt idx="0">
                  <c:v>106.84</c:v>
                </c:pt>
                <c:pt idx="1">
                  <c:v>0.1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图3：支出决算结构图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Sheet1!$B$2:$B$5</c:f>
              <c:numCache>
                <c:formatCode>General</c:formatCode>
                <c:ptCount val="4"/>
                <c:pt idx="0">
                  <c:v>106.84</c:v>
                </c:pt>
                <c:pt idx="1">
                  <c:v>17.86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22251344967852"/>
          <c:y val="0.254371147433269"/>
          <c:w val="0.945"/>
          <c:h val="0.625748218527316"/>
        </c:manualLayout>
      </c:layout>
      <c:barChart>
        <c:barDir val="col"/>
        <c:grouping val="clustered"/>
        <c:varyColors val="0"/>
        <c:ser>
          <c:idx val="0"/>
          <c:order val="0"/>
          <c:tx>
            <c:strRef>
              <c:f>Sheet1!$B$1</c:f>
              <c:strCache>
                <c:ptCount val="1"/>
                <c:pt idx="0">
                  <c:v>图4：财政拨款收支决算总计变动表</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2018年</c:v>
                </c:pt>
                <c:pt idx="1">
                  <c:v>2017年</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124.7</c:v>
                </c:pt>
                <c:pt idx="1">
                  <c:v>39.03</c:v>
                </c:pt>
              </c:numCache>
            </c:numRef>
          </c:val>
        </c:ser>
        <c:dLbls>
          <c:showLegendKey val="0"/>
          <c:showVal val="1"/>
          <c:showCatName val="0"/>
          <c:showSerName val="0"/>
          <c:showPercent val="0"/>
          <c:showBubbleSize val="0"/>
        </c:dLbls>
        <c:gapWidth val="150"/>
        <c:overlap val="-25"/>
        <c:axId val="709546235"/>
        <c:axId val="788844032"/>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系列 2</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2018年</c:v>
                      </c:pt>
                      <c:pt idx="1">
                        <c:v>2017年</c:v>
                      </c:pt>
                    </c:strCache>
                  </c:strRef>
                </c:cat>
                <c:val>
                  <c:numRef>
                    <c:extLst>
                      <c:ext uri="{02D57815-91ED-43cb-92C2-25804820EDAC}">
                        <c15:fullRef>
                          <c15:sqref>Sheet1!$C$2:$C$5</c15:sqref>
                        </c15:fullRef>
                        <c15:formulaRef>
                          <c15:sqref>Sheet1!$C$2:$C$3</c15:sqref>
                        </c15:formulaRef>
                      </c:ext>
                    </c:extLst>
                    <c:numCache>
                      <c:formatCode>General</c:formatCode>
                      <c:ptCount val="2"/>
                      <c:pt idx="0">
                        <c:v>2.4</c:v>
                      </c:pt>
                      <c:pt idx="1">
                        <c:v>4.4</c:v>
                      </c:pt>
                    </c:numCache>
                  </c:numRef>
                </c:val>
              </c15:ser>
            </c15:filteredBarSeries>
            <c15:filteredBarSeries>
              <c15:ser>
                <c:idx val="2"/>
                <c:order val="2"/>
                <c:tx>
                  <c:strRef>
                    <c:extLst>
                      <c:ext uri="{02D57815-91ED-43cb-92C2-25804820EDAC}">
                        <c15:formulaRef>
                          <c15:sqref>Sheet1!$D$1</c15:sqref>
                        </c15:formulaRef>
                      </c:ext>
                    </c:extLst>
                    <c:strCache>
                      <c:ptCount val="1"/>
                      <c:pt idx="0">
                        <c:v>系列 3</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2018年</c:v>
                      </c:pt>
                      <c:pt idx="1">
                        <c:v>2017年</c:v>
                      </c:pt>
                    </c:strCache>
                  </c:strRef>
                </c:cat>
                <c:val>
                  <c:numRef>
                    <c:extLst>
                      <c:ext uri="{02D57815-91ED-43cb-92C2-25804820EDAC}">
                        <c15:fullRef>
                          <c15:sqref>Sheet1!$D$2:$D$5</c15:sqref>
                        </c15:fullRef>
                        <c15:formulaRef>
                          <c15:sqref>Sheet1!$D$2:$D$3</c15:sqref>
                        </c15:formulaRef>
                      </c:ext>
                    </c:extLst>
                    <c:numCache>
                      <c:formatCode>General</c:formatCode>
                      <c:ptCount val="2"/>
                      <c:pt idx="0">
                        <c:v>2</c:v>
                      </c:pt>
                      <c:pt idx="1">
                        <c:v>2</c:v>
                      </c:pt>
                    </c:numCache>
                  </c:numRef>
                </c:val>
              </c15:ser>
            </c15:filteredBarSeries>
          </c:ext>
        </c:extLst>
      </c:barChart>
      <c:catAx>
        <c:axId val="7095462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8844032"/>
        <c:crosses val="autoZero"/>
        <c:auto val="1"/>
        <c:lblAlgn val="ctr"/>
        <c:lblOffset val="100"/>
        <c:noMultiLvlLbl val="0"/>
      </c:catAx>
      <c:valAx>
        <c:axId val="788844032"/>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546235"/>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476742687797964"/>
          <c:y val="0.389518211212181"/>
          <c:w val="0.943306274964566"/>
          <c:h val="0.462925598991173"/>
        </c:manualLayout>
      </c:layout>
      <c:barChart>
        <c:barDir val="col"/>
        <c:grouping val="clustered"/>
        <c:varyColors val="0"/>
        <c:ser>
          <c:idx val="0"/>
          <c:order val="0"/>
          <c:tx>
            <c:strRef>
              <c:f>Sheet1!$B$1</c:f>
              <c:strCache>
                <c:ptCount val="1"/>
                <c:pt idx="0">
                  <c:v>图5：一般公共预算财政拨款支出决算变动表</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Sheet1!$A$2:$A$3</c:f>
              <c:strCache>
                <c:ptCount val="2"/>
                <c:pt idx="0">
                  <c:v>2018年</c:v>
                </c:pt>
                <c:pt idx="1">
                  <c:v>2017年</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124.7</c:v>
                </c:pt>
                <c:pt idx="1">
                  <c:v>85.66</c:v>
                </c:pt>
              </c:numCache>
            </c:numRef>
          </c:val>
        </c:ser>
        <c:dLbls>
          <c:showLegendKey val="0"/>
          <c:showVal val="1"/>
          <c:showCatName val="0"/>
          <c:showSerName val="0"/>
          <c:showPercent val="0"/>
          <c:showBubbleSize val="0"/>
        </c:dLbls>
        <c:gapWidth val="150"/>
        <c:overlap val="-25"/>
        <c:axId val="607423741"/>
        <c:axId val="696050865"/>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系列 2</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2018年</c:v>
                      </c:pt>
                      <c:pt idx="1">
                        <c:v>2017年</c:v>
                      </c:pt>
                    </c:strCache>
                  </c:strRef>
                </c:cat>
                <c:val>
                  <c:numRef>
                    <c:extLst>
                      <c:ext uri="{02D57815-91ED-43cb-92C2-25804820EDAC}">
                        <c15:fullRef>
                          <c15:sqref>Sheet1!$C$2:$C$5</c15:sqref>
                        </c15:fullRef>
                        <c15:formulaRef>
                          <c15:sqref>Sheet1!$C$2:$C$3</c15:sqref>
                        </c15:formulaRef>
                      </c:ext>
                    </c:extLst>
                    <c:numCache>
                      <c:formatCode>General</c:formatCode>
                      <c:ptCount val="2"/>
                      <c:pt idx="0">
                        <c:v>2.4</c:v>
                      </c:pt>
                      <c:pt idx="1">
                        <c:v>4.4</c:v>
                      </c:pt>
                    </c:numCache>
                  </c:numRef>
                </c:val>
              </c15:ser>
            </c15:filteredBarSeries>
            <c15:filteredBarSeries>
              <c15:ser>
                <c:idx val="2"/>
                <c:order val="2"/>
                <c:tx>
                  <c:strRef>
                    <c:extLst>
                      <c:ext uri="{02D57815-91ED-43cb-92C2-25804820EDAC}">
                        <c15:formulaRef>
                          <c15:sqref>Sheet1!$D$1</c15:sqref>
                        </c15:formulaRef>
                      </c:ext>
                    </c:extLst>
                    <c:strCache>
                      <c:ptCount val="1"/>
                      <c:pt idx="0">
                        <c:v>系列 3</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ullRef>
                          <c15:sqref>Sheet1!$A$2:$A$5</c15:sqref>
                        </c15:fullRef>
                        <c15:formulaRef>
                          <c15:sqref>Sheet1!$A$2:$A$3</c15:sqref>
                        </c15:formulaRef>
                      </c:ext>
                    </c:extLst>
                    <c:strCache>
                      <c:ptCount val="2"/>
                      <c:pt idx="0">
                        <c:v>2018年</c:v>
                      </c:pt>
                      <c:pt idx="1">
                        <c:v>2017年</c:v>
                      </c:pt>
                    </c:strCache>
                  </c:strRef>
                </c:cat>
                <c:val>
                  <c:numRef>
                    <c:extLst>
                      <c:ext uri="{02D57815-91ED-43cb-92C2-25804820EDAC}">
                        <c15:fullRef>
                          <c15:sqref>Sheet1!$D$2:$D$5</c15:sqref>
                        </c15:fullRef>
                        <c15:formulaRef>
                          <c15:sqref>Sheet1!$D$2:$D$3</c15:sqref>
                        </c15:formulaRef>
                      </c:ext>
                    </c:extLst>
                    <c:numCache>
                      <c:formatCode>General</c:formatCode>
                      <c:ptCount val="2"/>
                      <c:pt idx="0">
                        <c:v>2</c:v>
                      </c:pt>
                      <c:pt idx="1">
                        <c:v>2</c:v>
                      </c:pt>
                    </c:numCache>
                  </c:numRef>
                </c:val>
              </c15:ser>
            </c15:filteredBarSeries>
          </c:ext>
        </c:extLst>
      </c:barChart>
      <c:catAx>
        <c:axId val="60742374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96050865"/>
        <c:crosses val="autoZero"/>
        <c:auto val="1"/>
        <c:lblAlgn val="ctr"/>
        <c:lblOffset val="100"/>
        <c:noMultiLvlLbl val="0"/>
      </c:catAx>
      <c:valAx>
        <c:axId val="696050865"/>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07423741"/>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35963155786944"/>
          <c:y val="0.00819000819000819"/>
        </c:manualLayout>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图6：一般公共预算财政拨款支出决算结构图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一般公共服务（类）</c:v>
                </c:pt>
                <c:pt idx="1">
                  <c:v>社会保障和就业（类）</c:v>
                </c:pt>
                <c:pt idx="2">
                  <c:v>医疗卫生支出</c:v>
                </c:pt>
                <c:pt idx="3">
                  <c:v>住房保障支出</c:v>
                </c:pt>
              </c:strCache>
            </c:strRef>
          </c:cat>
          <c:val>
            <c:numRef>
              <c:f>Sheet1!$B$2:$B$5</c:f>
              <c:numCache>
                <c:formatCode>General</c:formatCode>
                <c:ptCount val="4"/>
                <c:pt idx="0">
                  <c:v>107.66</c:v>
                </c:pt>
                <c:pt idx="1">
                  <c:v>9.55</c:v>
                </c:pt>
                <c:pt idx="2">
                  <c:v>2.81</c:v>
                </c:pt>
                <c:pt idx="3">
                  <c:v>4.67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因公出国（境）费</c:v>
                </c:pt>
                <c:pt idx="1">
                  <c:v>公务用车购置及运行维护费</c:v>
                </c:pt>
                <c:pt idx="2">
                  <c:v>公务接待费</c:v>
                </c:pt>
              </c:strCache>
            </c:strRef>
          </c:cat>
          <c:val>
            <c:numRef>
              <c:f>Sheet1!$B$2:$B$5</c:f>
              <c:numCache>
                <c:formatCode>General</c:formatCode>
                <c:ptCount val="4"/>
                <c:pt idx="0">
                  <c:v>0</c:v>
                </c:pt>
                <c:pt idx="1">
                  <c:v>0</c:v>
                </c:pt>
                <c:pt idx="2">
                  <c:v>0.04</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47028C-49CD-4439-A8F7-4B1A3E05B5F3}">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25</Pages>
  <Words>1564</Words>
  <Characters>8921</Characters>
  <Lines>74</Lines>
  <Paragraphs>20</Paragraphs>
  <TotalTime>3</TotalTime>
  <ScaleCrop>false</ScaleCrop>
  <LinksUpToDate>false</LinksUpToDate>
  <CharactersWithSpaces>10465</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Administrator</cp:lastModifiedBy>
  <cp:lastPrinted>2019-08-20T02:07:00Z</cp:lastPrinted>
  <dcterms:modified xsi:type="dcterms:W3CDTF">2021-03-01T02:35:37Z</dcterms:modified>
  <dc:title>四川省***</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