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9"/>
        <w:rPr>
          <w:rFonts w:ascii="方正小标宋简体" w:hAnsi="宋体" w:eastAsia="方正小标宋简体"/>
          <w:color w:val="000000"/>
          <w:sz w:val="72"/>
          <w:szCs w:val="72"/>
        </w:rPr>
      </w:pPr>
      <w:bookmarkStart w:id="1" w:name="_Toc15396476"/>
      <w:bookmarkStart w:id="2" w:name="_Toc15396598"/>
      <w:bookmarkStart w:id="3" w:name="_Toc11102"/>
      <w:bookmarkStart w:id="4" w:name="_Toc15377426"/>
      <w:bookmarkStart w:id="5" w:name="_Toc3899"/>
      <w:bookmarkStart w:id="6" w:name="_Toc5308"/>
      <w:bookmarkStart w:id="7" w:name="_Toc15377194"/>
      <w:bookmarkStart w:id="8" w:name="_Toc15378442"/>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9" w:name="_Toc15306268"/>
      <w:r>
        <w:rPr>
          <w:rFonts w:hint="eastAsia" w:ascii="方正小标宋简体" w:hAnsi="宋体" w:eastAsia="方正小标宋简体"/>
          <w:color w:val="000000"/>
          <w:sz w:val="72"/>
          <w:szCs w:val="72"/>
          <w:lang w:eastAsia="zh-CN"/>
        </w:rPr>
        <w:t>市场监督管理局</w:t>
      </w:r>
      <w:r>
        <w:rPr>
          <w:rFonts w:hint="eastAsia" w:ascii="方正小标宋简体" w:hAnsi="宋体" w:eastAsia="方正小标宋简体"/>
          <w:color w:val="000000"/>
          <w:sz w:val="72"/>
          <w:szCs w:val="72"/>
          <w:lang w:val="en-US" w:eastAsia="zh-CN"/>
        </w:rPr>
        <w:t>2019年度</w:t>
      </w:r>
      <w:r>
        <w:rPr>
          <w:rFonts w:hint="eastAsia" w:ascii="方正小标宋简体" w:hAnsi="宋体" w:eastAsia="方正小标宋简体"/>
          <w:color w:val="000000"/>
          <w:sz w:val="72"/>
          <w:szCs w:val="72"/>
        </w:rPr>
        <w:t>部门决算</w:t>
      </w:r>
      <w:bookmarkEnd w:id="1"/>
      <w:bookmarkEnd w:id="2"/>
      <w:bookmarkEnd w:id="3"/>
      <w:bookmarkEnd w:id="4"/>
      <w:bookmarkEnd w:id="5"/>
      <w:bookmarkEnd w:id="6"/>
      <w:bookmarkEnd w:id="7"/>
      <w:bookmarkEnd w:id="8"/>
      <w:bookmarkEnd w:id="9"/>
    </w:p>
    <w:p>
      <w:pPr>
        <w:widowControl/>
        <w:jc w:val="center"/>
        <w:rPr>
          <w:rFonts w:ascii="方正小标宋简体" w:hAnsi="宋体" w:eastAsia="方正小标宋简体"/>
          <w:color w:val="000000"/>
          <w:sz w:val="36"/>
          <w:szCs w:val="36"/>
        </w:rPr>
      </w:pPr>
    </w:p>
    <w:p>
      <w:pPr>
        <w:pStyle w:val="2"/>
        <w:rPr>
          <w:rFonts w:ascii="方正小标宋简体" w:hAnsi="宋体" w:eastAsia="方正小标宋简体"/>
          <w:color w:val="000000"/>
          <w:sz w:val="36"/>
          <w:szCs w:val="36"/>
        </w:rPr>
      </w:pPr>
    </w:p>
    <w:p>
      <w:pPr>
        <w:pStyle w:val="2"/>
        <w:rPr>
          <w:rFonts w:ascii="方正小标宋简体" w:hAnsi="宋体" w:eastAsia="方正小标宋简体"/>
          <w:color w:val="000000"/>
          <w:sz w:val="36"/>
          <w:szCs w:val="36"/>
        </w:rPr>
      </w:pPr>
    </w:p>
    <w:p>
      <w:pPr>
        <w:pStyle w:val="2"/>
        <w:ind w:left="0" w:leftChars="0" w:firstLine="0" w:firstLineChars="0"/>
        <w:rPr>
          <w:rFonts w:ascii="方正小标宋简体" w:hAnsi="宋体" w:eastAsia="方正小标宋简体"/>
          <w:color w:val="000000"/>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both"/>
        <w:rPr>
          <w:rFonts w:hint="eastAsia" w:ascii="黑体" w:hAnsi="黑体" w:eastAsia="黑体"/>
          <w:color w:val="000000"/>
          <w:sz w:val="48"/>
          <w:szCs w:val="48"/>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pPr>
        <w:pStyle w:val="2"/>
      </w:pPr>
    </w:p>
    <w:sdt>
      <w:sdtPr>
        <w:rPr>
          <w:rFonts w:ascii="宋体" w:hAnsi="宋体" w:eastAsia="宋体" w:cs="Times New Roman"/>
          <w:kern w:val="2"/>
          <w:sz w:val="21"/>
          <w:szCs w:val="24"/>
          <w:lang w:val="en-US" w:eastAsia="zh-CN" w:bidi="ar-SA"/>
        </w:rPr>
        <w:id w:val="147472955"/>
        <w15:color w:val="DBDBDB"/>
        <w:docPartObj>
          <w:docPartGallery w:val="Table of Contents"/>
          <w:docPartUnique/>
        </w:docPartObj>
      </w:sdtPr>
      <w:sdtEndPr>
        <w:rPr>
          <w:rFonts w:ascii="Times New Roman" w:hAnsi="Times New Roman" w:eastAsia="宋体" w:cs="Times New Roman"/>
          <w:kern w:val="2"/>
          <w:sz w:val="21"/>
          <w:szCs w:val="20"/>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sz w:val="21"/>
            </w:rPr>
          </w:pPr>
          <w:r>
            <w:rPr>
              <w:rFonts w:ascii="宋体" w:hAnsi="宋体" w:eastAsia="宋体"/>
              <w:sz w:val="21"/>
            </w:rPr>
            <w:t>目录</w:t>
          </w:r>
        </w:p>
        <w:p>
          <w:pPr>
            <w:pStyle w:val="12"/>
            <w:jc w:val="both"/>
            <w:rPr>
              <w:rFonts w:ascii="宋体" w:hAnsi="宋体" w:eastAsia="宋体" w:cs="Times New Roman"/>
              <w:kern w:val="2"/>
              <w:sz w:val="21"/>
              <w:szCs w:val="24"/>
              <w:lang w:val="en-US" w:eastAsia="zh-CN" w:bidi="ar-SA"/>
            </w:rPr>
          </w:pPr>
          <w:r>
            <w:rPr>
              <w:rFonts w:hint="eastAsia" w:ascii="宋体" w:hAnsi="宋体" w:eastAsia="宋体"/>
              <w:sz w:val="21"/>
              <w:lang w:val="en-US" w:eastAsia="zh-CN"/>
            </w:rPr>
            <w:t xml:space="preserve">                    </w:t>
          </w:r>
          <w:r>
            <w:rPr>
              <w:rFonts w:hint="eastAsia" w:ascii="宋体" w:hAnsi="宋体" w:eastAsia="宋体" w:cs="Times New Roman"/>
              <w:kern w:val="2"/>
              <w:sz w:val="21"/>
              <w:szCs w:val="24"/>
              <w:lang w:val="en-US" w:eastAsia="zh-CN" w:bidi="ar-SA"/>
            </w:rPr>
            <w:t xml:space="preserve">      公开时间：2020年10月10日</w:t>
          </w:r>
        </w:p>
        <w:p>
          <w:pPr>
            <w:pStyle w:val="2"/>
            <w:rPr>
              <w:rFonts w:hint="default" w:eastAsia="宋体"/>
              <w:lang w:val="en-US" w:eastAsia="zh-CN"/>
            </w:rPr>
          </w:pPr>
        </w:p>
        <w:p>
          <w:pPr>
            <w:pStyle w:val="35"/>
            <w:tabs>
              <w:tab w:val="right" w:leader="dot" w:pos="8306"/>
            </w:tabs>
          </w:pPr>
          <w:r>
            <w:fldChar w:fldCharType="begin"/>
          </w:r>
          <w:r>
            <w:instrText xml:space="preserve">TOC \o "1-3" \h \u </w:instrText>
          </w:r>
          <w:r>
            <w:fldChar w:fldCharType="separate"/>
          </w:r>
          <w:r>
            <w:fldChar w:fldCharType="begin"/>
          </w:r>
          <w:r>
            <w:instrText xml:space="preserve"> HYPERLINK \l _Toc15470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_Toc15470 </w:instrText>
          </w:r>
          <w:r>
            <w:fldChar w:fldCharType="separate"/>
          </w:r>
          <w:r>
            <w:t>- 1 -</w:t>
          </w:r>
          <w:r>
            <w:fldChar w:fldCharType="end"/>
          </w:r>
          <w:r>
            <w:fldChar w:fldCharType="end"/>
          </w:r>
        </w:p>
        <w:p>
          <w:pPr>
            <w:pStyle w:val="36"/>
            <w:tabs>
              <w:tab w:val="right" w:leader="dot" w:pos="8306"/>
            </w:tabs>
          </w:pPr>
          <w:r>
            <w:fldChar w:fldCharType="begin"/>
          </w:r>
          <w:r>
            <w:instrText xml:space="preserve"> HYPERLINK \l _Toc25727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_Toc25727 </w:instrText>
          </w:r>
          <w:r>
            <w:fldChar w:fldCharType="separate"/>
          </w:r>
          <w:r>
            <w:t>- 1 -</w:t>
          </w:r>
          <w:r>
            <w:fldChar w:fldCharType="end"/>
          </w:r>
          <w:r>
            <w:fldChar w:fldCharType="end"/>
          </w:r>
        </w:p>
        <w:p>
          <w:pPr>
            <w:pStyle w:val="36"/>
            <w:tabs>
              <w:tab w:val="right" w:leader="dot" w:pos="8306"/>
            </w:tabs>
          </w:pPr>
          <w:r>
            <w:fldChar w:fldCharType="begin"/>
          </w:r>
          <w:r>
            <w:instrText xml:space="preserve"> HYPERLINK \l _Toc26574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_Toc26574 </w:instrText>
          </w:r>
          <w:r>
            <w:fldChar w:fldCharType="separate"/>
          </w:r>
          <w:r>
            <w:t>- 7 -</w:t>
          </w:r>
          <w:r>
            <w:fldChar w:fldCharType="end"/>
          </w:r>
          <w:r>
            <w:fldChar w:fldCharType="end"/>
          </w:r>
        </w:p>
        <w:p>
          <w:pPr>
            <w:pStyle w:val="35"/>
            <w:tabs>
              <w:tab w:val="right" w:leader="dot" w:pos="8306"/>
            </w:tabs>
          </w:pPr>
          <w:r>
            <w:fldChar w:fldCharType="begin"/>
          </w:r>
          <w:r>
            <w:instrText xml:space="preserve"> HYPERLINK \l _Toc981 </w:instrText>
          </w:r>
          <w:r>
            <w:fldChar w:fldCharType="separate"/>
          </w:r>
          <w:r>
            <w:rPr>
              <w:rFonts w:hint="eastAsia" w:ascii="黑体" w:hAnsi="黑体" w:eastAsia="黑体"/>
            </w:rPr>
            <w:t xml:space="preserve">第二部分 </w:t>
          </w:r>
          <w:r>
            <w:rPr>
              <w:rFonts w:hint="eastAsia" w:ascii="黑体" w:hAnsi="黑体" w:eastAsia="黑体"/>
              <w:bCs w:val="0"/>
            </w:rPr>
            <w:t>2019年度部门决算情况说明</w:t>
          </w:r>
          <w:r>
            <w:tab/>
          </w:r>
          <w:r>
            <w:fldChar w:fldCharType="begin"/>
          </w:r>
          <w:r>
            <w:instrText xml:space="preserve"> PAGEREF _Toc981 </w:instrText>
          </w:r>
          <w:r>
            <w:fldChar w:fldCharType="separate"/>
          </w:r>
          <w:r>
            <w:t>- 8 -</w:t>
          </w:r>
          <w:r>
            <w:fldChar w:fldCharType="end"/>
          </w:r>
          <w:r>
            <w:fldChar w:fldCharType="end"/>
          </w:r>
        </w:p>
        <w:p>
          <w:pPr>
            <w:pStyle w:val="36"/>
            <w:tabs>
              <w:tab w:val="right" w:leader="dot" w:pos="8306"/>
            </w:tabs>
          </w:pPr>
          <w:r>
            <w:fldChar w:fldCharType="begin"/>
          </w:r>
          <w:r>
            <w:instrText xml:space="preserve"> HYPERLINK \l _Toc28265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_Toc28265 </w:instrText>
          </w:r>
          <w:r>
            <w:fldChar w:fldCharType="separate"/>
          </w:r>
          <w:r>
            <w:t>- 8 -</w:t>
          </w:r>
          <w:r>
            <w:fldChar w:fldCharType="end"/>
          </w:r>
          <w:r>
            <w:fldChar w:fldCharType="end"/>
          </w:r>
        </w:p>
        <w:p>
          <w:pPr>
            <w:pStyle w:val="36"/>
            <w:tabs>
              <w:tab w:val="right" w:leader="dot" w:pos="8306"/>
            </w:tabs>
          </w:pPr>
          <w:r>
            <w:fldChar w:fldCharType="begin"/>
          </w:r>
          <w:r>
            <w:instrText xml:space="preserve"> HYPERLINK \l _Toc10847 </w:instrText>
          </w:r>
          <w:r>
            <w:fldChar w:fldCharType="separate"/>
          </w:r>
          <w:r>
            <w:rPr>
              <w:rFonts w:hint="eastAsia" w:ascii="黑体" w:hAnsi="黑体" w:eastAsia="黑体"/>
              <w:lang w:eastAsia="zh-CN"/>
            </w:rPr>
            <w:t>二、收入</w:t>
          </w:r>
          <w:r>
            <w:rPr>
              <w:rFonts w:hint="eastAsia" w:ascii="黑体" w:hAnsi="黑体" w:eastAsia="黑体"/>
            </w:rPr>
            <w:t>决算情况说明</w:t>
          </w:r>
          <w:r>
            <w:tab/>
          </w:r>
          <w:r>
            <w:fldChar w:fldCharType="begin"/>
          </w:r>
          <w:r>
            <w:instrText xml:space="preserve"> PAGEREF _Toc10847 </w:instrText>
          </w:r>
          <w:r>
            <w:fldChar w:fldCharType="separate"/>
          </w:r>
          <w:r>
            <w:t>- 8 -</w:t>
          </w:r>
          <w:r>
            <w:fldChar w:fldCharType="end"/>
          </w:r>
          <w:r>
            <w:fldChar w:fldCharType="end"/>
          </w:r>
        </w:p>
        <w:p>
          <w:pPr>
            <w:pStyle w:val="36"/>
            <w:tabs>
              <w:tab w:val="right" w:leader="dot" w:pos="8306"/>
            </w:tabs>
          </w:pPr>
          <w:r>
            <w:fldChar w:fldCharType="begin"/>
          </w:r>
          <w:r>
            <w:instrText xml:space="preserve"> HYPERLINK \l _Toc18952 </w:instrText>
          </w:r>
          <w:r>
            <w:fldChar w:fldCharType="separate"/>
          </w:r>
          <w:r>
            <w:rPr>
              <w:rFonts w:hint="eastAsia" w:ascii="黑体" w:hAnsi="黑体" w:eastAsia="黑体"/>
              <w:szCs w:val="32"/>
              <w:lang w:eastAsia="zh-CN"/>
            </w:rPr>
            <w:t>三、</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_Toc18952 </w:instrText>
          </w:r>
          <w:r>
            <w:fldChar w:fldCharType="separate"/>
          </w:r>
          <w:r>
            <w:t>- 9 -</w:t>
          </w:r>
          <w:r>
            <w:fldChar w:fldCharType="end"/>
          </w:r>
          <w:r>
            <w:fldChar w:fldCharType="end"/>
          </w:r>
        </w:p>
        <w:p>
          <w:pPr>
            <w:pStyle w:val="36"/>
            <w:tabs>
              <w:tab w:val="right" w:leader="dot" w:pos="8306"/>
            </w:tabs>
          </w:pPr>
          <w:r>
            <w:fldChar w:fldCharType="begin"/>
          </w:r>
          <w:r>
            <w:instrText xml:space="preserve"> HYPERLINK \l _Toc20185 </w:instrText>
          </w:r>
          <w:r>
            <w:fldChar w:fldCharType="separate"/>
          </w:r>
          <w:r>
            <w:rPr>
              <w:rFonts w:hint="eastAsia" w:ascii="黑体" w:hAnsi="黑体" w:eastAsia="黑体"/>
            </w:rPr>
            <w:t xml:space="preserve">四、 </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_Toc20185 </w:instrText>
          </w:r>
          <w:r>
            <w:fldChar w:fldCharType="separate"/>
          </w:r>
          <w:r>
            <w:t>- 9 -</w:t>
          </w:r>
          <w:r>
            <w:fldChar w:fldCharType="end"/>
          </w:r>
          <w:r>
            <w:fldChar w:fldCharType="end"/>
          </w:r>
        </w:p>
        <w:p>
          <w:pPr>
            <w:pStyle w:val="36"/>
            <w:tabs>
              <w:tab w:val="right" w:leader="dot" w:pos="8306"/>
            </w:tabs>
          </w:pPr>
          <w:r>
            <w:fldChar w:fldCharType="begin"/>
          </w:r>
          <w:r>
            <w:instrText xml:space="preserve"> HYPERLINK \l _Toc407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_Toc407 </w:instrText>
          </w:r>
          <w:r>
            <w:fldChar w:fldCharType="separate"/>
          </w:r>
          <w:r>
            <w:t>- 10 -</w:t>
          </w:r>
          <w:r>
            <w:fldChar w:fldCharType="end"/>
          </w:r>
          <w:r>
            <w:fldChar w:fldCharType="end"/>
          </w:r>
        </w:p>
        <w:p>
          <w:pPr>
            <w:pStyle w:val="36"/>
            <w:tabs>
              <w:tab w:val="right" w:leader="dot" w:pos="8306"/>
            </w:tabs>
          </w:pPr>
          <w:r>
            <w:fldChar w:fldCharType="begin"/>
          </w:r>
          <w:r>
            <w:instrText xml:space="preserve"> HYPERLINK \l _Toc1394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_Toc1394 </w:instrText>
          </w:r>
          <w:r>
            <w:fldChar w:fldCharType="separate"/>
          </w:r>
          <w:r>
            <w:t>- 13 -</w:t>
          </w:r>
          <w:r>
            <w:fldChar w:fldCharType="end"/>
          </w:r>
          <w:r>
            <w:fldChar w:fldCharType="end"/>
          </w:r>
        </w:p>
        <w:p>
          <w:pPr>
            <w:pStyle w:val="36"/>
            <w:tabs>
              <w:tab w:val="right" w:leader="dot" w:pos="8306"/>
            </w:tabs>
          </w:pPr>
          <w:r>
            <w:fldChar w:fldCharType="begin"/>
          </w:r>
          <w:r>
            <w:instrText xml:space="preserve"> HYPERLINK \l _Toc10048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_Toc10048 </w:instrText>
          </w:r>
          <w:r>
            <w:fldChar w:fldCharType="separate"/>
          </w:r>
          <w:r>
            <w:t>- 13 -</w:t>
          </w:r>
          <w:r>
            <w:fldChar w:fldCharType="end"/>
          </w:r>
          <w:r>
            <w:fldChar w:fldCharType="end"/>
          </w:r>
        </w:p>
        <w:p>
          <w:pPr>
            <w:pStyle w:val="36"/>
            <w:tabs>
              <w:tab w:val="right" w:leader="dot" w:pos="8306"/>
            </w:tabs>
          </w:pPr>
          <w:r>
            <w:fldChar w:fldCharType="begin"/>
          </w:r>
          <w:r>
            <w:instrText xml:space="preserve"> HYPERLINK \l _Toc2859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_Toc2859 </w:instrText>
          </w:r>
          <w:r>
            <w:fldChar w:fldCharType="separate"/>
          </w:r>
          <w:r>
            <w:t>- 15 -</w:t>
          </w:r>
          <w:r>
            <w:fldChar w:fldCharType="end"/>
          </w:r>
          <w:r>
            <w:fldChar w:fldCharType="end"/>
          </w:r>
        </w:p>
        <w:p>
          <w:pPr>
            <w:pStyle w:val="36"/>
            <w:tabs>
              <w:tab w:val="right" w:leader="dot" w:pos="8306"/>
            </w:tabs>
          </w:pPr>
          <w:r>
            <w:fldChar w:fldCharType="begin"/>
          </w:r>
          <w:r>
            <w:instrText xml:space="preserve"> HYPERLINK \l _Toc20539 </w:instrText>
          </w:r>
          <w:r>
            <w:fldChar w:fldCharType="separate"/>
          </w:r>
          <w:r>
            <w:rPr>
              <w:rFonts w:hint="eastAsia" w:ascii="黑体" w:hAnsi="黑体" w:eastAsia="黑体"/>
            </w:rPr>
            <w:t>九、 国有资本经营预算支出决算情况说明</w:t>
          </w:r>
          <w:r>
            <w:tab/>
          </w:r>
          <w:r>
            <w:fldChar w:fldCharType="begin"/>
          </w:r>
          <w:r>
            <w:instrText xml:space="preserve"> PAGEREF _Toc20539 </w:instrText>
          </w:r>
          <w:r>
            <w:fldChar w:fldCharType="separate"/>
          </w:r>
          <w:r>
            <w:t>- 15 -</w:t>
          </w:r>
          <w:r>
            <w:fldChar w:fldCharType="end"/>
          </w:r>
          <w:r>
            <w:fldChar w:fldCharType="end"/>
          </w:r>
        </w:p>
        <w:p>
          <w:pPr>
            <w:pStyle w:val="36"/>
            <w:tabs>
              <w:tab w:val="right" w:leader="dot" w:pos="8306"/>
            </w:tabs>
          </w:pPr>
          <w:r>
            <w:fldChar w:fldCharType="begin"/>
          </w:r>
          <w:r>
            <w:instrText xml:space="preserve"> HYPERLINK \l _Toc3935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_Toc3935 </w:instrText>
          </w:r>
          <w:r>
            <w:fldChar w:fldCharType="separate"/>
          </w:r>
          <w:r>
            <w:t>- 15 -</w:t>
          </w:r>
          <w:r>
            <w:fldChar w:fldCharType="end"/>
          </w:r>
          <w:r>
            <w:fldChar w:fldCharType="end"/>
          </w:r>
        </w:p>
        <w:p>
          <w:pPr>
            <w:pStyle w:val="35"/>
            <w:tabs>
              <w:tab w:val="right" w:leader="dot" w:pos="8306"/>
            </w:tabs>
          </w:pPr>
          <w:r>
            <w:fldChar w:fldCharType="begin"/>
          </w:r>
          <w:r>
            <w:instrText xml:space="preserve"> HYPERLINK \l _Toc10955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_Toc10955 </w:instrText>
          </w:r>
          <w:r>
            <w:fldChar w:fldCharType="separate"/>
          </w:r>
          <w:r>
            <w:t>- 19 -</w:t>
          </w:r>
          <w:r>
            <w:fldChar w:fldCharType="end"/>
          </w:r>
          <w:r>
            <w:fldChar w:fldCharType="end"/>
          </w:r>
        </w:p>
        <w:p>
          <w:pPr>
            <w:pStyle w:val="35"/>
            <w:tabs>
              <w:tab w:val="right" w:leader="dot" w:pos="8306"/>
            </w:tabs>
          </w:pPr>
          <w:r>
            <w:fldChar w:fldCharType="begin"/>
          </w:r>
          <w:r>
            <w:instrText xml:space="preserve"> HYPERLINK \l _Toc21294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_Toc21294 </w:instrText>
          </w:r>
          <w:r>
            <w:fldChar w:fldCharType="separate"/>
          </w:r>
          <w:r>
            <w:t>- 22 -</w:t>
          </w:r>
          <w:r>
            <w:fldChar w:fldCharType="end"/>
          </w:r>
          <w:r>
            <w:fldChar w:fldCharType="end"/>
          </w:r>
        </w:p>
        <w:p>
          <w:pPr>
            <w:pStyle w:val="35"/>
            <w:tabs>
              <w:tab w:val="right" w:leader="dot" w:pos="8306"/>
            </w:tabs>
          </w:pPr>
          <w:r>
            <w:fldChar w:fldCharType="begin"/>
          </w:r>
          <w:r>
            <w:instrText xml:space="preserve"> HYPERLINK \l _Toc23202 </w:instrText>
          </w:r>
          <w:r>
            <w:fldChar w:fldCharType="separate"/>
          </w:r>
          <w:r>
            <w:rPr>
              <w:rFonts w:hint="eastAsia" w:ascii="黑体" w:hAnsi="黑体" w:eastAsia="黑体" w:cs="黑体"/>
              <w:szCs w:val="32"/>
            </w:rPr>
            <w:t>附件1</w:t>
          </w:r>
          <w:r>
            <w:tab/>
          </w:r>
          <w:r>
            <w:fldChar w:fldCharType="begin"/>
          </w:r>
          <w:r>
            <w:instrText xml:space="preserve"> PAGEREF _Toc23202 </w:instrText>
          </w:r>
          <w:r>
            <w:fldChar w:fldCharType="separate"/>
          </w:r>
          <w:r>
            <w:t>- 22 -</w:t>
          </w:r>
          <w:r>
            <w:fldChar w:fldCharType="end"/>
          </w:r>
          <w:r>
            <w:fldChar w:fldCharType="end"/>
          </w:r>
        </w:p>
        <w:p>
          <w:pPr>
            <w:pStyle w:val="35"/>
            <w:tabs>
              <w:tab w:val="right" w:leader="dot" w:pos="8306"/>
            </w:tabs>
          </w:pPr>
          <w:r>
            <w:fldChar w:fldCharType="begin"/>
          </w:r>
          <w:r>
            <w:instrText xml:space="preserve"> HYPERLINK \l _Toc23202 </w:instrText>
          </w:r>
          <w:r>
            <w:fldChar w:fldCharType="separate"/>
          </w:r>
          <w:r>
            <w:rPr>
              <w:rFonts w:hint="eastAsia" w:ascii="黑体" w:hAnsi="黑体" w:eastAsia="黑体" w:cs="黑体"/>
              <w:szCs w:val="32"/>
            </w:rPr>
            <w:t>附件</w:t>
          </w:r>
          <w:r>
            <w:rPr>
              <w:rFonts w:hint="eastAsia" w:ascii="黑体" w:hAnsi="黑体" w:eastAsia="黑体" w:cs="黑体"/>
              <w:szCs w:val="32"/>
              <w:lang w:val="en-US" w:eastAsia="zh-CN"/>
            </w:rPr>
            <w:t>2</w:t>
          </w:r>
          <w:r>
            <w:tab/>
          </w:r>
          <w:r>
            <w:fldChar w:fldCharType="begin"/>
          </w:r>
          <w:r>
            <w:instrText xml:space="preserve"> PAGEREF _Toc23202 </w:instrText>
          </w:r>
          <w:r>
            <w:fldChar w:fldCharType="separate"/>
          </w:r>
          <w:r>
            <w:t>- 22 -</w:t>
          </w:r>
          <w:r>
            <w:fldChar w:fldCharType="end"/>
          </w:r>
          <w:r>
            <w:fldChar w:fldCharType="end"/>
          </w:r>
        </w:p>
        <w:p>
          <w:pPr>
            <w:pStyle w:val="35"/>
            <w:tabs>
              <w:tab w:val="right" w:leader="dot" w:pos="8306"/>
            </w:tabs>
          </w:pPr>
          <w:r>
            <w:fldChar w:fldCharType="begin"/>
          </w:r>
          <w:r>
            <w:instrText xml:space="preserve"> HYPERLINK \l _Toc11611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_Toc11611 </w:instrText>
          </w:r>
          <w:r>
            <w:fldChar w:fldCharType="separate"/>
          </w:r>
          <w:r>
            <w:t>- 41 -</w:t>
          </w:r>
          <w:r>
            <w:fldChar w:fldCharType="end"/>
          </w:r>
          <w:r>
            <w:fldChar w:fldCharType="end"/>
          </w:r>
        </w:p>
        <w:p>
          <w:pPr>
            <w:pStyle w:val="36"/>
            <w:tabs>
              <w:tab w:val="right" w:leader="dot" w:pos="8306"/>
            </w:tabs>
          </w:pPr>
          <w:r>
            <w:fldChar w:fldCharType="begin"/>
          </w:r>
          <w:r>
            <w:instrText xml:space="preserve"> HYPERLINK \l _Toc31006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_Toc31006 </w:instrText>
          </w:r>
          <w:r>
            <w:fldChar w:fldCharType="separate"/>
          </w:r>
          <w:r>
            <w:t>- 41 -</w:t>
          </w:r>
          <w:r>
            <w:fldChar w:fldCharType="end"/>
          </w:r>
          <w:r>
            <w:fldChar w:fldCharType="end"/>
          </w:r>
        </w:p>
        <w:p>
          <w:pPr>
            <w:pStyle w:val="36"/>
            <w:tabs>
              <w:tab w:val="right" w:leader="dot" w:pos="8306"/>
            </w:tabs>
          </w:pPr>
          <w:r>
            <w:fldChar w:fldCharType="begin"/>
          </w:r>
          <w:r>
            <w:instrText xml:space="preserve"> HYPERLINK \l _Toc3196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_Toc3196 </w:instrText>
          </w:r>
          <w:r>
            <w:fldChar w:fldCharType="separate"/>
          </w:r>
          <w:r>
            <w:t>- 41 -</w:t>
          </w:r>
          <w:r>
            <w:fldChar w:fldCharType="end"/>
          </w:r>
          <w:r>
            <w:fldChar w:fldCharType="end"/>
          </w:r>
        </w:p>
        <w:p>
          <w:pPr>
            <w:pStyle w:val="36"/>
            <w:tabs>
              <w:tab w:val="right" w:leader="dot" w:pos="8306"/>
            </w:tabs>
          </w:pPr>
          <w:r>
            <w:fldChar w:fldCharType="begin"/>
          </w:r>
          <w:r>
            <w:instrText xml:space="preserve"> HYPERLINK \l _Toc26398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_Toc26398 </w:instrText>
          </w:r>
          <w:r>
            <w:fldChar w:fldCharType="separate"/>
          </w:r>
          <w:r>
            <w:t>- 41 -</w:t>
          </w:r>
          <w:r>
            <w:fldChar w:fldCharType="end"/>
          </w:r>
          <w:r>
            <w:fldChar w:fldCharType="end"/>
          </w:r>
        </w:p>
        <w:p>
          <w:pPr>
            <w:pStyle w:val="36"/>
            <w:tabs>
              <w:tab w:val="right" w:leader="dot" w:pos="8306"/>
            </w:tabs>
          </w:pPr>
          <w:r>
            <w:fldChar w:fldCharType="begin"/>
          </w:r>
          <w:r>
            <w:instrText xml:space="preserve"> HYPERLINK \l _Toc28402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_Toc28402 </w:instrText>
          </w:r>
          <w:r>
            <w:fldChar w:fldCharType="separate"/>
          </w:r>
          <w:r>
            <w:t>- 41 -</w:t>
          </w:r>
          <w:r>
            <w:fldChar w:fldCharType="end"/>
          </w:r>
          <w:r>
            <w:fldChar w:fldCharType="end"/>
          </w:r>
        </w:p>
        <w:p>
          <w:pPr>
            <w:pStyle w:val="36"/>
            <w:tabs>
              <w:tab w:val="right" w:leader="dot" w:pos="8306"/>
            </w:tabs>
          </w:pPr>
          <w:r>
            <w:fldChar w:fldCharType="begin"/>
          </w:r>
          <w:r>
            <w:instrText xml:space="preserve"> HYPERLINK \l _Toc20091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_Toc20091 </w:instrText>
          </w:r>
          <w:r>
            <w:fldChar w:fldCharType="separate"/>
          </w:r>
          <w:r>
            <w:t>- 41 -</w:t>
          </w:r>
          <w:r>
            <w:fldChar w:fldCharType="end"/>
          </w:r>
          <w:r>
            <w:fldChar w:fldCharType="end"/>
          </w:r>
        </w:p>
        <w:p>
          <w:pPr>
            <w:pStyle w:val="36"/>
            <w:tabs>
              <w:tab w:val="right" w:leader="dot" w:pos="8306"/>
            </w:tabs>
          </w:pPr>
          <w:r>
            <w:fldChar w:fldCharType="begin"/>
          </w:r>
          <w:r>
            <w:instrText xml:space="preserve"> HYPERLINK \l _Toc20552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_Toc20552 </w:instrText>
          </w:r>
          <w:r>
            <w:fldChar w:fldCharType="separate"/>
          </w:r>
          <w:r>
            <w:t>- 41 -</w:t>
          </w:r>
          <w:r>
            <w:fldChar w:fldCharType="end"/>
          </w:r>
          <w:r>
            <w:fldChar w:fldCharType="end"/>
          </w:r>
        </w:p>
        <w:p>
          <w:pPr>
            <w:pStyle w:val="36"/>
            <w:tabs>
              <w:tab w:val="right" w:leader="dot" w:pos="8306"/>
            </w:tabs>
          </w:pPr>
          <w:r>
            <w:fldChar w:fldCharType="begin"/>
          </w:r>
          <w:r>
            <w:instrText xml:space="preserve"> HYPERLINK \l _Toc6486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_Toc6486 </w:instrText>
          </w:r>
          <w:r>
            <w:fldChar w:fldCharType="separate"/>
          </w:r>
          <w:r>
            <w:t>- 41 -</w:t>
          </w:r>
          <w:r>
            <w:fldChar w:fldCharType="end"/>
          </w:r>
          <w:r>
            <w:fldChar w:fldCharType="end"/>
          </w:r>
        </w:p>
        <w:p>
          <w:pPr>
            <w:pStyle w:val="36"/>
            <w:tabs>
              <w:tab w:val="right" w:leader="dot" w:pos="8306"/>
            </w:tabs>
          </w:pPr>
          <w:r>
            <w:fldChar w:fldCharType="begin"/>
          </w:r>
          <w:r>
            <w:instrText xml:space="preserve"> HYPERLINK \l _Toc950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_Toc950 </w:instrText>
          </w:r>
          <w:r>
            <w:fldChar w:fldCharType="separate"/>
          </w:r>
          <w:r>
            <w:t>- 41 -</w:t>
          </w:r>
          <w:r>
            <w:fldChar w:fldCharType="end"/>
          </w:r>
          <w:r>
            <w:fldChar w:fldCharType="end"/>
          </w:r>
        </w:p>
        <w:p>
          <w:pPr>
            <w:pStyle w:val="36"/>
            <w:tabs>
              <w:tab w:val="right" w:leader="dot" w:pos="8306"/>
            </w:tabs>
          </w:pPr>
          <w:r>
            <w:fldChar w:fldCharType="begin"/>
          </w:r>
          <w:r>
            <w:instrText xml:space="preserve"> HYPERLINK \l _Toc8490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_Toc8490 </w:instrText>
          </w:r>
          <w:r>
            <w:fldChar w:fldCharType="separate"/>
          </w:r>
          <w:r>
            <w:t>- 41 -</w:t>
          </w:r>
          <w:r>
            <w:fldChar w:fldCharType="end"/>
          </w:r>
          <w:r>
            <w:fldChar w:fldCharType="end"/>
          </w:r>
        </w:p>
        <w:p>
          <w:pPr>
            <w:pStyle w:val="36"/>
            <w:tabs>
              <w:tab w:val="right" w:leader="dot" w:pos="8306"/>
            </w:tabs>
          </w:pPr>
          <w:r>
            <w:fldChar w:fldCharType="begin"/>
          </w:r>
          <w:r>
            <w:instrText xml:space="preserve"> HYPERLINK \l _Toc27525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_Toc27525 </w:instrText>
          </w:r>
          <w:r>
            <w:fldChar w:fldCharType="separate"/>
          </w:r>
          <w:r>
            <w:t>- 41 -</w:t>
          </w:r>
          <w:r>
            <w:fldChar w:fldCharType="end"/>
          </w:r>
          <w:r>
            <w:fldChar w:fldCharType="end"/>
          </w:r>
        </w:p>
        <w:p>
          <w:pPr>
            <w:pStyle w:val="36"/>
            <w:tabs>
              <w:tab w:val="right" w:leader="dot" w:pos="8306"/>
            </w:tabs>
          </w:pPr>
          <w:r>
            <w:fldChar w:fldCharType="begin"/>
          </w:r>
          <w:r>
            <w:instrText xml:space="preserve"> HYPERLINK \l _Toc15105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_Toc15105 </w:instrText>
          </w:r>
          <w:r>
            <w:fldChar w:fldCharType="separate"/>
          </w:r>
          <w:r>
            <w:t>- 41 -</w:t>
          </w:r>
          <w:r>
            <w:fldChar w:fldCharType="end"/>
          </w:r>
          <w:r>
            <w:fldChar w:fldCharType="end"/>
          </w:r>
        </w:p>
        <w:p>
          <w:pPr>
            <w:pStyle w:val="36"/>
            <w:tabs>
              <w:tab w:val="right" w:leader="dot" w:pos="8306"/>
            </w:tabs>
          </w:pPr>
          <w:r>
            <w:fldChar w:fldCharType="begin"/>
          </w:r>
          <w:r>
            <w:instrText xml:space="preserve"> HYPERLINK \l _Toc15571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_Toc15571 </w:instrText>
          </w:r>
          <w:r>
            <w:fldChar w:fldCharType="separate"/>
          </w:r>
          <w:r>
            <w:t>- 41 -</w:t>
          </w:r>
          <w:r>
            <w:fldChar w:fldCharType="end"/>
          </w:r>
          <w:r>
            <w:fldChar w:fldCharType="end"/>
          </w:r>
        </w:p>
        <w:p>
          <w:pPr>
            <w:pStyle w:val="36"/>
            <w:tabs>
              <w:tab w:val="right" w:leader="dot" w:pos="8306"/>
            </w:tabs>
          </w:pPr>
          <w:r>
            <w:fldChar w:fldCharType="begin"/>
          </w:r>
          <w:r>
            <w:instrText xml:space="preserve"> HYPERLINK \l _Toc12990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_Toc12990 </w:instrText>
          </w:r>
          <w:r>
            <w:fldChar w:fldCharType="separate"/>
          </w:r>
          <w:r>
            <w:t>- 41 -</w:t>
          </w:r>
          <w:r>
            <w:fldChar w:fldCharType="end"/>
          </w:r>
          <w:r>
            <w:fldChar w:fldCharType="end"/>
          </w:r>
        </w:p>
        <w:p>
          <w:pPr>
            <w:pStyle w:val="2"/>
          </w:pPr>
          <w:r>
            <w:fldChar w:fldCharType="end"/>
          </w:r>
        </w:p>
      </w:sdtContent>
    </w:sdt>
    <w:p>
      <w:pPr>
        <w:pStyle w:val="2"/>
      </w:pPr>
    </w:p>
    <w:p>
      <w:pPr>
        <w:pStyle w:val="2"/>
      </w:pPr>
    </w:p>
    <w:p>
      <w:pPr>
        <w:pStyle w:val="4"/>
        <w:jc w:val="both"/>
        <w:outlineLvl w:val="9"/>
        <w:rPr>
          <w:rFonts w:hint="eastAsia" w:ascii="黑体" w:hAnsi="黑体" w:eastAsia="黑体"/>
          <w:b w:val="0"/>
        </w:rPr>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p>
    <w:p>
      <w:pPr>
        <w:pStyle w:val="4"/>
        <w:jc w:val="center"/>
        <w:rPr>
          <w:rStyle w:val="27"/>
          <w:rFonts w:ascii="黑体" w:hAnsi="黑体" w:eastAsia="黑体"/>
          <w:b/>
          <w:bCs w:val="0"/>
        </w:rPr>
      </w:pPr>
      <w:bookmarkStart w:id="10" w:name="_Toc15470"/>
      <w:r>
        <w:rPr>
          <w:rFonts w:hint="eastAsia" w:ascii="黑体" w:hAnsi="黑体" w:eastAsia="黑体"/>
          <w:b w:val="0"/>
        </w:rPr>
        <w:t xml:space="preserve">第一部分 </w:t>
      </w:r>
      <w:r>
        <w:rPr>
          <w:rStyle w:val="27"/>
          <w:rFonts w:hint="eastAsia" w:ascii="黑体" w:hAnsi="黑体" w:eastAsia="黑体"/>
          <w:b w:val="0"/>
          <w:bCs w:val="0"/>
        </w:rPr>
        <w:t>部门概况</w:t>
      </w:r>
      <w:bookmarkEnd w:id="10"/>
    </w:p>
    <w:p>
      <w:pPr>
        <w:widowControl/>
        <w:jc w:val="left"/>
        <w:rPr>
          <w:rFonts w:ascii="黑体" w:eastAsia="黑体"/>
          <w:color w:val="000000"/>
          <w:sz w:val="32"/>
          <w:szCs w:val="32"/>
        </w:rPr>
      </w:pPr>
    </w:p>
    <w:p>
      <w:pPr>
        <w:pStyle w:val="5"/>
        <w:rPr>
          <w:rStyle w:val="28"/>
          <w:rFonts w:ascii="仿宋" w:hAnsi="仿宋" w:eastAsia="仿宋"/>
          <w:b w:val="0"/>
          <w:bCs w:val="0"/>
        </w:rPr>
      </w:pPr>
      <w:bookmarkStart w:id="11" w:name="_Toc14975"/>
      <w:bookmarkStart w:id="12" w:name="_Toc15396600"/>
      <w:bookmarkStart w:id="13" w:name="_Toc15377197"/>
      <w:bookmarkStart w:id="14" w:name="_Toc2572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1"/>
      <w:bookmarkEnd w:id="12"/>
      <w:bookmarkEnd w:id="13"/>
      <w:bookmarkEnd w:id="14"/>
    </w:p>
    <w:p>
      <w:pPr>
        <w:numPr>
          <w:ilvl w:val="0"/>
          <w:numId w:val="0"/>
        </w:numPr>
        <w:ind w:leftChars="0" w:firstLine="640" w:firstLineChars="200"/>
        <w:jc w:val="both"/>
        <w:rPr>
          <w:rFonts w:hint="eastAsia" w:ascii="仿宋_GB2312" w:hAnsi="仿宋_GB2312" w:eastAsia="仿宋_GB2312" w:cs="仿宋_GB2312"/>
          <w:sz w:val="32"/>
          <w:szCs w:val="32"/>
        </w:rPr>
      </w:pPr>
      <w:bookmarkStart w:id="15" w:name="_Toc15378446"/>
      <w:bookmarkStart w:id="16" w:name="_Toc15377199"/>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产权战略，拟订并组织实施全县食品安全等规划，规范和维护市场秩序，营造诚实守信、公平竞争的市场环境。</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负责全县市场主体统一登记注册。负责全县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负责组织和指导全县市场监督管理综合执法工作。负责全县市场监管综合执法队伍整合和建设，推动实行统一的市场监管。组织查处和督办大案要案、疑难案件、跨区域案件。规范市场监督管理行政执法行为。</w:t>
      </w:r>
    </w:p>
    <w:p>
      <w:pPr>
        <w:numPr>
          <w:ilvl w:val="0"/>
          <w:numId w:val="0"/>
        </w:num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全县反垄断统一执法。统筹推进竞争政策实施，按照权限指导实施公平竞争审查制度。依法依授权对经营者集中行为进行反垄断审查，负责垄断协议、滥用市场支配地位和滥用行政权力排除、限制竞争等反垄断执法工作。指导在县企业在国外的反垄断应诉工作。</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负责监督管理全县市场秩序。依法监督管理市场交易、网络商品交易及有关服务的行为。组织指导查处价格收费违法违规、不正当竞争、违法直销、传销、侵犯商标专利知识产权和制售假冒伪劣行为。指导广告业发展，监督管理广告活动。依法查处无照生产经营和相关无证生产经营行为。依法开展消费者权益保护工作。建设12315行政执法体系。指导县保护消费者权益委员会开展工作。</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负责全县宏观质量管理。组织实施质量发展的制度措施。统筹全县质量基础设施建设与应用。会同有关部门组织实施重大工程设备质量监理制度，组织产品质量事故调查，贯彻实施缺陷产品召回制度，监督管理产品防伪工作。</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负责全县产品质量安全监督管理。负责产品质量监督抽查和风险监控工作，组织实施质量分级制度、质量安全追溯制度。在权限和职责范围内负责工业产品生产许可管理。负责纤维质量监督工作。</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负责全县特种设备安全监督管理。综合管理特种设备安全监察、监督工作，监督检查高耗能特种设备节能标准和锅炉产品环境保护标准的执行情况。</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全县食品安全监督管理综合协调。统筹指导全县食品安全工作。负责食品安全应急体系建设，组织指导食品安全事件应急处置和调查处理工作。建立健全食品安全重要信息直报制度。承担县食品安全委员会日常工作。</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全县食品安全监督管理。建立覆盖食品生产、流通、消费全过程的监督检查制度和隐患排查治理机制并组织实施，防范区域性、系统性食品安全风险。推动建立食品生产经营者落实主体责任机制，健全食品安全追溯体系。指导督促食品生产经营企业的安全生产工作，组织开展食品安全监督抽检、风险</w:t>
      </w:r>
    </w:p>
    <w:p>
      <w:pPr>
        <w:numPr>
          <w:ilvl w:val="0"/>
          <w:numId w:val="0"/>
        </w:numPr>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监测、核查处置和风险预警、风险交流工作。组织实施特殊食品生产、流通、使用的监督管理。</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负责全县药品（含中药、民族药，下同）、医疗器械和化妆品安全监督管理。贯彻执行国家有关药品、医疗器械和化妆品监督管理的方针政策和法律法规。贯彻落实国家鼓励药品、医疗器械和化妆品新技术新产品的管理与服务政策。</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负责全县药品、医疗器械和化妆品标准执行管理。监督实施全县药品、医疗器械、化妆品标准和分类管理制度。配合实施国家基本药物制度。</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负责全县药品、医疗器械和化妆品质量管理。依法依授权监督实施药品、医疗器械生产、经营、使用质量管理规范。</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负责全县药品、医疗器械和化妆品监督管理。负责药品、医疗器械、化妆品日常监督检查。依法依授权查处药品、医疗器械和化妆品生产、销售、使用的违法行为。依法承担药品、医疗器械和化妆品安全应急管理和投诉举报处置工作。</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负责全县药品、医疗器械和化妆品风险管理。组织开展药品不良反应、医疗器械不良事件和化妆品不良反应的监测、评价和处置工作。依法承担药品、医疗器械和化妆品安全应急管理和投诉举报处置工作。</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依法依授权承担我县执业药师注册管理工作，贯彻执行执业药师其他相关管理制度。</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负责统一管理全县计量工作。推行法定计量单位，执行国家计量制度，管理计量器具及量值传递和比对工作。规范、监督商品量和计量行为。</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负责统一管理全县标准化工作。依法承担地方标准立项、编号和发布等工作，协调指导地方标准、团体标准制定工作，依法对标准制定和实施情况开展监督。</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负责统一管理全县检验检测工作。规范检验检测市场，完善检验检测体系，指导协调检验检测行业发展。</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负责统一管理全县认证认可工作。监督管理认证认可和合格评定工作。</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负责市场监督管理科技和信息化建设、新闻宣传。</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负责全县知识产权监督管理。贯彻落实国家、省、州知识产权战略、法规，拟订全县知识产权规划，负责知识产权的保护，负责组织实施商标、专利执法工作。</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负责促进全县民营经济发展。负责全县民营经济</w:t>
      </w:r>
    </w:p>
    <w:p>
      <w:pPr>
        <w:numPr>
          <w:ilvl w:val="0"/>
          <w:numId w:val="0"/>
        </w:numPr>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发展工作的任务制定、调查研究、统筹协调、督促落实及民营企</w:t>
      </w:r>
    </w:p>
    <w:p>
      <w:pPr>
        <w:numPr>
          <w:ilvl w:val="0"/>
          <w:numId w:val="0"/>
        </w:numPr>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业合法权益维护。在县委组织部指导下，指导全县市场监督管理</w:t>
      </w:r>
    </w:p>
    <w:p>
      <w:pPr>
        <w:numPr>
          <w:ilvl w:val="0"/>
          <w:numId w:val="0"/>
        </w:numPr>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部门配合党委组织部门开展小微企业、个体工商户、专业市场的</w:t>
      </w:r>
    </w:p>
    <w:p>
      <w:pPr>
        <w:numPr>
          <w:ilvl w:val="0"/>
          <w:numId w:val="0"/>
        </w:numPr>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党建工作。</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负责职责范围内的安全生产和职业健康、生态环</w:t>
      </w:r>
    </w:p>
    <w:p>
      <w:pPr>
        <w:numPr>
          <w:ilvl w:val="0"/>
          <w:numId w:val="0"/>
        </w:numPr>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境保护、应急联动、审批服务便民化等工作。</w:t>
      </w:r>
    </w:p>
    <w:p>
      <w:pPr>
        <w:numPr>
          <w:ilvl w:val="0"/>
          <w:numId w:val="0"/>
        </w:numPr>
        <w:ind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完成县委、县政府交办的其他任务。</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7" w:name="_Toc16020"/>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5"/>
      <w:bookmarkEnd w:id="16"/>
      <w:bookmarkEnd w:id="17"/>
    </w:p>
    <w:p>
      <w:pPr>
        <w:pStyle w:val="7"/>
        <w:adjustRightInd w:val="0"/>
        <w:snapToGrid w:val="0"/>
        <w:spacing w:before="93" w:line="600" w:lineRule="exact"/>
        <w:ind w:firstLine="672" w:firstLineChars="210"/>
        <w:outlineLvl w:val="2"/>
        <w:rPr>
          <w:rFonts w:hint="eastAsia" w:ascii="仿宋_GB2312" w:hAnsi="仿宋_GB2312" w:eastAsia="仿宋_GB2312" w:cs="仿宋_GB2312"/>
          <w:kern w:val="2"/>
          <w:sz w:val="32"/>
          <w:szCs w:val="32"/>
          <w:lang w:val="en-US" w:eastAsia="zh-CN" w:bidi="ar-SA"/>
        </w:rPr>
      </w:pPr>
      <w:bookmarkStart w:id="18" w:name="_Toc14892"/>
      <w:r>
        <w:rPr>
          <w:rFonts w:hint="eastAsia" w:ascii="仿宋_GB2312" w:hAnsi="仿宋_GB2312" w:eastAsia="仿宋_GB2312" w:cs="仿宋_GB2312"/>
          <w:kern w:val="2"/>
          <w:sz w:val="32"/>
          <w:szCs w:val="32"/>
          <w:lang w:val="en-US" w:eastAsia="zh-CN" w:bidi="ar-SA"/>
        </w:rPr>
        <w:t>1、执法办案工作：截止目前我局共立案查处各类违法案件47件（已全部办结），罚款入库9.0924万元。</w:t>
      </w:r>
    </w:p>
    <w:p>
      <w:pPr>
        <w:pStyle w:val="7"/>
        <w:adjustRightInd w:val="0"/>
        <w:snapToGrid w:val="0"/>
        <w:spacing w:before="93" w:line="600" w:lineRule="exact"/>
        <w:ind w:firstLine="672" w:firstLineChars="210"/>
        <w:outlineLvl w:val="2"/>
        <w:rPr>
          <w:rFonts w:hint="default" w:ascii="仿宋_GB2312" w:hAnsi="仿宋_GB2312" w:eastAsia="仿宋_GB2312" w:cs="仿宋_GB2312"/>
          <w:kern w:val="2"/>
          <w:sz w:val="32"/>
          <w:szCs w:val="32"/>
          <w:lang w:val="en-US" w:eastAsia="zh-CN" w:bidi="ar-SA"/>
        </w:rPr>
      </w:pPr>
      <w:r>
        <w:rPr>
          <w:rFonts w:hint="eastAsia" w:ascii="仿宋" w:hAnsi="仿宋" w:eastAsia="仿宋" w:cs="Times New Roman"/>
          <w:bCs/>
          <w:color w:val="000000"/>
          <w:sz w:val="32"/>
          <w:szCs w:val="32"/>
          <w:lang w:val="en-US" w:eastAsia="zh-CN"/>
        </w:rPr>
        <w:t xml:space="preserve">  </w:t>
      </w:r>
      <w:r>
        <w:rPr>
          <w:rFonts w:hint="default" w:ascii="仿宋" w:hAnsi="仿宋" w:eastAsia="仿宋" w:cs="Times New Roman"/>
          <w:bCs/>
          <w:color w:val="000000"/>
          <w:sz w:val="32"/>
          <w:szCs w:val="32"/>
        </w:rPr>
        <w:t>　</w:t>
      </w:r>
      <w:r>
        <w:rPr>
          <w:rFonts w:hint="eastAsia"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en-US" w:eastAsia="zh-CN" w:bidi="ar-SA"/>
        </w:rPr>
        <w:t>个体工商户和企业发展状况。截止目前我县有个体工商户共计2229户，注册资本共计36266.66万元；在册各类企业共计 394户，注册资本共计244366.18万元。今年我局新登记注册个体工商户323户，新增注册资本6106.65万元。新登记注册各类企业共45户，新增注册资本53122万元。其中新增私营企业34户，新增注册资本36502万元；农民专业合作社5户，注册资本290万元。全程电子化注册71户。</w:t>
      </w:r>
    </w:p>
    <w:p>
      <w:pPr>
        <w:pStyle w:val="7"/>
        <w:adjustRightInd w:val="0"/>
        <w:snapToGrid w:val="0"/>
        <w:spacing w:before="93" w:line="600" w:lineRule="exact"/>
        <w:ind w:firstLine="672" w:firstLineChars="210"/>
        <w:outlineLvl w:val="2"/>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3、</w:t>
      </w:r>
      <w:r>
        <w:rPr>
          <w:rFonts w:hint="default" w:ascii="仿宋_GB2312" w:hAnsi="仿宋_GB2312" w:eastAsia="仿宋_GB2312" w:cs="仿宋_GB2312"/>
          <w:kern w:val="2"/>
          <w:sz w:val="32"/>
          <w:szCs w:val="32"/>
          <w:lang w:val="en-US" w:eastAsia="zh-CN" w:bidi="ar-SA"/>
        </w:rPr>
        <w:t>食品经营许可证发放情况：县餐饮许可证发放共333家，今年共受理申办餐饮服务许可证个体户133家；食品经营许可（流通）共186家，今年新增19家，“三小”食品备案41家</w:t>
      </w:r>
    </w:p>
    <w:p>
      <w:pPr>
        <w:pStyle w:val="7"/>
        <w:adjustRightInd w:val="0"/>
        <w:snapToGrid w:val="0"/>
        <w:spacing w:before="93" w:line="600" w:lineRule="exact"/>
        <w:ind w:firstLine="672" w:firstLineChars="210"/>
        <w:outlineLvl w:val="2"/>
        <w:rPr>
          <w:rFonts w:hint="eastAsia" w:ascii="仿宋_GB2312" w:hAnsi="仿宋_GB2312" w:eastAsia="仿宋_GB2312" w:cs="仿宋_GB2312"/>
          <w:kern w:val="2"/>
          <w:sz w:val="32"/>
          <w:szCs w:val="32"/>
          <w:lang w:val="en-US" w:eastAsia="zh-CN" w:bidi="ar-SA"/>
        </w:rPr>
      </w:pPr>
      <w:r>
        <w:rPr>
          <w:rFonts w:hint="default" w:ascii="仿宋" w:hAnsi="仿宋" w:eastAsia="仿宋" w:cs="Times New Roman"/>
          <w:bCs/>
          <w:color w:val="000000"/>
          <w:sz w:val="32"/>
          <w:szCs w:val="32"/>
        </w:rPr>
        <w:t>　</w:t>
      </w:r>
      <w:r>
        <w:rPr>
          <w:rFonts w:hint="default" w:ascii="仿宋_GB2312" w:hAnsi="仿宋_GB2312" w:eastAsia="仿宋_GB2312" w:cs="仿宋_GB2312"/>
          <w:kern w:val="2"/>
          <w:sz w:val="32"/>
          <w:szCs w:val="32"/>
          <w:lang w:val="en-US" w:eastAsia="zh-CN" w:bidi="ar-SA"/>
        </w:rPr>
        <w:t>　</w:t>
      </w:r>
      <w:r>
        <w:rPr>
          <w:rFonts w:hint="eastAsia" w:ascii="仿宋_GB2312" w:hAnsi="仿宋_GB2312" w:eastAsia="仿宋_GB2312" w:cs="仿宋_GB2312"/>
          <w:kern w:val="2"/>
          <w:sz w:val="32"/>
          <w:szCs w:val="32"/>
          <w:lang w:val="en-US" w:eastAsia="zh-CN" w:bidi="ar-SA"/>
        </w:rPr>
        <w:t>4、</w:t>
      </w:r>
      <w:r>
        <w:rPr>
          <w:rFonts w:hint="default" w:ascii="仿宋_GB2312" w:hAnsi="仿宋_GB2312" w:eastAsia="仿宋_GB2312" w:cs="仿宋_GB2312"/>
          <w:kern w:val="2"/>
          <w:sz w:val="32"/>
          <w:szCs w:val="32"/>
          <w:lang w:val="en-US" w:eastAsia="zh-CN" w:bidi="ar-SA"/>
        </w:rPr>
        <w:t>食品药品抽检工作：今年完成了对辖区内旅游餐饮接待重点单位、邛溪综合市场、餐馆、超市以及蔬菜批发部等环节的蔬菜、水果、畜肉等食用农产品的260个批次的抽样检测任务，工业产品抽样252个批次将在11月完成。我局在食用农产品监督抽检任务中，必检品种完成率达到100%，必检项目完成率达到70%，全年任务完成率达到100%；同时，我局组织执法人员于7月22日至7月26日在辖区内开展了药品抽样工作，本次监督性抽样和评价性覆盖了11家医疗机构和5家零售药店，以及1家诊所，基层单位抽样品种达到54%。本次抽样共出动车辆8台次，出动执法人员25人次，共抽监督性抽样35批次、评价性抽样5批次。</w:t>
      </w:r>
    </w:p>
    <w:p>
      <w:pPr>
        <w:pStyle w:val="7"/>
        <w:adjustRightInd w:val="0"/>
        <w:snapToGrid w:val="0"/>
        <w:spacing w:before="93" w:line="600" w:lineRule="exact"/>
        <w:ind w:firstLine="672" w:firstLineChars="210"/>
        <w:outlineLvl w:val="2"/>
        <w:rPr>
          <w:rFonts w:hint="default" w:ascii="仿宋_GB2312" w:hAnsi="仿宋_GB2312" w:eastAsia="仿宋_GB2312" w:cs="仿宋_GB2312"/>
          <w:kern w:val="2"/>
          <w:sz w:val="32"/>
          <w:szCs w:val="32"/>
          <w:lang w:val="en-US" w:eastAsia="zh-CN" w:bidi="ar-SA"/>
        </w:rPr>
      </w:pPr>
      <w:r>
        <w:rPr>
          <w:rFonts w:hint="default" w:ascii="仿宋" w:hAnsi="仿宋" w:eastAsia="仿宋" w:cs="Times New Roman"/>
          <w:bCs/>
          <w:color w:val="000000"/>
          <w:sz w:val="32"/>
          <w:szCs w:val="32"/>
        </w:rPr>
        <w:t>　　</w:t>
      </w:r>
      <w:r>
        <w:rPr>
          <w:rFonts w:hint="eastAsia" w:ascii="仿宋_GB2312" w:hAnsi="仿宋_GB2312" w:eastAsia="仿宋_GB2312" w:cs="仿宋_GB2312"/>
          <w:kern w:val="2"/>
          <w:sz w:val="32"/>
          <w:szCs w:val="32"/>
          <w:lang w:val="en-US" w:eastAsia="zh-CN" w:bidi="ar-SA"/>
        </w:rPr>
        <w:t>5、</w:t>
      </w:r>
      <w:r>
        <w:rPr>
          <w:rFonts w:hint="default" w:ascii="仿宋_GB2312" w:hAnsi="仿宋_GB2312" w:eastAsia="仿宋_GB2312" w:cs="仿宋_GB2312"/>
          <w:kern w:val="2"/>
          <w:sz w:val="32"/>
          <w:szCs w:val="32"/>
          <w:lang w:val="en-US" w:eastAsia="zh-CN" w:bidi="ar-SA"/>
        </w:rPr>
        <w:t>放心舒心城市创建工作。继续打造好“一店一码”快速维权通道，按州两心办要求，在酒店行业创建放心舒心工作，打造一批设施齐全、服务规范、安全放心的酒店业示范网点，促进酒店业发展。我县共纳入3家酒店为示范创建，目前已完成信息采集，二维码由州创建办制作中。</w:t>
      </w:r>
    </w:p>
    <w:p>
      <w:pPr>
        <w:pStyle w:val="7"/>
        <w:adjustRightInd w:val="0"/>
        <w:snapToGrid w:val="0"/>
        <w:spacing w:before="93" w:line="600" w:lineRule="exact"/>
        <w:ind w:firstLine="672" w:firstLineChars="210"/>
        <w:outlineLvl w:val="2"/>
        <w:rPr>
          <w:rFonts w:hint="default" w:ascii="仿宋_GB2312" w:hAnsi="仿宋_GB2312" w:eastAsia="仿宋_GB2312" w:cs="仿宋_GB2312"/>
          <w:kern w:val="2"/>
          <w:sz w:val="32"/>
          <w:szCs w:val="32"/>
          <w:lang w:val="en-US" w:eastAsia="zh-CN" w:bidi="ar-SA"/>
        </w:rPr>
      </w:pPr>
      <w:r>
        <w:rPr>
          <w:rFonts w:hint="default" w:ascii="仿宋" w:hAnsi="仿宋" w:eastAsia="仿宋" w:cs="Times New Roman"/>
          <w:bCs/>
          <w:color w:val="000000"/>
          <w:sz w:val="32"/>
          <w:szCs w:val="32"/>
        </w:rPr>
        <w:t>　</w:t>
      </w:r>
      <w:r>
        <w:rPr>
          <w:rFonts w:hint="default" w:ascii="仿宋_GB2312" w:hAnsi="仿宋_GB2312" w:eastAsia="仿宋_GB2312" w:cs="仿宋_GB2312"/>
          <w:kern w:val="2"/>
          <w:sz w:val="32"/>
          <w:szCs w:val="32"/>
          <w:lang w:val="en-US" w:eastAsia="zh-CN" w:bidi="ar-SA"/>
        </w:rPr>
        <w:t>　</w:t>
      </w:r>
      <w:r>
        <w:rPr>
          <w:rFonts w:hint="eastAsia" w:ascii="仿宋_GB2312" w:hAnsi="仿宋_GB2312" w:eastAsia="仿宋_GB2312" w:cs="仿宋_GB2312"/>
          <w:kern w:val="2"/>
          <w:sz w:val="32"/>
          <w:szCs w:val="32"/>
          <w:lang w:val="en-US" w:eastAsia="zh-CN" w:bidi="ar-SA"/>
        </w:rPr>
        <w:t>6、</w:t>
      </w:r>
      <w:r>
        <w:rPr>
          <w:rFonts w:hint="default" w:ascii="仿宋_GB2312" w:hAnsi="仿宋_GB2312" w:eastAsia="仿宋_GB2312" w:cs="仿宋_GB2312"/>
          <w:kern w:val="2"/>
          <w:sz w:val="32"/>
          <w:szCs w:val="32"/>
          <w:lang w:val="en-US" w:eastAsia="zh-CN" w:bidi="ar-SA"/>
        </w:rPr>
        <w:t>扫黑除恶专项工作。今年以来我局制定了扫黑除恶专项斗争工作方案，并结合职责职能开展执法行动，全面核查涉黑涉恶违法线索。截至目前，召开专题会议5次，出动执法人员1750人次，检查摸排各类市场、经营场19次，专项整治重点行业、领域12次，举办宣传活动1次，发放各类宣传资料2050份，张贴公告4张。</w:t>
      </w:r>
    </w:p>
    <w:p>
      <w:pPr>
        <w:pStyle w:val="7"/>
        <w:adjustRightInd w:val="0"/>
        <w:snapToGrid w:val="0"/>
        <w:spacing w:before="93" w:line="600" w:lineRule="exact"/>
        <w:ind w:firstLine="672" w:firstLineChars="210"/>
        <w:outlineLvl w:val="2"/>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w:t>
      </w:r>
      <w:r>
        <w:rPr>
          <w:rFonts w:hint="eastAsia" w:ascii="仿宋_GB2312" w:hAnsi="仿宋_GB2312" w:eastAsia="仿宋_GB2312" w:cs="仿宋_GB2312"/>
          <w:kern w:val="2"/>
          <w:sz w:val="32"/>
          <w:szCs w:val="32"/>
          <w:lang w:val="en-US" w:eastAsia="zh-CN" w:bidi="ar-SA"/>
        </w:rPr>
        <w:t>7、</w:t>
      </w:r>
      <w:r>
        <w:rPr>
          <w:rFonts w:hint="default" w:ascii="仿宋_GB2312" w:hAnsi="仿宋_GB2312" w:eastAsia="仿宋_GB2312" w:cs="仿宋_GB2312"/>
          <w:kern w:val="2"/>
          <w:sz w:val="32"/>
          <w:szCs w:val="32"/>
          <w:lang w:val="en-US" w:eastAsia="zh-CN" w:bidi="ar-SA"/>
        </w:rPr>
        <w:t>宣传报道工作：通过开展“食品宣传周”“药品、保健品宣传周”等各种活动，此次活动共出动宣传人员68人次、宣传车辆8台次、设置宣传展板9块、宣传横幅2条、发放宣传资料3000份、解答群众疑问61余条。</w:t>
      </w:r>
      <w:bookmarkEnd w:id="18"/>
    </w:p>
    <w:p>
      <w:pPr>
        <w:pStyle w:val="5"/>
        <w:rPr>
          <w:rStyle w:val="28"/>
          <w:b w:val="0"/>
          <w:bCs w:val="0"/>
        </w:rPr>
      </w:pPr>
      <w:bookmarkStart w:id="19" w:name="_Toc26574"/>
      <w:bookmarkStart w:id="20" w:name="_Toc32025"/>
      <w:bookmarkStart w:id="21" w:name="_Toc15396601"/>
      <w:bookmarkStart w:id="22" w:name="_Toc15377200"/>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19"/>
      <w:bookmarkEnd w:id="20"/>
      <w:bookmarkEnd w:id="21"/>
      <w:bookmarkEnd w:id="22"/>
    </w:p>
    <w:p>
      <w:pPr>
        <w:pageBreakBefore w:val="0"/>
        <w:kinsoku/>
        <w:wordWrap/>
        <w:overflowPunct/>
        <w:topLinePunct w:val="0"/>
        <w:bidi w:val="0"/>
        <w:snapToGrid w:val="0"/>
        <w:spacing w:line="560" w:lineRule="exact"/>
        <w:ind w:firstLine="560" w:firstLineChars="200"/>
        <w:rPr>
          <w:rFonts w:hint="eastAsia" w:ascii="宋?" w:hAnsi="宋?" w:cs="宋?"/>
          <w:sz w:val="28"/>
          <w:szCs w:val="28"/>
          <w:lang w:eastAsia="zh-CN"/>
        </w:rPr>
      </w:pPr>
      <w:r>
        <w:rPr>
          <w:rFonts w:hint="eastAsia" w:ascii="宋?" w:hAnsi="宋?" w:cs="宋?"/>
          <w:sz w:val="28"/>
          <w:szCs w:val="28"/>
          <w:lang w:val="en-US" w:eastAsia="zh-CN"/>
        </w:rPr>
        <w:t>1.</w:t>
      </w:r>
      <w:r>
        <w:rPr>
          <w:rFonts w:hint="eastAsia" w:ascii="宋?" w:hAnsi="宋?" w:cs="宋?"/>
          <w:sz w:val="28"/>
          <w:szCs w:val="28"/>
          <w:lang w:eastAsia="zh-CN"/>
        </w:rPr>
        <w:t>红原县市场监督管理局属于一级预算单位，其中内设机构</w:t>
      </w:r>
      <w:r>
        <w:rPr>
          <w:rFonts w:hint="eastAsia" w:ascii="宋?" w:hAnsi="宋?" w:cs="宋?"/>
          <w:sz w:val="28"/>
          <w:szCs w:val="28"/>
          <w:lang w:val="en-US" w:eastAsia="zh-CN"/>
        </w:rPr>
        <w:t>5</w:t>
      </w:r>
      <w:r>
        <w:rPr>
          <w:rFonts w:hint="eastAsia" w:ascii="宋?" w:hAnsi="宋?" w:cs="宋?"/>
          <w:sz w:val="28"/>
          <w:szCs w:val="28"/>
          <w:lang w:eastAsia="zh-CN"/>
        </w:rPr>
        <w:t>个，下属二级单位</w:t>
      </w:r>
      <w:r>
        <w:rPr>
          <w:rFonts w:hint="eastAsia" w:ascii="宋?" w:hAnsi="宋?" w:cs="宋?"/>
          <w:sz w:val="28"/>
          <w:szCs w:val="28"/>
          <w:lang w:val="en-US" w:eastAsia="zh-CN"/>
        </w:rPr>
        <w:t>0</w:t>
      </w:r>
      <w:r>
        <w:rPr>
          <w:rFonts w:hint="eastAsia" w:ascii="宋?" w:hAnsi="宋?" w:cs="宋?"/>
          <w:sz w:val="28"/>
          <w:szCs w:val="28"/>
          <w:lang w:eastAsia="zh-CN"/>
        </w:rPr>
        <w:t>个，其中行政单位</w:t>
      </w:r>
      <w:r>
        <w:rPr>
          <w:rFonts w:hint="eastAsia" w:ascii="宋?" w:hAnsi="宋?" w:cs="宋?"/>
          <w:sz w:val="28"/>
          <w:szCs w:val="28"/>
          <w:lang w:val="en-US" w:eastAsia="zh-CN"/>
        </w:rPr>
        <w:t>0</w:t>
      </w:r>
      <w:r>
        <w:rPr>
          <w:rFonts w:hint="eastAsia" w:ascii="宋?" w:hAnsi="宋?" w:cs="宋?"/>
          <w:sz w:val="28"/>
          <w:szCs w:val="28"/>
          <w:lang w:eastAsia="zh-CN"/>
        </w:rPr>
        <w:t>个，参照公务员法管理的事业单位</w:t>
      </w:r>
      <w:r>
        <w:rPr>
          <w:rFonts w:hint="eastAsia" w:ascii="宋?" w:hAnsi="宋?" w:cs="宋?"/>
          <w:sz w:val="28"/>
          <w:szCs w:val="28"/>
          <w:lang w:val="en-US" w:eastAsia="zh-CN"/>
        </w:rPr>
        <w:t>0</w:t>
      </w:r>
      <w:r>
        <w:rPr>
          <w:rFonts w:hint="eastAsia" w:ascii="宋?" w:hAnsi="宋?" w:cs="宋?"/>
          <w:sz w:val="28"/>
          <w:szCs w:val="28"/>
          <w:lang w:eastAsia="zh-CN"/>
        </w:rPr>
        <w:t>个，其他事业单位</w:t>
      </w:r>
      <w:r>
        <w:rPr>
          <w:rFonts w:hint="eastAsia" w:ascii="宋?" w:hAnsi="宋?" w:cs="宋?"/>
          <w:sz w:val="28"/>
          <w:szCs w:val="28"/>
          <w:lang w:val="en-US" w:eastAsia="zh-CN"/>
        </w:rPr>
        <w:t>0</w:t>
      </w:r>
      <w:r>
        <w:rPr>
          <w:rFonts w:hint="eastAsia" w:ascii="宋?" w:hAnsi="宋?" w:cs="宋?"/>
          <w:sz w:val="28"/>
          <w:szCs w:val="28"/>
          <w:lang w:eastAsia="zh-CN"/>
        </w:rPr>
        <w:t>个。</w:t>
      </w:r>
    </w:p>
    <w:p>
      <w:pPr>
        <w:pageBreakBefore w:val="0"/>
        <w:kinsoku/>
        <w:wordWrap/>
        <w:overflowPunct/>
        <w:topLinePunct w:val="0"/>
        <w:bidi w:val="0"/>
        <w:snapToGrid w:val="0"/>
        <w:spacing w:line="560" w:lineRule="exact"/>
        <w:ind w:firstLine="640" w:firstLineChars="200"/>
        <w:rPr>
          <w:rFonts w:ascii="仿宋" w:hAnsi="仿宋" w:eastAsia="仿宋"/>
          <w:color w:val="000000"/>
          <w:kern w:val="0"/>
          <w:sz w:val="32"/>
          <w:szCs w:val="32"/>
        </w:rPr>
      </w:pPr>
      <w:r>
        <w:rPr>
          <w:rFonts w:ascii="仿宋_GB2312" w:hAnsi="仿宋_GB2312" w:eastAsia="仿宋_GB2312" w:cs="仿宋_GB2312"/>
          <w:bCs/>
          <w:sz w:val="32"/>
          <w:szCs w:val="32"/>
        </w:rPr>
        <w:t>2.</w:t>
      </w:r>
      <w:r>
        <w:rPr>
          <w:rFonts w:hint="eastAsia" w:ascii="仿宋_GB2312" w:hAnsi="仿宋" w:eastAsia="仿宋_GB2312"/>
          <w:sz w:val="32"/>
          <w:szCs w:val="32"/>
        </w:rPr>
        <w:t>人员情况：</w:t>
      </w:r>
      <w:r>
        <w:rPr>
          <w:rFonts w:hint="eastAsia" w:ascii="仿宋_GB2312" w:hAnsi="仿宋_GB2312" w:eastAsia="仿宋_GB2312" w:cs="仿宋_GB2312"/>
          <w:bCs/>
          <w:sz w:val="32"/>
          <w:szCs w:val="32"/>
        </w:rPr>
        <w:t>截止</w:t>
      </w:r>
      <w:r>
        <w:rPr>
          <w:rFonts w:ascii="仿宋_GB2312" w:hAnsi="仿宋_GB2312" w:eastAsia="仿宋_GB2312" w:cs="仿宋_GB2312"/>
          <w:bCs/>
          <w:sz w:val="32"/>
          <w:szCs w:val="32"/>
        </w:rPr>
        <w:t>2019</w:t>
      </w:r>
      <w:r>
        <w:rPr>
          <w:rFonts w:hint="eastAsia" w:ascii="仿宋_GB2312" w:hAnsi="仿宋_GB2312" w:eastAsia="仿宋_GB2312" w:cs="仿宋_GB2312"/>
          <w:bCs/>
          <w:sz w:val="32"/>
          <w:szCs w:val="32"/>
        </w:rPr>
        <w:t>年末我单位共有</w:t>
      </w:r>
      <w:r>
        <w:rPr>
          <w:rFonts w:hint="eastAsia" w:ascii="宋?" w:hAnsi="宋?" w:cs="宋?"/>
          <w:sz w:val="28"/>
          <w:szCs w:val="28"/>
        </w:rPr>
        <w:t>编制人数</w:t>
      </w:r>
      <w:r>
        <w:rPr>
          <w:rFonts w:hint="eastAsia" w:ascii="宋?" w:hAnsi="宋?" w:cs="宋?"/>
          <w:sz w:val="28"/>
          <w:szCs w:val="28"/>
          <w:lang w:val="en-US" w:eastAsia="zh-CN"/>
        </w:rPr>
        <w:t>4</w:t>
      </w:r>
      <w:r>
        <w:rPr>
          <w:rFonts w:ascii="宋?" w:hAnsi="宋?" w:cs="宋?"/>
          <w:sz w:val="28"/>
          <w:szCs w:val="28"/>
        </w:rPr>
        <w:t>1</w:t>
      </w:r>
      <w:r>
        <w:rPr>
          <w:rFonts w:hint="eastAsia" w:ascii="宋?" w:hAnsi="宋?" w:cs="宋?"/>
          <w:sz w:val="28"/>
          <w:szCs w:val="28"/>
        </w:rPr>
        <w:t>人，</w:t>
      </w:r>
      <w:r>
        <w:rPr>
          <w:rFonts w:hint="eastAsia" w:ascii="宋?" w:hAnsi="宋?" w:cs="宋?"/>
          <w:sz w:val="28"/>
          <w:szCs w:val="28"/>
          <w:lang w:eastAsia="zh-CN"/>
        </w:rPr>
        <w:t>其中：行政人员在职</w:t>
      </w:r>
      <w:r>
        <w:rPr>
          <w:rFonts w:hint="eastAsia" w:ascii="宋?" w:hAnsi="宋?" w:cs="宋?"/>
          <w:sz w:val="28"/>
          <w:szCs w:val="28"/>
          <w:lang w:val="en-US" w:eastAsia="zh-CN"/>
        </w:rPr>
        <w:t>24个人，</w:t>
      </w:r>
      <w:r>
        <w:rPr>
          <w:rFonts w:hint="eastAsia" w:ascii="宋?" w:hAnsi="宋?" w:cs="宋?"/>
          <w:sz w:val="28"/>
          <w:szCs w:val="28"/>
        </w:rPr>
        <w:t>参照公务员法管理人员在职</w:t>
      </w:r>
      <w:r>
        <w:rPr>
          <w:rFonts w:hint="eastAsia" w:ascii="宋?" w:hAnsi="宋?" w:cs="宋?"/>
          <w:sz w:val="28"/>
          <w:szCs w:val="28"/>
          <w:lang w:val="en-US" w:eastAsia="zh-CN"/>
        </w:rPr>
        <w:t>16</w:t>
      </w:r>
      <w:r>
        <w:rPr>
          <w:rFonts w:hint="eastAsia" w:ascii="宋?" w:hAnsi="宋?" w:cs="宋?"/>
          <w:sz w:val="28"/>
          <w:szCs w:val="28"/>
        </w:rPr>
        <w:t>人</w:t>
      </w:r>
      <w:r>
        <w:rPr>
          <w:rFonts w:hint="eastAsia" w:ascii="宋?" w:hAnsi="宋?" w:cs="宋?"/>
          <w:sz w:val="28"/>
          <w:szCs w:val="28"/>
          <w:lang w:eastAsia="zh-CN"/>
        </w:rPr>
        <w:t>，离休人员人</w:t>
      </w:r>
      <w:r>
        <w:rPr>
          <w:rFonts w:hint="eastAsia" w:ascii="宋?" w:hAnsi="宋?" w:cs="宋?"/>
          <w:sz w:val="28"/>
          <w:szCs w:val="28"/>
        </w:rPr>
        <w:t>。</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ascii="仿宋" w:hAnsi="仿宋" w:eastAsia="仿宋"/>
          <w:color w:val="auto"/>
          <w:sz w:val="32"/>
          <w:szCs w:val="32"/>
        </w:rPr>
      </w:pPr>
    </w:p>
    <w:p>
      <w:pPr>
        <w:pStyle w:val="2"/>
        <w:rPr>
          <w:rFonts w:ascii="仿宋" w:hAnsi="仿宋" w:eastAsia="仿宋"/>
          <w:color w:val="auto"/>
          <w:sz w:val="32"/>
          <w:szCs w:val="32"/>
        </w:rPr>
      </w:pPr>
    </w:p>
    <w:p>
      <w:pPr>
        <w:pStyle w:val="2"/>
        <w:rPr>
          <w:rFonts w:ascii="仿宋" w:hAnsi="仿宋" w:eastAsia="仿宋"/>
          <w:color w:val="auto"/>
          <w:sz w:val="32"/>
          <w:szCs w:val="32"/>
        </w:rPr>
      </w:pPr>
    </w:p>
    <w:p>
      <w:pPr>
        <w:pStyle w:val="2"/>
        <w:rPr>
          <w:rFonts w:ascii="仿宋" w:hAnsi="仿宋" w:eastAsia="仿宋"/>
          <w:color w:val="auto"/>
          <w:sz w:val="32"/>
          <w:szCs w:val="32"/>
        </w:rPr>
      </w:pPr>
    </w:p>
    <w:p>
      <w:pPr>
        <w:pStyle w:val="2"/>
        <w:rPr>
          <w:rFonts w:ascii="仿宋" w:hAnsi="仿宋" w:eastAsia="仿宋"/>
          <w:color w:val="auto"/>
          <w:sz w:val="32"/>
          <w:szCs w:val="32"/>
        </w:rPr>
      </w:pPr>
    </w:p>
    <w:p>
      <w:pPr>
        <w:pStyle w:val="2"/>
        <w:rPr>
          <w:rFonts w:ascii="仿宋" w:hAnsi="仿宋" w:eastAsia="仿宋"/>
          <w:color w:val="auto"/>
          <w:sz w:val="32"/>
          <w:szCs w:val="32"/>
        </w:rPr>
      </w:pPr>
    </w:p>
    <w:p>
      <w:pPr>
        <w:pStyle w:val="4"/>
        <w:ind w:right="440"/>
        <w:jc w:val="right"/>
        <w:rPr>
          <w:rStyle w:val="27"/>
          <w:rFonts w:ascii="黑体" w:hAnsi="黑体" w:eastAsia="黑体"/>
          <w:b w:val="0"/>
          <w:bCs w:val="0"/>
        </w:rPr>
      </w:pPr>
      <w:bookmarkStart w:id="23" w:name="_Toc981"/>
      <w:bookmarkStart w:id="24" w:name="_Toc19756"/>
      <w:bookmarkStart w:id="25" w:name="_Toc15377204"/>
      <w:bookmarkStart w:id="26"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23"/>
      <w:bookmarkEnd w:id="24"/>
      <w:bookmarkEnd w:id="25"/>
      <w:bookmarkEnd w:id="26"/>
    </w:p>
    <w:p/>
    <w:p>
      <w:pPr>
        <w:pStyle w:val="26"/>
        <w:numPr>
          <w:ilvl w:val="0"/>
          <w:numId w:val="1"/>
        </w:numPr>
        <w:spacing w:line="600" w:lineRule="exact"/>
        <w:ind w:firstLineChars="0"/>
        <w:outlineLvl w:val="1"/>
        <w:rPr>
          <w:rStyle w:val="28"/>
          <w:rFonts w:ascii="黑体" w:hAnsi="黑体" w:eastAsia="黑体"/>
          <w:b w:val="0"/>
        </w:rPr>
      </w:pPr>
      <w:bookmarkStart w:id="27" w:name="_Toc28265"/>
      <w:bookmarkStart w:id="28" w:name="_Toc4801"/>
      <w:bookmarkStart w:id="29" w:name="_Toc15377205"/>
      <w:bookmarkStart w:id="30"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7"/>
      <w:bookmarkEnd w:id="28"/>
      <w:bookmarkEnd w:id="29"/>
      <w:bookmarkEnd w:id="30"/>
    </w:p>
    <w:p>
      <w:pPr>
        <w:spacing w:line="600" w:lineRule="exact"/>
        <w:ind w:firstLine="640" w:firstLineChars="200"/>
        <w:rPr>
          <w:rFonts w:hint="eastAsia" w:ascii="仿宋" w:hAnsi="仿宋" w:eastAsia="仿宋"/>
          <w:sz w:val="32"/>
          <w:szCs w:val="32"/>
          <w:lang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896.07万元</w:t>
      </w:r>
      <w:r>
        <w:rPr>
          <w:rFonts w:hint="eastAsia" w:ascii="仿宋" w:hAnsi="仿宋" w:eastAsia="仿宋"/>
          <w:color w:val="000000"/>
          <w:sz w:val="32"/>
          <w:szCs w:val="32"/>
        </w:rPr>
        <w:t>、支总计</w:t>
      </w:r>
      <w:r>
        <w:rPr>
          <w:rFonts w:hint="eastAsia" w:ascii="仿宋" w:hAnsi="仿宋" w:eastAsia="仿宋"/>
          <w:color w:val="000000"/>
          <w:sz w:val="32"/>
          <w:szCs w:val="32"/>
          <w:lang w:val="en-US" w:eastAsia="zh-CN"/>
        </w:rPr>
        <w:t>1453.96</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983.7万元，减少87.63万元，下降9.78%</w:t>
      </w:r>
      <w:r>
        <w:rPr>
          <w:rFonts w:hint="eastAsia" w:ascii="仿宋" w:hAnsi="仿宋" w:eastAsia="仿宋"/>
          <w:sz w:val="32"/>
          <w:szCs w:val="32"/>
        </w:rPr>
        <w:t>主要变动是</w:t>
      </w:r>
      <w:r>
        <w:rPr>
          <w:rFonts w:hint="eastAsia" w:ascii="仿宋" w:hAnsi="仿宋" w:eastAsia="仿宋"/>
          <w:sz w:val="32"/>
          <w:szCs w:val="32"/>
          <w:lang w:eastAsia="zh-CN"/>
        </w:rPr>
        <w:t>单位人员减少</w:t>
      </w:r>
      <w:r>
        <w:rPr>
          <w:rFonts w:hint="eastAsia" w:ascii="仿宋" w:hAnsi="仿宋" w:eastAsia="仿宋"/>
          <w:sz w:val="32"/>
          <w:szCs w:val="32"/>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lang w:val="en-US" w:eastAsia="zh-CN"/>
        </w:rPr>
        <w:t>1076.72万元，减少377.24万元，增加25.95</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sz w:val="32"/>
          <w:szCs w:val="32"/>
        </w:rPr>
        <w:t>主要变动</w:t>
      </w:r>
      <w:r>
        <w:rPr>
          <w:rFonts w:hint="eastAsia" w:ascii="仿宋" w:hAnsi="仿宋" w:eastAsia="仿宋"/>
          <w:sz w:val="32"/>
          <w:szCs w:val="32"/>
          <w:lang w:eastAsia="zh-CN"/>
        </w:rPr>
        <w:t>原因是</w:t>
      </w:r>
      <w:r>
        <w:rPr>
          <w:rFonts w:hint="eastAsia" w:ascii="仿宋" w:hAnsi="仿宋" w:eastAsia="仿宋"/>
          <w:sz w:val="32"/>
          <w:szCs w:val="32"/>
        </w:rPr>
        <w:t>项目收入</w:t>
      </w:r>
      <w:r>
        <w:rPr>
          <w:rFonts w:hint="eastAsia" w:ascii="仿宋" w:hAnsi="仿宋" w:eastAsia="仿宋"/>
          <w:sz w:val="32"/>
          <w:szCs w:val="32"/>
          <w:lang w:eastAsia="zh-CN"/>
        </w:rPr>
        <w:t>增加</w:t>
      </w:r>
      <w:r>
        <w:rPr>
          <w:rFonts w:hint="eastAsia" w:ascii="仿宋" w:hAnsi="仿宋" w:eastAsia="仿宋"/>
          <w:sz w:val="32"/>
          <w:szCs w:val="32"/>
        </w:rPr>
        <w:t>（</w:t>
      </w:r>
      <w:r>
        <w:rPr>
          <w:rFonts w:hint="eastAsia" w:ascii="仿宋" w:hAnsi="仿宋" w:eastAsia="仿宋"/>
          <w:sz w:val="32"/>
          <w:szCs w:val="32"/>
          <w:lang w:eastAsia="zh-CN"/>
        </w:rPr>
        <w:t>商贸城政府补贴资金</w:t>
      </w:r>
      <w:r>
        <w:rPr>
          <w:rFonts w:hint="eastAsia" w:ascii="仿宋" w:hAnsi="仿宋" w:eastAsia="仿宋"/>
          <w:sz w:val="32"/>
          <w:szCs w:val="32"/>
        </w:rPr>
        <w:t>）</w:t>
      </w:r>
      <w:r>
        <w:rPr>
          <w:rFonts w:hint="eastAsia" w:ascii="仿宋" w:hAnsi="仿宋" w:eastAsia="仿宋"/>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
        <w:spacing w:after="0"/>
        <w:ind w:left="0" w:leftChars="0" w:right="0" w:rightChars="0" w:firstLine="0" w:firstLineChars="0"/>
      </w:pPr>
    </w:p>
    <w:p>
      <w:pPr>
        <w:spacing w:line="240" w:lineRule="auto"/>
        <w:ind w:firstLine="0" w:firstLineChars="0"/>
        <w:jc w:val="left"/>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198120</wp:posOffset>
            </wp:positionH>
            <wp:positionV relativeFrom="paragraph">
              <wp:posOffset>46355</wp:posOffset>
            </wp:positionV>
            <wp:extent cx="4553585" cy="1771015"/>
            <wp:effectExtent l="4445" t="4445" r="13970" b="1524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240" w:lineRule="auto"/>
        <w:ind w:firstLine="0" w:firstLineChars="0"/>
        <w:jc w:val="left"/>
        <w:rPr>
          <w:rFonts w:ascii="仿宋_GB2312" w:eastAsia="仿宋_GB2312"/>
          <w:color w:val="000000"/>
          <w:sz w:val="32"/>
          <w:szCs w:val="32"/>
        </w:rPr>
      </w:pPr>
    </w:p>
    <w:p>
      <w:pPr>
        <w:spacing w:line="240" w:lineRule="auto"/>
        <w:ind w:firstLine="0" w:firstLineChars="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6"/>
        <w:numPr>
          <w:ilvl w:val="0"/>
          <w:numId w:val="0"/>
        </w:numPr>
        <w:spacing w:line="600" w:lineRule="exact"/>
        <w:outlineLvl w:val="9"/>
        <w:rPr>
          <w:rStyle w:val="28"/>
          <w:rFonts w:hint="eastAsia" w:ascii="黑体" w:hAnsi="黑体" w:eastAsia="黑体"/>
          <w:b w:val="0"/>
          <w:lang w:eastAsia="zh-CN"/>
        </w:rPr>
      </w:pPr>
      <w:bookmarkStart w:id="31" w:name="_Toc15377206"/>
      <w:bookmarkStart w:id="32" w:name="_Toc15396604"/>
    </w:p>
    <w:p>
      <w:pPr>
        <w:pStyle w:val="26"/>
        <w:numPr>
          <w:ilvl w:val="0"/>
          <w:numId w:val="0"/>
        </w:numPr>
        <w:spacing w:line="600" w:lineRule="exact"/>
        <w:outlineLvl w:val="1"/>
        <w:rPr>
          <w:rStyle w:val="28"/>
          <w:rFonts w:ascii="黑体" w:hAnsi="黑体" w:eastAsia="黑体"/>
          <w:b w:val="0"/>
        </w:rPr>
      </w:pPr>
      <w:bookmarkStart w:id="33" w:name="_Toc26694"/>
      <w:bookmarkStart w:id="34" w:name="_Toc10847"/>
      <w:r>
        <w:rPr>
          <w:rStyle w:val="28"/>
          <w:rFonts w:hint="eastAsia" w:ascii="黑体" w:hAnsi="黑体" w:eastAsia="黑体"/>
          <w:b w:val="0"/>
          <w:lang w:eastAsia="zh-CN"/>
        </w:rPr>
        <w:t>二、收入</w:t>
      </w:r>
      <w:r>
        <w:rPr>
          <w:rStyle w:val="28"/>
          <w:rFonts w:hint="eastAsia" w:ascii="黑体" w:hAnsi="黑体" w:eastAsia="黑体"/>
          <w:b w:val="0"/>
        </w:rPr>
        <w:t>决算情况说明</w:t>
      </w:r>
      <w:bookmarkEnd w:id="31"/>
      <w:bookmarkEnd w:id="32"/>
      <w:bookmarkEnd w:id="33"/>
      <w:bookmarkEnd w:id="34"/>
    </w:p>
    <w:p>
      <w:pPr>
        <w:pageBreakBefore w:val="0"/>
        <w:kinsoku/>
        <w:wordWrap/>
        <w:overflowPunct/>
        <w:topLinePunct w:val="0"/>
        <w:bidi w:val="0"/>
        <w:spacing w:line="560" w:lineRule="exact"/>
        <w:ind w:firstLine="640" w:firstLineChars="200"/>
        <w:outlineLvl w:val="1"/>
        <w:rPr>
          <w:rFonts w:ascii="仿宋" w:hAnsi="仿宋" w:eastAsia="仿宋"/>
          <w:color w:val="000000"/>
          <w:sz w:val="32"/>
          <w:szCs w:val="32"/>
        </w:rPr>
      </w:pPr>
      <w:bookmarkStart w:id="35" w:name="_Toc24023"/>
      <w:bookmarkStart w:id="36" w:name="_Toc657"/>
      <w:bookmarkStart w:id="37" w:name="_Toc7257"/>
      <w:r>
        <w:rPr>
          <w:rFonts w:ascii="仿宋" w:hAnsi="仿宋" w:eastAsia="仿宋"/>
          <w:color w:val="000000"/>
          <w:sz w:val="32"/>
          <w:szCs w:val="32"/>
        </w:rPr>
        <w:t>2019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896.07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896.07</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；上级补助收入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bookmarkEnd w:id="35"/>
      <w:bookmarkEnd w:id="36"/>
      <w:bookmarkEnd w:id="37"/>
    </w:p>
    <w:p>
      <w:pPr>
        <w:pageBreakBefore w:val="0"/>
        <w:kinsoku/>
        <w:wordWrap/>
        <w:overflowPunct/>
        <w:topLinePunct w:val="0"/>
        <w:bidi w:val="0"/>
        <w:spacing w:line="56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ageBreakBefore w:val="0"/>
        <w:kinsoku/>
        <w:wordWrap/>
        <w:overflowPunct/>
        <w:topLinePunct w:val="0"/>
        <w:bidi w:val="0"/>
        <w:spacing w:line="240" w:lineRule="auto"/>
        <w:ind w:firstLine="0" w:firstLineChars="0"/>
        <w:rPr>
          <w:rFonts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104775</wp:posOffset>
            </wp:positionH>
            <wp:positionV relativeFrom="paragraph">
              <wp:posOffset>55880</wp:posOffset>
            </wp:positionV>
            <wp:extent cx="4600575" cy="1933575"/>
            <wp:effectExtent l="0" t="0" r="9525" b="9525"/>
            <wp:wrapTopAndBottom/>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1"/>
                    <a:stretch>
                      <a:fillRect/>
                    </a:stretch>
                  </pic:blipFill>
                  <pic:spPr>
                    <a:xfrm>
                      <a:off x="0" y="0"/>
                      <a:ext cx="4600575" cy="1933575"/>
                    </a:xfrm>
                    <a:prstGeom prst="rect">
                      <a:avLst/>
                    </a:prstGeom>
                    <a:noFill/>
                    <a:ln>
                      <a:noFill/>
                    </a:ln>
                  </pic:spPr>
                </pic:pic>
              </a:graphicData>
            </a:graphic>
          </wp:anchor>
        </w:drawing>
      </w:r>
    </w:p>
    <w:p>
      <w:pPr>
        <w:pStyle w:val="26"/>
        <w:numPr>
          <w:ilvl w:val="0"/>
          <w:numId w:val="0"/>
        </w:numPr>
        <w:spacing w:line="600" w:lineRule="exact"/>
        <w:ind w:left="640" w:leftChars="0"/>
        <w:outlineLvl w:val="1"/>
        <w:rPr>
          <w:rStyle w:val="28"/>
          <w:rFonts w:ascii="黑体" w:hAnsi="黑体" w:eastAsia="黑体"/>
          <w:b w:val="0"/>
        </w:rPr>
      </w:pPr>
      <w:bookmarkStart w:id="38" w:name="_Toc15396605"/>
      <w:bookmarkStart w:id="39" w:name="_Toc15377207"/>
      <w:bookmarkStart w:id="40" w:name="_Toc8183"/>
      <w:bookmarkStart w:id="41" w:name="_Toc18952"/>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8"/>
          <w:rFonts w:hint="eastAsia" w:ascii="黑体" w:hAnsi="黑体" w:eastAsia="黑体"/>
          <w:b w:val="0"/>
        </w:rPr>
        <w:t>出决算情况说明</w:t>
      </w:r>
      <w:bookmarkEnd w:id="38"/>
      <w:bookmarkEnd w:id="39"/>
      <w:bookmarkEnd w:id="40"/>
      <w:bookmarkEnd w:id="41"/>
    </w:p>
    <w:p>
      <w:pPr>
        <w:pageBreakBefore w:val="0"/>
        <w:kinsoku/>
        <w:wordWrap/>
        <w:overflowPunct/>
        <w:topLinePunct w:val="0"/>
        <w:bidi w:val="0"/>
        <w:spacing w:line="560" w:lineRule="exact"/>
        <w:ind w:firstLine="640" w:firstLineChars="200"/>
        <w:outlineLvl w:val="1"/>
        <w:rPr>
          <w:rFonts w:ascii="仿宋" w:hAnsi="仿宋" w:eastAsia="仿宋"/>
          <w:color w:val="000000"/>
          <w:sz w:val="32"/>
          <w:szCs w:val="32"/>
        </w:rPr>
      </w:pPr>
      <w:bookmarkStart w:id="42" w:name="_Toc7336"/>
      <w:bookmarkStart w:id="43" w:name="_Toc8594"/>
      <w:bookmarkStart w:id="44" w:name="_Toc5780"/>
      <w:r>
        <w:rPr>
          <w:rFonts w:ascii="仿宋" w:hAnsi="仿宋" w:eastAsia="仿宋"/>
          <w:color w:val="000000"/>
          <w:sz w:val="32"/>
          <w:szCs w:val="32"/>
        </w:rPr>
        <w:t>22019</w:t>
      </w:r>
      <w:r>
        <w:rPr>
          <w:rFonts w:hint="eastAsia" w:ascii="仿宋" w:hAnsi="仿宋" w:eastAsia="仿宋"/>
          <w:color w:val="000000"/>
          <w:sz w:val="32"/>
          <w:szCs w:val="32"/>
        </w:rPr>
        <w:t>年本年支出合计1453.96万元，其中：基本支出784.09万元，占</w:t>
      </w:r>
      <w:r>
        <w:rPr>
          <w:rFonts w:hint="eastAsia" w:ascii="仿宋" w:hAnsi="仿宋" w:eastAsia="仿宋"/>
          <w:color w:val="000000"/>
          <w:sz w:val="32"/>
          <w:szCs w:val="32"/>
          <w:lang w:val="en-US" w:eastAsia="zh-CN"/>
        </w:rPr>
        <w:t>53.92</w:t>
      </w:r>
      <w:r>
        <w:rPr>
          <w:rFonts w:ascii="仿宋" w:hAnsi="仿宋" w:eastAsia="仿宋"/>
          <w:color w:val="000000"/>
          <w:sz w:val="32"/>
          <w:szCs w:val="32"/>
        </w:rPr>
        <w:t>%</w:t>
      </w:r>
      <w:r>
        <w:rPr>
          <w:rFonts w:hint="eastAsia" w:ascii="仿宋" w:hAnsi="仿宋" w:eastAsia="仿宋"/>
          <w:color w:val="000000"/>
          <w:sz w:val="32"/>
          <w:szCs w:val="32"/>
        </w:rPr>
        <w:t>；项目支出669.88万元，占</w:t>
      </w:r>
      <w:r>
        <w:rPr>
          <w:rFonts w:hint="eastAsia" w:ascii="仿宋" w:hAnsi="仿宋" w:eastAsia="仿宋"/>
          <w:color w:val="000000"/>
          <w:sz w:val="32"/>
          <w:szCs w:val="32"/>
          <w:lang w:val="en-US" w:eastAsia="zh-CN"/>
        </w:rPr>
        <w:t>46.08</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bookmarkEnd w:id="42"/>
      <w:bookmarkEnd w:id="43"/>
      <w:bookmarkEnd w:id="44"/>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2"/>
        <w:rPr>
          <w:rFonts w:hint="eastAsia"/>
        </w:rPr>
      </w:pPr>
      <w:r>
        <w:rPr>
          <w:rFonts w:hint="eastAsia"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201295</wp:posOffset>
            </wp:positionH>
            <wp:positionV relativeFrom="paragraph">
              <wp:posOffset>151765</wp:posOffset>
            </wp:positionV>
            <wp:extent cx="4194810" cy="1949450"/>
            <wp:effectExtent l="4445" t="5080" r="10795" b="7620"/>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
        <w:rPr>
          <w:rFonts w:hint="eastAsia" w:ascii="仿宋" w:hAnsi="仿宋" w:eastAsia="仿宋"/>
          <w:color w:val="000000" w:themeColor="text1"/>
          <w:sz w:val="32"/>
          <w:szCs w:val="32"/>
          <w14:textFill>
            <w14:solidFill>
              <w14:schemeClr w14:val="tx1"/>
            </w14:solidFill>
          </w14:textFill>
        </w:rPr>
      </w:pPr>
    </w:p>
    <w:p>
      <w:pPr>
        <w:pStyle w:val="2"/>
        <w:rPr>
          <w:rFonts w:hint="eastAsia" w:ascii="仿宋" w:hAnsi="仿宋" w:eastAsia="仿宋"/>
          <w:color w:val="000000" w:themeColor="text1"/>
          <w:sz w:val="32"/>
          <w:szCs w:val="32"/>
          <w14:textFill>
            <w14:solidFill>
              <w14:schemeClr w14:val="tx1"/>
            </w14:solidFill>
          </w14:textFill>
        </w:rPr>
      </w:pPr>
    </w:p>
    <w:p>
      <w:pPr>
        <w:spacing w:line="600" w:lineRule="exact"/>
        <w:rPr>
          <w:rFonts w:ascii="仿宋_GB2312" w:eastAsia="仿宋_GB2312"/>
          <w:color w:val="FF0000"/>
          <w:sz w:val="32"/>
          <w:szCs w:val="32"/>
        </w:rPr>
      </w:pPr>
    </w:p>
    <w:p>
      <w:pPr>
        <w:pStyle w:val="2"/>
        <w:rPr>
          <w:rFonts w:ascii="仿宋_GB2312" w:eastAsia="仿宋_GB2312"/>
          <w:color w:val="FF0000"/>
          <w:sz w:val="32"/>
          <w:szCs w:val="32"/>
        </w:rPr>
      </w:pPr>
    </w:p>
    <w:p>
      <w:pPr>
        <w:pStyle w:val="2"/>
        <w:rPr>
          <w:rFonts w:ascii="仿宋_GB2312" w:eastAsia="仿宋_GB2312"/>
          <w:color w:val="FF0000"/>
          <w:sz w:val="32"/>
          <w:szCs w:val="32"/>
        </w:rPr>
      </w:pPr>
    </w:p>
    <w:p>
      <w:pPr>
        <w:numPr>
          <w:ilvl w:val="0"/>
          <w:numId w:val="2"/>
        </w:numPr>
        <w:spacing w:line="600" w:lineRule="exact"/>
        <w:ind w:firstLine="640" w:firstLineChars="200"/>
        <w:outlineLvl w:val="1"/>
        <w:rPr>
          <w:rFonts w:hint="eastAsia" w:ascii="仿宋" w:hAnsi="仿宋" w:eastAsia="仿宋"/>
          <w:color w:val="000000"/>
          <w:sz w:val="32"/>
          <w:szCs w:val="32"/>
        </w:rPr>
      </w:pPr>
      <w:bookmarkStart w:id="45" w:name="_Toc15396606"/>
      <w:bookmarkStart w:id="46" w:name="_Toc29564"/>
      <w:bookmarkStart w:id="47" w:name="_Toc20185"/>
      <w:bookmarkStart w:id="48" w:name="_Toc15377208"/>
      <w:r>
        <w:rPr>
          <w:rFonts w:hint="eastAsia" w:ascii="黑体" w:hAnsi="黑体" w:eastAsia="黑体"/>
          <w:color w:val="000000"/>
          <w:sz w:val="32"/>
          <w:szCs w:val="32"/>
        </w:rPr>
        <w:t>财</w:t>
      </w:r>
      <w:r>
        <w:rPr>
          <w:rStyle w:val="28"/>
          <w:rFonts w:hint="eastAsia" w:ascii="黑体" w:hAnsi="黑体" w:eastAsia="黑体"/>
          <w:b w:val="0"/>
        </w:rPr>
        <w:t>政拨款收入支出决算总体情况说明</w:t>
      </w:r>
      <w:bookmarkEnd w:id="45"/>
      <w:bookmarkEnd w:id="46"/>
      <w:bookmarkEnd w:id="47"/>
      <w:bookmarkEnd w:id="48"/>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 w:hAnsi="仿宋" w:eastAsia="仿宋"/>
          <w:sz w:val="32"/>
          <w:szCs w:val="32"/>
          <w:lang w:eastAsia="zh-CN"/>
        </w:rPr>
      </w:pPr>
      <w:bookmarkStart w:id="49" w:name="_Toc12352"/>
      <w:bookmarkStart w:id="50" w:name="_Toc11643"/>
      <w:bookmarkStart w:id="51" w:name="_Toc1300"/>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896.07万元</w:t>
      </w:r>
      <w:r>
        <w:rPr>
          <w:rFonts w:hint="eastAsia" w:ascii="仿宋" w:hAnsi="仿宋" w:eastAsia="仿宋"/>
          <w:color w:val="000000"/>
          <w:sz w:val="32"/>
          <w:szCs w:val="32"/>
        </w:rPr>
        <w:t>、支总计</w:t>
      </w:r>
      <w:r>
        <w:rPr>
          <w:rFonts w:hint="eastAsia" w:ascii="仿宋" w:hAnsi="仿宋" w:eastAsia="仿宋"/>
          <w:color w:val="000000"/>
          <w:sz w:val="32"/>
          <w:szCs w:val="32"/>
          <w:lang w:val="en-US" w:eastAsia="zh-CN"/>
        </w:rPr>
        <w:t>1453.96</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983.7万元，减少87.63万元，下降9.78%</w:t>
      </w:r>
      <w:r>
        <w:rPr>
          <w:rFonts w:hint="eastAsia" w:ascii="仿宋" w:hAnsi="仿宋" w:eastAsia="仿宋"/>
          <w:sz w:val="32"/>
          <w:szCs w:val="32"/>
        </w:rPr>
        <w:t>主要变动是</w:t>
      </w:r>
      <w:r>
        <w:rPr>
          <w:rFonts w:hint="eastAsia" w:ascii="仿宋" w:hAnsi="仿宋" w:eastAsia="仿宋"/>
          <w:sz w:val="32"/>
          <w:szCs w:val="32"/>
          <w:lang w:eastAsia="zh-CN"/>
        </w:rPr>
        <w:t>单位人员减少</w:t>
      </w:r>
      <w:r>
        <w:rPr>
          <w:rFonts w:hint="eastAsia" w:ascii="仿宋" w:hAnsi="仿宋" w:eastAsia="仿宋"/>
          <w:sz w:val="32"/>
          <w:szCs w:val="32"/>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lang w:val="en-US" w:eastAsia="zh-CN"/>
        </w:rPr>
        <w:t>1076.72万元，增加377.24万元，增加25.95</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sz w:val="32"/>
          <w:szCs w:val="32"/>
        </w:rPr>
        <w:t>主要变动</w:t>
      </w:r>
      <w:r>
        <w:rPr>
          <w:rFonts w:hint="eastAsia" w:ascii="仿宋" w:hAnsi="仿宋" w:eastAsia="仿宋"/>
          <w:sz w:val="32"/>
          <w:szCs w:val="32"/>
          <w:lang w:eastAsia="zh-CN"/>
        </w:rPr>
        <w:t>原因是</w:t>
      </w:r>
      <w:r>
        <w:rPr>
          <w:rFonts w:hint="eastAsia" w:ascii="仿宋" w:hAnsi="仿宋" w:eastAsia="仿宋"/>
          <w:sz w:val="32"/>
          <w:szCs w:val="32"/>
        </w:rPr>
        <w:t>项目收入</w:t>
      </w:r>
      <w:r>
        <w:rPr>
          <w:rFonts w:hint="eastAsia" w:ascii="仿宋" w:hAnsi="仿宋" w:eastAsia="仿宋"/>
          <w:sz w:val="32"/>
          <w:szCs w:val="32"/>
          <w:lang w:eastAsia="zh-CN"/>
        </w:rPr>
        <w:t>增加</w:t>
      </w:r>
      <w:r>
        <w:rPr>
          <w:rFonts w:hint="eastAsia" w:ascii="仿宋" w:hAnsi="仿宋" w:eastAsia="仿宋"/>
          <w:sz w:val="32"/>
          <w:szCs w:val="32"/>
        </w:rPr>
        <w:t>（</w:t>
      </w:r>
      <w:r>
        <w:rPr>
          <w:rFonts w:hint="eastAsia" w:ascii="仿宋" w:hAnsi="仿宋" w:eastAsia="仿宋"/>
          <w:sz w:val="32"/>
          <w:szCs w:val="32"/>
          <w:lang w:eastAsia="zh-CN"/>
        </w:rPr>
        <w:t>商贸城政府补贴资金</w:t>
      </w:r>
      <w:r>
        <w:rPr>
          <w:rFonts w:hint="eastAsia" w:ascii="仿宋" w:hAnsi="仿宋" w:eastAsia="仿宋"/>
          <w:sz w:val="32"/>
          <w:szCs w:val="32"/>
        </w:rPr>
        <w:t>）</w:t>
      </w:r>
      <w:r>
        <w:rPr>
          <w:rFonts w:hint="eastAsia" w:ascii="仿宋" w:hAnsi="仿宋" w:eastAsia="仿宋"/>
          <w:sz w:val="32"/>
          <w:szCs w:val="32"/>
          <w:lang w:eastAsia="zh-CN"/>
        </w:rPr>
        <w:t>。</w:t>
      </w:r>
      <w:bookmarkEnd w:id="49"/>
      <w:bookmarkEnd w:id="50"/>
      <w:bookmarkEnd w:id="51"/>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2"/>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678180</wp:posOffset>
            </wp:positionH>
            <wp:positionV relativeFrom="paragraph">
              <wp:posOffset>145415</wp:posOffset>
            </wp:positionV>
            <wp:extent cx="4277360" cy="1666240"/>
            <wp:effectExtent l="4445" t="4445" r="23495" b="5715"/>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2"/>
        <w:rPr>
          <w:rFonts w:ascii="仿宋" w:hAnsi="仿宋" w:eastAsia="仿宋"/>
          <w:b/>
          <w:color w:val="00B050"/>
          <w:sz w:val="32"/>
          <w:szCs w:val="32"/>
        </w:rPr>
      </w:pPr>
    </w:p>
    <w:p>
      <w:pPr>
        <w:pStyle w:val="2"/>
        <w:rPr>
          <w:rFonts w:ascii="仿宋" w:hAnsi="仿宋" w:eastAsia="仿宋"/>
          <w:b/>
          <w:color w:val="00B050"/>
          <w:sz w:val="32"/>
          <w:szCs w:val="32"/>
        </w:rPr>
      </w:pPr>
    </w:p>
    <w:p>
      <w:pPr>
        <w:pStyle w:val="2"/>
        <w:rPr>
          <w:rFonts w:ascii="仿宋" w:hAnsi="仿宋" w:eastAsia="仿宋"/>
          <w:b/>
          <w:color w:val="00B050"/>
          <w:sz w:val="32"/>
          <w:szCs w:val="32"/>
        </w:rPr>
      </w:pPr>
    </w:p>
    <w:p>
      <w:pPr>
        <w:spacing w:line="600" w:lineRule="exact"/>
        <w:outlineLvl w:val="9"/>
        <w:rPr>
          <w:rFonts w:hint="eastAsia" w:ascii="黑体" w:hAnsi="黑体" w:eastAsia="黑体"/>
          <w:color w:val="000000"/>
          <w:sz w:val="32"/>
          <w:szCs w:val="32"/>
        </w:rPr>
      </w:pPr>
      <w:bookmarkStart w:id="52" w:name="_Toc15377209"/>
      <w:bookmarkStart w:id="53" w:name="_Toc15396607"/>
    </w:p>
    <w:p>
      <w:pPr>
        <w:spacing w:line="600" w:lineRule="exact"/>
        <w:ind w:firstLine="640" w:firstLineChars="200"/>
        <w:outlineLvl w:val="1"/>
        <w:rPr>
          <w:rStyle w:val="28"/>
          <w:rFonts w:ascii="黑体" w:hAnsi="黑体" w:eastAsia="黑体"/>
          <w:b w:val="0"/>
        </w:rPr>
      </w:pPr>
      <w:bookmarkStart w:id="54" w:name="_Toc5243"/>
      <w:bookmarkStart w:id="55" w:name="_Toc4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15377210"/>
      <w:bookmarkStart w:id="57" w:name="_Toc12387"/>
      <w:r>
        <w:rPr>
          <w:rFonts w:hint="eastAsia" w:ascii="仿宋" w:hAnsi="仿宋" w:eastAsia="仿宋"/>
          <w:b/>
          <w:color w:val="000000"/>
          <w:sz w:val="32"/>
          <w:szCs w:val="32"/>
        </w:rPr>
        <w:t>（一）一般公共预算财政拨款支出决算总体情况</w:t>
      </w:r>
      <w:bookmarkEnd w:id="56"/>
      <w:bookmarkEnd w:id="57"/>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1453.96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8年相比，支</w:t>
      </w:r>
      <w:r>
        <w:rPr>
          <w:rFonts w:hint="eastAsia" w:ascii="仿宋" w:hAnsi="仿宋" w:eastAsia="仿宋"/>
          <w:color w:val="000000"/>
          <w:sz w:val="32"/>
          <w:szCs w:val="32"/>
          <w:lang w:eastAsia="zh-CN"/>
        </w:rPr>
        <w:t>出</w:t>
      </w:r>
      <w:r>
        <w:rPr>
          <w:rFonts w:hint="eastAsia" w:ascii="仿宋" w:hAnsi="仿宋" w:eastAsia="仿宋"/>
          <w:color w:val="000000"/>
          <w:sz w:val="32"/>
          <w:szCs w:val="32"/>
          <w:lang w:val="en-US" w:eastAsia="zh-CN"/>
        </w:rPr>
        <w:t>1076.72万元，增加377.24万元，增加25.95</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sz w:val="32"/>
          <w:szCs w:val="32"/>
        </w:rPr>
        <w:t>主要变动</w:t>
      </w:r>
      <w:r>
        <w:rPr>
          <w:rFonts w:hint="eastAsia" w:ascii="仿宋" w:hAnsi="仿宋" w:eastAsia="仿宋"/>
          <w:sz w:val="32"/>
          <w:szCs w:val="32"/>
          <w:lang w:eastAsia="zh-CN"/>
        </w:rPr>
        <w:t>原因是</w:t>
      </w:r>
      <w:r>
        <w:rPr>
          <w:rFonts w:hint="eastAsia" w:ascii="仿宋" w:hAnsi="仿宋" w:eastAsia="仿宋"/>
          <w:sz w:val="32"/>
          <w:szCs w:val="32"/>
        </w:rPr>
        <w:t>项目</w:t>
      </w:r>
      <w:r>
        <w:rPr>
          <w:rFonts w:hint="eastAsia" w:ascii="仿宋" w:hAnsi="仿宋" w:eastAsia="仿宋"/>
          <w:sz w:val="32"/>
          <w:szCs w:val="32"/>
          <w:lang w:eastAsia="zh-CN"/>
        </w:rPr>
        <w:t>支出增加</w:t>
      </w:r>
      <w:r>
        <w:rPr>
          <w:rFonts w:hint="eastAsia" w:ascii="仿宋" w:hAnsi="仿宋" w:eastAsia="仿宋"/>
          <w:sz w:val="32"/>
          <w:szCs w:val="32"/>
        </w:rPr>
        <w:t>（</w:t>
      </w:r>
      <w:r>
        <w:rPr>
          <w:rFonts w:hint="eastAsia" w:ascii="仿宋" w:hAnsi="仿宋" w:eastAsia="仿宋"/>
          <w:sz w:val="32"/>
          <w:szCs w:val="32"/>
          <w:lang w:eastAsia="zh-CN"/>
        </w:rPr>
        <w:t>商贸城政府补贴资金</w:t>
      </w:r>
      <w:r>
        <w:rPr>
          <w:rFonts w:hint="eastAsia" w:ascii="仿宋" w:hAnsi="仿宋" w:eastAsia="仿宋"/>
          <w:sz w:val="32"/>
          <w:szCs w:val="32"/>
        </w:rPr>
        <w:t>）</w:t>
      </w:r>
      <w:r>
        <w:rPr>
          <w:rFonts w:hint="eastAsia" w:ascii="仿宋" w:hAnsi="仿宋" w:eastAsia="仿宋"/>
          <w:sz w:val="32"/>
          <w:szCs w:val="32"/>
          <w:lang w:eastAsia="zh-CN"/>
        </w:rPr>
        <w:t>。</w:t>
      </w:r>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526415</wp:posOffset>
            </wp:positionH>
            <wp:positionV relativeFrom="paragraph">
              <wp:posOffset>691515</wp:posOffset>
            </wp:positionV>
            <wp:extent cx="4336415" cy="1365250"/>
            <wp:effectExtent l="4445" t="4445" r="21590" b="20955"/>
            <wp:wrapSquare wrapText="bothSides"/>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hint="eastAsia" w:ascii="仿宋" w:hAnsi="仿宋" w:eastAsia="仿宋"/>
          <w:b/>
          <w:color w:val="000000"/>
          <w:sz w:val="32"/>
          <w:szCs w:val="32"/>
        </w:rPr>
      </w:pPr>
      <w:bookmarkStart w:id="58" w:name="_Toc15377211"/>
      <w:bookmarkStart w:id="59" w:name="_Toc28986"/>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58"/>
      <w:bookmarkEnd w:id="59"/>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政拨款支出1453.96万元，主要用于以下方面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w:t>
      </w:r>
      <w:r>
        <w:rPr>
          <w:rFonts w:hint="eastAsia" w:ascii="仿宋" w:hAnsi="仿宋" w:eastAsia="仿宋"/>
          <w:b/>
          <w:color w:val="000000" w:themeColor="text1"/>
          <w:sz w:val="32"/>
          <w:szCs w:val="32"/>
          <w:lang w:val="en-US" w:eastAsia="zh-CN"/>
          <w14:textFill>
            <w14:solidFill>
              <w14:schemeClr w14:val="tx1"/>
            </w14:solidFill>
          </w14:textFill>
        </w:rPr>
        <w:t>201</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支出677.91万元，占</w:t>
      </w:r>
      <w:r>
        <w:rPr>
          <w:rFonts w:hint="eastAsia" w:ascii="仿宋" w:hAnsi="仿宋" w:eastAsia="仿宋"/>
          <w:color w:val="000000" w:themeColor="text1"/>
          <w:sz w:val="32"/>
          <w:szCs w:val="32"/>
          <w:lang w:val="en-US" w:eastAsia="zh-CN"/>
          <w14:textFill>
            <w14:solidFill>
              <w14:schemeClr w14:val="tx1"/>
            </w14:solidFill>
          </w14:textFill>
        </w:rPr>
        <w:t>47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卫生健康支出（</w:t>
      </w:r>
      <w:r>
        <w:rPr>
          <w:rFonts w:hint="eastAsia" w:ascii="仿宋" w:hAnsi="仿宋" w:eastAsia="仿宋"/>
          <w:b/>
          <w:color w:val="000000" w:themeColor="text1"/>
          <w:sz w:val="32"/>
          <w:szCs w:val="32"/>
          <w:lang w:val="en-US" w:eastAsia="zh-CN"/>
          <w14:textFill>
            <w14:solidFill>
              <w14:schemeClr w14:val="tx1"/>
            </w14:solidFill>
          </w14:textFill>
        </w:rPr>
        <w:t>210</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41.69万元，占</w:t>
      </w:r>
      <w:r>
        <w:rPr>
          <w:rFonts w:hint="eastAsia" w:ascii="仿宋" w:hAnsi="仿宋" w:eastAsia="仿宋"/>
          <w:color w:val="000000" w:themeColor="text1"/>
          <w:sz w:val="32"/>
          <w:szCs w:val="32"/>
          <w:lang w:val="en-US" w:eastAsia="zh-CN"/>
          <w14:textFill>
            <w14:solidFill>
              <w14:schemeClr w14:val="tx1"/>
            </w14:solidFill>
          </w14:textFill>
        </w:rPr>
        <w:t>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商业服务业等支出（</w:t>
      </w:r>
      <w:r>
        <w:rPr>
          <w:rFonts w:hint="eastAsia" w:ascii="仿宋" w:hAnsi="仿宋" w:eastAsia="仿宋"/>
          <w:b/>
          <w:color w:val="000000" w:themeColor="text1"/>
          <w:sz w:val="32"/>
          <w:szCs w:val="32"/>
          <w:lang w:val="en-US" w:eastAsia="zh-CN"/>
          <w14:textFill>
            <w14:solidFill>
              <w14:schemeClr w14:val="tx1"/>
            </w14:solidFill>
          </w14:textFill>
        </w:rPr>
        <w:t>216</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支出579.39万元，占</w:t>
      </w:r>
      <w:r>
        <w:rPr>
          <w:rFonts w:hint="eastAsia" w:ascii="仿宋" w:hAnsi="仿宋" w:eastAsia="仿宋"/>
          <w:color w:val="000000" w:themeColor="text1"/>
          <w:sz w:val="32"/>
          <w:szCs w:val="32"/>
          <w:lang w:val="en-US" w:eastAsia="zh-CN"/>
          <w14:textFill>
            <w14:solidFill>
              <w14:schemeClr w14:val="tx1"/>
            </w14:solidFill>
          </w14:textFill>
        </w:rPr>
        <w:t>40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b/>
          <w:bCs/>
          <w:color w:val="000000" w:themeColor="text1"/>
          <w:sz w:val="32"/>
          <w:szCs w:val="32"/>
          <w14:textFill>
            <w14:solidFill>
              <w14:schemeClr w14:val="tx1"/>
            </w14:solidFill>
          </w14:textFill>
        </w:rPr>
        <w:t>）支出55.84万元，占</w:t>
      </w:r>
      <w:r>
        <w:rPr>
          <w:rFonts w:hint="eastAsia" w:ascii="仿宋" w:hAnsi="仿宋" w:eastAsia="仿宋"/>
          <w:b/>
          <w:bCs/>
          <w:color w:val="000000" w:themeColor="text1"/>
          <w:sz w:val="32"/>
          <w:szCs w:val="32"/>
          <w:lang w:val="en-US" w:eastAsia="zh-CN"/>
          <w14:textFill>
            <w14:solidFill>
              <w14:schemeClr w14:val="tx1"/>
            </w14:solidFill>
          </w14:textFill>
        </w:rPr>
        <w:t>3</w:t>
      </w:r>
      <w:r>
        <w:rPr>
          <w:rFonts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99.16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p>
    <w:p>
      <w:pPr>
        <w:pStyle w:val="2"/>
        <w:ind w:left="0" w:leftChars="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2013801  行政运行587.41万元</w:t>
      </w:r>
    </w:p>
    <w:p>
      <w:pPr>
        <w:pStyle w:val="2"/>
        <w:ind w:left="0" w:leftChars="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2013802  一般行政管理事务48.08万元</w:t>
      </w:r>
    </w:p>
    <w:p>
      <w:pPr>
        <w:pStyle w:val="2"/>
        <w:ind w:left="0" w:leftChars="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2013812  药品事务16.4万元</w:t>
      </w:r>
    </w:p>
    <w:p>
      <w:pPr>
        <w:pStyle w:val="2"/>
        <w:ind w:left="0" w:leftChars="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2013899  其他市场监督管理事务26.02万元</w:t>
      </w:r>
    </w:p>
    <w:p>
      <w:pPr>
        <w:pStyle w:val="2"/>
        <w:ind w:left="0" w:leftChars="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2080505  机关事业单位基本养老保险缴费支出67.9万元</w:t>
      </w:r>
    </w:p>
    <w:p>
      <w:pPr>
        <w:pStyle w:val="2"/>
        <w:ind w:left="0" w:leftChars="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2080506  机关事业单位职业年金缴费支出31.26万元</w:t>
      </w:r>
    </w:p>
    <w:p>
      <w:pPr>
        <w:pStyle w:val="2"/>
        <w:ind w:left="0" w:leftChars="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2101101  行政单位医疗32.41万元</w:t>
      </w:r>
    </w:p>
    <w:p>
      <w:pPr>
        <w:pStyle w:val="2"/>
        <w:ind w:left="0" w:leftChars="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2101103  公务员医疗补助9.28万元</w:t>
      </w:r>
    </w:p>
    <w:p>
      <w:pPr>
        <w:pStyle w:val="2"/>
        <w:ind w:left="0" w:leftChars="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2160299  其他商业流通事务支出579.39万元</w:t>
      </w:r>
    </w:p>
    <w:p>
      <w:pPr>
        <w:pStyle w:val="2"/>
        <w:ind w:left="0" w:leftChars="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2210201  住房公积金55.84万元</w:t>
      </w:r>
    </w:p>
    <w:p>
      <w:pPr>
        <w:pStyle w:val="2"/>
        <w:ind w:left="0" w:leftChars="0" w:firstLine="0" w:firstLineChars="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6432" behindDoc="0" locked="0" layoutInCell="1" allowOverlap="1">
            <wp:simplePos x="0" y="0"/>
            <wp:positionH relativeFrom="column">
              <wp:posOffset>71755</wp:posOffset>
            </wp:positionH>
            <wp:positionV relativeFrom="paragraph">
              <wp:posOffset>45720</wp:posOffset>
            </wp:positionV>
            <wp:extent cx="5028565" cy="1718310"/>
            <wp:effectExtent l="5080" t="4445" r="14605" b="10795"/>
            <wp:wrapSquare wrapText="bothSides"/>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ind w:firstLine="643" w:firstLineChars="200"/>
        <w:outlineLvl w:val="2"/>
        <w:rPr>
          <w:rFonts w:ascii="仿宋" w:hAnsi="仿宋" w:eastAsia="仿宋"/>
          <w:b/>
          <w:color w:val="000000"/>
          <w:sz w:val="32"/>
          <w:szCs w:val="32"/>
        </w:rPr>
      </w:pPr>
      <w:bookmarkStart w:id="60" w:name="_Toc15377212"/>
      <w:bookmarkStart w:id="61" w:name="_Toc26098"/>
      <w:r>
        <w:rPr>
          <w:rFonts w:hint="eastAsia" w:ascii="仿宋" w:hAnsi="仿宋" w:eastAsia="仿宋"/>
          <w:b/>
          <w:color w:val="000000"/>
          <w:sz w:val="32"/>
          <w:szCs w:val="32"/>
        </w:rPr>
        <w:t>（三）一般公共预算财政拨款支出决算具体情况</w:t>
      </w:r>
      <w:bookmarkEnd w:id="60"/>
      <w:bookmarkEnd w:id="61"/>
    </w:p>
    <w:p>
      <w:pPr>
        <w:pageBreakBefore w:val="0"/>
        <w:kinsoku/>
        <w:wordWrap/>
        <w:overflowPunct/>
        <w:topLinePunct w:val="0"/>
        <w:bidi w:val="0"/>
        <w:spacing w:line="560" w:lineRule="exact"/>
        <w:ind w:firstLine="643" w:firstLineChars="200"/>
        <w:outlineLvl w:val="2"/>
        <w:rPr>
          <w:rFonts w:ascii="仿宋" w:hAnsi="仿宋" w:eastAsia="仿宋"/>
          <w:color w:val="FF0000"/>
          <w:sz w:val="32"/>
          <w:szCs w:val="32"/>
        </w:rPr>
      </w:pPr>
      <w:bookmarkStart w:id="62" w:name="_Toc15378460"/>
      <w:bookmarkStart w:id="63" w:name="_Toc15377444"/>
      <w:bookmarkStart w:id="64" w:name="_Toc15377213"/>
      <w:bookmarkStart w:id="65" w:name="_Toc17726"/>
      <w:r>
        <w:rPr>
          <w:rFonts w:ascii="仿宋" w:hAnsi="仿宋" w:eastAsia="仿宋"/>
          <w:b/>
          <w:color w:val="000000"/>
          <w:sz w:val="32"/>
          <w:szCs w:val="32"/>
        </w:rPr>
        <w:t>2019</w:t>
      </w:r>
      <w:r>
        <w:rPr>
          <w:rFonts w:hint="eastAsia" w:ascii="仿宋" w:hAnsi="仿宋" w:eastAsia="仿宋"/>
          <w:b/>
          <w:color w:val="000000"/>
          <w:sz w:val="32"/>
          <w:szCs w:val="32"/>
        </w:rPr>
        <w:t>年般公共预算支出决算数为</w:t>
      </w:r>
      <w:r>
        <w:rPr>
          <w:rFonts w:hint="eastAsia" w:ascii="仿宋" w:hAnsi="仿宋" w:eastAsia="仿宋"/>
          <w:color w:val="000000" w:themeColor="text1"/>
          <w:sz w:val="32"/>
          <w:szCs w:val="32"/>
          <w14:textFill>
            <w14:solidFill>
              <w14:schemeClr w14:val="tx1"/>
            </w14:solidFill>
          </w14:textFill>
        </w:rPr>
        <w:t>1453.96</w:t>
      </w:r>
      <w:r>
        <w:rPr>
          <w:rFonts w:hint="eastAsia" w:ascii="仿宋" w:hAnsi="仿宋" w:eastAsia="仿宋"/>
          <w:color w:val="000000" w:themeColor="text1"/>
          <w:sz w:val="32"/>
          <w:szCs w:val="32"/>
          <w:lang w:eastAsia="zh-CN"/>
          <w14:textFill>
            <w14:solidFill>
              <w14:schemeClr w14:val="tx1"/>
            </w14:solidFill>
          </w14:textFill>
        </w:rPr>
        <w:t>万元</w:t>
      </w:r>
      <w:r>
        <w:rPr>
          <w:rFonts w:hint="eastAsia" w:ascii="仿宋" w:hAnsi="仿宋" w:eastAsia="仿宋"/>
          <w:color w:val="000000"/>
          <w:sz w:val="32"/>
          <w:szCs w:val="32"/>
        </w:rPr>
        <w:t>，</w:t>
      </w:r>
      <w:r>
        <w:rPr>
          <w:rStyle w:val="17"/>
          <w:rFonts w:hint="eastAsia" w:ascii="仿宋" w:hAnsi="仿宋" w:eastAsia="仿宋"/>
          <w:bCs/>
          <w:color w:val="000000"/>
          <w:sz w:val="32"/>
          <w:szCs w:val="32"/>
        </w:rPr>
        <w:t>完成预算</w:t>
      </w:r>
      <w:r>
        <w:rPr>
          <w:rStyle w:val="17"/>
          <w:rFonts w:ascii="仿宋" w:hAnsi="仿宋" w:eastAsia="仿宋"/>
          <w:bCs/>
          <w:color w:val="000000"/>
          <w:sz w:val="32"/>
          <w:szCs w:val="32"/>
        </w:rPr>
        <w:t>100%</w:t>
      </w:r>
      <w:r>
        <w:rPr>
          <w:rStyle w:val="17"/>
          <w:rFonts w:hint="eastAsia" w:ascii="仿宋" w:hAnsi="仿宋" w:eastAsia="仿宋"/>
          <w:bCs/>
          <w:color w:val="000000"/>
          <w:sz w:val="32"/>
          <w:szCs w:val="32"/>
        </w:rPr>
        <w:t>。其中：</w:t>
      </w:r>
      <w:bookmarkEnd w:id="62"/>
      <w:bookmarkEnd w:id="63"/>
      <w:bookmarkEnd w:id="64"/>
      <w:bookmarkEnd w:id="65"/>
    </w:p>
    <w:p>
      <w:pPr>
        <w:pStyle w:val="2"/>
        <w:ind w:left="0" w:leftChars="0" w:firstLine="643" w:firstLineChars="200"/>
        <w:rPr>
          <w:rFonts w:hint="eastAsia" w:ascii="仿宋" w:hAnsi="仿宋" w:eastAsia="仿宋" w:cs="Times New Roman"/>
          <w:color w:val="000000"/>
          <w:kern w:val="2"/>
          <w:sz w:val="32"/>
          <w:szCs w:val="32"/>
          <w:lang w:val="en-US" w:eastAsia="zh-CN" w:bidi="ar-SA"/>
        </w:rPr>
      </w:pPr>
      <w:r>
        <w:rPr>
          <w:rStyle w:val="17"/>
          <w:rFonts w:hint="eastAsia" w:ascii="仿宋" w:hAnsi="仿宋" w:eastAsia="仿宋"/>
          <w:bCs/>
          <w:color w:val="000000"/>
          <w:sz w:val="32"/>
          <w:szCs w:val="32"/>
          <w:lang w:val="en-US" w:eastAsia="zh-CN"/>
        </w:rPr>
        <w:t>1.</w:t>
      </w:r>
      <w:r>
        <w:rPr>
          <w:rStyle w:val="17"/>
          <w:rFonts w:hint="eastAsia" w:ascii="仿宋" w:hAnsi="仿宋" w:eastAsia="仿宋"/>
          <w:bCs/>
          <w:color w:val="000000"/>
          <w:sz w:val="32"/>
          <w:szCs w:val="32"/>
        </w:rPr>
        <w:t>一般公共服务支出</w:t>
      </w:r>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201</w:t>
      </w:r>
      <w:r>
        <w:rPr>
          <w:rFonts w:hint="eastAsia" w:ascii="仿宋" w:hAnsi="仿宋" w:eastAsia="仿宋"/>
          <w:b/>
          <w:color w:val="000000"/>
          <w:sz w:val="32"/>
          <w:szCs w:val="32"/>
        </w:rPr>
        <w:t>）</w:t>
      </w:r>
      <w:r>
        <w:rPr>
          <w:rStyle w:val="17"/>
          <w:rFonts w:hint="eastAsia" w:ascii="仿宋" w:hAnsi="仿宋" w:eastAsia="仿宋"/>
          <w:b w:val="0"/>
          <w:bCs/>
          <w:color w:val="000000"/>
          <w:sz w:val="32"/>
          <w:szCs w:val="32"/>
        </w:rPr>
        <w:t>决算为677.91万元，完成预算</w:t>
      </w:r>
      <w:r>
        <w:rPr>
          <w:rStyle w:val="17"/>
          <w:rFonts w:ascii="仿宋" w:hAnsi="仿宋" w:eastAsia="仿宋"/>
          <w:b w:val="0"/>
          <w:bCs/>
          <w:color w:val="000000"/>
          <w:sz w:val="32"/>
          <w:szCs w:val="32"/>
        </w:rPr>
        <w:t>100%</w:t>
      </w:r>
      <w:r>
        <w:rPr>
          <w:rStyle w:val="17"/>
          <w:rFonts w:hint="eastAsia" w:ascii="仿宋" w:hAnsi="仿宋" w:eastAsia="仿宋"/>
          <w:b w:val="0"/>
          <w:bCs/>
          <w:color w:val="000000"/>
          <w:sz w:val="32"/>
          <w:szCs w:val="32"/>
        </w:rPr>
        <w:t>，</w:t>
      </w:r>
      <w:r>
        <w:rPr>
          <w:rStyle w:val="17"/>
          <w:rFonts w:hint="eastAsia" w:ascii="仿宋" w:hAnsi="仿宋" w:eastAsia="仿宋"/>
          <w:b w:val="0"/>
          <w:bCs/>
          <w:sz w:val="32"/>
          <w:szCs w:val="32"/>
        </w:rPr>
        <w:t>决算数等于预算数。</w:t>
      </w:r>
      <w:r>
        <w:rPr>
          <w:rStyle w:val="17"/>
          <w:rFonts w:hint="eastAsia" w:ascii="仿宋" w:hAnsi="仿宋" w:eastAsia="仿宋"/>
          <w:b w:val="0"/>
          <w:bCs/>
          <w:sz w:val="32"/>
          <w:szCs w:val="32"/>
          <w:lang w:eastAsia="zh-CN"/>
        </w:rPr>
        <w:t>其中：</w:t>
      </w:r>
      <w:r>
        <w:rPr>
          <w:rFonts w:hint="eastAsia" w:ascii="仿宋" w:hAnsi="仿宋" w:eastAsia="仿宋" w:cs="Times New Roman"/>
          <w:color w:val="000000"/>
          <w:kern w:val="2"/>
          <w:sz w:val="32"/>
          <w:szCs w:val="32"/>
          <w:lang w:val="en-US" w:eastAsia="zh-CN" w:bidi="ar-SA"/>
        </w:rPr>
        <w:t>2013801行政运行587.41万元，2013802一般行政管理事务48.08万元，2013812药品事务16.4万元，2013899其他市场监督管理事务26.02万元。</w:t>
      </w:r>
    </w:p>
    <w:p>
      <w:pPr>
        <w:pStyle w:val="2"/>
        <w:ind w:left="0" w:leftChars="0" w:firstLine="643" w:firstLineChars="200"/>
        <w:rPr>
          <w:rFonts w:hint="eastAsia" w:ascii="仿宋" w:hAnsi="仿宋" w:eastAsia="仿宋"/>
          <w:b/>
          <w:color w:val="000000"/>
          <w:sz w:val="32"/>
          <w:szCs w:val="32"/>
          <w:lang w:eastAsia="zh-CN"/>
        </w:rPr>
      </w:pPr>
      <w:r>
        <w:rPr>
          <w:rStyle w:val="17"/>
          <w:rFonts w:ascii="仿宋" w:hAnsi="仿宋" w:eastAsia="仿宋"/>
          <w:bCs/>
          <w:color w:val="000000"/>
          <w:sz w:val="32"/>
          <w:szCs w:val="32"/>
        </w:rPr>
        <w:t>2.</w:t>
      </w:r>
      <w:r>
        <w:rPr>
          <w:rStyle w:val="17"/>
          <w:rFonts w:hint="eastAsia" w:ascii="仿宋" w:hAnsi="仿宋" w:eastAsia="仿宋"/>
          <w:bCs/>
          <w:color w:val="000000"/>
          <w:sz w:val="32"/>
          <w:szCs w:val="32"/>
        </w:rPr>
        <w:t>卫生健康支出</w:t>
      </w:r>
      <w:r>
        <w:rPr>
          <w:rStyle w:val="17"/>
          <w:rFonts w:hint="eastAsia" w:ascii="仿宋" w:hAnsi="仿宋" w:eastAsia="仿宋"/>
          <w:bCs/>
          <w:color w:val="000000"/>
          <w:sz w:val="32"/>
          <w:szCs w:val="32"/>
          <w:lang w:eastAsia="zh-CN"/>
        </w:rPr>
        <w:t>（</w:t>
      </w:r>
      <w:r>
        <w:rPr>
          <w:rStyle w:val="17"/>
          <w:rFonts w:hint="eastAsia" w:ascii="仿宋" w:hAnsi="仿宋" w:eastAsia="仿宋"/>
          <w:bCs/>
          <w:color w:val="000000"/>
          <w:sz w:val="32"/>
          <w:szCs w:val="32"/>
          <w:lang w:val="en-US" w:eastAsia="zh-CN"/>
        </w:rPr>
        <w:t>210</w:t>
      </w:r>
      <w:r>
        <w:rPr>
          <w:rStyle w:val="17"/>
          <w:rFonts w:hint="eastAsia" w:ascii="仿宋" w:hAnsi="仿宋" w:eastAsia="仿宋"/>
          <w:bCs/>
          <w:color w:val="000000"/>
          <w:sz w:val="32"/>
          <w:szCs w:val="32"/>
          <w:lang w:eastAsia="zh-CN"/>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支出决算为41.69万元，完成预算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r>
        <w:rPr>
          <w:rStyle w:val="17"/>
          <w:rFonts w:hint="eastAsia" w:ascii="仿宋" w:hAnsi="仿宋" w:eastAsia="仿宋"/>
          <w:b w:val="0"/>
          <w:bCs/>
          <w:color w:val="000000"/>
          <w:sz w:val="32"/>
          <w:szCs w:val="32"/>
          <w:lang w:eastAsia="zh-CN"/>
        </w:rPr>
        <w:t>其中：</w:t>
      </w:r>
      <w:r>
        <w:rPr>
          <w:rFonts w:hint="eastAsia" w:ascii="仿宋" w:hAnsi="仿宋" w:eastAsia="仿宋" w:cs="Times New Roman"/>
          <w:color w:val="000000"/>
          <w:kern w:val="2"/>
          <w:sz w:val="32"/>
          <w:szCs w:val="32"/>
          <w:lang w:val="en-US" w:eastAsia="zh-CN" w:bidi="ar-SA"/>
        </w:rPr>
        <w:t>2101101行政单位医疗32.41万元，2101103公务员医疗补助9.28万元。</w:t>
      </w:r>
    </w:p>
    <w:p>
      <w:pPr>
        <w:spacing w:line="600" w:lineRule="exact"/>
        <w:ind w:firstLine="643" w:firstLineChars="200"/>
        <w:rPr>
          <w:rFonts w:hint="eastAsia" w:ascii="仿宋" w:hAnsi="仿宋" w:eastAsia="仿宋"/>
          <w:b/>
          <w:color w:val="000000"/>
          <w:sz w:val="32"/>
          <w:szCs w:val="32"/>
          <w:lang w:eastAsia="zh-CN"/>
        </w:rPr>
      </w:pPr>
      <w:r>
        <w:rPr>
          <w:rStyle w:val="17"/>
          <w:rFonts w:ascii="仿宋" w:hAnsi="仿宋" w:eastAsia="仿宋"/>
          <w:bCs/>
          <w:color w:val="000000"/>
          <w:sz w:val="32"/>
          <w:szCs w:val="32"/>
        </w:rPr>
        <w:t>3.</w:t>
      </w:r>
      <w:r>
        <w:rPr>
          <w:rStyle w:val="17"/>
          <w:rFonts w:hint="eastAsia" w:ascii="仿宋" w:hAnsi="仿宋" w:eastAsia="仿宋"/>
          <w:bCs/>
          <w:color w:val="000000"/>
          <w:sz w:val="32"/>
          <w:szCs w:val="32"/>
        </w:rPr>
        <w:t>商业服务业等支出（</w:t>
      </w:r>
      <w:r>
        <w:rPr>
          <w:rStyle w:val="17"/>
          <w:rFonts w:hint="eastAsia" w:ascii="仿宋" w:hAnsi="仿宋" w:eastAsia="仿宋"/>
          <w:bCs/>
          <w:color w:val="000000"/>
          <w:sz w:val="32"/>
          <w:szCs w:val="32"/>
          <w:lang w:val="en-US" w:eastAsia="zh-CN"/>
        </w:rPr>
        <w:t>216</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支出决算为579.39万元，完成预算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r>
        <w:rPr>
          <w:rStyle w:val="17"/>
          <w:rFonts w:hint="eastAsia" w:ascii="仿宋" w:hAnsi="仿宋" w:eastAsia="仿宋"/>
          <w:b w:val="0"/>
          <w:bCs/>
          <w:color w:val="000000"/>
          <w:sz w:val="32"/>
          <w:szCs w:val="32"/>
          <w:lang w:eastAsia="zh-CN"/>
        </w:rPr>
        <w:t>其中：</w:t>
      </w:r>
      <w:r>
        <w:rPr>
          <w:rFonts w:hint="eastAsia" w:ascii="仿宋" w:hAnsi="仿宋" w:eastAsia="仿宋" w:cs="Times New Roman"/>
          <w:color w:val="000000"/>
          <w:kern w:val="2"/>
          <w:sz w:val="32"/>
          <w:szCs w:val="32"/>
          <w:lang w:val="en-US" w:eastAsia="zh-CN" w:bidi="ar-SA"/>
        </w:rPr>
        <w:t>2160299其他商业流通事务支出579.39万元。</w:t>
      </w:r>
    </w:p>
    <w:p>
      <w:pPr>
        <w:spacing w:line="600" w:lineRule="exact"/>
        <w:ind w:firstLine="643" w:firstLineChars="200"/>
        <w:rPr>
          <w:rFonts w:ascii="仿宋" w:hAnsi="仿宋" w:eastAsia="仿宋"/>
          <w:b/>
          <w:color w:val="000000"/>
          <w:sz w:val="32"/>
          <w:szCs w:val="32"/>
        </w:rPr>
      </w:pPr>
      <w:r>
        <w:rPr>
          <w:rStyle w:val="17"/>
          <w:rFonts w:ascii="仿宋" w:hAnsi="仿宋" w:eastAsia="仿宋"/>
          <w:bCs/>
          <w:color w:val="000000"/>
          <w:sz w:val="32"/>
          <w:szCs w:val="32"/>
        </w:rPr>
        <w:t>4.</w:t>
      </w:r>
      <w:r>
        <w:rPr>
          <w:rStyle w:val="17"/>
          <w:rFonts w:hint="eastAsia" w:ascii="仿宋" w:hAnsi="仿宋" w:eastAsia="仿宋"/>
          <w:bCs/>
          <w:color w:val="000000"/>
          <w:sz w:val="32"/>
          <w:szCs w:val="32"/>
        </w:rPr>
        <w:t>住房保障支出（</w:t>
      </w:r>
      <w:r>
        <w:rPr>
          <w:rStyle w:val="17"/>
          <w:rFonts w:hint="eastAsia" w:ascii="仿宋" w:hAnsi="仿宋" w:eastAsia="仿宋"/>
          <w:bCs/>
          <w:color w:val="000000"/>
          <w:sz w:val="32"/>
          <w:szCs w:val="32"/>
          <w:lang w:val="en-US" w:eastAsia="zh-CN"/>
        </w:rPr>
        <w:t>221</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支出决算为55.84万元，完成预算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pStyle w:val="2"/>
        <w:ind w:left="0" w:leftChars="0" w:firstLine="643" w:firstLineChars="200"/>
        <w:rPr>
          <w:rFonts w:ascii="仿宋" w:hAnsi="仿宋" w:eastAsia="仿宋"/>
          <w:b/>
          <w:color w:val="000000"/>
          <w:sz w:val="32"/>
          <w:szCs w:val="32"/>
        </w:rPr>
      </w:pPr>
      <w:r>
        <w:rPr>
          <w:rStyle w:val="17"/>
          <w:rFonts w:ascii="仿宋" w:hAnsi="仿宋" w:eastAsia="仿宋"/>
          <w:bCs/>
          <w:color w:val="000000"/>
          <w:sz w:val="32"/>
          <w:szCs w:val="32"/>
        </w:rPr>
        <w:t>5.</w:t>
      </w:r>
      <w:r>
        <w:rPr>
          <w:rStyle w:val="17"/>
          <w:rFonts w:hint="eastAsia" w:ascii="仿宋" w:hAnsi="仿宋" w:eastAsia="仿宋"/>
          <w:bCs/>
          <w:color w:val="000000"/>
          <w:sz w:val="32"/>
          <w:szCs w:val="32"/>
        </w:rPr>
        <w:t>社会保障和就业（</w:t>
      </w:r>
      <w:r>
        <w:rPr>
          <w:rStyle w:val="17"/>
          <w:rFonts w:hint="eastAsia" w:ascii="仿宋" w:hAnsi="仿宋" w:eastAsia="仿宋"/>
          <w:bCs/>
          <w:color w:val="000000"/>
          <w:sz w:val="32"/>
          <w:szCs w:val="32"/>
          <w:lang w:val="en-US" w:eastAsia="zh-CN"/>
        </w:rPr>
        <w:t>208</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支出决算为99.16万元，完成预算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r>
        <w:rPr>
          <w:rStyle w:val="17"/>
          <w:rFonts w:hint="eastAsia" w:ascii="仿宋" w:hAnsi="仿宋" w:eastAsia="仿宋"/>
          <w:b w:val="0"/>
          <w:bCs/>
          <w:color w:val="000000"/>
          <w:sz w:val="32"/>
          <w:szCs w:val="32"/>
          <w:lang w:eastAsia="zh-CN"/>
        </w:rPr>
        <w:t>。其中：</w:t>
      </w:r>
      <w:r>
        <w:rPr>
          <w:rFonts w:hint="eastAsia" w:ascii="仿宋" w:hAnsi="仿宋" w:eastAsia="仿宋" w:cs="Times New Roman"/>
          <w:color w:val="000000"/>
          <w:kern w:val="2"/>
          <w:sz w:val="32"/>
          <w:szCs w:val="32"/>
          <w:lang w:val="en-US" w:eastAsia="zh-CN" w:bidi="ar-SA"/>
        </w:rPr>
        <w:t>2080505机关事业单位基本养老保险缴费支出67.9万元，2080506机关事业单位职业年金缴费支出31.26万元。</w:t>
      </w:r>
    </w:p>
    <w:p>
      <w:pPr>
        <w:tabs>
          <w:tab w:val="right" w:pos="8306"/>
        </w:tabs>
        <w:spacing w:line="600" w:lineRule="exact"/>
        <w:ind w:firstLine="640"/>
        <w:outlineLvl w:val="1"/>
        <w:rPr>
          <w:rStyle w:val="28"/>
        </w:rPr>
      </w:pPr>
      <w:bookmarkStart w:id="66" w:name="_Toc1394"/>
      <w:bookmarkStart w:id="67" w:name="_Toc15377214"/>
      <w:bookmarkStart w:id="68" w:name="_Toc29682"/>
      <w:bookmarkStart w:id="69"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66"/>
      <w:bookmarkEnd w:id="67"/>
      <w:bookmarkEnd w:id="68"/>
      <w:bookmarkEnd w:id="69"/>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784.09</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人员经费</w:t>
      </w:r>
      <w:r>
        <w:rPr>
          <w:rFonts w:hint="eastAsia" w:ascii="仿宋" w:hAnsi="仿宋" w:eastAsia="仿宋"/>
          <w:strike w:val="0"/>
          <w:dstrike w:val="0"/>
          <w:color w:val="000000" w:themeColor="text1"/>
          <w:sz w:val="32"/>
          <w:szCs w:val="32"/>
          <w:lang w:val="en-US" w:eastAsia="zh-CN"/>
          <w14:textFill>
            <w14:solidFill>
              <w14:schemeClr w14:val="tx1"/>
            </w14:solidFill>
          </w14:textFill>
        </w:rPr>
        <w:t>726.46</w:t>
      </w:r>
      <w:r>
        <w:rPr>
          <w:rFonts w:hint="eastAsia" w:ascii="仿宋" w:hAnsi="仿宋" w:eastAsia="仿宋"/>
          <w:color w:val="000000" w:themeColor="text1"/>
          <w:sz w:val="32"/>
          <w:szCs w:val="32"/>
          <w14:textFill>
            <w14:solidFill>
              <w14:schemeClr w14:val="tx1"/>
            </w14:solidFill>
          </w14:textFill>
        </w:rPr>
        <w:t>万元，主要包括：基本工资144.48</w:t>
      </w:r>
      <w:r>
        <w:rPr>
          <w:rFonts w:hint="eastAsia" w:ascii="仿宋" w:hAnsi="仿宋" w:eastAsia="仿宋"/>
          <w:color w:val="000000" w:themeColor="text1"/>
          <w:sz w:val="32"/>
          <w:szCs w:val="32"/>
          <w:lang w:eastAsia="zh-CN"/>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、津贴补贴244.86万元、奖金114.14万元、机关事业单位基本养老保险缴费67.9万元、职业年金缴费31.26万元、职工基本医疗保险缴费32.41万元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其他社会保障缴费8、离休费12.72万元、</w:t>
      </w:r>
      <w:r>
        <w:rPr>
          <w:rFonts w:hint="eastAsia" w:ascii="仿宋" w:hAnsi="仿宋" w:eastAsia="仿宋"/>
          <w:color w:val="000000" w:themeColor="text1"/>
          <w:sz w:val="32"/>
          <w:szCs w:val="32"/>
          <w:lang w:eastAsia="zh-CN"/>
          <w14:textFill>
            <w14:solidFill>
              <w14:schemeClr w14:val="tx1"/>
            </w14:solidFill>
          </w14:textFill>
        </w:rPr>
        <w:t>医疗费2.88</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生活补助</w:t>
      </w:r>
      <w:r>
        <w:rPr>
          <w:rFonts w:hint="eastAsia" w:ascii="仿宋" w:hAnsi="仿宋" w:eastAsia="仿宋"/>
          <w:color w:val="000000" w:themeColor="text1"/>
          <w:sz w:val="32"/>
          <w:szCs w:val="32"/>
          <w:lang w:val="en-US" w:eastAsia="zh-CN"/>
          <w14:textFill>
            <w14:solidFill>
              <w14:schemeClr w14:val="tx1"/>
            </w14:solidFill>
          </w14:textFill>
        </w:rPr>
        <w:t>1.79</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公务员</w:t>
      </w:r>
      <w:r>
        <w:rPr>
          <w:rFonts w:hint="eastAsia" w:ascii="仿宋" w:hAnsi="仿宋" w:eastAsia="仿宋"/>
          <w:color w:val="000000" w:themeColor="text1"/>
          <w:sz w:val="32"/>
          <w:szCs w:val="32"/>
          <w14:textFill>
            <w14:solidFill>
              <w14:schemeClr w14:val="tx1"/>
            </w14:solidFill>
          </w14:textFill>
        </w:rPr>
        <w:t>医疗费补助9.28万元、奖励金0.01万元、住房公积金55.84万元</w:t>
      </w:r>
      <w:r>
        <w:rPr>
          <w:rFonts w:hint="eastAsia" w:ascii="仿宋" w:hAnsi="仿宋" w:eastAsia="仿宋"/>
          <w:color w:val="000000" w:themeColor="text1"/>
          <w:sz w:val="32"/>
          <w:szCs w:val="32"/>
          <w:lang w:eastAsia="zh-CN"/>
          <w14:textFill>
            <w14:solidFill>
              <w14:schemeClr w14:val="tx1"/>
            </w14:solidFill>
          </w14:textFill>
        </w:rPr>
        <w:t>、医疗费补助</w:t>
      </w:r>
      <w:r>
        <w:rPr>
          <w:rFonts w:hint="eastAsia" w:ascii="仿宋" w:hAnsi="仿宋" w:eastAsia="仿宋"/>
          <w:color w:val="000000" w:themeColor="text1"/>
          <w:sz w:val="32"/>
          <w:szCs w:val="32"/>
          <w:lang w:val="en-US" w:eastAsia="zh-CN"/>
          <w14:textFill>
            <w14:solidFill>
              <w14:schemeClr w14:val="tx1"/>
            </w14:solidFill>
          </w14:textFill>
        </w:rPr>
        <w:t>0.9万元。</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　　日常公用经费57.63万元，主要包括：办公费14.94万元、印刷费2万元、水费0.6万元、电费1.81万元、邮电费3.6万元、取暖费1.98万元差旅费10万元、维修（护）费2万元、会议费0.5万元、培训费2万元、劳务费2.04万元、公务用车运行维护费16.17万元</w:t>
      </w:r>
      <w:r>
        <w:rPr>
          <w:rFonts w:hint="eastAsia" w:ascii="仿宋" w:hAnsi="仿宋" w:eastAsia="仿宋"/>
          <w:color w:val="000000"/>
          <w:sz w:val="32"/>
          <w:szCs w:val="32"/>
          <w:lang w:eastAsia="zh-CN"/>
        </w:rPr>
        <w:t>。</w:t>
      </w:r>
    </w:p>
    <w:p>
      <w:pPr>
        <w:spacing w:line="600" w:lineRule="exact"/>
        <w:ind w:firstLine="640"/>
        <w:outlineLvl w:val="1"/>
        <w:rPr>
          <w:rStyle w:val="28"/>
          <w:rFonts w:ascii="黑体" w:hAnsi="黑体" w:eastAsia="黑体"/>
          <w:b w:val="0"/>
        </w:rPr>
      </w:pPr>
      <w:bookmarkStart w:id="70" w:name="_Toc10048"/>
      <w:bookmarkStart w:id="71" w:name="_Toc15377215"/>
      <w:bookmarkStart w:id="72" w:name="_Toc15396609"/>
      <w:bookmarkStart w:id="73" w:name="_Toc24027"/>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70"/>
      <w:bookmarkEnd w:id="71"/>
      <w:bookmarkEnd w:id="72"/>
      <w:bookmarkEnd w:id="73"/>
    </w:p>
    <w:p>
      <w:pPr>
        <w:spacing w:line="600" w:lineRule="exact"/>
        <w:ind w:firstLine="640"/>
        <w:outlineLvl w:val="2"/>
        <w:rPr>
          <w:rFonts w:ascii="仿宋" w:hAnsi="仿宋" w:eastAsia="仿宋"/>
          <w:b/>
          <w:color w:val="000000"/>
          <w:sz w:val="32"/>
          <w:szCs w:val="32"/>
        </w:rPr>
      </w:pPr>
      <w:bookmarkStart w:id="74" w:name="_Toc15377216"/>
      <w:bookmarkStart w:id="75" w:name="_Toc25735"/>
      <w:r>
        <w:rPr>
          <w:rFonts w:hint="eastAsia" w:ascii="仿宋" w:hAnsi="仿宋" w:eastAsia="仿宋"/>
          <w:b/>
          <w:color w:val="000000"/>
          <w:sz w:val="32"/>
          <w:szCs w:val="32"/>
        </w:rPr>
        <w:t>（一）“三公”经费财政拨款支出决算总体情况说明</w:t>
      </w:r>
      <w:bookmarkEnd w:id="74"/>
      <w:bookmarkEnd w:id="75"/>
    </w:p>
    <w:p>
      <w:pPr>
        <w:pageBreakBefore w:val="0"/>
        <w:kinsoku/>
        <w:wordWrap/>
        <w:overflowPunct/>
        <w:topLinePunct w:val="0"/>
        <w:bidi w:val="0"/>
        <w:spacing w:line="560" w:lineRule="exact"/>
        <w:ind w:firstLine="640" w:firstLineChars="200"/>
        <w:rPr>
          <w:rFonts w:ascii="仿宋" w:hAnsi="仿宋" w:eastAsia="仿宋"/>
          <w:b/>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年“三公”经费财政拨款支出决算为16.17万元，完成预算</w:t>
      </w:r>
      <w:r>
        <w:rPr>
          <w:rFonts w:ascii="仿宋" w:hAnsi="仿宋" w:eastAsia="仿宋"/>
          <w:color w:val="000000"/>
          <w:sz w:val="32"/>
          <w:szCs w:val="32"/>
        </w:rPr>
        <w:t>100%</w:t>
      </w:r>
      <w:r>
        <w:rPr>
          <w:rFonts w:hint="eastAsia" w:ascii="仿宋" w:hAnsi="仿宋" w:eastAsia="仿宋"/>
          <w:color w:val="000000"/>
          <w:sz w:val="32"/>
          <w:szCs w:val="32"/>
        </w:rPr>
        <w:t>，</w:t>
      </w:r>
      <w:r>
        <w:rPr>
          <w:rStyle w:val="17"/>
          <w:rFonts w:hint="eastAsia" w:ascii="仿宋" w:hAnsi="仿宋" w:eastAsia="仿宋"/>
          <w:b w:val="0"/>
          <w:bCs/>
          <w:sz w:val="32"/>
          <w:szCs w:val="32"/>
        </w:rPr>
        <w:t>决算数等于预算数</w:t>
      </w:r>
      <w:r>
        <w:rPr>
          <w:rStyle w:val="17"/>
          <w:rFonts w:hint="eastAsia" w:ascii="仿宋" w:hAnsi="仿宋" w:eastAsia="仿宋"/>
          <w:b w:val="0"/>
          <w:bCs/>
          <w:color w:val="000000"/>
          <w:sz w:val="32"/>
          <w:szCs w:val="32"/>
        </w:rPr>
        <w:t>。</w:t>
      </w:r>
    </w:p>
    <w:p>
      <w:pPr>
        <w:spacing w:line="600" w:lineRule="exact"/>
        <w:ind w:firstLine="640"/>
        <w:outlineLvl w:val="2"/>
        <w:rPr>
          <w:rFonts w:ascii="仿宋" w:hAnsi="仿宋" w:eastAsia="仿宋"/>
          <w:b/>
          <w:color w:val="000000"/>
          <w:sz w:val="32"/>
          <w:szCs w:val="32"/>
        </w:rPr>
      </w:pPr>
      <w:bookmarkStart w:id="76" w:name="_Toc9930"/>
      <w:bookmarkStart w:id="77" w:name="_Toc15377217"/>
      <w:r>
        <w:rPr>
          <w:rFonts w:hint="eastAsia" w:ascii="仿宋" w:hAnsi="仿宋" w:eastAsia="仿宋"/>
          <w:b/>
          <w:color w:val="000000"/>
          <w:sz w:val="32"/>
          <w:szCs w:val="32"/>
        </w:rPr>
        <w:t>（二）“三公”经费财政拨款支出决算具体情况说明</w:t>
      </w:r>
      <w:bookmarkEnd w:id="76"/>
      <w:bookmarkEnd w:id="77"/>
    </w:p>
    <w:p>
      <w:pPr>
        <w:pageBreakBefore w:val="0"/>
        <w:kinsoku/>
        <w:wordWrap/>
        <w:overflowPunct/>
        <w:topLinePunct w:val="0"/>
        <w:bidi w:val="0"/>
        <w:spacing w:line="56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；公务用车购置及运行维护费支出决算16.17万元，占</w:t>
      </w:r>
      <w:r>
        <w:rPr>
          <w:rFonts w:ascii="仿宋" w:hAnsi="仿宋" w:eastAsia="仿宋"/>
          <w:color w:val="000000"/>
          <w:sz w:val="32"/>
          <w:szCs w:val="32"/>
        </w:rPr>
        <w:t>100%</w:t>
      </w:r>
      <w:r>
        <w:rPr>
          <w:rFonts w:hint="eastAsia" w:ascii="仿宋" w:hAnsi="仿宋" w:eastAsia="仿宋"/>
          <w:color w:val="000000"/>
          <w:sz w:val="32"/>
          <w:szCs w:val="32"/>
        </w:rPr>
        <w:t>；公务接待费支出决算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ageBreakBefore w:val="0"/>
        <w:numPr>
          <w:ilvl w:val="0"/>
          <w:numId w:val="0"/>
        </w:numPr>
        <w:kinsoku/>
        <w:wordWrap/>
        <w:overflowPunct/>
        <w:topLinePunct w:val="0"/>
        <w:bidi w:val="0"/>
        <w:spacing w:line="560" w:lineRule="exact"/>
        <w:ind w:firstLine="630" w:firstLineChars="300"/>
        <w:rPr>
          <w:rFonts w:hint="eastAsia" w:ascii="仿宋_GB2312" w:eastAsia="仿宋_GB2312"/>
          <w:b/>
          <w:color w:val="000000"/>
          <w:sz w:val="32"/>
          <w:szCs w:val="32"/>
          <w:lang w:val="en-US" w:eastAsia="zh-CN"/>
        </w:rPr>
      </w:pPr>
      <w:bookmarkStart w:id="78" w:name="_Toc15396610"/>
      <w:bookmarkStart w:id="79" w:name="_Toc15377218"/>
      <w:r>
        <w:drawing>
          <wp:anchor distT="0" distB="0" distL="114300" distR="114300" simplePos="0" relativeHeight="251667456" behindDoc="0" locked="0" layoutInCell="1" allowOverlap="1">
            <wp:simplePos x="0" y="0"/>
            <wp:positionH relativeFrom="column">
              <wp:posOffset>260985</wp:posOffset>
            </wp:positionH>
            <wp:positionV relativeFrom="paragraph">
              <wp:posOffset>526415</wp:posOffset>
            </wp:positionV>
            <wp:extent cx="4600575" cy="2133600"/>
            <wp:effectExtent l="0" t="0" r="9525" b="0"/>
            <wp:wrapTopAndBottom/>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6"/>
                    <a:stretch>
                      <a:fillRect/>
                    </a:stretch>
                  </pic:blipFill>
                  <pic:spPr>
                    <a:xfrm>
                      <a:off x="0" y="0"/>
                      <a:ext cx="4600575" cy="2133600"/>
                    </a:xfrm>
                    <a:prstGeom prst="rect">
                      <a:avLst/>
                    </a:prstGeom>
                    <a:noFill/>
                    <a:ln>
                      <a:noFill/>
                    </a:ln>
                  </pic:spPr>
                </pic:pic>
              </a:graphicData>
            </a:graphic>
          </wp:anchor>
        </w:drawing>
      </w:r>
    </w:p>
    <w:p>
      <w:pPr>
        <w:pageBreakBefore w:val="0"/>
        <w:numPr>
          <w:ilvl w:val="0"/>
          <w:numId w:val="0"/>
        </w:numPr>
        <w:kinsoku/>
        <w:wordWrap/>
        <w:overflowPunct/>
        <w:topLinePunct w:val="0"/>
        <w:bidi w:val="0"/>
        <w:spacing w:line="560" w:lineRule="exact"/>
        <w:ind w:firstLine="964" w:firstLineChars="300"/>
        <w:rPr>
          <w:rFonts w:hint="eastAsia" w:ascii="仿宋_GB2312" w:eastAsia="仿宋_GB2312"/>
          <w:b/>
          <w:color w:val="000000"/>
          <w:sz w:val="32"/>
          <w:szCs w:val="32"/>
          <w:lang w:val="en-US" w:eastAsia="zh-CN"/>
        </w:rPr>
      </w:pPr>
    </w:p>
    <w:p>
      <w:pPr>
        <w:pageBreakBefore w:val="0"/>
        <w:numPr>
          <w:ilvl w:val="0"/>
          <w:numId w:val="0"/>
        </w:numPr>
        <w:kinsoku/>
        <w:wordWrap/>
        <w:overflowPunct/>
        <w:topLinePunct w:val="0"/>
        <w:bidi w:val="0"/>
        <w:spacing w:line="560" w:lineRule="exact"/>
        <w:ind w:firstLine="964" w:firstLineChars="300"/>
        <w:rPr>
          <w:rFonts w:hint="eastAsia" w:ascii="仿宋_GB2312" w:eastAsia="仿宋_GB2312"/>
          <w:color w:val="000000"/>
          <w:sz w:val="32"/>
          <w:szCs w:val="32"/>
          <w:lang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ascii="仿宋" w:hAnsi="仿宋" w:eastAsia="仿宋"/>
          <w:b w:val="0"/>
          <w:bCs/>
          <w:color w:val="000000"/>
          <w:sz w:val="32"/>
          <w:szCs w:val="32"/>
        </w:rPr>
        <w:t>0%</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pageBreakBefore w:val="0"/>
        <w:numPr>
          <w:ilvl w:val="0"/>
          <w:numId w:val="0"/>
        </w:numPr>
        <w:kinsoku/>
        <w:wordWrap/>
        <w:overflowPunct/>
        <w:topLinePunct w:val="0"/>
        <w:bidi w:val="0"/>
        <w:spacing w:line="560" w:lineRule="exact"/>
        <w:ind w:firstLine="964" w:firstLineChars="3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rPr>
        <w:t>16.17</w:t>
      </w:r>
      <w:r>
        <w:rPr>
          <w:rFonts w:hint="eastAsia" w:ascii="仿宋_GB2312" w:eastAsia="仿宋_GB2312"/>
          <w:color w:val="000000"/>
          <w:sz w:val="32"/>
          <w:szCs w:val="32"/>
        </w:rPr>
        <w:t>万元</w:t>
      </w:r>
      <w:r>
        <w:rPr>
          <w:rFonts w:ascii="仿宋_GB2312" w:eastAsia="仿宋_GB2312"/>
          <w:color w:val="000000"/>
          <w:sz w:val="32"/>
          <w:szCs w:val="32"/>
        </w:rPr>
        <w:t>,</w:t>
      </w:r>
      <w:r>
        <w:rPr>
          <w:rStyle w:val="17"/>
          <w:rFonts w:hint="eastAsia" w:ascii="仿宋" w:hAnsi="仿宋" w:eastAsia="仿宋"/>
          <w:b w:val="0"/>
          <w:bCs/>
          <w:color w:val="000000"/>
          <w:sz w:val="32"/>
          <w:szCs w:val="32"/>
        </w:rPr>
        <w:t>完成预算</w:t>
      </w:r>
      <w:r>
        <w:rPr>
          <w:rStyle w:val="17"/>
          <w:rFonts w:ascii="仿宋" w:hAnsi="仿宋" w:eastAsia="仿宋"/>
          <w:b w:val="0"/>
          <w:bCs/>
          <w:color w:val="000000"/>
          <w:sz w:val="32"/>
          <w:szCs w:val="32"/>
        </w:rPr>
        <w:t>100%</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2018</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157.88</w:t>
      </w:r>
      <w:r>
        <w:rPr>
          <w:rFonts w:hint="eastAsia" w:ascii="仿宋_GB2312" w:eastAsia="仿宋_GB2312"/>
          <w:color w:val="000000"/>
          <w:sz w:val="32"/>
          <w:szCs w:val="32"/>
        </w:rPr>
        <w:t>万元增加</w:t>
      </w:r>
      <w:r>
        <w:rPr>
          <w:rFonts w:hint="eastAsia" w:ascii="仿宋_GB2312" w:eastAsia="仿宋_GB2312"/>
          <w:color w:val="000000"/>
          <w:sz w:val="32"/>
          <w:szCs w:val="32"/>
          <w:lang w:val="en-US" w:eastAsia="zh-CN"/>
        </w:rPr>
        <w:t>141.71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876.37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2018年有新增特种设备用车（132.6万元）</w:t>
      </w:r>
      <w:r>
        <w:rPr>
          <w:rFonts w:hint="eastAsia" w:ascii="仿宋_GB2312" w:eastAsia="仿宋_GB2312"/>
          <w:color w:val="000000"/>
          <w:sz w:val="32"/>
          <w:szCs w:val="32"/>
        </w:rPr>
        <w:t>。</w:t>
      </w:r>
    </w:p>
    <w:p>
      <w:pPr>
        <w:pageBreakBefore w:val="0"/>
        <w:kinsoku/>
        <w:wordWrap/>
        <w:overflowPunct/>
        <w:topLinePunct w:val="0"/>
        <w:bidi w:val="0"/>
        <w:spacing w:line="56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元。截至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 xml:space="preserve"> </w:t>
      </w:r>
      <w:r>
        <w:rPr>
          <w:rFonts w:hint="eastAsia" w:ascii="仿宋_GB2312" w:eastAsia="仿宋_GB2312"/>
          <w:color w:val="000000"/>
          <w:sz w:val="32"/>
          <w:szCs w:val="32"/>
        </w:rPr>
        <w:t>执法执勤用车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、公务用车</w:t>
      </w:r>
      <w:r>
        <w:rPr>
          <w:rFonts w:hint="eastAsia" w:ascii="仿宋_GB2312" w:eastAsia="仿宋_GB2312"/>
          <w:color w:val="000000"/>
          <w:sz w:val="32"/>
          <w:szCs w:val="32"/>
          <w:lang w:val="en-US" w:eastAsia="zh-CN"/>
        </w:rPr>
        <w:t>1辆、特种设备用车1辆。</w:t>
      </w:r>
    </w:p>
    <w:p>
      <w:pPr>
        <w:pageBreakBefore w:val="0"/>
        <w:kinsoku/>
        <w:wordWrap/>
        <w:overflowPunct/>
        <w:topLinePunct w:val="0"/>
        <w:bidi w:val="0"/>
        <w:spacing w:line="560" w:lineRule="exact"/>
        <w:ind w:firstLine="640"/>
        <w:rPr>
          <w:rFonts w:hint="eastAsia" w:ascii="仿宋_GB2312" w:eastAsia="仿宋_GB2312"/>
          <w:sz w:val="32"/>
          <w:szCs w:val="32"/>
        </w:rPr>
      </w:pPr>
      <w:r>
        <w:rPr>
          <w:rFonts w:hint="eastAsia" w:ascii="仿宋_GB2312" w:eastAsia="仿宋_GB2312"/>
          <w:b/>
          <w:color w:val="000000"/>
          <w:sz w:val="32"/>
          <w:szCs w:val="32"/>
        </w:rPr>
        <w:t>公务用车运行维护费支出</w:t>
      </w:r>
      <w:r>
        <w:rPr>
          <w:rFonts w:hint="eastAsia" w:ascii="仿宋" w:hAnsi="仿宋" w:eastAsia="仿宋"/>
          <w:color w:val="000000"/>
          <w:sz w:val="32"/>
          <w:szCs w:val="32"/>
        </w:rPr>
        <w:t>16.17</w:t>
      </w:r>
      <w:r>
        <w:rPr>
          <w:rFonts w:hint="eastAsia" w:ascii="仿宋_GB2312" w:eastAsia="仿宋_GB2312"/>
          <w:color w:val="000000"/>
          <w:sz w:val="32"/>
          <w:szCs w:val="32"/>
        </w:rPr>
        <w:t>万元。主要用于</w:t>
      </w:r>
      <w:r>
        <w:rPr>
          <w:rFonts w:hint="eastAsia" w:ascii="仿宋_GB2312" w:eastAsia="仿宋_GB2312"/>
          <w:sz w:val="32"/>
          <w:szCs w:val="32"/>
        </w:rPr>
        <w:t>脱贫攻坚工作</w:t>
      </w:r>
      <w:r>
        <w:rPr>
          <w:rFonts w:hint="eastAsia" w:ascii="仿宋_GB2312" w:eastAsia="仿宋_GB2312"/>
          <w:sz w:val="32"/>
          <w:szCs w:val="32"/>
          <w:lang w:eastAsia="zh-CN"/>
        </w:rPr>
        <w:t>、执法办案、市场巡查、质量监督</w:t>
      </w:r>
      <w:r>
        <w:rPr>
          <w:rFonts w:hint="eastAsia" w:ascii="仿宋_GB2312" w:eastAsia="仿宋_GB2312"/>
          <w:sz w:val="32"/>
          <w:szCs w:val="32"/>
        </w:rPr>
        <w:t>等所需的公务用车燃料费、维修费、保险费等支出。</w:t>
      </w:r>
    </w:p>
    <w:p>
      <w:pPr>
        <w:pageBreakBefore w:val="0"/>
        <w:kinsoku/>
        <w:wordWrap/>
        <w:overflowPunct/>
        <w:topLinePunct w:val="0"/>
        <w:bidi w:val="0"/>
        <w:spacing w:line="560" w:lineRule="exact"/>
        <w:ind w:firstLine="640"/>
        <w:rPr>
          <w:rFonts w:ascii="仿宋_GB2312" w:eastAsia="仿宋_GB2312"/>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ascii="仿宋" w:hAnsi="仿宋" w:eastAsia="仿宋"/>
          <w:b w:val="0"/>
          <w:bCs/>
          <w:color w:val="000000"/>
          <w:sz w:val="32"/>
          <w:szCs w:val="32"/>
        </w:rPr>
        <w:t>100%</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2018</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0.75</w:t>
      </w:r>
      <w:r>
        <w:rPr>
          <w:rFonts w:hint="eastAsia" w:ascii="仿宋_GB2312" w:eastAsia="仿宋_GB2312"/>
          <w:color w:val="000000"/>
          <w:sz w:val="32"/>
          <w:szCs w:val="32"/>
        </w:rPr>
        <w:t>万元减少</w:t>
      </w:r>
      <w:r>
        <w:rPr>
          <w:rFonts w:hint="eastAsia" w:ascii="仿宋_GB2312" w:eastAsia="仿宋_GB2312"/>
          <w:color w:val="000000"/>
          <w:sz w:val="32"/>
          <w:szCs w:val="32"/>
          <w:lang w:val="en-US" w:eastAsia="zh-CN"/>
        </w:rPr>
        <w:t>0.75</w:t>
      </w:r>
      <w:r>
        <w:rPr>
          <w:rFonts w:hint="eastAsia" w:ascii="仿宋_GB2312" w:eastAsia="仿宋_GB2312"/>
          <w:color w:val="000000"/>
          <w:sz w:val="32"/>
          <w:szCs w:val="32"/>
        </w:rPr>
        <w:t>万元，减少</w:t>
      </w:r>
      <w:r>
        <w:rPr>
          <w:rFonts w:ascii="仿宋_GB2312" w:eastAsia="仿宋_GB2312"/>
          <w:color w:val="000000"/>
          <w:sz w:val="32"/>
          <w:szCs w:val="32"/>
        </w:rPr>
        <w:t>100%</w:t>
      </w:r>
      <w:r>
        <w:rPr>
          <w:rFonts w:hint="eastAsia" w:ascii="仿宋_GB2312" w:eastAsia="仿宋_GB2312"/>
          <w:color w:val="000000"/>
          <w:sz w:val="32"/>
          <w:szCs w:val="32"/>
        </w:rPr>
        <w:t>。主要原因是</w:t>
      </w:r>
      <w:r>
        <w:rPr>
          <w:rFonts w:hint="eastAsia" w:ascii="仿宋_GB2312" w:eastAsia="仿宋_GB2312"/>
          <w:sz w:val="32"/>
          <w:szCs w:val="32"/>
        </w:rPr>
        <w:t>主要原因是厉行节约，规范开支。</w:t>
      </w:r>
    </w:p>
    <w:p>
      <w:pPr>
        <w:pageBreakBefore w:val="0"/>
        <w:kinsoku/>
        <w:wordWrap/>
        <w:overflowPunct/>
        <w:topLinePunct w:val="0"/>
        <w:bidi w:val="0"/>
        <w:spacing w:line="560" w:lineRule="exact"/>
        <w:ind w:firstLine="640"/>
        <w:rPr>
          <w:rFonts w:hint="eastAsia" w:ascii="仿宋_GB2312" w:eastAsia="仿宋_GB2312"/>
          <w:color w:val="000000"/>
          <w:sz w:val="32"/>
          <w:szCs w:val="32"/>
          <w:lang w:eastAsia="zh-CN"/>
        </w:rPr>
      </w:pPr>
      <w:r>
        <w:rPr>
          <w:rFonts w:hint="eastAsia" w:ascii="仿宋" w:hAnsi="仿宋" w:eastAsia="仿宋"/>
          <w:b/>
          <w:color w:val="000000"/>
          <w:sz w:val="32"/>
          <w:szCs w:val="32"/>
        </w:rPr>
        <w:t>国内公务接待支出</w:t>
      </w:r>
      <w:r>
        <w:rPr>
          <w:rFonts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与上年持平。</w:t>
      </w:r>
    </w:p>
    <w:p>
      <w:pPr>
        <w:pageBreakBefore w:val="0"/>
        <w:kinsoku/>
        <w:wordWrap/>
        <w:overflowPunct/>
        <w:topLinePunct w:val="0"/>
        <w:bidi w:val="0"/>
        <w:spacing w:line="560" w:lineRule="exact"/>
        <w:ind w:firstLine="643" w:firstLineChars="200"/>
        <w:rPr>
          <w:rFonts w:hint="eastAsia" w:ascii="黑体" w:eastAsia="仿宋_GB2312"/>
          <w:color w:val="000000"/>
          <w:sz w:val="32"/>
          <w:szCs w:val="32"/>
          <w:lang w:eastAsia="zh-CN"/>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与上年持平。</w:t>
      </w:r>
    </w:p>
    <w:p>
      <w:pPr>
        <w:spacing w:line="600" w:lineRule="exact"/>
        <w:ind w:firstLine="640"/>
        <w:outlineLvl w:val="9"/>
        <w:rPr>
          <w:rFonts w:ascii="黑体" w:eastAsia="黑体"/>
          <w:color w:val="000000"/>
          <w:sz w:val="32"/>
          <w:szCs w:val="32"/>
        </w:rPr>
      </w:pPr>
    </w:p>
    <w:p>
      <w:pPr>
        <w:spacing w:line="600" w:lineRule="exact"/>
        <w:ind w:firstLine="640"/>
        <w:outlineLvl w:val="1"/>
        <w:rPr>
          <w:rStyle w:val="28"/>
          <w:rFonts w:ascii="黑体" w:hAnsi="黑体" w:eastAsia="黑体"/>
        </w:rPr>
      </w:pPr>
      <w:bookmarkStart w:id="80" w:name="_Toc2859"/>
      <w:bookmarkStart w:id="81" w:name="_Toc30244"/>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78"/>
      <w:bookmarkEnd w:id="79"/>
      <w:bookmarkEnd w:id="80"/>
      <w:bookmarkEnd w:id="8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8"/>
          <w:rFonts w:ascii="黑体" w:hAnsi="黑体" w:eastAsia="黑体"/>
          <w:b w:val="0"/>
        </w:rPr>
      </w:pPr>
      <w:bookmarkStart w:id="82" w:name="_Toc20539"/>
      <w:bookmarkStart w:id="83" w:name="_Toc15377219"/>
      <w:bookmarkStart w:id="84" w:name="_Toc7792"/>
      <w:bookmarkStart w:id="85" w:name="_Toc15396611"/>
      <w:r>
        <w:rPr>
          <w:rStyle w:val="28"/>
          <w:rFonts w:hint="eastAsia" w:ascii="黑体" w:hAnsi="黑体" w:eastAsia="黑体"/>
          <w:b w:val="0"/>
        </w:rPr>
        <w:t>国有资本经营预算支出决算情况说明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8"/>
          <w:rFonts w:ascii="黑体" w:hAnsi="黑体" w:eastAsia="黑体"/>
        </w:rPr>
      </w:pPr>
      <w:bookmarkStart w:id="86" w:name="_Toc14472"/>
      <w:bookmarkStart w:id="87" w:name="_Toc3935"/>
      <w:bookmarkStart w:id="88" w:name="_Toc15377221"/>
      <w:bookmarkStart w:id="89" w:name="_Toc15396612"/>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86"/>
      <w:bookmarkEnd w:id="87"/>
      <w:bookmarkEnd w:id="88"/>
      <w:bookmarkEnd w:id="89"/>
    </w:p>
    <w:p>
      <w:pPr>
        <w:spacing w:line="600" w:lineRule="exact"/>
        <w:ind w:firstLine="643" w:firstLineChars="200"/>
        <w:outlineLvl w:val="2"/>
        <w:rPr>
          <w:rFonts w:ascii="仿宋" w:hAnsi="仿宋" w:eastAsia="仿宋"/>
          <w:color w:val="000000"/>
          <w:sz w:val="32"/>
          <w:szCs w:val="32"/>
        </w:rPr>
      </w:pPr>
      <w:bookmarkStart w:id="90" w:name="_Toc14379"/>
      <w:bookmarkStart w:id="91" w:name="_Toc15377222"/>
      <w:r>
        <w:rPr>
          <w:rFonts w:hint="eastAsia" w:ascii="仿宋" w:hAnsi="仿宋" w:eastAsia="仿宋"/>
          <w:b/>
          <w:color w:val="000000"/>
          <w:sz w:val="32"/>
          <w:szCs w:val="32"/>
        </w:rPr>
        <w:t>（一）机关运行经费支出情况</w:t>
      </w:r>
      <w:bookmarkEnd w:id="90"/>
      <w:bookmarkEnd w:id="91"/>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红原县市场监督管理局</w:t>
      </w:r>
      <w:r>
        <w:rPr>
          <w:rFonts w:hint="eastAsia" w:ascii="仿宋_GB2312" w:eastAsia="仿宋_GB2312"/>
          <w:color w:val="000000"/>
          <w:sz w:val="32"/>
          <w:szCs w:val="32"/>
        </w:rPr>
        <w:t>机关运行经费支出57.63万元，比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53.88</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3.75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2019年单位人员减少。</w:t>
      </w:r>
    </w:p>
    <w:p>
      <w:pPr>
        <w:spacing w:line="600" w:lineRule="exact"/>
        <w:ind w:firstLine="643" w:firstLineChars="200"/>
        <w:rPr>
          <w:rFonts w:ascii="仿宋" w:hAnsi="仿宋" w:eastAsia="仿宋"/>
          <w:b/>
          <w:color w:val="FF0000"/>
          <w:sz w:val="32"/>
          <w:szCs w:val="32"/>
        </w:rPr>
      </w:pP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2" w:name="_Toc6030"/>
      <w:bookmarkStart w:id="93" w:name="_Toc15377223"/>
      <w:r>
        <w:rPr>
          <w:rFonts w:hint="eastAsia" w:ascii="仿宋" w:hAnsi="仿宋" w:eastAsia="仿宋"/>
          <w:b/>
          <w:color w:val="000000"/>
          <w:sz w:val="32"/>
          <w:szCs w:val="32"/>
        </w:rPr>
        <w:t>（二）政府采购支出情况</w:t>
      </w:r>
      <w:bookmarkEnd w:id="92"/>
      <w:bookmarkEnd w:id="93"/>
    </w:p>
    <w:p>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年，红原县</w:t>
      </w:r>
      <w:r>
        <w:rPr>
          <w:rFonts w:hint="eastAsia" w:ascii="仿宋_GB2312" w:eastAsia="仿宋_GB2312"/>
          <w:color w:val="000000"/>
          <w:sz w:val="32"/>
          <w:szCs w:val="32"/>
          <w:lang w:eastAsia="zh-CN"/>
        </w:rPr>
        <w:t>市场监督管理局</w:t>
      </w:r>
      <w:r>
        <w:rPr>
          <w:rFonts w:hint="eastAsia" w:ascii="仿宋_GB2312" w:eastAsia="仿宋_GB2312"/>
          <w:color w:val="000000"/>
          <w:sz w:val="32"/>
          <w:szCs w:val="32"/>
        </w:rPr>
        <w:t>馆政府采购支出总额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，其中：授予小微企业合同金额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w:t>
      </w:r>
    </w:p>
    <w:p>
      <w:pPr>
        <w:spacing w:line="600" w:lineRule="exact"/>
        <w:ind w:firstLine="643" w:firstLineChars="200"/>
        <w:rPr>
          <w:rFonts w:ascii="仿宋" w:hAnsi="仿宋" w:eastAsia="仿宋"/>
          <w:b/>
          <w:color w:val="FF0000"/>
          <w:sz w:val="32"/>
          <w:szCs w:val="32"/>
        </w:rPr>
      </w:pP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4" w:name="_Toc1729"/>
      <w:bookmarkStart w:id="95" w:name="_Toc15377224"/>
      <w:r>
        <w:rPr>
          <w:rFonts w:hint="eastAsia" w:ascii="仿宋" w:hAnsi="仿宋" w:eastAsia="仿宋"/>
          <w:b/>
          <w:color w:val="000000"/>
          <w:sz w:val="32"/>
          <w:szCs w:val="32"/>
        </w:rPr>
        <w:t>（三）国有资产占有使用情况</w:t>
      </w:r>
      <w:bookmarkEnd w:id="94"/>
      <w:bookmarkEnd w:id="95"/>
    </w:p>
    <w:p>
      <w:pPr>
        <w:pageBreakBefore w:val="0"/>
        <w:kinsoku/>
        <w:wordWrap/>
        <w:overflowPunct/>
        <w:topLinePunct w:val="0"/>
        <w:bidi w:val="0"/>
        <w:spacing w:line="56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日，红原县</w:t>
      </w:r>
      <w:r>
        <w:rPr>
          <w:rFonts w:hint="eastAsia" w:ascii="仿宋_GB2312" w:eastAsia="仿宋_GB2312"/>
          <w:color w:val="000000"/>
          <w:sz w:val="32"/>
          <w:szCs w:val="32"/>
          <w:lang w:eastAsia="zh-CN"/>
        </w:rPr>
        <w:t>市场监督管理局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 xml:space="preserve"> </w:t>
      </w:r>
      <w:r>
        <w:rPr>
          <w:rFonts w:hint="eastAsia" w:ascii="仿宋_GB2312" w:eastAsia="仿宋_GB2312"/>
          <w:color w:val="000000"/>
          <w:sz w:val="32"/>
          <w:szCs w:val="32"/>
        </w:rPr>
        <w:t>执法执勤用车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、公务用车</w:t>
      </w:r>
      <w:r>
        <w:rPr>
          <w:rFonts w:hint="eastAsia" w:ascii="仿宋_GB2312" w:eastAsia="仿宋_GB2312"/>
          <w:color w:val="000000"/>
          <w:sz w:val="32"/>
          <w:szCs w:val="32"/>
          <w:lang w:val="en-US" w:eastAsia="zh-CN"/>
        </w:rPr>
        <w:t>1辆、特种设备用车1辆。</w:t>
      </w:r>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6" w:name="_Toc262"/>
      <w:r>
        <w:rPr>
          <w:rFonts w:hint="eastAsia" w:ascii="仿宋" w:hAnsi="仿宋" w:eastAsia="仿宋"/>
          <w:b/>
          <w:color w:val="000000"/>
          <w:sz w:val="32"/>
          <w:szCs w:val="32"/>
        </w:rPr>
        <w:t>（四）预算绩效管理情况。</w:t>
      </w:r>
      <w:bookmarkEnd w:id="96"/>
    </w:p>
    <w:p>
      <w:pPr>
        <w:spacing w:line="58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1.项目绩效目标完成情况。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本部门在2019年度部门决算中反映“食品监管补助资金”</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（1）食品监管补助资金项目绩效目标完成情况综述。项目全年预算数</w:t>
      </w:r>
      <w:r>
        <w:rPr>
          <w:rFonts w:hint="eastAsia" w:ascii="仿宋_GB2312" w:hAnsi="仿宋_GB2312" w:eastAsia="仿宋_GB2312" w:cs="仿宋_GB2312"/>
          <w:sz w:val="32"/>
          <w:szCs w:val="32"/>
          <w:lang w:val="en-US" w:eastAsia="zh-CN"/>
        </w:rPr>
        <w:t>63.26</w:t>
      </w:r>
      <w:r>
        <w:rPr>
          <w:rFonts w:hint="eastAsia" w:ascii="仿宋_GB2312" w:hAnsi="仿宋_GB2312" w:eastAsia="仿宋_GB2312" w:cs="仿宋_GB2312"/>
          <w:sz w:val="32"/>
          <w:szCs w:val="32"/>
        </w:rPr>
        <w:t>万元万元，执行数为</w:t>
      </w:r>
      <w:r>
        <w:rPr>
          <w:rFonts w:hint="eastAsia" w:ascii="仿宋_GB2312" w:hAnsi="仿宋_GB2312" w:eastAsia="仿宋_GB2312" w:cs="仿宋_GB2312"/>
          <w:sz w:val="32"/>
          <w:szCs w:val="32"/>
          <w:lang w:val="en-US" w:eastAsia="zh-CN"/>
        </w:rPr>
        <w:t>63.26</w:t>
      </w:r>
      <w:r>
        <w:rPr>
          <w:rFonts w:hint="eastAsia" w:ascii="仿宋_GB2312" w:hAnsi="仿宋_GB2312" w:eastAsia="仿宋_GB2312" w:cs="仿宋_GB2312"/>
          <w:sz w:val="32"/>
          <w:szCs w:val="32"/>
        </w:rPr>
        <w:t>万元万元，完成预算的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不断完善“两品一械”安全抽样工作及监管力度</w:t>
      </w:r>
      <w:r>
        <w:rPr>
          <w:rFonts w:hint="eastAsia" w:ascii="仿宋_GB2312" w:hAnsi="仿宋_GB2312" w:eastAsia="仿宋_GB2312" w:cs="仿宋_GB2312"/>
          <w:sz w:val="32"/>
          <w:szCs w:val="32"/>
          <w:lang w:val="en-US" w:eastAsia="zh-CN"/>
        </w:rPr>
        <w:t>，提高监管人员专业水平保障监管水平持续提升</w:t>
      </w:r>
    </w:p>
    <w:p>
      <w:pPr>
        <w:spacing w:line="580" w:lineRule="exact"/>
        <w:ind w:firstLine="640" w:firstLineChars="200"/>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10140" w:type="dxa"/>
        <w:jc w:val="center"/>
        <w:tblLayout w:type="fixed"/>
        <w:tblCellMar>
          <w:top w:w="0" w:type="dxa"/>
          <w:left w:w="0" w:type="dxa"/>
          <w:bottom w:w="0" w:type="dxa"/>
          <w:right w:w="0" w:type="dxa"/>
        </w:tblCellMar>
      </w:tblPr>
      <w:tblGrid>
        <w:gridCol w:w="945"/>
        <w:gridCol w:w="843"/>
        <w:gridCol w:w="1044"/>
        <w:gridCol w:w="2435"/>
        <w:gridCol w:w="2437"/>
        <w:gridCol w:w="2436"/>
      </w:tblGrid>
      <w:tr>
        <w:tblPrEx>
          <w:tblCellMar>
            <w:top w:w="0" w:type="dxa"/>
            <w:left w:w="0" w:type="dxa"/>
            <w:bottom w:w="0" w:type="dxa"/>
            <w:right w:w="0" w:type="dxa"/>
          </w:tblCellMar>
        </w:tblPrEx>
        <w:trPr>
          <w:trHeight w:val="2209" w:hRule="atLeast"/>
          <w:jc w:val="center"/>
        </w:trPr>
        <w:tc>
          <w:tcPr>
            <w:tcW w:w="1014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589" w:hRule="atLeast"/>
          <w:jc w:val="center"/>
        </w:trPr>
        <w:tc>
          <w:tcPr>
            <w:tcW w:w="283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3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 w:hAnsi="宋?" w:eastAsia="宋?" w:cs="宋?"/>
                <w:color w:val="000000"/>
                <w:sz w:val="24"/>
              </w:rPr>
              <w:t>食品监管补助资金</w:t>
            </w:r>
          </w:p>
        </w:tc>
      </w:tr>
      <w:tr>
        <w:tblPrEx>
          <w:tblCellMar>
            <w:top w:w="0" w:type="dxa"/>
            <w:left w:w="0" w:type="dxa"/>
            <w:bottom w:w="0" w:type="dxa"/>
            <w:right w:w="0" w:type="dxa"/>
          </w:tblCellMar>
        </w:tblPrEx>
        <w:trPr>
          <w:trHeight w:val="589" w:hRule="atLeast"/>
          <w:jc w:val="center"/>
        </w:trPr>
        <w:tc>
          <w:tcPr>
            <w:tcW w:w="283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3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红原县市场监督管理局</w:t>
            </w:r>
          </w:p>
        </w:tc>
      </w:tr>
      <w:tr>
        <w:tblPrEx>
          <w:tblCellMar>
            <w:top w:w="0" w:type="dxa"/>
            <w:left w:w="0" w:type="dxa"/>
            <w:bottom w:w="0" w:type="dxa"/>
            <w:right w:w="0" w:type="dxa"/>
          </w:tblCellMar>
        </w:tblPrEx>
        <w:trPr>
          <w:trHeight w:val="628" w:hRule="atLeast"/>
          <w:jc w:val="center"/>
        </w:trPr>
        <w:tc>
          <w:tcPr>
            <w:tcW w:w="94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预算执行情况(万元)</w:t>
            </w:r>
          </w:p>
        </w:tc>
        <w:tc>
          <w:tcPr>
            <w:tcW w:w="18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预算数:</w:t>
            </w:r>
          </w:p>
        </w:tc>
        <w:tc>
          <w:tcPr>
            <w:tcW w:w="2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lang w:val="en-US" w:eastAsia="zh-CN"/>
              </w:rPr>
              <w:t>63.26</w:t>
            </w:r>
            <w:r>
              <w:rPr>
                <w:rFonts w:hint="eastAsia" w:ascii="宋?" w:hAnsi="宋?" w:eastAsia="宋?" w:cs="宋?"/>
                <w:color w:val="000000"/>
                <w:sz w:val="24"/>
              </w:rPr>
              <w:t>万元</w:t>
            </w:r>
          </w:p>
        </w:tc>
        <w:tc>
          <w:tcPr>
            <w:tcW w:w="2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执行数:</w:t>
            </w:r>
          </w:p>
        </w:tc>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lang w:val="en-US" w:eastAsia="zh-CN"/>
              </w:rPr>
              <w:t>63.26</w:t>
            </w:r>
            <w:r>
              <w:rPr>
                <w:rFonts w:hint="eastAsia" w:ascii="宋?" w:hAnsi="宋?" w:eastAsia="宋?" w:cs="宋?"/>
                <w:color w:val="000000"/>
                <w:sz w:val="24"/>
              </w:rPr>
              <w:t>万元</w:t>
            </w:r>
          </w:p>
        </w:tc>
      </w:tr>
      <w:tr>
        <w:tblPrEx>
          <w:tblCellMar>
            <w:top w:w="0" w:type="dxa"/>
            <w:left w:w="0" w:type="dxa"/>
            <w:bottom w:w="0" w:type="dxa"/>
            <w:right w:w="0" w:type="dxa"/>
          </w:tblCellMar>
        </w:tblPrEx>
        <w:trPr>
          <w:trHeight w:val="523"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p>
        </w:tc>
        <w:tc>
          <w:tcPr>
            <w:tcW w:w="18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其中-财政拨款:</w:t>
            </w:r>
          </w:p>
        </w:tc>
        <w:tc>
          <w:tcPr>
            <w:tcW w:w="2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lang w:val="en-US" w:eastAsia="zh-CN"/>
              </w:rPr>
              <w:t>63.26</w:t>
            </w:r>
            <w:r>
              <w:rPr>
                <w:rFonts w:hint="eastAsia" w:ascii="宋?" w:hAnsi="宋?" w:eastAsia="宋?" w:cs="宋?"/>
                <w:color w:val="000000"/>
                <w:sz w:val="24"/>
              </w:rPr>
              <w:t>万元</w:t>
            </w:r>
          </w:p>
        </w:tc>
        <w:tc>
          <w:tcPr>
            <w:tcW w:w="2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其中-财政拨款:</w:t>
            </w:r>
          </w:p>
        </w:tc>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lang w:val="en-US" w:eastAsia="zh-CN"/>
              </w:rPr>
              <w:t>63.26</w:t>
            </w:r>
            <w:r>
              <w:rPr>
                <w:rFonts w:hint="eastAsia" w:ascii="宋?" w:hAnsi="宋?" w:eastAsia="宋?" w:cs="宋?"/>
                <w:color w:val="000000"/>
                <w:sz w:val="24"/>
              </w:rPr>
              <w:t>万元</w:t>
            </w:r>
          </w:p>
        </w:tc>
      </w:tr>
      <w:tr>
        <w:tblPrEx>
          <w:tblCellMar>
            <w:top w:w="0" w:type="dxa"/>
            <w:left w:w="0" w:type="dxa"/>
            <w:bottom w:w="0" w:type="dxa"/>
            <w:right w:w="0" w:type="dxa"/>
          </w:tblCellMar>
        </w:tblPrEx>
        <w:trPr>
          <w:trHeight w:val="43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p>
        </w:tc>
        <w:tc>
          <w:tcPr>
            <w:tcW w:w="18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其它资金:</w:t>
            </w:r>
          </w:p>
        </w:tc>
        <w:tc>
          <w:tcPr>
            <w:tcW w:w="2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0</w:t>
            </w:r>
          </w:p>
        </w:tc>
        <w:tc>
          <w:tcPr>
            <w:tcW w:w="2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其它资金:</w:t>
            </w:r>
          </w:p>
        </w:tc>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0</w:t>
            </w:r>
          </w:p>
        </w:tc>
      </w:tr>
      <w:tr>
        <w:tblPrEx>
          <w:tblCellMar>
            <w:top w:w="0" w:type="dxa"/>
            <w:left w:w="0" w:type="dxa"/>
            <w:bottom w:w="0" w:type="dxa"/>
            <w:right w:w="0" w:type="dxa"/>
          </w:tblCellMar>
        </w:tblPrEx>
        <w:trPr>
          <w:trHeight w:val="325" w:hRule="atLeast"/>
          <w:jc w:val="center"/>
        </w:trPr>
        <w:tc>
          <w:tcPr>
            <w:tcW w:w="94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年度目标完成情况</w:t>
            </w:r>
          </w:p>
        </w:tc>
        <w:tc>
          <w:tcPr>
            <w:tcW w:w="43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预期目标</w:t>
            </w:r>
          </w:p>
        </w:tc>
        <w:tc>
          <w:tcPr>
            <w:tcW w:w="48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实际完成目标</w:t>
            </w:r>
          </w:p>
        </w:tc>
      </w:tr>
      <w:tr>
        <w:tblPrEx>
          <w:tblCellMar>
            <w:top w:w="0" w:type="dxa"/>
            <w:left w:w="0" w:type="dxa"/>
            <w:bottom w:w="0" w:type="dxa"/>
            <w:right w:w="0" w:type="dxa"/>
          </w:tblCellMar>
        </w:tblPrEx>
        <w:trPr>
          <w:trHeight w:val="2896"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p>
        </w:tc>
        <w:tc>
          <w:tcPr>
            <w:tcW w:w="43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目标1：不断完善“两品一械”安全抽样工作及监管力度</w:t>
            </w:r>
          </w:p>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目标2：提高监管人员专业水平保障监管水平持续提升</w:t>
            </w:r>
          </w:p>
        </w:tc>
        <w:tc>
          <w:tcPr>
            <w:tcW w:w="487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目标1：完成食用农产品的260个批次的抽样检测，工业产品抽样252个批次。必检品种完成率达到100%，全年任务完成率达到100%</w:t>
            </w:r>
          </w:p>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目标2：组织监管培训批次25批次保障监管水平持续提升</w:t>
            </w:r>
          </w:p>
        </w:tc>
      </w:tr>
      <w:tr>
        <w:tblPrEx>
          <w:tblCellMar>
            <w:top w:w="0" w:type="dxa"/>
            <w:left w:w="0" w:type="dxa"/>
            <w:bottom w:w="0" w:type="dxa"/>
            <w:right w:w="0" w:type="dxa"/>
          </w:tblCellMar>
        </w:tblPrEx>
        <w:trPr>
          <w:trHeight w:val="1043" w:hRule="atLeast"/>
          <w:jc w:val="center"/>
        </w:trPr>
        <w:tc>
          <w:tcPr>
            <w:tcW w:w="94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绩效指标完成情况</w:t>
            </w: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一级指标</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二级指标</w:t>
            </w:r>
          </w:p>
        </w:tc>
        <w:tc>
          <w:tcPr>
            <w:tcW w:w="2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三级指标</w:t>
            </w:r>
          </w:p>
        </w:tc>
        <w:tc>
          <w:tcPr>
            <w:tcW w:w="2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预期指标值(包含数字及文字描述)</w:t>
            </w:r>
          </w:p>
        </w:tc>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实际完成指标值(包含数字及文字描述)</w:t>
            </w:r>
          </w:p>
        </w:tc>
      </w:tr>
      <w:tr>
        <w:tblPrEx>
          <w:tblCellMar>
            <w:top w:w="0" w:type="dxa"/>
            <w:left w:w="0" w:type="dxa"/>
            <w:bottom w:w="0" w:type="dxa"/>
            <w:right w:w="0" w:type="dxa"/>
          </w:tblCellMar>
        </w:tblPrEx>
        <w:trPr>
          <w:trHeight w:val="1373" w:hRule="atLeast"/>
          <w:jc w:val="center"/>
        </w:trPr>
        <w:tc>
          <w:tcPr>
            <w:tcW w:w="945"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项目完成指标</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数量指标</w:t>
            </w:r>
          </w:p>
        </w:tc>
        <w:tc>
          <w:tcPr>
            <w:tcW w:w="2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eastAsia="zh-CN"/>
              </w:rPr>
            </w:pPr>
            <w:r>
              <w:rPr>
                <w:rFonts w:hint="eastAsia" w:ascii="宋?" w:hAnsi="宋?" w:eastAsia="宋?" w:cs="宋?"/>
                <w:color w:val="000000"/>
                <w:sz w:val="24"/>
              </w:rPr>
              <w:t>指标</w:t>
            </w:r>
            <w:r>
              <w:rPr>
                <w:rFonts w:hint="eastAsia" w:ascii="宋?" w:hAnsi="宋?" w:eastAsia="宋?" w:cs="宋?"/>
                <w:color w:val="000000"/>
                <w:sz w:val="24"/>
                <w:lang w:val="en-US" w:eastAsia="zh-CN"/>
              </w:rPr>
              <w:t>1</w:t>
            </w:r>
            <w:r>
              <w:rPr>
                <w:rFonts w:hint="eastAsia" w:ascii="宋?" w:hAnsi="宋?" w:eastAsia="宋?" w:cs="宋?"/>
                <w:color w:val="000000"/>
                <w:sz w:val="24"/>
              </w:rPr>
              <w:t>：</w:t>
            </w:r>
            <w:r>
              <w:rPr>
                <w:rFonts w:hint="eastAsia" w:ascii="宋?" w:hAnsi="宋?" w:eastAsia="宋?" w:cs="宋?"/>
                <w:color w:val="000000"/>
                <w:sz w:val="24"/>
                <w:lang w:eastAsia="zh-CN"/>
              </w:rPr>
              <w:t>食品抽样批次</w:t>
            </w:r>
          </w:p>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rPr>
              <w:t>指标</w:t>
            </w:r>
            <w:r>
              <w:rPr>
                <w:rFonts w:hint="eastAsia" w:ascii="宋?" w:hAnsi="宋?" w:eastAsia="宋?" w:cs="宋?"/>
                <w:color w:val="000000"/>
                <w:sz w:val="24"/>
                <w:lang w:val="en-US" w:eastAsia="zh-CN"/>
              </w:rPr>
              <w:t>2</w:t>
            </w:r>
            <w:r>
              <w:rPr>
                <w:rFonts w:hint="eastAsia" w:ascii="宋?" w:hAnsi="宋?" w:eastAsia="宋?" w:cs="宋?"/>
                <w:color w:val="000000"/>
                <w:sz w:val="24"/>
              </w:rPr>
              <w:t>：</w:t>
            </w:r>
            <w:r>
              <w:rPr>
                <w:rFonts w:hint="eastAsia" w:ascii="宋?" w:hAnsi="宋?" w:eastAsia="宋?" w:cs="宋?"/>
                <w:color w:val="000000"/>
                <w:sz w:val="24"/>
                <w:lang w:eastAsia="zh-CN"/>
              </w:rPr>
              <w:t>药品抽样批次</w:t>
            </w:r>
          </w:p>
        </w:tc>
        <w:tc>
          <w:tcPr>
            <w:tcW w:w="2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eastAsia="zh-CN"/>
              </w:rPr>
              <w:t>≥</w:t>
            </w:r>
            <w:r>
              <w:rPr>
                <w:rFonts w:hint="eastAsia" w:ascii="宋?" w:hAnsi="宋?" w:eastAsia="宋?" w:cs="宋?"/>
                <w:color w:val="000000"/>
                <w:sz w:val="24"/>
                <w:lang w:val="en-US" w:eastAsia="zh-CN"/>
              </w:rPr>
              <w:t>200</w:t>
            </w:r>
          </w:p>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lang w:eastAsia="zh-CN"/>
              </w:rPr>
              <w:t>≥</w:t>
            </w:r>
            <w:r>
              <w:rPr>
                <w:rFonts w:hint="eastAsia" w:ascii="宋?" w:hAnsi="宋?" w:eastAsia="宋?" w:cs="宋?"/>
                <w:color w:val="000000"/>
                <w:sz w:val="24"/>
                <w:lang w:val="en-US" w:eastAsia="zh-CN"/>
              </w:rPr>
              <w:t>30</w:t>
            </w:r>
          </w:p>
        </w:tc>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eastAsia="zh-CN"/>
              </w:rPr>
              <w:t>≥</w:t>
            </w:r>
            <w:r>
              <w:rPr>
                <w:rFonts w:hint="eastAsia" w:ascii="宋?" w:hAnsi="宋?" w:eastAsia="宋?" w:cs="宋?"/>
                <w:color w:val="000000"/>
                <w:sz w:val="24"/>
                <w:lang w:val="en-US" w:eastAsia="zh-CN"/>
              </w:rPr>
              <w:t>252</w:t>
            </w:r>
          </w:p>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lang w:eastAsia="zh-CN"/>
              </w:rPr>
              <w:t>≥</w:t>
            </w:r>
            <w:r>
              <w:rPr>
                <w:rFonts w:hint="eastAsia" w:ascii="宋?" w:hAnsi="宋?" w:eastAsia="宋?" w:cs="宋?"/>
                <w:color w:val="000000"/>
                <w:sz w:val="24"/>
                <w:lang w:val="en-US" w:eastAsia="zh-CN"/>
              </w:rPr>
              <w:t>40</w:t>
            </w:r>
          </w:p>
        </w:tc>
      </w:tr>
      <w:tr>
        <w:tblPrEx>
          <w:tblCellMar>
            <w:top w:w="0" w:type="dxa"/>
            <w:left w:w="0" w:type="dxa"/>
            <w:bottom w:w="0" w:type="dxa"/>
            <w:right w:w="0" w:type="dxa"/>
          </w:tblCellMar>
        </w:tblPrEx>
        <w:trPr>
          <w:trHeight w:val="1557" w:hRule="atLeast"/>
          <w:jc w:val="center"/>
        </w:trPr>
        <w:tc>
          <w:tcPr>
            <w:tcW w:w="945"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项目完成指标</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质量指标</w:t>
            </w:r>
          </w:p>
        </w:tc>
        <w:tc>
          <w:tcPr>
            <w:tcW w:w="2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指标1：</w:t>
            </w:r>
            <w:r>
              <w:rPr>
                <w:rFonts w:hint="eastAsia" w:ascii="宋?" w:hAnsi="宋?" w:eastAsia="宋?" w:cs="宋?"/>
                <w:color w:val="000000"/>
                <w:sz w:val="24"/>
                <w:lang w:eastAsia="zh-CN"/>
              </w:rPr>
              <w:t>不合格处置率</w:t>
            </w:r>
          </w:p>
        </w:tc>
        <w:tc>
          <w:tcPr>
            <w:tcW w:w="2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100%</w:t>
            </w:r>
          </w:p>
        </w:tc>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 w:hAnsi="宋?" w:eastAsia="宋?" w:cs="宋?"/>
                <w:color w:val="000000"/>
                <w:sz w:val="24"/>
                <w:lang w:val="en-US" w:eastAsia="zh-CN"/>
              </w:rPr>
            </w:pPr>
            <w:r>
              <w:rPr>
                <w:rFonts w:hint="eastAsia" w:ascii="宋?" w:hAnsi="宋?" w:eastAsia="宋?" w:cs="宋?"/>
                <w:color w:val="000000"/>
                <w:sz w:val="24"/>
                <w:lang w:val="en-US" w:eastAsia="zh-CN"/>
              </w:rPr>
              <w:t>100%</w:t>
            </w:r>
          </w:p>
        </w:tc>
      </w:tr>
      <w:tr>
        <w:tblPrEx>
          <w:tblCellMar>
            <w:top w:w="0" w:type="dxa"/>
            <w:left w:w="0" w:type="dxa"/>
            <w:bottom w:w="0" w:type="dxa"/>
            <w:right w:w="0" w:type="dxa"/>
          </w:tblCellMar>
        </w:tblPrEx>
        <w:trPr>
          <w:trHeight w:val="1213" w:hRule="atLeast"/>
          <w:jc w:val="center"/>
        </w:trPr>
        <w:tc>
          <w:tcPr>
            <w:tcW w:w="945"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项目完成指标</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时效指标</w:t>
            </w:r>
          </w:p>
        </w:tc>
        <w:tc>
          <w:tcPr>
            <w:tcW w:w="2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指标1：</w:t>
            </w:r>
            <w:r>
              <w:rPr>
                <w:rFonts w:hint="eastAsia" w:ascii="宋?" w:hAnsi="宋?" w:eastAsia="宋?" w:cs="宋?"/>
                <w:color w:val="000000"/>
                <w:sz w:val="24"/>
                <w:lang w:eastAsia="zh-CN"/>
              </w:rPr>
              <w:t>任务完成时间</w:t>
            </w:r>
          </w:p>
        </w:tc>
        <w:tc>
          <w:tcPr>
            <w:tcW w:w="2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lang w:val="en-US" w:eastAsia="zh-CN"/>
              </w:rPr>
              <w:t>2019年底</w:t>
            </w:r>
          </w:p>
        </w:tc>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lang w:val="en-US" w:eastAsia="zh-CN"/>
              </w:rPr>
              <w:t>2019年12月</w:t>
            </w:r>
          </w:p>
        </w:tc>
      </w:tr>
      <w:tr>
        <w:tblPrEx>
          <w:tblCellMar>
            <w:top w:w="0" w:type="dxa"/>
            <w:left w:w="0" w:type="dxa"/>
            <w:bottom w:w="0" w:type="dxa"/>
            <w:right w:w="0" w:type="dxa"/>
          </w:tblCellMar>
        </w:tblPrEx>
        <w:trPr>
          <w:trHeight w:val="1353" w:hRule="atLeast"/>
          <w:jc w:val="center"/>
        </w:trPr>
        <w:tc>
          <w:tcPr>
            <w:tcW w:w="945"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项目完成指标</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社会效益指标</w:t>
            </w:r>
          </w:p>
        </w:tc>
        <w:tc>
          <w:tcPr>
            <w:tcW w:w="2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指标1：</w:t>
            </w:r>
            <w:r>
              <w:rPr>
                <w:rFonts w:hint="eastAsia" w:ascii="宋?" w:hAnsi="宋?" w:eastAsia="宋?" w:cs="宋?"/>
                <w:color w:val="000000"/>
                <w:sz w:val="24"/>
                <w:lang w:eastAsia="zh-CN"/>
              </w:rPr>
              <w:t>“两品一械”总体安全水平</w:t>
            </w:r>
          </w:p>
        </w:tc>
        <w:tc>
          <w:tcPr>
            <w:tcW w:w="2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lang w:eastAsia="zh-CN"/>
              </w:rPr>
              <w:t>不断提高</w:t>
            </w:r>
          </w:p>
        </w:tc>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lang w:eastAsia="zh-CN"/>
              </w:rPr>
              <w:t>不断提高</w:t>
            </w:r>
          </w:p>
        </w:tc>
      </w:tr>
      <w:tr>
        <w:tblPrEx>
          <w:tblCellMar>
            <w:top w:w="0" w:type="dxa"/>
            <w:left w:w="0" w:type="dxa"/>
            <w:bottom w:w="0" w:type="dxa"/>
            <w:right w:w="0" w:type="dxa"/>
          </w:tblCellMar>
        </w:tblPrEx>
        <w:trPr>
          <w:trHeight w:val="1697" w:hRule="atLeast"/>
          <w:jc w:val="center"/>
        </w:trPr>
        <w:tc>
          <w:tcPr>
            <w:tcW w:w="945"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项目完成指标</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可持续影响</w:t>
            </w:r>
          </w:p>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指标</w:t>
            </w:r>
          </w:p>
        </w:tc>
        <w:tc>
          <w:tcPr>
            <w:tcW w:w="2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rPr>
              <w:t>指标1：</w:t>
            </w:r>
            <w:r>
              <w:rPr>
                <w:rFonts w:hint="eastAsia" w:ascii="宋?" w:hAnsi="宋?" w:eastAsia="宋?" w:cs="宋?"/>
                <w:color w:val="000000"/>
                <w:sz w:val="24"/>
                <w:lang w:eastAsia="zh-CN"/>
              </w:rPr>
              <w:t>监管水平和队伍素质水平</w:t>
            </w:r>
          </w:p>
        </w:tc>
        <w:tc>
          <w:tcPr>
            <w:tcW w:w="2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eastAsia="zh-CN"/>
              </w:rPr>
              <w:t>不断提高</w:t>
            </w:r>
          </w:p>
        </w:tc>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eastAsia="zh-CN"/>
              </w:rPr>
              <w:t>不断提高</w:t>
            </w:r>
          </w:p>
        </w:tc>
      </w:tr>
      <w:tr>
        <w:tblPrEx>
          <w:tblCellMar>
            <w:top w:w="0" w:type="dxa"/>
            <w:left w:w="0" w:type="dxa"/>
            <w:bottom w:w="0" w:type="dxa"/>
            <w:right w:w="0" w:type="dxa"/>
          </w:tblCellMar>
        </w:tblPrEx>
        <w:trPr>
          <w:trHeight w:val="1123" w:hRule="atLeast"/>
          <w:jc w:val="center"/>
        </w:trPr>
        <w:tc>
          <w:tcPr>
            <w:tcW w:w="945"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rPr>
              <w:t>成本指标</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指标1：培训成本</w:t>
            </w:r>
          </w:p>
        </w:tc>
        <w:tc>
          <w:tcPr>
            <w:tcW w:w="2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eastAsia="zh-CN"/>
              </w:rPr>
              <w:t>≤</w:t>
            </w:r>
            <w:r>
              <w:rPr>
                <w:rFonts w:hint="eastAsia" w:ascii="宋?" w:hAnsi="宋?" w:eastAsia="宋?" w:cs="宋?"/>
                <w:color w:val="000000"/>
                <w:sz w:val="24"/>
                <w:lang w:val="en-US" w:eastAsia="zh-CN"/>
              </w:rPr>
              <w:t>400/.天</w:t>
            </w:r>
          </w:p>
        </w:tc>
        <w:tc>
          <w:tcPr>
            <w:tcW w:w="2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 w:hAnsi="宋?" w:eastAsia="宋?" w:cs="宋?"/>
                <w:color w:val="000000"/>
                <w:sz w:val="24"/>
                <w:lang w:val="en-US" w:eastAsia="zh-CN"/>
              </w:rPr>
            </w:pPr>
            <w:r>
              <w:rPr>
                <w:rFonts w:hint="eastAsia" w:ascii="宋?" w:hAnsi="宋?" w:eastAsia="宋?" w:cs="宋?"/>
                <w:color w:val="000000"/>
                <w:sz w:val="24"/>
                <w:lang w:eastAsia="zh-CN"/>
              </w:rPr>
              <w:t>≤</w:t>
            </w:r>
            <w:r>
              <w:rPr>
                <w:rFonts w:hint="eastAsia" w:ascii="宋?" w:hAnsi="宋?" w:eastAsia="宋?" w:cs="宋?"/>
                <w:color w:val="000000"/>
                <w:sz w:val="24"/>
                <w:lang w:val="en-US" w:eastAsia="zh-CN"/>
              </w:rPr>
              <w:t>380/.天</w:t>
            </w:r>
          </w:p>
        </w:tc>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lang w:eastAsia="zh-CN"/>
              </w:rPr>
              <w:t>≤</w:t>
            </w:r>
            <w:r>
              <w:rPr>
                <w:rFonts w:hint="eastAsia" w:ascii="宋?" w:hAnsi="宋?" w:eastAsia="宋?" w:cs="宋?"/>
                <w:color w:val="000000"/>
                <w:sz w:val="24"/>
                <w:lang w:val="en-US" w:eastAsia="zh-CN"/>
              </w:rPr>
              <w:t>380/.天</w:t>
            </w:r>
          </w:p>
        </w:tc>
      </w:tr>
      <w:tr>
        <w:tblPrEx>
          <w:tblCellMar>
            <w:top w:w="0" w:type="dxa"/>
            <w:left w:w="0" w:type="dxa"/>
            <w:bottom w:w="0" w:type="dxa"/>
            <w:right w:w="0" w:type="dxa"/>
          </w:tblCellMar>
        </w:tblPrEx>
        <w:trPr>
          <w:trHeight w:val="1548" w:hRule="atLeast"/>
          <w:jc w:val="center"/>
        </w:trPr>
        <w:tc>
          <w:tcPr>
            <w:tcW w:w="945"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效益指标</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可持续影响</w:t>
            </w:r>
          </w:p>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val="en-US" w:eastAsia="zh-CN"/>
              </w:rPr>
              <w:t>指标</w:t>
            </w:r>
          </w:p>
        </w:tc>
        <w:tc>
          <w:tcPr>
            <w:tcW w:w="2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rPr>
              <w:t>指标1：</w:t>
            </w:r>
            <w:r>
              <w:rPr>
                <w:rFonts w:hint="eastAsia" w:ascii="宋?" w:hAnsi="宋?" w:eastAsia="宋?" w:cs="宋?"/>
                <w:color w:val="000000"/>
                <w:sz w:val="24"/>
                <w:lang w:eastAsia="zh-CN"/>
              </w:rPr>
              <w:t>监管水平和队伍素质水平</w:t>
            </w:r>
          </w:p>
        </w:tc>
        <w:tc>
          <w:tcPr>
            <w:tcW w:w="2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eastAsia="zh-CN"/>
              </w:rPr>
              <w:t>不断提高</w:t>
            </w:r>
          </w:p>
        </w:tc>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eastAsia="zh-CN"/>
              </w:rPr>
              <w:t>不断提高</w:t>
            </w:r>
          </w:p>
        </w:tc>
      </w:tr>
      <w:tr>
        <w:tblPrEx>
          <w:tblCellMar>
            <w:top w:w="0" w:type="dxa"/>
            <w:left w:w="0" w:type="dxa"/>
            <w:bottom w:w="0" w:type="dxa"/>
            <w:right w:w="0" w:type="dxa"/>
          </w:tblCellMar>
        </w:tblPrEx>
        <w:trPr>
          <w:trHeight w:val="1480" w:hRule="atLeast"/>
          <w:jc w:val="center"/>
        </w:trPr>
        <w:tc>
          <w:tcPr>
            <w:tcW w:w="945"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p>
        </w:tc>
        <w:tc>
          <w:tcPr>
            <w:tcW w:w="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r>
              <w:rPr>
                <w:rFonts w:hint="eastAsia" w:ascii="宋?" w:hAnsi="宋?" w:eastAsia="宋?" w:cs="宋?"/>
                <w:color w:val="000000"/>
                <w:sz w:val="24"/>
              </w:rPr>
              <w:t>效益指标</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rPr>
              <w:t>服务对象满意度指标</w:t>
            </w:r>
          </w:p>
        </w:tc>
        <w:tc>
          <w:tcPr>
            <w:tcW w:w="2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rPr>
              <w:t>指标1：</w:t>
            </w:r>
            <w:r>
              <w:rPr>
                <w:rFonts w:hint="eastAsia" w:ascii="宋?" w:hAnsi="宋?" w:eastAsia="宋?" w:cs="宋?"/>
                <w:color w:val="000000"/>
                <w:sz w:val="24"/>
                <w:lang w:eastAsia="zh-CN"/>
              </w:rPr>
              <w:t>食品药品监管水平</w:t>
            </w:r>
          </w:p>
        </w:tc>
        <w:tc>
          <w:tcPr>
            <w:tcW w:w="2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 w:hAnsi="宋?" w:eastAsia="宋?" w:cs="宋?"/>
                <w:color w:val="000000"/>
                <w:sz w:val="24"/>
                <w:lang w:val="en-US" w:eastAsia="zh-CN"/>
              </w:rPr>
            </w:pPr>
            <w:r>
              <w:rPr>
                <w:rFonts w:hint="eastAsia" w:ascii="宋?" w:hAnsi="宋?" w:eastAsia="宋?" w:cs="宋?"/>
                <w:color w:val="000000"/>
                <w:sz w:val="24"/>
                <w:lang w:eastAsia="zh-CN"/>
              </w:rPr>
              <w:t>≥</w:t>
            </w:r>
            <w:r>
              <w:rPr>
                <w:rFonts w:hint="eastAsia" w:ascii="宋?" w:hAnsi="宋?" w:eastAsia="宋?" w:cs="宋?"/>
                <w:color w:val="000000"/>
                <w:sz w:val="24"/>
                <w:lang w:val="en-US" w:eastAsia="zh-CN"/>
              </w:rPr>
              <w:t>70%</w:t>
            </w:r>
          </w:p>
        </w:tc>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lang w:val="en-US" w:eastAsia="zh-CN"/>
              </w:rPr>
            </w:pPr>
            <w:r>
              <w:rPr>
                <w:rFonts w:hint="eastAsia" w:ascii="宋?" w:hAnsi="宋?" w:eastAsia="宋?" w:cs="宋?"/>
                <w:color w:val="000000"/>
                <w:sz w:val="24"/>
                <w:lang w:eastAsia="zh-CN"/>
              </w:rPr>
              <w:t>≥</w:t>
            </w:r>
            <w:r>
              <w:rPr>
                <w:rFonts w:hint="eastAsia" w:ascii="宋?" w:hAnsi="宋?" w:eastAsia="宋?" w:cs="宋?"/>
                <w:color w:val="000000"/>
                <w:sz w:val="24"/>
                <w:lang w:val="en-US" w:eastAsia="zh-CN"/>
              </w:rPr>
              <w:t>85%</w:t>
            </w:r>
          </w:p>
        </w:tc>
      </w:tr>
    </w:tbl>
    <w:p>
      <w:pPr>
        <w:pageBreakBefore w:val="0"/>
        <w:widowControl/>
        <w:kinsoku/>
        <w:wordWrap/>
        <w:overflowPunct/>
        <w:topLinePunct w:val="0"/>
        <w:bidi w:val="0"/>
        <w:spacing w:line="560" w:lineRule="exact"/>
        <w:jc w:val="center"/>
        <w:textAlignment w:val="center"/>
        <w:rPr>
          <w:rFonts w:hint="eastAsia" w:ascii="宋?" w:hAnsi="宋?" w:eastAsia="宋?" w:cs="宋?"/>
          <w:color w:val="000000"/>
          <w:sz w:val="24"/>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7"/>
          <w:rFonts w:ascii="黑体" w:hAnsi="黑体" w:eastAsia="黑体"/>
          <w:b w:val="0"/>
        </w:rPr>
      </w:pPr>
      <w:bookmarkStart w:id="97" w:name="_Toc15869"/>
      <w:bookmarkStart w:id="98" w:name="_Toc10955"/>
      <w:bookmarkStart w:id="99" w:name="_Toc15396613"/>
      <w:bookmarkStart w:id="100" w:name="_Toc15377225"/>
      <w:r>
        <w:rPr>
          <w:rFonts w:hint="eastAsia" w:ascii="黑体" w:hAnsi="黑体" w:eastAsia="黑体"/>
          <w:color w:val="000000"/>
          <w:sz w:val="44"/>
          <w:szCs w:val="44"/>
        </w:rPr>
        <w:t>名</w:t>
      </w:r>
      <w:r>
        <w:rPr>
          <w:rStyle w:val="27"/>
          <w:rFonts w:hint="eastAsia" w:ascii="黑体" w:hAnsi="黑体" w:eastAsia="黑体"/>
          <w:b w:val="0"/>
        </w:rPr>
        <w:t>词解释</w:t>
      </w:r>
      <w:bookmarkEnd w:id="97"/>
      <w:bookmarkEnd w:id="98"/>
      <w:bookmarkEnd w:id="99"/>
      <w:bookmarkEnd w:id="100"/>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lang w:val="en-US" w:eastAsia="zh-CN"/>
        </w:rPr>
        <w:t>.</w:t>
      </w:r>
      <w:r>
        <w:rPr>
          <w:rFonts w:hint="eastAsia" w:ascii="仿宋_GB2312" w:eastAsia="仿宋_GB2312"/>
          <w:sz w:val="32"/>
          <w:szCs w:val="32"/>
        </w:rPr>
        <w:t>年末结转和结余：指单位按有关规定结转到下年或以后年度继续使用的资金。</w:t>
      </w:r>
    </w:p>
    <w:p>
      <w:pPr>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hAnsi="Calibri" w:eastAsia="仿宋_GB2312" w:cs="仿宋"/>
          <w:color w:val="000000"/>
          <w:kern w:val="0"/>
          <w:sz w:val="32"/>
          <w:szCs w:val="32"/>
          <w:lang w:val="en-US" w:eastAsia="zh-CN" w:bidi="ar-SA"/>
        </w:rPr>
        <w:t>9.一般公共服务（2012801）：指行政单位（包括实行公务员管理的事业单位）的基本支出</w:t>
      </w:r>
      <w:r>
        <w:rPr>
          <w:rFonts w:hint="eastAsia" w:ascii="仿宋_GB2312" w:eastAsia="仿宋_GB2312"/>
          <w:sz w:val="32"/>
          <w:szCs w:val="32"/>
        </w:rPr>
        <w:t>。</w:t>
      </w:r>
    </w:p>
    <w:p>
      <w:pPr>
        <w:ind w:firstLine="640" w:firstLineChars="200"/>
        <w:rPr>
          <w:rFonts w:ascii="仿宋_GB2312" w:eastAsia="仿宋_GB2312"/>
          <w:color w:val="000000"/>
          <w:sz w:val="32"/>
          <w:szCs w:val="32"/>
        </w:rPr>
      </w:pPr>
    </w:p>
    <w:p>
      <w:pPr>
        <w:numPr>
          <w:ilvl w:val="0"/>
          <w:numId w:val="5"/>
        </w:num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药品事务（2013812）：</w:t>
      </w:r>
      <w:r>
        <w:rPr>
          <w:rFonts w:hint="eastAsia" w:ascii="仿宋_GB2312" w:eastAsia="仿宋_GB2312"/>
          <w:color w:val="000000"/>
          <w:sz w:val="32"/>
          <w:szCs w:val="32"/>
          <w:lang w:eastAsia="zh-CN"/>
        </w:rPr>
        <w:t>与药品事务相关的支出</w:t>
      </w:r>
      <w:r>
        <w:rPr>
          <w:rFonts w:hint="eastAsia" w:ascii="仿宋_GB2312" w:eastAsia="仿宋_GB2312"/>
          <w:color w:val="000000"/>
          <w:sz w:val="32"/>
          <w:szCs w:val="32"/>
          <w:lang w:val="en-US" w:eastAsia="zh-CN"/>
        </w:rPr>
        <w:t>.</w:t>
      </w:r>
    </w:p>
    <w:p>
      <w:pPr>
        <w:numPr>
          <w:ilvl w:val="0"/>
          <w:numId w:val="0"/>
        </w:numPr>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11.</w:t>
      </w:r>
      <w:r>
        <w:rPr>
          <w:rFonts w:hint="eastAsia" w:ascii="仿宋_GB2312" w:eastAsia="仿宋_GB2312"/>
          <w:color w:val="000000"/>
          <w:sz w:val="32"/>
          <w:szCs w:val="32"/>
        </w:rPr>
        <w:t xml:space="preserve"> 其他市场监督管理事务（</w:t>
      </w:r>
      <w:r>
        <w:rPr>
          <w:rFonts w:hint="eastAsia" w:ascii="仿宋_GB2312" w:eastAsia="仿宋_GB2312"/>
          <w:color w:val="000000"/>
          <w:sz w:val="32"/>
          <w:szCs w:val="32"/>
          <w:lang w:val="en-US" w:eastAsia="zh-CN"/>
        </w:rPr>
        <w:t>2013899</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其他市场监督管理事务的支出。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机关事业单位基本养老保险缴费支出（2080505）：</w:t>
      </w:r>
      <w:r>
        <w:rPr>
          <w:rFonts w:hint="eastAsia" w:ascii="仿宋_GB2312" w:eastAsia="仿宋_GB2312"/>
          <w:sz w:val="32"/>
          <w:szCs w:val="32"/>
        </w:rPr>
        <w:t>指政府在</w:t>
      </w:r>
      <w:r>
        <w:rPr>
          <w:rFonts w:hint="eastAsia" w:ascii="仿宋_GB2312" w:eastAsia="仿宋_GB2312"/>
          <w:color w:val="000000"/>
          <w:sz w:val="32"/>
          <w:szCs w:val="32"/>
        </w:rPr>
        <w:t>机关事业单位基本养老保险缴费</w:t>
      </w:r>
      <w:r>
        <w:rPr>
          <w:rFonts w:hint="eastAsia" w:ascii="仿宋_GB2312" w:eastAsia="仿宋_GB2312"/>
          <w:color w:val="000000"/>
          <w:sz w:val="32"/>
          <w:szCs w:val="32"/>
          <w:lang w:eastAsia="zh-CN"/>
        </w:rPr>
        <w:t>方面的</w:t>
      </w:r>
      <w:r>
        <w:rPr>
          <w:rFonts w:hint="eastAsia" w:ascii="仿宋_GB2312" w:eastAsia="仿宋_GB2312"/>
          <w:color w:val="000000"/>
          <w:sz w:val="32"/>
          <w:szCs w:val="32"/>
        </w:rPr>
        <w:t>支出。</w:t>
      </w:r>
    </w:p>
    <w:p>
      <w:pPr>
        <w:ind w:firstLine="640" w:firstLineChars="200"/>
        <w:rPr>
          <w:rFonts w:hint="eastAsia"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机关事业单位职业年金缴费支出（2080506）：</w:t>
      </w:r>
      <w:r>
        <w:rPr>
          <w:rFonts w:hint="eastAsia" w:ascii="仿宋_GB2312" w:eastAsia="仿宋_GB2312"/>
          <w:sz w:val="32"/>
          <w:szCs w:val="32"/>
        </w:rPr>
        <w:t>指政府在</w:t>
      </w:r>
      <w:r>
        <w:rPr>
          <w:rFonts w:hint="eastAsia" w:ascii="仿宋_GB2312" w:eastAsia="仿宋_GB2312"/>
          <w:color w:val="000000"/>
          <w:sz w:val="32"/>
          <w:szCs w:val="32"/>
        </w:rPr>
        <w:t>机关事业单位职业年金缴费</w:t>
      </w:r>
      <w:r>
        <w:rPr>
          <w:rFonts w:hint="eastAsia" w:ascii="仿宋_GB2312" w:eastAsia="仿宋_GB2312"/>
          <w:color w:val="000000"/>
          <w:sz w:val="32"/>
          <w:szCs w:val="32"/>
          <w:lang w:eastAsia="zh-CN"/>
        </w:rPr>
        <w:t>方面的</w:t>
      </w:r>
      <w:r>
        <w:rPr>
          <w:rFonts w:hint="eastAsia" w:ascii="仿宋_GB2312" w:eastAsia="仿宋_GB2312"/>
          <w:color w:val="000000"/>
          <w:sz w:val="32"/>
          <w:szCs w:val="32"/>
        </w:rPr>
        <w:t>支出</w:t>
      </w:r>
    </w:p>
    <w:p>
      <w:pPr>
        <w:pStyle w:val="2"/>
        <w:pageBreakBefore w:val="0"/>
        <w:kinsoku/>
        <w:wordWrap/>
        <w:overflowPunct/>
        <w:topLinePunct w:val="0"/>
        <w:bidi w:val="0"/>
        <w:spacing w:line="560" w:lineRule="exact"/>
        <w:ind w:left="0" w:leftChars="0" w:firstLine="640"/>
        <w:rPr>
          <w:rFonts w:eastAsia="仿宋_GB2312"/>
        </w:rPr>
      </w:pPr>
      <w:r>
        <w:rPr>
          <w:rFonts w:ascii="仿宋_GB2312" w:eastAsia="仿宋_GB2312"/>
          <w:color w:val="000000"/>
          <w:sz w:val="32"/>
          <w:szCs w:val="32"/>
        </w:rPr>
        <w:t>14.</w:t>
      </w:r>
      <w:r>
        <w:rPr>
          <w:rFonts w:hint="eastAsia" w:ascii="仿宋_GB2312" w:eastAsia="仿宋_GB2312"/>
          <w:color w:val="000000"/>
          <w:sz w:val="32"/>
          <w:szCs w:val="32"/>
        </w:rPr>
        <w:t xml:space="preserve"> 行政单位医疗（2101101）：</w:t>
      </w:r>
      <w:r>
        <w:rPr>
          <w:rFonts w:hint="eastAsia" w:ascii="仿宋_GB2312" w:eastAsia="仿宋_GB2312"/>
          <w:sz w:val="32"/>
          <w:szCs w:val="32"/>
        </w:rPr>
        <w:t>指行政事业单位医疗方面的支出。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 xml:space="preserve">  公务员医疗补助（2101103）：指公务员医疗补助</w:t>
      </w:r>
      <w:r>
        <w:rPr>
          <w:rFonts w:hint="eastAsia" w:ascii="仿宋_GB2312" w:eastAsia="仿宋_GB2312"/>
          <w:sz w:val="32"/>
          <w:szCs w:val="32"/>
        </w:rPr>
        <w:t>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 xml:space="preserve">  其他商业流通事务支出（2160299）：指其他商业流通事务</w:t>
      </w:r>
      <w:r>
        <w:rPr>
          <w:rFonts w:hint="eastAsia" w:ascii="仿宋_GB2312" w:eastAsia="仿宋_GB2312"/>
          <w:sz w:val="32"/>
          <w:szCs w:val="32"/>
        </w:rPr>
        <w:t>方面的支出</w:t>
      </w:r>
      <w:r>
        <w:rPr>
          <w:rFonts w:hint="eastAsia" w:ascii="仿宋_GB2312" w:eastAsia="仿宋_GB2312"/>
          <w:color w:val="000000"/>
          <w:sz w:val="32"/>
          <w:szCs w:val="32"/>
        </w:rPr>
        <w:t>。</w:t>
      </w:r>
    </w:p>
    <w:p>
      <w:pPr>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color w:val="000000"/>
          <w:sz w:val="32"/>
          <w:szCs w:val="32"/>
        </w:rPr>
        <w:t>17.</w:t>
      </w:r>
      <w:r>
        <w:rPr>
          <w:rFonts w:hint="eastAsia" w:ascii="仿宋_GB2312" w:eastAsia="仿宋_GB2312"/>
          <w:color w:val="000000"/>
          <w:sz w:val="32"/>
          <w:szCs w:val="32"/>
        </w:rPr>
        <w:t xml:space="preserve"> 住房公积金（2210201）：</w:t>
      </w:r>
      <w:r>
        <w:rPr>
          <w:rFonts w:hint="eastAsia" w:ascii="仿宋_GB2312" w:eastAsia="仿宋_GB2312"/>
          <w:sz w:val="32"/>
          <w:szCs w:val="32"/>
        </w:rPr>
        <w:t>指反映行政事业单位按人力资源和社会保障部、财政部规定的基本工资和津贴补贴以及规定比例为职工缴纳的住房公积金。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9"/>
        <w:rPr>
          <w:rFonts w:hint="eastAsia" w:ascii="黑体" w:hAnsi="黑体" w:eastAsia="黑体"/>
          <w:color w:val="000000"/>
          <w:sz w:val="44"/>
          <w:szCs w:val="44"/>
        </w:rPr>
      </w:pPr>
      <w:bookmarkStart w:id="101" w:name="_Toc15396614"/>
      <w:bookmarkStart w:id="102" w:name="_Toc15377226"/>
    </w:p>
    <w:p>
      <w:pPr>
        <w:spacing w:line="600" w:lineRule="exact"/>
        <w:jc w:val="center"/>
        <w:outlineLvl w:val="9"/>
        <w:rPr>
          <w:rFonts w:hint="eastAsia" w:ascii="黑体" w:hAnsi="黑体" w:eastAsia="黑体"/>
          <w:color w:val="000000"/>
          <w:sz w:val="44"/>
          <w:szCs w:val="44"/>
        </w:rPr>
      </w:pPr>
      <w:bookmarkStart w:id="103" w:name="_Toc19539"/>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p>
      <w:pPr>
        <w:spacing w:line="600" w:lineRule="exact"/>
        <w:jc w:val="center"/>
        <w:outlineLvl w:val="0"/>
        <w:rPr>
          <w:rStyle w:val="27"/>
          <w:rFonts w:ascii="黑体" w:hAnsi="黑体" w:eastAsia="黑体"/>
          <w:b w:val="0"/>
        </w:rPr>
      </w:pPr>
      <w:bookmarkStart w:id="104" w:name="_Toc21294"/>
      <w:r>
        <w:rPr>
          <w:rFonts w:hint="eastAsia" w:ascii="黑体" w:hAnsi="黑体" w:eastAsia="黑体"/>
          <w:color w:val="000000"/>
          <w:sz w:val="44"/>
          <w:szCs w:val="44"/>
        </w:rPr>
        <w:t>第</w:t>
      </w:r>
      <w:r>
        <w:rPr>
          <w:rStyle w:val="27"/>
          <w:rFonts w:hint="eastAsia" w:ascii="黑体" w:hAnsi="黑体" w:eastAsia="黑体"/>
          <w:b w:val="0"/>
        </w:rPr>
        <w:t>四部分 附件</w:t>
      </w:r>
      <w:bookmarkEnd w:id="101"/>
      <w:bookmarkEnd w:id="103"/>
      <w:bookmarkEnd w:id="104"/>
    </w:p>
    <w:p>
      <w:pPr>
        <w:spacing w:line="600" w:lineRule="exact"/>
        <w:jc w:val="both"/>
        <w:outlineLvl w:val="0"/>
        <w:rPr>
          <w:rFonts w:hint="eastAsia" w:ascii="黑体" w:hAnsi="黑体" w:eastAsia="黑体" w:cs="黑体"/>
          <w:sz w:val="32"/>
          <w:szCs w:val="32"/>
        </w:rPr>
      </w:pPr>
      <w:bookmarkStart w:id="105" w:name="_Toc14174"/>
      <w:bookmarkStart w:id="106" w:name="_Toc23202"/>
      <w:r>
        <w:rPr>
          <w:rFonts w:hint="eastAsia" w:ascii="黑体" w:hAnsi="黑体" w:eastAsia="黑体" w:cs="黑体"/>
          <w:sz w:val="32"/>
          <w:szCs w:val="32"/>
        </w:rPr>
        <w:t>附件1</w:t>
      </w:r>
      <w:bookmarkEnd w:id="105"/>
      <w:bookmarkEnd w:id="106"/>
    </w:p>
    <w:p>
      <w:pPr>
        <w:pStyle w:val="2"/>
      </w:pPr>
    </w:p>
    <w:p>
      <w:pPr>
        <w:spacing w:line="600" w:lineRule="exact"/>
        <w:jc w:val="center"/>
        <w:rPr>
          <w:rFonts w:hint="eastAsia" w:ascii="方正小标宋简体" w:hAnsi="宋体" w:eastAsia="方正小标宋简体" w:cs="Times New Roman"/>
          <w:color w:val="000000"/>
          <w:kern w:val="0"/>
          <w:sz w:val="40"/>
          <w:szCs w:val="44"/>
          <w:lang w:val="en-US" w:eastAsia="zh-CN"/>
        </w:rPr>
      </w:pPr>
      <w:r>
        <w:rPr>
          <w:rFonts w:hint="eastAsia" w:ascii="方正小标宋简体" w:hAnsi="宋体" w:eastAsia="方正小标宋简体" w:cs="Times New Roman"/>
          <w:color w:val="000000"/>
          <w:kern w:val="0"/>
          <w:sz w:val="40"/>
          <w:szCs w:val="44"/>
          <w:lang w:val="en-US" w:eastAsia="zh-CN"/>
        </w:rPr>
        <w:t>红原县工商质量技术食品药品监督管理局整体支出绩效报告</w:t>
      </w:r>
    </w:p>
    <w:p>
      <w:pPr>
        <w:pStyle w:val="2"/>
        <w:rPr>
          <w:rFonts w:hint="eastAsia" w:ascii="方正小标宋简体" w:hAnsi="宋体" w:eastAsia="方正小标宋简体" w:cs="Times New Roman"/>
          <w:color w:val="000000"/>
          <w:kern w:val="0"/>
          <w:sz w:val="40"/>
          <w:szCs w:val="44"/>
          <w:lang w:val="en-US" w:eastAsia="zh-CN"/>
        </w:rPr>
      </w:pP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numPr>
          <w:ilvl w:val="0"/>
          <w:numId w:val="6"/>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机构组成。</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 xml:space="preserve"> 我单位独立编制单位机构</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个，独立核算机构1个。</w:t>
      </w:r>
    </w:p>
    <w:p>
      <w:pPr>
        <w:widowControl/>
        <w:adjustRightInd w:val="0"/>
        <w:snapToGrid w:val="0"/>
        <w:spacing w:line="480" w:lineRule="exact"/>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 xml:space="preserve">   （二）机构职能。</w:t>
      </w:r>
    </w:p>
    <w:p>
      <w:pPr>
        <w:keepNext w:val="0"/>
        <w:keepLines w:val="0"/>
        <w:pageBreakBefore w:val="0"/>
        <w:widowControl/>
        <w:numPr>
          <w:ilvl w:val="0"/>
          <w:numId w:val="0"/>
        </w:numPr>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贯彻执行国家和上级有关工商行政管理、质量技术监督、食品（含食品添加剂、保健食品，下同）安全、药品（含中药、民族药，下同）、医疗器械、化妆品监督管理的法律、法规、规章和方针、政策、规划。</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推动建立落实食品药品安全企业责任主体、各级政府负总责的机制，着力防范区域性、系统性食品药品安全风险。推进市场监管领域社会共治机制，建立健全市场主体社会信用体系，完善质量检验检测技术支撑保障体系。</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3、负责辖区工商企业、农民专业合作社和从事经营活动的单位、个人以及上级授权办理的其他市场主体的登记注册工作，确认市场经营主体资格，核发营业执照，并对其登记注册事项及经营活动进行监督管理；依法依责查处取缔无照经营行为。负责辖区食品生产（除高风险、食品添加剂以外）、流通和餐饮服务环节的行政许可，负责药品零售企业、医疗器械经营企业的行政许可。办理机关、社团、企事业单位组织机构代码登记；负责计量器具制造、修理主体许可。</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4、负责辖区市场经济秩序监督管理。依法监督管理各类消费品市场、生产资料市场，参与监督管理生产要素市场；负责监督管理网络商品交易及有关服务的行为；监督管理经纪人、经纪机构、经纪活动以及有关中介服务机构；根据授权，负责垄断协议、滥用市场支配地位、滥用行政权力排除限制竞争方面的反垄断执法工作（价格垄断行为除外）；依法查处不正当竞争、商业贿赂以及走私贩私等经济违法行为。承担查处违法直销和传销案件的职责，依法监督管理直销企业和直销员及其直销活动。</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5、负责辖区商标和广告监督管理工作。依法查处商标侵权行为，保护注册商标专用权，监督管理商标的使用和印制；监管和指导商标代理机构；负责特殊标志、官方标志的管理和保护；依法对企业名称，知名商品特有的名称、包装、装潢，商业秘密，商标等实施监督管理和综合保护。指导广告业发展；监测辖区各类媒介广告发布情况；实施广告经营和发布行为的行政许可；依法开展广告监督管理工作。</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6、负责辖区合同监督管理工作。组织实施合同行政监督管理，推广合同示范文本；监督管理消费类合同格式条款；开展合同争议行政调解；依法查处利用合同进行违法活动的行为；实施动产抵押登记、监督管理拍卖行为。</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7、负责辖区保护消费者合法权益工作，开展产（商）品质量监督。接受消费者咨询、申诉、举报，建立并完善消费维权体系，保护经营者、消费者合法权益；组织查处侵犯消费者权益案件。依法查处生产、流通领域制售假冒伪劣产（商）品的违法行为；组织实施有关问题产品的召回和处置；负责产品质量安全管理工作。</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8、负责管理和指导辖区质量工作。结合国务院《质量发展纲要》制定并实施本地区提高质量发展水平的规划、政策和措施。组织推进名牌发展战略；对产品质量实施监督检查。管理产品质量仲裁的检验、鉴定，配合产品质量重大事故的调查分析，并提出整改处理意见。依法管理工业产品生产许可证工作。</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9、负责辖区计量监督管理工作。推行国家法定计量单位和计量制度，组织建立和管理社会公用计量标准，负责计量器具生产、使用的监督管理，规范监督商品计量和市场计量行为，开展能源计量和能源标识监督检查。负责认证认可的监督管理。实施工程设备监理活动的监督管理。依法对向社会出具公证数据的各类检验检测机构、实验室等进行监督管理。依法对实施强制性认证产品的监督管理。</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10、负责辖区标准化管理工作。组织推进标准化发展战略；开展企业产品标准备案管理工作；推动采用国际标准和国外先进标准；按要求推进开展各级各类标准化项目。组织推动和监管国家标准、行业标准和地方标准的贯彻实施；开展地理标志产品保护工作。</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11、负责辖区特种设备安全监察工作。负责特种设备作业人员监督管理；负责对特种设备生产、经营、使用单位和检验、检测机构实施监督检查；负责特种设备事故的上报和调查处理；负责特种设备登记、统计工作；负责特种设备节能监管；开展特种设备安全专项检查。</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12、负责辖区食品生产（除高风险、食品添加剂以外）、流通和餐饮服务环节的监督管理。根据州政府和上级部门食品安全监管年度计划，制定本辖区监管年度计划，组织开展辖区食品安全专项整治和综合治理。负责辖区重大活动的食品安全保障。</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13、负责辖区药品、医疗器械和化妆品的监督管理。组织实施药品、医疗器械生产、经营、使用质量管理规范，负责对辖区麻醉药品、精神药品、毒性药品、放射性药品生产、经营、使用的监管。</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14、负责辖区食品、药品、医疗器械和化妆品质量状况的抽样检验和监督性检验工作，组织开展辖区药品不良反应、医疗器械不良事件的监测和处置工作。负责实施辖区食品、药品、医疗器械和化妆品监督管理的稽查制度，实施问题产品召回和处置制度，完善行政执法与刑事司法衔接机制。</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15、承担红原县食品安全委员会办公室日常工作。负责食品安全监督管理综合协调，推动健全协调联动机制；承担食品安全监督考评和协调指导职责，协调本辖区重大食品安全事故处置工作，督促检查县食品安全委员会决策部署的贯彻执行。</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16、负责辖区相关市场监管领域安全事故应急体系建设，组织重大突发事件应对处置和调查处理工作，监督事故查处落实情况。</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17、承担红原县保护消费者权益委员会秘书日常工作，组织指导个体私营经济协会的相关工作。</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18、承办红原县委、县政府和上级业务部门交办的其他事项。</w:t>
      </w:r>
    </w:p>
    <w:p>
      <w:pPr>
        <w:widowControl/>
        <w:adjustRightInd w:val="0"/>
        <w:snapToGrid w:val="0"/>
        <w:spacing w:line="480" w:lineRule="exact"/>
        <w:jc w:val="left"/>
        <w:rPr>
          <w:rFonts w:ascii="仿宋_GB2312" w:hAnsi="宋体" w:cs="宋体"/>
          <w:color w:val="000000"/>
          <w:kern w:val="0"/>
          <w:lang w:val="zh-CN"/>
        </w:rPr>
      </w:pPr>
      <w:r>
        <w:rPr>
          <w:rFonts w:hint="eastAsia" w:ascii="仿宋_GB2312" w:hAnsi="宋体" w:cs="宋体"/>
          <w:color w:val="000000"/>
          <w:kern w:val="0"/>
          <w:lang w:val="zh-CN"/>
        </w:rPr>
        <w:t xml:space="preserve">  </w:t>
      </w:r>
      <w:r>
        <w:rPr>
          <w:rFonts w:hint="eastAsia" w:ascii="仿宋_GB2312" w:hAnsi="宋体" w:eastAsia="仿宋_GB2312" w:cs="宋体"/>
          <w:color w:val="000000"/>
          <w:kern w:val="0"/>
          <w:sz w:val="32"/>
          <w:szCs w:val="32"/>
          <w:shd w:val="clear" w:color="auto" w:fill="FFFFFF"/>
          <w:lang w:val="zh-CN"/>
        </w:rPr>
        <w:t xml:space="preserve"> （三）人员概况。</w:t>
      </w:r>
    </w:p>
    <w:p>
      <w:pPr>
        <w:jc w:val="left"/>
        <w:rPr>
          <w:rFonts w:hint="eastAsia" w:ascii="宋体" w:hAnsi="宋体" w:eastAsia="宋体" w:cs="宋体"/>
          <w:bCs/>
          <w:color w:val="000000" w:themeColor="text1"/>
          <w:sz w:val="28"/>
          <w:szCs w:val="28"/>
          <w14:textFill>
            <w14:solidFill>
              <w14:schemeClr w14:val="tx1"/>
            </w14:solidFill>
          </w14:textFill>
        </w:rPr>
      </w:pPr>
      <w:r>
        <w:rPr>
          <w:rFonts w:hint="eastAsia" w:ascii="宋体" w:hAnsi="宋体" w:eastAsia="宋体" w:cs="宋体"/>
          <w:bCs/>
          <w:color w:val="000000" w:themeColor="text1"/>
          <w:sz w:val="28"/>
          <w:szCs w:val="28"/>
          <w14:textFill>
            <w14:solidFill>
              <w14:schemeClr w14:val="tx1"/>
            </w14:solidFill>
          </w14:textFill>
        </w:rPr>
        <w:t xml:space="preserve">  </w:t>
      </w:r>
      <w:r>
        <w:rPr>
          <w:rFonts w:hint="eastAsia" w:ascii="仿宋_GB2312" w:hAnsi="宋体" w:eastAsia="仿宋_GB2312" w:cs="宋体"/>
          <w:color w:val="000000"/>
          <w:kern w:val="0"/>
          <w:sz w:val="32"/>
          <w:szCs w:val="32"/>
          <w:shd w:val="clear" w:color="auto" w:fill="FFFFFF"/>
          <w:lang w:val="zh-CN"/>
        </w:rPr>
        <w:t xml:space="preserve">  </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eastAsia="zh-CN"/>
        </w:rPr>
        <w:t>红原县市场监督管理局</w:t>
      </w:r>
      <w:r>
        <w:rPr>
          <w:rFonts w:hint="eastAsia" w:ascii="仿宋_GB2312" w:hAnsi="宋体" w:eastAsia="仿宋_GB2312" w:cs="宋体"/>
          <w:color w:val="000000"/>
          <w:kern w:val="0"/>
          <w:sz w:val="32"/>
          <w:szCs w:val="32"/>
          <w:shd w:val="clear" w:color="auto" w:fill="FFFFFF"/>
          <w:lang w:val="zh-CN"/>
        </w:rPr>
        <w:t>属于一级预算单位，其中内设机构</w:t>
      </w:r>
      <w:r>
        <w:rPr>
          <w:rFonts w:hint="eastAsia" w:ascii="仿宋_GB2312" w:hAnsi="宋体" w:eastAsia="仿宋_GB2312" w:cs="宋体"/>
          <w:color w:val="000000"/>
          <w:kern w:val="0"/>
          <w:sz w:val="32"/>
          <w:szCs w:val="32"/>
          <w:shd w:val="clear" w:color="auto" w:fill="FFFFFF"/>
          <w:lang w:val="en-US" w:eastAsia="zh-CN"/>
        </w:rPr>
        <w:t>5</w:t>
      </w:r>
      <w:r>
        <w:rPr>
          <w:rFonts w:hint="eastAsia" w:ascii="仿宋_GB2312" w:hAnsi="宋体" w:eastAsia="仿宋_GB2312" w:cs="宋体"/>
          <w:color w:val="000000"/>
          <w:kern w:val="0"/>
          <w:sz w:val="32"/>
          <w:szCs w:val="32"/>
          <w:shd w:val="clear" w:color="auto" w:fill="FFFFFF"/>
          <w:lang w:val="zh-CN"/>
        </w:rPr>
        <w:t>个</w:t>
      </w:r>
      <w:r>
        <w:rPr>
          <w:rFonts w:hint="eastAsia" w:ascii="仿宋_GB2312" w:hAnsi="宋体" w:eastAsia="仿宋_GB2312" w:cs="宋体"/>
          <w:color w:val="000000"/>
          <w:kern w:val="0"/>
          <w:sz w:val="32"/>
          <w:szCs w:val="32"/>
          <w:shd w:val="clear" w:color="auto" w:fill="FFFFFF"/>
          <w:lang w:val="zh-CN" w:eastAsia="zh-CN"/>
        </w:rPr>
        <w:t>，</w:t>
      </w:r>
      <w:r>
        <w:rPr>
          <w:rFonts w:hint="eastAsia" w:ascii="仿宋_GB2312" w:hAnsi="宋体" w:eastAsia="仿宋_GB2312" w:cs="宋体"/>
          <w:color w:val="000000"/>
          <w:kern w:val="0"/>
          <w:sz w:val="32"/>
          <w:szCs w:val="32"/>
          <w:shd w:val="clear" w:color="auto" w:fill="FFFFFF"/>
          <w:lang w:val="zh-CN"/>
        </w:rPr>
        <w:t>下属二级单位</w:t>
      </w:r>
      <w:r>
        <w:rPr>
          <w:rFonts w:hint="eastAsia" w:ascii="仿宋_GB2312" w:hAnsi="宋体" w:eastAsia="仿宋_GB2312" w:cs="宋体"/>
          <w:color w:val="000000"/>
          <w:kern w:val="0"/>
          <w:sz w:val="32"/>
          <w:szCs w:val="32"/>
          <w:shd w:val="clear" w:color="auto" w:fill="FFFFFF"/>
          <w:lang w:val="en-US" w:eastAsia="zh-CN"/>
        </w:rPr>
        <w:t>0</w:t>
      </w:r>
      <w:r>
        <w:rPr>
          <w:rFonts w:hint="eastAsia" w:ascii="仿宋_GB2312" w:hAnsi="宋体" w:eastAsia="仿宋_GB2312" w:cs="宋体"/>
          <w:color w:val="000000"/>
          <w:kern w:val="0"/>
          <w:sz w:val="32"/>
          <w:szCs w:val="32"/>
          <w:shd w:val="clear" w:color="auto" w:fill="FFFFFF"/>
          <w:lang w:val="zh-CN"/>
        </w:rPr>
        <w:t>个，其中行政单位</w:t>
      </w:r>
      <w:r>
        <w:rPr>
          <w:rFonts w:hint="eastAsia" w:ascii="仿宋_GB2312" w:hAnsi="宋体" w:eastAsia="仿宋_GB2312" w:cs="宋体"/>
          <w:color w:val="000000"/>
          <w:kern w:val="0"/>
          <w:sz w:val="32"/>
          <w:szCs w:val="32"/>
          <w:shd w:val="clear" w:color="auto" w:fill="FFFFFF"/>
          <w:lang w:val="en-US" w:eastAsia="zh-CN"/>
        </w:rPr>
        <w:t>0</w:t>
      </w:r>
      <w:r>
        <w:rPr>
          <w:rFonts w:hint="eastAsia" w:ascii="仿宋_GB2312" w:hAnsi="宋体" w:eastAsia="仿宋_GB2312" w:cs="宋体"/>
          <w:color w:val="000000"/>
          <w:kern w:val="0"/>
          <w:sz w:val="32"/>
          <w:szCs w:val="32"/>
          <w:shd w:val="clear" w:color="auto" w:fill="FFFFFF"/>
          <w:lang w:val="zh-CN"/>
        </w:rPr>
        <w:t>个，参照公务员法管理的事业单位</w:t>
      </w:r>
      <w:r>
        <w:rPr>
          <w:rFonts w:hint="eastAsia" w:ascii="仿宋_GB2312" w:hAnsi="宋体" w:eastAsia="仿宋_GB2312" w:cs="宋体"/>
          <w:color w:val="000000"/>
          <w:kern w:val="0"/>
          <w:sz w:val="32"/>
          <w:szCs w:val="32"/>
          <w:shd w:val="clear" w:color="auto" w:fill="FFFFFF"/>
          <w:lang w:val="en-US" w:eastAsia="zh-CN"/>
        </w:rPr>
        <w:t>0</w:t>
      </w:r>
      <w:r>
        <w:rPr>
          <w:rFonts w:hint="eastAsia" w:ascii="仿宋_GB2312" w:hAnsi="宋体" w:eastAsia="仿宋_GB2312" w:cs="宋体"/>
          <w:color w:val="000000"/>
          <w:kern w:val="0"/>
          <w:sz w:val="32"/>
          <w:szCs w:val="32"/>
          <w:shd w:val="clear" w:color="auto" w:fill="FFFFFF"/>
          <w:lang w:val="zh-CN"/>
        </w:rPr>
        <w:t>个，其他事业单位</w:t>
      </w:r>
      <w:r>
        <w:rPr>
          <w:rFonts w:hint="eastAsia" w:ascii="仿宋_GB2312" w:hAnsi="宋体" w:eastAsia="仿宋_GB2312" w:cs="宋体"/>
          <w:color w:val="000000"/>
          <w:kern w:val="0"/>
          <w:sz w:val="32"/>
          <w:szCs w:val="32"/>
          <w:shd w:val="clear" w:color="auto" w:fill="FFFFFF"/>
          <w:lang w:val="en-US" w:eastAsia="zh-CN"/>
        </w:rPr>
        <w:t>0</w:t>
      </w:r>
      <w:r>
        <w:rPr>
          <w:rFonts w:hint="eastAsia" w:ascii="仿宋_GB2312" w:hAnsi="宋体" w:eastAsia="仿宋_GB2312" w:cs="宋体"/>
          <w:color w:val="000000"/>
          <w:kern w:val="0"/>
          <w:sz w:val="32"/>
          <w:szCs w:val="32"/>
          <w:shd w:val="clear" w:color="auto" w:fill="FFFFFF"/>
          <w:lang w:val="zh-CN"/>
        </w:rPr>
        <w:t>个。</w:t>
      </w:r>
    </w:p>
    <w:p>
      <w:pPr>
        <w:spacing w:line="560" w:lineRule="exact"/>
        <w:jc w:val="left"/>
        <w:rPr>
          <w:rFonts w:ascii="宋体" w:hAnsi="宋体" w:cs="宋体"/>
          <w:bCs/>
          <w:sz w:val="28"/>
          <w:szCs w:val="28"/>
        </w:rPr>
      </w:pP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lang w:val="en-US"/>
        </w:rPr>
      </w:pPr>
      <w:r>
        <w:rPr>
          <w:rFonts w:hint="eastAsia" w:ascii="黑体" w:hAnsi="宋体" w:eastAsia="黑体" w:cs="宋体"/>
          <w:color w:val="000000"/>
          <w:kern w:val="0"/>
          <w:sz w:val="32"/>
          <w:szCs w:val="32"/>
          <w:shd w:val="clear" w:color="auto" w:fill="FFFFFF"/>
          <w:lang w:val="en-US" w:eastAsia="zh-CN"/>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宋体" w:hAnsi="宋体" w:eastAsia="宋体" w:cs="宋体"/>
          <w:color w:val="000000"/>
          <w:sz w:val="28"/>
          <w:szCs w:val="28"/>
          <w:lang w:val="zh-CN" w:eastAsia="zh-CN"/>
        </w:rPr>
      </w:pPr>
      <w:r>
        <w:rPr>
          <w:rFonts w:hint="eastAsia" w:ascii="宋体" w:hAnsi="宋体" w:eastAsia="宋体" w:cs="宋体"/>
          <w:color w:val="000000"/>
          <w:sz w:val="28"/>
          <w:szCs w:val="28"/>
          <w:lang w:val="zh-CN" w:eastAsia="zh-CN"/>
        </w:rPr>
        <w:t>（一）部门财政资金收入情况。</w:t>
      </w:r>
    </w:p>
    <w:p>
      <w:pPr>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rPr>
        <w:t>201</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年收入</w:t>
      </w:r>
      <w:r>
        <w:rPr>
          <w:rFonts w:hint="eastAsia" w:ascii="仿宋_GB2312" w:hAnsi="宋体" w:eastAsia="仿宋_GB2312" w:cs="宋体"/>
          <w:color w:val="000000"/>
          <w:kern w:val="0"/>
          <w:sz w:val="32"/>
          <w:szCs w:val="32"/>
          <w:shd w:val="clear" w:color="auto" w:fill="FFFFFF"/>
          <w:lang w:val="en-US" w:eastAsia="zh-CN"/>
        </w:rPr>
        <w:t>896.07</w:t>
      </w:r>
      <w:r>
        <w:rPr>
          <w:rFonts w:hint="eastAsia" w:ascii="仿宋_GB2312" w:hAnsi="宋体" w:eastAsia="仿宋_GB2312" w:cs="宋体"/>
          <w:color w:val="000000"/>
          <w:kern w:val="0"/>
          <w:sz w:val="32"/>
          <w:szCs w:val="32"/>
          <w:shd w:val="clear" w:color="auto" w:fill="FFFFFF"/>
          <w:lang w:val="zh-CN"/>
        </w:rPr>
        <w:t>万元，其中：一般公共预算财政拨款收入</w:t>
      </w:r>
      <w:r>
        <w:rPr>
          <w:rFonts w:hint="eastAsia" w:ascii="仿宋_GB2312" w:hAnsi="宋体" w:eastAsia="仿宋_GB2312" w:cs="宋体"/>
          <w:color w:val="000000"/>
          <w:kern w:val="0"/>
          <w:sz w:val="32"/>
          <w:szCs w:val="32"/>
          <w:shd w:val="clear" w:color="auto" w:fill="FFFFFF"/>
          <w:lang w:val="en-US" w:eastAsia="zh-CN"/>
        </w:rPr>
        <w:t>896.07</w:t>
      </w:r>
      <w:r>
        <w:rPr>
          <w:rFonts w:hint="eastAsia" w:ascii="仿宋_GB2312" w:hAnsi="宋体" w:eastAsia="仿宋_GB2312" w:cs="宋体"/>
          <w:color w:val="000000"/>
          <w:kern w:val="0"/>
          <w:sz w:val="32"/>
          <w:szCs w:val="32"/>
          <w:shd w:val="clear" w:color="auto" w:fill="FFFFFF"/>
          <w:lang w:val="zh-CN"/>
        </w:rPr>
        <w:t>万元。</w:t>
      </w:r>
    </w:p>
    <w:p>
      <w:pPr>
        <w:keepNext w:val="0"/>
        <w:keepLines w:val="0"/>
        <w:widowControl/>
        <w:numPr>
          <w:ilvl w:val="0"/>
          <w:numId w:val="7"/>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宋体" w:hAnsi="宋体" w:eastAsia="宋体" w:cs="宋体"/>
          <w:color w:val="000000"/>
          <w:sz w:val="28"/>
          <w:szCs w:val="28"/>
          <w:lang w:val="zh-CN" w:eastAsia="zh-CN"/>
        </w:rPr>
        <w:t>部门财政资金支出情况。</w:t>
      </w:r>
      <w:r>
        <w:rPr>
          <w:rFonts w:hint="eastAsia" w:ascii="仿宋_GB2312" w:hAnsi="宋体" w:eastAsia="仿宋_GB2312" w:cs="宋体"/>
          <w:color w:val="000000"/>
          <w:kern w:val="0"/>
          <w:sz w:val="32"/>
          <w:szCs w:val="24"/>
          <w:lang w:val="en-US" w:eastAsia="zh-CN" w:bidi="ar"/>
        </w:rPr>
        <w:t xml:space="preserve"> </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年一般公共预算财政拨款支出</w:t>
      </w:r>
      <w:r>
        <w:rPr>
          <w:rFonts w:hint="eastAsia" w:ascii="仿宋_GB2312" w:hAnsi="宋体" w:eastAsia="仿宋_GB2312" w:cs="宋体"/>
          <w:color w:val="000000"/>
          <w:kern w:val="0"/>
          <w:sz w:val="32"/>
          <w:szCs w:val="32"/>
          <w:shd w:val="clear" w:color="auto" w:fill="FFFFFF"/>
          <w:lang w:val="en-US" w:eastAsia="zh-CN"/>
        </w:rPr>
        <w:t>1453.96</w:t>
      </w:r>
      <w:r>
        <w:rPr>
          <w:rFonts w:hint="eastAsia" w:ascii="仿宋_GB2312" w:hAnsi="宋体" w:eastAsia="仿宋_GB2312" w:cs="宋体"/>
          <w:color w:val="000000"/>
          <w:kern w:val="0"/>
          <w:sz w:val="32"/>
          <w:szCs w:val="32"/>
          <w:shd w:val="clear" w:color="auto" w:fill="FFFFFF"/>
          <w:lang w:val="zh-CN"/>
        </w:rPr>
        <w:t>万元。主要用于以下方面: 其中基本工资</w:t>
      </w:r>
      <w:r>
        <w:rPr>
          <w:rFonts w:hint="eastAsia" w:ascii="仿宋_GB2312" w:hAnsi="宋体" w:eastAsia="仿宋_GB2312" w:cs="宋体"/>
          <w:color w:val="000000"/>
          <w:kern w:val="0"/>
          <w:sz w:val="32"/>
          <w:szCs w:val="32"/>
          <w:shd w:val="clear" w:color="auto" w:fill="FFFFFF"/>
          <w:lang w:val="en-US" w:eastAsia="zh-CN"/>
        </w:rPr>
        <w:t>144.48</w:t>
      </w:r>
      <w:r>
        <w:rPr>
          <w:rFonts w:hint="eastAsia" w:ascii="仿宋_GB2312" w:hAnsi="宋体" w:eastAsia="仿宋_GB2312" w:cs="宋体"/>
          <w:color w:val="000000"/>
          <w:kern w:val="0"/>
          <w:sz w:val="32"/>
          <w:szCs w:val="32"/>
          <w:shd w:val="clear" w:color="auto" w:fill="FFFFFF"/>
          <w:lang w:val="zh-CN"/>
        </w:rPr>
        <w:t>万元，津补贴</w:t>
      </w:r>
      <w:r>
        <w:rPr>
          <w:rFonts w:hint="eastAsia" w:ascii="仿宋_GB2312" w:hAnsi="宋体" w:eastAsia="仿宋_GB2312" w:cs="宋体"/>
          <w:color w:val="000000"/>
          <w:kern w:val="0"/>
          <w:sz w:val="32"/>
          <w:szCs w:val="32"/>
          <w:shd w:val="clear" w:color="auto" w:fill="FFFFFF"/>
          <w:lang w:val="en-US" w:eastAsia="zh-CN"/>
        </w:rPr>
        <w:t>244.86</w:t>
      </w:r>
      <w:r>
        <w:rPr>
          <w:rFonts w:hint="eastAsia" w:ascii="仿宋_GB2312" w:hAnsi="宋体" w:eastAsia="仿宋_GB2312" w:cs="宋体"/>
          <w:color w:val="000000"/>
          <w:kern w:val="0"/>
          <w:sz w:val="32"/>
          <w:szCs w:val="32"/>
          <w:shd w:val="clear" w:color="auto" w:fill="FFFFFF"/>
          <w:lang w:val="zh-CN"/>
        </w:rPr>
        <w:t>万元，奖金</w:t>
      </w:r>
      <w:r>
        <w:rPr>
          <w:rFonts w:hint="eastAsia" w:ascii="仿宋_GB2312" w:hAnsi="宋体" w:eastAsia="仿宋_GB2312" w:cs="宋体"/>
          <w:color w:val="000000"/>
          <w:kern w:val="0"/>
          <w:sz w:val="32"/>
          <w:szCs w:val="32"/>
          <w:shd w:val="clear" w:color="auto" w:fill="FFFFFF"/>
          <w:lang w:val="en-US" w:eastAsia="zh-CN"/>
        </w:rPr>
        <w:t>114.1</w:t>
      </w:r>
      <w:r>
        <w:rPr>
          <w:rFonts w:hint="eastAsia" w:ascii="仿宋_GB2312" w:hAnsi="宋体" w:eastAsia="仿宋_GB2312" w:cs="宋体"/>
          <w:color w:val="000000"/>
          <w:kern w:val="0"/>
          <w:sz w:val="32"/>
          <w:szCs w:val="32"/>
          <w:shd w:val="clear" w:color="auto" w:fill="FFFFFF"/>
          <w:lang w:val="zh-CN"/>
        </w:rPr>
        <w:t>万元，机关事业单位基本养老保险缴费</w:t>
      </w:r>
      <w:r>
        <w:rPr>
          <w:rFonts w:hint="eastAsia" w:ascii="仿宋_GB2312" w:hAnsi="宋体" w:eastAsia="仿宋_GB2312" w:cs="宋体"/>
          <w:color w:val="000000"/>
          <w:kern w:val="0"/>
          <w:sz w:val="32"/>
          <w:szCs w:val="32"/>
          <w:shd w:val="clear" w:color="auto" w:fill="FFFFFF"/>
          <w:lang w:val="en-US" w:eastAsia="zh-CN"/>
        </w:rPr>
        <w:t>67.9</w:t>
      </w:r>
      <w:r>
        <w:rPr>
          <w:rFonts w:hint="eastAsia" w:ascii="仿宋_GB2312" w:hAnsi="宋体" w:eastAsia="仿宋_GB2312" w:cs="宋体"/>
          <w:color w:val="000000"/>
          <w:kern w:val="0"/>
          <w:sz w:val="32"/>
          <w:szCs w:val="32"/>
          <w:shd w:val="clear" w:color="auto" w:fill="FFFFFF"/>
          <w:lang w:val="zh-CN"/>
        </w:rPr>
        <w:t>万元，职业年金缴费</w:t>
      </w:r>
      <w:r>
        <w:rPr>
          <w:rFonts w:hint="eastAsia" w:ascii="仿宋_GB2312" w:hAnsi="宋体" w:eastAsia="仿宋_GB2312" w:cs="宋体"/>
          <w:color w:val="000000"/>
          <w:kern w:val="0"/>
          <w:sz w:val="32"/>
          <w:szCs w:val="32"/>
          <w:shd w:val="clear" w:color="auto" w:fill="FFFFFF"/>
          <w:lang w:val="en-US" w:eastAsia="zh-CN"/>
        </w:rPr>
        <w:t>31.26</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zh-CN" w:eastAsia="zh-CN"/>
        </w:rPr>
        <w:t>职工基本医疗缴费</w:t>
      </w:r>
      <w:r>
        <w:rPr>
          <w:rFonts w:hint="eastAsia" w:ascii="仿宋_GB2312" w:hAnsi="宋体" w:eastAsia="仿宋_GB2312" w:cs="宋体"/>
          <w:color w:val="000000"/>
          <w:kern w:val="0"/>
          <w:sz w:val="32"/>
          <w:szCs w:val="32"/>
          <w:shd w:val="clear" w:color="auto" w:fill="FFFFFF"/>
          <w:lang w:val="en-US" w:eastAsia="zh-CN"/>
        </w:rPr>
        <w:t>32.41万元，公务员医疗补助缴费9.28万元，</w:t>
      </w:r>
      <w:r>
        <w:rPr>
          <w:rFonts w:hint="eastAsia" w:ascii="仿宋_GB2312" w:hAnsi="宋体" w:eastAsia="仿宋_GB2312" w:cs="宋体"/>
          <w:color w:val="000000"/>
          <w:kern w:val="0"/>
          <w:sz w:val="32"/>
          <w:szCs w:val="32"/>
          <w:shd w:val="clear" w:color="auto" w:fill="FFFFFF"/>
          <w:lang w:val="zh-CN"/>
        </w:rPr>
        <w:t>其他社会保障缴费</w:t>
      </w:r>
      <w:r>
        <w:rPr>
          <w:rFonts w:hint="eastAsia" w:ascii="仿宋_GB2312" w:hAnsi="宋体" w:eastAsia="仿宋_GB2312" w:cs="宋体"/>
          <w:color w:val="000000"/>
          <w:kern w:val="0"/>
          <w:sz w:val="32"/>
          <w:szCs w:val="32"/>
          <w:shd w:val="clear" w:color="auto" w:fill="FFFFFF"/>
          <w:lang w:val="en-US" w:eastAsia="zh-CN"/>
        </w:rPr>
        <w:t>8</w:t>
      </w:r>
      <w:r>
        <w:rPr>
          <w:rFonts w:hint="eastAsia" w:ascii="仿宋_GB2312" w:hAnsi="宋体" w:eastAsia="仿宋_GB2312" w:cs="宋体"/>
          <w:color w:val="000000"/>
          <w:kern w:val="0"/>
          <w:sz w:val="32"/>
          <w:szCs w:val="32"/>
          <w:shd w:val="clear" w:color="auto" w:fill="FFFFFF"/>
          <w:lang w:val="zh-CN"/>
        </w:rPr>
        <w:t>万元，住房公积金</w:t>
      </w:r>
      <w:r>
        <w:rPr>
          <w:rFonts w:hint="eastAsia" w:ascii="仿宋_GB2312" w:hAnsi="宋体" w:eastAsia="仿宋_GB2312" w:cs="宋体"/>
          <w:color w:val="000000"/>
          <w:kern w:val="0"/>
          <w:sz w:val="32"/>
          <w:szCs w:val="32"/>
          <w:shd w:val="clear" w:color="auto" w:fill="FFFFFF"/>
          <w:lang w:val="en-US" w:eastAsia="zh-CN"/>
        </w:rPr>
        <w:t>55.84</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zh-CN" w:eastAsia="zh-CN"/>
        </w:rPr>
        <w:t>，医疗费</w:t>
      </w:r>
      <w:r>
        <w:rPr>
          <w:rFonts w:hint="eastAsia" w:ascii="仿宋_GB2312" w:hAnsi="宋体" w:eastAsia="仿宋_GB2312" w:cs="宋体"/>
          <w:color w:val="000000"/>
          <w:kern w:val="0"/>
          <w:sz w:val="32"/>
          <w:szCs w:val="32"/>
          <w:shd w:val="clear" w:color="auto" w:fill="FFFFFF"/>
          <w:lang w:val="en-US" w:eastAsia="zh-CN"/>
        </w:rPr>
        <w:t>2.88</w:t>
      </w:r>
      <w:r>
        <w:rPr>
          <w:rFonts w:hint="eastAsia" w:ascii="仿宋_GB2312" w:hAnsi="宋体" w:eastAsia="仿宋_GB2312" w:cs="宋体"/>
          <w:color w:val="000000"/>
          <w:kern w:val="0"/>
          <w:sz w:val="32"/>
          <w:szCs w:val="32"/>
          <w:shd w:val="clear" w:color="auto" w:fill="FFFFFF"/>
          <w:lang w:val="zh-CN"/>
        </w:rPr>
        <w:t>。办公费</w:t>
      </w:r>
      <w:r>
        <w:rPr>
          <w:rFonts w:hint="eastAsia" w:ascii="仿宋_GB2312" w:hAnsi="宋体" w:eastAsia="仿宋_GB2312" w:cs="宋体"/>
          <w:color w:val="000000"/>
          <w:kern w:val="0"/>
          <w:sz w:val="32"/>
          <w:szCs w:val="32"/>
          <w:shd w:val="clear" w:color="auto" w:fill="FFFFFF"/>
          <w:lang w:val="en-US" w:eastAsia="zh-CN"/>
        </w:rPr>
        <w:t>56.34</w:t>
      </w:r>
      <w:r>
        <w:rPr>
          <w:rFonts w:hint="eastAsia" w:ascii="仿宋_GB2312" w:hAnsi="宋体" w:eastAsia="仿宋_GB2312" w:cs="宋体"/>
          <w:color w:val="000000"/>
          <w:kern w:val="0"/>
          <w:sz w:val="32"/>
          <w:szCs w:val="32"/>
          <w:shd w:val="clear" w:color="auto" w:fill="FFFFFF"/>
          <w:lang w:val="zh-CN"/>
        </w:rPr>
        <w:t>万元，印刷费</w:t>
      </w: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en-US" w:eastAsia="zh-CN"/>
        </w:rPr>
        <w:t>水费0.6万元，</w:t>
      </w:r>
      <w:r>
        <w:rPr>
          <w:rFonts w:hint="eastAsia" w:ascii="仿宋_GB2312" w:hAnsi="宋体" w:eastAsia="仿宋_GB2312" w:cs="宋体"/>
          <w:color w:val="000000"/>
          <w:kern w:val="0"/>
          <w:sz w:val="32"/>
          <w:szCs w:val="32"/>
          <w:shd w:val="clear" w:color="auto" w:fill="FFFFFF"/>
          <w:lang w:val="zh-CN"/>
        </w:rPr>
        <w:t>电费</w:t>
      </w:r>
      <w:r>
        <w:rPr>
          <w:rFonts w:hint="eastAsia" w:ascii="仿宋_GB2312" w:hAnsi="宋体" w:eastAsia="仿宋_GB2312" w:cs="宋体"/>
          <w:color w:val="000000"/>
          <w:kern w:val="0"/>
          <w:sz w:val="32"/>
          <w:szCs w:val="32"/>
          <w:shd w:val="clear" w:color="auto" w:fill="FFFFFF"/>
          <w:lang w:val="en-US" w:eastAsia="zh-CN"/>
        </w:rPr>
        <w:t>1.81</w:t>
      </w:r>
      <w:r>
        <w:rPr>
          <w:rFonts w:hint="eastAsia" w:ascii="仿宋_GB2312" w:hAnsi="宋体" w:eastAsia="仿宋_GB2312" w:cs="宋体"/>
          <w:color w:val="000000"/>
          <w:kern w:val="0"/>
          <w:sz w:val="32"/>
          <w:szCs w:val="32"/>
          <w:shd w:val="clear" w:color="auto" w:fill="FFFFFF"/>
          <w:lang w:val="zh-CN"/>
        </w:rPr>
        <w:t>万元，邮电费</w:t>
      </w:r>
      <w:r>
        <w:rPr>
          <w:rFonts w:hint="eastAsia" w:ascii="仿宋_GB2312" w:hAnsi="宋体" w:eastAsia="仿宋_GB2312" w:cs="宋体"/>
          <w:color w:val="000000"/>
          <w:kern w:val="0"/>
          <w:sz w:val="32"/>
          <w:szCs w:val="32"/>
          <w:shd w:val="clear" w:color="auto" w:fill="FFFFFF"/>
          <w:lang w:val="en-US" w:eastAsia="zh-CN"/>
        </w:rPr>
        <w:t>3.6</w:t>
      </w:r>
      <w:r>
        <w:rPr>
          <w:rFonts w:hint="eastAsia" w:ascii="仿宋_GB2312" w:hAnsi="宋体" w:eastAsia="仿宋_GB2312" w:cs="宋体"/>
          <w:color w:val="000000"/>
          <w:kern w:val="0"/>
          <w:sz w:val="32"/>
          <w:szCs w:val="32"/>
          <w:shd w:val="clear" w:color="auto" w:fill="FFFFFF"/>
          <w:lang w:val="zh-CN"/>
        </w:rPr>
        <w:t>万元，取暖费</w:t>
      </w:r>
      <w:r>
        <w:rPr>
          <w:rFonts w:hint="eastAsia" w:ascii="仿宋_GB2312" w:hAnsi="宋体" w:eastAsia="仿宋_GB2312" w:cs="宋体"/>
          <w:color w:val="000000"/>
          <w:kern w:val="0"/>
          <w:sz w:val="32"/>
          <w:szCs w:val="32"/>
          <w:shd w:val="clear" w:color="auto" w:fill="FFFFFF"/>
          <w:lang w:val="en-US" w:eastAsia="zh-CN"/>
        </w:rPr>
        <w:t>1.98</w:t>
      </w:r>
      <w:r>
        <w:rPr>
          <w:rFonts w:hint="eastAsia" w:ascii="仿宋_GB2312" w:hAnsi="宋体" w:eastAsia="仿宋_GB2312" w:cs="宋体"/>
          <w:color w:val="000000"/>
          <w:kern w:val="0"/>
          <w:sz w:val="32"/>
          <w:szCs w:val="32"/>
          <w:shd w:val="clear" w:color="auto" w:fill="FFFFFF"/>
          <w:lang w:val="zh-CN"/>
        </w:rPr>
        <w:t>万元，差旅费</w:t>
      </w:r>
      <w:r>
        <w:rPr>
          <w:rFonts w:hint="eastAsia" w:ascii="仿宋_GB2312" w:hAnsi="宋体" w:eastAsia="仿宋_GB2312" w:cs="宋体"/>
          <w:color w:val="000000"/>
          <w:kern w:val="0"/>
          <w:sz w:val="32"/>
          <w:szCs w:val="32"/>
          <w:shd w:val="clear" w:color="auto" w:fill="FFFFFF"/>
          <w:lang w:val="en-US" w:eastAsia="zh-CN"/>
        </w:rPr>
        <w:t>10</w:t>
      </w:r>
      <w:r>
        <w:rPr>
          <w:rFonts w:hint="eastAsia" w:ascii="仿宋_GB2312" w:hAnsi="宋体" w:eastAsia="仿宋_GB2312" w:cs="宋体"/>
          <w:color w:val="000000"/>
          <w:kern w:val="0"/>
          <w:sz w:val="32"/>
          <w:szCs w:val="32"/>
          <w:shd w:val="clear" w:color="auto" w:fill="FFFFFF"/>
          <w:lang w:val="zh-CN"/>
        </w:rPr>
        <w:t>万元，维修（护）费</w:t>
      </w: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zh-CN" w:eastAsia="zh-CN"/>
        </w:rPr>
        <w:t>会议费</w:t>
      </w:r>
      <w:r>
        <w:rPr>
          <w:rFonts w:hint="eastAsia" w:ascii="仿宋_GB2312" w:hAnsi="宋体" w:eastAsia="仿宋_GB2312" w:cs="宋体"/>
          <w:color w:val="000000"/>
          <w:kern w:val="0"/>
          <w:sz w:val="32"/>
          <w:szCs w:val="32"/>
          <w:shd w:val="clear" w:color="auto" w:fill="FFFFFF"/>
          <w:lang w:val="en-US" w:eastAsia="zh-CN"/>
        </w:rPr>
        <w:t>0.5万元，</w:t>
      </w:r>
      <w:r>
        <w:rPr>
          <w:rFonts w:hint="eastAsia" w:ascii="仿宋_GB2312" w:hAnsi="宋体" w:eastAsia="仿宋_GB2312" w:cs="宋体"/>
          <w:color w:val="000000"/>
          <w:kern w:val="0"/>
          <w:sz w:val="32"/>
          <w:szCs w:val="32"/>
          <w:shd w:val="clear" w:color="auto" w:fill="FFFFFF"/>
          <w:lang w:val="zh-CN"/>
        </w:rPr>
        <w:t>培训费</w:t>
      </w: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万元，劳务费</w:t>
      </w:r>
      <w:r>
        <w:rPr>
          <w:rFonts w:hint="eastAsia" w:ascii="仿宋_GB2312" w:hAnsi="宋体" w:eastAsia="仿宋_GB2312" w:cs="宋体"/>
          <w:color w:val="000000"/>
          <w:kern w:val="0"/>
          <w:sz w:val="32"/>
          <w:szCs w:val="32"/>
          <w:shd w:val="clear" w:color="auto" w:fill="FFFFFF"/>
          <w:lang w:val="en-US" w:eastAsia="zh-CN"/>
        </w:rPr>
        <w:t>2.04</w:t>
      </w:r>
      <w:r>
        <w:rPr>
          <w:rFonts w:hint="eastAsia" w:ascii="仿宋_GB2312" w:hAnsi="宋体" w:eastAsia="仿宋_GB2312" w:cs="宋体"/>
          <w:color w:val="000000"/>
          <w:kern w:val="0"/>
          <w:sz w:val="32"/>
          <w:szCs w:val="32"/>
          <w:shd w:val="clear" w:color="auto" w:fill="FFFFFF"/>
          <w:lang w:val="zh-CN"/>
        </w:rPr>
        <w:t>万元，委托业务费</w:t>
      </w:r>
      <w:r>
        <w:rPr>
          <w:rFonts w:hint="eastAsia" w:ascii="仿宋_GB2312" w:hAnsi="宋体" w:eastAsia="仿宋_GB2312" w:cs="宋体"/>
          <w:color w:val="000000"/>
          <w:kern w:val="0"/>
          <w:sz w:val="32"/>
          <w:szCs w:val="32"/>
          <w:shd w:val="clear" w:color="auto" w:fill="FFFFFF"/>
          <w:lang w:val="en-US" w:eastAsia="zh-CN"/>
        </w:rPr>
        <w:t>48.08</w:t>
      </w:r>
      <w:r>
        <w:rPr>
          <w:rFonts w:hint="eastAsia" w:ascii="仿宋_GB2312" w:hAnsi="宋体" w:eastAsia="仿宋_GB2312" w:cs="宋体"/>
          <w:color w:val="000000"/>
          <w:kern w:val="0"/>
          <w:sz w:val="32"/>
          <w:szCs w:val="32"/>
          <w:shd w:val="clear" w:color="auto" w:fill="FFFFFF"/>
          <w:lang w:val="zh-CN"/>
        </w:rPr>
        <w:t>万元，公务用车运行维护费</w:t>
      </w:r>
      <w:r>
        <w:rPr>
          <w:rFonts w:hint="eastAsia" w:ascii="仿宋_GB2312" w:hAnsi="宋体" w:eastAsia="仿宋_GB2312" w:cs="宋体"/>
          <w:color w:val="000000"/>
          <w:kern w:val="0"/>
          <w:sz w:val="32"/>
          <w:szCs w:val="32"/>
          <w:shd w:val="clear" w:color="auto" w:fill="FFFFFF"/>
          <w:lang w:val="en-US" w:eastAsia="zh-CN"/>
        </w:rPr>
        <w:t>16.17</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zh-CN" w:eastAsia="zh-CN"/>
        </w:rPr>
        <w:t>离休费</w:t>
      </w:r>
      <w:r>
        <w:rPr>
          <w:rFonts w:hint="eastAsia" w:ascii="仿宋_GB2312" w:hAnsi="宋体" w:eastAsia="仿宋_GB2312" w:cs="宋体"/>
          <w:color w:val="000000"/>
          <w:kern w:val="0"/>
          <w:sz w:val="32"/>
          <w:szCs w:val="32"/>
          <w:shd w:val="clear" w:color="auto" w:fill="FFFFFF"/>
          <w:lang w:val="en-US" w:eastAsia="zh-CN"/>
        </w:rPr>
        <w:t>12.72万元，生活补助2.81万元，奖励金0.1万元，</w:t>
      </w:r>
      <w:r>
        <w:rPr>
          <w:rFonts w:hint="eastAsia" w:ascii="仿宋_GB2312" w:hAnsi="宋体" w:eastAsia="仿宋_GB2312" w:cs="宋体"/>
          <w:color w:val="000000"/>
          <w:kern w:val="0"/>
          <w:sz w:val="32"/>
          <w:szCs w:val="32"/>
          <w:shd w:val="clear" w:color="auto" w:fill="FFFFFF"/>
          <w:lang w:val="zh-CN"/>
        </w:rPr>
        <w:t>办公设备购置</w:t>
      </w:r>
      <w:r>
        <w:rPr>
          <w:rFonts w:hint="eastAsia" w:ascii="仿宋_GB2312" w:hAnsi="宋体" w:eastAsia="仿宋_GB2312" w:cs="宋体"/>
          <w:color w:val="000000"/>
          <w:kern w:val="0"/>
          <w:sz w:val="32"/>
          <w:szCs w:val="32"/>
          <w:shd w:val="clear" w:color="auto" w:fill="FFFFFF"/>
          <w:lang w:val="en-US" w:eastAsia="zh-CN"/>
        </w:rPr>
        <w:t>0.3</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zh-CN" w:eastAsia="zh-CN"/>
        </w:rPr>
        <w:t>对企业的补助补贴579.39</w:t>
      </w:r>
      <w:r>
        <w:rPr>
          <w:rFonts w:hint="eastAsia" w:ascii="仿宋_GB2312" w:hAnsi="宋体" w:eastAsia="仿宋_GB2312" w:cs="宋体"/>
          <w:color w:val="000000"/>
          <w:kern w:val="0"/>
          <w:sz w:val="32"/>
          <w:szCs w:val="32"/>
          <w:shd w:val="clear" w:color="auto" w:fill="FFFFFF"/>
          <w:lang w:val="en-US" w:eastAsia="zh-CN"/>
        </w:rPr>
        <w:t>万元</w:t>
      </w:r>
      <w:r>
        <w:rPr>
          <w:rFonts w:hint="eastAsia" w:ascii="仿宋_GB2312" w:hAnsi="宋体" w:eastAsia="仿宋_GB2312" w:cs="宋体"/>
          <w:color w:val="000000"/>
          <w:kern w:val="0"/>
          <w:sz w:val="32"/>
          <w:szCs w:val="32"/>
          <w:shd w:val="clear" w:color="auto" w:fill="FFFFFF"/>
          <w:lang w:val="zh-CN"/>
        </w:rPr>
        <w:t>。</w:t>
      </w:r>
    </w:p>
    <w:p>
      <w:pPr>
        <w:spacing w:line="560" w:lineRule="exact"/>
        <w:rPr>
          <w:rFonts w:hint="eastAsia" w:ascii="仿宋_GB2312" w:hAnsi="宋体" w:eastAsia="仿宋_GB2312" w:cs="宋体"/>
          <w:color w:val="000000"/>
          <w:kern w:val="0"/>
          <w:sz w:val="32"/>
          <w:szCs w:val="24"/>
          <w:lang w:val="zh-CN" w:eastAsia="zh-CN" w:bidi="ar"/>
        </w:rPr>
      </w:pPr>
      <w:r>
        <w:rPr>
          <w:rFonts w:hint="eastAsia" w:ascii="宋体" w:hAnsi="宋体" w:cs="宋体"/>
          <w:color w:val="000000"/>
          <w:sz w:val="28"/>
          <w:szCs w:val="28"/>
        </w:rPr>
        <w:t xml:space="preserve">  </w:t>
      </w: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lang w:val="en-US"/>
        </w:rPr>
      </w:pPr>
      <w:r>
        <w:rPr>
          <w:rFonts w:hint="eastAsia" w:ascii="黑体" w:hAnsi="宋体" w:eastAsia="黑体" w:cs="宋体"/>
          <w:color w:val="000000"/>
          <w:kern w:val="0"/>
          <w:sz w:val="32"/>
          <w:szCs w:val="32"/>
          <w:shd w:val="clear" w:color="auto" w:fill="FFFFFF"/>
          <w:lang w:val="en-US" w:eastAsia="zh-CN"/>
        </w:rPr>
        <w:t>三、部门财政支出管理情况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（一）预算编制情况。</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单位严格按照相关编制要求、编制程序及时组织财务人员进行部门预算编制。对本年度预算款项进行及时清理和处理，做到账账相符、账实相符、账证相符,按先有预算再有支出的原则，及时处理相关事务；对绩效目标进行季度梳理和年度分析，及时上报相关报表；对专项预算提前细化，分科目上报，做到收支平衡。201</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年收入预算总额为</w:t>
      </w:r>
      <w:r>
        <w:rPr>
          <w:rFonts w:hint="eastAsia" w:ascii="仿宋_GB2312" w:hAnsi="宋体" w:eastAsia="仿宋_GB2312" w:cs="宋体"/>
          <w:color w:val="000000"/>
          <w:kern w:val="0"/>
          <w:sz w:val="32"/>
          <w:szCs w:val="32"/>
          <w:shd w:val="clear" w:color="auto" w:fill="FFFFFF"/>
          <w:lang w:val="en-US" w:eastAsia="zh-CN"/>
        </w:rPr>
        <w:t>896.07</w:t>
      </w:r>
      <w:r>
        <w:rPr>
          <w:rFonts w:hint="eastAsia" w:ascii="仿宋_GB2312" w:hAnsi="宋体" w:eastAsia="仿宋_GB2312" w:cs="宋体"/>
          <w:color w:val="000000"/>
          <w:kern w:val="0"/>
          <w:sz w:val="32"/>
          <w:szCs w:val="32"/>
          <w:shd w:val="clear" w:color="auto" w:fill="FFFFFF"/>
          <w:lang w:val="zh-CN"/>
        </w:rPr>
        <w:t>万元。</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（二）执行管理情况。</w:t>
      </w:r>
      <w:r>
        <w:rPr>
          <w:rFonts w:hint="eastAsia" w:ascii="仿宋_GB2312" w:hAnsi="宋体" w:eastAsia="仿宋_GB2312" w:cs="宋体"/>
          <w:color w:val="000000"/>
          <w:kern w:val="0"/>
          <w:sz w:val="32"/>
          <w:szCs w:val="32"/>
          <w:shd w:val="clear" w:color="auto" w:fill="FFFFFF"/>
          <w:lang w:val="zh-CN" w:eastAsia="zh-CN"/>
        </w:rPr>
        <w:tab/>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我单位按照县财政的要求，及时上报相应计划，待财政审核通过后，严格按计划执行，各季度执行情况良好。201</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年支出总额控制在预算总额以内，除专项预算的追加和政策性工资绩效预算的追加外，未进行预算相关事项的调整。截止201</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年底支出总额控制在预算总额以内，未进行相关事项的调整追加和调整。</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ab/>
      </w:r>
      <w:r>
        <w:rPr>
          <w:rFonts w:hint="eastAsia" w:ascii="仿宋_GB2312" w:hAnsi="宋体" w:eastAsia="仿宋_GB2312" w:cs="宋体"/>
          <w:color w:val="000000"/>
          <w:kern w:val="0"/>
          <w:sz w:val="32"/>
          <w:szCs w:val="32"/>
          <w:shd w:val="clear" w:color="auto" w:fill="FFFFFF"/>
          <w:lang w:val="zh-CN"/>
        </w:rPr>
        <w:t>2019年般公共预算支出决算数为1453.96</w:t>
      </w:r>
      <w:r>
        <w:rPr>
          <w:rFonts w:hint="eastAsia" w:ascii="仿宋_GB2312" w:hAnsi="宋体" w:eastAsia="仿宋_GB2312" w:cs="宋体"/>
          <w:color w:val="000000"/>
          <w:kern w:val="0"/>
          <w:sz w:val="32"/>
          <w:szCs w:val="32"/>
          <w:shd w:val="clear" w:color="auto" w:fill="FFFFFF"/>
          <w:lang w:val="zh-CN" w:eastAsia="zh-CN"/>
        </w:rPr>
        <w:t>万元</w:t>
      </w:r>
      <w:r>
        <w:rPr>
          <w:rFonts w:hint="eastAsia" w:ascii="仿宋_GB2312" w:hAnsi="宋体" w:eastAsia="仿宋_GB2312" w:cs="宋体"/>
          <w:color w:val="000000"/>
          <w:kern w:val="0"/>
          <w:sz w:val="32"/>
          <w:szCs w:val="32"/>
          <w:shd w:val="clear" w:color="auto" w:fill="FFFFFF"/>
          <w:lang w:val="zh-CN"/>
        </w:rPr>
        <w:t>，完成预算100%。其中：</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一般公共服务支出（</w:t>
      </w:r>
      <w:r>
        <w:rPr>
          <w:rFonts w:hint="eastAsia" w:ascii="仿宋_GB2312" w:hAnsi="宋体" w:eastAsia="仿宋_GB2312" w:cs="宋体"/>
          <w:color w:val="000000"/>
          <w:kern w:val="0"/>
          <w:sz w:val="32"/>
          <w:szCs w:val="32"/>
          <w:shd w:val="clear" w:color="auto" w:fill="FFFFFF"/>
          <w:lang w:val="en-US" w:eastAsia="zh-CN"/>
        </w:rPr>
        <w:t>201</w:t>
      </w:r>
      <w:r>
        <w:rPr>
          <w:rFonts w:hint="eastAsia" w:ascii="仿宋_GB2312" w:hAnsi="宋体" w:eastAsia="仿宋_GB2312" w:cs="宋体"/>
          <w:color w:val="000000"/>
          <w:kern w:val="0"/>
          <w:sz w:val="32"/>
          <w:szCs w:val="32"/>
          <w:shd w:val="clear" w:color="auto" w:fill="FFFFFF"/>
          <w:lang w:val="zh-CN"/>
        </w:rPr>
        <w:t>）决算为677.91万元，完成预算100%，决算数等于预算数。</w:t>
      </w:r>
      <w:r>
        <w:rPr>
          <w:rFonts w:hint="eastAsia" w:ascii="仿宋_GB2312" w:hAnsi="宋体" w:eastAsia="仿宋_GB2312" w:cs="宋体"/>
          <w:color w:val="000000"/>
          <w:kern w:val="0"/>
          <w:sz w:val="32"/>
          <w:szCs w:val="32"/>
          <w:shd w:val="clear" w:color="auto" w:fill="FFFFFF"/>
          <w:lang w:val="zh-CN" w:eastAsia="zh-CN"/>
        </w:rPr>
        <w:t>其中：</w:t>
      </w:r>
      <w:r>
        <w:rPr>
          <w:rFonts w:hint="eastAsia" w:ascii="仿宋_GB2312" w:hAnsi="宋体" w:eastAsia="仿宋_GB2312" w:cs="宋体"/>
          <w:color w:val="000000"/>
          <w:kern w:val="0"/>
          <w:sz w:val="32"/>
          <w:szCs w:val="32"/>
          <w:shd w:val="clear" w:color="auto" w:fill="FFFFFF"/>
          <w:lang w:val="en-US" w:eastAsia="zh-CN"/>
        </w:rPr>
        <w:t>2013801行政运行587.41万元，2013802一般行政管理事务48.08万元，2013812药品事务16.4万元，2013899其他市场监督管理事务26.02万元。</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我局认真执行中央八项规定，厉行节约，严格控制三公经费支出。2019年“三公”经费财政拨款支出决算为16.17万元，完成预算100%，决算数等于预算数。</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（三）综合管理情况。</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 xml:space="preserve"> 非税收入征缴情况：201</w:t>
      </w:r>
      <w:r>
        <w:rPr>
          <w:rFonts w:hint="eastAsia" w:ascii="仿宋_GB2312" w:hAnsi="宋体" w:eastAsia="仿宋_GB2312" w:cs="宋体"/>
          <w:color w:val="000000"/>
          <w:kern w:val="0"/>
          <w:sz w:val="32"/>
          <w:szCs w:val="32"/>
          <w:shd w:val="clear" w:color="auto" w:fill="FFFFFF"/>
          <w:lang w:val="en-US" w:eastAsia="zh-CN"/>
        </w:rPr>
        <w:t>8</w:t>
      </w:r>
      <w:r>
        <w:rPr>
          <w:rFonts w:hint="eastAsia" w:ascii="仿宋_GB2312" w:hAnsi="宋体" w:eastAsia="仿宋_GB2312" w:cs="宋体"/>
          <w:color w:val="000000"/>
          <w:kern w:val="0"/>
          <w:sz w:val="32"/>
          <w:szCs w:val="32"/>
          <w:shd w:val="clear" w:color="auto" w:fill="FFFFFF"/>
          <w:lang w:val="zh-CN"/>
        </w:rPr>
        <w:t>年至201</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年6月共征缴一般罚没收入</w:t>
      </w:r>
      <w:r>
        <w:rPr>
          <w:rFonts w:hint="eastAsia" w:ascii="仿宋_GB2312" w:hAnsi="宋体" w:eastAsia="仿宋_GB2312" w:cs="宋体"/>
          <w:color w:val="000000"/>
          <w:kern w:val="0"/>
          <w:sz w:val="32"/>
          <w:szCs w:val="32"/>
          <w:shd w:val="clear" w:color="auto" w:fill="FFFFFF"/>
          <w:lang w:val="en-US" w:eastAsia="zh-CN"/>
        </w:rPr>
        <w:t>18.69</w:t>
      </w:r>
      <w:r>
        <w:rPr>
          <w:rFonts w:hint="eastAsia" w:ascii="仿宋_GB2312" w:hAnsi="宋体" w:eastAsia="仿宋_GB2312" w:cs="宋体"/>
          <w:color w:val="000000"/>
          <w:kern w:val="0"/>
          <w:sz w:val="32"/>
          <w:szCs w:val="32"/>
          <w:shd w:val="clear" w:color="auto" w:fill="FFFFFF"/>
          <w:lang w:val="zh-CN"/>
        </w:rPr>
        <w:t>万元，全部上缴国库。</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预决算公开：201</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年我局按照上级的要求，在财政批复后20日内在指定网站公开预决算信息。</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内部管理制度建设情况：201</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年以来，我局制定了机关内部控制工作实施方案，并不断完善了“预算管理办法”、“合同管理制度”、“收支管理办法”、“资产管理制度”等一系列内部制度。</w:t>
      </w:r>
    </w:p>
    <w:p>
      <w:pPr>
        <w:widowControl/>
        <w:numPr>
          <w:ilvl w:val="0"/>
          <w:numId w:val="0"/>
        </w:numPr>
        <w:adjustRightInd w:val="0"/>
        <w:snapToGrid w:val="0"/>
        <w:spacing w:line="480" w:lineRule="exact"/>
        <w:ind w:firstLine="640" w:firstLineChars="200"/>
        <w:jc w:val="left"/>
        <w:rPr>
          <w:rFonts w:ascii="宋体" w:hAnsi="宋体" w:eastAsia="仿宋_GB2312" w:cs="宋体"/>
          <w:color w:val="000000"/>
          <w:kern w:val="2"/>
          <w:sz w:val="28"/>
          <w:szCs w:val="28"/>
        </w:rPr>
      </w:pPr>
      <w:r>
        <w:rPr>
          <w:rFonts w:hint="eastAsia" w:ascii="仿宋_GB2312" w:hAnsi="宋体" w:eastAsia="仿宋_GB2312" w:cs="宋体"/>
          <w:color w:val="000000"/>
          <w:kern w:val="0"/>
          <w:sz w:val="32"/>
          <w:szCs w:val="32"/>
          <w:shd w:val="clear" w:color="auto" w:fill="FFFFFF"/>
          <w:lang w:val="zh-CN"/>
        </w:rPr>
        <w:t>绩效评价：根据绩效评价的要求，我们成立了自评工作领导小组，对照自评方案进行研究和布署，按照自评方案的要求，对照各实施项目的内容逐条逐项自评。</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（四）整体绩效。</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从整体情况来看，我局严格按照年初预算进行部门整体支出，在支出过程中，能严格遵守各项规章制度。“三公经费”明显下降。所有项目都详细制定了方案，严格按方案组织实施，并加强了监督。尤其是在专项经费支出上，我们能专款专用，严格审批程序，按项目实施计划的进度情况进行资金拨付，无截留、无挪用等现象，保障了资金安全。实行了先有预算、后有执行的新常态。</w:t>
      </w: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lang w:val="en-US"/>
        </w:rPr>
      </w:pPr>
      <w:r>
        <w:rPr>
          <w:rFonts w:hint="eastAsia" w:ascii="黑体" w:hAnsi="宋体" w:eastAsia="黑体" w:cs="宋体"/>
          <w:color w:val="000000"/>
          <w:kern w:val="0"/>
          <w:sz w:val="32"/>
          <w:szCs w:val="32"/>
          <w:shd w:val="clear" w:color="auto" w:fill="FFFFFF"/>
          <w:lang w:val="en-US" w:eastAsia="zh-CN"/>
        </w:rPr>
        <w:t>四、评价结论及建议</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按照预算绩效管理要求，本部门对201</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年整体支出情况开展绩效自评，自评得分</w:t>
      </w:r>
      <w:r>
        <w:rPr>
          <w:rFonts w:hint="eastAsia" w:ascii="仿宋_GB2312" w:hAnsi="宋体" w:eastAsia="仿宋_GB2312" w:cs="宋体"/>
          <w:color w:val="000000"/>
          <w:kern w:val="0"/>
          <w:sz w:val="32"/>
          <w:szCs w:val="32"/>
          <w:shd w:val="clear" w:color="auto" w:fill="FFFFFF"/>
          <w:lang w:val="en-US" w:eastAsia="zh-CN"/>
        </w:rPr>
        <w:t>95</w:t>
      </w:r>
      <w:r>
        <w:rPr>
          <w:rFonts w:hint="eastAsia" w:ascii="仿宋_GB2312" w:hAnsi="宋体" w:eastAsia="仿宋_GB2312" w:cs="宋体"/>
          <w:color w:val="000000"/>
          <w:kern w:val="0"/>
          <w:sz w:val="32"/>
          <w:szCs w:val="32"/>
          <w:shd w:val="clear" w:color="auto" w:fill="FFFFFF"/>
          <w:lang w:val="zh-CN"/>
        </w:rPr>
        <w:t>分。</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rPr>
        <w:t>一是资金使用效益有待进一步提高；二是</w:t>
      </w:r>
      <w:r>
        <w:rPr>
          <w:rFonts w:hint="eastAsia" w:ascii="仿宋_GB2312" w:hAnsi="宋体" w:eastAsia="仿宋_GB2312" w:cs="宋体"/>
          <w:color w:val="000000"/>
          <w:kern w:val="0"/>
          <w:sz w:val="32"/>
          <w:szCs w:val="32"/>
          <w:shd w:val="clear" w:color="auto" w:fill="FFFFFF"/>
          <w:lang w:val="zh-CN" w:eastAsia="zh-CN"/>
        </w:rPr>
        <w:t>对固定资产的管理应进一步加强。</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widowControl/>
        <w:numPr>
          <w:ilvl w:val="0"/>
          <w:numId w:val="0"/>
        </w:numPr>
        <w:adjustRightInd w:val="0"/>
        <w:snapToGrid w:val="0"/>
        <w:spacing w:line="4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一是认真做好预算的编制，细化预算编制；二是加强</w:t>
      </w:r>
      <w:r>
        <w:rPr>
          <w:rFonts w:hint="eastAsia" w:ascii="仿宋_GB2312" w:hAnsi="宋体" w:eastAsia="仿宋_GB2312" w:cs="宋体"/>
          <w:color w:val="000000"/>
          <w:kern w:val="0"/>
          <w:sz w:val="32"/>
          <w:szCs w:val="32"/>
          <w:shd w:val="clear" w:color="auto" w:fill="FFFFFF"/>
          <w:lang w:val="zh-CN" w:eastAsia="zh-CN"/>
        </w:rPr>
        <w:t>对固定资产的管理</w:t>
      </w:r>
      <w:r>
        <w:rPr>
          <w:rFonts w:hint="eastAsia" w:ascii="仿宋_GB2312" w:hAnsi="宋体" w:eastAsia="仿宋_GB2312" w:cs="宋体"/>
          <w:color w:val="000000"/>
          <w:kern w:val="0"/>
          <w:sz w:val="32"/>
          <w:szCs w:val="32"/>
          <w:shd w:val="clear" w:color="auto" w:fill="FFFFFF"/>
          <w:lang w:val="zh-CN"/>
        </w:rPr>
        <w:t>，严格财务审核，</w:t>
      </w:r>
      <w:r>
        <w:rPr>
          <w:rFonts w:hint="eastAsia" w:ascii="仿宋_GB2312" w:hAnsi="宋体" w:eastAsia="仿宋_GB2312" w:cs="宋体"/>
          <w:color w:val="000000"/>
          <w:kern w:val="0"/>
          <w:sz w:val="32"/>
          <w:szCs w:val="32"/>
          <w:shd w:val="clear" w:color="auto" w:fill="FFFFFF"/>
          <w:lang w:val="zh-CN" w:eastAsia="zh-CN"/>
        </w:rPr>
        <w:t>及时录入新增固定资产。还应</w:t>
      </w:r>
      <w:r>
        <w:rPr>
          <w:rFonts w:hint="eastAsia" w:ascii="仿宋_GB2312" w:hAnsi="宋体" w:eastAsia="仿宋_GB2312" w:cs="宋体"/>
          <w:color w:val="000000"/>
          <w:kern w:val="0"/>
          <w:sz w:val="32"/>
          <w:szCs w:val="32"/>
          <w:shd w:val="clear" w:color="auto" w:fill="FFFFFF"/>
          <w:lang w:val="zh-CN"/>
        </w:rPr>
        <w:t>进一步细化“三公经费”四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jc w:val="left"/>
        <w:outlineLvl w:val="9"/>
        <w:rPr>
          <w:rFonts w:ascii="方正小标宋简体" w:hAnsi="方正小标宋简体" w:eastAsia="方正小标宋简体" w:cs="方正小标宋简体"/>
          <w:sz w:val="32"/>
          <w:szCs w:val="32"/>
        </w:rPr>
      </w:pPr>
    </w:p>
    <w:p>
      <w:pPr>
        <w:pStyle w:val="2"/>
        <w:ind w:left="0" w:leftChars="0" w:firstLine="0" w:firstLineChars="0"/>
        <w:rPr>
          <w:rFonts w:ascii="方正小标宋简体" w:hAnsi="方正小标宋简体" w:eastAsia="方正小标宋简体" w:cs="方正小标宋简体"/>
          <w:sz w:val="32"/>
          <w:szCs w:val="32"/>
        </w:rPr>
      </w:pPr>
    </w:p>
    <w:p>
      <w:pPr>
        <w:pStyle w:val="2"/>
        <w:ind w:left="0" w:leftChars="0" w:firstLine="0" w:firstLineChars="0"/>
        <w:rPr>
          <w:rFonts w:ascii="方正小标宋简体" w:hAnsi="方正小标宋简体" w:eastAsia="方正小标宋简体" w:cs="方正小标宋简体"/>
          <w:sz w:val="32"/>
          <w:szCs w:val="32"/>
        </w:rPr>
      </w:pPr>
    </w:p>
    <w:p>
      <w:pPr>
        <w:pStyle w:val="2"/>
        <w:ind w:left="0" w:leftChars="0" w:firstLine="0" w:firstLineChars="0"/>
        <w:rPr>
          <w:rFonts w:ascii="方正小标宋简体" w:hAnsi="方正小标宋简体" w:eastAsia="方正小标宋简体" w:cs="方正小标宋简体"/>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pStyle w:val="33"/>
        <w:spacing w:line="60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红原县市场监督管理局</w:t>
      </w:r>
    </w:p>
    <w:p>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w:t>
      </w:r>
      <w:r>
        <w:rPr>
          <w:rFonts w:hint="eastAsia" w:ascii="方正小标宋简体" w:hAnsi="宋体" w:eastAsia="方正小标宋简体"/>
          <w:color w:val="000000"/>
          <w:kern w:val="0"/>
          <w:sz w:val="40"/>
          <w:szCs w:val="44"/>
          <w:lang w:val="zh-CN"/>
        </w:rPr>
        <w:t>绩效评价报告</w:t>
      </w:r>
    </w:p>
    <w:p>
      <w:pPr>
        <w:pageBreakBefore w:val="0"/>
        <w:kinsoku/>
        <w:wordWrap/>
        <w:overflowPunct/>
        <w:topLinePunct w:val="0"/>
        <w:bidi w:val="0"/>
        <w:adjustRightInd w:val="0"/>
        <w:snapToGrid w:val="0"/>
        <w:spacing w:line="560" w:lineRule="exact"/>
        <w:ind w:firstLine="720"/>
        <w:rPr>
          <w:rFonts w:hint="eastAsia" w:ascii="黑体" w:hAnsi="宋?" w:eastAsia="黑体" w:cs="Times New Roman"/>
          <w:sz w:val="32"/>
          <w:szCs w:val="32"/>
        </w:rPr>
      </w:pPr>
    </w:p>
    <w:p>
      <w:pPr>
        <w:pageBreakBefore w:val="0"/>
        <w:kinsoku/>
        <w:wordWrap/>
        <w:overflowPunct/>
        <w:topLinePunct w:val="0"/>
        <w:bidi w:val="0"/>
        <w:adjustRightInd w:val="0"/>
        <w:snapToGrid w:val="0"/>
        <w:spacing w:line="560" w:lineRule="exact"/>
        <w:ind w:firstLine="720"/>
        <w:rPr>
          <w:rFonts w:hint="eastAsia" w:ascii="黑体" w:hAnsi="宋?" w:eastAsia="黑体" w:cs="Times New Roman"/>
          <w:sz w:val="32"/>
          <w:szCs w:val="32"/>
          <w:lang w:val="zh-CN"/>
        </w:rPr>
      </w:pPr>
      <w:r>
        <w:rPr>
          <w:rFonts w:hint="eastAsia" w:ascii="黑体" w:hAnsi="宋?" w:eastAsia="黑体" w:cs="Times New Roman"/>
          <w:sz w:val="32"/>
          <w:szCs w:val="32"/>
        </w:rPr>
        <w:t>一、</w:t>
      </w:r>
      <w:r>
        <w:rPr>
          <w:rFonts w:hint="eastAsia" w:ascii="黑体" w:hAnsi="宋?" w:eastAsia="黑体" w:cs="Times New Roman"/>
          <w:sz w:val="32"/>
          <w:szCs w:val="32"/>
          <w:lang w:val="zh-CN"/>
        </w:rPr>
        <w:t>项目概况</w:t>
      </w:r>
    </w:p>
    <w:p>
      <w:pPr>
        <w:adjustRightInd w:val="0"/>
        <w:snapToGrid w:val="0"/>
        <w:spacing w:line="600" w:lineRule="exact"/>
        <w:ind w:firstLine="720"/>
        <w:rPr>
          <w:rFonts w:hint="eastAsia" w:ascii="楷体_GB2312" w:hAnsi="宋?" w:eastAsia="楷体_GB2312" w:cs="Times New Roman"/>
          <w:b/>
          <w:sz w:val="32"/>
          <w:szCs w:val="32"/>
          <w:lang w:val="zh-CN"/>
        </w:rPr>
      </w:pPr>
      <w:r>
        <w:rPr>
          <w:rFonts w:hint="eastAsia" w:ascii="楷体_GB2312" w:hAnsi="宋?" w:eastAsia="楷体_GB2312" w:cs="Times New Roman"/>
          <w:b/>
          <w:sz w:val="32"/>
          <w:szCs w:val="32"/>
          <w:lang w:val="zh-CN"/>
        </w:rPr>
        <w:t>（一）项目资金申报及批复情况</w:t>
      </w:r>
    </w:p>
    <w:p>
      <w:pPr>
        <w:pageBreakBefore w:val="0"/>
        <w:kinsoku/>
        <w:wordWrap/>
        <w:overflowPunct/>
        <w:topLinePunct w:val="0"/>
        <w:bidi w:val="0"/>
        <w:adjustRightInd w:val="0"/>
        <w:snapToGrid w:val="0"/>
        <w:spacing w:line="560" w:lineRule="exact"/>
        <w:ind w:firstLine="720"/>
        <w:rPr>
          <w:rFonts w:hint="default"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根据省财政厅 省市场监督管理局《关于下达2019年市场监督管理专项资金的通知》（川财行〔2019〕88号），下达我县2019年市场监督管理专项资金63.26万元。其中：食品安全监管经费10.76万元、促进民营经济健康发展工作经费4.5万元、质量与安全监管经费9万元、市场综合监管经费10万元、市场秩序维护监管经费29万元。</w:t>
      </w:r>
    </w:p>
    <w:p>
      <w:pPr>
        <w:adjustRightInd w:val="0"/>
        <w:snapToGrid w:val="0"/>
        <w:spacing w:line="600" w:lineRule="exact"/>
        <w:ind w:firstLine="720"/>
        <w:rPr>
          <w:rFonts w:hint="eastAsia" w:ascii="楷体_GB2312" w:hAnsi="宋?" w:eastAsia="楷体_GB2312" w:cs="Times New Roman"/>
          <w:b/>
          <w:sz w:val="32"/>
          <w:szCs w:val="32"/>
          <w:lang w:val="zh-CN"/>
        </w:rPr>
      </w:pPr>
      <w:r>
        <w:rPr>
          <w:rFonts w:hint="eastAsia" w:ascii="楷体_GB2312" w:hAnsi="宋?" w:eastAsia="楷体_GB2312" w:cs="Times New Roman"/>
          <w:b/>
          <w:sz w:val="32"/>
          <w:szCs w:val="32"/>
          <w:lang w:val="zh-CN"/>
        </w:rPr>
        <w:t>（二）项目绩效完成情况</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1.执法办案工作：截止目前我局共立案查处各类违法案件47件（已全部办结），罚款入库9.0924万元。</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2.个体工商户和企业发展状况。截止目前我县有个体工商户共计2229户，注册资本共计36266.66万元；在册各类企业共计 394户，注册资本共计244366.18万元。今年我局新登记注册个体工商户323户，新增注册资本6106.65万元。新登记注册各类企业共45户，新增注册资本53122万元。其中新增私营企业34户，新增注册资本36502万元；农民专业合作社5户，注册资本290万元。全程电子化登记注册71户。</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3.食品经营许可证发放情况：县餐饮许可证发放共333家，今年共受理申办餐饮服务许可证个体户133家；食品经营许可（流通）共186家，今年新增19家，“三小”食品备案41家</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4.食品药品抽检工作：今年完成了对辖区内旅游餐饮接待重点单位、邛溪综合市场、餐馆、超市以及蔬菜批发部等环节的蔬菜、水果、畜肉等食用农产品的260个批次的抽样检测任务，工业产品抽样252个批次将在11月完成。我局在食用农产品监督抽检任务中，必检品种完成率达到100%，必检项目完成率达到70%，全年任务完成率达到100%；同时，我局组织执法人员于7月22日至7月26日在辖区内开展了药品抽样工作，本次监督性抽样和评价性覆盖了11家医疗机构和5家零售药店，以及1家诊所，基层单位抽样品种达到54%。本次抽样共出动车辆8台次，出动执法人员25人次，共抽监督性抽样35批次、评价性抽样5批次。</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5.放心舒心城市创建工作。继续打造好“一店一码”快速维权通道，按州两心办要求，在酒店行业创建放心舒心工作，打造一批设施齐全、服务规范、安全放心的酒店业示范网点，促进酒店业发展。我县共纳入3家酒店为示范创建，目前已完成信息采集，二维码由州创建办制作中。</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6.扫黑除恶专项工作。今年以来我局制定了扫黑除恶专项斗争工作方案，并结合职责职能开展执法行动，全面</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核查涉黑涉恶违法线索。截至目前，召开专题会议5次，出动执法人员1750人次，检查摸排各类市场、经营场19次，专项整治重点行业、领域12次，举办宣传活动1次，发放各类宣传资料2050份，张贴公告4张。</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7.宣传报道工作：通过开展“食品宣传周”“药品、保健品宣传周”等各种活动，此次活动共出动宣传人员68人次、宣传车辆8台次、设置宣传展板9块、宣传横幅2条、发放宣传资料3000份、解答群众疑问61余条。</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8.服务经济发展，推进登记制度改革</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为做好我县招商引资项目，推进红原县经济建设和发展，我局进一步深化了商事登记制度改革，全面做好了登记工作。截至目前，全县在册企业在册各类企业共计394户，注册资本共计244366.18万元；在册个体工商户共计2229户，注册资本共计36266.66万元；在册农民专业合作社98户，注册资本3393.58万元。</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今年以来我局积极贯彻登记注册制度改革，大力推行全程电子化登记，优化服务质量，提升工作效率，落实“双告知、双承诺”、限时办结等工作制度。截至目前，今年我窗口新登记注册个体工商户323户，同比增长9%，新增注册资本6106.65万元；办理个体注消149户，其中简易注销4户。新登记注册各类企业共45户，同比增长16%，新增注册资本53122万元。其中新增私营企业34户，同比增长13%，新增注册资本36502万元；农民专业合作社5户，同比增长5 %，注册资本290万元。全程电子化登记注册企业共计71户，今年新增26户。办理各类企业注销业务8件；其中办理简易注销6件。2019年，我局始终狠抓窗口注册登记工作，严格执行国务院商事登记制度改革要求，取得较大成效，更好地服务了辖区经济发展。</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9.全面履职尽责，加强食品安全监管</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 xml:space="preserve">大力宣传《食品安全法》，切实保障食品安全。《食品安全法》颁布实施以来，县人民政府高度重视食品安全工作，把贯彻执行《食品安全法》作为维护人民身体健康，确保人民生命安全的大事来抓，以“四个最严”要求为遵循，大力开展《食品安全法》的学习宣传活动。利用3.31食品投诉举报主题日、3.15消费者维权日、“食品安全宣传周”等系列活动的开展，积极推动食品安全知识进机关、进社区、进学校、进企业、进乡村，采取广播、电视、网络、宣传单等多种形式，广泛宣传《食品安全法》内容，普及食品安全知识，动员全社会关注食品安全、维护食品安全，营造了食品安全社会共治的良好氛围。两年来，共举办各类食品从业人员、乡镇“协管员”培训班6起，受训人数达300人次，受理各类食品投诉举报40余件。        </w:t>
      </w:r>
    </w:p>
    <w:p>
      <w:pPr>
        <w:pageBreakBefore w:val="0"/>
        <w:kinsoku/>
        <w:wordWrap/>
        <w:overflowPunct/>
        <w:topLinePunct w:val="0"/>
        <w:bidi w:val="0"/>
        <w:adjustRightInd w:val="0"/>
        <w:snapToGrid w:val="0"/>
        <w:spacing w:line="560" w:lineRule="exact"/>
        <w:ind w:firstLine="720"/>
        <w:rPr>
          <w:rFonts w:hint="default"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加强日常监管与专项整治。一是加强食品安全视频监控。红原县视频安全监管系统于2019年5月正式投入使用，截止目前视频监控已覆盖全县重点商户（食堂）60余家，切实保障全县食品安全；二是加大食品监督抽检工作，近两年来共完成食用农产品抽检520批次，检测结果合格率95%以上。2019年5月13日至14日，在红原县城进行农副产品酸奶风险监测抽样31批次、肉制品食品安全抽样工作。6月11日</w:t>
      </w:r>
      <w:bookmarkStart w:id="149" w:name="_GoBack"/>
      <w:bookmarkEnd w:id="149"/>
      <w:r>
        <w:rPr>
          <w:rFonts w:hint="eastAsia" w:ascii="仿宋_GB2312" w:hAnsi="宋?" w:eastAsia="仿宋_GB2312" w:cs="Times New Roman"/>
          <w:sz w:val="32"/>
          <w:szCs w:val="32"/>
          <w:lang w:val="en-US" w:eastAsia="zh-CN"/>
        </w:rPr>
        <w:t>至13日，配合成都轻工站抽样人员完成州抽15批次、省抽29批次。三是开展“风干肉”专项整治工作。2019年7月至今，县市场监督管理局在全县范围内开展“风干肉”专项整治工作，没收“风干肉”300余kg,责令整改商户100余家，切实为广大消费者提供了一个放心舒心的市场环境。四是2019年5月与县公安局、科学技术与农业畜牧局联合执法检查，查获死因不明牛马肉等11956公斤，该案已移交司法机关，现已进入公诉阶段。</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深入开展各类食品安全专项整治，维护食品市场消费安全。为进一步加强肉制品和蔬菜制品安全监管，有针对性的解决目前肉制品和蔬菜制品产品质量安全中存在的问题，规范肉制品和蔬菜制品生产经营行为，我局对全县肉制品和蔬菜制品组织开展了安全专项检查。一是重点检查肉制品生产企业及小作坊的生产环境条件、原料进货查验、生产过程控制、产品检验、产品贮存销售等情况。二是重点检查肉制品生产加工单位是否存在超范围超限量使用食品添加剂的情况，是否存在添加非食用物质的行为。三是重点检查肉制品和蔬菜制品经营单位履行进货查验及记录制度落实情况。深入开展特殊食品专项整治，我局成立打击特殊食品专项行动领导小组和相应的工作机构，联合相关单位在全县范围内开展打击食品、保健食品欺诈和虚假宣传整治专项行动，深入规范，加强索证索票管理。7月开始，我局严查了食品生产、加工、销售、使用等环节非法添加和滥用食品添加剂的违法违规行为。共出动执法人员116人次、车辆42辆次，检查11个乡镇，此次专项检查均无发现异常情况。</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强化旅游市场监管。旅游是我县的重点产业，为确保我县旅游市场有序健康发展，根据县委、县政府、县旅游产业发展领导小组安排部署，县市场监督管理联合县文旅局等部门组成联合检查组对全县A级景区、宾馆饭店、藏（牧）家乐、热门观景点等涉旅企业开节前综合检查行动。行动共检查A级景区3处、宾馆饭店63家、藏（牧）家乐56家、热门观景点3处。进一步肃清了我县旅游市场，保障消费者及群众的合法权益。</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夯实生产企业风险，严把食品生产关。今年以来，食品生产流通股完成了辖区食品生产企业的风险等级顶级工作。此次风险分级工作主要根据对企业的现场核查、监督检查、监督抽检、行政处罚及投诉举报等五项指标乘以不同的系数后采取加权方式确定企业风险等级，再结合该企业产品风险等级确定企业风险监管等级。确定了，我县共有Ⅱ级（二级）企业5家，这5家同等级的企业的最低监督频次分别为每年6次。</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10.狠抓药品监管，扎实开展药品安全整治</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药品日常监管执行情况： 2019年我股共检查药品零售企业84家次，检查医疗机构药品使用质量48家次，诊所8家次，其中，有1家药品零售企业处方药未凭处方销售，进行了行政处罚；1家经营二类医疗器械的药店销售超过有效期的二类医疗器械，进行了行政处罚；对9家药店下发责令改正通知书；组织药店自查，目前我县有药品零售药店21家，其中连锁药店18家（康乐康公司12家，康贝公司2家、龙一3家、太极1家）。所有药店及诊所均按照要求开展了自查。</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做好药品日常监管工作。为从源头上牢牢把住药品质量关，全力维护我县药品市场秩序，3月-9月，我局全面开展辖区药品经营、使用单位进行了拉网式检查。执法人员多措并举、全面兼顾，通过网络通知、现场检查等途径，深入梳理各药品经营户药品购销渠道管理情况，重点检查血液制品、中药饮片、含特殊药品复方制剂、治疗糖尿病、心血管类疾病药品购销记录、渠道等；经查，辖区内未发现严重违法违规经营和使用药品的情况。此次工作共出动执法人员18人次、车辆8台次，检查37家涉药单位，责令整改9家药品分类摆放、标示不合规以及处方药未凭处方销售等问题的经营户。</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加强医疗器械管理。2019年1至3季度我股室对12家二类医疗器械经营企业和3家诊所、14家医疗机构进行日常监督检查，检查中共出动2小组，每组4人，每次出动车辆2辆要求责令整改1家；其中2家医疗机构涉嫌使用超过有效期医疗器械，对其进行了行政处罚。并通过网络工作群的平台讲解和宣传了关于《医疗器械使用质量管理办法》、《医疗器械分类细则》相关内容，以及关于医疗器械不良反应的报告和监测。</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强化化妆品监督检查。我局于1月中旬开始，开展了化妆品专项整治行动，目前我县辖区内化妆品专营门店17家，兼营化妆品的超市2家，美容美发店（院）18家，其中，1家化妆品经营店涉嫌经营超过有效期的化妆品，对其进行了没收超过有效期的化妆品的处理，我局将专卖店、超市、药店为主的化妆品经营单位作为重点检查对象，我局对化妆品经营企业进行120家次现场检查，我局组织执法人员对辖区内化妆品专营店、兼营店、以及美容院进行了清理检查，通过检查，未发现我县辖区内有关于文件里不合格化妆品。在检查过程中，检查人员有意识地加强对化妆品经营者的法律法规宣传和化妆品知识宣传，从根本上提高经营者的守法意识；同时建立化妆品监管QQ、微信群，制作化妆品宣传栏，制作举报热线宣传单并分发给化妆品经营单位张贴，加强社会宣传，使广大消费者掌握化妆品的经营、使用等相关知识，提高自我辨识能力。</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11.加大执法力度，强化市场监管</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强化市场监管，整顿和规范市场经济秩序。在局领导的正确领导下，与各股室同事，不断磋商，加强沟通，共同努力，狠抓案件的查办力度，以打假、“红盾护农”为中心，以关心人民生产、生活安全的商品为切入点，深化市场巡查制与“片区管理”相结合的动态监管方式，认真组织开展各项市场专项治理工作。我局于“红盾春雷”行动期间共出动执法人员267人次，检查各类经营户336户，教育警告经营主体责任人15人次，检查各类市场超市4家，受理消费者投诉举报3次,为消费者挽回经济损失0.05万元；共立案查处违法案件34件，案值6.79万元，罚没3.39万元。各级市场监管部门与公安、民政、商务等部门联合整治“保健”市场乱象，出动监督检查人员136人次。检查社区、广场等人员密集场所17个；检查宾馆、酒店等重点场所13个；检查旅游景区、农村场镇、农村集市、城乡结合部等重点区域11个。有效的保障了我县市场繁荣安定。</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加强市场检查，净化市场环境。2019年8月25日至9月8日出动执法人员60人次检查重点场所25个，针对互联网、医药购销、医疗服务等领域仿冒混淆、商业贿赂、虚假宣传、商业诋毁等不正当竞争行为进行了专项检查。2019年8月27日至2019年9月16日出动28人次对我县范围内涉及到的重点领域：红原县供水公司、红原县电力公司、红原县液化气公司、红原县汽车站等4个公用事业以及1个公章刻制领域进行了专项检查。2019年8月15日我局共出动执法人员25余人次，网上检查网站、网店36个，实地检查网站、网店经营者6个。十月黄金周期间开展各种节前检查，对辖区内综合市场、旅游景点、旅游品销售主体进行全面检查，出动执法人员37人次，检查各类市场主体197户。认真完成2019年度“双随机已公开”抽查工作，抽查10户企业，将抽查情况及查处结果及时向社会公示。出动12人次，车辆3台次，对辖区内的6家加油站进行了专项检查。2019年流通领域商品质量抽检共计32件。</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做好消费维权工作。2019年，县消保中心不断创新消费维权机制，推进消费维权社会共治，改善消费环境，促进消费增长，深入推进12315体系建设。认真及时处理消费者投诉举报，切实维护消费者权益。截止10月份共受理5件消费投诉，为消费者挽回经济损失0.01万元，处理成功率为100%。</w:t>
      </w:r>
    </w:p>
    <w:p>
      <w:pPr>
        <w:pageBreakBefore w:val="0"/>
        <w:kinsoku/>
        <w:wordWrap/>
        <w:overflowPunct/>
        <w:topLinePunct w:val="0"/>
        <w:bidi w:val="0"/>
        <w:adjustRightInd w:val="0"/>
        <w:snapToGrid w:val="0"/>
        <w:spacing w:line="560" w:lineRule="exact"/>
        <w:ind w:firstLine="720"/>
        <w:rPr>
          <w:rFonts w:hint="eastAsia" w:ascii="仿宋_GB2312" w:hAnsi="宋体"/>
          <w:lang w:val="zh-CN"/>
        </w:rPr>
      </w:pPr>
      <w:r>
        <w:rPr>
          <w:rFonts w:hint="eastAsia" w:ascii="仿宋_GB2312" w:hAnsi="宋?" w:eastAsia="仿宋_GB2312" w:cs="Times New Roman"/>
          <w:sz w:val="32"/>
          <w:szCs w:val="32"/>
          <w:lang w:val="en-US" w:eastAsia="zh-CN"/>
        </w:rPr>
        <w:t>加强城乡环境综合治理，强化市场巡查。为创建和谐、整洁、规范、有序的城市宜居环境，规范城区主要干道及市场经营秩序，落实好县委县政府主要领导指示精神。我局市场巡查专项执法组，不间断对辖区内开展全方位、全路段的市场环境整治工作，取得了较大成效，县城内已基本达到“零”摊位乱摆放标准。经持续不断的常态化检查有效地规范了乱摆摊点、占道经营、流动商贩随街经营等行为，市场秩序井井有条，市场面貌焕然一新。</w:t>
      </w:r>
    </w:p>
    <w:p>
      <w:pPr>
        <w:pageBreakBefore w:val="0"/>
        <w:kinsoku/>
        <w:wordWrap/>
        <w:overflowPunct/>
        <w:topLinePunct w:val="0"/>
        <w:bidi w:val="0"/>
        <w:adjustRightInd w:val="0"/>
        <w:snapToGrid w:val="0"/>
        <w:spacing w:line="560" w:lineRule="exact"/>
        <w:ind w:firstLine="720"/>
        <w:rPr>
          <w:rFonts w:hint="eastAsia" w:ascii="楷体_GB2312" w:hAnsi="宋?" w:eastAsia="楷体_GB2312" w:cs="Times New Roman"/>
          <w:b/>
          <w:sz w:val="32"/>
          <w:szCs w:val="32"/>
          <w:lang w:val="zh-CN"/>
        </w:rPr>
      </w:pPr>
      <w:r>
        <w:rPr>
          <w:rFonts w:hint="eastAsia" w:ascii="楷体_GB2312" w:hAnsi="宋?" w:eastAsia="楷体_GB2312" w:cs="Times New Roman"/>
          <w:b/>
          <w:sz w:val="32"/>
          <w:szCs w:val="32"/>
          <w:lang w:val="zh-CN"/>
        </w:rPr>
        <w:t>（二）项目资金申报相符性。</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zh-CN" w:eastAsia="zh-CN"/>
        </w:rPr>
      </w:pPr>
      <w:r>
        <w:rPr>
          <w:rFonts w:hint="eastAsia" w:ascii="仿宋_GB2312" w:hAnsi="宋?" w:eastAsia="仿宋_GB2312" w:cs="Times New Roman"/>
          <w:sz w:val="32"/>
          <w:szCs w:val="32"/>
          <w:lang w:val="zh-CN" w:eastAsia="zh-CN"/>
        </w:rPr>
        <w:t>红原县市场监督管理局项目专项资金主要用于红原县全区域的食品安全监管经费以及</w:t>
      </w:r>
      <w:r>
        <w:rPr>
          <w:rFonts w:hint="eastAsia" w:ascii="仿宋_GB2312" w:hAnsi="宋?" w:eastAsia="仿宋_GB2312" w:cs="Times New Roman"/>
          <w:sz w:val="32"/>
          <w:szCs w:val="32"/>
          <w:lang w:val="en-US" w:eastAsia="zh-CN"/>
        </w:rPr>
        <w:t>促进民营经济健康发展工作经费、质量与安全监管经费、市场综合监管经费、市场秩序维护监管经费，</w:t>
      </w:r>
      <w:r>
        <w:rPr>
          <w:rFonts w:hint="eastAsia" w:ascii="仿宋_GB2312" w:hAnsi="宋?" w:eastAsia="仿宋_GB2312" w:cs="Times New Roman"/>
          <w:sz w:val="32"/>
          <w:szCs w:val="32"/>
          <w:lang w:val="zh-CN" w:eastAsia="zh-CN"/>
        </w:rPr>
        <w:t>申报项目符合我单位实际情况。</w:t>
      </w:r>
    </w:p>
    <w:p>
      <w:pPr>
        <w:pageBreakBefore w:val="0"/>
        <w:kinsoku/>
        <w:wordWrap/>
        <w:overflowPunct/>
        <w:topLinePunct w:val="0"/>
        <w:bidi w:val="0"/>
        <w:adjustRightInd w:val="0"/>
        <w:snapToGrid w:val="0"/>
        <w:spacing w:line="560" w:lineRule="exact"/>
        <w:ind w:firstLine="720"/>
        <w:rPr>
          <w:rFonts w:hint="eastAsia" w:ascii="楷体_GB2312" w:hAnsi="宋?" w:eastAsia="楷体_GB2312" w:cs="Times New Roman"/>
          <w:b/>
          <w:sz w:val="32"/>
          <w:szCs w:val="32"/>
          <w:lang w:val="zh-CN"/>
        </w:rPr>
      </w:pPr>
    </w:p>
    <w:p>
      <w:pPr>
        <w:pageBreakBefore w:val="0"/>
        <w:kinsoku/>
        <w:wordWrap/>
        <w:overflowPunct/>
        <w:topLinePunct w:val="0"/>
        <w:bidi w:val="0"/>
        <w:adjustRightInd w:val="0"/>
        <w:snapToGrid w:val="0"/>
        <w:spacing w:line="560" w:lineRule="exact"/>
        <w:ind w:firstLine="720"/>
        <w:rPr>
          <w:rFonts w:hint="eastAsia" w:ascii="楷体_GB2312" w:hAnsi="宋?" w:eastAsia="楷体_GB2312" w:cs="Times New Roman"/>
          <w:b/>
          <w:sz w:val="32"/>
          <w:szCs w:val="32"/>
          <w:lang w:val="zh-CN"/>
        </w:rPr>
      </w:pPr>
      <w:r>
        <w:rPr>
          <w:rFonts w:hint="eastAsia" w:ascii="楷体_GB2312" w:hAnsi="宋?" w:eastAsia="楷体_GB2312" w:cs="Times New Roman"/>
          <w:b/>
          <w:sz w:val="32"/>
          <w:szCs w:val="32"/>
          <w:lang w:val="zh-CN"/>
        </w:rPr>
        <w:t>二、项目实施及管理情况</w:t>
      </w:r>
    </w:p>
    <w:p>
      <w:pPr>
        <w:pageBreakBefore w:val="0"/>
        <w:kinsoku/>
        <w:wordWrap/>
        <w:overflowPunct/>
        <w:topLinePunct w:val="0"/>
        <w:bidi w:val="0"/>
        <w:spacing w:line="560" w:lineRule="exact"/>
        <w:ind w:firstLine="643" w:firstLineChars="200"/>
        <w:rPr>
          <w:rFonts w:hint="eastAsia" w:ascii="楷体_GB2312" w:hAnsi="宋?" w:eastAsia="楷体_GB2312" w:cs="Times New Roman"/>
          <w:b/>
          <w:sz w:val="32"/>
          <w:szCs w:val="32"/>
          <w:lang w:val="zh-CN"/>
        </w:rPr>
      </w:pPr>
      <w:r>
        <w:rPr>
          <w:rFonts w:hint="eastAsia" w:ascii="楷体_GB2312" w:hAnsi="宋?" w:eastAsia="楷体_GB2312" w:cs="Times New Roman"/>
          <w:b/>
          <w:sz w:val="32"/>
          <w:szCs w:val="32"/>
          <w:lang w:val="zh-CN"/>
        </w:rPr>
        <w:tab/>
      </w:r>
      <w:r>
        <w:rPr>
          <w:rFonts w:hint="eastAsia" w:ascii="楷体_GB2312" w:hAnsi="宋?" w:eastAsia="楷体_GB2312" w:cs="Times New Roman"/>
          <w:b/>
          <w:sz w:val="32"/>
          <w:szCs w:val="32"/>
          <w:lang w:val="zh-CN"/>
        </w:rPr>
        <w:t>（一）资金计划、到位及使用情况。</w:t>
      </w:r>
    </w:p>
    <w:p>
      <w:pPr>
        <w:pageBreakBefore w:val="0"/>
        <w:kinsoku/>
        <w:wordWrap/>
        <w:overflowPunct/>
        <w:topLinePunct w:val="0"/>
        <w:bidi w:val="0"/>
        <w:spacing w:line="560" w:lineRule="exact"/>
        <w:ind w:firstLine="643" w:firstLineChars="200"/>
        <w:rPr>
          <w:rFonts w:hint="eastAsia" w:ascii="楷体_GB2312" w:hAnsi="宋?" w:eastAsia="楷体_GB2312" w:cs="Times New Roman"/>
          <w:b/>
          <w:sz w:val="32"/>
          <w:szCs w:val="32"/>
          <w:lang w:val="zh-CN" w:eastAsia="zh-CN"/>
        </w:rPr>
      </w:pPr>
      <w:r>
        <w:rPr>
          <w:rFonts w:hint="eastAsia" w:ascii="楷体_GB2312" w:hAnsi="宋?" w:eastAsia="楷体_GB2312" w:cs="Times New Roman"/>
          <w:b/>
          <w:sz w:val="32"/>
          <w:szCs w:val="32"/>
          <w:lang w:val="zh-CN" w:eastAsia="zh-CN"/>
        </w:rPr>
        <w:t>1．资金计划及到位</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zh-CN" w:eastAsia="zh-CN"/>
        </w:rPr>
        <w:t>截止</w:t>
      </w:r>
      <w:r>
        <w:rPr>
          <w:rFonts w:hint="eastAsia" w:ascii="仿宋_GB2312" w:hAnsi="宋?" w:eastAsia="仿宋_GB2312" w:cs="Times New Roman"/>
          <w:sz w:val="32"/>
          <w:szCs w:val="32"/>
          <w:lang w:val="en-US" w:eastAsia="zh-CN"/>
        </w:rPr>
        <w:t>2019年10月我2019年市场监督管理专项资金已全部到位。</w:t>
      </w:r>
    </w:p>
    <w:p>
      <w:pPr>
        <w:pageBreakBefore w:val="0"/>
        <w:kinsoku/>
        <w:wordWrap/>
        <w:overflowPunct/>
        <w:topLinePunct w:val="0"/>
        <w:bidi w:val="0"/>
        <w:spacing w:line="560" w:lineRule="exact"/>
        <w:ind w:firstLine="643" w:firstLineChars="200"/>
        <w:rPr>
          <w:rFonts w:hint="default" w:ascii="楷体_GB2312" w:hAnsi="宋?" w:eastAsia="楷体_GB2312" w:cs="Times New Roman"/>
          <w:b/>
          <w:sz w:val="32"/>
          <w:szCs w:val="32"/>
          <w:lang w:val="en-US" w:eastAsia="zh-CN"/>
        </w:rPr>
      </w:pPr>
      <w:r>
        <w:rPr>
          <w:rFonts w:hint="eastAsia" w:ascii="楷体_GB2312" w:hAnsi="宋?" w:eastAsia="楷体_GB2312" w:cs="Times New Roman"/>
          <w:b/>
          <w:sz w:val="32"/>
          <w:szCs w:val="32"/>
          <w:lang w:val="en-US" w:eastAsia="zh-CN"/>
        </w:rPr>
        <w:t>2.资金使用情况</w:t>
      </w:r>
    </w:p>
    <w:p>
      <w:pPr>
        <w:pageBreakBefore w:val="0"/>
        <w:kinsoku/>
        <w:wordWrap/>
        <w:overflowPunct/>
        <w:topLinePunct w:val="0"/>
        <w:bidi w:val="0"/>
        <w:adjustRightInd w:val="0"/>
        <w:snapToGrid w:val="0"/>
        <w:spacing w:line="560" w:lineRule="exact"/>
        <w:ind w:firstLine="720"/>
        <w:rPr>
          <w:rFonts w:hint="default"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2019年市场监督管理专项资金（阿州财行〔2019〕53号） 共计63.26万元，其中：食品安全监管经费10.76万元、促进民营经济健康发展工作经费4.5万元、质量与安全监管经费9万元、市场综合监管经费10万元、市场秩序维护监管经费29万元</w:t>
      </w:r>
      <w:r>
        <w:rPr>
          <w:rFonts w:hint="eastAsia" w:ascii="仿宋_GB2312" w:hAnsi="宋?" w:eastAsia="仿宋_GB2312" w:cs="Times New Roman"/>
          <w:sz w:val="32"/>
          <w:szCs w:val="32"/>
          <w:lang w:val="en-US" w:eastAsia="zh-CN"/>
        </w:rPr>
        <w:tab/>
      </w:r>
      <w:r>
        <w:rPr>
          <w:rFonts w:hint="eastAsia" w:ascii="仿宋_GB2312" w:hAnsi="宋?" w:eastAsia="仿宋_GB2312" w:cs="Times New Roman"/>
          <w:sz w:val="32"/>
          <w:szCs w:val="32"/>
          <w:lang w:val="en-US" w:eastAsia="zh-CN"/>
        </w:rPr>
        <w:t>，并于2019年和2020年支付下第一季度乡差旅费5.35万元，第二季度差旅费4.6万元余53.31万元。</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zh-CN" w:eastAsia="zh-CN"/>
        </w:rPr>
        <w:t>截止</w:t>
      </w:r>
      <w:r>
        <w:rPr>
          <w:rFonts w:hint="eastAsia" w:ascii="仿宋_GB2312" w:hAnsi="宋?" w:eastAsia="仿宋_GB2312" w:cs="Times New Roman"/>
          <w:sz w:val="32"/>
          <w:szCs w:val="32"/>
          <w:lang w:val="en-US" w:eastAsia="zh-CN"/>
        </w:rPr>
        <w:t>2019年10月我2019年市场监督管理专项资金已全部到位。</w:t>
      </w:r>
    </w:p>
    <w:p>
      <w:pPr>
        <w:pageBreakBefore w:val="0"/>
        <w:kinsoku/>
        <w:wordWrap/>
        <w:overflowPunct/>
        <w:topLinePunct w:val="0"/>
        <w:bidi w:val="0"/>
        <w:spacing w:line="560" w:lineRule="exact"/>
        <w:ind w:firstLine="643" w:firstLineChars="200"/>
        <w:rPr>
          <w:rFonts w:hint="eastAsia" w:ascii="楷体_GB2312" w:hAnsi="宋?" w:eastAsia="楷体_GB2312" w:cs="Times New Roman"/>
          <w:b/>
          <w:sz w:val="32"/>
          <w:szCs w:val="32"/>
          <w:lang w:val="zh-CN" w:eastAsia="zh-CN"/>
        </w:rPr>
      </w:pPr>
      <w:r>
        <w:rPr>
          <w:rFonts w:hint="eastAsia" w:ascii="楷体_GB2312" w:hAnsi="宋?" w:eastAsia="楷体_GB2312" w:cs="Times New Roman"/>
          <w:b/>
          <w:sz w:val="32"/>
          <w:szCs w:val="32"/>
          <w:lang w:val="zh-CN" w:eastAsia="zh-CN"/>
        </w:rPr>
        <w:t>（二）项目财务管理情况。</w:t>
      </w:r>
    </w:p>
    <w:p>
      <w:pPr>
        <w:pageBreakBefore w:val="0"/>
        <w:kinsoku/>
        <w:wordWrap/>
        <w:overflowPunct/>
        <w:topLinePunct w:val="0"/>
        <w:bidi w:val="0"/>
        <w:adjustRightInd w:val="0"/>
        <w:snapToGrid w:val="0"/>
        <w:spacing w:line="560" w:lineRule="exact"/>
        <w:ind w:firstLine="720"/>
        <w:rPr>
          <w:rFonts w:hint="eastAsia"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 xml:space="preserve">  近年来，在中央、省、州市场监督管理局领导的关心支持下，我局取得了促进民营经济健康发展、质量与安全监管、市场综合监管、食品药品监管及系统能力建设、中药械化不良反应及药物滥用、科普宣传、药品及医疗器械市场整治及综合监督等专项经费。我局领导对各专项资金的管理使用都高度重视，在使用时均严格按照专项资金使用的相关政策进行使用，坚决做到专款专用，强化监督，堵塞漏洞，使各专项资金能够充分发挥其应有的作用。</w:t>
      </w:r>
    </w:p>
    <w:p>
      <w:pPr>
        <w:adjustRightInd w:val="0"/>
        <w:snapToGrid w:val="0"/>
        <w:spacing w:line="600" w:lineRule="exact"/>
        <w:ind w:firstLine="720"/>
        <w:rPr>
          <w:rFonts w:ascii="仿宋_GB2312" w:hAnsi="宋体"/>
          <w:lang w:val="zh-CN"/>
        </w:rPr>
      </w:pPr>
    </w:p>
    <w:p>
      <w:pPr>
        <w:pageBreakBefore w:val="0"/>
        <w:kinsoku/>
        <w:wordWrap/>
        <w:overflowPunct/>
        <w:topLinePunct w:val="0"/>
        <w:bidi w:val="0"/>
        <w:spacing w:line="560" w:lineRule="exact"/>
        <w:ind w:firstLine="643" w:firstLineChars="200"/>
        <w:rPr>
          <w:rFonts w:hint="eastAsia" w:ascii="楷体_GB2312" w:hAnsi="宋?" w:eastAsia="楷体_GB2312" w:cs="Times New Roman"/>
          <w:b/>
          <w:sz w:val="32"/>
          <w:szCs w:val="32"/>
          <w:lang w:val="zh-CN" w:eastAsia="zh-CN"/>
        </w:rPr>
      </w:pPr>
      <w:r>
        <w:rPr>
          <w:rFonts w:hint="eastAsia" w:ascii="楷体_GB2312" w:hAnsi="宋?" w:eastAsia="楷体_GB2312" w:cs="Times New Roman"/>
          <w:b/>
          <w:sz w:val="32"/>
          <w:szCs w:val="32"/>
          <w:lang w:val="zh-CN" w:eastAsia="zh-CN"/>
        </w:rPr>
        <w:t>三、下一步改进措施</w:t>
      </w:r>
    </w:p>
    <w:p>
      <w:pPr>
        <w:widowControl/>
        <w:ind w:firstLine="643" w:firstLineChars="200"/>
        <w:rPr>
          <w:rFonts w:hint="eastAsia" w:ascii="楷体_GB2312" w:hAnsi="宋?" w:eastAsia="楷体_GB2312" w:cs="Times New Roman"/>
          <w:b/>
          <w:sz w:val="32"/>
          <w:szCs w:val="32"/>
          <w:lang w:val="zh-CN" w:eastAsia="zh-CN"/>
        </w:rPr>
      </w:pPr>
      <w:r>
        <w:rPr>
          <w:rFonts w:hint="eastAsia" w:ascii="楷体_GB2312" w:hAnsi="宋?" w:eastAsia="楷体_GB2312" w:cs="Times New Roman"/>
          <w:b/>
          <w:sz w:val="32"/>
          <w:szCs w:val="32"/>
          <w:lang w:val="zh-CN" w:eastAsia="zh-CN"/>
        </w:rPr>
        <w:t>（一）完善管理制度</w:t>
      </w:r>
    </w:p>
    <w:p>
      <w:pPr>
        <w:widowControl/>
        <w:ind w:firstLine="640" w:firstLineChars="200"/>
        <w:rPr>
          <w:rFonts w:ascii="仿宋" w:hAnsi="仿宋" w:eastAsia="仿宋" w:cs="宋体"/>
          <w:kern w:val="0"/>
          <w:sz w:val="32"/>
          <w:szCs w:val="32"/>
        </w:rPr>
      </w:pPr>
      <w:r>
        <w:rPr>
          <w:rFonts w:hint="eastAsia" w:ascii="仿宋_GB2312" w:hAnsi="宋?" w:eastAsia="仿宋_GB2312" w:cs="Times New Roman"/>
          <w:sz w:val="32"/>
          <w:szCs w:val="32"/>
          <w:lang w:val="en-US" w:eastAsia="zh-CN"/>
        </w:rPr>
        <w:t>确保资金安全进一步细化专项资金的使用、管理制度，建立健全专项资金的审核制度、内控制度和资金使用台账制度，确保资金安全，专款专用。</w:t>
      </w:r>
      <w:r>
        <w:rPr>
          <w:rFonts w:hint="eastAsia" w:ascii="仿宋" w:hAnsi="仿宋" w:eastAsia="仿宋" w:cs="宋体"/>
          <w:kern w:val="0"/>
          <w:sz w:val="32"/>
          <w:szCs w:val="32"/>
        </w:rPr>
        <w:t xml:space="preserve"> </w:t>
      </w:r>
    </w:p>
    <w:p>
      <w:pPr>
        <w:widowControl/>
        <w:ind w:firstLine="643" w:firstLineChars="200"/>
        <w:rPr>
          <w:rFonts w:hint="eastAsia" w:ascii="楷体_GB2312" w:hAnsi="宋?" w:eastAsia="楷体_GB2312" w:cs="Times New Roman"/>
          <w:b/>
          <w:sz w:val="32"/>
          <w:szCs w:val="32"/>
          <w:lang w:val="zh-CN" w:eastAsia="zh-CN"/>
        </w:rPr>
      </w:pPr>
      <w:r>
        <w:rPr>
          <w:rFonts w:hint="eastAsia" w:ascii="楷体_GB2312" w:hAnsi="宋?" w:eastAsia="楷体_GB2312" w:cs="Times New Roman"/>
          <w:b/>
          <w:sz w:val="32"/>
          <w:szCs w:val="32"/>
          <w:lang w:val="zh-CN" w:eastAsia="zh-CN"/>
        </w:rPr>
        <w:t xml:space="preserve">（二）防微杜渐，扎实开展警示教育 </w:t>
      </w:r>
    </w:p>
    <w:p>
      <w:pPr>
        <w:widowControl/>
        <w:ind w:firstLine="640" w:firstLineChars="200"/>
        <w:rPr>
          <w:rFonts w:hint="eastAsia" w:ascii="楷体_GB2312" w:hAnsi="宋?" w:eastAsia="楷体_GB2312" w:cs="Times New Roman"/>
          <w:b/>
          <w:sz w:val="32"/>
          <w:szCs w:val="32"/>
          <w:lang w:val="zh-CN" w:eastAsia="zh-CN"/>
        </w:rPr>
      </w:pPr>
      <w:r>
        <w:rPr>
          <w:rFonts w:hint="eastAsia" w:ascii="仿宋_GB2312" w:hAnsi="宋?" w:eastAsia="仿宋_GB2312" w:cs="Times New Roman"/>
          <w:sz w:val="32"/>
          <w:szCs w:val="32"/>
          <w:lang w:val="en-US" w:eastAsia="zh-CN"/>
        </w:rPr>
        <w:t>坚持深入开展警示教育，注重专项资金管理的严肃性，强化干部职工遵规守纪教育，做到防微杜渐，警钟长鸣，高度负责地履行工作职责，构建规范权力运行的长效机制，牢固树立专项资金是开展专项工作的“生命线”、“高压线”的观念，切实增强各专项资金的安全意识，坚决杜绝专项资金的截留、挤占、挪用等现象，确保我局各专项资金的使用安全。我们将进一步强化法治意识，提高管理水平，坚持专款专用，重点使用原则，监督、管理好专项资金。加大督促检查工作力度，及时向上级部门反馈各项专项资金的使用情况，提高工作效率和科学化管理水平，保证专项资金安全有效的使用，确保民众饮食用药安全。</w:t>
      </w:r>
    </w:p>
    <w:p>
      <w:pPr>
        <w:widowControl/>
        <w:ind w:firstLine="643" w:firstLineChars="200"/>
        <w:rPr>
          <w:rFonts w:hint="eastAsia" w:ascii="楷体_GB2312" w:hAnsi="宋?" w:eastAsia="楷体_GB2312" w:cs="Times New Roman"/>
          <w:b/>
          <w:sz w:val="32"/>
          <w:szCs w:val="32"/>
          <w:lang w:val="zh-CN" w:eastAsia="zh-CN"/>
        </w:rPr>
      </w:pPr>
      <w:r>
        <w:rPr>
          <w:rFonts w:hint="eastAsia" w:ascii="楷体_GB2312" w:hAnsi="宋?" w:eastAsia="楷体_GB2312" w:cs="Times New Roman"/>
          <w:b/>
          <w:sz w:val="32"/>
          <w:szCs w:val="32"/>
          <w:lang w:val="zh-CN" w:eastAsia="zh-CN"/>
        </w:rPr>
        <w:t>（三）绩效自评结果拟应用和公开情况</w:t>
      </w:r>
    </w:p>
    <w:p>
      <w:pPr>
        <w:widowControl/>
        <w:ind w:firstLine="640" w:firstLineChars="200"/>
        <w:rPr>
          <w:rFonts w:hint="default" w:ascii="仿宋_GB2312" w:hAnsi="宋?" w:eastAsia="仿宋_GB2312" w:cs="Times New Roman"/>
          <w:sz w:val="32"/>
          <w:szCs w:val="32"/>
          <w:lang w:val="en-US" w:eastAsia="zh-CN"/>
        </w:rPr>
      </w:pPr>
      <w:r>
        <w:rPr>
          <w:rFonts w:hint="eastAsia" w:ascii="仿宋_GB2312" w:hAnsi="宋?" w:eastAsia="仿宋_GB2312" w:cs="Times New Roman"/>
          <w:sz w:val="32"/>
          <w:szCs w:val="32"/>
          <w:lang w:val="en-US" w:eastAsia="zh-CN"/>
        </w:rPr>
        <w:t>我单位省级药品补助资金使用情况已编入本部门决算并依法公开，接受监督。</w:t>
      </w:r>
    </w:p>
    <w:p>
      <w:pPr>
        <w:spacing w:line="600" w:lineRule="exact"/>
        <w:jc w:val="center"/>
        <w:outlineLvl w:val="9"/>
        <w:rPr>
          <w:rStyle w:val="27"/>
          <w:rFonts w:ascii="黑体" w:hAnsi="黑体" w:eastAsia="黑体"/>
          <w:b w:val="0"/>
        </w:rPr>
      </w:pPr>
    </w:p>
    <w:p>
      <w:pPr>
        <w:pStyle w:val="2"/>
        <w:rPr>
          <w:rStyle w:val="27"/>
          <w:rFonts w:ascii="黑体" w:hAnsi="黑体" w:eastAsia="黑体"/>
          <w:b w:val="0"/>
        </w:rPr>
      </w:pPr>
    </w:p>
    <w:p>
      <w:pPr>
        <w:pStyle w:val="2"/>
        <w:rPr>
          <w:rStyle w:val="27"/>
          <w:rFonts w:ascii="黑体" w:hAnsi="黑体" w:eastAsia="黑体"/>
          <w:b w:val="0"/>
        </w:rPr>
      </w:pPr>
    </w:p>
    <w:p>
      <w:pPr>
        <w:pStyle w:val="2"/>
        <w:rPr>
          <w:rStyle w:val="27"/>
          <w:rFonts w:ascii="黑体" w:hAnsi="黑体" w:eastAsia="黑体"/>
          <w:b w:val="0"/>
        </w:rPr>
      </w:pPr>
    </w:p>
    <w:p>
      <w:pPr>
        <w:pStyle w:val="2"/>
        <w:rPr>
          <w:rStyle w:val="27"/>
          <w:rFonts w:ascii="黑体" w:hAnsi="黑体" w:eastAsia="黑体"/>
          <w:b w:val="0"/>
        </w:rPr>
      </w:pPr>
    </w:p>
    <w:p>
      <w:pPr>
        <w:pStyle w:val="2"/>
        <w:rPr>
          <w:rStyle w:val="27"/>
          <w:rFonts w:ascii="黑体" w:hAnsi="黑体" w:eastAsia="黑体"/>
          <w:b w:val="0"/>
        </w:rPr>
      </w:pPr>
    </w:p>
    <w:p>
      <w:pPr>
        <w:pStyle w:val="2"/>
        <w:rPr>
          <w:rStyle w:val="27"/>
          <w:rFonts w:ascii="黑体" w:hAnsi="黑体" w:eastAsia="黑体"/>
          <w:b w:val="0"/>
        </w:rPr>
      </w:pPr>
    </w:p>
    <w:p>
      <w:pPr>
        <w:spacing w:line="600" w:lineRule="exact"/>
        <w:jc w:val="center"/>
        <w:outlineLvl w:val="0"/>
        <w:rPr>
          <w:rStyle w:val="27"/>
          <w:rFonts w:ascii="黑体" w:hAnsi="黑体" w:eastAsia="黑体"/>
          <w:b w:val="0"/>
        </w:rPr>
      </w:pPr>
      <w:bookmarkStart w:id="107" w:name="_Toc15396618"/>
      <w:bookmarkStart w:id="108" w:name="_Toc7562"/>
      <w:bookmarkStart w:id="109" w:name="_Toc11611"/>
      <w:r>
        <w:rPr>
          <w:rFonts w:hint="eastAsia" w:ascii="黑体" w:hAnsi="黑体" w:eastAsia="黑体"/>
          <w:color w:val="000000"/>
          <w:sz w:val="44"/>
          <w:szCs w:val="44"/>
        </w:rPr>
        <w:t>第</w:t>
      </w:r>
      <w:r>
        <w:rPr>
          <w:rStyle w:val="27"/>
          <w:rFonts w:hint="eastAsia" w:ascii="黑体" w:hAnsi="黑体" w:eastAsia="黑体"/>
          <w:b w:val="0"/>
        </w:rPr>
        <w:t>五部分 附表</w:t>
      </w:r>
      <w:bookmarkEnd w:id="102"/>
      <w:bookmarkEnd w:id="107"/>
      <w:bookmarkEnd w:id="108"/>
      <w:bookmarkEnd w:id="109"/>
    </w:p>
    <w:p>
      <w:pPr>
        <w:spacing w:line="600" w:lineRule="exact"/>
        <w:jc w:val="center"/>
        <w:outlineLvl w:val="9"/>
        <w:rPr>
          <w:rFonts w:ascii="仿宋" w:hAnsi="仿宋" w:eastAsia="仿宋"/>
          <w:b/>
          <w:color w:val="000000"/>
          <w:sz w:val="44"/>
          <w:szCs w:val="44"/>
        </w:rPr>
      </w:pPr>
    </w:p>
    <w:p>
      <w:pPr>
        <w:pStyle w:val="5"/>
        <w:rPr>
          <w:rFonts w:ascii="仿宋" w:hAnsi="仿宋" w:eastAsia="仿宋"/>
          <w:color w:val="000000"/>
        </w:rPr>
      </w:pPr>
      <w:bookmarkStart w:id="110" w:name="_Toc15396619"/>
      <w:bookmarkStart w:id="111" w:name="_Toc30928"/>
      <w:bookmarkStart w:id="112" w:name="_Toc31006"/>
      <w:r>
        <w:rPr>
          <w:rFonts w:hint="eastAsia" w:ascii="仿宋" w:hAnsi="仿宋" w:eastAsia="仿宋"/>
          <w:b w:val="0"/>
          <w:color w:val="000000"/>
        </w:rPr>
        <w:t>一、收</w:t>
      </w:r>
      <w:r>
        <w:rPr>
          <w:rStyle w:val="28"/>
          <w:rFonts w:hint="eastAsia" w:ascii="仿宋" w:hAnsi="仿宋" w:eastAsia="仿宋"/>
          <w:b w:val="0"/>
          <w:bCs w:val="0"/>
        </w:rPr>
        <w:t>入支出决算总表</w:t>
      </w:r>
      <w:bookmarkEnd w:id="110"/>
      <w:bookmarkEnd w:id="111"/>
      <w:bookmarkEnd w:id="112"/>
    </w:p>
    <w:p>
      <w:pPr>
        <w:pStyle w:val="5"/>
        <w:rPr>
          <w:rFonts w:ascii="仿宋" w:hAnsi="仿宋" w:eastAsia="仿宋"/>
          <w:color w:val="000000"/>
        </w:rPr>
      </w:pPr>
      <w:bookmarkStart w:id="113" w:name="_Toc15396620"/>
      <w:bookmarkStart w:id="114" w:name="_Toc29332"/>
      <w:bookmarkStart w:id="115" w:name="_Toc3196"/>
      <w:r>
        <w:rPr>
          <w:rFonts w:hint="eastAsia" w:ascii="仿宋" w:hAnsi="仿宋" w:eastAsia="仿宋"/>
          <w:b w:val="0"/>
          <w:color w:val="000000"/>
        </w:rPr>
        <w:t>二、收</w:t>
      </w:r>
      <w:r>
        <w:rPr>
          <w:rStyle w:val="28"/>
          <w:rFonts w:hint="eastAsia" w:ascii="仿宋" w:hAnsi="仿宋" w:eastAsia="仿宋"/>
          <w:b w:val="0"/>
          <w:bCs w:val="0"/>
        </w:rPr>
        <w:t>入决算表</w:t>
      </w:r>
      <w:bookmarkEnd w:id="113"/>
      <w:bookmarkEnd w:id="114"/>
      <w:bookmarkEnd w:id="115"/>
    </w:p>
    <w:p>
      <w:pPr>
        <w:pStyle w:val="5"/>
        <w:rPr>
          <w:rFonts w:ascii="仿宋" w:hAnsi="仿宋" w:eastAsia="仿宋"/>
          <w:color w:val="000000"/>
        </w:rPr>
      </w:pPr>
      <w:bookmarkStart w:id="116" w:name="_Toc15396621"/>
      <w:bookmarkStart w:id="117" w:name="_Toc947"/>
      <w:bookmarkStart w:id="118" w:name="_Toc26398"/>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16"/>
      <w:bookmarkEnd w:id="117"/>
      <w:bookmarkEnd w:id="118"/>
    </w:p>
    <w:p>
      <w:pPr>
        <w:pStyle w:val="5"/>
        <w:rPr>
          <w:rFonts w:ascii="仿宋" w:hAnsi="仿宋" w:eastAsia="仿宋"/>
          <w:b w:val="0"/>
          <w:color w:val="000000"/>
        </w:rPr>
      </w:pPr>
      <w:bookmarkStart w:id="119" w:name="_Toc12674"/>
      <w:bookmarkStart w:id="120" w:name="_Toc15396622"/>
      <w:bookmarkStart w:id="121" w:name="_Toc2840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19"/>
      <w:bookmarkEnd w:id="120"/>
      <w:bookmarkEnd w:id="121"/>
    </w:p>
    <w:p>
      <w:pPr>
        <w:pStyle w:val="5"/>
        <w:rPr>
          <w:rStyle w:val="28"/>
          <w:rFonts w:ascii="仿宋" w:hAnsi="仿宋" w:eastAsia="仿宋"/>
          <w:b w:val="0"/>
          <w:bCs w:val="0"/>
        </w:rPr>
      </w:pPr>
      <w:bookmarkStart w:id="122" w:name="_Toc12100"/>
      <w:bookmarkStart w:id="123" w:name="_Toc15396623"/>
      <w:bookmarkStart w:id="124" w:name="_Toc20091"/>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22"/>
      <w:bookmarkEnd w:id="123"/>
      <w:bookmarkEnd w:id="124"/>
      <w:bookmarkStart w:id="125" w:name="_Toc15396624"/>
    </w:p>
    <w:p>
      <w:pPr>
        <w:pStyle w:val="5"/>
        <w:rPr>
          <w:rFonts w:ascii="仿宋" w:hAnsi="仿宋" w:eastAsia="仿宋"/>
          <w:color w:val="000000"/>
        </w:rPr>
      </w:pPr>
      <w:bookmarkStart w:id="126" w:name="_Toc24673"/>
      <w:bookmarkStart w:id="127" w:name="_Toc20552"/>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25"/>
      <w:bookmarkEnd w:id="126"/>
      <w:bookmarkEnd w:id="127"/>
    </w:p>
    <w:p>
      <w:pPr>
        <w:pStyle w:val="5"/>
        <w:rPr>
          <w:rFonts w:ascii="仿宋" w:hAnsi="仿宋" w:eastAsia="仿宋"/>
          <w:color w:val="000000"/>
        </w:rPr>
      </w:pPr>
      <w:bookmarkStart w:id="128" w:name="_Toc19987"/>
      <w:bookmarkStart w:id="129" w:name="_Toc15396625"/>
      <w:bookmarkStart w:id="130" w:name="_Toc6486"/>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28"/>
      <w:bookmarkEnd w:id="129"/>
      <w:bookmarkEnd w:id="130"/>
    </w:p>
    <w:p>
      <w:pPr>
        <w:pStyle w:val="5"/>
        <w:rPr>
          <w:rFonts w:ascii="仿宋" w:hAnsi="仿宋" w:eastAsia="仿宋"/>
          <w:color w:val="000000"/>
        </w:rPr>
      </w:pPr>
      <w:bookmarkStart w:id="131" w:name="_Toc16722"/>
      <w:bookmarkStart w:id="132" w:name="_Toc15396626"/>
      <w:bookmarkStart w:id="133" w:name="_Toc950"/>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31"/>
      <w:bookmarkEnd w:id="132"/>
      <w:bookmarkEnd w:id="133"/>
    </w:p>
    <w:p>
      <w:pPr>
        <w:pStyle w:val="5"/>
        <w:rPr>
          <w:rFonts w:ascii="仿宋" w:hAnsi="仿宋" w:eastAsia="仿宋"/>
          <w:color w:val="000000"/>
        </w:rPr>
      </w:pPr>
      <w:bookmarkStart w:id="134" w:name="_Toc13382"/>
      <w:bookmarkStart w:id="135" w:name="_Toc15396627"/>
      <w:bookmarkStart w:id="136" w:name="_Toc8490"/>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34"/>
      <w:bookmarkEnd w:id="135"/>
      <w:bookmarkEnd w:id="136"/>
    </w:p>
    <w:p>
      <w:pPr>
        <w:pStyle w:val="5"/>
        <w:rPr>
          <w:rFonts w:ascii="仿宋" w:hAnsi="仿宋" w:eastAsia="仿宋"/>
          <w:color w:val="000000"/>
        </w:rPr>
      </w:pPr>
      <w:bookmarkStart w:id="137" w:name="_Toc15396628"/>
      <w:bookmarkStart w:id="138" w:name="_Toc12355"/>
      <w:bookmarkStart w:id="139" w:name="_Toc27525"/>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37"/>
      <w:bookmarkEnd w:id="138"/>
      <w:bookmarkEnd w:id="139"/>
    </w:p>
    <w:p>
      <w:pPr>
        <w:pStyle w:val="5"/>
        <w:rPr>
          <w:rFonts w:ascii="仿宋" w:hAnsi="仿宋" w:eastAsia="仿宋"/>
          <w:color w:val="000000"/>
        </w:rPr>
      </w:pPr>
      <w:bookmarkStart w:id="140" w:name="_Toc15396629"/>
      <w:bookmarkStart w:id="141" w:name="_Toc19695"/>
      <w:bookmarkStart w:id="142" w:name="_Toc15105"/>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40"/>
      <w:bookmarkEnd w:id="141"/>
      <w:bookmarkEnd w:id="142"/>
    </w:p>
    <w:p>
      <w:pPr>
        <w:pStyle w:val="5"/>
        <w:rPr>
          <w:rFonts w:ascii="仿宋" w:hAnsi="仿宋" w:eastAsia="仿宋"/>
          <w:color w:val="000000"/>
        </w:rPr>
      </w:pPr>
      <w:bookmarkStart w:id="143" w:name="_Toc15396630"/>
      <w:bookmarkStart w:id="144" w:name="_Toc22389"/>
      <w:bookmarkStart w:id="145" w:name="_Toc15571"/>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43"/>
      <w:bookmarkEnd w:id="144"/>
      <w:bookmarkEnd w:id="145"/>
    </w:p>
    <w:p>
      <w:pPr>
        <w:pStyle w:val="5"/>
        <w:rPr>
          <w:rFonts w:ascii="仿宋" w:hAnsi="仿宋" w:eastAsia="仿宋"/>
          <w:color w:val="000000" w:themeColor="text1"/>
          <w14:textFill>
            <w14:solidFill>
              <w14:schemeClr w14:val="tx1"/>
            </w14:solidFill>
          </w14:textFill>
        </w:rPr>
      </w:pPr>
      <w:bookmarkStart w:id="146" w:name="_Toc15396631"/>
      <w:bookmarkStart w:id="147" w:name="_Toc7922"/>
      <w:bookmarkStart w:id="148" w:name="_Toc12990"/>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146"/>
      <w:bookmarkEnd w:id="147"/>
      <w:bookmarkEnd w:id="148"/>
    </w:p>
    <w:sectPr>
      <w:footerReference r:id="rId8" w:type="first"/>
      <w:footerReference r:id="rId7"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81"/>
    <w:family w:val="roman"/>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宋?">
    <w:altName w:val="方正书宋_GBK"/>
    <w:panose1 w:val="00000000000000000000"/>
    <w:charset w:val="81"/>
    <w:family w:val="roman"/>
    <w:pitch w:val="default"/>
    <w:sig w:usb0="00000000" w:usb1="00000000" w:usb2="00000010" w:usb3="00000000" w:csb0="00080000" w:csb1="00000000"/>
  </w:font>
  <w:font w:name="楷体_GB2312">
    <w:panose1 w:val="02010609030101010101"/>
    <w:charset w:val="86"/>
    <w:family w:val="modern"/>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
                          </w:sdtPr>
                          <w:sdtEndPr>
                            <w:rPr>
                              <w:rFonts w:hint="eastAsia" w:eastAsia="宋体" w:cs="Times New Roman"/>
                              <w:sz w:val="28"/>
                              <w:szCs w:val="28"/>
                              <w:lang w:eastAsia="zh-CN"/>
                            </w:rPr>
                          </w:sdtEndPr>
                          <w:sdtContent>
                            <w:p>
                              <w:pPr>
                                <w:pStyle w:val="10"/>
                                <w:jc w:val="center"/>
                                <w:rPr>
                                  <w:rFonts w:hint="eastAsia" w:eastAsia="宋体" w:cs="Times New Roman"/>
                                  <w:sz w:val="28"/>
                                  <w:szCs w:val="28"/>
                                  <w:lang w:eastAsia="zh-CN"/>
                                </w:rPr>
                              </w:pPr>
                              <w:r>
                                <w:rPr>
                                  <w:rFonts w:hint="eastAsia" w:eastAsia="宋体" w:cs="Times New Roman"/>
                                  <w:sz w:val="28"/>
                                  <w:szCs w:val="28"/>
                                  <w:lang w:eastAsia="zh-CN"/>
                                </w:rPr>
                                <w:fldChar w:fldCharType="begin"/>
                              </w:r>
                              <w:r>
                                <w:rPr>
                                  <w:rFonts w:hint="eastAsia" w:eastAsia="宋体" w:cs="Times New Roman"/>
                                  <w:sz w:val="28"/>
                                  <w:szCs w:val="28"/>
                                  <w:lang w:eastAsia="zh-CN"/>
                                </w:rPr>
                                <w:instrText xml:space="preserve">PAGE   \* MERGEFORMAT</w:instrText>
                              </w:r>
                              <w:r>
                                <w:rPr>
                                  <w:rFonts w:hint="eastAsia" w:eastAsia="宋体" w:cs="Times New Roman"/>
                                  <w:sz w:val="28"/>
                                  <w:szCs w:val="28"/>
                                  <w:lang w:eastAsia="zh-CN"/>
                                </w:rPr>
                                <w:fldChar w:fldCharType="separate"/>
                              </w:r>
                              <w:r>
                                <w:rPr>
                                  <w:rFonts w:hint="eastAsia" w:eastAsia="宋体" w:cs="Times New Roman"/>
                                  <w:sz w:val="28"/>
                                  <w:szCs w:val="28"/>
                                  <w:lang w:val="zh-CN" w:eastAsia="zh-CN"/>
                                </w:rPr>
                                <w:t>2</w:t>
                              </w:r>
                              <w:r>
                                <w:rPr>
                                  <w:rFonts w:hint="eastAsia" w:eastAsia="宋体" w:cs="Times New Roman"/>
                                  <w:sz w:val="28"/>
                                  <w:szCs w:val="28"/>
                                  <w:lang w:eastAsia="zh-CN"/>
                                </w:rPr>
                                <w:fldChar w:fldCharType="end"/>
                              </w:r>
                            </w:p>
                          </w:sdtContent>
                        </w:sdt>
                        <w:p>
                          <w:pPr>
                            <w:pStyle w:val="2"/>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Q5IxHJAQAAmQMAAA4AAABkcnMv&#10;ZTJvRG9jLnhtbK1TzY7TMBC+I/EOlu/U2UqL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JDkjEckBAACZAwAADgAAAAAA&#10;AAABACAAAAA0AQAAZHJzL2Uyb0RvYy54bWxQSwUGAAAAAAYABgBZAQAAbwUAAAAA&#10;">
              <v:fill on="f" focussize="0,0"/>
              <v:stroke on="f"/>
              <v:imagedata o:title=""/>
              <o:lock v:ext="edit" aspectratio="f"/>
              <v:textbox inset="0mm,0mm,0mm,0mm" style="mso-fit-shape-to-text:t;">
                <w:txbxContent>
                  <w:sdt>
                    <w:sdtPr>
                      <w:id w:val="-1"/>
                    </w:sdtPr>
                    <w:sdtEndPr>
                      <w:rPr>
                        <w:rFonts w:hint="eastAsia" w:eastAsia="宋体" w:cs="Times New Roman"/>
                        <w:sz w:val="28"/>
                        <w:szCs w:val="28"/>
                        <w:lang w:eastAsia="zh-CN"/>
                      </w:rPr>
                    </w:sdtEndPr>
                    <w:sdtContent>
                      <w:p>
                        <w:pPr>
                          <w:pStyle w:val="10"/>
                          <w:jc w:val="center"/>
                          <w:rPr>
                            <w:rFonts w:hint="eastAsia" w:eastAsia="宋体" w:cs="Times New Roman"/>
                            <w:sz w:val="28"/>
                            <w:szCs w:val="28"/>
                            <w:lang w:eastAsia="zh-CN"/>
                          </w:rPr>
                        </w:pPr>
                        <w:r>
                          <w:rPr>
                            <w:rFonts w:hint="eastAsia" w:eastAsia="宋体" w:cs="Times New Roman"/>
                            <w:sz w:val="28"/>
                            <w:szCs w:val="28"/>
                            <w:lang w:eastAsia="zh-CN"/>
                          </w:rPr>
                          <w:fldChar w:fldCharType="begin"/>
                        </w:r>
                        <w:r>
                          <w:rPr>
                            <w:rFonts w:hint="eastAsia" w:eastAsia="宋体" w:cs="Times New Roman"/>
                            <w:sz w:val="28"/>
                            <w:szCs w:val="28"/>
                            <w:lang w:eastAsia="zh-CN"/>
                          </w:rPr>
                          <w:instrText xml:space="preserve">PAGE   \* MERGEFORMAT</w:instrText>
                        </w:r>
                        <w:r>
                          <w:rPr>
                            <w:rFonts w:hint="eastAsia" w:eastAsia="宋体" w:cs="Times New Roman"/>
                            <w:sz w:val="28"/>
                            <w:szCs w:val="28"/>
                            <w:lang w:eastAsia="zh-CN"/>
                          </w:rPr>
                          <w:fldChar w:fldCharType="separate"/>
                        </w:r>
                        <w:r>
                          <w:rPr>
                            <w:rFonts w:hint="eastAsia" w:eastAsia="宋体" w:cs="Times New Roman"/>
                            <w:sz w:val="28"/>
                            <w:szCs w:val="28"/>
                            <w:lang w:val="zh-CN" w:eastAsia="zh-CN"/>
                          </w:rPr>
                          <w:t>2</w:t>
                        </w:r>
                        <w:r>
                          <w:rPr>
                            <w:rFonts w:hint="eastAsia" w:eastAsia="宋体" w:cs="Times New Roman"/>
                            <w:sz w:val="28"/>
                            <w:szCs w:val="28"/>
                            <w:lang w:eastAsia="zh-CN"/>
                          </w:rPr>
                          <w:fldChar w:fldCharType="end"/>
                        </w:r>
                      </w:p>
                    </w:sdtContent>
                  </w:sdt>
                  <w:p>
                    <w:pPr>
                      <w:pStyle w:val="2"/>
                    </w:pPr>
                  </w:p>
                </w:txbxContent>
              </v:textbox>
            </v:shape>
          </w:pict>
        </mc:Fallback>
      </mc:AlternateContent>
    </w:r>
  </w:p>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sz w:val="24"/>
        <w:szCs w:val="24"/>
      </w:rPr>
    </w:pPr>
    <w:r>
      <w:rPr>
        <w:sz w:val="24"/>
        <w:szCs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jc w:val="center"/>
                            <w:rPr>
                              <w:rFonts w:hint="eastAsia" w:eastAsia="宋体" w:cs="Times New Roman"/>
                              <w:sz w:val="28"/>
                              <w:szCs w:val="28"/>
                              <w:lang w:eastAsia="zh-CN"/>
                            </w:rPr>
                          </w:pPr>
                          <w:sdt>
                            <w:sdtPr>
                              <w:id w:val="-1"/>
                            </w:sdtPr>
                            <w:sdtEndPr>
                              <w:rPr>
                                <w:rFonts w:hint="eastAsia" w:eastAsia="宋体" w:cs="Times New Roman"/>
                                <w:sz w:val="28"/>
                                <w:szCs w:val="28"/>
                                <w:lang w:eastAsia="zh-CN"/>
                              </w:rPr>
                            </w:sdtEndPr>
                            <w:sdtContent>
                              <w:r>
                                <w:rPr>
                                  <w:rFonts w:hint="eastAsia" w:eastAsia="宋体" w:cs="Times New Roman"/>
                                  <w:sz w:val="28"/>
                                  <w:szCs w:val="28"/>
                                  <w:lang w:eastAsia="zh-CN"/>
                                </w:rPr>
                                <w:fldChar w:fldCharType="begin"/>
                              </w:r>
                              <w:r>
                                <w:rPr>
                                  <w:rFonts w:hint="eastAsia" w:eastAsia="宋体" w:cs="Times New Roman"/>
                                  <w:sz w:val="28"/>
                                  <w:szCs w:val="28"/>
                                  <w:lang w:eastAsia="zh-CN"/>
                                </w:rPr>
                                <w:instrText xml:space="preserve">PAGE   \* MERGEFORMAT</w:instrText>
                              </w:r>
                              <w:r>
                                <w:rPr>
                                  <w:rFonts w:hint="eastAsia" w:eastAsia="宋体" w:cs="Times New Roman"/>
                                  <w:sz w:val="28"/>
                                  <w:szCs w:val="28"/>
                                  <w:lang w:eastAsia="zh-CN"/>
                                </w:rPr>
                                <w:fldChar w:fldCharType="separate"/>
                              </w:r>
                              <w:r>
                                <w:rPr>
                                  <w:rFonts w:hint="eastAsia" w:eastAsia="宋体" w:cs="Times New Roman"/>
                                  <w:sz w:val="28"/>
                                  <w:szCs w:val="28"/>
                                  <w:lang w:val="zh-CN" w:eastAsia="zh-CN"/>
                                </w:rPr>
                                <w:t>2</w:t>
                              </w:r>
                              <w:r>
                                <w:rPr>
                                  <w:rFonts w:hint="eastAsia" w:eastAsia="宋体" w:cs="Times New Roman"/>
                                  <w:sz w:val="28"/>
                                  <w:szCs w:val="28"/>
                                  <w:lang w:eastAsia="zh-CN"/>
                                </w:rPr>
                                <w:fldChar w:fldCharType="end"/>
                              </w:r>
                            </w:sdtContent>
                          </w:sdt>
                        </w:p>
                        <w:p>
                          <w:pPr>
                            <w:pStyle w:val="10"/>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0kvpJyAEAAJkDAAAOAAAAAAAA&#10;AAEAIAAAADQBAABkcnMvZTJvRG9jLnhtbFBLBQYAAAAABgAGAFkBAABuBQAAAAA=&#10;">
              <v:fill on="f" focussize="0,0"/>
              <v:stroke on="f"/>
              <v:imagedata o:title=""/>
              <o:lock v:ext="edit" aspectratio="f"/>
              <v:textbox inset="0mm,0mm,0mm,0mm" style="mso-fit-shape-to-text:t;">
                <w:txbxContent>
                  <w:p>
                    <w:pPr>
                      <w:pStyle w:val="10"/>
                      <w:jc w:val="center"/>
                      <w:rPr>
                        <w:rFonts w:hint="eastAsia" w:eastAsia="宋体" w:cs="Times New Roman"/>
                        <w:sz w:val="28"/>
                        <w:szCs w:val="28"/>
                        <w:lang w:eastAsia="zh-CN"/>
                      </w:rPr>
                    </w:pPr>
                    <w:sdt>
                      <w:sdtPr>
                        <w:id w:val="-1"/>
                      </w:sdtPr>
                      <w:sdtEndPr>
                        <w:rPr>
                          <w:rFonts w:hint="eastAsia" w:eastAsia="宋体" w:cs="Times New Roman"/>
                          <w:sz w:val="28"/>
                          <w:szCs w:val="28"/>
                          <w:lang w:eastAsia="zh-CN"/>
                        </w:rPr>
                      </w:sdtEndPr>
                      <w:sdtContent>
                        <w:r>
                          <w:rPr>
                            <w:rFonts w:hint="eastAsia" w:eastAsia="宋体" w:cs="Times New Roman"/>
                            <w:sz w:val="28"/>
                            <w:szCs w:val="28"/>
                            <w:lang w:eastAsia="zh-CN"/>
                          </w:rPr>
                          <w:fldChar w:fldCharType="begin"/>
                        </w:r>
                        <w:r>
                          <w:rPr>
                            <w:rFonts w:hint="eastAsia" w:eastAsia="宋体" w:cs="Times New Roman"/>
                            <w:sz w:val="28"/>
                            <w:szCs w:val="28"/>
                            <w:lang w:eastAsia="zh-CN"/>
                          </w:rPr>
                          <w:instrText xml:space="preserve">PAGE   \* MERGEFORMAT</w:instrText>
                        </w:r>
                        <w:r>
                          <w:rPr>
                            <w:rFonts w:hint="eastAsia" w:eastAsia="宋体" w:cs="Times New Roman"/>
                            <w:sz w:val="28"/>
                            <w:szCs w:val="28"/>
                            <w:lang w:eastAsia="zh-CN"/>
                          </w:rPr>
                          <w:fldChar w:fldCharType="separate"/>
                        </w:r>
                        <w:r>
                          <w:rPr>
                            <w:rFonts w:hint="eastAsia" w:eastAsia="宋体" w:cs="Times New Roman"/>
                            <w:sz w:val="28"/>
                            <w:szCs w:val="28"/>
                            <w:lang w:val="zh-CN" w:eastAsia="zh-CN"/>
                          </w:rPr>
                          <w:t>2</w:t>
                        </w:r>
                        <w:r>
                          <w:rPr>
                            <w:rFonts w:hint="eastAsia" w:eastAsia="宋体" w:cs="Times New Roman"/>
                            <w:sz w:val="28"/>
                            <w:szCs w:val="28"/>
                            <w:lang w:eastAsia="zh-CN"/>
                          </w:rPr>
                          <w:fldChar w:fldCharType="end"/>
                        </w:r>
                      </w:sdtContent>
                    </w:sdt>
                  </w:p>
                  <w:p>
                    <w:pPr>
                      <w:pStyle w:val="10"/>
                      <w:rPr>
                        <w:rFonts w:hint="eastAsia" w:eastAsia="宋体"/>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382621"/>
    <w:multiLevelType w:val="singleLevel"/>
    <w:tmpl w:val="B6382621"/>
    <w:lvl w:ilvl="0" w:tentative="0">
      <w:start w:val="2"/>
      <w:numFmt w:val="chineseCounting"/>
      <w:suff w:val="nothing"/>
      <w:lvlText w:val="（%1）"/>
      <w:lvlJc w:val="left"/>
      <w:rPr>
        <w:rFonts w:hint="eastAsia"/>
      </w:rPr>
    </w:lvl>
  </w:abstractNum>
  <w:abstractNum w:abstractNumId="1">
    <w:nsid w:val="B6647AC4"/>
    <w:multiLevelType w:val="singleLevel"/>
    <w:tmpl w:val="B6647AC4"/>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29D84655"/>
    <w:multiLevelType w:val="singleLevel"/>
    <w:tmpl w:val="29D84655"/>
    <w:lvl w:ilvl="0" w:tentative="0">
      <w:start w:val="10"/>
      <w:numFmt w:val="decimal"/>
      <w:lvlText w:val="%1."/>
      <w:lvlJc w:val="left"/>
      <w:pPr>
        <w:tabs>
          <w:tab w:val="left" w:pos="312"/>
        </w:tabs>
      </w:pPr>
    </w:lvl>
  </w:abstractNum>
  <w:abstractNum w:abstractNumId="6">
    <w:nsid w:val="497FD43C"/>
    <w:multiLevelType w:val="singleLevel"/>
    <w:tmpl w:val="497FD43C"/>
    <w:lvl w:ilvl="0" w:tentative="0">
      <w:start w:val="4"/>
      <w:numFmt w:val="chineseCounting"/>
      <w:suff w:val="nothing"/>
      <w:lvlText w:val="%1、"/>
      <w:lvlJc w:val="left"/>
      <w:rPr>
        <w:rFonts w:hint="eastAsia"/>
      </w:rPr>
    </w:lvl>
  </w:abstractNum>
  <w:num w:numId="1">
    <w:abstractNumId w:val="4"/>
  </w:num>
  <w:num w:numId="2">
    <w:abstractNumId w:val="6"/>
  </w:num>
  <w:num w:numId="3">
    <w:abstractNumId w:val="2"/>
  </w:num>
  <w:num w:numId="4">
    <w:abstractNumId w:val="3"/>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iMDZiMWQwMDkzYTU0NjBjM2RkZTA4ZjQyOTI3Y2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A1307"/>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330FA1"/>
    <w:rsid w:val="0336528C"/>
    <w:rsid w:val="04F630F5"/>
    <w:rsid w:val="06A20298"/>
    <w:rsid w:val="0C677777"/>
    <w:rsid w:val="108346D4"/>
    <w:rsid w:val="10C055FF"/>
    <w:rsid w:val="16BB723D"/>
    <w:rsid w:val="170A092C"/>
    <w:rsid w:val="19E04D6B"/>
    <w:rsid w:val="19E72D3C"/>
    <w:rsid w:val="1F426167"/>
    <w:rsid w:val="20586F27"/>
    <w:rsid w:val="20C8437D"/>
    <w:rsid w:val="240371BF"/>
    <w:rsid w:val="251C2E23"/>
    <w:rsid w:val="285446C7"/>
    <w:rsid w:val="29FD04D3"/>
    <w:rsid w:val="2C1A24CC"/>
    <w:rsid w:val="2C682F1C"/>
    <w:rsid w:val="2C9776AD"/>
    <w:rsid w:val="304952F3"/>
    <w:rsid w:val="319F7F4E"/>
    <w:rsid w:val="398642D9"/>
    <w:rsid w:val="3B305A03"/>
    <w:rsid w:val="3D553928"/>
    <w:rsid w:val="3FA3402B"/>
    <w:rsid w:val="415F1AED"/>
    <w:rsid w:val="421A5838"/>
    <w:rsid w:val="432D5F45"/>
    <w:rsid w:val="4968032D"/>
    <w:rsid w:val="4AFF15EC"/>
    <w:rsid w:val="4B1931D8"/>
    <w:rsid w:val="4B272B20"/>
    <w:rsid w:val="4ECE2238"/>
    <w:rsid w:val="533F3DAE"/>
    <w:rsid w:val="53630756"/>
    <w:rsid w:val="57A70DE1"/>
    <w:rsid w:val="59453BFA"/>
    <w:rsid w:val="60010028"/>
    <w:rsid w:val="64890B73"/>
    <w:rsid w:val="65D507F4"/>
    <w:rsid w:val="678B34B8"/>
    <w:rsid w:val="69190D5D"/>
    <w:rsid w:val="69EA0611"/>
    <w:rsid w:val="705C0655"/>
    <w:rsid w:val="71F521E8"/>
    <w:rsid w:val="7216012A"/>
    <w:rsid w:val="721E48EE"/>
    <w:rsid w:val="72732BCA"/>
    <w:rsid w:val="72734D90"/>
    <w:rsid w:val="74BA7C83"/>
    <w:rsid w:val="76EA6616"/>
    <w:rsid w:val="787533AB"/>
    <w:rsid w:val="7B3D1393"/>
    <w:rsid w:val="7C512DAF"/>
    <w:rsid w:val="7DBABEF7"/>
    <w:rsid w:val="7EDB473A"/>
    <w:rsid w:val="7FC03B09"/>
    <w:rsid w:val="7FE304B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next w:val="2"/>
    <w:qFormat/>
    <w:uiPriority w:val="99"/>
    <w:pPr>
      <w:spacing w:after="120"/>
      <w:ind w:left="420" w:leftChars="200"/>
    </w:pPr>
    <w:rPr>
      <w:szCs w:val="20"/>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99"/>
    <w:pPr>
      <w:spacing w:beforeAutospacing="1" w:afterAutospacing="1"/>
      <w:jc w:val="left"/>
    </w:pPr>
    <w:rPr>
      <w:rFonts w:ascii="Calibri" w:hAnsi="Calibri" w:eastAsia="宋体" w:cs="Times New Roman"/>
      <w:kern w:val="0"/>
      <w:sz w:val="24"/>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link w:val="4"/>
    <w:qFormat/>
    <w:uiPriority w:val="9"/>
    <w:rPr>
      <w:rFonts w:ascii="Times New Roman" w:hAnsi="Times New Roman"/>
      <w:b/>
      <w:bCs/>
      <w:kern w:val="44"/>
      <w:sz w:val="44"/>
      <w:szCs w:val="44"/>
    </w:rPr>
  </w:style>
  <w:style w:type="character" w:customStyle="1" w:styleId="28">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6"/>
    <w:qFormat/>
    <w:uiPriority w:val="9"/>
    <w:rPr>
      <w:rFonts w:ascii="Times New Roman" w:hAnsi="Times New Roman"/>
      <w:b/>
      <w:bCs/>
      <w:kern w:val="2"/>
      <w:sz w:val="32"/>
      <w:szCs w:val="32"/>
    </w:rPr>
  </w:style>
  <w:style w:type="paragraph" w:customStyle="1" w:styleId="32">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四号正文"/>
    <w:basedOn w:val="1"/>
    <w:qFormat/>
    <w:uiPriority w:val="0"/>
    <w:pPr>
      <w:spacing w:line="360" w:lineRule="auto"/>
    </w:pPr>
    <w:rPr>
      <w:rFonts w:ascii="??" w:hAnsi="??" w:eastAsia="宋体"/>
      <w:color w:val="000000"/>
      <w:kern w:val="0"/>
      <w:sz w:val="28"/>
      <w:szCs w:val="21"/>
      <w:lang w:val="zh-CN"/>
    </w:rPr>
  </w:style>
  <w:style w:type="character" w:customStyle="1" w:styleId="34">
    <w:name w:val="标题 1 Char"/>
    <w:basedOn w:val="16"/>
    <w:link w:val="4"/>
    <w:qFormat/>
    <w:uiPriority w:val="9"/>
    <w:rPr>
      <w:b/>
      <w:bCs/>
      <w:kern w:val="44"/>
      <w:sz w:val="44"/>
      <w:szCs w:val="44"/>
    </w:rPr>
  </w:style>
  <w:style w:type="paragraph" w:customStyle="1" w:styleId="35">
    <w:name w:val="WPSOffice手动目录 1"/>
    <w:qFormat/>
    <w:uiPriority w:val="0"/>
    <w:pPr>
      <w:ind w:leftChars="0"/>
    </w:pPr>
    <w:rPr>
      <w:rFonts w:ascii="Calibri" w:hAnsi="Calibri" w:eastAsia="宋体" w:cs="Times New Roman"/>
      <w:sz w:val="20"/>
      <w:szCs w:val="20"/>
    </w:rPr>
  </w:style>
  <w:style w:type="paragraph" w:customStyle="1" w:styleId="36">
    <w:name w:val="WPSOffice手动目录 2"/>
    <w:qFormat/>
    <w:uiPriority w:val="0"/>
    <w:pPr>
      <w:ind w:leftChars="200"/>
    </w:pPr>
    <w:rPr>
      <w:rFonts w:ascii="Calibri" w:hAnsi="Calibri" w:eastAsia="宋体" w:cs="Times New Roman"/>
      <w:sz w:val="20"/>
      <w:szCs w:val="20"/>
    </w:rPr>
  </w:style>
  <w:style w:type="paragraph" w:customStyle="1" w:styleId="37">
    <w:name w:val="WPSOffice手动目录 3"/>
    <w:qFormat/>
    <w:uiPriority w:val="0"/>
    <w:pPr>
      <w:ind w:leftChars="4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image" Target="media/image1.png"/><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1.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2.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3.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ysClr val="windowText" lastClr="000000">
                    <a:lumMod val="65000"/>
                    <a:lumOff val="35000"/>
                  </a:sysClr>
                </a:solidFill>
                <a:latin typeface="+mn-lt"/>
                <a:ea typeface="+mn-ea"/>
                <a:cs typeface="+mn-cs"/>
              </a:defRPr>
            </a:pPr>
            <a:r>
              <a:rPr>
                <a:solidFill>
                  <a:schemeClr val="tx1"/>
                </a:solidFill>
              </a:rPr>
              <a:t>收入支出决算数据</a:t>
            </a:r>
            <a:endParaRPr>
              <a:solidFill>
                <a:schemeClr val="tx1"/>
              </a:solidFill>
            </a:endParaRPr>
          </a:p>
        </c:rich>
      </c:tx>
      <c:layout/>
      <c:overlay val="0"/>
      <c:spPr>
        <a:noFill/>
        <a:ln>
          <a:noFill/>
        </a:ln>
        <a:effectLst/>
      </c:spPr>
    </c:title>
    <c:autoTitleDeleted val="0"/>
    <c:plotArea>
      <c:layout>
        <c:manualLayout>
          <c:layoutTarget val="inner"/>
          <c:xMode val="edge"/>
          <c:yMode val="edge"/>
          <c:x val="0.0963629453805433"/>
          <c:y val="0.261519805982215"/>
          <c:w val="0.876557482337829"/>
          <c:h val="0.538005976636785"/>
        </c:manualLayout>
      </c:layout>
      <c:barChart>
        <c:barDir val="col"/>
        <c:grouping val="clustered"/>
        <c:varyColors val="0"/>
        <c:ser>
          <c:idx val="0"/>
          <c:order val="0"/>
          <c:tx>
            <c:strRef>
              <c:f>Sheet1!$B$1</c:f>
              <c:strCache>
                <c:ptCount val="1"/>
                <c:pt idx="0">
                  <c:v>收入决算</c:v>
                </c:pt>
              </c:strCache>
            </c:strRef>
          </c:tx>
          <c:spPr>
            <a:solidFill>
              <a:schemeClr val="accent1"/>
            </a:solidFill>
            <a:ln>
              <a:noFill/>
            </a:ln>
            <a:effectLst/>
          </c:spPr>
          <c:invertIfNegative val="0"/>
          <c:dLbls>
            <c:delete val="1"/>
          </c:dLbls>
          <c:cat>
            <c:numRef>
              <c:f>Sheet1!$A$2:$A$4</c:f>
              <c:numCache>
                <c:formatCode>General</c:formatCode>
                <c:ptCount val="3"/>
                <c:pt idx="0">
                  <c:v>2019</c:v>
                </c:pt>
                <c:pt idx="1">
                  <c:v>2018</c:v>
                </c:pt>
              </c:numCache>
            </c:numRef>
          </c:cat>
          <c:val>
            <c:numRef>
              <c:f>Sheet1!$B$2:$B$4</c:f>
              <c:numCache>
                <c:formatCode>General</c:formatCode>
                <c:ptCount val="3"/>
                <c:pt idx="0">
                  <c:v>896.07</c:v>
                </c:pt>
                <c:pt idx="1">
                  <c:v>983.7</c:v>
                </c:pt>
              </c:numCache>
            </c:numRef>
          </c:val>
        </c:ser>
        <c:ser>
          <c:idx val="1"/>
          <c:order val="1"/>
          <c:tx>
            <c:strRef>
              <c:f>Sheet1!$C$1</c:f>
              <c:strCache>
                <c:ptCount val="1"/>
                <c:pt idx="0">
                  <c:v>支出决算</c:v>
                </c:pt>
              </c:strCache>
            </c:strRef>
          </c:tx>
          <c:spPr>
            <a:solidFill>
              <a:schemeClr val="accent2"/>
            </a:solidFill>
            <a:ln>
              <a:noFill/>
            </a:ln>
            <a:effectLst/>
          </c:spPr>
          <c:invertIfNegative val="0"/>
          <c:dLbls>
            <c:delete val="1"/>
          </c:dLbls>
          <c:cat>
            <c:numRef>
              <c:f>Sheet1!$A$2:$A$4</c:f>
              <c:numCache>
                <c:formatCode>General</c:formatCode>
                <c:ptCount val="3"/>
                <c:pt idx="0">
                  <c:v>2019</c:v>
                </c:pt>
                <c:pt idx="1">
                  <c:v>2018</c:v>
                </c:pt>
              </c:numCache>
            </c:numRef>
          </c:cat>
          <c:val>
            <c:numRef>
              <c:f>Sheet1!$C$2:$C$4</c:f>
              <c:numCache>
                <c:formatCode>General</c:formatCode>
                <c:ptCount val="3"/>
                <c:pt idx="0">
                  <c:v>1453.96</c:v>
                </c:pt>
                <c:pt idx="1">
                  <c:v>1076.72</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numRef>
              <c:f>Sheet1!$A$2:$A$4</c:f>
              <c:numCache>
                <c:formatCode>General</c:formatCode>
                <c:ptCount val="3"/>
                <c:pt idx="0">
                  <c:v>2019</c:v>
                </c:pt>
                <c:pt idx="1">
                  <c:v>2018</c:v>
                </c:pt>
              </c:numCache>
            </c:numRef>
          </c:cat>
          <c:val>
            <c:numRef>
              <c:f>Sheet1!$D$2:$D$4</c:f>
              <c:numCache>
                <c:formatCode>General</c:formatCode>
                <c:ptCount val="3"/>
              </c:numCache>
            </c:numRef>
          </c:val>
        </c:ser>
        <c:dLbls>
          <c:showLegendKey val="0"/>
          <c:showVal val="0"/>
          <c:showCatName val="0"/>
          <c:showSerName val="0"/>
          <c:showPercent val="0"/>
          <c:showBubbleSize val="0"/>
        </c:dLbls>
        <c:gapWidth val="219"/>
        <c:overlap val="-27"/>
        <c:axId val="122311424"/>
        <c:axId val="122312960"/>
      </c:barChart>
      <c:catAx>
        <c:axId val="122311424"/>
        <c:scaling>
          <c:orientation val="minMax"/>
        </c:scaling>
        <c:delete val="0"/>
        <c:axPos val="b"/>
        <c:numFmt formatCode="General" sourceLinked="1"/>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122312960"/>
        <c:crosses val="autoZero"/>
        <c:auto val="1"/>
        <c:lblAlgn val="ctr"/>
        <c:lblOffset val="100"/>
        <c:noMultiLvlLbl val="0"/>
      </c:catAx>
      <c:valAx>
        <c:axId val="122312960"/>
        <c:scaling>
          <c:orientation val="minMax"/>
        </c:scaling>
        <c:delete val="0"/>
        <c:axPos val="l"/>
        <c:majorGridlines>
          <c:spPr>
            <a:ln w="9525" cap="flat" cmpd="sng" algn="ctr">
              <a:solidFill>
                <a:sysClr val="windowText" lastClr="000000">
                  <a:lumMod val="15000"/>
                  <a:lumOff val="85000"/>
                </a:sys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1223114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ysClr val="windowText" lastClr="000000">
                  <a:lumMod val="65000"/>
                  <a:lumOff val="35000"/>
                </a:sysClr>
              </a:solidFill>
              <a:latin typeface="+mn-lt"/>
              <a:ea typeface="+mn-ea"/>
              <a:cs typeface="+mn-cs"/>
            </a:defRPr>
          </a:pPr>
        </a:p>
      </c:txPr>
    </c:title>
    <c:autoTitleDeleted val="0"/>
    <c:plotArea>
      <c:layout/>
      <c:pieChart>
        <c:varyColors val="1"/>
        <c:ser>
          <c:idx val="0"/>
          <c:order val="0"/>
          <c:tx>
            <c:strRef>
              <c:f>Sheet1!$B$1</c:f>
              <c:strCache>
                <c:ptCount val="1"/>
                <c:pt idx="0">
                  <c:v>2019年支出决算情况</c:v>
                </c:pt>
              </c:strCache>
            </c:strRef>
          </c:tx>
          <c:spPr/>
          <c:explosion val="0"/>
          <c:dPt>
            <c:idx val="0"/>
            <c:bubble3D val="0"/>
            <c:spPr>
              <a:solidFill>
                <a:srgbClr val="4F81BD"/>
              </a:solidFill>
              <a:ln w="19050">
                <a:solidFill>
                  <a:sysClr val="window" lastClr="FFFFFF"/>
                </a:solidFill>
              </a:ln>
              <a:effectLst/>
            </c:spPr>
          </c:dPt>
          <c:dPt>
            <c:idx val="1"/>
            <c:bubble3D val="0"/>
            <c:spPr>
              <a:solidFill>
                <a:srgbClr val="C0504D"/>
              </a:solidFill>
              <a:ln w="19050">
                <a:solidFill>
                  <a:sysClr val="window" lastClr="FFFFFF"/>
                </a:solidFill>
              </a:ln>
              <a:effectLst/>
            </c:spPr>
          </c:dPt>
          <c:dPt>
            <c:idx val="2"/>
            <c:bubble3D val="0"/>
            <c:spPr>
              <a:solidFill>
                <a:srgbClr val="9BBB59"/>
              </a:solidFill>
              <a:ln w="19050">
                <a:solidFill>
                  <a:sysClr val="window" lastClr="FFFFFF"/>
                </a:solidFill>
              </a:ln>
              <a:effectLst/>
            </c:spPr>
          </c:dPt>
          <c:dLbls>
            <c:delete val="1"/>
          </c:dLbls>
          <c:cat>
            <c:strRef>
              <c:f>Sheet1!$A$2:$A$4</c:f>
              <c:strCache>
                <c:ptCount val="3"/>
                <c:pt idx="0">
                  <c:v>2019年基本支出</c:v>
                </c:pt>
                <c:pt idx="1">
                  <c:v>2019年项目支出</c:v>
                </c:pt>
              </c:strCache>
            </c:strRef>
          </c:cat>
          <c:val>
            <c:numRef>
              <c:f>Sheet1!$B$2:$B$4</c:f>
              <c:numCache>
                <c:formatCode>General</c:formatCode>
                <c:ptCount val="3"/>
                <c:pt idx="0">
                  <c:v>784.09</c:v>
                </c:pt>
                <c:pt idx="1">
                  <c:v>669.88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zero"/>
    <c:showDLblsOverMax val="0"/>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ysClr val="windowText" lastClr="000000">
                  <a:lumMod val="65000"/>
                  <a:lumOff val="35000"/>
                </a:sysClr>
              </a:solidFill>
              <a:latin typeface="+mn-lt"/>
              <a:ea typeface="+mn-ea"/>
              <a:cs typeface="+mn-cs"/>
            </a:defRPr>
          </a:pPr>
        </a:p>
      </c:txPr>
    </c:title>
    <c:autoTitleDeleted val="0"/>
    <c:plotArea>
      <c:layout>
        <c:manualLayout>
          <c:layoutTarget val="inner"/>
          <c:xMode val="edge"/>
          <c:yMode val="edge"/>
          <c:x val="0.119276429618844"/>
          <c:y val="0.164510913500404"/>
          <c:w val="0.876557482337829"/>
          <c:h val="0.538005976636785"/>
        </c:manualLayout>
      </c:layout>
      <c:barChart>
        <c:barDir val="col"/>
        <c:grouping val="clustered"/>
        <c:varyColors val="0"/>
        <c:ser>
          <c:idx val="0"/>
          <c:order val="0"/>
          <c:tx>
            <c:strRef>
              <c:f>Sheet1!$B$1</c:f>
              <c:strCache>
                <c:ptCount val="1"/>
                <c:pt idx="0">
                  <c:v>收入决算</c:v>
                </c:pt>
              </c:strCache>
            </c:strRef>
          </c:tx>
          <c:spPr>
            <a:solidFill>
              <a:srgbClr val="4F81BD"/>
            </a:solidFill>
            <a:ln>
              <a:noFill/>
            </a:ln>
            <a:effectLst/>
          </c:spPr>
          <c:invertIfNegative val="0"/>
          <c:dLbls>
            <c:delete val="1"/>
          </c:dLbls>
          <c:cat>
            <c:numRef>
              <c:f>Sheet1!$A$2:$A$4</c:f>
              <c:numCache>
                <c:formatCode>General</c:formatCode>
                <c:ptCount val="3"/>
                <c:pt idx="0">
                  <c:v>2019</c:v>
                </c:pt>
                <c:pt idx="1">
                  <c:v>2018</c:v>
                </c:pt>
              </c:numCache>
            </c:numRef>
          </c:cat>
          <c:val>
            <c:numRef>
              <c:f>Sheet1!$B$2:$B$4</c:f>
              <c:numCache>
                <c:formatCode>General</c:formatCode>
                <c:ptCount val="3"/>
                <c:pt idx="0">
                  <c:v>896.07</c:v>
                </c:pt>
                <c:pt idx="1">
                  <c:v>983.7</c:v>
                </c:pt>
              </c:numCache>
            </c:numRef>
          </c:val>
        </c:ser>
        <c:ser>
          <c:idx val="1"/>
          <c:order val="1"/>
          <c:tx>
            <c:strRef>
              <c:f>Sheet1!$C$1</c:f>
              <c:strCache>
                <c:ptCount val="1"/>
                <c:pt idx="0">
                  <c:v>支出决算</c:v>
                </c:pt>
              </c:strCache>
            </c:strRef>
          </c:tx>
          <c:spPr>
            <a:solidFill>
              <a:srgbClr val="C0504D"/>
            </a:solidFill>
            <a:ln>
              <a:noFill/>
            </a:ln>
            <a:effectLst/>
          </c:spPr>
          <c:invertIfNegative val="0"/>
          <c:dLbls>
            <c:delete val="1"/>
          </c:dLbls>
          <c:cat>
            <c:numRef>
              <c:f>Sheet1!$A$2:$A$4</c:f>
              <c:numCache>
                <c:formatCode>General</c:formatCode>
                <c:ptCount val="3"/>
                <c:pt idx="0">
                  <c:v>2019</c:v>
                </c:pt>
                <c:pt idx="1">
                  <c:v>2018</c:v>
                </c:pt>
              </c:numCache>
            </c:numRef>
          </c:cat>
          <c:val>
            <c:numRef>
              <c:f>Sheet1!$C$2:$C$4</c:f>
              <c:numCache>
                <c:formatCode>General</c:formatCode>
                <c:ptCount val="3"/>
                <c:pt idx="0">
                  <c:v>1453.96</c:v>
                </c:pt>
                <c:pt idx="1">
                  <c:v>1076.72</c:v>
                </c:pt>
              </c:numCache>
            </c:numRef>
          </c:val>
        </c:ser>
        <c:ser>
          <c:idx val="2"/>
          <c:order val="2"/>
          <c:tx>
            <c:strRef>
              <c:f>Sheet1!$D$1</c:f>
              <c:strCache>
                <c:ptCount val="1"/>
                <c:pt idx="0">
                  <c:v/>
                </c:pt>
              </c:strCache>
            </c:strRef>
          </c:tx>
          <c:spPr>
            <a:solidFill>
              <a:srgbClr val="9BBB59"/>
            </a:solidFill>
            <a:ln>
              <a:noFill/>
            </a:ln>
            <a:effectLst/>
          </c:spPr>
          <c:invertIfNegative val="0"/>
          <c:dLbls>
            <c:delete val="1"/>
          </c:dLbls>
          <c:cat>
            <c:numRef>
              <c:f>Sheet1!$A$2:$A$4</c:f>
              <c:numCache>
                <c:formatCode>General</c:formatCode>
                <c:ptCount val="3"/>
                <c:pt idx="0">
                  <c:v>2019</c:v>
                </c:pt>
                <c:pt idx="1">
                  <c:v>2018</c:v>
                </c:pt>
              </c:numCache>
            </c:numRef>
          </c:cat>
          <c:val>
            <c:numRef>
              <c:f>Sheet1!$D$2:$D$4</c:f>
              <c:numCache>
                <c:formatCode>General</c:formatCode>
                <c:ptCount val="3"/>
              </c:numCache>
            </c:numRef>
          </c:val>
        </c:ser>
        <c:dLbls>
          <c:showLegendKey val="0"/>
          <c:showVal val="0"/>
          <c:showCatName val="0"/>
          <c:showSerName val="0"/>
          <c:showPercent val="0"/>
          <c:showBubbleSize val="0"/>
        </c:dLbls>
        <c:gapWidth val="219"/>
        <c:overlap val="-27"/>
        <c:axId val="122311424"/>
        <c:axId val="122312960"/>
      </c:barChart>
      <c:catAx>
        <c:axId val="122311424"/>
        <c:scaling>
          <c:orientation val="minMax"/>
        </c:scaling>
        <c:delete val="0"/>
        <c:axPos val="b"/>
        <c:numFmt formatCode="General" sourceLinked="1"/>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122312960"/>
        <c:crosses val="autoZero"/>
        <c:auto val="1"/>
        <c:lblAlgn val="ctr"/>
        <c:lblOffset val="100"/>
        <c:noMultiLvlLbl val="0"/>
      </c:catAx>
      <c:valAx>
        <c:axId val="122312960"/>
        <c:scaling>
          <c:orientation val="minMax"/>
        </c:scaling>
        <c:delete val="0"/>
        <c:axPos val="l"/>
        <c:majorGridlines>
          <c:spPr>
            <a:ln w="9525" cap="flat" cmpd="sng" algn="ctr">
              <a:solidFill>
                <a:sysClr val="windowText" lastClr="000000">
                  <a:lumMod val="15000"/>
                  <a:lumOff val="85000"/>
                </a:sys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1223114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ysClr val="windowText" lastClr="000000">
                  <a:lumMod val="65000"/>
                  <a:lumOff val="35000"/>
                </a:sysClr>
              </a:solidFill>
              <a:latin typeface="+mn-lt"/>
              <a:ea typeface="+mn-ea"/>
              <a:cs typeface="+mn-cs"/>
            </a:defRPr>
          </a:pPr>
        </a:p>
      </c:txPr>
    </c:title>
    <c:autoTitleDeleted val="0"/>
    <c:plotArea>
      <c:layout>
        <c:manualLayout>
          <c:layoutTarget val="inner"/>
          <c:xMode val="edge"/>
          <c:yMode val="edge"/>
          <c:x val="0.0815105740181269"/>
          <c:y val="0.662735849056604"/>
          <c:w val="0.87166163141994"/>
          <c:h val="0.19877358490566"/>
        </c:manualLayout>
      </c:layout>
      <c:barChart>
        <c:barDir val="col"/>
        <c:grouping val="clustered"/>
        <c:varyColors val="0"/>
        <c:ser>
          <c:idx val="0"/>
          <c:order val="0"/>
          <c:tx>
            <c:strRef>
              <c:f>Sheet1!$B$1</c:f>
              <c:strCache>
                <c:ptCount val="1"/>
                <c:pt idx="0">
                  <c:v>一般公共预算财政拨款支出</c:v>
                </c:pt>
              </c:strCache>
            </c:strRef>
          </c:tx>
          <c:spPr>
            <a:solidFill>
              <a:srgbClr val="4F81BD"/>
            </a:solidFill>
            <a:ln>
              <a:noFill/>
            </a:ln>
            <a:effectLst/>
          </c:spPr>
          <c:invertIfNegative val="0"/>
          <c:dLbls>
            <c:delete val="1"/>
          </c:dLbls>
          <c:cat>
            <c:numRef>
              <c:f>Sheet1!$A$2:$A$5</c:f>
              <c:numCache>
                <c:formatCode>General</c:formatCode>
                <c:ptCount val="4"/>
                <c:pt idx="0">
                  <c:v>2019</c:v>
                </c:pt>
                <c:pt idx="1">
                  <c:v>2018</c:v>
                </c:pt>
              </c:numCache>
            </c:numRef>
          </c:cat>
          <c:val>
            <c:numRef>
              <c:f>Sheet1!$B$2:$B$5</c:f>
              <c:numCache>
                <c:formatCode>General</c:formatCode>
                <c:ptCount val="4"/>
                <c:pt idx="0">
                  <c:v>1453.96</c:v>
                </c:pt>
                <c:pt idx="1">
                  <c:v>1076.72</c:v>
                </c:pt>
              </c:numCache>
            </c:numRef>
          </c:val>
        </c:ser>
        <c:ser>
          <c:idx val="1"/>
          <c:order val="1"/>
          <c:tx>
            <c:strRef>
              <c:f>Sheet1!$C$1</c:f>
              <c:strCache>
                <c:ptCount val="1"/>
                <c:pt idx="0">
                  <c:v/>
                </c:pt>
              </c:strCache>
            </c:strRef>
          </c:tx>
          <c:spPr>
            <a:solidFill>
              <a:srgbClr val="C0504D"/>
            </a:solidFill>
            <a:ln>
              <a:noFill/>
            </a:ln>
            <a:effectLst/>
          </c:spPr>
          <c:invertIfNegative val="0"/>
          <c:dLbls>
            <c:delete val="1"/>
          </c:dLbls>
          <c:cat>
            <c:numRef>
              <c:f>Sheet1!$A$2:$A$5</c:f>
              <c:numCache>
                <c:formatCode>General</c:formatCode>
                <c:ptCount val="4"/>
                <c:pt idx="0">
                  <c:v>2019</c:v>
                </c:pt>
                <c:pt idx="1">
                  <c:v>2018</c:v>
                </c:pt>
              </c:numCache>
            </c:numRef>
          </c:cat>
          <c:val>
            <c:numRef>
              <c:f>Sheet1!$C$2:$C$5</c:f>
              <c:numCache>
                <c:formatCode>General</c:formatCode>
                <c:ptCount val="4"/>
              </c:numCache>
            </c:numRef>
          </c:val>
        </c:ser>
        <c:ser>
          <c:idx val="2"/>
          <c:order val="2"/>
          <c:tx>
            <c:strRef>
              <c:f>Sheet1!$D$1</c:f>
              <c:strCache>
                <c:ptCount val="1"/>
                <c:pt idx="0">
                  <c:v/>
                </c:pt>
              </c:strCache>
            </c:strRef>
          </c:tx>
          <c:spPr>
            <a:solidFill>
              <a:srgbClr val="9BBB59"/>
            </a:solidFill>
            <a:ln>
              <a:noFill/>
            </a:ln>
            <a:effectLst/>
          </c:spPr>
          <c:invertIfNegative val="0"/>
          <c:dLbls>
            <c:delete val="1"/>
          </c:dLbls>
          <c:cat>
            <c:numRef>
              <c:f>Sheet1!$A$2:$A$5</c:f>
              <c:numCache>
                <c:formatCode>General</c:formatCode>
                <c:ptCount val="4"/>
                <c:pt idx="0">
                  <c:v>2019</c:v>
                </c:pt>
                <c:pt idx="1">
                  <c:v>2018</c:v>
                </c:pt>
              </c:numCache>
            </c:numRef>
          </c:cat>
          <c:val>
            <c:numRef>
              <c:f>Sheet1!$D$2:$D$5</c:f>
              <c:numCache>
                <c:formatCode>General</c:formatCode>
                <c:ptCount val="4"/>
                <c:pt idx="3">
                  <c:v>5</c:v>
                </c:pt>
              </c:numCache>
            </c:numRef>
          </c:val>
        </c:ser>
        <c:dLbls>
          <c:showLegendKey val="0"/>
          <c:showVal val="0"/>
          <c:showCatName val="0"/>
          <c:showSerName val="0"/>
          <c:showPercent val="0"/>
          <c:showBubbleSize val="0"/>
        </c:dLbls>
        <c:gapWidth val="219"/>
        <c:overlap val="-27"/>
        <c:axId val="125848192"/>
        <c:axId val="125858176"/>
      </c:barChart>
      <c:catAx>
        <c:axId val="125848192"/>
        <c:scaling>
          <c:orientation val="minMax"/>
        </c:scaling>
        <c:delete val="0"/>
        <c:axPos val="b"/>
        <c:numFmt formatCode="General" sourceLinked="1"/>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125858176"/>
        <c:crosses val="autoZero"/>
        <c:auto val="1"/>
        <c:lblAlgn val="ctr"/>
        <c:lblOffset val="100"/>
        <c:noMultiLvlLbl val="0"/>
      </c:catAx>
      <c:valAx>
        <c:axId val="125858176"/>
        <c:scaling>
          <c:orientation val="minMax"/>
        </c:scaling>
        <c:delete val="0"/>
        <c:axPos val="l"/>
        <c:majorGridlines>
          <c:spPr>
            <a:ln w="9525" cap="flat" cmpd="sng" algn="ctr">
              <a:solidFill>
                <a:sysClr val="windowText" lastClr="000000">
                  <a:lumMod val="15000"/>
                  <a:lumOff val="85000"/>
                </a:sys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1258481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2019一般公共预算财政拨款支出决算情况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Sheet1!$A$2:$A$8</c:f>
              <c:strCache>
                <c:ptCount val="7"/>
                <c:pt idx="1">
                  <c:v>社会保障和就业类</c:v>
                </c:pt>
                <c:pt idx="2">
                  <c:v>医疗卫生支出</c:v>
                </c:pt>
                <c:pt idx="3">
                  <c:v>住房保障支出</c:v>
                </c:pt>
                <c:pt idx="4">
                  <c:v>一般公共服务</c:v>
                </c:pt>
                <c:pt idx="5">
                  <c:v>商业服务业等支出</c:v>
                </c:pt>
              </c:strCache>
            </c:strRef>
          </c:cat>
          <c:val>
            <c:numRef>
              <c:f>Sheet1!$B$2:$B$8</c:f>
              <c:numCache>
                <c:formatCode>General</c:formatCode>
                <c:ptCount val="7"/>
                <c:pt idx="1" c:formatCode="#,##0.00">
                  <c:v>99.16</c:v>
                </c:pt>
                <c:pt idx="2" c:formatCode="#,##0.00">
                  <c:v>41.69</c:v>
                </c:pt>
                <c:pt idx="3">
                  <c:v>55.84</c:v>
                </c:pt>
                <c:pt idx="4" c:formatCode="#,##0.00">
                  <c:v>677.91</c:v>
                </c:pt>
                <c:pt idx="5">
                  <c:v>579.39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9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ysClr val="windowText" lastClr="000000"/>
    </cs:fontRef>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65000"/>
          <a:lumOff val="35000"/>
        </a:sysClr>
      </a:solidFill>
      <a:ln w="9525">
        <a:solidFill>
          <a:sysClr val="windowText" lastClr="000000">
            <a:lumMod val="65000"/>
            <a:lumOff val="35000"/>
          </a:sysClr>
        </a:solidFill>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Text" lastClr="000000">
            <a:lumMod val="15000"/>
            <a:lumOff val="850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75000"/>
            <a:lumOff val="25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65000"/>
        <a:lumOff val="35000"/>
      </a:sysClr>
    </cs:fontRef>
    <cs:defRPr sz="1400" b="0" kern="1200" spc="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a:solidFill>
          <a:sysClr val="windowText" lastClr="000000">
            <a:lumMod val="15000"/>
            <a:lumOff val="85000"/>
          </a:sysClr>
        </a:solidFill>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900" kern="1200"/>
  </cs:chartArea>
  <cs:dataLabel>
    <cs:lnRef idx="0"/>
    <cs:fillRef idx="0"/>
    <cs:effectRef idx="0"/>
    <cs:fontRef idx="minor">
      <a:sysClr val="windowText" lastClr="000000">
        <a:lumMod val="75000"/>
        <a:lumOff val="25000"/>
      </a:sysClr>
    </cs:fontRef>
    <cs:defRPr sz="9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ysClr val="windowText" lastClr="000000"/>
    </cs:fontRef>
    <cs:spPr>
      <a:ln w="19050">
        <a:solidFill>
          <a:sysClr val="window" lastClr="FFFFFF"/>
        </a:solidFill>
      </a:ln>
    </cs:spPr>
  </cs:dataPoint>
  <cs:dataPoint3D>
    <cs:lnRef idx="0"/>
    <cs:fillRef idx="1">
      <cs:styleClr val="auto"/>
    </cs:fillRef>
    <cs:effectRef idx="0"/>
    <cs:fontRef idx="minor">
      <a:sysClr val="windowText" lastClr="000000"/>
    </cs:fontRef>
    <cs:spPr>
      <a:ln w="25400">
        <a:solidFill>
          <a:sysClr val="window" lastClr="FFFFFF"/>
        </a:solidFill>
      </a:ln>
    </cs:spPr>
  </cs:dataPoint3D>
  <cs:dataPointLine>
    <cs:lnRef idx="0">
      <cs:styleClr val="auto"/>
    </cs:lnRef>
    <cs:fillRef idx="0"/>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0"/>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Text" lastClr="000000">
            <a:lumMod val="15000"/>
            <a:lumOff val="850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65000"/>
        <a:lumOff val="35000"/>
      </a:sysClr>
    </cs:fontRef>
    <cs:defRPr sz="1400" b="0" kern="1200" spc="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9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ysClr val="windowText" lastClr="000000"/>
    </cs:fontRef>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65000"/>
          <a:lumOff val="35000"/>
        </a:sysClr>
      </a:solidFill>
      <a:ln w="9525">
        <a:solidFill>
          <a:sysClr val="windowText" lastClr="000000">
            <a:lumMod val="65000"/>
            <a:lumOff val="35000"/>
          </a:sysClr>
        </a:solidFill>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Text" lastClr="000000">
            <a:lumMod val="15000"/>
            <a:lumOff val="850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75000"/>
            <a:lumOff val="25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65000"/>
        <a:lumOff val="35000"/>
      </a:sysClr>
    </cs:fontRef>
    <cs:defRPr sz="1400" b="0" kern="1200" spc="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a:solidFill>
          <a:sysClr val="windowText" lastClr="000000">
            <a:lumMod val="15000"/>
            <a:lumOff val="85000"/>
          </a:sysClr>
        </a:solidFill>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9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ysClr val="windowText" lastClr="000000"/>
    </cs:fontRef>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65000"/>
          <a:lumOff val="35000"/>
        </a:sysClr>
      </a:solidFill>
      <a:ln w="9525">
        <a:solidFill>
          <a:sysClr val="windowText" lastClr="000000">
            <a:lumMod val="65000"/>
            <a:lumOff val="35000"/>
          </a:sysClr>
        </a:solidFill>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Text" lastClr="000000">
            <a:lumMod val="15000"/>
            <a:lumOff val="850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75000"/>
            <a:lumOff val="25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65000"/>
        <a:lumOff val="35000"/>
      </a:sysClr>
    </cs:fontRef>
    <cs:defRPr sz="1400" b="0" kern="1200" spc="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a:solidFill>
          <a:sysClr val="windowText" lastClr="000000">
            <a:lumMod val="15000"/>
            <a:lumOff val="85000"/>
          </a:sysClr>
        </a:solidFill>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43</Pages>
  <Words>18415</Words>
  <Characters>20043</Characters>
  <Lines>61</Lines>
  <Paragraphs>17</Paragraphs>
  <TotalTime>35</TotalTime>
  <ScaleCrop>false</ScaleCrop>
  <LinksUpToDate>false</LinksUpToDate>
  <CharactersWithSpaces>20337</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ruijie</cp:lastModifiedBy>
  <cp:lastPrinted>2020-07-23T10:58:00Z</cp:lastPrinted>
  <dcterms:modified xsi:type="dcterms:W3CDTF">2025-04-11T10:54:25Z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6BC04C84FB2B4714BFF953C44835D94D_12</vt:lpwstr>
  </property>
</Properties>
</file>