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lang w:eastAsia="zh-CN"/>
        </w:rPr>
      </w:pPr>
      <w:r>
        <w:rPr>
          <w:rFonts w:hint="eastAsia" w:ascii="小标宋" w:hAnsi="小标宋" w:eastAsia="小标宋" w:cs="小标宋"/>
          <w:b w:val="0"/>
          <w:bCs/>
          <w:sz w:val="44"/>
          <w:szCs w:val="44"/>
          <w:lang w:eastAsia="zh-CN"/>
        </w:rPr>
        <w:t>麦洼寺管委会</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小标宋" w:hAnsi="小标宋" w:eastAsia="小标宋" w:cs="小标宋"/>
          <w:b w:val="0"/>
          <w:bCs/>
          <w:sz w:val="44"/>
          <w:szCs w:val="44"/>
        </w:rPr>
      </w:pPr>
      <w:r>
        <w:rPr>
          <w:rFonts w:hint="eastAsia" w:ascii="小标宋" w:hAnsi="小标宋" w:eastAsia="小标宋" w:cs="小标宋"/>
          <w:b w:val="0"/>
          <w:bCs/>
          <w:sz w:val="44"/>
          <w:szCs w:val="44"/>
          <w:lang w:eastAsia="zh-CN"/>
        </w:rPr>
        <w:t>202</w:t>
      </w:r>
      <w:r>
        <w:rPr>
          <w:rFonts w:hint="eastAsia" w:ascii="小标宋" w:hAnsi="小标宋" w:eastAsia="小标宋" w:cs="小标宋"/>
          <w:b w:val="0"/>
          <w:bCs/>
          <w:sz w:val="44"/>
          <w:szCs w:val="44"/>
          <w:lang w:val="en-US" w:eastAsia="zh-CN"/>
        </w:rPr>
        <w:t>6</w:t>
      </w:r>
      <w:r>
        <w:rPr>
          <w:rFonts w:hint="eastAsia" w:ascii="小标宋" w:hAnsi="小标宋" w:eastAsia="小标宋" w:cs="小标宋"/>
          <w:b w:val="0"/>
          <w:bCs/>
          <w:sz w:val="44"/>
          <w:szCs w:val="44"/>
          <w:lang w:eastAsia="zh-CN"/>
        </w:rPr>
        <w:t>年</w:t>
      </w:r>
      <w:r>
        <w:rPr>
          <w:rFonts w:hint="eastAsia" w:ascii="小标宋" w:hAnsi="小标宋" w:eastAsia="小标宋" w:cs="小标宋"/>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仿宋" w:hAnsi="仿宋" w:eastAsia="仿宋" w:cs="仿宋"/>
          <w:b/>
          <w:sz w:val="32"/>
          <w:szCs w:val="32"/>
        </w:rPr>
      </w:pPr>
      <w:r>
        <w:rPr>
          <w:rFonts w:hint="eastAsia" w:ascii="仿宋" w:hAnsi="仿宋" w:eastAsia="仿宋" w:cs="仿宋"/>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 w:hAnsi="仿宋" w:eastAsia="仿宋" w:cs="仿宋"/>
          <w:bCs/>
          <w:sz w:val="32"/>
          <w:szCs w:val="32"/>
        </w:rPr>
      </w:pPr>
      <w:r>
        <w:rPr>
          <w:rFonts w:hint="eastAsia" w:ascii="仿宋" w:hAnsi="仿宋" w:eastAsia="仿宋" w:cs="仿宋"/>
          <w:bCs/>
          <w:sz w:val="32"/>
          <w:szCs w:val="32"/>
        </w:rPr>
        <w:t>我管委会为县政府派出机构，受县政府委托，履行相应宗教事务管理执法权，业务上接收统战和宗教工作部门的指导和监督。</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 w:hAnsi="仿宋" w:eastAsia="仿宋" w:cs="仿宋"/>
          <w:bCs/>
          <w:sz w:val="32"/>
          <w:szCs w:val="32"/>
        </w:rPr>
      </w:pPr>
      <w:r>
        <w:rPr>
          <w:rFonts w:hint="eastAsia" w:ascii="仿宋" w:hAnsi="仿宋" w:eastAsia="仿宋" w:cs="仿宋"/>
          <w:bCs/>
          <w:sz w:val="32"/>
          <w:szCs w:val="32"/>
        </w:rPr>
        <w:t>一、依法管理宗教事务，加强寺庙管理，加强僧尼管理，加强宗教活动管理。</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 w:hAnsi="仿宋" w:eastAsia="仿宋" w:cs="仿宋"/>
          <w:bCs/>
          <w:sz w:val="32"/>
          <w:szCs w:val="32"/>
        </w:rPr>
      </w:pPr>
      <w:r>
        <w:rPr>
          <w:rFonts w:hint="eastAsia" w:ascii="仿宋" w:hAnsi="仿宋" w:eastAsia="仿宋" w:cs="仿宋"/>
          <w:bCs/>
          <w:sz w:val="32"/>
          <w:szCs w:val="32"/>
        </w:rPr>
        <w:t>二、教育引导，以增强僧尼“三个意识”为目标，坚持不懈加强对僧尼的教育引导。</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 w:hAnsi="仿宋" w:eastAsia="仿宋" w:cs="仿宋"/>
          <w:bCs/>
          <w:sz w:val="32"/>
          <w:szCs w:val="32"/>
        </w:rPr>
      </w:pPr>
      <w:r>
        <w:rPr>
          <w:rFonts w:hint="eastAsia" w:ascii="仿宋" w:hAnsi="仿宋" w:eastAsia="仿宋" w:cs="仿宋"/>
          <w:bCs/>
          <w:sz w:val="32"/>
          <w:szCs w:val="32"/>
        </w:rPr>
        <w:t>三、公共服务，充分保障寺庙和持证僧尼的普惠性待遇，做到“五通”、“三有”、“三覆盖”。</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（二）202</w:t>
      </w:r>
      <w:r>
        <w:rPr>
          <w:rFonts w:hint="eastAsia" w:ascii="楷体" w:hAnsi="楷体" w:eastAsia="楷体" w:cs="楷体"/>
          <w:b/>
          <w:bCs w:val="0"/>
          <w:sz w:val="32"/>
          <w:szCs w:val="32"/>
          <w:lang w:val="en-US" w:eastAsia="zh-CN"/>
        </w:rPr>
        <w:t>6</w:t>
      </w:r>
      <w:r>
        <w:rPr>
          <w:rFonts w:hint="eastAsia" w:ascii="楷体" w:hAnsi="楷体" w:eastAsia="楷体" w:cs="楷体"/>
          <w:b/>
          <w:bCs w:val="0"/>
          <w:sz w:val="32"/>
          <w:szCs w:val="32"/>
          <w:lang w:eastAsia="zh-CN"/>
        </w:rPr>
        <w:t>年重点工作任务</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eastAsia="zh-CN"/>
        </w:rPr>
        <w:t>1、推进干僧关系和谐化。发挥好驻寺干部语言相通、情况熟悉等优势，讲究工作方式方法，深入开展走访慰问、交心谈心、扶贫济困活动，面对面解决寺庙的困难和问题，实实在在为寺庙排忧解难，从而引导僧众坚定跟党走，不参与闹事活动，抵制分裂破坏活动。</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eastAsia="zh-CN"/>
        </w:rPr>
        <w:t>2、推进寺庙建设规范化。深入推进“寺庙管理规范化、公共服务社会化、宗教关系和谐化”建设，开展民族团结进步和谐福地创建工作凝聚僧众，按规划推进寺庙改路、改水、改厕、改院、绿化植树，实施好“五通”“三有”“三覆盖”规范化建设，加强寺庙安全隐患排查，增加消防设施，开展文物整理、保护工作，改变寺院面貌，用基础设施的大改变体现党和政府对宗教和寺院的支持、对僧众的关怀，让僧众真切感知惠从何来、恩向谁报，做守法公民、当爱国僧人。</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eastAsia="zh-CN"/>
        </w:rPr>
        <w:t>3、加强依法管理、提高服务水平。继续落实大民生带小民生项目各项任务，进一步推进小民生工程的前期工作，将不断改善寺庙基础设施等，切实落实好中央、省、州、县对寺庙的惠寺惠僧政策。认真落实省州关于分类管理的重要指示，秉持“抓两头带中间”思路，突出“奖优扶弱”差异化管理原则，在麦洼寺片区大力探索推广依法依规自我管理、自我服务、自我教育的开发模式，做到自主有度、管理有方。进一步完善微网实格寺庙网格精准化管理系统，要明确微网格员的职责，积极发挥好各自的作用。</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eastAsia="zh-CN"/>
        </w:rPr>
        <w:t>4、加强宗教界人士的队伍建设，在促进桥梁纽带作用方面发挥正能量。一是组织培训和对外交流，提高自治能力建设。二是加强爱国主义、社会主义价值观教育和法律法规的宣传教育活动，夯实爱国的思想基础。三是鼓励宗教界在开展公益事业充分发展禅元素，在服务社会、服务弱势群体中创出特色。</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二、部门</w:t>
      </w:r>
      <w:r>
        <w:rPr>
          <w:rFonts w:hint="eastAsia" w:ascii="黑体" w:hAnsi="黑体" w:eastAsia="黑体" w:cs="黑体"/>
          <w:sz w:val="32"/>
          <w:szCs w:val="32"/>
          <w:lang w:eastAsia="zh-CN"/>
        </w:rPr>
        <w:t>预算单位构成</w:t>
      </w:r>
    </w:p>
    <w:p>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9"/>
        <w:textAlignment w:val="auto"/>
        <w:rPr>
          <w:rFonts w:hint="eastAsia" w:ascii="仿宋" w:hAnsi="仿宋" w:eastAsia="仿宋" w:cs="仿宋"/>
          <w:sz w:val="32"/>
          <w:szCs w:val="32"/>
        </w:rPr>
      </w:pPr>
      <w:r>
        <w:rPr>
          <w:rFonts w:hint="eastAsia"/>
          <w:sz w:val="32"/>
          <w:szCs w:val="32"/>
          <w:lang w:eastAsia="zh-CN"/>
        </w:rPr>
        <w:t>红原县麦洼寺管会是一级预算行政单位。我单位共有编制10个，其中公务员编制10个，行政工勤编制0个，事业编制0个。在职</w:t>
      </w:r>
      <w:r>
        <w:rPr>
          <w:rFonts w:hint="eastAsia"/>
          <w:sz w:val="32"/>
          <w:szCs w:val="32"/>
          <w:lang w:val="en-US" w:eastAsia="zh-CN"/>
        </w:rPr>
        <w:t>9</w:t>
      </w:r>
      <w:r>
        <w:rPr>
          <w:rFonts w:hint="eastAsia"/>
          <w:sz w:val="32"/>
          <w:szCs w:val="32"/>
          <w:lang w:eastAsia="zh-CN"/>
        </w:rPr>
        <w:t>人，其中参公0人，公务员</w:t>
      </w:r>
      <w:r>
        <w:rPr>
          <w:rFonts w:hint="eastAsia"/>
          <w:sz w:val="32"/>
          <w:szCs w:val="32"/>
          <w:lang w:val="en-US" w:eastAsia="zh-CN"/>
        </w:rPr>
        <w:t>9</w:t>
      </w:r>
      <w:r>
        <w:rPr>
          <w:rFonts w:hint="eastAsia"/>
          <w:sz w:val="32"/>
          <w:szCs w:val="32"/>
          <w:lang w:eastAsia="zh-CN"/>
        </w:rPr>
        <w:t>人，事业编制0人，退休0人。</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年麦洼寺管委会</w:t>
      </w:r>
      <w:r>
        <w:rPr>
          <w:rFonts w:hint="eastAsia" w:ascii="仿宋" w:hAnsi="仿宋" w:eastAsia="仿宋" w:cs="仿宋"/>
          <w:sz w:val="32"/>
          <w:szCs w:val="32"/>
        </w:rPr>
        <w:t>收入预算总额为</w:t>
      </w:r>
      <w:r>
        <w:rPr>
          <w:rFonts w:hint="eastAsia" w:ascii="仿宋" w:hAnsi="仿宋" w:eastAsia="仿宋" w:cs="仿宋"/>
          <w:sz w:val="32"/>
          <w:szCs w:val="32"/>
          <w:lang w:val="en-US" w:eastAsia="zh-CN"/>
        </w:rPr>
        <w:t>357.95</w:t>
      </w:r>
      <w:r>
        <w:rPr>
          <w:rFonts w:hint="eastAsia" w:ascii="仿宋" w:hAnsi="仿宋" w:eastAsia="仿宋" w:cs="仿宋"/>
          <w:sz w:val="32"/>
          <w:szCs w:val="32"/>
        </w:rPr>
        <w:t>万元，其中：当年财政拨款收入</w:t>
      </w:r>
      <w:r>
        <w:rPr>
          <w:rFonts w:hint="eastAsia" w:ascii="仿宋" w:hAnsi="仿宋" w:eastAsia="仿宋" w:cs="仿宋"/>
          <w:sz w:val="32"/>
          <w:szCs w:val="32"/>
          <w:lang w:val="en-US" w:eastAsia="zh-CN"/>
        </w:rPr>
        <w:t>357.95</w:t>
      </w:r>
      <w:r>
        <w:rPr>
          <w:rFonts w:hint="eastAsia" w:ascii="仿宋" w:hAnsi="仿宋" w:eastAsia="仿宋" w:cs="仿宋"/>
          <w:sz w:val="32"/>
          <w:szCs w:val="32"/>
        </w:rPr>
        <w:t>万元。相应安排支出预算</w:t>
      </w:r>
      <w:r>
        <w:rPr>
          <w:rFonts w:hint="eastAsia" w:ascii="仿宋" w:hAnsi="仿宋" w:eastAsia="仿宋" w:cs="仿宋"/>
          <w:sz w:val="32"/>
          <w:szCs w:val="32"/>
          <w:lang w:val="en-US" w:eastAsia="zh-CN"/>
        </w:rPr>
        <w:t>357.95</w:t>
      </w:r>
      <w:r>
        <w:rPr>
          <w:rFonts w:hint="eastAsia" w:ascii="仿宋" w:hAnsi="仿宋" w:eastAsia="仿宋" w:cs="仿宋"/>
          <w:sz w:val="32"/>
          <w:szCs w:val="32"/>
        </w:rPr>
        <w:t>万元，其中：一般公共服务</w:t>
      </w:r>
      <w:r>
        <w:rPr>
          <w:rFonts w:hint="eastAsia" w:ascii="仿宋" w:hAnsi="仿宋" w:eastAsia="仿宋" w:cs="仿宋"/>
          <w:sz w:val="32"/>
          <w:szCs w:val="32"/>
          <w:lang w:val="en-US" w:eastAsia="zh-CN"/>
        </w:rPr>
        <w:t>278.09</w:t>
      </w:r>
      <w:r>
        <w:rPr>
          <w:rFonts w:hint="eastAsia" w:ascii="仿宋" w:hAnsi="仿宋" w:eastAsia="仿宋" w:cs="仿宋"/>
          <w:sz w:val="32"/>
          <w:szCs w:val="32"/>
        </w:rPr>
        <w:t>万元，社会保障和就业</w:t>
      </w:r>
      <w:r>
        <w:rPr>
          <w:rFonts w:hint="eastAsia" w:ascii="仿宋" w:hAnsi="仿宋" w:eastAsia="仿宋" w:cs="仿宋"/>
          <w:sz w:val="32"/>
          <w:szCs w:val="32"/>
          <w:lang w:val="en-US" w:eastAsia="zh-CN"/>
        </w:rPr>
        <w:t>42.58</w:t>
      </w:r>
      <w:r>
        <w:rPr>
          <w:rFonts w:hint="eastAsia" w:ascii="仿宋" w:hAnsi="仿宋" w:eastAsia="仿宋" w:cs="仿宋"/>
          <w:sz w:val="32"/>
          <w:szCs w:val="32"/>
        </w:rPr>
        <w:t>万元，</w:t>
      </w:r>
      <w:r>
        <w:rPr>
          <w:rFonts w:hint="eastAsia" w:ascii="仿宋" w:hAnsi="仿宋" w:eastAsia="仿宋" w:cs="仿宋"/>
          <w:sz w:val="32"/>
          <w:szCs w:val="32"/>
          <w:lang w:eastAsia="zh-CN"/>
        </w:rPr>
        <w:t>卫生健康支出</w:t>
      </w:r>
      <w:r>
        <w:rPr>
          <w:rFonts w:hint="eastAsia" w:ascii="仿宋" w:hAnsi="仿宋" w:eastAsia="仿宋" w:cs="仿宋"/>
          <w:sz w:val="32"/>
          <w:szCs w:val="32"/>
          <w:lang w:val="en-US" w:eastAsia="zh-CN"/>
        </w:rPr>
        <w:t>14.41</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22.87</w:t>
      </w:r>
      <w:r>
        <w:rPr>
          <w:rFonts w:hint="eastAsia" w:ascii="仿宋" w:hAnsi="仿宋" w:eastAsia="仿宋" w:cs="仿宋"/>
          <w:sz w:val="32"/>
          <w:szCs w:val="32"/>
        </w:rPr>
        <w:t>万元。</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麦洼寺管委会</w:t>
      </w:r>
      <w:r>
        <w:rPr>
          <w:rFonts w:hint="eastAsia" w:ascii="仿宋" w:hAnsi="仿宋" w:eastAsia="仿宋" w:cs="仿宋"/>
          <w:sz w:val="32"/>
          <w:szCs w:val="32"/>
        </w:rPr>
        <w:t>预算安排支出主要用于保障该部门机构正常运转、完成日常工作任务以及承担</w:t>
      </w:r>
      <w:r>
        <w:rPr>
          <w:rFonts w:hint="eastAsia" w:ascii="仿宋" w:hAnsi="仿宋" w:eastAsia="仿宋" w:cs="仿宋"/>
          <w:sz w:val="32"/>
          <w:szCs w:val="32"/>
          <w:lang w:eastAsia="zh-CN"/>
        </w:rPr>
        <w:t>宗教稳定</w:t>
      </w:r>
      <w:r>
        <w:rPr>
          <w:rFonts w:hint="eastAsia" w:ascii="仿宋" w:hAnsi="仿宋" w:eastAsia="仿宋" w:cs="仿宋"/>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基本支出</w:t>
      </w:r>
      <w:r>
        <w:rPr>
          <w:rFonts w:hint="eastAsia" w:ascii="仿宋" w:hAnsi="仿宋" w:eastAsia="仿宋" w:cs="仿宋"/>
          <w:sz w:val="32"/>
          <w:szCs w:val="32"/>
          <w:lang w:val="en-US" w:eastAsia="zh-CN"/>
        </w:rPr>
        <w:t>318.7</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其中人员经费支出</w:t>
      </w:r>
      <w:r>
        <w:rPr>
          <w:rFonts w:hint="eastAsia" w:ascii="仿宋" w:hAnsi="仿宋" w:eastAsia="仿宋" w:cs="仿宋"/>
          <w:sz w:val="32"/>
          <w:szCs w:val="32"/>
          <w:lang w:val="en-US" w:eastAsia="zh-CN"/>
        </w:rPr>
        <w:t>272.18万元，机关运行经费33.32万元，其中：办公费9.65万元，印刷费3万元,电费2万元,邮电费1.5万元,差旅费2万元,公务接待费0.3万元,劳务费1.2万元,委托业务费0.5万元,工会经费2.13万元,公务用车运行维护费3万元,其他商品和服务支出8.04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（一）一般公共服务</w:t>
      </w:r>
      <w:r>
        <w:rPr>
          <w:rFonts w:hint="eastAsia" w:ascii="仿宋" w:hAnsi="仿宋" w:eastAsia="仿宋" w:cs="仿宋"/>
          <w:sz w:val="32"/>
          <w:szCs w:val="32"/>
          <w:lang w:val="en-US" w:eastAsia="zh-CN"/>
        </w:rPr>
        <w:t>278.09</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（二）社会保障和就业</w:t>
      </w:r>
      <w:r>
        <w:rPr>
          <w:rFonts w:hint="eastAsia" w:ascii="仿宋" w:hAnsi="仿宋" w:eastAsia="仿宋" w:cs="仿宋"/>
          <w:sz w:val="32"/>
          <w:szCs w:val="32"/>
          <w:lang w:val="en-US" w:eastAsia="zh-CN"/>
        </w:rPr>
        <w:t>42.58</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w:t>
      </w:r>
      <w:r>
        <w:rPr>
          <w:rFonts w:hint="eastAsia" w:ascii="仿宋" w:hAnsi="仿宋" w:eastAsia="仿宋" w:cs="仿宋"/>
          <w:sz w:val="32"/>
          <w:szCs w:val="32"/>
          <w:lang w:eastAsia="zh-CN"/>
        </w:rPr>
        <w:t>养老保险及职业年金缴费</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val="en-US" w:eastAsia="zh-CN"/>
        </w:rPr>
        <w:t>卫生健康支出14.41</w:t>
      </w:r>
      <w:r>
        <w:rPr>
          <w:rFonts w:hint="eastAsia" w:ascii="仿宋" w:hAnsi="仿宋" w:eastAsia="仿宋" w:cs="仿宋"/>
          <w:sz w:val="32"/>
          <w:szCs w:val="32"/>
          <w:lang w:eastAsia="zh-CN"/>
        </w:rPr>
        <w:t>万元</w:t>
      </w:r>
      <w:r>
        <w:rPr>
          <w:rFonts w:hint="eastAsia" w:ascii="仿宋" w:hAnsi="仿宋" w:eastAsia="仿宋" w:cs="仿宋"/>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（四）住房保障支出</w:t>
      </w:r>
      <w:r>
        <w:rPr>
          <w:rFonts w:hint="eastAsia" w:ascii="仿宋" w:hAnsi="仿宋" w:eastAsia="仿宋" w:cs="仿宋"/>
          <w:sz w:val="32"/>
          <w:szCs w:val="32"/>
          <w:lang w:val="en-US" w:eastAsia="zh-CN"/>
        </w:rPr>
        <w:t>22.87</w:t>
      </w:r>
      <w:r>
        <w:rPr>
          <w:rFonts w:hint="eastAsia" w:ascii="仿宋" w:hAnsi="仿宋" w:eastAsia="仿宋" w:cs="仿宋"/>
          <w:sz w:val="32"/>
          <w:szCs w:val="32"/>
          <w:lang w:eastAsia="zh-CN"/>
        </w:rPr>
        <w:t>万元</w:t>
      </w:r>
      <w:r>
        <w:rPr>
          <w:rFonts w:hint="eastAsia" w:ascii="仿宋" w:hAnsi="仿宋" w:eastAsia="仿宋" w:cs="仿宋"/>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本年度预算拨款收入357.95万元较上年度预算</w:t>
      </w:r>
      <w:r>
        <w:rPr>
          <w:rFonts w:hint="eastAsia" w:ascii="仿宋_GB2312" w:eastAsia="仿宋_GB2312"/>
          <w:sz w:val="32"/>
          <w:szCs w:val="32"/>
          <w:lang w:val="en-US" w:eastAsia="zh-CN"/>
        </w:rPr>
        <w:t>372.59</w:t>
      </w:r>
      <w:r>
        <w:rPr>
          <w:rFonts w:hint="eastAsia" w:ascii="仿宋" w:hAnsi="仿宋" w:eastAsia="仿宋" w:cs="仿宋"/>
          <w:sz w:val="32"/>
          <w:szCs w:val="32"/>
          <w:lang w:val="en-US" w:eastAsia="zh-CN"/>
        </w:rPr>
        <w:t>万元减少了4%，其中基本行政运行经费预算318.7万元，占全部总预算的89%，较上年</w:t>
      </w:r>
      <w:r>
        <w:rPr>
          <w:rFonts w:hint="eastAsia" w:ascii="仿宋_GB2312" w:eastAsia="仿宋_GB2312"/>
          <w:sz w:val="32"/>
          <w:szCs w:val="32"/>
          <w:lang w:val="en-US" w:eastAsia="zh-CN"/>
        </w:rPr>
        <w:t>334.25</w:t>
      </w:r>
      <w:r>
        <w:rPr>
          <w:rFonts w:hint="eastAsia" w:ascii="仿宋" w:hAnsi="仿宋" w:eastAsia="仿宋" w:cs="仿宋"/>
          <w:sz w:val="32"/>
          <w:szCs w:val="32"/>
          <w:lang w:val="en-US" w:eastAsia="zh-CN"/>
        </w:rPr>
        <w:t>万元减少了4%，原因为压缩各项开支，减少基本支出；专项业务工作经费预算39.25万元，占总预算的11%，较上年预算</w:t>
      </w:r>
      <w:r>
        <w:rPr>
          <w:rFonts w:hint="eastAsia" w:ascii="仿宋_GB2312" w:eastAsia="仿宋_GB2312"/>
          <w:sz w:val="32"/>
          <w:szCs w:val="32"/>
          <w:lang w:val="en-US" w:eastAsia="zh-CN"/>
        </w:rPr>
        <w:t>68.34</w:t>
      </w:r>
      <w:r>
        <w:rPr>
          <w:rFonts w:hint="eastAsia" w:ascii="仿宋" w:hAnsi="仿宋" w:eastAsia="仿宋" w:cs="仿宋"/>
          <w:sz w:val="32"/>
          <w:szCs w:val="32"/>
          <w:lang w:val="en-US" w:eastAsia="zh-CN"/>
        </w:rPr>
        <w:t xml:space="preserve">万元减少了42%，主要原因为缩减了项目经费开支，减少相关支出。 </w:t>
      </w:r>
      <w:r>
        <w:rPr>
          <w:rFonts w:hint="eastAsia" w:ascii="仿宋" w:hAnsi="仿宋" w:eastAsia="仿宋" w:cs="仿宋"/>
          <w:color w:val="333333"/>
          <w:kern w:val="0"/>
          <w:sz w:val="32"/>
          <w:szCs w:val="32"/>
          <w:shd w:val="clear" w:color="auto" w:fill="FFFFFF"/>
          <w:lang w:val="en-US" w:eastAsia="zh-CN" w:bidi="ar"/>
        </w:rPr>
        <w:t xml:space="preserve"> </w:t>
      </w:r>
      <w:r>
        <w:rPr>
          <w:rFonts w:hint="eastAsia" w:ascii="仿宋" w:hAnsi="仿宋" w:eastAsia="仿宋" w:cs="仿宋"/>
          <w:sz w:val="32"/>
          <w:szCs w:val="32"/>
          <w:lang w:val="en-US" w:eastAsia="zh-CN"/>
        </w:rPr>
        <w:t xml:space="preserve"> </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三公经费预算安排支出为3.3万元，其中：出国费0万元，与上年持平，主要原因为未安排因公出国；公车购置费0元，与上年持平；公务用车维护费支出3万元，较上年度预算3万元持平，主要原因严格执行“八项规定、六项禁令”；二是将有关股室的工作有机地结合起来，减少不必要的资源浪费。公务接待费0.3万元，较上年度预算减少0.1万元，主要原因为</w:t>
      </w:r>
      <w:r>
        <w:rPr>
          <w:rFonts w:hint="eastAsia" w:ascii="仿宋" w:hAnsi="仿宋" w:eastAsia="仿宋" w:cs="仿宋"/>
          <w:sz w:val="32"/>
          <w:szCs w:val="32"/>
          <w:lang w:eastAsia="zh-CN"/>
        </w:rPr>
        <w:t>厉行节约</w:t>
      </w:r>
      <w:r>
        <w:rPr>
          <w:rFonts w:hint="eastAsia" w:ascii="仿宋" w:hAnsi="仿宋" w:eastAsia="仿宋" w:cs="仿宋"/>
          <w:sz w:val="32"/>
          <w:szCs w:val="32"/>
          <w:lang w:val="en-US" w:eastAsia="zh-CN"/>
        </w:rPr>
        <w:t>，本年度我们将严格执行“八项规定、六项禁令”，结合本年度工作需要，减少不必 要的开支。</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2026年无使用政府性基金预算拨款安排的支出</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2026年无使用国有资本经营预算拨款安排的支出。</w:t>
      </w:r>
    </w:p>
    <w:p>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仿宋" w:hAnsi="仿宋" w:eastAsia="仿宋" w:cs="仿宋"/>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（一）政府采购预算情况</w:t>
      </w:r>
      <w:r>
        <w:rPr>
          <w:rFonts w:hint="eastAsia" w:ascii="仿宋" w:hAnsi="仿宋" w:eastAsia="仿宋" w:cs="仿宋"/>
          <w:b/>
          <w:bCs/>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2026年度安排政府采购预算0万元。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 xml:space="preserve">（二）政府财政国有资产占用情况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截止2025年底，</w:t>
      </w:r>
      <w:r>
        <w:rPr>
          <w:rFonts w:hint="eastAsia" w:ascii="仿宋_GB2312" w:eastAsia="仿宋_GB2312"/>
          <w:sz w:val="32"/>
          <w:szCs w:val="32"/>
          <w:lang w:val="en-US" w:eastAsia="zh-CN"/>
        </w:rPr>
        <w:t>实际共有固定资产价值168.64</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40</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120</w:t>
      </w:r>
      <w:r>
        <w:rPr>
          <w:rFonts w:hint="eastAsia" w:ascii="仿宋_GB2312" w:eastAsia="仿宋_GB2312"/>
          <w:sz w:val="32"/>
          <w:szCs w:val="32"/>
          <w:lang w:eastAsia="zh-CN"/>
        </w:rPr>
        <w:t>万元</w:t>
      </w:r>
      <w:bookmarkStart w:id="0" w:name="_GoBack"/>
      <w:bookmarkEnd w:id="0"/>
      <w:r>
        <w:rPr>
          <w:rFonts w:hint="eastAsia" w:ascii="仿宋" w:hAnsi="仿宋" w:eastAsia="仿宋" w:cs="仿宋"/>
          <w:sz w:val="32"/>
          <w:szCs w:val="32"/>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楷体" w:hAnsi="楷体" w:eastAsia="楷体" w:cs="楷体"/>
          <w:b/>
          <w:bCs/>
          <w:color w:val="333333"/>
          <w:kern w:val="0"/>
          <w:sz w:val="32"/>
          <w:szCs w:val="32"/>
          <w:shd w:val="clear" w:color="auto" w:fill="FFFFFF"/>
          <w:lang w:val="en-US" w:eastAsia="zh-CN" w:bidi="ar"/>
        </w:rPr>
      </w:pPr>
      <w:r>
        <w:rPr>
          <w:rFonts w:hint="eastAsia" w:ascii="楷体" w:hAnsi="楷体" w:eastAsia="楷体" w:cs="楷体"/>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绩效目标是预算编制的前提和基础，按照“费随事定”的原则，2026年我单位项目支出按要求编制了绩效目标，从项目完成、项目效益、满意度。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38" w:leftChars="304" w:right="0" w:rightChars="0" w:firstLine="0" w:firstLineChars="0"/>
        <w:textAlignment w:val="auto"/>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十、名词解释</w:t>
      </w:r>
      <w:r>
        <w:rPr>
          <w:rFonts w:hint="eastAsia" w:ascii="黑体" w:hAnsi="黑体" w:eastAsia="黑体" w:cs="黑体"/>
          <w:sz w:val="32"/>
          <w:szCs w:val="32"/>
          <w:lang w:val="en-US" w:eastAsia="zh-CN"/>
        </w:rPr>
        <w:br w:type="textWrapping"/>
      </w:r>
      <w:r>
        <w:rPr>
          <w:rFonts w:hint="eastAsia" w:ascii="仿宋" w:hAnsi="仿宋" w:eastAsia="仿宋" w:cs="仿宋"/>
          <w:sz w:val="32"/>
          <w:szCs w:val="32"/>
          <w:lang w:val="en-US" w:eastAsia="zh-CN"/>
        </w:rPr>
        <w:t xml:space="preserve">1.财政拨款收入：指财政部门核拨给单位的财政预算资金。 </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3.基本支出：指为保障单位机关正常运转、完成日常工作任务而发生的人员支出和公用支出。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4.项目支出：指在基本支出之外为完成特定行政任务和事业发展目标所发生的支出。</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表13.部门项目支出绩效目标表（2026年度）</w:t>
      </w:r>
    </w:p>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小标宋">
    <w:altName w:val="方正小标宋简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17BF9"/>
    <w:rsid w:val="09A25E91"/>
    <w:rsid w:val="36A17BF9"/>
    <w:rsid w:val="37F72E8D"/>
    <w:rsid w:val="38FA5A8B"/>
    <w:rsid w:val="EF5F1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2026-02-02T11:53:00Z</dcterms:created>
  <dc:creator>投资股-李仕昂</dc:creator>
  <cp:lastModifiedBy>Administrator</cp:lastModifiedBy>
  <dcterms:modified xsi:type="dcterms:W3CDTF">2026-02-13T04:02:03Z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EC19C90C5A1A65A9C4958E6934F77E55_43</vt:lpwstr>
  </property>
</Properties>
</file>