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E217D1">
      <w:pPr>
        <w:pStyle w:val="7"/>
        <w:spacing w:before="93"/>
        <w:jc w:val="center"/>
        <w:rPr>
          <w:rFonts w:ascii="Times New Roman" w:eastAsia="方正小标宋简体"/>
          <w:kern w:val="2"/>
          <w:sz w:val="44"/>
          <w:szCs w:val="44"/>
        </w:rPr>
      </w:pPr>
      <w:bookmarkStart w:id="0" w:name="_Toc15306267"/>
      <w:bookmarkStart w:id="1" w:name="_Toc15377194"/>
      <w:bookmarkStart w:id="2" w:name="_Toc15377426"/>
      <w:bookmarkStart w:id="3" w:name="_Toc15378442"/>
      <w:bookmarkStart w:id="4" w:name="_Toc15396476"/>
      <w:bookmarkStart w:id="5" w:name="_Toc15396598"/>
      <w:r>
        <w:rPr>
          <w:rFonts w:hint="eastAsia" w:ascii="Times New Roman" w:eastAsia="方正小标宋简体"/>
          <w:kern w:val="2"/>
          <w:sz w:val="44"/>
          <w:szCs w:val="44"/>
        </w:rPr>
        <w:t>2024年度四川省</w:t>
      </w:r>
      <w:bookmarkEnd w:id="0"/>
      <w:bookmarkStart w:id="6" w:name="_Toc15306268"/>
      <w:r>
        <w:rPr>
          <w:rFonts w:hint="eastAsia" w:ascii="Times New Roman" w:eastAsia="方正小标宋简体"/>
          <w:kern w:val="2"/>
          <w:sz w:val="44"/>
          <w:szCs w:val="44"/>
        </w:rPr>
        <w:t>红原县麦洼寺寺庙管理委员会决算</w:t>
      </w:r>
      <w:bookmarkEnd w:id="1"/>
      <w:bookmarkEnd w:id="2"/>
      <w:bookmarkEnd w:id="3"/>
      <w:bookmarkEnd w:id="4"/>
      <w:bookmarkEnd w:id="5"/>
      <w:bookmarkEnd w:id="6"/>
    </w:p>
    <w:p w14:paraId="712C740D">
      <w:pPr>
        <w:widowControl/>
        <w:rPr>
          <w:rFonts w:ascii="黑体" w:hAnsi="黑体" w:eastAsia="黑体" w:cstheme="minorBidi"/>
          <w:sz w:val="28"/>
          <w:szCs w:val="28"/>
        </w:rPr>
      </w:pPr>
      <w:r>
        <w:rPr>
          <w:rFonts w:eastAsia="方正小标宋简体"/>
          <w:sz w:val="36"/>
          <w:szCs w:val="36"/>
        </w:rPr>
        <w:br w:type="page"/>
      </w:r>
      <w:r>
        <w:rPr>
          <w:sz w:val="24"/>
          <w:shd w:val="clear" w:color="auto" w:fill="FFFFFF"/>
        </w:rPr>
        <w:t>部门主要负责人审签情况：已审签，同意对外公开</w:t>
      </w:r>
      <w:r>
        <w:rPr>
          <w:rFonts w:ascii="方正小标宋简体" w:hAnsi="宋体" w:eastAsia="方正小标宋简体"/>
          <w:sz w:val="36"/>
          <w:szCs w:val="36"/>
        </w:rPr>
        <w:br w:type="page"/>
      </w:r>
    </w:p>
    <w:p w14:paraId="271F562A">
      <w:pPr>
        <w:widowControl/>
        <w:jc w:val="center"/>
        <w:rPr>
          <w:rFonts w:eastAsia="黑体"/>
          <w:sz w:val="48"/>
          <w:szCs w:val="48"/>
        </w:rPr>
      </w:pPr>
      <w:r>
        <w:rPr>
          <w:rFonts w:hint="eastAsia" w:eastAsia="黑体"/>
          <w:sz w:val="48"/>
          <w:szCs w:val="48"/>
        </w:rPr>
        <w:t>目录</w:t>
      </w:r>
    </w:p>
    <w:p w14:paraId="5BC884B8">
      <w:pPr>
        <w:widowControl/>
        <w:jc w:val="center"/>
        <w:rPr>
          <w:rFonts w:eastAsia="黑体" w:cstheme="minorBidi"/>
          <w:sz w:val="28"/>
          <w:szCs w:val="28"/>
        </w:rPr>
      </w:pPr>
    </w:p>
    <w:p w14:paraId="58E9E9C1">
      <w:pPr>
        <w:pStyle w:val="12"/>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公开时间：2025年9月26日</w:t>
      </w:r>
    </w:p>
    <w:p w14:paraId="377201AD"/>
    <w:p w14:paraId="164217C4">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p>
    <w:p w14:paraId="33198C98">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一、部门职责</w:t>
      </w:r>
    </w:p>
    <w:p w14:paraId="6E6CC29E">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二、机构设置</w:t>
      </w:r>
    </w:p>
    <w:p w14:paraId="765C0509">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p>
    <w:p w14:paraId="593FAA97">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一、收入支出决算总体情况说明</w:t>
      </w:r>
    </w:p>
    <w:p w14:paraId="19834F66">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二、收入决算情况说明</w:t>
      </w:r>
    </w:p>
    <w:p w14:paraId="2E43BE9D">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三、支出决算情况说明</w:t>
      </w:r>
    </w:p>
    <w:p w14:paraId="46775D76">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四、财政拨款收入支出决算总体情况说明</w:t>
      </w:r>
    </w:p>
    <w:p w14:paraId="28DF9F31">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p>
    <w:p w14:paraId="1320B7A2">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六、一般公共预算财政拨款基本支出决算情况说明</w:t>
      </w:r>
    </w:p>
    <w:p w14:paraId="0DB2F290">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七、财政拨款“三公”经费支出决算情况说明</w:t>
      </w:r>
    </w:p>
    <w:p w14:paraId="4D56D5CD">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八、政府性基金预算支出决算情况说明</w:t>
      </w:r>
    </w:p>
    <w:p w14:paraId="3A659E80">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p>
    <w:p w14:paraId="2ED6243F">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十、其他重要事项的情况说明</w:t>
      </w:r>
    </w:p>
    <w:p w14:paraId="68E0C3E3">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第三部分 名词解释</w:t>
      </w:r>
    </w:p>
    <w:p w14:paraId="439D2243">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 附件</w:t>
      </w:r>
    </w:p>
    <w:p w14:paraId="43BBE77D">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 附表</w:t>
      </w:r>
    </w:p>
    <w:p w14:paraId="64BA16EC">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14:paraId="4E724C82">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14:paraId="793F6338">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14:paraId="38FFA35E">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14:paraId="383583D7">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14:paraId="4BD64190">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14:paraId="230B3641">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14:paraId="691C2B27">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14:paraId="17140C22">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14:paraId="59745D1C">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14:paraId="78D6CDCE">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14:paraId="597E7D83">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14:paraId="7F8C2D8C">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14:paraId="1D14962C">
      <w:pPr>
        <w:pStyle w:val="14"/>
        <w:adjustRightInd w:val="0"/>
        <w:snapToGrid w:val="0"/>
        <w:spacing w:line="560" w:lineRule="exact"/>
        <w:ind w:left="0" w:leftChars="0" w:firstLine="643" w:firstLineChars="200"/>
        <w:jc w:val="left"/>
        <w:rPr>
          <w:rFonts w:eastAsia="仿宋_GB2312" w:cs="仿宋_GB2312"/>
          <w:b/>
          <w:bCs/>
          <w:sz w:val="32"/>
          <w:szCs w:val="32"/>
        </w:rPr>
      </w:pPr>
      <w:r>
        <w:rPr>
          <w:rFonts w:hint="eastAsia" w:eastAsia="仿宋_GB2312" w:cs="仿宋_GB2312"/>
          <w:b/>
          <w:bCs/>
          <w:sz w:val="32"/>
          <w:szCs w:val="32"/>
        </w:rPr>
        <w:t>（注：请部门根据实际注明页码）</w:t>
      </w:r>
    </w:p>
    <w:p w14:paraId="6BF07752">
      <w:pPr>
        <w:widowControl/>
        <w:spacing w:line="560" w:lineRule="exact"/>
        <w:jc w:val="left"/>
        <w:rPr>
          <w:rFonts w:eastAsia="仿宋_GB2312" w:cs="仿宋_GB2312"/>
          <w:bCs/>
          <w:kern w:val="44"/>
          <w:sz w:val="32"/>
          <w:szCs w:val="32"/>
        </w:rPr>
      </w:pPr>
      <w:bookmarkStart w:id="7" w:name="_Toc15377196"/>
      <w:bookmarkStart w:id="8" w:name="_Toc15396599"/>
      <w:r>
        <w:rPr>
          <w:rFonts w:hint="eastAsia" w:eastAsia="仿宋_GB2312" w:cs="仿宋_GB2312"/>
          <w:b/>
          <w:sz w:val="32"/>
          <w:szCs w:val="32"/>
        </w:rPr>
        <w:br w:type="page"/>
      </w:r>
    </w:p>
    <w:p w14:paraId="66BA3AD3">
      <w:pPr>
        <w:pStyle w:val="4"/>
        <w:jc w:val="center"/>
        <w:rPr>
          <w:rStyle w:val="29"/>
          <w:rFonts w:eastAsia="方正小标宋简体" w:cs="方正小标宋简体"/>
          <w:b/>
          <w:bCs w:val="0"/>
        </w:rPr>
      </w:pPr>
      <w:r>
        <w:rPr>
          <w:rFonts w:hint="eastAsia" w:eastAsia="方正小标宋简体" w:cs="方正小标宋简体"/>
          <w:b w:val="0"/>
        </w:rPr>
        <w:t xml:space="preserve">第一部分  </w:t>
      </w:r>
      <w:r>
        <w:rPr>
          <w:rStyle w:val="29"/>
          <w:rFonts w:hint="eastAsia" w:eastAsia="方正小标宋简体" w:cs="方正小标宋简体"/>
          <w:b w:val="0"/>
          <w:bCs w:val="0"/>
        </w:rPr>
        <w:t>部门概况</w:t>
      </w:r>
      <w:bookmarkEnd w:id="7"/>
      <w:bookmarkEnd w:id="8"/>
    </w:p>
    <w:p w14:paraId="41834860">
      <w:pPr>
        <w:widowControl/>
        <w:jc w:val="left"/>
        <w:rPr>
          <w:rFonts w:eastAsia="黑体"/>
          <w:sz w:val="32"/>
          <w:szCs w:val="32"/>
        </w:rPr>
      </w:pPr>
    </w:p>
    <w:p w14:paraId="5FC29D81">
      <w:pPr>
        <w:pStyle w:val="5"/>
        <w:numPr>
          <w:ilvl w:val="0"/>
          <w:numId w:val="1"/>
        </w:numPr>
        <w:rPr>
          <w:rFonts w:hint="eastAsia" w:ascii="Times New Roman" w:hAnsi="Times New Roman" w:eastAsia="黑体"/>
          <w:b w:val="0"/>
        </w:rPr>
      </w:pPr>
      <w:r>
        <w:rPr>
          <w:rFonts w:hint="eastAsia" w:ascii="Times New Roman" w:hAnsi="Times New Roman" w:eastAsia="黑体"/>
          <w:b w:val="0"/>
        </w:rPr>
        <w:t>部门职责</w:t>
      </w:r>
    </w:p>
    <w:p w14:paraId="4737DD17">
      <w:pPr>
        <w:pStyle w:val="15"/>
        <w:widowControl/>
        <w:shd w:val="clear" w:color="auto" w:fill="FFFFFF"/>
        <w:spacing w:before="0" w:beforeAutospacing="0" w:after="0" w:afterAutospacing="0" w:line="576" w:lineRule="exact"/>
        <w:ind w:firstLine="640" w:firstLineChars="200"/>
        <w:rPr>
          <w:rFonts w:eastAsia="仿宋_GB2312"/>
          <w:kern w:val="2"/>
          <w:sz w:val="32"/>
          <w:szCs w:val="32"/>
        </w:rPr>
      </w:pPr>
      <w:r>
        <w:rPr>
          <w:rFonts w:hint="eastAsia" w:eastAsia="仿宋_GB2312"/>
          <w:kern w:val="2"/>
          <w:sz w:val="32"/>
          <w:szCs w:val="32"/>
        </w:rPr>
        <w:t>我管委会为县政府派出机构，受县政府委托，履行相应宗教事务管理执法权，业务上接收统战和宗教工作部门的指导和监督。</w:t>
      </w:r>
    </w:p>
    <w:p w14:paraId="510F9F93">
      <w:pPr>
        <w:pStyle w:val="15"/>
        <w:widowControl/>
        <w:shd w:val="clear" w:color="auto" w:fill="FFFFFF"/>
        <w:spacing w:before="0" w:beforeAutospacing="0" w:after="0" w:afterAutospacing="0" w:line="576" w:lineRule="exact"/>
        <w:ind w:firstLine="640" w:firstLineChars="200"/>
        <w:rPr>
          <w:rFonts w:eastAsia="仿宋_GB2312"/>
          <w:kern w:val="2"/>
          <w:sz w:val="32"/>
          <w:szCs w:val="32"/>
        </w:rPr>
      </w:pPr>
      <w:r>
        <w:rPr>
          <w:rFonts w:hint="eastAsia" w:eastAsia="仿宋_GB2312"/>
          <w:kern w:val="2"/>
          <w:sz w:val="32"/>
          <w:szCs w:val="32"/>
        </w:rPr>
        <w:t>依法管理宗教事务，加强寺庙管理，加强僧尼管理，加强宗教活动管理。</w:t>
      </w:r>
    </w:p>
    <w:p w14:paraId="759602FE">
      <w:pPr>
        <w:pStyle w:val="15"/>
        <w:widowControl/>
        <w:shd w:val="clear" w:color="auto" w:fill="FFFFFF"/>
        <w:spacing w:before="0" w:beforeAutospacing="0" w:after="0" w:afterAutospacing="0" w:line="576" w:lineRule="exact"/>
        <w:ind w:firstLine="640" w:firstLineChars="200"/>
        <w:rPr>
          <w:rFonts w:eastAsia="仿宋_GB2312"/>
          <w:kern w:val="2"/>
          <w:sz w:val="32"/>
          <w:szCs w:val="32"/>
        </w:rPr>
      </w:pPr>
      <w:r>
        <w:rPr>
          <w:rFonts w:hint="eastAsia" w:eastAsia="仿宋_GB2312"/>
          <w:kern w:val="2"/>
          <w:sz w:val="32"/>
          <w:szCs w:val="32"/>
        </w:rPr>
        <w:t>教育引导，以增强僧尼法制意识、公民意识、政府议事、祖国意识为目标，坚持不懈加强对僧尼的教育引导。</w:t>
      </w:r>
    </w:p>
    <w:p w14:paraId="46BA9C56">
      <w:r>
        <w:rPr>
          <w:rFonts w:hint="eastAsia" w:eastAsia="仿宋_GB2312"/>
          <w:sz w:val="32"/>
          <w:szCs w:val="32"/>
        </w:rPr>
        <w:t>公共服务，充分保障依法打击寺庙和持证僧尼的普惠性待遇，做到“五通”、“三有”、“三覆盖”。</w:t>
      </w:r>
    </w:p>
    <w:p w14:paraId="14370ABE">
      <w:pPr>
        <w:pStyle w:val="5"/>
        <w:rPr>
          <w:rStyle w:val="30"/>
          <w:rFonts w:ascii="Times New Roman" w:hAnsi="Times New Roman"/>
          <w:b w:val="0"/>
          <w:bCs w:val="0"/>
        </w:rPr>
      </w:pPr>
      <w:bookmarkStart w:id="9" w:name="_Toc15396601"/>
      <w:bookmarkStart w:id="10" w:name="_Toc15377200"/>
      <w:r>
        <w:rPr>
          <w:rFonts w:hint="eastAsia" w:ascii="Times New Roman" w:hAnsi="Times New Roman" w:eastAsia="黑体"/>
          <w:b w:val="0"/>
        </w:rPr>
        <w:t>二、机</w:t>
      </w:r>
      <w:r>
        <w:rPr>
          <w:rStyle w:val="30"/>
          <w:rFonts w:hint="eastAsia" w:ascii="Times New Roman" w:hAnsi="Times New Roman" w:eastAsia="黑体"/>
          <w:b w:val="0"/>
          <w:bCs w:val="0"/>
        </w:rPr>
        <w:t>构设置</w:t>
      </w:r>
      <w:bookmarkEnd w:id="9"/>
      <w:bookmarkEnd w:id="10"/>
    </w:p>
    <w:p w14:paraId="41CEE42E">
      <w:pPr>
        <w:pStyle w:val="15"/>
        <w:widowControl/>
        <w:shd w:val="clear" w:color="auto" w:fill="FFFFFF"/>
        <w:spacing w:before="0" w:beforeAutospacing="0" w:after="0" w:afterAutospacing="0" w:line="576" w:lineRule="exact"/>
        <w:ind w:firstLine="640" w:firstLineChars="200"/>
        <w:rPr>
          <w:rFonts w:eastAsia="仿宋_GB2312"/>
          <w:kern w:val="2"/>
          <w:sz w:val="32"/>
          <w:szCs w:val="32"/>
        </w:rPr>
      </w:pPr>
      <w:bookmarkStart w:id="11" w:name="_Toc15377201"/>
      <w:bookmarkStart w:id="12" w:name="_Toc15377432"/>
      <w:bookmarkStart w:id="13" w:name="_Toc15306275"/>
      <w:bookmarkStart w:id="14" w:name="_Toc15378448"/>
      <w:r>
        <w:rPr>
          <w:rFonts w:hint="eastAsia" w:eastAsia="仿宋_GB2312"/>
          <w:kern w:val="2"/>
          <w:sz w:val="32"/>
          <w:szCs w:val="32"/>
        </w:rPr>
        <w:t>红原县麦洼寺寺庙管理委员会本级下属二级预算单位0个，其中行政单位0个，参照公务员法管理的事业单位0个，其他事业单位0个。</w:t>
      </w:r>
    </w:p>
    <w:p w14:paraId="00365AC0">
      <w:pPr>
        <w:adjustRightInd w:val="0"/>
        <w:snapToGrid w:val="0"/>
        <w:spacing w:line="576" w:lineRule="exact"/>
        <w:ind w:firstLine="640" w:firstLineChars="200"/>
        <w:rPr>
          <w:rFonts w:ascii="仿宋_GB2312" w:hAnsi="仿宋" w:eastAsia="仿宋_GB2312"/>
          <w:sz w:val="32"/>
          <w:szCs w:val="32"/>
        </w:rPr>
      </w:pPr>
      <w:r>
        <w:rPr>
          <w:rFonts w:hint="eastAsia" w:eastAsia="仿宋_GB2312"/>
          <w:sz w:val="32"/>
          <w:szCs w:val="32"/>
          <w:lang w:val="zh-CN"/>
        </w:rPr>
        <w:t>我</w:t>
      </w:r>
      <w:r>
        <w:rPr>
          <w:rFonts w:hint="eastAsia" w:eastAsia="仿宋_GB2312"/>
          <w:sz w:val="32"/>
          <w:szCs w:val="32"/>
        </w:rPr>
        <w:t>单位</w:t>
      </w:r>
      <w:r>
        <w:rPr>
          <w:rFonts w:hint="eastAsia" w:eastAsia="仿宋_GB2312"/>
          <w:sz w:val="32"/>
          <w:szCs w:val="32"/>
          <w:lang w:val="zh-CN"/>
        </w:rPr>
        <w:t>人事核定行政编制</w:t>
      </w:r>
      <w:r>
        <w:rPr>
          <w:rFonts w:hint="eastAsia" w:eastAsia="仿宋_GB2312"/>
          <w:sz w:val="32"/>
          <w:szCs w:val="32"/>
        </w:rPr>
        <w:t>10</w:t>
      </w:r>
      <w:r>
        <w:rPr>
          <w:rFonts w:hint="eastAsia" w:eastAsia="仿宋_GB2312"/>
          <w:sz w:val="32"/>
          <w:szCs w:val="32"/>
          <w:lang w:val="zh-CN"/>
        </w:rPr>
        <w:t>人，其中：行政工勤编制</w:t>
      </w:r>
      <w:r>
        <w:rPr>
          <w:rFonts w:hint="eastAsia" w:eastAsia="仿宋_GB2312"/>
          <w:sz w:val="32"/>
          <w:szCs w:val="32"/>
        </w:rPr>
        <w:t>0</w:t>
      </w:r>
      <w:r>
        <w:rPr>
          <w:rFonts w:hint="eastAsia" w:eastAsia="仿宋_GB2312"/>
          <w:sz w:val="32"/>
          <w:szCs w:val="32"/>
          <w:lang w:val="zh-CN"/>
        </w:rPr>
        <w:t>人。是独立核算的机构，是独立编报预算的单位。20</w:t>
      </w:r>
      <w:r>
        <w:rPr>
          <w:rFonts w:hint="eastAsia" w:eastAsia="仿宋_GB2312"/>
          <w:sz w:val="32"/>
          <w:szCs w:val="32"/>
        </w:rPr>
        <w:t>23</w:t>
      </w:r>
      <w:r>
        <w:rPr>
          <w:rFonts w:hint="eastAsia" w:eastAsia="仿宋_GB2312"/>
          <w:sz w:val="32"/>
          <w:szCs w:val="32"/>
          <w:lang w:val="zh-CN"/>
        </w:rPr>
        <w:t>年年末在职行政人数</w:t>
      </w:r>
      <w:r>
        <w:rPr>
          <w:rFonts w:hint="eastAsia" w:eastAsia="仿宋_GB2312"/>
          <w:sz w:val="32"/>
          <w:szCs w:val="32"/>
        </w:rPr>
        <w:t>10</w:t>
      </w:r>
      <w:r>
        <w:rPr>
          <w:rFonts w:hint="eastAsia" w:eastAsia="仿宋_GB2312"/>
          <w:sz w:val="32"/>
          <w:szCs w:val="32"/>
          <w:lang w:val="zh-CN"/>
        </w:rPr>
        <w:t>人，其中：行政工勤在职人数</w:t>
      </w:r>
      <w:r>
        <w:rPr>
          <w:rFonts w:hint="eastAsia" w:eastAsia="仿宋_GB2312"/>
          <w:sz w:val="32"/>
          <w:szCs w:val="32"/>
        </w:rPr>
        <w:t>0</w:t>
      </w:r>
      <w:r>
        <w:rPr>
          <w:rFonts w:hint="eastAsia" w:eastAsia="仿宋_GB2312"/>
          <w:sz w:val="32"/>
          <w:szCs w:val="32"/>
          <w:lang w:val="zh-CN"/>
        </w:rPr>
        <w:t>人。事业编制人数</w:t>
      </w:r>
      <w:r>
        <w:rPr>
          <w:rFonts w:hint="eastAsia" w:eastAsia="仿宋_GB2312"/>
          <w:sz w:val="32"/>
          <w:szCs w:val="32"/>
        </w:rPr>
        <w:t>0人，实有人数10人</w:t>
      </w:r>
      <w:r>
        <w:rPr>
          <w:rFonts w:hint="eastAsia" w:ascii="仿宋_GB2312" w:hAnsi="仿宋" w:eastAsia="仿宋_GB2312"/>
          <w:sz w:val="32"/>
          <w:szCs w:val="32"/>
        </w:rPr>
        <w:t>。</w:t>
      </w:r>
      <w:bookmarkEnd w:id="11"/>
      <w:bookmarkEnd w:id="12"/>
      <w:bookmarkEnd w:id="13"/>
      <w:bookmarkEnd w:id="14"/>
    </w:p>
    <w:p w14:paraId="1AF2EF0A">
      <w:pPr>
        <w:pStyle w:val="4"/>
        <w:jc w:val="center"/>
        <w:rPr>
          <w:rFonts w:eastAsia="方正小标宋简体" w:cs="方正小标宋简体"/>
          <w:b w:val="0"/>
        </w:rPr>
      </w:pPr>
      <w:bookmarkStart w:id="15" w:name="_Toc15396602"/>
      <w:bookmarkStart w:id="16" w:name="_Toc15377204"/>
      <w:r>
        <w:rPr>
          <w:rFonts w:hint="eastAsia" w:eastAsia="方正小标宋简体" w:cs="方正小标宋简体"/>
          <w:b w:val="0"/>
        </w:rPr>
        <w:t>第二部分  2024年度部门决算情况说明</w:t>
      </w:r>
      <w:bookmarkEnd w:id="15"/>
      <w:bookmarkEnd w:id="16"/>
    </w:p>
    <w:p w14:paraId="66362B67"/>
    <w:p w14:paraId="742B01AD">
      <w:pPr>
        <w:pStyle w:val="28"/>
        <w:spacing w:line="600" w:lineRule="exact"/>
        <w:ind w:firstLine="640"/>
        <w:outlineLvl w:val="1"/>
        <w:rPr>
          <w:rStyle w:val="30"/>
          <w:rFonts w:ascii="Times New Roman" w:hAnsi="Times New Roman" w:eastAsia="黑体"/>
          <w:b w:val="0"/>
        </w:rPr>
      </w:pPr>
      <w:bookmarkStart w:id="17" w:name="_Toc15396603"/>
      <w:bookmarkStart w:id="18" w:name="_Toc15377205"/>
      <w:r>
        <w:rPr>
          <w:rFonts w:hint="eastAsia" w:eastAsia="黑体"/>
          <w:sz w:val="32"/>
          <w:szCs w:val="32"/>
        </w:rPr>
        <w:t>一、收</w:t>
      </w:r>
      <w:r>
        <w:rPr>
          <w:rStyle w:val="30"/>
          <w:rFonts w:hint="eastAsia" w:ascii="Times New Roman" w:hAnsi="Times New Roman" w:eastAsia="黑体"/>
          <w:b w:val="0"/>
        </w:rPr>
        <w:t>入支出决算总体情况说明</w:t>
      </w:r>
      <w:bookmarkEnd w:id="17"/>
      <w:bookmarkEnd w:id="18"/>
    </w:p>
    <w:p w14:paraId="1328D71B">
      <w:pPr>
        <w:pStyle w:val="28"/>
        <w:spacing w:line="600" w:lineRule="exact"/>
        <w:ind w:firstLine="640"/>
        <w:outlineLvl w:val="1"/>
        <w:rPr>
          <w:rFonts w:hint="eastAsia" w:eastAsia="仿宋_GB2312" w:cs="仿宋_GB2312"/>
          <w:sz w:val="32"/>
          <w:szCs w:val="32"/>
          <w:lang w:eastAsia="zh-CN"/>
        </w:rPr>
      </w:pPr>
      <w:r>
        <w:rPr>
          <w:rFonts w:hint="eastAsia" w:eastAsia="仿宋_GB2312" w:cs="仿宋_GB2312"/>
          <w:sz w:val="32"/>
          <w:szCs w:val="32"/>
        </w:rPr>
        <w:t>2024年度收入、支出总计均为</w:t>
      </w:r>
      <w:r>
        <w:rPr>
          <w:rFonts w:hint="eastAsia" w:ascii="仿宋_GB2312" w:hAnsi="仿宋_GB2312" w:eastAsia="仿宋_GB2312" w:cs="仿宋_GB2312"/>
          <w:sz w:val="32"/>
          <w:szCs w:val="32"/>
        </w:rPr>
        <w:t>362.52</w:t>
      </w:r>
      <w:r>
        <w:rPr>
          <w:rFonts w:hint="eastAsia" w:eastAsia="仿宋_GB2312" w:cs="仿宋_GB2312"/>
          <w:sz w:val="32"/>
          <w:szCs w:val="32"/>
        </w:rPr>
        <w:t>万元。与2023年度相比，收入、支出总计各减少</w:t>
      </w:r>
      <w:r>
        <w:rPr>
          <w:rFonts w:hint="eastAsia" w:eastAsia="仿宋_GB2312" w:cs="仿宋_GB2312"/>
          <w:sz w:val="32"/>
          <w:szCs w:val="32"/>
          <w:lang w:val="en-US" w:eastAsia="zh-CN"/>
        </w:rPr>
        <w:t>24.01</w:t>
      </w:r>
      <w:r>
        <w:rPr>
          <w:rFonts w:hint="eastAsia" w:eastAsia="仿宋_GB2312" w:cs="仿宋_GB2312"/>
          <w:sz w:val="32"/>
          <w:szCs w:val="32"/>
        </w:rPr>
        <w:t>万元，下降</w:t>
      </w:r>
      <w:r>
        <w:rPr>
          <w:rFonts w:hint="eastAsia" w:eastAsia="仿宋_GB2312" w:cs="仿宋_GB2312"/>
          <w:sz w:val="32"/>
          <w:szCs w:val="32"/>
          <w:lang w:val="en-US" w:eastAsia="zh-CN"/>
        </w:rPr>
        <w:t>6.2</w:t>
      </w:r>
      <w:r>
        <w:rPr>
          <w:rFonts w:hint="eastAsia" w:eastAsia="仿宋_GB2312" w:cs="仿宋_GB2312"/>
          <w:sz w:val="32"/>
          <w:szCs w:val="32"/>
        </w:rPr>
        <w:t>%。主要变动原因是</w:t>
      </w:r>
      <w:r>
        <w:rPr>
          <w:rFonts w:hint="eastAsia" w:eastAsia="仿宋_GB2312" w:cs="仿宋_GB2312"/>
          <w:sz w:val="32"/>
          <w:szCs w:val="32"/>
          <w:lang w:eastAsia="zh-CN"/>
        </w:rPr>
        <w:t>项目减少，厉行节约。</w:t>
      </w:r>
    </w:p>
    <w:p w14:paraId="1CE02996">
      <w:pPr>
        <w:ind w:firstLine="640" w:firstLineChars="200"/>
        <w:rPr>
          <w:rFonts w:eastAsia="仿宋_GB2312" w:cs="仿宋_GB2312"/>
          <w:sz w:val="32"/>
          <w:szCs w:val="32"/>
        </w:rPr>
      </w:pPr>
      <w:r>
        <w:rPr>
          <w:rFonts w:hint="eastAsia" w:eastAsia="仿宋_GB2312" w:cs="仿宋_GB2312"/>
          <w:sz w:val="32"/>
          <w:szCs w:val="32"/>
        </w:rPr>
        <w:t>（图1：收入、支出决算总计变动情况图）（柱状图）</w:t>
      </w:r>
    </w:p>
    <w:p w14:paraId="1F1BB3B4">
      <w:pPr>
        <w:ind w:firstLine="640" w:firstLineChars="200"/>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4695190" cy="2560320"/>
            <wp:effectExtent l="4445" t="4445" r="5715" b="698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E9F39AB">
      <w:pPr>
        <w:pStyle w:val="28"/>
        <w:spacing w:line="600" w:lineRule="exact"/>
        <w:ind w:firstLine="640"/>
        <w:outlineLvl w:val="1"/>
        <w:rPr>
          <w:rFonts w:eastAsia="黑体"/>
          <w:sz w:val="32"/>
          <w:szCs w:val="32"/>
        </w:rPr>
      </w:pPr>
      <w:bookmarkStart w:id="19" w:name="_Toc15377206"/>
      <w:bookmarkStart w:id="20" w:name="_Toc15396604"/>
      <w:r>
        <w:rPr>
          <w:rFonts w:hint="eastAsia" w:eastAsia="黑体"/>
          <w:sz w:val="32"/>
          <w:szCs w:val="32"/>
        </w:rPr>
        <w:t>二、收入决算情况说明</w:t>
      </w:r>
      <w:bookmarkEnd w:id="19"/>
      <w:bookmarkEnd w:id="20"/>
    </w:p>
    <w:p w14:paraId="3DF4AE4F">
      <w:pPr>
        <w:pStyle w:val="28"/>
        <w:spacing w:line="600" w:lineRule="exact"/>
        <w:ind w:firstLine="640"/>
        <w:jc w:val="left"/>
        <w:outlineLvl w:val="1"/>
        <w:rPr>
          <w:rFonts w:eastAsia="仿宋_GB2312" w:cs="仿宋_GB2312"/>
          <w:b/>
          <w:bCs/>
          <w:sz w:val="32"/>
          <w:szCs w:val="32"/>
        </w:rPr>
      </w:pPr>
      <w:r>
        <w:rPr>
          <w:rFonts w:hint="eastAsia" w:ascii="仿宋_GB2312" w:hAnsi="仿宋_GB2312" w:eastAsia="仿宋_GB2312" w:cs="仿宋_GB2312"/>
          <w:sz w:val="32"/>
          <w:szCs w:val="32"/>
        </w:rPr>
        <w:t>2024年度本年收入合计362.52万元，其中：一般公共预算财政拨款收入362.52万元，占100%；政府性基金预算财政拨款收入0万元，占0%%；国有资本经营预算财政拨款收入0万元，占0%；上级补助收入0万元，占0%；事业收入0万元，占0%；经营收入0万元，占0%；附属单位上缴收入0万元，占0%；其他收入0万元，占0%。</w:t>
      </w:r>
      <w:r>
        <w:rPr>
          <w:rFonts w:hint="eastAsia" w:eastAsia="仿宋_GB2312" w:cs="仿宋_GB2312"/>
          <w:b/>
          <w:bCs/>
          <w:sz w:val="32"/>
          <w:szCs w:val="32"/>
        </w:rPr>
        <w:t>（注：仅罗列本部门涉及的收入）</w:t>
      </w:r>
    </w:p>
    <w:p w14:paraId="52E4CC4E">
      <w:pPr>
        <w:ind w:firstLine="800" w:firstLineChars="250"/>
        <w:rPr>
          <w:rFonts w:eastAsia="仿宋_GB2312" w:cs="仿宋_GB2312"/>
          <w:sz w:val="32"/>
          <w:szCs w:val="32"/>
        </w:rPr>
      </w:pPr>
      <w:r>
        <w:rPr>
          <w:rFonts w:hint="eastAsia" w:eastAsia="仿宋_GB2312" w:cs="仿宋_GB2312"/>
          <w:sz w:val="32"/>
          <w:szCs w:val="32"/>
        </w:rPr>
        <w:t>（图2：收入决算结构图）（饼状图）</w:t>
      </w:r>
    </w:p>
    <w:p w14:paraId="0380355C">
      <w:pPr>
        <w:ind w:firstLine="800" w:firstLineChars="250"/>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4257040" cy="2340610"/>
            <wp:effectExtent l="4445" t="4445" r="5715" b="1714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D1B3BB9">
      <w:pPr>
        <w:pStyle w:val="28"/>
        <w:spacing w:line="600" w:lineRule="exact"/>
        <w:ind w:firstLine="640"/>
        <w:outlineLvl w:val="1"/>
        <w:rPr>
          <w:rStyle w:val="30"/>
          <w:rFonts w:ascii="Times New Roman" w:hAnsi="Times New Roman" w:eastAsia="黑体"/>
          <w:b w:val="0"/>
        </w:rPr>
      </w:pPr>
      <w:bookmarkStart w:id="21" w:name="_Toc15396605"/>
      <w:bookmarkStart w:id="22" w:name="_Toc15377207"/>
      <w:r>
        <w:rPr>
          <w:rFonts w:hint="eastAsia" w:eastAsia="黑体"/>
          <w:sz w:val="32"/>
          <w:szCs w:val="32"/>
        </w:rPr>
        <w:t>三、支</w:t>
      </w:r>
      <w:r>
        <w:rPr>
          <w:rStyle w:val="30"/>
          <w:rFonts w:hint="eastAsia" w:ascii="Times New Roman" w:hAnsi="Times New Roman" w:eastAsia="黑体"/>
          <w:b w:val="0"/>
        </w:rPr>
        <w:t>出决算情况说明</w:t>
      </w:r>
      <w:bookmarkEnd w:id="21"/>
      <w:bookmarkEnd w:id="22"/>
    </w:p>
    <w:p w14:paraId="0B7489F6">
      <w:pPr>
        <w:pStyle w:val="28"/>
        <w:spacing w:line="600" w:lineRule="exact"/>
        <w:ind w:firstLine="640"/>
        <w:jc w:val="left"/>
        <w:outlineLvl w:val="1"/>
        <w:rPr>
          <w:rFonts w:eastAsia="仿宋_GB2312" w:cs="仿宋_GB2312"/>
          <w:sz w:val="32"/>
          <w:szCs w:val="32"/>
        </w:rPr>
      </w:pPr>
      <w:r>
        <w:rPr>
          <w:rFonts w:hint="eastAsia" w:ascii="仿宋_GB2312" w:hAnsi="仿宋_GB2312" w:eastAsia="仿宋_GB2312" w:cs="仿宋_GB2312"/>
          <w:sz w:val="32"/>
          <w:szCs w:val="32"/>
        </w:rPr>
        <w:t>2024年度本年支出合计362.52万元，其中：基本支出325.67万元，占89.83%；项目支出36.86万元，占10.16%；上缴上级支出0万元，占0%；经营支出0万元，占0%；对附属单位补助支出0万元，占0%%。</w:t>
      </w:r>
      <w:r>
        <w:rPr>
          <w:rFonts w:hint="eastAsia" w:eastAsia="仿宋_GB2312" w:cs="仿宋_GB2312"/>
          <w:b/>
          <w:bCs/>
          <w:sz w:val="32"/>
          <w:szCs w:val="32"/>
        </w:rPr>
        <w:t>（注：仅罗列本部门涉及的支出）</w:t>
      </w:r>
    </w:p>
    <w:p w14:paraId="2DB90006">
      <w:pPr>
        <w:ind w:firstLine="800" w:firstLineChars="250"/>
        <w:rPr>
          <w:rFonts w:eastAsia="仿宋_GB2312" w:cs="仿宋_GB2312"/>
          <w:sz w:val="32"/>
          <w:szCs w:val="32"/>
        </w:rPr>
      </w:pPr>
      <w:r>
        <w:rPr>
          <w:rFonts w:hint="eastAsia" w:eastAsia="仿宋_GB2312" w:cs="仿宋_GB2312"/>
          <w:sz w:val="32"/>
          <w:szCs w:val="32"/>
        </w:rPr>
        <w:t>（图3：支出决算结构图）（饼状图）</w:t>
      </w:r>
    </w:p>
    <w:p w14:paraId="5E3781D3">
      <w:pPr>
        <w:ind w:firstLine="800" w:firstLineChars="250"/>
        <w:rPr>
          <w:rFonts w:hint="eastAsia" w:eastAsia="仿宋_GB2312" w:cs="仿宋_GB2312"/>
          <w:sz w:val="32"/>
          <w:szCs w:val="32"/>
          <w:lang w:eastAsia="zh-CN"/>
        </w:rPr>
      </w:pPr>
      <w:r>
        <w:rPr>
          <w:rFonts w:hint="eastAsia" w:eastAsia="仿宋_GB2312" w:cs="仿宋_GB2312"/>
          <w:sz w:val="32"/>
          <w:szCs w:val="32"/>
          <w:lang w:eastAsia="zh-CN"/>
        </w:rPr>
        <w:drawing>
          <wp:inline distT="0" distB="0" distL="114300" distR="114300">
            <wp:extent cx="4323715" cy="2226945"/>
            <wp:effectExtent l="4445" t="5080" r="15240" b="1587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E24B67D">
      <w:pPr>
        <w:spacing w:line="600" w:lineRule="exact"/>
        <w:ind w:firstLine="640" w:firstLineChars="200"/>
        <w:outlineLvl w:val="1"/>
        <w:rPr>
          <w:rStyle w:val="30"/>
          <w:rFonts w:ascii="Times New Roman" w:hAnsi="Times New Roman" w:eastAsia="黑体"/>
          <w:b w:val="0"/>
        </w:rPr>
      </w:pPr>
      <w:bookmarkStart w:id="23" w:name="_Toc15377208"/>
      <w:bookmarkStart w:id="24" w:name="_Toc15396606"/>
      <w:r>
        <w:rPr>
          <w:rFonts w:hint="eastAsia" w:eastAsia="黑体"/>
          <w:sz w:val="32"/>
          <w:szCs w:val="32"/>
        </w:rPr>
        <w:t>四、财</w:t>
      </w:r>
      <w:r>
        <w:rPr>
          <w:rStyle w:val="30"/>
          <w:rFonts w:hint="eastAsia" w:ascii="Times New Roman" w:hAnsi="Times New Roman" w:eastAsia="黑体"/>
          <w:b w:val="0"/>
        </w:rPr>
        <w:t>政拨款收入支出决算总体情况说明</w:t>
      </w:r>
      <w:bookmarkEnd w:id="23"/>
      <w:bookmarkEnd w:id="24"/>
    </w:p>
    <w:p w14:paraId="633B1FAD">
      <w:pPr>
        <w:spacing w:line="600" w:lineRule="exact"/>
        <w:ind w:firstLine="640"/>
        <w:rPr>
          <w:rFonts w:eastAsia="仿宋_GB2312" w:cs="仿宋_GB2312"/>
          <w:sz w:val="32"/>
          <w:szCs w:val="32"/>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rPr>
        <w:t>362.52</w:t>
      </w:r>
      <w:r>
        <w:rPr>
          <w:rFonts w:hint="eastAsia" w:eastAsia="仿宋_GB2312" w:cs="仿宋_GB2312"/>
          <w:sz w:val="32"/>
          <w:szCs w:val="32"/>
        </w:rPr>
        <w:t>万元。与2023年度相比，财政拨款收入总计、支出总计各减少</w:t>
      </w:r>
      <w:r>
        <w:rPr>
          <w:rFonts w:hint="eastAsia" w:eastAsia="仿宋_GB2312" w:cs="仿宋_GB2312"/>
          <w:sz w:val="32"/>
          <w:szCs w:val="32"/>
          <w:lang w:val="en-US" w:eastAsia="zh-CN"/>
        </w:rPr>
        <w:t>24.01</w:t>
      </w:r>
      <w:r>
        <w:rPr>
          <w:rFonts w:hint="eastAsia" w:eastAsia="仿宋_GB2312" w:cs="仿宋_GB2312"/>
          <w:sz w:val="32"/>
          <w:szCs w:val="32"/>
        </w:rPr>
        <w:t>万元，下降</w:t>
      </w:r>
      <w:r>
        <w:rPr>
          <w:rFonts w:hint="eastAsia" w:eastAsia="仿宋_GB2312" w:cs="仿宋_GB2312"/>
          <w:sz w:val="32"/>
          <w:szCs w:val="32"/>
          <w:lang w:val="en-US" w:eastAsia="zh-CN"/>
        </w:rPr>
        <w:t>6.2</w:t>
      </w:r>
      <w:r>
        <w:rPr>
          <w:rFonts w:hint="eastAsia" w:eastAsia="仿宋_GB2312" w:cs="仿宋_GB2312"/>
          <w:sz w:val="32"/>
          <w:szCs w:val="32"/>
        </w:rPr>
        <w:t>%。主要变动原因是</w:t>
      </w:r>
      <w:r>
        <w:rPr>
          <w:rFonts w:hint="eastAsia" w:eastAsia="仿宋_GB2312" w:cs="仿宋_GB2312"/>
          <w:sz w:val="32"/>
          <w:szCs w:val="32"/>
          <w:lang w:eastAsia="zh-CN"/>
        </w:rPr>
        <w:t>项目减少，厉行节约。</w:t>
      </w:r>
    </w:p>
    <w:p w14:paraId="676819A1">
      <w:pPr>
        <w:spacing w:line="600" w:lineRule="exact"/>
        <w:ind w:firstLine="640" w:firstLineChars="200"/>
        <w:rPr>
          <w:rFonts w:hint="eastAsia" w:eastAsia="仿宋_GB2312" w:cs="仿宋_GB2312"/>
          <w:sz w:val="32"/>
          <w:szCs w:val="32"/>
          <w:lang w:eastAsia="zh-CN"/>
        </w:rPr>
      </w:pPr>
      <w:r>
        <w:rPr>
          <w:rFonts w:hint="eastAsia" w:eastAsia="仿宋_GB2312" w:cs="仿宋_GB2312"/>
          <w:sz w:val="32"/>
          <w:szCs w:val="32"/>
        </w:rPr>
        <w:t>（图4：财政拨款收、支决算总计变动情况）（柱状图）</w:t>
      </w:r>
    </w:p>
    <w:p w14:paraId="412EB6E6">
      <w:pPr>
        <w:spacing w:line="600" w:lineRule="exact"/>
        <w:ind w:firstLine="640" w:firstLineChars="200"/>
        <w:outlineLvl w:val="1"/>
        <w:rPr>
          <w:rStyle w:val="30"/>
          <w:rFonts w:ascii="Times New Roman" w:hAnsi="Times New Roman" w:eastAsia="黑体"/>
          <w:b w:val="0"/>
        </w:rPr>
      </w:pPr>
      <w:bookmarkStart w:id="25" w:name="_Toc15396607"/>
      <w:bookmarkStart w:id="26" w:name="_Toc15377209"/>
      <w:r>
        <w:rPr>
          <w:rFonts w:hint="eastAsia" w:eastAsia="仿宋_GB2312" w:cs="仿宋_GB2312"/>
          <w:sz w:val="32"/>
          <w:szCs w:val="32"/>
          <w:lang w:eastAsia="zh-CN"/>
        </w:rPr>
        <w:drawing>
          <wp:anchor distT="0" distB="0" distL="114300" distR="114300" simplePos="0" relativeHeight="251659264" behindDoc="0" locked="0" layoutInCell="1" allowOverlap="1">
            <wp:simplePos x="0" y="0"/>
            <wp:positionH relativeFrom="column">
              <wp:posOffset>478155</wp:posOffset>
            </wp:positionH>
            <wp:positionV relativeFrom="paragraph">
              <wp:posOffset>223520</wp:posOffset>
            </wp:positionV>
            <wp:extent cx="4495165" cy="2388235"/>
            <wp:effectExtent l="4445" t="4445" r="15240" b="762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eastAsia="黑体"/>
          <w:sz w:val="32"/>
          <w:szCs w:val="32"/>
        </w:rPr>
        <w:t>五、</w:t>
      </w:r>
      <w:r>
        <w:rPr>
          <w:rFonts w:hint="eastAsia" w:eastAsia="黑体"/>
          <w:b/>
          <w:sz w:val="32"/>
          <w:szCs w:val="32"/>
        </w:rPr>
        <w:t>一</w:t>
      </w:r>
      <w:r>
        <w:rPr>
          <w:rStyle w:val="30"/>
          <w:rFonts w:hint="eastAsia" w:ascii="Times New Roman" w:hAnsi="Times New Roman" w:eastAsia="黑体"/>
          <w:b w:val="0"/>
        </w:rPr>
        <w:t>般公共预算财政拨款支出决算情况说明</w:t>
      </w:r>
      <w:bookmarkEnd w:id="25"/>
      <w:bookmarkEnd w:id="26"/>
    </w:p>
    <w:p w14:paraId="0B5B20CE">
      <w:pPr>
        <w:spacing w:line="600" w:lineRule="exact"/>
        <w:ind w:firstLine="643" w:firstLineChars="200"/>
        <w:outlineLvl w:val="2"/>
        <w:rPr>
          <w:rFonts w:eastAsia="楷体_GB2312" w:cs="楷体_GB2312"/>
          <w:b/>
          <w:sz w:val="32"/>
          <w:szCs w:val="32"/>
        </w:rPr>
      </w:pPr>
      <w:bookmarkStart w:id="27" w:name="_Toc15377210"/>
      <w:r>
        <w:rPr>
          <w:rFonts w:hint="eastAsia" w:eastAsia="楷体_GB2312" w:cs="楷体_GB2312"/>
          <w:b/>
          <w:sz w:val="32"/>
          <w:szCs w:val="32"/>
        </w:rPr>
        <w:t>（一）一般公共预算财政拨款支出决算总体情况</w:t>
      </w:r>
      <w:bookmarkEnd w:id="27"/>
    </w:p>
    <w:p w14:paraId="2A659AE9">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2024年度一般公共预算财政拨款支出362.52万元，占本年支出合计的100%。与2023年度相比，一般公共预算财政拨款支出减少</w:t>
      </w:r>
      <w:r>
        <w:rPr>
          <w:rFonts w:hint="eastAsia" w:ascii="仿宋_GB2312" w:hAnsi="仿宋_GB2312" w:eastAsia="仿宋_GB2312" w:cs="仿宋_GB2312"/>
          <w:sz w:val="32"/>
          <w:szCs w:val="32"/>
          <w:lang w:val="en-US" w:eastAsia="zh-CN"/>
        </w:rPr>
        <w:t>24.01</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6.2</w:t>
      </w:r>
      <w:r>
        <w:rPr>
          <w:rFonts w:hint="eastAsia" w:ascii="仿宋_GB2312" w:hAnsi="仿宋_GB2312" w:eastAsia="仿宋_GB2312" w:cs="仿宋_GB2312"/>
          <w:sz w:val="32"/>
          <w:szCs w:val="32"/>
        </w:rPr>
        <w:t>%。</w:t>
      </w:r>
      <w:r>
        <w:rPr>
          <w:rFonts w:hint="eastAsia" w:eastAsia="仿宋_GB2312" w:cs="仿宋_GB2312"/>
          <w:sz w:val="32"/>
          <w:szCs w:val="32"/>
        </w:rPr>
        <w:t>主要变动原因是</w:t>
      </w:r>
      <w:r>
        <w:rPr>
          <w:rFonts w:hint="eastAsia" w:eastAsia="仿宋_GB2312" w:cs="仿宋_GB2312"/>
          <w:sz w:val="32"/>
          <w:szCs w:val="32"/>
          <w:lang w:eastAsia="zh-CN"/>
        </w:rPr>
        <w:t>项目减少，厉行节约。</w:t>
      </w:r>
    </w:p>
    <w:p w14:paraId="0FA4B0B9">
      <w:pPr>
        <w:spacing w:line="600" w:lineRule="exact"/>
        <w:rPr>
          <w:rFonts w:eastAsia="仿宋_GB2312" w:cs="仿宋_GB2312"/>
          <w:sz w:val="32"/>
          <w:szCs w:val="32"/>
        </w:rPr>
      </w:pPr>
      <w:r>
        <w:rPr>
          <w:rFonts w:hint="eastAsia" w:eastAsia="仿宋_GB2312" w:cs="仿宋_GB2312"/>
          <w:sz w:val="32"/>
          <w:szCs w:val="32"/>
          <w:lang w:eastAsia="zh-CN"/>
        </w:rPr>
        <w:drawing>
          <wp:anchor distT="0" distB="0" distL="114300" distR="114300" simplePos="0" relativeHeight="251660288" behindDoc="0" locked="0" layoutInCell="1" allowOverlap="1">
            <wp:simplePos x="0" y="0"/>
            <wp:positionH relativeFrom="column">
              <wp:posOffset>173355</wp:posOffset>
            </wp:positionH>
            <wp:positionV relativeFrom="page">
              <wp:posOffset>7837805</wp:posOffset>
            </wp:positionV>
            <wp:extent cx="4941570" cy="2159635"/>
            <wp:effectExtent l="5080" t="4445" r="6350" b="762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eastAsia="仿宋_GB2312" w:cs="仿宋_GB2312"/>
          <w:sz w:val="32"/>
          <w:szCs w:val="32"/>
        </w:rPr>
        <w:t>（图5：一般公共预算财政拨款支出决算变动情况）（柱状图）</w:t>
      </w:r>
    </w:p>
    <w:p w14:paraId="466773DB">
      <w:pPr>
        <w:spacing w:line="600" w:lineRule="exact"/>
        <w:rPr>
          <w:rFonts w:hint="eastAsia" w:eastAsia="仿宋_GB2312" w:cs="仿宋_GB2312"/>
          <w:sz w:val="32"/>
          <w:szCs w:val="32"/>
          <w:lang w:eastAsia="zh-CN"/>
        </w:rPr>
      </w:pPr>
    </w:p>
    <w:p w14:paraId="5594CF47">
      <w:pPr>
        <w:spacing w:line="600" w:lineRule="exact"/>
        <w:ind w:firstLine="643" w:firstLineChars="200"/>
        <w:outlineLvl w:val="2"/>
        <w:rPr>
          <w:rFonts w:eastAsia="楷体_GB2312" w:cs="楷体_GB2312"/>
          <w:b/>
          <w:sz w:val="32"/>
          <w:szCs w:val="32"/>
        </w:rPr>
      </w:pPr>
      <w:bookmarkStart w:id="28" w:name="_Toc15377211"/>
      <w:r>
        <w:rPr>
          <w:rFonts w:hint="eastAsia" w:eastAsia="楷体_GB2312" w:cs="楷体_GB2312"/>
          <w:b/>
          <w:sz w:val="32"/>
          <w:szCs w:val="32"/>
        </w:rPr>
        <w:t>（二）一般公共预算财政拨款支出决算结构情况</w:t>
      </w:r>
      <w:bookmarkEnd w:id="28"/>
    </w:p>
    <w:p w14:paraId="66C61E6D">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362.52万元</w:t>
      </w:r>
      <w:r>
        <w:rPr>
          <w:rFonts w:hint="eastAsia" w:eastAsia="仿宋_GB2312" w:cs="仿宋_GB2312"/>
          <w:sz w:val="32"/>
          <w:szCs w:val="32"/>
        </w:rPr>
        <w:t>，主要用于以下方面：一般公共服务支出</w:t>
      </w:r>
      <w:r>
        <w:rPr>
          <w:rFonts w:hint="eastAsia" w:eastAsia="仿宋_GB2312" w:cs="仿宋_GB2312"/>
          <w:sz w:val="32"/>
          <w:szCs w:val="32"/>
          <w:lang w:val="en-US" w:eastAsia="zh-CN"/>
        </w:rPr>
        <w:t>286.23</w:t>
      </w:r>
      <w:r>
        <w:rPr>
          <w:rFonts w:hint="eastAsia" w:eastAsia="仿宋_GB2312" w:cs="仿宋_GB2312"/>
          <w:sz w:val="32"/>
          <w:szCs w:val="32"/>
        </w:rPr>
        <w:t>万元，占</w:t>
      </w:r>
      <w:r>
        <w:rPr>
          <w:rFonts w:hint="eastAsia" w:eastAsia="仿宋_GB2312" w:cs="仿宋_GB2312"/>
          <w:sz w:val="32"/>
          <w:szCs w:val="32"/>
          <w:lang w:val="en-US" w:eastAsia="zh-CN"/>
        </w:rPr>
        <w:t>78.96</w:t>
      </w:r>
      <w:r>
        <w:rPr>
          <w:rFonts w:hint="eastAsia" w:eastAsia="仿宋_GB2312" w:cs="仿宋_GB2312"/>
          <w:sz w:val="32"/>
          <w:szCs w:val="32"/>
        </w:rPr>
        <w:t>%；社会保障和就业支出</w:t>
      </w:r>
      <w:r>
        <w:rPr>
          <w:rFonts w:hint="eastAsia" w:eastAsia="仿宋_GB2312" w:cs="仿宋_GB2312"/>
          <w:sz w:val="32"/>
          <w:szCs w:val="32"/>
          <w:lang w:val="en-US" w:eastAsia="zh-CN"/>
        </w:rPr>
        <w:t>39.03</w:t>
      </w:r>
      <w:r>
        <w:rPr>
          <w:rFonts w:hint="eastAsia" w:eastAsia="仿宋_GB2312" w:cs="仿宋_GB2312"/>
          <w:sz w:val="32"/>
          <w:szCs w:val="32"/>
        </w:rPr>
        <w:t>万元，占</w:t>
      </w:r>
      <w:r>
        <w:rPr>
          <w:rFonts w:hint="eastAsia" w:eastAsia="仿宋_GB2312" w:cs="仿宋_GB2312"/>
          <w:sz w:val="32"/>
          <w:szCs w:val="32"/>
          <w:lang w:val="en-US" w:eastAsia="zh-CN"/>
        </w:rPr>
        <w:t>10.77</w:t>
      </w:r>
      <w:r>
        <w:rPr>
          <w:rFonts w:hint="eastAsia" w:eastAsia="仿宋_GB2312" w:cs="仿宋_GB2312"/>
          <w:sz w:val="32"/>
          <w:szCs w:val="32"/>
        </w:rPr>
        <w:t>%；卫生健康支出</w:t>
      </w:r>
      <w:r>
        <w:rPr>
          <w:rFonts w:hint="eastAsia" w:eastAsia="仿宋_GB2312" w:cs="仿宋_GB2312"/>
          <w:sz w:val="32"/>
          <w:szCs w:val="32"/>
          <w:lang w:val="en-US" w:eastAsia="zh-CN"/>
        </w:rPr>
        <w:t>14.61</w:t>
      </w:r>
      <w:r>
        <w:rPr>
          <w:rFonts w:hint="eastAsia" w:eastAsia="仿宋_GB2312" w:cs="仿宋_GB2312"/>
          <w:sz w:val="32"/>
          <w:szCs w:val="32"/>
        </w:rPr>
        <w:t>万元，占</w:t>
      </w:r>
      <w:r>
        <w:rPr>
          <w:rFonts w:hint="eastAsia" w:eastAsia="仿宋_GB2312" w:cs="仿宋_GB2312"/>
          <w:sz w:val="32"/>
          <w:szCs w:val="32"/>
          <w:lang w:val="en-US" w:eastAsia="zh-CN"/>
        </w:rPr>
        <w:t>4.03</w:t>
      </w:r>
      <w:r>
        <w:rPr>
          <w:rFonts w:hint="eastAsia" w:eastAsia="仿宋_GB2312" w:cs="仿宋_GB2312"/>
          <w:sz w:val="32"/>
          <w:szCs w:val="32"/>
        </w:rPr>
        <w:t>%；住房保障支出</w:t>
      </w:r>
      <w:r>
        <w:rPr>
          <w:rFonts w:hint="eastAsia" w:eastAsia="仿宋_GB2312" w:cs="仿宋_GB2312"/>
          <w:sz w:val="32"/>
          <w:szCs w:val="32"/>
          <w:lang w:val="en-US" w:eastAsia="zh-CN"/>
        </w:rPr>
        <w:t>22.66</w:t>
      </w:r>
      <w:r>
        <w:rPr>
          <w:rFonts w:hint="eastAsia" w:eastAsia="仿宋_GB2312" w:cs="仿宋_GB2312"/>
          <w:sz w:val="32"/>
          <w:szCs w:val="32"/>
        </w:rPr>
        <w:t>万元，占</w:t>
      </w:r>
      <w:r>
        <w:rPr>
          <w:rFonts w:hint="eastAsia" w:eastAsia="仿宋_GB2312" w:cs="仿宋_GB2312"/>
          <w:sz w:val="32"/>
          <w:szCs w:val="32"/>
          <w:lang w:val="en-US" w:eastAsia="zh-CN"/>
        </w:rPr>
        <w:t>6.25</w:t>
      </w:r>
      <w:r>
        <w:rPr>
          <w:rFonts w:hint="eastAsia" w:eastAsia="仿宋_GB2312" w:cs="仿宋_GB2312"/>
          <w:sz w:val="32"/>
          <w:szCs w:val="32"/>
        </w:rPr>
        <w:t>%</w:t>
      </w:r>
      <w:r>
        <w:rPr>
          <w:rFonts w:hint="eastAsia" w:eastAsia="仿宋_GB2312" w:cs="仿宋_GB2312"/>
          <w:sz w:val="32"/>
          <w:szCs w:val="32"/>
          <w:lang w:eastAsia="zh-CN"/>
        </w:rPr>
        <w:t>。</w:t>
      </w:r>
    </w:p>
    <w:p w14:paraId="636316B6">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14:paraId="39FF9C11">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eastAsia="zh-CN"/>
        </w:rPr>
        <w:drawing>
          <wp:anchor distT="0" distB="0" distL="114300" distR="114300" simplePos="0" relativeHeight="251661312" behindDoc="0" locked="0" layoutInCell="1" allowOverlap="0">
            <wp:simplePos x="0" y="0"/>
            <wp:positionH relativeFrom="column">
              <wp:posOffset>126365</wp:posOffset>
            </wp:positionH>
            <wp:positionV relativeFrom="page">
              <wp:posOffset>4180840</wp:posOffset>
            </wp:positionV>
            <wp:extent cx="5256530" cy="2988310"/>
            <wp:effectExtent l="5080" t="4445" r="15240" b="1714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E5297E2">
      <w:pPr>
        <w:spacing w:line="600" w:lineRule="exact"/>
        <w:ind w:firstLine="643" w:firstLineChars="200"/>
        <w:outlineLvl w:val="2"/>
        <w:rPr>
          <w:rFonts w:eastAsia="楷体_GB2312" w:cs="楷体_GB2312"/>
          <w:b/>
          <w:sz w:val="32"/>
          <w:szCs w:val="32"/>
        </w:rPr>
      </w:pPr>
      <w:bookmarkStart w:id="29" w:name="_Toc15377212"/>
      <w:r>
        <w:rPr>
          <w:rFonts w:hint="eastAsia" w:eastAsia="楷体_GB2312" w:cs="楷体_GB2312"/>
          <w:b/>
          <w:sz w:val="32"/>
          <w:szCs w:val="32"/>
        </w:rPr>
        <w:t>（三）一般公共预算财政拨款支出决算具体情况</w:t>
      </w:r>
      <w:bookmarkEnd w:id="29"/>
    </w:p>
    <w:p w14:paraId="6DF8E9CF">
      <w:pPr>
        <w:spacing w:line="600" w:lineRule="exact"/>
        <w:ind w:firstLine="640"/>
        <w:rPr>
          <w:rFonts w:eastAsia="仿宋_GB2312" w:cs="仿宋_GB2312"/>
          <w:sz w:val="32"/>
          <w:szCs w:val="32"/>
        </w:rPr>
      </w:pPr>
      <w:bookmarkStart w:id="30" w:name="_Toc15378460"/>
      <w:bookmarkStart w:id="31" w:name="_Toc15377213"/>
      <w:bookmarkStart w:id="32" w:name="_Toc15377444"/>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362.52，</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0"/>
      <w:bookmarkEnd w:id="31"/>
      <w:bookmarkEnd w:id="32"/>
    </w:p>
    <w:p w14:paraId="06925825">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1.</w:t>
      </w:r>
      <w:r>
        <w:rPr>
          <w:rFonts w:hint="eastAsia" w:eastAsia="仿宋_GB2312" w:cs="仿宋_GB2312"/>
          <w:sz w:val="32"/>
          <w:szCs w:val="32"/>
          <w:lang w:eastAsia="zh-CN"/>
        </w:rPr>
        <w:t>行政运行</w:t>
      </w:r>
      <w:r>
        <w:rPr>
          <w:rFonts w:hint="eastAsia" w:eastAsia="仿宋_GB2312" w:cs="仿宋_GB2312"/>
          <w:sz w:val="32"/>
          <w:szCs w:val="32"/>
          <w:lang w:val="en-US" w:eastAsia="zh-CN"/>
        </w:rPr>
        <w:t>2013401</w:t>
      </w:r>
      <w:r>
        <w:rPr>
          <w:rFonts w:hint="eastAsia" w:eastAsia="仿宋_GB2312" w:cs="仿宋_GB2312"/>
          <w:sz w:val="32"/>
          <w:szCs w:val="32"/>
        </w:rPr>
        <w:t>：支出决算为</w:t>
      </w:r>
      <w:r>
        <w:rPr>
          <w:rFonts w:hint="eastAsia" w:eastAsia="仿宋_GB2312" w:cs="仿宋_GB2312"/>
          <w:sz w:val="32"/>
          <w:szCs w:val="32"/>
          <w:lang w:val="en-US" w:eastAsia="zh-CN"/>
        </w:rPr>
        <w:t>249.37</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eastAsia="zh-CN"/>
        </w:rPr>
        <w:t>。</w:t>
      </w:r>
    </w:p>
    <w:p w14:paraId="25F811AD">
      <w:pPr>
        <w:spacing w:line="600" w:lineRule="exact"/>
        <w:ind w:firstLine="640"/>
        <w:rPr>
          <w:rFonts w:eastAsia="仿宋_GB2312" w:cs="仿宋_GB2312"/>
          <w:sz w:val="32"/>
          <w:szCs w:val="32"/>
        </w:rPr>
      </w:pPr>
      <w:r>
        <w:rPr>
          <w:rFonts w:hint="eastAsia" w:eastAsia="仿宋_GB2312" w:cs="仿宋_GB2312"/>
          <w:sz w:val="32"/>
          <w:szCs w:val="32"/>
        </w:rPr>
        <w:t>2.</w:t>
      </w:r>
      <w:r>
        <w:rPr>
          <w:rFonts w:hint="eastAsia" w:eastAsia="仿宋_GB2312" w:cs="仿宋_GB2312"/>
          <w:sz w:val="32"/>
          <w:szCs w:val="32"/>
          <w:lang w:eastAsia="zh-CN"/>
        </w:rPr>
        <w:t>宗教事务</w:t>
      </w:r>
      <w:r>
        <w:rPr>
          <w:rFonts w:hint="eastAsia" w:eastAsia="仿宋_GB2312" w:cs="仿宋_GB2312"/>
          <w:sz w:val="32"/>
          <w:szCs w:val="32"/>
          <w:lang w:val="en-US" w:eastAsia="zh-CN"/>
        </w:rPr>
        <w:t>2013404</w:t>
      </w:r>
      <w:r>
        <w:rPr>
          <w:rFonts w:hint="eastAsia" w:eastAsia="仿宋_GB2312" w:cs="仿宋_GB2312"/>
          <w:sz w:val="32"/>
          <w:szCs w:val="32"/>
        </w:rPr>
        <w:t>: 支出决算为</w:t>
      </w:r>
      <w:r>
        <w:rPr>
          <w:rFonts w:hint="eastAsia" w:eastAsia="仿宋_GB2312" w:cs="仿宋_GB2312"/>
          <w:sz w:val="32"/>
          <w:szCs w:val="32"/>
          <w:lang w:val="en-US" w:eastAsia="zh-CN"/>
        </w:rPr>
        <w:t>36.86</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eastAsia="zh-CN"/>
        </w:rPr>
        <w:t>。</w:t>
      </w:r>
    </w:p>
    <w:p w14:paraId="25C01893">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3.机关事业单位基本养老保险缴费支出</w:t>
      </w:r>
      <w:r>
        <w:rPr>
          <w:rFonts w:hint="eastAsia" w:eastAsia="仿宋_GB2312" w:cs="仿宋_GB2312"/>
          <w:sz w:val="32"/>
          <w:szCs w:val="32"/>
          <w:lang w:val="en-US" w:eastAsia="zh-CN"/>
        </w:rPr>
        <w:t>2080505</w:t>
      </w:r>
      <w:r>
        <w:rPr>
          <w:rFonts w:hint="eastAsia" w:eastAsia="仿宋_GB2312" w:cs="仿宋_GB2312"/>
          <w:sz w:val="32"/>
          <w:szCs w:val="32"/>
        </w:rPr>
        <w:t>：支出决算为</w:t>
      </w:r>
      <w:r>
        <w:rPr>
          <w:rFonts w:hint="eastAsia" w:eastAsia="仿宋_GB2312" w:cs="仿宋_GB2312"/>
          <w:sz w:val="32"/>
          <w:szCs w:val="32"/>
          <w:lang w:val="en-US" w:eastAsia="zh-CN"/>
        </w:rPr>
        <w:t>26.02</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eastAsia="zh-CN"/>
        </w:rPr>
        <w:t>。</w:t>
      </w:r>
    </w:p>
    <w:p w14:paraId="0EEB69C8">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4.机关事业单位职业年金缴费支出</w:t>
      </w:r>
      <w:r>
        <w:rPr>
          <w:rFonts w:hint="eastAsia" w:eastAsia="仿宋_GB2312" w:cs="仿宋_GB2312"/>
          <w:sz w:val="32"/>
          <w:szCs w:val="32"/>
          <w:lang w:val="en-US" w:eastAsia="zh-CN"/>
        </w:rPr>
        <w:t>2080506</w:t>
      </w:r>
      <w:r>
        <w:rPr>
          <w:rFonts w:hint="eastAsia" w:eastAsia="仿宋_GB2312" w:cs="仿宋_GB2312"/>
          <w:sz w:val="32"/>
          <w:szCs w:val="32"/>
        </w:rPr>
        <w:t>：支出决算为</w:t>
      </w:r>
      <w:r>
        <w:rPr>
          <w:rFonts w:hint="eastAsia" w:eastAsia="仿宋_GB2312" w:cs="仿宋_GB2312"/>
          <w:sz w:val="32"/>
          <w:szCs w:val="32"/>
          <w:lang w:val="en-US" w:eastAsia="zh-CN"/>
        </w:rPr>
        <w:t>13.01</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eastAsia="zh-CN"/>
        </w:rPr>
        <w:t>。</w:t>
      </w:r>
    </w:p>
    <w:p w14:paraId="5410D8ED">
      <w:pPr>
        <w:spacing w:line="600" w:lineRule="exact"/>
        <w:ind w:firstLine="640"/>
        <w:rPr>
          <w:rFonts w:eastAsia="仿宋_GB2312" w:cs="仿宋_GB2312"/>
          <w:sz w:val="32"/>
          <w:szCs w:val="32"/>
        </w:rPr>
      </w:pPr>
      <w:r>
        <w:rPr>
          <w:rFonts w:hint="eastAsia" w:eastAsia="仿宋_GB2312" w:cs="仿宋_GB2312"/>
          <w:sz w:val="32"/>
          <w:szCs w:val="32"/>
        </w:rPr>
        <w:t>5.行政单位医疗</w:t>
      </w:r>
      <w:r>
        <w:rPr>
          <w:rFonts w:hint="eastAsia" w:eastAsia="仿宋_GB2312" w:cs="仿宋_GB2312"/>
          <w:sz w:val="32"/>
          <w:szCs w:val="32"/>
          <w:lang w:val="en-US" w:eastAsia="zh-CN"/>
        </w:rPr>
        <w:t>2101101</w:t>
      </w:r>
      <w:r>
        <w:rPr>
          <w:rFonts w:hint="eastAsia" w:eastAsia="仿宋_GB2312" w:cs="仿宋_GB2312"/>
          <w:sz w:val="32"/>
          <w:szCs w:val="32"/>
        </w:rPr>
        <w:t>：支出决算为</w:t>
      </w:r>
      <w:r>
        <w:rPr>
          <w:rFonts w:hint="eastAsia" w:eastAsia="仿宋_GB2312" w:cs="仿宋_GB2312"/>
          <w:sz w:val="32"/>
          <w:szCs w:val="32"/>
          <w:lang w:val="en-US" w:eastAsia="zh-CN"/>
        </w:rPr>
        <w:t>12.39</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eastAsia="zh-CN"/>
        </w:rPr>
        <w:t>。</w:t>
      </w:r>
    </w:p>
    <w:p w14:paraId="5EA6E3A3">
      <w:pPr>
        <w:spacing w:line="600" w:lineRule="exact"/>
        <w:ind w:firstLine="640"/>
        <w:rPr>
          <w:rFonts w:eastAsia="仿宋_GB2312" w:cs="仿宋_GB2312"/>
          <w:sz w:val="32"/>
          <w:szCs w:val="32"/>
        </w:rPr>
      </w:pPr>
      <w:r>
        <w:rPr>
          <w:rFonts w:hint="eastAsia" w:eastAsia="仿宋_GB2312" w:cs="仿宋_GB2312"/>
          <w:sz w:val="32"/>
          <w:szCs w:val="32"/>
        </w:rPr>
        <w:t>6.公务员医疗补助</w:t>
      </w:r>
      <w:r>
        <w:rPr>
          <w:rFonts w:hint="eastAsia" w:eastAsia="仿宋_GB2312" w:cs="仿宋_GB2312"/>
          <w:sz w:val="32"/>
          <w:szCs w:val="32"/>
          <w:lang w:val="en-US" w:eastAsia="zh-CN"/>
        </w:rPr>
        <w:t>2101103</w:t>
      </w:r>
      <w:r>
        <w:rPr>
          <w:rFonts w:hint="eastAsia" w:eastAsia="仿宋_GB2312" w:cs="仿宋_GB2312"/>
          <w:sz w:val="32"/>
          <w:szCs w:val="32"/>
        </w:rPr>
        <w:t>：支出决算为</w:t>
      </w:r>
      <w:r>
        <w:rPr>
          <w:rFonts w:hint="eastAsia" w:eastAsia="仿宋_GB2312" w:cs="仿宋_GB2312"/>
          <w:sz w:val="32"/>
          <w:szCs w:val="32"/>
          <w:lang w:val="en-US" w:eastAsia="zh-CN"/>
        </w:rPr>
        <w:t>2.21</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eastAsia="zh-CN"/>
        </w:rPr>
        <w:t>。</w:t>
      </w:r>
    </w:p>
    <w:p w14:paraId="1D91E3B8">
      <w:pPr>
        <w:spacing w:line="600" w:lineRule="exact"/>
        <w:ind w:firstLine="640"/>
        <w:rPr>
          <w:rFonts w:eastAsia="仿宋_GB2312" w:cs="仿宋_GB2312"/>
          <w:sz w:val="32"/>
          <w:szCs w:val="32"/>
        </w:rPr>
      </w:pPr>
      <w:r>
        <w:rPr>
          <w:rFonts w:hint="eastAsia" w:eastAsia="仿宋_GB2312" w:cs="仿宋_GB2312"/>
          <w:b/>
          <w:bCs/>
          <w:sz w:val="32"/>
          <w:szCs w:val="32"/>
        </w:rPr>
        <w:t>（注：仅罗列本部门涉及的全部功能分类科目，至项级。上述“预算”口径为全年预算数。增减变动原因为决算数&lt;项级&gt;和全年预算数&lt;项级&gt;比较，与预算数持平可以不写原因）</w:t>
      </w:r>
    </w:p>
    <w:p w14:paraId="318E76E7">
      <w:pPr>
        <w:tabs>
          <w:tab w:val="right" w:pos="8306"/>
        </w:tabs>
        <w:spacing w:line="600" w:lineRule="exact"/>
        <w:ind w:firstLine="640"/>
        <w:outlineLvl w:val="1"/>
        <w:rPr>
          <w:rStyle w:val="30"/>
          <w:rFonts w:ascii="Times New Roman" w:hAnsi="Times New Roman"/>
        </w:rPr>
      </w:pPr>
      <w:bookmarkStart w:id="33" w:name="_Toc15396608"/>
      <w:bookmarkStart w:id="34" w:name="_Toc15377214"/>
      <w:r>
        <w:rPr>
          <w:rFonts w:hint="eastAsia" w:eastAsia="黑体"/>
          <w:sz w:val="32"/>
          <w:szCs w:val="32"/>
        </w:rPr>
        <w:t>六</w:t>
      </w:r>
      <w:r>
        <w:rPr>
          <w:rFonts w:hint="eastAsia" w:eastAsia="黑体"/>
          <w:b/>
          <w:sz w:val="32"/>
          <w:szCs w:val="32"/>
        </w:rPr>
        <w:t>、一</w:t>
      </w:r>
      <w:r>
        <w:rPr>
          <w:rStyle w:val="30"/>
          <w:rFonts w:hint="eastAsia" w:ascii="Times New Roman" w:hAnsi="Times New Roman" w:eastAsia="黑体"/>
          <w:b w:val="0"/>
        </w:rPr>
        <w:t>般公共预算财政拨款基本支出决算情况说明</w:t>
      </w:r>
      <w:bookmarkEnd w:id="33"/>
      <w:bookmarkEnd w:id="34"/>
      <w:r>
        <w:rPr>
          <w:rStyle w:val="30"/>
          <w:rFonts w:ascii="Times New Roman" w:hAnsi="Times New Roman" w:eastAsia="黑体"/>
          <w:b w:val="0"/>
        </w:rPr>
        <w:tab/>
      </w:r>
    </w:p>
    <w:p w14:paraId="5995E6AC">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325.67万</w:t>
      </w:r>
      <w:r>
        <w:rPr>
          <w:rFonts w:hint="eastAsia" w:eastAsia="仿宋_GB2312" w:cs="仿宋_GB2312"/>
          <w:sz w:val="32"/>
          <w:szCs w:val="32"/>
        </w:rPr>
        <w:t>元，其中：</w:t>
      </w:r>
    </w:p>
    <w:p w14:paraId="138015EF">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298.01万</w:t>
      </w:r>
      <w:r>
        <w:rPr>
          <w:rFonts w:hint="eastAsia" w:eastAsia="仿宋_GB2312" w:cs="仿宋_GB2312"/>
          <w:sz w:val="32"/>
          <w:szCs w:val="32"/>
        </w:rPr>
        <w:t>元，主要包括：基本工资</w:t>
      </w:r>
      <w:r>
        <w:rPr>
          <w:rFonts w:hint="eastAsia" w:eastAsia="仿宋_GB2312" w:cs="仿宋_GB2312"/>
          <w:sz w:val="32"/>
          <w:szCs w:val="32"/>
          <w:lang w:val="en-US" w:eastAsia="zh-CN"/>
        </w:rPr>
        <w:t>46.75万元</w:t>
      </w:r>
      <w:r>
        <w:rPr>
          <w:rFonts w:hint="eastAsia" w:eastAsia="仿宋_GB2312" w:cs="仿宋_GB2312"/>
          <w:sz w:val="32"/>
          <w:szCs w:val="32"/>
        </w:rPr>
        <w:t>、津贴补贴</w:t>
      </w:r>
      <w:r>
        <w:rPr>
          <w:rFonts w:hint="eastAsia" w:eastAsia="仿宋_GB2312" w:cs="仿宋_GB2312"/>
          <w:sz w:val="32"/>
          <w:szCs w:val="32"/>
          <w:lang w:val="en-US" w:eastAsia="zh-CN"/>
        </w:rPr>
        <w:t>97.83万元</w:t>
      </w:r>
      <w:r>
        <w:rPr>
          <w:rFonts w:hint="eastAsia" w:eastAsia="仿宋_GB2312" w:cs="仿宋_GB2312"/>
          <w:sz w:val="32"/>
          <w:szCs w:val="32"/>
        </w:rPr>
        <w:t>、奖金</w:t>
      </w:r>
      <w:r>
        <w:rPr>
          <w:rFonts w:hint="eastAsia" w:eastAsia="仿宋_GB2312" w:cs="仿宋_GB2312"/>
          <w:sz w:val="32"/>
          <w:szCs w:val="32"/>
          <w:lang w:val="en-US" w:eastAsia="zh-CN"/>
        </w:rPr>
        <w:t>58.66万元</w:t>
      </w:r>
      <w:r>
        <w:rPr>
          <w:rFonts w:hint="eastAsia" w:eastAsia="仿宋_GB2312" w:cs="仿宋_GB2312"/>
          <w:sz w:val="32"/>
          <w:szCs w:val="32"/>
        </w:rPr>
        <w:t>、机关事业单位基本养老保险缴费</w:t>
      </w:r>
      <w:r>
        <w:rPr>
          <w:rFonts w:hint="eastAsia" w:eastAsia="仿宋_GB2312" w:cs="仿宋_GB2312"/>
          <w:sz w:val="32"/>
          <w:szCs w:val="32"/>
          <w:lang w:val="en-US" w:eastAsia="zh-CN"/>
        </w:rPr>
        <w:t>26.02万元</w:t>
      </w:r>
      <w:r>
        <w:rPr>
          <w:rFonts w:hint="eastAsia" w:eastAsia="仿宋_GB2312" w:cs="仿宋_GB2312"/>
          <w:sz w:val="32"/>
          <w:szCs w:val="32"/>
        </w:rPr>
        <w:t>、职业年金缴费</w:t>
      </w:r>
      <w:r>
        <w:rPr>
          <w:rFonts w:hint="eastAsia" w:eastAsia="仿宋_GB2312" w:cs="仿宋_GB2312"/>
          <w:sz w:val="32"/>
          <w:szCs w:val="32"/>
          <w:lang w:val="en-US" w:eastAsia="zh-CN"/>
        </w:rPr>
        <w:t>13.01</w:t>
      </w:r>
      <w:r>
        <w:rPr>
          <w:rFonts w:hint="eastAsia" w:eastAsia="仿宋_GB2312" w:cs="仿宋_GB2312"/>
          <w:sz w:val="32"/>
          <w:szCs w:val="32"/>
        </w:rPr>
        <w:t>、职工基本医疗保险缴费</w:t>
      </w:r>
      <w:r>
        <w:rPr>
          <w:rFonts w:hint="eastAsia" w:eastAsia="仿宋_GB2312" w:cs="仿宋_GB2312"/>
          <w:sz w:val="32"/>
          <w:szCs w:val="32"/>
          <w:lang w:val="en-US" w:eastAsia="zh-CN"/>
        </w:rPr>
        <w:t>12.39万元、公务员医疗补助2.21万元、其他社会保障费2.97、</w:t>
      </w:r>
      <w:r>
        <w:rPr>
          <w:rFonts w:hint="eastAsia" w:eastAsia="仿宋_GB2312" w:cs="仿宋_GB2312"/>
          <w:sz w:val="32"/>
          <w:szCs w:val="32"/>
        </w:rPr>
        <w:t>住房公积金</w:t>
      </w:r>
      <w:r>
        <w:rPr>
          <w:rFonts w:hint="eastAsia" w:eastAsia="仿宋_GB2312" w:cs="仿宋_GB2312"/>
          <w:sz w:val="32"/>
          <w:szCs w:val="32"/>
          <w:lang w:val="en-US" w:eastAsia="zh-CN"/>
        </w:rPr>
        <w:t>22.66万元</w:t>
      </w:r>
      <w:r>
        <w:rPr>
          <w:rFonts w:hint="eastAsia" w:eastAsia="仿宋_GB2312" w:cs="仿宋_GB2312"/>
          <w:sz w:val="32"/>
          <w:szCs w:val="32"/>
        </w:rPr>
        <w:t>、</w:t>
      </w:r>
      <w:r>
        <w:rPr>
          <w:rFonts w:hint="eastAsia" w:eastAsia="仿宋_GB2312" w:cs="仿宋_GB2312"/>
          <w:sz w:val="32"/>
          <w:szCs w:val="32"/>
          <w:lang w:eastAsia="zh-CN"/>
        </w:rPr>
        <w:t>医疗费</w:t>
      </w:r>
      <w:r>
        <w:rPr>
          <w:rFonts w:hint="eastAsia" w:eastAsia="仿宋_GB2312" w:cs="仿宋_GB2312"/>
          <w:sz w:val="32"/>
          <w:szCs w:val="32"/>
          <w:lang w:val="en-US" w:eastAsia="zh-CN"/>
        </w:rPr>
        <w:t>0.76万元、生活补助39.92万元、其他个人和家庭的补助支出4.28万元</w:t>
      </w:r>
      <w:r>
        <w:rPr>
          <w:rFonts w:hint="eastAsia" w:eastAsia="仿宋_GB2312" w:cs="仿宋_GB2312"/>
          <w:sz w:val="32"/>
          <w:szCs w:val="32"/>
        </w:rPr>
        <w:t>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27.66万</w:t>
      </w:r>
      <w:r>
        <w:rPr>
          <w:rFonts w:hint="eastAsia" w:eastAsia="仿宋_GB2312" w:cs="仿宋_GB2312"/>
          <w:sz w:val="32"/>
          <w:szCs w:val="32"/>
        </w:rPr>
        <w:t>元，主要包括：办公费</w:t>
      </w:r>
      <w:r>
        <w:rPr>
          <w:rFonts w:hint="eastAsia" w:eastAsia="仿宋_GB2312" w:cs="仿宋_GB2312"/>
          <w:sz w:val="32"/>
          <w:szCs w:val="32"/>
          <w:lang w:val="en-US" w:eastAsia="zh-CN"/>
        </w:rPr>
        <w:t>17.77万元</w:t>
      </w:r>
      <w:r>
        <w:rPr>
          <w:rFonts w:hint="eastAsia" w:eastAsia="仿宋_GB2312" w:cs="仿宋_GB2312"/>
          <w:sz w:val="32"/>
          <w:szCs w:val="32"/>
        </w:rPr>
        <w:t>、印刷费</w:t>
      </w:r>
      <w:r>
        <w:rPr>
          <w:rFonts w:hint="eastAsia" w:eastAsia="仿宋_GB2312" w:cs="仿宋_GB2312"/>
          <w:sz w:val="32"/>
          <w:szCs w:val="32"/>
          <w:lang w:val="en-US" w:eastAsia="zh-CN"/>
        </w:rPr>
        <w:t>2.35万元</w:t>
      </w:r>
      <w:r>
        <w:rPr>
          <w:rFonts w:hint="eastAsia" w:eastAsia="仿宋_GB2312" w:cs="仿宋_GB2312"/>
          <w:sz w:val="32"/>
          <w:szCs w:val="32"/>
        </w:rPr>
        <w:t>、电费</w:t>
      </w:r>
      <w:r>
        <w:rPr>
          <w:rFonts w:hint="eastAsia" w:eastAsia="仿宋_GB2312" w:cs="仿宋_GB2312"/>
          <w:sz w:val="32"/>
          <w:szCs w:val="32"/>
          <w:lang w:val="en-US" w:eastAsia="zh-CN"/>
        </w:rPr>
        <w:t>2.8万元</w:t>
      </w:r>
      <w:r>
        <w:rPr>
          <w:rFonts w:hint="eastAsia" w:eastAsia="仿宋_GB2312" w:cs="仿宋_GB2312"/>
          <w:sz w:val="32"/>
          <w:szCs w:val="32"/>
        </w:rPr>
        <w:t>、邮电费</w:t>
      </w:r>
      <w:r>
        <w:rPr>
          <w:rFonts w:hint="eastAsia" w:eastAsia="仿宋_GB2312" w:cs="仿宋_GB2312"/>
          <w:sz w:val="32"/>
          <w:szCs w:val="32"/>
          <w:lang w:val="en-US" w:eastAsia="zh-CN"/>
        </w:rPr>
        <w:t>1.51万元</w:t>
      </w:r>
      <w:r>
        <w:rPr>
          <w:rFonts w:hint="eastAsia" w:eastAsia="仿宋_GB2312" w:cs="仿宋_GB2312"/>
          <w:sz w:val="32"/>
          <w:szCs w:val="32"/>
        </w:rPr>
        <w:t>、差旅费</w:t>
      </w:r>
      <w:r>
        <w:rPr>
          <w:rFonts w:hint="eastAsia" w:eastAsia="仿宋_GB2312" w:cs="仿宋_GB2312"/>
          <w:sz w:val="32"/>
          <w:szCs w:val="32"/>
          <w:lang w:val="en-US" w:eastAsia="zh-CN"/>
        </w:rPr>
        <w:t>1.29</w:t>
      </w:r>
      <w:r>
        <w:rPr>
          <w:rFonts w:hint="eastAsia" w:eastAsia="仿宋_GB2312" w:cs="仿宋_GB2312"/>
          <w:sz w:val="32"/>
          <w:szCs w:val="32"/>
        </w:rPr>
        <w:t>、劳务费</w:t>
      </w:r>
      <w:r>
        <w:rPr>
          <w:rFonts w:hint="eastAsia" w:eastAsia="仿宋_GB2312" w:cs="仿宋_GB2312"/>
          <w:sz w:val="32"/>
          <w:szCs w:val="32"/>
          <w:lang w:val="en-US" w:eastAsia="zh-CN"/>
        </w:rPr>
        <w:t>4.35万元</w:t>
      </w:r>
      <w:r>
        <w:rPr>
          <w:rFonts w:hint="eastAsia" w:eastAsia="仿宋_GB2312" w:cs="仿宋_GB2312"/>
          <w:sz w:val="32"/>
          <w:szCs w:val="32"/>
        </w:rPr>
        <w:t>、委托业务费</w:t>
      </w:r>
      <w:r>
        <w:rPr>
          <w:rFonts w:hint="eastAsia" w:eastAsia="仿宋_GB2312" w:cs="仿宋_GB2312"/>
          <w:sz w:val="32"/>
          <w:szCs w:val="32"/>
          <w:lang w:val="en-US" w:eastAsia="zh-CN"/>
        </w:rPr>
        <w:t>0.3万元</w:t>
      </w:r>
      <w:r>
        <w:rPr>
          <w:rFonts w:hint="eastAsia" w:eastAsia="仿宋_GB2312" w:cs="仿宋_GB2312"/>
          <w:sz w:val="32"/>
          <w:szCs w:val="32"/>
        </w:rPr>
        <w:t>、工会经费</w:t>
      </w:r>
      <w:r>
        <w:rPr>
          <w:rFonts w:hint="eastAsia" w:eastAsia="仿宋_GB2312" w:cs="仿宋_GB2312"/>
          <w:sz w:val="32"/>
          <w:szCs w:val="32"/>
          <w:lang w:val="en-US" w:eastAsia="zh-CN"/>
        </w:rPr>
        <w:t>2.2万元</w:t>
      </w:r>
      <w:r>
        <w:rPr>
          <w:rFonts w:hint="eastAsia" w:eastAsia="仿宋_GB2312" w:cs="仿宋_GB2312"/>
          <w:sz w:val="32"/>
          <w:szCs w:val="32"/>
        </w:rPr>
        <w:t>、公务用车运行维护费</w:t>
      </w:r>
      <w:r>
        <w:rPr>
          <w:rFonts w:hint="eastAsia" w:eastAsia="仿宋_GB2312" w:cs="仿宋_GB2312"/>
          <w:sz w:val="32"/>
          <w:szCs w:val="32"/>
          <w:lang w:val="en-US" w:eastAsia="zh-CN"/>
        </w:rPr>
        <w:t>2.49万元</w:t>
      </w:r>
      <w:r>
        <w:rPr>
          <w:rFonts w:hint="eastAsia" w:eastAsia="仿宋_GB2312" w:cs="仿宋_GB2312"/>
          <w:sz w:val="32"/>
          <w:szCs w:val="32"/>
        </w:rPr>
        <w:t>等。</w:t>
      </w:r>
    </w:p>
    <w:p w14:paraId="37D9946F">
      <w:pPr>
        <w:spacing w:line="600" w:lineRule="exact"/>
        <w:ind w:firstLine="640"/>
        <w:rPr>
          <w:rFonts w:eastAsia="仿宋_GB2312" w:cs="仿宋_GB2312"/>
          <w:b/>
          <w:bCs/>
          <w:sz w:val="32"/>
          <w:szCs w:val="32"/>
        </w:rPr>
      </w:pPr>
      <w:r>
        <w:rPr>
          <w:rFonts w:hint="eastAsia" w:eastAsia="仿宋_GB2312" w:cs="仿宋_GB2312"/>
          <w:b/>
          <w:bCs/>
          <w:sz w:val="32"/>
          <w:szCs w:val="32"/>
        </w:rPr>
        <w:t>（注：仅罗列本部门实际支出涉及的经济分类科目）</w:t>
      </w:r>
    </w:p>
    <w:p w14:paraId="0F0F0C69">
      <w:pPr>
        <w:spacing w:line="600" w:lineRule="exact"/>
        <w:ind w:firstLine="640"/>
        <w:outlineLvl w:val="1"/>
        <w:rPr>
          <w:rStyle w:val="30"/>
          <w:rFonts w:ascii="Times New Roman" w:hAnsi="Times New Roman" w:eastAsia="黑体"/>
          <w:b w:val="0"/>
        </w:rPr>
      </w:pPr>
      <w:bookmarkStart w:id="35" w:name="_Toc15396609"/>
      <w:bookmarkStart w:id="36" w:name="_Toc15377215"/>
      <w:r>
        <w:rPr>
          <w:rFonts w:hint="eastAsia" w:eastAsia="黑体"/>
          <w:sz w:val="32"/>
          <w:szCs w:val="32"/>
        </w:rPr>
        <w:t>七、</w:t>
      </w:r>
      <w:r>
        <w:rPr>
          <w:rStyle w:val="30"/>
          <w:rFonts w:hint="eastAsia" w:ascii="Times New Roman" w:hAnsi="Times New Roman" w:eastAsia="黑体"/>
          <w:b w:val="0"/>
        </w:rPr>
        <w:t>财政拨款</w:t>
      </w:r>
      <w:r>
        <w:rPr>
          <w:rStyle w:val="30"/>
          <w:rFonts w:hint="eastAsia" w:ascii="Times New Roman" w:hAnsi="Times New Roman" w:eastAsia="黑体"/>
        </w:rPr>
        <w:t>“</w:t>
      </w:r>
      <w:r>
        <w:rPr>
          <w:rStyle w:val="30"/>
          <w:rFonts w:hint="eastAsia" w:ascii="Times New Roman" w:hAnsi="Times New Roman" w:eastAsia="黑体"/>
          <w:b w:val="0"/>
        </w:rPr>
        <w:t>三公”经费支出决算情况说明</w:t>
      </w:r>
      <w:bookmarkEnd w:id="35"/>
      <w:bookmarkEnd w:id="36"/>
    </w:p>
    <w:p w14:paraId="0EB517F6">
      <w:pPr>
        <w:spacing w:line="600" w:lineRule="exact"/>
        <w:ind w:firstLine="643" w:firstLineChars="200"/>
        <w:outlineLvl w:val="2"/>
        <w:rPr>
          <w:rFonts w:eastAsia="楷体_GB2312" w:cs="楷体_GB2312"/>
          <w:b/>
          <w:sz w:val="32"/>
          <w:szCs w:val="32"/>
        </w:rPr>
      </w:pPr>
      <w:bookmarkStart w:id="37" w:name="_Toc15377216"/>
      <w:r>
        <w:rPr>
          <w:rFonts w:hint="eastAsia" w:eastAsia="楷体_GB2312" w:cs="楷体_GB2312"/>
          <w:b/>
          <w:sz w:val="32"/>
          <w:szCs w:val="32"/>
        </w:rPr>
        <w:t>（一）“三公”经费财政拨款支出决算总体情况说明</w:t>
      </w:r>
      <w:bookmarkEnd w:id="37"/>
    </w:p>
    <w:p w14:paraId="03DC7E77">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2.49万元，完成预算99.44%，</w:t>
      </w:r>
      <w:r>
        <w:rPr>
          <w:rFonts w:hint="eastAsia" w:eastAsia="仿宋_GB2312" w:cs="仿宋_GB2312"/>
          <w:sz w:val="32"/>
          <w:szCs w:val="32"/>
        </w:rPr>
        <w:t>较上年度减少</w:t>
      </w:r>
      <w:r>
        <w:rPr>
          <w:rFonts w:hint="eastAsia" w:eastAsia="仿宋_GB2312" w:cs="仿宋_GB2312"/>
          <w:sz w:val="32"/>
          <w:szCs w:val="32"/>
          <w:lang w:val="en-US" w:eastAsia="zh-CN"/>
        </w:rPr>
        <w:t>1.01</w:t>
      </w:r>
      <w:r>
        <w:rPr>
          <w:rFonts w:hint="eastAsia" w:eastAsia="仿宋_GB2312" w:cs="仿宋_GB2312"/>
          <w:sz w:val="32"/>
          <w:szCs w:val="32"/>
        </w:rPr>
        <w:t>万元，下降</w:t>
      </w:r>
      <w:r>
        <w:rPr>
          <w:rFonts w:hint="eastAsia" w:eastAsia="仿宋_GB2312" w:cs="仿宋_GB2312"/>
          <w:sz w:val="32"/>
          <w:szCs w:val="32"/>
          <w:lang w:val="en-US" w:eastAsia="zh-CN"/>
        </w:rPr>
        <w:t>28</w:t>
      </w:r>
      <w:r>
        <w:rPr>
          <w:rFonts w:hint="eastAsia" w:eastAsia="仿宋_GB2312" w:cs="仿宋_GB2312"/>
          <w:sz w:val="32"/>
          <w:szCs w:val="32"/>
        </w:rPr>
        <w:t>%。决算数小于预算数的主要原因是</w:t>
      </w:r>
      <w:r>
        <w:rPr>
          <w:rFonts w:hint="eastAsia" w:eastAsia="仿宋_GB2312" w:cs="仿宋_GB2312"/>
          <w:sz w:val="32"/>
          <w:szCs w:val="32"/>
          <w:lang w:eastAsia="zh-CN"/>
        </w:rPr>
        <w:t>厉行节约。</w:t>
      </w:r>
    </w:p>
    <w:p w14:paraId="76FEC151">
      <w:pPr>
        <w:spacing w:line="600" w:lineRule="exact"/>
        <w:ind w:firstLine="640"/>
        <w:rPr>
          <w:rFonts w:eastAsia="仿宋_GB2312" w:cs="仿宋_GB2312"/>
          <w:b/>
          <w:bCs/>
          <w:sz w:val="32"/>
          <w:szCs w:val="32"/>
        </w:rPr>
      </w:pPr>
      <w:r>
        <w:rPr>
          <w:rFonts w:hint="eastAsia" w:eastAsia="仿宋_GB2312" w:cs="仿宋_GB2312"/>
          <w:b/>
          <w:bCs/>
          <w:sz w:val="32"/>
          <w:szCs w:val="32"/>
        </w:rPr>
        <w:t>（注：上述“预算”口径为全年预算数，包括一般公共预算和政府性基金预算财政拨款支出决算情况）</w:t>
      </w:r>
    </w:p>
    <w:p w14:paraId="5BC7F52B">
      <w:pPr>
        <w:spacing w:line="600" w:lineRule="exact"/>
        <w:ind w:firstLine="643" w:firstLineChars="200"/>
        <w:outlineLvl w:val="2"/>
        <w:rPr>
          <w:rFonts w:eastAsia="楷体_GB2312" w:cs="楷体_GB2312"/>
          <w:b/>
          <w:sz w:val="32"/>
          <w:szCs w:val="32"/>
        </w:rPr>
      </w:pPr>
      <w:bookmarkStart w:id="38" w:name="_Toc15377217"/>
      <w:r>
        <w:rPr>
          <w:rFonts w:hint="eastAsia" w:eastAsia="楷体_GB2312" w:cs="楷体_GB2312"/>
          <w:b/>
          <w:sz w:val="32"/>
          <w:szCs w:val="32"/>
        </w:rPr>
        <w:t>（二）“三公”经费财政拨款支出决算具体情况说明</w:t>
      </w:r>
      <w:bookmarkEnd w:id="38"/>
    </w:p>
    <w:p w14:paraId="365F228A">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2024年度“三公”经费财政拨款支出决算中，因公出国（境）费支出决算0万元；公务用车购置及运行维护费支出决算2.49万元；公务接待费支出决算0万元。具体情况如下：</w:t>
      </w:r>
    </w:p>
    <w:p w14:paraId="1C1BFC8B">
      <w:pPr>
        <w:spacing w:line="600" w:lineRule="exact"/>
        <w:ind w:firstLine="640"/>
        <w:rPr>
          <w:rFonts w:hint="eastAsia" w:eastAsia="仿宋_GB2312" w:cs="仿宋_GB2312"/>
          <w:sz w:val="32"/>
          <w:szCs w:val="32"/>
        </w:rPr>
      </w:pPr>
      <w:r>
        <w:rPr>
          <w:rFonts w:hint="eastAsia" w:eastAsia="仿宋_GB2312" w:cs="仿宋_GB2312"/>
          <w:sz w:val="32"/>
          <w:szCs w:val="32"/>
        </w:rPr>
        <w:t>（图7：“三公”经费财政拨款支出结构）（饼状图）</w:t>
      </w:r>
    </w:p>
    <w:p w14:paraId="609B20B8">
      <w:pPr>
        <w:pStyle w:val="2"/>
        <w:rPr>
          <w:rFonts w:hint="eastAsia" w:eastAsia="仿宋_GB2312"/>
          <w:lang w:eastAsia="zh-CN"/>
        </w:rPr>
      </w:pPr>
      <w:r>
        <w:rPr>
          <w:rFonts w:hint="eastAsia" w:eastAsia="仿宋_GB2312"/>
          <w:lang w:eastAsia="zh-CN"/>
        </w:rPr>
        <w:drawing>
          <wp:inline distT="0" distB="0" distL="114300" distR="114300">
            <wp:extent cx="4666615" cy="2503805"/>
            <wp:effectExtent l="4445" t="5080" r="15240" b="571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AEBF835">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组0</w:t>
      </w:r>
      <w:r>
        <w:rPr>
          <w:rFonts w:hint="eastAsia" w:eastAsia="仿宋_GB2312" w:cs="仿宋_GB2312"/>
          <w:sz w:val="32"/>
          <w:szCs w:val="32"/>
        </w:rPr>
        <w:t>次，出国（境）</w:t>
      </w:r>
      <w:r>
        <w:rPr>
          <w:rFonts w:hint="eastAsia" w:ascii="仿宋_GB2312" w:hAnsi="仿宋_GB2312" w:eastAsia="仿宋_GB2312" w:cs="仿宋_GB2312"/>
          <w:sz w:val="32"/>
          <w:szCs w:val="32"/>
        </w:rPr>
        <w:t>0人</w:t>
      </w:r>
      <w:r>
        <w:rPr>
          <w:rFonts w:hint="eastAsia" w:eastAsia="仿宋_GB2312" w:cs="仿宋_GB2312"/>
          <w:sz w:val="32"/>
          <w:szCs w:val="32"/>
        </w:rPr>
        <w:t>。因公出国（境）支出决算比2023年增加/减少</w:t>
      </w:r>
      <w:r>
        <w:rPr>
          <w:rFonts w:hint="eastAsia" w:eastAsia="仿宋_GB2312" w:cs="仿宋_GB2312"/>
          <w:sz w:val="32"/>
          <w:szCs w:val="32"/>
          <w:lang w:val="en-US" w:eastAsia="zh-CN"/>
        </w:rPr>
        <w:t>0</w:t>
      </w:r>
      <w:r>
        <w:rPr>
          <w:rFonts w:hint="eastAsia" w:eastAsia="仿宋_GB2312" w:cs="仿宋_GB2312"/>
          <w:sz w:val="32"/>
          <w:szCs w:val="32"/>
        </w:rPr>
        <w:t>万元，增长/下降</w:t>
      </w:r>
      <w:r>
        <w:rPr>
          <w:rFonts w:hint="eastAsia" w:eastAsia="仿宋_GB2312" w:cs="仿宋_GB2312"/>
          <w:sz w:val="32"/>
          <w:szCs w:val="32"/>
          <w:lang w:val="en-US" w:eastAsia="zh-CN"/>
        </w:rPr>
        <w:t>0</w:t>
      </w:r>
      <w:r>
        <w:rPr>
          <w:rFonts w:hint="eastAsia" w:eastAsia="仿宋_GB2312" w:cs="仿宋_GB2312"/>
          <w:sz w:val="32"/>
          <w:szCs w:val="32"/>
        </w:rPr>
        <w:t>%。</w:t>
      </w:r>
    </w:p>
    <w:p w14:paraId="142CDD90">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2.49万</w:t>
      </w:r>
      <w:r>
        <w:rPr>
          <w:rFonts w:hint="eastAsia" w:eastAsia="仿宋_GB2312" w:cs="仿宋_GB2312"/>
          <w:b/>
          <w:bCs/>
          <w:sz w:val="32"/>
          <w:szCs w:val="32"/>
        </w:rPr>
        <w:t>元，完成预算99.44%。</w:t>
      </w:r>
      <w:r>
        <w:rPr>
          <w:rFonts w:hint="eastAsia" w:eastAsia="仿宋_GB2312" w:cs="仿宋_GB2312"/>
          <w:sz w:val="32"/>
          <w:szCs w:val="32"/>
        </w:rPr>
        <w:t>公务用车购置及运行维护费支出决算比2023年度较上年度减少1.01万元，下降28%。主要原因是</w:t>
      </w:r>
      <w:r>
        <w:rPr>
          <w:rFonts w:hint="eastAsia" w:eastAsia="仿宋_GB2312" w:cs="仿宋_GB2312"/>
          <w:sz w:val="32"/>
          <w:szCs w:val="32"/>
          <w:lang w:eastAsia="zh-CN"/>
        </w:rPr>
        <w:t>厉行节约。</w:t>
      </w:r>
    </w:p>
    <w:p w14:paraId="4FE7AFF7">
      <w:pPr>
        <w:spacing w:line="600"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万元，越野车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万元，载客汽车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万元。截至2024年12月31日，单位共有公务用车</w:t>
      </w:r>
      <w:r>
        <w:rPr>
          <w:rFonts w:hint="eastAsia" w:eastAsia="仿宋_GB2312" w:cs="仿宋_GB2312"/>
          <w:sz w:val="32"/>
          <w:szCs w:val="32"/>
          <w:lang w:val="en-US" w:eastAsia="zh-CN"/>
        </w:rPr>
        <w:t>1</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辆、越野车</w:t>
      </w:r>
      <w:r>
        <w:rPr>
          <w:rFonts w:hint="eastAsia" w:eastAsia="仿宋_GB2312" w:cs="仿宋_GB2312"/>
          <w:sz w:val="32"/>
          <w:szCs w:val="32"/>
          <w:lang w:val="en-US" w:eastAsia="zh-CN"/>
        </w:rPr>
        <w:t>1</w:t>
      </w:r>
      <w:r>
        <w:rPr>
          <w:rFonts w:hint="eastAsia" w:eastAsia="仿宋_GB2312" w:cs="仿宋_GB2312"/>
          <w:sz w:val="32"/>
          <w:szCs w:val="32"/>
        </w:rPr>
        <w:t>辆、载客汽车</w:t>
      </w:r>
      <w:r>
        <w:rPr>
          <w:rFonts w:hint="eastAsia" w:eastAsia="仿宋_GB2312" w:cs="仿宋_GB2312"/>
          <w:sz w:val="32"/>
          <w:szCs w:val="32"/>
          <w:lang w:val="en-US" w:eastAsia="zh-CN"/>
        </w:rPr>
        <w:t>0</w:t>
      </w:r>
      <w:r>
        <w:rPr>
          <w:rFonts w:hint="eastAsia" w:eastAsia="仿宋_GB2312" w:cs="仿宋_GB2312"/>
          <w:sz w:val="32"/>
          <w:szCs w:val="32"/>
        </w:rPr>
        <w:t>辆。</w:t>
      </w:r>
    </w:p>
    <w:p w14:paraId="1CFF81D8">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出2.49</w:t>
      </w:r>
      <w:r>
        <w:rPr>
          <w:rFonts w:hint="eastAsia" w:eastAsia="仿宋_GB2312" w:cs="仿宋_GB2312"/>
          <w:sz w:val="32"/>
          <w:szCs w:val="32"/>
        </w:rPr>
        <w:t>万元。主要用于</w:t>
      </w:r>
      <w:r>
        <w:rPr>
          <w:rFonts w:hint="eastAsia" w:eastAsia="仿宋_GB2312" w:cs="仿宋_GB2312"/>
          <w:sz w:val="32"/>
          <w:szCs w:val="32"/>
          <w:lang w:eastAsia="zh-CN"/>
        </w:rPr>
        <w:t>日常工作</w:t>
      </w:r>
      <w:r>
        <w:rPr>
          <w:rFonts w:hint="eastAsia" w:eastAsia="仿宋_GB2312" w:cs="仿宋_GB2312"/>
          <w:sz w:val="32"/>
          <w:szCs w:val="32"/>
        </w:rPr>
        <w:t>所需的公务用车燃料费、维修费、过路过桥费、保险费等支出。</w:t>
      </w:r>
    </w:p>
    <w:p w14:paraId="68461239">
      <w:pPr>
        <w:numPr>
          <w:ilvl w:val="0"/>
          <w:numId w:val="2"/>
        </w:numPr>
        <w:spacing w:line="600" w:lineRule="exact"/>
        <w:ind w:firstLine="640"/>
        <w:outlineLvl w:val="1"/>
        <w:rPr>
          <w:rFonts w:hint="eastAsia" w:eastAsia="仿宋_GB2312" w:cs="仿宋_GB2312"/>
          <w:sz w:val="32"/>
          <w:szCs w:val="32"/>
          <w:lang w:val="en-US" w:eastAsia="zh-CN"/>
        </w:rPr>
      </w:pPr>
      <w:r>
        <w:rPr>
          <w:rFonts w:hint="eastAsia" w:eastAsia="仿宋_GB2312" w:cs="仿宋_GB2312"/>
          <w:b/>
          <w:bCs/>
          <w:sz w:val="32"/>
          <w:szCs w:val="32"/>
        </w:rPr>
        <w:t>公务接待费支出</w:t>
      </w:r>
      <w:r>
        <w:rPr>
          <w:rFonts w:hint="eastAsia" w:ascii="仿宋_GB2312" w:hAnsi="仿宋_GB2312" w:eastAsia="仿宋_GB2312" w:cs="仿宋_GB2312"/>
          <w:b/>
          <w:bCs/>
          <w:sz w:val="32"/>
          <w:szCs w:val="32"/>
        </w:rPr>
        <w:t>0万</w:t>
      </w:r>
      <w:r>
        <w:rPr>
          <w:rFonts w:hint="eastAsia" w:eastAsia="仿宋_GB2312" w:cs="仿宋_GB2312"/>
          <w:b/>
          <w:bCs/>
          <w:sz w:val="32"/>
          <w:szCs w:val="32"/>
        </w:rPr>
        <w:t>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公务接待费支出决算比2023年度增加/减少</w:t>
      </w:r>
      <w:r>
        <w:rPr>
          <w:rFonts w:hint="eastAsia" w:eastAsia="仿宋_GB2312" w:cs="仿宋_GB2312"/>
          <w:sz w:val="32"/>
          <w:szCs w:val="32"/>
          <w:lang w:val="en-US" w:eastAsia="zh-CN"/>
        </w:rPr>
        <w:t>0</w:t>
      </w:r>
      <w:r>
        <w:rPr>
          <w:rFonts w:hint="eastAsia" w:eastAsia="仿宋_GB2312" w:cs="仿宋_GB2312"/>
          <w:sz w:val="32"/>
          <w:szCs w:val="32"/>
        </w:rPr>
        <w:t>万元，增长/下降</w:t>
      </w:r>
      <w:r>
        <w:rPr>
          <w:rFonts w:hint="eastAsia" w:eastAsia="仿宋_GB2312" w:cs="仿宋_GB2312"/>
          <w:sz w:val="32"/>
          <w:szCs w:val="32"/>
          <w:lang w:val="en-US" w:eastAsia="zh-CN"/>
        </w:rPr>
        <w:t>0</w:t>
      </w:r>
      <w:r>
        <w:rPr>
          <w:rFonts w:hint="eastAsia" w:eastAsia="仿宋_GB2312" w:cs="仿宋_GB2312"/>
          <w:sz w:val="32"/>
          <w:szCs w:val="32"/>
        </w:rPr>
        <w:t>%。</w:t>
      </w:r>
      <w:bookmarkStart w:id="39" w:name="_Toc15396610"/>
      <w:bookmarkStart w:id="40" w:name="_Toc15377218"/>
      <w:r>
        <w:rPr>
          <w:rFonts w:hint="eastAsia" w:eastAsia="仿宋_GB2312" w:cs="仿宋_GB2312"/>
          <w:sz w:val="32"/>
          <w:szCs w:val="32"/>
          <w:lang w:val="en-US" w:eastAsia="zh-CN"/>
        </w:rPr>
        <w:t xml:space="preserve">      </w:t>
      </w:r>
    </w:p>
    <w:p w14:paraId="6DB3705E">
      <w:pPr>
        <w:numPr>
          <w:numId w:val="0"/>
        </w:numPr>
        <w:spacing w:line="240" w:lineRule="auto"/>
        <w:ind w:firstLine="640" w:firstLineChars="200"/>
        <w:outlineLvl w:val="1"/>
        <w:rPr>
          <w:rStyle w:val="30"/>
          <w:rFonts w:ascii="Times New Roman" w:hAnsi="Times New Roman" w:eastAsia="黑体"/>
        </w:rPr>
      </w:pPr>
      <w:r>
        <w:rPr>
          <w:rFonts w:hint="eastAsia" w:eastAsia="黑体"/>
          <w:sz w:val="32"/>
          <w:szCs w:val="32"/>
        </w:rPr>
        <w:t>八、</w:t>
      </w:r>
      <w:r>
        <w:rPr>
          <w:rStyle w:val="30"/>
          <w:rFonts w:hint="eastAsia" w:ascii="Times New Roman" w:hAnsi="Times New Roman" w:eastAsia="黑体"/>
          <w:b w:val="0"/>
        </w:rPr>
        <w:t>政府性基金预算支出决算情况说明</w:t>
      </w:r>
      <w:bookmarkEnd w:id="39"/>
      <w:bookmarkEnd w:id="40"/>
    </w:p>
    <w:p w14:paraId="29ECD4AF">
      <w:pPr>
        <w:spacing w:line="600" w:lineRule="exact"/>
        <w:ind w:firstLine="640"/>
        <w:rPr>
          <w:rFonts w:hint="eastAsia" w:eastAsia="仿宋_GB2312" w:cs="仿宋_GB2312"/>
          <w:sz w:val="32"/>
          <w:szCs w:val="32"/>
          <w:lang w:eastAsia="zh-CN"/>
        </w:rPr>
      </w:pPr>
      <w:r>
        <w:rPr>
          <w:rFonts w:hint="eastAsia" w:ascii="仿宋_GB2312" w:hAnsi="仿宋_GB2312" w:eastAsia="仿宋_GB2312" w:cs="仿宋_GB2312"/>
          <w:sz w:val="32"/>
          <w:szCs w:val="32"/>
        </w:rPr>
        <w:t>2024年度政府性基金预算财政拨款支出0万元，占本年支出合计的0%</w:t>
      </w:r>
      <w:r>
        <w:rPr>
          <w:rFonts w:hint="eastAsia" w:eastAsia="仿宋_GB2312" w:cs="仿宋_GB2312"/>
          <w:sz w:val="32"/>
          <w:szCs w:val="32"/>
        </w:rPr>
        <w:t>。与2023年度相比，政府性基金预算财政拨款支出增加/减少</w:t>
      </w:r>
      <w:r>
        <w:rPr>
          <w:rFonts w:hint="eastAsia" w:eastAsia="仿宋_GB2312" w:cs="仿宋_GB2312"/>
          <w:sz w:val="32"/>
          <w:szCs w:val="32"/>
          <w:lang w:val="en-US" w:eastAsia="zh-CN"/>
        </w:rPr>
        <w:t>0</w:t>
      </w:r>
      <w:r>
        <w:rPr>
          <w:rFonts w:hint="eastAsia" w:eastAsia="仿宋_GB2312" w:cs="仿宋_GB2312"/>
          <w:sz w:val="32"/>
          <w:szCs w:val="32"/>
        </w:rPr>
        <w:t>万元，增长/下降</w:t>
      </w:r>
      <w:r>
        <w:rPr>
          <w:rFonts w:hint="eastAsia" w:eastAsia="仿宋_GB2312" w:cs="仿宋_GB2312"/>
          <w:sz w:val="32"/>
          <w:szCs w:val="32"/>
          <w:lang w:val="en-US" w:eastAsia="zh-CN"/>
        </w:rPr>
        <w:t>0</w:t>
      </w:r>
      <w:r>
        <w:rPr>
          <w:rFonts w:hint="eastAsia" w:eastAsia="仿宋_GB2312" w:cs="仿宋_GB2312"/>
          <w:sz w:val="32"/>
          <w:szCs w:val="32"/>
        </w:rPr>
        <w:t>%。</w:t>
      </w:r>
    </w:p>
    <w:p w14:paraId="261EF71C">
      <w:pPr>
        <w:spacing w:line="600" w:lineRule="exact"/>
        <w:ind w:left="630"/>
        <w:outlineLvl w:val="1"/>
        <w:rPr>
          <w:rStyle w:val="30"/>
          <w:rFonts w:ascii="Times New Roman" w:hAnsi="Times New Roman" w:eastAsia="黑体"/>
          <w:b w:val="0"/>
        </w:rPr>
      </w:pPr>
      <w:bookmarkStart w:id="41" w:name="_Toc15377219"/>
      <w:bookmarkStart w:id="42" w:name="_Toc15396611"/>
      <w:r>
        <w:rPr>
          <w:rStyle w:val="30"/>
          <w:rFonts w:hint="eastAsia" w:ascii="Times New Roman" w:hAnsi="Times New Roman" w:eastAsia="黑体"/>
          <w:b w:val="0"/>
        </w:rPr>
        <w:t>九、国有资本经营预算支出决算情况说明</w:t>
      </w:r>
      <w:bookmarkEnd w:id="41"/>
      <w:bookmarkEnd w:id="42"/>
    </w:p>
    <w:p w14:paraId="6886EC8E">
      <w:pPr>
        <w:spacing w:line="600" w:lineRule="exact"/>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0万元，占本年支出合计的0%</w:t>
      </w:r>
      <w:r>
        <w:rPr>
          <w:rFonts w:hint="eastAsia" w:eastAsia="仿宋_GB2312" w:cs="仿宋_GB2312"/>
          <w:sz w:val="32"/>
          <w:szCs w:val="32"/>
        </w:rPr>
        <w:t>。与2023年度相比，国有资本经营预算财政拨款支出增加/减少</w:t>
      </w:r>
      <w:r>
        <w:rPr>
          <w:rFonts w:hint="eastAsia" w:eastAsia="仿宋_GB2312" w:cs="仿宋_GB2312"/>
          <w:sz w:val="32"/>
          <w:szCs w:val="32"/>
          <w:lang w:val="en-US" w:eastAsia="zh-CN"/>
        </w:rPr>
        <w:t>0</w:t>
      </w:r>
      <w:r>
        <w:rPr>
          <w:rFonts w:hint="eastAsia" w:eastAsia="仿宋_GB2312" w:cs="仿宋_GB2312"/>
          <w:sz w:val="32"/>
          <w:szCs w:val="32"/>
        </w:rPr>
        <w:t>万元，增长/下降</w:t>
      </w:r>
      <w:r>
        <w:rPr>
          <w:rFonts w:hint="eastAsia" w:eastAsia="仿宋_GB2312" w:cs="仿宋_GB2312"/>
          <w:sz w:val="32"/>
          <w:szCs w:val="32"/>
          <w:lang w:val="en-US" w:eastAsia="zh-CN"/>
        </w:rPr>
        <w:t>0</w:t>
      </w:r>
      <w:r>
        <w:rPr>
          <w:rFonts w:hint="eastAsia" w:eastAsia="仿宋_GB2312" w:cs="仿宋_GB2312"/>
          <w:sz w:val="32"/>
          <w:szCs w:val="32"/>
        </w:rPr>
        <w:t>%。</w:t>
      </w:r>
    </w:p>
    <w:p w14:paraId="7473BE4E">
      <w:pPr>
        <w:spacing w:line="600" w:lineRule="exact"/>
        <w:ind w:left="630"/>
        <w:outlineLvl w:val="1"/>
        <w:rPr>
          <w:rStyle w:val="30"/>
          <w:rFonts w:ascii="Times New Roman" w:hAnsi="Times New Roman" w:eastAsia="黑体"/>
          <w:b w:val="0"/>
        </w:rPr>
      </w:pPr>
      <w:bookmarkStart w:id="43" w:name="_Toc15377221"/>
      <w:bookmarkStart w:id="44" w:name="_Toc15396612"/>
      <w:r>
        <w:rPr>
          <w:rStyle w:val="30"/>
          <w:rFonts w:hint="eastAsia" w:ascii="Times New Roman" w:hAnsi="Times New Roman" w:eastAsia="黑体"/>
          <w:b w:val="0"/>
        </w:rPr>
        <w:t>十、其他重要事项的情况说明</w:t>
      </w:r>
      <w:bookmarkEnd w:id="43"/>
      <w:bookmarkEnd w:id="44"/>
    </w:p>
    <w:p w14:paraId="71E71BB5">
      <w:pPr>
        <w:spacing w:line="600" w:lineRule="exact"/>
        <w:ind w:firstLine="643" w:firstLineChars="200"/>
        <w:outlineLvl w:val="2"/>
        <w:rPr>
          <w:rFonts w:eastAsia="楷体_GB2312" w:cs="楷体_GB2312"/>
          <w:b/>
          <w:sz w:val="32"/>
          <w:szCs w:val="32"/>
        </w:rPr>
      </w:pPr>
      <w:bookmarkStart w:id="45" w:name="_Toc15377222"/>
      <w:r>
        <w:rPr>
          <w:rFonts w:hint="eastAsia" w:eastAsia="楷体_GB2312" w:cs="楷体_GB2312"/>
          <w:b/>
          <w:sz w:val="32"/>
          <w:szCs w:val="32"/>
        </w:rPr>
        <w:t>（一）机关运行经费支出情况</w:t>
      </w:r>
      <w:bookmarkEnd w:id="45"/>
    </w:p>
    <w:p w14:paraId="5A36D9C3">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w:t>
      </w:r>
      <w:r>
        <w:rPr>
          <w:rFonts w:hint="eastAsia" w:ascii="仿宋_GB2312" w:hAnsi="仿宋_GB2312" w:eastAsia="仿宋_GB2312" w:cs="仿宋_GB2312"/>
          <w:sz w:val="32"/>
          <w:szCs w:val="32"/>
        </w:rPr>
        <w:t>，红原县麦洼寺寺庙管理委员会机关运行经费支出27.66万</w:t>
      </w:r>
      <w:r>
        <w:rPr>
          <w:rFonts w:hint="eastAsia" w:eastAsia="仿宋_GB2312" w:cs="仿宋_GB2312"/>
          <w:sz w:val="32"/>
          <w:szCs w:val="32"/>
        </w:rPr>
        <w:t>元，比2023年度减少</w:t>
      </w:r>
      <w:r>
        <w:rPr>
          <w:rFonts w:hint="eastAsia" w:eastAsia="仿宋_GB2312" w:cs="仿宋_GB2312"/>
          <w:sz w:val="32"/>
          <w:szCs w:val="32"/>
          <w:lang w:val="en-US" w:eastAsia="zh-CN"/>
        </w:rPr>
        <w:t>30.83</w:t>
      </w:r>
      <w:r>
        <w:rPr>
          <w:rFonts w:hint="eastAsia" w:eastAsia="仿宋_GB2312" w:cs="仿宋_GB2312"/>
          <w:sz w:val="32"/>
          <w:szCs w:val="32"/>
        </w:rPr>
        <w:t>万元，下降</w:t>
      </w:r>
      <w:r>
        <w:rPr>
          <w:rFonts w:hint="eastAsia" w:eastAsia="仿宋_GB2312" w:cs="仿宋_GB2312"/>
          <w:sz w:val="32"/>
          <w:szCs w:val="32"/>
          <w:lang w:val="en-US" w:eastAsia="zh-CN"/>
        </w:rPr>
        <w:t>52</w:t>
      </w:r>
      <w:r>
        <w:rPr>
          <w:rFonts w:hint="eastAsia" w:eastAsia="仿宋_GB2312" w:cs="仿宋_GB2312"/>
          <w:sz w:val="32"/>
          <w:szCs w:val="32"/>
        </w:rPr>
        <w:t>%。主要原因是</w:t>
      </w:r>
      <w:r>
        <w:rPr>
          <w:rFonts w:hint="eastAsia" w:eastAsia="仿宋_GB2312" w:cs="仿宋_GB2312"/>
          <w:sz w:val="32"/>
          <w:szCs w:val="32"/>
          <w:lang w:eastAsia="zh-CN"/>
        </w:rPr>
        <w:t>厉行节约。</w:t>
      </w:r>
    </w:p>
    <w:p w14:paraId="094E5BB4">
      <w:pPr>
        <w:spacing w:line="600" w:lineRule="exact"/>
        <w:ind w:firstLine="643" w:firstLineChars="200"/>
        <w:outlineLvl w:val="2"/>
        <w:rPr>
          <w:rFonts w:eastAsia="楷体_GB2312" w:cs="楷体_GB2312"/>
          <w:b/>
          <w:sz w:val="32"/>
          <w:szCs w:val="32"/>
        </w:rPr>
      </w:pPr>
      <w:bookmarkStart w:id="46" w:name="_Toc15377223"/>
      <w:r>
        <w:rPr>
          <w:rFonts w:hint="eastAsia" w:eastAsia="楷体_GB2312" w:cs="楷体_GB2312"/>
          <w:b/>
          <w:sz w:val="32"/>
          <w:szCs w:val="32"/>
        </w:rPr>
        <w:t>（二）政府采购支出情况</w:t>
      </w:r>
      <w:bookmarkEnd w:id="46"/>
    </w:p>
    <w:p w14:paraId="7D12DE13">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红原县麦洼寺寺庙管理委员会政府采购支出总额0万元，其中：政府采购货物支出0万元、政府采购工程支出0万元、政府采购服务支出0万元。主要用于……（具体工作）。授予中小企业合同金额0万元，占政府采购支出总额的0%，其中：授予小微企业合同金额0万元，占政府采购支出总额的0%。</w:t>
      </w:r>
    </w:p>
    <w:p w14:paraId="09BDCF74">
      <w:pPr>
        <w:spacing w:line="600" w:lineRule="exact"/>
        <w:ind w:firstLine="640"/>
        <w:rPr>
          <w:rFonts w:eastAsia="仿宋_GB2312" w:cs="仿宋_GB2312"/>
          <w:sz w:val="32"/>
          <w:szCs w:val="32"/>
        </w:rPr>
      </w:pPr>
    </w:p>
    <w:p w14:paraId="0582B0E3">
      <w:pPr>
        <w:spacing w:line="600" w:lineRule="exact"/>
        <w:ind w:firstLine="643" w:firstLineChars="200"/>
        <w:outlineLvl w:val="2"/>
        <w:rPr>
          <w:rFonts w:eastAsia="楷体_GB2312" w:cs="楷体_GB2312"/>
          <w:b/>
          <w:sz w:val="32"/>
          <w:szCs w:val="32"/>
        </w:rPr>
      </w:pPr>
      <w:bookmarkStart w:id="47" w:name="_Toc15377224"/>
      <w:r>
        <w:rPr>
          <w:rFonts w:hint="eastAsia" w:eastAsia="楷体_GB2312" w:cs="楷体_GB2312"/>
          <w:b/>
          <w:sz w:val="32"/>
          <w:szCs w:val="32"/>
        </w:rPr>
        <w:t>（三）国有资产占有使用情况</w:t>
      </w:r>
      <w:bookmarkEnd w:id="47"/>
    </w:p>
    <w:p w14:paraId="2039EA02">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截至2024年12月31日，红原县麦洼寺寺庙管理委员会共有车辆1辆，其中：主要负责人用车0辆、机要通信用车0辆、应急保障用车0辆、其他用车1辆，其他用车主要是用于</w:t>
      </w:r>
      <w:r>
        <w:rPr>
          <w:rFonts w:hint="eastAsia" w:ascii="仿宋_GB2312" w:eastAsia="仿宋_GB2312"/>
          <w:sz w:val="32"/>
          <w:szCs w:val="32"/>
        </w:rPr>
        <w:t>公务用车燃料费、维修费、过路过桥费、保险费等支出</w:t>
      </w:r>
      <w:r>
        <w:rPr>
          <w:rFonts w:hint="eastAsia" w:ascii="仿宋_GB2312" w:hAnsi="仿宋_GB2312" w:eastAsia="仿宋_GB2312" w:cs="仿宋_GB2312"/>
          <w:sz w:val="32"/>
          <w:szCs w:val="32"/>
        </w:rPr>
        <w:t>。单价100万元（含）以上设备（不含车辆）0台（套）</w:t>
      </w:r>
      <w:r>
        <w:rPr>
          <w:rFonts w:hint="eastAsia" w:eastAsia="仿宋_GB2312" w:cs="仿宋_GB2312"/>
          <w:sz w:val="32"/>
          <w:szCs w:val="32"/>
        </w:rPr>
        <w:t>。</w:t>
      </w:r>
    </w:p>
    <w:p w14:paraId="1BEBD4F0">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432F46A6">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年度预算编制阶段，组织对“寺庙办公经费、生活补助、三员经费、尼姑寺卫生费”项目开展了预算事前绩效评估，对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w:t>
      </w:r>
    </w:p>
    <w:p w14:paraId="1731F10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组织对202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政府性基金预算、国有资本经营预算、社会保险基金预算以及资本资产、债券资金等全面开展绩效自评，形成部门整体（含部门预算项目）绩效自评报告，部门整体（含部门预算项目）绩效自评得分为93分，绩效自评综述：</w:t>
      </w:r>
      <w:r>
        <w:rPr>
          <w:rFonts w:hint="eastAsia" w:ascii="仿宋_GB2312" w:hAnsi="仿宋_GB2312" w:cs="仿宋_GB2312"/>
          <w:color w:val="000000"/>
          <w:sz w:val="32"/>
          <w:szCs w:val="32"/>
        </w:rPr>
        <w:t>（1）</w:t>
      </w:r>
      <w:r>
        <w:rPr>
          <w:rFonts w:hint="eastAsia" w:ascii="仿宋_GB2312" w:hAnsi="仿宋_GB2312" w:eastAsia="仿宋_GB2312" w:cs="仿宋_GB2312"/>
          <w:color w:val="000000"/>
          <w:sz w:val="32"/>
          <w:szCs w:val="32"/>
        </w:rPr>
        <w:t>部门预算严格按照上级部门预算编制通知和有关要求，结合单位具体工作及县级相关规定编制，按时完成基础、项目报送工作，我部门预算按时在红原县门户网站公开。</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xml:space="preserve">   </w:t>
      </w:r>
      <w:r>
        <w:rPr>
          <w:rFonts w:hint="eastAsia" w:ascii="仿宋_GB2312" w:hAnsi="仿宋_GB2312" w:cs="仿宋_GB2312"/>
          <w:color w:val="000000"/>
          <w:sz w:val="32"/>
          <w:szCs w:val="32"/>
        </w:rPr>
        <w:t>（2）</w:t>
      </w:r>
      <w:r>
        <w:rPr>
          <w:rFonts w:hint="eastAsia" w:ascii="仿宋_GB2312" w:hAnsi="仿宋_GB2312" w:eastAsia="仿宋_GB2312" w:cs="仿宋_GB2312"/>
          <w:color w:val="000000"/>
          <w:sz w:val="32"/>
          <w:szCs w:val="32"/>
        </w:rPr>
        <w:t>严格执行支出预算，“三公经费”本着节约、高效的原则严格控制支出。</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xml:space="preserve">   </w:t>
      </w:r>
      <w:r>
        <w:rPr>
          <w:rFonts w:hint="eastAsia" w:ascii="仿宋_GB2312" w:hAnsi="仿宋_GB2312" w:cs="仿宋_GB2312"/>
          <w:color w:val="000000"/>
          <w:sz w:val="32"/>
          <w:szCs w:val="32"/>
        </w:rPr>
        <w:t>（3）</w:t>
      </w:r>
      <w:r>
        <w:rPr>
          <w:rFonts w:hint="eastAsia" w:ascii="仿宋_GB2312" w:hAnsi="仿宋_GB2312" w:eastAsia="仿宋_GB2312" w:cs="仿宋_GB2312"/>
          <w:color w:val="000000"/>
          <w:sz w:val="32"/>
          <w:szCs w:val="32"/>
        </w:rPr>
        <w:t>认真开展部门绩效评价工作，绩效评价规章制度逐渐健全;严格按照相关法律、法规进行会计核算，严格资金管理，专款专用，资金拨付严格按相关程序报批后支付。认真开展部门整体绩效评价工作，绩效评工作正逐步完善。</w:t>
      </w:r>
    </w:p>
    <w:p w14:paraId="0EE80E6A">
      <w:pPr>
        <w:spacing w:line="600" w:lineRule="exact"/>
        <w:ind w:firstLine="640"/>
        <w:rPr>
          <w:rFonts w:eastAsia="仿宋_GB2312" w:cs="仿宋_GB2312"/>
          <w:sz w:val="32"/>
          <w:szCs w:val="32"/>
        </w:rPr>
      </w:pPr>
    </w:p>
    <w:p w14:paraId="78FBCC89">
      <w:pPr>
        <w:spacing w:line="600" w:lineRule="exact"/>
        <w:ind w:firstLine="640"/>
        <w:rPr>
          <w:rFonts w:eastAsia="仿宋_GB2312" w:cs="仿宋_GB2312"/>
          <w:sz w:val="32"/>
          <w:szCs w:val="32"/>
        </w:rPr>
      </w:pPr>
    </w:p>
    <w:p w14:paraId="1E6A94CA">
      <w:pPr>
        <w:spacing w:line="600" w:lineRule="exact"/>
        <w:jc w:val="center"/>
        <w:outlineLvl w:val="0"/>
        <w:rPr>
          <w:rFonts w:eastAsia="黑体"/>
          <w:sz w:val="44"/>
          <w:szCs w:val="44"/>
        </w:rPr>
      </w:pPr>
      <w:bookmarkStart w:id="48" w:name="_Toc15377225"/>
      <w:bookmarkStart w:id="49" w:name="_Toc15396613"/>
      <w:r>
        <w:rPr>
          <w:rFonts w:hint="eastAsia" w:eastAsia="黑体"/>
          <w:sz w:val="44"/>
          <w:szCs w:val="44"/>
        </w:rPr>
        <w:t>第三部分  名词解释</w:t>
      </w:r>
      <w:bookmarkEnd w:id="48"/>
      <w:bookmarkEnd w:id="49"/>
    </w:p>
    <w:p w14:paraId="7D9529F3">
      <w:pPr>
        <w:spacing w:line="600" w:lineRule="exact"/>
        <w:jc w:val="left"/>
        <w:rPr>
          <w:b/>
          <w:sz w:val="44"/>
          <w:szCs w:val="44"/>
        </w:rPr>
      </w:pPr>
    </w:p>
    <w:p w14:paraId="6873ED41">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14:paraId="7477A086">
      <w:pPr>
        <w:spacing w:line="600" w:lineRule="exact"/>
        <w:ind w:firstLine="640"/>
        <w:rPr>
          <w:rFonts w:eastAsia="仿宋_GB2312" w:cs="仿宋_GB2312"/>
          <w:sz w:val="32"/>
          <w:szCs w:val="32"/>
        </w:rPr>
      </w:pPr>
      <w:r>
        <w:rPr>
          <w:rFonts w:hint="eastAsia" w:eastAsia="仿宋_GB2312" w:cs="仿宋_GB2312"/>
          <w:sz w:val="32"/>
          <w:szCs w:val="32"/>
        </w:rPr>
        <w:t>2.事业收入：指事业单位开展专业业务活动及辅助活动取得的收入。如……（二级预算单位事业收入情况）等。</w:t>
      </w:r>
    </w:p>
    <w:p w14:paraId="56EA68B4">
      <w:pPr>
        <w:spacing w:line="600" w:lineRule="exact"/>
        <w:ind w:firstLine="640"/>
        <w:rPr>
          <w:rFonts w:eastAsia="仿宋_GB2312" w:cs="仿宋_GB2312"/>
          <w:sz w:val="32"/>
          <w:szCs w:val="32"/>
        </w:rPr>
      </w:pPr>
      <w:r>
        <w:rPr>
          <w:rFonts w:hint="eastAsia" w:eastAsia="仿宋_GB2312" w:cs="仿宋_GB2312"/>
          <w:sz w:val="32"/>
          <w:szCs w:val="32"/>
        </w:rPr>
        <w:t>3.经营收入：指事业单位在专业业务活动及其辅助活动之外开展非独立核算经营活动取得的收入。如……（二级预算单位经营收入情况）等。</w:t>
      </w:r>
    </w:p>
    <w:p w14:paraId="2794CB14">
      <w:pPr>
        <w:spacing w:line="600" w:lineRule="exact"/>
        <w:ind w:firstLine="640"/>
        <w:rPr>
          <w:rFonts w:eastAsia="仿宋_GB2312" w:cs="仿宋_GB2312"/>
          <w:sz w:val="32"/>
          <w:szCs w:val="32"/>
        </w:rPr>
      </w:pPr>
      <w:r>
        <w:rPr>
          <w:rFonts w:hint="eastAsia" w:eastAsia="仿宋_GB2312" w:cs="仿宋_GB2312"/>
          <w:sz w:val="32"/>
          <w:szCs w:val="32"/>
        </w:rPr>
        <w:t xml:space="preserve">4.其他收入：指单位取得的除上述收入以外的各项收入。主要是……（收入类型）等。 </w:t>
      </w:r>
    </w:p>
    <w:p w14:paraId="7BB4D4ED">
      <w:pPr>
        <w:spacing w:line="600" w:lineRule="exact"/>
        <w:ind w:firstLine="640"/>
        <w:rPr>
          <w:rFonts w:eastAsia="仿宋_GB2312" w:cs="仿宋_GB2312"/>
          <w:sz w:val="32"/>
          <w:szCs w:val="32"/>
        </w:rPr>
      </w:pPr>
      <w:r>
        <w:rPr>
          <w:rFonts w:hint="eastAsia" w:eastAsia="仿宋_GB2312" w:cs="仿宋_GB2312"/>
          <w:sz w:val="32"/>
          <w:szCs w:val="32"/>
        </w:rPr>
        <w:t xml:space="preserve">5.使用非财政拨款结余（含专用结余）：指事业单位使用以前年度积累的非财政拨款结余弥补当年收支差额的金额。 </w:t>
      </w:r>
    </w:p>
    <w:p w14:paraId="0A13F6B7">
      <w:pPr>
        <w:spacing w:line="600" w:lineRule="exact"/>
        <w:ind w:firstLine="640"/>
        <w:rPr>
          <w:rFonts w:eastAsia="仿宋_GB2312" w:cs="仿宋_GB2312"/>
          <w:sz w:val="32"/>
          <w:szCs w:val="32"/>
        </w:rPr>
      </w:pPr>
      <w:r>
        <w:rPr>
          <w:rFonts w:hint="eastAsia" w:eastAsia="仿宋_GB2312" w:cs="仿宋_GB2312"/>
          <w:sz w:val="32"/>
          <w:szCs w:val="32"/>
        </w:rPr>
        <w:t xml:space="preserve">6.年初结转和结余：指以前年度尚未完成、结转到本年按有关规定继续使用的资金。 </w:t>
      </w:r>
    </w:p>
    <w:p w14:paraId="67C6EB4C">
      <w:pPr>
        <w:spacing w:line="600" w:lineRule="exact"/>
        <w:ind w:firstLine="640"/>
        <w:rPr>
          <w:rFonts w:eastAsia="仿宋_GB2312" w:cs="仿宋_GB2312"/>
          <w:sz w:val="32"/>
          <w:szCs w:val="32"/>
        </w:rPr>
      </w:pPr>
      <w:r>
        <w:rPr>
          <w:rFonts w:hint="eastAsia" w:eastAsia="仿宋_GB2312" w:cs="仿宋_GB2312"/>
          <w:sz w:val="32"/>
          <w:szCs w:val="32"/>
        </w:rPr>
        <w:t>7.结余分配：指事业单位按照会计制度规定缴纳的所得税、提取的专用结余以及转入非财政拨款结余的金额等。</w:t>
      </w:r>
    </w:p>
    <w:p w14:paraId="3A9B4D78">
      <w:pPr>
        <w:spacing w:line="600" w:lineRule="exact"/>
        <w:ind w:firstLine="640"/>
        <w:rPr>
          <w:rFonts w:eastAsia="仿宋_GB2312" w:cs="仿宋_GB2312"/>
          <w:sz w:val="32"/>
          <w:szCs w:val="32"/>
        </w:rPr>
      </w:pPr>
      <w:r>
        <w:rPr>
          <w:rFonts w:hint="eastAsia" w:eastAsia="仿宋_GB2312" w:cs="仿宋_GB2312"/>
          <w:sz w:val="32"/>
          <w:szCs w:val="32"/>
        </w:rPr>
        <w:t>8.年末结转和结余：指单位按有关规定结转到下年或以后年度继续使用的资金。</w:t>
      </w:r>
    </w:p>
    <w:p w14:paraId="76A3F225">
      <w:pPr>
        <w:spacing w:line="600" w:lineRule="exact"/>
        <w:ind w:firstLine="640"/>
        <w:rPr>
          <w:rFonts w:eastAsia="仿宋_GB2312" w:cs="仿宋_GB2312"/>
          <w:sz w:val="32"/>
          <w:szCs w:val="32"/>
        </w:rPr>
      </w:pPr>
      <w:r>
        <w:rPr>
          <w:rFonts w:hint="eastAsia" w:eastAsia="仿宋_GB2312" w:cs="仿宋_GB2312"/>
          <w:sz w:val="32"/>
          <w:szCs w:val="32"/>
        </w:rPr>
        <w:t>9.一般公共服务（类）……（款）……（项）：指……</w:t>
      </w:r>
    </w:p>
    <w:p w14:paraId="7612E93E">
      <w:pPr>
        <w:spacing w:line="600" w:lineRule="exact"/>
        <w:ind w:firstLine="640"/>
        <w:rPr>
          <w:rFonts w:eastAsia="仿宋_GB2312" w:cs="仿宋_GB2312"/>
          <w:sz w:val="32"/>
          <w:szCs w:val="32"/>
        </w:rPr>
      </w:pPr>
      <w:r>
        <w:rPr>
          <w:rFonts w:hint="eastAsia" w:eastAsia="仿宋_GB2312" w:cs="仿宋_GB2312"/>
          <w:sz w:val="32"/>
          <w:szCs w:val="32"/>
        </w:rPr>
        <w:t>10.外交（类）……（款）……（项）：指……</w:t>
      </w:r>
    </w:p>
    <w:p w14:paraId="4AF20728">
      <w:pPr>
        <w:spacing w:line="600" w:lineRule="exact"/>
        <w:ind w:firstLine="640"/>
        <w:rPr>
          <w:rFonts w:eastAsia="仿宋_GB2312" w:cs="仿宋_GB2312"/>
          <w:sz w:val="32"/>
          <w:szCs w:val="32"/>
        </w:rPr>
      </w:pPr>
      <w:r>
        <w:rPr>
          <w:rFonts w:hint="eastAsia" w:eastAsia="仿宋_GB2312" w:cs="仿宋_GB2312"/>
          <w:sz w:val="32"/>
          <w:szCs w:val="32"/>
        </w:rPr>
        <w:t>11.公共安全（类）……（款）……（项）：指……</w:t>
      </w:r>
    </w:p>
    <w:p w14:paraId="001FFA7E">
      <w:pPr>
        <w:spacing w:line="600" w:lineRule="exact"/>
        <w:ind w:firstLine="640"/>
        <w:rPr>
          <w:rFonts w:eastAsia="仿宋_GB2312" w:cs="仿宋_GB2312"/>
          <w:sz w:val="32"/>
          <w:szCs w:val="32"/>
        </w:rPr>
      </w:pPr>
      <w:r>
        <w:rPr>
          <w:rFonts w:hint="eastAsia" w:eastAsia="仿宋_GB2312" w:cs="仿宋_GB2312"/>
          <w:sz w:val="32"/>
          <w:szCs w:val="32"/>
        </w:rPr>
        <w:t>12.教育（类）……（款）……（项）：指……</w:t>
      </w:r>
    </w:p>
    <w:p w14:paraId="69304E1E">
      <w:pPr>
        <w:spacing w:line="600" w:lineRule="exact"/>
        <w:ind w:firstLine="640"/>
        <w:rPr>
          <w:rFonts w:eastAsia="仿宋_GB2312" w:cs="仿宋_GB2312"/>
          <w:sz w:val="32"/>
          <w:szCs w:val="32"/>
        </w:rPr>
      </w:pPr>
      <w:r>
        <w:rPr>
          <w:rFonts w:hint="eastAsia" w:eastAsia="仿宋_GB2312" w:cs="仿宋_GB2312"/>
          <w:sz w:val="32"/>
          <w:szCs w:val="32"/>
        </w:rPr>
        <w:t>13.科学技术（类）……（款）……（项）：指……</w:t>
      </w:r>
    </w:p>
    <w:p w14:paraId="22D73744">
      <w:pPr>
        <w:spacing w:line="600" w:lineRule="exact"/>
        <w:ind w:firstLine="640"/>
        <w:rPr>
          <w:rFonts w:eastAsia="仿宋_GB2312" w:cs="仿宋_GB2312"/>
          <w:sz w:val="32"/>
          <w:szCs w:val="32"/>
        </w:rPr>
      </w:pPr>
      <w:r>
        <w:rPr>
          <w:rFonts w:hint="eastAsia" w:eastAsia="仿宋_GB2312" w:cs="仿宋_GB2312"/>
          <w:sz w:val="32"/>
          <w:szCs w:val="32"/>
        </w:rPr>
        <w:t>14.文化旅游体育与传媒（类）……（款）……（项）：指……</w:t>
      </w:r>
    </w:p>
    <w:p w14:paraId="6B22F968">
      <w:pPr>
        <w:spacing w:line="600" w:lineRule="exact"/>
        <w:ind w:firstLine="640"/>
        <w:rPr>
          <w:rFonts w:eastAsia="仿宋_GB2312" w:cs="仿宋_GB2312"/>
          <w:sz w:val="32"/>
          <w:szCs w:val="32"/>
        </w:rPr>
      </w:pPr>
      <w:r>
        <w:rPr>
          <w:rFonts w:hint="eastAsia" w:eastAsia="仿宋_GB2312" w:cs="仿宋_GB2312"/>
          <w:sz w:val="32"/>
          <w:szCs w:val="32"/>
        </w:rPr>
        <w:t>15.社会保障和就业（类）……（款）……（项）：指……</w:t>
      </w:r>
    </w:p>
    <w:p w14:paraId="3D83E2DC">
      <w:pPr>
        <w:spacing w:line="600" w:lineRule="exact"/>
        <w:ind w:firstLine="640"/>
        <w:rPr>
          <w:rFonts w:eastAsia="仿宋_GB2312" w:cs="仿宋_GB2312"/>
          <w:sz w:val="32"/>
          <w:szCs w:val="32"/>
        </w:rPr>
      </w:pPr>
      <w:r>
        <w:rPr>
          <w:rFonts w:hint="eastAsia" w:eastAsia="仿宋_GB2312" w:cs="仿宋_GB2312"/>
          <w:sz w:val="32"/>
          <w:szCs w:val="32"/>
        </w:rPr>
        <w:t>16.卫生健康（类）……（款）……（项）：指……</w:t>
      </w:r>
    </w:p>
    <w:p w14:paraId="6DBF1696">
      <w:pPr>
        <w:spacing w:line="600" w:lineRule="exact"/>
        <w:ind w:firstLine="640"/>
        <w:rPr>
          <w:rFonts w:eastAsia="仿宋_GB2312" w:cs="仿宋_GB2312"/>
          <w:sz w:val="32"/>
          <w:szCs w:val="32"/>
        </w:rPr>
      </w:pPr>
      <w:r>
        <w:rPr>
          <w:rFonts w:hint="eastAsia" w:eastAsia="仿宋_GB2312" w:cs="仿宋_GB2312"/>
          <w:sz w:val="32"/>
          <w:szCs w:val="32"/>
        </w:rPr>
        <w:t>17.节能环保（类）……（款）……（项）：指……</w:t>
      </w:r>
    </w:p>
    <w:p w14:paraId="79928654">
      <w:pPr>
        <w:spacing w:line="600" w:lineRule="exact"/>
        <w:ind w:firstLine="640"/>
        <w:rPr>
          <w:rFonts w:eastAsia="仿宋_GB2312" w:cs="仿宋_GB2312"/>
          <w:sz w:val="32"/>
          <w:szCs w:val="32"/>
        </w:rPr>
      </w:pPr>
      <w:r>
        <w:rPr>
          <w:rFonts w:hint="eastAsia" w:eastAsia="仿宋_GB2312" w:cs="仿宋_GB2312"/>
          <w:sz w:val="32"/>
          <w:szCs w:val="32"/>
        </w:rPr>
        <w:t>18.城乡社区（类）……（款）……（项）：指……</w:t>
      </w:r>
    </w:p>
    <w:p w14:paraId="1E7578E6">
      <w:pPr>
        <w:spacing w:line="600" w:lineRule="exact"/>
        <w:ind w:firstLine="640"/>
        <w:rPr>
          <w:rFonts w:eastAsia="仿宋_GB2312" w:cs="仿宋_GB2312"/>
          <w:sz w:val="32"/>
          <w:szCs w:val="32"/>
        </w:rPr>
      </w:pPr>
      <w:r>
        <w:rPr>
          <w:rFonts w:hint="eastAsia" w:eastAsia="仿宋_GB2312" w:cs="仿宋_GB2312"/>
          <w:sz w:val="32"/>
          <w:szCs w:val="32"/>
        </w:rPr>
        <w:t>19.农林水（类）……（款）……（项）：指……</w:t>
      </w:r>
    </w:p>
    <w:p w14:paraId="7F9DBAA2">
      <w:pPr>
        <w:spacing w:line="600" w:lineRule="exact"/>
        <w:ind w:firstLine="640"/>
        <w:rPr>
          <w:rFonts w:eastAsia="仿宋_GB2312" w:cs="仿宋_GB2312"/>
          <w:sz w:val="32"/>
          <w:szCs w:val="32"/>
        </w:rPr>
      </w:pPr>
      <w:r>
        <w:rPr>
          <w:rFonts w:hint="eastAsia" w:eastAsia="仿宋_GB2312" w:cs="仿宋_GB2312"/>
          <w:sz w:val="32"/>
          <w:szCs w:val="32"/>
        </w:rPr>
        <w:t>20.交通运输（类）……（款）……（项）：指……</w:t>
      </w:r>
    </w:p>
    <w:p w14:paraId="6767C330">
      <w:pPr>
        <w:spacing w:line="600" w:lineRule="exact"/>
        <w:ind w:firstLine="640"/>
        <w:rPr>
          <w:rFonts w:eastAsia="仿宋_GB2312" w:cs="仿宋_GB2312"/>
          <w:sz w:val="32"/>
          <w:szCs w:val="32"/>
        </w:rPr>
      </w:pPr>
      <w:r>
        <w:rPr>
          <w:rFonts w:hint="eastAsia" w:eastAsia="仿宋_GB2312" w:cs="仿宋_GB2312"/>
          <w:sz w:val="32"/>
          <w:szCs w:val="32"/>
        </w:rPr>
        <w:t>21.资源勘探工业信息等（类）……（款）……（项）：指……</w:t>
      </w:r>
    </w:p>
    <w:p w14:paraId="293DCA92">
      <w:pPr>
        <w:spacing w:line="600" w:lineRule="exact"/>
        <w:ind w:firstLine="640"/>
        <w:rPr>
          <w:rFonts w:eastAsia="仿宋_GB2312" w:cs="仿宋_GB2312"/>
          <w:sz w:val="32"/>
          <w:szCs w:val="32"/>
        </w:rPr>
      </w:pPr>
      <w:r>
        <w:rPr>
          <w:rFonts w:hint="eastAsia" w:eastAsia="仿宋_GB2312" w:cs="仿宋_GB2312"/>
          <w:sz w:val="32"/>
          <w:szCs w:val="32"/>
        </w:rPr>
        <w:t>22.商业服务业（类）……（款）……（项）：指……</w:t>
      </w:r>
    </w:p>
    <w:p w14:paraId="1F7B7872">
      <w:pPr>
        <w:spacing w:line="600" w:lineRule="exact"/>
        <w:ind w:firstLine="640"/>
        <w:rPr>
          <w:rFonts w:eastAsia="仿宋_GB2312" w:cs="仿宋_GB2312"/>
          <w:sz w:val="32"/>
          <w:szCs w:val="32"/>
        </w:rPr>
      </w:pPr>
      <w:r>
        <w:rPr>
          <w:rFonts w:hint="eastAsia" w:eastAsia="仿宋_GB2312" w:cs="仿宋_GB2312"/>
          <w:sz w:val="32"/>
          <w:szCs w:val="32"/>
        </w:rPr>
        <w:t>23.金融（类）……（款）……（项）：指……</w:t>
      </w:r>
    </w:p>
    <w:p w14:paraId="5EAE459E">
      <w:pPr>
        <w:spacing w:line="600" w:lineRule="exact"/>
        <w:ind w:firstLine="640"/>
        <w:rPr>
          <w:rFonts w:eastAsia="仿宋_GB2312" w:cs="仿宋_GB2312"/>
          <w:sz w:val="32"/>
          <w:szCs w:val="32"/>
        </w:rPr>
      </w:pPr>
      <w:r>
        <w:rPr>
          <w:rFonts w:hint="eastAsia" w:eastAsia="仿宋_GB2312" w:cs="仿宋_GB2312"/>
          <w:sz w:val="32"/>
          <w:szCs w:val="32"/>
        </w:rPr>
        <w:t>24.自然资源海洋气象等（类）……（款）……（项）：指……</w:t>
      </w:r>
    </w:p>
    <w:p w14:paraId="57475D07">
      <w:pPr>
        <w:spacing w:line="600" w:lineRule="exact"/>
        <w:ind w:firstLine="640"/>
        <w:rPr>
          <w:rFonts w:eastAsia="仿宋_GB2312" w:cs="仿宋_GB2312"/>
          <w:sz w:val="32"/>
          <w:szCs w:val="32"/>
        </w:rPr>
      </w:pPr>
      <w:r>
        <w:rPr>
          <w:rFonts w:hint="eastAsia" w:eastAsia="仿宋_GB2312" w:cs="仿宋_GB2312"/>
          <w:sz w:val="32"/>
          <w:szCs w:val="32"/>
        </w:rPr>
        <w:t>25.住房保障（类）……（款）……（项）：指……</w:t>
      </w:r>
    </w:p>
    <w:p w14:paraId="41634DAD">
      <w:pPr>
        <w:spacing w:line="600" w:lineRule="exact"/>
        <w:ind w:firstLine="640"/>
        <w:rPr>
          <w:rFonts w:eastAsia="仿宋_GB2312" w:cs="仿宋_GB2312"/>
          <w:sz w:val="32"/>
          <w:szCs w:val="32"/>
        </w:rPr>
      </w:pPr>
      <w:r>
        <w:rPr>
          <w:rFonts w:hint="eastAsia" w:eastAsia="仿宋_GB2312" w:cs="仿宋_GB2312"/>
          <w:sz w:val="32"/>
          <w:szCs w:val="32"/>
        </w:rPr>
        <w:t>26.粮油物资储备（类）……（款）……（项）：指……</w:t>
      </w:r>
    </w:p>
    <w:p w14:paraId="7E1A0C3C">
      <w:pPr>
        <w:spacing w:line="600" w:lineRule="exact"/>
        <w:ind w:firstLine="640"/>
        <w:rPr>
          <w:rFonts w:eastAsia="仿宋_GB2312" w:cs="仿宋_GB2312"/>
          <w:sz w:val="32"/>
          <w:szCs w:val="32"/>
        </w:rPr>
      </w:pPr>
      <w:r>
        <w:rPr>
          <w:rFonts w:hint="eastAsia" w:eastAsia="仿宋_GB2312" w:cs="仿宋_GB2312"/>
          <w:sz w:val="32"/>
          <w:szCs w:val="32"/>
        </w:rPr>
        <w:t>……</w:t>
      </w:r>
    </w:p>
    <w:p w14:paraId="0085FEFD">
      <w:pPr>
        <w:spacing w:line="600" w:lineRule="exact"/>
        <w:ind w:firstLine="640"/>
        <w:rPr>
          <w:rFonts w:eastAsia="仿宋_GB2312" w:cs="仿宋_GB2312"/>
          <w:sz w:val="32"/>
          <w:szCs w:val="32"/>
        </w:rPr>
      </w:pPr>
      <w:r>
        <w:rPr>
          <w:rFonts w:hint="eastAsia" w:eastAsia="仿宋_GB2312" w:cs="仿宋_GB2312"/>
          <w:b/>
          <w:bCs/>
          <w:sz w:val="32"/>
          <w:szCs w:val="32"/>
        </w:rPr>
        <w:t>（注：解释本部门决算报表中涉及的全部功能分类科目至项级，不涉及的科目请自行删除。请参照《2024年政府收支分类科目》增减内容）</w:t>
      </w:r>
    </w:p>
    <w:p w14:paraId="058B2A3C">
      <w:pPr>
        <w:spacing w:line="600" w:lineRule="exact"/>
        <w:ind w:firstLine="640"/>
        <w:rPr>
          <w:rFonts w:eastAsia="仿宋_GB2312" w:cs="仿宋_GB2312"/>
          <w:sz w:val="32"/>
          <w:szCs w:val="32"/>
        </w:rPr>
      </w:pPr>
      <w:r>
        <w:rPr>
          <w:rFonts w:hint="eastAsia" w:eastAsia="仿宋_GB2312" w:cs="仿宋_GB2312"/>
          <w:sz w:val="32"/>
          <w:szCs w:val="32"/>
        </w:rPr>
        <w:t>27.基本支出：指为保障机构正常运转、完成日常工作任务而发生的人员支出和公用支出。</w:t>
      </w:r>
    </w:p>
    <w:p w14:paraId="61AAC5C9">
      <w:pPr>
        <w:spacing w:line="600" w:lineRule="exact"/>
        <w:ind w:firstLine="640"/>
        <w:rPr>
          <w:rFonts w:eastAsia="仿宋_GB2312" w:cs="仿宋_GB2312"/>
          <w:sz w:val="32"/>
          <w:szCs w:val="32"/>
        </w:rPr>
      </w:pPr>
      <w:r>
        <w:rPr>
          <w:rFonts w:hint="eastAsia" w:eastAsia="仿宋_GB2312" w:cs="仿宋_GB2312"/>
          <w:sz w:val="32"/>
          <w:szCs w:val="32"/>
        </w:rPr>
        <w:t xml:space="preserve">28.项目支出：指在基本支出之外为完成特定行政任务和事业发展目标所发生的支出。 </w:t>
      </w:r>
    </w:p>
    <w:p w14:paraId="5EBB58A8">
      <w:pPr>
        <w:spacing w:line="600" w:lineRule="exact"/>
        <w:ind w:firstLine="640"/>
        <w:rPr>
          <w:rFonts w:eastAsia="仿宋_GB2312" w:cs="仿宋_GB2312"/>
          <w:sz w:val="32"/>
          <w:szCs w:val="32"/>
        </w:rPr>
      </w:pPr>
      <w:r>
        <w:rPr>
          <w:rFonts w:hint="eastAsia" w:eastAsia="仿宋_GB2312" w:cs="仿宋_GB2312"/>
          <w:sz w:val="32"/>
          <w:szCs w:val="32"/>
        </w:rPr>
        <w:t>29.经营支出：指事业单位在专业业务活动及其辅助活动之外开展非独立核算经营活动发生的支出。</w:t>
      </w:r>
    </w:p>
    <w:p w14:paraId="144DB8E6">
      <w:pPr>
        <w:spacing w:line="600" w:lineRule="exact"/>
        <w:ind w:firstLine="640"/>
        <w:rPr>
          <w:rFonts w:eastAsia="仿宋_GB2312" w:cs="仿宋_GB2312"/>
          <w:sz w:val="32"/>
          <w:szCs w:val="32"/>
        </w:rPr>
      </w:pPr>
      <w:r>
        <w:rPr>
          <w:rFonts w:hint="eastAsia" w:eastAsia="仿宋_GB2312" w:cs="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C2CAA3F">
      <w:pPr>
        <w:spacing w:line="600" w:lineRule="exact"/>
        <w:ind w:firstLine="640"/>
        <w:rPr>
          <w:rFonts w:eastAsia="仿宋_GB2312" w:cs="仿宋_GB2312"/>
          <w:sz w:val="32"/>
          <w:szCs w:val="32"/>
        </w:rPr>
      </w:pPr>
      <w:r>
        <w:rPr>
          <w:rFonts w:hint="eastAsia" w:eastAsia="仿宋_GB2312" w:cs="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B6F0BAC">
      <w:pPr>
        <w:spacing w:line="600" w:lineRule="exact"/>
        <w:ind w:firstLine="640"/>
        <w:rPr>
          <w:rFonts w:eastAsia="仿宋_GB2312" w:cs="仿宋_GB2312"/>
          <w:sz w:val="32"/>
          <w:szCs w:val="32"/>
        </w:rPr>
      </w:pPr>
      <w:r>
        <w:rPr>
          <w:rFonts w:hint="eastAsia" w:eastAsia="仿宋_GB2312" w:cs="仿宋_GB2312"/>
          <w:sz w:val="32"/>
          <w:szCs w:val="32"/>
        </w:rPr>
        <w:t>32.……</w:t>
      </w:r>
    </w:p>
    <w:p w14:paraId="2E054BE7">
      <w:pPr>
        <w:spacing w:line="600" w:lineRule="exact"/>
        <w:ind w:firstLine="640"/>
        <w:rPr>
          <w:rFonts w:eastAsia="仿宋_GB2312" w:cs="仿宋_GB2312"/>
          <w:b/>
          <w:bCs/>
          <w:sz w:val="32"/>
          <w:szCs w:val="32"/>
        </w:rPr>
      </w:pPr>
      <w:r>
        <w:rPr>
          <w:rFonts w:hint="eastAsia" w:eastAsia="仿宋_GB2312" w:cs="仿宋_GB2312"/>
          <w:b/>
          <w:bCs/>
          <w:sz w:val="32"/>
          <w:szCs w:val="32"/>
        </w:rPr>
        <w:t>（注：名词解释部分请根据各部门实际列支情况罗列，并根据本部门职责职能增减名词解释内容）</w:t>
      </w:r>
    </w:p>
    <w:p w14:paraId="29827D04">
      <w:pPr>
        <w:spacing w:line="600" w:lineRule="exact"/>
        <w:jc w:val="center"/>
        <w:rPr>
          <w:rStyle w:val="29"/>
          <w:rFonts w:eastAsia="黑体"/>
          <w:b w:val="0"/>
        </w:rPr>
      </w:pPr>
      <w:bookmarkStart w:id="50" w:name="_Toc15377226"/>
      <w:r>
        <w:rPr>
          <w:rFonts w:hint="eastAsia" w:eastAsia="仿宋_GB2312" w:cs="仿宋_GB2312"/>
          <w:sz w:val="32"/>
          <w:szCs w:val="32"/>
        </w:rPr>
        <w:br w:type="page"/>
      </w:r>
      <w:bookmarkStart w:id="51" w:name="_Toc15396614"/>
      <w:r>
        <w:rPr>
          <w:rFonts w:hint="eastAsia" w:eastAsia="黑体"/>
          <w:sz w:val="44"/>
          <w:szCs w:val="44"/>
        </w:rPr>
        <w:t>第四部分  附件</w:t>
      </w:r>
      <w:bookmarkEnd w:id="51"/>
    </w:p>
    <w:p w14:paraId="1BC80158">
      <w:pPr>
        <w:spacing w:line="572" w:lineRule="exact"/>
        <w:jc w:val="left"/>
        <w:outlineLvl w:val="0"/>
        <w:rPr>
          <w:rFonts w:eastAsia="黑体" w:cs="黑体"/>
          <w:color w:val="FF0000"/>
          <w:sz w:val="32"/>
          <w:szCs w:val="32"/>
        </w:rPr>
      </w:pPr>
    </w:p>
    <w:p w14:paraId="0F36F7F5">
      <w:pPr>
        <w:spacing w:line="572" w:lineRule="exact"/>
        <w:jc w:val="left"/>
        <w:outlineLvl w:val="0"/>
        <w:rPr>
          <w:rFonts w:eastAsia="黑体" w:cs="方正小标宋简体"/>
          <w:sz w:val="44"/>
          <w:szCs w:val="44"/>
        </w:rPr>
      </w:pPr>
      <w:r>
        <w:rPr>
          <w:rFonts w:hint="eastAsia" w:eastAsia="黑体" w:cs="黑体"/>
          <w:sz w:val="32"/>
          <w:szCs w:val="32"/>
        </w:rPr>
        <w:t>附件1</w:t>
      </w:r>
    </w:p>
    <w:p w14:paraId="20451F19">
      <w:pPr>
        <w:widowControl/>
        <w:spacing w:line="578" w:lineRule="exact"/>
        <w:contextualSpacing/>
        <w:jc w:val="center"/>
        <w:rPr>
          <w:rFonts w:eastAsia="方正小标宋简体"/>
          <w:bCs/>
          <w:sz w:val="44"/>
          <w:szCs w:val="44"/>
          <w:shd w:val="clear" w:color="auto" w:fill="FFFFFF"/>
        </w:rPr>
      </w:pPr>
    </w:p>
    <w:p w14:paraId="38D251DA">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报告范本</w:t>
      </w:r>
    </w:p>
    <w:p w14:paraId="26B26373">
      <w:pPr>
        <w:widowControl/>
        <w:spacing w:line="578" w:lineRule="exact"/>
        <w:contextualSpacing/>
        <w:jc w:val="center"/>
        <w:rPr>
          <w:rFonts w:eastAsia="仿宋_GB2312"/>
          <w:sz w:val="32"/>
          <w:szCs w:val="32"/>
          <w:shd w:val="clear" w:color="auto" w:fill="FFFFFF"/>
        </w:rPr>
      </w:pPr>
      <w:r>
        <w:rPr>
          <w:rFonts w:eastAsia="仿宋_GB2312"/>
          <w:sz w:val="32"/>
          <w:szCs w:val="32"/>
          <w:shd w:val="clear" w:color="auto" w:fill="FFFFFF"/>
        </w:rPr>
        <w:t>（报告范围包括机关和下属单位）</w:t>
      </w:r>
    </w:p>
    <w:p w14:paraId="1D7297F5">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55EA365C">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14:paraId="649B3CA9">
      <w:pPr>
        <w:spacing w:line="576" w:lineRule="exact"/>
        <w:ind w:firstLine="643" w:firstLineChars="200"/>
        <w:rPr>
          <w:rFonts w:eastAsia="楷体_GB2312" w:cs="楷体_GB2312"/>
          <w:b/>
          <w:sz w:val="32"/>
          <w:szCs w:val="32"/>
          <w:lang w:val="zh-CN"/>
        </w:rPr>
      </w:pPr>
      <w:r>
        <w:rPr>
          <w:rFonts w:hint="eastAsia" w:eastAsia="楷体_GB2312" w:cs="楷体_GB2312"/>
          <w:b/>
          <w:sz w:val="32"/>
          <w:szCs w:val="32"/>
          <w:lang w:val="zh-CN"/>
        </w:rPr>
        <w:t>（一）</w:t>
      </w:r>
      <w:r>
        <w:rPr>
          <w:rFonts w:eastAsia="楷体_GB2312" w:cs="楷体_GB2312"/>
          <w:b/>
          <w:sz w:val="32"/>
          <w:szCs w:val="32"/>
          <w:lang w:val="zh-CN"/>
        </w:rPr>
        <w:t>机构组成。</w:t>
      </w:r>
    </w:p>
    <w:p w14:paraId="38310785">
      <w:pPr>
        <w:spacing w:line="576" w:lineRule="exact"/>
        <w:ind w:firstLine="640" w:firstLineChars="200"/>
        <w:rPr>
          <w:szCs w:val="32"/>
        </w:rPr>
      </w:pPr>
      <w:r>
        <w:rPr>
          <w:rFonts w:hint="eastAsia" w:ascii="仿宋_GB2312" w:eastAsia="仿宋_GB2312"/>
          <w:sz w:val="32"/>
          <w:lang w:val="zh-CN"/>
        </w:rPr>
        <w:t>红原县</w:t>
      </w:r>
      <w:r>
        <w:rPr>
          <w:rFonts w:hint="eastAsia" w:ascii="仿宋_GB2312" w:eastAsia="仿宋_GB2312"/>
          <w:sz w:val="32"/>
        </w:rPr>
        <w:t>麦洼寺寺庙管理委员会</w:t>
      </w:r>
      <w:r>
        <w:rPr>
          <w:rFonts w:hint="eastAsia" w:ascii="仿宋_GB2312" w:eastAsia="仿宋_GB2312"/>
          <w:sz w:val="32"/>
          <w:lang w:val="zh-CN"/>
        </w:rPr>
        <w:t>是行政单位，执行行政单位会计制度，我</w:t>
      </w:r>
      <w:r>
        <w:rPr>
          <w:rFonts w:hint="eastAsia" w:ascii="仿宋_GB2312" w:eastAsia="仿宋_GB2312"/>
          <w:sz w:val="32"/>
        </w:rPr>
        <w:t>单位</w:t>
      </w:r>
      <w:r>
        <w:rPr>
          <w:rFonts w:hint="eastAsia" w:ascii="仿宋_GB2312" w:eastAsia="仿宋_GB2312"/>
          <w:sz w:val="32"/>
          <w:lang w:val="zh-CN"/>
        </w:rPr>
        <w:t>下属二级决算单位</w:t>
      </w:r>
      <w:r>
        <w:rPr>
          <w:rFonts w:hint="eastAsia" w:ascii="仿宋_GB2312" w:eastAsia="仿宋_GB2312"/>
          <w:sz w:val="32"/>
        </w:rPr>
        <w:t>0</w:t>
      </w:r>
      <w:r>
        <w:rPr>
          <w:rFonts w:hint="eastAsia" w:ascii="仿宋_GB2312" w:eastAsia="仿宋_GB2312"/>
          <w:sz w:val="32"/>
          <w:lang w:val="zh-CN"/>
        </w:rPr>
        <w:t>个，其中行政单位</w:t>
      </w:r>
      <w:r>
        <w:rPr>
          <w:rFonts w:hint="eastAsia" w:ascii="仿宋_GB2312" w:eastAsia="仿宋_GB2312"/>
          <w:sz w:val="32"/>
        </w:rPr>
        <w:t>0</w:t>
      </w:r>
      <w:r>
        <w:rPr>
          <w:rFonts w:hint="eastAsia" w:ascii="仿宋_GB2312" w:eastAsia="仿宋_GB2312"/>
          <w:sz w:val="32"/>
          <w:lang w:val="zh-CN"/>
        </w:rPr>
        <w:t>个，参照公务员法管理的事业单位</w:t>
      </w:r>
      <w:r>
        <w:rPr>
          <w:rFonts w:hint="eastAsia" w:ascii="仿宋_GB2312" w:eastAsia="仿宋_GB2312"/>
          <w:sz w:val="32"/>
        </w:rPr>
        <w:t>0</w:t>
      </w:r>
      <w:r>
        <w:rPr>
          <w:rFonts w:hint="eastAsia" w:ascii="仿宋_GB2312" w:eastAsia="仿宋_GB2312"/>
          <w:sz w:val="32"/>
          <w:lang w:val="zh-CN"/>
        </w:rPr>
        <w:t>个，其他事业单位0个，</w:t>
      </w:r>
      <w:r>
        <w:rPr>
          <w:rFonts w:ascii="仿宋_GB2312" w:eastAsia="仿宋_GB2312"/>
          <w:sz w:val="32"/>
          <w:lang w:val="zh-CN"/>
        </w:rPr>
        <w:t>是独立核算的机构</w:t>
      </w:r>
      <w:r>
        <w:rPr>
          <w:rFonts w:eastAsia="仿宋_GB2312" w:cs="仿宋_GB2312"/>
          <w:sz w:val="32"/>
          <w:szCs w:val="32"/>
        </w:rPr>
        <w:t>。</w:t>
      </w:r>
    </w:p>
    <w:p w14:paraId="42690419">
      <w:pPr>
        <w:pStyle w:val="15"/>
        <w:widowControl/>
        <w:numPr>
          <w:ilvl w:val="0"/>
          <w:numId w:val="3"/>
        </w:numPr>
        <w:shd w:val="clear" w:color="auto" w:fill="FFFFFF"/>
        <w:spacing w:before="0" w:beforeAutospacing="0" w:after="0" w:afterAutospacing="0" w:line="576" w:lineRule="exact"/>
        <w:ind w:firstLine="643" w:firstLineChars="200"/>
        <w:rPr>
          <w:rFonts w:hint="eastAsia" w:eastAsia="楷体_GB2312" w:cs="楷体_GB2312"/>
          <w:b/>
          <w:sz w:val="32"/>
          <w:szCs w:val="32"/>
          <w:lang w:val="zh-CN"/>
        </w:rPr>
      </w:pPr>
      <w:r>
        <w:rPr>
          <w:rFonts w:eastAsia="楷体_GB2312" w:cs="楷体_GB2312"/>
          <w:b/>
          <w:sz w:val="32"/>
          <w:szCs w:val="32"/>
          <w:lang w:val="zh-CN"/>
        </w:rPr>
        <w:t>机构职能</w:t>
      </w:r>
      <w:r>
        <w:rPr>
          <w:rFonts w:hint="eastAsia" w:eastAsia="楷体_GB2312" w:cs="楷体_GB2312"/>
          <w:b/>
          <w:sz w:val="32"/>
          <w:szCs w:val="32"/>
          <w:lang w:val="zh-CN"/>
        </w:rPr>
        <w:t>。</w:t>
      </w:r>
    </w:p>
    <w:p w14:paraId="55D5058D">
      <w:pPr>
        <w:pStyle w:val="15"/>
        <w:widowControl/>
        <w:numPr>
          <w:numId w:val="0"/>
        </w:numPr>
        <w:shd w:val="clear" w:color="auto" w:fill="FFFFFF"/>
        <w:spacing w:before="0" w:beforeAutospacing="0" w:after="0" w:afterAutospacing="0" w:line="576" w:lineRule="exact"/>
        <w:ind w:firstLine="640" w:firstLineChars="200"/>
        <w:rPr>
          <w:rFonts w:eastAsia="仿宋_GB2312"/>
          <w:kern w:val="2"/>
          <w:sz w:val="32"/>
          <w:szCs w:val="32"/>
        </w:rPr>
      </w:pPr>
      <w:r>
        <w:rPr>
          <w:rFonts w:hint="eastAsia" w:eastAsia="仿宋_GB2312"/>
          <w:kern w:val="2"/>
          <w:sz w:val="32"/>
          <w:szCs w:val="32"/>
        </w:rPr>
        <w:t>我管委会为县政府派出机构，受县政府委托，履行相应宗教事务管理执法权，业务上接收统战和宗教工作部门的指导和监督。</w:t>
      </w:r>
    </w:p>
    <w:p w14:paraId="27B21DFD">
      <w:pPr>
        <w:pStyle w:val="15"/>
        <w:widowControl/>
        <w:shd w:val="clear" w:color="auto" w:fill="FFFFFF"/>
        <w:spacing w:before="0" w:beforeAutospacing="0" w:after="0" w:afterAutospacing="0" w:line="576" w:lineRule="exact"/>
        <w:ind w:firstLine="640" w:firstLineChars="200"/>
        <w:rPr>
          <w:rFonts w:eastAsia="仿宋_GB2312"/>
          <w:kern w:val="2"/>
          <w:sz w:val="32"/>
          <w:szCs w:val="32"/>
        </w:rPr>
      </w:pPr>
      <w:r>
        <w:rPr>
          <w:rFonts w:hint="eastAsia" w:eastAsia="仿宋_GB2312"/>
          <w:kern w:val="2"/>
          <w:sz w:val="32"/>
          <w:szCs w:val="32"/>
        </w:rPr>
        <w:t>依法管理宗教事务，加强寺庙管理，加强僧尼管理，加强宗教活动管理。</w:t>
      </w:r>
    </w:p>
    <w:p w14:paraId="20F32F36">
      <w:pPr>
        <w:pStyle w:val="15"/>
        <w:widowControl/>
        <w:shd w:val="clear" w:color="auto" w:fill="FFFFFF"/>
        <w:spacing w:before="0" w:beforeAutospacing="0" w:after="0" w:afterAutospacing="0" w:line="576" w:lineRule="exact"/>
        <w:ind w:firstLine="640" w:firstLineChars="200"/>
        <w:rPr>
          <w:rFonts w:eastAsia="仿宋_GB2312"/>
          <w:kern w:val="2"/>
          <w:sz w:val="32"/>
          <w:szCs w:val="32"/>
        </w:rPr>
      </w:pPr>
      <w:r>
        <w:rPr>
          <w:rFonts w:hint="eastAsia" w:eastAsia="仿宋_GB2312"/>
          <w:kern w:val="2"/>
          <w:sz w:val="32"/>
          <w:szCs w:val="32"/>
        </w:rPr>
        <w:t>教育引导，以增强僧尼法制意识、公民意识、政府议事、祖国意识为目标，坚持不懈加强对僧尼的教育引导。</w:t>
      </w:r>
    </w:p>
    <w:p w14:paraId="3DEAFD93">
      <w:pPr>
        <w:widowControl/>
        <w:adjustRightInd w:val="0"/>
        <w:snapToGrid w:val="0"/>
        <w:spacing w:line="578" w:lineRule="exact"/>
        <w:ind w:firstLine="640" w:firstLineChars="200"/>
        <w:contextualSpacing/>
        <w:jc w:val="left"/>
        <w:rPr>
          <w:rFonts w:eastAsia="楷体_GB2312"/>
          <w:b/>
          <w:bCs/>
          <w:color w:val="000000"/>
          <w:kern w:val="0"/>
          <w:szCs w:val="32"/>
          <w:shd w:val="clear" w:color="auto" w:fill="FFFFFF"/>
          <w:lang w:val="zh-CN"/>
        </w:rPr>
      </w:pPr>
      <w:r>
        <w:rPr>
          <w:rFonts w:hint="eastAsia" w:eastAsia="仿宋_GB2312"/>
          <w:sz w:val="32"/>
          <w:szCs w:val="32"/>
        </w:rPr>
        <w:t>公共服务，充分保障依法打击寺庙和持证僧尼的普惠性待遇，做到“五通”、“三有”、“三覆盖”。</w:t>
      </w:r>
    </w:p>
    <w:p w14:paraId="6ED1C067">
      <w:pPr>
        <w:numPr>
          <w:ilvl w:val="0"/>
          <w:numId w:val="3"/>
        </w:numPr>
        <w:ind w:left="0" w:leftChars="0" w:firstLine="643" w:firstLineChars="200"/>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人员概况</w:t>
      </w:r>
      <w:r>
        <w:rPr>
          <w:rFonts w:hint="eastAsia" w:eastAsia="楷体_GB2312"/>
          <w:b/>
          <w:bCs/>
          <w:color w:val="000000"/>
          <w:kern w:val="0"/>
          <w:sz w:val="32"/>
          <w:szCs w:val="32"/>
          <w:shd w:val="clear" w:color="auto" w:fill="FFFFFF"/>
          <w:lang w:val="zh-CN"/>
        </w:rPr>
        <w:t>。</w:t>
      </w:r>
    </w:p>
    <w:p w14:paraId="47D0436A">
      <w:pPr>
        <w:numPr>
          <w:numId w:val="0"/>
        </w:numPr>
        <w:ind w:firstLine="640" w:firstLineChars="200"/>
        <w:rPr>
          <w:szCs w:val="32"/>
        </w:rPr>
      </w:pPr>
      <w:r>
        <w:rPr>
          <w:rFonts w:eastAsia="仿宋_GB2312"/>
          <w:sz w:val="32"/>
          <w:szCs w:val="32"/>
        </w:rPr>
        <w:t>截至202</w:t>
      </w:r>
      <w:r>
        <w:rPr>
          <w:rFonts w:hint="eastAsia" w:eastAsia="仿宋_GB2312"/>
          <w:sz w:val="32"/>
          <w:szCs w:val="32"/>
        </w:rPr>
        <w:t>4</w:t>
      </w:r>
      <w:r>
        <w:rPr>
          <w:rFonts w:eastAsia="仿宋_GB2312"/>
          <w:sz w:val="32"/>
          <w:szCs w:val="32"/>
        </w:rPr>
        <w:t>年末，</w:t>
      </w:r>
      <w:r>
        <w:rPr>
          <w:rFonts w:hint="eastAsia" w:eastAsia="仿宋_GB2312"/>
          <w:sz w:val="32"/>
          <w:szCs w:val="32"/>
          <w:lang w:val="zh-CN"/>
        </w:rPr>
        <w:t>我</w:t>
      </w:r>
      <w:r>
        <w:rPr>
          <w:rFonts w:hint="eastAsia" w:eastAsia="仿宋_GB2312"/>
          <w:sz w:val="32"/>
          <w:szCs w:val="32"/>
        </w:rPr>
        <w:t>单位</w:t>
      </w:r>
      <w:r>
        <w:rPr>
          <w:rFonts w:hint="eastAsia" w:eastAsia="仿宋_GB2312"/>
          <w:sz w:val="32"/>
          <w:szCs w:val="32"/>
          <w:lang w:val="zh-CN"/>
        </w:rPr>
        <w:t>人事核定行政编制</w:t>
      </w:r>
      <w:r>
        <w:rPr>
          <w:rFonts w:hint="eastAsia" w:eastAsia="仿宋_GB2312"/>
          <w:sz w:val="32"/>
          <w:szCs w:val="32"/>
        </w:rPr>
        <w:t>10</w:t>
      </w:r>
      <w:r>
        <w:rPr>
          <w:rFonts w:hint="eastAsia" w:eastAsia="仿宋_GB2312"/>
          <w:sz w:val="32"/>
          <w:szCs w:val="32"/>
          <w:lang w:val="zh-CN"/>
        </w:rPr>
        <w:t>人，其中：行政工勤编制</w:t>
      </w:r>
      <w:r>
        <w:rPr>
          <w:rFonts w:hint="eastAsia" w:eastAsia="仿宋_GB2312"/>
          <w:sz w:val="32"/>
          <w:szCs w:val="32"/>
        </w:rPr>
        <w:t>0</w:t>
      </w:r>
      <w:r>
        <w:rPr>
          <w:rFonts w:hint="eastAsia" w:eastAsia="仿宋_GB2312"/>
          <w:sz w:val="32"/>
          <w:szCs w:val="32"/>
          <w:lang w:val="zh-CN"/>
        </w:rPr>
        <w:t>人。是独立核算的机构，是独立编报预算的单位。20</w:t>
      </w:r>
      <w:r>
        <w:rPr>
          <w:rFonts w:hint="eastAsia" w:eastAsia="仿宋_GB2312"/>
          <w:sz w:val="32"/>
          <w:szCs w:val="32"/>
        </w:rPr>
        <w:t>23</w:t>
      </w:r>
      <w:r>
        <w:rPr>
          <w:rFonts w:hint="eastAsia" w:eastAsia="仿宋_GB2312"/>
          <w:sz w:val="32"/>
          <w:szCs w:val="32"/>
          <w:lang w:val="zh-CN"/>
        </w:rPr>
        <w:t>年年末在职行政人数</w:t>
      </w:r>
      <w:r>
        <w:rPr>
          <w:rFonts w:hint="eastAsia" w:eastAsia="仿宋_GB2312"/>
          <w:sz w:val="32"/>
          <w:szCs w:val="32"/>
        </w:rPr>
        <w:t>10</w:t>
      </w:r>
      <w:r>
        <w:rPr>
          <w:rFonts w:hint="eastAsia" w:eastAsia="仿宋_GB2312"/>
          <w:sz w:val="32"/>
          <w:szCs w:val="32"/>
          <w:lang w:val="zh-CN"/>
        </w:rPr>
        <w:t>人，其中：行政工勤在职人数</w:t>
      </w:r>
      <w:r>
        <w:rPr>
          <w:rFonts w:hint="eastAsia" w:eastAsia="仿宋_GB2312"/>
          <w:sz w:val="32"/>
          <w:szCs w:val="32"/>
        </w:rPr>
        <w:t>0</w:t>
      </w:r>
      <w:r>
        <w:rPr>
          <w:rFonts w:hint="eastAsia" w:eastAsia="仿宋_GB2312"/>
          <w:sz w:val="32"/>
          <w:szCs w:val="32"/>
          <w:lang w:val="zh-CN"/>
        </w:rPr>
        <w:t>人。事业编制人数</w:t>
      </w:r>
      <w:r>
        <w:rPr>
          <w:rFonts w:hint="eastAsia" w:eastAsia="仿宋_GB2312"/>
          <w:sz w:val="32"/>
          <w:szCs w:val="32"/>
        </w:rPr>
        <w:t>0人，实有人数10人。</w:t>
      </w:r>
    </w:p>
    <w:p w14:paraId="574D1295">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14:paraId="02283775">
      <w:pPr>
        <w:ind w:firstLine="643" w:firstLineChars="200"/>
        <w:rPr>
          <w:rFonts w:ascii="仿宋_GB2312" w:eastAsia="仿宋_GB2312"/>
          <w:sz w:val="32"/>
          <w:szCs w:val="32"/>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r>
        <w:rPr>
          <w:rFonts w:hint="eastAsia" w:eastAsia="仿宋_GB2312" w:cs="仿宋_GB2312"/>
          <w:sz w:val="32"/>
          <w:szCs w:val="32"/>
          <w:lang w:val="zh-CN"/>
        </w:rPr>
        <w:t>本单位202</w:t>
      </w:r>
      <w:r>
        <w:rPr>
          <w:rFonts w:hint="eastAsia" w:eastAsia="仿宋_GB2312" w:cs="仿宋_GB2312"/>
          <w:sz w:val="32"/>
          <w:szCs w:val="32"/>
          <w:lang w:val="en-US" w:eastAsia="zh-CN"/>
        </w:rPr>
        <w:t>4</w:t>
      </w:r>
      <w:r>
        <w:rPr>
          <w:rFonts w:hint="eastAsia" w:eastAsia="仿宋_GB2312" w:cs="仿宋_GB2312"/>
          <w:sz w:val="32"/>
          <w:szCs w:val="32"/>
          <w:lang w:val="zh-CN"/>
        </w:rPr>
        <w:t>年收入全年预算数为362.52万元，收入决算数为362.52万元，预算完成度为100%。202</w:t>
      </w:r>
      <w:r>
        <w:rPr>
          <w:rFonts w:hint="eastAsia" w:eastAsia="仿宋_GB2312" w:cs="仿宋_GB2312"/>
          <w:sz w:val="32"/>
          <w:szCs w:val="32"/>
          <w:lang w:val="en-US" w:eastAsia="zh-CN"/>
        </w:rPr>
        <w:t>4</w:t>
      </w:r>
      <w:r>
        <w:rPr>
          <w:rFonts w:hint="eastAsia" w:eastAsia="仿宋_GB2312" w:cs="仿宋_GB2312"/>
          <w:sz w:val="32"/>
          <w:szCs w:val="32"/>
          <w:lang w:val="zh-CN"/>
        </w:rPr>
        <w:t>年总收入362.52万元，其中：财政拨款收入362.52万元，占100%。</w:t>
      </w:r>
    </w:p>
    <w:p w14:paraId="39851B6C">
      <w:pPr>
        <w:spacing w:line="600" w:lineRule="exact"/>
        <w:ind w:firstLine="640"/>
        <w:rPr>
          <w:rFonts w:ascii="仿宋_GB2312" w:hAnsi="仿宋" w:eastAsia="仿宋_GB2312"/>
          <w:sz w:val="32"/>
          <w:szCs w:val="32"/>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r>
        <w:rPr>
          <w:rFonts w:hint="eastAsia" w:eastAsia="仿宋_GB2312" w:cs="仿宋_GB2312"/>
          <w:sz w:val="32"/>
          <w:szCs w:val="32"/>
          <w:lang w:val="zh-CN"/>
        </w:rPr>
        <w:t>本单位202</w:t>
      </w:r>
      <w:r>
        <w:rPr>
          <w:rFonts w:hint="eastAsia" w:eastAsia="仿宋_GB2312" w:cs="仿宋_GB2312"/>
          <w:sz w:val="32"/>
          <w:szCs w:val="32"/>
          <w:lang w:val="en-US" w:eastAsia="zh-CN"/>
        </w:rPr>
        <w:t>4</w:t>
      </w:r>
      <w:r>
        <w:rPr>
          <w:rFonts w:hint="eastAsia" w:eastAsia="仿宋_GB2312" w:cs="仿宋_GB2312"/>
          <w:sz w:val="32"/>
          <w:szCs w:val="32"/>
          <w:lang w:val="zh-CN"/>
        </w:rPr>
        <w:t>年支出全年预算数为362.52万元，支出决算数为362.52万元，预算完成度为100%。202</w:t>
      </w:r>
      <w:r>
        <w:rPr>
          <w:rFonts w:hint="eastAsia" w:eastAsia="仿宋_GB2312" w:cs="仿宋_GB2312"/>
          <w:sz w:val="32"/>
          <w:szCs w:val="32"/>
          <w:lang w:val="en-US" w:eastAsia="zh-CN"/>
        </w:rPr>
        <w:t>4</w:t>
      </w:r>
      <w:r>
        <w:rPr>
          <w:rFonts w:hint="eastAsia" w:eastAsia="仿宋_GB2312" w:cs="仿宋_GB2312"/>
          <w:sz w:val="32"/>
          <w:szCs w:val="32"/>
          <w:lang w:val="zh-CN"/>
        </w:rPr>
        <w:t>年支出合计362.52万元，其中：一般公共服务支出</w:t>
      </w:r>
      <w:r>
        <w:rPr>
          <w:rFonts w:hint="eastAsia" w:eastAsia="仿宋_GB2312" w:cs="仿宋_GB2312"/>
          <w:sz w:val="32"/>
          <w:szCs w:val="32"/>
          <w:lang w:val="en-US" w:eastAsia="zh-CN"/>
        </w:rPr>
        <w:t>286.23</w:t>
      </w:r>
      <w:r>
        <w:rPr>
          <w:rFonts w:hint="eastAsia" w:eastAsia="仿宋_GB2312" w:cs="仿宋_GB2312"/>
          <w:sz w:val="32"/>
          <w:szCs w:val="32"/>
          <w:lang w:val="zh-CN"/>
        </w:rPr>
        <w:t>万元，占</w:t>
      </w:r>
      <w:r>
        <w:rPr>
          <w:rFonts w:hint="eastAsia" w:eastAsia="仿宋_GB2312" w:cs="仿宋_GB2312"/>
          <w:sz w:val="32"/>
          <w:szCs w:val="32"/>
          <w:lang w:val="en-US" w:eastAsia="zh-CN"/>
        </w:rPr>
        <w:t>78.96</w:t>
      </w:r>
      <w:r>
        <w:rPr>
          <w:rFonts w:hint="eastAsia" w:eastAsia="仿宋_GB2312" w:cs="仿宋_GB2312"/>
          <w:sz w:val="32"/>
          <w:szCs w:val="32"/>
          <w:lang w:val="zh-CN"/>
        </w:rPr>
        <w:t>%；社会保障和就业支出</w:t>
      </w:r>
      <w:r>
        <w:rPr>
          <w:rFonts w:hint="eastAsia" w:eastAsia="仿宋_GB2312" w:cs="仿宋_GB2312"/>
          <w:sz w:val="32"/>
          <w:szCs w:val="32"/>
          <w:lang w:val="en-US" w:eastAsia="zh-CN"/>
        </w:rPr>
        <w:t>39.03</w:t>
      </w:r>
      <w:r>
        <w:rPr>
          <w:rFonts w:hint="eastAsia" w:eastAsia="仿宋_GB2312" w:cs="仿宋_GB2312"/>
          <w:sz w:val="32"/>
          <w:szCs w:val="32"/>
          <w:lang w:val="zh-CN"/>
        </w:rPr>
        <w:t>万元，占</w:t>
      </w:r>
      <w:r>
        <w:rPr>
          <w:rFonts w:hint="eastAsia" w:eastAsia="仿宋_GB2312" w:cs="仿宋_GB2312"/>
          <w:sz w:val="32"/>
          <w:szCs w:val="32"/>
          <w:lang w:val="en-US" w:eastAsia="zh-CN"/>
        </w:rPr>
        <w:t>10.77</w:t>
      </w:r>
      <w:r>
        <w:rPr>
          <w:rFonts w:hint="eastAsia" w:eastAsia="仿宋_GB2312" w:cs="仿宋_GB2312"/>
          <w:sz w:val="32"/>
          <w:szCs w:val="32"/>
          <w:lang w:val="zh-CN"/>
        </w:rPr>
        <w:t>%；卫生健康支出</w:t>
      </w:r>
      <w:r>
        <w:rPr>
          <w:rFonts w:hint="eastAsia" w:eastAsia="仿宋_GB2312" w:cs="仿宋_GB2312"/>
          <w:sz w:val="32"/>
          <w:szCs w:val="32"/>
          <w:lang w:val="en-US" w:eastAsia="zh-CN"/>
        </w:rPr>
        <w:t>14.61</w:t>
      </w:r>
      <w:r>
        <w:rPr>
          <w:rFonts w:hint="eastAsia" w:eastAsia="仿宋_GB2312" w:cs="仿宋_GB2312"/>
          <w:sz w:val="32"/>
          <w:szCs w:val="32"/>
          <w:lang w:val="zh-CN"/>
        </w:rPr>
        <w:t>万元，占</w:t>
      </w:r>
      <w:r>
        <w:rPr>
          <w:rFonts w:hint="eastAsia" w:eastAsia="仿宋_GB2312" w:cs="仿宋_GB2312"/>
          <w:sz w:val="32"/>
          <w:szCs w:val="32"/>
          <w:lang w:val="en-US" w:eastAsia="zh-CN"/>
        </w:rPr>
        <w:t>4.03</w:t>
      </w:r>
      <w:r>
        <w:rPr>
          <w:rFonts w:hint="eastAsia" w:eastAsia="仿宋_GB2312" w:cs="仿宋_GB2312"/>
          <w:sz w:val="32"/>
          <w:szCs w:val="32"/>
          <w:lang w:val="zh-CN"/>
        </w:rPr>
        <w:t>%；住房保障支出</w:t>
      </w:r>
      <w:r>
        <w:rPr>
          <w:rFonts w:hint="eastAsia" w:eastAsia="仿宋_GB2312" w:cs="仿宋_GB2312"/>
          <w:sz w:val="32"/>
          <w:szCs w:val="32"/>
          <w:lang w:val="en-US" w:eastAsia="zh-CN"/>
        </w:rPr>
        <w:t>22.66</w:t>
      </w:r>
      <w:r>
        <w:rPr>
          <w:rFonts w:hint="eastAsia" w:eastAsia="仿宋_GB2312" w:cs="仿宋_GB2312"/>
          <w:sz w:val="32"/>
          <w:szCs w:val="32"/>
          <w:lang w:val="zh-CN"/>
        </w:rPr>
        <w:t>万元，占</w:t>
      </w:r>
      <w:r>
        <w:rPr>
          <w:rFonts w:hint="eastAsia" w:eastAsia="仿宋_GB2312" w:cs="仿宋_GB2312"/>
          <w:sz w:val="32"/>
          <w:szCs w:val="32"/>
          <w:lang w:val="en-US" w:eastAsia="zh-CN"/>
        </w:rPr>
        <w:t>6.25</w:t>
      </w:r>
      <w:r>
        <w:rPr>
          <w:rFonts w:hint="eastAsia" w:eastAsia="仿宋_GB2312" w:cs="仿宋_GB2312"/>
          <w:sz w:val="32"/>
          <w:szCs w:val="32"/>
          <w:lang w:val="zh-CN"/>
        </w:rPr>
        <w:t>%。</w:t>
      </w:r>
    </w:p>
    <w:p w14:paraId="52EFA347">
      <w:pPr>
        <w:widowControl/>
        <w:adjustRightInd w:val="0"/>
        <w:snapToGrid w:val="0"/>
        <w:spacing w:line="576" w:lineRule="exact"/>
        <w:ind w:firstLine="643" w:firstLineChars="200"/>
        <w:jc w:val="left"/>
        <w:rPr>
          <w:rFonts w:eastAsia="仿宋_GB2312"/>
          <w:color w:val="000000"/>
          <w:kern w:val="0"/>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）结余分配和结转结余情况</w:t>
      </w:r>
      <w:r>
        <w:rPr>
          <w:rFonts w:hint="eastAsia" w:eastAsia="楷体_GB2312"/>
          <w:b/>
          <w:bCs/>
          <w:color w:val="000000"/>
          <w:kern w:val="0"/>
          <w:sz w:val="32"/>
          <w:szCs w:val="32"/>
          <w:shd w:val="clear" w:color="auto" w:fill="FFFFFF"/>
          <w:lang w:val="zh-CN"/>
        </w:rPr>
        <w:t>。</w:t>
      </w:r>
      <w:r>
        <w:rPr>
          <w:rFonts w:hint="eastAsia" w:eastAsia="仿宋_GB2312"/>
          <w:sz w:val="32"/>
        </w:rPr>
        <w:t>红原县麦洼寺寺庙管理委员会202</w:t>
      </w:r>
      <w:r>
        <w:rPr>
          <w:rFonts w:hint="eastAsia" w:eastAsia="仿宋_GB2312"/>
          <w:sz w:val="32"/>
          <w:lang w:val="en-US" w:eastAsia="zh-CN"/>
        </w:rPr>
        <w:t>4</w:t>
      </w:r>
      <w:r>
        <w:rPr>
          <w:rFonts w:hint="eastAsia" w:eastAsia="仿宋_GB2312"/>
          <w:sz w:val="32"/>
        </w:rPr>
        <w:t>年决算报表</w:t>
      </w:r>
      <w:r>
        <w:rPr>
          <w:rFonts w:eastAsia="仿宋_GB2312"/>
          <w:sz w:val="32"/>
        </w:rPr>
        <w:t>结转结余</w:t>
      </w:r>
      <w:r>
        <w:rPr>
          <w:rFonts w:hint="eastAsia" w:eastAsia="仿宋_GB2312"/>
          <w:sz w:val="32"/>
        </w:rPr>
        <w:t>为0元</w:t>
      </w:r>
      <w:r>
        <w:rPr>
          <w:rFonts w:eastAsia="仿宋_GB2312"/>
          <w:sz w:val="32"/>
        </w:rPr>
        <w:t>。</w:t>
      </w:r>
    </w:p>
    <w:p w14:paraId="2EDF4C71">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14:paraId="3E545596">
      <w:pPr>
        <w:adjustRightInd w:val="0"/>
        <w:snapToGrid w:val="0"/>
        <w:spacing w:line="578" w:lineRule="exact"/>
        <w:ind w:firstLine="643" w:firstLineChars="200"/>
        <w:contextualSpacing/>
        <w:jc w:val="left"/>
        <w:rPr>
          <w:rFonts w:eastAsia="仿宋_GB2312" w:cs="仿宋_GB2312"/>
          <w:sz w:val="32"/>
          <w:szCs w:val="32"/>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r>
        <w:rPr>
          <w:rFonts w:eastAsia="仿宋_GB2312" w:cs="仿宋_GB2312"/>
          <w:sz w:val="32"/>
          <w:szCs w:val="32"/>
          <w:lang w:val="zh-CN"/>
        </w:rPr>
        <w:t>根据部门预算绩效评价指标体系</w:t>
      </w:r>
      <w:r>
        <w:rPr>
          <w:rFonts w:hint="eastAsia" w:eastAsia="仿宋_GB2312" w:cs="仿宋_GB2312"/>
          <w:sz w:val="32"/>
          <w:szCs w:val="32"/>
          <w:lang w:val="zh-CN"/>
        </w:rPr>
        <w:t>“</w:t>
      </w:r>
      <w:r>
        <w:rPr>
          <w:rFonts w:eastAsia="仿宋_GB2312" w:cs="仿宋_GB2312"/>
          <w:sz w:val="32"/>
          <w:szCs w:val="32"/>
          <w:lang w:val="zh-CN"/>
        </w:rPr>
        <w:t>总体绩效</w:t>
      </w:r>
      <w:r>
        <w:rPr>
          <w:rFonts w:hint="eastAsia" w:eastAsia="仿宋_GB2312" w:cs="仿宋_GB2312"/>
          <w:sz w:val="32"/>
          <w:szCs w:val="32"/>
          <w:lang w:val="zh-CN"/>
        </w:rPr>
        <w:t>”</w:t>
      </w:r>
      <w:r>
        <w:rPr>
          <w:rFonts w:eastAsia="仿宋_GB2312" w:cs="仿宋_GB2312"/>
          <w:sz w:val="32"/>
          <w:szCs w:val="32"/>
          <w:lang w:val="zh-CN"/>
        </w:rPr>
        <w:t>涉及</w:t>
      </w:r>
      <w:r>
        <w:rPr>
          <w:rFonts w:hint="eastAsia" w:eastAsia="仿宋_GB2312" w:cs="仿宋_GB2312"/>
          <w:sz w:val="32"/>
          <w:szCs w:val="32"/>
          <w:lang w:val="zh-CN"/>
        </w:rPr>
        <w:t>二、三级</w:t>
      </w:r>
      <w:r>
        <w:rPr>
          <w:rFonts w:eastAsia="仿宋_GB2312" w:cs="仿宋_GB2312"/>
          <w:sz w:val="32"/>
          <w:szCs w:val="32"/>
          <w:lang w:val="zh-CN"/>
        </w:rPr>
        <w:t>指标进行</w:t>
      </w:r>
      <w:r>
        <w:rPr>
          <w:rFonts w:hint="eastAsia" w:eastAsia="仿宋_GB2312" w:cs="仿宋_GB2312"/>
          <w:sz w:val="32"/>
          <w:szCs w:val="32"/>
          <w:lang w:val="zh-CN"/>
        </w:rPr>
        <w:t>逐项</w:t>
      </w:r>
      <w:r>
        <w:rPr>
          <w:rFonts w:eastAsia="仿宋_GB2312" w:cs="仿宋_GB2312"/>
          <w:sz w:val="32"/>
          <w:szCs w:val="32"/>
          <w:lang w:val="zh-CN"/>
        </w:rPr>
        <w:t>绩效分析</w:t>
      </w:r>
      <w:r>
        <w:rPr>
          <w:rFonts w:hint="eastAsia" w:eastAsia="仿宋_GB2312" w:cs="仿宋_GB2312"/>
          <w:sz w:val="32"/>
          <w:szCs w:val="32"/>
          <w:lang w:val="zh-CN"/>
        </w:rPr>
        <w:t>并评分</w:t>
      </w:r>
      <w:r>
        <w:rPr>
          <w:rFonts w:eastAsia="仿宋_GB2312" w:cs="仿宋_GB2312"/>
          <w:sz w:val="32"/>
          <w:szCs w:val="32"/>
          <w:lang w:val="zh-CN"/>
        </w:rPr>
        <w:t>，依次包括履职效能、预算管理、财务管理、资产管理、采购管理等情况。</w:t>
      </w:r>
    </w:p>
    <w:p w14:paraId="5A627D17">
      <w:pPr>
        <w:spacing w:line="578" w:lineRule="exact"/>
        <w:ind w:firstLine="640" w:firstLineChars="200"/>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1.</w:t>
      </w:r>
      <w:r>
        <w:rPr>
          <w:rFonts w:hint="eastAsia" w:ascii="楷体_GB2312" w:hAnsi="楷体_GB2312" w:eastAsia="楷体_GB2312" w:cs="楷体_GB2312"/>
          <w:color w:val="000000"/>
          <w:kern w:val="0"/>
          <w:sz w:val="32"/>
          <w:szCs w:val="32"/>
          <w:shd w:val="clear" w:color="auto" w:fill="FFFFFF"/>
          <w:lang w:val="zh-CN"/>
        </w:rPr>
        <w:t>履职</w:t>
      </w:r>
      <w:r>
        <w:rPr>
          <w:rFonts w:hint="eastAsia" w:ascii="楷体_GB2312" w:hAnsi="楷体_GB2312" w:eastAsia="楷体_GB2312" w:cs="楷体_GB2312"/>
          <w:color w:val="000000"/>
          <w:kern w:val="0"/>
          <w:sz w:val="32"/>
          <w:szCs w:val="32"/>
          <w:shd w:val="clear" w:color="auto" w:fill="FFFFFF"/>
        </w:rPr>
        <w:t>效能</w:t>
      </w:r>
      <w:r>
        <w:rPr>
          <w:rFonts w:hint="eastAsia" w:ascii="楷体_GB2312" w:hAnsi="楷体_GB2312" w:eastAsia="楷体_GB2312" w:cs="楷体_GB2312"/>
          <w:color w:val="000000"/>
          <w:kern w:val="0"/>
          <w:sz w:val="32"/>
          <w:szCs w:val="32"/>
          <w:shd w:val="clear" w:color="auto" w:fill="FFFFFF"/>
          <w:lang w:val="zh-CN"/>
        </w:rPr>
        <w:t>。</w:t>
      </w:r>
    </w:p>
    <w:p w14:paraId="68137D6C">
      <w:pPr>
        <w:adjustRightInd w:val="0"/>
        <w:snapToGrid w:val="0"/>
        <w:spacing w:line="578" w:lineRule="exact"/>
        <w:ind w:firstLine="640" w:firstLineChars="200"/>
        <w:jc w:val="left"/>
        <w:rPr>
          <w:rFonts w:eastAsia="仿宋_GB2312"/>
          <w:sz w:val="32"/>
          <w:szCs w:val="32"/>
        </w:rPr>
      </w:pPr>
      <w:r>
        <w:rPr>
          <w:rFonts w:hint="eastAsia" w:eastAsia="仿宋_GB2312"/>
          <w:sz w:val="32"/>
          <w:szCs w:val="32"/>
        </w:rPr>
        <w:t>产出指标：数量指标，宣传资料发放数量，≥1000册，全年完成值应保尽保。</w:t>
      </w:r>
    </w:p>
    <w:p w14:paraId="1B898424">
      <w:pPr>
        <w:adjustRightInd w:val="0"/>
        <w:snapToGrid w:val="0"/>
        <w:spacing w:line="578" w:lineRule="exact"/>
        <w:ind w:firstLine="640" w:firstLineChars="200"/>
        <w:jc w:val="left"/>
        <w:rPr>
          <w:rFonts w:eastAsia="仿宋_GB2312"/>
          <w:sz w:val="32"/>
          <w:szCs w:val="32"/>
        </w:rPr>
      </w:pPr>
      <w:r>
        <w:rPr>
          <w:rFonts w:hint="eastAsia" w:eastAsia="仿宋_GB2312"/>
          <w:sz w:val="32"/>
          <w:szCs w:val="32"/>
        </w:rPr>
        <w:t>效益指标：社会效益指标，推进寺庙管理法制化，定性指标，有效推进。</w:t>
      </w:r>
    </w:p>
    <w:p w14:paraId="778A74C1">
      <w:pPr>
        <w:adjustRightInd w:val="0"/>
        <w:snapToGrid w:val="0"/>
        <w:spacing w:line="578" w:lineRule="exact"/>
        <w:ind w:firstLine="640" w:firstLineChars="200"/>
        <w:jc w:val="left"/>
        <w:rPr>
          <w:color w:val="000000"/>
          <w:kern w:val="0"/>
          <w:sz w:val="32"/>
          <w:szCs w:val="32"/>
          <w:shd w:val="clear" w:color="auto" w:fill="FFFFFF"/>
          <w:lang w:val="zh-CN"/>
        </w:rPr>
      </w:pPr>
      <w:r>
        <w:rPr>
          <w:rFonts w:hint="eastAsia" w:eastAsia="仿宋_GB2312"/>
          <w:sz w:val="32"/>
          <w:szCs w:val="32"/>
        </w:rPr>
        <w:t>满意度指标：服务对象满意度指标，寺庙僧人满意度，≥95%，全年完成值100%。</w:t>
      </w:r>
    </w:p>
    <w:p w14:paraId="3654245F">
      <w:pPr>
        <w:spacing w:line="578" w:lineRule="exact"/>
        <w:ind w:firstLine="640" w:firstLineChars="200"/>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2.</w:t>
      </w:r>
      <w:r>
        <w:rPr>
          <w:rFonts w:hint="eastAsia" w:ascii="楷体_GB2312" w:hAnsi="楷体_GB2312" w:eastAsia="楷体_GB2312" w:cs="楷体_GB2312"/>
          <w:color w:val="000000"/>
          <w:kern w:val="0"/>
          <w:sz w:val="32"/>
          <w:szCs w:val="32"/>
          <w:shd w:val="clear" w:color="auto" w:fill="FFFFFF"/>
          <w:lang w:val="zh-CN"/>
        </w:rPr>
        <w:t>预算管理。</w:t>
      </w:r>
    </w:p>
    <w:p w14:paraId="6593D374">
      <w:pPr>
        <w:adjustRightInd w:val="0"/>
        <w:snapToGrid w:val="0"/>
        <w:spacing w:line="578" w:lineRule="exact"/>
        <w:ind w:firstLine="640" w:firstLineChars="200"/>
        <w:jc w:val="left"/>
        <w:rPr>
          <w:rFonts w:eastAsia="仿宋_GB2312"/>
          <w:sz w:val="32"/>
          <w:szCs w:val="32"/>
        </w:rPr>
      </w:pPr>
      <w:r>
        <w:rPr>
          <w:rFonts w:hint="eastAsia" w:eastAsia="仿宋_GB2312"/>
          <w:sz w:val="32"/>
          <w:szCs w:val="32"/>
          <w:lang w:val="zh-CN"/>
        </w:rPr>
        <w:t>预算编制质量：实际收入与预算收入无差异，实际支出与预算支出无差异。所有应纳入预算的项目被涵盖</w:t>
      </w:r>
      <w:r>
        <w:rPr>
          <w:rFonts w:hint="eastAsia" w:eastAsia="仿宋_GB2312"/>
          <w:sz w:val="32"/>
          <w:szCs w:val="32"/>
        </w:rPr>
        <w:t>100%，预算分配与单位的年度总体目标相匹配。预算编制符合法律法规和内部政策制度。</w:t>
      </w:r>
    </w:p>
    <w:p w14:paraId="6E1105C5">
      <w:pPr>
        <w:adjustRightInd w:val="0"/>
        <w:snapToGrid w:val="0"/>
        <w:spacing w:line="578" w:lineRule="exact"/>
        <w:ind w:firstLine="640" w:firstLineChars="200"/>
        <w:jc w:val="left"/>
        <w:rPr>
          <w:rFonts w:eastAsia="仿宋_GB2312"/>
          <w:sz w:val="32"/>
          <w:szCs w:val="32"/>
          <w:lang w:val="zh-CN"/>
        </w:rPr>
      </w:pPr>
      <w:r>
        <w:rPr>
          <w:rFonts w:hint="eastAsia" w:eastAsia="仿宋_GB2312"/>
          <w:sz w:val="32"/>
          <w:szCs w:val="32"/>
          <w:lang w:val="zh-CN"/>
        </w:rPr>
        <w:t>单位收入统筹：</w:t>
      </w:r>
      <w:r>
        <w:rPr>
          <w:rFonts w:hint="eastAsia" w:eastAsia="仿宋_GB2312"/>
          <w:sz w:val="32"/>
          <w:szCs w:val="32"/>
        </w:rPr>
        <w:t>本单位2023年收入全年预算数为386.53万元，收入决算数为386.53万元，预算完成度为100%。</w:t>
      </w:r>
      <w:r>
        <w:rPr>
          <w:rFonts w:hint="eastAsia" w:eastAsia="仿宋_GB2312"/>
          <w:sz w:val="32"/>
          <w:szCs w:val="32"/>
          <w:lang w:val="zh-CN"/>
        </w:rPr>
        <w:t>20</w:t>
      </w:r>
      <w:r>
        <w:rPr>
          <w:rFonts w:hint="eastAsia" w:eastAsia="仿宋_GB2312"/>
          <w:sz w:val="32"/>
          <w:szCs w:val="32"/>
        </w:rPr>
        <w:t>23</w:t>
      </w:r>
      <w:r>
        <w:rPr>
          <w:rFonts w:hint="eastAsia" w:eastAsia="仿宋_GB2312"/>
          <w:sz w:val="32"/>
          <w:szCs w:val="32"/>
          <w:lang w:val="zh-CN"/>
        </w:rPr>
        <w:t>年度总收入</w:t>
      </w:r>
      <w:r>
        <w:rPr>
          <w:rFonts w:hint="eastAsia" w:eastAsia="仿宋_GB2312"/>
          <w:sz w:val="32"/>
          <w:szCs w:val="32"/>
        </w:rPr>
        <w:t>386.53</w:t>
      </w:r>
      <w:r>
        <w:rPr>
          <w:rFonts w:hint="eastAsia" w:eastAsia="仿宋_GB2312"/>
          <w:sz w:val="32"/>
          <w:szCs w:val="32"/>
          <w:lang w:val="zh-CN"/>
        </w:rPr>
        <w:t>万元，其中：财政拨款收入</w:t>
      </w:r>
      <w:r>
        <w:rPr>
          <w:rFonts w:hint="eastAsia" w:eastAsia="仿宋_GB2312"/>
          <w:sz w:val="32"/>
          <w:szCs w:val="32"/>
        </w:rPr>
        <w:t>386.53</w:t>
      </w:r>
      <w:r>
        <w:rPr>
          <w:rFonts w:hint="eastAsia" w:eastAsia="仿宋_GB2312"/>
          <w:sz w:val="32"/>
          <w:szCs w:val="32"/>
          <w:lang w:val="zh-CN"/>
        </w:rPr>
        <w:t>万元，占</w:t>
      </w:r>
      <w:r>
        <w:rPr>
          <w:rFonts w:hint="eastAsia" w:eastAsia="仿宋_GB2312"/>
          <w:sz w:val="32"/>
          <w:szCs w:val="32"/>
        </w:rPr>
        <w:t>100</w:t>
      </w:r>
      <w:r>
        <w:rPr>
          <w:rFonts w:hint="eastAsia" w:eastAsia="仿宋_GB2312"/>
          <w:sz w:val="32"/>
          <w:szCs w:val="32"/>
          <w:lang w:val="zh-CN"/>
        </w:rPr>
        <w:t>%；政府性基金预算财政拨款</w:t>
      </w:r>
      <w:r>
        <w:rPr>
          <w:rFonts w:hint="eastAsia" w:eastAsia="仿宋_GB2312"/>
          <w:sz w:val="32"/>
          <w:szCs w:val="32"/>
        </w:rPr>
        <w:t>0</w:t>
      </w:r>
      <w:r>
        <w:rPr>
          <w:rFonts w:hint="eastAsia" w:eastAsia="仿宋_GB2312"/>
          <w:sz w:val="32"/>
          <w:szCs w:val="32"/>
          <w:lang w:val="zh-CN"/>
        </w:rPr>
        <w:t>万元，占</w:t>
      </w:r>
      <w:r>
        <w:rPr>
          <w:rFonts w:hint="eastAsia" w:eastAsia="仿宋_GB2312"/>
          <w:sz w:val="32"/>
          <w:szCs w:val="32"/>
        </w:rPr>
        <w:t>0</w:t>
      </w:r>
      <w:r>
        <w:rPr>
          <w:rFonts w:hint="eastAsia" w:eastAsia="仿宋_GB2312"/>
          <w:sz w:val="32"/>
          <w:szCs w:val="32"/>
          <w:lang w:val="zh-CN"/>
        </w:rPr>
        <w:t>%；其他收入</w:t>
      </w:r>
      <w:r>
        <w:rPr>
          <w:rFonts w:hint="eastAsia" w:eastAsia="仿宋_GB2312"/>
          <w:sz w:val="32"/>
          <w:szCs w:val="32"/>
        </w:rPr>
        <w:t>0</w:t>
      </w:r>
      <w:r>
        <w:rPr>
          <w:rFonts w:hint="eastAsia" w:eastAsia="仿宋_GB2312"/>
          <w:sz w:val="32"/>
          <w:szCs w:val="32"/>
          <w:lang w:val="zh-CN"/>
        </w:rPr>
        <w:t>万元，占</w:t>
      </w:r>
      <w:r>
        <w:rPr>
          <w:rFonts w:hint="eastAsia" w:eastAsia="仿宋_GB2312"/>
          <w:sz w:val="32"/>
          <w:szCs w:val="32"/>
        </w:rPr>
        <w:t>0</w:t>
      </w:r>
      <w:r>
        <w:rPr>
          <w:rFonts w:hint="eastAsia" w:eastAsia="仿宋_GB2312"/>
          <w:sz w:val="32"/>
          <w:szCs w:val="32"/>
          <w:lang w:val="zh-CN"/>
        </w:rPr>
        <w:t>%；上级补助收入0万元，占0%；事业收入0万元，占0%；经营收入0万元，占0%；附属单位上缴收入0万元，占0%；上年项目支出结转和结余</w:t>
      </w:r>
      <w:r>
        <w:rPr>
          <w:rFonts w:hint="eastAsia" w:eastAsia="仿宋_GB2312"/>
          <w:sz w:val="32"/>
          <w:szCs w:val="32"/>
        </w:rPr>
        <w:t>0</w:t>
      </w:r>
      <w:r>
        <w:rPr>
          <w:rFonts w:hint="eastAsia" w:eastAsia="仿宋_GB2312"/>
          <w:sz w:val="32"/>
          <w:szCs w:val="32"/>
          <w:lang w:val="zh-CN"/>
        </w:rPr>
        <w:t>万元，占</w:t>
      </w:r>
      <w:r>
        <w:rPr>
          <w:rFonts w:hint="eastAsia" w:eastAsia="仿宋_GB2312"/>
          <w:sz w:val="32"/>
          <w:szCs w:val="32"/>
        </w:rPr>
        <w:t>0</w:t>
      </w:r>
      <w:r>
        <w:rPr>
          <w:rFonts w:hint="eastAsia" w:eastAsia="仿宋_GB2312"/>
          <w:sz w:val="32"/>
          <w:szCs w:val="32"/>
          <w:lang w:val="zh-CN"/>
        </w:rPr>
        <w:t>%。</w:t>
      </w:r>
    </w:p>
    <w:p w14:paraId="4D976277">
      <w:pPr>
        <w:adjustRightInd w:val="0"/>
        <w:snapToGrid w:val="0"/>
        <w:spacing w:line="578" w:lineRule="exact"/>
        <w:ind w:firstLine="640" w:firstLineChars="200"/>
        <w:jc w:val="left"/>
        <w:rPr>
          <w:rFonts w:eastAsia="仿宋_GB2312"/>
          <w:sz w:val="32"/>
          <w:szCs w:val="32"/>
        </w:rPr>
      </w:pPr>
      <w:r>
        <w:rPr>
          <w:rFonts w:hint="eastAsia" w:eastAsia="仿宋_GB2312"/>
          <w:sz w:val="32"/>
          <w:szCs w:val="32"/>
          <w:lang w:val="zh-CN"/>
        </w:rPr>
        <w:t>支出执行进度：</w:t>
      </w:r>
      <w:r>
        <w:rPr>
          <w:rFonts w:hint="eastAsia" w:eastAsia="仿宋_GB2312"/>
          <w:sz w:val="32"/>
          <w:szCs w:val="32"/>
        </w:rPr>
        <w:t>2023年度支出全年预算数为386.53万元，支出决算数为386.53万元，预算完成度为100%，执行进度100%。</w:t>
      </w:r>
    </w:p>
    <w:p w14:paraId="42A70EC7">
      <w:pPr>
        <w:adjustRightInd w:val="0"/>
        <w:snapToGrid w:val="0"/>
        <w:spacing w:line="578" w:lineRule="exact"/>
        <w:ind w:firstLine="640" w:firstLineChars="200"/>
        <w:jc w:val="left"/>
        <w:rPr>
          <w:rFonts w:eastAsia="仿宋_GB2312"/>
          <w:sz w:val="32"/>
          <w:szCs w:val="32"/>
          <w:lang w:val="zh-CN"/>
        </w:rPr>
      </w:pPr>
      <w:r>
        <w:rPr>
          <w:rFonts w:hint="eastAsia" w:eastAsia="仿宋_GB2312"/>
          <w:sz w:val="32"/>
          <w:szCs w:val="32"/>
          <w:lang w:val="zh-CN"/>
        </w:rPr>
        <w:t>预算年终结余：无。</w:t>
      </w:r>
    </w:p>
    <w:p w14:paraId="5CD0BC36">
      <w:pPr>
        <w:adjustRightInd w:val="0"/>
        <w:snapToGrid w:val="0"/>
        <w:spacing w:line="578" w:lineRule="exact"/>
        <w:ind w:firstLine="640" w:firstLineChars="200"/>
        <w:jc w:val="left"/>
        <w:rPr>
          <w:rFonts w:eastAsia="仿宋_GB2312"/>
          <w:sz w:val="32"/>
          <w:szCs w:val="32"/>
          <w:lang w:val="zh-CN"/>
        </w:rPr>
      </w:pPr>
      <w:r>
        <w:rPr>
          <w:rFonts w:hint="eastAsia" w:ascii="楷体_GB2312" w:hAnsi="楷体_GB2312" w:eastAsia="楷体_GB2312" w:cs="楷体_GB2312"/>
          <w:color w:val="000000"/>
          <w:kern w:val="0"/>
          <w:sz w:val="32"/>
          <w:szCs w:val="32"/>
          <w:shd w:val="clear" w:color="auto" w:fill="FFFFFF"/>
        </w:rPr>
        <w:t>3.</w:t>
      </w:r>
      <w:r>
        <w:rPr>
          <w:rFonts w:hint="eastAsia" w:ascii="楷体_GB2312" w:hAnsi="楷体_GB2312" w:eastAsia="楷体_GB2312" w:cs="楷体_GB2312"/>
          <w:color w:val="000000"/>
          <w:kern w:val="0"/>
          <w:sz w:val="32"/>
          <w:szCs w:val="32"/>
          <w:shd w:val="clear" w:color="auto" w:fill="FFFFFF"/>
          <w:lang w:val="zh-CN"/>
        </w:rPr>
        <w:t>财务管理。</w:t>
      </w:r>
      <w:r>
        <w:rPr>
          <w:rFonts w:hint="eastAsia" w:eastAsia="仿宋_GB2312"/>
          <w:sz w:val="32"/>
          <w:szCs w:val="32"/>
          <w:lang w:val="zh-CN"/>
        </w:rPr>
        <w:t>围绕财务管理制度、财务岗位设置、资金使用规范进行绩效分析。</w:t>
      </w:r>
    </w:p>
    <w:p w14:paraId="63039C80">
      <w:pPr>
        <w:adjustRightInd w:val="0"/>
        <w:snapToGrid w:val="0"/>
        <w:spacing w:line="578"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14:paraId="4AE1F85A">
      <w:pPr>
        <w:adjustRightInd w:val="0"/>
        <w:snapToGrid w:val="0"/>
        <w:spacing w:line="578"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14:paraId="0BBA9530">
      <w:pPr>
        <w:adjustRightInd w:val="0"/>
        <w:snapToGrid w:val="0"/>
        <w:spacing w:line="578"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A</w:t>
      </w:r>
      <w:r>
        <w:rPr>
          <w:rFonts w:hint="eastAsia" w:ascii="仿宋" w:hAnsi="仿宋" w:eastAsia="仿宋" w:cs="仿宋"/>
          <w:color w:val="000000"/>
          <w:kern w:val="0"/>
          <w:sz w:val="32"/>
          <w:szCs w:val="32"/>
          <w:shd w:val="clear" w:color="auto" w:fill="FFFFFF"/>
          <w:lang w:val="zh-CN"/>
        </w:rPr>
        <w:t>、明确了记账人员与审批人员、经办人员的职责权限，使其相互分离、相互制约，以明确责任，防止舞弊，各项业务事项得以有序进行。</w:t>
      </w:r>
    </w:p>
    <w:p w14:paraId="53C42B6B">
      <w:pPr>
        <w:adjustRightInd w:val="0"/>
        <w:snapToGrid w:val="0"/>
        <w:spacing w:line="578"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B</w:t>
      </w:r>
      <w:r>
        <w:rPr>
          <w:rFonts w:hint="eastAsia" w:ascii="仿宋" w:hAnsi="仿宋" w:eastAsia="仿宋" w:cs="仿宋"/>
          <w:color w:val="000000"/>
          <w:kern w:val="0"/>
          <w:sz w:val="32"/>
          <w:szCs w:val="32"/>
          <w:shd w:val="clear" w:color="auto" w:fill="FFFFFF"/>
          <w:lang w:val="zh-CN"/>
        </w:rPr>
        <w:t>、明确了财务收支审批程序和审批人的权限和责任，规范了各项资金的使用，提高了资金使用效益。</w:t>
      </w:r>
    </w:p>
    <w:p w14:paraId="068CD9E7">
      <w:pPr>
        <w:adjustRightInd w:val="0"/>
        <w:snapToGrid w:val="0"/>
        <w:spacing w:line="578"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C</w:t>
      </w:r>
      <w:r>
        <w:rPr>
          <w:rFonts w:hint="eastAsia" w:ascii="仿宋" w:hAnsi="仿宋" w:eastAsia="仿宋" w:cs="仿宋"/>
          <w:color w:val="000000"/>
          <w:kern w:val="0"/>
          <w:sz w:val="32"/>
          <w:szCs w:val="32"/>
          <w:shd w:val="clear" w:color="auto" w:fill="FFFFFF"/>
          <w:lang w:val="zh-CN"/>
        </w:rPr>
        <w:t>、明确经费支出的范围和开支标准，采取各种有效措施控制经费开支，杜绝了浪费现象的发生。</w:t>
      </w:r>
    </w:p>
    <w:p w14:paraId="2DD80673">
      <w:pPr>
        <w:pStyle w:val="2"/>
        <w:ind w:left="420" w:firstLine="0" w:firstLineChars="0"/>
        <w:rPr>
          <w:lang w:val="zh-CN"/>
        </w:rPr>
      </w:pPr>
      <w:r>
        <w:rPr>
          <w:rFonts w:hint="eastAsia" w:ascii="仿宋" w:hAnsi="仿宋" w:eastAsia="仿宋" w:cs="仿宋"/>
          <w:color w:val="000000"/>
          <w:kern w:val="0"/>
          <w:sz w:val="32"/>
          <w:shd w:val="clear" w:color="auto" w:fill="FFFFFF"/>
        </w:rPr>
        <w:t>D</w:t>
      </w:r>
      <w:r>
        <w:rPr>
          <w:rFonts w:hint="eastAsia" w:ascii="仿宋" w:hAnsi="仿宋" w:eastAsia="仿宋" w:cs="仿宋"/>
          <w:color w:val="000000"/>
          <w:kern w:val="0"/>
          <w:sz w:val="32"/>
          <w:shd w:val="clear" w:color="auto" w:fill="FFFFFF"/>
          <w:lang w:val="zh-CN"/>
        </w:rPr>
        <w:t>、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14:paraId="3BFCC8EE">
      <w:pPr>
        <w:adjustRightInd w:val="0"/>
        <w:snapToGrid w:val="0"/>
        <w:spacing w:line="578" w:lineRule="exact"/>
        <w:ind w:firstLine="640" w:firstLineChars="200"/>
        <w:contextualSpacing/>
        <w:jc w:val="left"/>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4.</w:t>
      </w:r>
      <w:r>
        <w:rPr>
          <w:rFonts w:hint="eastAsia" w:ascii="楷体_GB2312" w:hAnsi="楷体_GB2312" w:eastAsia="楷体_GB2312" w:cs="楷体_GB2312"/>
          <w:color w:val="000000"/>
          <w:kern w:val="0"/>
          <w:sz w:val="32"/>
          <w:szCs w:val="32"/>
          <w:shd w:val="clear" w:color="auto" w:fill="FFFFFF"/>
          <w:lang w:val="zh-CN"/>
        </w:rPr>
        <w:t>资产管理。</w:t>
      </w:r>
    </w:p>
    <w:p w14:paraId="153DB28D">
      <w:pPr>
        <w:adjustRightInd w:val="0"/>
        <w:snapToGrid w:val="0"/>
        <w:spacing w:line="578"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人均资产变化率：无变化。</w:t>
      </w:r>
    </w:p>
    <w:p w14:paraId="630882D0">
      <w:pPr>
        <w:adjustRightInd w:val="0"/>
        <w:snapToGrid w:val="0"/>
        <w:spacing w:line="578" w:lineRule="exact"/>
        <w:ind w:firstLine="640" w:firstLineChars="200"/>
        <w:contextualSpacing/>
        <w:jc w:val="left"/>
        <w:rPr>
          <w:rFonts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zh-CN"/>
        </w:rPr>
        <w:t>资产利用率：</w:t>
      </w:r>
      <w:r>
        <w:rPr>
          <w:rFonts w:hint="eastAsia" w:ascii="仿宋" w:hAnsi="仿宋" w:eastAsia="仿宋" w:cs="仿宋"/>
          <w:color w:val="000000"/>
          <w:kern w:val="0"/>
          <w:sz w:val="32"/>
          <w:szCs w:val="32"/>
          <w:shd w:val="clear" w:color="auto" w:fill="FFFFFF"/>
        </w:rPr>
        <w:t>100%。</w:t>
      </w:r>
    </w:p>
    <w:p w14:paraId="55D2FD64">
      <w:pPr>
        <w:adjustRightInd w:val="0"/>
        <w:snapToGrid w:val="0"/>
        <w:spacing w:line="578" w:lineRule="exact"/>
        <w:ind w:firstLine="640" w:firstLineChars="200"/>
        <w:contextualSpacing/>
        <w:jc w:val="left"/>
        <w:rPr>
          <w:rFonts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zh-CN"/>
        </w:rPr>
        <w:t>资产盘活率：</w:t>
      </w:r>
      <w:r>
        <w:rPr>
          <w:rFonts w:hint="eastAsia" w:ascii="仿宋" w:hAnsi="仿宋" w:eastAsia="仿宋" w:cs="仿宋"/>
          <w:color w:val="000000"/>
          <w:kern w:val="0"/>
          <w:sz w:val="32"/>
          <w:szCs w:val="32"/>
          <w:shd w:val="clear" w:color="auto" w:fill="FFFFFF"/>
        </w:rPr>
        <w:t>95%。</w:t>
      </w:r>
    </w:p>
    <w:p w14:paraId="59347B27">
      <w:pPr>
        <w:adjustRightInd w:val="0"/>
        <w:snapToGrid w:val="0"/>
        <w:spacing w:line="578" w:lineRule="exact"/>
        <w:ind w:firstLine="640" w:firstLineChars="200"/>
        <w:contextualSpacing/>
        <w:jc w:val="left"/>
        <w:rPr>
          <w:rFonts w:ascii="楷体_GB2312" w:hAnsi="楷体_GB2312" w:eastAsia="楷体_GB2312" w:cs="楷体_GB2312"/>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14:paraId="67EB7CFA">
      <w:pPr>
        <w:adjustRightInd w:val="0"/>
        <w:snapToGrid w:val="0"/>
        <w:spacing w:line="578" w:lineRule="exact"/>
        <w:ind w:firstLine="640" w:firstLineChars="200"/>
        <w:jc w:val="left"/>
        <w:rPr>
          <w:rFonts w:eastAsia="仿宋_GB2312"/>
          <w:sz w:val="32"/>
          <w:szCs w:val="32"/>
          <w:lang w:val="zh-CN"/>
        </w:rPr>
      </w:pPr>
      <w:r>
        <w:rPr>
          <w:rFonts w:hint="eastAsia" w:ascii="楷体_GB2312" w:hAnsi="楷体_GB2312" w:eastAsia="楷体_GB2312" w:cs="楷体_GB2312"/>
          <w:color w:val="000000"/>
          <w:kern w:val="0"/>
          <w:sz w:val="32"/>
          <w:szCs w:val="32"/>
          <w:shd w:val="clear" w:color="auto" w:fill="FFFFFF"/>
        </w:rPr>
        <w:t>5.</w:t>
      </w:r>
      <w:r>
        <w:rPr>
          <w:rFonts w:hint="eastAsia" w:ascii="楷体_GB2312" w:hAnsi="楷体_GB2312" w:eastAsia="楷体_GB2312" w:cs="楷体_GB2312"/>
          <w:color w:val="000000"/>
          <w:kern w:val="0"/>
          <w:sz w:val="32"/>
          <w:szCs w:val="32"/>
          <w:shd w:val="clear" w:color="auto" w:fill="FFFFFF"/>
          <w:lang w:val="zh-CN"/>
        </w:rPr>
        <w:t>采购管理。</w:t>
      </w:r>
      <w:r>
        <w:rPr>
          <w:rFonts w:hint="eastAsia" w:eastAsia="仿宋_GB2312"/>
          <w:sz w:val="32"/>
          <w:szCs w:val="32"/>
          <w:lang w:val="zh-CN"/>
        </w:rPr>
        <w:t>围绕支持中小企业发展、采购执行率进行绩效分析。</w:t>
      </w:r>
    </w:p>
    <w:p w14:paraId="0B638D27">
      <w:pPr>
        <w:pStyle w:val="2"/>
        <w:ind w:left="420" w:firstLine="0" w:firstLineChars="0"/>
        <w:rPr>
          <w:lang w:val="zh-CN"/>
        </w:rPr>
      </w:pPr>
      <w:r>
        <w:rPr>
          <w:rFonts w:hint="eastAsia" w:ascii="Times New Roman" w:eastAsia="仿宋_GB2312"/>
          <w:sz w:val="32"/>
        </w:rPr>
        <w:t>本单位无采购。</w:t>
      </w:r>
    </w:p>
    <w:p w14:paraId="6C00C033">
      <w:pPr>
        <w:ind w:firstLine="643" w:firstLineChars="200"/>
        <w:rPr>
          <w:rFonts w:eastAsia="仿宋_GB2312"/>
          <w:sz w:val="32"/>
          <w:szCs w:val="32"/>
          <w:lang w:val="zh-CN"/>
        </w:rPr>
      </w:pPr>
      <w:r>
        <w:rPr>
          <w:rFonts w:hint="eastAsia" w:ascii="楷体_GB2312" w:eastAsia="楷体_GB2312"/>
          <w:b/>
          <w:sz w:val="32"/>
          <w:szCs w:val="32"/>
        </w:rPr>
        <w:t>（二）部门预算项目绩效分析。</w:t>
      </w:r>
      <w:r>
        <w:rPr>
          <w:rFonts w:hint="eastAsia" w:eastAsia="仿宋_GB2312"/>
          <w:sz w:val="32"/>
          <w:szCs w:val="32"/>
          <w:lang w:val="zh-CN"/>
        </w:rPr>
        <w:t>填报以下数据，并根据部门预算绩效评价指标体系“项目绩效”涉及二、三级指标进行逐项绩效分析并评分，依次包括项目决策、项目执行、目标实现等情况。</w:t>
      </w:r>
    </w:p>
    <w:p w14:paraId="51721105">
      <w:pPr>
        <w:adjustRightInd w:val="0"/>
        <w:snapToGrid w:val="0"/>
        <w:spacing w:line="578" w:lineRule="exact"/>
        <w:ind w:firstLine="640" w:firstLineChars="200"/>
        <w:contextualSpacing/>
        <w:jc w:val="left"/>
        <w:rPr>
          <w:rFonts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rPr>
        <w:t>1.项目决策。</w:t>
      </w:r>
    </w:p>
    <w:p w14:paraId="60BC1B15">
      <w:pPr>
        <w:ind w:firstLine="640" w:firstLineChars="200"/>
        <w:rPr>
          <w:rFonts w:eastAsia="仿宋_GB2312"/>
          <w:sz w:val="32"/>
          <w:szCs w:val="32"/>
        </w:rPr>
      </w:pPr>
      <w:r>
        <w:rPr>
          <w:rFonts w:hint="eastAsia" w:eastAsia="仿宋_GB2312"/>
          <w:sz w:val="32"/>
          <w:szCs w:val="32"/>
          <w:lang w:val="zh-CN"/>
        </w:rPr>
        <w:t>决策程序：</w:t>
      </w:r>
      <w:r>
        <w:rPr>
          <w:rFonts w:hint="eastAsia" w:eastAsia="仿宋_GB2312"/>
          <w:sz w:val="32"/>
          <w:szCs w:val="32"/>
        </w:rPr>
        <w:t>加强对领导机关、领导干部特别是各级领导班子主要负责人的监督。认真检查党的路线、方针、政策和决议的执行情况，监督民主集中制及领导班子议事规则落实情况，反属重大决策、重要干部任免、重大项目安排和大额度资金的使用，必须由领导班子集体作出决定。</w:t>
      </w:r>
    </w:p>
    <w:p w14:paraId="534AD2FC">
      <w:pPr>
        <w:ind w:firstLine="640" w:firstLineChars="200"/>
        <w:rPr>
          <w:rFonts w:eastAsia="仿宋_GB2312"/>
          <w:sz w:val="32"/>
          <w:szCs w:val="32"/>
          <w:lang w:val="zh-CN"/>
        </w:rPr>
      </w:pPr>
      <w:r>
        <w:rPr>
          <w:rFonts w:hint="eastAsia" w:eastAsia="仿宋_GB2312"/>
          <w:sz w:val="32"/>
          <w:szCs w:val="32"/>
          <w:lang w:val="zh-CN"/>
        </w:rPr>
        <w:t>目标设置：履行政治领导责任，做好理论武装何思想政治工作，负责学习、宣传、贯彻执行党的理论和路线方针政策，贯彻落实党中央、省委、州委和县委的，决策部署，发挥好把方向、管大局、保落实;提高退役军人思想政治、管理保障和安置优抚等法律法规，拟定退役军人工作政策并组织实施，褒扬彰显退役军人为党、国家和人民牺牲奉献的精神风范和价值导向;</w:t>
      </w:r>
    </w:p>
    <w:p w14:paraId="7FFB8D31">
      <w:pPr>
        <w:ind w:firstLine="640" w:firstLineChars="200"/>
        <w:rPr>
          <w:rFonts w:ascii="仿宋" w:hAnsi="仿宋" w:eastAsia="仿宋" w:cs="仿宋"/>
          <w:color w:val="000000"/>
          <w:kern w:val="0"/>
          <w:szCs w:val="32"/>
          <w:shd w:val="clear" w:color="auto" w:fill="FFFFFF"/>
          <w:lang w:val="zh-CN"/>
        </w:rPr>
      </w:pPr>
      <w:r>
        <w:rPr>
          <w:rFonts w:hint="eastAsia" w:eastAsia="仿宋_GB2312"/>
          <w:sz w:val="32"/>
          <w:szCs w:val="32"/>
          <w:lang w:val="zh-CN"/>
        </w:rPr>
        <w:t>项目入库：</w:t>
      </w:r>
      <w:r>
        <w:rPr>
          <w:rFonts w:hint="eastAsia" w:eastAsia="仿宋_GB2312"/>
          <w:sz w:val="32"/>
          <w:szCs w:val="32"/>
        </w:rPr>
        <w:t>严格</w:t>
      </w:r>
      <w:r>
        <w:rPr>
          <w:rFonts w:hint="eastAsia" w:eastAsia="仿宋_GB2312"/>
          <w:sz w:val="32"/>
          <w:szCs w:val="32"/>
          <w:lang w:val="zh-CN"/>
        </w:rPr>
        <w:t>按照程序以及要求，项目在资金使用前必须进行项目入库。</w:t>
      </w:r>
    </w:p>
    <w:p w14:paraId="1DDAB9AE">
      <w:pPr>
        <w:adjustRightInd w:val="0"/>
        <w:snapToGrid w:val="0"/>
        <w:spacing w:line="578" w:lineRule="exact"/>
        <w:ind w:firstLine="643" w:firstLineChars="200"/>
        <w:contextualSpacing/>
        <w:rPr>
          <w:rFonts w:eastAsia="仿宋_GB2312" w:cs="仿宋_GB2312"/>
          <w:sz w:val="32"/>
          <w:szCs w:val="32"/>
        </w:rPr>
      </w:pPr>
      <w:r>
        <w:rPr>
          <w:rFonts w:eastAsia="楷体_GB2312"/>
          <w:b/>
          <w:bCs/>
          <w:color w:val="000000"/>
          <w:kern w:val="0"/>
          <w:sz w:val="32"/>
          <w:szCs w:val="32"/>
          <w:shd w:val="clear" w:color="auto" w:fill="FFFFFF"/>
          <w:lang w:val="zh-CN"/>
        </w:rPr>
        <w:t>（二）部门预算项目绩效分析。</w:t>
      </w:r>
      <w:r>
        <w:rPr>
          <w:rFonts w:hint="eastAsia" w:eastAsia="仿宋_GB2312" w:cs="仿宋_GB2312"/>
          <w:sz w:val="32"/>
          <w:szCs w:val="32"/>
          <w:lang w:val="zh-CN"/>
        </w:rPr>
        <w:t>填报以下数据，并</w:t>
      </w:r>
      <w:r>
        <w:rPr>
          <w:rFonts w:eastAsia="仿宋_GB2312" w:cs="仿宋_GB2312"/>
          <w:sz w:val="32"/>
          <w:szCs w:val="32"/>
          <w:lang w:val="zh-CN"/>
        </w:rPr>
        <w:t>根据部门预算绩效评价指标体系</w:t>
      </w:r>
      <w:r>
        <w:rPr>
          <w:rFonts w:hint="eastAsia" w:eastAsia="仿宋_GB2312" w:cs="仿宋_GB2312"/>
          <w:sz w:val="32"/>
          <w:szCs w:val="32"/>
          <w:lang w:val="zh-CN"/>
        </w:rPr>
        <w:t>“</w:t>
      </w:r>
      <w:r>
        <w:rPr>
          <w:rFonts w:eastAsia="仿宋_GB2312" w:cs="仿宋_GB2312"/>
          <w:sz w:val="32"/>
          <w:szCs w:val="32"/>
          <w:lang w:val="zh-CN"/>
        </w:rPr>
        <w:t>项目绩效</w:t>
      </w:r>
      <w:r>
        <w:rPr>
          <w:rFonts w:hint="eastAsia" w:eastAsia="仿宋_GB2312" w:cs="仿宋_GB2312"/>
          <w:sz w:val="32"/>
          <w:szCs w:val="32"/>
          <w:lang w:val="zh-CN"/>
        </w:rPr>
        <w:t>”</w:t>
      </w:r>
      <w:r>
        <w:rPr>
          <w:rFonts w:eastAsia="仿宋_GB2312" w:cs="仿宋_GB2312"/>
          <w:sz w:val="32"/>
          <w:szCs w:val="32"/>
          <w:lang w:val="zh-CN"/>
        </w:rPr>
        <w:t>涉及</w:t>
      </w:r>
      <w:r>
        <w:rPr>
          <w:rFonts w:hint="eastAsia" w:eastAsia="仿宋_GB2312" w:cs="仿宋_GB2312"/>
          <w:sz w:val="32"/>
          <w:szCs w:val="32"/>
          <w:lang w:val="zh-CN"/>
        </w:rPr>
        <w:t>二、三级</w:t>
      </w:r>
      <w:r>
        <w:rPr>
          <w:rFonts w:eastAsia="仿宋_GB2312" w:cs="仿宋_GB2312"/>
          <w:sz w:val="32"/>
          <w:szCs w:val="32"/>
          <w:lang w:val="zh-CN"/>
        </w:rPr>
        <w:t>指标进行</w:t>
      </w:r>
      <w:r>
        <w:rPr>
          <w:rFonts w:hint="eastAsia" w:eastAsia="仿宋_GB2312" w:cs="仿宋_GB2312"/>
          <w:sz w:val="32"/>
          <w:szCs w:val="32"/>
          <w:lang w:val="zh-CN"/>
        </w:rPr>
        <w:t>逐项</w:t>
      </w:r>
      <w:r>
        <w:rPr>
          <w:rFonts w:eastAsia="仿宋_GB2312" w:cs="仿宋_GB2312"/>
          <w:sz w:val="32"/>
          <w:szCs w:val="32"/>
          <w:lang w:val="zh-CN"/>
        </w:rPr>
        <w:t>绩效分析</w:t>
      </w:r>
      <w:r>
        <w:rPr>
          <w:rFonts w:hint="eastAsia" w:eastAsia="仿宋_GB2312" w:cs="仿宋_GB2312"/>
          <w:sz w:val="32"/>
          <w:szCs w:val="32"/>
          <w:lang w:val="zh-CN"/>
        </w:rPr>
        <w:t>并评分</w:t>
      </w:r>
      <w:r>
        <w:rPr>
          <w:rFonts w:eastAsia="仿宋_GB2312" w:cs="仿宋_GB2312"/>
          <w:sz w:val="32"/>
          <w:szCs w:val="32"/>
          <w:lang w:val="zh-CN"/>
        </w:rPr>
        <w:t>，依次包括项目</w:t>
      </w:r>
      <w:r>
        <w:rPr>
          <w:rFonts w:eastAsia="仿宋_GB2312" w:cs="仿宋_GB2312"/>
          <w:sz w:val="32"/>
          <w:szCs w:val="32"/>
        </w:rPr>
        <w:t>决策、项目执行、目标实现等情况</w:t>
      </w:r>
      <w:r>
        <w:rPr>
          <w:rFonts w:hint="eastAsia" w:eastAsia="仿宋_GB2312" w:cs="仿宋_GB2312"/>
          <w:sz w:val="32"/>
          <w:szCs w:val="32"/>
        </w:rPr>
        <w:t>。</w:t>
      </w:r>
    </w:p>
    <w:p w14:paraId="5F604166">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常年项目绩效分析。</w:t>
      </w:r>
      <w:r>
        <w:rPr>
          <w:rFonts w:eastAsia="仿宋_GB2312" w:cs="仿宋_GB2312"/>
          <w:sz w:val="32"/>
          <w:szCs w:val="32"/>
          <w:lang w:val="zh-CN"/>
        </w:rPr>
        <w:t>该类项目总数</w:t>
      </w:r>
      <w:r>
        <w:rPr>
          <w:rFonts w:hint="eastAsia" w:eastAsia="仿宋_GB2312" w:cs="仿宋_GB2312"/>
          <w:sz w:val="32"/>
          <w:szCs w:val="32"/>
          <w:lang w:val="en-US" w:eastAsia="zh-CN"/>
        </w:rPr>
        <w:t>1</w:t>
      </w:r>
      <w:r>
        <w:rPr>
          <w:rFonts w:eastAsia="仿宋_GB2312" w:cs="仿宋_GB2312"/>
          <w:sz w:val="32"/>
          <w:szCs w:val="32"/>
          <w:lang w:val="zh-CN"/>
        </w:rPr>
        <w:t>个，涉及预算总金额</w:t>
      </w:r>
      <w:r>
        <w:rPr>
          <w:rFonts w:hint="eastAsia" w:eastAsia="仿宋_GB2312" w:cs="仿宋_GB2312"/>
          <w:sz w:val="32"/>
          <w:szCs w:val="32"/>
          <w:lang w:val="en-US" w:eastAsia="zh-CN"/>
        </w:rPr>
        <w:t>36.86</w:t>
      </w:r>
      <w:r>
        <w:rPr>
          <w:rFonts w:eastAsia="仿宋_GB2312" w:cs="仿宋_GB2312"/>
          <w:sz w:val="32"/>
          <w:szCs w:val="32"/>
          <w:lang w:val="zh-CN"/>
        </w:rPr>
        <w:t>万元，1</w:t>
      </w:r>
      <w:r>
        <w:rPr>
          <w:rFonts w:hint="eastAsia" w:eastAsia="仿宋_GB2312" w:cs="仿宋_GB2312"/>
          <w:sz w:val="32"/>
          <w:szCs w:val="32"/>
          <w:lang w:val="zh-CN"/>
        </w:rPr>
        <w:t>—</w:t>
      </w:r>
      <w:r>
        <w:rPr>
          <w:rFonts w:eastAsia="仿宋_GB2312" w:cs="仿宋_GB2312"/>
          <w:sz w:val="32"/>
          <w:szCs w:val="32"/>
          <w:lang w:val="zh-CN"/>
        </w:rPr>
        <w:t>1</w:t>
      </w:r>
      <w:r>
        <w:rPr>
          <w:rFonts w:eastAsia="仿宋_GB2312" w:cs="仿宋_GB2312"/>
          <w:sz w:val="32"/>
          <w:szCs w:val="32"/>
        </w:rPr>
        <w:t>2</w:t>
      </w:r>
      <w:r>
        <w:rPr>
          <w:rFonts w:eastAsia="仿宋_GB2312" w:cs="仿宋_GB2312"/>
          <w:sz w:val="32"/>
          <w:szCs w:val="32"/>
          <w:lang w:val="zh-CN"/>
        </w:rPr>
        <w:t>月预算执行总体进度为</w:t>
      </w:r>
      <w:r>
        <w:rPr>
          <w:rFonts w:hint="eastAsia" w:eastAsia="仿宋_GB2312" w:cs="仿宋_GB2312"/>
          <w:sz w:val="32"/>
          <w:szCs w:val="32"/>
          <w:lang w:val="en-US" w:eastAsia="zh-CN"/>
        </w:rPr>
        <w:t>100</w:t>
      </w:r>
      <w:r>
        <w:rPr>
          <w:rFonts w:eastAsia="仿宋_GB2312" w:cs="仿宋_GB2312"/>
          <w:sz w:val="32"/>
          <w:szCs w:val="32"/>
          <w:lang w:val="zh-CN"/>
        </w:rPr>
        <w:t>%。</w:t>
      </w:r>
    </w:p>
    <w:p w14:paraId="363D3CE1">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阶段</w:t>
      </w:r>
      <w:r>
        <w:rPr>
          <w:rFonts w:hint="eastAsia" w:eastAsia="仿宋_GB2312" w:cs="仿宋_GB2312"/>
          <w:sz w:val="32"/>
          <w:szCs w:val="32"/>
        </w:rPr>
        <w:t>（</w:t>
      </w:r>
      <w:r>
        <w:rPr>
          <w:rFonts w:eastAsia="仿宋_GB2312" w:cs="仿宋_GB2312"/>
          <w:sz w:val="32"/>
          <w:szCs w:val="32"/>
        </w:rPr>
        <w:t>一次性</w:t>
      </w:r>
      <w:r>
        <w:rPr>
          <w:rFonts w:hint="eastAsia" w:eastAsia="仿宋_GB2312" w:cs="仿宋_GB2312"/>
          <w:sz w:val="32"/>
          <w:szCs w:val="32"/>
        </w:rPr>
        <w:t>）</w:t>
      </w:r>
      <w:r>
        <w:rPr>
          <w:rFonts w:eastAsia="仿宋_GB2312" w:cs="仿宋_GB2312"/>
          <w:sz w:val="32"/>
          <w:szCs w:val="32"/>
        </w:rPr>
        <w:t>项目绩效分析。</w:t>
      </w:r>
      <w:r>
        <w:rPr>
          <w:rFonts w:eastAsia="仿宋_GB2312" w:cs="仿宋_GB2312"/>
          <w:sz w:val="32"/>
          <w:szCs w:val="32"/>
          <w:lang w:val="zh-CN"/>
        </w:rPr>
        <w:t>该类项目总数</w:t>
      </w:r>
      <w:r>
        <w:rPr>
          <w:rFonts w:hint="eastAsia" w:eastAsia="仿宋_GB2312" w:cs="仿宋_GB2312"/>
          <w:sz w:val="32"/>
          <w:szCs w:val="32"/>
          <w:lang w:val="en-US" w:eastAsia="zh-CN"/>
        </w:rPr>
        <w:t>1</w:t>
      </w:r>
      <w:r>
        <w:rPr>
          <w:rFonts w:eastAsia="仿宋_GB2312" w:cs="仿宋_GB2312"/>
          <w:sz w:val="32"/>
          <w:szCs w:val="32"/>
          <w:lang w:val="zh-CN"/>
        </w:rPr>
        <w:t>个，涉及预算总金额</w:t>
      </w:r>
      <w:r>
        <w:rPr>
          <w:rFonts w:hint="eastAsia" w:eastAsia="仿宋_GB2312" w:cs="仿宋_GB2312"/>
          <w:sz w:val="32"/>
          <w:szCs w:val="32"/>
          <w:lang w:val="en-US" w:eastAsia="zh-CN"/>
        </w:rPr>
        <w:t>36.86</w:t>
      </w:r>
      <w:r>
        <w:rPr>
          <w:rFonts w:eastAsia="仿宋_GB2312" w:cs="仿宋_GB2312"/>
          <w:sz w:val="32"/>
          <w:szCs w:val="32"/>
          <w:lang w:val="zh-CN"/>
        </w:rPr>
        <w:t>万元，1</w:t>
      </w:r>
      <w:r>
        <w:rPr>
          <w:rFonts w:hint="eastAsia" w:eastAsia="仿宋_GB2312" w:cs="仿宋_GB2312"/>
          <w:sz w:val="32"/>
          <w:szCs w:val="32"/>
          <w:lang w:val="zh-CN"/>
        </w:rPr>
        <w:t>—</w:t>
      </w:r>
      <w:r>
        <w:rPr>
          <w:rFonts w:eastAsia="仿宋_GB2312" w:cs="仿宋_GB2312"/>
          <w:sz w:val="32"/>
          <w:szCs w:val="32"/>
          <w:lang w:val="zh-CN"/>
        </w:rPr>
        <w:t>1</w:t>
      </w:r>
      <w:r>
        <w:rPr>
          <w:rFonts w:eastAsia="仿宋_GB2312" w:cs="仿宋_GB2312"/>
          <w:sz w:val="32"/>
          <w:szCs w:val="32"/>
        </w:rPr>
        <w:t>2</w:t>
      </w:r>
      <w:r>
        <w:rPr>
          <w:rFonts w:eastAsia="仿宋_GB2312" w:cs="仿宋_GB2312"/>
          <w:sz w:val="32"/>
          <w:szCs w:val="32"/>
          <w:lang w:val="zh-CN"/>
        </w:rPr>
        <w:t>月预算执行总体进度为</w:t>
      </w:r>
      <w:r>
        <w:rPr>
          <w:rFonts w:hint="eastAsia" w:eastAsia="仿宋_GB2312" w:cs="仿宋_GB2312"/>
          <w:sz w:val="32"/>
          <w:szCs w:val="32"/>
          <w:lang w:val="en-US" w:eastAsia="zh-CN"/>
        </w:rPr>
        <w:t>100</w:t>
      </w:r>
      <w:r>
        <w:rPr>
          <w:rFonts w:eastAsia="仿宋_GB2312" w:cs="仿宋_GB2312"/>
          <w:sz w:val="32"/>
          <w:szCs w:val="32"/>
          <w:lang w:val="zh-CN"/>
        </w:rPr>
        <w:t>%。</w:t>
      </w:r>
    </w:p>
    <w:p w14:paraId="01484663">
      <w:pPr>
        <w:adjustRightInd w:val="0"/>
        <w:snapToGrid w:val="0"/>
        <w:spacing w:line="578" w:lineRule="exact"/>
        <w:ind w:firstLine="643" w:firstLineChars="200"/>
        <w:contextualSpacing/>
        <w:jc w:val="left"/>
        <w:rPr>
          <w:rFonts w:eastAsia="仿宋_GB2312"/>
          <w:sz w:val="32"/>
          <w:szCs w:val="32"/>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rPr>
        <w:t>三</w:t>
      </w:r>
      <w:r>
        <w:rPr>
          <w:rFonts w:eastAsia="楷体_GB2312"/>
          <w:b/>
          <w:bCs/>
          <w:color w:val="000000"/>
          <w:kern w:val="0"/>
          <w:sz w:val="32"/>
          <w:szCs w:val="32"/>
          <w:shd w:val="clear" w:color="auto" w:fill="FFFFFF"/>
          <w:lang w:val="zh-CN"/>
        </w:rPr>
        <w:t>）绩效结果应用情况</w:t>
      </w:r>
      <w:r>
        <w:rPr>
          <w:rFonts w:hint="eastAsia" w:eastAsia="楷体_GB2312"/>
          <w:b/>
          <w:bCs/>
          <w:color w:val="000000"/>
          <w:kern w:val="0"/>
          <w:sz w:val="32"/>
          <w:szCs w:val="32"/>
          <w:shd w:val="clear" w:color="auto" w:fill="FFFFFF"/>
          <w:lang w:val="zh-CN"/>
        </w:rPr>
        <w:t>。</w:t>
      </w:r>
      <w:r>
        <w:rPr>
          <w:rFonts w:hint="eastAsia" w:eastAsia="仿宋_GB2312"/>
          <w:sz w:val="32"/>
          <w:szCs w:val="32"/>
          <w:lang w:val="zh-CN"/>
        </w:rPr>
        <w:t>我</w:t>
      </w:r>
      <w:r>
        <w:rPr>
          <w:rFonts w:hint="eastAsia" w:eastAsia="仿宋_GB2312"/>
          <w:sz w:val="32"/>
          <w:szCs w:val="32"/>
        </w:rPr>
        <w:t>单位</w:t>
      </w:r>
      <w:r>
        <w:rPr>
          <w:rFonts w:hint="eastAsia" w:eastAsia="仿宋_GB2312"/>
          <w:sz w:val="32"/>
          <w:szCs w:val="32"/>
          <w:lang w:val="zh-CN"/>
        </w:rPr>
        <w:t>部门绩效结果应用到了下一年的绩效目标设定与调整。根据支出预决算，为下一年度的预算提供了基础预算数据。优化了</w:t>
      </w:r>
      <w:r>
        <w:rPr>
          <w:rFonts w:hint="eastAsia" w:eastAsia="仿宋_GB2312"/>
          <w:sz w:val="32"/>
          <w:szCs w:val="32"/>
        </w:rPr>
        <w:t>单位</w:t>
      </w:r>
      <w:r>
        <w:rPr>
          <w:rFonts w:hint="eastAsia" w:eastAsia="仿宋_GB2312"/>
          <w:sz w:val="32"/>
          <w:szCs w:val="32"/>
          <w:lang w:val="zh-CN"/>
        </w:rPr>
        <w:t>资金的使用率。保障了机关日常正常运转，专项资金保障了</w:t>
      </w:r>
      <w:r>
        <w:rPr>
          <w:rFonts w:hint="eastAsia" w:eastAsia="仿宋_GB2312"/>
          <w:sz w:val="32"/>
          <w:szCs w:val="32"/>
        </w:rPr>
        <w:t>宗教事务管理</w:t>
      </w:r>
      <w:r>
        <w:rPr>
          <w:rFonts w:hint="eastAsia" w:eastAsia="仿宋_GB2312"/>
          <w:sz w:val="32"/>
          <w:szCs w:val="32"/>
          <w:lang w:val="zh-CN"/>
        </w:rPr>
        <w:t>，同时在维护少数民族地区的社会稳定，提高人民生活水平，改善人民生活质量等方面有着极其重要的意义，有力促进了社会和谐发展，为全县经济发展作出了应有的贡献，</w:t>
      </w:r>
      <w:r>
        <w:rPr>
          <w:rFonts w:hint="eastAsia" w:eastAsia="仿宋_GB2312"/>
          <w:sz w:val="32"/>
          <w:szCs w:val="32"/>
        </w:rPr>
        <w:t>202</w:t>
      </w:r>
      <w:r>
        <w:rPr>
          <w:rFonts w:hint="eastAsia" w:eastAsia="仿宋_GB2312"/>
          <w:sz w:val="32"/>
          <w:szCs w:val="32"/>
          <w:lang w:val="en-US" w:eastAsia="zh-CN"/>
        </w:rPr>
        <w:t>4</w:t>
      </w:r>
      <w:r>
        <w:rPr>
          <w:rFonts w:hint="eastAsia" w:eastAsia="仿宋_GB2312"/>
          <w:sz w:val="32"/>
          <w:szCs w:val="32"/>
        </w:rPr>
        <w:t>年预算及决算已在政府信息公开网站进行了公开。</w:t>
      </w:r>
    </w:p>
    <w:p w14:paraId="278A3454">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14:paraId="0B70DE87">
      <w:pPr>
        <w:ind w:firstLine="643" w:firstLineChars="200"/>
        <w:rPr>
          <w:rFonts w:ascii="楷体_GB2312" w:eastAsia="楷体_GB2312"/>
          <w:b/>
          <w:sz w:val="32"/>
          <w:szCs w:val="32"/>
        </w:rPr>
      </w:pPr>
      <w:r>
        <w:rPr>
          <w:rFonts w:hint="eastAsia" w:ascii="楷体_GB2312" w:eastAsia="楷体_GB2312"/>
          <w:b/>
          <w:sz w:val="32"/>
          <w:szCs w:val="32"/>
        </w:rPr>
        <w:t>（一）评价结论。</w:t>
      </w:r>
    </w:p>
    <w:p w14:paraId="6B50F190">
      <w:pPr>
        <w:adjustRightInd w:val="0"/>
        <w:snapToGrid w:val="0"/>
        <w:spacing w:line="578" w:lineRule="exact"/>
        <w:ind w:firstLine="640" w:firstLineChars="200"/>
        <w:contextualSpacing/>
        <w:jc w:val="left"/>
        <w:rPr>
          <w:rFonts w:eastAsia="仿宋_GB2312"/>
          <w:sz w:val="32"/>
          <w:szCs w:val="32"/>
          <w:lang w:val="zh-CN"/>
        </w:rPr>
      </w:pPr>
      <w:r>
        <w:rPr>
          <w:rFonts w:hint="eastAsia" w:eastAsia="仿宋_GB2312"/>
          <w:sz w:val="32"/>
          <w:szCs w:val="32"/>
          <w:lang w:val="zh-CN"/>
        </w:rPr>
        <w:t>我</w:t>
      </w:r>
      <w:r>
        <w:rPr>
          <w:rFonts w:hint="eastAsia" w:eastAsia="仿宋_GB2312"/>
          <w:sz w:val="32"/>
          <w:szCs w:val="32"/>
        </w:rPr>
        <w:t>单位</w:t>
      </w:r>
      <w:r>
        <w:rPr>
          <w:rFonts w:hint="eastAsia" w:eastAsia="仿宋_GB2312"/>
          <w:sz w:val="32"/>
          <w:szCs w:val="32"/>
          <w:lang w:val="zh-CN"/>
        </w:rPr>
        <w:t>部门支出预算，保障了机关日常正常运转，专项资金保障了</w:t>
      </w:r>
      <w:r>
        <w:rPr>
          <w:rFonts w:hint="eastAsia" w:eastAsia="仿宋_GB2312"/>
          <w:sz w:val="32"/>
          <w:szCs w:val="32"/>
        </w:rPr>
        <w:t>宗教事务管理</w:t>
      </w:r>
      <w:r>
        <w:rPr>
          <w:rFonts w:hint="eastAsia" w:eastAsia="仿宋_GB2312"/>
          <w:sz w:val="32"/>
          <w:szCs w:val="32"/>
          <w:lang w:val="zh-CN"/>
        </w:rPr>
        <w:t>，同时在维护少数民族地区的社会稳定，提高人民生活水平，改善人民生活质量等方面有着极其重要的意义，有力促进了社会和谐发展，为全县及乡镇的经济发展作出了应有的贡献，部门整体支出绩效自评等级为优秀。</w:t>
      </w:r>
    </w:p>
    <w:p w14:paraId="4579ECCE">
      <w:pPr>
        <w:numPr>
          <w:ilvl w:val="0"/>
          <w:numId w:val="4"/>
        </w:numPr>
        <w:autoSpaceDE w:val="0"/>
        <w:spacing w:line="560" w:lineRule="exact"/>
        <w:ind w:firstLine="643" w:firstLineChars="200"/>
        <w:jc w:val="left"/>
        <w:rPr>
          <w:rFonts w:ascii="楷体_GB2312" w:eastAsia="楷体_GB2312"/>
          <w:b/>
          <w:sz w:val="32"/>
          <w:szCs w:val="32"/>
        </w:rPr>
      </w:pPr>
      <w:r>
        <w:rPr>
          <w:rFonts w:hint="eastAsia" w:ascii="楷体_GB2312" w:eastAsia="楷体_GB2312"/>
          <w:b/>
          <w:sz w:val="32"/>
          <w:szCs w:val="32"/>
        </w:rPr>
        <w:t>存在问题。</w:t>
      </w:r>
    </w:p>
    <w:p w14:paraId="5FCBD4B6">
      <w:pPr>
        <w:autoSpaceDE w:val="0"/>
        <w:spacing w:line="560" w:lineRule="exact"/>
        <w:ind w:firstLine="640" w:firstLineChars="200"/>
        <w:jc w:val="left"/>
        <w:rPr>
          <w:rFonts w:ascii="仿宋_GB2312" w:hAnsi="仿宋" w:eastAsia="仿宋_GB2312" w:cs="仿宋_GB2312"/>
          <w:color w:val="000000"/>
          <w:kern w:val="0"/>
          <w:sz w:val="32"/>
          <w:szCs w:val="32"/>
          <w:lang w:val="zh-CN"/>
        </w:rPr>
      </w:pPr>
      <w:r>
        <w:rPr>
          <w:rFonts w:hint="eastAsia" w:eastAsia="仿宋_GB2312"/>
          <w:sz w:val="32"/>
          <w:szCs w:val="32"/>
        </w:rPr>
        <w:t>由于财政支出的多样性和复杂性，绩效评价指标体系设置难度大，即使可以量化，但实际操作中很多项目间缺乏可比性且指标本身也在逐步变化，需要逐步完善。</w:t>
      </w:r>
      <w:r>
        <w:rPr>
          <w:rFonts w:hint="eastAsia" w:eastAsia="仿宋_GB2312"/>
          <w:sz w:val="32"/>
          <w:szCs w:val="32"/>
        </w:rPr>
        <w:br w:type="textWrapping"/>
      </w:r>
      <w:r>
        <w:rPr>
          <w:rFonts w:hint="eastAsia" w:eastAsia="仿宋_GB2312"/>
          <w:sz w:val="32"/>
          <w:szCs w:val="32"/>
        </w:rPr>
        <w:t xml:space="preserve">    在平时工作推进过程中，缺乏技术人员进行专业指导及培训，工作推进存在一定困难，预算编制还需更加精准。</w:t>
      </w:r>
    </w:p>
    <w:p w14:paraId="3CFE2C42">
      <w:pPr>
        <w:numPr>
          <w:ilvl w:val="0"/>
          <w:numId w:val="4"/>
        </w:numPr>
        <w:autoSpaceDE w:val="0"/>
        <w:spacing w:line="560" w:lineRule="exact"/>
        <w:ind w:firstLine="643" w:firstLineChars="200"/>
        <w:jc w:val="left"/>
        <w:rPr>
          <w:rFonts w:ascii="楷体_GB2312" w:eastAsia="楷体_GB2312"/>
          <w:b/>
          <w:sz w:val="32"/>
          <w:szCs w:val="32"/>
        </w:rPr>
      </w:pPr>
      <w:r>
        <w:rPr>
          <w:rFonts w:hint="eastAsia" w:ascii="楷体_GB2312" w:eastAsia="楷体_GB2312"/>
          <w:b/>
          <w:sz w:val="32"/>
          <w:szCs w:val="32"/>
        </w:rPr>
        <w:t>改进建议。</w:t>
      </w:r>
    </w:p>
    <w:p w14:paraId="56BE4404">
      <w:pPr>
        <w:autoSpaceDE w:val="0"/>
        <w:spacing w:line="560" w:lineRule="exact"/>
        <w:ind w:firstLine="640" w:firstLineChars="200"/>
        <w:jc w:val="left"/>
        <w:rPr>
          <w:rFonts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1.通过各种途径加强绩效管理学习，科学合理编制预算，严格执行预算。</w:t>
      </w:r>
    </w:p>
    <w:p w14:paraId="1ADA9DB9">
      <w:pPr>
        <w:ind w:firstLine="640" w:firstLineChars="200"/>
        <w:rPr>
          <w:rFonts w:eastAsia="仿宋_GB2312"/>
          <w:sz w:val="32"/>
          <w:szCs w:val="32"/>
          <w:lang w:val="zh-CN"/>
        </w:rPr>
      </w:pPr>
      <w:r>
        <w:rPr>
          <w:rFonts w:hint="eastAsia" w:ascii="仿宋_GB2312" w:hAnsi="仿宋" w:eastAsia="仿宋_GB2312" w:cs="仿宋_GB2312"/>
          <w:color w:val="000000"/>
          <w:kern w:val="0"/>
          <w:sz w:val="32"/>
          <w:szCs w:val="32"/>
        </w:rPr>
        <w:t>2.规范账务处理，提高财务信息质量。</w:t>
      </w:r>
    </w:p>
    <w:p w14:paraId="41BF13D7">
      <w:pPr>
        <w:pStyle w:val="2"/>
        <w:spacing w:line="560" w:lineRule="exact"/>
        <w:ind w:left="0" w:leftChars="0" w:firstLine="640"/>
        <w:rPr>
          <w:rFonts w:ascii="Times New Roman" w:eastAsia="仿宋_GB2312"/>
          <w:sz w:val="32"/>
          <w:lang w:val="zh-CN"/>
        </w:rPr>
      </w:pPr>
    </w:p>
    <w:p w14:paraId="5E2F6ED3">
      <w:pPr>
        <w:pStyle w:val="2"/>
        <w:spacing w:line="560" w:lineRule="exact"/>
        <w:ind w:left="0" w:leftChars="0" w:firstLine="640"/>
        <w:rPr>
          <w:rFonts w:ascii="Times New Roman" w:eastAsia="仿宋_GB2312"/>
          <w:sz w:val="32"/>
          <w:lang w:val="zh-CN"/>
        </w:rPr>
      </w:pPr>
      <w:r>
        <w:rPr>
          <w:rFonts w:hint="eastAsia" w:ascii="Times New Roman" w:eastAsia="仿宋_GB2312"/>
          <w:sz w:val="32"/>
          <w:lang w:val="zh-CN"/>
        </w:rPr>
        <w:t>附表：</w:t>
      </w:r>
      <w:r>
        <w:rPr>
          <w:rFonts w:hint="eastAsia" w:ascii="Times New Roman" w:eastAsia="仿宋_GB2312"/>
          <w:sz w:val="32"/>
        </w:rPr>
        <w:t>部门预算项目支出绩效自评表（2024年度）</w:t>
      </w:r>
    </w:p>
    <w:tbl>
      <w:tblPr>
        <w:tblStyle w:val="16"/>
        <w:tblW w:w="8280" w:type="dxa"/>
        <w:tblInd w:w="0" w:type="dxa"/>
        <w:tblLayout w:type="fixed"/>
        <w:tblCellMar>
          <w:top w:w="15" w:type="dxa"/>
          <w:left w:w="15" w:type="dxa"/>
          <w:bottom w:w="15" w:type="dxa"/>
          <w:right w:w="15" w:type="dxa"/>
        </w:tblCellMar>
      </w:tblPr>
      <w:tblGrid>
        <w:gridCol w:w="389"/>
        <w:gridCol w:w="664"/>
        <w:gridCol w:w="912"/>
        <w:gridCol w:w="664"/>
        <w:gridCol w:w="1029"/>
        <w:gridCol w:w="1523"/>
        <w:gridCol w:w="1419"/>
        <w:gridCol w:w="1680"/>
      </w:tblGrid>
      <w:tr w14:paraId="59F899F7">
        <w:tblPrEx>
          <w:tblCellMar>
            <w:top w:w="15" w:type="dxa"/>
            <w:left w:w="15" w:type="dxa"/>
            <w:bottom w:w="15" w:type="dxa"/>
            <w:right w:w="15" w:type="dxa"/>
          </w:tblCellMar>
        </w:tblPrEx>
        <w:trPr>
          <w:trHeight w:val="732" w:hRule="atLeast"/>
        </w:trPr>
        <w:tc>
          <w:tcPr>
            <w:tcW w:w="8280" w:type="dxa"/>
            <w:gridSpan w:val="8"/>
            <w:vAlign w:val="center"/>
          </w:tcPr>
          <w:p w14:paraId="2B4BE9A3">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14:paraId="16F76F59">
        <w:tblPrEx>
          <w:tblCellMar>
            <w:top w:w="15" w:type="dxa"/>
            <w:left w:w="15" w:type="dxa"/>
            <w:bottom w:w="15" w:type="dxa"/>
            <w:right w:w="15" w:type="dxa"/>
          </w:tblCellMar>
        </w:tblPrEx>
        <w:trPr>
          <w:trHeight w:val="940" w:hRule="atLeast"/>
        </w:trPr>
        <w:tc>
          <w:tcPr>
            <w:tcW w:w="1966" w:type="dxa"/>
            <w:gridSpan w:val="3"/>
            <w:tcBorders>
              <w:top w:val="single" w:color="000000" w:sz="4" w:space="0"/>
              <w:left w:val="single" w:color="000000" w:sz="4" w:space="0"/>
              <w:bottom w:val="single" w:color="000000" w:sz="4" w:space="0"/>
              <w:right w:val="single" w:color="000000" w:sz="4" w:space="0"/>
            </w:tcBorders>
            <w:vAlign w:val="center"/>
          </w:tcPr>
          <w:p w14:paraId="5A76AE2D">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6314" w:type="dxa"/>
            <w:gridSpan w:val="5"/>
            <w:tcBorders>
              <w:top w:val="single" w:color="000000" w:sz="4" w:space="0"/>
              <w:left w:val="single" w:color="000000" w:sz="4" w:space="0"/>
              <w:bottom w:val="single" w:color="000000" w:sz="4" w:space="0"/>
              <w:right w:val="single" w:color="000000" w:sz="4" w:space="0"/>
            </w:tcBorders>
            <w:vAlign w:val="center"/>
          </w:tcPr>
          <w:p w14:paraId="5957D35C">
            <w:pPr>
              <w:jc w:val="center"/>
              <w:rPr>
                <w:rFonts w:ascii="宋体" w:cs="宋体"/>
                <w:b/>
                <w:color w:val="000000"/>
                <w:sz w:val="24"/>
              </w:rPr>
            </w:pPr>
            <w:r>
              <w:rPr>
                <w:rFonts w:hint="eastAsia" w:ascii="仿宋_GB2312" w:hAnsi="仿宋_GB2312" w:eastAsia="仿宋_GB2312" w:cs="仿宋_GB2312"/>
                <w:sz w:val="32"/>
                <w:szCs w:val="32"/>
              </w:rPr>
              <w:t>寺庙办公经费、生活补助、三员经费、尼姑寺卫生费</w:t>
            </w:r>
          </w:p>
        </w:tc>
      </w:tr>
      <w:tr w14:paraId="2661064F">
        <w:tblPrEx>
          <w:tblCellMar>
            <w:top w:w="15" w:type="dxa"/>
            <w:left w:w="15" w:type="dxa"/>
            <w:bottom w:w="15" w:type="dxa"/>
            <w:right w:w="15" w:type="dxa"/>
          </w:tblCellMar>
        </w:tblPrEx>
        <w:trPr>
          <w:trHeight w:val="360" w:hRule="atLeast"/>
        </w:trPr>
        <w:tc>
          <w:tcPr>
            <w:tcW w:w="1966" w:type="dxa"/>
            <w:gridSpan w:val="3"/>
            <w:tcBorders>
              <w:top w:val="single" w:color="000000" w:sz="4" w:space="0"/>
              <w:left w:val="single" w:color="000000" w:sz="4" w:space="0"/>
              <w:bottom w:val="single" w:color="000000" w:sz="4" w:space="0"/>
              <w:right w:val="single" w:color="000000" w:sz="4" w:space="0"/>
            </w:tcBorders>
            <w:vAlign w:val="center"/>
          </w:tcPr>
          <w:p w14:paraId="22A6B31B">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6314" w:type="dxa"/>
            <w:gridSpan w:val="5"/>
            <w:tcBorders>
              <w:top w:val="single" w:color="000000" w:sz="4" w:space="0"/>
              <w:left w:val="single" w:color="000000" w:sz="4" w:space="0"/>
              <w:bottom w:val="single" w:color="000000" w:sz="4" w:space="0"/>
              <w:right w:val="single" w:color="000000" w:sz="4" w:space="0"/>
            </w:tcBorders>
            <w:vAlign w:val="center"/>
          </w:tcPr>
          <w:p w14:paraId="6B288227">
            <w:pPr>
              <w:ind w:firstLine="1687" w:firstLineChars="700"/>
              <w:rPr>
                <w:rFonts w:ascii="宋体" w:cs="宋体"/>
                <w:b/>
                <w:color w:val="000000"/>
                <w:sz w:val="24"/>
              </w:rPr>
            </w:pPr>
            <w:r>
              <w:rPr>
                <w:rFonts w:hint="eastAsia" w:ascii="宋体" w:hAnsi="宋体" w:cs="宋体"/>
                <w:b/>
                <w:color w:val="000000"/>
                <w:sz w:val="24"/>
              </w:rPr>
              <w:t>红原县麦洼寺寺庙管理委员会</w:t>
            </w:r>
          </w:p>
        </w:tc>
      </w:tr>
      <w:tr w14:paraId="40024C4A">
        <w:tblPrEx>
          <w:tblCellMar>
            <w:top w:w="15" w:type="dxa"/>
            <w:left w:w="15" w:type="dxa"/>
            <w:bottom w:w="15" w:type="dxa"/>
            <w:right w:w="15" w:type="dxa"/>
          </w:tblCellMar>
        </w:tblPrEx>
        <w:trPr>
          <w:trHeight w:val="360" w:hRule="atLeast"/>
        </w:trPr>
        <w:tc>
          <w:tcPr>
            <w:tcW w:w="390" w:type="dxa"/>
            <w:vMerge w:val="restart"/>
            <w:tcBorders>
              <w:top w:val="single" w:color="000000" w:sz="4" w:space="0"/>
              <w:left w:val="single" w:color="000000" w:sz="4" w:space="0"/>
              <w:bottom w:val="single" w:color="000000" w:sz="4" w:space="0"/>
              <w:right w:val="single" w:color="000000" w:sz="4" w:space="0"/>
            </w:tcBorders>
            <w:vAlign w:val="center"/>
          </w:tcPr>
          <w:p w14:paraId="3B4AB2AC">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576" w:type="dxa"/>
            <w:gridSpan w:val="2"/>
            <w:tcBorders>
              <w:top w:val="single" w:color="000000" w:sz="4" w:space="0"/>
              <w:left w:val="single" w:color="000000" w:sz="4" w:space="0"/>
              <w:bottom w:val="single" w:color="000000" w:sz="4" w:space="0"/>
              <w:right w:val="single" w:color="000000" w:sz="4" w:space="0"/>
            </w:tcBorders>
            <w:vAlign w:val="center"/>
          </w:tcPr>
          <w:p w14:paraId="07FE9D91">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693" w:type="dxa"/>
            <w:gridSpan w:val="2"/>
            <w:tcBorders>
              <w:top w:val="single" w:color="000000" w:sz="4" w:space="0"/>
              <w:left w:val="single" w:color="000000" w:sz="4" w:space="0"/>
              <w:bottom w:val="single" w:color="000000" w:sz="4" w:space="0"/>
              <w:right w:val="single" w:color="000000" w:sz="4" w:space="0"/>
            </w:tcBorders>
            <w:vAlign w:val="center"/>
          </w:tcPr>
          <w:p w14:paraId="7F0643F6">
            <w:pPr>
              <w:jc w:val="center"/>
              <w:rPr>
                <w:rFonts w:hint="default" w:ascii="宋体" w:eastAsia="宋体" w:cs="宋体"/>
                <w:b/>
                <w:color w:val="000000"/>
                <w:sz w:val="24"/>
                <w:lang w:val="en-US" w:eastAsia="zh-CN"/>
              </w:rPr>
            </w:pPr>
            <w:r>
              <w:rPr>
                <w:rFonts w:hint="eastAsia" w:ascii="宋体" w:cs="宋体"/>
                <w:b/>
                <w:color w:val="000000"/>
                <w:sz w:val="24"/>
                <w:lang w:val="en-US" w:eastAsia="zh-CN"/>
              </w:rPr>
              <w:t>36.86</w:t>
            </w:r>
          </w:p>
        </w:tc>
        <w:tc>
          <w:tcPr>
            <w:tcW w:w="1523" w:type="dxa"/>
            <w:tcBorders>
              <w:top w:val="single" w:color="000000" w:sz="4" w:space="0"/>
              <w:left w:val="single" w:color="000000" w:sz="4" w:space="0"/>
              <w:bottom w:val="single" w:color="000000" w:sz="4" w:space="0"/>
              <w:right w:val="single" w:color="000000" w:sz="4" w:space="0"/>
            </w:tcBorders>
            <w:vAlign w:val="center"/>
          </w:tcPr>
          <w:p w14:paraId="186A2284">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098" w:type="dxa"/>
            <w:gridSpan w:val="2"/>
            <w:tcBorders>
              <w:top w:val="single" w:color="000000" w:sz="4" w:space="0"/>
              <w:left w:val="single" w:color="000000" w:sz="4" w:space="0"/>
              <w:bottom w:val="single" w:color="000000" w:sz="4" w:space="0"/>
              <w:right w:val="single" w:color="000000" w:sz="4" w:space="0"/>
            </w:tcBorders>
            <w:vAlign w:val="center"/>
          </w:tcPr>
          <w:p w14:paraId="51C5D23A">
            <w:pPr>
              <w:jc w:val="center"/>
              <w:rPr>
                <w:rFonts w:ascii="宋体" w:cs="宋体"/>
                <w:b/>
                <w:color w:val="000000"/>
                <w:sz w:val="24"/>
              </w:rPr>
            </w:pPr>
            <w:r>
              <w:rPr>
                <w:rFonts w:hint="eastAsia" w:ascii="宋体" w:cs="宋体"/>
                <w:b/>
                <w:color w:val="000000"/>
                <w:sz w:val="24"/>
                <w:lang w:val="en-US" w:eastAsia="zh-CN"/>
              </w:rPr>
              <w:t>36.86</w:t>
            </w:r>
          </w:p>
        </w:tc>
      </w:tr>
      <w:tr w14:paraId="17821D4C">
        <w:tblPrEx>
          <w:tblCellMar>
            <w:top w:w="15" w:type="dxa"/>
            <w:left w:w="15" w:type="dxa"/>
            <w:bottom w:w="15" w:type="dxa"/>
            <w:right w:w="15" w:type="dxa"/>
          </w:tblCellMar>
        </w:tblPrEx>
        <w:trPr>
          <w:trHeight w:val="3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07E8847">
            <w:pPr>
              <w:jc w:val="center"/>
              <w:rPr>
                <w:rFonts w:ascii="宋体" w:cs="宋体"/>
                <w:color w:val="000000"/>
                <w:sz w:val="20"/>
                <w:szCs w:val="20"/>
              </w:rPr>
            </w:pPr>
          </w:p>
        </w:tc>
        <w:tc>
          <w:tcPr>
            <w:tcW w:w="1576" w:type="dxa"/>
            <w:gridSpan w:val="2"/>
            <w:tcBorders>
              <w:top w:val="single" w:color="000000" w:sz="4" w:space="0"/>
              <w:left w:val="single" w:color="000000" w:sz="4" w:space="0"/>
              <w:bottom w:val="single" w:color="000000" w:sz="4" w:space="0"/>
              <w:right w:val="single" w:color="000000" w:sz="4" w:space="0"/>
            </w:tcBorders>
            <w:vAlign w:val="center"/>
          </w:tcPr>
          <w:p w14:paraId="68EDDF5E">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693" w:type="dxa"/>
            <w:gridSpan w:val="2"/>
            <w:tcBorders>
              <w:top w:val="single" w:color="000000" w:sz="4" w:space="0"/>
              <w:left w:val="single" w:color="000000" w:sz="4" w:space="0"/>
              <w:bottom w:val="single" w:color="000000" w:sz="4" w:space="0"/>
              <w:right w:val="single" w:color="000000" w:sz="4" w:space="0"/>
            </w:tcBorders>
            <w:vAlign w:val="center"/>
          </w:tcPr>
          <w:p w14:paraId="414CDEA0">
            <w:pPr>
              <w:jc w:val="center"/>
              <w:rPr>
                <w:rFonts w:ascii="宋体" w:cs="宋体"/>
                <w:b/>
                <w:color w:val="000000"/>
                <w:sz w:val="24"/>
              </w:rPr>
            </w:pPr>
            <w:r>
              <w:rPr>
                <w:rFonts w:hint="eastAsia" w:ascii="宋体" w:cs="宋体"/>
                <w:b/>
                <w:color w:val="000000"/>
                <w:sz w:val="24"/>
                <w:lang w:val="en-US" w:eastAsia="zh-CN"/>
              </w:rPr>
              <w:t>36.86</w:t>
            </w:r>
          </w:p>
        </w:tc>
        <w:tc>
          <w:tcPr>
            <w:tcW w:w="1523" w:type="dxa"/>
            <w:tcBorders>
              <w:top w:val="single" w:color="000000" w:sz="4" w:space="0"/>
              <w:left w:val="single" w:color="000000" w:sz="4" w:space="0"/>
              <w:bottom w:val="single" w:color="000000" w:sz="4" w:space="0"/>
              <w:right w:val="single" w:color="000000" w:sz="4" w:space="0"/>
            </w:tcBorders>
            <w:vAlign w:val="center"/>
          </w:tcPr>
          <w:p w14:paraId="579F5E82">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098" w:type="dxa"/>
            <w:gridSpan w:val="2"/>
            <w:tcBorders>
              <w:top w:val="single" w:color="000000" w:sz="4" w:space="0"/>
              <w:left w:val="single" w:color="000000" w:sz="4" w:space="0"/>
              <w:bottom w:val="single" w:color="000000" w:sz="4" w:space="0"/>
              <w:right w:val="single" w:color="000000" w:sz="4" w:space="0"/>
            </w:tcBorders>
            <w:vAlign w:val="center"/>
          </w:tcPr>
          <w:p w14:paraId="5E439AB4">
            <w:pPr>
              <w:jc w:val="center"/>
              <w:rPr>
                <w:rFonts w:ascii="宋体" w:cs="宋体"/>
                <w:b/>
                <w:color w:val="000000"/>
                <w:sz w:val="24"/>
              </w:rPr>
            </w:pPr>
            <w:r>
              <w:rPr>
                <w:rFonts w:hint="eastAsia" w:ascii="宋体" w:cs="宋体"/>
                <w:b/>
                <w:color w:val="000000"/>
                <w:sz w:val="24"/>
                <w:lang w:val="en-US" w:eastAsia="zh-CN"/>
              </w:rPr>
              <w:t>36.86</w:t>
            </w:r>
          </w:p>
        </w:tc>
      </w:tr>
      <w:tr w14:paraId="3A9A3246">
        <w:tblPrEx>
          <w:tblCellMar>
            <w:top w:w="15" w:type="dxa"/>
            <w:left w:w="15" w:type="dxa"/>
            <w:bottom w:w="15" w:type="dxa"/>
            <w:right w:w="15" w:type="dxa"/>
          </w:tblCellMar>
        </w:tblPrEx>
        <w:trPr>
          <w:trHeight w:val="91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D9AB1FD">
            <w:pPr>
              <w:jc w:val="center"/>
              <w:rPr>
                <w:rFonts w:ascii="宋体" w:cs="宋体"/>
                <w:color w:val="000000"/>
                <w:sz w:val="20"/>
                <w:szCs w:val="20"/>
              </w:rPr>
            </w:pPr>
          </w:p>
        </w:tc>
        <w:tc>
          <w:tcPr>
            <w:tcW w:w="1576" w:type="dxa"/>
            <w:gridSpan w:val="2"/>
            <w:tcBorders>
              <w:top w:val="single" w:color="000000" w:sz="4" w:space="0"/>
              <w:left w:val="single" w:color="000000" w:sz="4" w:space="0"/>
              <w:bottom w:val="single" w:color="000000" w:sz="4" w:space="0"/>
              <w:right w:val="single" w:color="000000" w:sz="4" w:space="0"/>
            </w:tcBorders>
            <w:vAlign w:val="center"/>
          </w:tcPr>
          <w:p w14:paraId="6ADF3593">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693" w:type="dxa"/>
            <w:gridSpan w:val="2"/>
            <w:tcBorders>
              <w:top w:val="single" w:color="000000" w:sz="4" w:space="0"/>
              <w:left w:val="single" w:color="000000" w:sz="4" w:space="0"/>
              <w:bottom w:val="single" w:color="000000" w:sz="4" w:space="0"/>
              <w:right w:val="single" w:color="000000" w:sz="4" w:space="0"/>
            </w:tcBorders>
            <w:vAlign w:val="center"/>
          </w:tcPr>
          <w:p w14:paraId="3CEBD1BB">
            <w:pPr>
              <w:jc w:val="center"/>
              <w:rPr>
                <w:rFonts w:ascii="宋体" w:cs="宋体"/>
                <w:b/>
                <w:color w:val="000000"/>
                <w:sz w:val="24"/>
              </w:rPr>
            </w:pPr>
          </w:p>
        </w:tc>
        <w:tc>
          <w:tcPr>
            <w:tcW w:w="1523" w:type="dxa"/>
            <w:tcBorders>
              <w:top w:val="single" w:color="000000" w:sz="4" w:space="0"/>
              <w:left w:val="single" w:color="000000" w:sz="4" w:space="0"/>
              <w:bottom w:val="single" w:color="000000" w:sz="4" w:space="0"/>
              <w:right w:val="single" w:color="000000" w:sz="4" w:space="0"/>
            </w:tcBorders>
            <w:vAlign w:val="center"/>
          </w:tcPr>
          <w:p w14:paraId="47BA4B2D">
            <w:pPr>
              <w:widowControl/>
              <w:jc w:val="center"/>
              <w:textAlignment w:val="center"/>
              <w:rPr>
                <w:rFonts w:ascii="宋体" w:cs="宋体"/>
                <w:b/>
                <w:color w:val="000000"/>
                <w:sz w:val="24"/>
              </w:rPr>
            </w:pPr>
          </w:p>
        </w:tc>
        <w:tc>
          <w:tcPr>
            <w:tcW w:w="3098" w:type="dxa"/>
            <w:gridSpan w:val="2"/>
            <w:tcBorders>
              <w:top w:val="single" w:color="000000" w:sz="4" w:space="0"/>
              <w:left w:val="single" w:color="000000" w:sz="4" w:space="0"/>
              <w:bottom w:val="single" w:color="000000" w:sz="4" w:space="0"/>
              <w:right w:val="single" w:color="000000" w:sz="4" w:space="0"/>
            </w:tcBorders>
            <w:vAlign w:val="center"/>
          </w:tcPr>
          <w:p w14:paraId="416F8561">
            <w:pPr>
              <w:jc w:val="center"/>
              <w:rPr>
                <w:rFonts w:ascii="宋体" w:cs="宋体"/>
                <w:b/>
                <w:color w:val="000000"/>
                <w:sz w:val="24"/>
              </w:rPr>
            </w:pPr>
          </w:p>
        </w:tc>
      </w:tr>
      <w:tr w14:paraId="520FB2C0">
        <w:tblPrEx>
          <w:tblCellMar>
            <w:top w:w="15" w:type="dxa"/>
            <w:left w:w="15" w:type="dxa"/>
            <w:bottom w:w="15" w:type="dxa"/>
            <w:right w:w="15" w:type="dxa"/>
          </w:tblCellMar>
        </w:tblPrEx>
        <w:trPr>
          <w:trHeight w:val="360" w:hRule="atLeast"/>
        </w:trPr>
        <w:tc>
          <w:tcPr>
            <w:tcW w:w="390" w:type="dxa"/>
            <w:vMerge w:val="restart"/>
            <w:tcBorders>
              <w:top w:val="single" w:color="000000" w:sz="4" w:space="0"/>
              <w:left w:val="single" w:color="000000" w:sz="4" w:space="0"/>
              <w:bottom w:val="single" w:color="000000" w:sz="4" w:space="0"/>
              <w:right w:val="single" w:color="000000" w:sz="4" w:space="0"/>
            </w:tcBorders>
            <w:vAlign w:val="center"/>
          </w:tcPr>
          <w:p w14:paraId="02A43E99">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240" w:type="dxa"/>
            <w:gridSpan w:val="3"/>
            <w:tcBorders>
              <w:top w:val="single" w:color="000000" w:sz="4" w:space="0"/>
              <w:left w:val="single" w:color="000000" w:sz="4" w:space="0"/>
              <w:bottom w:val="single" w:color="000000" w:sz="4" w:space="0"/>
              <w:right w:val="single" w:color="000000" w:sz="4" w:space="0"/>
            </w:tcBorders>
            <w:vAlign w:val="center"/>
          </w:tcPr>
          <w:p w14:paraId="64952EBE">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5650" w:type="dxa"/>
            <w:gridSpan w:val="4"/>
            <w:tcBorders>
              <w:top w:val="single" w:color="000000" w:sz="4" w:space="0"/>
              <w:left w:val="single" w:color="000000" w:sz="4" w:space="0"/>
              <w:bottom w:val="single" w:color="000000" w:sz="4" w:space="0"/>
              <w:right w:val="single" w:color="000000" w:sz="4" w:space="0"/>
            </w:tcBorders>
            <w:vAlign w:val="center"/>
          </w:tcPr>
          <w:p w14:paraId="1E1033BC">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14:paraId="3C351B95">
        <w:tblPrEx>
          <w:tblCellMar>
            <w:top w:w="15" w:type="dxa"/>
            <w:left w:w="15" w:type="dxa"/>
            <w:bottom w:w="15" w:type="dxa"/>
            <w:right w:w="15" w:type="dxa"/>
          </w:tblCellMar>
        </w:tblPrEx>
        <w:trPr>
          <w:trHeight w:val="180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03541E4">
            <w:pPr>
              <w:jc w:val="center"/>
              <w:rPr>
                <w:rFonts w:ascii="宋体" w:cs="宋体"/>
                <w:color w:val="000000"/>
                <w:sz w:val="20"/>
                <w:szCs w:val="20"/>
              </w:rPr>
            </w:pPr>
          </w:p>
        </w:tc>
        <w:tc>
          <w:tcPr>
            <w:tcW w:w="2240" w:type="dxa"/>
            <w:gridSpan w:val="3"/>
            <w:tcBorders>
              <w:top w:val="single" w:color="000000" w:sz="4" w:space="0"/>
              <w:left w:val="single" w:color="000000" w:sz="4" w:space="0"/>
              <w:bottom w:val="single" w:color="000000" w:sz="4" w:space="0"/>
              <w:right w:val="single" w:color="000000" w:sz="4" w:space="0"/>
            </w:tcBorders>
            <w:vAlign w:val="center"/>
          </w:tcPr>
          <w:p w14:paraId="1F103F4D">
            <w:pPr>
              <w:widowControl/>
              <w:jc w:val="center"/>
              <w:textAlignment w:val="center"/>
              <w:rPr>
                <w:rFonts w:ascii="宋体" w:cs="宋体"/>
                <w:color w:val="000000"/>
                <w:kern w:val="0"/>
                <w:sz w:val="20"/>
                <w:szCs w:val="20"/>
              </w:rPr>
            </w:pPr>
            <w:r>
              <w:rPr>
                <w:rFonts w:hint="eastAsia" w:ascii="仿宋_GB2312" w:hAnsi="仿宋_GB2312" w:eastAsia="仿宋_GB2312" w:cs="仿宋_GB2312"/>
                <w:sz w:val="24"/>
              </w:rPr>
              <w:t>促进民管会成员工作积极性，保障寺庙工作开展。</w:t>
            </w:r>
          </w:p>
        </w:tc>
        <w:tc>
          <w:tcPr>
            <w:tcW w:w="5650" w:type="dxa"/>
            <w:gridSpan w:val="4"/>
            <w:tcBorders>
              <w:top w:val="single" w:color="000000" w:sz="4" w:space="0"/>
              <w:left w:val="single" w:color="000000" w:sz="4" w:space="0"/>
              <w:bottom w:val="single" w:color="000000" w:sz="4" w:space="0"/>
              <w:right w:val="single" w:color="000000" w:sz="4" w:space="0"/>
            </w:tcBorders>
            <w:vAlign w:val="center"/>
          </w:tcPr>
          <w:p w14:paraId="35D8416A">
            <w:pPr>
              <w:widowControl/>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促进民管会成员工作积极性，保障寺庙工作开展。</w:t>
            </w:r>
          </w:p>
        </w:tc>
      </w:tr>
      <w:tr w14:paraId="2C67576F">
        <w:tblPrEx>
          <w:tblCellMar>
            <w:top w:w="15" w:type="dxa"/>
            <w:left w:w="15" w:type="dxa"/>
            <w:bottom w:w="15" w:type="dxa"/>
            <w:right w:w="15" w:type="dxa"/>
          </w:tblCellMar>
        </w:tblPrEx>
        <w:trPr>
          <w:trHeight w:val="680" w:hRule="atLeast"/>
        </w:trPr>
        <w:tc>
          <w:tcPr>
            <w:tcW w:w="390" w:type="dxa"/>
            <w:vMerge w:val="restart"/>
            <w:tcBorders>
              <w:top w:val="single" w:color="000000" w:sz="4" w:space="0"/>
              <w:left w:val="single" w:color="000000" w:sz="4" w:space="0"/>
              <w:bottom w:val="single" w:color="000000" w:sz="4" w:space="0"/>
              <w:right w:val="single" w:color="000000" w:sz="4" w:space="0"/>
            </w:tcBorders>
            <w:vAlign w:val="center"/>
          </w:tcPr>
          <w:p w14:paraId="35F71CED">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664" w:type="dxa"/>
            <w:vMerge w:val="restart"/>
            <w:tcBorders>
              <w:top w:val="single" w:color="000000" w:sz="4" w:space="0"/>
              <w:left w:val="single" w:color="000000" w:sz="4" w:space="0"/>
              <w:bottom w:val="single" w:color="000000" w:sz="4" w:space="0"/>
              <w:right w:val="single" w:color="000000" w:sz="4" w:space="0"/>
            </w:tcBorders>
            <w:vAlign w:val="bottom"/>
          </w:tcPr>
          <w:p w14:paraId="758F3752">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912" w:type="dxa"/>
            <w:vMerge w:val="restart"/>
            <w:tcBorders>
              <w:top w:val="single" w:color="000000" w:sz="4" w:space="0"/>
              <w:left w:val="single" w:color="000000" w:sz="4" w:space="0"/>
              <w:bottom w:val="single" w:color="000000" w:sz="4" w:space="0"/>
              <w:right w:val="single" w:color="000000" w:sz="4" w:space="0"/>
            </w:tcBorders>
            <w:vAlign w:val="bottom"/>
          </w:tcPr>
          <w:p w14:paraId="2EE130E3">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664" w:type="dxa"/>
            <w:vMerge w:val="restart"/>
            <w:tcBorders>
              <w:top w:val="single" w:color="000000" w:sz="4" w:space="0"/>
              <w:left w:val="single" w:color="000000" w:sz="4" w:space="0"/>
              <w:bottom w:val="single" w:color="000000" w:sz="4" w:space="0"/>
              <w:right w:val="single" w:color="000000" w:sz="4" w:space="0"/>
            </w:tcBorders>
            <w:vAlign w:val="bottom"/>
          </w:tcPr>
          <w:p w14:paraId="00991786">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551" w:type="dxa"/>
            <w:gridSpan w:val="2"/>
            <w:vMerge w:val="restart"/>
            <w:tcBorders>
              <w:top w:val="single" w:color="000000" w:sz="4" w:space="0"/>
              <w:left w:val="single" w:color="000000" w:sz="4" w:space="0"/>
              <w:bottom w:val="single" w:color="000000" w:sz="4" w:space="0"/>
              <w:right w:val="single" w:color="000000" w:sz="4" w:space="0"/>
            </w:tcBorders>
            <w:vAlign w:val="bottom"/>
          </w:tcPr>
          <w:p w14:paraId="7B329FA2">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419" w:type="dxa"/>
            <w:vMerge w:val="restart"/>
            <w:tcBorders>
              <w:top w:val="single" w:color="000000" w:sz="4" w:space="0"/>
              <w:left w:val="single" w:color="000000" w:sz="4" w:space="0"/>
              <w:bottom w:val="single" w:color="000000" w:sz="4" w:space="0"/>
              <w:right w:val="single" w:color="000000" w:sz="4" w:space="0"/>
            </w:tcBorders>
            <w:vAlign w:val="bottom"/>
          </w:tcPr>
          <w:p w14:paraId="66CC0252">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680" w:type="dxa"/>
            <w:vMerge w:val="restart"/>
            <w:tcBorders>
              <w:top w:val="single" w:color="000000" w:sz="4" w:space="0"/>
              <w:left w:val="single" w:color="000000" w:sz="4" w:space="0"/>
              <w:bottom w:val="single" w:color="000000" w:sz="4" w:space="0"/>
              <w:right w:val="single" w:color="000000" w:sz="4" w:space="0"/>
            </w:tcBorders>
            <w:vAlign w:val="bottom"/>
          </w:tcPr>
          <w:p w14:paraId="6840BA8D">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14:paraId="59D24E1C">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B40E7E4">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vAlign w:val="bottom"/>
          </w:tcPr>
          <w:p w14:paraId="112302EB">
            <w:pPr>
              <w:jc w:val="center"/>
              <w:rPr>
                <w:rFonts w:ascii="宋体" w:cs="宋体"/>
                <w:b/>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vAlign w:val="bottom"/>
          </w:tcPr>
          <w:p w14:paraId="1769BCF4">
            <w:pPr>
              <w:jc w:val="center"/>
              <w:rPr>
                <w:rFonts w:ascii="宋体" w:cs="宋体"/>
                <w:b/>
                <w:color w:val="000000"/>
                <w:sz w:val="20"/>
                <w:szCs w:val="20"/>
              </w:rPr>
            </w:pPr>
          </w:p>
        </w:tc>
        <w:tc>
          <w:tcPr>
            <w:tcW w:w="664" w:type="dxa"/>
            <w:vMerge w:val="continue"/>
            <w:tcBorders>
              <w:top w:val="single" w:color="000000" w:sz="4" w:space="0"/>
              <w:left w:val="single" w:color="000000" w:sz="4" w:space="0"/>
              <w:bottom w:val="single" w:color="000000" w:sz="4" w:space="0"/>
              <w:right w:val="single" w:color="000000" w:sz="4" w:space="0"/>
            </w:tcBorders>
            <w:vAlign w:val="bottom"/>
          </w:tcPr>
          <w:p w14:paraId="40163049">
            <w:pPr>
              <w:jc w:val="center"/>
              <w:rPr>
                <w:rFonts w:ascii="宋体" w:cs="宋体"/>
                <w:b/>
                <w:color w:val="000000"/>
                <w:sz w:val="20"/>
                <w:szCs w:val="20"/>
              </w:rPr>
            </w:pPr>
          </w:p>
        </w:tc>
        <w:tc>
          <w:tcPr>
            <w:tcW w:w="2551" w:type="dxa"/>
            <w:gridSpan w:val="2"/>
            <w:vMerge w:val="continue"/>
            <w:tcBorders>
              <w:top w:val="single" w:color="000000" w:sz="4" w:space="0"/>
              <w:left w:val="single" w:color="000000" w:sz="4" w:space="0"/>
              <w:bottom w:val="single" w:color="000000" w:sz="4" w:space="0"/>
              <w:right w:val="single" w:color="000000" w:sz="4" w:space="0"/>
            </w:tcBorders>
            <w:vAlign w:val="bottom"/>
          </w:tcPr>
          <w:p w14:paraId="6536065A">
            <w:pPr>
              <w:jc w:val="center"/>
              <w:rPr>
                <w:rFonts w:ascii="宋体" w:cs="宋体"/>
                <w:b/>
                <w:color w:val="000000"/>
                <w:sz w:val="20"/>
                <w:szCs w:val="20"/>
              </w:rPr>
            </w:pPr>
          </w:p>
        </w:tc>
        <w:tc>
          <w:tcPr>
            <w:tcW w:w="1419" w:type="dxa"/>
            <w:vMerge w:val="continue"/>
            <w:tcBorders>
              <w:top w:val="single" w:color="000000" w:sz="4" w:space="0"/>
              <w:left w:val="single" w:color="000000" w:sz="4" w:space="0"/>
              <w:bottom w:val="single" w:color="000000" w:sz="4" w:space="0"/>
              <w:right w:val="single" w:color="000000" w:sz="4" w:space="0"/>
            </w:tcBorders>
            <w:vAlign w:val="bottom"/>
          </w:tcPr>
          <w:p w14:paraId="0CBEFD89">
            <w:pPr>
              <w:jc w:val="center"/>
              <w:rPr>
                <w:rFonts w:ascii="宋体" w:cs="宋体"/>
                <w:b/>
                <w:color w:val="000000"/>
                <w:sz w:val="20"/>
                <w:szCs w:val="20"/>
              </w:rPr>
            </w:pPr>
          </w:p>
        </w:tc>
        <w:tc>
          <w:tcPr>
            <w:tcW w:w="1680" w:type="dxa"/>
            <w:vMerge w:val="continue"/>
            <w:tcBorders>
              <w:top w:val="single" w:color="000000" w:sz="4" w:space="0"/>
              <w:left w:val="single" w:color="000000" w:sz="4" w:space="0"/>
              <w:bottom w:val="single" w:color="000000" w:sz="4" w:space="0"/>
              <w:right w:val="single" w:color="000000" w:sz="4" w:space="0"/>
            </w:tcBorders>
            <w:vAlign w:val="bottom"/>
          </w:tcPr>
          <w:p w14:paraId="6EC2DB2A">
            <w:pPr>
              <w:jc w:val="center"/>
              <w:rPr>
                <w:rFonts w:ascii="宋体" w:cs="宋体"/>
                <w:b/>
                <w:color w:val="000000"/>
                <w:sz w:val="20"/>
                <w:szCs w:val="20"/>
              </w:rPr>
            </w:pPr>
          </w:p>
        </w:tc>
      </w:tr>
      <w:tr w14:paraId="76E307B2">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1FCFAFF">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vAlign w:val="bottom"/>
          </w:tcPr>
          <w:p w14:paraId="7FB9DA52">
            <w:pPr>
              <w:jc w:val="center"/>
              <w:rPr>
                <w:rFonts w:ascii="宋体" w:cs="宋体"/>
                <w:b/>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vAlign w:val="bottom"/>
          </w:tcPr>
          <w:p w14:paraId="04815BB0">
            <w:pPr>
              <w:jc w:val="center"/>
              <w:rPr>
                <w:rFonts w:ascii="宋体" w:cs="宋体"/>
                <w:b/>
                <w:color w:val="000000"/>
                <w:sz w:val="20"/>
                <w:szCs w:val="20"/>
              </w:rPr>
            </w:pPr>
          </w:p>
        </w:tc>
        <w:tc>
          <w:tcPr>
            <w:tcW w:w="664" w:type="dxa"/>
            <w:vMerge w:val="continue"/>
            <w:tcBorders>
              <w:top w:val="single" w:color="000000" w:sz="4" w:space="0"/>
              <w:left w:val="single" w:color="000000" w:sz="4" w:space="0"/>
              <w:bottom w:val="single" w:color="000000" w:sz="4" w:space="0"/>
              <w:right w:val="single" w:color="000000" w:sz="4" w:space="0"/>
            </w:tcBorders>
            <w:vAlign w:val="bottom"/>
          </w:tcPr>
          <w:p w14:paraId="127A00CE">
            <w:pPr>
              <w:jc w:val="center"/>
              <w:rPr>
                <w:rFonts w:ascii="宋体" w:cs="宋体"/>
                <w:b/>
                <w:color w:val="000000"/>
                <w:sz w:val="20"/>
                <w:szCs w:val="20"/>
              </w:rPr>
            </w:pPr>
          </w:p>
        </w:tc>
        <w:tc>
          <w:tcPr>
            <w:tcW w:w="2551" w:type="dxa"/>
            <w:gridSpan w:val="2"/>
            <w:vMerge w:val="continue"/>
            <w:tcBorders>
              <w:top w:val="single" w:color="000000" w:sz="4" w:space="0"/>
              <w:left w:val="single" w:color="000000" w:sz="4" w:space="0"/>
              <w:bottom w:val="single" w:color="000000" w:sz="4" w:space="0"/>
              <w:right w:val="single" w:color="000000" w:sz="4" w:space="0"/>
            </w:tcBorders>
            <w:vAlign w:val="bottom"/>
          </w:tcPr>
          <w:p w14:paraId="51328326">
            <w:pPr>
              <w:jc w:val="center"/>
              <w:rPr>
                <w:rFonts w:ascii="宋体" w:cs="宋体"/>
                <w:b/>
                <w:color w:val="000000"/>
                <w:sz w:val="20"/>
                <w:szCs w:val="20"/>
              </w:rPr>
            </w:pPr>
          </w:p>
        </w:tc>
        <w:tc>
          <w:tcPr>
            <w:tcW w:w="1419" w:type="dxa"/>
            <w:vMerge w:val="continue"/>
            <w:tcBorders>
              <w:top w:val="single" w:color="000000" w:sz="4" w:space="0"/>
              <w:left w:val="single" w:color="000000" w:sz="4" w:space="0"/>
              <w:bottom w:val="single" w:color="000000" w:sz="4" w:space="0"/>
              <w:right w:val="single" w:color="000000" w:sz="4" w:space="0"/>
            </w:tcBorders>
            <w:vAlign w:val="bottom"/>
          </w:tcPr>
          <w:p w14:paraId="101DD3B7">
            <w:pPr>
              <w:jc w:val="center"/>
              <w:rPr>
                <w:rFonts w:ascii="宋体" w:cs="宋体"/>
                <w:b/>
                <w:color w:val="000000"/>
                <w:sz w:val="20"/>
                <w:szCs w:val="20"/>
              </w:rPr>
            </w:pPr>
          </w:p>
        </w:tc>
        <w:tc>
          <w:tcPr>
            <w:tcW w:w="1680" w:type="dxa"/>
            <w:vMerge w:val="continue"/>
            <w:tcBorders>
              <w:top w:val="single" w:color="000000" w:sz="4" w:space="0"/>
              <w:left w:val="single" w:color="000000" w:sz="4" w:space="0"/>
              <w:bottom w:val="single" w:color="000000" w:sz="4" w:space="0"/>
              <w:right w:val="single" w:color="000000" w:sz="4" w:space="0"/>
            </w:tcBorders>
            <w:vAlign w:val="bottom"/>
          </w:tcPr>
          <w:p w14:paraId="1E0A6BC1">
            <w:pPr>
              <w:jc w:val="center"/>
              <w:rPr>
                <w:rFonts w:ascii="宋体" w:cs="宋体"/>
                <w:b/>
                <w:color w:val="000000"/>
                <w:sz w:val="20"/>
                <w:szCs w:val="20"/>
              </w:rPr>
            </w:pPr>
          </w:p>
        </w:tc>
      </w:tr>
      <w:tr w14:paraId="01700270">
        <w:tblPrEx>
          <w:tblCellMar>
            <w:top w:w="15" w:type="dxa"/>
            <w:left w:w="15" w:type="dxa"/>
            <w:bottom w:w="15" w:type="dxa"/>
            <w:right w:w="15" w:type="dxa"/>
          </w:tblCellMar>
        </w:tblPrEx>
        <w:trPr>
          <w:trHeight w:val="99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68A4B37">
            <w:pPr>
              <w:jc w:val="center"/>
              <w:rPr>
                <w:rFonts w:ascii="仿宋_GB2312" w:hAnsi="宋体" w:eastAsia="仿宋_GB2312" w:cs="仿宋_GB2312"/>
                <w:color w:val="000000"/>
                <w:sz w:val="24"/>
              </w:rPr>
            </w:pPr>
          </w:p>
        </w:tc>
        <w:tc>
          <w:tcPr>
            <w:tcW w:w="6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5E07F294">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0EEEEBBD">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664" w:type="dxa"/>
            <w:tcBorders>
              <w:top w:val="single" w:color="000000" w:sz="4" w:space="0"/>
              <w:left w:val="single" w:color="000000" w:sz="4" w:space="0"/>
              <w:bottom w:val="single" w:color="000000" w:sz="4" w:space="0"/>
              <w:right w:val="single" w:color="000000" w:sz="4" w:space="0"/>
            </w:tcBorders>
            <w:vAlign w:val="bottom"/>
          </w:tcPr>
          <w:p w14:paraId="17F3397E">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137055D0">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14:paraId="030D74D7">
            <w:pPr>
              <w:jc w:val="center"/>
              <w:rPr>
                <w:rFonts w:ascii="宋体" w:cs="宋体"/>
                <w:color w:val="000000"/>
                <w:sz w:val="20"/>
                <w:szCs w:val="20"/>
              </w:rPr>
            </w:pPr>
            <w:r>
              <w:rPr>
                <w:rFonts w:hint="eastAsia" w:ascii="宋?" w:cs="宋?"/>
                <w:kern w:val="0"/>
                <w:sz w:val="20"/>
                <w:szCs w:val="20"/>
              </w:rPr>
              <w:t>社会满意效益100%</w:t>
            </w:r>
          </w:p>
        </w:tc>
        <w:tc>
          <w:tcPr>
            <w:tcW w:w="1680" w:type="dxa"/>
            <w:tcBorders>
              <w:top w:val="single" w:color="000000" w:sz="4" w:space="0"/>
              <w:left w:val="single" w:color="000000" w:sz="4" w:space="0"/>
              <w:bottom w:val="single" w:color="000000" w:sz="4" w:space="0"/>
              <w:right w:val="single" w:color="000000" w:sz="4" w:space="0"/>
            </w:tcBorders>
            <w:vAlign w:val="bottom"/>
          </w:tcPr>
          <w:p w14:paraId="20224C5F">
            <w:pPr>
              <w:widowControl/>
              <w:jc w:val="left"/>
              <w:textAlignment w:val="bottom"/>
              <w:rPr>
                <w:rFonts w:ascii="宋体" w:hAnsi="宋体" w:cs="宋体"/>
                <w:color w:val="000000"/>
                <w:kern w:val="0"/>
                <w:sz w:val="20"/>
                <w:szCs w:val="20"/>
              </w:rPr>
            </w:pPr>
            <w:r>
              <w:rPr>
                <w:rFonts w:hint="eastAsia" w:ascii="宋?" w:cs="宋?"/>
                <w:kern w:val="0"/>
                <w:sz w:val="20"/>
                <w:szCs w:val="20"/>
              </w:rPr>
              <w:t>社会满意效益100%</w:t>
            </w:r>
          </w:p>
        </w:tc>
      </w:tr>
      <w:tr w14:paraId="74D21385">
        <w:tblPrEx>
          <w:tblCellMar>
            <w:top w:w="15" w:type="dxa"/>
            <w:left w:w="15" w:type="dxa"/>
            <w:bottom w:w="15" w:type="dxa"/>
            <w:right w:w="15" w:type="dxa"/>
          </w:tblCellMar>
        </w:tblPrEx>
        <w:trPr>
          <w:trHeight w:val="70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3BEBFC6">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1753432">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60B2CD39">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14:paraId="6925EA1C">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6FD67C98">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419" w:type="dxa"/>
            <w:tcBorders>
              <w:top w:val="single" w:color="000000" w:sz="4" w:space="0"/>
              <w:left w:val="single" w:color="000000" w:sz="4" w:space="0"/>
              <w:bottom w:val="single" w:color="000000" w:sz="4" w:space="0"/>
              <w:right w:val="single" w:color="000000" w:sz="4" w:space="0"/>
            </w:tcBorders>
            <w:vAlign w:val="bottom"/>
          </w:tcPr>
          <w:p w14:paraId="73ADDEFB">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14:paraId="50C0D4AB">
            <w:pPr>
              <w:jc w:val="center"/>
              <w:rPr>
                <w:rFonts w:ascii="宋体" w:cs="宋体"/>
                <w:color w:val="000000"/>
                <w:sz w:val="20"/>
                <w:szCs w:val="20"/>
              </w:rPr>
            </w:pPr>
            <w:r>
              <w:rPr>
                <w:rFonts w:hint="eastAsia" w:ascii="宋体" w:hAnsi="宋体" w:cs="宋体"/>
                <w:color w:val="000000"/>
                <w:sz w:val="20"/>
                <w:szCs w:val="20"/>
              </w:rPr>
              <w:t>是</w:t>
            </w:r>
          </w:p>
        </w:tc>
      </w:tr>
      <w:tr w14:paraId="02505486">
        <w:tblPrEx>
          <w:tblCellMar>
            <w:top w:w="15" w:type="dxa"/>
            <w:left w:w="15" w:type="dxa"/>
            <w:bottom w:w="15" w:type="dxa"/>
            <w:right w:w="15" w:type="dxa"/>
          </w:tblCellMar>
        </w:tblPrEx>
        <w:trPr>
          <w:trHeight w:val="99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5893538">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9428903">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50159167">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14:paraId="3FD1042B">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2FA6E897">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14:paraId="6298636F">
            <w:pPr>
              <w:jc w:val="center"/>
              <w:rPr>
                <w:rFonts w:ascii="宋体" w:cs="宋体"/>
                <w:color w:val="000000"/>
                <w:sz w:val="20"/>
                <w:szCs w:val="20"/>
              </w:rPr>
            </w:pPr>
            <w:r>
              <w:rPr>
                <w:rFonts w:hint="eastAsia" w:ascii="宋?" w:cs="宋?"/>
                <w:kern w:val="0"/>
                <w:sz w:val="20"/>
                <w:szCs w:val="20"/>
              </w:rPr>
              <w:t>100%</w:t>
            </w:r>
          </w:p>
        </w:tc>
        <w:tc>
          <w:tcPr>
            <w:tcW w:w="1680" w:type="dxa"/>
            <w:tcBorders>
              <w:top w:val="single" w:color="000000" w:sz="4" w:space="0"/>
              <w:left w:val="single" w:color="000000" w:sz="4" w:space="0"/>
              <w:bottom w:val="single" w:color="000000" w:sz="4" w:space="0"/>
              <w:right w:val="single" w:color="000000" w:sz="4" w:space="0"/>
            </w:tcBorders>
            <w:vAlign w:val="bottom"/>
          </w:tcPr>
          <w:p w14:paraId="14EF847C">
            <w:pPr>
              <w:jc w:val="center"/>
              <w:rPr>
                <w:rFonts w:ascii="宋体" w:cs="宋体"/>
                <w:color w:val="000000"/>
                <w:sz w:val="20"/>
                <w:szCs w:val="20"/>
              </w:rPr>
            </w:pPr>
            <w:r>
              <w:rPr>
                <w:rFonts w:hint="eastAsia" w:ascii="宋?" w:cs="宋?"/>
                <w:kern w:val="0"/>
                <w:sz w:val="20"/>
                <w:szCs w:val="20"/>
              </w:rPr>
              <w:t>100%</w:t>
            </w:r>
          </w:p>
        </w:tc>
      </w:tr>
      <w:tr w14:paraId="175ED6B0">
        <w:tblPrEx>
          <w:tblCellMar>
            <w:top w:w="15" w:type="dxa"/>
            <w:left w:w="15" w:type="dxa"/>
            <w:bottom w:w="15" w:type="dxa"/>
            <w:right w:w="15" w:type="dxa"/>
          </w:tblCellMar>
        </w:tblPrEx>
        <w:trPr>
          <w:trHeight w:val="99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DCB37AE">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2EFE1A3">
            <w:pPr>
              <w:rPr>
                <w:rFonts w:ascii="宋体" w:cs="宋体"/>
                <w:color w:val="000000"/>
                <w:sz w:val="20"/>
                <w:szCs w:val="20"/>
              </w:rPr>
            </w:pP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4EE12CEF">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664" w:type="dxa"/>
            <w:tcBorders>
              <w:top w:val="single" w:color="000000" w:sz="4" w:space="0"/>
              <w:left w:val="single" w:color="000000" w:sz="4" w:space="0"/>
              <w:bottom w:val="single" w:color="000000" w:sz="4" w:space="0"/>
              <w:right w:val="single" w:color="000000" w:sz="4" w:space="0"/>
            </w:tcBorders>
            <w:vAlign w:val="bottom"/>
          </w:tcPr>
          <w:p w14:paraId="78E8C405">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6FECFDFC">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419" w:type="dxa"/>
            <w:tcBorders>
              <w:top w:val="single" w:color="000000" w:sz="4" w:space="0"/>
              <w:left w:val="single" w:color="000000" w:sz="4" w:space="0"/>
              <w:bottom w:val="single" w:color="000000" w:sz="4" w:space="0"/>
              <w:right w:val="single" w:color="000000" w:sz="4" w:space="0"/>
            </w:tcBorders>
            <w:vAlign w:val="bottom"/>
          </w:tcPr>
          <w:p w14:paraId="1F00E36A">
            <w:pPr>
              <w:jc w:val="center"/>
              <w:rPr>
                <w:rFonts w:ascii="宋体" w:cs="宋体"/>
                <w:color w:val="000000"/>
                <w:sz w:val="20"/>
                <w:szCs w:val="20"/>
              </w:rPr>
            </w:pPr>
            <w:r>
              <w:rPr>
                <w:rFonts w:hint="eastAsia" w:ascii="宋体" w:cs="宋体"/>
                <w:color w:val="000000"/>
                <w:sz w:val="20"/>
                <w:szCs w:val="20"/>
              </w:rPr>
              <w:t>符合</w:t>
            </w:r>
          </w:p>
        </w:tc>
        <w:tc>
          <w:tcPr>
            <w:tcW w:w="1680" w:type="dxa"/>
            <w:tcBorders>
              <w:top w:val="single" w:color="000000" w:sz="4" w:space="0"/>
              <w:left w:val="single" w:color="000000" w:sz="4" w:space="0"/>
              <w:bottom w:val="single" w:color="000000" w:sz="4" w:space="0"/>
              <w:right w:val="single" w:color="000000" w:sz="4" w:space="0"/>
            </w:tcBorders>
            <w:vAlign w:val="bottom"/>
          </w:tcPr>
          <w:p w14:paraId="5F75E276">
            <w:pPr>
              <w:jc w:val="center"/>
              <w:rPr>
                <w:rFonts w:ascii="宋体" w:cs="宋体"/>
                <w:color w:val="000000"/>
                <w:sz w:val="20"/>
                <w:szCs w:val="20"/>
              </w:rPr>
            </w:pPr>
            <w:r>
              <w:rPr>
                <w:rFonts w:hint="eastAsia" w:ascii="宋体" w:hAnsi="宋体" w:cs="宋体"/>
                <w:color w:val="000000"/>
                <w:sz w:val="20"/>
                <w:szCs w:val="20"/>
              </w:rPr>
              <w:t>符合</w:t>
            </w:r>
          </w:p>
        </w:tc>
      </w:tr>
      <w:tr w14:paraId="660F9025">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110EC2F">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CC05F46">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7B04C6FB">
            <w:pPr>
              <w:jc w:val="center"/>
              <w:rPr>
                <w:rFonts w:ascii="宋体" w:cs="宋体"/>
                <w:color w:val="000000"/>
                <w:sz w:val="20"/>
                <w:szCs w:val="20"/>
              </w:rPr>
            </w:pPr>
          </w:p>
        </w:tc>
        <w:tc>
          <w:tcPr>
            <w:tcW w:w="664" w:type="dxa"/>
            <w:vMerge w:val="restart"/>
            <w:tcBorders>
              <w:top w:val="single" w:color="000000" w:sz="4" w:space="0"/>
              <w:left w:val="single" w:color="000000" w:sz="4" w:space="0"/>
              <w:bottom w:val="single" w:color="000000" w:sz="4" w:space="0"/>
              <w:right w:val="single" w:color="000000" w:sz="4" w:space="0"/>
            </w:tcBorders>
            <w:vAlign w:val="bottom"/>
          </w:tcPr>
          <w:p w14:paraId="2759E44A">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29CEF515">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419" w:type="dxa"/>
            <w:tcBorders>
              <w:top w:val="single" w:color="000000" w:sz="4" w:space="0"/>
              <w:left w:val="single" w:color="000000" w:sz="4" w:space="0"/>
              <w:bottom w:val="single" w:color="000000" w:sz="4" w:space="0"/>
              <w:right w:val="single" w:color="000000" w:sz="4" w:space="0"/>
            </w:tcBorders>
            <w:vAlign w:val="bottom"/>
          </w:tcPr>
          <w:p w14:paraId="721FC233">
            <w:pPr>
              <w:jc w:val="center"/>
              <w:rPr>
                <w:rFonts w:ascii="宋体" w:cs="宋体"/>
                <w:color w:val="000000"/>
                <w:sz w:val="20"/>
                <w:szCs w:val="20"/>
              </w:rPr>
            </w:pPr>
            <w:r>
              <w:rPr>
                <w:rFonts w:hint="eastAsia" w:asci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14:paraId="351E2100">
            <w:pPr>
              <w:jc w:val="center"/>
              <w:rPr>
                <w:rFonts w:ascii="宋体" w:cs="宋体"/>
                <w:color w:val="000000"/>
                <w:sz w:val="20"/>
                <w:szCs w:val="20"/>
              </w:rPr>
            </w:pPr>
            <w:r>
              <w:rPr>
                <w:rFonts w:hint="eastAsia" w:ascii="宋体" w:cs="宋体"/>
                <w:color w:val="000000"/>
                <w:sz w:val="20"/>
                <w:szCs w:val="20"/>
              </w:rPr>
              <w:t>是</w:t>
            </w:r>
          </w:p>
        </w:tc>
      </w:tr>
      <w:tr w14:paraId="42655ABC">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080FF7B">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4A0F9BE">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02E94E85">
            <w:pPr>
              <w:jc w:val="center"/>
              <w:rPr>
                <w:rFonts w:ascii="宋体" w:cs="宋体"/>
                <w:color w:val="000000"/>
                <w:sz w:val="20"/>
                <w:szCs w:val="20"/>
              </w:rPr>
            </w:pPr>
          </w:p>
        </w:tc>
        <w:tc>
          <w:tcPr>
            <w:tcW w:w="664" w:type="dxa"/>
            <w:vMerge w:val="continue"/>
            <w:tcBorders>
              <w:top w:val="single" w:color="000000" w:sz="4" w:space="0"/>
              <w:left w:val="single" w:color="000000" w:sz="4" w:space="0"/>
              <w:bottom w:val="single" w:color="000000" w:sz="4" w:space="0"/>
              <w:right w:val="single" w:color="000000" w:sz="4" w:space="0"/>
            </w:tcBorders>
            <w:vAlign w:val="bottom"/>
          </w:tcPr>
          <w:p w14:paraId="3825E31F">
            <w:pPr>
              <w:jc w:val="center"/>
              <w:rPr>
                <w:rFonts w:ascii="宋体" w:cs="宋体"/>
                <w:color w:val="000000"/>
                <w:sz w:val="20"/>
                <w:szCs w:val="20"/>
              </w:rPr>
            </w:pP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4B4CA0A2">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419" w:type="dxa"/>
            <w:tcBorders>
              <w:top w:val="single" w:color="000000" w:sz="4" w:space="0"/>
              <w:left w:val="single" w:color="000000" w:sz="4" w:space="0"/>
              <w:bottom w:val="single" w:color="000000" w:sz="4" w:space="0"/>
              <w:right w:val="single" w:color="000000" w:sz="4" w:space="0"/>
            </w:tcBorders>
            <w:vAlign w:val="bottom"/>
          </w:tcPr>
          <w:p w14:paraId="2ECE69B6">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14:paraId="6E459AD2">
            <w:pPr>
              <w:jc w:val="center"/>
              <w:rPr>
                <w:rFonts w:ascii="宋体" w:cs="宋体"/>
                <w:color w:val="000000"/>
                <w:sz w:val="20"/>
                <w:szCs w:val="20"/>
              </w:rPr>
            </w:pPr>
            <w:r>
              <w:rPr>
                <w:rFonts w:hint="eastAsia" w:ascii="宋体" w:hAnsi="宋体" w:cs="宋体"/>
                <w:color w:val="000000"/>
                <w:sz w:val="20"/>
                <w:szCs w:val="20"/>
              </w:rPr>
              <w:t>是</w:t>
            </w:r>
          </w:p>
        </w:tc>
      </w:tr>
      <w:tr w14:paraId="273DD6DF">
        <w:tblPrEx>
          <w:tblCellMar>
            <w:top w:w="15" w:type="dxa"/>
            <w:left w:w="15" w:type="dxa"/>
            <w:bottom w:w="15" w:type="dxa"/>
            <w:right w:w="15" w:type="dxa"/>
          </w:tblCellMar>
        </w:tblPrEx>
        <w:trPr>
          <w:trHeight w:val="3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7E5D237">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1C00454">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09404EBC">
            <w:pPr>
              <w:jc w:val="center"/>
              <w:rPr>
                <w:rFonts w:ascii="宋体" w:cs="宋体"/>
                <w:color w:val="000000"/>
                <w:sz w:val="20"/>
                <w:szCs w:val="20"/>
              </w:rPr>
            </w:pPr>
          </w:p>
        </w:tc>
        <w:tc>
          <w:tcPr>
            <w:tcW w:w="664" w:type="dxa"/>
            <w:vMerge w:val="restart"/>
            <w:tcBorders>
              <w:top w:val="single" w:color="000000" w:sz="4" w:space="0"/>
              <w:left w:val="single" w:color="000000" w:sz="4" w:space="0"/>
              <w:bottom w:val="single" w:color="000000" w:sz="4" w:space="0"/>
              <w:right w:val="single" w:color="000000" w:sz="4" w:space="0"/>
            </w:tcBorders>
            <w:vAlign w:val="bottom"/>
          </w:tcPr>
          <w:p w14:paraId="3BF5C500">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461379A9">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419" w:type="dxa"/>
            <w:tcBorders>
              <w:top w:val="single" w:color="000000" w:sz="4" w:space="0"/>
              <w:left w:val="single" w:color="000000" w:sz="4" w:space="0"/>
              <w:bottom w:val="single" w:color="000000" w:sz="4" w:space="0"/>
              <w:right w:val="single" w:color="000000" w:sz="4" w:space="0"/>
            </w:tcBorders>
            <w:vAlign w:val="bottom"/>
          </w:tcPr>
          <w:p w14:paraId="668BFA74">
            <w:pPr>
              <w:jc w:val="center"/>
              <w:rPr>
                <w:rFonts w:ascii="宋体" w:cs="宋体"/>
                <w:color w:val="000000"/>
                <w:sz w:val="20"/>
                <w:szCs w:val="20"/>
              </w:rPr>
            </w:pPr>
            <w:r>
              <w:rPr>
                <w:rFonts w:hint="eastAsia" w:asci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14:paraId="797B5444">
            <w:pPr>
              <w:jc w:val="center"/>
              <w:rPr>
                <w:rFonts w:ascii="宋体" w:cs="宋体"/>
                <w:color w:val="000000"/>
                <w:sz w:val="20"/>
                <w:szCs w:val="20"/>
              </w:rPr>
            </w:pPr>
            <w:r>
              <w:rPr>
                <w:rFonts w:hint="eastAsia" w:ascii="宋体" w:cs="宋体"/>
                <w:color w:val="000000"/>
                <w:sz w:val="20"/>
                <w:szCs w:val="20"/>
              </w:rPr>
              <w:t>是</w:t>
            </w:r>
          </w:p>
        </w:tc>
      </w:tr>
      <w:tr w14:paraId="4C1B6663">
        <w:tblPrEx>
          <w:tblCellMar>
            <w:top w:w="15" w:type="dxa"/>
            <w:left w:w="15" w:type="dxa"/>
            <w:bottom w:w="15" w:type="dxa"/>
            <w:right w:w="15" w:type="dxa"/>
          </w:tblCellMar>
        </w:tblPrEx>
        <w:trPr>
          <w:trHeight w:val="80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8482387">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4B966DD">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1365FF44">
            <w:pPr>
              <w:jc w:val="center"/>
              <w:rPr>
                <w:rFonts w:ascii="宋体" w:cs="宋体"/>
                <w:color w:val="000000"/>
                <w:sz w:val="20"/>
                <w:szCs w:val="20"/>
              </w:rPr>
            </w:pPr>
          </w:p>
        </w:tc>
        <w:tc>
          <w:tcPr>
            <w:tcW w:w="664" w:type="dxa"/>
            <w:vMerge w:val="continue"/>
            <w:tcBorders>
              <w:top w:val="single" w:color="000000" w:sz="4" w:space="0"/>
              <w:left w:val="single" w:color="000000" w:sz="4" w:space="0"/>
              <w:bottom w:val="single" w:color="000000" w:sz="4" w:space="0"/>
              <w:right w:val="single" w:color="000000" w:sz="4" w:space="0"/>
            </w:tcBorders>
            <w:vAlign w:val="bottom"/>
          </w:tcPr>
          <w:p w14:paraId="005DE566">
            <w:pPr>
              <w:jc w:val="center"/>
              <w:rPr>
                <w:rFonts w:ascii="宋体" w:cs="宋体"/>
                <w:color w:val="000000"/>
                <w:sz w:val="20"/>
                <w:szCs w:val="20"/>
              </w:rPr>
            </w:pP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06241298">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419" w:type="dxa"/>
            <w:tcBorders>
              <w:top w:val="single" w:color="000000" w:sz="4" w:space="0"/>
              <w:left w:val="single" w:color="000000" w:sz="4" w:space="0"/>
              <w:bottom w:val="single" w:color="000000" w:sz="4" w:space="0"/>
              <w:right w:val="single" w:color="000000" w:sz="4" w:space="0"/>
            </w:tcBorders>
            <w:vAlign w:val="bottom"/>
          </w:tcPr>
          <w:p w14:paraId="25C9CACD">
            <w:pPr>
              <w:jc w:val="center"/>
              <w:rPr>
                <w:rFonts w:ascii="宋体" w:cs="宋体"/>
                <w:color w:val="000000"/>
                <w:sz w:val="20"/>
                <w:szCs w:val="20"/>
              </w:rPr>
            </w:pPr>
            <w:r>
              <w:rPr>
                <w:rFonts w:hint="eastAsia" w:ascii="宋体" w:hAnsi="宋体" w:cs="宋体"/>
                <w:color w:val="000000"/>
                <w:sz w:val="20"/>
                <w:szCs w:val="20"/>
              </w:rPr>
              <w:t>明确</w:t>
            </w:r>
          </w:p>
        </w:tc>
        <w:tc>
          <w:tcPr>
            <w:tcW w:w="1680" w:type="dxa"/>
            <w:tcBorders>
              <w:top w:val="single" w:color="000000" w:sz="4" w:space="0"/>
              <w:left w:val="single" w:color="000000" w:sz="4" w:space="0"/>
              <w:bottom w:val="single" w:color="000000" w:sz="4" w:space="0"/>
              <w:right w:val="single" w:color="000000" w:sz="4" w:space="0"/>
            </w:tcBorders>
            <w:vAlign w:val="bottom"/>
          </w:tcPr>
          <w:p w14:paraId="554EF161">
            <w:pPr>
              <w:jc w:val="center"/>
              <w:rPr>
                <w:rFonts w:ascii="宋体" w:cs="宋体"/>
                <w:color w:val="000000"/>
                <w:sz w:val="20"/>
                <w:szCs w:val="20"/>
              </w:rPr>
            </w:pPr>
            <w:r>
              <w:rPr>
                <w:rFonts w:hint="eastAsia" w:ascii="宋体" w:hAnsi="宋体" w:cs="宋体"/>
                <w:color w:val="000000"/>
                <w:sz w:val="20"/>
                <w:szCs w:val="20"/>
              </w:rPr>
              <w:t>明确</w:t>
            </w:r>
          </w:p>
        </w:tc>
      </w:tr>
      <w:tr w14:paraId="03995C91">
        <w:tblPrEx>
          <w:tblCellMar>
            <w:top w:w="15" w:type="dxa"/>
            <w:left w:w="15" w:type="dxa"/>
            <w:bottom w:w="15" w:type="dxa"/>
            <w:right w:w="15" w:type="dxa"/>
          </w:tblCellMar>
        </w:tblPrEx>
        <w:trPr>
          <w:trHeight w:val="88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BD46FC4">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40C6301">
            <w:pPr>
              <w:rPr>
                <w:rFonts w:ascii="宋体" w:cs="宋体"/>
                <w:color w:val="000000"/>
                <w:sz w:val="20"/>
                <w:szCs w:val="20"/>
              </w:rPr>
            </w:pP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579FAAAC">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664" w:type="dxa"/>
            <w:tcBorders>
              <w:top w:val="single" w:color="000000" w:sz="4" w:space="0"/>
              <w:left w:val="single" w:color="000000" w:sz="4" w:space="0"/>
              <w:bottom w:val="single" w:color="000000" w:sz="4" w:space="0"/>
              <w:right w:val="single" w:color="000000" w:sz="4" w:space="0"/>
            </w:tcBorders>
            <w:vAlign w:val="bottom"/>
          </w:tcPr>
          <w:p w14:paraId="099715B1">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7B4E9F7A">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419" w:type="dxa"/>
            <w:tcBorders>
              <w:top w:val="single" w:color="000000" w:sz="4" w:space="0"/>
              <w:left w:val="single" w:color="000000" w:sz="4" w:space="0"/>
              <w:bottom w:val="single" w:color="000000" w:sz="4" w:space="0"/>
              <w:right w:val="single" w:color="000000" w:sz="4" w:space="0"/>
            </w:tcBorders>
            <w:vAlign w:val="bottom"/>
          </w:tcPr>
          <w:p w14:paraId="3AC59947">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14:paraId="355299B2">
            <w:pPr>
              <w:jc w:val="center"/>
              <w:rPr>
                <w:rFonts w:ascii="宋体" w:cs="宋体"/>
                <w:color w:val="000000"/>
                <w:sz w:val="20"/>
                <w:szCs w:val="20"/>
              </w:rPr>
            </w:pPr>
            <w:r>
              <w:rPr>
                <w:rFonts w:hint="eastAsia" w:ascii="宋体" w:hAnsi="宋体" w:cs="宋体"/>
                <w:color w:val="000000"/>
                <w:sz w:val="20"/>
                <w:szCs w:val="20"/>
              </w:rPr>
              <w:t>是</w:t>
            </w:r>
          </w:p>
        </w:tc>
      </w:tr>
      <w:tr w14:paraId="253D7A99">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F8192DF">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C0D803D">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443E8D7B">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14:paraId="4F87F126">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28C3E3B3">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419" w:type="dxa"/>
            <w:tcBorders>
              <w:top w:val="single" w:color="000000" w:sz="4" w:space="0"/>
              <w:left w:val="single" w:color="000000" w:sz="4" w:space="0"/>
              <w:bottom w:val="single" w:color="000000" w:sz="4" w:space="0"/>
              <w:right w:val="single" w:color="000000" w:sz="4" w:space="0"/>
            </w:tcBorders>
            <w:vAlign w:val="bottom"/>
          </w:tcPr>
          <w:p w14:paraId="336A931F">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14:paraId="00395C27">
            <w:pPr>
              <w:jc w:val="center"/>
              <w:rPr>
                <w:rFonts w:ascii="宋体" w:cs="宋体"/>
                <w:color w:val="000000"/>
                <w:sz w:val="20"/>
                <w:szCs w:val="20"/>
              </w:rPr>
            </w:pPr>
            <w:r>
              <w:rPr>
                <w:rFonts w:hint="eastAsia" w:ascii="宋体" w:hAnsi="宋体" w:cs="宋体"/>
                <w:color w:val="000000"/>
                <w:sz w:val="20"/>
                <w:szCs w:val="20"/>
              </w:rPr>
              <w:t>是</w:t>
            </w:r>
          </w:p>
        </w:tc>
      </w:tr>
      <w:tr w14:paraId="628A7AE6">
        <w:tblPrEx>
          <w:tblCellMar>
            <w:top w:w="15" w:type="dxa"/>
            <w:left w:w="15" w:type="dxa"/>
            <w:bottom w:w="15" w:type="dxa"/>
            <w:right w:w="15" w:type="dxa"/>
          </w:tblCellMar>
        </w:tblPrEx>
        <w:trPr>
          <w:trHeight w:val="82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E6B5597">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BD0BFFC">
            <w:pPr>
              <w:rPr>
                <w:rFonts w:ascii="宋体" w:cs="宋体"/>
                <w:color w:val="000000"/>
                <w:sz w:val="20"/>
                <w:szCs w:val="20"/>
              </w:rPr>
            </w:pP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0CC5897D">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664" w:type="dxa"/>
            <w:tcBorders>
              <w:top w:val="single" w:color="000000" w:sz="4" w:space="0"/>
              <w:left w:val="single" w:color="000000" w:sz="4" w:space="0"/>
              <w:bottom w:val="single" w:color="000000" w:sz="4" w:space="0"/>
              <w:right w:val="single" w:color="000000" w:sz="4" w:space="0"/>
            </w:tcBorders>
            <w:vAlign w:val="bottom"/>
          </w:tcPr>
          <w:p w14:paraId="7F544A11">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300287A9">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14:paraId="2017168A">
            <w:pPr>
              <w:jc w:val="center"/>
              <w:rPr>
                <w:rFonts w:ascii="宋体" w:cs="宋体"/>
                <w:color w:val="000000"/>
                <w:sz w:val="20"/>
                <w:szCs w:val="20"/>
              </w:rPr>
            </w:pPr>
            <w:r>
              <w:rPr>
                <w:rFonts w:hint="eastAsia" w:ascii="宋体" w:cs="宋体"/>
                <w:color w:val="000000"/>
                <w:sz w:val="20"/>
                <w:szCs w:val="20"/>
              </w:rPr>
              <w:t>100%</w:t>
            </w:r>
          </w:p>
        </w:tc>
        <w:tc>
          <w:tcPr>
            <w:tcW w:w="1680" w:type="dxa"/>
            <w:tcBorders>
              <w:top w:val="single" w:color="000000" w:sz="4" w:space="0"/>
              <w:left w:val="single" w:color="000000" w:sz="4" w:space="0"/>
              <w:bottom w:val="single" w:color="000000" w:sz="4" w:space="0"/>
              <w:right w:val="single" w:color="000000" w:sz="4" w:space="0"/>
            </w:tcBorders>
            <w:vAlign w:val="bottom"/>
          </w:tcPr>
          <w:p w14:paraId="01827052">
            <w:pPr>
              <w:jc w:val="center"/>
              <w:rPr>
                <w:rFonts w:ascii="宋体" w:cs="宋体"/>
                <w:color w:val="000000"/>
                <w:sz w:val="20"/>
                <w:szCs w:val="20"/>
              </w:rPr>
            </w:pPr>
            <w:r>
              <w:rPr>
                <w:rFonts w:hint="eastAsia" w:ascii="宋?" w:cs="宋?"/>
                <w:kern w:val="0"/>
                <w:sz w:val="20"/>
                <w:szCs w:val="20"/>
              </w:rPr>
              <w:t>100%</w:t>
            </w:r>
          </w:p>
        </w:tc>
      </w:tr>
      <w:tr w14:paraId="3CA4F538">
        <w:tblPrEx>
          <w:tblCellMar>
            <w:top w:w="15" w:type="dxa"/>
            <w:left w:w="15" w:type="dxa"/>
            <w:bottom w:w="15" w:type="dxa"/>
            <w:right w:w="15" w:type="dxa"/>
          </w:tblCellMar>
        </w:tblPrEx>
        <w:trPr>
          <w:trHeight w:val="131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81167FD">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D82B60E">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12156D90">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14:paraId="2BECA429">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028" w:type="dxa"/>
            <w:tcBorders>
              <w:top w:val="single" w:color="000000" w:sz="4" w:space="0"/>
              <w:left w:val="single" w:color="000000" w:sz="4" w:space="0"/>
              <w:bottom w:val="single" w:color="000000" w:sz="4" w:space="0"/>
              <w:right w:val="single" w:color="000000" w:sz="4" w:space="0"/>
            </w:tcBorders>
            <w:vAlign w:val="bottom"/>
          </w:tcPr>
          <w:p w14:paraId="30E9F238">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523" w:type="dxa"/>
            <w:tcBorders>
              <w:top w:val="single" w:color="000000" w:sz="4" w:space="0"/>
              <w:left w:val="single" w:color="000000" w:sz="4" w:space="0"/>
              <w:bottom w:val="single" w:color="000000" w:sz="4" w:space="0"/>
              <w:right w:val="single" w:color="000000" w:sz="4" w:space="0"/>
            </w:tcBorders>
            <w:vAlign w:val="bottom"/>
          </w:tcPr>
          <w:p w14:paraId="4A7BB2B2">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14:paraId="3E2092D7">
            <w:pPr>
              <w:jc w:val="center"/>
              <w:rPr>
                <w:rFonts w:ascii="宋体" w:cs="宋体"/>
                <w:color w:val="000000"/>
                <w:sz w:val="20"/>
                <w:szCs w:val="20"/>
              </w:rPr>
            </w:pPr>
            <w:r>
              <w:rPr>
                <w:rFonts w:hint="eastAsia" w:ascii="宋?" w:cs="宋?"/>
                <w:kern w:val="0"/>
                <w:sz w:val="20"/>
                <w:szCs w:val="20"/>
              </w:rPr>
              <w:t>100%</w:t>
            </w:r>
          </w:p>
        </w:tc>
        <w:tc>
          <w:tcPr>
            <w:tcW w:w="1680" w:type="dxa"/>
            <w:tcBorders>
              <w:top w:val="single" w:color="000000" w:sz="4" w:space="0"/>
              <w:left w:val="single" w:color="000000" w:sz="4" w:space="0"/>
              <w:bottom w:val="single" w:color="000000" w:sz="4" w:space="0"/>
              <w:right w:val="single" w:color="000000" w:sz="4" w:space="0"/>
            </w:tcBorders>
            <w:vAlign w:val="bottom"/>
          </w:tcPr>
          <w:p w14:paraId="74A26C74">
            <w:pPr>
              <w:jc w:val="center"/>
              <w:rPr>
                <w:rFonts w:ascii="宋体" w:cs="宋体"/>
                <w:color w:val="000000"/>
                <w:sz w:val="20"/>
                <w:szCs w:val="20"/>
              </w:rPr>
            </w:pPr>
            <w:r>
              <w:rPr>
                <w:rFonts w:hint="eastAsia" w:ascii="宋?" w:cs="宋?"/>
                <w:kern w:val="0"/>
                <w:sz w:val="20"/>
                <w:szCs w:val="20"/>
              </w:rPr>
              <w:t>100%</w:t>
            </w:r>
          </w:p>
        </w:tc>
      </w:tr>
      <w:tr w14:paraId="6F051877">
        <w:tblPrEx>
          <w:tblCellMar>
            <w:top w:w="15" w:type="dxa"/>
            <w:left w:w="15" w:type="dxa"/>
            <w:bottom w:w="15" w:type="dxa"/>
            <w:right w:w="15" w:type="dxa"/>
          </w:tblCellMar>
        </w:tblPrEx>
        <w:trPr>
          <w:trHeight w:val="227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D18D0B7">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727D082">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4E934A0F">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14:paraId="2C07DD01">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028" w:type="dxa"/>
            <w:tcBorders>
              <w:top w:val="single" w:color="000000" w:sz="4" w:space="0"/>
              <w:left w:val="single" w:color="000000" w:sz="4" w:space="0"/>
              <w:bottom w:val="single" w:color="000000" w:sz="4" w:space="0"/>
              <w:right w:val="single" w:color="000000" w:sz="4" w:space="0"/>
            </w:tcBorders>
            <w:vAlign w:val="bottom"/>
          </w:tcPr>
          <w:p w14:paraId="433B5738">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523" w:type="dxa"/>
            <w:tcBorders>
              <w:top w:val="single" w:color="000000" w:sz="4" w:space="0"/>
              <w:left w:val="single" w:color="000000" w:sz="4" w:space="0"/>
              <w:bottom w:val="single" w:color="000000" w:sz="4" w:space="0"/>
              <w:right w:val="single" w:color="000000" w:sz="4" w:space="0"/>
            </w:tcBorders>
            <w:vAlign w:val="bottom"/>
          </w:tcPr>
          <w:p w14:paraId="2D8421A9">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419" w:type="dxa"/>
            <w:tcBorders>
              <w:top w:val="single" w:color="000000" w:sz="4" w:space="0"/>
              <w:left w:val="single" w:color="000000" w:sz="4" w:space="0"/>
              <w:bottom w:val="single" w:color="000000" w:sz="4" w:space="0"/>
              <w:right w:val="single" w:color="000000" w:sz="4" w:space="0"/>
            </w:tcBorders>
            <w:vAlign w:val="bottom"/>
          </w:tcPr>
          <w:p w14:paraId="4AB72E14">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14:paraId="1B728C24">
            <w:pPr>
              <w:jc w:val="center"/>
              <w:rPr>
                <w:rFonts w:ascii="宋体" w:cs="宋体"/>
                <w:color w:val="000000"/>
                <w:sz w:val="20"/>
                <w:szCs w:val="20"/>
              </w:rPr>
            </w:pPr>
            <w:r>
              <w:rPr>
                <w:rFonts w:hint="eastAsia" w:ascii="宋体" w:hAnsi="宋体" w:cs="宋体"/>
                <w:color w:val="000000"/>
                <w:sz w:val="20"/>
                <w:szCs w:val="20"/>
              </w:rPr>
              <w:t>是</w:t>
            </w:r>
          </w:p>
        </w:tc>
      </w:tr>
      <w:tr w14:paraId="1CBABF11">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730D946">
            <w:pPr>
              <w:jc w:val="center"/>
              <w:rPr>
                <w:rFonts w:ascii="仿宋_GB2312" w:hAnsi="宋体" w:eastAsia="仿宋_GB2312" w:cs="仿宋_GB2312"/>
                <w:color w:val="000000"/>
                <w:sz w:val="24"/>
              </w:rPr>
            </w:pPr>
          </w:p>
        </w:tc>
        <w:tc>
          <w:tcPr>
            <w:tcW w:w="6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4BD2B839">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5EE8CDDB">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664" w:type="dxa"/>
            <w:tcBorders>
              <w:top w:val="single" w:color="000000" w:sz="4" w:space="0"/>
              <w:left w:val="single" w:color="000000" w:sz="4" w:space="0"/>
              <w:bottom w:val="single" w:color="000000" w:sz="4" w:space="0"/>
              <w:right w:val="single" w:color="000000" w:sz="4" w:space="0"/>
            </w:tcBorders>
            <w:vAlign w:val="bottom"/>
          </w:tcPr>
          <w:p w14:paraId="2EC41AE1">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1A14C79A">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419" w:type="dxa"/>
            <w:tcBorders>
              <w:top w:val="single" w:color="000000" w:sz="4" w:space="0"/>
              <w:left w:val="single" w:color="000000" w:sz="4" w:space="0"/>
              <w:bottom w:val="single" w:color="000000" w:sz="4" w:space="0"/>
              <w:right w:val="single" w:color="000000" w:sz="4" w:space="0"/>
            </w:tcBorders>
            <w:vAlign w:val="bottom"/>
          </w:tcPr>
          <w:p w14:paraId="4B370E38">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14:paraId="34201DEA">
            <w:pPr>
              <w:jc w:val="center"/>
              <w:rPr>
                <w:rFonts w:ascii="宋体" w:cs="宋体"/>
                <w:color w:val="000000"/>
                <w:sz w:val="20"/>
                <w:szCs w:val="20"/>
              </w:rPr>
            </w:pPr>
            <w:r>
              <w:rPr>
                <w:rFonts w:hint="eastAsia" w:ascii="宋体" w:hAnsi="宋体" w:cs="宋体"/>
                <w:color w:val="000000"/>
                <w:sz w:val="20"/>
                <w:szCs w:val="20"/>
              </w:rPr>
              <w:t>是</w:t>
            </w:r>
          </w:p>
        </w:tc>
      </w:tr>
      <w:tr w14:paraId="199B1CF3">
        <w:tblPrEx>
          <w:tblCellMar>
            <w:top w:w="15" w:type="dxa"/>
            <w:left w:w="15" w:type="dxa"/>
            <w:bottom w:w="15" w:type="dxa"/>
            <w:right w:w="15" w:type="dxa"/>
          </w:tblCellMar>
        </w:tblPrEx>
        <w:trPr>
          <w:trHeight w:val="122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2BE0F15">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FEA9167">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CAE4A9A">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14:paraId="4F4AD8BC">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0FCFD980">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419" w:type="dxa"/>
            <w:tcBorders>
              <w:top w:val="single" w:color="000000" w:sz="4" w:space="0"/>
              <w:left w:val="single" w:color="000000" w:sz="4" w:space="0"/>
              <w:bottom w:val="single" w:color="000000" w:sz="4" w:space="0"/>
              <w:right w:val="single" w:color="000000" w:sz="4" w:space="0"/>
            </w:tcBorders>
            <w:vAlign w:val="bottom"/>
          </w:tcPr>
          <w:p w14:paraId="3F896EDD">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14:paraId="4FB7281A">
            <w:pPr>
              <w:jc w:val="center"/>
              <w:rPr>
                <w:rFonts w:ascii="宋体" w:cs="宋体"/>
                <w:color w:val="000000"/>
                <w:sz w:val="20"/>
                <w:szCs w:val="20"/>
              </w:rPr>
            </w:pPr>
            <w:r>
              <w:rPr>
                <w:rFonts w:hint="eastAsia" w:ascii="宋体" w:hAnsi="宋体" w:cs="宋体"/>
                <w:color w:val="000000"/>
                <w:sz w:val="20"/>
                <w:szCs w:val="20"/>
              </w:rPr>
              <w:t>是</w:t>
            </w:r>
          </w:p>
        </w:tc>
      </w:tr>
      <w:tr w14:paraId="538A106E">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01AA284">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304DDEB">
            <w:pPr>
              <w:rPr>
                <w:rFonts w:ascii="宋体" w:cs="宋体"/>
                <w:color w:val="000000"/>
                <w:sz w:val="20"/>
                <w:szCs w:val="20"/>
              </w:rPr>
            </w:pP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5CC11522">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664" w:type="dxa"/>
            <w:tcBorders>
              <w:top w:val="single" w:color="000000" w:sz="4" w:space="0"/>
              <w:left w:val="single" w:color="000000" w:sz="4" w:space="0"/>
              <w:bottom w:val="single" w:color="000000" w:sz="4" w:space="0"/>
              <w:right w:val="single" w:color="000000" w:sz="4" w:space="0"/>
            </w:tcBorders>
            <w:vAlign w:val="bottom"/>
          </w:tcPr>
          <w:p w14:paraId="7CEA75BE">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406EFF8A">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419" w:type="dxa"/>
            <w:tcBorders>
              <w:top w:val="single" w:color="000000" w:sz="4" w:space="0"/>
              <w:left w:val="single" w:color="000000" w:sz="4" w:space="0"/>
              <w:bottom w:val="single" w:color="000000" w:sz="4" w:space="0"/>
              <w:right w:val="single" w:color="000000" w:sz="4" w:space="0"/>
            </w:tcBorders>
            <w:vAlign w:val="bottom"/>
          </w:tcPr>
          <w:p w14:paraId="33C090BE">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14:paraId="520A1FEA">
            <w:pPr>
              <w:jc w:val="center"/>
              <w:rPr>
                <w:rFonts w:ascii="宋体" w:cs="宋体"/>
                <w:color w:val="000000"/>
                <w:sz w:val="20"/>
                <w:szCs w:val="20"/>
              </w:rPr>
            </w:pPr>
            <w:r>
              <w:rPr>
                <w:rFonts w:hint="eastAsia" w:ascii="宋体" w:hAnsi="宋体" w:cs="宋体"/>
                <w:color w:val="000000"/>
                <w:sz w:val="20"/>
                <w:szCs w:val="20"/>
              </w:rPr>
              <w:t>是</w:t>
            </w:r>
          </w:p>
        </w:tc>
      </w:tr>
      <w:tr w14:paraId="3370CD57">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EE280A6">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9C26AA3">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A631F7F">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14:paraId="18F59542">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5A5FDF80">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14:paraId="5854F903">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14:paraId="496984B8">
            <w:pPr>
              <w:jc w:val="center"/>
              <w:rPr>
                <w:rFonts w:ascii="宋体" w:cs="宋体"/>
                <w:color w:val="000000"/>
                <w:sz w:val="20"/>
                <w:szCs w:val="20"/>
              </w:rPr>
            </w:pPr>
            <w:r>
              <w:rPr>
                <w:rFonts w:hint="eastAsia" w:ascii="宋体" w:hAnsi="宋体" w:cs="宋体"/>
                <w:color w:val="000000"/>
                <w:sz w:val="20"/>
                <w:szCs w:val="20"/>
              </w:rPr>
              <w:t>是</w:t>
            </w:r>
          </w:p>
        </w:tc>
      </w:tr>
      <w:tr w14:paraId="00AB7EC6">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4193E6F">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74D0378">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53A0B0D">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14:paraId="02ED73EE">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5980C7FC">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14:paraId="7A75AD55">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14:paraId="5D2B61C4">
            <w:pPr>
              <w:jc w:val="center"/>
              <w:rPr>
                <w:rFonts w:ascii="宋体" w:cs="宋体"/>
                <w:color w:val="000000"/>
                <w:sz w:val="20"/>
                <w:szCs w:val="20"/>
              </w:rPr>
            </w:pPr>
            <w:r>
              <w:rPr>
                <w:rFonts w:hint="eastAsia" w:ascii="宋体" w:hAnsi="宋体" w:cs="宋体"/>
                <w:color w:val="000000"/>
                <w:sz w:val="20"/>
                <w:szCs w:val="20"/>
              </w:rPr>
              <w:t>是</w:t>
            </w:r>
          </w:p>
        </w:tc>
      </w:tr>
      <w:tr w14:paraId="58D172E9">
        <w:tblPrEx>
          <w:tblCellMar>
            <w:top w:w="15" w:type="dxa"/>
            <w:left w:w="15" w:type="dxa"/>
            <w:bottom w:w="15" w:type="dxa"/>
            <w:right w:w="15" w:type="dxa"/>
          </w:tblCellMar>
        </w:tblPrEx>
        <w:trPr>
          <w:trHeight w:val="79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D53627C">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59A05EB">
            <w:pPr>
              <w:rPr>
                <w:rFonts w:ascii="宋体" w:cs="宋体"/>
                <w:color w:val="000000"/>
                <w:sz w:val="20"/>
                <w:szCs w:val="20"/>
              </w:rPr>
            </w:pP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30FA96F0">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664" w:type="dxa"/>
            <w:tcBorders>
              <w:top w:val="single" w:color="000000" w:sz="4" w:space="0"/>
              <w:left w:val="single" w:color="000000" w:sz="4" w:space="0"/>
              <w:bottom w:val="single" w:color="000000" w:sz="4" w:space="0"/>
              <w:right w:val="single" w:color="000000" w:sz="4" w:space="0"/>
            </w:tcBorders>
            <w:vAlign w:val="bottom"/>
          </w:tcPr>
          <w:p w14:paraId="70BF2922">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020AE83D">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419" w:type="dxa"/>
            <w:tcBorders>
              <w:top w:val="single" w:color="000000" w:sz="4" w:space="0"/>
              <w:left w:val="single" w:color="000000" w:sz="4" w:space="0"/>
              <w:bottom w:val="single" w:color="000000" w:sz="4" w:space="0"/>
              <w:right w:val="single" w:color="000000" w:sz="4" w:space="0"/>
            </w:tcBorders>
            <w:vAlign w:val="bottom"/>
          </w:tcPr>
          <w:p w14:paraId="21E1EE04">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14:paraId="7DEFCB5E">
            <w:pPr>
              <w:jc w:val="center"/>
              <w:rPr>
                <w:rFonts w:ascii="宋体" w:cs="宋体"/>
                <w:color w:val="000000"/>
                <w:sz w:val="20"/>
                <w:szCs w:val="20"/>
              </w:rPr>
            </w:pPr>
            <w:r>
              <w:rPr>
                <w:rFonts w:hint="eastAsia" w:ascii="宋体" w:hAnsi="宋体" w:cs="宋体"/>
                <w:color w:val="000000"/>
                <w:sz w:val="20"/>
                <w:szCs w:val="20"/>
              </w:rPr>
              <w:t>是</w:t>
            </w:r>
          </w:p>
        </w:tc>
      </w:tr>
      <w:tr w14:paraId="0A6372FD">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F3E1505">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E2DFC62">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913142B">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14:paraId="60C1F99F">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2D299C22">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419" w:type="dxa"/>
            <w:tcBorders>
              <w:top w:val="single" w:color="000000" w:sz="4" w:space="0"/>
              <w:left w:val="single" w:color="000000" w:sz="4" w:space="0"/>
              <w:bottom w:val="single" w:color="000000" w:sz="4" w:space="0"/>
              <w:right w:val="single" w:color="000000" w:sz="4" w:space="0"/>
            </w:tcBorders>
            <w:vAlign w:val="bottom"/>
          </w:tcPr>
          <w:p w14:paraId="736BBD0B">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14:paraId="60B4E227">
            <w:pPr>
              <w:jc w:val="center"/>
              <w:rPr>
                <w:rFonts w:ascii="宋体" w:cs="宋体"/>
                <w:color w:val="000000"/>
                <w:sz w:val="20"/>
                <w:szCs w:val="20"/>
              </w:rPr>
            </w:pPr>
            <w:r>
              <w:rPr>
                <w:rFonts w:hint="eastAsia" w:ascii="宋体" w:hAnsi="宋体" w:cs="宋体"/>
                <w:color w:val="000000"/>
                <w:sz w:val="20"/>
                <w:szCs w:val="20"/>
              </w:rPr>
              <w:t>是</w:t>
            </w:r>
          </w:p>
        </w:tc>
      </w:tr>
      <w:tr w14:paraId="4876574D">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02B22E8">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685F372">
            <w:pPr>
              <w:rPr>
                <w:rFonts w:ascii="宋体" w:cs="宋体"/>
                <w:color w:val="000000"/>
                <w:sz w:val="20"/>
                <w:szCs w:val="20"/>
              </w:rPr>
            </w:pP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59D64FE9">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664" w:type="dxa"/>
            <w:tcBorders>
              <w:top w:val="single" w:color="000000" w:sz="4" w:space="0"/>
              <w:left w:val="single" w:color="000000" w:sz="4" w:space="0"/>
              <w:bottom w:val="single" w:color="000000" w:sz="4" w:space="0"/>
              <w:right w:val="single" w:color="000000" w:sz="4" w:space="0"/>
            </w:tcBorders>
            <w:vAlign w:val="bottom"/>
          </w:tcPr>
          <w:p w14:paraId="3C274BB6">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7456A6A3">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419" w:type="dxa"/>
            <w:tcBorders>
              <w:top w:val="single" w:color="000000" w:sz="4" w:space="0"/>
              <w:left w:val="single" w:color="000000" w:sz="4" w:space="0"/>
              <w:bottom w:val="single" w:color="000000" w:sz="4" w:space="0"/>
              <w:right w:val="single" w:color="000000" w:sz="4" w:space="0"/>
            </w:tcBorders>
            <w:vAlign w:val="bottom"/>
          </w:tcPr>
          <w:p w14:paraId="0B237CBB">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14:paraId="18F16C88">
            <w:pPr>
              <w:jc w:val="center"/>
              <w:rPr>
                <w:rFonts w:ascii="宋体" w:cs="宋体"/>
                <w:color w:val="000000"/>
                <w:sz w:val="20"/>
                <w:szCs w:val="20"/>
              </w:rPr>
            </w:pPr>
            <w:r>
              <w:rPr>
                <w:rFonts w:hint="eastAsia" w:ascii="宋体" w:hAnsi="宋体" w:cs="宋体"/>
                <w:color w:val="000000"/>
                <w:sz w:val="20"/>
                <w:szCs w:val="20"/>
              </w:rPr>
              <w:t>是</w:t>
            </w:r>
          </w:p>
        </w:tc>
      </w:tr>
      <w:tr w14:paraId="7E9F91D4">
        <w:tblPrEx>
          <w:tblCellMar>
            <w:top w:w="15" w:type="dxa"/>
            <w:left w:w="15" w:type="dxa"/>
            <w:bottom w:w="15" w:type="dxa"/>
            <w:right w:w="15" w:type="dxa"/>
          </w:tblCellMar>
        </w:tblPrEx>
        <w:trPr>
          <w:trHeight w:val="9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C18CBE0">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98C2600">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15843EB0">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14:paraId="22978287">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561F6C2A">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14:paraId="049AD587">
            <w:pPr>
              <w:jc w:val="center"/>
              <w:rPr>
                <w:rFonts w:ascii="宋体" w:cs="宋体"/>
                <w:color w:val="000000"/>
                <w:sz w:val="20"/>
                <w:szCs w:val="20"/>
              </w:rPr>
            </w:pPr>
            <w:r>
              <w:rPr>
                <w:rFonts w:hint="eastAsia" w:ascii="宋体" w:hAnsi="宋体" w:cs="宋体"/>
                <w:color w:val="000000"/>
                <w:sz w:val="20"/>
                <w:szCs w:val="20"/>
              </w:rPr>
              <w:t>未出现更改</w:t>
            </w:r>
          </w:p>
        </w:tc>
        <w:tc>
          <w:tcPr>
            <w:tcW w:w="1680" w:type="dxa"/>
            <w:tcBorders>
              <w:top w:val="single" w:color="000000" w:sz="4" w:space="0"/>
              <w:left w:val="single" w:color="000000" w:sz="4" w:space="0"/>
              <w:bottom w:val="single" w:color="000000" w:sz="4" w:space="0"/>
              <w:right w:val="single" w:color="000000" w:sz="4" w:space="0"/>
            </w:tcBorders>
            <w:vAlign w:val="bottom"/>
          </w:tcPr>
          <w:p w14:paraId="5F534E4B">
            <w:pPr>
              <w:jc w:val="center"/>
              <w:rPr>
                <w:rFonts w:ascii="宋体" w:cs="宋体"/>
                <w:color w:val="000000"/>
                <w:sz w:val="20"/>
                <w:szCs w:val="20"/>
              </w:rPr>
            </w:pPr>
            <w:r>
              <w:rPr>
                <w:rFonts w:hint="eastAsia" w:ascii="宋体" w:cs="宋体"/>
                <w:color w:val="000000"/>
                <w:sz w:val="20"/>
                <w:szCs w:val="20"/>
              </w:rPr>
              <w:t>未出现更改</w:t>
            </w:r>
          </w:p>
        </w:tc>
      </w:tr>
      <w:tr w14:paraId="455AD944">
        <w:tblPrEx>
          <w:tblCellMar>
            <w:top w:w="15" w:type="dxa"/>
            <w:left w:w="15" w:type="dxa"/>
            <w:bottom w:w="15" w:type="dxa"/>
            <w:right w:w="15" w:type="dxa"/>
          </w:tblCellMar>
        </w:tblPrEx>
        <w:trPr>
          <w:trHeight w:val="82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692AAE6">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FEDF2C2">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167DC875">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14:paraId="7C09CE49">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76E46F54">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419" w:type="dxa"/>
            <w:tcBorders>
              <w:top w:val="single" w:color="000000" w:sz="4" w:space="0"/>
              <w:left w:val="single" w:color="000000" w:sz="4" w:space="0"/>
              <w:bottom w:val="single" w:color="000000" w:sz="4" w:space="0"/>
              <w:right w:val="single" w:color="000000" w:sz="4" w:space="0"/>
            </w:tcBorders>
            <w:vAlign w:val="bottom"/>
          </w:tcPr>
          <w:p w14:paraId="114567F8">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14:paraId="48EDE0F5">
            <w:pPr>
              <w:jc w:val="center"/>
              <w:rPr>
                <w:rFonts w:ascii="宋体" w:cs="宋体"/>
                <w:color w:val="000000"/>
                <w:sz w:val="20"/>
                <w:szCs w:val="20"/>
              </w:rPr>
            </w:pPr>
            <w:r>
              <w:rPr>
                <w:rFonts w:hint="eastAsia" w:ascii="宋体" w:hAnsi="宋体" w:cs="宋体"/>
                <w:color w:val="000000"/>
                <w:sz w:val="20"/>
                <w:szCs w:val="20"/>
              </w:rPr>
              <w:t>是</w:t>
            </w:r>
          </w:p>
        </w:tc>
      </w:tr>
      <w:tr w14:paraId="7848D899">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83BE213">
            <w:pPr>
              <w:jc w:val="center"/>
              <w:rPr>
                <w:rFonts w:ascii="仿宋_GB2312" w:hAnsi="宋体" w:eastAsia="仿宋_GB2312" w:cs="仿宋_GB2312"/>
                <w:color w:val="000000"/>
                <w:sz w:val="24"/>
              </w:rPr>
            </w:pPr>
          </w:p>
        </w:tc>
        <w:tc>
          <w:tcPr>
            <w:tcW w:w="6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49B73AA1">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28923A47">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664" w:type="dxa"/>
            <w:tcBorders>
              <w:top w:val="single" w:color="000000" w:sz="4" w:space="0"/>
              <w:left w:val="single" w:color="000000" w:sz="4" w:space="0"/>
              <w:bottom w:val="single" w:color="000000" w:sz="4" w:space="0"/>
              <w:right w:val="single" w:color="000000" w:sz="4" w:space="0"/>
            </w:tcBorders>
            <w:vAlign w:val="bottom"/>
          </w:tcPr>
          <w:p w14:paraId="1EE365F5">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0523062D">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14:paraId="6B42BE7F">
            <w:pPr>
              <w:jc w:val="center"/>
              <w:rPr>
                <w:rFonts w:ascii="宋体" w:cs="宋体"/>
                <w:color w:val="000000"/>
                <w:sz w:val="20"/>
                <w:szCs w:val="20"/>
              </w:rPr>
            </w:pPr>
            <w:r>
              <w:rPr>
                <w:rFonts w:hint="eastAsia" w:ascii="宋?" w:cs="宋?"/>
                <w:kern w:val="0"/>
                <w:sz w:val="20"/>
                <w:szCs w:val="20"/>
              </w:rPr>
              <w:t>100%</w:t>
            </w:r>
          </w:p>
        </w:tc>
        <w:tc>
          <w:tcPr>
            <w:tcW w:w="1680" w:type="dxa"/>
            <w:tcBorders>
              <w:top w:val="single" w:color="000000" w:sz="4" w:space="0"/>
              <w:left w:val="single" w:color="000000" w:sz="4" w:space="0"/>
              <w:bottom w:val="single" w:color="000000" w:sz="4" w:space="0"/>
              <w:right w:val="single" w:color="000000" w:sz="4" w:space="0"/>
            </w:tcBorders>
            <w:vAlign w:val="bottom"/>
          </w:tcPr>
          <w:p w14:paraId="2B0B19A3">
            <w:pPr>
              <w:jc w:val="center"/>
              <w:rPr>
                <w:rFonts w:ascii="宋体" w:cs="宋体"/>
                <w:color w:val="000000"/>
                <w:sz w:val="20"/>
                <w:szCs w:val="20"/>
              </w:rPr>
            </w:pPr>
            <w:r>
              <w:rPr>
                <w:rFonts w:hint="eastAsia" w:ascii="宋?" w:cs="宋?"/>
                <w:kern w:val="0"/>
                <w:sz w:val="20"/>
                <w:szCs w:val="20"/>
              </w:rPr>
              <w:t>100%</w:t>
            </w:r>
          </w:p>
        </w:tc>
      </w:tr>
      <w:tr w14:paraId="25352517">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8796B67">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64B8CD1">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1E780820">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14:paraId="6F30D273">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7F10E296">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419" w:type="dxa"/>
            <w:tcBorders>
              <w:top w:val="single" w:color="000000" w:sz="4" w:space="0"/>
              <w:left w:val="single" w:color="000000" w:sz="4" w:space="0"/>
              <w:bottom w:val="single" w:color="000000" w:sz="4" w:space="0"/>
              <w:right w:val="single" w:color="000000" w:sz="4" w:space="0"/>
            </w:tcBorders>
            <w:vAlign w:val="bottom"/>
          </w:tcPr>
          <w:p w14:paraId="19D67616">
            <w:pPr>
              <w:jc w:val="center"/>
              <w:rPr>
                <w:rFonts w:ascii="宋体" w:cs="宋体"/>
                <w:color w:val="000000"/>
                <w:sz w:val="20"/>
                <w:szCs w:val="20"/>
              </w:rPr>
            </w:pPr>
            <w:r>
              <w:rPr>
                <w:rFonts w:hint="eastAsia" w:ascii="宋体" w:hAnsi="宋体" w:cs="宋体"/>
                <w:color w:val="000000"/>
                <w:sz w:val="20"/>
                <w:szCs w:val="20"/>
              </w:rPr>
              <w:t>是</w:t>
            </w:r>
          </w:p>
        </w:tc>
        <w:tc>
          <w:tcPr>
            <w:tcW w:w="1680" w:type="dxa"/>
            <w:tcBorders>
              <w:top w:val="single" w:color="000000" w:sz="4" w:space="0"/>
              <w:left w:val="single" w:color="000000" w:sz="4" w:space="0"/>
              <w:bottom w:val="single" w:color="000000" w:sz="4" w:space="0"/>
              <w:right w:val="single" w:color="000000" w:sz="4" w:space="0"/>
            </w:tcBorders>
            <w:vAlign w:val="bottom"/>
          </w:tcPr>
          <w:p w14:paraId="09DFB385">
            <w:pPr>
              <w:jc w:val="center"/>
              <w:rPr>
                <w:rFonts w:ascii="宋体" w:cs="宋体"/>
                <w:color w:val="000000"/>
                <w:sz w:val="20"/>
                <w:szCs w:val="20"/>
              </w:rPr>
            </w:pPr>
            <w:r>
              <w:rPr>
                <w:rFonts w:hint="eastAsia" w:ascii="宋体" w:hAnsi="宋体" w:cs="宋体"/>
                <w:color w:val="000000"/>
                <w:sz w:val="20"/>
                <w:szCs w:val="20"/>
              </w:rPr>
              <w:t>是</w:t>
            </w:r>
          </w:p>
        </w:tc>
      </w:tr>
      <w:tr w14:paraId="00E49865">
        <w:tblPrEx>
          <w:tblCellMar>
            <w:top w:w="15" w:type="dxa"/>
            <w:left w:w="15" w:type="dxa"/>
            <w:bottom w:w="15" w:type="dxa"/>
            <w:right w:w="15" w:type="dxa"/>
          </w:tblCellMar>
        </w:tblPrEx>
        <w:trPr>
          <w:trHeight w:val="99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9B58B69">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1558D8F">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0E0BC58B">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14:paraId="1FC0E1C4">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41E20B1C">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14:paraId="2D8AF1B4">
            <w:pPr>
              <w:jc w:val="center"/>
              <w:rPr>
                <w:rFonts w:ascii="宋体" w:cs="宋体"/>
                <w:color w:val="000000"/>
                <w:sz w:val="20"/>
                <w:szCs w:val="20"/>
              </w:rPr>
            </w:pPr>
            <w:r>
              <w:rPr>
                <w:rFonts w:hint="eastAsia" w:ascii="宋体" w:hAnsi="宋体" w:cs="宋体"/>
                <w:color w:val="000000"/>
                <w:sz w:val="20"/>
                <w:szCs w:val="20"/>
              </w:rPr>
              <w:t>100%</w:t>
            </w:r>
          </w:p>
        </w:tc>
        <w:tc>
          <w:tcPr>
            <w:tcW w:w="1680" w:type="dxa"/>
            <w:tcBorders>
              <w:top w:val="single" w:color="000000" w:sz="4" w:space="0"/>
              <w:left w:val="single" w:color="000000" w:sz="4" w:space="0"/>
              <w:bottom w:val="single" w:color="000000" w:sz="4" w:space="0"/>
              <w:right w:val="single" w:color="000000" w:sz="4" w:space="0"/>
            </w:tcBorders>
            <w:vAlign w:val="bottom"/>
          </w:tcPr>
          <w:p w14:paraId="271B0241">
            <w:pPr>
              <w:jc w:val="center"/>
              <w:rPr>
                <w:rFonts w:ascii="宋体" w:cs="宋体"/>
                <w:color w:val="000000"/>
                <w:sz w:val="20"/>
                <w:szCs w:val="20"/>
              </w:rPr>
            </w:pPr>
            <w:r>
              <w:rPr>
                <w:rFonts w:hint="eastAsia" w:ascii="宋体" w:hAnsi="宋体" w:cs="宋体"/>
                <w:color w:val="000000"/>
                <w:sz w:val="20"/>
                <w:szCs w:val="20"/>
              </w:rPr>
              <w:t>100%</w:t>
            </w:r>
          </w:p>
        </w:tc>
      </w:tr>
      <w:tr w14:paraId="1570B2B0">
        <w:tblPrEx>
          <w:tblCellMar>
            <w:top w:w="15" w:type="dxa"/>
            <w:left w:w="15" w:type="dxa"/>
            <w:bottom w:w="15" w:type="dxa"/>
            <w:right w:w="15" w:type="dxa"/>
          </w:tblCellMar>
        </w:tblPrEx>
        <w:trPr>
          <w:trHeight w:val="68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2535787">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BAE3ECD">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3995E725">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14:paraId="08E316CE">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7609E02A">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419" w:type="dxa"/>
            <w:tcBorders>
              <w:top w:val="single" w:color="000000" w:sz="4" w:space="0"/>
              <w:left w:val="single" w:color="000000" w:sz="4" w:space="0"/>
              <w:bottom w:val="single" w:color="000000" w:sz="4" w:space="0"/>
              <w:right w:val="single" w:color="000000" w:sz="4" w:space="0"/>
            </w:tcBorders>
            <w:vAlign w:val="bottom"/>
          </w:tcPr>
          <w:p w14:paraId="2EA2B90D">
            <w:pPr>
              <w:jc w:val="center"/>
              <w:rPr>
                <w:rFonts w:ascii="宋体" w:cs="宋体"/>
                <w:color w:val="000000"/>
                <w:sz w:val="20"/>
                <w:szCs w:val="20"/>
              </w:rPr>
            </w:pPr>
            <w:r>
              <w:rPr>
                <w:rFonts w:ascii="宋体" w:hAnsi="宋体" w:cs="宋体"/>
                <w:color w:val="000000"/>
                <w:sz w:val="20"/>
                <w:szCs w:val="20"/>
              </w:rPr>
              <w:t>100%</w:t>
            </w:r>
          </w:p>
        </w:tc>
        <w:tc>
          <w:tcPr>
            <w:tcW w:w="1680" w:type="dxa"/>
            <w:tcBorders>
              <w:top w:val="single" w:color="000000" w:sz="4" w:space="0"/>
              <w:left w:val="single" w:color="000000" w:sz="4" w:space="0"/>
              <w:bottom w:val="single" w:color="000000" w:sz="4" w:space="0"/>
              <w:right w:val="single" w:color="000000" w:sz="4" w:space="0"/>
            </w:tcBorders>
            <w:vAlign w:val="bottom"/>
          </w:tcPr>
          <w:p w14:paraId="15DB3BC0">
            <w:pPr>
              <w:jc w:val="center"/>
              <w:rPr>
                <w:rFonts w:ascii="宋体" w:cs="宋体"/>
                <w:color w:val="000000"/>
                <w:sz w:val="20"/>
                <w:szCs w:val="20"/>
              </w:rPr>
            </w:pPr>
            <w:r>
              <w:rPr>
                <w:rFonts w:ascii="宋体" w:hAnsi="宋体" w:cs="宋体"/>
                <w:color w:val="000000"/>
                <w:sz w:val="20"/>
                <w:szCs w:val="20"/>
              </w:rPr>
              <w:t>100%</w:t>
            </w:r>
          </w:p>
        </w:tc>
      </w:tr>
      <w:tr w14:paraId="3FAD1A28">
        <w:tblPrEx>
          <w:tblCellMar>
            <w:top w:w="15" w:type="dxa"/>
            <w:left w:w="15" w:type="dxa"/>
            <w:bottom w:w="15" w:type="dxa"/>
            <w:right w:w="15" w:type="dxa"/>
          </w:tblCellMar>
        </w:tblPrEx>
        <w:trPr>
          <w:trHeight w:val="99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9AEB8E7">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0666FA1">
            <w:pPr>
              <w:rPr>
                <w:rFonts w:ascii="宋体" w:cs="宋体"/>
                <w:color w:val="000000"/>
                <w:sz w:val="20"/>
                <w:szCs w:val="20"/>
              </w:rPr>
            </w:pPr>
          </w:p>
        </w:tc>
        <w:tc>
          <w:tcPr>
            <w:tcW w:w="912"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14:paraId="6EFEFACA">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664" w:type="dxa"/>
            <w:tcBorders>
              <w:top w:val="single" w:color="000000" w:sz="4" w:space="0"/>
              <w:left w:val="single" w:color="000000" w:sz="4" w:space="0"/>
              <w:bottom w:val="single" w:color="000000" w:sz="4" w:space="0"/>
              <w:right w:val="single" w:color="000000" w:sz="4" w:space="0"/>
            </w:tcBorders>
            <w:vAlign w:val="bottom"/>
          </w:tcPr>
          <w:p w14:paraId="3C11037F">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69D8359E">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419" w:type="dxa"/>
            <w:tcBorders>
              <w:top w:val="single" w:color="000000" w:sz="4" w:space="0"/>
              <w:left w:val="single" w:color="000000" w:sz="4" w:space="0"/>
              <w:bottom w:val="single" w:color="000000" w:sz="4" w:space="0"/>
              <w:right w:val="single" w:color="000000" w:sz="4" w:space="0"/>
            </w:tcBorders>
            <w:vAlign w:val="bottom"/>
          </w:tcPr>
          <w:p w14:paraId="296A61CE">
            <w:pPr>
              <w:jc w:val="center"/>
              <w:rPr>
                <w:rFonts w:ascii="宋体" w:cs="宋体"/>
                <w:color w:val="000000"/>
                <w:sz w:val="20"/>
                <w:szCs w:val="20"/>
              </w:rPr>
            </w:pPr>
            <w:r>
              <w:rPr>
                <w:rFonts w:hint="eastAsia" w:ascii="宋?" w:hAnsi="宋?" w:cs="宋?"/>
                <w:sz w:val="20"/>
                <w:szCs w:val="20"/>
              </w:rPr>
              <w:t>补助标准</w:t>
            </w:r>
          </w:p>
        </w:tc>
        <w:tc>
          <w:tcPr>
            <w:tcW w:w="1680" w:type="dxa"/>
            <w:tcBorders>
              <w:top w:val="single" w:color="000000" w:sz="4" w:space="0"/>
              <w:left w:val="single" w:color="000000" w:sz="4" w:space="0"/>
              <w:bottom w:val="single" w:color="000000" w:sz="4" w:space="0"/>
              <w:right w:val="single" w:color="000000" w:sz="4" w:space="0"/>
            </w:tcBorders>
            <w:vAlign w:val="bottom"/>
          </w:tcPr>
          <w:p w14:paraId="5544D700">
            <w:pPr>
              <w:jc w:val="center"/>
              <w:rPr>
                <w:rFonts w:ascii="宋体" w:cs="宋体"/>
                <w:color w:val="000000"/>
                <w:sz w:val="20"/>
                <w:szCs w:val="20"/>
              </w:rPr>
            </w:pPr>
            <w:r>
              <w:rPr>
                <w:rFonts w:hint="eastAsia" w:ascii="宋?" w:hAnsi="宋?" w:cs="宋?"/>
                <w:sz w:val="20"/>
                <w:szCs w:val="20"/>
              </w:rPr>
              <w:t>补助标准</w:t>
            </w:r>
          </w:p>
        </w:tc>
      </w:tr>
      <w:tr w14:paraId="268981AE">
        <w:tblPrEx>
          <w:tblCellMar>
            <w:top w:w="15" w:type="dxa"/>
            <w:left w:w="15" w:type="dxa"/>
            <w:bottom w:w="15" w:type="dxa"/>
            <w:right w:w="15" w:type="dxa"/>
          </w:tblCellMar>
        </w:tblPrEx>
        <w:trPr>
          <w:trHeight w:val="131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4B3919B">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E2D888D">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102D4562">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14:paraId="5E40A57E">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19B70C15">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419" w:type="dxa"/>
            <w:tcBorders>
              <w:top w:val="single" w:color="000000" w:sz="4" w:space="0"/>
              <w:left w:val="single" w:color="000000" w:sz="4" w:space="0"/>
              <w:bottom w:val="single" w:color="000000" w:sz="4" w:space="0"/>
              <w:right w:val="single" w:color="000000" w:sz="4" w:space="0"/>
            </w:tcBorders>
            <w:vAlign w:val="bottom"/>
          </w:tcPr>
          <w:p w14:paraId="5AD63878">
            <w:pPr>
              <w:jc w:val="center"/>
              <w:rPr>
                <w:rFonts w:ascii="宋体" w:cs="宋体"/>
                <w:color w:val="000000"/>
                <w:sz w:val="20"/>
                <w:szCs w:val="20"/>
              </w:rPr>
            </w:pPr>
            <w:r>
              <w:rPr>
                <w:rFonts w:hint="eastAsia" w:ascii="仿宋_GB2312" w:hAnsi="仿宋_GB2312" w:eastAsia="仿宋_GB2312" w:cs="仿宋_GB2312"/>
                <w:sz w:val="24"/>
              </w:rPr>
              <w:t>促进民管会成员工作积极性，保障寺庙工作开展。</w:t>
            </w:r>
          </w:p>
        </w:tc>
        <w:tc>
          <w:tcPr>
            <w:tcW w:w="1680" w:type="dxa"/>
            <w:tcBorders>
              <w:top w:val="single" w:color="000000" w:sz="4" w:space="0"/>
              <w:left w:val="single" w:color="000000" w:sz="4" w:space="0"/>
              <w:bottom w:val="single" w:color="000000" w:sz="4" w:space="0"/>
              <w:right w:val="single" w:color="000000" w:sz="4" w:space="0"/>
            </w:tcBorders>
            <w:vAlign w:val="bottom"/>
          </w:tcPr>
          <w:p w14:paraId="72754445">
            <w:pPr>
              <w:jc w:val="center"/>
              <w:rPr>
                <w:rFonts w:ascii="宋体" w:cs="宋体"/>
                <w:color w:val="000000"/>
                <w:sz w:val="20"/>
                <w:szCs w:val="20"/>
              </w:rPr>
            </w:pPr>
            <w:r>
              <w:rPr>
                <w:rFonts w:hint="eastAsia" w:ascii="仿宋_GB2312" w:hAnsi="仿宋_GB2312" w:eastAsia="仿宋_GB2312" w:cs="仿宋_GB2312"/>
                <w:sz w:val="24"/>
              </w:rPr>
              <w:t>促进民管会成员工作积极性，保障寺庙工作开展。</w:t>
            </w:r>
          </w:p>
        </w:tc>
      </w:tr>
      <w:tr w14:paraId="5FB279C0">
        <w:tblPrEx>
          <w:tblCellMar>
            <w:top w:w="15" w:type="dxa"/>
            <w:left w:w="15" w:type="dxa"/>
            <w:bottom w:w="15" w:type="dxa"/>
            <w:right w:w="15" w:type="dxa"/>
          </w:tblCellMar>
        </w:tblPrEx>
        <w:trPr>
          <w:trHeight w:val="131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748925E">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4CA81D3">
            <w:pPr>
              <w:rPr>
                <w:rFonts w:ascii="宋体" w:cs="宋体"/>
                <w:color w:val="000000"/>
                <w:sz w:val="20"/>
                <w:szCs w:val="20"/>
              </w:rPr>
            </w:pPr>
          </w:p>
        </w:tc>
        <w:tc>
          <w:tcPr>
            <w:tcW w:w="912"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14:paraId="5938B20B">
            <w:pPr>
              <w:jc w:val="center"/>
              <w:rPr>
                <w:rFonts w:ascii="宋体" w:cs="宋体"/>
                <w:color w:val="000000"/>
                <w:sz w:val="20"/>
                <w:szCs w:val="20"/>
              </w:rPr>
            </w:pPr>
          </w:p>
        </w:tc>
        <w:tc>
          <w:tcPr>
            <w:tcW w:w="664" w:type="dxa"/>
            <w:tcBorders>
              <w:top w:val="single" w:color="000000" w:sz="4" w:space="0"/>
              <w:left w:val="single" w:color="000000" w:sz="4" w:space="0"/>
              <w:bottom w:val="single" w:color="000000" w:sz="4" w:space="0"/>
              <w:right w:val="single" w:color="000000" w:sz="4" w:space="0"/>
            </w:tcBorders>
            <w:vAlign w:val="bottom"/>
          </w:tcPr>
          <w:p w14:paraId="7499490C">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551" w:type="dxa"/>
            <w:gridSpan w:val="2"/>
            <w:tcBorders>
              <w:top w:val="single" w:color="000000" w:sz="4" w:space="0"/>
              <w:left w:val="single" w:color="000000" w:sz="4" w:space="0"/>
              <w:bottom w:val="single" w:color="000000" w:sz="4" w:space="0"/>
              <w:right w:val="single" w:color="000000" w:sz="4" w:space="0"/>
            </w:tcBorders>
            <w:vAlign w:val="bottom"/>
          </w:tcPr>
          <w:p w14:paraId="0247FC5F">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419" w:type="dxa"/>
            <w:tcBorders>
              <w:top w:val="single" w:color="000000" w:sz="4" w:space="0"/>
              <w:left w:val="single" w:color="000000" w:sz="4" w:space="0"/>
              <w:bottom w:val="single" w:color="000000" w:sz="4" w:space="0"/>
              <w:right w:val="single" w:color="000000" w:sz="4" w:space="0"/>
            </w:tcBorders>
            <w:vAlign w:val="bottom"/>
          </w:tcPr>
          <w:p w14:paraId="3FE8F99A">
            <w:pPr>
              <w:jc w:val="left"/>
              <w:rPr>
                <w:rFonts w:ascii="宋体" w:cs="宋体"/>
                <w:color w:val="000000"/>
                <w:sz w:val="20"/>
                <w:szCs w:val="20"/>
              </w:rPr>
            </w:pPr>
            <w:r>
              <w:rPr>
                <w:rFonts w:hint="eastAsia" w:ascii="仿宋_GB2312" w:hAnsi="仿宋_GB2312" w:eastAsia="仿宋_GB2312" w:cs="仿宋_GB2312"/>
                <w:sz w:val="24"/>
              </w:rPr>
              <w:t>促进民管会成员工作积极性，保障寺庙工作开展。</w:t>
            </w:r>
          </w:p>
        </w:tc>
        <w:tc>
          <w:tcPr>
            <w:tcW w:w="1680" w:type="dxa"/>
            <w:tcBorders>
              <w:top w:val="single" w:color="000000" w:sz="4" w:space="0"/>
              <w:left w:val="single" w:color="000000" w:sz="4" w:space="0"/>
              <w:bottom w:val="single" w:color="000000" w:sz="4" w:space="0"/>
              <w:right w:val="single" w:color="000000" w:sz="4" w:space="0"/>
            </w:tcBorders>
            <w:vAlign w:val="bottom"/>
          </w:tcPr>
          <w:p w14:paraId="373F7E54">
            <w:pPr>
              <w:jc w:val="left"/>
              <w:rPr>
                <w:rFonts w:ascii="宋体" w:cs="宋体"/>
                <w:color w:val="000000"/>
                <w:sz w:val="20"/>
                <w:szCs w:val="20"/>
              </w:rPr>
            </w:pPr>
            <w:r>
              <w:rPr>
                <w:rFonts w:hint="eastAsia" w:ascii="仿宋_GB2312" w:hAnsi="仿宋_GB2312" w:eastAsia="仿宋_GB2312" w:cs="仿宋_GB2312"/>
                <w:sz w:val="24"/>
              </w:rPr>
              <w:t>促进民管会成员工作积极性，保障寺庙工作开展。</w:t>
            </w:r>
          </w:p>
        </w:tc>
      </w:tr>
      <w:tr w14:paraId="5B92B210">
        <w:tblPrEx>
          <w:tblCellMar>
            <w:top w:w="15" w:type="dxa"/>
            <w:left w:w="15" w:type="dxa"/>
            <w:bottom w:w="15" w:type="dxa"/>
            <w:right w:w="15" w:type="dxa"/>
          </w:tblCellMar>
        </w:tblPrEx>
        <w:trPr>
          <w:trHeight w:val="11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9978178">
            <w:pPr>
              <w:jc w:val="center"/>
              <w:rPr>
                <w:rFonts w:ascii="仿宋_GB2312" w:hAnsi="宋体" w:eastAsia="仿宋_GB2312" w:cs="仿宋_GB2312"/>
                <w:color w:val="000000"/>
                <w:sz w:val="24"/>
              </w:rPr>
            </w:pPr>
          </w:p>
        </w:tc>
        <w:tc>
          <w:tcPr>
            <w:tcW w:w="6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7AABD30">
            <w:pPr>
              <w:rPr>
                <w:rFonts w:ascii="宋体" w:cs="宋体"/>
                <w:color w:val="000000"/>
                <w:sz w:val="20"/>
                <w:szCs w:val="20"/>
              </w:rPr>
            </w:pPr>
          </w:p>
        </w:tc>
        <w:tc>
          <w:tcPr>
            <w:tcW w:w="912" w:type="dxa"/>
            <w:tcBorders>
              <w:top w:val="single" w:color="000000" w:sz="4" w:space="0"/>
              <w:left w:val="single" w:color="000000" w:sz="4" w:space="0"/>
              <w:bottom w:val="single" w:color="000000" w:sz="4" w:space="0"/>
              <w:right w:val="single" w:color="000000" w:sz="4" w:space="0"/>
            </w:tcBorders>
            <w:vAlign w:val="center"/>
          </w:tcPr>
          <w:p w14:paraId="71C65573">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664" w:type="dxa"/>
            <w:tcBorders>
              <w:top w:val="single" w:color="000000" w:sz="4" w:space="0"/>
              <w:left w:val="single" w:color="000000" w:sz="4" w:space="0"/>
              <w:bottom w:val="single" w:color="000000" w:sz="4" w:space="0"/>
              <w:right w:val="single" w:color="000000" w:sz="4" w:space="0"/>
            </w:tcBorders>
            <w:vAlign w:val="center"/>
          </w:tcPr>
          <w:p w14:paraId="18B27A46">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3A688883">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419" w:type="dxa"/>
            <w:tcBorders>
              <w:top w:val="single" w:color="000000" w:sz="4" w:space="0"/>
              <w:left w:val="single" w:color="000000" w:sz="4" w:space="0"/>
              <w:bottom w:val="single" w:color="000000" w:sz="4" w:space="0"/>
              <w:right w:val="single" w:color="000000" w:sz="4" w:space="0"/>
            </w:tcBorders>
            <w:vAlign w:val="bottom"/>
          </w:tcPr>
          <w:p w14:paraId="7EE4815B">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680" w:type="dxa"/>
            <w:tcBorders>
              <w:top w:val="single" w:color="000000" w:sz="4" w:space="0"/>
              <w:left w:val="single" w:color="000000" w:sz="4" w:space="0"/>
              <w:bottom w:val="single" w:color="000000" w:sz="4" w:space="0"/>
              <w:right w:val="single" w:color="000000" w:sz="4" w:space="0"/>
            </w:tcBorders>
            <w:vAlign w:val="bottom"/>
          </w:tcPr>
          <w:p w14:paraId="1F1244E9">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14:paraId="24BD8FEE">
      <w:pPr>
        <w:pStyle w:val="2"/>
        <w:spacing w:line="560" w:lineRule="exact"/>
        <w:ind w:left="0" w:leftChars="0" w:firstLine="640"/>
        <w:rPr>
          <w:rFonts w:ascii="Times New Roman" w:eastAsia="仿宋_GB2312" w:cs="仿宋_GB2312"/>
          <w:kern w:val="0"/>
          <w:sz w:val="32"/>
          <w:lang w:val="zh-CN"/>
        </w:rPr>
      </w:pPr>
      <w:r>
        <w:rPr>
          <w:rFonts w:hint="eastAsia" w:ascii="Times New Roman" w:eastAsia="仿宋_GB2312" w:cs="仿宋_GB2312"/>
          <w:kern w:val="0"/>
          <w:sz w:val="32"/>
        </w:rPr>
        <w:t>（注：按照绩效自评工作安排，各部门已在预算管理一体化系统绩效自评模块上传“部门预算项目支出绩效自评表（2024年度）”，该表格应作为附表予以公开）</w:t>
      </w:r>
    </w:p>
    <w:p w14:paraId="059BB02E">
      <w:pPr>
        <w:pStyle w:val="2"/>
        <w:spacing w:line="560" w:lineRule="exact"/>
        <w:ind w:left="0" w:leftChars="0" w:firstLine="0" w:firstLineChars="0"/>
        <w:rPr>
          <w:rFonts w:ascii="Times New Roman"/>
          <w:sz w:val="32"/>
          <w:highlight w:val="yellow"/>
          <w:lang w:val="zh-CN"/>
        </w:rPr>
      </w:pPr>
    </w:p>
    <w:p w14:paraId="6D14E68B">
      <w:pPr>
        <w:pStyle w:val="7"/>
        <w:spacing w:before="93"/>
        <w:rPr>
          <w:rFonts w:ascii="Times New Roman" w:cs="宋体"/>
          <w:color w:val="FF0000"/>
          <w:sz w:val="32"/>
          <w:szCs w:val="32"/>
          <w:highlight w:val="yellow"/>
          <w:shd w:val="clear" w:color="auto" w:fill="FFFFFF"/>
          <w:lang w:val="zh-CN"/>
        </w:rPr>
      </w:pPr>
    </w:p>
    <w:p w14:paraId="64476FD7">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4167CBE5">
      <w:pPr>
        <w:spacing w:line="578" w:lineRule="exact"/>
        <w:ind w:firstLine="640"/>
        <w:rPr>
          <w:rFonts w:eastAsia="仿宋_GB2312" w:cs="仿宋_GB2312"/>
          <w:kern w:val="0"/>
          <w:sz w:val="32"/>
          <w:szCs w:val="32"/>
        </w:rPr>
      </w:pPr>
      <w:bookmarkStart w:id="52" w:name="_Toc15396618"/>
      <w:bookmarkStart w:id="66" w:name="_GoBack"/>
      <w:bookmarkEnd w:id="66"/>
    </w:p>
    <w:p w14:paraId="73775D58">
      <w:pPr>
        <w:widowControl/>
        <w:jc w:val="center"/>
        <w:rPr>
          <w:rFonts w:eastAsia="仿宋"/>
        </w:rPr>
      </w:pPr>
      <w:r>
        <w:rPr>
          <w:rFonts w:hint="eastAsia" w:eastAsia="黑体"/>
          <w:sz w:val="44"/>
          <w:szCs w:val="44"/>
        </w:rPr>
        <w:t>第</w:t>
      </w:r>
      <w:r>
        <w:rPr>
          <w:rStyle w:val="29"/>
          <w:rFonts w:hint="eastAsia" w:eastAsia="黑体"/>
          <w:b w:val="0"/>
        </w:rPr>
        <w:t>五部分 附表</w:t>
      </w:r>
      <w:bookmarkEnd w:id="50"/>
      <w:bookmarkEnd w:id="52"/>
      <w:bookmarkStart w:id="53" w:name="_Toc15396619"/>
    </w:p>
    <w:p w14:paraId="67C4E274">
      <w:pPr>
        <w:pStyle w:val="14"/>
        <w:adjustRightInd w:val="0"/>
        <w:snapToGrid w:val="0"/>
        <w:spacing w:line="560" w:lineRule="exact"/>
        <w:jc w:val="left"/>
        <w:rPr>
          <w:rFonts w:eastAsia="仿宋_GB2312" w:cs="仿宋_GB2312"/>
          <w:sz w:val="32"/>
          <w:szCs w:val="32"/>
        </w:rPr>
      </w:pPr>
    </w:p>
    <w:p w14:paraId="49CED39C">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3"/>
    </w:p>
    <w:p w14:paraId="28408655">
      <w:pPr>
        <w:pStyle w:val="14"/>
        <w:adjustRightInd w:val="0"/>
        <w:snapToGrid w:val="0"/>
        <w:spacing w:line="560" w:lineRule="exact"/>
        <w:jc w:val="left"/>
        <w:rPr>
          <w:rFonts w:eastAsia="仿宋_GB2312" w:cs="仿宋_GB2312"/>
          <w:sz w:val="32"/>
          <w:szCs w:val="32"/>
        </w:rPr>
      </w:pPr>
      <w:bookmarkStart w:id="54" w:name="_Toc15396620"/>
      <w:r>
        <w:rPr>
          <w:rFonts w:hint="eastAsia" w:eastAsia="仿宋_GB2312" w:cs="仿宋_GB2312"/>
          <w:sz w:val="32"/>
          <w:szCs w:val="32"/>
        </w:rPr>
        <w:t>二、收入决算表</w:t>
      </w:r>
      <w:bookmarkEnd w:id="54"/>
    </w:p>
    <w:p w14:paraId="1C68AD18">
      <w:pPr>
        <w:pStyle w:val="14"/>
        <w:adjustRightInd w:val="0"/>
        <w:snapToGrid w:val="0"/>
        <w:spacing w:line="560" w:lineRule="exact"/>
        <w:jc w:val="left"/>
        <w:rPr>
          <w:rFonts w:eastAsia="仿宋_GB2312" w:cs="仿宋_GB2312"/>
          <w:sz w:val="32"/>
          <w:szCs w:val="32"/>
        </w:rPr>
      </w:pPr>
      <w:bookmarkStart w:id="55" w:name="_Toc15396621"/>
      <w:r>
        <w:rPr>
          <w:rFonts w:hint="eastAsia" w:eastAsia="仿宋_GB2312" w:cs="仿宋_GB2312"/>
          <w:sz w:val="32"/>
          <w:szCs w:val="32"/>
        </w:rPr>
        <w:t>三、支出决算表</w:t>
      </w:r>
      <w:bookmarkEnd w:id="55"/>
    </w:p>
    <w:p w14:paraId="13DA4FAA">
      <w:pPr>
        <w:pStyle w:val="14"/>
        <w:adjustRightInd w:val="0"/>
        <w:snapToGrid w:val="0"/>
        <w:spacing w:line="560" w:lineRule="exact"/>
        <w:jc w:val="left"/>
        <w:rPr>
          <w:rFonts w:eastAsia="仿宋_GB2312" w:cs="仿宋_GB2312"/>
          <w:sz w:val="32"/>
          <w:szCs w:val="32"/>
        </w:rPr>
      </w:pPr>
      <w:bookmarkStart w:id="56" w:name="_Toc15396622"/>
      <w:r>
        <w:rPr>
          <w:rFonts w:hint="eastAsia" w:eastAsia="仿宋_GB2312" w:cs="仿宋_GB2312"/>
          <w:sz w:val="32"/>
          <w:szCs w:val="32"/>
        </w:rPr>
        <w:t>四、财政拨款收入支出决算总表</w:t>
      </w:r>
      <w:bookmarkEnd w:id="56"/>
    </w:p>
    <w:p w14:paraId="449AAC51">
      <w:pPr>
        <w:pStyle w:val="14"/>
        <w:adjustRightInd w:val="0"/>
        <w:snapToGrid w:val="0"/>
        <w:spacing w:line="560" w:lineRule="exact"/>
        <w:jc w:val="left"/>
        <w:rPr>
          <w:rFonts w:eastAsia="仿宋_GB2312" w:cs="仿宋_GB2312"/>
          <w:sz w:val="32"/>
          <w:szCs w:val="32"/>
        </w:rPr>
      </w:pPr>
      <w:bookmarkStart w:id="57" w:name="_Toc15396623"/>
      <w:r>
        <w:rPr>
          <w:rFonts w:hint="eastAsia" w:eastAsia="仿宋_GB2312" w:cs="仿宋_GB2312"/>
          <w:sz w:val="32"/>
          <w:szCs w:val="32"/>
        </w:rPr>
        <w:t>五、财政拨款支出决算明细表</w:t>
      </w:r>
      <w:bookmarkEnd w:id="57"/>
      <w:bookmarkStart w:id="58" w:name="_Toc15396624"/>
    </w:p>
    <w:p w14:paraId="47B2171D">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8"/>
    </w:p>
    <w:p w14:paraId="56EF4CBD">
      <w:pPr>
        <w:pStyle w:val="14"/>
        <w:adjustRightInd w:val="0"/>
        <w:snapToGrid w:val="0"/>
        <w:spacing w:line="560" w:lineRule="exact"/>
        <w:jc w:val="left"/>
        <w:rPr>
          <w:rFonts w:eastAsia="仿宋_GB2312" w:cs="仿宋_GB2312"/>
          <w:sz w:val="32"/>
          <w:szCs w:val="32"/>
        </w:rPr>
      </w:pPr>
      <w:bookmarkStart w:id="59" w:name="_Toc15396625"/>
      <w:r>
        <w:rPr>
          <w:rFonts w:hint="eastAsia" w:eastAsia="仿宋_GB2312" w:cs="仿宋_GB2312"/>
          <w:sz w:val="32"/>
          <w:szCs w:val="32"/>
        </w:rPr>
        <w:t>七、一般公共预算财政拨款支出决算明细表</w:t>
      </w:r>
      <w:bookmarkEnd w:id="59"/>
    </w:p>
    <w:p w14:paraId="5BA9A97A">
      <w:pPr>
        <w:pStyle w:val="14"/>
        <w:adjustRightInd w:val="0"/>
        <w:snapToGrid w:val="0"/>
        <w:spacing w:line="560" w:lineRule="exact"/>
        <w:jc w:val="left"/>
        <w:rPr>
          <w:rFonts w:eastAsia="仿宋_GB2312" w:cs="仿宋_GB2312"/>
          <w:sz w:val="32"/>
          <w:szCs w:val="32"/>
        </w:rPr>
      </w:pPr>
      <w:bookmarkStart w:id="60" w:name="_Toc15396626"/>
      <w:r>
        <w:rPr>
          <w:rFonts w:hint="eastAsia" w:eastAsia="仿宋_GB2312" w:cs="仿宋_GB2312"/>
          <w:sz w:val="32"/>
          <w:szCs w:val="32"/>
        </w:rPr>
        <w:t>八、一般公共预算财政拨款基本支出决算表</w:t>
      </w:r>
      <w:bookmarkEnd w:id="60"/>
    </w:p>
    <w:p w14:paraId="52F7382A">
      <w:pPr>
        <w:pStyle w:val="14"/>
        <w:adjustRightInd w:val="0"/>
        <w:snapToGrid w:val="0"/>
        <w:spacing w:line="560" w:lineRule="exact"/>
        <w:jc w:val="left"/>
        <w:rPr>
          <w:rFonts w:eastAsia="仿宋_GB2312" w:cs="仿宋_GB2312"/>
          <w:sz w:val="32"/>
          <w:szCs w:val="32"/>
        </w:rPr>
      </w:pPr>
      <w:bookmarkStart w:id="61" w:name="_Toc15396627"/>
      <w:r>
        <w:rPr>
          <w:rFonts w:hint="eastAsia" w:eastAsia="仿宋_GB2312" w:cs="仿宋_GB2312"/>
          <w:sz w:val="32"/>
          <w:szCs w:val="32"/>
        </w:rPr>
        <w:t>九、一般公共预算财政拨款项目支出决算表</w:t>
      </w:r>
      <w:bookmarkEnd w:id="61"/>
    </w:p>
    <w:p w14:paraId="48A3E099">
      <w:pPr>
        <w:pStyle w:val="14"/>
        <w:adjustRightInd w:val="0"/>
        <w:snapToGrid w:val="0"/>
        <w:spacing w:line="560" w:lineRule="exact"/>
        <w:jc w:val="left"/>
        <w:rPr>
          <w:rFonts w:eastAsia="仿宋_GB2312" w:cs="仿宋_GB2312"/>
          <w:sz w:val="32"/>
          <w:szCs w:val="32"/>
        </w:rPr>
      </w:pPr>
      <w:bookmarkStart w:id="62" w:name="_Toc15396628"/>
      <w:r>
        <w:rPr>
          <w:rFonts w:hint="eastAsia" w:eastAsia="仿宋_GB2312" w:cs="仿宋_GB2312"/>
          <w:sz w:val="32"/>
          <w:szCs w:val="32"/>
        </w:rPr>
        <w:t>十、</w:t>
      </w:r>
      <w:bookmarkEnd w:id="62"/>
      <w:r>
        <w:rPr>
          <w:rFonts w:hint="eastAsia" w:eastAsia="仿宋_GB2312" w:cs="仿宋_GB2312"/>
          <w:sz w:val="32"/>
          <w:szCs w:val="32"/>
        </w:rPr>
        <w:t>政府性基金预算财政拨款收入支出决算表</w:t>
      </w:r>
    </w:p>
    <w:p w14:paraId="32469440">
      <w:pPr>
        <w:pStyle w:val="14"/>
        <w:adjustRightInd w:val="0"/>
        <w:snapToGrid w:val="0"/>
        <w:spacing w:line="560" w:lineRule="exact"/>
        <w:jc w:val="left"/>
        <w:rPr>
          <w:rFonts w:eastAsia="仿宋_GB2312" w:cs="仿宋_GB2312"/>
          <w:sz w:val="32"/>
          <w:szCs w:val="32"/>
        </w:rPr>
      </w:pPr>
      <w:bookmarkStart w:id="63" w:name="_Toc15396629"/>
      <w:r>
        <w:rPr>
          <w:rFonts w:hint="eastAsia" w:eastAsia="仿宋_GB2312" w:cs="仿宋_GB2312"/>
          <w:sz w:val="32"/>
          <w:szCs w:val="32"/>
        </w:rPr>
        <w:t>十一、</w:t>
      </w:r>
      <w:bookmarkEnd w:id="63"/>
      <w:r>
        <w:rPr>
          <w:rFonts w:hint="eastAsia" w:eastAsia="仿宋_GB2312" w:cs="仿宋_GB2312"/>
          <w:sz w:val="32"/>
          <w:szCs w:val="32"/>
        </w:rPr>
        <w:t>国有资本经营预算财政拨款收入支出决算表</w:t>
      </w:r>
    </w:p>
    <w:p w14:paraId="49C82373">
      <w:pPr>
        <w:pStyle w:val="14"/>
        <w:adjustRightInd w:val="0"/>
        <w:snapToGrid w:val="0"/>
        <w:spacing w:line="560" w:lineRule="exact"/>
        <w:jc w:val="left"/>
        <w:rPr>
          <w:rFonts w:eastAsia="仿宋_GB2312" w:cs="仿宋_GB2312"/>
          <w:sz w:val="32"/>
          <w:szCs w:val="32"/>
        </w:rPr>
      </w:pPr>
      <w:bookmarkStart w:id="64" w:name="_Toc15396630"/>
      <w:r>
        <w:rPr>
          <w:rFonts w:hint="eastAsia" w:eastAsia="仿宋_GB2312" w:cs="仿宋_GB2312"/>
          <w:sz w:val="32"/>
          <w:szCs w:val="32"/>
        </w:rPr>
        <w:t>十二、</w:t>
      </w:r>
      <w:bookmarkEnd w:id="64"/>
      <w:r>
        <w:rPr>
          <w:rFonts w:hint="eastAsia" w:eastAsia="仿宋_GB2312" w:cs="仿宋_GB2312"/>
          <w:sz w:val="32"/>
          <w:szCs w:val="32"/>
        </w:rPr>
        <w:t>国有资本经营预算财政拨款支出决算表</w:t>
      </w:r>
    </w:p>
    <w:p w14:paraId="401992BB">
      <w:pPr>
        <w:pStyle w:val="14"/>
        <w:adjustRightInd w:val="0"/>
        <w:snapToGrid w:val="0"/>
        <w:spacing w:line="560" w:lineRule="exact"/>
        <w:jc w:val="left"/>
        <w:rPr>
          <w:rFonts w:eastAsia="仿宋_GB2312" w:cs="仿宋_GB2312"/>
          <w:sz w:val="32"/>
          <w:szCs w:val="32"/>
        </w:rPr>
      </w:pPr>
      <w:bookmarkStart w:id="65" w:name="_Toc15396631"/>
      <w:r>
        <w:rPr>
          <w:rFonts w:hint="eastAsia" w:eastAsia="仿宋_GB2312" w:cs="仿宋_GB2312"/>
          <w:sz w:val="32"/>
          <w:szCs w:val="32"/>
        </w:rPr>
        <w:t>十三、</w:t>
      </w:r>
      <w:bookmarkEnd w:id="65"/>
      <w:r>
        <w:rPr>
          <w:rFonts w:hint="eastAsia" w:eastAsia="仿宋_GB2312" w:cs="仿宋_GB2312"/>
          <w:sz w:val="32"/>
          <w:szCs w:val="32"/>
        </w:rPr>
        <w:t>财政拨款“三公”经费支出决算表</w:t>
      </w:r>
    </w:p>
    <w:p w14:paraId="3A70C631"/>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Arial">
    <w:altName w:val="DejaVu Sans"/>
    <w:panose1 w:val="020B0604020202020204"/>
    <w:charset w:val="00"/>
    <w:family w:val="swiss"/>
    <w:pitch w:val="default"/>
    <w:sig w:usb0="00000000" w:usb1="00000000" w:usb2="00000009" w:usb3="00000000" w:csb0="000001FF" w:csb1="00000000"/>
  </w:font>
  <w:font w:name="方正黑体_GBK">
    <w:panose1 w:val="02000000000000000000"/>
    <w:charset w:val="86"/>
    <w:family w:val="auto"/>
    <w:pitch w:val="default"/>
    <w:sig w:usb0="00000001" w:usb1="08000000" w:usb2="00000000" w:usb3="00000000" w:csb0="00040000" w:csb1="00000000"/>
  </w:font>
  <w:font w:name="??">
    <w:altName w:val="C059"/>
    <w:panose1 w:val="00000000000000000000"/>
    <w:charset w:val="00"/>
    <w:family w:val="roman"/>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noto sans thai">
    <w:panose1 w:val="020B0502040504020204"/>
    <w:charset w:val="00"/>
    <w:family w:val="auto"/>
    <w:pitch w:val="default"/>
    <w:sig w:usb0="81000063" w:usb1="00002000" w:usb2="00000000" w:usb3="00000000" w:csb0="00010000" w:csb1="00000000"/>
  </w:font>
  <w:font w:name="MathJax_Vector">
    <w:panose1 w:val="02000603000000000000"/>
    <w:charset w:val="00"/>
    <w:family w:val="auto"/>
    <w:pitch w:val="default"/>
    <w:sig w:usb0="00000001" w:usb1="00000020" w:usb2="00000000" w:usb3="00000000" w:csb0="00000001" w:csb1="00000000"/>
  </w:font>
  <w:font w:name="宋?">
    <w:altName w:val="方正书宋_GBK"/>
    <w:panose1 w:val="00000000000000000000"/>
    <w:charset w:val="81"/>
    <w:family w:val="roman"/>
    <w:pitch w:val="default"/>
    <w:sig w:usb0="00000000" w:usb1="0000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65A85">
    <w:pPr>
      <w:pStyle w:val="10"/>
      <w:jc w:val="center"/>
    </w:pPr>
  </w:p>
  <w:p w14:paraId="44057DBA">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47B77">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A84A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EDBE65"/>
    <w:multiLevelType w:val="singleLevel"/>
    <w:tmpl w:val="DFEDBE65"/>
    <w:lvl w:ilvl="0" w:tentative="0">
      <w:start w:val="3"/>
      <w:numFmt w:val="decimal"/>
      <w:lvlText w:val="%1."/>
      <w:lvlJc w:val="left"/>
      <w:pPr>
        <w:tabs>
          <w:tab w:val="left" w:pos="312"/>
        </w:tabs>
      </w:pPr>
    </w:lvl>
  </w:abstractNum>
  <w:abstractNum w:abstractNumId="1">
    <w:nsid w:val="EFDA091E"/>
    <w:multiLevelType w:val="singleLevel"/>
    <w:tmpl w:val="EFDA091E"/>
    <w:lvl w:ilvl="0" w:tentative="0">
      <w:start w:val="2"/>
      <w:numFmt w:val="chineseCounting"/>
      <w:suff w:val="nothing"/>
      <w:lvlText w:val="（%1）"/>
      <w:lvlJc w:val="left"/>
      <w:rPr>
        <w:rFonts w:hint="eastAsia"/>
      </w:rPr>
    </w:lvl>
  </w:abstractNum>
  <w:abstractNum w:abstractNumId="2">
    <w:nsid w:val="63CD02F2"/>
    <w:multiLevelType w:val="multilevel"/>
    <w:tmpl w:val="63CD02F2"/>
    <w:lvl w:ilvl="0" w:tentative="0">
      <w:start w:val="1"/>
      <w:numFmt w:val="japaneseCounting"/>
      <w:lvlText w:val="%1、"/>
      <w:lvlJc w:val="left"/>
      <w:pPr>
        <w:ind w:left="660" w:hanging="6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66825DE"/>
    <w:multiLevelType w:val="singleLevel"/>
    <w:tmpl w:val="666825DE"/>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268"/>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64A8E"/>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3C69"/>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3BF7503"/>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qFormat/>
    <w:uiPriority w:val="0"/>
    <w:pPr>
      <w:spacing w:after="120"/>
      <w:ind w:left="200" w:leftChars="200"/>
    </w:pPr>
    <w:rPr>
      <w:rFonts w:ascii="仿宋_GB2312"/>
      <w:szCs w:val="32"/>
    </w:r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2"/>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jc w:val="left"/>
    </w:pPr>
    <w:rPr>
      <w:kern w:val="0"/>
      <w:sz w:val="24"/>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4"/>
    <w:qFormat/>
    <w:uiPriority w:val="9"/>
    <w:rPr>
      <w:rFonts w:ascii="Times New Roman" w:hAnsi="Times New Roman"/>
      <w:b/>
      <w:bCs/>
      <w:kern w:val="44"/>
      <w:sz w:val="44"/>
      <w:szCs w:val="44"/>
    </w:rPr>
  </w:style>
  <w:style w:type="character" w:customStyle="1" w:styleId="30">
    <w:name w:val="标题 2 Char"/>
    <w:basedOn w:val="17"/>
    <w:link w:val="5"/>
    <w:qFormat/>
    <w:uiPriority w:val="9"/>
    <w:rPr>
      <w:rFonts w:asciiTheme="majorHAnsi" w:hAnsiTheme="majorHAnsi" w:eastAsiaTheme="majorEastAsia" w:cstheme="majorBidi"/>
      <w:b/>
      <w:bCs/>
      <w:kern w:val="2"/>
      <w:sz w:val="32"/>
      <w:szCs w:val="32"/>
    </w:rPr>
  </w:style>
  <w:style w:type="paragraph" w:customStyle="1" w:styleId="31">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6"/>
    <w:qFormat/>
    <w:uiPriority w:val="9"/>
    <w:rPr>
      <w:rFonts w:ascii="Times New Roman" w:hAnsi="Times New Roman"/>
      <w:b/>
      <w:bCs/>
      <w:kern w:val="2"/>
      <w:sz w:val="32"/>
      <w:szCs w:val="32"/>
    </w:rPr>
  </w:style>
  <w:style w:type="paragraph" w:customStyle="1" w:styleId="34">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收入、支出决算总计变动情况图</c:v>
                </c:pt>
              </c:strCache>
            </c:strRef>
          </c:tx>
          <c:spPr>
            <a:solidFill>
              <a:schemeClr val="accent1"/>
            </a:solidFill>
            <a:ln>
              <a:noFill/>
            </a:ln>
            <a:effectLst/>
          </c:spPr>
          <c:invertIfNegative val="0"/>
          <c:dLbls>
            <c:delete val="1"/>
          </c:dLbls>
          <c:cat>
            <c:numRef>
              <c:f>Sheet1!$A$2:$A$3</c:f>
              <c:numCache>
                <c:formatCode>General</c:formatCode>
                <c:ptCount val="2"/>
                <c:pt idx="0">
                  <c:v>2023</c:v>
                </c:pt>
                <c:pt idx="1">
                  <c:v>2024</c:v>
                </c:pt>
              </c:numCache>
            </c:numRef>
          </c:cat>
          <c:val>
            <c:numRef>
              <c:f>Sheet1!$B$2:$B$3</c:f>
              <c:numCache>
                <c:formatCode>General</c:formatCode>
                <c:ptCount val="2"/>
                <c:pt idx="0">
                  <c:v>362.52</c:v>
                </c:pt>
                <c:pt idx="1">
                  <c:v>362.52</c:v>
                </c:pt>
              </c:numCache>
            </c:numRef>
          </c:val>
        </c:ser>
        <c:dLbls>
          <c:showLegendKey val="0"/>
          <c:showVal val="0"/>
          <c:showCatName val="0"/>
          <c:showSerName val="0"/>
          <c:showPercent val="0"/>
          <c:showBubbleSize val="0"/>
        </c:dLbls>
        <c:gapWidth val="246"/>
        <c:overlap val="-28"/>
        <c:axId val="510942593"/>
        <c:axId val="907124890"/>
      </c:barChart>
      <c:catAx>
        <c:axId val="5109425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7124890"/>
        <c:crosses val="autoZero"/>
        <c:auto val="1"/>
        <c:lblAlgn val="ctr"/>
        <c:lblOffset val="100"/>
        <c:noMultiLvlLbl val="0"/>
      </c:catAx>
      <c:valAx>
        <c:axId val="90712489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09425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般公共预算财政拨款收入</c:v>
                </c:pt>
              </c:strCache>
            </c:strRef>
          </c:cat>
          <c:val>
            <c:numRef>
              <c:f>Sheet1!$B$2:$B$5</c:f>
              <c:numCache>
                <c:formatCode>General</c:formatCode>
                <c:ptCount val="4"/>
                <c:pt idx="0">
                  <c:v>1</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Sheet1!#REF!</c:f>
              <c:strCache>
                <c:ptCount val="1"/>
                <c:pt idx="0">
                  <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基本支出</c:v>
                </c:pt>
                <c:pt idx="1">
                  <c:v>项目支出</c:v>
                </c:pt>
              </c:strCache>
            </c:strRef>
          </c:cat>
          <c:val>
            <c:numRef>
              <c:f>Sheet1!$B$2:$B$5</c:f>
              <c:numCache>
                <c:formatCode>General</c:formatCode>
                <c:ptCount val="4"/>
                <c:pt idx="0">
                  <c:v>89.83</c:v>
                </c:pt>
                <c:pt idx="1">
                  <c:v>10.16</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numRef>
              <c:f>Sheet1!$A$2:$A$3</c:f>
              <c:numCache>
                <c:formatCode>General</c:formatCode>
                <c:ptCount val="2"/>
                <c:pt idx="0">
                  <c:v>2023</c:v>
                </c:pt>
                <c:pt idx="1">
                  <c:v>2024</c:v>
                </c:pt>
              </c:numCache>
            </c:numRef>
          </c:cat>
          <c:val>
            <c:numRef>
              <c:f>Sheet1!$B$2:$B$3</c:f>
              <c:numCache>
                <c:formatCode>General</c:formatCode>
                <c:ptCount val="2"/>
                <c:pt idx="0">
                  <c:v>386.53</c:v>
                </c:pt>
                <c:pt idx="1">
                  <c:v>362.52</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numRef>
              <c:f>Sheet1!$A$2:$A$3</c:f>
              <c:numCache>
                <c:formatCode>General</c:formatCode>
                <c:ptCount val="2"/>
                <c:pt idx="0">
                  <c:v>2023</c:v>
                </c:pt>
                <c:pt idx="1">
                  <c:v>2024</c:v>
                </c:pt>
              </c:numCache>
            </c:numRef>
          </c:cat>
          <c:val>
            <c:numRef>
              <c:f>Sheet1!$C$2:$C$3</c:f>
              <c:numCache>
                <c:formatCode>General</c:formatCode>
                <c:ptCount val="2"/>
                <c:pt idx="0">
                  <c:v>386.53</c:v>
                </c:pt>
                <c:pt idx="1">
                  <c:v>362.52</c:v>
                </c:pt>
              </c:numCache>
            </c:numRef>
          </c:val>
        </c:ser>
        <c:dLbls>
          <c:showLegendKey val="0"/>
          <c:showVal val="0"/>
          <c:showCatName val="0"/>
          <c:showSerName val="0"/>
          <c:showPercent val="0"/>
          <c:showBubbleSize val="0"/>
        </c:dLbls>
        <c:gapWidth val="246"/>
        <c:overlap val="-28"/>
        <c:axId val="956707994"/>
        <c:axId val="361347410"/>
      </c:barChart>
      <c:catAx>
        <c:axId val="95670799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1347410"/>
        <c:crosses val="autoZero"/>
        <c:auto val="1"/>
        <c:lblAlgn val="ctr"/>
        <c:lblOffset val="100"/>
        <c:noMultiLvlLbl val="0"/>
      </c:catAx>
      <c:valAx>
        <c:axId val="36134741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670799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a:noFill/>
            </a:ln>
            <a:effectLst/>
          </c:spPr>
          <c:invertIfNegative val="0"/>
          <c:dLbls>
            <c:delete val="1"/>
          </c:dLbls>
          <c:cat>
            <c:numRef>
              <c:f>Sheet1!$A$2:$A$3</c:f>
              <c:numCache>
                <c:formatCode>General</c:formatCode>
                <c:ptCount val="2"/>
                <c:pt idx="0">
                  <c:v>2023</c:v>
                </c:pt>
                <c:pt idx="1">
                  <c:v>2024</c:v>
                </c:pt>
              </c:numCache>
            </c:numRef>
          </c:cat>
          <c:val>
            <c:numRef>
              <c:f>Sheet1!$B$2:$B$3</c:f>
              <c:numCache>
                <c:formatCode>General</c:formatCode>
                <c:ptCount val="2"/>
                <c:pt idx="0">
                  <c:v>386.53</c:v>
                </c:pt>
                <c:pt idx="1">
                  <c:v>362.52</c:v>
                </c:pt>
              </c:numCache>
            </c:numRef>
          </c:val>
        </c:ser>
        <c:dLbls>
          <c:showLegendKey val="0"/>
          <c:showVal val="0"/>
          <c:showCatName val="0"/>
          <c:showSerName val="0"/>
          <c:showPercent val="0"/>
          <c:showBubbleSize val="0"/>
        </c:dLbls>
        <c:gapWidth val="246"/>
        <c:overlap val="-28"/>
        <c:axId val="883175768"/>
        <c:axId val="502970174"/>
      </c:barChart>
      <c:catAx>
        <c:axId val="8831757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2970174"/>
        <c:crosses val="autoZero"/>
        <c:auto val="1"/>
        <c:lblAlgn val="ctr"/>
        <c:lblOffset val="100"/>
        <c:noMultiLvlLbl val="0"/>
      </c:catAx>
      <c:valAx>
        <c:axId val="50297017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317576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78.96</c:v>
                </c:pt>
                <c:pt idx="1">
                  <c:v>10.77</c:v>
                </c:pt>
                <c:pt idx="2">
                  <c:v>4.03</c:v>
                </c:pt>
                <c:pt idx="3">
                  <c:v>6.25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因公出国（境）费</c:v>
                </c:pt>
                <c:pt idx="1">
                  <c:v>公务用车购置及运行维护费</c:v>
                </c:pt>
                <c:pt idx="2">
                  <c:v>公务接待费</c:v>
                </c:pt>
              </c:strCache>
            </c:strRef>
          </c:cat>
          <c:val>
            <c:numRef>
              <c:f>Sheet1!$B$2:$B$5</c:f>
              <c:numCache>
                <c:formatCode>General</c:formatCode>
                <c:ptCount val="4"/>
                <c:pt idx="0">
                  <c:v>0</c:v>
                </c:pt>
                <c:pt idx="1">
                  <c:v>2.49</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0615049666621309"/>
          <c:y val="0.134415419731169"/>
          <c:w val="0.863110627296231"/>
          <c:h val="0.091808267816383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acb2072-c1a0-4659-9df5-c6bd113ac3a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7951</Words>
  <Characters>818</Characters>
  <Lines>6</Lines>
  <Paragraphs>17</Paragraphs>
  <TotalTime>0</TotalTime>
  <ScaleCrop>false</ScaleCrop>
  <LinksUpToDate>false</LinksUpToDate>
  <CharactersWithSpaces>8752</CharactersWithSpaces>
  <Application>WPS Office_12.8.2.1119_F1E327BC-269C-435d-A152-05C5408002CA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2025-09-26T10:24:00Z</dcterms:created>
  <dc:creator>曹颖</dc:creator>
  <cp:lastModifiedBy>user</cp:lastModifiedBy>
  <cp:lastPrinted>2025-08-07T01:34:00Z</cp:lastPrinted>
  <dcterms:modified xsi:type="dcterms:W3CDTF">2025-09-26T16:14:35Z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E8B404865E5612AE6B4BD668882837AD_43</vt:lpwstr>
  </property>
</Properties>
</file>