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9270B">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rPr>
      </w:pPr>
      <w:r>
        <w:rPr>
          <w:rFonts w:hint="eastAsia" w:ascii="方正小标宋简体" w:eastAsia="方正小标宋简体" w:cs="方正小标宋简体"/>
          <w:b w:val="0"/>
          <w:bCs/>
          <w:sz w:val="44"/>
          <w:szCs w:val="44"/>
          <w:lang w:val="en-US" w:eastAsia="zh-CN"/>
        </w:rPr>
        <w:t>红原县麦洼寺寺庙管理委员会</w:t>
      </w:r>
    </w:p>
    <w:p w14:paraId="21E419EC">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rPr>
      </w:pPr>
      <w:r>
        <w:rPr>
          <w:rFonts w:hint="eastAsia" w:ascii="方正小标宋简体" w:eastAsia="方正小标宋简体" w:cs="方正小标宋简体"/>
          <w:b w:val="0"/>
          <w:bCs/>
          <w:sz w:val="44"/>
          <w:szCs w:val="44"/>
          <w:lang w:eastAsia="zh-CN"/>
        </w:rPr>
        <w:t>202</w:t>
      </w:r>
      <w:r>
        <w:rPr>
          <w:rFonts w:hint="eastAsia" w:ascii="方正小标宋简体" w:eastAsia="方正小标宋简体" w:cs="方正小标宋简体"/>
          <w:b w:val="0"/>
          <w:bCs/>
          <w:sz w:val="44"/>
          <w:szCs w:val="44"/>
          <w:lang w:val="en-US" w:eastAsia="zh-CN"/>
        </w:rPr>
        <w:t>5</w:t>
      </w:r>
      <w:r>
        <w:rPr>
          <w:rFonts w:hint="eastAsia" w:ascii="方正小标宋简体" w:eastAsia="方正小标宋简体" w:cs="方正小标宋简体"/>
          <w:b w:val="0"/>
          <w:bCs/>
          <w:sz w:val="44"/>
          <w:szCs w:val="44"/>
          <w:lang w:eastAsia="zh-CN"/>
        </w:rPr>
        <w:t>年</w:t>
      </w:r>
      <w:r>
        <w:rPr>
          <w:rFonts w:hint="eastAsia" w:ascii="方正小标宋简体" w:eastAsia="方正小标宋简体" w:cs="方正小标宋简体"/>
          <w:b w:val="0"/>
          <w:bCs/>
          <w:sz w:val="44"/>
          <w:szCs w:val="44"/>
        </w:rPr>
        <w:t>部门预算编制的说明</w:t>
      </w:r>
    </w:p>
    <w:p w14:paraId="55C31C16">
      <w:pPr>
        <w:pStyle w:val="5"/>
        <w:keepNext w:val="0"/>
        <w:keepLines w:val="0"/>
        <w:pageBreakBefore w:val="0"/>
        <w:widowControl w:val="0"/>
        <w:kinsoku/>
        <w:wordWrap/>
        <w:overflowPunct/>
        <w:topLinePunct w:val="0"/>
        <w:autoSpaceDE/>
        <w:autoSpaceDN/>
        <w:bidi w:val="0"/>
        <w:adjustRightInd w:val="0"/>
        <w:snapToGrid w:val="0"/>
        <w:spacing w:before="0" w:beforeLines="0" w:line="560" w:lineRule="exact"/>
        <w:ind w:left="0" w:right="0"/>
        <w:textAlignment w:val="auto"/>
        <w:rPr>
          <w:rFonts w:hint="eastAsia" w:ascii="宋体" w:eastAsia="宋体"/>
          <w:b/>
          <w:sz w:val="44"/>
          <w:szCs w:val="44"/>
        </w:rPr>
      </w:pPr>
      <w:r>
        <w:rPr>
          <w:rFonts w:hint="eastAsia" w:ascii="宋体" w:eastAsia="宋体"/>
          <w:b/>
          <w:sz w:val="44"/>
          <w:szCs w:val="44"/>
        </w:rPr>
        <w:t xml:space="preserve">    </w:t>
      </w:r>
    </w:p>
    <w:p w14:paraId="4D96CC7E">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宋体" w:eastAsia="宋体"/>
          <w:b/>
          <w:sz w:val="44"/>
          <w:szCs w:val="44"/>
        </w:rPr>
      </w:pPr>
      <w:r>
        <w:rPr>
          <w:rFonts w:hint="eastAsia"/>
          <w:sz w:val="32"/>
          <w:szCs w:val="32"/>
        </w:rPr>
        <w:t>按照预算管理有关规定，目前部门预算的编制实行综合预算制度，即全部收入和支出都反映在预算中。</w:t>
      </w:r>
    </w:p>
    <w:p w14:paraId="4B8B04DA">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2D508D3E">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71" w:firstLineChars="209"/>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（一）基本职能</w:t>
      </w:r>
    </w:p>
    <w:p w14:paraId="6F7476B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我管委会为县政府派出机构，受县政府委托，履行相应宗教事务管理执法权，业务上接收统战和宗教工作部门的指导和监督。</w:t>
      </w:r>
    </w:p>
    <w:p w14:paraId="18BD24C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一、依法管理宗教事务，加强寺庙管理，加强僧尼管理，加强宗教活动管理。</w:t>
      </w:r>
    </w:p>
    <w:p w14:paraId="7527BE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二、教育引导，以增强僧尼</w:t>
      </w:r>
      <w:r>
        <w:rPr>
          <w:rFonts w:hint="eastAsia" w:ascii="仿宋_GB2312" w:hAnsi="仿宋_GB2312" w:eastAsia="仿宋_GB2312" w:cs="仿宋_GB2312"/>
          <w:i w:val="0"/>
          <w:caps w:val="0"/>
          <w:color w:val="333333"/>
          <w:spacing w:val="0"/>
          <w:sz w:val="32"/>
          <w:szCs w:val="32"/>
          <w:shd w:val="clear" w:fill="FFFFFF"/>
          <w:lang w:eastAsia="zh-CN"/>
        </w:rPr>
        <w:t>“三个意识”</w:t>
      </w:r>
      <w:r>
        <w:rPr>
          <w:rFonts w:hint="eastAsia" w:ascii="仿宋_GB2312" w:hAnsi="仿宋_GB2312" w:eastAsia="仿宋_GB2312" w:cs="仿宋_GB2312"/>
          <w:i w:val="0"/>
          <w:caps w:val="0"/>
          <w:color w:val="333333"/>
          <w:spacing w:val="0"/>
          <w:sz w:val="32"/>
          <w:szCs w:val="32"/>
          <w:shd w:val="clear" w:fill="FFFFFF"/>
        </w:rPr>
        <w:t>为目标，坚持不懈加强对僧尼的教育引导。</w:t>
      </w:r>
    </w:p>
    <w:p w14:paraId="43A083EC">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8" w:firstLineChars="209"/>
        <w:textAlignment w:val="auto"/>
        <w:rPr>
          <w:rFonts w:hint="eastAsia" w:ascii="仿宋_GB2312" w:hAnsi="仿宋_GB2312" w:eastAsia="仿宋_GB2312" w:cs="仿宋_GB2312"/>
          <w:i w:val="0"/>
          <w:caps w:val="0"/>
          <w:color w:val="333333"/>
          <w:spacing w:val="0"/>
          <w:sz w:val="32"/>
          <w:szCs w:val="32"/>
          <w:shd w:val="clear" w:fill="FFFFFF"/>
        </w:rPr>
      </w:pPr>
      <w:r>
        <w:rPr>
          <w:rFonts w:hint="eastAsia" w:hAnsi="仿宋_GB2312" w:cs="仿宋_GB2312"/>
          <w:i w:val="0"/>
          <w:caps w:val="0"/>
          <w:color w:val="333333"/>
          <w:spacing w:val="0"/>
          <w:sz w:val="32"/>
          <w:szCs w:val="32"/>
          <w:shd w:val="clear" w:fill="FFFFFF"/>
          <w:lang w:eastAsia="zh-CN"/>
        </w:rPr>
        <w:t>三、</w:t>
      </w:r>
      <w:r>
        <w:rPr>
          <w:rFonts w:hint="eastAsia" w:ascii="仿宋_GB2312" w:hAnsi="仿宋_GB2312" w:eastAsia="仿宋_GB2312" w:cs="仿宋_GB2312"/>
          <w:i w:val="0"/>
          <w:caps w:val="0"/>
          <w:color w:val="333333"/>
          <w:spacing w:val="0"/>
          <w:sz w:val="32"/>
          <w:szCs w:val="32"/>
          <w:shd w:val="clear" w:fill="FFFFFF"/>
        </w:rPr>
        <w:t>公共服务，充分保障寺庙和持证僧尼的普惠性待遇，做到“五通”、“三有”、“三覆盖”。</w:t>
      </w:r>
    </w:p>
    <w:p w14:paraId="3D8F6521">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71" w:firstLineChars="209"/>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（二）202</w:t>
      </w:r>
      <w:r>
        <w:rPr>
          <w:rFonts w:hint="eastAsia" w:ascii="楷体_GB2312" w:eastAsia="楷体_GB2312" w:cs="楷体_GB2312"/>
          <w:b/>
          <w:bCs w:val="0"/>
          <w:sz w:val="32"/>
          <w:szCs w:val="32"/>
          <w:lang w:val="en-US" w:eastAsia="zh-CN"/>
        </w:rPr>
        <w:t>5</w:t>
      </w:r>
      <w:r>
        <w:rPr>
          <w:rFonts w:hint="eastAsia" w:ascii="楷体_GB2312" w:eastAsia="楷体_GB2312" w:cs="楷体_GB2312"/>
          <w:b/>
          <w:bCs w:val="0"/>
          <w:sz w:val="32"/>
          <w:szCs w:val="32"/>
          <w:lang w:eastAsia="zh-CN"/>
        </w:rPr>
        <w:t>年重点工作任务</w:t>
      </w:r>
    </w:p>
    <w:p w14:paraId="6D339EA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shd w:val="clear" w:fill="FFFFFF"/>
        </w:rPr>
        <w:t>1、推进干僧关系和谐化。</w:t>
      </w:r>
      <w:r>
        <w:rPr>
          <w:rFonts w:hint="eastAsia" w:ascii="仿宋_GB2312" w:hAnsi="仿宋_GB2312" w:eastAsia="仿宋_GB2312" w:cs="仿宋_GB2312"/>
          <w:i w:val="0"/>
          <w:caps w:val="0"/>
          <w:color w:val="333333"/>
          <w:spacing w:val="0"/>
          <w:sz w:val="32"/>
          <w:szCs w:val="32"/>
          <w:shd w:val="clear" w:fill="FFFFFF"/>
        </w:rPr>
        <w:t>发挥好驻寺干部语言相通、情况熟悉等优势，讲究工作方式方法，深入开展走访慰问、交心谈心、扶贫济困活动，面对面解决寺庙的困难和问题，实实在在为寺庙排忧解难，从而引导僧众坚定跟党走，不参与闹事活动，抵制分裂破坏活动。</w:t>
      </w:r>
    </w:p>
    <w:p w14:paraId="0871EDE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shd w:val="clear" w:fill="FFFFFF"/>
        </w:rPr>
        <w:t>2、推进寺庙建设规范化。</w:t>
      </w:r>
      <w:r>
        <w:rPr>
          <w:rFonts w:hint="eastAsia" w:ascii="仿宋_GB2312" w:hAnsi="仿宋_GB2312" w:eastAsia="仿宋_GB2312" w:cs="仿宋_GB2312"/>
          <w:i w:val="0"/>
          <w:caps w:val="0"/>
          <w:color w:val="333333"/>
          <w:spacing w:val="0"/>
          <w:sz w:val="32"/>
          <w:szCs w:val="32"/>
          <w:shd w:val="clear" w:fill="FFFFFF"/>
        </w:rPr>
        <w:t>深入推进“寺庙管理规范化、公共服务社会化、宗教关系和谐化”建设，开展民族团结进步和谐福地创建工作凝聚僧众，按规划推进寺庙改路、改水、改厕、改院、绿化植树，实施好“五通”“三有”“三覆盖”规范化建设，加强寺庙安全隐患排查，增加消防设施，开展文物整理、保护工作，改变寺院面貌，用基础设施的大改变体现党和政府对宗教和寺院的支持、对僧众的关怀，让僧众真切感知惠从何来、恩向谁报，做守法公民、当爱国僧人。</w:t>
      </w:r>
    </w:p>
    <w:p w14:paraId="3F9DF7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shd w:val="clear" w:fill="FFFFFF"/>
        </w:rPr>
        <w:t>3、加强依法管理、提高服务水平。</w:t>
      </w:r>
      <w:r>
        <w:rPr>
          <w:rFonts w:hint="eastAsia" w:ascii="仿宋_GB2312" w:hAnsi="仿宋_GB2312" w:eastAsia="仿宋_GB2312" w:cs="仿宋_GB2312"/>
          <w:i w:val="0"/>
          <w:caps w:val="0"/>
          <w:color w:val="333333"/>
          <w:spacing w:val="0"/>
          <w:sz w:val="32"/>
          <w:szCs w:val="32"/>
          <w:shd w:val="clear" w:fill="FFFFFF"/>
        </w:rPr>
        <w:t>继续</w:t>
      </w:r>
      <w:r>
        <w:rPr>
          <w:rFonts w:hint="eastAsia" w:ascii="仿宋_GB2312" w:hAnsi="仿宋_GB2312" w:eastAsia="仿宋_GB2312" w:cs="仿宋_GB2312"/>
          <w:i w:val="0"/>
          <w:caps w:val="0"/>
          <w:color w:val="333333"/>
          <w:spacing w:val="0"/>
          <w:sz w:val="32"/>
          <w:szCs w:val="32"/>
          <w:shd w:val="clear" w:fill="FFFFFF"/>
          <w:lang w:eastAsia="zh-CN"/>
        </w:rPr>
        <w:t>落实</w:t>
      </w:r>
      <w:r>
        <w:rPr>
          <w:rFonts w:hint="eastAsia" w:ascii="仿宋_GB2312" w:hAnsi="仿宋_GB2312" w:eastAsia="仿宋_GB2312" w:cs="仿宋_GB2312"/>
          <w:i w:val="0"/>
          <w:caps w:val="0"/>
          <w:color w:val="333333"/>
          <w:spacing w:val="0"/>
          <w:sz w:val="32"/>
          <w:szCs w:val="32"/>
          <w:shd w:val="clear" w:fill="FFFFFF"/>
        </w:rPr>
        <w:t>大民生带小民生项目各项任务，进一步推进小民生工程的前期工作，将不断改善寺庙基础设施等，切实落实好中央、省、州、县对寺庙的惠寺惠僧政策。认真落实省</w:t>
      </w:r>
      <w:r>
        <w:rPr>
          <w:rFonts w:hint="eastAsia" w:ascii="仿宋_GB2312" w:hAnsi="仿宋_GB2312" w:eastAsia="仿宋_GB2312" w:cs="仿宋_GB2312"/>
          <w:i w:val="0"/>
          <w:caps w:val="0"/>
          <w:color w:val="333333"/>
          <w:spacing w:val="0"/>
          <w:sz w:val="32"/>
          <w:szCs w:val="32"/>
          <w:shd w:val="clear" w:fill="FFFFFF"/>
          <w:lang w:eastAsia="zh-CN"/>
        </w:rPr>
        <w:t>州</w:t>
      </w:r>
      <w:r>
        <w:rPr>
          <w:rFonts w:hint="eastAsia" w:ascii="仿宋_GB2312" w:hAnsi="仿宋_GB2312" w:eastAsia="仿宋_GB2312" w:cs="仿宋_GB2312"/>
          <w:i w:val="0"/>
          <w:caps w:val="0"/>
          <w:color w:val="333333"/>
          <w:spacing w:val="0"/>
          <w:sz w:val="32"/>
          <w:szCs w:val="32"/>
          <w:shd w:val="clear" w:fill="FFFFFF"/>
        </w:rPr>
        <w:t>关于分类管理的重要指示，秉持“抓两头带中间”思路，突出“奖优扶弱”差异化管理原则，在麦洼寺片区大力探索推广依法依规自我管理、自我服务、自我教育的开发模式，做到自主有度、管理有方。进一步完善</w:t>
      </w:r>
      <w:r>
        <w:rPr>
          <w:rFonts w:hint="eastAsia" w:ascii="仿宋_GB2312" w:hAnsi="仿宋_GB2312" w:eastAsia="仿宋_GB2312" w:cs="仿宋_GB2312"/>
          <w:i w:val="0"/>
          <w:caps w:val="0"/>
          <w:color w:val="333333"/>
          <w:spacing w:val="0"/>
          <w:sz w:val="32"/>
          <w:szCs w:val="32"/>
          <w:shd w:val="clear" w:fill="FFFFFF"/>
          <w:lang w:eastAsia="zh-CN"/>
        </w:rPr>
        <w:t>微网实格</w:t>
      </w:r>
      <w:r>
        <w:rPr>
          <w:rFonts w:hint="eastAsia" w:ascii="仿宋_GB2312" w:hAnsi="仿宋_GB2312" w:eastAsia="仿宋_GB2312" w:cs="仿宋_GB2312"/>
          <w:i w:val="0"/>
          <w:caps w:val="0"/>
          <w:color w:val="333333"/>
          <w:spacing w:val="0"/>
          <w:sz w:val="32"/>
          <w:szCs w:val="32"/>
          <w:shd w:val="clear" w:fill="FFFFFF"/>
        </w:rPr>
        <w:t>寺庙网格精准化管理系统，要明确</w:t>
      </w:r>
      <w:r>
        <w:rPr>
          <w:rFonts w:hint="eastAsia" w:ascii="仿宋_GB2312" w:hAnsi="仿宋_GB2312" w:eastAsia="仿宋_GB2312" w:cs="仿宋_GB2312"/>
          <w:i w:val="0"/>
          <w:caps w:val="0"/>
          <w:color w:val="333333"/>
          <w:spacing w:val="0"/>
          <w:sz w:val="32"/>
          <w:szCs w:val="32"/>
          <w:shd w:val="clear" w:fill="FFFFFF"/>
          <w:lang w:eastAsia="zh-CN"/>
        </w:rPr>
        <w:t>微网格员</w:t>
      </w:r>
      <w:r>
        <w:rPr>
          <w:rFonts w:hint="eastAsia" w:ascii="仿宋_GB2312" w:hAnsi="仿宋_GB2312" w:eastAsia="仿宋_GB2312" w:cs="仿宋_GB2312"/>
          <w:i w:val="0"/>
          <w:caps w:val="0"/>
          <w:color w:val="333333"/>
          <w:spacing w:val="0"/>
          <w:sz w:val="32"/>
          <w:szCs w:val="32"/>
          <w:shd w:val="clear" w:fill="FFFFFF"/>
        </w:rPr>
        <w:t>的职责，积极发挥好各自的作用。</w:t>
      </w:r>
    </w:p>
    <w:p w14:paraId="6B0F5E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shd w:val="clear" w:fill="FFFFFF"/>
        </w:rPr>
        <w:t>4、加强宗教界人士的队伍建设，在促进桥梁纽带作用方面发挥正能量。</w:t>
      </w:r>
      <w:r>
        <w:rPr>
          <w:rFonts w:hint="eastAsia" w:ascii="仿宋_GB2312" w:hAnsi="仿宋_GB2312" w:eastAsia="仿宋_GB2312" w:cs="仿宋_GB2312"/>
          <w:i w:val="0"/>
          <w:caps w:val="0"/>
          <w:color w:val="333333"/>
          <w:spacing w:val="0"/>
          <w:sz w:val="32"/>
          <w:szCs w:val="32"/>
          <w:shd w:val="clear" w:fill="FFFFFF"/>
        </w:rPr>
        <w:t>一是组织培训和对外交流，提高自治能力建设。二是加强爱国主义、社会主义价值观教育和法律法规的宣传教育活动，夯实爱国的思想基础。三是鼓励宗教界在开展公益事业充分发展禅元素，在服务社会、服务弱势群体中创出特色。</w:t>
      </w:r>
    </w:p>
    <w:p w14:paraId="23F022D7">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75B33EC4">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68" w:firstLineChars="209"/>
        <w:textAlignment w:val="auto"/>
        <w:rPr>
          <w:rFonts w:hint="eastAsia"/>
          <w:sz w:val="32"/>
          <w:szCs w:val="32"/>
        </w:rPr>
      </w:pPr>
      <w:r>
        <w:rPr>
          <w:rFonts w:hint="eastAsia"/>
          <w:sz w:val="32"/>
          <w:szCs w:val="32"/>
          <w:lang w:eastAsia="zh-CN"/>
        </w:rPr>
        <w:t>红原县麦洼寺管会是一级预算行政单位。我单位共有编制10个，其中公务员编制10个，行政工勤编制0个，事业编制0个。在职10人，其中参公0人，公务员10人，事业编制0人，退休0人。</w:t>
      </w:r>
    </w:p>
    <w:p w14:paraId="2A0C16FB">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744974A3">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年红原县麦洼寺麦洼寺管委会</w:t>
      </w:r>
      <w:r>
        <w:rPr>
          <w:rFonts w:hint="eastAsia" w:ascii="仿宋_GB2312" w:eastAsia="仿宋_GB2312"/>
          <w:sz w:val="32"/>
          <w:szCs w:val="32"/>
        </w:rPr>
        <w:t>收入预算总额为</w:t>
      </w:r>
      <w:r>
        <w:rPr>
          <w:rFonts w:hint="eastAsia" w:ascii="仿宋_GB2312" w:eastAsia="仿宋_GB2312"/>
          <w:sz w:val="32"/>
          <w:szCs w:val="32"/>
          <w:lang w:val="en-US" w:eastAsia="zh-CN"/>
        </w:rPr>
        <w:t>402.59</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372.59</w:t>
      </w:r>
      <w:r>
        <w:rPr>
          <w:rFonts w:hint="eastAsia" w:ascii="仿宋_GB2312" w:eastAsia="仿宋_GB2312"/>
          <w:sz w:val="32"/>
          <w:szCs w:val="32"/>
        </w:rPr>
        <w:t>万元。相应安排支出预算</w:t>
      </w:r>
      <w:r>
        <w:rPr>
          <w:rFonts w:hint="eastAsia" w:ascii="仿宋_GB2312" w:eastAsia="仿宋_GB2312"/>
          <w:sz w:val="32"/>
          <w:szCs w:val="32"/>
          <w:lang w:val="en-US" w:eastAsia="zh-CN"/>
        </w:rPr>
        <w:t>402.59</w:t>
      </w:r>
      <w:r>
        <w:rPr>
          <w:rFonts w:hint="eastAsia" w:ascii="仿宋_GB2312" w:eastAsia="仿宋_GB2312"/>
          <w:sz w:val="32"/>
          <w:szCs w:val="32"/>
        </w:rPr>
        <w:t>万元，其中：一般公共服务</w:t>
      </w:r>
      <w:r>
        <w:rPr>
          <w:rFonts w:hint="eastAsia" w:ascii="仿宋_GB2312" w:eastAsia="仿宋_GB2312"/>
          <w:sz w:val="32"/>
          <w:szCs w:val="32"/>
          <w:lang w:val="en-US" w:eastAsia="zh-CN"/>
        </w:rPr>
        <w:t>318.95</w:t>
      </w:r>
      <w:r>
        <w:rPr>
          <w:rFonts w:hint="eastAsia" w:ascii="仿宋_GB2312" w:eastAsia="仿宋_GB2312"/>
          <w:sz w:val="32"/>
          <w:szCs w:val="32"/>
        </w:rPr>
        <w:t>万元，社会保障和就业</w:t>
      </w:r>
      <w:r>
        <w:rPr>
          <w:rFonts w:hint="eastAsia" w:ascii="仿宋_GB2312" w:eastAsia="仿宋_GB2312"/>
          <w:sz w:val="32"/>
          <w:szCs w:val="32"/>
          <w:lang w:val="en-US" w:eastAsia="zh-CN"/>
        </w:rPr>
        <w:t>44.53</w:t>
      </w:r>
      <w:r>
        <w:rPr>
          <w:rFonts w:hint="eastAsia" w:ascii="仿宋_GB2312" w:eastAsia="仿宋_GB2312"/>
          <w:sz w:val="32"/>
          <w:szCs w:val="32"/>
        </w:rPr>
        <w:t>万元，医疗卫生</w:t>
      </w:r>
      <w:r>
        <w:rPr>
          <w:rFonts w:hint="eastAsia" w:ascii="仿宋_GB2312" w:eastAsia="仿宋_GB2312"/>
          <w:sz w:val="32"/>
          <w:szCs w:val="32"/>
          <w:lang w:val="en-US" w:eastAsia="zh-CN"/>
        </w:rPr>
        <w:t>15.2</w:t>
      </w:r>
      <w:r>
        <w:rPr>
          <w:rFonts w:hint="eastAsia" w:ascii="仿宋_GB2312" w:eastAsia="仿宋_GB2312"/>
          <w:sz w:val="32"/>
          <w:szCs w:val="32"/>
        </w:rPr>
        <w:t>万元，住房保障支出</w:t>
      </w:r>
      <w:r>
        <w:rPr>
          <w:rFonts w:hint="eastAsia" w:ascii="仿宋_GB2312" w:eastAsia="仿宋_GB2312"/>
          <w:sz w:val="32"/>
          <w:szCs w:val="32"/>
          <w:lang w:val="en-US" w:eastAsia="zh-CN"/>
        </w:rPr>
        <w:t>23.91</w:t>
      </w:r>
      <w:r>
        <w:rPr>
          <w:rFonts w:hint="eastAsia" w:ascii="仿宋_GB2312" w:eastAsia="仿宋_GB2312"/>
          <w:sz w:val="32"/>
          <w:szCs w:val="32"/>
        </w:rPr>
        <w:t>万元。</w:t>
      </w:r>
    </w:p>
    <w:p w14:paraId="3B903CA4">
      <w:pPr>
        <w:keepNext w:val="0"/>
        <w:keepLines w:val="0"/>
        <w:pageBreakBefore w:val="0"/>
        <w:widowControl w:val="0"/>
        <w:numPr>
          <w:ilvl w:val="0"/>
          <w:numId w:val="1"/>
        </w:numPr>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15FD9B9D">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红原县麦洼寺寺庙管理委员会</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宗教</w:t>
      </w:r>
      <w:r>
        <w:rPr>
          <w:rFonts w:hint="eastAsia" w:ascii="仿宋_GB2312" w:eastAsia="仿宋_GB2312"/>
          <w:sz w:val="32"/>
          <w:szCs w:val="32"/>
        </w:rPr>
        <w:t xml:space="preserve">事业发展相关工作。  </w:t>
      </w:r>
    </w:p>
    <w:p w14:paraId="006CC35C">
      <w:pPr>
        <w:keepNext w:val="0"/>
        <w:keepLines w:val="0"/>
        <w:pageBreakBefore w:val="0"/>
        <w:widowControl w:val="0"/>
        <w:kinsoku/>
        <w:wordWrap/>
        <w:overflowPunct/>
        <w:topLinePunct w:val="0"/>
        <w:autoSpaceDE/>
        <w:autoSpaceDN/>
        <w:bidi w:val="0"/>
        <w:spacing w:line="560" w:lineRule="exact"/>
        <w:ind w:left="0" w:right="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334.25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298万元，机关运行经费36.25万元，其中：办公费11.86万元，印刷费2.4万元，水费0.05万元，电费2万元，邮电费0.9万元，取暖费1万元，差旅费3万元，培训费1万元，公务接待费0.4万元，工会经费2.23万元，福利费5.45万元，公务用车运行维护费3万元，其他商品和服务支出2.97万元。</w:t>
      </w:r>
    </w:p>
    <w:p w14:paraId="795A50C0">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04BBD1B0">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318.95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1E9DB73A">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44.53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11D7B6A1">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15.2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20CE056C">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23.91</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597DAD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sz w:val="32"/>
          <w:szCs w:val="32"/>
        </w:rPr>
      </w:pPr>
      <w:r>
        <w:rPr>
          <w:rFonts w:hint="eastAsia" w:ascii="黑体" w:eastAsia="黑体" w:cs="黑体"/>
          <w:color w:val="333333"/>
          <w:kern w:val="0"/>
          <w:sz w:val="32"/>
          <w:szCs w:val="32"/>
          <w:shd w:val="clear" w:color="auto" w:fill="FFFFFF"/>
          <w:lang w:val="en-US" w:eastAsia="zh-CN"/>
        </w:rPr>
        <w:t>五、较上年度增减变化</w:t>
      </w:r>
    </w:p>
    <w:p w14:paraId="1E4DAFF1">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372.59万元较上年度预算366.32万元增加了1.7%，其中基本行政运行经费预算334.25万元，占全部总预算的89.7%，较上年327.75万元增加了1.9%，原因为经费调整，部分支出增加；专项业务工作经费预算68.34万元，占总预算的18.34%，较上年预算38.56万元减增加了43.57%，主要原因为增加了寺庙相关项目，增加相关支出。 </w:t>
      </w:r>
      <w:r>
        <w:rPr>
          <w:rFonts w:hint="eastAsia" w:ascii="黑体" w:eastAsia="黑体" w:cs="黑体"/>
          <w:color w:val="333333"/>
          <w:kern w:val="0"/>
          <w:sz w:val="32"/>
          <w:szCs w:val="32"/>
          <w:shd w:val="clear" w:color="auto" w:fill="FFFFFF"/>
          <w:lang w:val="en-US" w:eastAsia="zh-CN"/>
        </w:rPr>
        <w:t xml:space="preserve"> </w:t>
      </w:r>
      <w:r>
        <w:rPr>
          <w:rFonts w:hint="eastAsia" w:ascii="仿宋_GB2312" w:eastAsia="仿宋_GB2312"/>
          <w:sz w:val="32"/>
          <w:szCs w:val="32"/>
          <w:lang w:val="en-US" w:eastAsia="zh-CN"/>
        </w:rPr>
        <w:t xml:space="preserve"> </w:t>
      </w:r>
    </w:p>
    <w:p w14:paraId="4A360F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六、“三公”经费预算</w:t>
      </w:r>
    </w:p>
    <w:p w14:paraId="19CEF048">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3.4万元，其中：出国费0万元，与上年持平，主要原因为未安排因公出国；公车购置费0元，与上年0持平0；公务用车维护费支出3万元，较上年度预算5万元略有减少，主要原因严格执行“八项规定、六项禁令”；二是将有关股室的工作有机地结合起来，减少不必要的资源浪费。公务接待费0.4万元，较上年度预算持平万元，本年度我们将严格执行“八项规定、六项禁令”，结合本年度工作需要，减少不必 要的开支。</w:t>
      </w:r>
    </w:p>
    <w:p w14:paraId="0A22D4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七、政府性基金预算收支情况说明</w:t>
      </w:r>
    </w:p>
    <w:p w14:paraId="29E0B9C0">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6BAF84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八、国有资本经营预算收支情况说明</w:t>
      </w:r>
    </w:p>
    <w:p w14:paraId="4D551B4B">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29B315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九、其他重要事项的情况说明</w:t>
      </w:r>
    </w:p>
    <w:p w14:paraId="15C69D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（一）政府采购预算情况</w:t>
      </w:r>
      <w:r>
        <w:rPr>
          <w:rFonts w:hint="eastAsia" w:ascii="黑体" w:eastAsia="黑体" w:cs="黑体"/>
          <w:color w:val="333333"/>
          <w:kern w:val="0"/>
          <w:sz w:val="32"/>
          <w:szCs w:val="32"/>
          <w:shd w:val="clear" w:color="auto" w:fill="FFFFFF"/>
          <w:lang w:val="en-US" w:eastAsia="zh-CN"/>
        </w:rPr>
        <w:t xml:space="preserve"> </w:t>
      </w:r>
    </w:p>
    <w:p w14:paraId="6AF6BF86">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5AA3DD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pPr>
      <w:r>
        <w:rPr>
          <w:rFonts w:hint="eastAsia" w:ascii="楷体_GB2312" w:eastAsia="楷体_GB2312" w:cs="楷体_GB2312"/>
          <w:b/>
          <w:bCs/>
          <w:color w:val="333333"/>
          <w:kern w:val="0"/>
          <w:sz w:val="32"/>
          <w:szCs w:val="32"/>
          <w:shd w:val="clear" w:color="auto" w:fill="FFFFFF"/>
          <w:lang w:val="en-US" w:eastAsia="zh-CN"/>
        </w:rPr>
        <w:t>（二）政府财政国有资产占用情况</w:t>
      </w:r>
      <w:r>
        <w:rPr>
          <w:rFonts w:hint="eastAsia" w:ascii="微软雅黑" w:eastAsia="微软雅黑" w:cs="微软雅黑"/>
          <w:color w:val="333333"/>
          <w:kern w:val="0"/>
          <w:sz w:val="24"/>
          <w:szCs w:val="24"/>
          <w:shd w:val="clear" w:color="auto" w:fill="FFFFFF"/>
          <w:lang w:val="en-US" w:eastAsia="zh-CN"/>
        </w:rPr>
        <w:t xml:space="preserve"> </w:t>
      </w:r>
    </w:p>
    <w:p w14:paraId="21A7C267">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截止2024年底，实际共有固定资产价值168.64</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40</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120</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14:paraId="09998F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楷体_GB2312" w:eastAsia="楷体_GB2312" w:cs="楷体_GB2312"/>
          <w:b/>
          <w:bCs/>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（三）绩效目标设置情况</w:t>
      </w:r>
    </w:p>
    <w:p w14:paraId="3D33260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bookmarkStart w:id="0" w:name="_GoBack"/>
      <w:bookmarkEnd w:id="0"/>
    </w:p>
    <w:p w14:paraId="73189278">
      <w:pPr>
        <w:keepNext w:val="0"/>
        <w:keepLines w:val="0"/>
        <w:pageBreakBefore w:val="0"/>
        <w:widowControl w:val="0"/>
        <w:kinsoku/>
        <w:wordWrap/>
        <w:overflowPunct/>
        <w:topLinePunct w:val="0"/>
        <w:autoSpaceDE/>
        <w:autoSpaceDN/>
        <w:bidi w:val="0"/>
        <w:spacing w:line="560" w:lineRule="exact"/>
        <w:ind w:left="640" w:right="0" w:hanging="640" w:hangingChars="200"/>
        <w:textAlignment w:val="auto"/>
        <w:rPr>
          <w:rFonts w:hint="eastAsia" w:ascii="仿宋_GB2312" w:eastAsia="仿宋_GB2312"/>
          <w:sz w:val="32"/>
          <w:szCs w:val="32"/>
          <w:lang w:val="en-US" w:eastAsia="zh-CN"/>
        </w:rPr>
      </w:pPr>
      <w:r>
        <w:rPr>
          <w:rFonts w:hint="eastAsia" w:ascii="黑体" w:eastAsia="黑体" w:cs="黑体"/>
          <w:color w:val="333333"/>
          <w:kern w:val="0"/>
          <w:sz w:val="32"/>
          <w:szCs w:val="32"/>
          <w:shd w:val="clear" w:color="auto" w:fill="FFFFFF"/>
          <w:lang w:val="en-US" w:eastAsia="zh-CN"/>
        </w:rPr>
        <w:t xml:space="preserve">    十、名词解释</w:t>
      </w:r>
      <w:r>
        <w:rPr>
          <w:rFonts w:hint="eastAsia" w:asci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34299925">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3B2548C">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14:paraId="46A69D7D">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25CECD68">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724A2CFD">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316813EB">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369886E1">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1F5E9A7D">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2C97449C">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06F7230E">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1E21CED9">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40F260D2">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5922E038">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09920885">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4BD3D824">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68240AC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42C758A"/>
    <w:rsid w:val="5E417D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sz w:val="30"/>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1745</Words>
  <Characters>1855</Characters>
  <Lines>98</Lines>
  <Paragraphs>51</Paragraphs>
  <TotalTime>43</TotalTime>
  <ScaleCrop>false</ScaleCrop>
  <LinksUpToDate>false</LinksUpToDate>
  <CharactersWithSpaces>1884</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斯芬克斯</cp:lastModifiedBy>
  <dcterms:modified xsi:type="dcterms:W3CDTF">2025-06-04T02:46:09Z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eyJoZGlkIjoiM2M2NzA1MTg4Zjk2MzEzYTE1MjJhYzlhNzA0YjY0NDMiLCJ1c2VySWQiOiIyNjA1NzkxMTgifQ==</vt:lpwstr>
  </property>
  <property fmtid="{D5CDD505-2E9C-101B-9397-08002B2CF9AE}" pid="4" name="ICV">
    <vt:lpwstr>E274B49C50364999B701A9EC2237E167_12</vt:lpwstr>
  </property>
</Properties>
</file>