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sz w:val="72"/>
          <w:szCs w:val="72"/>
        </w:rPr>
      </w:pPr>
      <w:bookmarkStart w:id="0" w:name="_Toc15377425"/>
      <w:bookmarkStart w:id="1" w:name="_Toc15396475"/>
      <w:bookmarkStart w:id="2" w:name="_Toc15377193"/>
      <w:bookmarkStart w:id="3" w:name="_Toc15378441"/>
      <w:bookmarkStart w:id="4" w:name="_Toc15396597"/>
      <w:bookmarkStart w:id="5" w:name="_Toc15306267"/>
    </w:p>
    <w:p>
      <w:pPr>
        <w:pStyle w:val="7"/>
        <w:spacing w:before="93"/>
      </w:pPr>
    </w:p>
    <w:p>
      <w:pPr>
        <w:spacing w:line="600" w:lineRule="exact"/>
        <w:jc w:val="center"/>
        <w:rPr>
          <w:rFonts w:ascii="方正小标宋简体" w:hAnsi="宋体" w:eastAsia="方正小标宋简体"/>
          <w:sz w:val="72"/>
          <w:szCs w:val="72"/>
        </w:rPr>
      </w:pPr>
    </w:p>
    <w:p>
      <w:pPr>
        <w:spacing w:line="600" w:lineRule="exact"/>
        <w:jc w:val="center"/>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9079"/>
      <w:r>
        <w:rPr>
          <w:rFonts w:hint="eastAsia" w:ascii="方正小标宋简体" w:hAnsi="方正小标宋简体" w:eastAsia="方正小标宋简体" w:cs="方正小标宋简体"/>
          <w:sz w:val="44"/>
          <w:szCs w:val="44"/>
        </w:rPr>
        <w:t>2023年度</w:t>
      </w:r>
      <w:bookmarkEnd w:id="0"/>
      <w:bookmarkEnd w:id="1"/>
      <w:bookmarkEnd w:id="2"/>
      <w:bookmarkEnd w:id="3"/>
      <w:bookmarkEnd w:id="4"/>
      <w:bookmarkEnd w:id="6"/>
    </w:p>
    <w:bookmarkEnd w:id="5"/>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7" w:name="_Toc12028"/>
      <w:bookmarkStart w:id="8" w:name="_Toc15396598"/>
      <w:bookmarkStart w:id="9" w:name="_Toc15378442"/>
      <w:bookmarkStart w:id="10" w:name="_Toc15306268"/>
      <w:bookmarkStart w:id="11" w:name="_Toc15377426"/>
      <w:bookmarkStart w:id="12" w:name="_Toc15396476"/>
      <w:bookmarkStart w:id="13" w:name="_Toc15377194"/>
      <w:r>
        <w:rPr>
          <w:rFonts w:hint="eastAsia" w:ascii="方正小标宋简体" w:hAnsi="方正小标宋简体" w:eastAsia="方正小标宋简体" w:cs="方正小标宋简体"/>
          <w:sz w:val="44"/>
          <w:szCs w:val="44"/>
        </w:rPr>
        <w:t>红原县麦洼寺寺庙管理委员会</w:t>
      </w:r>
      <w:bookmarkEnd w:id="7"/>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14" w:name="_Toc23869"/>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r>
        <w:rPr>
          <w:rFonts w:hint="eastAsia" w:ascii="方正小标宋简体" w:hAnsi="方正小标宋简体" w:eastAsia="方正小标宋简体" w:cs="方正小标宋简体"/>
          <w:sz w:val="44"/>
          <w:szCs w:val="44"/>
        </w:rPr>
        <w:t>公开编制说明</w:t>
      </w:r>
      <w:bookmarkEnd w:id="14"/>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rPr>
          <w:rFonts w:ascii="方正小标宋简体" w:hAnsi="宋体" w:eastAsia="方正小标宋简体"/>
          <w:sz w:val="36"/>
          <w:szCs w:val="36"/>
        </w:rPr>
      </w:pPr>
    </w:p>
    <w:p>
      <w:pPr>
        <w:pStyle w:val="15"/>
        <w:widowControl/>
        <w:ind w:right="75"/>
      </w:pPr>
      <w:r>
        <w:rPr>
          <w:shd w:val="clear" w:color="auto" w:fill="FFFFFF"/>
        </w:rPr>
        <w:t>保密审查情况：已审查，内容审定</w:t>
      </w:r>
    </w:p>
    <w:p>
      <w:pPr>
        <w:widowControl/>
        <w:rPr>
          <w:rFonts w:ascii="黑体" w:hAnsi="黑体" w:eastAsia="黑体" w:cstheme="minorBidi"/>
          <w:sz w:val="28"/>
          <w:szCs w:val="28"/>
        </w:rPr>
      </w:pPr>
      <w:r>
        <w:rPr>
          <w:sz w:val="24"/>
          <w:shd w:val="clear" w:color="auto" w:fill="FFFFFF"/>
        </w:rPr>
        <w:t>部门主要负责人审签情况：已审签，同意对外公开</w:t>
      </w:r>
      <w:r>
        <w:rPr>
          <w:rFonts w:ascii="方正小标宋简体" w:hAnsi="宋体" w:eastAsia="方正小标宋简体"/>
          <w:sz w:val="36"/>
          <w:szCs w:val="36"/>
        </w:rPr>
        <w:br w:type="page"/>
      </w:r>
    </w:p>
    <w:p>
      <w:pPr>
        <w:pStyle w:val="13"/>
        <w:rPr>
          <w:rFonts w:ascii="黑体" w:hAnsi="黑体" w:eastAsia="黑体" w:cs="黑体"/>
          <w:sz w:val="44"/>
          <w:szCs w:val="44"/>
        </w:rPr>
      </w:pPr>
      <w:r>
        <w:rPr>
          <w:rFonts w:hint="eastAsia" w:ascii="黑体" w:hAnsi="黑体" w:eastAsia="黑体" w:cs="黑体"/>
          <w:sz w:val="44"/>
          <w:szCs w:val="44"/>
        </w:rPr>
        <w:t>目录</w:t>
      </w:r>
    </w:p>
    <w:p>
      <w:pPr>
        <w:pStyle w:val="13"/>
      </w:pPr>
      <w:r>
        <w:rPr>
          <w:rFonts w:hint="eastAsia"/>
        </w:rPr>
        <w:t>公开时间：2024年11月16日</w:t>
      </w:r>
    </w:p>
    <w:p/>
    <w:sdt>
      <w:sdtPr>
        <w:rPr>
          <w:rFonts w:ascii="宋体" w:hAnsi="宋体"/>
        </w:rPr>
        <w:id w:val="147460589"/>
        <w:docPartObj>
          <w:docPartGallery w:val="Table of Contents"/>
          <w:docPartUnique/>
        </w:docPartObj>
      </w:sdtPr>
      <w:sdtEndPr>
        <w:rPr>
          <w:rFonts w:ascii="宋体" w:hAnsi="宋体"/>
        </w:rPr>
      </w:sdtEndPr>
      <w:sdtContent>
        <w:p>
          <w:pPr>
            <w:jc w:val="center"/>
          </w:pPr>
          <w:bookmarkStart w:id="15" w:name="_Toc15377196"/>
          <w:bookmarkStart w:id="16" w:name="_Toc15396599"/>
        </w:p>
        <w:p>
          <w:pPr>
            <w:pStyle w:val="36"/>
            <w:tabs>
              <w:tab w:val="right" w:leader="dot" w:pos="8306"/>
            </w:tabs>
          </w:pPr>
          <w:r>
            <w:fldChar w:fldCharType="begin"/>
          </w:r>
          <w:r>
            <w:instrText xml:space="preserve">TOC \o "1-3" \h \u </w:instrText>
          </w:r>
          <w:r>
            <w:fldChar w:fldCharType="separate"/>
          </w:r>
          <w:r>
            <w:fldChar w:fldCharType="begin"/>
          </w:r>
          <w:r>
            <w:instrText xml:space="preserve"> HYPERLINK \l "_Toc9079" </w:instrText>
          </w:r>
          <w:r>
            <w:fldChar w:fldCharType="separate"/>
          </w:r>
          <w:r>
            <w:rPr>
              <w:rFonts w:hint="eastAsia" w:ascii="方正小标宋简体" w:hAnsi="方正小标宋简体" w:eastAsia="方正小标宋简体" w:cs="方正小标宋简体"/>
              <w:szCs w:val="44"/>
            </w:rPr>
            <w:t>2023年度</w:t>
          </w:r>
          <w:r>
            <w:tab/>
          </w:r>
          <w:r>
            <w:fldChar w:fldCharType="begin"/>
          </w:r>
          <w:r>
            <w:instrText xml:space="preserve"> PAGEREF _Toc9079 \h </w:instrText>
          </w:r>
          <w:r>
            <w:fldChar w:fldCharType="separate"/>
          </w:r>
          <w:r>
            <w:t>1</w:t>
          </w:r>
          <w:r>
            <w:fldChar w:fldCharType="end"/>
          </w:r>
          <w:r>
            <w:fldChar w:fldCharType="end"/>
          </w:r>
        </w:p>
        <w:p>
          <w:pPr>
            <w:pStyle w:val="36"/>
            <w:tabs>
              <w:tab w:val="right" w:leader="dot" w:pos="8306"/>
            </w:tabs>
          </w:pPr>
          <w:r>
            <w:fldChar w:fldCharType="begin"/>
          </w:r>
          <w:r>
            <w:instrText xml:space="preserve"> HYPERLINK \l "_Toc12028" </w:instrText>
          </w:r>
          <w:r>
            <w:fldChar w:fldCharType="separate"/>
          </w:r>
          <w:r>
            <w:rPr>
              <w:rFonts w:hint="eastAsia" w:ascii="方正小标宋简体" w:hAnsi="方正小标宋简体" w:eastAsia="方正小标宋简体" w:cs="方正小标宋简体"/>
              <w:szCs w:val="44"/>
            </w:rPr>
            <w:t>红原县麦洼寺寺庙管理委员会</w:t>
          </w:r>
          <w:r>
            <w:tab/>
          </w:r>
          <w:r>
            <w:fldChar w:fldCharType="begin"/>
          </w:r>
          <w:r>
            <w:instrText xml:space="preserve"> PAGEREF _Toc12028 \h </w:instrText>
          </w:r>
          <w:r>
            <w:fldChar w:fldCharType="separate"/>
          </w:r>
          <w:r>
            <w:t>1</w:t>
          </w:r>
          <w:r>
            <w:fldChar w:fldCharType="end"/>
          </w:r>
          <w:r>
            <w:fldChar w:fldCharType="end"/>
          </w:r>
        </w:p>
        <w:p>
          <w:pPr>
            <w:pStyle w:val="36"/>
            <w:tabs>
              <w:tab w:val="right" w:leader="dot" w:pos="8306"/>
            </w:tabs>
          </w:pPr>
          <w:r>
            <w:fldChar w:fldCharType="begin"/>
          </w:r>
          <w:r>
            <w:instrText xml:space="preserve"> HYPERLINK \l "_Toc23869" </w:instrText>
          </w:r>
          <w:r>
            <w:fldChar w:fldCharType="separate"/>
          </w:r>
          <w:r>
            <w:rPr>
              <w:rFonts w:hint="eastAsia" w:ascii="方正小标宋简体" w:hAnsi="方正小标宋简体" w:eastAsia="方正小标宋简体" w:cs="方正小标宋简体"/>
              <w:szCs w:val="44"/>
            </w:rPr>
            <w:t>部门决算公开编制说明</w:t>
          </w:r>
          <w:r>
            <w:tab/>
          </w:r>
          <w:r>
            <w:fldChar w:fldCharType="begin"/>
          </w:r>
          <w:r>
            <w:instrText xml:space="preserve"> PAGEREF _Toc23869 \h </w:instrText>
          </w:r>
          <w:r>
            <w:fldChar w:fldCharType="separate"/>
          </w:r>
          <w:r>
            <w:t>1</w:t>
          </w:r>
          <w:r>
            <w:fldChar w:fldCharType="end"/>
          </w:r>
          <w:r>
            <w:fldChar w:fldCharType="end"/>
          </w:r>
        </w:p>
        <w:p>
          <w:pPr>
            <w:pStyle w:val="36"/>
            <w:tabs>
              <w:tab w:val="right" w:leader="dot" w:pos="8306"/>
            </w:tabs>
          </w:pPr>
          <w:r>
            <w:fldChar w:fldCharType="begin"/>
          </w:r>
          <w:r>
            <w:instrText xml:space="preserve"> HYPERLINK \l "_Toc11519" </w:instrText>
          </w:r>
          <w:r>
            <w:fldChar w:fldCharType="separate"/>
          </w:r>
          <w:r>
            <w:rPr>
              <w:rFonts w:hint="eastAsia" w:ascii="黑体" w:hAnsi="黑体" w:eastAsia="黑体"/>
            </w:rPr>
            <w:t>第一部分 部门概况</w:t>
          </w:r>
          <w:r>
            <w:tab/>
          </w:r>
          <w:r>
            <w:fldChar w:fldCharType="begin"/>
          </w:r>
          <w:r>
            <w:instrText xml:space="preserve"> PAGEREF _Toc11519 \h </w:instrText>
          </w:r>
          <w:r>
            <w:fldChar w:fldCharType="separate"/>
          </w:r>
          <w:r>
            <w:t>4</w:t>
          </w:r>
          <w:r>
            <w:fldChar w:fldCharType="end"/>
          </w:r>
          <w:r>
            <w:fldChar w:fldCharType="end"/>
          </w:r>
        </w:p>
        <w:p>
          <w:pPr>
            <w:pStyle w:val="37"/>
            <w:tabs>
              <w:tab w:val="right" w:leader="dot" w:pos="8306"/>
            </w:tabs>
            <w:ind w:left="420"/>
          </w:pPr>
          <w:r>
            <w:fldChar w:fldCharType="begin"/>
          </w:r>
          <w:r>
            <w:instrText xml:space="preserve"> HYPERLINK \l "_Toc1883" </w:instrText>
          </w:r>
          <w:r>
            <w:fldChar w:fldCharType="separate"/>
          </w:r>
          <w:r>
            <w:rPr>
              <w:rFonts w:hint="eastAsia" w:ascii="黑体" w:hAnsi="黑体" w:eastAsia="黑体"/>
            </w:rPr>
            <w:t>一、 部门职责</w:t>
          </w:r>
          <w:r>
            <w:tab/>
          </w:r>
          <w:r>
            <w:fldChar w:fldCharType="begin"/>
          </w:r>
          <w:r>
            <w:instrText xml:space="preserve"> PAGEREF _Toc1883 \h </w:instrText>
          </w:r>
          <w:r>
            <w:fldChar w:fldCharType="separate"/>
          </w:r>
          <w:r>
            <w:t>4</w:t>
          </w:r>
          <w:r>
            <w:fldChar w:fldCharType="end"/>
          </w:r>
          <w:r>
            <w:fldChar w:fldCharType="end"/>
          </w:r>
        </w:p>
        <w:p>
          <w:pPr>
            <w:pStyle w:val="37"/>
            <w:tabs>
              <w:tab w:val="right" w:leader="dot" w:pos="8306"/>
            </w:tabs>
            <w:ind w:left="420"/>
          </w:pPr>
          <w:r>
            <w:fldChar w:fldCharType="begin"/>
          </w:r>
          <w:r>
            <w:instrText xml:space="preserve"> HYPERLINK \l "_Toc20431" </w:instrText>
          </w:r>
          <w:r>
            <w:fldChar w:fldCharType="separate"/>
          </w:r>
          <w:r>
            <w:rPr>
              <w:rFonts w:hint="eastAsia" w:ascii="黑体" w:eastAsia="黑体"/>
            </w:rPr>
            <w:t>二、</w:t>
          </w:r>
          <w:r>
            <w:rPr>
              <w:rFonts w:hint="eastAsia" w:ascii="黑体" w:hAnsi="黑体" w:eastAsia="黑体"/>
            </w:rPr>
            <w:t>机构设</w:t>
          </w:r>
          <w:r>
            <w:tab/>
          </w:r>
          <w:r>
            <w:fldChar w:fldCharType="begin"/>
          </w:r>
          <w:r>
            <w:instrText xml:space="preserve"> PAGEREF _Toc20431 \h </w:instrText>
          </w:r>
          <w:r>
            <w:fldChar w:fldCharType="separate"/>
          </w:r>
          <w:r>
            <w:t>4</w:t>
          </w:r>
          <w:r>
            <w:fldChar w:fldCharType="end"/>
          </w:r>
          <w:r>
            <w:fldChar w:fldCharType="end"/>
          </w:r>
        </w:p>
        <w:p>
          <w:pPr>
            <w:pStyle w:val="36"/>
            <w:tabs>
              <w:tab w:val="right" w:leader="dot" w:pos="8306"/>
            </w:tabs>
          </w:pPr>
          <w:r>
            <w:fldChar w:fldCharType="begin"/>
          </w:r>
          <w:r>
            <w:instrText xml:space="preserve"> HYPERLINK \l "_Toc4746"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_Toc4746 \h </w:instrText>
          </w:r>
          <w:r>
            <w:fldChar w:fldCharType="separate"/>
          </w:r>
          <w:r>
            <w:t>5</w:t>
          </w:r>
          <w:r>
            <w:fldChar w:fldCharType="end"/>
          </w:r>
          <w:r>
            <w:fldChar w:fldCharType="end"/>
          </w:r>
        </w:p>
        <w:p>
          <w:pPr>
            <w:pStyle w:val="37"/>
            <w:tabs>
              <w:tab w:val="right" w:leader="dot" w:pos="8306"/>
            </w:tabs>
            <w:ind w:left="420"/>
          </w:pPr>
          <w:r>
            <w:fldChar w:fldCharType="begin"/>
          </w:r>
          <w:r>
            <w:instrText xml:space="preserve"> HYPERLINK \l "_Toc19975"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_Toc19975 \h </w:instrText>
          </w:r>
          <w:r>
            <w:fldChar w:fldCharType="separate"/>
          </w:r>
          <w:r>
            <w:t>5</w:t>
          </w:r>
          <w:r>
            <w:fldChar w:fldCharType="end"/>
          </w:r>
          <w:r>
            <w:fldChar w:fldCharType="end"/>
          </w:r>
        </w:p>
        <w:p>
          <w:pPr>
            <w:pStyle w:val="37"/>
            <w:tabs>
              <w:tab w:val="right" w:leader="dot" w:pos="8306"/>
            </w:tabs>
            <w:ind w:left="420"/>
          </w:pPr>
          <w:r>
            <w:fldChar w:fldCharType="begin"/>
          </w:r>
          <w:r>
            <w:instrText xml:space="preserve"> HYPERLINK \l "_Toc18607"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_Toc18607 \h </w:instrText>
          </w:r>
          <w:r>
            <w:fldChar w:fldCharType="separate"/>
          </w:r>
          <w:r>
            <w:t>5</w:t>
          </w:r>
          <w:r>
            <w:fldChar w:fldCharType="end"/>
          </w:r>
          <w:r>
            <w:fldChar w:fldCharType="end"/>
          </w:r>
        </w:p>
        <w:p>
          <w:pPr>
            <w:pStyle w:val="37"/>
            <w:tabs>
              <w:tab w:val="right" w:leader="dot" w:pos="8306"/>
            </w:tabs>
            <w:ind w:left="420"/>
          </w:pPr>
          <w:r>
            <w:fldChar w:fldCharType="begin"/>
          </w:r>
          <w:r>
            <w:instrText xml:space="preserve"> HYPERLINK \l "_Toc26827" </w:instrText>
          </w:r>
          <w:r>
            <w:fldChar w:fldCharType="separate"/>
          </w:r>
          <w:r>
            <w:rPr>
              <w:rFonts w:hint="eastAsia" w:ascii="仿宋" w:hAnsi="仿宋" w:eastAsia="仿宋"/>
              <w:szCs w:val="32"/>
            </w:rPr>
            <w:t>2023年度本年收入合计</w:t>
          </w:r>
          <w:r>
            <w:rPr>
              <w:szCs w:val="32"/>
            </w:rPr>
            <w:t>246.2</w:t>
          </w:r>
          <w:r>
            <w:rPr>
              <w:rFonts w:hint="eastAsia" w:ascii="仿宋" w:hAnsi="仿宋" w:eastAsia="仿宋"/>
              <w:szCs w:val="32"/>
            </w:rPr>
            <w:t>万元，其中：一般公共预算财政拨款收入</w:t>
          </w:r>
          <w:r>
            <w:rPr>
              <w:szCs w:val="32"/>
            </w:rPr>
            <w:t>246.2</w:t>
          </w:r>
          <w:r>
            <w:rPr>
              <w:rFonts w:hint="eastAsia" w:ascii="仿宋" w:hAnsi="仿宋" w:eastAsia="仿宋"/>
              <w:szCs w:val="32"/>
            </w:rPr>
            <w:t>万元，占</w:t>
          </w:r>
          <w:r>
            <w:rPr>
              <w:szCs w:val="32"/>
            </w:rPr>
            <w:t>100</w:t>
          </w:r>
          <w:r>
            <w:rPr>
              <w:rFonts w:ascii="仿宋" w:hAnsi="仿宋" w:eastAsia="仿宋"/>
              <w:szCs w:val="32"/>
            </w:rPr>
            <w:t>%</w:t>
          </w:r>
          <w:r>
            <w:rPr>
              <w:rFonts w:hint="eastAsia" w:ascii="仿宋" w:hAnsi="仿宋" w:eastAsia="仿宋"/>
              <w:szCs w:val="32"/>
            </w:rPr>
            <w:t>；政府性基金预算财政拨款收入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；国有资本经营预算财政拨款收入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；上级补助收入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；事业收入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；附属单位上缴收入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；其他收入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_Toc26827 \h </w:instrText>
          </w:r>
          <w:r>
            <w:fldChar w:fldCharType="separate"/>
          </w:r>
          <w:r>
            <w:t>5</w:t>
          </w:r>
          <w:r>
            <w:fldChar w:fldCharType="end"/>
          </w:r>
          <w:r>
            <w:fldChar w:fldCharType="end"/>
          </w:r>
        </w:p>
        <w:p>
          <w:pPr>
            <w:pStyle w:val="37"/>
            <w:tabs>
              <w:tab w:val="right" w:leader="dot" w:pos="8306"/>
            </w:tabs>
            <w:ind w:left="420"/>
          </w:pPr>
          <w:r>
            <w:fldChar w:fldCharType="begin"/>
          </w:r>
          <w:r>
            <w:instrText xml:space="preserve"> HYPERLINK \l "_Toc20976"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_Toc20976 \h </w:instrText>
          </w:r>
          <w:r>
            <w:fldChar w:fldCharType="separate"/>
          </w:r>
          <w:r>
            <w:t>6</w:t>
          </w:r>
          <w:r>
            <w:fldChar w:fldCharType="end"/>
          </w:r>
          <w:r>
            <w:fldChar w:fldCharType="end"/>
          </w:r>
        </w:p>
        <w:p>
          <w:pPr>
            <w:pStyle w:val="37"/>
            <w:tabs>
              <w:tab w:val="right" w:leader="dot" w:pos="8306"/>
            </w:tabs>
            <w:ind w:left="420"/>
          </w:pPr>
          <w:r>
            <w:fldChar w:fldCharType="begin"/>
          </w:r>
          <w:r>
            <w:instrText xml:space="preserve"> HYPERLINK \l "_Toc3337" </w:instrText>
          </w:r>
          <w:r>
            <w:fldChar w:fldCharType="separate"/>
          </w:r>
          <w:r>
            <w:rPr>
              <w:rFonts w:hint="eastAsia" w:ascii="仿宋" w:hAnsi="仿宋" w:eastAsia="仿宋"/>
              <w:szCs w:val="32"/>
            </w:rPr>
            <w:t>2023年度本年支出合计</w:t>
          </w:r>
          <w:r>
            <w:rPr>
              <w:szCs w:val="32"/>
            </w:rPr>
            <w:t>246.2</w:t>
          </w:r>
          <w:r>
            <w:rPr>
              <w:rFonts w:hint="eastAsia" w:ascii="仿宋" w:hAnsi="仿宋" w:eastAsia="仿宋"/>
              <w:szCs w:val="32"/>
            </w:rPr>
            <w:t>万元，其中：基本支出</w:t>
          </w:r>
          <w:r>
            <w:rPr>
              <w:szCs w:val="32"/>
            </w:rPr>
            <w:t>213.78</w:t>
          </w:r>
          <w:r>
            <w:rPr>
              <w:rFonts w:hint="eastAsia" w:ascii="仿宋" w:hAnsi="仿宋" w:eastAsia="仿宋"/>
              <w:szCs w:val="32"/>
            </w:rPr>
            <w:t>万元，占</w:t>
          </w:r>
          <w:r>
            <w:rPr>
              <w:szCs w:val="32"/>
            </w:rPr>
            <w:t>86.83</w:t>
          </w:r>
          <w:r>
            <w:rPr>
              <w:rFonts w:ascii="仿宋" w:hAnsi="仿宋" w:eastAsia="仿宋"/>
              <w:szCs w:val="32"/>
            </w:rPr>
            <w:t>%</w:t>
          </w:r>
          <w:r>
            <w:rPr>
              <w:rFonts w:hint="eastAsia" w:ascii="仿宋" w:hAnsi="仿宋" w:eastAsia="仿宋"/>
              <w:szCs w:val="32"/>
            </w:rPr>
            <w:t>；项目支出</w:t>
          </w:r>
          <w:r>
            <w:rPr>
              <w:szCs w:val="32"/>
            </w:rPr>
            <w:t>32.42</w:t>
          </w:r>
          <w:r>
            <w:rPr>
              <w:rFonts w:hint="eastAsia" w:ascii="仿宋" w:hAnsi="仿宋" w:eastAsia="仿宋"/>
              <w:szCs w:val="32"/>
            </w:rPr>
            <w:t>万元，占</w:t>
          </w:r>
          <w:r>
            <w:rPr>
              <w:szCs w:val="32"/>
            </w:rPr>
            <w:t>13.16</w:t>
          </w:r>
          <w:r>
            <w:rPr>
              <w:rFonts w:ascii="仿宋" w:hAnsi="仿宋" w:eastAsia="仿宋"/>
              <w:szCs w:val="32"/>
            </w:rPr>
            <w:t>%</w:t>
          </w:r>
          <w:r>
            <w:rPr>
              <w:rFonts w:hint="eastAsia" w:ascii="仿宋" w:hAnsi="仿宋" w:eastAsia="仿宋"/>
              <w:szCs w:val="32"/>
            </w:rPr>
            <w:t>；上缴上级支出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；对附属单位补助支出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_Toc3337 \h </w:instrText>
          </w:r>
          <w:r>
            <w:fldChar w:fldCharType="separate"/>
          </w:r>
          <w:r>
            <w:t>6</w:t>
          </w:r>
          <w:r>
            <w:fldChar w:fldCharType="end"/>
          </w:r>
          <w:r>
            <w:fldChar w:fldCharType="end"/>
          </w:r>
        </w:p>
        <w:p>
          <w:pPr>
            <w:pStyle w:val="37"/>
            <w:tabs>
              <w:tab w:val="right" w:leader="dot" w:pos="8306"/>
            </w:tabs>
            <w:ind w:left="420"/>
          </w:pPr>
          <w:r>
            <w:fldChar w:fldCharType="begin"/>
          </w:r>
          <w:r>
            <w:instrText xml:space="preserve"> HYPERLINK \l "_Toc16214"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_Toc16214 \h </w:instrText>
          </w:r>
          <w:r>
            <w:fldChar w:fldCharType="separate"/>
          </w:r>
          <w:r>
            <w:t>6</w:t>
          </w:r>
          <w:r>
            <w:fldChar w:fldCharType="end"/>
          </w:r>
          <w:r>
            <w:fldChar w:fldCharType="end"/>
          </w:r>
        </w:p>
        <w:p>
          <w:pPr>
            <w:pStyle w:val="37"/>
            <w:tabs>
              <w:tab w:val="right" w:leader="dot" w:pos="8306"/>
            </w:tabs>
            <w:ind w:left="420"/>
          </w:pPr>
          <w:r>
            <w:fldChar w:fldCharType="begin"/>
          </w:r>
          <w:r>
            <w:instrText xml:space="preserve"> HYPERLINK \l "_Toc26647"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_Toc26647 \h </w:instrText>
          </w:r>
          <w:r>
            <w:fldChar w:fldCharType="separate"/>
          </w:r>
          <w:r>
            <w:t>7</w:t>
          </w:r>
          <w:r>
            <w:fldChar w:fldCharType="end"/>
          </w:r>
          <w:r>
            <w:fldChar w:fldCharType="end"/>
          </w:r>
        </w:p>
        <w:p>
          <w:pPr>
            <w:pStyle w:val="38"/>
            <w:tabs>
              <w:tab w:val="right" w:leader="dot" w:pos="8306"/>
            </w:tabs>
            <w:ind w:left="840"/>
          </w:pPr>
          <w:r>
            <w:fldChar w:fldCharType="begin"/>
          </w:r>
          <w:r>
            <w:instrText xml:space="preserve"> HYPERLINK \l "_Toc12170"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_Toc12170 \h </w:instrText>
          </w:r>
          <w:r>
            <w:fldChar w:fldCharType="separate"/>
          </w:r>
          <w:r>
            <w:t>7</w:t>
          </w:r>
          <w:r>
            <w:fldChar w:fldCharType="end"/>
          </w:r>
          <w:r>
            <w:fldChar w:fldCharType="end"/>
          </w:r>
        </w:p>
        <w:p>
          <w:pPr>
            <w:pStyle w:val="38"/>
            <w:tabs>
              <w:tab w:val="right" w:leader="dot" w:pos="8306"/>
            </w:tabs>
            <w:ind w:left="840"/>
          </w:pPr>
          <w:r>
            <w:fldChar w:fldCharType="begin"/>
          </w:r>
          <w:r>
            <w:instrText xml:space="preserve"> HYPERLINK \l "_Toc20988"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_Toc20988 \h </w:instrText>
          </w:r>
          <w:r>
            <w:fldChar w:fldCharType="separate"/>
          </w:r>
          <w:r>
            <w:t>8</w:t>
          </w:r>
          <w:r>
            <w:fldChar w:fldCharType="end"/>
          </w:r>
          <w:r>
            <w:fldChar w:fldCharType="end"/>
          </w:r>
        </w:p>
        <w:p>
          <w:pPr>
            <w:pStyle w:val="38"/>
            <w:tabs>
              <w:tab w:val="right" w:leader="dot" w:pos="8306"/>
            </w:tabs>
            <w:ind w:left="840"/>
          </w:pPr>
          <w:r>
            <w:fldChar w:fldCharType="begin"/>
          </w:r>
          <w:r>
            <w:instrText xml:space="preserve"> HYPERLINK \l "_Toc1651"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_Toc1651 \h </w:instrText>
          </w:r>
          <w:r>
            <w:fldChar w:fldCharType="separate"/>
          </w:r>
          <w:r>
            <w:t>9</w:t>
          </w:r>
          <w:r>
            <w:fldChar w:fldCharType="end"/>
          </w:r>
          <w:r>
            <w:fldChar w:fldCharType="end"/>
          </w:r>
        </w:p>
        <w:p>
          <w:pPr>
            <w:pStyle w:val="38"/>
            <w:tabs>
              <w:tab w:val="right" w:leader="dot" w:pos="8306"/>
            </w:tabs>
            <w:ind w:left="840"/>
          </w:pPr>
          <w:r>
            <w:fldChar w:fldCharType="begin"/>
          </w:r>
          <w:r>
            <w:instrText xml:space="preserve"> HYPERLINK \l "_Toc17177" </w:instrText>
          </w:r>
          <w:r>
            <w:fldChar w:fldCharType="separate"/>
          </w:r>
          <w:r>
            <w:rPr>
              <w:rFonts w:hint="eastAsia" w:ascii="仿宋" w:hAnsi="仿宋" w:eastAsia="仿宋"/>
              <w:szCs w:val="32"/>
            </w:rPr>
            <w:t>2023年度一般公共预算支出决算数为</w:t>
          </w:r>
          <w:r>
            <w:rPr>
              <w:szCs w:val="32"/>
            </w:rPr>
            <w:t>246.2</w:t>
          </w:r>
          <w:r>
            <w:rPr>
              <w:rFonts w:hint="eastAsia" w:ascii="仿宋" w:hAnsi="仿宋" w:eastAsia="仿宋"/>
              <w:szCs w:val="32"/>
            </w:rPr>
            <w:t>，</w:t>
          </w:r>
          <w:r>
            <w:rPr>
              <w:rFonts w:hint="eastAsia" w:ascii="仿宋" w:hAnsi="仿宋" w:eastAsia="仿宋"/>
              <w:bCs/>
              <w:szCs w:val="32"/>
            </w:rPr>
            <w:t>完成预算100</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_Toc17177 \h </w:instrText>
          </w:r>
          <w:r>
            <w:fldChar w:fldCharType="separate"/>
          </w:r>
          <w:r>
            <w:t>9</w:t>
          </w:r>
          <w:r>
            <w:fldChar w:fldCharType="end"/>
          </w:r>
          <w:r>
            <w:fldChar w:fldCharType="end"/>
          </w:r>
        </w:p>
        <w:p>
          <w:pPr>
            <w:pStyle w:val="37"/>
            <w:tabs>
              <w:tab w:val="right" w:leader="dot" w:pos="8306"/>
            </w:tabs>
            <w:ind w:left="420"/>
          </w:pPr>
          <w:r>
            <w:fldChar w:fldCharType="begin"/>
          </w:r>
          <w:r>
            <w:instrText xml:space="preserve"> HYPERLINK \l "_Toc14009"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_Toc14009 \h </w:instrText>
          </w:r>
          <w:r>
            <w:fldChar w:fldCharType="separate"/>
          </w:r>
          <w:r>
            <w:t>10</w:t>
          </w:r>
          <w:r>
            <w:fldChar w:fldCharType="end"/>
          </w:r>
          <w:r>
            <w:fldChar w:fldCharType="end"/>
          </w:r>
        </w:p>
        <w:p>
          <w:pPr>
            <w:pStyle w:val="37"/>
            <w:tabs>
              <w:tab w:val="right" w:leader="dot" w:pos="8306"/>
            </w:tabs>
            <w:ind w:left="420"/>
          </w:pPr>
          <w:r>
            <w:fldChar w:fldCharType="begin"/>
          </w:r>
          <w:r>
            <w:instrText xml:space="preserve"> HYPERLINK \l "_Toc30741"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_Toc30741 \h </w:instrText>
          </w:r>
          <w:r>
            <w:fldChar w:fldCharType="separate"/>
          </w:r>
          <w:r>
            <w:t>11</w:t>
          </w:r>
          <w:r>
            <w:fldChar w:fldCharType="end"/>
          </w:r>
          <w:r>
            <w:fldChar w:fldCharType="end"/>
          </w:r>
        </w:p>
        <w:p>
          <w:pPr>
            <w:pStyle w:val="38"/>
            <w:tabs>
              <w:tab w:val="right" w:leader="dot" w:pos="8306"/>
            </w:tabs>
            <w:ind w:left="840"/>
          </w:pPr>
          <w:r>
            <w:fldChar w:fldCharType="begin"/>
          </w:r>
          <w:r>
            <w:instrText xml:space="preserve"> HYPERLINK \l "_Toc21630"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_Toc21630 \h </w:instrText>
          </w:r>
          <w:r>
            <w:fldChar w:fldCharType="separate"/>
          </w:r>
          <w:r>
            <w:t>11</w:t>
          </w:r>
          <w:r>
            <w:fldChar w:fldCharType="end"/>
          </w:r>
          <w:r>
            <w:fldChar w:fldCharType="end"/>
          </w:r>
        </w:p>
        <w:p>
          <w:pPr>
            <w:pStyle w:val="38"/>
            <w:tabs>
              <w:tab w:val="right" w:leader="dot" w:pos="8306"/>
            </w:tabs>
            <w:ind w:left="840"/>
          </w:pPr>
          <w:r>
            <w:fldChar w:fldCharType="begin"/>
          </w:r>
          <w:r>
            <w:instrText xml:space="preserve"> HYPERLINK \l "_Toc15929"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_Toc15929 \h </w:instrText>
          </w:r>
          <w:r>
            <w:fldChar w:fldCharType="separate"/>
          </w:r>
          <w:r>
            <w:t>11</w:t>
          </w:r>
          <w:r>
            <w:fldChar w:fldCharType="end"/>
          </w:r>
          <w:r>
            <w:fldChar w:fldCharType="end"/>
          </w:r>
        </w:p>
        <w:p>
          <w:pPr>
            <w:pStyle w:val="37"/>
            <w:tabs>
              <w:tab w:val="right" w:leader="dot" w:pos="8306"/>
            </w:tabs>
            <w:ind w:left="420"/>
          </w:pPr>
          <w:r>
            <w:fldChar w:fldCharType="begin"/>
          </w:r>
          <w:r>
            <w:instrText xml:space="preserve"> HYPERLINK \l "_Toc8912"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_Toc8912 \h </w:instrText>
          </w:r>
          <w:r>
            <w:fldChar w:fldCharType="separate"/>
          </w:r>
          <w:r>
            <w:t>13</w:t>
          </w:r>
          <w:r>
            <w:fldChar w:fldCharType="end"/>
          </w:r>
          <w:r>
            <w:fldChar w:fldCharType="end"/>
          </w:r>
        </w:p>
        <w:p>
          <w:pPr>
            <w:pStyle w:val="37"/>
            <w:tabs>
              <w:tab w:val="right" w:leader="dot" w:pos="8306"/>
            </w:tabs>
            <w:ind w:left="420"/>
          </w:pPr>
          <w:r>
            <w:fldChar w:fldCharType="begin"/>
          </w:r>
          <w:r>
            <w:instrText xml:space="preserve"> HYPERLINK \l "_Toc29602" </w:instrText>
          </w:r>
          <w:r>
            <w:fldChar w:fldCharType="separate"/>
          </w:r>
          <w:r>
            <w:rPr>
              <w:rFonts w:hint="eastAsia" w:ascii="黑体" w:hAnsi="黑体" w:eastAsia="黑体"/>
            </w:rPr>
            <w:t>九、 国有资本经营预算支出决算情况说明</w:t>
          </w:r>
          <w:r>
            <w:tab/>
          </w:r>
          <w:r>
            <w:fldChar w:fldCharType="begin"/>
          </w:r>
          <w:r>
            <w:instrText xml:space="preserve"> PAGEREF _Toc29602 \h </w:instrText>
          </w:r>
          <w:r>
            <w:fldChar w:fldCharType="separate"/>
          </w:r>
          <w:r>
            <w:t>13</w:t>
          </w:r>
          <w:r>
            <w:fldChar w:fldCharType="end"/>
          </w:r>
          <w:r>
            <w:fldChar w:fldCharType="end"/>
          </w:r>
        </w:p>
        <w:p>
          <w:pPr>
            <w:pStyle w:val="37"/>
            <w:tabs>
              <w:tab w:val="right" w:leader="dot" w:pos="8306"/>
            </w:tabs>
            <w:ind w:left="420"/>
          </w:pPr>
          <w:r>
            <w:fldChar w:fldCharType="begin"/>
          </w:r>
          <w:r>
            <w:instrText xml:space="preserve"> HYPERLINK \l "_Toc6552" </w:instrText>
          </w:r>
          <w:r>
            <w:fldChar w:fldCharType="separate"/>
          </w:r>
          <w:r>
            <w:rPr>
              <w:rFonts w:hint="eastAsia" w:ascii="黑体" w:hAnsi="黑体" w:eastAsia="黑体"/>
            </w:rPr>
            <w:t>十、 其他重要事项的情况说明</w:t>
          </w:r>
          <w:r>
            <w:tab/>
          </w:r>
          <w:r>
            <w:fldChar w:fldCharType="begin"/>
          </w:r>
          <w:r>
            <w:instrText xml:space="preserve"> PAGEREF _Toc6552 \h </w:instrText>
          </w:r>
          <w:r>
            <w:fldChar w:fldCharType="separate"/>
          </w:r>
          <w:r>
            <w:t>13</w:t>
          </w:r>
          <w:r>
            <w:fldChar w:fldCharType="end"/>
          </w:r>
          <w:r>
            <w:fldChar w:fldCharType="end"/>
          </w:r>
        </w:p>
        <w:p>
          <w:pPr>
            <w:pStyle w:val="38"/>
            <w:tabs>
              <w:tab w:val="right" w:leader="dot" w:pos="8306"/>
            </w:tabs>
            <w:ind w:left="840"/>
          </w:pPr>
          <w:r>
            <w:fldChar w:fldCharType="begin"/>
          </w:r>
          <w:r>
            <w:instrText xml:space="preserve"> HYPERLINK \l "_Toc25064" </w:instrText>
          </w:r>
          <w:r>
            <w:fldChar w:fldCharType="separate"/>
          </w:r>
          <w:r>
            <w:rPr>
              <w:rFonts w:hint="eastAsia" w:ascii="仿宋" w:hAnsi="仿宋" w:eastAsia="仿宋"/>
              <w:szCs w:val="32"/>
            </w:rPr>
            <w:t>（一）机关运行经费支出</w:t>
          </w:r>
          <w:r>
            <w:rPr>
              <w:rFonts w:hint="eastAsia" w:ascii="仿宋" w:hAnsi="仿宋" w:eastAsia="仿宋" w:cs="Times New Roman"/>
              <w:szCs w:val="32"/>
            </w:rPr>
            <w:t>情况</w:t>
          </w:r>
          <w:r>
            <w:tab/>
          </w:r>
          <w:r>
            <w:fldChar w:fldCharType="begin"/>
          </w:r>
          <w:r>
            <w:instrText xml:space="preserve"> PAGEREF _Toc25064 \h </w:instrText>
          </w:r>
          <w:r>
            <w:fldChar w:fldCharType="separate"/>
          </w:r>
          <w:r>
            <w:t>13</w:t>
          </w:r>
          <w:r>
            <w:fldChar w:fldCharType="end"/>
          </w:r>
          <w:r>
            <w:fldChar w:fldCharType="end"/>
          </w:r>
        </w:p>
        <w:p>
          <w:pPr>
            <w:pStyle w:val="38"/>
            <w:tabs>
              <w:tab w:val="right" w:leader="dot" w:pos="8306"/>
            </w:tabs>
            <w:ind w:left="840"/>
          </w:pPr>
          <w:r>
            <w:fldChar w:fldCharType="begin"/>
          </w:r>
          <w:r>
            <w:instrText xml:space="preserve"> HYPERLINK \l "_Toc4113" </w:instrText>
          </w:r>
          <w:r>
            <w:fldChar w:fldCharType="separate"/>
          </w:r>
          <w:r>
            <w:rPr>
              <w:rFonts w:hint="eastAsia" w:ascii="仿宋" w:hAnsi="仿宋" w:eastAsia="仿宋"/>
              <w:szCs w:val="32"/>
            </w:rPr>
            <w:t>（二）政府采购支出情况</w:t>
          </w:r>
          <w:r>
            <w:tab/>
          </w:r>
          <w:r>
            <w:fldChar w:fldCharType="begin"/>
          </w:r>
          <w:r>
            <w:instrText xml:space="preserve"> PAGEREF _Toc4113 \h </w:instrText>
          </w:r>
          <w:r>
            <w:fldChar w:fldCharType="separate"/>
          </w:r>
          <w:r>
            <w:t>13</w:t>
          </w:r>
          <w:r>
            <w:fldChar w:fldCharType="end"/>
          </w:r>
          <w:r>
            <w:fldChar w:fldCharType="end"/>
          </w:r>
        </w:p>
        <w:p>
          <w:pPr>
            <w:pStyle w:val="38"/>
            <w:tabs>
              <w:tab w:val="right" w:leader="dot" w:pos="8306"/>
            </w:tabs>
            <w:ind w:left="840"/>
          </w:pPr>
          <w:r>
            <w:fldChar w:fldCharType="begin"/>
          </w:r>
          <w:r>
            <w:instrText xml:space="preserve"> HYPERLINK \l "_Toc3894" </w:instrText>
          </w:r>
          <w:r>
            <w:fldChar w:fldCharType="separate"/>
          </w:r>
          <w:r>
            <w:rPr>
              <w:rFonts w:hint="eastAsia" w:ascii="仿宋" w:hAnsi="仿宋" w:eastAsia="仿宋"/>
              <w:szCs w:val="32"/>
            </w:rPr>
            <w:t>（三）国有资产占有使用情况</w:t>
          </w:r>
          <w:r>
            <w:tab/>
          </w:r>
          <w:r>
            <w:fldChar w:fldCharType="begin"/>
          </w:r>
          <w:r>
            <w:instrText xml:space="preserve"> PAGEREF _Toc3894 \h </w:instrText>
          </w:r>
          <w:r>
            <w:fldChar w:fldCharType="separate"/>
          </w:r>
          <w:r>
            <w:t>14</w:t>
          </w:r>
          <w:r>
            <w:fldChar w:fldCharType="end"/>
          </w:r>
          <w:r>
            <w:fldChar w:fldCharType="end"/>
          </w:r>
        </w:p>
        <w:p>
          <w:pPr>
            <w:pStyle w:val="38"/>
            <w:tabs>
              <w:tab w:val="right" w:leader="dot" w:pos="8306"/>
            </w:tabs>
            <w:ind w:left="840"/>
          </w:pPr>
          <w:r>
            <w:fldChar w:fldCharType="begin"/>
          </w:r>
          <w:r>
            <w:instrText xml:space="preserve"> HYPERLINK \l "_Toc22555" </w:instrText>
          </w:r>
          <w:r>
            <w:fldChar w:fldCharType="separate"/>
          </w:r>
          <w:r>
            <w:rPr>
              <w:rFonts w:hint="eastAsia" w:ascii="仿宋" w:hAnsi="仿宋" w:eastAsia="仿宋"/>
              <w:szCs w:val="32"/>
            </w:rPr>
            <w:t>（四）预算绩效管理情况</w:t>
          </w:r>
          <w:r>
            <w:tab/>
          </w:r>
          <w:r>
            <w:fldChar w:fldCharType="begin"/>
          </w:r>
          <w:r>
            <w:instrText xml:space="preserve"> PAGEREF _Toc22555 \h </w:instrText>
          </w:r>
          <w:r>
            <w:fldChar w:fldCharType="separate"/>
          </w:r>
          <w:r>
            <w:t>14</w:t>
          </w:r>
          <w:r>
            <w:fldChar w:fldCharType="end"/>
          </w:r>
          <w:r>
            <w:fldChar w:fldCharType="end"/>
          </w:r>
        </w:p>
        <w:p>
          <w:pPr>
            <w:pStyle w:val="36"/>
            <w:tabs>
              <w:tab w:val="right" w:leader="dot" w:pos="8306"/>
            </w:tabs>
          </w:pPr>
          <w:r>
            <w:fldChar w:fldCharType="begin"/>
          </w:r>
          <w:r>
            <w:instrText xml:space="preserve"> HYPERLINK \l "_Toc16609" </w:instrText>
          </w:r>
          <w:r>
            <w:fldChar w:fldCharType="separate"/>
          </w:r>
          <w:r>
            <w:rPr>
              <w:rFonts w:hint="eastAsia"/>
            </w:rPr>
            <w:t>第三部分 名词解释</w:t>
          </w:r>
          <w:r>
            <w:tab/>
          </w:r>
          <w:r>
            <w:fldChar w:fldCharType="begin"/>
          </w:r>
          <w:r>
            <w:instrText xml:space="preserve"> PAGEREF _Toc16609 \h </w:instrText>
          </w:r>
          <w:r>
            <w:fldChar w:fldCharType="separate"/>
          </w:r>
          <w:r>
            <w:t>15</w:t>
          </w:r>
          <w:r>
            <w:fldChar w:fldCharType="end"/>
          </w:r>
          <w:r>
            <w:fldChar w:fldCharType="end"/>
          </w:r>
        </w:p>
        <w:p>
          <w:pPr>
            <w:pStyle w:val="36"/>
            <w:tabs>
              <w:tab w:val="right" w:leader="dot" w:pos="8306"/>
            </w:tabs>
          </w:pPr>
          <w:r>
            <w:fldChar w:fldCharType="begin"/>
          </w:r>
          <w:r>
            <w:instrText xml:space="preserve"> HYPERLINK \l "_Toc14553" </w:instrText>
          </w:r>
          <w:r>
            <w:fldChar w:fldCharType="separate"/>
          </w:r>
          <w:r>
            <w:rPr>
              <w:rFonts w:hint="eastAsia" w:ascii="黑体" w:hAnsi="黑体" w:eastAsia="黑体"/>
            </w:rPr>
            <w:t>第四部分 附件</w:t>
          </w:r>
          <w:r>
            <w:tab/>
          </w:r>
          <w:r>
            <w:fldChar w:fldCharType="begin"/>
          </w:r>
          <w:r>
            <w:instrText xml:space="preserve"> PAGEREF _Toc14553 \h </w:instrText>
          </w:r>
          <w:r>
            <w:fldChar w:fldCharType="separate"/>
          </w:r>
          <w:r>
            <w:t>18</w:t>
          </w:r>
          <w:r>
            <w:fldChar w:fldCharType="end"/>
          </w:r>
          <w:r>
            <w:fldChar w:fldCharType="end"/>
          </w:r>
        </w:p>
        <w:p>
          <w:pPr>
            <w:pStyle w:val="36"/>
            <w:tabs>
              <w:tab w:val="right" w:leader="dot" w:pos="8306"/>
            </w:tabs>
          </w:pPr>
          <w:r>
            <w:fldChar w:fldCharType="begin"/>
          </w:r>
          <w:r>
            <w:instrText xml:space="preserve"> HYPERLINK \l "_Toc1030" </w:instrText>
          </w:r>
          <w:r>
            <w:fldChar w:fldCharType="separate"/>
          </w:r>
          <w:r>
            <w:rPr>
              <w:rFonts w:hint="eastAsia" w:ascii="黑体" w:hAnsi="黑体" w:eastAsia="黑体"/>
            </w:rPr>
            <w:t>第五部分 附表</w:t>
          </w:r>
          <w:r>
            <w:tab/>
          </w:r>
          <w:r>
            <w:fldChar w:fldCharType="begin"/>
          </w:r>
          <w:r>
            <w:instrText xml:space="preserve"> PAGEREF _Toc1030 \h </w:instrText>
          </w:r>
          <w:r>
            <w:fldChar w:fldCharType="separate"/>
          </w:r>
          <w:r>
            <w:t>28</w:t>
          </w:r>
          <w:r>
            <w:fldChar w:fldCharType="end"/>
          </w:r>
          <w:r>
            <w:fldChar w:fldCharType="end"/>
          </w:r>
        </w:p>
        <w:p>
          <w:r>
            <w:fldChar w:fldCharType="end"/>
          </w:r>
        </w:p>
      </w:sdtContent>
    </w:sdt>
    <w:p>
      <w:pPr>
        <w:widowControl/>
        <w:spacing w:line="440" w:lineRule="exact"/>
        <w:jc w:val="left"/>
        <w:rPr>
          <w:rFonts w:ascii="仿宋" w:hAnsi="仿宋" w:eastAsia="仿宋"/>
          <w:bCs/>
          <w:kern w:val="44"/>
          <w:sz w:val="24"/>
        </w:rPr>
      </w:pPr>
    </w:p>
    <w:p>
      <w:pPr>
        <w:pStyle w:val="4"/>
        <w:jc w:val="center"/>
        <w:rPr>
          <w:rStyle w:val="29"/>
          <w:rFonts w:ascii="黑体" w:hAnsi="黑体" w:eastAsia="黑体"/>
          <w:b/>
          <w:bCs w:val="0"/>
        </w:rPr>
      </w:pPr>
      <w:bookmarkStart w:id="17" w:name="_Toc11519"/>
      <w:r>
        <w:rPr>
          <w:rFonts w:hint="eastAsia" w:ascii="黑体" w:hAnsi="黑体" w:eastAsia="黑体"/>
          <w:b w:val="0"/>
        </w:rPr>
        <w:t xml:space="preserve">第一部分 </w:t>
      </w:r>
      <w:r>
        <w:rPr>
          <w:rStyle w:val="29"/>
          <w:rFonts w:hint="eastAsia" w:ascii="黑体" w:hAnsi="黑体" w:eastAsia="黑体"/>
          <w:b w:val="0"/>
          <w:bCs w:val="0"/>
        </w:rPr>
        <w:t>部门概况</w:t>
      </w:r>
      <w:bookmarkEnd w:id="15"/>
      <w:bookmarkEnd w:id="16"/>
      <w:bookmarkEnd w:id="17"/>
    </w:p>
    <w:p>
      <w:pPr>
        <w:widowControl/>
        <w:jc w:val="left"/>
        <w:rPr>
          <w:rFonts w:ascii="黑体" w:eastAsia="黑体"/>
          <w:sz w:val="32"/>
          <w:szCs w:val="32"/>
        </w:rPr>
      </w:pPr>
    </w:p>
    <w:p>
      <w:pPr>
        <w:pStyle w:val="5"/>
        <w:numPr>
          <w:ilvl w:val="0"/>
          <w:numId w:val="1"/>
        </w:numPr>
        <w:rPr>
          <w:rFonts w:ascii="黑体" w:hAnsi="黑体" w:eastAsia="黑体"/>
          <w:b w:val="0"/>
        </w:rPr>
      </w:pPr>
      <w:bookmarkStart w:id="18" w:name="_Toc1883"/>
      <w:r>
        <w:rPr>
          <w:rFonts w:hint="eastAsia" w:ascii="黑体" w:hAnsi="黑体" w:eastAsia="黑体"/>
          <w:b w:val="0"/>
        </w:rPr>
        <w:t>部门职责</w:t>
      </w:r>
      <w:bookmarkEnd w:id="18"/>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我管委会为县政府派出机构，受县政府委托，履行相应宗教事务管理执法权，业务上接收统战和宗教工作部门的指导和监督。</w:t>
      </w:r>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依法管理宗教事务，加强寺庙管理，加强僧尼管理，加强宗教活动管理。</w:t>
      </w:r>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教育引导，以增强僧尼法制意识、公民意识、政府议事、祖国意识为目标，坚持不懈加强对僧尼的教育引导。</w:t>
      </w:r>
    </w:p>
    <w:p>
      <w:r>
        <w:rPr>
          <w:rFonts w:hint="eastAsia" w:eastAsia="仿宋_GB2312"/>
          <w:sz w:val="32"/>
          <w:szCs w:val="32"/>
        </w:rPr>
        <w:t>公共服务，充分保障依法打击寺庙和持证僧尼的普惠性待遇，做到“五通”、“三有”、“三覆盖”。</w:t>
      </w:r>
    </w:p>
    <w:p>
      <w:pPr>
        <w:pStyle w:val="5"/>
        <w:rPr>
          <w:rStyle w:val="30"/>
          <w:b w:val="0"/>
          <w:bCs w:val="0"/>
        </w:rPr>
      </w:pPr>
      <w:bookmarkStart w:id="19" w:name="_Toc20431"/>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19"/>
      <w:bookmarkEnd w:id="20"/>
      <w:bookmarkEnd w:id="21"/>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红原县麦洼寺寺庙管理委员会本级下属二级预算单位0个，其中行政单位0个，参照公务员法管理的事业单位0个，其他事业单位0个。</w:t>
      </w:r>
    </w:p>
    <w:p>
      <w:pPr>
        <w:widowControl/>
        <w:ind w:firstLine="640" w:firstLineChars="200"/>
        <w:jc w:val="left"/>
        <w:rPr>
          <w:rFonts w:ascii="仿宋" w:hAnsi="仿宋" w:eastAsia="仿宋"/>
          <w:kern w:val="0"/>
          <w:sz w:val="32"/>
          <w:szCs w:val="32"/>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人事核定行政编制</w:t>
      </w:r>
      <w:r>
        <w:rPr>
          <w:rFonts w:hint="eastAsia" w:eastAsia="仿宋_GB2312"/>
          <w:sz w:val="32"/>
          <w:szCs w:val="32"/>
        </w:rPr>
        <w:t>10</w:t>
      </w:r>
      <w:r>
        <w:rPr>
          <w:rFonts w:hint="eastAsia" w:eastAsia="仿宋_GB2312"/>
          <w:sz w:val="32"/>
          <w:szCs w:val="32"/>
          <w:lang w:val="zh-CN"/>
        </w:rPr>
        <w:t>人，其中：行政工勤编制</w:t>
      </w:r>
      <w:r>
        <w:rPr>
          <w:rFonts w:hint="eastAsia" w:eastAsia="仿宋_GB2312"/>
          <w:sz w:val="32"/>
          <w:szCs w:val="32"/>
        </w:rPr>
        <w:t>0</w:t>
      </w:r>
      <w:r>
        <w:rPr>
          <w:rFonts w:hint="eastAsia" w:eastAsia="仿宋_GB2312"/>
          <w:sz w:val="32"/>
          <w:szCs w:val="32"/>
          <w:lang w:val="zh-CN"/>
        </w:rPr>
        <w:t>人。是独立核算的机构，是独立编报预算的单位。20</w:t>
      </w:r>
      <w:r>
        <w:rPr>
          <w:rFonts w:hint="eastAsia" w:eastAsia="仿宋_GB2312"/>
          <w:sz w:val="32"/>
          <w:szCs w:val="32"/>
        </w:rPr>
        <w:t>23</w:t>
      </w:r>
      <w:r>
        <w:rPr>
          <w:rFonts w:hint="eastAsia" w:eastAsia="仿宋_GB2312"/>
          <w:sz w:val="32"/>
          <w:szCs w:val="32"/>
          <w:lang w:val="zh-CN"/>
        </w:rPr>
        <w:t>年年末在职行政人数</w:t>
      </w:r>
      <w:r>
        <w:rPr>
          <w:rFonts w:hint="eastAsia" w:eastAsia="仿宋_GB2312"/>
          <w:sz w:val="32"/>
          <w:szCs w:val="32"/>
        </w:rPr>
        <w:t>10</w:t>
      </w:r>
      <w:r>
        <w:rPr>
          <w:rFonts w:hint="eastAsia" w:eastAsia="仿宋_GB2312"/>
          <w:sz w:val="32"/>
          <w:szCs w:val="32"/>
          <w:lang w:val="zh-CN"/>
        </w:rPr>
        <w:t>人，其中：行政工勤在职人数</w:t>
      </w:r>
      <w:r>
        <w:rPr>
          <w:rFonts w:hint="eastAsia" w:eastAsia="仿宋_GB2312"/>
          <w:sz w:val="32"/>
          <w:szCs w:val="32"/>
        </w:rPr>
        <w:t>0</w:t>
      </w:r>
      <w:r>
        <w:rPr>
          <w:rFonts w:hint="eastAsia" w:eastAsia="仿宋_GB2312"/>
          <w:sz w:val="32"/>
          <w:szCs w:val="32"/>
          <w:lang w:val="zh-CN"/>
        </w:rPr>
        <w:t>人。事业编制人数</w:t>
      </w:r>
      <w:r>
        <w:rPr>
          <w:rFonts w:hint="eastAsia" w:eastAsia="仿宋_GB2312"/>
          <w:sz w:val="32"/>
          <w:szCs w:val="32"/>
        </w:rPr>
        <w:t>0人，实有人数10人。</w:t>
      </w:r>
      <w:r>
        <w:rPr>
          <w:rFonts w:ascii="仿宋" w:hAnsi="仿宋" w:eastAsia="仿宋"/>
          <w:sz w:val="32"/>
          <w:szCs w:val="32"/>
        </w:rPr>
        <w:br w:type="page"/>
      </w:r>
    </w:p>
    <w:p>
      <w:pPr>
        <w:pStyle w:val="4"/>
        <w:ind w:right="440"/>
        <w:jc w:val="center"/>
        <w:rPr>
          <w:rStyle w:val="29"/>
          <w:rFonts w:ascii="黑体" w:hAnsi="黑体" w:eastAsia="黑体"/>
          <w:b w:val="0"/>
          <w:bCs/>
        </w:rPr>
      </w:pPr>
      <w:bookmarkStart w:id="22" w:name="_Toc15396602"/>
      <w:bookmarkStart w:id="23" w:name="_Toc4746"/>
      <w:bookmarkStart w:id="24" w:name="_Toc15377204"/>
      <w:r>
        <w:rPr>
          <w:rFonts w:hint="eastAsia" w:ascii="黑体" w:hAnsi="黑体" w:eastAsia="黑体"/>
          <w:b w:val="0"/>
        </w:rPr>
        <w:t>第二部分 2023年度</w:t>
      </w:r>
      <w:r>
        <w:rPr>
          <w:rStyle w:val="29"/>
          <w:rFonts w:hint="eastAsia" w:ascii="黑体" w:hAnsi="黑体" w:eastAsia="黑体"/>
          <w:b w:val="0"/>
          <w:bCs/>
        </w:rPr>
        <w:t>部门决算情况说明</w:t>
      </w:r>
      <w:bookmarkEnd w:id="22"/>
      <w:bookmarkEnd w:id="23"/>
      <w:bookmarkEnd w:id="24"/>
    </w:p>
    <w:p/>
    <w:p>
      <w:pPr>
        <w:pStyle w:val="28"/>
        <w:numPr>
          <w:ilvl w:val="0"/>
          <w:numId w:val="2"/>
        </w:numPr>
        <w:spacing w:line="600" w:lineRule="exact"/>
        <w:ind w:firstLineChars="0"/>
        <w:outlineLvl w:val="1"/>
        <w:rPr>
          <w:rStyle w:val="30"/>
          <w:rFonts w:ascii="黑体" w:hAnsi="黑体" w:eastAsia="黑体"/>
          <w:b w:val="0"/>
        </w:rPr>
      </w:pPr>
      <w:bookmarkStart w:id="25" w:name="_Toc15396603"/>
      <w:bookmarkStart w:id="26" w:name="_Toc15377205"/>
      <w:bookmarkStart w:id="27" w:name="_Toc19975"/>
      <w:r>
        <w:rPr>
          <w:rFonts w:hint="eastAsia" w:ascii="黑体" w:hAnsi="黑体" w:eastAsia="黑体"/>
          <w:sz w:val="32"/>
          <w:szCs w:val="32"/>
        </w:rPr>
        <w:t>收</w:t>
      </w:r>
      <w:r>
        <w:rPr>
          <w:rStyle w:val="30"/>
          <w:rFonts w:hint="eastAsia" w:ascii="黑体" w:hAnsi="黑体" w:eastAsia="黑体"/>
          <w:b w:val="0"/>
        </w:rPr>
        <w:t>入支出决算总体情况说明</w:t>
      </w:r>
      <w:bookmarkEnd w:id="25"/>
      <w:bookmarkEnd w:id="26"/>
      <w:bookmarkEnd w:id="27"/>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386.53</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与2022年度相比，收、支总计各增加53.1万元，增长15.95</w:t>
      </w:r>
      <w:r>
        <w:rPr>
          <w:rFonts w:ascii="仿宋" w:hAnsi="仿宋" w:eastAsia="仿宋"/>
          <w:sz w:val="32"/>
          <w:szCs w:val="32"/>
        </w:rPr>
        <w:t>%</w:t>
      </w:r>
      <w:r>
        <w:rPr>
          <w:rFonts w:hint="eastAsia" w:ascii="仿宋" w:hAnsi="仿宋" w:eastAsia="仿宋"/>
          <w:sz w:val="32"/>
          <w:szCs w:val="32"/>
        </w:rPr>
        <w:t>。主要变动原因是人员经费增加,项目增加。</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0"/>
        <w:outlineLvl w:val="9"/>
        <w:rPr>
          <w:rFonts w:ascii="仿宋_GB2312" w:eastAsia="仿宋_GB2312"/>
          <w:sz w:val="32"/>
          <w:szCs w:val="32"/>
        </w:rPr>
      </w:pPr>
      <w:r>
        <w:rPr>
          <w:rFonts w:hint="eastAsia" w:eastAsia="仿宋"/>
        </w:rPr>
        <w:drawing>
          <wp:inline distT="0" distB="0" distL="114300" distR="114300">
            <wp:extent cx="3263265" cy="1963420"/>
            <wp:effectExtent l="4445" t="4445" r="8890" b="1333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28" w:name="_Toc15377206"/>
      <w:bookmarkStart w:id="29" w:name="_Toc18607"/>
      <w:bookmarkStart w:id="30" w:name="_Toc15396604"/>
      <w:r>
        <w:rPr>
          <w:rFonts w:hint="eastAsia" w:ascii="黑体" w:hAnsi="黑体" w:eastAsia="黑体"/>
          <w:sz w:val="32"/>
          <w:szCs w:val="32"/>
        </w:rPr>
        <w:t>收</w:t>
      </w:r>
      <w:r>
        <w:rPr>
          <w:rStyle w:val="30"/>
          <w:rFonts w:hint="eastAsia" w:ascii="黑体" w:hAnsi="黑体" w:eastAsia="黑体"/>
          <w:b w:val="0"/>
        </w:rPr>
        <w:t>入决算情况说明</w:t>
      </w:r>
      <w:bookmarkEnd w:id="28"/>
      <w:bookmarkEnd w:id="29"/>
      <w:bookmarkEnd w:id="30"/>
    </w:p>
    <w:p>
      <w:pPr>
        <w:spacing w:line="600" w:lineRule="exact"/>
        <w:ind w:firstLine="640" w:firstLineChars="200"/>
        <w:jc w:val="left"/>
        <w:outlineLvl w:val="1"/>
        <w:rPr>
          <w:rFonts w:ascii="仿宋" w:hAnsi="仿宋" w:eastAsia="仿宋"/>
          <w:sz w:val="32"/>
          <w:szCs w:val="32"/>
        </w:rPr>
      </w:pPr>
      <w:bookmarkStart w:id="31" w:name="_Toc26827"/>
      <w:r>
        <w:rPr>
          <w:rFonts w:hint="eastAsia" w:ascii="仿宋" w:hAnsi="仿宋" w:eastAsia="仿宋"/>
          <w:sz w:val="32"/>
          <w:szCs w:val="32"/>
        </w:rPr>
        <w:t>2023年度本年收入合计</w:t>
      </w:r>
      <w:r>
        <w:rPr>
          <w:rFonts w:hint="eastAsia"/>
          <w:sz w:val="32"/>
          <w:szCs w:val="32"/>
        </w:rPr>
        <w:t>386.53</w:t>
      </w:r>
      <w:r>
        <w:rPr>
          <w:rFonts w:hint="eastAsia" w:ascii="仿宋" w:hAnsi="仿宋" w:eastAsia="仿宋"/>
          <w:sz w:val="32"/>
          <w:szCs w:val="32"/>
        </w:rPr>
        <w:t>万元，其中：一般公共预算财政拨款收入</w:t>
      </w:r>
      <w:r>
        <w:rPr>
          <w:rFonts w:hint="eastAsia"/>
          <w:sz w:val="32"/>
          <w:szCs w:val="32"/>
        </w:rPr>
        <w:t>386.53</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1"/>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pStyle w:val="20"/>
        <w:outlineLvl w:val="9"/>
        <w:rPr>
          <w:rFonts w:ascii="仿宋_GB2312" w:eastAsia="仿宋_GB2312"/>
          <w:sz w:val="32"/>
          <w:szCs w:val="32"/>
        </w:rPr>
      </w:pPr>
      <w:r>
        <w:rPr>
          <w:rFonts w:hint="eastAsia" w:eastAsia="仿宋"/>
        </w:rPr>
        <w:drawing>
          <wp:inline distT="0" distB="0" distL="114300" distR="114300">
            <wp:extent cx="2757805" cy="2769870"/>
            <wp:effectExtent l="4445" t="4445" r="19050" b="698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32" w:name="_Toc20976"/>
      <w:bookmarkStart w:id="33" w:name="_Toc15396605"/>
      <w:bookmarkStart w:id="34" w:name="_Toc15377207"/>
      <w:r>
        <w:rPr>
          <w:rFonts w:hint="eastAsia" w:ascii="黑体" w:hAnsi="黑体" w:eastAsia="黑体"/>
          <w:sz w:val="32"/>
          <w:szCs w:val="32"/>
        </w:rPr>
        <w:t>支</w:t>
      </w:r>
      <w:r>
        <w:rPr>
          <w:rStyle w:val="30"/>
          <w:rFonts w:hint="eastAsia" w:ascii="黑体" w:hAnsi="黑体" w:eastAsia="黑体"/>
          <w:b w:val="0"/>
        </w:rPr>
        <w:t>出决算情况说明</w:t>
      </w:r>
      <w:bookmarkEnd w:id="32"/>
      <w:bookmarkEnd w:id="33"/>
      <w:bookmarkEnd w:id="34"/>
    </w:p>
    <w:p>
      <w:pPr>
        <w:spacing w:line="600" w:lineRule="exact"/>
        <w:ind w:firstLine="640" w:firstLineChars="200"/>
        <w:outlineLvl w:val="1"/>
        <w:rPr>
          <w:rFonts w:ascii="仿宋" w:hAnsi="仿宋" w:eastAsia="仿宋"/>
          <w:sz w:val="32"/>
          <w:szCs w:val="32"/>
        </w:rPr>
      </w:pPr>
      <w:bookmarkStart w:id="35" w:name="_Toc3337"/>
      <w:r>
        <w:rPr>
          <w:rFonts w:hint="eastAsia" w:ascii="仿宋" w:hAnsi="仿宋" w:eastAsia="仿宋"/>
          <w:sz w:val="32"/>
          <w:szCs w:val="32"/>
        </w:rPr>
        <w:t>2023年度本年支出合计</w:t>
      </w:r>
      <w:r>
        <w:rPr>
          <w:rFonts w:hint="eastAsia"/>
          <w:sz w:val="32"/>
          <w:szCs w:val="32"/>
        </w:rPr>
        <w:t>386.53</w:t>
      </w:r>
      <w:r>
        <w:rPr>
          <w:rFonts w:hint="eastAsia" w:ascii="仿宋" w:hAnsi="仿宋" w:eastAsia="仿宋"/>
          <w:sz w:val="32"/>
          <w:szCs w:val="32"/>
        </w:rPr>
        <w:t>万元，其中：基本支出</w:t>
      </w:r>
      <w:r>
        <w:rPr>
          <w:rFonts w:hint="eastAsia"/>
          <w:sz w:val="32"/>
          <w:szCs w:val="32"/>
        </w:rPr>
        <w:t>323.9</w:t>
      </w:r>
      <w:r>
        <w:rPr>
          <w:rFonts w:hint="eastAsia" w:ascii="仿宋" w:hAnsi="仿宋" w:eastAsia="仿宋"/>
          <w:sz w:val="32"/>
          <w:szCs w:val="32"/>
        </w:rPr>
        <w:t>万元，占</w:t>
      </w:r>
      <w:r>
        <w:rPr>
          <w:sz w:val="32"/>
          <w:szCs w:val="32"/>
        </w:rPr>
        <w:t>8</w:t>
      </w:r>
      <w:r>
        <w:rPr>
          <w:rFonts w:hint="eastAsia"/>
          <w:sz w:val="32"/>
          <w:szCs w:val="32"/>
        </w:rPr>
        <w:t>3.8</w:t>
      </w:r>
      <w:r>
        <w:rPr>
          <w:rFonts w:ascii="仿宋" w:hAnsi="仿宋" w:eastAsia="仿宋"/>
          <w:sz w:val="32"/>
          <w:szCs w:val="32"/>
        </w:rPr>
        <w:t>%</w:t>
      </w:r>
      <w:r>
        <w:rPr>
          <w:rFonts w:hint="eastAsia" w:ascii="仿宋" w:hAnsi="仿宋" w:eastAsia="仿宋"/>
          <w:sz w:val="32"/>
          <w:szCs w:val="32"/>
        </w:rPr>
        <w:t>；项目支出</w:t>
      </w:r>
      <w:r>
        <w:rPr>
          <w:rFonts w:hint="eastAsia"/>
          <w:sz w:val="32"/>
          <w:szCs w:val="32"/>
        </w:rPr>
        <w:t>62.62</w:t>
      </w:r>
      <w:r>
        <w:rPr>
          <w:rFonts w:hint="eastAsia" w:ascii="仿宋" w:hAnsi="仿宋" w:eastAsia="仿宋"/>
          <w:sz w:val="32"/>
          <w:szCs w:val="32"/>
        </w:rPr>
        <w:t>万元，占</w:t>
      </w:r>
      <w:r>
        <w:rPr>
          <w:rFonts w:hint="eastAsia"/>
          <w:sz w:val="32"/>
          <w:szCs w:val="32"/>
        </w:rPr>
        <w:t>16.2</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5"/>
    </w:p>
    <w:p>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pPr>
        <w:pStyle w:val="20"/>
        <w:outlineLvl w:val="9"/>
        <w:rPr>
          <w:rFonts w:ascii="仿宋_GB2312" w:eastAsia="仿宋_GB2312"/>
          <w:sz w:val="32"/>
          <w:szCs w:val="32"/>
        </w:rPr>
      </w:pPr>
      <w:r>
        <w:rPr>
          <w:rFonts w:hint="eastAsia" w:eastAsia="仿宋"/>
        </w:rPr>
        <w:drawing>
          <wp:inline distT="0" distB="0" distL="114300" distR="114300">
            <wp:extent cx="3578225" cy="2344420"/>
            <wp:effectExtent l="4445" t="4445" r="17780"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30"/>
          <w:rFonts w:ascii="黑体" w:hAnsi="黑体" w:eastAsia="黑体"/>
          <w:b w:val="0"/>
        </w:rPr>
      </w:pPr>
      <w:bookmarkStart w:id="36" w:name="_Toc16214"/>
      <w:bookmarkStart w:id="37" w:name="_Toc15377208"/>
      <w:bookmarkStart w:id="38" w:name="_Toc15396606"/>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6"/>
      <w:bookmarkEnd w:id="37"/>
      <w:bookmarkEnd w:id="38"/>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rFonts w:hint="eastAsia"/>
          <w:sz w:val="32"/>
          <w:szCs w:val="32"/>
        </w:rPr>
        <w:t>386.53</w:t>
      </w:r>
      <w:r>
        <w:rPr>
          <w:rFonts w:hint="eastAsia" w:ascii="仿宋" w:hAnsi="仿宋" w:eastAsia="仿宋"/>
          <w:sz w:val="32"/>
          <w:szCs w:val="32"/>
        </w:rPr>
        <w:t>万元。与2022年度相比，财政拨款收、支总计各增加53.1万元，增长15.95</w:t>
      </w:r>
      <w:r>
        <w:rPr>
          <w:rFonts w:ascii="仿宋" w:hAnsi="仿宋" w:eastAsia="仿宋"/>
          <w:sz w:val="32"/>
          <w:szCs w:val="32"/>
        </w:rPr>
        <w:t>%</w:t>
      </w:r>
      <w:r>
        <w:rPr>
          <w:rFonts w:hint="eastAsia" w:ascii="仿宋" w:hAnsi="仿宋" w:eastAsia="仿宋"/>
          <w:sz w:val="32"/>
          <w:szCs w:val="32"/>
        </w:rPr>
        <w:t>。主要变动原因是人员经费增加，项目增加。</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pPr>
        <w:pStyle w:val="20"/>
        <w:outlineLvl w:val="9"/>
        <w:rPr>
          <w:rFonts w:ascii="仿宋" w:hAnsi="仿宋" w:eastAsia="仿宋"/>
          <w:sz w:val="32"/>
          <w:szCs w:val="32"/>
        </w:rPr>
      </w:pPr>
      <w:r>
        <w:rPr>
          <w:rFonts w:hint="eastAsia" w:eastAsia="仿宋"/>
        </w:rPr>
        <w:drawing>
          <wp:inline distT="0" distB="0" distL="114300" distR="114300">
            <wp:extent cx="3578225" cy="2433955"/>
            <wp:effectExtent l="4445" t="4445" r="17780" b="190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0"/>
          <w:rFonts w:ascii="黑体" w:hAnsi="黑体" w:eastAsia="黑体"/>
          <w:b w:val="0"/>
        </w:rPr>
      </w:pPr>
      <w:bookmarkStart w:id="39" w:name="_Toc26647"/>
      <w:bookmarkStart w:id="40" w:name="_Toc15396607"/>
      <w:bookmarkStart w:id="41" w:name="_Toc15377209"/>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9"/>
      <w:bookmarkEnd w:id="40"/>
      <w:bookmarkEnd w:id="41"/>
    </w:p>
    <w:p>
      <w:pPr>
        <w:spacing w:line="600" w:lineRule="exact"/>
        <w:ind w:firstLine="642" w:firstLineChars="200"/>
        <w:outlineLvl w:val="2"/>
        <w:rPr>
          <w:rFonts w:ascii="仿宋" w:hAnsi="仿宋" w:eastAsia="仿宋"/>
          <w:b/>
          <w:sz w:val="32"/>
          <w:szCs w:val="32"/>
        </w:rPr>
      </w:pPr>
      <w:bookmarkStart w:id="42" w:name="_Toc12170"/>
      <w:bookmarkStart w:id="43" w:name="_Toc15377210"/>
      <w:r>
        <w:rPr>
          <w:rFonts w:hint="eastAsia" w:ascii="仿宋" w:hAnsi="仿宋" w:eastAsia="仿宋"/>
          <w:b/>
          <w:sz w:val="32"/>
          <w:szCs w:val="32"/>
        </w:rPr>
        <w:t>（一）一般公共预算财政拨款支出决算总体情况</w:t>
      </w:r>
      <w:bookmarkEnd w:id="42"/>
      <w:bookmarkEnd w:id="43"/>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hint="eastAsia"/>
          <w:sz w:val="32"/>
          <w:szCs w:val="32"/>
        </w:rPr>
        <w:t>386.53</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。与2022年度相比，一般公共预算财政拨款支出增加53.1万元，增长15.95</w:t>
      </w:r>
      <w:r>
        <w:rPr>
          <w:rFonts w:ascii="仿宋" w:hAnsi="仿宋" w:eastAsia="仿宋"/>
          <w:sz w:val="32"/>
          <w:szCs w:val="32"/>
        </w:rPr>
        <w:t>%</w:t>
      </w:r>
      <w:r>
        <w:rPr>
          <w:rFonts w:hint="eastAsia" w:ascii="仿宋" w:hAnsi="仿宋" w:eastAsia="仿宋"/>
          <w:sz w:val="32"/>
          <w:szCs w:val="32"/>
        </w:rPr>
        <w:t>。主要变动原因是人员经费增加，项目增加。</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pStyle w:val="20"/>
        <w:outlineLvl w:val="9"/>
        <w:rPr>
          <w:rFonts w:ascii="仿宋" w:hAnsi="仿宋" w:eastAsia="仿宋"/>
          <w:sz w:val="32"/>
          <w:szCs w:val="32"/>
        </w:rPr>
      </w:pPr>
      <w:r>
        <w:rPr>
          <w:rFonts w:hint="eastAsia" w:eastAsia="仿宋"/>
        </w:rPr>
        <w:drawing>
          <wp:inline distT="0" distB="0" distL="114300" distR="114300">
            <wp:extent cx="3739515" cy="2139950"/>
            <wp:effectExtent l="4445" t="4445" r="8890" b="825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sz w:val="32"/>
          <w:szCs w:val="32"/>
        </w:rPr>
      </w:pPr>
      <w:bookmarkStart w:id="44" w:name="_Toc15377211"/>
      <w:bookmarkStart w:id="45" w:name="_Toc20988"/>
      <w:r>
        <w:rPr>
          <w:rFonts w:hint="eastAsia" w:ascii="仿宋" w:hAnsi="仿宋" w:eastAsia="仿宋"/>
          <w:b/>
          <w:sz w:val="32"/>
          <w:szCs w:val="32"/>
        </w:rPr>
        <w:t>（二）一般公共预算财政拨款支出决算结构情况</w:t>
      </w:r>
      <w:bookmarkEnd w:id="44"/>
      <w:bookmarkEnd w:id="45"/>
    </w:p>
    <w:p>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rFonts w:hint="eastAsia"/>
          <w:sz w:val="32"/>
          <w:szCs w:val="32"/>
        </w:rPr>
        <w:t>386.53</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支出307.49</w:t>
      </w:r>
      <w:r>
        <w:rPr>
          <w:rFonts w:hint="eastAsia" w:ascii="仿宋" w:hAnsi="仿宋" w:eastAsia="仿宋"/>
          <w:sz w:val="32"/>
          <w:szCs w:val="32"/>
        </w:rPr>
        <w:t>万元，占79.57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支出39.65</w:t>
      </w:r>
      <w:r>
        <w:rPr>
          <w:rFonts w:hint="eastAsia" w:ascii="仿宋" w:hAnsi="仿宋" w:eastAsia="仿宋"/>
          <w:sz w:val="32"/>
          <w:szCs w:val="32"/>
        </w:rPr>
        <w:t>万元，占10.25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卫生健康支出16.62</w:t>
      </w:r>
      <w:r>
        <w:rPr>
          <w:rFonts w:hint="eastAsia" w:ascii="仿宋" w:hAnsi="仿宋" w:eastAsia="仿宋"/>
          <w:sz w:val="32"/>
          <w:szCs w:val="32"/>
        </w:rPr>
        <w:t>万元，占4.29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住房保障支出22.77</w:t>
      </w:r>
      <w:r>
        <w:rPr>
          <w:rFonts w:hint="eastAsia" w:ascii="仿宋" w:hAnsi="仿宋" w:eastAsia="仿宋"/>
          <w:sz w:val="32"/>
          <w:szCs w:val="32"/>
        </w:rPr>
        <w:t>万元，占5.89</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pStyle w:val="20"/>
        <w:outlineLvl w:val="9"/>
        <w:rPr>
          <w:rFonts w:eastAsia="仿宋"/>
        </w:rPr>
      </w:pPr>
      <w:r>
        <w:rPr>
          <w:rFonts w:hint="eastAsia" w:eastAsia="仿宋"/>
        </w:rPr>
        <w:drawing>
          <wp:inline distT="0" distB="0" distL="114300" distR="114300">
            <wp:extent cx="3674110" cy="2594610"/>
            <wp:effectExtent l="4445" t="5080" r="17145" b="1016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sz w:val="32"/>
          <w:szCs w:val="32"/>
        </w:rPr>
      </w:pPr>
    </w:p>
    <w:p>
      <w:pPr>
        <w:spacing w:line="600" w:lineRule="exact"/>
        <w:ind w:firstLine="642" w:firstLineChars="200"/>
        <w:outlineLvl w:val="2"/>
        <w:rPr>
          <w:rFonts w:ascii="仿宋" w:hAnsi="仿宋" w:eastAsia="仿宋"/>
          <w:b/>
          <w:sz w:val="32"/>
          <w:szCs w:val="32"/>
        </w:rPr>
      </w:pPr>
      <w:bookmarkStart w:id="46" w:name="_Toc15377212"/>
      <w:bookmarkStart w:id="47" w:name="_Toc1651"/>
      <w:r>
        <w:rPr>
          <w:rFonts w:hint="eastAsia" w:ascii="仿宋" w:hAnsi="仿宋" w:eastAsia="仿宋"/>
          <w:b/>
          <w:sz w:val="32"/>
          <w:szCs w:val="32"/>
        </w:rPr>
        <w:t>（三）一般公共预算财政拨款支出决算具体情况</w:t>
      </w:r>
      <w:bookmarkEnd w:id="46"/>
      <w:bookmarkEnd w:id="47"/>
    </w:p>
    <w:p>
      <w:pPr>
        <w:spacing w:line="600" w:lineRule="exact"/>
        <w:ind w:firstLine="642" w:firstLineChars="200"/>
        <w:outlineLvl w:val="2"/>
        <w:rPr>
          <w:rFonts w:ascii="仿宋" w:hAnsi="仿宋" w:eastAsia="仿宋"/>
          <w:sz w:val="32"/>
          <w:szCs w:val="32"/>
        </w:rPr>
      </w:pPr>
      <w:bookmarkStart w:id="48" w:name="_Toc15377213"/>
      <w:bookmarkStart w:id="49" w:name="_Toc15377444"/>
      <w:bookmarkStart w:id="50" w:name="_Toc17177"/>
      <w:bookmarkStart w:id="51" w:name="_Toc15378460"/>
      <w:r>
        <w:rPr>
          <w:rFonts w:hint="eastAsia" w:ascii="仿宋" w:hAnsi="仿宋" w:eastAsia="仿宋"/>
          <w:b/>
          <w:sz w:val="32"/>
          <w:szCs w:val="32"/>
        </w:rPr>
        <w:t>2023年度一般公共预算支出决算数为</w:t>
      </w:r>
      <w:r>
        <w:rPr>
          <w:rFonts w:hint="eastAsia"/>
          <w:sz w:val="32"/>
          <w:szCs w:val="32"/>
        </w:rPr>
        <w:t>386.53</w:t>
      </w:r>
      <w:r>
        <w:rPr>
          <w:rFonts w:hint="eastAsia" w:ascii="仿宋" w:hAnsi="仿宋" w:eastAsia="仿宋"/>
          <w:sz w:val="32"/>
          <w:szCs w:val="32"/>
        </w:rPr>
        <w:t>，</w:t>
      </w:r>
      <w:r>
        <w:rPr>
          <w:rStyle w:val="18"/>
          <w:rFonts w:hint="eastAsia" w:ascii="仿宋" w:hAnsi="仿宋" w:eastAsia="仿宋"/>
          <w:bCs/>
          <w:sz w:val="32"/>
          <w:szCs w:val="32"/>
        </w:rPr>
        <w:t>完成预算100</w:t>
      </w:r>
      <w:r>
        <w:rPr>
          <w:rStyle w:val="18"/>
          <w:rFonts w:ascii="仿宋" w:hAnsi="仿宋" w:eastAsia="仿宋"/>
          <w:bCs/>
          <w:sz w:val="32"/>
          <w:szCs w:val="32"/>
        </w:rPr>
        <w:t>%</w:t>
      </w:r>
      <w:r>
        <w:rPr>
          <w:rStyle w:val="18"/>
          <w:rFonts w:hint="eastAsia" w:ascii="仿宋" w:hAnsi="仿宋" w:eastAsia="仿宋"/>
          <w:bCs/>
          <w:sz w:val="32"/>
          <w:szCs w:val="32"/>
        </w:rPr>
        <w:t>。其中：</w:t>
      </w:r>
      <w:bookmarkEnd w:id="48"/>
      <w:bookmarkEnd w:id="49"/>
      <w:bookmarkEnd w:id="50"/>
      <w:bookmarkEnd w:id="51"/>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1.一般公共服务201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支出决算为307.47万元，完成预算100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Style w:val="20"/>
        <w:ind w:firstLine="642" w:firstLineChars="200"/>
        <w:rPr>
          <w:rStyle w:val="18"/>
          <w:rFonts w:ascii="仿宋" w:hAnsi="仿宋" w:eastAsia="仿宋"/>
          <w:b w:val="0"/>
          <w:bCs/>
          <w:sz w:val="32"/>
          <w:szCs w:val="32"/>
        </w:rPr>
      </w:pPr>
      <w:r>
        <w:rPr>
          <w:rStyle w:val="18"/>
          <w:rFonts w:hint="eastAsia" w:ascii="仿宋" w:hAnsi="仿宋" w:eastAsia="仿宋"/>
          <w:b/>
          <w:bCs/>
          <w:sz w:val="32"/>
          <w:szCs w:val="32"/>
        </w:rPr>
        <w:t>行政运行2013401</w:t>
      </w:r>
      <w:r>
        <w:rPr>
          <w:rStyle w:val="18"/>
          <w:rFonts w:ascii="仿宋" w:hAnsi="仿宋" w:eastAsia="仿宋"/>
          <w:b/>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支出决算为244.84万元，完成预算100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ind w:firstLine="640" w:firstLineChars="200"/>
        <w:rPr>
          <w:rStyle w:val="18"/>
          <w:rFonts w:ascii="仿宋" w:hAnsi="仿宋" w:eastAsia="仿宋"/>
          <w:b w:val="0"/>
          <w:bCs/>
          <w:sz w:val="32"/>
          <w:szCs w:val="32"/>
        </w:rPr>
      </w:pPr>
      <w:r>
        <w:rPr>
          <w:rStyle w:val="18"/>
          <w:rFonts w:hint="eastAsia" w:ascii="仿宋" w:hAnsi="仿宋" w:eastAsia="仿宋"/>
          <w:b w:val="0"/>
          <w:bCs/>
          <w:sz w:val="32"/>
          <w:szCs w:val="32"/>
        </w:rPr>
        <w:t>宗教事务2013404</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支出决算为47.62万元，完成预算100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Style w:val="20"/>
        <w:ind w:firstLine="642" w:firstLineChars="200"/>
        <w:rPr>
          <w:rFonts w:eastAsia="仿宋"/>
        </w:rPr>
      </w:pPr>
      <w:r>
        <w:rPr>
          <w:rStyle w:val="18"/>
          <w:rFonts w:hint="eastAsia" w:ascii="仿宋" w:hAnsi="仿宋" w:eastAsia="仿宋"/>
          <w:b/>
          <w:bCs/>
          <w:sz w:val="32"/>
          <w:szCs w:val="32"/>
        </w:rPr>
        <w:t>其他统战事务支出2013499</w:t>
      </w:r>
      <w:r>
        <w:rPr>
          <w:rStyle w:val="18"/>
          <w:rFonts w:ascii="仿宋" w:hAnsi="仿宋" w:eastAsia="仿宋"/>
          <w:b/>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支出决算为15万元，完成预算100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2.社会保障和就业208</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支出决算为38.65万元，完成预算100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，决算等于预算数。</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机关事业单位基本养老保险缴费支出2080505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支出决算为24.75万元，完成预算100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，决算等于预算数。</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机关事业单位职业年金缴费支出2080506</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支出决算为14.89万元，完成预算100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，决算等于预算数。</w:t>
      </w:r>
    </w:p>
    <w:p>
      <w:pPr>
        <w:spacing w:line="600" w:lineRule="exact"/>
        <w:ind w:firstLine="642" w:firstLineChars="200"/>
        <w:rPr>
          <w:rStyle w:val="18"/>
          <w:rFonts w:ascii="仿宋" w:hAnsi="仿宋" w:eastAsia="仿宋"/>
          <w:b w:val="0"/>
          <w:bCs/>
          <w:sz w:val="32"/>
          <w:szCs w:val="32"/>
        </w:rPr>
      </w:pPr>
      <w:r>
        <w:rPr>
          <w:rFonts w:hint="eastAsia" w:ascii="仿宋" w:hAnsi="仿宋" w:eastAsia="仿宋"/>
          <w:b/>
          <w:bCs/>
          <w:sz w:val="32"/>
          <w:szCs w:val="32"/>
        </w:rPr>
        <w:t>3.卫生健康210</w:t>
      </w:r>
      <w:r>
        <w:rPr>
          <w:rStyle w:val="18"/>
          <w:rFonts w:ascii="仿宋" w:hAnsi="仿宋" w:eastAsia="仿宋"/>
          <w:bCs/>
          <w:sz w:val="32"/>
          <w:szCs w:val="32"/>
        </w:rPr>
        <w:t>:</w:t>
      </w:r>
      <w:r>
        <w:rPr>
          <w:rStyle w:val="18"/>
          <w:rFonts w:hint="eastAsia" w:ascii="仿宋" w:hAnsi="仿宋" w:eastAsia="仿宋"/>
          <w:b w:val="0"/>
          <w:bCs/>
          <w:sz w:val="32"/>
          <w:szCs w:val="32"/>
        </w:rPr>
        <w:t>支出决算为16.62万元，完成预算100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Style w:val="20"/>
        <w:ind w:firstLine="642" w:firstLineChars="200"/>
        <w:rPr>
          <w:rStyle w:val="18"/>
          <w:rFonts w:ascii="仿宋" w:hAnsi="仿宋" w:eastAsia="仿宋"/>
          <w:b w:val="0"/>
          <w:bCs/>
          <w:sz w:val="32"/>
          <w:szCs w:val="32"/>
        </w:rPr>
      </w:pPr>
      <w:r>
        <w:rPr>
          <w:rStyle w:val="18"/>
          <w:rFonts w:hint="eastAsia" w:ascii="仿宋" w:hAnsi="仿宋" w:eastAsia="仿宋"/>
          <w:b/>
          <w:bCs/>
          <w:sz w:val="32"/>
          <w:szCs w:val="32"/>
        </w:rPr>
        <w:t>行政单位医疗2101101</w:t>
      </w:r>
      <w:r>
        <w:rPr>
          <w:rStyle w:val="18"/>
          <w:rFonts w:ascii="仿宋" w:hAnsi="仿宋" w:eastAsia="仿宋"/>
          <w:b/>
          <w:bCs/>
          <w:sz w:val="32"/>
          <w:szCs w:val="32"/>
        </w:rPr>
        <w:t>:</w:t>
      </w:r>
      <w:r>
        <w:rPr>
          <w:rStyle w:val="18"/>
          <w:rFonts w:hint="eastAsia" w:ascii="仿宋" w:hAnsi="仿宋" w:eastAsia="仿宋"/>
          <w:b w:val="0"/>
          <w:bCs/>
          <w:sz w:val="32"/>
          <w:szCs w:val="32"/>
        </w:rPr>
        <w:t>支出决算为14.22万元，完成预算100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Style w:val="20"/>
        <w:ind w:firstLine="642" w:firstLineChars="200"/>
        <w:rPr>
          <w:rStyle w:val="18"/>
          <w:rFonts w:ascii="仿宋" w:hAnsi="仿宋" w:eastAsia="仿宋"/>
          <w:b w:val="0"/>
          <w:bCs/>
          <w:sz w:val="32"/>
          <w:szCs w:val="32"/>
        </w:rPr>
      </w:pPr>
      <w:r>
        <w:rPr>
          <w:rStyle w:val="18"/>
          <w:rFonts w:hint="eastAsia" w:ascii="仿宋" w:hAnsi="仿宋" w:eastAsia="仿宋"/>
          <w:b/>
          <w:bCs/>
          <w:sz w:val="32"/>
          <w:szCs w:val="32"/>
        </w:rPr>
        <w:t>公务员医疗补助2101103</w:t>
      </w:r>
      <w:r>
        <w:rPr>
          <w:rStyle w:val="18"/>
          <w:rFonts w:ascii="仿宋" w:hAnsi="仿宋" w:eastAsia="仿宋"/>
          <w:b/>
          <w:bCs/>
          <w:sz w:val="32"/>
          <w:szCs w:val="32"/>
        </w:rPr>
        <w:t>:</w:t>
      </w:r>
      <w:r>
        <w:rPr>
          <w:rStyle w:val="18"/>
          <w:rFonts w:hint="eastAsia" w:ascii="仿宋" w:hAnsi="仿宋" w:eastAsia="仿宋"/>
          <w:b w:val="0"/>
          <w:bCs/>
          <w:sz w:val="32"/>
          <w:szCs w:val="32"/>
        </w:rPr>
        <w:t>支出决算为2.39万元，完成预算100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Style w:val="20"/>
        <w:ind w:firstLine="642" w:firstLineChars="200"/>
      </w:pPr>
      <w:r>
        <w:rPr>
          <w:rStyle w:val="18"/>
          <w:rFonts w:hint="eastAsia" w:ascii="仿宋" w:hAnsi="仿宋" w:eastAsia="仿宋"/>
          <w:b/>
          <w:bCs/>
          <w:sz w:val="32"/>
          <w:szCs w:val="32"/>
        </w:rPr>
        <w:t>4.住房保障支出221</w:t>
      </w:r>
      <w:r>
        <w:rPr>
          <w:rStyle w:val="18"/>
          <w:rFonts w:ascii="仿宋" w:hAnsi="仿宋" w:eastAsia="仿宋"/>
          <w:b/>
          <w:bCs/>
          <w:sz w:val="32"/>
          <w:szCs w:val="32"/>
        </w:rPr>
        <w:t>:</w:t>
      </w:r>
      <w:r>
        <w:rPr>
          <w:rStyle w:val="18"/>
          <w:rFonts w:hint="eastAsia" w:ascii="仿宋" w:hAnsi="仿宋" w:eastAsia="仿宋"/>
          <w:b w:val="0"/>
          <w:bCs/>
          <w:sz w:val="32"/>
          <w:szCs w:val="32"/>
        </w:rPr>
        <w:t>支出决算为22.77万元，完成预算100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ind w:firstLine="642" w:firstLineChars="200"/>
      </w:pPr>
      <w:r>
        <w:rPr>
          <w:rStyle w:val="18"/>
          <w:rFonts w:hint="eastAsia" w:ascii="仿宋" w:hAnsi="仿宋" w:eastAsia="仿宋"/>
          <w:bCs/>
          <w:sz w:val="32"/>
          <w:szCs w:val="32"/>
        </w:rPr>
        <w:t>住房公积金2210201</w:t>
      </w:r>
      <w:r>
        <w:rPr>
          <w:rStyle w:val="18"/>
          <w:rFonts w:ascii="仿宋" w:hAnsi="仿宋" w:eastAsia="仿宋"/>
          <w:bCs/>
          <w:sz w:val="32"/>
          <w:szCs w:val="32"/>
        </w:rPr>
        <w:t>:</w:t>
      </w:r>
      <w:r>
        <w:rPr>
          <w:rStyle w:val="18"/>
          <w:rFonts w:hint="eastAsia" w:ascii="仿宋" w:hAnsi="仿宋" w:eastAsia="仿宋"/>
          <w:b w:val="0"/>
          <w:bCs/>
          <w:sz w:val="32"/>
          <w:szCs w:val="32"/>
        </w:rPr>
        <w:t>支出决算为22.77万元，完成预算100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tabs>
          <w:tab w:val="right" w:pos="8306"/>
        </w:tabs>
        <w:spacing w:line="600" w:lineRule="exact"/>
        <w:ind w:firstLine="640"/>
        <w:outlineLvl w:val="1"/>
        <w:rPr>
          <w:rStyle w:val="30"/>
        </w:rPr>
      </w:pPr>
      <w:bookmarkStart w:id="52" w:name="_Toc14009"/>
      <w:bookmarkStart w:id="53" w:name="_Toc15377214"/>
      <w:bookmarkStart w:id="54"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52"/>
      <w:bookmarkEnd w:id="53"/>
      <w:bookmarkEnd w:id="54"/>
      <w:r>
        <w:rPr>
          <w:rStyle w:val="30"/>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hint="eastAsia"/>
          <w:sz w:val="32"/>
          <w:szCs w:val="32"/>
        </w:rPr>
        <w:t>386.53</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sz w:val="32"/>
          <w:szCs w:val="32"/>
        </w:rPr>
        <w:t>297.73</w:t>
      </w:r>
      <w:r>
        <w:rPr>
          <w:rFonts w:hint="eastAsia" w:ascii="仿宋" w:hAnsi="仿宋" w:eastAsia="仿宋"/>
          <w:sz w:val="32"/>
          <w:szCs w:val="32"/>
        </w:rPr>
        <w:t>万元，主要包括：基本工资52.95万元、津贴补贴104.3万元、奖金57.74万元、机关事业单位基本养老保险缴费24.75万元、职业年金缴费14.89万元、职工基本医疗保险缴费14.22万元、公务员医疗补助缴费2.39万元、其他社会保障缴费2.93、医疗费补助0.74万元、奖励金0万元、住房公积金22.77万元等。</w:t>
      </w:r>
      <w:r>
        <w:rPr>
          <w:rFonts w:ascii="仿宋" w:hAnsi="仿宋" w:eastAsia="仿宋"/>
          <w:sz w:val="32"/>
          <w:szCs w:val="32"/>
        </w:rPr>
        <w:br w:type="textWrapping"/>
      </w:r>
      <w:r>
        <w:rPr>
          <w:rFonts w:hint="eastAsia" w:ascii="仿宋" w:hAnsi="仿宋" w:eastAsia="仿宋"/>
          <w:sz w:val="32"/>
          <w:szCs w:val="32"/>
        </w:rPr>
        <w:t>　　公用经费</w:t>
      </w:r>
      <w:r>
        <w:rPr>
          <w:rFonts w:hint="eastAsia"/>
          <w:sz w:val="32"/>
          <w:szCs w:val="32"/>
        </w:rPr>
        <w:t>58.49</w:t>
      </w:r>
      <w:r>
        <w:rPr>
          <w:rFonts w:hint="eastAsia" w:ascii="仿宋" w:hAnsi="仿宋" w:eastAsia="仿宋"/>
          <w:sz w:val="32"/>
          <w:szCs w:val="32"/>
        </w:rPr>
        <w:t>万元，主要包括：办公费28.68万元、印刷费15万元、水费0.02万元、电费2万元、邮电费1.1万元、取暖费0万元、物业管理费0万元、差旅费2.43万元、因公出国（境）费用0万元、维修（护）费16.88万元、工会经费2.2万元、公务用车运行维护费3.5万元等。</w:t>
      </w:r>
    </w:p>
    <w:p>
      <w:pPr>
        <w:spacing w:line="600" w:lineRule="exact"/>
        <w:ind w:firstLine="640"/>
        <w:outlineLvl w:val="1"/>
        <w:rPr>
          <w:rStyle w:val="30"/>
          <w:rFonts w:ascii="黑体" w:hAnsi="黑体" w:eastAsia="黑体"/>
          <w:b w:val="0"/>
        </w:rPr>
      </w:pPr>
      <w:bookmarkStart w:id="55" w:name="_Toc30741"/>
      <w:bookmarkStart w:id="56" w:name="_Toc15396609"/>
      <w:bookmarkStart w:id="57" w:name="_Toc15377215"/>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55"/>
      <w:bookmarkEnd w:id="56"/>
      <w:bookmarkEnd w:id="57"/>
    </w:p>
    <w:p>
      <w:pPr>
        <w:spacing w:line="600" w:lineRule="exact"/>
        <w:ind w:firstLine="640"/>
        <w:outlineLvl w:val="2"/>
        <w:rPr>
          <w:rFonts w:ascii="仿宋" w:hAnsi="仿宋" w:eastAsia="仿宋"/>
          <w:b/>
          <w:sz w:val="32"/>
          <w:szCs w:val="32"/>
        </w:rPr>
      </w:pPr>
      <w:bookmarkStart w:id="58" w:name="_Toc21630"/>
      <w:bookmarkStart w:id="59" w:name="_Toc15377216"/>
      <w:r>
        <w:rPr>
          <w:rFonts w:hint="eastAsia" w:ascii="仿宋" w:hAnsi="仿宋" w:eastAsia="仿宋"/>
          <w:b/>
          <w:sz w:val="32"/>
          <w:szCs w:val="32"/>
        </w:rPr>
        <w:t>（一）“三公”经费财政拨款支出决算总体情况说明</w:t>
      </w:r>
      <w:bookmarkEnd w:id="58"/>
      <w:bookmarkEnd w:id="59"/>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hint="eastAsia"/>
          <w:sz w:val="32"/>
          <w:szCs w:val="32"/>
        </w:rPr>
        <w:t>3.5</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，较上年度减少4.97万元，下降58.6%。决算数与预算数持平的主要原因是厉行节约。</w:t>
      </w:r>
    </w:p>
    <w:p>
      <w:pPr>
        <w:spacing w:line="600" w:lineRule="exact"/>
        <w:ind w:firstLine="640"/>
        <w:outlineLvl w:val="2"/>
        <w:rPr>
          <w:rFonts w:ascii="仿宋" w:hAnsi="仿宋" w:eastAsia="仿宋"/>
          <w:b/>
          <w:sz w:val="32"/>
          <w:szCs w:val="32"/>
        </w:rPr>
      </w:pPr>
      <w:bookmarkStart w:id="60" w:name="_Toc15377217"/>
      <w:bookmarkStart w:id="61" w:name="_Toc15929"/>
      <w:r>
        <w:rPr>
          <w:rFonts w:hint="eastAsia" w:ascii="仿宋" w:hAnsi="仿宋" w:eastAsia="仿宋"/>
          <w:b/>
          <w:sz w:val="32"/>
          <w:szCs w:val="32"/>
        </w:rPr>
        <w:t>（二）“三公”经费财政拨款支出决算具体情况说明</w:t>
      </w:r>
      <w:bookmarkEnd w:id="60"/>
      <w:bookmarkEnd w:id="61"/>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sz w:val="32"/>
          <w:szCs w:val="32"/>
        </w:rPr>
        <w:t>3.5</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pStyle w:val="20"/>
        <w:outlineLvl w:val="9"/>
        <w:rPr>
          <w:rFonts w:eastAsia="仿宋"/>
        </w:rPr>
      </w:pPr>
      <w:r>
        <w:rPr>
          <w:rFonts w:hint="eastAsia" w:eastAsia="仿宋"/>
        </w:rPr>
        <w:drawing>
          <wp:inline distT="0" distB="0" distL="114300" distR="114300">
            <wp:extent cx="2632710" cy="2646045"/>
            <wp:effectExtent l="4445" t="4445" r="10795" b="1651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sz w:val="32"/>
          <w:szCs w:val="32"/>
        </w:rPr>
        <w:t>3.5</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公务用车购置及运行维护费支出决算比2022年度减少4.97万元，下降58.67</w:t>
      </w:r>
      <w:r>
        <w:rPr>
          <w:rFonts w:ascii="仿宋_GB2312" w:eastAsia="仿宋_GB2312"/>
          <w:sz w:val="32"/>
          <w:szCs w:val="32"/>
        </w:rPr>
        <w:t>%</w:t>
      </w:r>
      <w:r>
        <w:rPr>
          <w:rFonts w:hint="eastAsia" w:ascii="仿宋_GB2312" w:eastAsia="仿宋_GB2312"/>
          <w:sz w:val="32"/>
          <w:szCs w:val="32"/>
        </w:rPr>
        <w:t>。主要原因是厉行节约。</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万元。全年按规定更新购置公务用车0辆，其中：轿车0辆、金额0万元，越野车0辆、金额0万元，载客汽车0辆、金额0万元。截至2023年</w:t>
      </w:r>
      <w:r>
        <w:rPr>
          <w:rFonts w:ascii="仿宋_GB2312" w:eastAsia="仿宋_GB2312"/>
          <w:sz w:val="32"/>
          <w:szCs w:val="32"/>
        </w:rPr>
        <w:t>12</w:t>
      </w:r>
      <w:r>
        <w:rPr>
          <w:rFonts w:hint="eastAsia" w:ascii="仿宋_GB2312" w:eastAsia="仿宋_GB2312"/>
          <w:sz w:val="32"/>
          <w:szCs w:val="32"/>
        </w:rPr>
        <w:t>月31日，单位共有公务用车1辆，其中：轿车0辆、越野车1辆、载客汽车0辆。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sz w:val="32"/>
          <w:szCs w:val="32"/>
        </w:rPr>
        <w:t>3.5</w:t>
      </w:r>
      <w:r>
        <w:rPr>
          <w:rFonts w:hint="eastAsia" w:ascii="仿宋_GB2312" w:eastAsia="仿宋_GB2312"/>
          <w:sz w:val="32"/>
          <w:szCs w:val="32"/>
        </w:rPr>
        <w:t>万元。主要用于燃料费、维修费等支出。（具体工作）等所需的公务用车燃料费、维修费、过路过桥费、保险费等支出。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公务接待费支出决算比2022年度减少0.1万元，下降100</w:t>
      </w:r>
      <w:r>
        <w:rPr>
          <w:rFonts w:ascii="仿宋_GB2312" w:eastAsia="仿宋_GB2312"/>
          <w:sz w:val="32"/>
          <w:szCs w:val="32"/>
        </w:rPr>
        <w:t>%</w:t>
      </w:r>
      <w:r>
        <w:rPr>
          <w:rFonts w:hint="eastAsia" w:ascii="仿宋_GB2312" w:eastAsia="仿宋_GB2312"/>
          <w:sz w:val="32"/>
          <w:szCs w:val="32"/>
        </w:rPr>
        <w:t>。主要原因是厉行节约。其中：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国内公务接待支出0</w:t>
      </w:r>
      <w:r>
        <w:rPr>
          <w:rFonts w:hint="eastAsia" w:ascii="仿宋_GB2312" w:eastAsia="仿宋_GB2312"/>
          <w:sz w:val="32"/>
          <w:szCs w:val="32"/>
        </w:rPr>
        <w:t>万元，主要用于(执行公务、开展业务活动开支的交通费、住宿费、用餐费等)。国内公务接待0批次，0人次（不包括陪同人员），共计支出0万元，具体内容包括：（接待具体项目、金额）。</w:t>
      </w:r>
    </w:p>
    <w:p>
      <w:pPr>
        <w:spacing w:line="600" w:lineRule="exact"/>
        <w:ind w:firstLine="642" w:firstLineChars="200"/>
        <w:rPr>
          <w:rFonts w:ascii="黑体" w:eastAsia="黑体"/>
          <w:sz w:val="32"/>
          <w:szCs w:val="32"/>
        </w:rPr>
      </w:pPr>
      <w:r>
        <w:rPr>
          <w:rFonts w:hint="eastAsia" w:ascii="仿宋" w:hAnsi="仿宋" w:eastAsia="仿宋"/>
          <w:b/>
          <w:sz w:val="32"/>
          <w:szCs w:val="32"/>
        </w:rPr>
        <w:t>外事接待支出0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（具体项目）。外事接待0批次，0人次（不包括陪同人员），共计支出0万元。</w:t>
      </w:r>
      <w:bookmarkStart w:id="62" w:name="_Toc15377218"/>
      <w:bookmarkStart w:id="63" w:name="_Toc15396610"/>
    </w:p>
    <w:p>
      <w:pPr>
        <w:spacing w:line="600" w:lineRule="exact"/>
        <w:ind w:firstLine="640"/>
        <w:outlineLvl w:val="1"/>
        <w:rPr>
          <w:rStyle w:val="30"/>
          <w:rFonts w:ascii="黑体" w:hAnsi="黑体" w:eastAsia="黑体"/>
        </w:rPr>
      </w:pPr>
      <w:bookmarkStart w:id="64" w:name="_Toc8912"/>
      <w:r>
        <w:rPr>
          <w:rFonts w:hint="eastAsia" w:ascii="黑体" w:eastAsia="黑体"/>
          <w:sz w:val="32"/>
          <w:szCs w:val="32"/>
        </w:rPr>
        <w:t>八、</w:t>
      </w:r>
      <w:r>
        <w:rPr>
          <w:rStyle w:val="30"/>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sz w:val="32"/>
          <w:szCs w:val="32"/>
        </w:rPr>
      </w:pPr>
      <w:r>
        <w:rPr>
          <w:rFonts w:hint="eastAsia" w:ascii="仿宋_GB2312" w:eastAsia="仿宋_GB2312"/>
          <w:sz w:val="32"/>
          <w:szCs w:val="32"/>
        </w:rPr>
        <w:t>2023年度年初无政府性基金预算财政拨款收入。</w:t>
      </w:r>
    </w:p>
    <w:p>
      <w:pPr>
        <w:numPr>
          <w:ilvl w:val="0"/>
          <w:numId w:val="3"/>
        </w:numPr>
        <w:spacing w:line="600" w:lineRule="exact"/>
        <w:ind w:firstLine="640"/>
        <w:outlineLvl w:val="1"/>
        <w:rPr>
          <w:rStyle w:val="30"/>
          <w:rFonts w:ascii="黑体" w:hAnsi="黑体" w:eastAsia="黑体"/>
          <w:b w:val="0"/>
        </w:rPr>
      </w:pPr>
      <w:bookmarkStart w:id="65" w:name="_Toc29602"/>
      <w:bookmarkStart w:id="66" w:name="_Toc15396611"/>
      <w:bookmarkStart w:id="67" w:name="_Toc15377219"/>
      <w:r>
        <w:rPr>
          <w:rStyle w:val="30"/>
          <w:rFonts w:hint="eastAsia" w:ascii="黑体" w:hAnsi="黑体" w:eastAsia="黑体"/>
          <w:b w:val="0"/>
        </w:rPr>
        <w:t>国有资本经营预算支出决算情况说明</w:t>
      </w:r>
      <w:bookmarkEnd w:id="65"/>
      <w:bookmarkEnd w:id="66"/>
      <w:bookmarkEnd w:id="67"/>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2023年度年初无国有资本经营预算财政拨款收入。</w:t>
      </w:r>
    </w:p>
    <w:p>
      <w:pPr>
        <w:numPr>
          <w:ilvl w:val="0"/>
          <w:numId w:val="3"/>
        </w:numPr>
        <w:spacing w:line="600" w:lineRule="exact"/>
        <w:ind w:firstLine="640"/>
        <w:outlineLvl w:val="1"/>
        <w:rPr>
          <w:rStyle w:val="30"/>
          <w:rFonts w:ascii="黑体" w:hAnsi="黑体" w:eastAsia="黑体"/>
          <w:b w:val="0"/>
        </w:rPr>
      </w:pPr>
      <w:bookmarkStart w:id="68" w:name="_Toc15377221"/>
      <w:bookmarkStart w:id="69" w:name="_Toc6552"/>
      <w:bookmarkStart w:id="70" w:name="_Toc15396612"/>
      <w:r>
        <w:rPr>
          <w:rStyle w:val="30"/>
          <w:rFonts w:hint="eastAsia" w:ascii="黑体" w:hAnsi="黑体" w:eastAsia="黑体"/>
          <w:b w:val="0"/>
        </w:rPr>
        <w:t>其他重要事项的情况说明</w:t>
      </w:r>
      <w:bookmarkEnd w:id="68"/>
      <w:bookmarkEnd w:id="69"/>
      <w:bookmarkEnd w:id="70"/>
    </w:p>
    <w:p>
      <w:pPr>
        <w:spacing w:line="600" w:lineRule="exact"/>
        <w:ind w:firstLine="642" w:firstLineChars="200"/>
        <w:outlineLvl w:val="2"/>
        <w:rPr>
          <w:rFonts w:ascii="仿宋" w:hAnsi="仿宋" w:eastAsia="仿宋"/>
          <w:sz w:val="32"/>
          <w:szCs w:val="32"/>
        </w:rPr>
      </w:pPr>
      <w:bookmarkStart w:id="71" w:name="_Toc15377222"/>
      <w:bookmarkStart w:id="72" w:name="_Toc25064"/>
      <w:r>
        <w:rPr>
          <w:rFonts w:hint="eastAsia" w:ascii="仿宋" w:hAnsi="仿宋" w:eastAsia="仿宋"/>
          <w:b/>
          <w:sz w:val="32"/>
          <w:szCs w:val="32"/>
        </w:rPr>
        <w:t>（一）</w:t>
      </w:r>
      <w:bookmarkEnd w:id="71"/>
      <w:bookmarkEnd w:id="72"/>
      <w:bookmarkStart w:id="73" w:name="_Toc15377223"/>
      <w:bookmarkStart w:id="74" w:name="_Toc4113"/>
      <w:r>
        <w:rPr>
          <w:rFonts w:hint="eastAsia" w:ascii="仿宋" w:hAnsi="仿宋" w:eastAsia="仿宋"/>
          <w:b/>
          <w:sz w:val="32"/>
          <w:szCs w:val="32"/>
        </w:rPr>
        <w:t>政府采购支出情况</w:t>
      </w:r>
      <w:bookmarkEnd w:id="73"/>
      <w:bookmarkEnd w:id="74"/>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2023年度，红原县麦洼寺寺庙管理委员会政府采购支出总额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75" w:name="_Toc3894"/>
      <w:bookmarkStart w:id="76" w:name="_Toc15377224"/>
      <w:r>
        <w:rPr>
          <w:rFonts w:hint="eastAsia" w:ascii="仿宋" w:hAnsi="仿宋" w:eastAsia="仿宋"/>
          <w:b/>
          <w:sz w:val="32"/>
          <w:szCs w:val="32"/>
        </w:rPr>
        <w:t>（二）国有资产占有使用情况</w:t>
      </w:r>
      <w:bookmarkEnd w:id="75"/>
      <w:bookmarkEnd w:id="76"/>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日，红原县麦洼寺寺庙管理委员会共有车辆</w:t>
      </w:r>
      <w:r>
        <w:rPr>
          <w:rFonts w:ascii="仿宋_GB2312" w:eastAsia="仿宋_GB2312"/>
          <w:sz w:val="32"/>
          <w:szCs w:val="32"/>
        </w:rPr>
        <w:t>1</w:t>
      </w:r>
      <w:r>
        <w:rPr>
          <w:rFonts w:hint="eastAsia" w:ascii="仿宋_GB2312" w:eastAsia="仿宋_GB2312"/>
          <w:sz w:val="32"/>
          <w:szCs w:val="32"/>
        </w:rPr>
        <w:t>辆，其中：主要领导干部用车0辆、机要通信用车0辆、应急保障用车0辆、其他用车1辆，其他用车主要是用于公务用车燃料费、维修费、过路过桥费、保险费等支出。单价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77" w:name="_Toc22555"/>
      <w:r>
        <w:rPr>
          <w:rFonts w:hint="eastAsia" w:ascii="仿宋" w:hAnsi="仿宋" w:eastAsia="仿宋"/>
          <w:b/>
          <w:sz w:val="32"/>
          <w:szCs w:val="32"/>
        </w:rPr>
        <w:t>（三）预算绩效管理情况</w:t>
      </w:r>
      <w:bookmarkEnd w:id="77"/>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寺庙办公经费、生活补助、三员经费、尼姑寺卫生费”、“藏传佛教寺庙维修补助资金”2个项目开展了预算事前绩效评估，对2个项目编制了绩效目标，预算执行过程中，选取2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部门整体（含部门预算项目）绩效自评报告，部门整体（含部门预算项目）绩效自评得分为93分，绩效自评综述：</w:t>
      </w:r>
      <w:r>
        <w:rPr>
          <w:rFonts w:hint="eastAsia" w:ascii="仿宋_GB2312" w:hAnsi="仿宋_GB2312" w:cs="仿宋_GB2312"/>
          <w:color w:val="000000"/>
          <w:sz w:val="32"/>
          <w:szCs w:val="32"/>
        </w:rPr>
        <w:t>（1）</w:t>
      </w:r>
      <w:r>
        <w:rPr>
          <w:rFonts w:hint="eastAsia" w:ascii="仿宋_GB2312" w:hAnsi="仿宋_GB2312" w:eastAsia="仿宋_GB2312" w:cs="仿宋_GB2312"/>
          <w:color w:val="000000"/>
          <w:sz w:val="32"/>
          <w:szCs w:val="32"/>
        </w:rPr>
        <w:t>部门预算严格按照上级部门预算编制通知和有关要求，结合单位具体工作及县级相关规定编制，按时完成基础、项目报送工作，我部门预算按时在红原县门户网站公开。</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仿宋_GB2312" w:hAnsi="仿宋_GB2312" w:cs="仿宋_GB2312"/>
          <w:color w:val="000000"/>
          <w:sz w:val="32"/>
          <w:szCs w:val="32"/>
        </w:rPr>
        <w:t>（2）</w:t>
      </w:r>
      <w:r>
        <w:rPr>
          <w:rFonts w:hint="eastAsia" w:ascii="仿宋_GB2312" w:hAnsi="仿宋_GB2312" w:eastAsia="仿宋_GB2312" w:cs="仿宋_GB2312"/>
          <w:color w:val="000000"/>
          <w:sz w:val="32"/>
          <w:szCs w:val="32"/>
        </w:rPr>
        <w:t>严格执行支出预算，“三公经费”本着节约、高效的原则严格控制支出。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仿宋_GB2312" w:hAnsi="仿宋_GB2312" w:cs="仿宋_GB2312"/>
          <w:color w:val="000000"/>
          <w:sz w:val="32"/>
          <w:szCs w:val="32"/>
        </w:rPr>
        <w:t>（3）</w:t>
      </w:r>
      <w:r>
        <w:rPr>
          <w:rFonts w:hint="eastAsia" w:ascii="仿宋_GB2312" w:hAnsi="仿宋_GB2312" w:eastAsia="仿宋_GB2312" w:cs="仿宋_GB2312"/>
          <w:color w:val="000000"/>
          <w:sz w:val="32"/>
          <w:szCs w:val="32"/>
        </w:rPr>
        <w:t>认真开展部门绩效评价工作，绩效评价规章制度逐渐健全;严格按照相关法律、法规进行会计核算，严格资金管理，专款专用，资金拨付严格按相关程序报批后支付。认真开展部门整体绩效评价工作，绩效评工作正逐步完善。</w:t>
      </w:r>
    </w:p>
    <w:p>
      <w:pPr>
        <w:pStyle w:val="4"/>
        <w:jc w:val="center"/>
      </w:pPr>
      <w:bookmarkStart w:id="78" w:name="_Toc16609"/>
      <w:r>
        <w:rPr>
          <w:rFonts w:hint="eastAsia"/>
        </w:rPr>
        <w:t>第三部分 名词解释</w:t>
      </w:r>
      <w:bookmarkEnd w:id="78"/>
    </w:p>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9.一般公共服务（类）…（款）…（项）：指……。</w:t>
      </w:r>
    </w:p>
    <w:p>
      <w:pPr>
        <w:ind w:firstLine="640" w:firstLineChars="200"/>
        <w:rPr>
          <w:rFonts w:ascii="仿宋_GB2312" w:eastAsia="仿宋_GB2312"/>
          <w:sz w:val="32"/>
          <w:szCs w:val="32"/>
        </w:rPr>
      </w:pPr>
      <w:r>
        <w:rPr>
          <w:rFonts w:hint="eastAsia" w:ascii="仿宋_GB2312" w:eastAsia="仿宋_GB2312"/>
          <w:sz w:val="32"/>
          <w:szCs w:val="32"/>
        </w:rPr>
        <w:t>10.外交（类）…（款）…（项）：指……。</w:t>
      </w:r>
    </w:p>
    <w:p>
      <w:pPr>
        <w:ind w:firstLine="640" w:firstLineChars="200"/>
        <w:rPr>
          <w:rFonts w:ascii="仿宋_GB2312" w:eastAsia="仿宋_GB2312"/>
          <w:sz w:val="32"/>
          <w:szCs w:val="32"/>
        </w:rPr>
      </w:pPr>
      <w:r>
        <w:rPr>
          <w:rFonts w:hint="eastAsia" w:ascii="仿宋_GB2312" w:eastAsia="仿宋_GB2312"/>
          <w:sz w:val="32"/>
          <w:szCs w:val="32"/>
        </w:rPr>
        <w:t>11.公共安全（类）…（款）…（项）：指……。</w:t>
      </w:r>
    </w:p>
    <w:p>
      <w:pPr>
        <w:ind w:firstLine="640" w:firstLineChars="200"/>
        <w:rPr>
          <w:rFonts w:ascii="仿宋_GB2312" w:eastAsia="仿宋_GB2312"/>
          <w:sz w:val="32"/>
          <w:szCs w:val="32"/>
        </w:rPr>
      </w:pPr>
      <w:r>
        <w:rPr>
          <w:rFonts w:hint="eastAsia" w:ascii="仿宋_GB2312" w:eastAsia="仿宋_GB2312"/>
          <w:sz w:val="32"/>
          <w:szCs w:val="32"/>
        </w:rPr>
        <w:t>12.教育（类）…（款）…（项）：指……。</w:t>
      </w:r>
    </w:p>
    <w:p>
      <w:pPr>
        <w:ind w:firstLine="640" w:firstLineChars="200"/>
        <w:rPr>
          <w:rFonts w:ascii="仿宋_GB2312" w:eastAsia="仿宋_GB2312"/>
          <w:sz w:val="32"/>
          <w:szCs w:val="32"/>
        </w:rPr>
      </w:pPr>
      <w:r>
        <w:rPr>
          <w:rFonts w:hint="eastAsia" w:ascii="仿宋_GB2312" w:eastAsia="仿宋_GB2312"/>
          <w:sz w:val="32"/>
          <w:szCs w:val="32"/>
        </w:rPr>
        <w:t>13.科学技术（类）…（款）…（项）：指……。</w:t>
      </w:r>
    </w:p>
    <w:p>
      <w:pPr>
        <w:ind w:firstLine="640" w:firstLineChars="200"/>
        <w:rPr>
          <w:rFonts w:ascii="仿宋_GB2312" w:eastAsia="仿宋_GB2312"/>
          <w:sz w:val="32"/>
          <w:szCs w:val="32"/>
        </w:rPr>
      </w:pPr>
      <w:r>
        <w:rPr>
          <w:rFonts w:hint="eastAsia" w:ascii="仿宋_GB2312" w:eastAsia="仿宋_GB2312"/>
          <w:sz w:val="32"/>
          <w:szCs w:val="32"/>
        </w:rPr>
        <w:t>14.文化旅游体育与传媒（类）…（款）…（项）：指……。</w:t>
      </w:r>
    </w:p>
    <w:p>
      <w:pPr>
        <w:ind w:firstLine="640" w:firstLineChars="200"/>
        <w:rPr>
          <w:rFonts w:ascii="仿宋_GB2312" w:eastAsia="仿宋_GB2312"/>
          <w:sz w:val="32"/>
          <w:szCs w:val="32"/>
        </w:rPr>
      </w:pPr>
      <w:r>
        <w:rPr>
          <w:rFonts w:hint="eastAsia" w:ascii="仿宋_GB2312" w:eastAsia="仿宋_GB2312"/>
          <w:sz w:val="32"/>
          <w:szCs w:val="32"/>
        </w:rPr>
        <w:t>15.社会保障和就业（类）…（款）…（项）：指……。</w:t>
      </w:r>
    </w:p>
    <w:p>
      <w:pPr>
        <w:ind w:firstLine="640" w:firstLineChars="200"/>
        <w:rPr>
          <w:rFonts w:ascii="仿宋_GB2312" w:eastAsia="仿宋_GB2312"/>
          <w:sz w:val="32"/>
          <w:szCs w:val="32"/>
        </w:rPr>
      </w:pPr>
      <w:r>
        <w:rPr>
          <w:rFonts w:hint="eastAsia" w:ascii="仿宋_GB2312" w:eastAsia="仿宋_GB2312"/>
          <w:sz w:val="32"/>
          <w:szCs w:val="32"/>
        </w:rPr>
        <w:t>16.卫生健康（类）…（款）…（项）：指……。</w:t>
      </w:r>
    </w:p>
    <w:p>
      <w:pPr>
        <w:ind w:firstLine="640" w:firstLineChars="200"/>
        <w:rPr>
          <w:rFonts w:ascii="仿宋_GB2312" w:eastAsia="仿宋_GB2312"/>
          <w:sz w:val="32"/>
          <w:szCs w:val="32"/>
        </w:rPr>
      </w:pPr>
      <w:r>
        <w:rPr>
          <w:rFonts w:hint="eastAsia" w:ascii="仿宋_GB2312" w:eastAsia="仿宋_GB2312"/>
          <w:sz w:val="32"/>
          <w:szCs w:val="32"/>
        </w:rPr>
        <w:t>17.节能环保（类）…（款）…（项）：指……。</w:t>
      </w:r>
    </w:p>
    <w:p>
      <w:pPr>
        <w:ind w:firstLine="640" w:firstLineChars="200"/>
        <w:rPr>
          <w:rFonts w:ascii="仿宋_GB2312" w:eastAsia="仿宋_GB2312"/>
          <w:sz w:val="32"/>
          <w:szCs w:val="32"/>
        </w:rPr>
      </w:pPr>
      <w:r>
        <w:rPr>
          <w:rFonts w:hint="eastAsia" w:ascii="仿宋_GB2312" w:eastAsia="仿宋_GB2312"/>
          <w:sz w:val="32"/>
          <w:szCs w:val="32"/>
        </w:rPr>
        <w:t>18.城乡社区（类）…（款）…（项）：指……。</w:t>
      </w:r>
    </w:p>
    <w:p>
      <w:pPr>
        <w:ind w:firstLine="640" w:firstLineChars="200"/>
        <w:rPr>
          <w:rFonts w:ascii="仿宋_GB2312" w:eastAsia="仿宋_GB2312"/>
          <w:sz w:val="32"/>
          <w:szCs w:val="32"/>
        </w:rPr>
      </w:pPr>
      <w:r>
        <w:rPr>
          <w:rFonts w:hint="eastAsia" w:ascii="仿宋_GB2312" w:eastAsia="仿宋_GB2312"/>
          <w:sz w:val="32"/>
          <w:szCs w:val="32"/>
        </w:rPr>
        <w:t>19.农林水（类）…（款）…（项）：指……。</w:t>
      </w:r>
    </w:p>
    <w:p>
      <w:pPr>
        <w:ind w:firstLine="640" w:firstLineChars="200"/>
        <w:rPr>
          <w:rFonts w:ascii="仿宋_GB2312" w:eastAsia="仿宋_GB2312"/>
          <w:sz w:val="32"/>
          <w:szCs w:val="32"/>
        </w:rPr>
      </w:pPr>
      <w:r>
        <w:rPr>
          <w:rFonts w:hint="eastAsia" w:ascii="仿宋_GB2312" w:eastAsia="仿宋_GB2312"/>
          <w:sz w:val="32"/>
          <w:szCs w:val="32"/>
        </w:rPr>
        <w:t>20.交通运输（类）…（款）…（项）：指……。</w:t>
      </w:r>
    </w:p>
    <w:p>
      <w:pPr>
        <w:ind w:firstLine="640" w:firstLineChars="200"/>
        <w:rPr>
          <w:rFonts w:ascii="仿宋_GB2312" w:eastAsia="仿宋_GB2312"/>
          <w:sz w:val="32"/>
          <w:szCs w:val="32"/>
        </w:rPr>
      </w:pPr>
      <w:r>
        <w:rPr>
          <w:rFonts w:hint="eastAsia" w:ascii="仿宋_GB2312" w:eastAsia="仿宋_GB2312"/>
          <w:sz w:val="32"/>
          <w:szCs w:val="32"/>
        </w:rPr>
        <w:t>21.资源勘探工业信息等（类）…（款）…（项）：指……。</w:t>
      </w:r>
    </w:p>
    <w:p>
      <w:pPr>
        <w:ind w:firstLine="640" w:firstLineChars="200"/>
        <w:rPr>
          <w:rFonts w:ascii="仿宋_GB2312" w:eastAsia="仿宋_GB2312"/>
          <w:sz w:val="32"/>
          <w:szCs w:val="32"/>
        </w:rPr>
      </w:pPr>
      <w:r>
        <w:rPr>
          <w:rFonts w:hint="eastAsia" w:ascii="仿宋_GB2312" w:eastAsia="仿宋_GB2312"/>
          <w:sz w:val="32"/>
          <w:szCs w:val="32"/>
        </w:rPr>
        <w:t>22.商业服务业（类）…（款）…（项）：指……。</w:t>
      </w:r>
    </w:p>
    <w:p>
      <w:pPr>
        <w:ind w:firstLine="640" w:firstLineChars="200"/>
        <w:rPr>
          <w:rFonts w:ascii="仿宋_GB2312" w:eastAsia="仿宋_GB2312"/>
          <w:sz w:val="32"/>
          <w:szCs w:val="32"/>
        </w:rPr>
      </w:pPr>
      <w:r>
        <w:rPr>
          <w:rFonts w:hint="eastAsia" w:ascii="仿宋_GB2312" w:eastAsia="仿宋_GB2312"/>
          <w:sz w:val="32"/>
          <w:szCs w:val="32"/>
        </w:rPr>
        <w:t>23.金融（类）…（款）…（项）：指……。</w:t>
      </w:r>
    </w:p>
    <w:p>
      <w:pPr>
        <w:ind w:firstLine="640" w:firstLineChars="200"/>
        <w:rPr>
          <w:rFonts w:ascii="仿宋_GB2312" w:eastAsia="仿宋_GB2312"/>
          <w:sz w:val="32"/>
          <w:szCs w:val="32"/>
        </w:rPr>
      </w:pPr>
      <w:r>
        <w:rPr>
          <w:rFonts w:hint="eastAsia" w:ascii="仿宋_GB2312" w:eastAsia="仿宋_GB2312"/>
          <w:sz w:val="32"/>
          <w:szCs w:val="32"/>
        </w:rPr>
        <w:t>24.自然资源海洋气象等（类）…（款）…（项）：指……。</w:t>
      </w:r>
    </w:p>
    <w:p>
      <w:pPr>
        <w:ind w:firstLine="640" w:firstLineChars="200"/>
        <w:rPr>
          <w:rFonts w:ascii="仿宋_GB2312" w:eastAsia="仿宋_GB2312"/>
          <w:sz w:val="32"/>
          <w:szCs w:val="32"/>
        </w:rPr>
      </w:pPr>
      <w:r>
        <w:rPr>
          <w:rFonts w:hint="eastAsia" w:ascii="仿宋_GB2312" w:eastAsia="仿宋_GB2312"/>
          <w:sz w:val="32"/>
          <w:szCs w:val="32"/>
        </w:rPr>
        <w:t>25.住房保障（类）…（款）…（项）：指……。</w:t>
      </w:r>
    </w:p>
    <w:p>
      <w:pPr>
        <w:ind w:firstLine="640" w:firstLineChars="200"/>
        <w:rPr>
          <w:rFonts w:ascii="仿宋" w:hAnsi="仿宋" w:eastAsia="仿宋"/>
          <w:b/>
          <w:sz w:val="32"/>
          <w:szCs w:val="32"/>
        </w:rPr>
      </w:pPr>
      <w:r>
        <w:rPr>
          <w:rFonts w:hint="eastAsia" w:ascii="仿宋_GB2312" w:eastAsia="仿宋_GB2312"/>
          <w:sz w:val="32"/>
          <w:szCs w:val="32"/>
        </w:rPr>
        <w:t>26.粮油物资储备（类）…（款）…（项）：指……。</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2" w:firstLineChars="200"/>
        <w:rPr>
          <w:rFonts w:ascii="仿宋" w:hAnsi="仿宋" w:eastAsia="仿宋"/>
          <w:b/>
          <w:sz w:val="32"/>
          <w:szCs w:val="32"/>
        </w:rPr>
      </w:pPr>
      <w:r>
        <w:rPr>
          <w:rFonts w:ascii="仿宋" w:hAnsi="仿宋" w:eastAsia="仿宋"/>
          <w:b/>
          <w:sz w:val="32"/>
          <w:szCs w:val="32"/>
        </w:rPr>
        <w:br w:type="page"/>
      </w:r>
    </w:p>
    <w:p>
      <w:pPr>
        <w:pStyle w:val="4"/>
        <w:jc w:val="center"/>
        <w:rPr>
          <w:rFonts w:ascii="黑体" w:hAnsi="黑体" w:eastAsia="黑体"/>
          <w:b w:val="0"/>
        </w:rPr>
      </w:pPr>
      <w:bookmarkStart w:id="79" w:name="_Toc14553"/>
      <w:r>
        <w:rPr>
          <w:rFonts w:hint="eastAsia" w:ascii="黑体" w:hAnsi="黑体" w:eastAsia="黑体"/>
          <w:b w:val="0"/>
        </w:rPr>
        <w:t>第四部分 附件</w:t>
      </w:r>
      <w:bookmarkEnd w:id="79"/>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ascii="黑体" w:hAnsi="黑体" w:eastAsia="黑体"/>
          <w:sz w:val="32"/>
          <w:szCs w:val="32"/>
        </w:rPr>
      </w:pPr>
      <w:r>
        <w:rPr>
          <w:rFonts w:hint="eastAsia" w:ascii="黑体" w:hAnsi="黑体" w:eastAsia="黑体"/>
          <w:sz w:val="32"/>
          <w:szCs w:val="32"/>
        </w:rPr>
        <w:t>一、部门（单位）基本情况</w:t>
      </w:r>
    </w:p>
    <w:p>
      <w:pPr>
        <w:spacing w:line="576" w:lineRule="exact"/>
        <w:ind w:firstLine="642" w:firstLineChars="200"/>
        <w:rPr>
          <w:rFonts w:ascii="楷体_GB2312" w:eastAsia="楷体_GB2312"/>
          <w:b/>
          <w:sz w:val="32"/>
          <w:szCs w:val="32"/>
        </w:rPr>
      </w:pPr>
      <w:r>
        <w:rPr>
          <w:rFonts w:hint="eastAsia" w:ascii="楷体_GB2312" w:eastAsia="楷体_GB2312"/>
          <w:b/>
          <w:sz w:val="32"/>
          <w:szCs w:val="32"/>
        </w:rPr>
        <w:t>（一）机构组成。</w:t>
      </w:r>
    </w:p>
    <w:p>
      <w:pPr>
        <w:spacing w:line="576" w:lineRule="exact"/>
        <w:ind w:firstLine="640" w:firstLineChars="200"/>
        <w:rPr>
          <w:rFonts w:ascii="仿宋_GB2312" w:eastAsia="仿宋_GB2312"/>
          <w:sz w:val="32"/>
          <w:lang w:val="zh-CN"/>
        </w:rPr>
      </w:pPr>
      <w:r>
        <w:rPr>
          <w:rFonts w:hint="eastAsia" w:ascii="仿宋_GB2312" w:eastAsia="仿宋_GB2312"/>
          <w:sz w:val="32"/>
          <w:lang w:val="zh-CN"/>
        </w:rPr>
        <w:t>红原县</w:t>
      </w:r>
      <w:r>
        <w:rPr>
          <w:rFonts w:hint="eastAsia" w:ascii="仿宋_GB2312" w:eastAsia="仿宋_GB2312"/>
          <w:sz w:val="32"/>
        </w:rPr>
        <w:t>麦洼寺寺庙管理委员会</w:t>
      </w:r>
      <w:r>
        <w:rPr>
          <w:rFonts w:hint="eastAsia" w:ascii="仿宋_GB2312" w:eastAsia="仿宋_GB2312"/>
          <w:sz w:val="32"/>
          <w:lang w:val="zh-CN"/>
        </w:rPr>
        <w:t>是行政单位，执行行政单位会计制度，我</w:t>
      </w:r>
      <w:r>
        <w:rPr>
          <w:rFonts w:hint="eastAsia" w:ascii="仿宋_GB2312" w:eastAsia="仿宋_GB2312"/>
          <w:sz w:val="32"/>
        </w:rPr>
        <w:t>单位</w:t>
      </w:r>
      <w:r>
        <w:rPr>
          <w:rFonts w:hint="eastAsia" w:ascii="仿宋_GB2312" w:eastAsia="仿宋_GB2312"/>
          <w:sz w:val="32"/>
          <w:lang w:val="zh-CN"/>
        </w:rPr>
        <w:t>下属二级决算单位</w:t>
      </w:r>
      <w:r>
        <w:rPr>
          <w:rFonts w:hint="eastAsia" w:ascii="仿宋_GB2312" w:eastAsia="仿宋_GB2312"/>
          <w:sz w:val="32"/>
        </w:rPr>
        <w:t>0</w:t>
      </w:r>
      <w:r>
        <w:rPr>
          <w:rFonts w:hint="eastAsia" w:ascii="仿宋_GB2312" w:eastAsia="仿宋_GB2312"/>
          <w:sz w:val="32"/>
          <w:lang w:val="zh-CN"/>
        </w:rPr>
        <w:t>个，其中行政单位</w:t>
      </w:r>
      <w:r>
        <w:rPr>
          <w:rFonts w:hint="eastAsia" w:ascii="仿宋_GB2312" w:eastAsia="仿宋_GB2312"/>
          <w:sz w:val="32"/>
        </w:rPr>
        <w:t>0</w:t>
      </w:r>
      <w:r>
        <w:rPr>
          <w:rFonts w:hint="eastAsia" w:ascii="仿宋_GB2312" w:eastAsia="仿宋_GB2312"/>
          <w:sz w:val="32"/>
          <w:lang w:val="zh-CN"/>
        </w:rPr>
        <w:t>个，参照公务员法管理的事业单位</w:t>
      </w:r>
      <w:r>
        <w:rPr>
          <w:rFonts w:hint="eastAsia" w:ascii="仿宋_GB2312" w:eastAsia="仿宋_GB2312"/>
          <w:sz w:val="32"/>
        </w:rPr>
        <w:t>0</w:t>
      </w:r>
      <w:r>
        <w:rPr>
          <w:rFonts w:hint="eastAsia" w:ascii="仿宋_GB2312" w:eastAsia="仿宋_GB2312"/>
          <w:sz w:val="32"/>
          <w:lang w:val="zh-CN"/>
        </w:rPr>
        <w:t>个，其他事业单位0个，</w:t>
      </w:r>
      <w:r>
        <w:rPr>
          <w:rFonts w:ascii="仿宋_GB2312" w:eastAsia="仿宋_GB2312"/>
          <w:sz w:val="32"/>
          <w:lang w:val="zh-CN"/>
        </w:rPr>
        <w:t>是独立核算的机构</w:t>
      </w:r>
      <w:r>
        <w:rPr>
          <w:rFonts w:hint="eastAsia" w:ascii="仿宋_GB2312" w:eastAsia="仿宋_GB2312"/>
          <w:sz w:val="32"/>
          <w:lang w:val="zh-CN"/>
        </w:rPr>
        <w:t>。</w:t>
      </w:r>
    </w:p>
    <w:p>
      <w:pPr>
        <w:pStyle w:val="15"/>
        <w:widowControl/>
        <w:numPr>
          <w:ilvl w:val="0"/>
          <w:numId w:val="4"/>
        </w:numPr>
        <w:shd w:val="clear" w:color="auto" w:fill="FFFFFF"/>
        <w:spacing w:before="0" w:beforeAutospacing="0" w:after="0" w:afterAutospacing="0" w:line="576" w:lineRule="exact"/>
        <w:ind w:firstLine="642" w:firstLineChars="200"/>
        <w:rPr>
          <w:rFonts w:ascii="楷体_GB2312" w:eastAsia="楷体_GB2312"/>
          <w:b/>
          <w:sz w:val="32"/>
          <w:szCs w:val="32"/>
        </w:rPr>
      </w:pPr>
      <w:r>
        <w:rPr>
          <w:rFonts w:hint="eastAsia" w:ascii="楷体_GB2312" w:eastAsia="楷体_GB2312"/>
          <w:b/>
          <w:sz w:val="32"/>
          <w:szCs w:val="32"/>
        </w:rPr>
        <w:t>机构职能。</w:t>
      </w:r>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我管委会为县政府派出机构，受县政府委托，履行相应宗教事务管理执法权，业务上接收统战和宗教工作部门的指导和监督。</w:t>
      </w:r>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依法管理宗教事务，加强寺庙管理，加强僧尼管理，加强宗教活动管理。</w:t>
      </w:r>
    </w:p>
    <w:p>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教育引导，以增强僧尼法制意识、公民意识、政府议事、祖国意识为目标，坚持不懈加强对僧尼的教育引导。</w:t>
      </w:r>
    </w:p>
    <w:p>
      <w:pPr>
        <w:ind w:firstLine="640" w:firstLineChars="200"/>
        <w:rPr>
          <w:rFonts w:ascii="楷体_GB2312" w:eastAsia="楷体_GB2312"/>
          <w:b/>
          <w:sz w:val="32"/>
          <w:szCs w:val="32"/>
        </w:rPr>
      </w:pPr>
      <w:r>
        <w:rPr>
          <w:rFonts w:hint="eastAsia" w:eastAsia="仿宋_GB2312"/>
          <w:sz w:val="32"/>
          <w:szCs w:val="32"/>
        </w:rPr>
        <w:t>公共服务，充分保障依法打击寺庙和持证僧尼的普惠性待遇，做到“五通”、“三有”、“三覆盖”。</w:t>
      </w:r>
    </w:p>
    <w:p>
      <w:pPr>
        <w:numPr>
          <w:ilvl w:val="0"/>
          <w:numId w:val="4"/>
        </w:numPr>
        <w:ind w:firstLine="642" w:firstLineChars="200"/>
        <w:rPr>
          <w:rFonts w:ascii="楷体_GB2312" w:eastAsia="楷体_GB2312"/>
          <w:b/>
          <w:sz w:val="32"/>
          <w:szCs w:val="32"/>
        </w:rPr>
      </w:pPr>
      <w:r>
        <w:rPr>
          <w:rFonts w:hint="eastAsia" w:ascii="楷体_GB2312" w:eastAsia="楷体_GB2312"/>
          <w:b/>
          <w:sz w:val="32"/>
          <w:szCs w:val="32"/>
        </w:rPr>
        <w:t>人员概况。</w:t>
      </w:r>
    </w:p>
    <w:p>
      <w:pPr>
        <w:ind w:firstLine="640" w:firstLineChars="200"/>
        <w:rPr>
          <w:rFonts w:eastAsia="仿宋_GB2312"/>
          <w:sz w:val="32"/>
          <w:szCs w:val="32"/>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人事核定行政编制</w:t>
      </w:r>
      <w:r>
        <w:rPr>
          <w:rFonts w:hint="eastAsia" w:eastAsia="仿宋_GB2312"/>
          <w:sz w:val="32"/>
          <w:szCs w:val="32"/>
        </w:rPr>
        <w:t>10</w:t>
      </w:r>
      <w:r>
        <w:rPr>
          <w:rFonts w:hint="eastAsia" w:eastAsia="仿宋_GB2312"/>
          <w:sz w:val="32"/>
          <w:szCs w:val="32"/>
          <w:lang w:val="zh-CN"/>
        </w:rPr>
        <w:t>人，其中：行政工勤编制</w:t>
      </w:r>
      <w:r>
        <w:rPr>
          <w:rFonts w:hint="eastAsia" w:eastAsia="仿宋_GB2312"/>
          <w:sz w:val="32"/>
          <w:szCs w:val="32"/>
        </w:rPr>
        <w:t>0</w:t>
      </w:r>
      <w:r>
        <w:rPr>
          <w:rFonts w:hint="eastAsia" w:eastAsia="仿宋_GB2312"/>
          <w:sz w:val="32"/>
          <w:szCs w:val="32"/>
          <w:lang w:val="zh-CN"/>
        </w:rPr>
        <w:t>人。是独立核算的机构，是独立编报预算的单位。20</w:t>
      </w:r>
      <w:r>
        <w:rPr>
          <w:rFonts w:hint="eastAsia" w:eastAsia="仿宋_GB2312"/>
          <w:sz w:val="32"/>
          <w:szCs w:val="32"/>
        </w:rPr>
        <w:t>23</w:t>
      </w:r>
      <w:r>
        <w:rPr>
          <w:rFonts w:hint="eastAsia" w:eastAsia="仿宋_GB2312"/>
          <w:sz w:val="32"/>
          <w:szCs w:val="32"/>
          <w:lang w:val="zh-CN"/>
        </w:rPr>
        <w:t>年年末在职行政人数</w:t>
      </w:r>
      <w:r>
        <w:rPr>
          <w:rFonts w:hint="eastAsia" w:eastAsia="仿宋_GB2312"/>
          <w:sz w:val="32"/>
          <w:szCs w:val="32"/>
        </w:rPr>
        <w:t>10</w:t>
      </w:r>
      <w:r>
        <w:rPr>
          <w:rFonts w:hint="eastAsia" w:eastAsia="仿宋_GB2312"/>
          <w:sz w:val="32"/>
          <w:szCs w:val="32"/>
          <w:lang w:val="zh-CN"/>
        </w:rPr>
        <w:t>人，其中：行政工勤在职人数</w:t>
      </w:r>
      <w:r>
        <w:rPr>
          <w:rFonts w:hint="eastAsia" w:eastAsia="仿宋_GB2312"/>
          <w:sz w:val="32"/>
          <w:szCs w:val="32"/>
        </w:rPr>
        <w:t>0</w:t>
      </w:r>
      <w:r>
        <w:rPr>
          <w:rFonts w:hint="eastAsia" w:eastAsia="仿宋_GB2312"/>
          <w:sz w:val="32"/>
          <w:szCs w:val="32"/>
          <w:lang w:val="zh-CN"/>
        </w:rPr>
        <w:t>人。事业编制人数</w:t>
      </w:r>
      <w:r>
        <w:rPr>
          <w:rFonts w:hint="eastAsia" w:eastAsia="仿宋_GB2312"/>
          <w:sz w:val="32"/>
          <w:szCs w:val="32"/>
        </w:rPr>
        <w:t>0人，实有人数10人。</w:t>
      </w:r>
    </w:p>
    <w:p>
      <w:pPr>
        <w:rPr>
          <w:rFonts w:ascii="黑体" w:hAnsi="黑体" w:eastAsia="黑体"/>
          <w:sz w:val="32"/>
          <w:szCs w:val="32"/>
        </w:rPr>
      </w:pPr>
      <w:r>
        <w:rPr>
          <w:rFonts w:hint="eastAsia" w:ascii="黑体" w:hAnsi="黑体" w:eastAsia="黑体"/>
          <w:sz w:val="32"/>
          <w:szCs w:val="32"/>
        </w:rPr>
        <w:t>二、部门资金收支情况</w:t>
      </w:r>
    </w:p>
    <w:p>
      <w:pPr>
        <w:ind w:firstLine="642" w:firstLineChars="200"/>
        <w:rPr>
          <w:rFonts w:ascii="楷体_GB2312" w:eastAsia="楷体_GB2312"/>
          <w:b/>
          <w:sz w:val="32"/>
          <w:szCs w:val="32"/>
        </w:rPr>
      </w:pPr>
      <w:r>
        <w:rPr>
          <w:rFonts w:hint="eastAsia" w:ascii="楷体_GB2312" w:eastAsia="楷体_GB2312"/>
          <w:b/>
          <w:sz w:val="32"/>
          <w:szCs w:val="32"/>
        </w:rPr>
        <w:t>（一）收入情况。</w:t>
      </w:r>
    </w:p>
    <w:p>
      <w:pPr>
        <w:ind w:firstLine="640" w:firstLineChars="200"/>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rPr>
        <w:t>2023年</w:t>
      </w:r>
      <w:r>
        <w:rPr>
          <w:rFonts w:hint="eastAsia" w:ascii="仿宋_GB2312" w:hAnsi="仿宋" w:eastAsia="仿宋_GB2312"/>
          <w:sz w:val="32"/>
          <w:szCs w:val="32"/>
        </w:rPr>
        <w:t>收入全年预算数为</w:t>
      </w:r>
      <w:r>
        <w:rPr>
          <w:rFonts w:hint="eastAsia" w:ascii="仿宋_GB2312" w:hAnsi="仿宋"/>
          <w:sz w:val="32"/>
          <w:szCs w:val="32"/>
        </w:rPr>
        <w:t>386.53</w:t>
      </w:r>
      <w:r>
        <w:rPr>
          <w:rFonts w:hint="eastAsia" w:ascii="仿宋_GB2312" w:hAnsi="仿宋" w:eastAsia="仿宋_GB2312"/>
          <w:sz w:val="32"/>
          <w:szCs w:val="32"/>
        </w:rPr>
        <w:t>万元，收入决算数为</w:t>
      </w:r>
      <w:r>
        <w:rPr>
          <w:rFonts w:hint="eastAsia" w:ascii="仿宋_GB2312" w:hAnsi="仿宋"/>
          <w:sz w:val="32"/>
          <w:szCs w:val="32"/>
        </w:rPr>
        <w:t>386.53</w:t>
      </w:r>
      <w:r>
        <w:rPr>
          <w:rFonts w:hint="eastAsia" w:ascii="仿宋_GB2312" w:hAnsi="仿宋" w:eastAsia="仿宋_GB2312"/>
          <w:sz w:val="32"/>
          <w:szCs w:val="32"/>
        </w:rPr>
        <w:t>万元，预算完成度为100%</w:t>
      </w:r>
      <w:r>
        <w:rPr>
          <w:rFonts w:hint="eastAsia" w:ascii="仿宋_GB2312" w:hAnsi="仿宋"/>
          <w:sz w:val="32"/>
          <w:szCs w:val="32"/>
        </w:rPr>
        <w:t>。</w:t>
      </w:r>
      <w:r>
        <w:rPr>
          <w:rFonts w:hint="eastAsia" w:eastAsia="仿宋_GB2312"/>
          <w:sz w:val="32"/>
          <w:szCs w:val="32"/>
          <w:lang w:val="zh-CN"/>
        </w:rPr>
        <w:t>20</w:t>
      </w:r>
      <w:r>
        <w:rPr>
          <w:rFonts w:hint="eastAsia" w:eastAsia="仿宋_GB2312"/>
          <w:sz w:val="32"/>
          <w:szCs w:val="32"/>
        </w:rPr>
        <w:t>23</w:t>
      </w:r>
      <w:r>
        <w:rPr>
          <w:rFonts w:hint="eastAsia" w:eastAsia="仿宋_GB2312"/>
          <w:sz w:val="32"/>
          <w:szCs w:val="32"/>
          <w:lang w:val="zh-CN"/>
        </w:rPr>
        <w:t>年</w:t>
      </w:r>
      <w:r>
        <w:rPr>
          <w:rFonts w:hint="eastAsia"/>
          <w:sz w:val="32"/>
          <w:szCs w:val="32"/>
        </w:rPr>
        <w:t>总</w:t>
      </w:r>
      <w:r>
        <w:rPr>
          <w:rFonts w:hint="eastAsia" w:eastAsia="仿宋_GB2312"/>
          <w:sz w:val="32"/>
          <w:szCs w:val="32"/>
          <w:lang w:val="zh-CN"/>
        </w:rPr>
        <w:t>收入</w:t>
      </w:r>
      <w:r>
        <w:rPr>
          <w:rFonts w:hint="eastAsia" w:ascii="仿宋_GB2312" w:hAnsi="仿宋"/>
          <w:sz w:val="32"/>
          <w:szCs w:val="32"/>
        </w:rPr>
        <w:t>386.53</w:t>
      </w:r>
      <w:r>
        <w:rPr>
          <w:rFonts w:hint="eastAsia" w:eastAsia="仿宋_GB2312"/>
          <w:sz w:val="32"/>
          <w:szCs w:val="32"/>
          <w:lang w:val="zh-CN"/>
        </w:rPr>
        <w:t>万元，其中：财政拨款收入</w:t>
      </w:r>
      <w:r>
        <w:rPr>
          <w:rFonts w:hint="eastAsia" w:ascii="仿宋_GB2312" w:hAnsi="仿宋"/>
          <w:sz w:val="32"/>
          <w:szCs w:val="32"/>
        </w:rPr>
        <w:t>386.53</w:t>
      </w:r>
      <w:r>
        <w:rPr>
          <w:rFonts w:hint="eastAsia" w:eastAsia="仿宋_GB2312"/>
          <w:sz w:val="32"/>
          <w:szCs w:val="32"/>
          <w:lang w:val="zh-CN"/>
        </w:rPr>
        <w:t>万元，占</w:t>
      </w:r>
      <w:r>
        <w:rPr>
          <w:rFonts w:hint="eastAsia" w:eastAsia="仿宋_GB2312"/>
          <w:sz w:val="32"/>
          <w:szCs w:val="32"/>
        </w:rPr>
        <w:t>100</w:t>
      </w:r>
      <w:r>
        <w:rPr>
          <w:rFonts w:hint="eastAsia" w:eastAsia="仿宋_GB2312"/>
          <w:sz w:val="32"/>
          <w:szCs w:val="32"/>
          <w:lang w:val="zh-CN"/>
        </w:rPr>
        <w:t>%</w:t>
      </w:r>
      <w:r>
        <w:rPr>
          <w:rFonts w:hint="eastAsia"/>
          <w:sz w:val="32"/>
          <w:szCs w:val="32"/>
        </w:rPr>
        <w:t>。</w:t>
      </w:r>
    </w:p>
    <w:p>
      <w:pPr>
        <w:widowControl/>
        <w:numPr>
          <w:ilvl w:val="0"/>
          <w:numId w:val="5"/>
        </w:numPr>
        <w:adjustRightInd w:val="0"/>
        <w:snapToGrid w:val="0"/>
        <w:spacing w:line="576" w:lineRule="exact"/>
        <w:ind w:firstLine="720"/>
        <w:jc w:val="left"/>
        <w:rPr>
          <w:rFonts w:ascii="楷体_GB2312" w:eastAsia="楷体_GB2312"/>
          <w:b/>
          <w:sz w:val="32"/>
          <w:szCs w:val="32"/>
        </w:rPr>
      </w:pPr>
      <w:r>
        <w:rPr>
          <w:rFonts w:hint="eastAsia" w:ascii="楷体_GB2312" w:eastAsia="楷体_GB2312"/>
          <w:b/>
          <w:sz w:val="32"/>
          <w:szCs w:val="32"/>
        </w:rPr>
        <w:t>支出情况。</w:t>
      </w:r>
    </w:p>
    <w:p>
      <w:pPr>
        <w:widowControl/>
        <w:adjustRightInd w:val="0"/>
        <w:snapToGrid w:val="0"/>
        <w:spacing w:line="576"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本单位</w:t>
      </w:r>
      <w:r>
        <w:rPr>
          <w:rFonts w:hint="eastAsia" w:ascii="仿宋_GB2312" w:hAnsi="仿宋"/>
          <w:sz w:val="32"/>
          <w:szCs w:val="32"/>
        </w:rPr>
        <w:t>2023年支出</w:t>
      </w:r>
      <w:r>
        <w:rPr>
          <w:rFonts w:hint="eastAsia" w:ascii="仿宋_GB2312" w:hAnsi="仿宋" w:eastAsia="仿宋_GB2312"/>
          <w:sz w:val="32"/>
          <w:szCs w:val="32"/>
        </w:rPr>
        <w:t>全年预算数为</w:t>
      </w:r>
      <w:r>
        <w:rPr>
          <w:rFonts w:hint="eastAsia" w:ascii="仿宋_GB2312" w:hAnsi="仿宋"/>
          <w:sz w:val="32"/>
          <w:szCs w:val="32"/>
        </w:rPr>
        <w:t>386.53</w:t>
      </w:r>
      <w:r>
        <w:rPr>
          <w:rFonts w:hint="eastAsia" w:ascii="仿宋_GB2312" w:hAnsi="仿宋" w:eastAsia="仿宋_GB2312"/>
          <w:sz w:val="32"/>
          <w:szCs w:val="32"/>
        </w:rPr>
        <w:t>万元，</w:t>
      </w:r>
      <w:r>
        <w:rPr>
          <w:rFonts w:hint="eastAsia" w:ascii="仿宋_GB2312" w:hAnsi="仿宋"/>
          <w:sz w:val="32"/>
          <w:szCs w:val="32"/>
        </w:rPr>
        <w:t>支出</w:t>
      </w:r>
      <w:r>
        <w:rPr>
          <w:rFonts w:hint="eastAsia" w:ascii="仿宋_GB2312" w:hAnsi="仿宋" w:eastAsia="仿宋_GB2312"/>
          <w:sz w:val="32"/>
          <w:szCs w:val="32"/>
        </w:rPr>
        <w:t>决算数为</w:t>
      </w:r>
      <w:r>
        <w:rPr>
          <w:rFonts w:hint="eastAsia" w:ascii="仿宋_GB2312" w:hAnsi="仿宋"/>
          <w:sz w:val="32"/>
          <w:szCs w:val="32"/>
        </w:rPr>
        <w:t>386.53</w:t>
      </w:r>
      <w:r>
        <w:rPr>
          <w:rFonts w:hint="eastAsia" w:ascii="仿宋_GB2312" w:hAnsi="仿宋" w:eastAsia="仿宋_GB2312"/>
          <w:sz w:val="32"/>
          <w:szCs w:val="32"/>
        </w:rPr>
        <w:t>万元，预算完成度为100%</w:t>
      </w:r>
      <w:r>
        <w:rPr>
          <w:rFonts w:hint="eastAsia" w:ascii="仿宋_GB2312" w:hAnsi="仿宋"/>
          <w:sz w:val="32"/>
          <w:szCs w:val="32"/>
        </w:rPr>
        <w:t>。</w:t>
      </w:r>
      <w:r>
        <w:rPr>
          <w:rFonts w:hint="eastAsia" w:ascii="仿宋_GB2312" w:hAnsi="仿宋" w:eastAsia="仿宋_GB2312" w:cs="仿宋_GB2312"/>
          <w:color w:val="000000"/>
          <w:kern w:val="0"/>
          <w:sz w:val="32"/>
          <w:szCs w:val="32"/>
          <w:lang w:val="zh-CN"/>
        </w:rPr>
        <w:t>20</w:t>
      </w:r>
      <w:r>
        <w:rPr>
          <w:rFonts w:hint="eastAsia" w:ascii="仿宋_GB2312" w:hAnsi="仿宋" w:eastAsia="仿宋_GB2312" w:cs="仿宋_GB2312"/>
          <w:color w:val="000000"/>
          <w:kern w:val="0"/>
          <w:sz w:val="32"/>
          <w:szCs w:val="32"/>
        </w:rPr>
        <w:t>23</w:t>
      </w:r>
      <w:r>
        <w:rPr>
          <w:rFonts w:hint="eastAsia" w:ascii="仿宋_GB2312" w:hAnsi="仿宋" w:eastAsia="仿宋_GB2312" w:cs="仿宋_GB2312"/>
          <w:color w:val="000000"/>
          <w:kern w:val="0"/>
          <w:sz w:val="32"/>
          <w:szCs w:val="32"/>
          <w:lang w:val="zh-CN"/>
        </w:rPr>
        <w:t>年支出合计</w:t>
      </w:r>
      <w:r>
        <w:rPr>
          <w:rFonts w:hint="eastAsia" w:ascii="仿宋_GB2312" w:hAnsi="仿宋"/>
          <w:sz w:val="32"/>
          <w:szCs w:val="32"/>
        </w:rPr>
        <w:t>386.53</w:t>
      </w:r>
      <w:r>
        <w:rPr>
          <w:rFonts w:hint="eastAsia" w:ascii="仿宋_GB2312" w:hAnsi="仿宋" w:eastAsia="仿宋_GB2312" w:cs="仿宋_GB2312"/>
          <w:color w:val="000000"/>
          <w:kern w:val="0"/>
          <w:sz w:val="32"/>
          <w:szCs w:val="32"/>
          <w:lang w:val="zh-CN"/>
        </w:rPr>
        <w:t>万元，</w:t>
      </w:r>
      <w:r>
        <w:rPr>
          <w:rFonts w:hint="eastAsia" w:eastAsia="仿宋_GB2312"/>
          <w:sz w:val="32"/>
          <w:lang w:val="zh-CN"/>
        </w:rPr>
        <w:t>其中：</w:t>
      </w:r>
      <w:r>
        <w:rPr>
          <w:rFonts w:hint="eastAsia" w:ascii="仿宋_GB2312" w:hAnsi="仿宋" w:eastAsia="仿宋_GB2312"/>
          <w:sz w:val="32"/>
          <w:szCs w:val="32"/>
        </w:rPr>
        <w:t>一般公共服务支出307.49万元，占79.57</w:t>
      </w:r>
      <w:r>
        <w:rPr>
          <w:rFonts w:ascii="仿宋_GB2312" w:hAnsi="仿宋" w:eastAsia="仿宋_GB2312"/>
          <w:sz w:val="32"/>
          <w:szCs w:val="32"/>
        </w:rPr>
        <w:t>%</w:t>
      </w:r>
      <w:r>
        <w:rPr>
          <w:rFonts w:hint="eastAsia" w:ascii="仿宋_GB2312" w:hAnsi="仿宋" w:eastAsia="仿宋_GB2312"/>
          <w:sz w:val="32"/>
          <w:szCs w:val="32"/>
        </w:rPr>
        <w:t>；社会保障和就业支出39.65万元，占10.25</w:t>
      </w:r>
      <w:r>
        <w:rPr>
          <w:rFonts w:ascii="仿宋_GB2312" w:hAnsi="仿宋" w:eastAsia="仿宋_GB2312"/>
          <w:sz w:val="32"/>
          <w:szCs w:val="32"/>
        </w:rPr>
        <w:t>%</w:t>
      </w:r>
      <w:r>
        <w:rPr>
          <w:rFonts w:hint="eastAsia" w:ascii="仿宋_GB2312" w:hAnsi="仿宋" w:eastAsia="仿宋_GB2312"/>
          <w:sz w:val="32"/>
          <w:szCs w:val="32"/>
        </w:rPr>
        <w:t>；卫生健康支出16.62万元，占4.29</w:t>
      </w:r>
      <w:r>
        <w:rPr>
          <w:rFonts w:ascii="仿宋_GB2312" w:hAnsi="仿宋" w:eastAsia="仿宋_GB2312"/>
          <w:sz w:val="32"/>
          <w:szCs w:val="32"/>
        </w:rPr>
        <w:t>%</w:t>
      </w:r>
      <w:r>
        <w:rPr>
          <w:rFonts w:hint="eastAsia" w:ascii="仿宋_GB2312" w:hAnsi="仿宋" w:eastAsia="仿宋_GB2312"/>
          <w:sz w:val="32"/>
          <w:szCs w:val="32"/>
        </w:rPr>
        <w:t>；住房保障支出22.77万元，占5.89</w:t>
      </w:r>
      <w:r>
        <w:rPr>
          <w:rFonts w:ascii="仿宋_GB2312" w:hAnsi="仿宋" w:eastAsia="仿宋_GB2312"/>
          <w:sz w:val="32"/>
          <w:szCs w:val="32"/>
        </w:rPr>
        <w:t>%</w:t>
      </w:r>
      <w:r>
        <w:rPr>
          <w:rFonts w:hint="eastAsia" w:ascii="仿宋_GB2312" w:hAnsi="仿宋" w:eastAsia="仿宋_GB2312"/>
          <w:sz w:val="32"/>
          <w:szCs w:val="32"/>
        </w:rPr>
        <w:t>。结余分配和结转结余情况。</w:t>
      </w:r>
    </w:p>
    <w:p>
      <w:pPr>
        <w:widowControl/>
        <w:adjustRightInd w:val="0"/>
        <w:snapToGrid w:val="0"/>
        <w:spacing w:line="576" w:lineRule="exact"/>
        <w:ind w:firstLine="640" w:firstLineChars="200"/>
        <w:jc w:val="left"/>
        <w:rPr>
          <w:rFonts w:ascii="仿宋_GB2312" w:eastAsia="仿宋_GB2312"/>
          <w:sz w:val="32"/>
          <w:szCs w:val="32"/>
        </w:rPr>
      </w:pPr>
      <w:r>
        <w:rPr>
          <w:rFonts w:hint="eastAsia" w:eastAsia="仿宋_GB2312"/>
          <w:sz w:val="32"/>
        </w:rPr>
        <w:t>红原县麦洼寺寺庙管理委员会2023年决算报表</w:t>
      </w:r>
      <w:r>
        <w:rPr>
          <w:rFonts w:eastAsia="仿宋_GB2312"/>
          <w:sz w:val="32"/>
        </w:rPr>
        <w:t>结转结余</w:t>
      </w:r>
      <w:r>
        <w:rPr>
          <w:rFonts w:hint="eastAsia" w:eastAsia="仿宋_GB2312"/>
          <w:sz w:val="32"/>
        </w:rPr>
        <w:t>为0元</w:t>
      </w:r>
      <w:r>
        <w:rPr>
          <w:rFonts w:eastAsia="仿宋_GB2312"/>
          <w:sz w:val="32"/>
        </w:rPr>
        <w:t>。</w:t>
      </w:r>
    </w:p>
    <w:p>
      <w:pPr>
        <w:rPr>
          <w:rFonts w:ascii="黑体" w:hAnsi="黑体" w:eastAsia="黑体"/>
          <w:sz w:val="32"/>
          <w:szCs w:val="32"/>
        </w:rPr>
      </w:pPr>
      <w:r>
        <w:rPr>
          <w:rFonts w:hint="eastAsia" w:ascii="黑体" w:hAnsi="黑体" w:eastAsia="黑体"/>
          <w:sz w:val="32"/>
          <w:szCs w:val="32"/>
        </w:rPr>
        <w:t>三、部门预算绩效分析</w:t>
      </w:r>
    </w:p>
    <w:p>
      <w:pPr>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pPr>
        <w:adjustRightInd w:val="0"/>
        <w:snapToGrid w:val="0"/>
        <w:spacing w:line="578" w:lineRule="exact"/>
        <w:ind w:firstLine="640" w:firstLineChars="200"/>
        <w:jc w:val="left"/>
        <w:rPr>
          <w:rFonts w:eastAsia="仿宋_GB2312"/>
          <w:sz w:val="32"/>
          <w:szCs w:val="32"/>
        </w:rPr>
      </w:pPr>
      <w:r>
        <w:rPr>
          <w:rFonts w:hint="eastAsia" w:eastAsia="仿宋_GB2312"/>
          <w:sz w:val="32"/>
          <w:szCs w:val="32"/>
        </w:rPr>
        <w:t>产出指标：数量指标，宣传资料发放数量，≥1000册，全年完成值应保尽保。</w:t>
      </w:r>
    </w:p>
    <w:p>
      <w:pPr>
        <w:adjustRightInd w:val="0"/>
        <w:snapToGrid w:val="0"/>
        <w:spacing w:line="578" w:lineRule="exact"/>
        <w:ind w:firstLine="640" w:firstLineChars="200"/>
        <w:jc w:val="left"/>
        <w:rPr>
          <w:rFonts w:eastAsia="仿宋_GB2312"/>
          <w:sz w:val="32"/>
          <w:szCs w:val="32"/>
        </w:rPr>
      </w:pPr>
      <w:r>
        <w:rPr>
          <w:rFonts w:hint="eastAsia" w:eastAsia="仿宋_GB2312"/>
          <w:sz w:val="32"/>
          <w:szCs w:val="32"/>
        </w:rPr>
        <w:t>效益指标：社会效益指标，推进寺庙管理法制化，定性指标，有效推进。</w:t>
      </w:r>
    </w:p>
    <w:p>
      <w:pPr>
        <w:adjustRightInd w:val="0"/>
        <w:snapToGrid w:val="0"/>
        <w:spacing w:line="578" w:lineRule="exact"/>
        <w:ind w:firstLine="640" w:firstLineChars="200"/>
        <w:jc w:val="left"/>
        <w:rPr>
          <w:color w:val="000000"/>
          <w:kern w:val="0"/>
          <w:sz w:val="32"/>
          <w:szCs w:val="32"/>
          <w:shd w:val="clear" w:color="auto" w:fill="FFFFFF"/>
          <w:lang w:val="zh-CN"/>
        </w:rPr>
      </w:pPr>
      <w:r>
        <w:rPr>
          <w:rFonts w:hint="eastAsia" w:eastAsia="仿宋_GB2312"/>
          <w:sz w:val="32"/>
          <w:szCs w:val="32"/>
        </w:rPr>
        <w:t>满意度指标：服务对象满意度指标，寺庙僧人满意度，≥95%，全年完成值100%。</w:t>
      </w:r>
    </w:p>
    <w:p>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p>
    <w:p>
      <w:pPr>
        <w:adjustRightInd w:val="0"/>
        <w:snapToGrid w:val="0"/>
        <w:spacing w:line="578" w:lineRule="exact"/>
        <w:ind w:firstLine="640" w:firstLineChars="200"/>
        <w:jc w:val="left"/>
        <w:rPr>
          <w:rFonts w:eastAsia="仿宋_GB2312"/>
          <w:sz w:val="32"/>
          <w:szCs w:val="32"/>
        </w:rPr>
      </w:pPr>
      <w:r>
        <w:rPr>
          <w:rFonts w:hint="eastAsia" w:eastAsia="仿宋_GB2312"/>
          <w:sz w:val="32"/>
          <w:szCs w:val="32"/>
          <w:lang w:val="zh-CN"/>
        </w:rPr>
        <w:t>预算编制质量：实际收入与预算收入无差异，实际支出与预算支出无差异。所有应纳入预算的项目被涵盖</w:t>
      </w:r>
      <w:r>
        <w:rPr>
          <w:rFonts w:hint="eastAsia" w:eastAsia="仿宋_GB2312"/>
          <w:sz w:val="32"/>
          <w:szCs w:val="32"/>
        </w:rPr>
        <w:t>100%，预算分配与单位的年度总体目标相匹配。预算编制符合法律法规和内部政策制度。</w:t>
      </w:r>
    </w:p>
    <w:p>
      <w:pPr>
        <w:adjustRightInd w:val="0"/>
        <w:snapToGrid w:val="0"/>
        <w:spacing w:line="578" w:lineRule="exact"/>
        <w:ind w:firstLine="640" w:firstLineChars="200"/>
        <w:jc w:val="left"/>
        <w:rPr>
          <w:rFonts w:eastAsia="仿宋_GB2312"/>
          <w:sz w:val="32"/>
          <w:szCs w:val="32"/>
          <w:lang w:val="zh-CN"/>
        </w:rPr>
      </w:pPr>
      <w:r>
        <w:rPr>
          <w:rFonts w:hint="eastAsia" w:eastAsia="仿宋_GB2312"/>
          <w:sz w:val="32"/>
          <w:szCs w:val="32"/>
          <w:lang w:val="zh-CN"/>
        </w:rPr>
        <w:t>单位收入统筹：</w:t>
      </w:r>
      <w:r>
        <w:rPr>
          <w:rFonts w:hint="eastAsia" w:eastAsia="仿宋_GB2312"/>
          <w:sz w:val="32"/>
          <w:szCs w:val="32"/>
        </w:rPr>
        <w:t>本单位2023年收入全年预算数为386.53万元，收入决算数为386.53万元，预算完成度为100%。</w:t>
      </w:r>
      <w:r>
        <w:rPr>
          <w:rFonts w:hint="eastAsia" w:eastAsia="仿宋_GB2312"/>
          <w:sz w:val="32"/>
          <w:szCs w:val="32"/>
          <w:lang w:val="zh-CN"/>
        </w:rPr>
        <w:t>20</w:t>
      </w:r>
      <w:r>
        <w:rPr>
          <w:rFonts w:hint="eastAsia" w:eastAsia="仿宋_GB2312"/>
          <w:sz w:val="32"/>
          <w:szCs w:val="32"/>
        </w:rPr>
        <w:t>23</w:t>
      </w:r>
      <w:r>
        <w:rPr>
          <w:rFonts w:hint="eastAsia" w:eastAsia="仿宋_GB2312"/>
          <w:sz w:val="32"/>
          <w:szCs w:val="32"/>
          <w:lang w:val="zh-CN"/>
        </w:rPr>
        <w:t>年度总收入</w:t>
      </w:r>
      <w:r>
        <w:rPr>
          <w:rFonts w:hint="eastAsia" w:eastAsia="仿宋_GB2312"/>
          <w:sz w:val="32"/>
          <w:szCs w:val="32"/>
        </w:rPr>
        <w:t>386.53</w:t>
      </w:r>
      <w:r>
        <w:rPr>
          <w:rFonts w:hint="eastAsia" w:eastAsia="仿宋_GB2312"/>
          <w:sz w:val="32"/>
          <w:szCs w:val="32"/>
          <w:lang w:val="zh-CN"/>
        </w:rPr>
        <w:t>万元，其中：财政拨款收入</w:t>
      </w:r>
      <w:r>
        <w:rPr>
          <w:rFonts w:hint="eastAsia" w:eastAsia="仿宋_GB2312"/>
          <w:sz w:val="32"/>
          <w:szCs w:val="32"/>
        </w:rPr>
        <w:t>386.53</w:t>
      </w:r>
      <w:r>
        <w:rPr>
          <w:rFonts w:hint="eastAsia" w:eastAsia="仿宋_GB2312"/>
          <w:sz w:val="32"/>
          <w:szCs w:val="32"/>
          <w:lang w:val="zh-CN"/>
        </w:rPr>
        <w:t>万元，占</w:t>
      </w:r>
      <w:r>
        <w:rPr>
          <w:rFonts w:hint="eastAsia" w:eastAsia="仿宋_GB2312"/>
          <w:sz w:val="32"/>
          <w:szCs w:val="32"/>
        </w:rPr>
        <w:t>100</w:t>
      </w:r>
      <w:r>
        <w:rPr>
          <w:rFonts w:hint="eastAsia" w:eastAsia="仿宋_GB2312"/>
          <w:sz w:val="32"/>
          <w:szCs w:val="32"/>
          <w:lang w:val="zh-CN"/>
        </w:rPr>
        <w:t>%；政府性基金预算财政拨款</w:t>
      </w:r>
      <w:r>
        <w:rPr>
          <w:rFonts w:hint="eastAsia" w:eastAsia="仿宋_GB2312"/>
          <w:sz w:val="32"/>
          <w:szCs w:val="32"/>
        </w:rPr>
        <w:t>0</w:t>
      </w:r>
      <w:r>
        <w:rPr>
          <w:rFonts w:hint="eastAsia" w:eastAsia="仿宋_GB2312"/>
          <w:sz w:val="32"/>
          <w:szCs w:val="32"/>
          <w:lang w:val="zh-CN"/>
        </w:rPr>
        <w:t>万元，占</w:t>
      </w:r>
      <w:r>
        <w:rPr>
          <w:rFonts w:hint="eastAsia" w:eastAsia="仿宋_GB2312"/>
          <w:sz w:val="32"/>
          <w:szCs w:val="32"/>
        </w:rPr>
        <w:t>0</w:t>
      </w:r>
      <w:r>
        <w:rPr>
          <w:rFonts w:hint="eastAsia" w:eastAsia="仿宋_GB2312"/>
          <w:sz w:val="32"/>
          <w:szCs w:val="32"/>
          <w:lang w:val="zh-CN"/>
        </w:rPr>
        <w:t>%；其他收入</w:t>
      </w:r>
      <w:r>
        <w:rPr>
          <w:rFonts w:hint="eastAsia" w:eastAsia="仿宋_GB2312"/>
          <w:sz w:val="32"/>
          <w:szCs w:val="32"/>
        </w:rPr>
        <w:t>0</w:t>
      </w:r>
      <w:r>
        <w:rPr>
          <w:rFonts w:hint="eastAsia" w:eastAsia="仿宋_GB2312"/>
          <w:sz w:val="32"/>
          <w:szCs w:val="32"/>
          <w:lang w:val="zh-CN"/>
        </w:rPr>
        <w:t>万元，占</w:t>
      </w:r>
      <w:r>
        <w:rPr>
          <w:rFonts w:hint="eastAsia" w:eastAsia="仿宋_GB2312"/>
          <w:sz w:val="32"/>
          <w:szCs w:val="32"/>
        </w:rPr>
        <w:t>0</w:t>
      </w:r>
      <w:r>
        <w:rPr>
          <w:rFonts w:hint="eastAsia" w:eastAsia="仿宋_GB2312"/>
          <w:sz w:val="32"/>
          <w:szCs w:val="32"/>
          <w:lang w:val="zh-CN"/>
        </w:rPr>
        <w:t>%；上级补助收入0万元，占0%；事业收入0万元，占0%；经营收入0万元，占0%；附属单位上缴收入0万元，占0%；上年项目支出结转和结余</w:t>
      </w:r>
      <w:r>
        <w:rPr>
          <w:rFonts w:hint="eastAsia" w:eastAsia="仿宋_GB2312"/>
          <w:sz w:val="32"/>
          <w:szCs w:val="32"/>
        </w:rPr>
        <w:t>0</w:t>
      </w:r>
      <w:r>
        <w:rPr>
          <w:rFonts w:hint="eastAsia" w:eastAsia="仿宋_GB2312"/>
          <w:sz w:val="32"/>
          <w:szCs w:val="32"/>
          <w:lang w:val="zh-CN"/>
        </w:rPr>
        <w:t>万元，占</w:t>
      </w:r>
      <w:r>
        <w:rPr>
          <w:rFonts w:hint="eastAsia" w:eastAsia="仿宋_GB2312"/>
          <w:sz w:val="32"/>
          <w:szCs w:val="32"/>
        </w:rPr>
        <w:t>0</w:t>
      </w:r>
      <w:r>
        <w:rPr>
          <w:rFonts w:hint="eastAsia" w:eastAsia="仿宋_GB2312"/>
          <w:sz w:val="32"/>
          <w:szCs w:val="32"/>
          <w:lang w:val="zh-CN"/>
        </w:rPr>
        <w:t>%。</w:t>
      </w:r>
    </w:p>
    <w:p>
      <w:pPr>
        <w:adjustRightInd w:val="0"/>
        <w:snapToGrid w:val="0"/>
        <w:spacing w:line="578" w:lineRule="exact"/>
        <w:ind w:firstLine="640" w:firstLineChars="200"/>
        <w:jc w:val="left"/>
        <w:rPr>
          <w:rFonts w:eastAsia="仿宋_GB2312"/>
          <w:sz w:val="32"/>
          <w:szCs w:val="32"/>
        </w:rPr>
      </w:pPr>
      <w:r>
        <w:rPr>
          <w:rFonts w:hint="eastAsia" w:eastAsia="仿宋_GB2312"/>
          <w:sz w:val="32"/>
          <w:szCs w:val="32"/>
          <w:lang w:val="zh-CN"/>
        </w:rPr>
        <w:t>支出执行进度：</w:t>
      </w:r>
      <w:r>
        <w:rPr>
          <w:rFonts w:hint="eastAsia" w:eastAsia="仿宋_GB2312"/>
          <w:sz w:val="32"/>
          <w:szCs w:val="32"/>
        </w:rPr>
        <w:t>2023年度支出全年预算数为386.53万元，支出决算数为386.53万元，预算完成度为100%，执行进度100%。</w:t>
      </w:r>
    </w:p>
    <w:p>
      <w:pPr>
        <w:adjustRightInd w:val="0"/>
        <w:snapToGrid w:val="0"/>
        <w:spacing w:line="578" w:lineRule="exact"/>
        <w:ind w:firstLine="640" w:firstLineChars="200"/>
        <w:jc w:val="left"/>
        <w:rPr>
          <w:rFonts w:eastAsia="仿宋_GB2312"/>
          <w:sz w:val="32"/>
          <w:szCs w:val="32"/>
          <w:lang w:val="zh-CN"/>
        </w:rPr>
      </w:pPr>
      <w:r>
        <w:rPr>
          <w:rFonts w:hint="eastAsia" w:eastAsia="仿宋_GB2312"/>
          <w:sz w:val="32"/>
          <w:szCs w:val="32"/>
          <w:lang w:val="zh-CN"/>
        </w:rPr>
        <w:t>预算年终结余：无。</w:t>
      </w:r>
    </w:p>
    <w:p>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A</w:t>
      </w:r>
      <w:r>
        <w:rPr>
          <w:rFonts w:hint="eastAsia" w:ascii="仿宋" w:hAnsi="仿宋" w:eastAsia="仿宋" w:cs="仿宋"/>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B</w:t>
      </w:r>
      <w:r>
        <w:rPr>
          <w:rFonts w:hint="eastAsia" w:ascii="仿宋" w:hAnsi="仿宋" w:eastAsia="仿宋" w:cs="仿宋"/>
          <w:color w:val="000000"/>
          <w:kern w:val="0"/>
          <w:sz w:val="32"/>
          <w:szCs w:val="32"/>
          <w:shd w:val="clear" w:color="auto" w:fill="FFFFFF"/>
          <w:lang w:val="zh-CN"/>
        </w:rPr>
        <w:t>、明确了财务收支审批程序和审批人的权限和责任，规范了各项资金的使用，提高了资金使用效益。</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C</w:t>
      </w:r>
      <w:r>
        <w:rPr>
          <w:rFonts w:hint="eastAsia" w:ascii="仿宋" w:hAnsi="仿宋" w:eastAsia="仿宋" w:cs="仿宋"/>
          <w:color w:val="000000"/>
          <w:kern w:val="0"/>
          <w:sz w:val="32"/>
          <w:szCs w:val="32"/>
          <w:shd w:val="clear" w:color="auto" w:fill="FFFFFF"/>
          <w:lang w:val="zh-CN"/>
        </w:rPr>
        <w:t>、明确经费支出的范围和开支标准，采取各种有效措施控制经费开支，杜绝了浪费现象的发生。</w:t>
      </w:r>
    </w:p>
    <w:p>
      <w:pPr>
        <w:pStyle w:val="2"/>
        <w:ind w:left="420" w:firstLine="0" w:firstLineChars="0"/>
        <w:rPr>
          <w:lang w:val="zh-CN"/>
        </w:rPr>
      </w:pPr>
      <w:r>
        <w:rPr>
          <w:rFonts w:hint="eastAsia" w:ascii="仿宋" w:hAnsi="仿宋" w:eastAsia="仿宋" w:cs="仿宋"/>
          <w:color w:val="000000"/>
          <w:kern w:val="0"/>
          <w:sz w:val="32"/>
          <w:shd w:val="clear" w:color="auto" w:fill="FFFFFF"/>
        </w:rPr>
        <w:t>D</w:t>
      </w:r>
      <w:r>
        <w:rPr>
          <w:rFonts w:hint="eastAsia" w:ascii="仿宋" w:hAnsi="仿宋" w:eastAsia="仿宋" w:cs="仿宋"/>
          <w:color w:val="000000"/>
          <w:kern w:val="0"/>
          <w:sz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人均资产变化率：无变化。</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资产利用率：</w:t>
      </w:r>
      <w:r>
        <w:rPr>
          <w:rFonts w:hint="eastAsia" w:ascii="仿宋" w:hAnsi="仿宋" w:eastAsia="仿宋" w:cs="仿宋"/>
          <w:color w:val="000000"/>
          <w:kern w:val="0"/>
          <w:sz w:val="32"/>
          <w:szCs w:val="32"/>
          <w:shd w:val="clear" w:color="auto" w:fill="FFFFFF"/>
        </w:rPr>
        <w:t>100%。</w:t>
      </w:r>
    </w:p>
    <w:p>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资产盘活率：</w:t>
      </w:r>
      <w:r>
        <w:rPr>
          <w:rFonts w:hint="eastAsia" w:ascii="仿宋" w:hAnsi="仿宋" w:eastAsia="仿宋" w:cs="仿宋"/>
          <w:color w:val="000000"/>
          <w:kern w:val="0"/>
          <w:sz w:val="32"/>
          <w:szCs w:val="32"/>
          <w:shd w:val="clear" w:color="auto" w:fill="FFFFFF"/>
        </w:rPr>
        <w:t>95%。</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pPr>
        <w:pStyle w:val="2"/>
        <w:ind w:left="420" w:firstLine="0" w:firstLineChars="0"/>
        <w:rPr>
          <w:lang w:val="zh-CN"/>
        </w:rPr>
      </w:pPr>
      <w:r>
        <w:rPr>
          <w:rFonts w:hint="eastAsia" w:ascii="Times New Roman" w:eastAsia="仿宋_GB2312"/>
          <w:sz w:val="32"/>
        </w:rPr>
        <w:t>本单位无采购。</w:t>
      </w:r>
    </w:p>
    <w:p>
      <w:pPr>
        <w:ind w:firstLine="642"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1.项目决策。</w:t>
      </w:r>
    </w:p>
    <w:p>
      <w:pPr>
        <w:ind w:firstLine="640" w:firstLineChars="200"/>
        <w:rPr>
          <w:rFonts w:eastAsia="仿宋_GB2312"/>
          <w:sz w:val="32"/>
          <w:szCs w:val="32"/>
        </w:rPr>
      </w:pPr>
      <w:r>
        <w:rPr>
          <w:rFonts w:hint="eastAsia" w:eastAsia="仿宋_GB2312"/>
          <w:sz w:val="32"/>
          <w:szCs w:val="32"/>
          <w:lang w:val="zh-CN"/>
        </w:rPr>
        <w:t>决策程序：</w:t>
      </w:r>
      <w:r>
        <w:rPr>
          <w:rFonts w:hint="eastAsia" w:eastAsia="仿宋_GB2312"/>
          <w:sz w:val="32"/>
          <w:szCs w:val="32"/>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pPr>
        <w:ind w:firstLine="640" w:firstLineChars="200"/>
        <w:rPr>
          <w:rFonts w:eastAsia="仿宋_GB2312"/>
          <w:sz w:val="32"/>
          <w:szCs w:val="32"/>
          <w:lang w:val="zh-CN"/>
        </w:rPr>
      </w:pPr>
      <w:r>
        <w:rPr>
          <w:rFonts w:hint="eastAsia" w:eastAsia="仿宋_GB2312"/>
          <w:sz w:val="32"/>
          <w:szCs w:val="32"/>
          <w:lang w:val="zh-CN"/>
        </w:rPr>
        <w:t>目标设置：履行政治领导责任，做好理论武装何思想政治工作，负责学习、宣传、贯彻执行党的理论和路线方针政策，贯彻落实党中央、省委、州委和县委的，决策部署，发挥好把方向、管大局、保落实;提高退役军人思想政治、管理保障和安置优抚等法律法规，拟定退役军人工作政策并组织实施，褒扬彰显退役军人为党、国家和人民牺牲奉献的精神风范和价值导向;</w:t>
      </w:r>
    </w:p>
    <w:p>
      <w:pPr>
        <w:ind w:firstLine="640" w:firstLineChars="200"/>
        <w:rPr>
          <w:rFonts w:ascii="仿宋" w:hAnsi="仿宋" w:eastAsia="仿宋" w:cs="仿宋"/>
          <w:color w:val="000000"/>
          <w:kern w:val="0"/>
          <w:szCs w:val="32"/>
          <w:shd w:val="clear" w:color="auto" w:fill="FFFFFF"/>
          <w:lang w:val="zh-CN"/>
        </w:rPr>
      </w:pPr>
      <w:r>
        <w:rPr>
          <w:rFonts w:hint="eastAsia" w:eastAsia="仿宋_GB2312"/>
          <w:sz w:val="32"/>
          <w:szCs w:val="32"/>
          <w:lang w:val="zh-CN"/>
        </w:rPr>
        <w:t>项目入库：</w:t>
      </w:r>
      <w:r>
        <w:rPr>
          <w:rFonts w:hint="eastAsia" w:eastAsia="仿宋_GB2312"/>
          <w:sz w:val="32"/>
          <w:szCs w:val="32"/>
        </w:rPr>
        <w:t>严格</w:t>
      </w:r>
      <w:r>
        <w:rPr>
          <w:rFonts w:hint="eastAsia" w:eastAsia="仿宋_GB2312"/>
          <w:sz w:val="32"/>
          <w:szCs w:val="32"/>
          <w:lang w:val="zh-CN"/>
        </w:rPr>
        <w:t>按照程序以及要求，项目在资金使用前必须进行项目入库。</w:t>
      </w:r>
    </w:p>
    <w:p>
      <w:pPr>
        <w:widowControl/>
        <w:adjustRightInd w:val="0"/>
        <w:snapToGrid w:val="0"/>
        <w:spacing w:line="576" w:lineRule="exact"/>
        <w:ind w:firstLine="640" w:firstLineChars="200"/>
        <w:jc w:val="left"/>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2.项目执行。</w:t>
      </w:r>
    </w:p>
    <w:p>
      <w:pPr>
        <w:widowControl/>
        <w:adjustRightInd w:val="0"/>
        <w:snapToGrid w:val="0"/>
        <w:spacing w:line="576" w:lineRule="exact"/>
        <w:ind w:firstLine="640" w:firstLineChars="200"/>
        <w:jc w:val="left"/>
        <w:rPr>
          <w:rFonts w:eastAsia="仿宋_GB2312"/>
          <w:sz w:val="32"/>
        </w:rPr>
      </w:pPr>
      <w:r>
        <w:rPr>
          <w:rFonts w:hint="eastAsia" w:eastAsia="仿宋_GB2312"/>
          <w:sz w:val="32"/>
        </w:rPr>
        <w:t>2023年预算决算总收入386.53</w:t>
      </w:r>
      <w:r>
        <w:rPr>
          <w:rFonts w:hint="eastAsia" w:eastAsia="仿宋_GB2312"/>
          <w:sz w:val="32"/>
          <w:lang w:val="zh-CN"/>
        </w:rPr>
        <w:t>万元，</w:t>
      </w:r>
      <w:r>
        <w:rPr>
          <w:rFonts w:hint="eastAsia" w:eastAsia="仿宋_GB2312"/>
          <w:sz w:val="32"/>
        </w:rPr>
        <w:t>2023年支出合计386.53</w:t>
      </w:r>
      <w:r>
        <w:rPr>
          <w:rFonts w:hint="eastAsia" w:eastAsia="仿宋_GB2312"/>
          <w:sz w:val="32"/>
          <w:lang w:val="zh-CN"/>
        </w:rPr>
        <w:t>万元，</w:t>
      </w:r>
      <w:r>
        <w:rPr>
          <w:rFonts w:hint="eastAsia" w:eastAsia="仿宋_GB2312"/>
          <w:sz w:val="32"/>
        </w:rPr>
        <w:t>资金使用率</w:t>
      </w:r>
      <w:r>
        <w:rPr>
          <w:rFonts w:hint="eastAsia" w:eastAsia="仿宋_GB2312"/>
          <w:sz w:val="32"/>
          <w:lang w:val="zh-CN"/>
        </w:rPr>
        <w:t>100%。其中：</w:t>
      </w:r>
      <w:r>
        <w:rPr>
          <w:rFonts w:hint="eastAsia" w:ascii="仿宋_GB2312" w:hAnsi="仿宋" w:eastAsia="仿宋_GB2312"/>
          <w:sz w:val="32"/>
          <w:szCs w:val="32"/>
        </w:rPr>
        <w:t>一般公共服务支出307.49万元，占79.57</w:t>
      </w:r>
      <w:r>
        <w:rPr>
          <w:rFonts w:ascii="仿宋_GB2312" w:hAnsi="仿宋" w:eastAsia="仿宋_GB2312"/>
          <w:sz w:val="32"/>
          <w:szCs w:val="32"/>
        </w:rPr>
        <w:t>%</w:t>
      </w:r>
      <w:r>
        <w:rPr>
          <w:rFonts w:hint="eastAsia" w:ascii="仿宋_GB2312" w:hAnsi="仿宋" w:eastAsia="仿宋_GB2312"/>
          <w:sz w:val="32"/>
          <w:szCs w:val="32"/>
        </w:rPr>
        <w:t>；社会保障和就业支出39.65万元，占10.25</w:t>
      </w:r>
      <w:r>
        <w:rPr>
          <w:rFonts w:ascii="仿宋_GB2312" w:hAnsi="仿宋" w:eastAsia="仿宋_GB2312"/>
          <w:sz w:val="32"/>
          <w:szCs w:val="32"/>
        </w:rPr>
        <w:t>%</w:t>
      </w:r>
      <w:r>
        <w:rPr>
          <w:rFonts w:hint="eastAsia" w:ascii="仿宋_GB2312" w:hAnsi="仿宋" w:eastAsia="仿宋_GB2312"/>
          <w:sz w:val="32"/>
          <w:szCs w:val="32"/>
        </w:rPr>
        <w:t>；卫生健康支出16.62万元，占4.29</w:t>
      </w:r>
      <w:r>
        <w:rPr>
          <w:rFonts w:ascii="仿宋_GB2312" w:hAnsi="仿宋" w:eastAsia="仿宋_GB2312"/>
          <w:sz w:val="32"/>
          <w:szCs w:val="32"/>
        </w:rPr>
        <w:t>%</w:t>
      </w:r>
      <w:r>
        <w:rPr>
          <w:rFonts w:hint="eastAsia" w:ascii="仿宋_GB2312" w:hAnsi="仿宋" w:eastAsia="仿宋_GB2312"/>
          <w:sz w:val="32"/>
          <w:szCs w:val="32"/>
        </w:rPr>
        <w:t>；住房保障支出22.77万元，占5.89</w:t>
      </w:r>
      <w:r>
        <w:rPr>
          <w:rFonts w:ascii="仿宋_GB2312" w:hAnsi="仿宋" w:eastAsia="仿宋_GB2312"/>
          <w:sz w:val="32"/>
          <w:szCs w:val="32"/>
        </w:rPr>
        <w:t>%</w:t>
      </w:r>
      <w:r>
        <w:rPr>
          <w:rFonts w:hint="eastAsia" w:ascii="仿宋_GB2312" w:hAnsi="仿宋" w:eastAsia="仿宋_GB2312"/>
          <w:sz w:val="32"/>
          <w:szCs w:val="32"/>
        </w:rPr>
        <w:t>。</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3.目标实现。</w:t>
      </w:r>
      <w:r>
        <w:rPr>
          <w:rFonts w:hint="eastAsia" w:eastAsia="仿宋_GB2312"/>
          <w:sz w:val="32"/>
          <w:szCs w:val="32"/>
          <w:lang w:val="zh-CN"/>
        </w:rPr>
        <w:t>围绕目标完成、目标偏离、实现效果进行绩效分析。</w:t>
      </w:r>
    </w:p>
    <w:p>
      <w:pPr>
        <w:adjustRightInd w:val="0"/>
        <w:snapToGrid w:val="0"/>
        <w:spacing w:line="578" w:lineRule="exact"/>
        <w:ind w:firstLine="640" w:firstLineChars="200"/>
        <w:contextualSpacing/>
        <w:jc w:val="left"/>
        <w:rPr>
          <w:color w:val="000000"/>
          <w:kern w:val="0"/>
          <w:szCs w:val="32"/>
          <w:shd w:val="clear" w:color="auto" w:fill="FFFFFF"/>
          <w:lang w:val="zh-CN"/>
        </w:rPr>
      </w:pPr>
      <w:r>
        <w:rPr>
          <w:rFonts w:hint="eastAsia" w:eastAsia="仿宋_GB2312"/>
          <w:sz w:val="32"/>
          <w:szCs w:val="32"/>
        </w:rPr>
        <w:t>2023年</w:t>
      </w:r>
      <w:r>
        <w:rPr>
          <w:rFonts w:hint="eastAsia" w:eastAsia="仿宋_GB2312"/>
          <w:sz w:val="32"/>
          <w:szCs w:val="32"/>
          <w:lang w:val="zh-CN"/>
        </w:rPr>
        <w:t>我</w:t>
      </w:r>
      <w:r>
        <w:rPr>
          <w:rFonts w:hint="eastAsia" w:eastAsia="仿宋_GB2312"/>
          <w:sz w:val="32"/>
          <w:szCs w:val="32"/>
        </w:rPr>
        <w:t>单位目标完成100%，未偏离目标。</w:t>
      </w:r>
      <w:r>
        <w:rPr>
          <w:rFonts w:hint="eastAsia" w:eastAsia="仿宋_GB2312"/>
          <w:sz w:val="32"/>
          <w:szCs w:val="32"/>
          <w:lang w:val="zh-CN"/>
        </w:rPr>
        <w:t>严守法律底线，坚决把以寺庙、僧尼、宗教活动管理为重点宗教事务管理纳入依法管理轨道，牢牢掌握寺庙领导权和管理权，做到不发生重大安全责任事故和稳定责任事故，不发生重大分裂案件，寺庙总量不增加。以增强僧尼法制意识、公民意识、政府意识、祖国意识为目标，坚持不懈加强对僧尼的教育引导。充分保障依法登记寺庙和持证僧尼的普惠性待遇，做到“五通”“三有”、“三覆盖”。</w:t>
      </w:r>
    </w:p>
    <w:p>
      <w:pPr>
        <w:widowControl/>
        <w:adjustRightInd w:val="0"/>
        <w:snapToGrid w:val="0"/>
        <w:spacing w:line="578" w:lineRule="exact"/>
        <w:ind w:left="720"/>
        <w:contextualSpacing/>
        <w:jc w:val="left"/>
        <w:rPr>
          <w:rFonts w:ascii="楷体_GB2312" w:eastAsia="楷体_GB2312"/>
          <w:b/>
          <w:sz w:val="32"/>
          <w:szCs w:val="32"/>
        </w:rPr>
      </w:pPr>
      <w:r>
        <w:rPr>
          <w:rFonts w:hint="eastAsia" w:ascii="楷体_GB2312" w:eastAsia="楷体_GB2312"/>
          <w:b/>
          <w:sz w:val="32"/>
          <w:szCs w:val="32"/>
        </w:rPr>
        <w:t>（三）重点领域绩效分析。</w:t>
      </w:r>
    </w:p>
    <w:p>
      <w:pPr>
        <w:adjustRightInd w:val="0"/>
        <w:snapToGrid w:val="0"/>
        <w:spacing w:line="578" w:lineRule="exact"/>
        <w:ind w:firstLine="640" w:firstLineChars="200"/>
        <w:contextualSpacing/>
        <w:jc w:val="left"/>
        <w:rPr>
          <w:rFonts w:eastAsia="仿宋_GB2312"/>
          <w:sz w:val="32"/>
          <w:szCs w:val="32"/>
        </w:rPr>
      </w:pPr>
      <w:r>
        <w:rPr>
          <w:rFonts w:hint="eastAsia" w:eastAsia="仿宋_GB2312"/>
          <w:sz w:val="32"/>
          <w:szCs w:val="32"/>
        </w:rPr>
        <w:t>我单位2023年未涉及重点领域事项。</w:t>
      </w:r>
    </w:p>
    <w:p>
      <w:pPr>
        <w:numPr>
          <w:ilvl w:val="0"/>
          <w:numId w:val="5"/>
        </w:numPr>
        <w:spacing w:line="560" w:lineRule="exact"/>
        <w:ind w:firstLine="720"/>
        <w:rPr>
          <w:rFonts w:ascii="楷体_GB2312" w:eastAsia="楷体_GB2312"/>
          <w:b/>
          <w:sz w:val="32"/>
          <w:szCs w:val="32"/>
        </w:rPr>
      </w:pPr>
      <w:r>
        <w:rPr>
          <w:rFonts w:hint="eastAsia" w:ascii="楷体_GB2312" w:eastAsia="楷体_GB2312"/>
          <w:b/>
          <w:sz w:val="32"/>
          <w:szCs w:val="32"/>
        </w:rPr>
        <w:t>绩效结果应用情况。</w:t>
      </w:r>
    </w:p>
    <w:p>
      <w:pPr>
        <w:adjustRightInd w:val="0"/>
        <w:snapToGrid w:val="0"/>
        <w:spacing w:line="578" w:lineRule="exact"/>
        <w:ind w:firstLine="640" w:firstLineChars="200"/>
        <w:contextualSpacing/>
        <w:jc w:val="left"/>
        <w:rPr>
          <w:rFonts w:eastAsia="仿宋_GB2312"/>
          <w:sz w:val="32"/>
          <w:szCs w:val="32"/>
          <w:lang w:val="zh-CN"/>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部门绩效结果应用到了下一年的绩效目标设定与调整。根据支出预决算，为下一年度的预算提供了基础预算数据。优化了</w:t>
      </w:r>
      <w:r>
        <w:rPr>
          <w:rFonts w:hint="eastAsia" w:eastAsia="仿宋_GB2312"/>
          <w:sz w:val="32"/>
          <w:szCs w:val="32"/>
        </w:rPr>
        <w:t>单位</w:t>
      </w:r>
      <w:r>
        <w:rPr>
          <w:rFonts w:hint="eastAsia" w:eastAsia="仿宋_GB2312"/>
          <w:sz w:val="32"/>
          <w:szCs w:val="32"/>
          <w:lang w:val="zh-CN"/>
        </w:rPr>
        <w:t>资金的使用率。保障了机关日常正常运转，专项资金保障了</w:t>
      </w:r>
      <w:r>
        <w:rPr>
          <w:rFonts w:hint="eastAsia" w:eastAsia="仿宋_GB2312"/>
          <w:sz w:val="32"/>
          <w:szCs w:val="32"/>
        </w:rPr>
        <w:t>宗教事务管理</w:t>
      </w:r>
      <w:r>
        <w:rPr>
          <w:rFonts w:hint="eastAsia" w:eastAsia="仿宋_GB2312"/>
          <w:sz w:val="32"/>
          <w:szCs w:val="32"/>
          <w:lang w:val="zh-CN"/>
        </w:rPr>
        <w:t>，同时在维护少数民族地区的社会稳定，提高人民生活水平，改善人民生活质量等方面有着极其重要的意义，有力促进了社会和谐发展，为全县及乡镇的经济发展作出了应有的贡献，</w:t>
      </w:r>
      <w:r>
        <w:rPr>
          <w:rFonts w:hint="eastAsia" w:eastAsia="仿宋_GB2312"/>
          <w:sz w:val="32"/>
          <w:szCs w:val="32"/>
        </w:rPr>
        <w:t>2023年预算及决算已在政府信息公开网站进行了公开。</w:t>
      </w:r>
    </w:p>
    <w:p>
      <w:pPr>
        <w:ind w:firstLine="640" w:firstLineChars="200"/>
        <w:rPr>
          <w:rFonts w:ascii="黑体" w:hAnsi="黑体" w:eastAsia="黑体"/>
          <w:sz w:val="32"/>
          <w:szCs w:val="32"/>
        </w:rPr>
      </w:pPr>
      <w:r>
        <w:rPr>
          <w:rFonts w:hint="eastAsia" w:ascii="黑体" w:hAnsi="黑体" w:eastAsia="黑体"/>
          <w:sz w:val="32"/>
          <w:szCs w:val="32"/>
        </w:rPr>
        <w:t>四、评价结论及建议</w:t>
      </w:r>
    </w:p>
    <w:p>
      <w:pPr>
        <w:ind w:firstLine="642" w:firstLineChars="200"/>
        <w:rPr>
          <w:rFonts w:ascii="楷体_GB2312" w:eastAsia="楷体_GB2312"/>
          <w:b/>
          <w:sz w:val="32"/>
          <w:szCs w:val="32"/>
        </w:rPr>
      </w:pPr>
      <w:r>
        <w:rPr>
          <w:rFonts w:hint="eastAsia" w:ascii="楷体_GB2312" w:eastAsia="楷体_GB2312"/>
          <w:b/>
          <w:sz w:val="32"/>
          <w:szCs w:val="32"/>
        </w:rPr>
        <w:t>（一）评价结论。</w:t>
      </w:r>
    </w:p>
    <w:p>
      <w:pPr>
        <w:adjustRightInd w:val="0"/>
        <w:snapToGrid w:val="0"/>
        <w:spacing w:line="578" w:lineRule="exact"/>
        <w:ind w:firstLine="640" w:firstLineChars="200"/>
        <w:contextualSpacing/>
        <w:jc w:val="left"/>
        <w:rPr>
          <w:rFonts w:eastAsia="仿宋_GB2312"/>
          <w:sz w:val="32"/>
          <w:szCs w:val="32"/>
          <w:lang w:val="zh-CN"/>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部门支出预算，保障了机关日常正常运转，专项资金保障了</w:t>
      </w:r>
      <w:r>
        <w:rPr>
          <w:rFonts w:hint="eastAsia" w:eastAsia="仿宋_GB2312"/>
          <w:sz w:val="32"/>
          <w:szCs w:val="32"/>
        </w:rPr>
        <w:t>宗教事务管理</w:t>
      </w:r>
      <w:r>
        <w:rPr>
          <w:rFonts w:hint="eastAsia" w:eastAsia="仿宋_GB2312"/>
          <w:sz w:val="32"/>
          <w:szCs w:val="32"/>
          <w:lang w:val="zh-CN"/>
        </w:rPr>
        <w:t>，同时在维护少数民</w:t>
      </w:r>
      <w:bookmarkStart w:id="81" w:name="_GoBack"/>
      <w:bookmarkEnd w:id="81"/>
      <w:r>
        <w:rPr>
          <w:rFonts w:hint="eastAsia" w:eastAsia="仿宋_GB2312"/>
          <w:sz w:val="32"/>
          <w:szCs w:val="32"/>
          <w:lang w:val="zh-CN"/>
        </w:rPr>
        <w:t>族地区的社会稳定，提高人民生活水平，改善人民生活质量等方面有着极其重要的意义，有力促进了社会和谐发展，为全县及乡镇的经济发展作出了应有的贡献，部门整体支出绩效自评等级为优秀。</w:t>
      </w:r>
    </w:p>
    <w:p>
      <w:pPr>
        <w:numPr>
          <w:ilvl w:val="0"/>
          <w:numId w:val="6"/>
        </w:numPr>
        <w:autoSpaceDE w:val="0"/>
        <w:spacing w:line="560" w:lineRule="exact"/>
        <w:ind w:firstLine="642" w:firstLineChars="200"/>
        <w:jc w:val="left"/>
        <w:rPr>
          <w:rFonts w:ascii="楷体_GB2312" w:eastAsia="楷体_GB2312"/>
          <w:b/>
          <w:sz w:val="32"/>
          <w:szCs w:val="32"/>
        </w:rPr>
      </w:pPr>
      <w:r>
        <w:rPr>
          <w:rFonts w:hint="eastAsia" w:ascii="楷体_GB2312" w:eastAsia="楷体_GB2312"/>
          <w:b/>
          <w:sz w:val="32"/>
          <w:szCs w:val="32"/>
        </w:rPr>
        <w:t>存在问题。</w:t>
      </w:r>
    </w:p>
    <w:p>
      <w:pPr>
        <w:autoSpaceDE w:val="0"/>
        <w:spacing w:line="560" w:lineRule="exact"/>
        <w:ind w:firstLine="640" w:firstLineChars="200"/>
        <w:jc w:val="left"/>
        <w:rPr>
          <w:rFonts w:ascii="仿宋_GB2312" w:hAnsi="仿宋" w:eastAsia="仿宋_GB2312" w:cs="仿宋_GB2312"/>
          <w:color w:val="000000"/>
          <w:kern w:val="0"/>
          <w:sz w:val="32"/>
          <w:szCs w:val="32"/>
          <w:lang w:val="zh-CN"/>
        </w:rPr>
      </w:pPr>
      <w:r>
        <w:rPr>
          <w:rFonts w:hint="eastAsia" w:eastAsia="仿宋_GB2312"/>
          <w:sz w:val="32"/>
          <w:szCs w:val="32"/>
        </w:rPr>
        <w:t>由于财政支出的多样性和复杂性，绩效评价指标体系设置难度大，即使可以量化，但实际操作中很多项目间缺乏可比性且指标本身也在逐步变化，需要逐步完善。</w:t>
      </w:r>
      <w:r>
        <w:rPr>
          <w:rFonts w:hint="eastAsia" w:eastAsia="仿宋_GB2312"/>
          <w:sz w:val="32"/>
          <w:szCs w:val="32"/>
        </w:rPr>
        <w:br w:type="textWrapping"/>
      </w:r>
      <w:r>
        <w:rPr>
          <w:rFonts w:hint="eastAsia" w:eastAsia="仿宋_GB2312"/>
          <w:sz w:val="32"/>
          <w:szCs w:val="32"/>
        </w:rPr>
        <w:t xml:space="preserve">    在平时工作推进过程中，缺乏技术人员进行专业指导及培训，工作推进存在一定困难，预算编制还需更加精准。</w:t>
      </w:r>
    </w:p>
    <w:p>
      <w:pPr>
        <w:numPr>
          <w:ilvl w:val="0"/>
          <w:numId w:val="6"/>
        </w:numPr>
        <w:autoSpaceDE w:val="0"/>
        <w:spacing w:line="560" w:lineRule="exact"/>
        <w:ind w:firstLine="642" w:firstLineChars="200"/>
        <w:jc w:val="left"/>
        <w:rPr>
          <w:rFonts w:ascii="楷体_GB2312" w:eastAsia="楷体_GB2312"/>
          <w:b/>
          <w:sz w:val="32"/>
          <w:szCs w:val="32"/>
        </w:rPr>
      </w:pPr>
      <w:r>
        <w:rPr>
          <w:rFonts w:hint="eastAsia" w:ascii="楷体_GB2312" w:eastAsia="楷体_GB2312"/>
          <w:b/>
          <w:sz w:val="32"/>
          <w:szCs w:val="32"/>
        </w:rPr>
        <w:t>改进建议。</w:t>
      </w:r>
    </w:p>
    <w:p>
      <w:pPr>
        <w:autoSpaceDE w:val="0"/>
        <w:spacing w:line="560" w:lineRule="exact"/>
        <w:ind w:firstLine="640" w:firstLineChars="200"/>
        <w:jc w:val="left"/>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1.通过各种途径加强绩效管理学习，科学合理编制预算，严格执行预算。</w:t>
      </w:r>
    </w:p>
    <w:p>
      <w:pPr>
        <w:ind w:firstLine="640" w:firstLineChars="200"/>
        <w:rPr>
          <w:rFonts w:eastAsia="仿宋_GB2312"/>
          <w:sz w:val="32"/>
          <w:szCs w:val="32"/>
          <w:lang w:val="zh-CN"/>
        </w:rPr>
      </w:pPr>
      <w:r>
        <w:rPr>
          <w:rFonts w:hint="eastAsia" w:ascii="仿宋_GB2312" w:hAnsi="仿宋" w:eastAsia="仿宋_GB2312" w:cs="仿宋_GB2312"/>
          <w:color w:val="000000"/>
          <w:kern w:val="0"/>
          <w:sz w:val="32"/>
          <w:szCs w:val="32"/>
        </w:rPr>
        <w:t>2.规范账务处理，提高财务信息质量。</w:t>
      </w:r>
    </w:p>
    <w:p>
      <w:pPr>
        <w:ind w:firstLine="640" w:firstLineChars="200"/>
        <w:rPr>
          <w:rFonts w:eastAsia="仿宋_GB2312"/>
          <w:sz w:val="32"/>
          <w:szCs w:val="32"/>
          <w:lang w:val="zh-CN"/>
        </w:rPr>
      </w:pPr>
    </w:p>
    <w:p>
      <w:pPr>
        <w:pStyle w:val="2"/>
        <w:ind w:left="420"/>
        <w:rPr>
          <w:lang w:val="zh-CN"/>
        </w:rPr>
      </w:pPr>
    </w:p>
    <w:p>
      <w:pPr>
        <w:ind w:firstLine="640" w:firstLineChars="200"/>
        <w:rPr>
          <w:rFonts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p>
      <w:pPr>
        <w:ind w:firstLine="420" w:firstLineChars="200"/>
      </w:pPr>
    </w:p>
    <w:p>
      <w:pPr>
        <w:pStyle w:val="2"/>
        <w:ind w:left="420"/>
      </w:pPr>
    </w:p>
    <w:tbl>
      <w:tblPr>
        <w:tblStyle w:val="16"/>
        <w:tblW w:w="8280" w:type="dxa"/>
        <w:tblInd w:w="0" w:type="dxa"/>
        <w:tblLayout w:type="fixed"/>
        <w:tblCellMar>
          <w:top w:w="15" w:type="dxa"/>
          <w:left w:w="15" w:type="dxa"/>
          <w:bottom w:w="15" w:type="dxa"/>
          <w:right w:w="15" w:type="dxa"/>
        </w:tblCellMar>
      </w:tblPr>
      <w:tblGrid>
        <w:gridCol w:w="389"/>
        <w:gridCol w:w="664"/>
        <w:gridCol w:w="912"/>
        <w:gridCol w:w="664"/>
        <w:gridCol w:w="1029"/>
        <w:gridCol w:w="1523"/>
        <w:gridCol w:w="1419"/>
        <w:gridCol w:w="1680"/>
      </w:tblGrid>
      <w:tr>
        <w:tblPrEx>
          <w:tblCellMar>
            <w:top w:w="15" w:type="dxa"/>
            <w:left w:w="15" w:type="dxa"/>
            <w:bottom w:w="15" w:type="dxa"/>
            <w:right w:w="15" w:type="dxa"/>
          </w:tblCellMar>
        </w:tblPrEx>
        <w:trPr>
          <w:trHeight w:val="732" w:hRule="atLeast"/>
        </w:trPr>
        <w:tc>
          <w:tcPr>
            <w:tcW w:w="8280"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940" w:hRule="atLeast"/>
        </w:trPr>
        <w:tc>
          <w:tcPr>
            <w:tcW w:w="196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6314"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rPr>
              <w:t>寺庙办公经费、生活补助、三员经费、尼姑寺卫生费</w:t>
            </w:r>
          </w:p>
        </w:tc>
      </w:tr>
      <w:tr>
        <w:tblPrEx>
          <w:tblCellMar>
            <w:top w:w="15" w:type="dxa"/>
            <w:left w:w="15" w:type="dxa"/>
            <w:bottom w:w="15" w:type="dxa"/>
            <w:right w:w="15" w:type="dxa"/>
          </w:tblCellMar>
        </w:tblPrEx>
        <w:trPr>
          <w:trHeight w:val="360" w:hRule="atLeast"/>
        </w:trPr>
        <w:tc>
          <w:tcPr>
            <w:tcW w:w="196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6314" w:type="dxa"/>
            <w:gridSpan w:val="5"/>
            <w:tcBorders>
              <w:top w:val="single" w:color="000000" w:sz="4" w:space="0"/>
              <w:left w:val="single" w:color="000000" w:sz="4" w:space="0"/>
              <w:bottom w:val="single" w:color="000000" w:sz="4" w:space="0"/>
              <w:right w:val="single" w:color="000000" w:sz="4" w:space="0"/>
            </w:tcBorders>
            <w:vAlign w:val="center"/>
          </w:tcPr>
          <w:p>
            <w:pPr>
              <w:ind w:firstLine="1686" w:firstLineChars="700"/>
              <w:rPr>
                <w:rFonts w:ascii="宋体" w:cs="宋体"/>
                <w:b/>
                <w:color w:val="000000"/>
                <w:sz w:val="24"/>
              </w:rPr>
            </w:pPr>
            <w:r>
              <w:rPr>
                <w:rFonts w:hint="eastAsia" w:ascii="宋体" w:hAnsi="宋体" w:cs="宋体"/>
                <w:b/>
                <w:color w:val="000000"/>
                <w:sz w:val="24"/>
              </w:rPr>
              <w:t>红原县麦洼寺寺庙管理委员会</w:t>
            </w:r>
          </w:p>
        </w:tc>
      </w:tr>
      <w:tr>
        <w:tblPrEx>
          <w:tblCellMar>
            <w:top w:w="15" w:type="dxa"/>
            <w:left w:w="15" w:type="dxa"/>
            <w:bottom w:w="15" w:type="dxa"/>
            <w:right w:w="15" w:type="dxa"/>
          </w:tblCellMar>
        </w:tblPrEx>
        <w:trPr>
          <w:trHeight w:val="360" w:hRule="atLeast"/>
        </w:trPr>
        <w:tc>
          <w:tcPr>
            <w:tcW w:w="39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57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69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38.56</w:t>
            </w:r>
          </w:p>
        </w:tc>
        <w:tc>
          <w:tcPr>
            <w:tcW w:w="15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09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38.56</w:t>
            </w:r>
          </w:p>
        </w:tc>
      </w:tr>
      <w:tr>
        <w:tblPrEx>
          <w:tblCellMar>
            <w:top w:w="15" w:type="dxa"/>
            <w:left w:w="15" w:type="dxa"/>
            <w:bottom w:w="15" w:type="dxa"/>
            <w:right w:w="15" w:type="dxa"/>
          </w:tblCellMar>
        </w:tblPrEx>
        <w:trPr>
          <w:trHeight w:val="3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57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69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38.56</w:t>
            </w:r>
          </w:p>
        </w:tc>
        <w:tc>
          <w:tcPr>
            <w:tcW w:w="15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09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38.56</w:t>
            </w:r>
          </w:p>
        </w:tc>
      </w:tr>
      <w:tr>
        <w:tblPrEx>
          <w:tblCellMar>
            <w:top w:w="15" w:type="dxa"/>
            <w:left w:w="15" w:type="dxa"/>
            <w:bottom w:w="15" w:type="dxa"/>
            <w:right w:w="15" w:type="dxa"/>
          </w:tblCellMar>
        </w:tblPrEx>
        <w:trPr>
          <w:trHeight w:val="91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57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69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5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09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360" w:hRule="atLeast"/>
        </w:trPr>
        <w:tc>
          <w:tcPr>
            <w:tcW w:w="39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24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5650"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8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24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rPr>
              <w:t>促进民管会成员工作积极性，保障寺庙工作开展。</w:t>
            </w:r>
          </w:p>
        </w:tc>
        <w:tc>
          <w:tcPr>
            <w:tcW w:w="5650"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促进民管会成员工作积极性，保障寺庙工作开展。</w:t>
            </w:r>
          </w:p>
        </w:tc>
      </w:tr>
      <w:tr>
        <w:tblPrEx>
          <w:tblCellMar>
            <w:top w:w="15" w:type="dxa"/>
            <w:left w:w="15" w:type="dxa"/>
            <w:bottom w:w="15" w:type="dxa"/>
            <w:right w:w="15" w:type="dxa"/>
          </w:tblCellMar>
        </w:tblPrEx>
        <w:trPr>
          <w:trHeight w:val="680" w:hRule="atLeast"/>
        </w:trPr>
        <w:tc>
          <w:tcPr>
            <w:tcW w:w="39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91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551"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419"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680"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551"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41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8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551"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419"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80"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社会满意效益100%</w:t>
            </w:r>
          </w:p>
        </w:tc>
        <w:tc>
          <w:tcPr>
            <w:tcW w:w="168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hAnsi="宋体" w:cs="宋体"/>
                <w:color w:val="000000"/>
                <w:kern w:val="0"/>
                <w:sz w:val="20"/>
                <w:szCs w:val="20"/>
              </w:rPr>
            </w:pPr>
            <w:r>
              <w:rPr>
                <w:rFonts w:hint="eastAsia" w:ascii="宋?" w:cs="宋?"/>
                <w:kern w:val="0"/>
                <w:sz w:val="20"/>
                <w:szCs w:val="20"/>
              </w:rPr>
              <w:t>社会满意效益100%</w:t>
            </w:r>
          </w:p>
        </w:tc>
      </w:tr>
      <w:tr>
        <w:tblPrEx>
          <w:tblCellMar>
            <w:top w:w="15" w:type="dxa"/>
            <w:left w:w="15" w:type="dxa"/>
            <w:bottom w:w="15" w:type="dxa"/>
            <w:right w:w="15" w:type="dxa"/>
          </w:tblCellMar>
        </w:tblPrEx>
        <w:trPr>
          <w:trHeight w:val="7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CellMar>
            <w:top w:w="15" w:type="dxa"/>
            <w:left w:w="15" w:type="dxa"/>
            <w:bottom w:w="15" w:type="dxa"/>
            <w:right w:w="15" w:type="dxa"/>
          </w:tblCellMar>
        </w:tblPrEx>
        <w:trPr>
          <w:trHeight w:val="8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明确</w:t>
            </w:r>
          </w:p>
        </w:tc>
      </w:tr>
      <w:tr>
        <w:tblPrEx>
          <w:tblCellMar>
            <w:top w:w="15" w:type="dxa"/>
            <w:left w:w="15" w:type="dxa"/>
            <w:bottom w:w="15" w:type="dxa"/>
            <w:right w:w="15" w:type="dxa"/>
          </w:tblCellMar>
        </w:tblPrEx>
        <w:trPr>
          <w:trHeight w:val="88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13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028"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523"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227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028"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523"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2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9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未出现更改</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未出现更改</w:t>
            </w:r>
          </w:p>
        </w:tc>
      </w:tr>
      <w:tr>
        <w:tblPrEx>
          <w:tblCellMar>
            <w:top w:w="15" w:type="dxa"/>
            <w:left w:w="15" w:type="dxa"/>
            <w:bottom w:w="15" w:type="dxa"/>
            <w:right w:w="15" w:type="dxa"/>
          </w:tblCellMar>
        </w:tblPrEx>
        <w:trPr>
          <w:trHeight w:val="8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rPr>
              <w:t>100%</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补助标准</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hAnsi="宋?" w:cs="宋?"/>
                <w:sz w:val="20"/>
                <w:szCs w:val="20"/>
              </w:rPr>
              <w:t>补助标准</w:t>
            </w:r>
          </w:p>
        </w:tc>
      </w:tr>
      <w:tr>
        <w:tblPrEx>
          <w:tblCellMar>
            <w:top w:w="15" w:type="dxa"/>
            <w:left w:w="15" w:type="dxa"/>
            <w:bottom w:w="15" w:type="dxa"/>
            <w:right w:w="15" w:type="dxa"/>
          </w:tblCellMar>
        </w:tblPrEx>
        <w:trPr>
          <w:trHeight w:val="13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r>
      <w:tr>
        <w:tblPrEx>
          <w:tblCellMar>
            <w:top w:w="15" w:type="dxa"/>
            <w:left w:w="15" w:type="dxa"/>
            <w:bottom w:w="15" w:type="dxa"/>
            <w:right w:w="15" w:type="dxa"/>
          </w:tblCellMar>
        </w:tblPrEx>
        <w:trPr>
          <w:trHeight w:val="13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r>
      <w:tr>
        <w:tblPrEx>
          <w:tblCellMar>
            <w:top w:w="15" w:type="dxa"/>
            <w:left w:w="15" w:type="dxa"/>
            <w:bottom w:w="15" w:type="dxa"/>
            <w:right w:w="15" w:type="dxa"/>
          </w:tblCellMar>
        </w:tblPrEx>
        <w:trPr>
          <w:trHeight w:val="11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6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680"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
      <w:r>
        <w:object>
          <v:shape id="_x0000_i1025" o:spt="75" type="#_x0000_t75" style="height:282.75pt;width:414pt;" o:ole="t" filled="f" o:preferrelative="t" stroked="f" coordsize="21600,21600">
            <v:path/>
            <v:fill on="f" focussize="0,0"/>
            <v:stroke on="f" joinstyle="miter"/>
            <v:imagedata r:id="rId14" o:title=""/>
            <o:lock v:ext="edit" aspectratio="f"/>
            <w10:wrap type="none"/>
            <w10:anchorlock/>
          </v:shape>
          <o:OLEObject Type="Embed" ProgID="Excel.Sheet.12" ShapeID="_x0000_i1025" DrawAspect="Content" ObjectID="_1468075725" r:id="rId13">
            <o:LockedField>false</o:LockedField>
          </o:OLEObject>
        </w:object>
      </w:r>
    </w:p>
    <w:p>
      <w:pPr>
        <w:pStyle w:val="2"/>
        <w:ind w:left="420"/>
      </w:pPr>
    </w:p>
    <w:p/>
    <w:p>
      <w:pPr>
        <w:pStyle w:val="4"/>
        <w:jc w:val="center"/>
        <w:rPr>
          <w:rFonts w:ascii="黑体" w:hAnsi="黑体" w:eastAsia="黑体"/>
        </w:rPr>
      </w:pPr>
      <w:bookmarkStart w:id="80" w:name="_Toc1030"/>
      <w:r>
        <w:rPr>
          <w:rFonts w:hint="eastAsia" w:ascii="黑体" w:hAnsi="黑体" w:eastAsia="黑体"/>
        </w:rPr>
        <w:t>第五部分 附表</w:t>
      </w:r>
      <w:bookmarkEnd w:id="80"/>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宋?">
    <w:altName w:val="方正书宋_GBK"/>
    <w:panose1 w:val="00000000000000000000"/>
    <w:charset w:val="81"/>
    <w:family w:val="roman"/>
    <w:pitch w:val="default"/>
    <w:sig w:usb0="00000000" w:usb1="00000000" w:usb2="00000010" w:usb3="00000000" w:csb0="0008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915C2"/>
    <w:multiLevelType w:val="singleLevel"/>
    <w:tmpl w:val="93D915C2"/>
    <w:lvl w:ilvl="0" w:tentative="0">
      <w:start w:val="2"/>
      <w:numFmt w:val="chineseCounting"/>
      <w:suff w:val="nothing"/>
      <w:lvlText w:val="（%1）"/>
      <w:lvlJc w:val="left"/>
      <w:rPr>
        <w:rFonts w:hint="eastAsia"/>
      </w:rPr>
    </w:lvl>
  </w:abstractNum>
  <w:abstractNum w:abstractNumId="1">
    <w:nsid w:val="C45AE072"/>
    <w:multiLevelType w:val="singleLevel"/>
    <w:tmpl w:val="C45AE072"/>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66825DE"/>
    <w:multiLevelType w:val="singleLevel"/>
    <w:tmpl w:val="666825DE"/>
    <w:lvl w:ilvl="0" w:tentative="0">
      <w:start w:val="2"/>
      <w:numFmt w:val="chineseCounting"/>
      <w:suff w:val="nothing"/>
      <w:lvlText w:val="（%1）"/>
      <w:lvlJc w:val="left"/>
      <w:rPr>
        <w:rFonts w:hint="eastAsia"/>
      </w:rPr>
    </w:lvl>
  </w:abstractNum>
  <w:abstractNum w:abstractNumId="5">
    <w:nsid w:val="728E6407"/>
    <w:multiLevelType w:val="singleLevel"/>
    <w:tmpl w:val="728E6407"/>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D49"/>
    <w:rsid w:val="00007588"/>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01E73"/>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2B60"/>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D7741"/>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2802"/>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1BB1"/>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34497"/>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AE3678"/>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483C"/>
    <w:rsid w:val="00B57DAF"/>
    <w:rsid w:val="00B76F9D"/>
    <w:rsid w:val="00B77EA6"/>
    <w:rsid w:val="00B81598"/>
    <w:rsid w:val="00B841F1"/>
    <w:rsid w:val="00B944D6"/>
    <w:rsid w:val="00BA579E"/>
    <w:rsid w:val="00BB4DF0"/>
    <w:rsid w:val="00BB74D9"/>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4033285"/>
    <w:rsid w:val="066E0107"/>
    <w:rsid w:val="07996F6E"/>
    <w:rsid w:val="07DFD8BA"/>
    <w:rsid w:val="0875707D"/>
    <w:rsid w:val="0A2032A3"/>
    <w:rsid w:val="0D35B1ED"/>
    <w:rsid w:val="0E7ED1F5"/>
    <w:rsid w:val="0F98263C"/>
    <w:rsid w:val="0FD01338"/>
    <w:rsid w:val="101860EC"/>
    <w:rsid w:val="10C055FF"/>
    <w:rsid w:val="1169585E"/>
    <w:rsid w:val="118107EC"/>
    <w:rsid w:val="11F14F9A"/>
    <w:rsid w:val="13D50BC4"/>
    <w:rsid w:val="13F5616D"/>
    <w:rsid w:val="16BB723D"/>
    <w:rsid w:val="17F9714D"/>
    <w:rsid w:val="1918F934"/>
    <w:rsid w:val="1A954587"/>
    <w:rsid w:val="1BE8440E"/>
    <w:rsid w:val="1D155CEE"/>
    <w:rsid w:val="1DFBC4B3"/>
    <w:rsid w:val="1E740ACF"/>
    <w:rsid w:val="1EAE7E9F"/>
    <w:rsid w:val="1F19C781"/>
    <w:rsid w:val="1F33FCE5"/>
    <w:rsid w:val="1F7F7398"/>
    <w:rsid w:val="1FD2DB6F"/>
    <w:rsid w:val="1FF35744"/>
    <w:rsid w:val="1FF6BC77"/>
    <w:rsid w:val="1FF9236D"/>
    <w:rsid w:val="20E8428C"/>
    <w:rsid w:val="2120685D"/>
    <w:rsid w:val="2333840E"/>
    <w:rsid w:val="23860B96"/>
    <w:rsid w:val="240371BF"/>
    <w:rsid w:val="245D4596"/>
    <w:rsid w:val="257C638F"/>
    <w:rsid w:val="26D452AA"/>
    <w:rsid w:val="278823FC"/>
    <w:rsid w:val="29397AA5"/>
    <w:rsid w:val="29FD04D3"/>
    <w:rsid w:val="2A4A6F9E"/>
    <w:rsid w:val="2BFF7BC6"/>
    <w:rsid w:val="2C8A61B5"/>
    <w:rsid w:val="2CD59C95"/>
    <w:rsid w:val="2DF04E50"/>
    <w:rsid w:val="2EE12967"/>
    <w:rsid w:val="2EEE1175"/>
    <w:rsid w:val="2EFD05E5"/>
    <w:rsid w:val="2F040D46"/>
    <w:rsid w:val="2F4F95CE"/>
    <w:rsid w:val="2FACAFDD"/>
    <w:rsid w:val="2FAE5751"/>
    <w:rsid w:val="2FB1A395"/>
    <w:rsid w:val="2FCF0B76"/>
    <w:rsid w:val="2FD9A7D8"/>
    <w:rsid w:val="308C7751"/>
    <w:rsid w:val="319F7F4E"/>
    <w:rsid w:val="3304709D"/>
    <w:rsid w:val="35B6374A"/>
    <w:rsid w:val="36AA5135"/>
    <w:rsid w:val="36BE0DA7"/>
    <w:rsid w:val="376B6AA6"/>
    <w:rsid w:val="376D39B2"/>
    <w:rsid w:val="37E16F03"/>
    <w:rsid w:val="37F53A3B"/>
    <w:rsid w:val="38D469F0"/>
    <w:rsid w:val="38F78389"/>
    <w:rsid w:val="397BAF1F"/>
    <w:rsid w:val="39984D1C"/>
    <w:rsid w:val="39E7B272"/>
    <w:rsid w:val="39F7642F"/>
    <w:rsid w:val="39FF7B37"/>
    <w:rsid w:val="3A5C0F79"/>
    <w:rsid w:val="3A7F35BC"/>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866629"/>
    <w:rsid w:val="3FBE5714"/>
    <w:rsid w:val="3FDD8615"/>
    <w:rsid w:val="3FDFB2FF"/>
    <w:rsid w:val="3FF4CAE0"/>
    <w:rsid w:val="3FF75FAF"/>
    <w:rsid w:val="3FF7B227"/>
    <w:rsid w:val="40D4674D"/>
    <w:rsid w:val="44E268DA"/>
    <w:rsid w:val="452E6EAE"/>
    <w:rsid w:val="457F4F6B"/>
    <w:rsid w:val="459A0959"/>
    <w:rsid w:val="4737FB58"/>
    <w:rsid w:val="47ECCB02"/>
    <w:rsid w:val="47FA6A3F"/>
    <w:rsid w:val="48F44FBD"/>
    <w:rsid w:val="497925AC"/>
    <w:rsid w:val="49C75042"/>
    <w:rsid w:val="49D7AE48"/>
    <w:rsid w:val="4A086D94"/>
    <w:rsid w:val="4A3F6C7E"/>
    <w:rsid w:val="4A627F82"/>
    <w:rsid w:val="4B0E749A"/>
    <w:rsid w:val="4B4F25DA"/>
    <w:rsid w:val="4BBB4781"/>
    <w:rsid w:val="4BD709A5"/>
    <w:rsid w:val="4BDD9BFF"/>
    <w:rsid w:val="4BE068DB"/>
    <w:rsid w:val="4C1674E7"/>
    <w:rsid w:val="4D577224"/>
    <w:rsid w:val="4DBF1CEB"/>
    <w:rsid w:val="4DBF6A6B"/>
    <w:rsid w:val="4DF6A672"/>
    <w:rsid w:val="4EAB630A"/>
    <w:rsid w:val="4ECE2238"/>
    <w:rsid w:val="4F7EA413"/>
    <w:rsid w:val="4FAB812F"/>
    <w:rsid w:val="4FE9BD67"/>
    <w:rsid w:val="4FEE4C07"/>
    <w:rsid w:val="4FFB052F"/>
    <w:rsid w:val="500422C2"/>
    <w:rsid w:val="537E6D0A"/>
    <w:rsid w:val="53AB6B88"/>
    <w:rsid w:val="53F74C96"/>
    <w:rsid w:val="555D78F7"/>
    <w:rsid w:val="5583522D"/>
    <w:rsid w:val="566439E4"/>
    <w:rsid w:val="57BD3DD4"/>
    <w:rsid w:val="57F9CD1E"/>
    <w:rsid w:val="5A9D4571"/>
    <w:rsid w:val="5AF66AA6"/>
    <w:rsid w:val="5AF92295"/>
    <w:rsid w:val="5AF9D8E9"/>
    <w:rsid w:val="5BDD38BD"/>
    <w:rsid w:val="5BDD79E6"/>
    <w:rsid w:val="5BEFC772"/>
    <w:rsid w:val="5BFF5DFC"/>
    <w:rsid w:val="5C7C7A70"/>
    <w:rsid w:val="5CD71FC4"/>
    <w:rsid w:val="5D1F11B5"/>
    <w:rsid w:val="5D3647F9"/>
    <w:rsid w:val="5DA26BE5"/>
    <w:rsid w:val="5DA644D4"/>
    <w:rsid w:val="5DAE1B18"/>
    <w:rsid w:val="5DE7D9E5"/>
    <w:rsid w:val="5ECEC941"/>
    <w:rsid w:val="5EFF8FC6"/>
    <w:rsid w:val="5F2B3FDF"/>
    <w:rsid w:val="5F5BA39A"/>
    <w:rsid w:val="5F7D3B79"/>
    <w:rsid w:val="5F7F4610"/>
    <w:rsid w:val="5FBF9FF3"/>
    <w:rsid w:val="5FCD4E2C"/>
    <w:rsid w:val="5FEF394A"/>
    <w:rsid w:val="5FF67715"/>
    <w:rsid w:val="61CA71D5"/>
    <w:rsid w:val="627EE9EA"/>
    <w:rsid w:val="63B23AA5"/>
    <w:rsid w:val="647F5392"/>
    <w:rsid w:val="64E322C4"/>
    <w:rsid w:val="65FB93B9"/>
    <w:rsid w:val="65FD6E66"/>
    <w:rsid w:val="6633C463"/>
    <w:rsid w:val="67D55B77"/>
    <w:rsid w:val="67EE7F84"/>
    <w:rsid w:val="684E68EF"/>
    <w:rsid w:val="686F5F53"/>
    <w:rsid w:val="6ABA5212"/>
    <w:rsid w:val="6AFFCEAF"/>
    <w:rsid w:val="6B96E9E6"/>
    <w:rsid w:val="6BCE57B5"/>
    <w:rsid w:val="6BFEA4DB"/>
    <w:rsid w:val="6BFFB662"/>
    <w:rsid w:val="6C4A05C8"/>
    <w:rsid w:val="6CFF4FB8"/>
    <w:rsid w:val="6D5236FC"/>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0366733"/>
    <w:rsid w:val="71083DE3"/>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143DBD"/>
    <w:rsid w:val="7CBFC87B"/>
    <w:rsid w:val="7CED5B20"/>
    <w:rsid w:val="7CFE0F48"/>
    <w:rsid w:val="7D3DE31C"/>
    <w:rsid w:val="7D794355"/>
    <w:rsid w:val="7D7EC23E"/>
    <w:rsid w:val="7D7F8A13"/>
    <w:rsid w:val="7DBBCB01"/>
    <w:rsid w:val="7DC765D0"/>
    <w:rsid w:val="7DDB0EE0"/>
    <w:rsid w:val="7DFF51D8"/>
    <w:rsid w:val="7E634199"/>
    <w:rsid w:val="7E8ADEBF"/>
    <w:rsid w:val="7EEF11D3"/>
    <w:rsid w:val="7EF78C20"/>
    <w:rsid w:val="7F051BCC"/>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8E87"/>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99"/>
    <w:rPr>
      <w:rFonts w:ascii="宋体" w:hAnsi="Courier New"/>
    </w:r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qFormat/>
    <w:uiPriority w:val="0"/>
    <w:rPr>
      <w:rFonts w:asciiTheme="minorHAnsi" w:hAnsiTheme="minorHAnsi" w:eastAsiaTheme="minorEastAsia" w:cstheme="minorBidi"/>
      <w:lang w:val="en-US" w:eastAsia="zh-CN" w:bidi="ar-SA"/>
    </w:rPr>
  </w:style>
  <w:style w:type="paragraph" w:customStyle="1" w:styleId="3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8">
    <w:name w:val="WPSOffice手动目录 3"/>
    <w:qFormat/>
    <w:uiPriority w:val="0"/>
    <w:pPr>
      <w:ind w:left="400" w:leftChars="4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7991827203736"/>
          <c:y val="0.0388098318240621"/>
        </c:manualLayout>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stacked"/>
        <c:varyColors val="false"/>
        <c:ser>
          <c:idx val="0"/>
          <c:order val="0"/>
          <c:tx>
            <c:strRef>
              <c:f>Sheet1!$B$1</c:f>
              <c:strCache>
                <c:ptCount val="1"/>
                <c:pt idx="0">
                  <c:v>财政收、支变动</c:v>
                </c:pt>
              </c:strCache>
            </c:strRef>
          </c:tx>
          <c:spPr>
            <a:solidFill>
              <a:schemeClr val="accent1"/>
            </a:solidFill>
            <a:ln>
              <a:noFill/>
            </a:ln>
            <a:effectLst/>
          </c:spPr>
          <c:invertIfNegative val="false"/>
          <c:dLbls>
            <c:delete val="true"/>
          </c:dLbls>
          <c:cat>
            <c:strRef>
              <c:f>Sheet1!$A$2:$A$5</c:f>
              <c:strCache>
                <c:ptCount val="2"/>
                <c:pt idx="0">
                  <c:v>2022年</c:v>
                </c:pt>
                <c:pt idx="1">
                  <c:v>2023年</c:v>
                </c:pt>
              </c:strCache>
            </c:strRef>
          </c:cat>
          <c:val>
            <c:numRef>
              <c:f>Sheet1!$B$2:$B$5</c:f>
              <c:numCache>
                <c:formatCode>General</c:formatCode>
                <c:ptCount val="4"/>
                <c:pt idx="0">
                  <c:v>225.06</c:v>
                </c:pt>
              </c:numCache>
            </c:numRef>
          </c:val>
        </c:ser>
        <c:ser>
          <c:idx val="1"/>
          <c:order val="1"/>
          <c:tx>
            <c:strRef>
              <c:f>Sheet1!$C$1</c:f>
              <c:strCache>
                <c:ptCount val="1"/>
                <c:pt idx="0">
                  <c:v/>
                </c:pt>
              </c:strCache>
            </c:strRef>
          </c:tx>
          <c:spPr>
            <a:solidFill>
              <a:schemeClr val="accent2"/>
            </a:solidFill>
            <a:ln>
              <a:noFill/>
            </a:ln>
            <a:effectLst/>
          </c:spPr>
          <c:invertIfNegative val="false"/>
          <c:dLbls>
            <c:delete val="true"/>
          </c:dLbls>
          <c:cat>
            <c:strRef>
              <c:f>Sheet1!$A$2:$A$5</c:f>
              <c:strCache>
                <c:ptCount val="2"/>
                <c:pt idx="0">
                  <c:v>2022年</c:v>
                </c:pt>
                <c:pt idx="1">
                  <c:v>2023年</c:v>
                </c:pt>
              </c:strCache>
            </c:strRef>
          </c:cat>
          <c:val>
            <c:numRef>
              <c:f>Sheet1!$C$2:$C$5</c:f>
              <c:numCache>
                <c:formatCode>General</c:formatCode>
                <c:ptCount val="4"/>
                <c:pt idx="1">
                  <c:v>246.2</c:v>
                </c:pt>
              </c:numCache>
            </c:numRef>
          </c:val>
        </c:ser>
        <c:ser>
          <c:idx val="2"/>
          <c:order val="2"/>
          <c:tx>
            <c:strRef>
              <c:f>Sheet1!$D$1</c:f>
              <c:strCache>
                <c:ptCount val="1"/>
                <c:pt idx="0">
                  <c:v/>
                </c:pt>
              </c:strCache>
            </c:strRef>
          </c:tx>
          <c:spPr>
            <a:solidFill>
              <a:schemeClr val="accent3"/>
            </a:solidFill>
            <a:ln>
              <a:noFill/>
            </a:ln>
            <a:effectLst/>
          </c:spPr>
          <c:invertIfNegative val="false"/>
          <c:dLbls>
            <c:delete val="true"/>
          </c:dLbls>
          <c:cat>
            <c:strRef>
              <c:f>Sheet1!$A$2:$A$5</c:f>
              <c:strCache>
                <c:ptCount val="2"/>
                <c:pt idx="0">
                  <c:v>2022年</c:v>
                </c:pt>
                <c:pt idx="1">
                  <c:v>2023年</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dLbls>
        <c:gapWidth val="150"/>
        <c:overlap val="100"/>
        <c:axId val="73820416"/>
        <c:axId val="73834496"/>
      </c:barChart>
      <c:catAx>
        <c:axId val="73820416"/>
        <c:scaling>
          <c:orientation val="minMax"/>
        </c:scaling>
        <c:delete val="false"/>
        <c:axPos val="b"/>
        <c:numFmt formatCode="General"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3834496"/>
        <c:crosses val="autoZero"/>
        <c:auto val="true"/>
        <c:lblAlgn val="ctr"/>
        <c:lblOffset val="100"/>
        <c:noMultiLvlLbl val="false"/>
      </c:catAx>
      <c:valAx>
        <c:axId val="7383449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3820416"/>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本年度财政收入</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一般公共预算财政拨款收入</c:v>
                </c:pt>
              </c:strCache>
            </c:strRef>
          </c:cat>
          <c:val>
            <c:numRef>
              <c:f>Sheet1!$B$2:$B$5</c:f>
              <c:numCache>
                <c:formatCode>General</c:formatCode>
                <c:ptCount val="4"/>
                <c:pt idx="0">
                  <c:v>246.2</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一般公共预算财政拨款收入</c:v>
                </c:pt>
              </c:strCache>
            </c:strRef>
          </c:cat>
          <c:val>
            <c:numRef>
              <c:f>Sheet1!$C$2:$C$5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本年度支出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2"/>
                <c:pt idx="0">
                  <c:v>基本支出</c:v>
                </c:pt>
                <c:pt idx="1">
                  <c:v>项目支出</c:v>
                </c:pt>
              </c:strCache>
            </c:strRef>
          </c:cat>
          <c:val>
            <c:numRef>
              <c:f>Sheet1!$B$2:$B$5</c:f>
              <c:numCache>
                <c:formatCode>General</c:formatCode>
                <c:ptCount val="4"/>
                <c:pt idx="0">
                  <c:v>323.9</c:v>
                </c:pt>
                <c:pt idx="1">
                  <c:v>62.62</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2"/>
                <c:pt idx="0">
                  <c:v>基本支出</c:v>
                </c:pt>
                <c:pt idx="1">
                  <c:v>项目支出</c:v>
                </c:pt>
              </c:strCache>
            </c:strRef>
          </c:cat>
          <c:val>
            <c:numRef>
              <c:f>Sheet1!$C$2:$C$5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stacked"/>
        <c:varyColors val="false"/>
        <c:ser>
          <c:idx val="0"/>
          <c:order val="0"/>
          <c:tx>
            <c:strRef>
              <c:f>Sheet1!$B$1</c:f>
              <c:strCache>
                <c:ptCount val="1"/>
                <c:pt idx="0">
                  <c:v>财政拨款收、支变动</c:v>
                </c:pt>
              </c:strCache>
            </c:strRef>
          </c:tx>
          <c:spPr>
            <a:solidFill>
              <a:schemeClr val="accent1"/>
            </a:solidFill>
            <a:ln>
              <a:noFill/>
            </a:ln>
            <a:effectLst/>
          </c:spPr>
          <c:invertIfNegative val="false"/>
          <c:dLbls>
            <c:delete val="true"/>
          </c:dLbls>
          <c:cat>
            <c:strRef>
              <c:f>Sheet1!$A$2:$A$5</c:f>
              <c:strCache>
                <c:ptCount val="4"/>
                <c:pt idx="0">
                  <c:v>2022年</c:v>
                </c:pt>
                <c:pt idx="1">
                  <c:v>2023年</c:v>
                </c:pt>
              </c:strCache>
            </c:strRef>
          </c:cat>
          <c:val>
            <c:numRef>
              <c:f>Sheet1!$B$2:$B$5</c:f>
              <c:numCache>
                <c:formatCode>General</c:formatCode>
                <c:ptCount val="4"/>
                <c:pt idx="0">
                  <c:v>225.06</c:v>
                </c:pt>
              </c:numCache>
            </c:numRef>
          </c:val>
        </c:ser>
        <c:ser>
          <c:idx val="1"/>
          <c:order val="1"/>
          <c:tx>
            <c:strRef>
              <c:f>Sheet1!$C$1</c:f>
              <c:strCache>
                <c:ptCount val="1"/>
                <c:pt idx="0">
                  <c:v/>
                </c:pt>
              </c:strCache>
            </c:strRef>
          </c:tx>
          <c:spPr>
            <a:solidFill>
              <a:schemeClr val="accent2"/>
            </a:solidFill>
            <a:ln>
              <a:noFill/>
            </a:ln>
            <a:effectLst/>
          </c:spPr>
          <c:invertIfNegative val="false"/>
          <c:dLbls>
            <c:delete val="true"/>
          </c:dLbls>
          <c:cat>
            <c:strRef>
              <c:f>Sheet1!$A$2:$A$5</c:f>
              <c:strCache>
                <c:ptCount val="4"/>
                <c:pt idx="0">
                  <c:v>2022年</c:v>
                </c:pt>
                <c:pt idx="1">
                  <c:v>2023年</c:v>
                </c:pt>
              </c:strCache>
            </c:strRef>
          </c:cat>
          <c:val>
            <c:numRef>
              <c:f>Sheet1!$C$2:$C$5</c:f>
              <c:numCache>
                <c:formatCode>General</c:formatCode>
                <c:ptCount val="4"/>
                <c:pt idx="1">
                  <c:v>246.2</c:v>
                </c:pt>
              </c:numCache>
            </c:numRef>
          </c:val>
        </c:ser>
        <c:ser>
          <c:idx val="2"/>
          <c:order val="2"/>
          <c:tx>
            <c:strRef>
              <c:f>Sheet1!$D$1</c:f>
              <c:strCache>
                <c:ptCount val="1"/>
                <c:pt idx="0">
                  <c:v/>
                </c:pt>
              </c:strCache>
            </c:strRef>
          </c:tx>
          <c:spPr>
            <a:solidFill>
              <a:schemeClr val="accent3"/>
            </a:solidFill>
            <a:ln>
              <a:noFill/>
            </a:ln>
            <a:effectLst/>
          </c:spPr>
          <c:invertIfNegative val="false"/>
          <c:dLbls>
            <c:delete val="true"/>
          </c:dLbls>
          <c:cat>
            <c:strRef>
              <c:f>Sheet1!$A$2:$A$5</c:f>
              <c:strCache>
                <c:ptCount val="4"/>
                <c:pt idx="0">
                  <c:v>2022年</c:v>
                </c:pt>
                <c:pt idx="1">
                  <c:v>2023年</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dLbls>
        <c:gapWidth val="150"/>
        <c:overlap val="100"/>
        <c:axId val="96672000"/>
        <c:axId val="96673792"/>
      </c:barChart>
      <c:catAx>
        <c:axId val="96672000"/>
        <c:scaling>
          <c:orientation val="minMax"/>
        </c:scaling>
        <c:delete val="false"/>
        <c:axPos val="b"/>
        <c:numFmt formatCode="General"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673792"/>
        <c:crosses val="autoZero"/>
        <c:auto val="true"/>
        <c:lblAlgn val="ctr"/>
        <c:lblOffset val="100"/>
        <c:noMultiLvlLbl val="false"/>
      </c:catAx>
      <c:valAx>
        <c:axId val="9667379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67200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stacked"/>
        <c:varyColors val="false"/>
        <c:ser>
          <c:idx val="0"/>
          <c:order val="0"/>
          <c:tx>
            <c:strRef>
              <c:f>Sheet1!$B$1</c:f>
              <c:strCache>
                <c:ptCount val="1"/>
                <c:pt idx="0">
                  <c:v>财政拨款支出变动情况</c:v>
                </c:pt>
              </c:strCache>
            </c:strRef>
          </c:tx>
          <c:spPr>
            <a:solidFill>
              <a:schemeClr val="accent1"/>
            </a:solidFill>
            <a:ln>
              <a:noFill/>
            </a:ln>
            <a:effectLst/>
          </c:spPr>
          <c:invertIfNegative val="false"/>
          <c:dLbls>
            <c:delete val="true"/>
          </c:dLbls>
          <c:cat>
            <c:strRef>
              <c:f>Sheet1!$A$2:$A$5</c:f>
              <c:strCache>
                <c:ptCount val="4"/>
                <c:pt idx="0">
                  <c:v>2022年</c:v>
                </c:pt>
                <c:pt idx="1">
                  <c:v>2023年</c:v>
                </c:pt>
              </c:strCache>
            </c:strRef>
          </c:cat>
          <c:val>
            <c:numRef>
              <c:f>Sheet1!$B$2:$B$5</c:f>
              <c:numCache>
                <c:formatCode>General</c:formatCode>
                <c:ptCount val="4"/>
                <c:pt idx="0">
                  <c:v>225.06</c:v>
                </c:pt>
              </c:numCache>
            </c:numRef>
          </c:val>
        </c:ser>
        <c:ser>
          <c:idx val="1"/>
          <c:order val="1"/>
          <c:tx>
            <c:strRef>
              <c:f>Sheet1!$C$1</c:f>
              <c:strCache>
                <c:ptCount val="1"/>
                <c:pt idx="0">
                  <c:v/>
                </c:pt>
              </c:strCache>
            </c:strRef>
          </c:tx>
          <c:spPr>
            <a:solidFill>
              <a:schemeClr val="accent2"/>
            </a:solidFill>
            <a:ln>
              <a:noFill/>
            </a:ln>
            <a:effectLst/>
          </c:spPr>
          <c:invertIfNegative val="false"/>
          <c:dLbls>
            <c:delete val="true"/>
          </c:dLbls>
          <c:cat>
            <c:strRef>
              <c:f>Sheet1!$A$2:$A$5</c:f>
              <c:strCache>
                <c:ptCount val="4"/>
                <c:pt idx="0">
                  <c:v>2022年</c:v>
                </c:pt>
                <c:pt idx="1">
                  <c:v>2023年</c:v>
                </c:pt>
              </c:strCache>
            </c:strRef>
          </c:cat>
          <c:val>
            <c:numRef>
              <c:f>Sheet1!$C$2:$C$5</c:f>
              <c:numCache>
                <c:formatCode>General</c:formatCode>
                <c:ptCount val="4"/>
                <c:pt idx="1">
                  <c:v>246.2</c:v>
                </c:pt>
              </c:numCache>
            </c:numRef>
          </c:val>
        </c:ser>
        <c:ser>
          <c:idx val="2"/>
          <c:order val="2"/>
          <c:tx>
            <c:strRef>
              <c:f>Sheet1!$D$1</c:f>
              <c:strCache>
                <c:ptCount val="1"/>
                <c:pt idx="0">
                  <c:v/>
                </c:pt>
              </c:strCache>
            </c:strRef>
          </c:tx>
          <c:spPr>
            <a:solidFill>
              <a:schemeClr val="accent3"/>
            </a:solidFill>
            <a:ln>
              <a:noFill/>
            </a:ln>
            <a:effectLst/>
          </c:spPr>
          <c:invertIfNegative val="false"/>
          <c:dLbls>
            <c:delete val="true"/>
          </c:dLbls>
          <c:cat>
            <c:strRef>
              <c:f>Sheet1!$A$2:$A$5</c:f>
              <c:strCache>
                <c:ptCount val="4"/>
                <c:pt idx="0">
                  <c:v>2022年</c:v>
                </c:pt>
                <c:pt idx="1">
                  <c:v>2023年</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dLbls>
        <c:gapWidth val="150"/>
        <c:overlap val="100"/>
        <c:axId val="96711040"/>
        <c:axId val="96712576"/>
      </c:barChart>
      <c:catAx>
        <c:axId val="96711040"/>
        <c:scaling>
          <c:orientation val="minMax"/>
        </c:scaling>
        <c:delete val="false"/>
        <c:axPos val="b"/>
        <c:numFmt formatCode="General" sourceLinked="fals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712576"/>
        <c:crosses val="autoZero"/>
        <c:auto val="true"/>
        <c:lblAlgn val="ctr"/>
        <c:lblOffset val="100"/>
        <c:noMultiLvlLbl val="false"/>
      </c:catAx>
      <c:valAx>
        <c:axId val="9671257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671104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196.27</c:v>
                </c:pt>
                <c:pt idx="1">
                  <c:v>25.05</c:v>
                </c:pt>
                <c:pt idx="2">
                  <c:v>10.96</c:v>
                </c:pt>
                <c:pt idx="3">
                  <c:v>13.92</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一般公共服务支出</c:v>
                </c:pt>
                <c:pt idx="1">
                  <c:v>社会保障和就业支出</c:v>
                </c:pt>
                <c:pt idx="2">
                  <c:v>卫生健康支出</c:v>
                </c:pt>
                <c:pt idx="3">
                  <c:v>住房保障支出</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一般公共服务支出</c:v>
                </c:pt>
                <c:pt idx="1">
                  <c:v>社会保障和就业支出</c:v>
                </c:pt>
                <c:pt idx="2">
                  <c:v>卫生健康支出</c:v>
                </c:pt>
                <c:pt idx="3">
                  <c:v>住房保障支出</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三公经费支出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公务用车购置及运行维护</c:v>
                </c:pt>
              </c:strCache>
            </c:strRef>
          </c:cat>
          <c:val>
            <c:numRef>
              <c:f>Sheet1!$B$2:$B$5</c:f>
              <c:numCache>
                <c:formatCode>General</c:formatCode>
                <c:ptCount val="4"/>
                <c:pt idx="0">
                  <c:v>3.82</c:v>
                </c:pt>
              </c:numCache>
            </c:numRef>
          </c:val>
        </c:ser>
        <c:ser>
          <c:idx val="1"/>
          <c:order val="1"/>
          <c:tx>
            <c:strRef>
              <c:f>Sheet1!$C$1</c:f>
              <c:strCache>
                <c:ptCount val="1"/>
                <c:pt idx="0">
                  <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公务用车购置及运行维护</c:v>
                </c:pt>
              </c:strCache>
            </c:strRef>
          </c:cat>
          <c:val>
            <c:numRef>
              <c:f>Sheet1!$C$2:$C$5</c:f>
              <c:numCache>
                <c:formatCode>General</c:formatCode>
                <c:ptCount val="4"/>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10151</Words>
  <Characters>3390</Characters>
  <Lines>28</Lines>
  <Paragraphs>27</Paragraphs>
  <TotalTime>1</TotalTime>
  <ScaleCrop>false</ScaleCrop>
  <LinksUpToDate>false</LinksUpToDate>
  <CharactersWithSpaces>13514</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2024-11-19T14:45:00Z</dcterms:created>
  <dc:creator>曹颖</dc:creator>
  <cp:lastModifiedBy>user</cp:lastModifiedBy>
  <cp:lastPrinted>2024-11-17T19:57:00Z</cp:lastPrinted>
  <dcterms:modified xsi:type="dcterms:W3CDTF">2025-01-03T16:51:20Z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B21BB1C3085C4A00AAC60D849382B503_13</vt:lpwstr>
  </property>
</Properties>
</file>