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9"/>
        <w:rPr>
          <w:rFonts w:ascii="方正小标宋简体" w:hAnsi="宋体" w:eastAsia="方正小标宋简体"/>
          <w:color w:val="000000"/>
          <w:sz w:val="72"/>
          <w:szCs w:val="72"/>
        </w:rPr>
      </w:pPr>
      <w:bookmarkStart w:id="0" w:name="_Toc15306267"/>
    </w:p>
    <w:p>
      <w:pPr>
        <w:spacing w:line="600" w:lineRule="exact"/>
        <w:jc w:val="both"/>
        <w:outlineLvl w:val="9"/>
        <w:rPr>
          <w:rFonts w:ascii="方正小标宋简体" w:hAnsi="宋体" w:eastAsia="方正小标宋简体"/>
          <w:color w:val="000000"/>
          <w:sz w:val="72"/>
          <w:szCs w:val="72"/>
        </w:rPr>
      </w:pPr>
    </w:p>
    <w:p>
      <w:pPr>
        <w:spacing w:line="600" w:lineRule="exact"/>
        <w:jc w:val="center"/>
        <w:outlineLvl w:val="9"/>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475"/>
      <w:bookmarkStart w:id="2" w:name="_Toc15396597"/>
      <w:bookmarkStart w:id="3" w:name="_Toc15378441"/>
      <w:bookmarkStart w:id="4" w:name="_Toc15377425"/>
      <w:bookmarkStart w:id="5" w:name="_Toc22966"/>
      <w:bookmarkStart w:id="6" w:name="_Toc15377193"/>
      <w:r>
        <w:rPr>
          <w:rFonts w:ascii="黑体" w:hAnsi="黑体" w:eastAsia="黑体"/>
          <w:color w:val="000000"/>
          <w:sz w:val="72"/>
          <w:szCs w:val="72"/>
        </w:rPr>
        <w:t>20</w:t>
      </w:r>
      <w:r>
        <w:rPr>
          <w:rFonts w:hint="eastAsia" w:ascii="黑体" w:hAnsi="黑体" w:eastAsia="黑体"/>
          <w:color w:val="000000"/>
          <w:sz w:val="72"/>
          <w:szCs w:val="72"/>
          <w:lang w:val="en-US" w:eastAsia="zh-CN"/>
        </w:rPr>
        <w:t>22</w:t>
      </w:r>
      <w:r>
        <w:rPr>
          <w:rFonts w:hint="eastAsia" w:ascii="方正小标宋简体" w:hAnsi="宋体" w:eastAsia="方正小标宋简体"/>
          <w:color w:val="000000"/>
          <w:sz w:val="72"/>
          <w:szCs w:val="72"/>
        </w:rPr>
        <w:t>年度</w:t>
      </w:r>
      <w:bookmarkEnd w:id="1"/>
      <w:bookmarkEnd w:id="2"/>
      <w:bookmarkEnd w:id="3"/>
      <w:bookmarkEnd w:id="4"/>
      <w:bookmarkEnd w:id="5"/>
      <w:bookmarkEnd w:id="6"/>
    </w:p>
    <w:p>
      <w:pPr>
        <w:adjustRightInd w:val="0"/>
        <w:snapToGrid w:val="0"/>
        <w:spacing w:line="360" w:lineRule="auto"/>
        <w:jc w:val="center"/>
        <w:outlineLvl w:val="0"/>
        <w:rPr>
          <w:rFonts w:ascii="方正小标宋简体" w:hAnsi="宋体" w:eastAsia="方正小标宋简体"/>
          <w:color w:val="000000"/>
          <w:sz w:val="72"/>
          <w:szCs w:val="72"/>
        </w:rPr>
      </w:pPr>
      <w:bookmarkStart w:id="7" w:name="_Toc25603"/>
      <w:bookmarkStart w:id="8" w:name="_Toc15396476"/>
      <w:bookmarkStart w:id="9" w:name="_Toc15377426"/>
      <w:bookmarkStart w:id="10" w:name="_Toc15377194"/>
      <w:bookmarkStart w:id="11" w:name="_Toc15396598"/>
      <w:bookmarkStart w:id="12" w:name="_Toc15378442"/>
      <w:r>
        <w:rPr>
          <w:rFonts w:hint="eastAsia" w:ascii="方正小标宋简体" w:hAnsi="宋体" w:eastAsia="方正小标宋简体"/>
          <w:color w:val="000000"/>
          <w:sz w:val="72"/>
          <w:szCs w:val="72"/>
        </w:rPr>
        <w:t>四川省阿坝州</w:t>
      </w:r>
      <w:bookmarkEnd w:id="0"/>
      <w:bookmarkEnd w:id="7"/>
      <w:bookmarkEnd w:id="8"/>
      <w:bookmarkEnd w:id="9"/>
      <w:bookmarkEnd w:id="10"/>
      <w:bookmarkEnd w:id="11"/>
      <w:bookmarkEnd w:id="12"/>
      <w:bookmarkStart w:id="13" w:name="_Toc15306268"/>
      <w:r>
        <w:rPr>
          <w:rFonts w:hint="eastAsia" w:ascii="方正小标宋简体" w:hAnsi="Times New Roman" w:eastAsia="方正小标宋简体" w:cs="方正小标宋简体"/>
          <w:sz w:val="72"/>
          <w:szCs w:val="72"/>
          <w:lang w:val="en-US" w:eastAsia="zh-CN"/>
        </w:rPr>
        <w:t>红原县</w:t>
      </w:r>
      <w:r>
        <w:rPr>
          <w:rFonts w:hint="eastAsia" w:ascii="方正小标宋简体" w:hAnsi="Times New Roman" w:eastAsia="方正小标宋简体" w:cs="方正小标宋简体"/>
          <w:sz w:val="72"/>
          <w:szCs w:val="72"/>
        </w:rPr>
        <w:t>麦洼寺</w:t>
      </w:r>
      <w:r>
        <w:rPr>
          <w:rFonts w:hint="eastAsia" w:ascii="方正小标宋简体" w:hAnsi="Times New Roman" w:eastAsia="方正小标宋简体" w:cs="方正小标宋简体"/>
          <w:sz w:val="72"/>
          <w:szCs w:val="72"/>
          <w:lang w:val="en-US" w:eastAsia="zh-CN"/>
        </w:rPr>
        <w:t>寺庙</w:t>
      </w:r>
      <w:r>
        <w:rPr>
          <w:rFonts w:hint="eastAsia" w:ascii="方正小标宋简体" w:hAnsi="Times New Roman" w:eastAsia="方正小标宋简体" w:cs="方正小标宋简体"/>
          <w:sz w:val="72"/>
          <w:szCs w:val="72"/>
        </w:rPr>
        <w:t>管</w:t>
      </w:r>
      <w:r>
        <w:rPr>
          <w:rFonts w:hint="eastAsia" w:ascii="方正小标宋简体" w:hAnsi="Times New Roman" w:eastAsia="方正小标宋简体" w:cs="方正小标宋简体"/>
          <w:sz w:val="72"/>
          <w:szCs w:val="72"/>
          <w:lang w:val="en-US" w:eastAsia="zh-CN"/>
        </w:rPr>
        <w:t>理委员</w:t>
      </w:r>
      <w:r>
        <w:rPr>
          <w:rFonts w:hint="eastAsia" w:ascii="方正小标宋简体" w:hAnsi="Times New Roman" w:eastAsia="方正小标宋简体" w:cs="方正小标宋简体"/>
          <w:sz w:val="72"/>
          <w:szCs w:val="72"/>
        </w:rPr>
        <w:t>会部门决算</w:t>
      </w:r>
      <w:bookmarkEnd w:id="13"/>
    </w:p>
    <w:p>
      <w:pPr>
        <w:widowControl/>
        <w:jc w:val="center"/>
        <w:rPr>
          <w:rFonts w:ascii="方正小标宋简体" w:hAnsi="宋体" w:eastAsia="方正小标宋简体"/>
          <w:color w:val="000000"/>
          <w:sz w:val="36"/>
          <w:szCs w:val="36"/>
        </w:rPr>
      </w:pPr>
    </w:p>
    <w:p>
      <w:pPr>
        <w:pStyle w:val="2"/>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pPr>
        <w:widowControl/>
        <w:jc w:val="center"/>
        <w:rPr>
          <w:rFonts w:ascii="方正小标宋简体" w:hAnsi="宋体" w:eastAsia="方正小标宋简体"/>
          <w:sz w:val="36"/>
          <w:szCs w:val="36"/>
        </w:rPr>
      </w:pPr>
    </w:p>
    <w:p>
      <w:pPr>
        <w:widowControl/>
        <w:tabs>
          <w:tab w:val="center" w:pos="4213"/>
          <w:tab w:val="left" w:pos="5918"/>
        </w:tabs>
        <w:jc w:val="left"/>
        <w:rPr>
          <w:rFonts w:hint="eastAsia" w:ascii="黑体" w:hAnsi="黑体" w:eastAsia="黑体"/>
          <w:color w:val="000000"/>
          <w:sz w:val="48"/>
          <w:szCs w:val="48"/>
          <w:lang w:eastAsia="zh-CN"/>
        </w:rPr>
      </w:pPr>
      <w:r>
        <w:rPr>
          <w:rFonts w:ascii="方正小标宋简体" w:hAnsi="宋体" w:eastAsia="方正小标宋简体"/>
          <w:sz w:val="36"/>
          <w:szCs w:val="36"/>
        </w:rPr>
        <w:br w:type="page"/>
      </w:r>
      <w:r>
        <w:rPr>
          <w:rFonts w:hint="eastAsia" w:ascii="方正小标宋简体" w:hAnsi="宋体" w:eastAsia="方正小标宋简体"/>
          <w:sz w:val="36"/>
          <w:szCs w:val="36"/>
          <w:lang w:eastAsia="zh-CN"/>
        </w:rPr>
        <w:tab/>
      </w:r>
      <w:r>
        <w:rPr>
          <w:rFonts w:hint="eastAsia" w:ascii="黑体" w:hAnsi="黑体" w:eastAsia="黑体"/>
          <w:color w:val="000000"/>
          <w:sz w:val="48"/>
          <w:szCs w:val="48"/>
        </w:rPr>
        <w:t>目录</w:t>
      </w:r>
      <w:r>
        <w:rPr>
          <w:rFonts w:hint="eastAsia" w:ascii="黑体" w:hAnsi="黑体" w:eastAsia="黑体"/>
          <w:color w:val="000000"/>
          <w:sz w:val="48"/>
          <w:szCs w:val="48"/>
          <w:lang w:eastAsia="zh-CN"/>
        </w:rPr>
        <w:tab/>
      </w:r>
    </w:p>
    <w:p>
      <w:pPr>
        <w:widowControl/>
        <w:jc w:val="center"/>
        <w:rPr>
          <w:rFonts w:ascii="黑体" w:hAnsi="黑体" w:eastAsia="黑体" w:cstheme="minorBidi"/>
          <w:sz w:val="28"/>
          <w:szCs w:val="28"/>
        </w:rPr>
      </w:pPr>
    </w:p>
    <w:p/>
    <w:sdt>
      <w:sdtPr>
        <w:rPr>
          <w:rFonts w:ascii="宋体" w:hAnsi="宋体" w:eastAsia="宋体" w:cs="Times New Roman"/>
          <w:kern w:val="2"/>
          <w:sz w:val="21"/>
          <w:szCs w:val="24"/>
          <w:lang w:val="en-US" w:eastAsia="zh-CN" w:bidi="ar-SA"/>
        </w:rPr>
        <w:id w:val="147466278"/>
        <w15:color w:val="DBDBDB"/>
        <w:docPartObj>
          <w:docPartGallery w:val="Table of Contents"/>
          <w:docPartUnique/>
        </w:docPartObj>
      </w:sdtPr>
      <w:sdtEndPr>
        <w:rPr>
          <w:rFonts w:hint="eastAsia" w:ascii="Calibri" w:hAnsi="Calibri" w:eastAsia="宋体" w:cs="Times New Roman"/>
          <w:b/>
          <w:kern w:val="2"/>
          <w:sz w:val="21"/>
          <w:szCs w:val="21"/>
          <w:lang w:val="en-US" w:eastAsia="zh-CN" w:bidi="ar-SA"/>
        </w:rPr>
      </w:sdtEndPr>
      <w:sdtContent>
        <w:p>
          <w:pPr>
            <w:spacing w:before="0" w:beforeLines="0" w:after="0" w:afterLines="0" w:line="240" w:lineRule="auto"/>
            <w:ind w:left="0" w:leftChars="0" w:right="0" w:rightChars="0" w:firstLine="0" w:firstLineChars="0"/>
            <w:jc w:val="center"/>
          </w:pPr>
        </w:p>
        <w:p>
          <w:pPr>
            <w:pStyle w:val="15"/>
            <w:tabs>
              <w:tab w:val="right" w:leader="dot" w:pos="8306"/>
              <w:tab w:val="clear" w:pos="8296"/>
            </w:tabs>
          </w:pPr>
          <w:r>
            <w:rPr>
              <w:rFonts w:hint="eastAsia"/>
            </w:rPr>
            <w:fldChar w:fldCharType="begin"/>
          </w:r>
          <w:r>
            <w:rPr>
              <w:rFonts w:hint="eastAsia"/>
            </w:rPr>
            <w:instrText xml:space="preserve">TOC \o "1-2" \h \u </w:instrText>
          </w:r>
          <w:r>
            <w:rPr>
              <w:rFonts w:hint="eastAsia"/>
            </w:rPr>
            <w:fldChar w:fldCharType="separate"/>
          </w:r>
          <w:r>
            <w:rPr>
              <w:rFonts w:hint="eastAsia"/>
            </w:rPr>
            <w:fldChar w:fldCharType="begin"/>
          </w:r>
          <w:r>
            <w:rPr>
              <w:rFonts w:hint="eastAsia"/>
            </w:rPr>
            <w:instrText xml:space="preserve"> HYPERLINK \l _Toc22966 </w:instrText>
          </w:r>
          <w:r>
            <w:rPr>
              <w:rFonts w:hint="eastAsia"/>
            </w:rPr>
            <w:fldChar w:fldCharType="separate"/>
          </w:r>
          <w:r>
            <w:rPr>
              <w:rFonts w:ascii="黑体" w:hAnsi="黑体" w:eastAsia="黑体"/>
              <w:szCs w:val="72"/>
            </w:rPr>
            <w:t>20</w:t>
          </w:r>
          <w:r>
            <w:rPr>
              <w:rFonts w:hint="eastAsia" w:ascii="黑体" w:hAnsi="黑体" w:eastAsia="黑体"/>
              <w:szCs w:val="72"/>
              <w:lang w:val="en-US" w:eastAsia="zh-CN"/>
            </w:rPr>
            <w:t>22</w:t>
          </w:r>
          <w:r>
            <w:rPr>
              <w:rFonts w:hint="eastAsia" w:ascii="方正小标宋简体" w:hAnsi="宋体" w:eastAsia="方正小标宋简体"/>
              <w:szCs w:val="72"/>
            </w:rPr>
            <w:t>年度</w:t>
          </w:r>
          <w:r>
            <w:tab/>
          </w:r>
          <w:r>
            <w:fldChar w:fldCharType="begin"/>
          </w:r>
          <w:r>
            <w:instrText xml:space="preserve"> PAGEREF _Toc22966 \h </w:instrText>
          </w:r>
          <w:r>
            <w:fldChar w:fldCharType="separate"/>
          </w:r>
          <w:r>
            <w:t>1</w:t>
          </w:r>
          <w:r>
            <w:fldChar w:fldCharType="end"/>
          </w:r>
          <w:r>
            <w:rPr>
              <w:rFonts w:hint="eastAsia"/>
            </w:rPr>
            <w:fldChar w:fldCharType="end"/>
          </w:r>
        </w:p>
        <w:p>
          <w:pPr>
            <w:pStyle w:val="15"/>
            <w:tabs>
              <w:tab w:val="right" w:leader="dot" w:pos="8306"/>
              <w:tab w:val="clear" w:pos="8296"/>
            </w:tabs>
          </w:pPr>
          <w:r>
            <w:rPr>
              <w:rFonts w:hint="eastAsia"/>
            </w:rPr>
            <w:fldChar w:fldCharType="begin"/>
          </w:r>
          <w:r>
            <w:rPr>
              <w:rFonts w:hint="eastAsia"/>
            </w:rPr>
            <w:instrText xml:space="preserve"> HYPERLINK \l _Toc25603 </w:instrText>
          </w:r>
          <w:r>
            <w:rPr>
              <w:rFonts w:hint="eastAsia"/>
            </w:rPr>
            <w:fldChar w:fldCharType="separate"/>
          </w:r>
          <w:r>
            <w:rPr>
              <w:rFonts w:hint="eastAsia" w:ascii="方正小标宋简体" w:hAnsi="宋体" w:eastAsia="方正小标宋简体"/>
              <w:szCs w:val="72"/>
            </w:rPr>
            <w:t>四川省阿坝州</w:t>
          </w:r>
          <w:r>
            <w:rPr>
              <w:rFonts w:hint="eastAsia" w:ascii="方正小标宋简体" w:hAnsi="宋体" w:eastAsia="方正小标宋简体" w:cs="Times New Roman"/>
              <w:szCs w:val="72"/>
              <w:lang w:val="en-US" w:eastAsia="zh-CN"/>
            </w:rPr>
            <w:t>红原县</w:t>
          </w:r>
          <w:r>
            <w:rPr>
              <w:rFonts w:hint="eastAsia" w:ascii="方正小标宋简体" w:hAnsi="宋体" w:eastAsia="方正小标宋简体" w:cs="Times New Roman"/>
              <w:szCs w:val="72"/>
            </w:rPr>
            <w:t>麦洼寺</w:t>
          </w:r>
          <w:r>
            <w:rPr>
              <w:rFonts w:hint="eastAsia" w:ascii="方正小标宋简体" w:hAnsi="宋体" w:eastAsia="方正小标宋简体" w:cs="Times New Roman"/>
              <w:szCs w:val="72"/>
              <w:lang w:val="en-US" w:eastAsia="zh-CN"/>
            </w:rPr>
            <w:t>寺庙</w:t>
          </w:r>
          <w:r>
            <w:rPr>
              <w:rFonts w:hint="eastAsia" w:ascii="方正小标宋简体" w:hAnsi="宋体" w:eastAsia="方正小标宋简体" w:cs="Times New Roman"/>
              <w:szCs w:val="72"/>
            </w:rPr>
            <w:t>管</w:t>
          </w:r>
          <w:r>
            <w:rPr>
              <w:rFonts w:hint="eastAsia" w:ascii="方正小标宋简体" w:hAnsi="宋体" w:eastAsia="方正小标宋简体" w:cs="Times New Roman"/>
              <w:szCs w:val="72"/>
              <w:lang w:val="en-US" w:eastAsia="zh-CN"/>
            </w:rPr>
            <w:t>理委员</w:t>
          </w:r>
          <w:r>
            <w:rPr>
              <w:rFonts w:hint="eastAsia" w:ascii="方正小标宋简体" w:hAnsi="宋体" w:eastAsia="方正小标宋简体" w:cs="Times New Roman"/>
              <w:szCs w:val="72"/>
            </w:rPr>
            <w:t>会部门决算</w:t>
          </w:r>
          <w:r>
            <w:tab/>
          </w:r>
          <w:r>
            <w:fldChar w:fldCharType="begin"/>
          </w:r>
          <w:r>
            <w:instrText xml:space="preserve"> PAGEREF _Toc25603 \h </w:instrText>
          </w:r>
          <w:r>
            <w:fldChar w:fldCharType="separate"/>
          </w:r>
          <w:r>
            <w:t>1</w:t>
          </w:r>
          <w:r>
            <w:fldChar w:fldCharType="end"/>
          </w:r>
          <w:r>
            <w:rPr>
              <w:rFonts w:hint="eastAsia"/>
            </w:rPr>
            <w:fldChar w:fldCharType="end"/>
          </w:r>
        </w:p>
        <w:p>
          <w:pPr>
            <w:pStyle w:val="15"/>
            <w:tabs>
              <w:tab w:val="right" w:leader="dot" w:pos="8306"/>
              <w:tab w:val="clear" w:pos="8296"/>
            </w:tabs>
          </w:pPr>
          <w:r>
            <w:rPr>
              <w:rFonts w:hint="eastAsia"/>
            </w:rPr>
            <w:fldChar w:fldCharType="begin"/>
          </w:r>
          <w:r>
            <w:rPr>
              <w:rFonts w:hint="eastAsia"/>
            </w:rPr>
            <w:instrText xml:space="preserve"> HYPERLINK \l _Toc28829 </w:instrText>
          </w:r>
          <w:r>
            <w:rPr>
              <w:rFonts w:hint="eastAsia"/>
            </w:rPr>
            <w:fldChar w:fldCharType="separate"/>
          </w:r>
          <w:r>
            <w:rPr>
              <w:rFonts w:hint="eastAsia" w:ascii="黑体" w:hAnsi="黑体" w:eastAsia="黑体"/>
            </w:rPr>
            <w:t xml:space="preserve">第一部分 </w:t>
          </w:r>
          <w:r>
            <w:rPr>
              <w:rFonts w:hint="eastAsia" w:ascii="黑体" w:hAnsi="黑体" w:eastAsia="黑体"/>
              <w:bCs w:val="0"/>
            </w:rPr>
            <w:t>部门概况</w:t>
          </w:r>
          <w:r>
            <w:tab/>
          </w:r>
          <w:r>
            <w:fldChar w:fldCharType="begin"/>
          </w:r>
          <w:r>
            <w:instrText xml:space="preserve"> PAGEREF _Toc28829 \h </w:instrText>
          </w:r>
          <w:r>
            <w:fldChar w:fldCharType="separate"/>
          </w:r>
          <w:r>
            <w:t>1</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_Toc11838 </w:instrText>
          </w:r>
          <w:r>
            <w:rPr>
              <w:rFonts w:hint="eastAsia"/>
            </w:rPr>
            <w:fldChar w:fldCharType="separate"/>
          </w:r>
          <w:r>
            <w:rPr>
              <w:rFonts w:hint="eastAsia" w:ascii="黑体" w:eastAsia="黑体" w:hAnsiTheme="majorHAnsi" w:cstheme="majorBidi"/>
              <w:bCs/>
              <w:kern w:val="2"/>
              <w:szCs w:val="32"/>
              <w:lang w:val="en-US" w:eastAsia="zh-CN" w:bidi="ar-SA"/>
            </w:rPr>
            <w:t>一、基本职能及主要工作</w:t>
          </w:r>
          <w:r>
            <w:tab/>
          </w:r>
          <w:r>
            <w:fldChar w:fldCharType="begin"/>
          </w:r>
          <w:r>
            <w:instrText xml:space="preserve"> PAGEREF _Toc11838 \h </w:instrText>
          </w:r>
          <w:r>
            <w:fldChar w:fldCharType="separate"/>
          </w:r>
          <w:r>
            <w:t>1</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_Toc22849 </w:instrText>
          </w:r>
          <w:r>
            <w:rPr>
              <w:rFonts w:hint="eastAsia"/>
            </w:rPr>
            <w:fldChar w:fldCharType="separate"/>
          </w:r>
          <w:r>
            <w:rPr>
              <w:rFonts w:hint="eastAsia" w:ascii="宋体" w:hAnsi="宋体" w:eastAsia="宋体" w:cs="宋体"/>
              <w:bCs/>
              <w:i w:val="0"/>
              <w:iCs w:val="0"/>
              <w:caps w:val="0"/>
              <w:spacing w:val="0"/>
              <w:szCs w:val="32"/>
              <w:shd w:val="clear" w:color="auto" w:fill="FFFFFF"/>
            </w:rPr>
            <w:t>（一）基本职能</w:t>
          </w:r>
          <w:r>
            <w:tab/>
          </w:r>
          <w:r>
            <w:fldChar w:fldCharType="begin"/>
          </w:r>
          <w:r>
            <w:instrText xml:space="preserve"> PAGEREF _Toc22849 \h </w:instrText>
          </w:r>
          <w:r>
            <w:fldChar w:fldCharType="separate"/>
          </w:r>
          <w:r>
            <w:t>1</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_Toc19030 </w:instrText>
          </w:r>
          <w:r>
            <w:rPr>
              <w:rFonts w:hint="eastAsia"/>
            </w:rPr>
            <w:fldChar w:fldCharType="separate"/>
          </w:r>
          <w:r>
            <w:rPr>
              <w:rFonts w:hint="eastAsia" w:ascii="宋体" w:hAnsi="宋体" w:eastAsia="宋体" w:cs="宋体"/>
              <w:bCs/>
              <w:i w:val="0"/>
              <w:iCs w:val="0"/>
              <w:caps w:val="0"/>
              <w:spacing w:val="0"/>
              <w:szCs w:val="32"/>
              <w:shd w:val="clear" w:color="auto" w:fill="FFFFFF"/>
            </w:rPr>
            <w:t>（二）202</w:t>
          </w:r>
          <w:r>
            <w:rPr>
              <w:rFonts w:hint="eastAsia" w:ascii="宋体" w:hAnsi="宋体" w:cs="宋体"/>
              <w:bCs/>
              <w:i w:val="0"/>
              <w:iCs w:val="0"/>
              <w:caps w:val="0"/>
              <w:spacing w:val="0"/>
              <w:szCs w:val="32"/>
              <w:shd w:val="clear" w:color="auto" w:fill="FFFFFF"/>
              <w:lang w:val="en-US" w:eastAsia="zh-CN"/>
            </w:rPr>
            <w:t>2</w:t>
          </w:r>
          <w:r>
            <w:rPr>
              <w:rFonts w:hint="eastAsia" w:ascii="宋体" w:hAnsi="宋体" w:eastAsia="宋体" w:cs="宋体"/>
              <w:bCs/>
              <w:i w:val="0"/>
              <w:iCs w:val="0"/>
              <w:caps w:val="0"/>
              <w:spacing w:val="0"/>
              <w:szCs w:val="32"/>
              <w:shd w:val="clear" w:color="auto" w:fill="FFFFFF"/>
            </w:rPr>
            <w:t>年重点工作任务</w:t>
          </w:r>
          <w:r>
            <w:tab/>
          </w:r>
          <w:r>
            <w:fldChar w:fldCharType="begin"/>
          </w:r>
          <w:r>
            <w:instrText xml:space="preserve"> PAGEREF _Toc19030 \h </w:instrText>
          </w:r>
          <w:r>
            <w:fldChar w:fldCharType="separate"/>
          </w:r>
          <w:r>
            <w:t>1</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_Toc10925 </w:instrText>
          </w:r>
          <w:r>
            <w:rPr>
              <w:rFonts w:hint="eastAsia"/>
            </w:rPr>
            <w:fldChar w:fldCharType="separate"/>
          </w:r>
          <w:r>
            <w:rPr>
              <w:rFonts w:hint="eastAsia" w:ascii="黑体" w:eastAsia="黑体"/>
            </w:rPr>
            <w:t>二、</w:t>
          </w:r>
          <w:r>
            <w:rPr>
              <w:rFonts w:hint="eastAsia" w:ascii="黑体" w:hAnsi="黑体" w:eastAsia="黑体"/>
            </w:rPr>
            <w:t>机</w:t>
          </w:r>
          <w:r>
            <w:rPr>
              <w:rFonts w:hint="eastAsia" w:ascii="黑体" w:hAnsi="黑体" w:eastAsia="黑体"/>
              <w:bCs w:val="0"/>
            </w:rPr>
            <w:t>构设置</w:t>
          </w:r>
          <w:r>
            <w:tab/>
          </w:r>
          <w:r>
            <w:fldChar w:fldCharType="begin"/>
          </w:r>
          <w:r>
            <w:instrText xml:space="preserve"> PAGEREF _Toc10925 \h </w:instrText>
          </w:r>
          <w:r>
            <w:fldChar w:fldCharType="separate"/>
          </w:r>
          <w:r>
            <w:t>3</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_Toc6752 </w:instrText>
          </w:r>
          <w:r>
            <w:rPr>
              <w:rFonts w:hint="eastAsia"/>
            </w:rPr>
            <w:fldChar w:fldCharType="separate"/>
          </w:r>
          <w:r>
            <w:rPr>
              <w:rFonts w:hint="eastAsia" w:ascii="黑体" w:hAnsi="黑体" w:eastAsia="黑体"/>
              <w:szCs w:val="32"/>
              <w:lang w:eastAsia="zh-CN"/>
            </w:rPr>
            <w:t>四、</w:t>
          </w:r>
          <w:r>
            <w:rPr>
              <w:rFonts w:hint="eastAsia" w:ascii="黑体" w:hAnsi="黑体" w:eastAsia="黑体"/>
              <w:szCs w:val="32"/>
            </w:rPr>
            <w:t>收</w:t>
          </w:r>
          <w:r>
            <w:rPr>
              <w:rFonts w:hint="eastAsia" w:ascii="黑体" w:hAnsi="黑体" w:eastAsia="黑体"/>
            </w:rPr>
            <w:t>入决算情况说明</w:t>
          </w:r>
          <w:r>
            <w:tab/>
          </w:r>
          <w:r>
            <w:fldChar w:fldCharType="begin"/>
          </w:r>
          <w:r>
            <w:instrText xml:space="preserve"> PAGEREF _Toc6752 \h </w:instrText>
          </w:r>
          <w:r>
            <w:fldChar w:fldCharType="separate"/>
          </w:r>
          <w:r>
            <w:t>4</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_Toc12243 </w:instrText>
          </w:r>
          <w:r>
            <w:rPr>
              <w:rFonts w:hint="eastAsia"/>
            </w:rPr>
            <w:fldChar w:fldCharType="separate"/>
          </w:r>
          <w:r>
            <w:rPr>
              <w:rFonts w:hint="eastAsia" w:ascii="黑体" w:hAnsi="黑体" w:eastAsia="黑体"/>
              <w:szCs w:val="32"/>
              <w:lang w:eastAsia="zh-CN"/>
            </w:rPr>
            <w:t>五、</w:t>
          </w:r>
          <w:r>
            <w:rPr>
              <w:rFonts w:hint="eastAsia" w:ascii="黑体" w:hAnsi="黑体" w:eastAsia="黑体"/>
              <w:szCs w:val="32"/>
            </w:rPr>
            <w:t>支</w:t>
          </w:r>
          <w:r>
            <w:rPr>
              <w:rFonts w:hint="eastAsia" w:ascii="黑体" w:hAnsi="黑体" w:eastAsia="黑体"/>
            </w:rPr>
            <w:t>出决算情况说明</w:t>
          </w:r>
          <w:r>
            <w:tab/>
          </w:r>
          <w:r>
            <w:fldChar w:fldCharType="begin"/>
          </w:r>
          <w:r>
            <w:instrText xml:space="preserve"> PAGEREF _Toc12243 \h </w:instrText>
          </w:r>
          <w:r>
            <w:fldChar w:fldCharType="separate"/>
          </w:r>
          <w:r>
            <w:t>5</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_Toc32562 </w:instrText>
          </w:r>
          <w:r>
            <w:rPr>
              <w:rFonts w:hint="eastAsia"/>
            </w:rPr>
            <w:fldChar w:fldCharType="separate"/>
          </w:r>
          <w:r>
            <w:rPr>
              <w:rFonts w:hint="eastAsia" w:ascii="黑体" w:hAnsi="黑体" w:eastAsia="黑体"/>
              <w:szCs w:val="32"/>
              <w:lang w:eastAsia="zh-CN"/>
            </w:rPr>
            <w:t>六、</w:t>
          </w:r>
          <w:r>
            <w:rPr>
              <w:rFonts w:hint="eastAsia" w:ascii="黑体" w:hAnsi="黑体" w:eastAsia="黑体"/>
              <w:szCs w:val="32"/>
            </w:rPr>
            <w:t>财</w:t>
          </w:r>
          <w:r>
            <w:rPr>
              <w:rFonts w:hint="eastAsia" w:ascii="黑体" w:hAnsi="黑体" w:eastAsia="黑体"/>
            </w:rPr>
            <w:t>政拨款收入支出决算总体情况说明</w:t>
          </w:r>
          <w:r>
            <w:tab/>
          </w:r>
          <w:r>
            <w:fldChar w:fldCharType="begin"/>
          </w:r>
          <w:r>
            <w:instrText xml:space="preserve"> PAGEREF _Toc32562 \h </w:instrText>
          </w:r>
          <w:r>
            <w:fldChar w:fldCharType="separate"/>
          </w:r>
          <w:r>
            <w:t>5</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_Toc27982 </w:instrText>
          </w:r>
          <w:r>
            <w:rPr>
              <w:rFonts w:hint="eastAsia"/>
            </w:rPr>
            <w:fldChar w:fldCharType="separate"/>
          </w:r>
          <w:r>
            <w:rPr>
              <w:rFonts w:hint="eastAsia" w:ascii="黑体" w:hAnsi="黑体" w:eastAsia="黑体"/>
              <w:szCs w:val="32"/>
              <w:lang w:val="en-US" w:eastAsia="zh-CN"/>
            </w:rPr>
            <w:t>七</w:t>
          </w:r>
          <w:r>
            <w:rPr>
              <w:rFonts w:hint="eastAsia" w:ascii="黑体" w:hAnsi="黑体" w:eastAsia="黑体"/>
              <w:szCs w:val="32"/>
            </w:rPr>
            <w:t>、一</w:t>
          </w:r>
          <w:r>
            <w:rPr>
              <w:rFonts w:hint="eastAsia" w:ascii="黑体" w:hAnsi="黑体" w:eastAsia="黑体"/>
            </w:rPr>
            <w:t>般公共预算财政拨款支出决算情况说明</w:t>
          </w:r>
          <w:r>
            <w:tab/>
          </w:r>
          <w:r>
            <w:fldChar w:fldCharType="begin"/>
          </w:r>
          <w:r>
            <w:instrText xml:space="preserve"> PAGEREF _Toc27982 \h </w:instrText>
          </w:r>
          <w:r>
            <w:fldChar w:fldCharType="separate"/>
          </w:r>
          <w:r>
            <w:t>6</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_Toc19341 </w:instrText>
          </w:r>
          <w:r>
            <w:rPr>
              <w:rFonts w:hint="eastAsia"/>
            </w:rPr>
            <w:fldChar w:fldCharType="separate"/>
          </w:r>
          <w:r>
            <w:rPr>
              <w:rFonts w:hint="eastAsia" w:ascii="黑体" w:eastAsia="黑体"/>
              <w:szCs w:val="32"/>
              <w:lang w:val="en-US" w:eastAsia="zh-CN"/>
            </w:rPr>
            <w:t>八</w:t>
          </w:r>
          <w:r>
            <w:rPr>
              <w:rFonts w:hint="eastAsia" w:ascii="黑体" w:eastAsia="黑体"/>
              <w:szCs w:val="32"/>
            </w:rPr>
            <w:t>、</w:t>
          </w:r>
          <w:r>
            <w:rPr>
              <w:rFonts w:hint="eastAsia" w:ascii="黑体" w:hAnsi="黑体" w:eastAsia="黑体"/>
              <w:szCs w:val="32"/>
            </w:rPr>
            <w:t>一</w:t>
          </w:r>
          <w:r>
            <w:rPr>
              <w:rFonts w:hint="eastAsia" w:ascii="黑体" w:hAnsi="黑体" w:eastAsia="黑体"/>
            </w:rPr>
            <w:t>般公共预算财政拨款基本支出决算情况说明</w:t>
          </w:r>
          <w:r>
            <w:tab/>
          </w:r>
          <w:r>
            <w:fldChar w:fldCharType="begin"/>
          </w:r>
          <w:r>
            <w:instrText xml:space="preserve"> PAGEREF _Toc19341 \h </w:instrText>
          </w:r>
          <w:r>
            <w:fldChar w:fldCharType="separate"/>
          </w:r>
          <w:r>
            <w:t>8</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_Toc31601 </w:instrText>
          </w:r>
          <w:r>
            <w:rPr>
              <w:rFonts w:hint="eastAsia"/>
            </w:rPr>
            <w:fldChar w:fldCharType="separate"/>
          </w:r>
          <w:r>
            <w:rPr>
              <w:rFonts w:hint="eastAsia" w:ascii="黑体" w:eastAsia="黑体"/>
              <w:szCs w:val="32"/>
              <w:lang w:val="en-US" w:eastAsia="zh-CN"/>
            </w:rPr>
            <w:t>九</w:t>
          </w:r>
          <w:r>
            <w:rPr>
              <w:rFonts w:hint="eastAsia" w:ascii="黑体" w:eastAsia="黑体"/>
              <w:szCs w:val="32"/>
            </w:rPr>
            <w:t>、</w:t>
          </w:r>
          <w:r>
            <w:rPr>
              <w:rFonts w:hint="eastAsia" w:ascii="黑体" w:hAnsi="黑体" w:eastAsia="黑体"/>
            </w:rPr>
            <w:t>“三公”经费财政拨款支出决算情况说明</w:t>
          </w:r>
          <w:r>
            <w:tab/>
          </w:r>
          <w:r>
            <w:fldChar w:fldCharType="begin"/>
          </w:r>
          <w:r>
            <w:instrText xml:space="preserve"> PAGEREF _Toc31601 \h </w:instrText>
          </w:r>
          <w:r>
            <w:fldChar w:fldCharType="separate"/>
          </w:r>
          <w:r>
            <w:t>8</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_Toc7119 </w:instrText>
          </w:r>
          <w:r>
            <w:rPr>
              <w:rFonts w:hint="eastAsia"/>
            </w:rPr>
            <w:fldChar w:fldCharType="separate"/>
          </w:r>
          <w:r>
            <w:rPr>
              <w:rFonts w:hint="eastAsia" w:ascii="黑体" w:eastAsia="黑体"/>
              <w:szCs w:val="32"/>
              <w:lang w:val="en-US" w:eastAsia="zh-CN"/>
            </w:rPr>
            <w:t>十</w:t>
          </w:r>
          <w:r>
            <w:rPr>
              <w:rFonts w:hint="eastAsia" w:ascii="黑体" w:eastAsia="黑体"/>
              <w:szCs w:val="32"/>
            </w:rPr>
            <w:t>、</w:t>
          </w:r>
          <w:r>
            <w:rPr>
              <w:rFonts w:hint="eastAsia" w:ascii="黑体" w:hAnsi="黑体" w:eastAsia="黑体"/>
            </w:rPr>
            <w:t>政府性基金预算支出决算情况说明</w:t>
          </w:r>
          <w:r>
            <w:tab/>
          </w:r>
          <w:r>
            <w:fldChar w:fldCharType="begin"/>
          </w:r>
          <w:r>
            <w:instrText xml:space="preserve"> PAGEREF _Toc7119 \h </w:instrText>
          </w:r>
          <w:r>
            <w:fldChar w:fldCharType="separate"/>
          </w:r>
          <w:r>
            <w:t>10</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_Toc28488 </w:instrText>
          </w:r>
          <w:r>
            <w:rPr>
              <w:rFonts w:hint="eastAsia"/>
            </w:rPr>
            <w:fldChar w:fldCharType="separate"/>
          </w:r>
          <w:r>
            <w:rPr>
              <w:rFonts w:hint="eastAsia" w:ascii="黑体" w:hAnsi="黑体" w:eastAsia="黑体"/>
              <w:lang w:val="en-US" w:eastAsia="zh-CN"/>
            </w:rPr>
            <w:t>十一、</w:t>
          </w:r>
          <w:r>
            <w:rPr>
              <w:rFonts w:hint="eastAsia" w:ascii="黑体" w:hAnsi="黑体" w:eastAsia="黑体"/>
            </w:rPr>
            <w:t>国有资本经营预算支出决算情况说明</w:t>
          </w:r>
          <w:r>
            <w:tab/>
          </w:r>
          <w:r>
            <w:fldChar w:fldCharType="begin"/>
          </w:r>
          <w:r>
            <w:instrText xml:space="preserve"> PAGEREF _Toc28488 \h </w:instrText>
          </w:r>
          <w:r>
            <w:fldChar w:fldCharType="separate"/>
          </w:r>
          <w:r>
            <w:t>10</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_Toc18706 </w:instrText>
          </w:r>
          <w:r>
            <w:rPr>
              <w:rFonts w:hint="eastAsia"/>
            </w:rPr>
            <w:fldChar w:fldCharType="separate"/>
          </w:r>
          <w:r>
            <w:rPr>
              <w:rFonts w:hint="eastAsia" w:ascii="黑体" w:hAnsi="黑体" w:eastAsia="黑体"/>
              <w:szCs w:val="32"/>
              <w:lang w:val="en-US" w:eastAsia="zh-CN"/>
            </w:rPr>
            <w:t>十二、</w:t>
          </w:r>
          <w:r>
            <w:rPr>
              <w:rFonts w:hint="eastAsia" w:ascii="黑体" w:hAnsi="黑体" w:eastAsia="黑体"/>
            </w:rPr>
            <w:t>其他重要事项的情况说明</w:t>
          </w:r>
          <w:r>
            <w:tab/>
          </w:r>
          <w:r>
            <w:fldChar w:fldCharType="begin"/>
          </w:r>
          <w:r>
            <w:instrText xml:space="preserve"> PAGEREF _Toc18706 \h </w:instrText>
          </w:r>
          <w:r>
            <w:fldChar w:fldCharType="separate"/>
          </w:r>
          <w:r>
            <w:t>10</w:t>
          </w:r>
          <w:r>
            <w:fldChar w:fldCharType="end"/>
          </w:r>
          <w:r>
            <w:rPr>
              <w:rFonts w:hint="eastAsia"/>
            </w:rPr>
            <w:fldChar w:fldCharType="end"/>
          </w:r>
        </w:p>
        <w:p>
          <w:pPr>
            <w:pStyle w:val="15"/>
            <w:tabs>
              <w:tab w:val="right" w:leader="dot" w:pos="8306"/>
              <w:tab w:val="clear" w:pos="8296"/>
            </w:tabs>
          </w:pPr>
          <w:r>
            <w:rPr>
              <w:rFonts w:hint="eastAsia"/>
            </w:rPr>
            <w:fldChar w:fldCharType="begin"/>
          </w:r>
          <w:r>
            <w:rPr>
              <w:rFonts w:hint="eastAsia"/>
            </w:rPr>
            <w:instrText xml:space="preserve"> HYPERLINK \l _Toc10566 </w:instrText>
          </w:r>
          <w:r>
            <w:rPr>
              <w:rFonts w:hint="eastAsia"/>
            </w:rPr>
            <w:fldChar w:fldCharType="separate"/>
          </w:r>
          <w:r>
            <w:rPr>
              <w:rFonts w:hint="eastAsia" w:ascii="黑体" w:hAnsi="黑体" w:eastAsia="黑体"/>
            </w:rPr>
            <w:t xml:space="preserve">第三部分 </w:t>
          </w:r>
          <w:r>
            <w:rPr>
              <w:rFonts w:hint="eastAsia" w:ascii="黑体" w:hAnsi="黑体" w:eastAsia="黑体"/>
              <w:szCs w:val="44"/>
            </w:rPr>
            <w:t>名</w:t>
          </w:r>
          <w:r>
            <w:rPr>
              <w:rFonts w:hint="eastAsia" w:ascii="黑体" w:hAnsi="黑体" w:eastAsia="黑体"/>
            </w:rPr>
            <w:t>词解释</w:t>
          </w:r>
          <w:r>
            <w:tab/>
          </w:r>
          <w:r>
            <w:fldChar w:fldCharType="begin"/>
          </w:r>
          <w:r>
            <w:instrText xml:space="preserve"> PAGEREF _Toc10566 \h </w:instrText>
          </w:r>
          <w:r>
            <w:fldChar w:fldCharType="separate"/>
          </w:r>
          <w:r>
            <w:t>16</w:t>
          </w:r>
          <w:r>
            <w:fldChar w:fldCharType="end"/>
          </w:r>
          <w:r>
            <w:rPr>
              <w:rFonts w:hint="eastAsia"/>
            </w:rPr>
            <w:fldChar w:fldCharType="end"/>
          </w:r>
        </w:p>
        <w:p>
          <w:pPr>
            <w:pStyle w:val="15"/>
            <w:tabs>
              <w:tab w:val="right" w:leader="dot" w:pos="8306"/>
              <w:tab w:val="clear" w:pos="8296"/>
            </w:tabs>
          </w:pPr>
          <w:r>
            <w:rPr>
              <w:rFonts w:hint="eastAsia"/>
            </w:rPr>
            <w:fldChar w:fldCharType="begin"/>
          </w:r>
          <w:r>
            <w:rPr>
              <w:rFonts w:hint="eastAsia"/>
            </w:rPr>
            <w:instrText xml:space="preserve"> HYPERLINK \l _Toc16739 </w:instrText>
          </w:r>
          <w:r>
            <w:rPr>
              <w:rFonts w:hint="eastAsia"/>
            </w:rPr>
            <w:fldChar w:fldCharType="separate"/>
          </w:r>
          <w:r>
            <w:rPr>
              <w:rFonts w:hint="eastAsia" w:ascii="黑体" w:hAnsi="黑体" w:eastAsia="黑体"/>
              <w:szCs w:val="44"/>
            </w:rPr>
            <w:t>第</w:t>
          </w:r>
          <w:r>
            <w:rPr>
              <w:rFonts w:hint="eastAsia" w:ascii="黑体" w:hAnsi="黑体" w:eastAsia="黑体"/>
            </w:rPr>
            <w:t>四部分 附件</w:t>
          </w:r>
          <w:r>
            <w:tab/>
          </w:r>
          <w:r>
            <w:fldChar w:fldCharType="begin"/>
          </w:r>
          <w:r>
            <w:instrText xml:space="preserve"> PAGEREF _Toc16739 \h </w:instrText>
          </w:r>
          <w:r>
            <w:fldChar w:fldCharType="separate"/>
          </w:r>
          <w:r>
            <w:t>21</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_Toc2699 </w:instrText>
          </w:r>
          <w:r>
            <w:rPr>
              <w:rFonts w:hint="eastAsia"/>
            </w:rPr>
            <w:fldChar w:fldCharType="separate"/>
          </w:r>
          <w:r>
            <w:rPr>
              <w:rFonts w:hint="eastAsia" w:ascii="黑体" w:hAnsi="黑体" w:eastAsia="黑体" w:cs="黑体"/>
              <w:szCs w:val="32"/>
            </w:rPr>
            <w:t>附件1</w:t>
          </w:r>
          <w:r>
            <w:tab/>
          </w:r>
          <w:r>
            <w:fldChar w:fldCharType="begin"/>
          </w:r>
          <w:r>
            <w:instrText xml:space="preserve"> PAGEREF _Toc2699 \h </w:instrText>
          </w:r>
          <w:r>
            <w:fldChar w:fldCharType="separate"/>
          </w:r>
          <w:r>
            <w:t>21</w:t>
          </w:r>
          <w:r>
            <w:fldChar w:fldCharType="end"/>
          </w:r>
          <w:r>
            <w:rPr>
              <w:rFonts w:hint="eastAsia"/>
            </w:rPr>
            <w:fldChar w:fldCharType="end"/>
          </w:r>
        </w:p>
        <w:p>
          <w:pPr>
            <w:pStyle w:val="15"/>
            <w:tabs>
              <w:tab w:val="right" w:leader="dot" w:pos="8306"/>
              <w:tab w:val="clear" w:pos="8296"/>
            </w:tabs>
          </w:pPr>
          <w:r>
            <w:rPr>
              <w:rFonts w:hint="eastAsia"/>
            </w:rPr>
            <w:fldChar w:fldCharType="begin"/>
          </w:r>
          <w:r>
            <w:rPr>
              <w:rFonts w:hint="eastAsia"/>
            </w:rPr>
            <w:instrText xml:space="preserve"> HYPERLINK \l _Toc1929 </w:instrText>
          </w:r>
          <w:r>
            <w:rPr>
              <w:rFonts w:hint="eastAsia"/>
            </w:rPr>
            <w:fldChar w:fldCharType="separate"/>
          </w:r>
          <w:r>
            <w:rPr>
              <w:rFonts w:hint="eastAsia" w:ascii="黑体" w:hAnsi="黑体" w:eastAsia="黑体"/>
              <w:szCs w:val="44"/>
            </w:rPr>
            <w:t>第</w:t>
          </w:r>
          <w:r>
            <w:rPr>
              <w:rFonts w:hint="eastAsia" w:ascii="黑体" w:hAnsi="黑体" w:eastAsia="黑体"/>
            </w:rPr>
            <w:t>五部分 附表</w:t>
          </w:r>
          <w:r>
            <w:tab/>
          </w:r>
          <w:r>
            <w:fldChar w:fldCharType="begin"/>
          </w:r>
          <w:r>
            <w:instrText xml:space="preserve"> PAGEREF _Toc1929 \h </w:instrText>
          </w:r>
          <w:r>
            <w:fldChar w:fldCharType="separate"/>
          </w:r>
          <w:r>
            <w:t>26</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_Toc8290 </w:instrText>
          </w:r>
          <w:r>
            <w:rPr>
              <w:rFonts w:hint="eastAsia"/>
            </w:rPr>
            <w:fldChar w:fldCharType="separate"/>
          </w:r>
          <w:r>
            <w:rPr>
              <w:rFonts w:hint="eastAsia" w:ascii="仿宋" w:hAnsi="仿宋" w:eastAsia="仿宋"/>
            </w:rPr>
            <w:t>一、收入支出决算总表</w:t>
          </w:r>
          <w:r>
            <w:tab/>
          </w:r>
          <w:r>
            <w:fldChar w:fldCharType="begin"/>
          </w:r>
          <w:r>
            <w:instrText xml:space="preserve"> PAGEREF _Toc8290 \h </w:instrText>
          </w:r>
          <w:r>
            <w:fldChar w:fldCharType="separate"/>
          </w:r>
          <w:r>
            <w:t>26</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_Toc6863 </w:instrText>
          </w:r>
          <w:r>
            <w:rPr>
              <w:rFonts w:hint="eastAsia"/>
            </w:rPr>
            <w:fldChar w:fldCharType="separate"/>
          </w:r>
          <w:r>
            <w:rPr>
              <w:rFonts w:hint="eastAsia" w:ascii="仿宋" w:hAnsi="仿宋" w:eastAsia="仿宋"/>
            </w:rPr>
            <w:t>二、收入支出决算表</w:t>
          </w:r>
          <w:r>
            <w:tab/>
          </w:r>
          <w:r>
            <w:fldChar w:fldCharType="begin"/>
          </w:r>
          <w:r>
            <w:instrText xml:space="preserve"> PAGEREF _Toc6863 \h </w:instrText>
          </w:r>
          <w:r>
            <w:fldChar w:fldCharType="separate"/>
          </w:r>
          <w:r>
            <w:t>26</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_Toc16204 </w:instrText>
          </w:r>
          <w:r>
            <w:rPr>
              <w:rFonts w:hint="eastAsia"/>
            </w:rPr>
            <w:fldChar w:fldCharType="separate"/>
          </w:r>
          <w:r>
            <w:rPr>
              <w:rFonts w:hint="eastAsia" w:ascii="仿宋" w:hAnsi="仿宋" w:eastAsia="仿宋"/>
              <w:bCs w:val="0"/>
            </w:rPr>
            <w:t>三、</w:t>
          </w:r>
          <w:r>
            <w:rPr>
              <w:rFonts w:hint="eastAsia" w:ascii="仿宋" w:hAnsi="仿宋" w:eastAsia="仿宋"/>
            </w:rPr>
            <w:t>收入决算表</w:t>
          </w:r>
          <w:r>
            <w:tab/>
          </w:r>
          <w:r>
            <w:fldChar w:fldCharType="begin"/>
          </w:r>
          <w:r>
            <w:instrText xml:space="preserve"> PAGEREF _Toc16204 \h </w:instrText>
          </w:r>
          <w:r>
            <w:fldChar w:fldCharType="separate"/>
          </w:r>
          <w:r>
            <w:t>26</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_Toc11893 </w:instrText>
          </w:r>
          <w:r>
            <w:rPr>
              <w:rFonts w:hint="eastAsia"/>
            </w:rPr>
            <w:fldChar w:fldCharType="separate"/>
          </w:r>
          <w:r>
            <w:rPr>
              <w:rFonts w:hint="eastAsia" w:ascii="仿宋" w:hAnsi="仿宋" w:eastAsia="仿宋"/>
              <w:bCs w:val="0"/>
            </w:rPr>
            <w:t>四、</w:t>
          </w:r>
          <w:r>
            <w:rPr>
              <w:rFonts w:hint="eastAsia" w:ascii="仿宋" w:hAnsi="仿宋" w:eastAsia="仿宋"/>
            </w:rPr>
            <w:t>支出决算表</w:t>
          </w:r>
          <w:r>
            <w:tab/>
          </w:r>
          <w:r>
            <w:fldChar w:fldCharType="begin"/>
          </w:r>
          <w:r>
            <w:instrText xml:space="preserve"> PAGEREF _Toc11893 \h </w:instrText>
          </w:r>
          <w:r>
            <w:fldChar w:fldCharType="separate"/>
          </w:r>
          <w:r>
            <w:t>26</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_Toc17226 </w:instrText>
          </w:r>
          <w:r>
            <w:rPr>
              <w:rFonts w:hint="eastAsia"/>
            </w:rPr>
            <w:fldChar w:fldCharType="separate"/>
          </w:r>
          <w:r>
            <w:rPr>
              <w:rFonts w:hint="eastAsia" w:ascii="仿宋" w:hAnsi="仿宋" w:eastAsia="仿宋"/>
              <w:bCs w:val="0"/>
            </w:rPr>
            <w:t>五、</w:t>
          </w:r>
          <w:r>
            <w:rPr>
              <w:rFonts w:hint="eastAsia" w:ascii="仿宋" w:hAnsi="仿宋" w:eastAsia="仿宋"/>
            </w:rPr>
            <w:t>支出决算明细表</w:t>
          </w:r>
          <w:r>
            <w:tab/>
          </w:r>
          <w:r>
            <w:fldChar w:fldCharType="begin"/>
          </w:r>
          <w:r>
            <w:instrText xml:space="preserve"> PAGEREF _Toc17226 \h </w:instrText>
          </w:r>
          <w:r>
            <w:fldChar w:fldCharType="separate"/>
          </w:r>
          <w:r>
            <w:t>26</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_Toc13646 </w:instrText>
          </w:r>
          <w:r>
            <w:rPr>
              <w:rFonts w:hint="eastAsia"/>
            </w:rPr>
            <w:fldChar w:fldCharType="separate"/>
          </w:r>
          <w:r>
            <w:rPr>
              <w:rFonts w:hint="eastAsia" w:ascii="仿宋" w:hAnsi="仿宋" w:eastAsia="仿宋"/>
              <w:bCs w:val="0"/>
            </w:rPr>
            <w:t>六、</w:t>
          </w:r>
          <w:r>
            <w:rPr>
              <w:rFonts w:hint="eastAsia" w:ascii="仿宋" w:hAnsi="仿宋" w:eastAsia="仿宋"/>
            </w:rPr>
            <w:t>项目收入支出决算表</w:t>
          </w:r>
          <w:r>
            <w:tab/>
          </w:r>
          <w:r>
            <w:fldChar w:fldCharType="begin"/>
          </w:r>
          <w:r>
            <w:instrText xml:space="preserve"> PAGEREF _Toc13646 \h </w:instrText>
          </w:r>
          <w:r>
            <w:fldChar w:fldCharType="separate"/>
          </w:r>
          <w:r>
            <w:t>26</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_Toc1899 </w:instrText>
          </w:r>
          <w:r>
            <w:rPr>
              <w:rFonts w:hint="eastAsia"/>
            </w:rPr>
            <w:fldChar w:fldCharType="separate"/>
          </w:r>
          <w:r>
            <w:rPr>
              <w:rFonts w:hint="eastAsia" w:ascii="仿宋" w:hAnsi="仿宋" w:eastAsia="仿宋"/>
              <w:bCs w:val="0"/>
            </w:rPr>
            <w:t>七、</w:t>
          </w:r>
          <w:r>
            <w:rPr>
              <w:rFonts w:hint="eastAsia" w:ascii="仿宋" w:hAnsi="仿宋" w:eastAsia="仿宋"/>
            </w:rPr>
            <w:t>一般公共预算财政拨款收入支出决算表</w:t>
          </w:r>
          <w:r>
            <w:tab/>
          </w:r>
          <w:r>
            <w:fldChar w:fldCharType="begin"/>
          </w:r>
          <w:r>
            <w:instrText xml:space="preserve"> PAGEREF _Toc1899 \h </w:instrText>
          </w:r>
          <w:r>
            <w:fldChar w:fldCharType="separate"/>
          </w:r>
          <w:r>
            <w:t>26</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_Toc11147 </w:instrText>
          </w:r>
          <w:r>
            <w:rPr>
              <w:rFonts w:hint="eastAsia"/>
            </w:rPr>
            <w:fldChar w:fldCharType="separate"/>
          </w:r>
          <w:r>
            <w:rPr>
              <w:rFonts w:hint="eastAsia" w:ascii="仿宋" w:hAnsi="仿宋" w:eastAsia="仿宋"/>
              <w:bCs w:val="0"/>
            </w:rPr>
            <w:t>八、</w:t>
          </w:r>
          <w:r>
            <w:rPr>
              <w:rFonts w:hint="eastAsia" w:ascii="仿宋" w:hAnsi="仿宋" w:eastAsia="仿宋"/>
            </w:rPr>
            <w:t>一般公共预算财政拨款支出决算明细表</w:t>
          </w:r>
          <w:r>
            <w:tab/>
          </w:r>
          <w:r>
            <w:fldChar w:fldCharType="begin"/>
          </w:r>
          <w:r>
            <w:instrText xml:space="preserve"> PAGEREF _Toc11147 \h </w:instrText>
          </w:r>
          <w:r>
            <w:fldChar w:fldCharType="separate"/>
          </w:r>
          <w:r>
            <w:t>26</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_Toc30450 </w:instrText>
          </w:r>
          <w:r>
            <w:rPr>
              <w:rFonts w:hint="eastAsia"/>
            </w:rPr>
            <w:fldChar w:fldCharType="separate"/>
          </w:r>
          <w:r>
            <w:rPr>
              <w:rFonts w:hint="eastAsia" w:ascii="仿宋" w:hAnsi="仿宋" w:eastAsia="仿宋"/>
              <w:bCs w:val="0"/>
            </w:rPr>
            <w:t>九、</w:t>
          </w:r>
          <w:r>
            <w:rPr>
              <w:rFonts w:hint="eastAsia" w:ascii="仿宋" w:hAnsi="仿宋" w:eastAsia="仿宋"/>
            </w:rPr>
            <w:t>一般公共预算财政拨款基本支出决算明细表</w:t>
          </w:r>
          <w:r>
            <w:tab/>
          </w:r>
          <w:r>
            <w:fldChar w:fldCharType="begin"/>
          </w:r>
          <w:r>
            <w:instrText xml:space="preserve"> PAGEREF _Toc30450 \h </w:instrText>
          </w:r>
          <w:r>
            <w:fldChar w:fldCharType="separate"/>
          </w:r>
          <w:r>
            <w:t>26</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_Toc6101 </w:instrText>
          </w:r>
          <w:r>
            <w:rPr>
              <w:rFonts w:hint="eastAsia"/>
            </w:rPr>
            <w:fldChar w:fldCharType="separate"/>
          </w:r>
          <w:r>
            <w:rPr>
              <w:rFonts w:hint="eastAsia" w:ascii="仿宋" w:hAnsi="仿宋" w:eastAsia="仿宋"/>
              <w:bCs w:val="0"/>
            </w:rPr>
            <w:t>十、</w:t>
          </w:r>
          <w:r>
            <w:rPr>
              <w:rFonts w:hint="eastAsia" w:ascii="仿宋" w:hAnsi="仿宋" w:eastAsia="仿宋"/>
            </w:rPr>
            <w:t>一般公共预算财政拨款项目支出决算明细表</w:t>
          </w:r>
          <w:r>
            <w:tab/>
          </w:r>
          <w:r>
            <w:fldChar w:fldCharType="begin"/>
          </w:r>
          <w:r>
            <w:instrText xml:space="preserve"> PAGEREF _Toc6101 \h </w:instrText>
          </w:r>
          <w:r>
            <w:fldChar w:fldCharType="separate"/>
          </w:r>
          <w:r>
            <w:t>26</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_Toc27795 </w:instrText>
          </w:r>
          <w:r>
            <w:rPr>
              <w:rFonts w:hint="eastAsia"/>
            </w:rPr>
            <w:fldChar w:fldCharType="separate"/>
          </w:r>
          <w:r>
            <w:rPr>
              <w:rFonts w:hint="eastAsia" w:ascii="仿宋" w:hAnsi="仿宋" w:eastAsia="仿宋"/>
              <w:bCs w:val="0"/>
            </w:rPr>
            <w:t>十一、</w:t>
          </w:r>
          <w:r>
            <w:rPr>
              <w:rFonts w:hint="eastAsia" w:ascii="仿宋" w:hAnsi="仿宋" w:eastAsia="仿宋"/>
            </w:rPr>
            <w:t>预算支出相关信息表</w:t>
          </w:r>
          <w:r>
            <w:tab/>
          </w:r>
          <w:r>
            <w:fldChar w:fldCharType="begin"/>
          </w:r>
          <w:r>
            <w:instrText xml:space="preserve"> PAGEREF _Toc27795 \h </w:instrText>
          </w:r>
          <w:r>
            <w:fldChar w:fldCharType="separate"/>
          </w:r>
          <w:r>
            <w:t>26</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_Toc17940 </w:instrText>
          </w:r>
          <w:r>
            <w:rPr>
              <w:rFonts w:hint="eastAsia"/>
            </w:rPr>
            <w:fldChar w:fldCharType="separate"/>
          </w:r>
          <w:r>
            <w:rPr>
              <w:rFonts w:hint="eastAsia" w:ascii="仿宋" w:hAnsi="仿宋" w:eastAsia="仿宋"/>
              <w:bCs w:val="0"/>
            </w:rPr>
            <w:t>十二、</w:t>
          </w:r>
          <w:r>
            <w:rPr>
              <w:rFonts w:hint="eastAsia" w:ascii="仿宋" w:hAnsi="仿宋" w:eastAsia="仿宋"/>
            </w:rPr>
            <w:t>基本数字表</w:t>
          </w:r>
          <w:r>
            <w:tab/>
          </w:r>
          <w:r>
            <w:fldChar w:fldCharType="begin"/>
          </w:r>
          <w:r>
            <w:instrText xml:space="preserve"> PAGEREF _Toc17940 \h </w:instrText>
          </w:r>
          <w:r>
            <w:fldChar w:fldCharType="separate"/>
          </w:r>
          <w:r>
            <w:t>26</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_Toc30862 </w:instrText>
          </w:r>
          <w:r>
            <w:rPr>
              <w:rFonts w:hint="eastAsia"/>
            </w:rPr>
            <w:fldChar w:fldCharType="separate"/>
          </w:r>
          <w:r>
            <w:rPr>
              <w:rFonts w:hint="eastAsia" w:ascii="仿宋" w:hAnsi="仿宋" w:eastAsia="仿宋"/>
              <w:bCs w:val="0"/>
            </w:rPr>
            <w:t>十三、</w:t>
          </w:r>
          <w:r>
            <w:rPr>
              <w:rFonts w:hint="eastAsia" w:ascii="仿宋" w:hAnsi="仿宋" w:eastAsia="仿宋"/>
            </w:rPr>
            <w:t>机构运行信息表</w:t>
          </w:r>
          <w:r>
            <w:tab/>
          </w:r>
          <w:r>
            <w:fldChar w:fldCharType="begin"/>
          </w:r>
          <w:r>
            <w:instrText xml:space="preserve"> PAGEREF _Toc30862 \h </w:instrText>
          </w:r>
          <w:r>
            <w:fldChar w:fldCharType="separate"/>
          </w:r>
          <w:r>
            <w:t>26</w:t>
          </w:r>
          <w:r>
            <w:fldChar w:fldCharType="end"/>
          </w:r>
          <w:r>
            <w:rPr>
              <w:rFonts w:hint="eastAsia"/>
            </w:rPr>
            <w:fldChar w:fldCharType="end"/>
          </w:r>
        </w:p>
        <w:p>
          <w:pPr>
            <w:pStyle w:val="9"/>
            <w:rPr>
              <w:rFonts w:hint="eastAsia" w:ascii="Calibri" w:hAnsi="Calibri" w:eastAsia="宋体" w:cs="Times New Roman"/>
              <w:b/>
              <w:kern w:val="2"/>
              <w:sz w:val="21"/>
              <w:szCs w:val="21"/>
              <w:lang w:val="en-US" w:eastAsia="zh-CN" w:bidi="ar-SA"/>
            </w:rPr>
            <w:sectPr>
              <w:headerReference r:id="rId3" w:type="default"/>
              <w:footerReference r:id="rId4" w:type="default"/>
              <w:pgSz w:w="11906" w:h="16838"/>
              <w:pgMar w:top="1440" w:right="1800" w:bottom="1440" w:left="1800" w:header="851" w:footer="992" w:gutter="0"/>
              <w:pgNumType w:fmt="decimal" w:start="1"/>
              <w:cols w:space="425" w:num="1"/>
              <w:docGrid w:type="lines" w:linePitch="312" w:charSpace="0"/>
            </w:sectPr>
          </w:pPr>
          <w:r>
            <w:rPr>
              <w:rFonts w:hint="eastAsia"/>
            </w:rPr>
            <w:fldChar w:fldCharType="end"/>
          </w:r>
        </w:p>
      </w:sdtContent>
    </w:sdt>
    <w:p>
      <w:pPr>
        <w:rPr>
          <w:rFonts w:hint="eastAsia"/>
        </w:rPr>
      </w:pPr>
    </w:p>
    <w:p>
      <w:pPr>
        <w:pStyle w:val="4"/>
        <w:jc w:val="center"/>
        <w:rPr>
          <w:rFonts w:ascii="黑体" w:eastAsia="黑体"/>
          <w:color w:val="000000"/>
          <w:sz w:val="32"/>
          <w:szCs w:val="32"/>
        </w:rPr>
      </w:pPr>
      <w:bookmarkStart w:id="14" w:name="_Toc28829"/>
      <w:r>
        <w:rPr>
          <w:rFonts w:hint="eastAsia" w:ascii="黑体" w:hAnsi="黑体" w:eastAsia="黑体"/>
          <w:b w:val="0"/>
        </w:rPr>
        <w:t xml:space="preserve">第一部分 </w:t>
      </w:r>
      <w:r>
        <w:rPr>
          <w:rStyle w:val="30"/>
          <w:rFonts w:hint="eastAsia" w:ascii="黑体" w:hAnsi="黑体" w:eastAsia="黑体"/>
          <w:b w:val="0"/>
          <w:bCs w:val="0"/>
        </w:rPr>
        <w:t>部门概况</w:t>
      </w:r>
      <w:bookmarkEnd w:id="14"/>
    </w:p>
    <w:p>
      <w:pPr>
        <w:snapToGrid w:val="0"/>
        <w:spacing w:line="560" w:lineRule="exact"/>
        <w:ind w:firstLine="640" w:firstLineChars="200"/>
        <w:outlineLvl w:val="1"/>
        <w:rPr>
          <w:rFonts w:hint="eastAsia" w:ascii="黑体" w:eastAsia="黑体" w:hAnsiTheme="majorHAnsi" w:cstheme="majorBidi"/>
          <w:b w:val="0"/>
          <w:bCs/>
          <w:color w:val="000000"/>
          <w:kern w:val="2"/>
          <w:sz w:val="32"/>
          <w:szCs w:val="32"/>
          <w:lang w:val="en-US" w:eastAsia="zh-CN" w:bidi="ar-SA"/>
        </w:rPr>
      </w:pPr>
      <w:bookmarkStart w:id="15" w:name="_Toc15377197"/>
      <w:bookmarkStart w:id="16" w:name="_Toc15396600"/>
      <w:bookmarkStart w:id="17" w:name="_Toc11838"/>
      <w:r>
        <w:rPr>
          <w:rFonts w:hint="eastAsia" w:ascii="黑体" w:eastAsia="黑体" w:hAnsiTheme="majorHAnsi" w:cstheme="majorBidi"/>
          <w:b w:val="0"/>
          <w:bCs/>
          <w:color w:val="000000"/>
          <w:kern w:val="2"/>
          <w:sz w:val="32"/>
          <w:szCs w:val="32"/>
          <w:lang w:val="en-US" w:eastAsia="zh-CN" w:bidi="ar-SA"/>
        </w:rPr>
        <w:t>一、基本职能及主要工作</w:t>
      </w:r>
      <w:bookmarkEnd w:id="15"/>
      <w:bookmarkEnd w:id="16"/>
      <w:bookmarkEnd w:id="17"/>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30" w:lineRule="atLeast"/>
        <w:ind w:left="0" w:right="0" w:firstLine="420"/>
        <w:outlineLvl w:val="1"/>
        <w:rPr>
          <w:rFonts w:hint="eastAsia" w:ascii="宋体" w:hAnsi="宋体" w:eastAsia="宋体" w:cs="宋体"/>
          <w:i w:val="0"/>
          <w:iCs w:val="0"/>
          <w:caps w:val="0"/>
          <w:color w:val="333333"/>
          <w:spacing w:val="0"/>
          <w:sz w:val="32"/>
          <w:szCs w:val="32"/>
        </w:rPr>
      </w:pPr>
      <w:bookmarkStart w:id="18" w:name="_Toc22423"/>
      <w:bookmarkStart w:id="19" w:name="_Toc22849"/>
      <w:bookmarkStart w:id="20" w:name="_Toc15396601"/>
      <w:bookmarkStart w:id="21" w:name="_Toc15377200"/>
      <w:r>
        <w:rPr>
          <w:rFonts w:hint="eastAsia" w:ascii="宋体" w:hAnsi="宋体" w:eastAsia="宋体" w:cs="宋体"/>
          <w:b/>
          <w:bCs/>
          <w:i w:val="0"/>
          <w:iCs w:val="0"/>
          <w:caps w:val="0"/>
          <w:color w:val="333333"/>
          <w:spacing w:val="0"/>
          <w:sz w:val="32"/>
          <w:szCs w:val="32"/>
          <w:shd w:val="clear" w:color="auto" w:fill="FFFFFF"/>
        </w:rPr>
        <w:t>（一）基本职能</w:t>
      </w:r>
      <w:bookmarkEnd w:id="18"/>
      <w:bookmarkEnd w:id="19"/>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default" w:ascii="Arial" w:hAnsi="Arial" w:eastAsia="Arial" w:cs="Arial"/>
          <w:i w:val="0"/>
          <w:caps w:val="0"/>
          <w:color w:val="000000"/>
          <w:spacing w:val="0"/>
          <w:sz w:val="18"/>
          <w:szCs w:val="18"/>
        </w:rPr>
      </w:pPr>
      <w:bookmarkStart w:id="22" w:name="_Toc9610"/>
      <w:r>
        <w:rPr>
          <w:rStyle w:val="20"/>
          <w:rFonts w:hint="default" w:ascii="Arial" w:hAnsi="Arial" w:eastAsia="Arial" w:cs="Arial"/>
          <w:i w:val="0"/>
          <w:caps w:val="0"/>
          <w:color w:val="000000"/>
          <w:spacing w:val="0"/>
          <w:sz w:val="24"/>
          <w:szCs w:val="24"/>
          <w:shd w:val="clear" w:fill="FFFFFF"/>
        </w:rPr>
        <w:t>（一）基本情况。</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left"/>
        <w:rPr>
          <w:rFonts w:hint="default" w:ascii="仿宋_GB2312" w:hAnsi="宋体" w:eastAsia="仿宋_GB2312" w:cs="宋体"/>
          <w:kern w:val="0"/>
          <w:sz w:val="32"/>
          <w:szCs w:val="32"/>
          <w:lang w:val="en-US" w:eastAsia="zh-CN" w:bidi="ar-SA"/>
        </w:rPr>
      </w:pPr>
      <w:r>
        <w:rPr>
          <w:rFonts w:hint="eastAsia" w:ascii="仿宋_GB2312" w:hAnsi="宋体" w:eastAsia="仿宋_GB2312" w:cs="宋体"/>
          <w:kern w:val="0"/>
          <w:sz w:val="32"/>
          <w:szCs w:val="32"/>
          <w:lang w:val="en-US" w:eastAsia="zh-CN" w:bidi="ar-SA"/>
        </w:rPr>
        <w:t>1．主要职能。</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left"/>
        <w:rPr>
          <w:rFonts w:hint="eastAsia" w:ascii="仿宋_GB2312" w:hAnsi="宋体" w:eastAsia="仿宋_GB2312" w:cs="宋体"/>
          <w:kern w:val="0"/>
          <w:sz w:val="32"/>
          <w:szCs w:val="32"/>
          <w:lang w:val="en-US" w:eastAsia="zh-CN" w:bidi="ar-SA"/>
        </w:rPr>
      </w:pPr>
      <w:r>
        <w:rPr>
          <w:rFonts w:hint="eastAsia" w:ascii="仿宋_GB2312" w:hAnsi="宋体" w:eastAsia="仿宋_GB2312" w:cs="宋体"/>
          <w:kern w:val="0"/>
          <w:sz w:val="32"/>
          <w:szCs w:val="32"/>
          <w:lang w:val="en-US" w:eastAsia="zh-CN" w:bidi="ar-SA"/>
        </w:rPr>
        <w:t>我管委会为县政府派出机构，受县政府委托，履行相应宗教事务管理执法权，业务上接收统战和宗教工作部门的指导和监督。</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left"/>
        <w:rPr>
          <w:rFonts w:hint="eastAsia" w:ascii="仿宋_GB2312" w:hAnsi="宋体" w:eastAsia="仿宋_GB2312" w:cs="宋体"/>
          <w:kern w:val="0"/>
          <w:sz w:val="32"/>
          <w:szCs w:val="32"/>
          <w:lang w:val="en-US" w:eastAsia="zh-CN" w:bidi="ar-SA"/>
        </w:rPr>
      </w:pPr>
      <w:r>
        <w:rPr>
          <w:rFonts w:hint="eastAsia" w:ascii="仿宋_GB2312" w:hAnsi="宋体" w:eastAsia="仿宋_GB2312" w:cs="宋体"/>
          <w:kern w:val="0"/>
          <w:sz w:val="32"/>
          <w:szCs w:val="32"/>
          <w:lang w:val="en-US" w:eastAsia="zh-CN" w:bidi="ar-SA"/>
        </w:rPr>
        <w:t>依法管理宗教事务，加强寺庙管理，加强僧尼管理，加强宗教活动管理。</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left"/>
        <w:rPr>
          <w:rFonts w:hint="eastAsia" w:ascii="仿宋_GB2312" w:hAnsi="宋体" w:eastAsia="仿宋_GB2312" w:cs="宋体"/>
          <w:kern w:val="0"/>
          <w:sz w:val="32"/>
          <w:szCs w:val="32"/>
          <w:lang w:val="en-US" w:eastAsia="zh-CN" w:bidi="ar-SA"/>
        </w:rPr>
      </w:pPr>
      <w:r>
        <w:rPr>
          <w:rFonts w:hint="eastAsia" w:ascii="仿宋_GB2312" w:hAnsi="宋体" w:eastAsia="仿宋_GB2312" w:cs="宋体"/>
          <w:kern w:val="0"/>
          <w:sz w:val="32"/>
          <w:szCs w:val="32"/>
          <w:lang w:val="en-US" w:eastAsia="zh-CN" w:bidi="ar-SA"/>
        </w:rPr>
        <w:t>教育引导，以增强僧尼法制意识、公民意识、政府议事、祖国意识为目标，坚持不懈加强对僧尼的教育引导。</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30" w:lineRule="atLeast"/>
        <w:ind w:right="0" w:firstLine="640" w:firstLineChars="200"/>
        <w:outlineLvl w:val="1"/>
        <w:rPr>
          <w:rFonts w:hint="eastAsia" w:ascii="仿宋_GB2312" w:hAnsi="宋体" w:eastAsia="仿宋_GB2312" w:cs="宋体"/>
          <w:kern w:val="0"/>
          <w:sz w:val="32"/>
          <w:szCs w:val="32"/>
          <w:lang w:val="en-US" w:eastAsia="zh-CN" w:bidi="ar-SA"/>
        </w:rPr>
      </w:pPr>
      <w:bookmarkStart w:id="23" w:name="_Toc16884"/>
      <w:r>
        <w:rPr>
          <w:rFonts w:hint="eastAsia" w:ascii="仿宋_GB2312" w:hAnsi="宋体" w:eastAsia="仿宋_GB2312" w:cs="宋体"/>
          <w:kern w:val="0"/>
          <w:sz w:val="32"/>
          <w:szCs w:val="32"/>
          <w:lang w:val="en-US" w:eastAsia="zh-CN" w:bidi="ar-SA"/>
        </w:rPr>
        <w:t>公共服务，充分保障依法打击寺庙和持证僧尼的普惠性待遇，做到“五通”、“三有”、“三覆盖”。</w:t>
      </w:r>
      <w:bookmarkEnd w:id="23"/>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30" w:lineRule="atLeast"/>
        <w:ind w:left="0" w:right="0" w:firstLine="420"/>
        <w:outlineLvl w:val="1"/>
        <w:rPr>
          <w:rFonts w:hint="eastAsia" w:ascii="宋体" w:hAnsi="宋体" w:eastAsia="宋体" w:cs="宋体"/>
          <w:i w:val="0"/>
          <w:iCs w:val="0"/>
          <w:caps w:val="0"/>
          <w:color w:val="333333"/>
          <w:spacing w:val="0"/>
          <w:sz w:val="32"/>
          <w:szCs w:val="32"/>
        </w:rPr>
      </w:pPr>
      <w:bookmarkStart w:id="24" w:name="_Toc19030"/>
      <w:r>
        <w:rPr>
          <w:rFonts w:hint="eastAsia" w:ascii="宋体" w:hAnsi="宋体" w:eastAsia="宋体" w:cs="宋体"/>
          <w:b/>
          <w:bCs/>
          <w:i w:val="0"/>
          <w:iCs w:val="0"/>
          <w:caps w:val="0"/>
          <w:color w:val="333333"/>
          <w:spacing w:val="0"/>
          <w:sz w:val="32"/>
          <w:szCs w:val="32"/>
          <w:shd w:val="clear" w:color="auto" w:fill="FFFFFF"/>
        </w:rPr>
        <w:t>（二）202</w:t>
      </w:r>
      <w:r>
        <w:rPr>
          <w:rFonts w:hint="eastAsia" w:ascii="宋体" w:hAnsi="宋体" w:cs="宋体"/>
          <w:b/>
          <w:bCs/>
          <w:i w:val="0"/>
          <w:iCs w:val="0"/>
          <w:caps w:val="0"/>
          <w:color w:val="333333"/>
          <w:spacing w:val="0"/>
          <w:sz w:val="32"/>
          <w:szCs w:val="32"/>
          <w:shd w:val="clear" w:color="auto" w:fill="FFFFFF"/>
          <w:lang w:val="en-US" w:eastAsia="zh-CN"/>
        </w:rPr>
        <w:t>2</w:t>
      </w:r>
      <w:r>
        <w:rPr>
          <w:rFonts w:hint="eastAsia" w:ascii="宋体" w:hAnsi="宋体" w:eastAsia="宋体" w:cs="宋体"/>
          <w:b/>
          <w:bCs/>
          <w:i w:val="0"/>
          <w:iCs w:val="0"/>
          <w:caps w:val="0"/>
          <w:color w:val="333333"/>
          <w:spacing w:val="0"/>
          <w:sz w:val="32"/>
          <w:szCs w:val="32"/>
          <w:shd w:val="clear" w:color="auto" w:fill="FFFFFF"/>
        </w:rPr>
        <w:t>年重点工作任务</w:t>
      </w:r>
      <w:bookmarkEnd w:id="22"/>
      <w:bookmarkEnd w:id="24"/>
    </w:p>
    <w:p>
      <w:pPr>
        <w:numPr>
          <w:ilvl w:val="0"/>
          <w:numId w:val="1"/>
        </w:numPr>
        <w:spacing w:line="560" w:lineRule="exact"/>
        <w:ind w:firstLine="640" w:firstLineChars="200"/>
        <w:rPr>
          <w:rFonts w:hint="eastAsia" w:ascii="仿宋_GB2312" w:hAnsi="宋体" w:eastAsia="仿宋_GB2312" w:cs="宋体"/>
          <w:kern w:val="0"/>
          <w:sz w:val="32"/>
          <w:szCs w:val="32"/>
          <w:lang w:val="en-US" w:eastAsia="zh-CN" w:bidi="ar-SA"/>
        </w:rPr>
      </w:pPr>
      <w:r>
        <w:rPr>
          <w:rFonts w:hint="eastAsia" w:ascii="仿宋_GB2312" w:hAnsi="宋体" w:eastAsia="仿宋_GB2312" w:cs="宋体"/>
          <w:kern w:val="0"/>
          <w:sz w:val="32"/>
          <w:szCs w:val="32"/>
          <w:lang w:val="en-US" w:eastAsia="zh-CN" w:bidi="ar-SA"/>
        </w:rPr>
        <w:t>筑牢制度基础，全面推进寺庙管理工作。一是强化寺庙管理工作职责。突出“寺庙管理是关键”这个工作基础，及时调整片区藏传佛教寺庙工作领导小组，按照属地管理和分级负责原则，进一步明确乡镇党委及寺庙管理所的职责任务，逐级落实责任，建立完善了管委会领导干部和乡镇领导干部定期深入片区寺庙开展工作机制，落实工作任务，强化管理职能，努力构建上下联动、左右协调的寺庙管理工作格局, 今年在各级部门的支持与协作下“全省寺庙管理现场会”及“全省民族团结进步创建工作进寺庙”现场会在麦洼寺顺利召开。二是依法规范寺庙管理。按照“依法治寺、依戒管僧”的要求，以法治政府建设为契机强化寺庙教务管理工作。三是完善入寺为僧管理制度。四是更新完善精准化管理数据库。五是规范管理佛事活动。六是规范寺庙财务管理。</w:t>
      </w:r>
    </w:p>
    <w:p>
      <w:pPr>
        <w:numPr>
          <w:ilvl w:val="0"/>
          <w:numId w:val="1"/>
        </w:numPr>
        <w:spacing w:line="560" w:lineRule="exact"/>
        <w:ind w:firstLine="640" w:firstLineChars="200"/>
        <w:rPr>
          <w:rFonts w:hint="eastAsia" w:ascii="仿宋_GB2312" w:hAnsi="宋体" w:eastAsia="仿宋_GB2312" w:cs="宋体"/>
          <w:kern w:val="0"/>
          <w:sz w:val="32"/>
          <w:szCs w:val="32"/>
          <w:lang w:val="en-US" w:eastAsia="zh-CN" w:bidi="ar-SA"/>
        </w:rPr>
      </w:pPr>
      <w:r>
        <w:rPr>
          <w:rFonts w:hint="eastAsia" w:ascii="仿宋_GB2312" w:hAnsi="宋体" w:eastAsia="仿宋_GB2312" w:cs="宋体"/>
          <w:kern w:val="0"/>
          <w:sz w:val="32"/>
          <w:szCs w:val="32"/>
          <w:lang w:val="en-US" w:eastAsia="zh-CN" w:bidi="ar-SA"/>
        </w:rPr>
        <w:t>强化宣传教育，推进文明和谐寺庙创建。我管委将法制宣传教育基础为切入点，将“依法治寺、依戒管僧”作为维稳工作主要内容，通过开展多种形式的法制宣传教育，大力弘扬祖国统一、民族团结、社会和谐，形成以稳定为荣的良好社会氛围。</w:t>
      </w:r>
    </w:p>
    <w:p>
      <w:pPr>
        <w:numPr>
          <w:ilvl w:val="0"/>
          <w:numId w:val="1"/>
        </w:numPr>
        <w:spacing w:line="560" w:lineRule="exact"/>
        <w:ind w:firstLine="640" w:firstLineChars="200"/>
        <w:rPr>
          <w:rFonts w:hint="eastAsia" w:ascii="仿宋_GB2312" w:hAnsi="宋体" w:eastAsia="仿宋_GB2312" w:cs="宋体"/>
          <w:kern w:val="0"/>
          <w:sz w:val="32"/>
          <w:szCs w:val="32"/>
          <w:lang w:val="en-US" w:eastAsia="zh-CN" w:bidi="ar-SA"/>
        </w:rPr>
      </w:pPr>
      <w:r>
        <w:rPr>
          <w:rFonts w:hint="eastAsia" w:ascii="仿宋_GB2312" w:hAnsi="宋体" w:eastAsia="仿宋_GB2312" w:cs="宋体"/>
          <w:kern w:val="0"/>
          <w:sz w:val="32"/>
          <w:szCs w:val="32"/>
          <w:lang w:val="en-US" w:eastAsia="zh-CN" w:bidi="ar-SA"/>
        </w:rPr>
        <w:t>优化服务，提升寺庙公共服务水平。一是开展“走僧舍、知僧情、解僧忧”活动。深入寺庙及宗教界代表人士家中开展走访慰问，与走访对象进行面对面交心谈心全面掌握寺情僧意，不断巩固和加深同宗教界代表人士及寺庙的感情。二是巩固“和谐文明寺庙”活动。</w:t>
      </w:r>
    </w:p>
    <w:p>
      <w:pPr>
        <w:numPr>
          <w:ilvl w:val="0"/>
          <w:numId w:val="1"/>
        </w:numPr>
        <w:spacing w:line="560" w:lineRule="exact"/>
        <w:ind w:firstLine="640" w:firstLineChars="200"/>
        <w:rPr>
          <w:rFonts w:hint="eastAsia" w:ascii="仿宋_GB2312" w:hAnsi="宋体" w:eastAsia="仿宋_GB2312" w:cs="宋体"/>
          <w:kern w:val="0"/>
          <w:sz w:val="32"/>
          <w:szCs w:val="32"/>
          <w:lang w:val="en-US" w:eastAsia="zh-CN" w:bidi="ar-SA"/>
        </w:rPr>
      </w:pPr>
      <w:r>
        <w:rPr>
          <w:rFonts w:hint="eastAsia" w:ascii="仿宋_GB2312" w:hAnsi="宋体" w:eastAsia="仿宋_GB2312" w:cs="宋体"/>
          <w:kern w:val="0"/>
          <w:sz w:val="32"/>
          <w:szCs w:val="32"/>
          <w:lang w:val="en-US" w:eastAsia="zh-CN" w:bidi="ar-SA"/>
        </w:rPr>
        <w:t>强化寺庙基础设施建设，提升僧尼生活水平。深入开展大民生带小民生工程建设，推进寺庙群众工作广覆盖。</w:t>
      </w:r>
    </w:p>
    <w:p>
      <w:pPr>
        <w:spacing w:line="560" w:lineRule="exact"/>
        <w:ind w:firstLine="640" w:firstLineChars="200"/>
        <w:rPr>
          <w:rFonts w:hint="eastAsia" w:ascii="仿宋_GB2312" w:hAnsi="宋体" w:eastAsia="仿宋_GB2312" w:cs="宋体"/>
          <w:kern w:val="0"/>
          <w:sz w:val="32"/>
          <w:szCs w:val="32"/>
          <w:lang w:val="en-US" w:eastAsia="zh-CN" w:bidi="ar-SA"/>
        </w:rPr>
      </w:pPr>
      <w:r>
        <w:rPr>
          <w:rFonts w:hint="eastAsia" w:ascii="仿宋_GB2312" w:hAnsi="宋体" w:eastAsia="仿宋_GB2312" w:cs="宋体"/>
          <w:kern w:val="0"/>
          <w:sz w:val="32"/>
          <w:szCs w:val="32"/>
          <w:lang w:val="en-US" w:eastAsia="zh-CN" w:bidi="ar-SA"/>
        </w:rPr>
        <w:t>（5）提质增效、上档升级，推进片区寺庙开放式管理模式。一是继续发挥民管会主体作用。二是进一步完善寺庙民管会工作公开制度。三是通过实行开放式管理工作，积极构建寺庙自我管理、自我服务、自我教育新常态，发挥寺庙开放式管理的正面教育引导、示范带动作用，有力促进宗教事务管理创新，健全寺庙管理长效机制，不断巩固提升“团结稳定、活动有序、教风端正、管理规范、安全整洁、利益社会”宗教秩序。今年开放式管理系统在我片区江宫寺率先投入使用；四是以红原县寺庙管理现场会精神为指导，强抓寺庙上档升级工作，努力实现片区寺庙开放式管理全覆盖。</w:t>
      </w:r>
    </w:p>
    <w:p>
      <w:pPr>
        <w:pStyle w:val="5"/>
        <w:pageBreakBefore w:val="0"/>
        <w:widowControl w:val="0"/>
        <w:kinsoku/>
        <w:wordWrap/>
        <w:overflowPunct/>
        <w:topLinePunct w:val="0"/>
        <w:autoSpaceDE/>
        <w:autoSpaceDN/>
        <w:bidi w:val="0"/>
        <w:spacing w:line="576" w:lineRule="exact"/>
        <w:ind w:firstLine="640" w:firstLineChars="200"/>
        <w:textAlignment w:val="auto"/>
        <w:rPr>
          <w:rStyle w:val="31"/>
          <w:b w:val="0"/>
          <w:bCs w:val="0"/>
        </w:rPr>
      </w:pPr>
      <w:bookmarkStart w:id="25" w:name="_Toc10925"/>
      <w:r>
        <w:rPr>
          <w:rFonts w:hint="eastAsia" w:ascii="黑体" w:eastAsia="黑体"/>
          <w:b w:val="0"/>
          <w:color w:val="000000"/>
        </w:rPr>
        <w:t>二、</w:t>
      </w:r>
      <w:r>
        <w:rPr>
          <w:rFonts w:hint="eastAsia" w:ascii="黑体" w:hAnsi="黑体" w:eastAsia="黑体"/>
          <w:b w:val="0"/>
          <w:color w:val="000000"/>
        </w:rPr>
        <w:t>机</w:t>
      </w:r>
      <w:r>
        <w:rPr>
          <w:rStyle w:val="31"/>
          <w:rFonts w:hint="eastAsia" w:ascii="黑体" w:hAnsi="黑体" w:eastAsia="黑体"/>
          <w:b w:val="0"/>
          <w:bCs w:val="0"/>
        </w:rPr>
        <w:t>构设置</w:t>
      </w:r>
      <w:bookmarkEnd w:id="20"/>
      <w:bookmarkEnd w:id="21"/>
      <w:bookmarkEnd w:id="25"/>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rPr>
          <w:rFonts w:hint="default" w:ascii="仿宋_GB2312" w:hAnsi="宋体" w:eastAsia="仿宋_GB2312" w:cs="宋体"/>
          <w:kern w:val="0"/>
          <w:sz w:val="32"/>
          <w:szCs w:val="32"/>
          <w:lang w:val="en-US" w:eastAsia="zh-CN" w:bidi="ar-SA"/>
        </w:rPr>
      </w:pPr>
      <w:bookmarkStart w:id="26" w:name="_Toc15396603"/>
      <w:bookmarkStart w:id="27" w:name="_Toc15377205"/>
      <w:r>
        <w:rPr>
          <w:rFonts w:hint="eastAsia" w:ascii="仿宋_GB2312" w:hAnsi="宋体" w:eastAsia="仿宋_GB2312" w:cs="宋体"/>
          <w:kern w:val="0"/>
          <w:sz w:val="32"/>
          <w:szCs w:val="32"/>
          <w:lang w:val="en-US" w:eastAsia="zh-CN" w:bidi="ar-SA"/>
        </w:rPr>
        <w:t>本单位本年度纳入本套决算编制范围的独立编制机构数共1个，比上年增加0个；独立核算机构数共1个，比上年增加0个</w:t>
      </w:r>
      <w:r>
        <w:rPr>
          <w:rFonts w:hint="default" w:ascii="仿宋_GB2312" w:hAnsi="宋体" w:eastAsia="仿宋_GB2312" w:cs="宋体"/>
          <w:kern w:val="0"/>
          <w:sz w:val="32"/>
          <w:szCs w:val="32"/>
          <w:lang w:val="en-US" w:eastAsia="zh-CN" w:bidi="ar-SA"/>
        </w:rPr>
        <w:t>。</w:t>
      </w:r>
      <w:r>
        <w:rPr>
          <w:rFonts w:hint="eastAsia" w:ascii="仿宋_GB2312" w:hAnsi="宋体" w:eastAsia="仿宋_GB2312" w:cs="宋体"/>
          <w:kern w:val="0"/>
          <w:sz w:val="32"/>
          <w:szCs w:val="32"/>
          <w:lang w:val="en-US" w:eastAsia="zh-CN" w:bidi="ar-SA"/>
        </w:rPr>
        <w:t>年末实有人数为11人，比上年增加2人；年末实有离退休人数为0人，比上年增加0人</w:t>
      </w:r>
      <w:r>
        <w:rPr>
          <w:rFonts w:hint="default" w:ascii="仿宋_GB2312" w:hAnsi="宋体" w:eastAsia="仿宋_GB2312" w:cs="宋体"/>
          <w:kern w:val="0"/>
          <w:sz w:val="32"/>
          <w:szCs w:val="32"/>
          <w:lang w:val="en-US" w:eastAsia="zh-CN" w:bidi="ar-SA"/>
        </w:rPr>
        <w:t>。</w:t>
      </w:r>
      <w:r>
        <w:rPr>
          <w:rFonts w:hint="eastAsia" w:ascii="仿宋_GB2312" w:hAnsi="宋体" w:eastAsia="仿宋_GB2312" w:cs="宋体"/>
          <w:kern w:val="0"/>
          <w:sz w:val="32"/>
          <w:szCs w:val="32"/>
          <w:lang w:val="en-US" w:eastAsia="zh-CN" w:bidi="ar-SA"/>
        </w:rPr>
        <w:t>年末实有其他人数为0人，比上年增加0人</w:t>
      </w:r>
      <w:r>
        <w:rPr>
          <w:rFonts w:hint="default" w:ascii="仿宋_GB2312" w:hAnsi="宋体" w:eastAsia="仿宋_GB2312" w:cs="宋体"/>
          <w:kern w:val="0"/>
          <w:sz w:val="32"/>
          <w:szCs w:val="32"/>
          <w:lang w:val="en-US" w:eastAsia="zh-CN" w:bidi="ar-SA"/>
        </w:rPr>
        <w:t>。</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Style w:val="31"/>
          <w:rFonts w:ascii="黑体" w:hAnsi="黑体" w:eastAsia="黑体"/>
          <w:b w:val="0"/>
        </w:rPr>
      </w:pPr>
      <w:r>
        <w:rPr>
          <w:rFonts w:hint="eastAsia" w:ascii="黑体" w:hAnsi="黑体" w:eastAsia="黑体"/>
          <w:color w:val="000000"/>
          <w:sz w:val="32"/>
          <w:szCs w:val="32"/>
          <w:lang w:eastAsia="zh-CN"/>
        </w:rPr>
        <w:t>三、</w:t>
      </w:r>
      <w:r>
        <w:rPr>
          <w:rFonts w:hint="eastAsia" w:ascii="黑体" w:hAnsi="黑体" w:eastAsia="黑体"/>
          <w:color w:val="000000"/>
          <w:sz w:val="32"/>
          <w:szCs w:val="32"/>
        </w:rPr>
        <w:t>收</w:t>
      </w:r>
      <w:r>
        <w:rPr>
          <w:rStyle w:val="31"/>
          <w:rFonts w:hint="eastAsia" w:ascii="黑体" w:hAnsi="黑体" w:eastAsia="黑体"/>
          <w:b w:val="0"/>
        </w:rPr>
        <w:t>入支出决算总体情况说明</w:t>
      </w:r>
      <w:bookmarkEnd w:id="26"/>
      <w:bookmarkEnd w:id="27"/>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30" w:lineRule="atLeast"/>
        <w:ind w:left="0" w:right="0" w:firstLine="420"/>
        <w:rPr>
          <w:rFonts w:hint="default"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本单位本年度收入调整预算数为332.9万元，收入决算数为332.9万元，预算完成度为100.00%，上年度预算完成度为100.00%。 本年度支出调整预算数为332.9万元，支出决算数为332.9万元，预算完成度为100.00%，上年度预算完成度为100.00%。</w:t>
      </w:r>
      <w:r>
        <w:rPr>
          <w:rFonts w:hint="default" w:ascii="仿宋" w:hAnsi="仿宋" w:eastAsia="仿宋" w:cs="Times New Roman"/>
          <w:color w:val="000000"/>
          <w:kern w:val="2"/>
          <w:sz w:val="32"/>
          <w:szCs w:val="32"/>
          <w:lang w:val="en-US" w:eastAsia="zh-CN" w:bidi="ar-SA"/>
        </w:rPr>
        <w:t>(可用柱形图或折线图)</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30" w:lineRule="atLeast"/>
        <w:ind w:left="0" w:right="0" w:firstLine="420"/>
        <w:rPr>
          <w:rFonts w:hint="default" w:ascii="仿宋" w:hAnsi="仿宋" w:eastAsia="仿宋" w:cs="Times New Roman"/>
          <w:color w:val="000000"/>
          <w:kern w:val="2"/>
          <w:sz w:val="32"/>
          <w:szCs w:val="32"/>
          <w:lang w:val="en-US" w:eastAsia="zh-CN" w:bidi="ar-SA"/>
        </w:rPr>
      </w:pP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Style w:val="20"/>
          <w:rFonts w:hint="eastAsia" w:ascii="Arial" w:hAnsi="Arial" w:eastAsia="宋体" w:cs="Arial"/>
          <w:i w:val="0"/>
          <w:caps w:val="0"/>
          <w:color w:val="000000"/>
          <w:spacing w:val="0"/>
          <w:sz w:val="24"/>
          <w:szCs w:val="24"/>
          <w:shd w:val="clear" w:fill="FFFFFF"/>
          <w:lang w:eastAsia="zh-CN"/>
        </w:rPr>
      </w:pPr>
      <w:r>
        <w:rPr>
          <w:rStyle w:val="20"/>
          <w:rFonts w:hint="eastAsia" w:ascii="Arial" w:hAnsi="Arial" w:eastAsia="宋体" w:cs="Arial"/>
          <w:i w:val="0"/>
          <w:caps w:val="0"/>
          <w:color w:val="000000"/>
          <w:spacing w:val="0"/>
          <w:sz w:val="24"/>
          <w:szCs w:val="24"/>
          <w:shd w:val="clear" w:fill="FFFFFF"/>
          <w:lang w:eastAsia="zh-CN"/>
        </w:rPr>
        <w:drawing>
          <wp:inline distT="0" distB="0" distL="114300" distR="114300">
            <wp:extent cx="5238750" cy="2896235"/>
            <wp:effectExtent l="4445" t="4445" r="14605" b="762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9"/>
        <w:rPr>
          <w:rFonts w:hint="eastAsia" w:ascii="仿宋_GB2312" w:eastAsia="仿宋_GB2312"/>
          <w:color w:val="000000"/>
          <w:sz w:val="32"/>
          <w:szCs w:val="32"/>
          <w:lang w:eastAsia="zh-CN"/>
        </w:rPr>
      </w:pPr>
    </w:p>
    <w:p>
      <w:pPr>
        <w:pStyle w:val="29"/>
        <w:numPr>
          <w:ilvl w:val="0"/>
          <w:numId w:val="0"/>
        </w:numPr>
        <w:spacing w:line="600" w:lineRule="exact"/>
        <w:ind w:left="640" w:leftChars="0"/>
        <w:outlineLvl w:val="1"/>
        <w:rPr>
          <w:rStyle w:val="31"/>
          <w:rFonts w:ascii="黑体" w:hAnsi="黑体" w:eastAsia="黑体"/>
          <w:b w:val="0"/>
        </w:rPr>
      </w:pPr>
      <w:bookmarkStart w:id="28" w:name="_Toc6752"/>
      <w:bookmarkStart w:id="29" w:name="_Toc15396604"/>
      <w:bookmarkStart w:id="30" w:name="_Toc15377206"/>
      <w:r>
        <w:rPr>
          <w:rFonts w:hint="eastAsia" w:ascii="黑体" w:hAnsi="黑体" w:eastAsia="黑体"/>
          <w:color w:val="000000"/>
          <w:sz w:val="32"/>
          <w:szCs w:val="32"/>
          <w:lang w:eastAsia="zh-CN"/>
        </w:rPr>
        <w:t>四、</w:t>
      </w:r>
      <w:r>
        <w:rPr>
          <w:rFonts w:hint="eastAsia" w:ascii="黑体" w:hAnsi="黑体" w:eastAsia="黑体"/>
          <w:color w:val="000000"/>
          <w:sz w:val="32"/>
          <w:szCs w:val="32"/>
        </w:rPr>
        <w:t>收</w:t>
      </w:r>
      <w:r>
        <w:rPr>
          <w:rStyle w:val="31"/>
          <w:rFonts w:hint="eastAsia" w:ascii="黑体" w:hAnsi="黑体" w:eastAsia="黑体"/>
          <w:b w:val="0"/>
        </w:rPr>
        <w:t>入决算情况说明</w:t>
      </w:r>
      <w:bookmarkEnd w:id="28"/>
      <w:bookmarkEnd w:id="29"/>
      <w:bookmarkEnd w:id="30"/>
    </w:p>
    <w:p>
      <w:pPr>
        <w:spacing w:line="600" w:lineRule="exact"/>
        <w:ind w:firstLine="640" w:firstLineChars="200"/>
        <w:outlineLvl w:val="1"/>
        <w:rPr>
          <w:rFonts w:hint="eastAsia" w:ascii="仿宋" w:hAnsi="仿宋" w:eastAsia="仿宋"/>
          <w:color w:val="000000"/>
          <w:sz w:val="32"/>
          <w:szCs w:val="32"/>
        </w:rPr>
      </w:pPr>
      <w:bookmarkStart w:id="31" w:name="_Toc24976"/>
      <w:bookmarkStart w:id="32" w:name="_Toc12789"/>
      <w:bookmarkStart w:id="33" w:name="_Toc29935"/>
      <w:bookmarkStart w:id="34" w:name="_Toc1820"/>
      <w:r>
        <w:rPr>
          <w:rFonts w:hint="eastAsia" w:ascii="仿宋" w:hAnsi="仿宋" w:eastAsia="仿宋"/>
          <w:color w:val="000000"/>
          <w:sz w:val="32"/>
          <w:szCs w:val="32"/>
          <w:lang w:eastAsia="zh-CN"/>
        </w:rPr>
        <w:t>202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332.9</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332.9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%；上级补助收入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万元，占0%。</w:t>
      </w:r>
      <w:bookmarkEnd w:id="31"/>
      <w:bookmarkEnd w:id="32"/>
      <w:bookmarkEnd w:id="33"/>
      <w:bookmarkEnd w:id="34"/>
    </w:p>
    <w:p>
      <w:pPr>
        <w:spacing w:line="600" w:lineRule="exact"/>
        <w:ind w:firstLine="960" w:firstLineChars="3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（图2：收入决算结构图）（饼状图）</w:t>
      </w:r>
    </w:p>
    <w:p>
      <w:pPr>
        <w:pStyle w:val="2"/>
        <w:ind w:left="420" w:leftChars="200" w:firstLine="0" w:firstLineChars="0"/>
        <w:rPr>
          <w:rFonts w:ascii="仿宋_GB2312" w:eastAsia="仿宋_GB2312"/>
          <w:color w:val="FF0000"/>
          <w:sz w:val="32"/>
          <w:szCs w:val="32"/>
        </w:rPr>
      </w:pPr>
      <w:r>
        <w:rPr>
          <w:rStyle w:val="20"/>
          <w:rFonts w:hint="eastAsia" w:ascii="Arial" w:hAnsi="Arial" w:eastAsia="宋体" w:cs="Arial"/>
          <w:i w:val="0"/>
          <w:caps w:val="0"/>
          <w:color w:val="000000"/>
          <w:spacing w:val="0"/>
          <w:sz w:val="24"/>
          <w:szCs w:val="24"/>
          <w:shd w:val="clear" w:fill="FFFFFF"/>
          <w:lang w:eastAsia="zh-CN"/>
        </w:rPr>
        <w:drawing>
          <wp:inline distT="0" distB="0" distL="114300" distR="114300">
            <wp:extent cx="2254250" cy="2279650"/>
            <wp:effectExtent l="4445" t="4445" r="14605" b="1460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29"/>
        <w:numPr>
          <w:ilvl w:val="0"/>
          <w:numId w:val="0"/>
        </w:numPr>
        <w:spacing w:line="600" w:lineRule="exact"/>
        <w:ind w:left="640" w:leftChars="0"/>
        <w:outlineLvl w:val="1"/>
        <w:rPr>
          <w:rStyle w:val="31"/>
          <w:rFonts w:ascii="黑体" w:hAnsi="黑体" w:eastAsia="黑体"/>
          <w:b w:val="0"/>
        </w:rPr>
      </w:pPr>
      <w:bookmarkStart w:id="35" w:name="_Toc12243"/>
      <w:bookmarkStart w:id="36" w:name="_Toc15396605"/>
      <w:bookmarkStart w:id="37" w:name="_Toc15377207"/>
      <w:r>
        <w:rPr>
          <w:rFonts w:hint="eastAsia" w:ascii="黑体" w:hAnsi="黑体" w:eastAsia="黑体"/>
          <w:color w:val="000000"/>
          <w:sz w:val="32"/>
          <w:szCs w:val="32"/>
          <w:lang w:eastAsia="zh-CN"/>
        </w:rPr>
        <w:t>五、</w:t>
      </w:r>
      <w:r>
        <w:rPr>
          <w:rFonts w:hint="eastAsia" w:ascii="黑体" w:hAnsi="黑体" w:eastAsia="黑体"/>
          <w:color w:val="000000"/>
          <w:sz w:val="32"/>
          <w:szCs w:val="32"/>
        </w:rPr>
        <w:t>支</w:t>
      </w:r>
      <w:r>
        <w:rPr>
          <w:rStyle w:val="31"/>
          <w:rFonts w:hint="eastAsia" w:ascii="黑体" w:hAnsi="黑体" w:eastAsia="黑体"/>
          <w:b w:val="0"/>
        </w:rPr>
        <w:t>出决算情况说明</w:t>
      </w:r>
      <w:bookmarkEnd w:id="35"/>
      <w:bookmarkEnd w:id="36"/>
      <w:bookmarkEnd w:id="37"/>
    </w:p>
    <w:p>
      <w:pPr>
        <w:spacing w:line="600" w:lineRule="exact"/>
        <w:ind w:firstLine="640" w:firstLineChars="200"/>
        <w:outlineLvl w:val="1"/>
        <w:rPr>
          <w:rFonts w:ascii="仿宋" w:hAnsi="仿宋" w:eastAsia="仿宋"/>
          <w:color w:val="000000"/>
          <w:sz w:val="32"/>
          <w:szCs w:val="32"/>
        </w:rPr>
      </w:pPr>
      <w:bookmarkStart w:id="38" w:name="_Toc25989"/>
      <w:bookmarkStart w:id="39" w:name="_Toc31017"/>
      <w:bookmarkStart w:id="40" w:name="_Toc30411"/>
      <w:r>
        <w:rPr>
          <w:rFonts w:hint="eastAsia" w:ascii="仿宋" w:hAnsi="仿宋" w:eastAsia="仿宋"/>
          <w:color w:val="000000"/>
          <w:sz w:val="32"/>
          <w:szCs w:val="32"/>
          <w:lang w:eastAsia="zh-CN"/>
        </w:rPr>
        <w:t>202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年本年支出合计</w:t>
      </w:r>
      <w:r>
        <w:rPr>
          <w:rFonts w:hint="eastAsia" w:ascii="仿宋" w:hAnsi="仿宋" w:eastAsia="仿宋" w:cs="Times New Roman"/>
          <w:color w:val="000000"/>
          <w:kern w:val="2"/>
          <w:sz w:val="32"/>
          <w:szCs w:val="32"/>
          <w:lang w:val="en-US" w:eastAsia="zh-CN" w:bidi="ar-SA"/>
        </w:rPr>
        <w:t>332.9</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294.46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88.45</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38.44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11.55</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w:t>
      </w:r>
      <w:bookmarkEnd w:id="38"/>
      <w:bookmarkEnd w:id="39"/>
      <w:bookmarkEnd w:id="40"/>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（图3：支出决算结构图）（饼状图）</w:t>
      </w:r>
    </w:p>
    <w:p>
      <w:pPr>
        <w:pStyle w:val="2"/>
        <w:ind w:left="0" w:leftChars="0" w:firstLine="0" w:firstLineChars="0"/>
        <w:rPr>
          <w:rFonts w:hint="eastAsia" w:ascii="仿宋_GB2312" w:eastAsia="仿宋_GB2312"/>
          <w:color w:val="FF0000"/>
          <w:sz w:val="32"/>
          <w:szCs w:val="32"/>
          <w:lang w:eastAsia="zh-CN"/>
        </w:rPr>
      </w:pPr>
      <w:r>
        <w:rPr>
          <w:rFonts w:hint="eastAsia" w:ascii="仿宋_GB2312" w:eastAsia="仿宋_GB2312"/>
          <w:color w:val="FF0000"/>
          <w:sz w:val="32"/>
          <w:szCs w:val="32"/>
          <w:lang w:eastAsia="zh-CN"/>
        </w:rPr>
        <w:drawing>
          <wp:inline distT="0" distB="0" distL="114300" distR="114300">
            <wp:extent cx="3986530" cy="2093595"/>
            <wp:effectExtent l="4445" t="4445" r="9525" b="1651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numPr>
          <w:ilvl w:val="0"/>
          <w:numId w:val="0"/>
        </w:numPr>
        <w:spacing w:line="600" w:lineRule="exact"/>
        <w:ind w:left="640" w:leftChars="0"/>
        <w:outlineLvl w:val="9"/>
        <w:rPr>
          <w:rFonts w:hint="eastAsia" w:ascii="黑体" w:hAnsi="黑体" w:eastAsia="黑体"/>
          <w:color w:val="000000"/>
          <w:sz w:val="32"/>
          <w:szCs w:val="32"/>
          <w:lang w:eastAsia="zh-CN"/>
        </w:rPr>
      </w:pPr>
      <w:bookmarkStart w:id="41" w:name="_Toc15396606"/>
      <w:bookmarkStart w:id="42" w:name="_Toc15377208"/>
    </w:p>
    <w:p>
      <w:pPr>
        <w:numPr>
          <w:ilvl w:val="0"/>
          <w:numId w:val="0"/>
        </w:numPr>
        <w:spacing w:line="600" w:lineRule="exact"/>
        <w:ind w:left="640" w:leftChars="0"/>
        <w:outlineLvl w:val="1"/>
        <w:rPr>
          <w:rStyle w:val="31"/>
          <w:rFonts w:hint="eastAsia" w:ascii="黑体" w:hAnsi="黑体" w:eastAsia="黑体"/>
          <w:b w:val="0"/>
        </w:rPr>
      </w:pPr>
      <w:bookmarkStart w:id="43" w:name="_Toc32562"/>
      <w:r>
        <w:rPr>
          <w:rFonts w:hint="eastAsia" w:ascii="黑体" w:hAnsi="黑体" w:eastAsia="黑体"/>
          <w:color w:val="000000"/>
          <w:sz w:val="32"/>
          <w:szCs w:val="32"/>
          <w:lang w:eastAsia="zh-CN"/>
        </w:rPr>
        <w:t>六、</w:t>
      </w:r>
      <w:r>
        <w:rPr>
          <w:rFonts w:hint="eastAsia" w:ascii="黑体" w:hAnsi="黑体" w:eastAsia="黑体"/>
          <w:color w:val="000000"/>
          <w:sz w:val="32"/>
          <w:szCs w:val="32"/>
        </w:rPr>
        <w:t>财</w:t>
      </w:r>
      <w:r>
        <w:rPr>
          <w:rStyle w:val="31"/>
          <w:rFonts w:hint="eastAsia" w:ascii="黑体" w:hAnsi="黑体" w:eastAsia="黑体"/>
          <w:b w:val="0"/>
        </w:rPr>
        <w:t>政拨款收入支出决算总体情况说明</w:t>
      </w:r>
      <w:bookmarkEnd w:id="41"/>
      <w:bookmarkEnd w:id="42"/>
      <w:bookmarkEnd w:id="43"/>
    </w:p>
    <w:p>
      <w:pPr>
        <w:spacing w:line="600" w:lineRule="exact"/>
        <w:ind w:firstLine="640" w:firstLineChars="200"/>
        <w:rPr>
          <w:rFonts w:hint="eastAsia" w:eastAsia="仿宋"/>
          <w:lang w:val="en-US" w:eastAsia="zh-CN"/>
        </w:rPr>
      </w:pPr>
      <w:r>
        <w:rPr>
          <w:rFonts w:hint="eastAsia" w:ascii="仿宋" w:hAnsi="仿宋" w:eastAsia="仿宋"/>
          <w:color w:val="000000"/>
          <w:sz w:val="32"/>
          <w:szCs w:val="32"/>
          <w:lang w:eastAsia="zh-CN"/>
        </w:rPr>
        <w:t>202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年财政拨款收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总计</w:t>
      </w:r>
      <w:r>
        <w:rPr>
          <w:rFonts w:hint="eastAsia" w:ascii="仿宋" w:hAnsi="仿宋" w:eastAsia="仿宋" w:cs="Times New Roman"/>
          <w:color w:val="000000"/>
          <w:kern w:val="2"/>
          <w:sz w:val="32"/>
          <w:szCs w:val="32"/>
          <w:lang w:val="en-US" w:eastAsia="zh-CN" w:bidi="ar-SA"/>
        </w:rPr>
        <w:t>332.9</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，支出总计</w:t>
      </w:r>
      <w:r>
        <w:rPr>
          <w:rFonts w:hint="eastAsia" w:ascii="仿宋" w:hAnsi="仿宋" w:eastAsia="仿宋"/>
          <w:color w:val="000000"/>
          <w:sz w:val="32"/>
          <w:szCs w:val="32"/>
          <w:lang w:val="en-US" w:eastAsia="zh-CN"/>
        </w:rPr>
        <w:t>225.06</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。与</w:t>
      </w:r>
      <w:r>
        <w:rPr>
          <w:rFonts w:hint="eastAsia" w:ascii="仿宋" w:hAnsi="仿宋" w:eastAsia="仿宋" w:cs="Times New Roman"/>
          <w:color w:val="000000"/>
          <w:kern w:val="2"/>
          <w:sz w:val="32"/>
          <w:szCs w:val="32"/>
          <w:lang w:val="en-US" w:eastAsia="zh-CN" w:bidi="ar-SA"/>
        </w:rPr>
        <w:t>332.9</w:t>
      </w:r>
      <w:r>
        <w:rPr>
          <w:rFonts w:hint="eastAsia" w:ascii="仿宋" w:hAnsi="仿宋" w:eastAsia="仿宋"/>
          <w:color w:val="000000"/>
          <w:sz w:val="32"/>
          <w:szCs w:val="32"/>
        </w:rPr>
        <w:t>年相比，财政拨款收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总计收</w:t>
      </w:r>
      <w:r>
        <w:rPr>
          <w:rFonts w:hint="eastAsia" w:ascii="仿宋" w:hAnsi="仿宋" w:eastAsia="仿宋"/>
          <w:color w:val="000000"/>
          <w:sz w:val="32"/>
          <w:szCs w:val="32"/>
          <w:lang w:eastAsia="zh-CN"/>
        </w:rPr>
        <w:t>入增加</w:t>
      </w:r>
      <w:r>
        <w:rPr>
          <w:rFonts w:hint="eastAsia" w:ascii="仿宋" w:hAnsi="仿宋" w:eastAsia="仿宋"/>
          <w:color w:val="000000"/>
          <w:sz w:val="32"/>
          <w:szCs w:val="32"/>
          <w:lang w:val="en-US" w:eastAsia="zh-CN"/>
        </w:rPr>
        <w:t>40.66</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上涨</w:t>
      </w:r>
      <w:r>
        <w:rPr>
          <w:rFonts w:hint="eastAsia" w:ascii="仿宋" w:hAnsi="仿宋" w:eastAsia="仿宋"/>
          <w:color w:val="000000"/>
          <w:sz w:val="32"/>
          <w:szCs w:val="32"/>
          <w:lang w:val="en-US" w:eastAsia="zh-CN"/>
        </w:rPr>
        <w:t>12</w:t>
      </w:r>
      <w:r>
        <w:rPr>
          <w:rFonts w:ascii="仿宋" w:hAnsi="仿宋" w:eastAsia="仿宋"/>
          <w:color w:val="000000"/>
          <w:sz w:val="32"/>
          <w:szCs w:val="32"/>
        </w:rPr>
        <w:t>%</w:t>
      </w:r>
      <w:r>
        <w:rPr>
          <w:rFonts w:hint="eastAsia" w:ascii="仿宋" w:hAnsi="仿宋" w:eastAsia="仿宋"/>
          <w:color w:val="000000"/>
          <w:sz w:val="32"/>
          <w:szCs w:val="32"/>
          <w:lang w:eastAsia="zh-CN"/>
        </w:rPr>
        <w:t>，支出总计</w:t>
      </w:r>
      <w:r>
        <w:rPr>
          <w:rFonts w:hint="eastAsia" w:ascii="仿宋" w:hAnsi="仿宋" w:eastAsia="仿宋"/>
          <w:color w:val="000000"/>
          <w:sz w:val="32"/>
          <w:szCs w:val="32"/>
          <w:lang w:val="en-US" w:eastAsia="zh-CN"/>
        </w:rPr>
        <w:t>增加40.66万元，上涨12%</w:t>
      </w:r>
      <w:r>
        <w:rPr>
          <w:rFonts w:hint="eastAsia" w:ascii="仿宋" w:hAnsi="仿宋" w:eastAsia="仿宋"/>
          <w:color w:val="000000"/>
          <w:sz w:val="32"/>
          <w:szCs w:val="32"/>
        </w:rPr>
        <w:t>。</w:t>
      </w:r>
    </w:p>
    <w:p>
      <w:pPr>
        <w:spacing w:line="600" w:lineRule="exact"/>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（图4：财政拨款收、支决算总计变动情况）（柱状图）</w:t>
      </w:r>
    </w:p>
    <w:p>
      <w:pPr>
        <w:pStyle w:val="9"/>
        <w:rPr>
          <w:rFonts w:hint="eastAsia" w:eastAsia="宋体"/>
          <w:lang w:eastAsia="zh-CN"/>
        </w:rPr>
      </w:pPr>
      <w:r>
        <w:rPr>
          <w:rFonts w:hint="eastAsia" w:eastAsia="宋体"/>
          <w:lang w:eastAsia="zh-CN"/>
        </w:rPr>
        <w:drawing>
          <wp:inline distT="0" distB="0" distL="114300" distR="114300">
            <wp:extent cx="5071745" cy="2092325"/>
            <wp:effectExtent l="4445" t="4445" r="16510" b="11430"/>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outlineLvl w:val="1"/>
        <w:rPr>
          <w:rStyle w:val="31"/>
          <w:rFonts w:ascii="黑体" w:hAnsi="黑体" w:eastAsia="黑体"/>
          <w:b w:val="0"/>
        </w:rPr>
      </w:pPr>
      <w:bookmarkStart w:id="44" w:name="_Toc27982"/>
      <w:bookmarkStart w:id="45" w:name="_Toc15396607"/>
      <w:bookmarkStart w:id="46" w:name="_Toc15377209"/>
      <w:r>
        <w:rPr>
          <w:rFonts w:hint="eastAsia" w:ascii="黑体" w:hAnsi="黑体" w:eastAsia="黑体"/>
          <w:color w:val="000000"/>
          <w:sz w:val="32"/>
          <w:szCs w:val="32"/>
          <w:lang w:val="en-US" w:eastAsia="zh-CN"/>
        </w:rPr>
        <w:t>七</w:t>
      </w:r>
      <w:r>
        <w:rPr>
          <w:rFonts w:hint="eastAsia" w:ascii="黑体" w:hAnsi="黑体" w:eastAsia="黑体"/>
          <w:color w:val="000000"/>
          <w:sz w:val="32"/>
          <w:szCs w:val="32"/>
        </w:rPr>
        <w:t>、</w:t>
      </w:r>
      <w:r>
        <w:rPr>
          <w:rFonts w:hint="eastAsia" w:ascii="黑体" w:hAnsi="黑体" w:eastAsia="黑体"/>
          <w:b/>
          <w:color w:val="000000"/>
          <w:sz w:val="32"/>
          <w:szCs w:val="32"/>
        </w:rPr>
        <w:t>一</w:t>
      </w:r>
      <w:r>
        <w:rPr>
          <w:rStyle w:val="31"/>
          <w:rFonts w:hint="eastAsia" w:ascii="黑体" w:hAnsi="黑体" w:eastAsia="黑体"/>
          <w:b w:val="0"/>
        </w:rPr>
        <w:t>般公共预算财政拨款支出决算情况说明</w:t>
      </w:r>
      <w:bookmarkEnd w:id="44"/>
      <w:bookmarkEnd w:id="45"/>
      <w:bookmarkEnd w:id="46"/>
    </w:p>
    <w:p>
      <w:pPr>
        <w:spacing w:line="600" w:lineRule="exact"/>
        <w:ind w:firstLine="643" w:firstLineChars="200"/>
        <w:outlineLvl w:val="2"/>
        <w:rPr>
          <w:rFonts w:ascii="仿宋" w:hAnsi="仿宋" w:eastAsia="仿宋"/>
          <w:b/>
          <w:color w:val="000000"/>
          <w:sz w:val="32"/>
          <w:szCs w:val="32"/>
        </w:rPr>
      </w:pPr>
      <w:bookmarkStart w:id="47" w:name="_Toc15377210"/>
      <w:r>
        <w:rPr>
          <w:rFonts w:hint="eastAsia" w:ascii="仿宋" w:hAnsi="仿宋" w:eastAsia="仿宋"/>
          <w:b/>
          <w:color w:val="000000"/>
          <w:sz w:val="32"/>
          <w:szCs w:val="32"/>
        </w:rPr>
        <w:t>（一）一般公共预算财政拨款支出决算总体情况</w:t>
      </w:r>
      <w:bookmarkEnd w:id="47"/>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sz w:val="32"/>
          <w:szCs w:val="32"/>
          <w:lang w:val="en-US" w:eastAsia="zh-CN"/>
        </w:rPr>
        <w:t>2022</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332.9</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hint="eastAsia" w:ascii="仿宋" w:hAnsi="仿宋" w:eastAsia="仿宋"/>
          <w:color w:val="000000"/>
          <w:sz w:val="32"/>
          <w:szCs w:val="32"/>
          <w:lang w:val="en-US" w:eastAsia="zh-CN"/>
        </w:rPr>
        <w:t>2021</w:t>
      </w:r>
      <w:r>
        <w:rPr>
          <w:rFonts w:hint="eastAsia" w:ascii="仿宋" w:hAnsi="仿宋" w:eastAsia="仿宋"/>
          <w:color w:val="000000"/>
          <w:sz w:val="32"/>
          <w:szCs w:val="32"/>
        </w:rPr>
        <w:t>年相比，一般公共预算财政拨款</w:t>
      </w:r>
      <w:r>
        <w:rPr>
          <w:rFonts w:hint="eastAsia" w:ascii="仿宋" w:hAnsi="仿宋" w:eastAsia="仿宋"/>
          <w:color w:val="000000"/>
          <w:sz w:val="32"/>
          <w:szCs w:val="32"/>
          <w:lang w:val="en-US" w:eastAsia="zh-CN"/>
        </w:rPr>
        <w:t>增加40.66万元，上涨12%</w:t>
      </w:r>
      <w:r>
        <w:rPr>
          <w:rFonts w:hint="eastAsia" w:ascii="仿宋" w:hAnsi="仿宋" w:eastAsia="仿宋"/>
          <w:color w:val="000000"/>
          <w:sz w:val="32"/>
          <w:szCs w:val="32"/>
        </w:rPr>
        <w:t>。</w:t>
      </w:r>
      <w:r>
        <w:rPr>
          <w:rFonts w:hint="eastAsia" w:ascii="仿宋" w:hAnsi="仿宋" w:eastAsia="仿宋"/>
          <w:color w:val="000000" w:themeColor="text1"/>
          <w:sz w:val="32"/>
          <w:szCs w:val="32"/>
          <w14:textFill>
            <w14:solidFill>
              <w14:schemeClr w14:val="tx1"/>
            </w14:solidFill>
          </w14:textFill>
        </w:rPr>
        <w:t>（图5：一般公共预算财政拨款支出决算变动情况）（柱状图）</w:t>
      </w:r>
    </w:p>
    <w:p>
      <w:pPr>
        <w:pStyle w:val="2"/>
        <w:rPr>
          <w:rFonts w:hint="eastAsia" w:ascii="仿宋" w:hAnsi="仿宋" w:eastAsia="仿宋"/>
          <w:color w:val="000000" w:themeColor="text1"/>
          <w:sz w:val="32"/>
          <w:szCs w:val="32"/>
          <w:lang w:eastAsia="zh-CN"/>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inline distT="0" distB="0" distL="114300" distR="114300">
            <wp:extent cx="4462780" cy="2525395"/>
            <wp:effectExtent l="4445" t="4445" r="15875" b="10160"/>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3" w:firstLineChars="200"/>
        <w:outlineLvl w:val="2"/>
        <w:rPr>
          <w:rFonts w:ascii="仿宋" w:hAnsi="仿宋" w:eastAsia="仿宋"/>
          <w:b/>
          <w:color w:val="000000"/>
          <w:sz w:val="32"/>
          <w:szCs w:val="32"/>
        </w:rPr>
      </w:pPr>
      <w:bookmarkStart w:id="48" w:name="_Toc15377211"/>
      <w:r>
        <w:rPr>
          <w:rFonts w:hint="eastAsia" w:ascii="仿宋" w:hAnsi="仿宋" w:eastAsia="仿宋"/>
          <w:b/>
          <w:color w:val="000000"/>
          <w:sz w:val="32"/>
          <w:szCs w:val="32"/>
        </w:rPr>
        <w:t>（二）一般公共预算财政拨款支出决算结构情况</w:t>
      </w:r>
      <w:bookmarkEnd w:id="48"/>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lang w:eastAsia="zh-CN"/>
        </w:rPr>
        <w:t>202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sz w:val="32"/>
          <w:szCs w:val="32"/>
          <w:lang w:val="en-US" w:eastAsia="zh-CN"/>
        </w:rPr>
        <w:t>332.9</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一般公共服务支出264.63</w:t>
      </w:r>
      <w:r>
        <w:rPr>
          <w:rFonts w:hint="eastAsia" w:ascii="仿宋" w:hAnsi="仿宋" w:eastAsia="仿宋"/>
          <w:color w:val="000000" w:themeColor="text1"/>
          <w:sz w:val="32"/>
          <w:szCs w:val="32"/>
          <w:lang w:eastAsia="zh-CN"/>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79.49</w:t>
      </w:r>
      <w:r>
        <w:rPr>
          <w:rFonts w:hint="eastAsia" w:ascii="仿宋" w:hAnsi="仿宋" w:eastAsia="仿宋"/>
          <w:color w:val="000000" w:themeColor="text1"/>
          <w:sz w:val="32"/>
          <w:szCs w:val="32"/>
          <w:lang w:eastAsia="zh-CN"/>
          <w14:textFill>
            <w14:solidFill>
              <w14:schemeClr w14:val="tx1"/>
            </w14:solidFill>
          </w14:textFill>
        </w:rPr>
        <w:t>%；社会保障和就业（类）支出</w:t>
      </w:r>
      <w:r>
        <w:rPr>
          <w:rFonts w:hint="eastAsia" w:ascii="仿宋" w:hAnsi="仿宋" w:eastAsia="仿宋"/>
          <w:color w:val="000000" w:themeColor="text1"/>
          <w:sz w:val="32"/>
          <w:szCs w:val="32"/>
          <w:lang w:val="en-US" w:eastAsia="zh-CN"/>
          <w14:textFill>
            <w14:solidFill>
              <w14:schemeClr w14:val="tx1"/>
            </w14:solidFill>
          </w14:textFill>
        </w:rPr>
        <w:t>34.05</w:t>
      </w:r>
      <w:r>
        <w:rPr>
          <w:rFonts w:hint="eastAsia" w:ascii="仿宋" w:hAnsi="仿宋" w:eastAsia="仿宋"/>
          <w:color w:val="000000" w:themeColor="text1"/>
          <w:sz w:val="32"/>
          <w:szCs w:val="32"/>
          <w:lang w:eastAsia="zh-CN"/>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10.23</w:t>
      </w:r>
      <w:r>
        <w:rPr>
          <w:rFonts w:hint="eastAsia" w:ascii="仿宋" w:hAnsi="仿宋" w:eastAsia="仿宋"/>
          <w:color w:val="000000" w:themeColor="text1"/>
          <w:sz w:val="32"/>
          <w:szCs w:val="32"/>
          <w:lang w:eastAsia="zh-CN"/>
          <w14:textFill>
            <w14:solidFill>
              <w14:schemeClr w14:val="tx1"/>
            </w14:solidFill>
          </w14:textFill>
        </w:rPr>
        <w:t>%；卫生健康支出</w:t>
      </w:r>
      <w:r>
        <w:rPr>
          <w:rFonts w:hint="eastAsia" w:ascii="仿宋" w:hAnsi="仿宋" w:eastAsia="仿宋"/>
          <w:color w:val="000000" w:themeColor="text1"/>
          <w:sz w:val="32"/>
          <w:szCs w:val="32"/>
          <w:lang w:val="en-US" w:eastAsia="zh-CN"/>
          <w14:textFill>
            <w14:solidFill>
              <w14:schemeClr w14:val="tx1"/>
            </w14:solidFill>
          </w14:textFill>
        </w:rPr>
        <w:t>12.61</w:t>
      </w:r>
      <w:r>
        <w:rPr>
          <w:rFonts w:hint="eastAsia" w:ascii="仿宋" w:hAnsi="仿宋" w:eastAsia="仿宋"/>
          <w:color w:val="000000" w:themeColor="text1"/>
          <w:sz w:val="32"/>
          <w:szCs w:val="32"/>
          <w:lang w:eastAsia="zh-CN"/>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3.79</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住</w:t>
      </w:r>
      <w:r>
        <w:rPr>
          <w:rFonts w:hint="eastAsia" w:ascii="仿宋" w:hAnsi="仿宋" w:eastAsia="仿宋"/>
          <w:color w:val="000000" w:themeColor="text1"/>
          <w:sz w:val="32"/>
          <w:szCs w:val="32"/>
          <w14:textFill>
            <w14:solidFill>
              <w14:schemeClr w14:val="tx1"/>
            </w14:solidFill>
          </w14:textFill>
        </w:rPr>
        <w:t>房保障支出</w:t>
      </w:r>
      <w:r>
        <w:rPr>
          <w:rFonts w:hint="eastAsia" w:ascii="仿宋" w:hAnsi="仿宋" w:eastAsia="仿宋"/>
          <w:color w:val="000000" w:themeColor="text1"/>
          <w:sz w:val="32"/>
          <w:szCs w:val="32"/>
          <w:lang w:val="en-US" w:eastAsia="zh-CN"/>
          <w14:textFill>
            <w14:solidFill>
              <w14:schemeClr w14:val="tx1"/>
            </w14:solidFill>
          </w14:textFill>
        </w:rPr>
        <w:t>21.62</w:t>
      </w:r>
      <w:r>
        <w:rPr>
          <w:rFonts w:hint="eastAsia" w:ascii="仿宋" w:hAnsi="仿宋" w:eastAsia="仿宋"/>
          <w:color w:val="000000" w:themeColor="text1"/>
          <w:sz w:val="32"/>
          <w:szCs w:val="32"/>
          <w14:textFill>
            <w14:solidFill>
              <w14:schemeClr w14:val="tx1"/>
            </w14:solidFill>
          </w14:textFill>
        </w:rPr>
        <w:t>万元，</w:t>
      </w:r>
      <w:r>
        <w:rPr>
          <w:rFonts w:hint="eastAsia" w:ascii="仿宋" w:hAnsi="仿宋" w:eastAsia="仿宋"/>
          <w:color w:val="000000" w:themeColor="text1"/>
          <w:sz w:val="32"/>
          <w:szCs w:val="32"/>
          <w:lang w:val="en-US" w:eastAsia="zh-CN"/>
          <w14:textFill>
            <w14:solidFill>
              <w14:schemeClr w14:val="tx1"/>
            </w14:solidFill>
          </w14:textFill>
        </w:rPr>
        <w:t>占</w:t>
      </w:r>
      <w:r>
        <w:rPr>
          <w:rFonts w:hint="eastAsia" w:ascii="仿宋" w:hAnsi="仿宋" w:eastAsia="仿宋"/>
          <w:color w:val="000000" w:themeColor="text1"/>
          <w:sz w:val="32"/>
          <w:szCs w:val="32"/>
          <w:cs w:val="0"/>
          <w:lang w:val="en-US" w:eastAsia="zh-CN"/>
          <w14:textFill>
            <w14:solidFill>
              <w14:schemeClr w14:val="tx1"/>
            </w14:solidFill>
          </w14:textFill>
        </w:rPr>
        <w:t>6.49</w:t>
      </w:r>
      <w:r>
        <w:rPr>
          <w:rFonts w:hint="eastAsia" w:ascii="仿宋" w:hAnsi="仿宋" w:eastAsia="仿宋"/>
          <w:color w:val="000000" w:themeColor="text1"/>
          <w:sz w:val="32"/>
          <w:szCs w:val="32"/>
          <w:lang w:val="en-US" w:eastAsia="zh-CN"/>
          <w14:textFill>
            <w14:solidFill>
              <w14:schemeClr w14:val="tx1"/>
            </w14:solidFill>
          </w14:textFill>
        </w:rPr>
        <w:t>%。</w:t>
      </w:r>
      <w:r>
        <w:rPr>
          <w:rFonts w:hint="eastAsia" w:ascii="仿宋" w:hAnsi="仿宋" w:eastAsia="仿宋"/>
          <w:color w:val="000000"/>
          <w:sz w:val="32"/>
          <w:szCs w:val="32"/>
        </w:rPr>
        <w:t>（图6：一般公共预算财政拨款支出决算结构）（饼状图）</w:t>
      </w:r>
    </w:p>
    <w:p>
      <w:pPr>
        <w:pStyle w:val="2"/>
        <w:ind w:left="420" w:leftChars="200" w:firstLine="0" w:firstLineChars="0"/>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inline distT="0" distB="0" distL="114300" distR="114300">
            <wp:extent cx="4234815" cy="2385695"/>
            <wp:effectExtent l="5080" t="4445" r="14605" b="1016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321" w:firstLineChars="100"/>
        <w:outlineLvl w:val="2"/>
        <w:rPr>
          <w:rFonts w:ascii="仿宋" w:hAnsi="仿宋" w:eastAsia="仿宋"/>
          <w:b/>
          <w:color w:val="000000"/>
          <w:sz w:val="32"/>
          <w:szCs w:val="32"/>
        </w:rPr>
      </w:pPr>
      <w:bookmarkStart w:id="49" w:name="_Toc15377212"/>
      <w:r>
        <w:rPr>
          <w:rFonts w:hint="eastAsia" w:ascii="仿宋" w:hAnsi="仿宋" w:eastAsia="仿宋"/>
          <w:b/>
          <w:color w:val="000000"/>
          <w:sz w:val="32"/>
          <w:szCs w:val="32"/>
        </w:rPr>
        <w:t>（三）一般公共预算财政拨款支出决算具体情况</w:t>
      </w:r>
      <w:bookmarkEnd w:id="49"/>
    </w:p>
    <w:p>
      <w:pPr>
        <w:spacing w:line="600" w:lineRule="exact"/>
        <w:ind w:firstLine="643" w:firstLineChars="200"/>
        <w:outlineLvl w:val="1"/>
        <w:rPr>
          <w:rFonts w:hint="eastAsia" w:ascii="仿宋" w:hAnsi="仿宋" w:eastAsia="仿宋" w:cs="仿宋"/>
          <w:color w:val="FF0000"/>
          <w:sz w:val="32"/>
          <w:szCs w:val="32"/>
        </w:rPr>
      </w:pPr>
      <w:bookmarkStart w:id="50" w:name="_Toc18179"/>
      <w:bookmarkStart w:id="51" w:name="_Toc9371"/>
      <w:bookmarkStart w:id="52" w:name="_Toc15377444"/>
      <w:bookmarkStart w:id="53" w:name="_Toc15378460"/>
      <w:bookmarkStart w:id="54" w:name="_Toc28479"/>
      <w:bookmarkStart w:id="55" w:name="_Toc15377213"/>
      <w:r>
        <w:rPr>
          <w:rFonts w:hint="eastAsia" w:ascii="仿宋" w:hAnsi="仿宋" w:eastAsia="仿宋" w:cs="仿宋"/>
          <w:b/>
          <w:color w:val="000000" w:themeColor="text1"/>
          <w:sz w:val="32"/>
          <w:szCs w:val="32"/>
          <w:lang w:val="en-US" w:eastAsia="zh-CN"/>
          <w14:textFill>
            <w14:solidFill>
              <w14:schemeClr w14:val="tx1"/>
            </w14:solidFill>
          </w14:textFill>
        </w:rPr>
        <w:t>2022</w:t>
      </w:r>
      <w:r>
        <w:rPr>
          <w:rFonts w:hint="eastAsia" w:ascii="仿宋" w:hAnsi="仿宋" w:eastAsia="仿宋" w:cs="仿宋"/>
          <w:b/>
          <w:color w:val="000000" w:themeColor="text1"/>
          <w:sz w:val="32"/>
          <w:szCs w:val="32"/>
          <w14:textFill>
            <w14:solidFill>
              <w14:schemeClr w14:val="tx1"/>
            </w14:solidFill>
          </w14:textFill>
        </w:rPr>
        <w:t>年</w:t>
      </w:r>
      <w:r>
        <w:rPr>
          <w:rFonts w:hint="eastAsia" w:ascii="仿宋" w:hAnsi="仿宋" w:eastAsia="仿宋" w:cs="仿宋"/>
          <w:b/>
          <w:color w:val="000000" w:themeColor="text1"/>
          <w:sz w:val="32"/>
          <w:szCs w:val="32"/>
          <w:lang w:eastAsia="zh-CN"/>
          <w14:textFill>
            <w14:solidFill>
              <w14:schemeClr w14:val="tx1"/>
            </w14:solidFill>
          </w14:textFill>
        </w:rPr>
        <w:t>一</w:t>
      </w:r>
      <w:r>
        <w:rPr>
          <w:rFonts w:hint="eastAsia" w:ascii="仿宋" w:hAnsi="仿宋" w:eastAsia="仿宋" w:cs="仿宋"/>
          <w:b/>
          <w:color w:val="000000" w:themeColor="text1"/>
          <w:sz w:val="32"/>
          <w:szCs w:val="32"/>
          <w14:textFill>
            <w14:solidFill>
              <w14:schemeClr w14:val="tx1"/>
            </w14:solidFill>
          </w14:textFill>
        </w:rPr>
        <w:t>般公共预算支出决算数为</w:t>
      </w:r>
      <w:r>
        <w:rPr>
          <w:rFonts w:hint="eastAsia" w:ascii="仿宋" w:hAnsi="仿宋" w:eastAsia="仿宋"/>
          <w:color w:val="000000"/>
          <w:sz w:val="32"/>
          <w:szCs w:val="32"/>
          <w:lang w:val="en-US" w:eastAsia="zh-CN"/>
        </w:rPr>
        <w:t>332.9</w:t>
      </w:r>
      <w:r>
        <w:rPr>
          <w:rFonts w:hint="eastAsia" w:ascii="仿宋" w:hAnsi="仿宋" w:eastAsia="仿宋" w:cs="仿宋"/>
          <w:b/>
          <w:color w:val="000000" w:themeColor="text1"/>
          <w:sz w:val="32"/>
          <w:szCs w:val="32"/>
          <w:lang w:val="en-US" w:eastAsia="zh-CN"/>
          <w14:textFill>
            <w14:solidFill>
              <w14:schemeClr w14:val="tx1"/>
            </w14:solidFill>
          </w14:textFill>
        </w:rPr>
        <w:t>万元</w:t>
      </w:r>
      <w:r>
        <w:rPr>
          <w:rFonts w:hint="eastAsia" w:ascii="仿宋" w:hAnsi="仿宋" w:eastAsia="仿宋" w:cs="仿宋"/>
          <w:color w:val="000000" w:themeColor="text1"/>
          <w:sz w:val="32"/>
          <w:szCs w:val="32"/>
          <w14:textFill>
            <w14:solidFill>
              <w14:schemeClr w14:val="tx1"/>
            </w14:solidFill>
          </w14:textFill>
        </w:rPr>
        <w:t>，</w:t>
      </w:r>
      <w:r>
        <w:rPr>
          <w:rStyle w:val="20"/>
          <w:rFonts w:hint="eastAsia" w:ascii="仿宋" w:hAnsi="仿宋" w:eastAsia="仿宋" w:cs="仿宋"/>
          <w:bCs/>
          <w:color w:val="000000" w:themeColor="text1"/>
          <w:sz w:val="32"/>
          <w:szCs w:val="32"/>
          <w14:textFill>
            <w14:solidFill>
              <w14:schemeClr w14:val="tx1"/>
            </w14:solidFill>
          </w14:textFill>
        </w:rPr>
        <w:t>完成</w:t>
      </w:r>
      <w:r>
        <w:rPr>
          <w:rStyle w:val="20"/>
          <w:rFonts w:hint="eastAsia" w:ascii="仿宋" w:hAnsi="仿宋" w:eastAsia="仿宋" w:cs="仿宋"/>
          <w:bCs/>
          <w:color w:val="000000"/>
          <w:sz w:val="32"/>
          <w:szCs w:val="32"/>
        </w:rPr>
        <w:t>预算</w:t>
      </w:r>
      <w:r>
        <w:rPr>
          <w:rStyle w:val="20"/>
          <w:rFonts w:hint="eastAsia" w:ascii="仿宋" w:hAnsi="仿宋" w:eastAsia="仿宋" w:cs="仿宋"/>
          <w:bCs/>
          <w:color w:val="000000"/>
          <w:sz w:val="32"/>
          <w:szCs w:val="32"/>
          <w:lang w:val="en-US" w:eastAsia="zh-CN"/>
        </w:rPr>
        <w:t>100</w:t>
      </w:r>
      <w:r>
        <w:rPr>
          <w:rStyle w:val="20"/>
          <w:rFonts w:hint="eastAsia" w:ascii="仿宋" w:hAnsi="仿宋" w:eastAsia="仿宋" w:cs="仿宋"/>
          <w:bCs/>
          <w:color w:val="000000"/>
          <w:sz w:val="32"/>
          <w:szCs w:val="32"/>
        </w:rPr>
        <w:t>%。其中：</w:t>
      </w:r>
      <w:bookmarkEnd w:id="50"/>
      <w:bookmarkEnd w:id="51"/>
      <w:bookmarkEnd w:id="52"/>
      <w:bookmarkEnd w:id="53"/>
      <w:bookmarkEnd w:id="54"/>
      <w:bookmarkEnd w:id="55"/>
    </w:p>
    <w:p>
      <w:pPr>
        <w:spacing w:line="600" w:lineRule="exact"/>
        <w:ind w:firstLine="643" w:firstLineChars="200"/>
        <w:rPr>
          <w:rFonts w:hint="default" w:ascii="仿宋" w:hAnsi="仿宋" w:eastAsia="仿宋"/>
          <w:b/>
          <w:bCs/>
          <w:color w:val="000000"/>
          <w:sz w:val="32"/>
          <w:szCs w:val="32"/>
          <w:lang w:val="en-US"/>
        </w:rPr>
      </w:pPr>
      <w:r>
        <w:rPr>
          <w:rFonts w:hint="eastAsia" w:ascii="仿宋" w:hAnsi="仿宋" w:eastAsia="仿宋"/>
          <w:b/>
          <w:bCs/>
          <w:color w:val="000000"/>
          <w:sz w:val="32"/>
          <w:szCs w:val="32"/>
          <w:lang w:val="en-US" w:eastAsia="zh-CN"/>
        </w:rPr>
        <w:t>1.</w:t>
      </w:r>
      <w:r>
        <w:rPr>
          <w:rFonts w:hint="eastAsia" w:ascii="仿宋" w:hAnsi="仿宋" w:eastAsia="仿宋"/>
          <w:b/>
          <w:bCs/>
          <w:color w:val="000000"/>
          <w:sz w:val="32"/>
          <w:szCs w:val="32"/>
        </w:rPr>
        <w:t>一般公共服务支出</w:t>
      </w:r>
      <w:r>
        <w:rPr>
          <w:rFonts w:hint="eastAsia" w:ascii="仿宋" w:hAnsi="仿宋" w:eastAsia="仿宋"/>
          <w:b/>
          <w:bCs/>
          <w:color w:val="000000"/>
          <w:sz w:val="32"/>
          <w:szCs w:val="32"/>
          <w:lang w:val="en-US" w:eastAsia="zh-CN"/>
        </w:rPr>
        <w:t>201：支出决算为</w:t>
      </w:r>
      <w:r>
        <w:rPr>
          <w:rFonts w:hint="eastAsia" w:ascii="仿宋" w:hAnsi="仿宋" w:eastAsia="仿宋"/>
          <w:color w:val="000000" w:themeColor="text1"/>
          <w:sz w:val="32"/>
          <w:szCs w:val="32"/>
          <w:lang w:val="en-US" w:eastAsia="zh-CN"/>
          <w14:textFill>
            <w14:solidFill>
              <w14:schemeClr w14:val="tx1"/>
            </w14:solidFill>
          </w14:textFill>
        </w:rPr>
        <w:t>264.63</w:t>
      </w:r>
      <w:r>
        <w:rPr>
          <w:rFonts w:hint="eastAsia" w:ascii="仿宋" w:hAnsi="仿宋" w:eastAsia="仿宋"/>
          <w:b/>
          <w:bCs/>
          <w:color w:val="000000"/>
          <w:sz w:val="32"/>
          <w:szCs w:val="32"/>
          <w:lang w:val="en-US" w:eastAsia="zh-CN"/>
        </w:rPr>
        <w:t>万元，完成预算100%。</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1</w:t>
      </w:r>
      <w:r>
        <w:rPr>
          <w:rFonts w:hint="eastAsia" w:ascii="仿宋" w:hAnsi="仿宋" w:eastAsia="仿宋"/>
          <w:color w:val="000000"/>
          <w:sz w:val="32"/>
          <w:szCs w:val="32"/>
          <w:lang w:eastAsia="zh-CN"/>
        </w:rPr>
        <w:t>）</w:t>
      </w:r>
      <w:r>
        <w:rPr>
          <w:rFonts w:hint="eastAsia" w:ascii="仿宋" w:hAnsi="仿宋" w:eastAsia="仿宋"/>
          <w:color w:val="000000"/>
          <w:sz w:val="32"/>
          <w:szCs w:val="32"/>
        </w:rPr>
        <w:t xml:space="preserve"> 行政运行</w:t>
      </w:r>
      <w:r>
        <w:rPr>
          <w:rFonts w:hint="eastAsia" w:ascii="仿宋" w:hAnsi="仿宋" w:eastAsia="仿宋"/>
          <w:color w:val="000000"/>
          <w:sz w:val="32"/>
          <w:szCs w:val="32"/>
          <w:lang w:val="en-US" w:eastAsia="zh-CN"/>
        </w:rPr>
        <w:t>2013401</w:t>
      </w:r>
      <w:r>
        <w:rPr>
          <w:rFonts w:hint="eastAsia" w:ascii="仿宋" w:hAnsi="仿宋" w:eastAsia="仿宋"/>
          <w:color w:val="000000"/>
          <w:sz w:val="32"/>
          <w:szCs w:val="32"/>
        </w:rPr>
        <w:t>: 支出决算为</w:t>
      </w:r>
      <w:r>
        <w:rPr>
          <w:rFonts w:hint="eastAsia" w:ascii="仿宋" w:hAnsi="仿宋" w:eastAsia="仿宋"/>
          <w:color w:val="000000" w:themeColor="text1"/>
          <w:sz w:val="32"/>
          <w:szCs w:val="32"/>
          <w:lang w:val="en-US" w:eastAsia="zh-CN"/>
          <w14:textFill>
            <w14:solidFill>
              <w14:schemeClr w14:val="tx1"/>
            </w14:solidFill>
          </w14:textFill>
        </w:rPr>
        <w:t>226.18</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hint="eastAsia" w:ascii="仿宋" w:hAnsi="仿宋" w:eastAsia="仿宋"/>
          <w:color w:val="000000"/>
          <w:sz w:val="32"/>
          <w:szCs w:val="32"/>
        </w:rPr>
        <w:t>%。</w:t>
      </w:r>
    </w:p>
    <w:p>
      <w:pPr>
        <w:pStyle w:val="2"/>
        <w:ind w:left="0" w:leftChars="0" w:firstLine="640" w:firstLineChars="200"/>
        <w:rPr>
          <w:rFonts w:hint="eastAsia"/>
          <w:lang w:val="en-US" w:eastAsia="zh-CN"/>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2</w:t>
      </w:r>
      <w:r>
        <w:rPr>
          <w:rFonts w:hint="eastAsia" w:ascii="仿宋" w:hAnsi="仿宋" w:eastAsia="仿宋"/>
          <w:color w:val="000000"/>
          <w:sz w:val="32"/>
          <w:szCs w:val="32"/>
          <w:lang w:eastAsia="zh-CN"/>
        </w:rPr>
        <w:t>）</w:t>
      </w:r>
      <w:r>
        <w:rPr>
          <w:rFonts w:hint="eastAsia" w:ascii="仿宋" w:hAnsi="仿宋" w:eastAsia="仿宋"/>
          <w:color w:val="000000"/>
          <w:sz w:val="32"/>
          <w:szCs w:val="32"/>
        </w:rPr>
        <w:t xml:space="preserve"> </w:t>
      </w:r>
      <w:r>
        <w:rPr>
          <w:rFonts w:hint="eastAsia" w:ascii="仿宋" w:hAnsi="仿宋" w:eastAsia="仿宋"/>
          <w:color w:val="000000"/>
          <w:sz w:val="32"/>
          <w:szCs w:val="32"/>
          <w:lang w:eastAsia="zh-CN"/>
        </w:rPr>
        <w:t>宗教事务</w:t>
      </w:r>
      <w:r>
        <w:rPr>
          <w:rFonts w:hint="eastAsia" w:ascii="仿宋" w:hAnsi="仿宋" w:eastAsia="仿宋"/>
          <w:color w:val="000000"/>
          <w:sz w:val="32"/>
          <w:szCs w:val="32"/>
          <w:lang w:val="en-US" w:eastAsia="zh-CN"/>
        </w:rPr>
        <w:t>2013404</w:t>
      </w:r>
      <w:r>
        <w:rPr>
          <w:rFonts w:hint="eastAsia" w:ascii="仿宋" w:hAnsi="仿宋" w:eastAsia="仿宋"/>
          <w:color w:val="000000"/>
          <w:sz w:val="32"/>
          <w:szCs w:val="32"/>
        </w:rPr>
        <w:t>: 支出决算为</w:t>
      </w:r>
      <w:r>
        <w:rPr>
          <w:rFonts w:hint="eastAsia" w:ascii="仿宋" w:hAnsi="仿宋" w:eastAsia="仿宋"/>
          <w:color w:val="000000" w:themeColor="text1"/>
          <w:sz w:val="32"/>
          <w:szCs w:val="32"/>
          <w:lang w:val="en-US" w:eastAsia="zh-CN"/>
          <w14:textFill>
            <w14:solidFill>
              <w14:schemeClr w14:val="tx1"/>
            </w14:solidFill>
          </w14:textFill>
        </w:rPr>
        <w:t>38.45</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hint="eastAsia" w:ascii="仿宋" w:hAnsi="仿宋" w:eastAsia="仿宋"/>
          <w:color w:val="000000"/>
          <w:sz w:val="32"/>
          <w:szCs w:val="32"/>
        </w:rPr>
        <w:t>%。</w:t>
      </w:r>
    </w:p>
    <w:p>
      <w:pPr>
        <w:spacing w:line="600" w:lineRule="exact"/>
        <w:ind w:firstLine="643" w:firstLineChars="200"/>
        <w:rPr>
          <w:rFonts w:hint="default" w:ascii="仿宋" w:hAnsi="仿宋" w:eastAsia="仿宋"/>
          <w:b/>
          <w:bCs/>
          <w:color w:val="000000"/>
          <w:sz w:val="32"/>
          <w:szCs w:val="32"/>
          <w:lang w:val="en-US" w:eastAsia="zh-CN"/>
        </w:rPr>
      </w:pPr>
      <w:r>
        <w:rPr>
          <w:rFonts w:hint="eastAsia" w:ascii="仿宋" w:hAnsi="仿宋" w:eastAsia="仿宋"/>
          <w:b/>
          <w:bCs/>
          <w:color w:val="000000"/>
          <w:sz w:val="32"/>
          <w:szCs w:val="32"/>
          <w:lang w:val="en-US" w:eastAsia="zh-CN"/>
        </w:rPr>
        <w:t>2.社会保障和就业支出208：支出决算为</w:t>
      </w:r>
      <w:r>
        <w:rPr>
          <w:rFonts w:hint="eastAsia" w:ascii="仿宋" w:hAnsi="仿宋" w:eastAsia="仿宋"/>
          <w:color w:val="000000" w:themeColor="text1"/>
          <w:sz w:val="32"/>
          <w:szCs w:val="32"/>
          <w:lang w:val="en-US" w:eastAsia="zh-CN"/>
          <w14:textFill>
            <w14:solidFill>
              <w14:schemeClr w14:val="tx1"/>
            </w14:solidFill>
          </w14:textFill>
        </w:rPr>
        <w:t>34.05</w:t>
      </w:r>
      <w:r>
        <w:rPr>
          <w:rFonts w:hint="eastAsia" w:ascii="仿宋" w:hAnsi="仿宋" w:eastAsia="仿宋"/>
          <w:b/>
          <w:bCs/>
          <w:color w:val="000000"/>
          <w:sz w:val="32"/>
          <w:szCs w:val="32"/>
          <w:lang w:val="en-US" w:eastAsia="zh-CN"/>
        </w:rPr>
        <w:t>万元，完成预算100%。</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1</w:t>
      </w:r>
      <w:r>
        <w:rPr>
          <w:rFonts w:hint="eastAsia" w:ascii="仿宋" w:hAnsi="仿宋" w:eastAsia="仿宋"/>
          <w:color w:val="000000"/>
          <w:sz w:val="32"/>
          <w:szCs w:val="32"/>
          <w:lang w:eastAsia="zh-CN"/>
        </w:rPr>
        <w:t>）社会保障和就业支出</w:t>
      </w:r>
      <w:r>
        <w:rPr>
          <w:rFonts w:hint="eastAsia" w:ascii="仿宋" w:hAnsi="仿宋" w:eastAsia="仿宋"/>
          <w:color w:val="000000"/>
          <w:sz w:val="32"/>
          <w:szCs w:val="32"/>
          <w:lang w:val="en-US" w:eastAsia="zh-CN"/>
        </w:rPr>
        <w:t xml:space="preserve"> 行机关事业单位基本养老保险缴费支出2080505：支出决算为：22.75万元，完成预算100%。</w:t>
      </w:r>
    </w:p>
    <w:p>
      <w:pPr>
        <w:spacing w:line="600" w:lineRule="exact"/>
        <w:ind w:firstLine="640" w:firstLineChars="200"/>
        <w:rPr>
          <w:rFonts w:hint="default"/>
          <w:lang w:val="en-US" w:eastAsia="zh-CN"/>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2</w:t>
      </w:r>
      <w:r>
        <w:rPr>
          <w:rFonts w:hint="eastAsia" w:ascii="仿宋" w:hAnsi="仿宋" w:eastAsia="仿宋"/>
          <w:color w:val="000000"/>
          <w:sz w:val="32"/>
          <w:szCs w:val="32"/>
          <w:lang w:eastAsia="zh-CN"/>
        </w:rPr>
        <w:t>）社会保障好就业支出</w:t>
      </w:r>
      <w:r>
        <w:rPr>
          <w:rFonts w:hint="eastAsia" w:ascii="仿宋" w:hAnsi="仿宋" w:eastAsia="仿宋"/>
          <w:color w:val="000000"/>
          <w:sz w:val="32"/>
          <w:szCs w:val="32"/>
          <w:lang w:val="en-US" w:eastAsia="zh-CN"/>
        </w:rPr>
        <w:t xml:space="preserve"> 机关事业单位职业年金缴费支出2080506：支出决算为11.3万元，完成预算100%。</w:t>
      </w:r>
    </w:p>
    <w:p>
      <w:pPr>
        <w:spacing w:line="600" w:lineRule="exact"/>
        <w:ind w:firstLine="643" w:firstLineChars="200"/>
        <w:rPr>
          <w:rFonts w:hint="default" w:ascii="仿宋" w:hAnsi="仿宋" w:eastAsia="仿宋"/>
          <w:b/>
          <w:bCs/>
          <w:color w:val="000000"/>
          <w:sz w:val="32"/>
          <w:szCs w:val="32"/>
          <w:lang w:val="en-US" w:eastAsia="zh-CN"/>
        </w:rPr>
      </w:pPr>
      <w:r>
        <w:rPr>
          <w:rFonts w:hint="eastAsia" w:ascii="仿宋" w:hAnsi="仿宋" w:eastAsia="仿宋"/>
          <w:b/>
          <w:bCs/>
          <w:color w:val="000000"/>
          <w:sz w:val="32"/>
          <w:szCs w:val="32"/>
          <w:lang w:val="en-US" w:eastAsia="zh-CN"/>
        </w:rPr>
        <w:t>3.卫生健康支出210：支出决算为</w:t>
      </w:r>
      <w:r>
        <w:rPr>
          <w:rFonts w:hint="eastAsia" w:ascii="仿宋" w:hAnsi="仿宋" w:eastAsia="仿宋"/>
          <w:color w:val="000000" w:themeColor="text1"/>
          <w:sz w:val="32"/>
          <w:szCs w:val="32"/>
          <w:lang w:val="en-US" w:eastAsia="zh-CN"/>
          <w14:textFill>
            <w14:solidFill>
              <w14:schemeClr w14:val="tx1"/>
            </w14:solidFill>
          </w14:textFill>
        </w:rPr>
        <w:t>12.61</w:t>
      </w:r>
      <w:r>
        <w:rPr>
          <w:rFonts w:hint="eastAsia" w:ascii="仿宋" w:hAnsi="仿宋" w:eastAsia="仿宋"/>
          <w:b/>
          <w:bCs/>
          <w:color w:val="000000"/>
          <w:sz w:val="32"/>
          <w:szCs w:val="32"/>
          <w:lang w:val="en-US" w:eastAsia="zh-CN"/>
        </w:rPr>
        <w:t>万元，完成预算100%。</w:t>
      </w:r>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（1）卫生健康支出 行政单位医疗2101101：支出决算为10.8万元，完成预算100%。</w:t>
      </w:r>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（2）卫生健康支出 公务员医疗补助2101103：支出决算为1.81万元，完成预算100%。</w:t>
      </w:r>
    </w:p>
    <w:p>
      <w:pPr>
        <w:spacing w:line="600" w:lineRule="exact"/>
        <w:ind w:firstLine="643" w:firstLineChars="200"/>
        <w:rPr>
          <w:rFonts w:hint="default" w:ascii="仿宋" w:hAnsi="仿宋" w:eastAsia="仿宋"/>
          <w:b/>
          <w:bCs/>
          <w:color w:val="000000"/>
          <w:sz w:val="32"/>
          <w:szCs w:val="32"/>
          <w:lang w:val="en-US" w:eastAsia="zh-CN"/>
        </w:rPr>
      </w:pPr>
      <w:r>
        <w:rPr>
          <w:rFonts w:hint="eastAsia" w:ascii="仿宋" w:hAnsi="仿宋" w:eastAsia="仿宋"/>
          <w:b/>
          <w:bCs/>
          <w:color w:val="000000"/>
          <w:sz w:val="32"/>
          <w:szCs w:val="32"/>
          <w:lang w:val="en-US" w:eastAsia="zh-CN"/>
        </w:rPr>
        <w:t>4.住房保障支出221：支出决算为</w:t>
      </w:r>
      <w:r>
        <w:rPr>
          <w:rFonts w:hint="eastAsia" w:ascii="仿宋" w:hAnsi="仿宋" w:eastAsia="仿宋"/>
          <w:color w:val="000000" w:themeColor="text1"/>
          <w:sz w:val="32"/>
          <w:szCs w:val="32"/>
          <w:lang w:val="en-US" w:eastAsia="zh-CN"/>
          <w14:textFill>
            <w14:solidFill>
              <w14:schemeClr w14:val="tx1"/>
            </w14:solidFill>
          </w14:textFill>
        </w:rPr>
        <w:t>21.62</w:t>
      </w:r>
      <w:r>
        <w:rPr>
          <w:rFonts w:hint="eastAsia" w:ascii="仿宋" w:hAnsi="仿宋" w:eastAsia="仿宋"/>
          <w:b/>
          <w:bCs/>
          <w:color w:val="000000"/>
          <w:sz w:val="32"/>
          <w:szCs w:val="32"/>
          <w:lang w:val="en-US" w:eastAsia="zh-CN"/>
        </w:rPr>
        <w:t>万元，完成预算100%。</w:t>
      </w:r>
    </w:p>
    <w:p>
      <w:pPr>
        <w:spacing w:line="600" w:lineRule="exact"/>
        <w:ind w:firstLine="640" w:firstLineChars="200"/>
        <w:rPr>
          <w:rFonts w:ascii="仿宋" w:hAnsi="仿宋" w:eastAsia="仿宋"/>
          <w:b/>
          <w:color w:val="000000"/>
          <w:sz w:val="32"/>
          <w:szCs w:val="32"/>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1</w:t>
      </w:r>
      <w:r>
        <w:rPr>
          <w:rFonts w:hint="eastAsia" w:ascii="仿宋" w:hAnsi="仿宋" w:eastAsia="仿宋"/>
          <w:color w:val="000000"/>
          <w:sz w:val="32"/>
          <w:szCs w:val="32"/>
          <w:lang w:eastAsia="zh-CN"/>
        </w:rPr>
        <w:t>）住房保障支出</w:t>
      </w:r>
      <w:r>
        <w:rPr>
          <w:rFonts w:hint="eastAsia" w:ascii="仿宋" w:hAnsi="仿宋" w:eastAsia="仿宋"/>
          <w:color w:val="000000"/>
          <w:sz w:val="32"/>
          <w:szCs w:val="32"/>
          <w:lang w:val="en-US" w:eastAsia="zh-CN"/>
        </w:rPr>
        <w:t xml:space="preserve"> 住房改革支出住房公积金2210201：支出决算为</w:t>
      </w:r>
      <w:r>
        <w:rPr>
          <w:rFonts w:hint="eastAsia" w:ascii="仿宋" w:hAnsi="仿宋" w:eastAsia="仿宋"/>
          <w:color w:val="000000" w:themeColor="text1"/>
          <w:sz w:val="32"/>
          <w:szCs w:val="32"/>
          <w:lang w:val="en-US" w:eastAsia="zh-CN"/>
          <w14:textFill>
            <w14:solidFill>
              <w14:schemeClr w14:val="tx1"/>
            </w14:solidFill>
          </w14:textFill>
        </w:rPr>
        <w:t>21.62</w:t>
      </w:r>
      <w:r>
        <w:rPr>
          <w:rFonts w:hint="eastAsia" w:ascii="仿宋" w:hAnsi="仿宋" w:eastAsia="仿宋"/>
          <w:color w:val="000000"/>
          <w:sz w:val="32"/>
          <w:szCs w:val="32"/>
          <w:lang w:val="en-US" w:eastAsia="zh-CN"/>
        </w:rPr>
        <w:t>万元，完成预算100%。</w:t>
      </w:r>
    </w:p>
    <w:p>
      <w:pPr>
        <w:tabs>
          <w:tab w:val="right" w:pos="8306"/>
        </w:tabs>
        <w:spacing w:line="600" w:lineRule="exact"/>
        <w:ind w:firstLine="640"/>
        <w:outlineLvl w:val="1"/>
        <w:rPr>
          <w:rStyle w:val="31"/>
        </w:rPr>
      </w:pPr>
      <w:bookmarkStart w:id="56" w:name="_Toc15396608"/>
      <w:bookmarkStart w:id="57" w:name="_Toc15377214"/>
      <w:bookmarkStart w:id="58" w:name="_Toc19341"/>
      <w:r>
        <w:rPr>
          <w:rFonts w:hint="eastAsia" w:ascii="黑体" w:eastAsia="黑体"/>
          <w:color w:val="000000"/>
          <w:sz w:val="32"/>
          <w:szCs w:val="32"/>
          <w:lang w:val="en-US" w:eastAsia="zh-CN"/>
        </w:rPr>
        <w:t>八</w:t>
      </w:r>
      <w:r>
        <w:rPr>
          <w:rFonts w:hint="eastAsia" w:ascii="黑体" w:eastAsia="黑体"/>
          <w:b/>
          <w:color w:val="000000"/>
          <w:sz w:val="32"/>
          <w:szCs w:val="32"/>
        </w:rPr>
        <w:t>、</w:t>
      </w:r>
      <w:r>
        <w:rPr>
          <w:rFonts w:hint="eastAsia" w:ascii="黑体" w:hAnsi="黑体" w:eastAsia="黑体"/>
          <w:b/>
          <w:color w:val="000000"/>
          <w:sz w:val="32"/>
          <w:szCs w:val="32"/>
        </w:rPr>
        <w:t>一</w:t>
      </w:r>
      <w:r>
        <w:rPr>
          <w:rStyle w:val="31"/>
          <w:rFonts w:hint="eastAsia" w:ascii="黑体" w:hAnsi="黑体" w:eastAsia="黑体"/>
          <w:b w:val="0"/>
        </w:rPr>
        <w:t>般公共预算财政拨款基本支出决算情况说明</w:t>
      </w:r>
      <w:bookmarkEnd w:id="56"/>
      <w:bookmarkEnd w:id="57"/>
      <w:bookmarkEnd w:id="58"/>
      <w:r>
        <w:rPr>
          <w:rStyle w:val="31"/>
          <w:rFonts w:ascii="黑体" w:hAnsi="黑体" w:eastAsia="黑体"/>
          <w:b w:val="0"/>
        </w:rPr>
        <w:tab/>
      </w:r>
    </w:p>
    <w:p>
      <w:pPr>
        <w:spacing w:line="600" w:lineRule="exact"/>
        <w:ind w:firstLine="645"/>
        <w:rPr>
          <w:rFonts w:ascii="仿宋" w:hAnsi="仿宋" w:eastAsia="仿宋"/>
          <w:color w:val="auto"/>
          <w:sz w:val="32"/>
          <w:szCs w:val="32"/>
        </w:rPr>
      </w:pPr>
      <w:r>
        <w:rPr>
          <w:rFonts w:hint="eastAsia" w:ascii="仿宋" w:hAnsi="仿宋" w:eastAsia="仿宋"/>
          <w:color w:val="auto"/>
          <w:sz w:val="32"/>
          <w:szCs w:val="32"/>
          <w:lang w:val="en-US" w:eastAsia="zh-CN"/>
        </w:rPr>
        <w:t>2022</w:t>
      </w:r>
      <w:r>
        <w:rPr>
          <w:rFonts w:hint="eastAsia" w:ascii="仿宋" w:hAnsi="仿宋" w:eastAsia="仿宋"/>
          <w:color w:val="auto"/>
          <w:sz w:val="32"/>
          <w:szCs w:val="32"/>
        </w:rPr>
        <w:t>年一般公共预算财政拨款基本支出</w:t>
      </w:r>
      <w:r>
        <w:rPr>
          <w:rFonts w:hint="eastAsia" w:ascii="仿宋" w:hAnsi="仿宋" w:eastAsia="仿宋"/>
          <w:color w:val="auto"/>
          <w:sz w:val="32"/>
          <w:szCs w:val="32"/>
          <w:lang w:val="en-US" w:eastAsia="zh-CN"/>
        </w:rPr>
        <w:t>294.46</w:t>
      </w:r>
      <w:r>
        <w:rPr>
          <w:rFonts w:hint="eastAsia" w:ascii="仿宋" w:hAnsi="仿宋" w:eastAsia="仿宋"/>
          <w:color w:val="auto"/>
          <w:sz w:val="32"/>
          <w:szCs w:val="32"/>
        </w:rPr>
        <w:t>万元，其中：</w:t>
      </w:r>
    </w:p>
    <w:p>
      <w:pPr>
        <w:spacing w:line="600" w:lineRule="exact"/>
        <w:ind w:firstLine="645"/>
        <w:rPr>
          <w:rFonts w:hint="eastAsia" w:ascii="仿宋" w:hAnsi="仿宋" w:eastAsia="仿宋"/>
          <w:color w:val="000000"/>
          <w:sz w:val="32"/>
          <w:szCs w:val="32"/>
          <w:lang w:eastAsia="zh-CN"/>
        </w:rPr>
      </w:pPr>
      <w:r>
        <w:rPr>
          <w:rFonts w:hint="eastAsia" w:ascii="仿宋" w:hAnsi="仿宋" w:eastAsia="仿宋"/>
          <w:color w:val="auto"/>
          <w:sz w:val="32"/>
          <w:szCs w:val="32"/>
          <w:lang w:val="en-US" w:eastAsia="zh-CN"/>
        </w:rPr>
        <w:t>人员经费271.83</w:t>
      </w:r>
      <w:r>
        <w:rPr>
          <w:rFonts w:hint="eastAsia" w:ascii="仿宋" w:hAnsi="仿宋" w:eastAsia="仿宋"/>
          <w:color w:val="auto"/>
          <w:sz w:val="32"/>
          <w:szCs w:val="32"/>
        </w:rPr>
        <w:t>万元，</w:t>
      </w:r>
      <w:r>
        <w:rPr>
          <w:rFonts w:hint="eastAsia" w:ascii="仿宋" w:hAnsi="仿宋" w:eastAsia="仿宋"/>
          <w:color w:val="000000"/>
          <w:sz w:val="32"/>
          <w:szCs w:val="32"/>
        </w:rPr>
        <w:t>主要包括：基本工资</w:t>
      </w:r>
      <w:r>
        <w:rPr>
          <w:rFonts w:hint="eastAsia" w:ascii="仿宋" w:hAnsi="仿宋" w:eastAsia="仿宋"/>
          <w:color w:val="000000"/>
          <w:sz w:val="32"/>
          <w:szCs w:val="32"/>
          <w:lang w:val="en-US" w:eastAsia="zh-CN"/>
        </w:rPr>
        <w:t>50.42万元</w:t>
      </w:r>
      <w:r>
        <w:rPr>
          <w:rFonts w:hint="eastAsia" w:ascii="仿宋" w:hAnsi="仿宋" w:eastAsia="仿宋"/>
          <w:color w:val="000000"/>
          <w:sz w:val="32"/>
          <w:szCs w:val="32"/>
        </w:rPr>
        <w:t>、津贴补贴</w:t>
      </w:r>
      <w:r>
        <w:rPr>
          <w:rFonts w:hint="eastAsia" w:ascii="仿宋" w:hAnsi="仿宋" w:eastAsia="仿宋"/>
          <w:color w:val="000000"/>
          <w:sz w:val="32"/>
          <w:szCs w:val="32"/>
          <w:lang w:val="en-US" w:eastAsia="zh-CN"/>
        </w:rPr>
        <w:t>146.45万元</w:t>
      </w:r>
      <w:r>
        <w:rPr>
          <w:rFonts w:hint="eastAsia" w:ascii="仿宋" w:hAnsi="仿宋" w:eastAsia="仿宋"/>
          <w:color w:val="000000"/>
          <w:sz w:val="32"/>
          <w:szCs w:val="32"/>
        </w:rPr>
        <w:t>、奖金</w:t>
      </w:r>
      <w:r>
        <w:rPr>
          <w:rFonts w:hint="eastAsia" w:ascii="仿宋" w:hAnsi="仿宋" w:eastAsia="仿宋"/>
          <w:color w:val="000000"/>
          <w:sz w:val="32"/>
          <w:szCs w:val="32"/>
          <w:lang w:val="en-US" w:eastAsia="zh-CN"/>
        </w:rPr>
        <w:t>4.15万元</w:t>
      </w:r>
      <w:r>
        <w:rPr>
          <w:rFonts w:hint="eastAsia" w:ascii="仿宋" w:hAnsi="仿宋" w:eastAsia="仿宋"/>
          <w:color w:val="000000"/>
          <w:sz w:val="32"/>
          <w:szCs w:val="32"/>
        </w:rPr>
        <w:t>、机关事业单位基本养老保险缴费</w:t>
      </w:r>
      <w:r>
        <w:rPr>
          <w:rFonts w:hint="eastAsia" w:ascii="仿宋" w:hAnsi="仿宋" w:eastAsia="仿宋"/>
          <w:color w:val="000000"/>
          <w:sz w:val="32"/>
          <w:szCs w:val="32"/>
          <w:lang w:val="en-US" w:eastAsia="zh-CN"/>
        </w:rPr>
        <w:t>22.76万元</w:t>
      </w:r>
      <w:r>
        <w:rPr>
          <w:rFonts w:hint="eastAsia" w:ascii="仿宋" w:hAnsi="仿宋" w:eastAsia="仿宋"/>
          <w:color w:val="000000"/>
          <w:sz w:val="32"/>
          <w:szCs w:val="32"/>
        </w:rPr>
        <w:t>、职业年金缴费</w:t>
      </w:r>
      <w:r>
        <w:rPr>
          <w:rFonts w:hint="eastAsia" w:ascii="仿宋" w:hAnsi="仿宋" w:eastAsia="仿宋"/>
          <w:color w:val="000000"/>
          <w:sz w:val="32"/>
          <w:szCs w:val="32"/>
          <w:lang w:val="en-US" w:eastAsia="zh-CN"/>
        </w:rPr>
        <w:t>11.29万元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职工基本医疗保险缴费</w:t>
      </w:r>
      <w:r>
        <w:rPr>
          <w:rFonts w:hint="eastAsia" w:ascii="仿宋" w:hAnsi="仿宋" w:eastAsia="仿宋"/>
          <w:color w:val="000000"/>
          <w:sz w:val="32"/>
          <w:szCs w:val="32"/>
          <w:lang w:val="en-US" w:eastAsia="zh-CN"/>
        </w:rPr>
        <w:t>10.81</w:t>
      </w:r>
      <w:r>
        <w:rPr>
          <w:rFonts w:hint="eastAsia" w:ascii="仿宋" w:hAnsi="仿宋" w:eastAsia="仿宋"/>
          <w:color w:val="000000"/>
          <w:sz w:val="32"/>
          <w:szCs w:val="32"/>
          <w:lang w:eastAsia="zh-CN"/>
        </w:rPr>
        <w:t>万元、公务员医疗补助缴费</w:t>
      </w:r>
      <w:r>
        <w:rPr>
          <w:rFonts w:hint="eastAsia" w:ascii="仿宋" w:hAnsi="仿宋" w:eastAsia="仿宋"/>
          <w:color w:val="000000"/>
          <w:sz w:val="32"/>
          <w:szCs w:val="32"/>
          <w:lang w:val="en-US" w:eastAsia="zh-CN"/>
        </w:rPr>
        <w:t>1.81万元、</w:t>
      </w:r>
      <w:r>
        <w:rPr>
          <w:rFonts w:hint="eastAsia" w:ascii="仿宋" w:hAnsi="仿宋" w:eastAsia="仿宋"/>
          <w:color w:val="000000"/>
          <w:sz w:val="32"/>
          <w:szCs w:val="32"/>
        </w:rPr>
        <w:t>其他社会保障缴费</w:t>
      </w:r>
      <w:r>
        <w:rPr>
          <w:rFonts w:hint="eastAsia" w:ascii="仿宋" w:hAnsi="仿宋" w:eastAsia="仿宋"/>
          <w:color w:val="000000"/>
          <w:sz w:val="32"/>
          <w:szCs w:val="32"/>
          <w:lang w:val="en-US" w:eastAsia="zh-CN"/>
        </w:rPr>
        <w:t>2.54万元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住房公积金</w:t>
      </w:r>
      <w:r>
        <w:rPr>
          <w:rFonts w:hint="eastAsia" w:ascii="仿宋" w:hAnsi="仿宋" w:eastAsia="仿宋"/>
          <w:color w:val="000000"/>
          <w:sz w:val="32"/>
          <w:szCs w:val="32"/>
          <w:lang w:val="en-US" w:eastAsia="zh-CN"/>
        </w:rPr>
        <w:t>21.62万元</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日常公用经费</w:t>
      </w:r>
      <w:r>
        <w:rPr>
          <w:rFonts w:hint="eastAsia" w:ascii="仿宋" w:hAnsi="仿宋" w:eastAsia="仿宋"/>
          <w:color w:val="000000"/>
          <w:sz w:val="32"/>
          <w:szCs w:val="32"/>
          <w:lang w:val="en-US" w:eastAsia="zh-CN"/>
        </w:rPr>
        <w:t>22.63</w:t>
      </w:r>
      <w:r>
        <w:rPr>
          <w:rFonts w:hint="eastAsia" w:ascii="仿宋" w:hAnsi="仿宋" w:eastAsia="仿宋"/>
          <w:color w:val="000000"/>
          <w:sz w:val="32"/>
          <w:szCs w:val="32"/>
        </w:rPr>
        <w:t>万元，主要包括：办公费</w:t>
      </w:r>
      <w:r>
        <w:rPr>
          <w:rFonts w:hint="eastAsia" w:ascii="仿宋" w:hAnsi="仿宋" w:eastAsia="仿宋"/>
          <w:color w:val="000000"/>
          <w:sz w:val="32"/>
          <w:szCs w:val="32"/>
          <w:lang w:val="en-US" w:eastAsia="zh-CN"/>
        </w:rPr>
        <w:t>18.49万元</w:t>
      </w:r>
      <w:r>
        <w:rPr>
          <w:rFonts w:hint="eastAsia" w:ascii="仿宋" w:hAnsi="仿宋" w:eastAsia="仿宋"/>
          <w:color w:val="000000"/>
          <w:sz w:val="32"/>
          <w:szCs w:val="32"/>
        </w:rPr>
        <w:t>、印刷费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手续费0万元、水费0万元、</w:t>
      </w:r>
      <w:r>
        <w:rPr>
          <w:rFonts w:hint="eastAsia" w:ascii="仿宋" w:hAnsi="仿宋" w:eastAsia="仿宋"/>
          <w:color w:val="000000"/>
          <w:sz w:val="32"/>
          <w:szCs w:val="32"/>
        </w:rPr>
        <w:t>电费</w:t>
      </w:r>
      <w:r>
        <w:rPr>
          <w:rFonts w:hint="eastAsia" w:ascii="仿宋" w:hAnsi="仿宋" w:eastAsia="仿宋"/>
          <w:color w:val="000000"/>
          <w:sz w:val="32"/>
          <w:szCs w:val="32"/>
          <w:lang w:val="en-US" w:eastAsia="zh-CN"/>
        </w:rPr>
        <w:t>2万元</w:t>
      </w:r>
      <w:r>
        <w:rPr>
          <w:rFonts w:hint="eastAsia" w:ascii="仿宋" w:hAnsi="仿宋" w:eastAsia="仿宋"/>
          <w:color w:val="000000"/>
          <w:sz w:val="32"/>
          <w:szCs w:val="32"/>
        </w:rPr>
        <w:t>、邮电费</w:t>
      </w:r>
      <w:r>
        <w:rPr>
          <w:rFonts w:hint="eastAsia" w:ascii="仿宋" w:hAnsi="仿宋" w:eastAsia="仿宋"/>
          <w:color w:val="000000"/>
          <w:sz w:val="32"/>
          <w:szCs w:val="32"/>
          <w:lang w:val="en-US" w:eastAsia="zh-CN"/>
        </w:rPr>
        <w:t>2.13万元</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取暖费0.77万元、</w:t>
      </w:r>
      <w:r>
        <w:rPr>
          <w:rFonts w:hint="eastAsia" w:ascii="仿宋" w:hAnsi="仿宋" w:eastAsia="仿宋"/>
          <w:color w:val="000000"/>
          <w:sz w:val="32"/>
          <w:szCs w:val="32"/>
        </w:rPr>
        <w:t>差旅费</w:t>
      </w:r>
      <w:r>
        <w:rPr>
          <w:rFonts w:hint="eastAsia" w:ascii="仿宋" w:hAnsi="仿宋" w:eastAsia="仿宋"/>
          <w:color w:val="000000"/>
          <w:sz w:val="32"/>
          <w:szCs w:val="32"/>
          <w:lang w:val="en-US" w:eastAsia="zh-CN"/>
        </w:rPr>
        <w:t>2万元</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维修（护）费0万元、会议费0万元、</w:t>
      </w:r>
      <w:r>
        <w:rPr>
          <w:rFonts w:hint="eastAsia" w:ascii="仿宋" w:hAnsi="仿宋" w:eastAsia="仿宋"/>
          <w:color w:val="000000"/>
          <w:sz w:val="32"/>
          <w:szCs w:val="32"/>
        </w:rPr>
        <w:t>培训费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、公务接待费</w:t>
      </w:r>
      <w:r>
        <w:rPr>
          <w:rFonts w:hint="eastAsia" w:ascii="仿宋" w:hAnsi="仿宋" w:eastAsia="仿宋"/>
          <w:color w:val="000000"/>
          <w:sz w:val="32"/>
          <w:szCs w:val="32"/>
          <w:lang w:val="en-US" w:eastAsia="zh-CN"/>
        </w:rPr>
        <w:t>0万元、劳务费0.68万元、委托业务费0万元、工会经费1.98万元、</w:t>
      </w:r>
      <w:r>
        <w:rPr>
          <w:rFonts w:hint="eastAsia" w:ascii="仿宋" w:hAnsi="仿宋" w:eastAsia="仿宋"/>
          <w:color w:val="000000"/>
          <w:sz w:val="32"/>
          <w:szCs w:val="32"/>
        </w:rPr>
        <w:t>公务用车运行维护费</w:t>
      </w:r>
      <w:r>
        <w:rPr>
          <w:rFonts w:hint="eastAsia" w:ascii="仿宋" w:hAnsi="仿宋" w:eastAsia="仿宋"/>
          <w:color w:val="000000"/>
          <w:sz w:val="32"/>
          <w:szCs w:val="32"/>
          <w:lang w:val="en-US" w:eastAsia="zh-CN"/>
        </w:rPr>
        <w:t>2.58万元</w:t>
      </w:r>
      <w:r>
        <w:rPr>
          <w:rFonts w:hint="eastAsia" w:ascii="仿宋" w:hAnsi="仿宋" w:eastAsia="仿宋"/>
          <w:color w:val="000000"/>
          <w:sz w:val="32"/>
          <w:szCs w:val="32"/>
        </w:rPr>
        <w:t>。</w:t>
      </w:r>
    </w:p>
    <w:p>
      <w:pPr>
        <w:spacing w:line="600" w:lineRule="exact"/>
        <w:ind w:firstLine="640"/>
        <w:outlineLvl w:val="1"/>
        <w:rPr>
          <w:rStyle w:val="31"/>
          <w:rFonts w:ascii="黑体" w:hAnsi="黑体" w:eastAsia="黑体"/>
          <w:b w:val="0"/>
        </w:rPr>
      </w:pPr>
      <w:bookmarkStart w:id="59" w:name="_Toc15377215"/>
      <w:bookmarkStart w:id="60" w:name="_Toc31601"/>
      <w:bookmarkStart w:id="61" w:name="_Toc15396609"/>
      <w:r>
        <w:rPr>
          <w:rFonts w:hint="eastAsia" w:ascii="黑体" w:eastAsia="黑体"/>
          <w:color w:val="000000"/>
          <w:sz w:val="32"/>
          <w:szCs w:val="32"/>
          <w:lang w:val="en-US" w:eastAsia="zh-CN"/>
        </w:rPr>
        <w:t>九</w:t>
      </w:r>
      <w:r>
        <w:rPr>
          <w:rFonts w:hint="eastAsia" w:ascii="黑体" w:eastAsia="黑体"/>
          <w:color w:val="000000"/>
          <w:sz w:val="32"/>
          <w:szCs w:val="32"/>
        </w:rPr>
        <w:t>、</w:t>
      </w:r>
      <w:r>
        <w:rPr>
          <w:rStyle w:val="31"/>
          <w:rFonts w:hint="eastAsia" w:ascii="黑体" w:hAnsi="黑体" w:eastAsia="黑体"/>
        </w:rPr>
        <w:t>“</w:t>
      </w:r>
      <w:r>
        <w:rPr>
          <w:rStyle w:val="31"/>
          <w:rFonts w:hint="eastAsia" w:ascii="黑体" w:hAnsi="黑体" w:eastAsia="黑体"/>
          <w:b w:val="0"/>
        </w:rPr>
        <w:t>三公”经费财政拨款支出决算情况说明</w:t>
      </w:r>
      <w:bookmarkEnd w:id="59"/>
      <w:bookmarkEnd w:id="60"/>
      <w:bookmarkEnd w:id="61"/>
    </w:p>
    <w:p>
      <w:pPr>
        <w:spacing w:line="600" w:lineRule="exact"/>
        <w:ind w:firstLine="640"/>
        <w:outlineLvl w:val="2"/>
        <w:rPr>
          <w:rFonts w:ascii="仿宋" w:hAnsi="仿宋" w:eastAsia="仿宋"/>
          <w:b/>
          <w:color w:val="000000"/>
          <w:sz w:val="32"/>
          <w:szCs w:val="32"/>
        </w:rPr>
      </w:pPr>
      <w:bookmarkStart w:id="62" w:name="_Toc15377216"/>
      <w:r>
        <w:rPr>
          <w:rFonts w:hint="eastAsia" w:ascii="仿宋" w:hAnsi="仿宋" w:eastAsia="仿宋"/>
          <w:b/>
          <w:color w:val="000000"/>
          <w:sz w:val="32"/>
          <w:szCs w:val="32"/>
        </w:rPr>
        <w:t>（一）“三公”经费财政拨款支出决算总体情况说明</w:t>
      </w:r>
      <w:bookmarkEnd w:id="62"/>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lang w:val="en-US" w:eastAsia="zh-CN"/>
        </w:rPr>
        <w:t>2022</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8.47</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，决算数与预算数持平。</w:t>
      </w:r>
    </w:p>
    <w:p>
      <w:pPr>
        <w:spacing w:line="600" w:lineRule="exact"/>
        <w:ind w:firstLine="640"/>
        <w:outlineLvl w:val="2"/>
        <w:rPr>
          <w:rFonts w:ascii="仿宋" w:hAnsi="仿宋" w:eastAsia="仿宋"/>
          <w:b/>
          <w:color w:val="000000"/>
          <w:sz w:val="32"/>
          <w:szCs w:val="32"/>
        </w:rPr>
      </w:pPr>
      <w:bookmarkStart w:id="63" w:name="_Toc15377217"/>
      <w:r>
        <w:rPr>
          <w:rFonts w:hint="eastAsia" w:ascii="仿宋" w:hAnsi="仿宋" w:eastAsia="仿宋"/>
          <w:b/>
          <w:color w:val="000000"/>
          <w:sz w:val="32"/>
          <w:szCs w:val="32"/>
        </w:rPr>
        <w:t>（二）“三公”经费财政拨款支出决算具体情况说明</w:t>
      </w:r>
      <w:bookmarkEnd w:id="63"/>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lang w:eastAsia="zh-CN"/>
        </w:rPr>
        <w:t>202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8.31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98.11</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0.16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1.89</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rPr>
        <w:t>（图7：“三公”经费财政拨款支出结构）（饼状图）</w:t>
      </w:r>
    </w:p>
    <w:p>
      <w:pPr>
        <w:pStyle w:val="2"/>
        <w:rPr>
          <w:rFonts w:hint="eastAsia" w:eastAsia="宋体"/>
          <w:lang w:eastAsia="zh-CN"/>
        </w:rPr>
      </w:pPr>
      <w:r>
        <w:rPr>
          <w:rFonts w:hint="eastAsia" w:eastAsia="宋体"/>
          <w:lang w:eastAsia="zh-CN"/>
        </w:rPr>
        <w:drawing>
          <wp:inline distT="0" distB="0" distL="114300" distR="114300">
            <wp:extent cx="4577080" cy="2651760"/>
            <wp:effectExtent l="4445" t="5080" r="15875" b="1016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numPr>
          <w:ilvl w:val="0"/>
          <w:numId w:val="2"/>
        </w:numPr>
        <w:spacing w:line="600" w:lineRule="exact"/>
        <w:ind w:firstLine="640"/>
        <w:rPr>
          <w:rFonts w:hint="eastAsia" w:ascii="仿宋_GB2312" w:eastAsia="仿宋_GB2312"/>
          <w:color w:val="000000"/>
          <w:sz w:val="32"/>
          <w:szCs w:val="32"/>
          <w:lang w:eastAsia="zh-CN"/>
        </w:rPr>
      </w:pP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0"/>
          <w:rFonts w:hint="eastAsia" w:ascii="仿宋" w:hAnsi="仿宋" w:eastAsia="仿宋"/>
          <w:b w:val="0"/>
          <w:bCs/>
          <w:color w:val="000000"/>
          <w:sz w:val="32"/>
          <w:szCs w:val="32"/>
        </w:rPr>
        <w:t>完成预算</w:t>
      </w:r>
      <w:r>
        <w:rPr>
          <w:rStyle w:val="20"/>
          <w:rFonts w:hint="eastAsia" w:ascii="仿宋" w:hAnsi="仿宋" w:eastAsia="仿宋"/>
          <w:b w:val="0"/>
          <w:bCs/>
          <w:color w:val="000000"/>
          <w:sz w:val="32"/>
          <w:szCs w:val="32"/>
          <w:lang w:val="en-US" w:eastAsia="zh-CN"/>
        </w:rPr>
        <w:t>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hint="eastAsia" w:ascii="仿宋_GB2312" w:eastAsia="仿宋_GB2312"/>
          <w:color w:val="000000"/>
          <w:sz w:val="32"/>
          <w:szCs w:val="32"/>
          <w:lang w:val="en-US" w:eastAsia="zh-CN"/>
        </w:rPr>
        <w:t>2021</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持平。</w:t>
      </w:r>
    </w:p>
    <w:p>
      <w:pPr>
        <w:spacing w:line="600" w:lineRule="exact"/>
        <w:ind w:firstLine="640"/>
        <w:rPr>
          <w:rFonts w:hint="eastAsia" w:ascii="仿宋_GB2312" w:eastAsia="仿宋_GB2312"/>
          <w:b/>
          <w:color w:val="000000"/>
          <w:sz w:val="32"/>
          <w:szCs w:val="32"/>
          <w:lang w:val="en-US" w:eastAsia="zh-CN"/>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8.31</w:t>
      </w:r>
      <w:r>
        <w:rPr>
          <w:rFonts w:hint="eastAsia" w:ascii="仿宋_GB2312" w:eastAsia="仿宋_GB2312"/>
          <w:color w:val="000000"/>
          <w:sz w:val="32"/>
          <w:szCs w:val="32"/>
        </w:rPr>
        <w:t>万元,</w:t>
      </w:r>
      <w:r>
        <w:rPr>
          <w:rStyle w:val="20"/>
          <w:rFonts w:hint="eastAsia" w:ascii="仿宋" w:hAnsi="仿宋" w:eastAsia="仿宋"/>
          <w:b w:val="0"/>
          <w:bCs/>
          <w:color w:val="000000"/>
          <w:sz w:val="32"/>
          <w:szCs w:val="32"/>
        </w:rPr>
        <w:t>完成预算</w:t>
      </w:r>
      <w:r>
        <w:rPr>
          <w:rStyle w:val="20"/>
          <w:rFonts w:hint="eastAsia" w:ascii="仿宋" w:hAnsi="仿宋" w:eastAsia="仿宋"/>
          <w:b w:val="0"/>
          <w:bCs/>
          <w:color w:val="000000"/>
          <w:sz w:val="32"/>
          <w:szCs w:val="32"/>
          <w:lang w:val="en-US" w:eastAsia="zh-CN"/>
        </w:rPr>
        <w:t>100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hint="eastAsia" w:ascii="仿宋_GB2312" w:eastAsia="仿宋_GB2312"/>
          <w:color w:val="000000"/>
          <w:sz w:val="32"/>
          <w:szCs w:val="32"/>
          <w:lang w:val="en-US" w:eastAsia="zh-CN"/>
        </w:rPr>
        <w:t>2021</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增加</w:t>
      </w:r>
    </w:p>
    <w:p>
      <w:pPr>
        <w:spacing w:line="60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ascii="仿宋_GB2312" w:eastAsia="仿宋_GB2312"/>
          <w:color w:val="000000"/>
          <w:sz w:val="32"/>
          <w:szCs w:val="32"/>
        </w:rPr>
        <w:t>元。</w:t>
      </w: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辆，其中：轿车</w:t>
      </w:r>
      <w:r>
        <w:rPr>
          <w:rFonts w:ascii="仿宋_GB2312" w:eastAsia="仿宋_GB2312"/>
          <w:color w:val="000000"/>
          <w:sz w:val="32"/>
          <w:szCs w:val="32"/>
        </w:rPr>
        <w:t>1</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 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b/>
          <w:color w:val="000000"/>
          <w:sz w:val="32"/>
          <w:szCs w:val="32"/>
          <w:lang w:val="en-US" w:eastAsia="zh-CN"/>
        </w:rPr>
        <w:t>8.31</w:t>
      </w:r>
      <w:r>
        <w:rPr>
          <w:rFonts w:hint="eastAsia" w:ascii="仿宋_GB2312" w:eastAsia="仿宋_GB2312"/>
          <w:color w:val="000000"/>
          <w:sz w:val="32"/>
          <w:szCs w:val="32"/>
        </w:rPr>
        <w:t>万元。主要用于主要用于到县城开会、办事等所需的公务用车燃料费、维修费、保险费等支出。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0.16</w:t>
      </w:r>
      <w:r>
        <w:rPr>
          <w:rFonts w:hint="eastAsia" w:ascii="仿宋_GB2312" w:eastAsia="仿宋_GB2312"/>
          <w:color w:val="000000"/>
          <w:sz w:val="32"/>
          <w:szCs w:val="32"/>
        </w:rPr>
        <w:t>万元，</w:t>
      </w:r>
      <w:r>
        <w:rPr>
          <w:rStyle w:val="20"/>
          <w:rFonts w:hint="eastAsia" w:ascii="仿宋" w:hAnsi="仿宋" w:eastAsia="仿宋"/>
          <w:b w:val="0"/>
          <w:bCs/>
          <w:color w:val="000000"/>
          <w:sz w:val="32"/>
          <w:szCs w:val="32"/>
        </w:rPr>
        <w:t>完成预算</w:t>
      </w:r>
      <w:r>
        <w:rPr>
          <w:rStyle w:val="20"/>
          <w:rFonts w:hint="eastAsia" w:ascii="仿宋" w:hAnsi="仿宋" w:eastAsia="仿宋"/>
          <w:b w:val="0"/>
          <w:bCs/>
          <w:color w:val="000000"/>
          <w:sz w:val="32"/>
          <w:szCs w:val="32"/>
          <w:lang w:val="en-US" w:eastAsia="zh-CN"/>
        </w:rPr>
        <w:t>100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w:t>
      </w:r>
      <w:r>
        <w:rPr>
          <w:rFonts w:hint="eastAsia" w:ascii="仿宋_GB2312" w:eastAsia="仿宋_GB2312"/>
          <w:color w:val="000000"/>
          <w:sz w:val="32"/>
          <w:szCs w:val="32"/>
          <w:lang w:val="en-US" w:eastAsia="zh-CN"/>
        </w:rPr>
        <w:t>与2021</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减少。</w:t>
      </w:r>
    </w:p>
    <w:p>
      <w:pPr>
        <w:spacing w:line="600" w:lineRule="exact"/>
        <w:ind w:firstLine="643" w:firstLineChars="20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万元，主要用于执行公务、开展业务活动开支的交通费、住宿费、用餐费等。国内公务接待</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人次（包括陪同人员）。</w:t>
      </w:r>
    </w:p>
    <w:p>
      <w:pPr>
        <w:spacing w:line="600" w:lineRule="exact"/>
        <w:ind w:firstLine="643" w:firstLineChars="200"/>
        <w:rPr>
          <w:rFonts w:ascii="黑体" w:eastAsia="黑体"/>
          <w:color w:val="000000"/>
          <w:sz w:val="32"/>
          <w:szCs w:val="32"/>
        </w:rPr>
      </w:pPr>
      <w:r>
        <w:rPr>
          <w:rFonts w:hint="eastAsia" w:ascii="仿宋" w:hAnsi="仿宋" w:eastAsia="仿宋"/>
          <w:b/>
          <w:color w:val="000000"/>
          <w:sz w:val="32"/>
          <w:szCs w:val="32"/>
        </w:rPr>
        <w:t>外事接待支出</w:t>
      </w:r>
      <w:r>
        <w:rPr>
          <w:rFonts w:ascii="仿宋" w:hAnsi="仿宋" w:eastAsia="仿宋"/>
          <w:color w:val="000000"/>
          <w:sz w:val="32"/>
          <w:szCs w:val="32"/>
        </w:rPr>
        <w:t>0</w:t>
      </w:r>
      <w:r>
        <w:rPr>
          <w:rFonts w:hint="eastAsia" w:ascii="仿宋_GB2312" w:eastAsia="仿宋_GB2312"/>
          <w:color w:val="000000"/>
          <w:sz w:val="32"/>
          <w:szCs w:val="32"/>
        </w:rPr>
        <w:t>万元，外事接待</w:t>
      </w:r>
      <w:r>
        <w:rPr>
          <w:rFonts w:ascii="仿宋_GB2312" w:eastAsia="仿宋_GB2312"/>
          <w:color w:val="000000"/>
          <w:sz w:val="32"/>
          <w:szCs w:val="32"/>
        </w:rPr>
        <w:t>0</w:t>
      </w:r>
      <w:r>
        <w:rPr>
          <w:rFonts w:hint="eastAsia" w:ascii="仿宋_GB2312" w:eastAsia="仿宋_GB2312"/>
          <w:color w:val="000000"/>
          <w:sz w:val="32"/>
          <w:szCs w:val="32"/>
        </w:rPr>
        <w:t>批次，</w:t>
      </w:r>
      <w:r>
        <w:rPr>
          <w:rFonts w:ascii="仿宋_GB2312" w:eastAsia="仿宋_GB2312"/>
          <w:color w:val="000000"/>
          <w:sz w:val="32"/>
          <w:szCs w:val="32"/>
        </w:rPr>
        <w:t>0</w:t>
      </w:r>
      <w:r>
        <w:rPr>
          <w:rFonts w:hint="eastAsia" w:ascii="仿宋_GB2312" w:eastAsia="仿宋_GB2312"/>
          <w:color w:val="000000"/>
          <w:sz w:val="32"/>
          <w:szCs w:val="32"/>
        </w:rPr>
        <w:t>人，共计支出</w:t>
      </w:r>
      <w:r>
        <w:rPr>
          <w:rFonts w:ascii="仿宋_GB2312" w:eastAsia="仿宋_GB2312"/>
          <w:color w:val="000000"/>
          <w:sz w:val="32"/>
          <w:szCs w:val="32"/>
        </w:rPr>
        <w:t>0</w:t>
      </w:r>
      <w:r>
        <w:rPr>
          <w:rFonts w:hint="eastAsia" w:ascii="仿宋_GB2312" w:eastAsia="仿宋_GB2312"/>
          <w:color w:val="000000"/>
          <w:sz w:val="32"/>
          <w:szCs w:val="32"/>
        </w:rPr>
        <w:t>万元，主要用于接待</w:t>
      </w:r>
      <w:r>
        <w:rPr>
          <w:rFonts w:ascii="仿宋_GB2312" w:eastAsia="仿宋_GB2312"/>
          <w:color w:val="000000"/>
          <w:sz w:val="32"/>
          <w:szCs w:val="32"/>
        </w:rPr>
        <w:t>0</w:t>
      </w:r>
      <w:r>
        <w:rPr>
          <w:rFonts w:hint="eastAsia" w:ascii="仿宋_GB2312" w:eastAsia="仿宋_GB2312"/>
          <w:color w:val="000000"/>
          <w:sz w:val="32"/>
          <w:szCs w:val="32"/>
        </w:rPr>
        <w:t>。</w:t>
      </w:r>
      <w:r>
        <w:rPr>
          <w:rFonts w:ascii="仿宋_GB2312" w:eastAsia="仿宋_GB2312"/>
          <w:color w:val="000000"/>
          <w:sz w:val="32"/>
          <w:szCs w:val="32"/>
        </w:rPr>
        <w:t>0</w:t>
      </w:r>
      <w:bookmarkStart w:id="64" w:name="_Toc15396610"/>
      <w:bookmarkStart w:id="65" w:name="_Toc15377218"/>
    </w:p>
    <w:p>
      <w:pPr>
        <w:spacing w:line="600" w:lineRule="exact"/>
        <w:ind w:firstLine="640"/>
        <w:outlineLvl w:val="1"/>
        <w:rPr>
          <w:rStyle w:val="31"/>
          <w:rFonts w:ascii="黑体" w:hAnsi="黑体" w:eastAsia="黑体"/>
        </w:rPr>
      </w:pPr>
      <w:bookmarkStart w:id="66" w:name="_Toc7119"/>
      <w:r>
        <w:rPr>
          <w:rFonts w:hint="eastAsia" w:ascii="黑体" w:eastAsia="黑体"/>
          <w:color w:val="000000"/>
          <w:sz w:val="32"/>
          <w:szCs w:val="32"/>
          <w:lang w:val="en-US" w:eastAsia="zh-CN"/>
        </w:rPr>
        <w:t>十</w:t>
      </w:r>
      <w:r>
        <w:rPr>
          <w:rFonts w:hint="eastAsia" w:ascii="黑体" w:eastAsia="黑体"/>
          <w:color w:val="000000"/>
          <w:sz w:val="32"/>
          <w:szCs w:val="32"/>
        </w:rPr>
        <w:t>、</w:t>
      </w:r>
      <w:r>
        <w:rPr>
          <w:rStyle w:val="31"/>
          <w:rFonts w:hint="eastAsia" w:ascii="黑体" w:hAnsi="黑体" w:eastAsia="黑体"/>
          <w:b w:val="0"/>
        </w:rPr>
        <w:t>政府性基金预算支出决算情况说明</w:t>
      </w:r>
      <w:bookmarkEnd w:id="64"/>
      <w:bookmarkEnd w:id="65"/>
      <w:bookmarkEnd w:id="66"/>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0"/>
        </w:numPr>
        <w:spacing w:line="600" w:lineRule="exact"/>
        <w:ind w:firstLine="640" w:firstLineChars="200"/>
        <w:outlineLvl w:val="1"/>
        <w:rPr>
          <w:rStyle w:val="31"/>
          <w:rFonts w:ascii="黑体" w:hAnsi="黑体" w:eastAsia="黑体"/>
          <w:b w:val="0"/>
        </w:rPr>
      </w:pPr>
      <w:bookmarkStart w:id="67" w:name="_Toc28488"/>
      <w:bookmarkStart w:id="68" w:name="_Toc15396611"/>
      <w:bookmarkStart w:id="69" w:name="_Toc15377219"/>
      <w:r>
        <w:rPr>
          <w:rStyle w:val="31"/>
          <w:rFonts w:hint="eastAsia" w:ascii="黑体" w:hAnsi="黑体" w:eastAsia="黑体"/>
          <w:b w:val="0"/>
          <w:lang w:val="en-US" w:eastAsia="zh-CN"/>
        </w:rPr>
        <w:t>十一、</w:t>
      </w:r>
      <w:r>
        <w:rPr>
          <w:rStyle w:val="31"/>
          <w:rFonts w:hint="eastAsia" w:ascii="黑体" w:hAnsi="黑体" w:eastAsia="黑体"/>
          <w:b w:val="0"/>
        </w:rPr>
        <w:t>国有资本经营预算支出决算情况说明</w:t>
      </w:r>
      <w:bookmarkEnd w:id="67"/>
      <w:bookmarkEnd w:id="68"/>
      <w:bookmarkEnd w:id="69"/>
    </w:p>
    <w:p>
      <w:pPr>
        <w:spacing w:line="600" w:lineRule="exact"/>
        <w:ind w:firstLine="640"/>
        <w:rPr>
          <w:rFonts w:hint="eastAsia" w:ascii="方正小标宋简体" w:hAnsi="方正小标宋简体" w:eastAsia="仿宋_GB2312" w:cs="方正小标宋简体"/>
          <w:sz w:val="44"/>
          <w:szCs w:val="44"/>
          <w:lang w:eastAsia="zh-CN"/>
        </w:rPr>
      </w:pP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spacing w:line="600" w:lineRule="exact"/>
        <w:ind w:firstLine="800" w:firstLineChars="250"/>
        <w:outlineLvl w:val="1"/>
        <w:rPr>
          <w:rStyle w:val="31"/>
          <w:rFonts w:ascii="黑体" w:hAnsi="黑体" w:eastAsia="黑体"/>
        </w:rPr>
      </w:pPr>
      <w:bookmarkStart w:id="70" w:name="_Toc15377221"/>
      <w:bookmarkStart w:id="71" w:name="_Toc15396612"/>
      <w:bookmarkStart w:id="72" w:name="_Toc18706"/>
      <w:r>
        <w:rPr>
          <w:rFonts w:hint="eastAsia" w:ascii="黑体" w:hAnsi="黑体" w:eastAsia="黑体"/>
          <w:color w:val="000000"/>
          <w:sz w:val="32"/>
          <w:szCs w:val="32"/>
          <w:lang w:val="en-US" w:eastAsia="zh-CN"/>
        </w:rPr>
        <w:t>十二、</w:t>
      </w:r>
      <w:r>
        <w:rPr>
          <w:rStyle w:val="31"/>
          <w:rFonts w:hint="eastAsia" w:ascii="黑体" w:hAnsi="黑体" w:eastAsia="黑体"/>
          <w:b w:val="0"/>
        </w:rPr>
        <w:t>其他重要事项的情况说明</w:t>
      </w:r>
      <w:bookmarkEnd w:id="70"/>
      <w:bookmarkEnd w:id="71"/>
      <w:bookmarkEnd w:id="72"/>
    </w:p>
    <w:p>
      <w:pPr>
        <w:spacing w:line="600" w:lineRule="exact"/>
        <w:ind w:firstLine="643" w:firstLineChars="200"/>
        <w:outlineLvl w:val="2"/>
        <w:rPr>
          <w:rFonts w:ascii="仿宋" w:hAnsi="仿宋" w:eastAsia="仿宋"/>
          <w:color w:val="000000"/>
          <w:sz w:val="32"/>
          <w:szCs w:val="32"/>
        </w:rPr>
      </w:pPr>
      <w:bookmarkStart w:id="73" w:name="_Toc15377222"/>
      <w:r>
        <w:rPr>
          <w:rFonts w:hint="eastAsia" w:ascii="仿宋" w:hAnsi="仿宋" w:eastAsia="仿宋"/>
          <w:b/>
          <w:color w:val="000000"/>
          <w:sz w:val="32"/>
          <w:szCs w:val="32"/>
        </w:rPr>
        <w:t>（一）机关运行经费支出情况</w:t>
      </w:r>
      <w:bookmarkEnd w:id="73"/>
    </w:p>
    <w:p>
      <w:pPr>
        <w:spacing w:line="600" w:lineRule="exact"/>
        <w:ind w:firstLine="640"/>
        <w:rPr>
          <w:rFonts w:hint="eastAsia" w:ascii="仿宋_GB2312" w:eastAsia="仿宋_GB2312"/>
          <w:b/>
          <w:color w:val="000000"/>
          <w:sz w:val="32"/>
          <w:szCs w:val="32"/>
          <w:lang w:eastAsia="zh-CN"/>
        </w:rPr>
      </w:pP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麦洼寺寺庙管理委员</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22.63</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，用于</w:t>
      </w:r>
      <w:r>
        <w:rPr>
          <w:rFonts w:hint="eastAsia" w:ascii="仿宋_GB2312" w:eastAsia="仿宋_GB2312"/>
          <w:color w:val="000000"/>
          <w:sz w:val="32"/>
          <w:szCs w:val="32"/>
          <w:lang w:val="en-US" w:eastAsia="zh-CN"/>
        </w:rPr>
        <w:t>办公费、接待费、邮电费、劳务费、工会经费、</w:t>
      </w:r>
      <w:r>
        <w:rPr>
          <w:rFonts w:hint="eastAsia" w:ascii="仿宋_GB2312" w:eastAsia="仿宋_GB2312"/>
          <w:color w:val="000000"/>
          <w:sz w:val="32"/>
          <w:szCs w:val="32"/>
        </w:rPr>
        <w:t>公务用车运行维护费</w:t>
      </w:r>
      <w:r>
        <w:rPr>
          <w:rFonts w:hint="eastAsia" w:ascii="仿宋_GB2312" w:eastAsia="仿宋_GB2312"/>
          <w:color w:val="000000"/>
          <w:sz w:val="32"/>
          <w:szCs w:val="32"/>
          <w:lang w:eastAsia="zh-CN"/>
        </w:rPr>
        <w:t>，与</w:t>
      </w:r>
      <w:r>
        <w:rPr>
          <w:rFonts w:hint="eastAsia" w:ascii="仿宋_GB2312" w:eastAsia="仿宋_GB2312"/>
          <w:color w:val="000000"/>
          <w:sz w:val="32"/>
          <w:szCs w:val="32"/>
          <w:lang w:val="en-US" w:eastAsia="zh-CN"/>
        </w:rPr>
        <w:t>2021年增加</w:t>
      </w:r>
      <w:r>
        <w:rPr>
          <w:rFonts w:hint="eastAsia" w:ascii="仿宋_GB2312" w:eastAsia="仿宋_GB2312"/>
          <w:color w:val="000000"/>
          <w:sz w:val="32"/>
          <w:szCs w:val="32"/>
          <w:lang w:eastAsia="zh-CN"/>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74" w:name="_Toc15377223"/>
      <w:r>
        <w:rPr>
          <w:rFonts w:hint="eastAsia" w:ascii="仿宋" w:hAnsi="仿宋" w:eastAsia="仿宋"/>
          <w:b/>
          <w:color w:val="000000"/>
          <w:sz w:val="32"/>
          <w:szCs w:val="32"/>
        </w:rPr>
        <w:t>（二）政府采购支出情况</w:t>
      </w:r>
      <w:bookmarkEnd w:id="74"/>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2022</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麦洼寺寺庙管理委员会</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75" w:name="_Toc15377224"/>
      <w:r>
        <w:rPr>
          <w:rFonts w:hint="eastAsia" w:ascii="仿宋" w:hAnsi="仿宋" w:eastAsia="仿宋"/>
          <w:b/>
          <w:color w:val="000000"/>
          <w:sz w:val="32"/>
          <w:szCs w:val="32"/>
        </w:rPr>
        <w:t>（三）国有资产占有使用情况</w:t>
      </w:r>
      <w:bookmarkEnd w:id="75"/>
    </w:p>
    <w:p>
      <w:pPr>
        <w:autoSpaceDE w:val="0"/>
        <w:autoSpaceDN w:val="0"/>
        <w:adjustRightInd w:val="0"/>
        <w:spacing w:line="600" w:lineRule="exact"/>
        <w:ind w:firstLine="640" w:firstLineChars="200"/>
        <w:jc w:val="left"/>
        <w:rPr>
          <w:rFonts w:hint="eastAsia" w:ascii="仿宋_GB2312" w:eastAsia="仿宋_GB2312"/>
          <w:color w:val="000000" w:themeColor="text1"/>
          <w:sz w:val="32"/>
          <w:szCs w:val="32"/>
          <w:lang w:eastAsia="zh-CN"/>
          <w14:textFill>
            <w14:solidFill>
              <w14:schemeClr w14:val="tx1"/>
            </w14:solidFill>
          </w14:textFill>
        </w:rPr>
      </w:pP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themeColor="text1"/>
          <w:sz w:val="32"/>
          <w:szCs w:val="32"/>
          <w:lang w:val="en-US" w:eastAsia="zh-CN"/>
          <w14:textFill>
            <w14:solidFill>
              <w14:schemeClr w14:val="tx1"/>
            </w14:solidFill>
          </w14:textFill>
        </w:rPr>
        <w:t>麦洼寺寺庙管理委员会</w:t>
      </w:r>
      <w:r>
        <w:rPr>
          <w:rFonts w:hint="eastAsia" w:ascii="仿宋_GB2312" w:eastAsia="仿宋_GB2312"/>
          <w:color w:val="000000" w:themeColor="text1"/>
          <w:sz w:val="32"/>
          <w:szCs w:val="32"/>
          <w14:textFill>
            <w14:solidFill>
              <w14:schemeClr w14:val="tx1"/>
            </w14:solidFill>
          </w14:textFill>
        </w:rPr>
        <w:t>共有车辆</w:t>
      </w:r>
      <w:r>
        <w:rPr>
          <w:rFonts w:hint="eastAsia" w:ascii="仿宋_GB2312" w:eastAsia="仿宋_GB2312"/>
          <w:color w:val="000000" w:themeColor="text1"/>
          <w:sz w:val="32"/>
          <w:szCs w:val="32"/>
          <w:lang w:val="en-US" w:eastAsia="zh-CN"/>
          <w14:textFill>
            <w14:solidFill>
              <w14:schemeClr w14:val="tx1"/>
            </w14:solidFill>
          </w14:textFill>
        </w:rPr>
        <w:t>1</w:t>
      </w:r>
      <w:r>
        <w:rPr>
          <w:rFonts w:hint="eastAsia" w:ascii="仿宋_GB2312" w:eastAsia="仿宋_GB2312"/>
          <w:color w:val="000000" w:themeColor="text1"/>
          <w:sz w:val="32"/>
          <w:szCs w:val="32"/>
          <w14:textFill>
            <w14:solidFill>
              <w14:schemeClr w14:val="tx1"/>
            </w14:solidFill>
          </w14:textFill>
        </w:rPr>
        <w:t>辆，其中：部级领导干部用车</w:t>
      </w:r>
      <w:r>
        <w:rPr>
          <w:rFonts w:ascii="仿宋_GB2312" w:eastAsia="仿宋_GB2312"/>
          <w:color w:val="000000" w:themeColor="text1"/>
          <w:sz w:val="32"/>
          <w:szCs w:val="32"/>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辆、一般公务用车</w:t>
      </w:r>
      <w:r>
        <w:rPr>
          <w:rFonts w:hint="eastAsia" w:ascii="仿宋_GB2312" w:eastAsia="仿宋_GB2312"/>
          <w:color w:val="000000" w:themeColor="text1"/>
          <w:sz w:val="32"/>
          <w:szCs w:val="32"/>
          <w:lang w:val="en-US" w:eastAsia="zh-CN"/>
          <w14:textFill>
            <w14:solidFill>
              <w14:schemeClr w14:val="tx1"/>
            </w14:solidFill>
          </w14:textFill>
        </w:rPr>
        <w:t>1</w:t>
      </w:r>
      <w:r>
        <w:rPr>
          <w:rFonts w:hint="eastAsia" w:ascii="仿宋_GB2312" w:eastAsia="仿宋_GB2312"/>
          <w:color w:val="000000" w:themeColor="text1"/>
          <w:sz w:val="32"/>
          <w:szCs w:val="32"/>
          <w14:textFill>
            <w14:solidFill>
              <w14:schemeClr w14:val="tx1"/>
            </w14:solidFill>
          </w14:textFill>
        </w:rPr>
        <w:t>辆</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主要是用于</w:t>
      </w:r>
      <w:r>
        <w:rPr>
          <w:rFonts w:hint="eastAsia" w:ascii="仿宋_GB2312" w:eastAsia="仿宋_GB2312"/>
          <w:color w:val="000000" w:themeColor="text1"/>
          <w:sz w:val="32"/>
          <w:szCs w:val="32"/>
          <w:lang w:eastAsia="zh-CN"/>
          <w14:textFill>
            <w14:solidFill>
              <w14:schemeClr w14:val="tx1"/>
            </w14:solidFill>
          </w14:textFill>
        </w:rPr>
        <w:t>日常出差使用。</w:t>
      </w:r>
    </w:p>
    <w:p>
      <w:pPr>
        <w:autoSpaceDE w:val="0"/>
        <w:autoSpaceDN w:val="0"/>
        <w:adjustRightInd w:val="0"/>
        <w:spacing w:line="600" w:lineRule="exact"/>
        <w:ind w:firstLine="643" w:firstLineChars="200"/>
        <w:jc w:val="left"/>
        <w:outlineLvl w:val="2"/>
        <w:rPr>
          <w:rFonts w:ascii="仿宋" w:hAnsi="仿宋" w:eastAsia="仿宋"/>
          <w:b/>
          <w:color w:val="auto"/>
          <w:sz w:val="32"/>
          <w:szCs w:val="32"/>
        </w:rPr>
      </w:pPr>
      <w:r>
        <w:rPr>
          <w:rFonts w:hint="eastAsia" w:ascii="仿宋" w:hAnsi="仿宋" w:eastAsia="仿宋"/>
          <w:b/>
          <w:color w:val="auto"/>
          <w:sz w:val="32"/>
          <w:szCs w:val="32"/>
        </w:rPr>
        <w:t>（四）预算绩效管理情况。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根据预算绩效管理要求，本单位在年初预算编制阶段组织对</w:t>
      </w:r>
      <w:r>
        <w:rPr>
          <w:rFonts w:hint="eastAsia" w:ascii="仿宋_GB2312" w:hAnsi="仿宋_GB2312" w:eastAsia="仿宋_GB2312" w:cs="仿宋_GB2312"/>
          <w:sz w:val="32"/>
          <w:szCs w:val="32"/>
          <w:lang w:eastAsia="zh-CN"/>
        </w:rPr>
        <w:t>寺庙办公经费、生活补助、三员经费、尼姑寺卫生费等</w:t>
      </w:r>
      <w:r>
        <w:rPr>
          <w:rFonts w:hint="eastAsia" w:ascii="仿宋_GB2312" w:hAnsi="仿宋_GB2312" w:eastAsia="仿宋_GB2312" w:cs="仿宋_GB2312"/>
          <w:sz w:val="32"/>
          <w:szCs w:val="32"/>
        </w:rPr>
        <w:t>开展了预算事前绩效评估，预算执行过程中，选取</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个项目开展了绩效目标完成情况自评。</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年部门整体支出开展绩效自评，从评价情况来看</w:t>
      </w:r>
      <w:r>
        <w:rPr>
          <w:rFonts w:hint="eastAsia" w:ascii="仿宋_GB2312" w:hAnsi="仿宋_GB2312" w:eastAsia="仿宋_GB2312" w:cs="仿宋_GB2312"/>
          <w:bCs/>
          <w:kern w:val="2"/>
          <w:sz w:val="32"/>
          <w:szCs w:val="32"/>
          <w:lang w:val="zh-CN" w:eastAsia="zh-CN" w:bidi="ar-SA"/>
        </w:rPr>
        <w:t>我</w:t>
      </w:r>
      <w:r>
        <w:rPr>
          <w:rFonts w:hint="eastAsia" w:ascii="仿宋_GB2312" w:hAnsi="仿宋_GB2312" w:eastAsia="仿宋_GB2312" w:cs="仿宋_GB2312"/>
          <w:bCs/>
          <w:kern w:val="2"/>
          <w:sz w:val="32"/>
          <w:szCs w:val="32"/>
          <w:lang w:val="en-US" w:eastAsia="zh-CN" w:bidi="ar-SA"/>
        </w:rPr>
        <w:t>单位</w:t>
      </w:r>
      <w:r>
        <w:rPr>
          <w:rFonts w:hint="eastAsia" w:ascii="仿宋_GB2312" w:hAnsi="仿宋_GB2312" w:eastAsia="仿宋_GB2312" w:cs="仿宋_GB2312"/>
          <w:bCs/>
          <w:kern w:val="2"/>
          <w:sz w:val="32"/>
          <w:szCs w:val="32"/>
          <w:lang w:val="zh-CN" w:eastAsia="zh-CN" w:bidi="ar-SA"/>
        </w:rPr>
        <w:t>严格按照年初预算进行部门整体支出，预算资金覆盖我</w:t>
      </w:r>
      <w:r>
        <w:rPr>
          <w:rFonts w:hint="eastAsia" w:ascii="仿宋_GB2312" w:hAnsi="仿宋_GB2312" w:eastAsia="仿宋_GB2312" w:cs="仿宋_GB2312"/>
          <w:bCs/>
          <w:kern w:val="2"/>
          <w:sz w:val="32"/>
          <w:szCs w:val="32"/>
          <w:lang w:val="en-US" w:eastAsia="zh-CN" w:bidi="ar-SA"/>
        </w:rPr>
        <w:t>单位</w:t>
      </w:r>
      <w:r>
        <w:rPr>
          <w:rFonts w:hint="eastAsia" w:ascii="仿宋_GB2312" w:hAnsi="仿宋_GB2312" w:eastAsia="仿宋_GB2312" w:cs="仿宋_GB2312"/>
          <w:bCs/>
          <w:kern w:val="2"/>
          <w:sz w:val="32"/>
          <w:szCs w:val="32"/>
          <w:lang w:val="zh-CN" w:eastAsia="zh-CN" w:bidi="ar-SA"/>
        </w:rPr>
        <w:t>工作的各个方面，按照保工资、保运转、保民生的保障序列科学编制，分配办法科学，考虑的因素必要合理，分配的结果合理，保障了人员经费及单位正常运转。在支出过程中，能严格遵守各项规章制度，“三公经费”有所下降。所有项目都详细制定了方案，严格按方案组织实施，并加强了监督。尤其是在专项经费支出上，我们能专款专用，严格审批程序，按项目实施计划的进度情况进行资金拨付，无截留、无挪用等现象，保障了资金安全</w:t>
      </w:r>
      <w:r>
        <w:rPr>
          <w:rFonts w:hint="eastAsia" w:ascii="仿宋_GB2312" w:hAnsi="仿宋_GB2312" w:eastAsia="仿宋_GB2312" w:cs="仿宋_GB2312"/>
          <w:sz w:val="32"/>
          <w:szCs w:val="32"/>
        </w:rPr>
        <w:t>。</w:t>
      </w:r>
    </w:p>
    <w:p>
      <w:pPr>
        <w:numPr>
          <w:ilvl w:val="0"/>
          <w:numId w:val="3"/>
        </w:numPr>
        <w:spacing w:line="580" w:lineRule="exact"/>
        <w:ind w:firstLine="640" w:firstLineChars="200"/>
        <w:rPr>
          <w:rFonts w:hint="eastAsia" w:ascii="仿宋_GB2312" w:hAnsi="仿宋_GB2312" w:eastAsia="仿宋_GB2312" w:cs="仿宋_GB2312"/>
          <w:bCs/>
          <w:kern w:val="2"/>
          <w:sz w:val="32"/>
          <w:szCs w:val="32"/>
          <w:lang w:val="zh-CN" w:eastAsia="zh-CN" w:bidi="ar-SA"/>
        </w:rPr>
      </w:pPr>
      <w:r>
        <w:rPr>
          <w:rFonts w:hint="eastAsia" w:ascii="仿宋_GB2312" w:hAnsi="仿宋_GB2312" w:eastAsia="仿宋_GB2312" w:cs="仿宋_GB2312"/>
          <w:bCs/>
          <w:kern w:val="2"/>
          <w:sz w:val="32"/>
          <w:szCs w:val="32"/>
          <w:lang w:val="zh-CN" w:eastAsia="zh-CN" w:bidi="ar-SA"/>
        </w:rPr>
        <w:t>项目绩效目标完成情况。</w:t>
      </w:r>
    </w:p>
    <w:p>
      <w:pPr>
        <w:widowControl/>
        <w:jc w:val="left"/>
        <w:textAlignment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sz w:val="32"/>
          <w:szCs w:val="32"/>
          <w:lang w:eastAsia="zh-CN"/>
        </w:rPr>
        <w:t>寺庙办公经费、生活补助、三员经费</w:t>
      </w:r>
      <w:r>
        <w:rPr>
          <w:rFonts w:hint="eastAsia" w:ascii="仿宋_GB2312" w:hAnsi="仿宋_GB2312" w:eastAsia="仿宋_GB2312" w:cs="仿宋_GB2312"/>
          <w:sz w:val="32"/>
          <w:szCs w:val="32"/>
        </w:rPr>
        <w:t>绩效目标完成情况综述。项目全年预算数</w:t>
      </w:r>
      <w:r>
        <w:rPr>
          <w:rFonts w:hint="eastAsia" w:ascii="仿宋_GB2312" w:hAnsi="仿宋_GB2312" w:eastAsia="仿宋_GB2312" w:cs="仿宋_GB2312"/>
          <w:sz w:val="32"/>
          <w:szCs w:val="32"/>
          <w:lang w:val="en-US" w:eastAsia="zh-CN"/>
        </w:rPr>
        <w:t>160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15.9987</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val="en-US" w:eastAsia="zh-CN"/>
        </w:rPr>
        <w:t>是改善</w:t>
      </w:r>
      <w:r>
        <w:rPr>
          <w:rFonts w:hint="eastAsia" w:ascii="仿宋_GB2312" w:hAnsi="仿宋_GB2312" w:eastAsia="仿宋_GB2312" w:cs="仿宋_GB2312"/>
          <w:sz w:val="32"/>
          <w:szCs w:val="32"/>
          <w:lang w:eastAsia="zh-CN"/>
        </w:rPr>
        <w:t>提升县级党校办学质量，让广大基层党员干部享受到更丰富、更高质量的培训“大餐”</w:t>
      </w:r>
      <w:r>
        <w:rPr>
          <w:rFonts w:hint="eastAsia" w:ascii="仿宋_GB2312" w:hAnsi="仿宋_GB2312" w:eastAsia="仿宋_GB2312" w:cs="仿宋_GB2312"/>
          <w:sz w:val="32"/>
          <w:szCs w:val="32"/>
          <w:lang w:val="en-US" w:eastAsia="zh-CN"/>
        </w:rPr>
        <w:t>。</w:t>
      </w:r>
    </w:p>
    <w:tbl>
      <w:tblPr>
        <w:tblStyle w:val="18"/>
        <w:tblW w:w="9522" w:type="dxa"/>
        <w:tblInd w:w="0" w:type="dxa"/>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CellMar>
            <w:top w:w="15" w:type="dxa"/>
            <w:left w:w="15" w:type="dxa"/>
            <w:bottom w:w="15" w:type="dxa"/>
            <w:right w:w="15" w:type="dxa"/>
          </w:tblCellMar>
        </w:tblPrEx>
        <w:trPr>
          <w:trHeight w:val="685" w:hRule="atLeast"/>
        </w:trPr>
        <w:tc>
          <w:tcPr>
            <w:tcW w:w="9522" w:type="dxa"/>
            <w:gridSpan w:val="8"/>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项目支出绩效目标完成情况表</w:t>
            </w:r>
          </w:p>
        </w:tc>
      </w:tr>
      <w:tr>
        <w:tblPrEx>
          <w:tblCellMar>
            <w:top w:w="15" w:type="dxa"/>
            <w:left w:w="15" w:type="dxa"/>
            <w:bottom w:w="15" w:type="dxa"/>
            <w:right w:w="15" w:type="dxa"/>
          </w:tblCellMar>
        </w:tblPrEx>
        <w:trPr>
          <w:trHeight w:val="878"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仿宋_GB2312" w:hAnsi="仿宋_GB2312" w:eastAsia="仿宋_GB2312" w:cs="仿宋_GB2312"/>
                <w:sz w:val="32"/>
                <w:szCs w:val="32"/>
                <w:lang w:eastAsia="zh-CN"/>
              </w:rPr>
              <w:t>寺庙办公经费、生活补助、三员经费、尼姑寺卫生费</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ind w:firstLine="1687" w:firstLineChars="700"/>
              <w:jc w:val="both"/>
              <w:rPr>
                <w:rFonts w:hint="default" w:ascii="宋体" w:eastAsia="宋体" w:cs="宋体"/>
                <w:b/>
                <w:color w:val="000000"/>
                <w:sz w:val="24"/>
                <w:lang w:val="en-US" w:eastAsia="zh-CN"/>
              </w:rPr>
            </w:pPr>
            <w:r>
              <w:rPr>
                <w:rFonts w:hint="eastAsia" w:ascii="宋体" w:hAnsi="宋体" w:cs="宋体"/>
                <w:b/>
                <w:color w:val="000000"/>
                <w:sz w:val="24"/>
              </w:rPr>
              <w:t>红原县</w:t>
            </w:r>
            <w:r>
              <w:rPr>
                <w:rFonts w:hint="eastAsia" w:ascii="宋体" w:hAnsi="宋体" w:cs="宋体"/>
                <w:b/>
                <w:color w:val="000000"/>
                <w:sz w:val="24"/>
                <w:lang w:val="en-US" w:eastAsia="zh-CN"/>
              </w:rPr>
              <w:t>麦洼寺寺庙管理委员会</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预算执行情况</w:t>
            </w:r>
            <w:r>
              <w:rPr>
                <w:rFonts w:ascii="宋体" w:hAnsi="宋体" w:cs="宋体"/>
                <w:color w:val="000000"/>
                <w:kern w:val="0"/>
                <w:sz w:val="20"/>
                <w:szCs w:val="20"/>
              </w:rPr>
              <w:t>(</w:t>
            </w:r>
            <w:r>
              <w:rPr>
                <w:rFonts w:hint="eastAsia" w:ascii="宋体" w:hAnsi="宋体" w:cs="宋体"/>
                <w:color w:val="000000"/>
                <w:kern w:val="0"/>
                <w:sz w:val="20"/>
                <w:szCs w:val="20"/>
              </w:rPr>
              <w:t>万元</w:t>
            </w: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预算数</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hAnsi="Times New Roman" w:cs="宋体"/>
                <w:b/>
                <w:color w:val="000000"/>
                <w:sz w:val="24"/>
                <w:lang w:val="en-US" w:eastAsia="zh-CN"/>
              </w:rPr>
              <w:t>38.56</w:t>
            </w: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执行数</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hAnsi="Times New Roman" w:cs="宋体"/>
                <w:b/>
                <w:color w:val="000000"/>
                <w:sz w:val="24"/>
                <w:lang w:val="en-US" w:eastAsia="zh-CN"/>
              </w:rPr>
              <w:t>38.56</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hAnsi="Times New Roman" w:cs="宋体"/>
                <w:b/>
                <w:color w:val="000000"/>
                <w:sz w:val="24"/>
                <w:lang w:val="en-US" w:eastAsia="zh-CN"/>
              </w:rPr>
              <w:t>38.56</w:t>
            </w: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hAnsi="Times New Roman" w:cs="宋体"/>
                <w:b/>
                <w:color w:val="000000"/>
                <w:sz w:val="24"/>
                <w:lang w:val="en-US" w:eastAsia="zh-CN"/>
              </w:rPr>
              <w:t>38.56</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其它资金</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eastAsia="宋体" w:cs="宋体"/>
                <w:b/>
                <w:color w:val="000000"/>
                <w:sz w:val="24"/>
                <w:lang w:val="en-US" w:eastAsia="zh-CN"/>
              </w:rPr>
            </w:pP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lang w:val="en-US"/>
              </w:rPr>
            </w:pPr>
            <w:r>
              <w:rPr>
                <w:rFonts w:hint="eastAsia" w:ascii="宋体" w:hAnsi="宋体" w:cs="宋体"/>
                <w:b/>
                <w:color w:val="000000"/>
                <w:kern w:val="0"/>
                <w:sz w:val="24"/>
                <w:lang w:val="en-US"/>
              </w:rPr>
              <w:t>预期目标</w:t>
            </w: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lang w:val="en-US"/>
              </w:rPr>
            </w:pPr>
            <w:r>
              <w:rPr>
                <w:rFonts w:hint="eastAsia" w:ascii="宋体" w:hAnsi="宋体" w:cs="宋体"/>
                <w:b/>
                <w:color w:val="000000"/>
                <w:kern w:val="0"/>
                <w:sz w:val="24"/>
                <w:lang w:val="en-US"/>
              </w:rPr>
              <w:t>实际完成目标</w:t>
            </w:r>
          </w:p>
        </w:tc>
      </w:tr>
      <w:tr>
        <w:tblPrEx>
          <w:tblCellMar>
            <w:top w:w="15" w:type="dxa"/>
            <w:left w:w="15" w:type="dxa"/>
            <w:bottom w:w="15" w:type="dxa"/>
            <w:right w:w="15" w:type="dxa"/>
          </w:tblCellMar>
        </w:tblPrEx>
        <w:trPr>
          <w:trHeight w:val="1721"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kern w:val="0"/>
                <w:sz w:val="20"/>
                <w:szCs w:val="20"/>
              </w:rPr>
            </w:pPr>
            <w:r>
              <w:rPr>
                <w:rFonts w:hint="eastAsia" w:ascii="仿宋_GB2312" w:hAnsi="仿宋_GB2312" w:eastAsia="仿宋_GB2312" w:cs="仿宋_GB2312"/>
                <w:sz w:val="24"/>
                <w:szCs w:val="24"/>
                <w:lang w:val="en-US" w:eastAsia="zh-CN"/>
              </w:rPr>
              <w:t>促进民管会成员工作积极性，保障寺庙工作开展。</w:t>
            </w: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促进民管会成员工作积极性，保障寺庙工作开展。</w:t>
            </w:r>
          </w:p>
        </w:tc>
      </w:tr>
      <w:tr>
        <w:tblPrEx>
          <w:tblCellMar>
            <w:top w:w="15" w:type="dxa"/>
            <w:left w:w="15" w:type="dxa"/>
            <w:bottom w:w="15" w:type="dxa"/>
            <w:right w:w="15" w:type="dxa"/>
          </w:tblCellMar>
        </w:tblPrEx>
        <w:trPr>
          <w:trHeight w:val="624"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预期指标值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c>
          <w:tcPr>
            <w:tcW w:w="1931"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实际完成指标值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绩效目标</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项目预期提供的产品、服务、效益或其他目标明确</w:t>
            </w:r>
            <w:r>
              <w:rPr>
                <w:rFonts w:ascii="宋体" w:cs="宋体"/>
                <w:color w:val="000000"/>
                <w:kern w:val="0"/>
                <w:sz w:val="20"/>
                <w:szCs w:val="20"/>
              </w:rPr>
              <w:t>,</w:t>
            </w:r>
            <w:r>
              <w:rPr>
                <w:rFonts w:hint="eastAsia" w:ascii="宋体" w:hAnsi="宋体" w:cs="宋体"/>
                <w:color w:val="000000"/>
                <w:kern w:val="0"/>
                <w:sz w:val="20"/>
                <w:szCs w:val="20"/>
              </w:rPr>
              <w:t>即绩效目标实际明确个数</w:t>
            </w:r>
            <w:r>
              <w:rPr>
                <w:rFonts w:ascii="宋体" w:hAnsi="宋体" w:cs="宋体"/>
                <w:color w:val="000000"/>
                <w:kern w:val="0"/>
                <w:sz w:val="20"/>
                <w:szCs w:val="20"/>
              </w:rPr>
              <w:t>/</w:t>
            </w:r>
            <w:r>
              <w:rPr>
                <w:rFonts w:hint="eastAsia" w:ascii="宋体" w:hAnsi="宋体" w:cs="宋体"/>
                <w:color w:val="000000"/>
                <w:kern w:val="0"/>
                <w:sz w:val="20"/>
                <w:szCs w:val="20"/>
              </w:rPr>
              <w:t>应当明确个数×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eastAsia="zh-CN"/>
              </w:rPr>
              <w:t>社会满意效益</w:t>
            </w:r>
            <w:r>
              <w:rPr>
                <w:rFonts w:hint="eastAsia" w:ascii="宋?" w:cs="宋?"/>
                <w:kern w:val="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hint="eastAsia" w:ascii="宋体" w:hAnsi="宋体" w:cs="宋体"/>
                <w:color w:val="000000"/>
                <w:kern w:val="0"/>
                <w:sz w:val="20"/>
                <w:szCs w:val="20"/>
              </w:rPr>
            </w:pPr>
            <w:r>
              <w:rPr>
                <w:rFonts w:hint="eastAsia" w:ascii="宋?" w:cs="宋?"/>
                <w:kern w:val="0"/>
                <w:sz w:val="20"/>
                <w:szCs w:val="20"/>
                <w:lang w:eastAsia="zh-CN"/>
              </w:rPr>
              <w:t>社会满意效益</w:t>
            </w:r>
            <w:r>
              <w:rPr>
                <w:rFonts w:hint="eastAsia" w:ascii="宋?" w:cs="宋?"/>
                <w:kern w:val="0"/>
                <w:sz w:val="20"/>
                <w:szCs w:val="20"/>
                <w:lang w:val="en-US" w:eastAsia="zh-CN"/>
              </w:rPr>
              <w:t>100%</w:t>
            </w:r>
          </w:p>
        </w:tc>
      </w:tr>
      <w:tr>
        <w:tblPrEx>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目标匹配</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绩效目标设定符合实际需求的抽样项目点个数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100%</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决策依据</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符合</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实施规划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明确</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明确</w:t>
            </w:r>
          </w:p>
        </w:tc>
      </w:tr>
      <w:tr>
        <w:tblPrEx>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资金分配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分配过程</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分配结果</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审核把关</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符合申报条件的抽样项目点个数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eastAsia="宋体" w:cs="宋体"/>
                <w:color w:val="000000"/>
                <w:sz w:val="20"/>
                <w:szCs w:val="20"/>
                <w:lang w:val="en-US" w:eastAsia="zh-CN"/>
              </w:rPr>
            </w:pPr>
            <w:r>
              <w:rPr>
                <w:rFonts w:hint="eastAsia" w:ascii="宋体" w:cs="宋体"/>
                <w:color w:val="00000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100%</w:t>
            </w:r>
          </w:p>
        </w:tc>
      </w:tr>
      <w:tr>
        <w:tblPrEx>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集中</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财政资金占项目资金总额比重较小项目个数</w:t>
            </w:r>
            <w:r>
              <w:rPr>
                <w:rFonts w:ascii="宋体" w:hAnsi="宋体" w:cs="宋体"/>
                <w:color w:val="000000"/>
                <w:kern w:val="0"/>
                <w:sz w:val="20"/>
                <w:szCs w:val="20"/>
              </w:rPr>
              <w:t>/</w:t>
            </w:r>
            <w:r>
              <w:rPr>
                <w:rFonts w:hint="eastAsia" w:ascii="宋体" w:hAnsi="宋体" w:cs="宋体"/>
                <w:color w:val="000000"/>
                <w:kern w:val="0"/>
                <w:sz w:val="20"/>
                <w:szCs w:val="20"/>
              </w:rPr>
              <w:t>项目总数×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100%</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均衡</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ascii="宋体" w:hAnsi="宋体" w:cs="宋体"/>
                <w:color w:val="000000"/>
                <w:kern w:val="0"/>
                <w:sz w:val="20"/>
                <w:szCs w:val="20"/>
              </w:rPr>
              <w:t xml:space="preserve"> </w:t>
            </w:r>
            <w:r>
              <w:rPr>
                <w:rFonts w:hint="eastAsia" w:ascii="宋体" w:hAnsi="宋体" w:cs="宋体"/>
                <w:color w:val="000000"/>
                <w:kern w:val="0"/>
                <w:sz w:val="20"/>
                <w:szCs w:val="20"/>
              </w:rPr>
              <w:t>资金到位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资金管理</w:t>
            </w:r>
            <w:r>
              <w:rPr>
                <w:rFonts w:ascii="宋体" w:hAnsi="宋体" w:cs="宋体"/>
                <w:color w:val="000000"/>
                <w:kern w:val="0"/>
                <w:sz w:val="20"/>
                <w:szCs w:val="20"/>
              </w:rPr>
              <w:t xml:space="preserve">  </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支付依据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资金支付依据符合规定，即支付依旧合规资金量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开支标准</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资金开支标准符合规定，即开支标准合规资金量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财务管理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会计核算规范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组织实施（</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项目调整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投资变更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项目投资变更额</w:t>
            </w:r>
            <w:r>
              <w:rPr>
                <w:rFonts w:ascii="宋体" w:hAnsi="宋体" w:cs="宋体"/>
                <w:color w:val="000000"/>
                <w:kern w:val="0"/>
                <w:sz w:val="20"/>
                <w:szCs w:val="20"/>
              </w:rPr>
              <w:t>/</w:t>
            </w:r>
            <w:r>
              <w:rPr>
                <w:rFonts w:hint="eastAsia" w:ascii="宋体" w:hAnsi="宋体" w:cs="宋体"/>
                <w:color w:val="000000"/>
                <w:kern w:val="0"/>
                <w:sz w:val="20"/>
                <w:szCs w:val="20"/>
              </w:rPr>
              <w:t>项目总投入×</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未出现更改</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未出现更改</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制度执行</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314"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项目完成</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完成数量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实际完成任务量</w:t>
            </w:r>
            <w:r>
              <w:rPr>
                <w:rFonts w:ascii="宋体" w:hAnsi="宋体" w:cs="宋体"/>
                <w:color w:val="000000"/>
                <w:kern w:val="0"/>
                <w:sz w:val="20"/>
                <w:szCs w:val="20"/>
              </w:rPr>
              <w:t>/</w:t>
            </w:r>
            <w:r>
              <w:rPr>
                <w:rFonts w:hint="eastAsia" w:ascii="宋体" w:hAnsi="宋体" w:cs="宋体"/>
                <w:color w:val="000000"/>
                <w:kern w:val="0"/>
                <w:sz w:val="20"/>
                <w:szCs w:val="20"/>
              </w:rPr>
              <w:t>绩效目标设定任务量×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val="en-US" w:eastAsia="zh-CN"/>
              </w:rPr>
              <w:t>100%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完成质量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（实际完成时间</w:t>
            </w:r>
            <w:r>
              <w:rPr>
                <w:rFonts w:asci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完成成本</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（实际完成成本</w:t>
            </w:r>
            <w:r>
              <w:rPr>
                <w:rFonts w:asci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100%</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项目效益</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eastAsia="宋体" w:cs="宋体"/>
                <w:color w:val="000000"/>
                <w:sz w:val="20"/>
                <w:szCs w:val="20"/>
                <w:lang w:val="en-US" w:eastAsia="zh-CN"/>
              </w:rPr>
            </w:pPr>
            <w:r>
              <w:rPr>
                <w:rFonts w:hint="eastAsia" w:ascii="宋?" w:hAnsi="宋?" w:cs="宋?"/>
                <w:sz w:val="20"/>
                <w:szCs w:val="20"/>
                <w:lang w:val="en-US" w:eastAsia="zh-CN"/>
              </w:rPr>
              <w:t>补助标准</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eastAsia="宋体" w:cs="宋体"/>
                <w:color w:val="000000"/>
                <w:sz w:val="20"/>
                <w:szCs w:val="20"/>
                <w:lang w:val="en-US" w:eastAsia="zh-CN"/>
              </w:rPr>
            </w:pPr>
            <w:r>
              <w:rPr>
                <w:rFonts w:hint="eastAsia" w:ascii="宋?" w:hAnsi="宋?" w:cs="宋?"/>
                <w:sz w:val="20"/>
                <w:szCs w:val="20"/>
                <w:lang w:val="en-US" w:eastAsia="zh-CN"/>
              </w:rPr>
              <w:t>补助标准</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仿宋_GB2312" w:hAnsi="仿宋_GB2312" w:eastAsia="仿宋_GB2312" w:cs="仿宋_GB2312"/>
                <w:sz w:val="24"/>
                <w:szCs w:val="24"/>
                <w:lang w:val="en-US" w:eastAsia="zh-CN"/>
              </w:rPr>
              <w:t>促进民管会成员工作积极性，保障寺庙工作开展。</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仿宋_GB2312" w:hAnsi="仿宋_GB2312" w:eastAsia="仿宋_GB2312" w:cs="仿宋_GB2312"/>
                <w:sz w:val="24"/>
                <w:szCs w:val="24"/>
                <w:lang w:val="en-US" w:eastAsia="zh-CN"/>
              </w:rPr>
              <w:t>促进民管会成员工作积极性，保障寺庙工作开展。</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left"/>
              <w:rPr>
                <w:rFonts w:ascii="宋体" w:cs="宋体"/>
                <w:color w:val="000000"/>
                <w:sz w:val="20"/>
                <w:szCs w:val="20"/>
              </w:rPr>
            </w:pPr>
            <w:r>
              <w:rPr>
                <w:rFonts w:hint="eastAsia" w:ascii="仿宋_GB2312" w:hAnsi="仿宋_GB2312" w:eastAsia="仿宋_GB2312" w:cs="仿宋_GB2312"/>
                <w:sz w:val="24"/>
                <w:szCs w:val="24"/>
                <w:lang w:val="en-US" w:eastAsia="zh-CN"/>
              </w:rPr>
              <w:t>促进民管会成员工作积极性，保障寺庙工作开展。</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left"/>
              <w:rPr>
                <w:rFonts w:ascii="宋体" w:cs="宋体"/>
                <w:color w:val="000000"/>
                <w:sz w:val="20"/>
                <w:szCs w:val="20"/>
              </w:rPr>
            </w:pPr>
            <w:r>
              <w:rPr>
                <w:rFonts w:hint="eastAsia" w:ascii="仿宋_GB2312" w:hAnsi="仿宋_GB2312" w:eastAsia="仿宋_GB2312" w:cs="仿宋_GB2312"/>
                <w:sz w:val="24"/>
                <w:szCs w:val="24"/>
                <w:lang w:val="en-US" w:eastAsia="zh-CN"/>
              </w:rPr>
              <w:t>促进民管会成员工作积极性，保障寺庙工作开展。</w:t>
            </w:r>
          </w:p>
        </w:tc>
      </w:tr>
      <w:tr>
        <w:tblPrEx>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满意度</w:t>
            </w:r>
          </w:p>
        </w:tc>
        <w:tc>
          <w:tcPr>
            <w:tcW w:w="7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对本项目事实满意度好。无异议</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bCs/>
                <w:color w:val="000000"/>
                <w:sz w:val="20"/>
                <w:szCs w:val="20"/>
              </w:rPr>
            </w:pPr>
            <w:r>
              <w:rPr>
                <w:rFonts w:hint="eastAsia" w:ascii="宋体" w:hAnsi="宋体" w:cs="宋体"/>
                <w:color w:val="000000"/>
                <w:sz w:val="20"/>
                <w:szCs w:val="20"/>
              </w:rPr>
              <w:t>对本项目事实满意度好。无异议</w:t>
            </w:r>
          </w:p>
        </w:tc>
      </w:tr>
    </w:tbl>
    <w:p>
      <w:pPr>
        <w:pStyle w:val="2"/>
        <w:numPr>
          <w:ilvl w:val="0"/>
          <w:numId w:val="0"/>
        </w:numPr>
        <w:ind w:leftChars="400"/>
        <w:rPr>
          <w:rFonts w:hint="eastAsia"/>
          <w:lang w:val="zh-CN" w:eastAsia="zh-CN"/>
        </w:rPr>
      </w:pPr>
    </w:p>
    <w:p>
      <w:pPr>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2.重点项目预算的绩效评价结果等情况</w:t>
      </w:r>
    </w:p>
    <w:p>
      <w:pPr>
        <w:spacing w:line="58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本部门无重点项目</w:t>
      </w:r>
    </w:p>
    <w:p>
      <w:p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年部门整体支出绩效评价情况开展自评，《</w:t>
      </w:r>
      <w:r>
        <w:rPr>
          <w:rFonts w:hint="eastAsia" w:ascii="仿宋_GB2312" w:eastAsia="仿宋_GB2312"/>
          <w:color w:val="000000" w:themeColor="text1"/>
          <w:sz w:val="32"/>
          <w:szCs w:val="32"/>
          <w:lang w:val="en-US" w:eastAsia="zh-CN"/>
          <w14:textFill>
            <w14:solidFill>
              <w14:schemeClr w14:val="tx1"/>
            </w14:solidFill>
          </w14:textFill>
        </w:rPr>
        <w:t>麦洼寺寺庙管理委员会</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年部门整体支出绩效评价报告》见附件</w:t>
      </w:r>
      <w:r>
        <w:rPr>
          <w:rFonts w:hint="eastAsia" w:ascii="仿宋_GB2312" w:hAnsi="仿宋_GB2312" w:eastAsia="仿宋_GB2312" w:cs="仿宋_GB2312"/>
          <w:sz w:val="32"/>
          <w:szCs w:val="32"/>
          <w:lang w:eastAsia="zh-CN"/>
        </w:rPr>
        <w:t>（附件</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pPr>
        <w:numPr>
          <w:ilvl w:val="0"/>
          <w:numId w:val="0"/>
        </w:numPr>
        <w:spacing w:line="580" w:lineRule="exact"/>
        <w:ind w:firstLine="640" w:firstLineChars="200"/>
        <w:rPr>
          <w:rFonts w:ascii="仿宋_GB2312" w:hAnsi="仿宋_GB2312" w:eastAsia="仿宋_GB2312" w:cs="仿宋_GB2312"/>
          <w:sz w:val="32"/>
          <w:szCs w:val="32"/>
        </w:rPr>
      </w:pP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4"/>
        </w:numPr>
        <w:spacing w:line="600" w:lineRule="exact"/>
        <w:ind w:firstLine="660" w:firstLineChars="150"/>
        <w:jc w:val="center"/>
        <w:outlineLvl w:val="0"/>
        <w:rPr>
          <w:rStyle w:val="30"/>
          <w:rFonts w:ascii="黑体" w:hAnsi="黑体" w:eastAsia="黑体"/>
          <w:b w:val="0"/>
        </w:rPr>
      </w:pPr>
      <w:bookmarkStart w:id="76" w:name="_Toc10566"/>
      <w:bookmarkStart w:id="77" w:name="_Toc15396613"/>
      <w:bookmarkStart w:id="78" w:name="_Toc15377225"/>
      <w:r>
        <w:rPr>
          <w:rFonts w:hint="eastAsia" w:ascii="黑体" w:hAnsi="黑体" w:eastAsia="黑体"/>
          <w:color w:val="000000"/>
          <w:sz w:val="44"/>
          <w:szCs w:val="44"/>
        </w:rPr>
        <w:t>名</w:t>
      </w:r>
      <w:r>
        <w:rPr>
          <w:rStyle w:val="30"/>
          <w:rFonts w:hint="eastAsia" w:ascii="黑体" w:hAnsi="黑体" w:eastAsia="黑体"/>
          <w:b w:val="0"/>
        </w:rPr>
        <w:t>词解释</w:t>
      </w:r>
      <w:bookmarkEnd w:id="76"/>
      <w:bookmarkEnd w:id="77"/>
      <w:bookmarkEnd w:id="78"/>
    </w:p>
    <w:p>
      <w:pPr>
        <w:spacing w:line="600" w:lineRule="exact"/>
        <w:jc w:val="left"/>
        <w:rPr>
          <w:rFonts w:ascii="宋体"/>
          <w:b/>
          <w:color w:val="000000"/>
          <w:sz w:val="44"/>
          <w:szCs w:val="44"/>
        </w:rPr>
      </w:pP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bookmarkStart w:id="79" w:name="_Toc15377226"/>
      <w:r>
        <w:rPr>
          <w:rFonts w:hint="eastAsia" w:ascii="仿宋_GB2312" w:eastAsia="仿宋_GB2312"/>
          <w:color w:val="000000"/>
          <w:sz w:val="32"/>
          <w:szCs w:val="32"/>
        </w:rPr>
        <w:t>1.财政拨款收入：指单位从同级财政部门取得的财政预算资金。</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2.其他收入：指单位取得财政拨款收入以外的各项收入。主要是</w:t>
      </w:r>
      <w:r>
        <w:rPr>
          <w:rFonts w:hint="eastAsia" w:ascii="仿宋_GB2312" w:eastAsia="仿宋_GB2312"/>
          <w:color w:val="000000"/>
          <w:sz w:val="32"/>
          <w:szCs w:val="32"/>
          <w:lang w:eastAsia="zh-CN"/>
        </w:rPr>
        <w:t>眉山援建项目收入</w:t>
      </w:r>
      <w:r>
        <w:rPr>
          <w:rFonts w:hint="eastAsia" w:ascii="仿宋_GB2312" w:eastAsia="仿宋_GB2312"/>
          <w:color w:val="000000"/>
          <w:sz w:val="32"/>
          <w:szCs w:val="32"/>
        </w:rPr>
        <w:t>等。</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3.年初结转和结余：指以前年度尚未完成、结转到本年按有关规定继续使用的资金。</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4、年末结转和结余：指单位按有关规定结转到下年或以后年度继续使用的资金。</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5. 一般公共服务（类）201（款）</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（项）01——行政运行：反映行政单位（包括实行公务员管理的事业单位）的基本支出反映行政单位（包括实行公务员管理的事业单位）的基本支出。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6. 一般公共服务（类）201（款）</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04</w:t>
      </w:r>
      <w:r>
        <w:rPr>
          <w:rFonts w:hint="eastAsia" w:ascii="仿宋_GB2312" w:eastAsia="仿宋_GB2312"/>
          <w:color w:val="000000"/>
          <w:sz w:val="32"/>
          <w:szCs w:val="32"/>
        </w:rPr>
        <w:t>——</w:t>
      </w:r>
      <w:r>
        <w:rPr>
          <w:rFonts w:hint="eastAsia" w:ascii="仿宋_GB2312" w:eastAsia="仿宋_GB2312"/>
          <w:color w:val="000000"/>
          <w:sz w:val="32"/>
          <w:szCs w:val="32"/>
          <w:lang w:eastAsia="zh-CN"/>
        </w:rPr>
        <w:t>人大会议费</w:t>
      </w:r>
      <w:r>
        <w:rPr>
          <w:rFonts w:hint="eastAsia" w:ascii="仿宋_GB2312" w:eastAsia="仿宋_GB2312"/>
          <w:color w:val="000000"/>
          <w:sz w:val="32"/>
          <w:szCs w:val="32"/>
        </w:rPr>
        <w:t>：反映各级人大召开"人代会"等专门会议的支出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7. 一般公共服务（类）201（款</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（项）0</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行政运行</w:t>
      </w:r>
      <w:r>
        <w:rPr>
          <w:rFonts w:hint="eastAsia" w:ascii="仿宋_GB2312" w:eastAsia="仿宋_GB2312"/>
          <w:color w:val="000000"/>
          <w:sz w:val="32"/>
          <w:szCs w:val="32"/>
        </w:rPr>
        <w:t>：反映各级政府办公厅（室）及相关机构的支出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lang w:eastAsia="zh-CN"/>
        </w:rPr>
      </w:pPr>
      <w:r>
        <w:rPr>
          <w:rFonts w:hint="eastAsia" w:ascii="仿宋_GB2312" w:eastAsia="仿宋_GB2312"/>
          <w:color w:val="000000"/>
          <w:sz w:val="32"/>
          <w:szCs w:val="32"/>
        </w:rPr>
        <w:t>8. 一般公共服务（类）201（款）</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（项）99——其他政府办公厅（室）及相关机构事务支出：反映除上述项目以外的其他政府办公厅（室）及相关机构事务支出</w:t>
      </w:r>
      <w:r>
        <w:rPr>
          <w:rFonts w:hint="eastAsia" w:ascii="仿宋_GB2312" w:eastAsia="仿宋_GB2312"/>
          <w:color w:val="000000"/>
          <w:sz w:val="32"/>
          <w:szCs w:val="32"/>
          <w:lang w:eastAsia="zh-CN"/>
        </w:rPr>
        <w:t>。</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 一般公共服务（类）201（款）</w:t>
      </w:r>
      <w:r>
        <w:rPr>
          <w:rFonts w:hint="eastAsia" w:ascii="仿宋_GB2312" w:eastAsia="仿宋_GB2312"/>
          <w:color w:val="000000"/>
          <w:sz w:val="32"/>
          <w:szCs w:val="32"/>
          <w:lang w:val="en-US" w:eastAsia="zh-CN"/>
        </w:rPr>
        <w:t>06</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行政运行</w:t>
      </w:r>
      <w:r>
        <w:rPr>
          <w:rFonts w:hint="eastAsia" w:ascii="仿宋_GB2312" w:eastAsia="仿宋_GB2312"/>
          <w:color w:val="000000"/>
          <w:sz w:val="32"/>
          <w:szCs w:val="32"/>
        </w:rPr>
        <w:t>: 反映财政事务方面的支出。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 一般公共服务（类）201（款）</w:t>
      </w:r>
      <w:r>
        <w:rPr>
          <w:rFonts w:hint="eastAsia" w:ascii="仿宋_GB2312" w:eastAsia="仿宋_GB2312"/>
          <w:color w:val="000000"/>
          <w:sz w:val="32"/>
          <w:szCs w:val="32"/>
          <w:lang w:val="en-US" w:eastAsia="zh-CN"/>
        </w:rPr>
        <w:t>31</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w:t>
      </w:r>
      <w:r>
        <w:rPr>
          <w:rFonts w:hint="eastAsia" w:ascii="仿宋_GB2312" w:eastAsia="仿宋_GB2312"/>
          <w:color w:val="000000"/>
          <w:sz w:val="32"/>
          <w:szCs w:val="32"/>
          <w:lang w:eastAsia="zh-CN"/>
        </w:rPr>
        <w:t>其它政府办公厅及相关事务支出</w:t>
      </w:r>
      <w:r>
        <w:rPr>
          <w:rFonts w:hint="eastAsia" w:ascii="仿宋_GB2312" w:eastAsia="仿宋_GB2312"/>
          <w:color w:val="000000"/>
          <w:sz w:val="32"/>
          <w:szCs w:val="32"/>
        </w:rPr>
        <w:t xml:space="preserve">:反映行政单位（包括实行公务员管理的事业单位）的基本支出 </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.社会保障和就业支出（类）208（款）05（项）05——机关事业单位基本养老保险缴费支出：反映机关事业单位实施养老保险制度的单位缴纳的基本养老保险费支出。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 社会保障和就业支出（类）208（款）05（项）06——机关事业单位职业年金缴费支出：反映机关事业单位实施养老保险制度匝单位缴纳的职业年金支出。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.医疗卫生与计划生育支出(类）210（款）</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（项）01——行政单位医疗：反映财政部门集中安排的公务员医疗补助经费。</w:t>
      </w:r>
    </w:p>
    <w:p>
      <w:pPr>
        <w:autoSpaceDE w:val="0"/>
        <w:autoSpaceDN w:val="0"/>
        <w:adjustRightInd w:val="0"/>
        <w:spacing w:line="600" w:lineRule="exact"/>
        <w:ind w:firstLine="640" w:firstLineChars="200"/>
        <w:jc w:val="left"/>
        <w:rPr>
          <w:rFonts w:hint="eastAsia" w:ascii="仿宋_GB2312" w:eastAsia="仿宋_GB2312"/>
          <w:color w:val="000000"/>
          <w:sz w:val="32"/>
          <w:szCs w:val="32"/>
          <w:lang w:eastAsia="zh-CN"/>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.医疗卫生与计划生育支出(类）210（款）</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（项）0</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w:t>
      </w:r>
      <w:r>
        <w:rPr>
          <w:rFonts w:hint="eastAsia" w:ascii="仿宋_GB2312" w:eastAsia="仿宋_GB2312"/>
          <w:color w:val="000000"/>
          <w:sz w:val="32"/>
          <w:szCs w:val="32"/>
          <w:lang w:eastAsia="zh-CN"/>
        </w:rPr>
        <w:t>事业</w:t>
      </w:r>
      <w:r>
        <w:rPr>
          <w:rFonts w:hint="eastAsia" w:ascii="仿宋_GB2312" w:eastAsia="仿宋_GB2312"/>
          <w:color w:val="000000"/>
          <w:sz w:val="32"/>
          <w:szCs w:val="32"/>
        </w:rPr>
        <w:t>单位医疗</w:t>
      </w:r>
      <w:r>
        <w:rPr>
          <w:rFonts w:hint="eastAsia" w:ascii="仿宋_GB2312" w:eastAsia="仿宋_GB2312"/>
          <w:color w:val="000000"/>
          <w:sz w:val="32"/>
          <w:szCs w:val="32"/>
          <w:lang w:eastAsia="zh-CN"/>
        </w:rPr>
        <w:t>：</w:t>
      </w:r>
      <w:r>
        <w:rPr>
          <w:rFonts w:hint="eastAsia" w:ascii="仿宋_GB2312" w:eastAsia="仿宋_GB2312"/>
          <w:color w:val="000000"/>
          <w:sz w:val="32"/>
          <w:szCs w:val="32"/>
        </w:rPr>
        <w:t>反映除为行政单位（包括实行公务员管理的事业单位）提供后勤服务的各类后勤服务中心、医务室等附属事业单位外的其他事业单位基本支出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农林水支出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42</w:t>
      </w:r>
      <w:r>
        <w:rPr>
          <w:rFonts w:hint="eastAsia" w:ascii="仿宋_GB2312" w:eastAsia="仿宋_GB2312"/>
          <w:color w:val="000000"/>
          <w:sz w:val="32"/>
          <w:szCs w:val="32"/>
        </w:rPr>
        <w:t>—</w:t>
      </w:r>
      <w:r>
        <w:rPr>
          <w:rFonts w:hint="eastAsia" w:ascii="仿宋_GB2312" w:eastAsia="仿宋_GB2312"/>
          <w:color w:val="000000"/>
          <w:sz w:val="32"/>
          <w:szCs w:val="32"/>
          <w:lang w:eastAsia="zh-CN"/>
        </w:rPr>
        <w:t>农村道路建设：</w:t>
      </w:r>
      <w:r>
        <w:rPr>
          <w:rFonts w:hint="eastAsia" w:ascii="仿宋_GB2312" w:eastAsia="仿宋_GB2312"/>
          <w:color w:val="000000"/>
          <w:sz w:val="32"/>
          <w:szCs w:val="32"/>
        </w:rPr>
        <w:t>反映用于农村公路、乡村道路建设方面的支出。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lang w:eastAsia="zh-CN"/>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农林水支出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52</w:t>
      </w:r>
      <w:r>
        <w:rPr>
          <w:rFonts w:hint="eastAsia" w:ascii="仿宋_GB2312" w:eastAsia="仿宋_GB2312"/>
          <w:color w:val="000000"/>
          <w:sz w:val="32"/>
          <w:szCs w:val="32"/>
        </w:rPr>
        <w:t>—</w:t>
      </w:r>
      <w:r>
        <w:rPr>
          <w:rFonts w:hint="eastAsia" w:ascii="仿宋_GB2312" w:eastAsia="仿宋_GB2312"/>
          <w:color w:val="000000"/>
          <w:sz w:val="32"/>
          <w:szCs w:val="32"/>
          <w:lang w:eastAsia="zh-CN"/>
        </w:rPr>
        <w:t>对高校毕业生到基层任职补助：</w:t>
      </w:r>
      <w:r>
        <w:rPr>
          <w:rFonts w:hint="eastAsia" w:ascii="仿宋_GB2312" w:eastAsia="仿宋_GB2312"/>
          <w:color w:val="000000"/>
          <w:sz w:val="32"/>
          <w:szCs w:val="32"/>
        </w:rPr>
        <w:t>反映按规定对高校毕业生到基层任职的补助支出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lang w:val="en-US" w:eastAsia="zh-CN"/>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农林水支出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04</w:t>
      </w:r>
      <w:r>
        <w:rPr>
          <w:rFonts w:hint="eastAsia" w:ascii="仿宋_GB2312" w:eastAsia="仿宋_GB2312"/>
          <w:color w:val="000000"/>
          <w:sz w:val="32"/>
          <w:szCs w:val="32"/>
        </w:rPr>
        <w:t>—</w:t>
      </w:r>
      <w:r>
        <w:rPr>
          <w:rFonts w:hint="eastAsia" w:ascii="仿宋_GB2312" w:eastAsia="仿宋_GB2312"/>
          <w:color w:val="000000"/>
          <w:sz w:val="32"/>
          <w:szCs w:val="32"/>
          <w:lang w:eastAsia="zh-CN"/>
        </w:rPr>
        <w:t>林业事业机构：</w:t>
      </w:r>
      <w:r>
        <w:rPr>
          <w:rFonts w:hint="eastAsia" w:ascii="仿宋_GB2312" w:eastAsia="仿宋_GB2312"/>
          <w:color w:val="000000"/>
          <w:sz w:val="32"/>
          <w:szCs w:val="32"/>
        </w:rPr>
        <w:t>反映用于林业事业单位的基本支出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18</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农林水支出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14</w:t>
      </w:r>
      <w:r>
        <w:rPr>
          <w:rFonts w:hint="eastAsia" w:ascii="仿宋_GB2312" w:eastAsia="仿宋_GB2312"/>
          <w:color w:val="000000"/>
          <w:sz w:val="32"/>
          <w:szCs w:val="32"/>
        </w:rPr>
        <w:t>—</w:t>
      </w:r>
      <w:r>
        <w:rPr>
          <w:rFonts w:hint="eastAsia" w:ascii="仿宋_GB2312" w:eastAsia="仿宋_GB2312"/>
          <w:color w:val="000000"/>
          <w:sz w:val="32"/>
          <w:szCs w:val="32"/>
          <w:lang w:eastAsia="zh-CN"/>
        </w:rPr>
        <w:t>防汛：</w:t>
      </w:r>
      <w:r>
        <w:rPr>
          <w:rFonts w:hint="eastAsia" w:ascii="仿宋_GB2312" w:eastAsia="仿宋_GB2312"/>
          <w:color w:val="000000"/>
          <w:sz w:val="32"/>
          <w:szCs w:val="32"/>
        </w:rPr>
        <w:t>反映防汛业务支出。有关事项包括防汛物资购置管护，防汛通信设施设备、网络系统、车船设备运行维护，防汛值班、水情报汛、防汛指挥系统运行维护、水毁修复以及防汛组织（如防汛预案编制、检查、演习、宣传、培训、会议等），汛期调用民工及劳动保护，水利设施灾后重建，退田还湖，蓄滞洪区补偿、水情、雨情、决策支持，防汛视频会商，山洪灾害防治等。。</w:t>
      </w:r>
    </w:p>
    <w:p>
      <w:pPr>
        <w:autoSpaceDE w:val="0"/>
        <w:autoSpaceDN w:val="0"/>
        <w:adjustRightInd w:val="0"/>
        <w:spacing w:line="600" w:lineRule="exact"/>
        <w:ind w:firstLine="640" w:firstLineChars="200"/>
        <w:jc w:val="left"/>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19</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农林水支出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07</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w:t>
      </w:r>
      <w:r>
        <w:rPr>
          <w:rFonts w:hint="eastAsia" w:ascii="仿宋_GB2312" w:eastAsia="仿宋_GB2312"/>
          <w:color w:val="000000"/>
          <w:sz w:val="32"/>
          <w:szCs w:val="32"/>
          <w:lang w:eastAsia="zh-CN"/>
        </w:rPr>
        <w:t>对村民委员会和党支部补助：</w:t>
      </w:r>
      <w:r>
        <w:rPr>
          <w:rFonts w:hint="eastAsia" w:ascii="仿宋_GB2312" w:eastAsia="仿宋_GB2312"/>
          <w:color w:val="000000"/>
          <w:sz w:val="32"/>
          <w:szCs w:val="32"/>
        </w:rPr>
        <w:t>反映各级财政对村民委员会和村党支部的补助支出，以及支持建立县级基本财力保障机制安排的村级组织运转奖补资金</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.住房保障支出(类）221（款）02（项）01—住房公积金：反映行政事业单位按人力资源和社会保障部、财政部规定的基本工资和津贴补贴以及规定比例为职工缴纳的住房公积金。</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w:t>
      </w:r>
      <w:r>
        <w:rPr>
          <w:rFonts w:hint="eastAsia" w:ascii="仿宋_GB2312" w:eastAsia="仿宋_GB2312"/>
          <w:color w:val="000000"/>
          <w:sz w:val="32"/>
          <w:szCs w:val="32"/>
          <w:lang w:eastAsia="zh-CN"/>
        </w:rPr>
        <w:t>其他支出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229</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（项）01—</w:t>
      </w:r>
      <w:r>
        <w:rPr>
          <w:rFonts w:hint="eastAsia" w:ascii="仿宋_GB2312" w:eastAsia="仿宋_GB2312"/>
          <w:color w:val="000000"/>
          <w:sz w:val="32"/>
          <w:szCs w:val="32"/>
          <w:lang w:eastAsia="zh-CN"/>
        </w:rPr>
        <w:t>其他支出</w:t>
      </w:r>
      <w:r>
        <w:rPr>
          <w:rFonts w:hint="eastAsia" w:ascii="仿宋_GB2312" w:eastAsia="仿宋_GB2312"/>
          <w:color w:val="000000"/>
          <w:sz w:val="32"/>
          <w:szCs w:val="32"/>
        </w:rPr>
        <w:t>：反映除上述项目以外其他不能划分到具体功能科目中的支出项目</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.年末结转和结余：指本年度或以前年度预算安排、因客观条件发生变化无法按原计划实施，需延迟到以后年度按有关规定继续使用的资金。</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23</w:t>
      </w:r>
      <w:r>
        <w:rPr>
          <w:rFonts w:hint="eastAsia" w:ascii="仿宋_GB2312" w:eastAsia="仿宋_GB2312"/>
          <w:color w:val="000000"/>
          <w:sz w:val="32"/>
          <w:szCs w:val="32"/>
        </w:rPr>
        <w:t>.基本支出：指为保障机构正常运转、完成日常工作任务而发生的人员支出和公用支出。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24</w:t>
      </w:r>
      <w:r>
        <w:rPr>
          <w:rFonts w:hint="eastAsia" w:ascii="仿宋_GB2312" w:eastAsia="仿宋_GB2312"/>
          <w:color w:val="000000"/>
          <w:sz w:val="32"/>
          <w:szCs w:val="32"/>
        </w:rPr>
        <w:t>.项目支出：指在基本支出之外为完成特定行政任务和事业发展目标所发生的支出。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25</w:t>
      </w:r>
      <w:r>
        <w:rPr>
          <w:rFonts w:hint="eastAsia" w:ascii="仿宋_GB2312" w:eastAsia="仿宋_GB2312"/>
          <w:color w:val="000000"/>
          <w:sz w:val="32"/>
          <w:szCs w:val="32"/>
        </w:rPr>
        <w:t>.“三公”经费：纳入</w:t>
      </w:r>
      <w:r>
        <w:rPr>
          <w:rFonts w:hint="eastAsia" w:ascii="仿宋_GB2312" w:eastAsia="仿宋_GB2312"/>
          <w:color w:val="000000"/>
          <w:sz w:val="32"/>
          <w:szCs w:val="32"/>
          <w:lang w:eastAsia="zh-CN"/>
        </w:rPr>
        <w:t>县</w:t>
      </w:r>
      <w:r>
        <w:rPr>
          <w:rFonts w:hint="eastAsia" w:ascii="仿宋_GB2312" w:eastAsia="仿宋_GB2312"/>
          <w:color w:val="000000"/>
          <w:sz w:val="32"/>
          <w:szCs w:val="32"/>
        </w:rPr>
        <w:t>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26</w:t>
      </w:r>
      <w:r>
        <w:rPr>
          <w:rFonts w:hint="eastAsia" w:ascii="仿宋_GB2312" w:eastAsia="仿宋_GB2312"/>
          <w:color w:val="00000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公务用车运行维护费以及其他费用。</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27.基本支出：指为保障机构正常运转、完成日常工作任务而发生的人员支出和公用支出。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 xml:space="preserve">28.项目支出：指在基本支出之外为完成特定行政任务和事业发展目标所发生的支出。 </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29.经营支出：指事业单位在专业业务活动及其辅助活动之外开展非独立核算经营活动发生的支出。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30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30"/>
          <w:rFonts w:ascii="黑体" w:hAnsi="黑体" w:eastAsia="黑体"/>
          <w:b w:val="0"/>
        </w:rPr>
      </w:pPr>
      <w:r>
        <w:rPr>
          <w:rFonts w:ascii="宋体"/>
          <w:b/>
          <w:color w:val="000000"/>
          <w:sz w:val="44"/>
          <w:szCs w:val="44"/>
        </w:rPr>
        <w:br w:type="page"/>
      </w:r>
      <w:bookmarkStart w:id="80" w:name="_Toc15396614"/>
      <w:bookmarkStart w:id="81" w:name="_Toc16739"/>
      <w:r>
        <w:rPr>
          <w:rFonts w:hint="eastAsia" w:ascii="黑体" w:hAnsi="黑体" w:eastAsia="黑体"/>
          <w:color w:val="000000"/>
          <w:sz w:val="44"/>
          <w:szCs w:val="44"/>
        </w:rPr>
        <w:t>第</w:t>
      </w:r>
      <w:r>
        <w:rPr>
          <w:rStyle w:val="30"/>
          <w:rFonts w:hint="eastAsia" w:ascii="黑体" w:hAnsi="黑体" w:eastAsia="黑体"/>
          <w:b w:val="0"/>
        </w:rPr>
        <w:t>四部分 附件</w:t>
      </w:r>
      <w:bookmarkEnd w:id="80"/>
      <w:bookmarkEnd w:id="81"/>
    </w:p>
    <w:p>
      <w:pPr>
        <w:spacing w:line="600" w:lineRule="exact"/>
        <w:jc w:val="left"/>
        <w:outlineLvl w:val="1"/>
        <w:rPr>
          <w:rFonts w:ascii="方正小标宋简体" w:hAnsi="方正小标宋简体" w:eastAsia="方正小标宋简体" w:cs="方正小标宋简体"/>
          <w:sz w:val="32"/>
          <w:szCs w:val="32"/>
        </w:rPr>
      </w:pPr>
      <w:bookmarkStart w:id="82" w:name="_Toc2699"/>
      <w:r>
        <w:rPr>
          <w:rFonts w:hint="eastAsia" w:ascii="黑体" w:hAnsi="黑体" w:eastAsia="黑体" w:cs="黑体"/>
          <w:sz w:val="32"/>
          <w:szCs w:val="32"/>
        </w:rPr>
        <w:t>附件1</w:t>
      </w:r>
      <w:bookmarkEnd w:id="82"/>
    </w:p>
    <w:p>
      <w:pPr>
        <w:spacing w:line="580" w:lineRule="exact"/>
        <w:jc w:val="center"/>
        <w:rPr>
          <w:rFonts w:ascii="方正小标宋简体" w:hAnsi="方正小标宋简体" w:eastAsia="方正小标宋简体" w:cs="方正小标宋简体"/>
          <w:sz w:val="44"/>
          <w:szCs w:val="44"/>
        </w:rPr>
      </w:pP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方正小标宋简体" w:hAnsi="宋体" w:eastAsia="方正小标宋简体" w:cs="Times New Roman"/>
          <w:kern w:val="2"/>
          <w:sz w:val="44"/>
          <w:szCs w:val="44"/>
          <w:lang w:val="en-US" w:eastAsia="zh-CN" w:bidi="ar-SA"/>
        </w:rPr>
      </w:pPr>
      <w:r>
        <w:rPr>
          <w:rFonts w:hint="default" w:ascii="方正小标宋简体" w:hAnsi="宋体" w:eastAsia="方正小标宋简体" w:cs="Times New Roman"/>
          <w:kern w:val="2"/>
          <w:sz w:val="44"/>
          <w:szCs w:val="44"/>
          <w:lang w:val="en-US" w:eastAsia="zh-CN" w:bidi="ar-SA"/>
        </w:rPr>
        <w:t>红原县</w:t>
      </w:r>
      <w:r>
        <w:rPr>
          <w:rFonts w:hint="eastAsia" w:ascii="方正小标宋简体" w:hAnsi="宋体" w:eastAsia="方正小标宋简体" w:cs="Times New Roman"/>
          <w:kern w:val="2"/>
          <w:sz w:val="44"/>
          <w:szCs w:val="44"/>
          <w:lang w:val="en-US" w:eastAsia="zh-CN" w:bidi="ar-SA"/>
        </w:rPr>
        <w:t>麦洼</w:t>
      </w:r>
      <w:r>
        <w:rPr>
          <w:rFonts w:hint="default" w:ascii="方正小标宋简体" w:hAnsi="宋体" w:eastAsia="方正小标宋简体" w:cs="Times New Roman"/>
          <w:kern w:val="2"/>
          <w:sz w:val="44"/>
          <w:szCs w:val="44"/>
          <w:lang w:val="en-US" w:eastAsia="zh-CN" w:bidi="ar-SA"/>
        </w:rPr>
        <w:t>寺寺庙管理委员会</w:t>
      </w:r>
    </w:p>
    <w:p>
      <w:pPr>
        <w:keepNext w:val="0"/>
        <w:keepLines w:val="0"/>
        <w:pageBreakBefore w:val="0"/>
        <w:widowControl/>
        <w:kinsoku/>
        <w:wordWrap/>
        <w:overflowPunct/>
        <w:topLinePunct w:val="0"/>
        <w:autoSpaceDE/>
        <w:autoSpaceDN/>
        <w:bidi w:val="0"/>
        <w:spacing w:line="500" w:lineRule="exact"/>
        <w:jc w:val="center"/>
        <w:textAlignment w:val="auto"/>
        <w:rPr>
          <w:rFonts w:ascii="方正小标宋简体" w:hAnsi="宋体" w:eastAsia="方正小标宋简体"/>
          <w:sz w:val="44"/>
          <w:szCs w:val="44"/>
        </w:rPr>
      </w:pPr>
      <w:r>
        <w:rPr>
          <w:rFonts w:ascii="方正小标宋简体" w:hAnsi="宋体" w:eastAsia="方正小标宋简体"/>
          <w:sz w:val="44"/>
          <w:szCs w:val="44"/>
        </w:rPr>
        <w:t>20</w:t>
      </w:r>
      <w:r>
        <w:rPr>
          <w:rFonts w:hint="eastAsia" w:ascii="方正小标宋简体" w:hAnsi="宋体" w:eastAsia="方正小标宋简体"/>
          <w:sz w:val="44"/>
          <w:szCs w:val="44"/>
        </w:rPr>
        <w:t>2</w:t>
      </w:r>
      <w:r>
        <w:rPr>
          <w:rFonts w:hint="eastAsia" w:ascii="方正小标宋简体" w:hAnsi="宋体" w:eastAsia="方正小标宋简体"/>
          <w:sz w:val="44"/>
          <w:szCs w:val="44"/>
          <w:lang w:val="en-US" w:eastAsia="zh-CN"/>
        </w:rPr>
        <w:t>2</w:t>
      </w:r>
      <w:r>
        <w:rPr>
          <w:rFonts w:hint="eastAsia" w:ascii="方正小标宋简体" w:hAnsi="宋体" w:eastAsia="方正小标宋简体"/>
          <w:sz w:val="44"/>
          <w:szCs w:val="44"/>
        </w:rPr>
        <w:t>年部门</w:t>
      </w:r>
      <w:r>
        <w:rPr>
          <w:rFonts w:hint="eastAsia" w:ascii="方正小标宋简体" w:hAnsi="宋体" w:eastAsia="方正小标宋简体"/>
          <w:sz w:val="44"/>
          <w:szCs w:val="44"/>
          <w:lang w:eastAsia="zh-CN"/>
        </w:rPr>
        <w:t>整体</w:t>
      </w:r>
      <w:r>
        <w:rPr>
          <w:rFonts w:hint="eastAsia" w:ascii="方正小标宋简体" w:hAnsi="宋体" w:eastAsia="方正小标宋简体"/>
          <w:sz w:val="44"/>
          <w:szCs w:val="44"/>
        </w:rPr>
        <w:t>支出绩效报告</w:t>
      </w:r>
    </w:p>
    <w:p>
      <w:pPr>
        <w:pStyle w:val="2"/>
        <w:keepNext w:val="0"/>
        <w:keepLines w:val="0"/>
        <w:pageBreakBefore w:val="0"/>
        <w:kinsoku/>
        <w:wordWrap/>
        <w:overflowPunct/>
        <w:topLinePunct w:val="0"/>
        <w:autoSpaceDE/>
        <w:autoSpaceDN/>
        <w:bidi w:val="0"/>
        <w:spacing w:line="500" w:lineRule="exact"/>
        <w:ind w:left="0" w:leftChars="0" w:firstLine="0" w:firstLineChars="0"/>
        <w:textAlignment w:val="auto"/>
        <w:rPr>
          <w:rFonts w:hint="eastAsia"/>
        </w:rPr>
      </w:pP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黑体" w:hAnsi="黑体" w:eastAsia="黑体" w:cs="黑体"/>
          <w:color w:val="000000"/>
          <w:kern w:val="0"/>
          <w:sz w:val="32"/>
          <w:szCs w:val="32"/>
          <w:lang w:val="zh-CN"/>
        </w:rPr>
      </w:pPr>
      <w:r>
        <w:rPr>
          <w:rFonts w:hint="eastAsia" w:ascii="黑体" w:hAnsi="黑体" w:eastAsia="黑体" w:cs="黑体"/>
          <w:color w:val="000000"/>
          <w:kern w:val="0"/>
          <w:sz w:val="32"/>
          <w:szCs w:val="32"/>
        </w:rPr>
        <w:t>一、</w:t>
      </w:r>
      <w:r>
        <w:rPr>
          <w:rFonts w:hint="eastAsia" w:ascii="黑体" w:hAnsi="黑体" w:eastAsia="黑体" w:cs="黑体"/>
          <w:color w:val="000000"/>
          <w:kern w:val="0"/>
          <w:sz w:val="32"/>
          <w:szCs w:val="32"/>
          <w:lang w:val="zh-CN"/>
        </w:rPr>
        <w:t>部门（单位）概况</w:t>
      </w:r>
    </w:p>
    <w:p>
      <w:pPr>
        <w:keepNext w:val="0"/>
        <w:keepLines w:val="0"/>
        <w:pageBreakBefore w:val="0"/>
        <w:kinsoku/>
        <w:wordWrap/>
        <w:overflowPunct/>
        <w:topLinePunct w:val="0"/>
        <w:autoSpaceDE/>
        <w:autoSpaceDN/>
        <w:bidi w:val="0"/>
        <w:adjustRightInd w:val="0"/>
        <w:snapToGrid w:val="0"/>
        <w:spacing w:line="576" w:lineRule="exact"/>
        <w:ind w:firstLine="720"/>
        <w:textAlignment w:val="auto"/>
        <w:rPr>
          <w:rFonts w:hint="default" w:ascii="Times New Roman" w:hAnsi="Times New Roman" w:eastAsia="楷体_GB2312" w:cs="Times New Roman"/>
          <w:b/>
          <w:sz w:val="32"/>
          <w:szCs w:val="32"/>
          <w:lang w:val="zh-CN"/>
        </w:rPr>
      </w:pPr>
      <w:r>
        <w:rPr>
          <w:rFonts w:hint="default" w:ascii="Times New Roman" w:hAnsi="Times New Roman" w:eastAsia="楷体_GB2312" w:cs="Times New Roman"/>
          <w:b/>
          <w:sz w:val="32"/>
          <w:szCs w:val="32"/>
          <w:lang w:val="zh-CN"/>
        </w:rPr>
        <w:t>（一）机构组成。</w:t>
      </w:r>
    </w:p>
    <w:p>
      <w:pPr>
        <w:keepNext w:val="0"/>
        <w:keepLines w:val="0"/>
        <w:pageBreakBefore w:val="0"/>
        <w:widowControl/>
        <w:suppressLineNumbers w:val="0"/>
        <w:kinsoku/>
        <w:wordWrap/>
        <w:overflowPunct/>
        <w:topLinePunct w:val="0"/>
        <w:autoSpaceDE/>
        <w:autoSpaceDN/>
        <w:bidi w:val="0"/>
        <w:adjustRightInd w:val="0"/>
        <w:snapToGrid w:val="0"/>
        <w:spacing w:beforeAutospacing="0" w:after="0" w:afterAutospacing="0" w:line="576" w:lineRule="exact"/>
        <w:ind w:left="0" w:right="0" w:firstLine="720"/>
        <w:jc w:val="left"/>
        <w:textAlignment w:val="auto"/>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红原县</w:t>
      </w:r>
      <w:r>
        <w:rPr>
          <w:rFonts w:hint="eastAsia" w:cs="Times New Roman"/>
          <w:sz w:val="32"/>
          <w:szCs w:val="32"/>
          <w:lang w:val="en-US" w:eastAsia="zh-CN"/>
        </w:rPr>
        <w:t>麦洼寺寺庙管理委员会</w:t>
      </w:r>
      <w:r>
        <w:rPr>
          <w:rFonts w:hint="default" w:ascii="Times New Roman" w:hAnsi="Times New Roman" w:eastAsia="仿宋_GB2312" w:cs="Times New Roman"/>
          <w:sz w:val="32"/>
          <w:szCs w:val="32"/>
          <w:lang w:val="zh-CN"/>
        </w:rPr>
        <w:t>是行政单位，执行行政单位会计制度，我</w:t>
      </w:r>
      <w:r>
        <w:rPr>
          <w:rFonts w:hint="eastAsia" w:cs="Times New Roman"/>
          <w:sz w:val="32"/>
          <w:szCs w:val="32"/>
          <w:lang w:val="en-US" w:eastAsia="zh-CN"/>
        </w:rPr>
        <w:t>部门</w:t>
      </w:r>
      <w:r>
        <w:rPr>
          <w:rFonts w:hint="default" w:ascii="Times New Roman" w:hAnsi="Times New Roman" w:eastAsia="仿宋_GB2312" w:cs="Times New Roman"/>
          <w:sz w:val="32"/>
          <w:szCs w:val="32"/>
          <w:lang w:val="zh-CN"/>
        </w:rPr>
        <w:t>下属二级决算单位</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lang w:val="zh-CN"/>
        </w:rPr>
        <w:t>个，其中行政单位0个，参照公务员法管理的事业单位</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lang w:val="zh-CN"/>
        </w:rPr>
        <w:t xml:space="preserve">个，其他事业单位0个。是独立核算的机构，是独立编报决算的单位。 </w:t>
      </w:r>
    </w:p>
    <w:p>
      <w:pPr>
        <w:keepNext w:val="0"/>
        <w:keepLines w:val="0"/>
        <w:pageBreakBefore w:val="0"/>
        <w:kinsoku/>
        <w:wordWrap/>
        <w:overflowPunct/>
        <w:topLinePunct w:val="0"/>
        <w:autoSpaceDE/>
        <w:autoSpaceDN/>
        <w:bidi w:val="0"/>
        <w:adjustRightInd w:val="0"/>
        <w:snapToGrid w:val="0"/>
        <w:spacing w:line="576" w:lineRule="exact"/>
        <w:ind w:firstLine="720"/>
        <w:textAlignment w:val="auto"/>
        <w:rPr>
          <w:rFonts w:hint="default" w:ascii="Times New Roman" w:hAnsi="Times New Roman" w:eastAsia="楷体_GB2312" w:cs="Times New Roman"/>
          <w:b/>
          <w:sz w:val="32"/>
          <w:szCs w:val="32"/>
          <w:lang w:val="zh-CN"/>
        </w:rPr>
      </w:pPr>
      <w:r>
        <w:rPr>
          <w:rFonts w:hint="default" w:ascii="Times New Roman" w:hAnsi="Times New Roman" w:eastAsia="楷体_GB2312" w:cs="Times New Roman"/>
          <w:b/>
          <w:sz w:val="32"/>
          <w:szCs w:val="32"/>
          <w:lang w:val="zh-CN"/>
        </w:rPr>
        <w:t>（二）机构职能。</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76" w:lineRule="exact"/>
        <w:ind w:left="0" w:right="0" w:firstLine="643" w:firstLineChars="200"/>
        <w:jc w:val="left"/>
        <w:textAlignment w:val="auto"/>
        <w:rPr>
          <w:rFonts w:hint="eastAsia" w:ascii="仿宋_GB2312" w:hAnsi="仿宋_GB2312" w:eastAsia="仿宋_GB2312" w:cs="仿宋_GB2312"/>
          <w:b/>
          <w:bCs/>
          <w:kern w:val="2"/>
          <w:sz w:val="32"/>
          <w:szCs w:val="32"/>
          <w:lang w:val="zh-CN" w:eastAsia="zh-CN" w:bidi="ar-SA"/>
        </w:rPr>
      </w:pPr>
      <w:r>
        <w:rPr>
          <w:rFonts w:hint="eastAsia" w:ascii="仿宋_GB2312" w:hAnsi="仿宋_GB2312" w:eastAsia="仿宋_GB2312" w:cs="仿宋_GB2312"/>
          <w:b/>
          <w:bCs/>
          <w:kern w:val="2"/>
          <w:sz w:val="32"/>
          <w:szCs w:val="32"/>
          <w:lang w:val="zh-CN" w:eastAsia="zh-CN" w:bidi="ar-SA"/>
        </w:rPr>
        <w:t>1．主要职能。</w:t>
      </w:r>
      <w:bookmarkStart w:id="111" w:name="_GoBack"/>
      <w:bookmarkEnd w:id="111"/>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76" w:lineRule="exact"/>
        <w:ind w:left="0" w:right="0" w:firstLine="640" w:firstLineChars="2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我管委会为县政府派出机构，受县政府委托，履行相应宗教事务管理执法权，业务上接收统战和宗教工作部门的指导和监督。</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76" w:lineRule="exact"/>
        <w:ind w:left="0" w:right="0" w:firstLine="640" w:firstLineChars="2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依法管理宗教事务，加强寺庙管理，加强僧尼管理，加强宗教活动管理。</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76" w:lineRule="exact"/>
        <w:ind w:left="0" w:right="0" w:firstLine="640" w:firstLineChars="2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教育引导，以增强僧尼法制意识、公民意识、政府议事、祖国意识为目标，坚持不懈加强对僧尼的教育引导。</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76" w:lineRule="exact"/>
        <w:ind w:left="0" w:right="0" w:firstLine="640" w:firstLineChars="2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公共服务，充分保障依法打击寺庙和持证僧尼的普惠性待遇，做到“五通”、“三有”、“三覆盖”。</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ascii="黑体" w:hAnsi="宋体" w:eastAsia="黑体" w:cs="宋体"/>
          <w:color w:val="000000"/>
          <w:kern w:val="0"/>
          <w:sz w:val="32"/>
          <w:szCs w:val="32"/>
        </w:rPr>
      </w:pPr>
      <w:r>
        <w:rPr>
          <w:rFonts w:hint="eastAsia" w:ascii="黑体" w:hAnsi="宋体" w:eastAsia="黑体" w:cs="宋体"/>
          <w:color w:val="000000"/>
          <w:kern w:val="0"/>
          <w:sz w:val="32"/>
          <w:szCs w:val="32"/>
        </w:rPr>
        <w:t>二、部门财政资金收支情况</w:t>
      </w:r>
    </w:p>
    <w:p>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jc w:val="left"/>
        <w:textAlignment w:val="auto"/>
        <w:rPr>
          <w:rFonts w:hint="eastAsia" w:ascii="楷体_GB2312" w:hAnsi="楷体_GB2312" w:eastAsia="楷体_GB2312" w:cs="楷体_GB2312"/>
          <w:b/>
          <w:bCs/>
          <w:color w:val="000000"/>
          <w:kern w:val="0"/>
          <w:sz w:val="32"/>
          <w:szCs w:val="32"/>
          <w:lang w:val="zh-CN"/>
        </w:rPr>
      </w:pPr>
      <w:r>
        <w:rPr>
          <w:rFonts w:hint="eastAsia" w:ascii="楷体_GB2312" w:hAnsi="楷体_GB2312" w:eastAsia="楷体_GB2312" w:cs="楷体_GB2312"/>
          <w:b/>
          <w:bCs/>
          <w:color w:val="000000"/>
          <w:kern w:val="0"/>
          <w:sz w:val="32"/>
          <w:szCs w:val="32"/>
          <w:lang w:val="zh-CN"/>
        </w:rPr>
        <w:t>（一）部门财政资金收入情况。</w:t>
      </w:r>
    </w:p>
    <w:p>
      <w:pPr>
        <w:pStyle w:val="41"/>
        <w:keepNext w:val="0"/>
        <w:keepLines w:val="0"/>
        <w:pageBreakBefore w:val="0"/>
        <w:widowControl/>
        <w:kinsoku/>
        <w:wordWrap/>
        <w:overflowPunct/>
        <w:topLinePunct w:val="0"/>
        <w:autoSpaceDE/>
        <w:autoSpaceDN/>
        <w:bidi w:val="0"/>
        <w:snapToGrid/>
        <w:spacing w:beforeAutospacing="0" w:afterAutospacing="0" w:line="576" w:lineRule="exact"/>
        <w:ind w:firstLine="624" w:firstLineChars="200"/>
        <w:textAlignment w:val="auto"/>
        <w:rPr>
          <w:rStyle w:val="42"/>
          <w:rFonts w:hint="eastAsia" w:ascii="仿宋_GB2312" w:hAnsi="Calibri" w:eastAsia="仿宋_GB2312"/>
          <w:kern w:val="2"/>
          <w:sz w:val="32"/>
          <w:szCs w:val="32"/>
          <w:lang w:val="zh-CN" w:eastAsia="zh-CN" w:bidi="ar-SA"/>
        </w:rPr>
      </w:pPr>
      <w:r>
        <w:rPr>
          <w:rFonts w:hint="eastAsia" w:eastAsia="仿宋_GB2312"/>
          <w:sz w:val="32"/>
          <w:szCs w:val="32"/>
          <w:lang w:eastAsia="zh-CN"/>
        </w:rPr>
        <w:t>本单位本年度总收入为</w:t>
      </w:r>
      <w:r>
        <w:rPr>
          <w:rFonts w:hint="eastAsia"/>
          <w:sz w:val="32"/>
          <w:szCs w:val="32"/>
          <w:lang w:val="en-US" w:eastAsia="zh-CN"/>
        </w:rPr>
        <w:t>332.9</w:t>
      </w:r>
      <w:r>
        <w:rPr>
          <w:rFonts w:hint="eastAsia" w:eastAsia="仿宋_GB2312"/>
          <w:sz w:val="32"/>
          <w:szCs w:val="32"/>
          <w:lang w:eastAsia="zh-CN"/>
        </w:rPr>
        <w:t>万元。其中：一般公共预算财政拨款收入为</w:t>
      </w:r>
      <w:r>
        <w:rPr>
          <w:rFonts w:hint="eastAsia"/>
          <w:sz w:val="32"/>
          <w:szCs w:val="32"/>
          <w:lang w:val="en-US" w:eastAsia="zh-CN"/>
        </w:rPr>
        <w:t>332.9</w:t>
      </w:r>
      <w:r>
        <w:rPr>
          <w:rFonts w:hint="eastAsia" w:eastAsia="仿宋_GB2312"/>
          <w:sz w:val="32"/>
          <w:szCs w:val="32"/>
          <w:lang w:eastAsia="zh-CN"/>
        </w:rPr>
        <w:t>万元，占比</w:t>
      </w:r>
      <w:r>
        <w:rPr>
          <w:rFonts w:hint="eastAsia"/>
          <w:sz w:val="32"/>
          <w:szCs w:val="32"/>
          <w:lang w:val="en-US" w:eastAsia="zh-CN"/>
        </w:rPr>
        <w:t>100</w:t>
      </w:r>
      <w:r>
        <w:rPr>
          <w:rFonts w:hint="eastAsia" w:eastAsia="仿宋_GB2312"/>
          <w:sz w:val="32"/>
          <w:szCs w:val="32"/>
          <w:lang w:eastAsia="zh-CN"/>
        </w:rPr>
        <w:t>%；其他收入为</w:t>
      </w:r>
      <w:r>
        <w:rPr>
          <w:rFonts w:hint="eastAsia"/>
          <w:sz w:val="32"/>
          <w:szCs w:val="32"/>
          <w:lang w:val="en-US" w:eastAsia="zh-CN"/>
        </w:rPr>
        <w:t>0</w:t>
      </w:r>
      <w:r>
        <w:rPr>
          <w:rFonts w:hint="eastAsia" w:eastAsia="仿宋_GB2312"/>
          <w:sz w:val="32"/>
          <w:szCs w:val="32"/>
          <w:lang w:eastAsia="zh-CN"/>
        </w:rPr>
        <w:t>万元，占比</w:t>
      </w:r>
      <w:r>
        <w:rPr>
          <w:rFonts w:hint="eastAsia"/>
          <w:sz w:val="32"/>
          <w:szCs w:val="32"/>
          <w:lang w:val="en-US" w:eastAsia="zh-CN"/>
        </w:rPr>
        <w:t>0</w:t>
      </w:r>
      <w:r>
        <w:rPr>
          <w:rFonts w:hint="eastAsia" w:eastAsia="仿宋_GB2312"/>
          <w:sz w:val="32"/>
          <w:szCs w:val="32"/>
          <w:lang w:eastAsia="zh-CN"/>
        </w:rPr>
        <w:t>%。</w:t>
      </w:r>
    </w:p>
    <w:p>
      <w:pPr>
        <w:keepNext w:val="0"/>
        <w:keepLines w:val="0"/>
        <w:pageBreakBefore w:val="0"/>
        <w:widowControl/>
        <w:numPr>
          <w:ilvl w:val="0"/>
          <w:numId w:val="5"/>
        </w:numPr>
        <w:kinsoku/>
        <w:wordWrap/>
        <w:overflowPunct/>
        <w:topLinePunct w:val="0"/>
        <w:autoSpaceDE/>
        <w:autoSpaceDN/>
        <w:bidi w:val="0"/>
        <w:adjustRightInd w:val="0"/>
        <w:snapToGrid w:val="0"/>
        <w:spacing w:line="576" w:lineRule="exact"/>
        <w:ind w:firstLine="720"/>
        <w:jc w:val="left"/>
        <w:textAlignment w:val="auto"/>
        <w:rPr>
          <w:rFonts w:hint="eastAsia" w:ascii="楷体_GB2312" w:hAnsi="楷体_GB2312" w:eastAsia="楷体_GB2312" w:cs="楷体_GB2312"/>
          <w:b/>
          <w:bCs/>
          <w:color w:val="000000"/>
          <w:kern w:val="0"/>
          <w:sz w:val="32"/>
          <w:szCs w:val="32"/>
          <w:lang w:val="en-US" w:eastAsia="zh-CN" w:bidi="ar"/>
        </w:rPr>
      </w:pPr>
      <w:r>
        <w:rPr>
          <w:rFonts w:hint="eastAsia" w:ascii="楷体_GB2312" w:hAnsi="楷体_GB2312" w:eastAsia="楷体_GB2312" w:cs="楷体_GB2312"/>
          <w:b/>
          <w:bCs/>
          <w:color w:val="000000"/>
          <w:kern w:val="0"/>
          <w:sz w:val="32"/>
          <w:szCs w:val="32"/>
          <w:lang w:val="zh-CN"/>
        </w:rPr>
        <w:t>部门财政资金支出情况。</w:t>
      </w:r>
    </w:p>
    <w:p>
      <w:pPr>
        <w:pStyle w:val="2"/>
        <w:rPr>
          <w:rFonts w:hint="eastAsia"/>
          <w:lang w:val="en-US" w:eastAsia="zh-CN"/>
        </w:rPr>
      </w:pPr>
      <w:r>
        <w:rPr>
          <w:rFonts w:hint="default" w:ascii="Times New Roman" w:hAnsi="Times New Roman" w:eastAsia="仿宋_GB2312" w:cs="Times New Roman"/>
          <w:sz w:val="32"/>
          <w:szCs w:val="32"/>
          <w:lang w:val="zh-CN"/>
        </w:rPr>
        <w:t>20</w:t>
      </w:r>
      <w:r>
        <w:rPr>
          <w:rFonts w:hint="default" w:ascii="Times New Roman" w:hAnsi="Times New Roman" w:cs="Times New Roman"/>
          <w:sz w:val="32"/>
          <w:szCs w:val="32"/>
          <w:lang w:val="en-US" w:eastAsia="zh-CN"/>
        </w:rPr>
        <w:t>2</w:t>
      </w:r>
      <w:r>
        <w:rPr>
          <w:rFonts w:hint="eastAsia" w:cs="Times New Roman"/>
          <w:sz w:val="32"/>
          <w:szCs w:val="32"/>
          <w:lang w:val="en-US" w:eastAsia="zh-CN"/>
        </w:rPr>
        <w:t>2</w:t>
      </w:r>
      <w:r>
        <w:rPr>
          <w:rFonts w:hint="default" w:ascii="Times New Roman" w:hAnsi="Times New Roman" w:eastAsia="仿宋_GB2312" w:cs="Times New Roman"/>
          <w:sz w:val="32"/>
          <w:szCs w:val="32"/>
          <w:lang w:val="zh-CN"/>
        </w:rPr>
        <w:t>年支出合计</w:t>
      </w:r>
      <w:r>
        <w:rPr>
          <w:rFonts w:hint="eastAsia"/>
          <w:sz w:val="32"/>
          <w:szCs w:val="32"/>
          <w:lang w:val="en-US" w:eastAsia="zh-CN"/>
        </w:rPr>
        <w:t>332.9</w:t>
      </w:r>
      <w:r>
        <w:rPr>
          <w:rFonts w:hint="default" w:ascii="Times New Roman" w:hAnsi="Times New Roman" w:eastAsia="仿宋_GB2312" w:cs="Times New Roman"/>
          <w:sz w:val="32"/>
          <w:szCs w:val="32"/>
          <w:lang w:val="zh-CN"/>
        </w:rPr>
        <w:t>万元，</w:t>
      </w:r>
      <w:r>
        <w:rPr>
          <w:rFonts w:hint="eastAsia" w:ascii="Times New Roman" w:hAnsi="Times New Roman" w:eastAsia="仿宋_GB2312" w:cs="Times New Roman"/>
          <w:sz w:val="32"/>
          <w:szCs w:val="32"/>
          <w:lang w:val="zh-CN"/>
        </w:rPr>
        <w:t>其中：</w:t>
      </w:r>
      <w:r>
        <w:rPr>
          <w:rFonts w:hint="eastAsia" w:ascii="仿宋" w:hAnsi="仿宋" w:eastAsia="仿宋"/>
          <w:color w:val="000000" w:themeColor="text1"/>
          <w:sz w:val="32"/>
          <w:szCs w:val="32"/>
          <w:lang w:val="en-US" w:eastAsia="zh-CN"/>
          <w14:textFill>
            <w14:solidFill>
              <w14:schemeClr w14:val="tx1"/>
            </w14:solidFill>
          </w14:textFill>
        </w:rPr>
        <w:t>一般公共服务支出264.63</w:t>
      </w:r>
      <w:r>
        <w:rPr>
          <w:rFonts w:hint="eastAsia" w:ascii="仿宋" w:hAnsi="仿宋" w:eastAsia="仿宋"/>
          <w:color w:val="000000" w:themeColor="text1"/>
          <w:sz w:val="32"/>
          <w:szCs w:val="32"/>
          <w:lang w:eastAsia="zh-CN"/>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79.49</w:t>
      </w:r>
      <w:r>
        <w:rPr>
          <w:rFonts w:hint="eastAsia" w:ascii="仿宋" w:hAnsi="仿宋" w:eastAsia="仿宋"/>
          <w:color w:val="000000" w:themeColor="text1"/>
          <w:sz w:val="32"/>
          <w:szCs w:val="32"/>
          <w:lang w:eastAsia="zh-CN"/>
          <w14:textFill>
            <w14:solidFill>
              <w14:schemeClr w14:val="tx1"/>
            </w14:solidFill>
          </w14:textFill>
        </w:rPr>
        <w:t>%；社会保障和就业（类）支出</w:t>
      </w:r>
      <w:r>
        <w:rPr>
          <w:rFonts w:hint="eastAsia" w:ascii="仿宋" w:hAnsi="仿宋" w:eastAsia="仿宋"/>
          <w:color w:val="000000" w:themeColor="text1"/>
          <w:sz w:val="32"/>
          <w:szCs w:val="32"/>
          <w:lang w:val="en-US" w:eastAsia="zh-CN"/>
          <w14:textFill>
            <w14:solidFill>
              <w14:schemeClr w14:val="tx1"/>
            </w14:solidFill>
          </w14:textFill>
        </w:rPr>
        <w:t>34.05</w:t>
      </w:r>
      <w:r>
        <w:rPr>
          <w:rFonts w:hint="eastAsia" w:ascii="仿宋" w:hAnsi="仿宋" w:eastAsia="仿宋"/>
          <w:color w:val="000000" w:themeColor="text1"/>
          <w:sz w:val="32"/>
          <w:szCs w:val="32"/>
          <w:lang w:eastAsia="zh-CN"/>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10.23</w:t>
      </w:r>
      <w:r>
        <w:rPr>
          <w:rFonts w:hint="eastAsia" w:ascii="仿宋" w:hAnsi="仿宋" w:eastAsia="仿宋"/>
          <w:color w:val="000000" w:themeColor="text1"/>
          <w:sz w:val="32"/>
          <w:szCs w:val="32"/>
          <w:lang w:eastAsia="zh-CN"/>
          <w14:textFill>
            <w14:solidFill>
              <w14:schemeClr w14:val="tx1"/>
            </w14:solidFill>
          </w14:textFill>
        </w:rPr>
        <w:t>%；卫生健康支出</w:t>
      </w:r>
      <w:r>
        <w:rPr>
          <w:rFonts w:hint="eastAsia" w:ascii="仿宋" w:hAnsi="仿宋" w:eastAsia="仿宋"/>
          <w:color w:val="000000" w:themeColor="text1"/>
          <w:sz w:val="32"/>
          <w:szCs w:val="32"/>
          <w:lang w:val="en-US" w:eastAsia="zh-CN"/>
          <w14:textFill>
            <w14:solidFill>
              <w14:schemeClr w14:val="tx1"/>
            </w14:solidFill>
          </w14:textFill>
        </w:rPr>
        <w:t>12.61</w:t>
      </w:r>
      <w:r>
        <w:rPr>
          <w:rFonts w:hint="eastAsia" w:ascii="仿宋" w:hAnsi="仿宋" w:eastAsia="仿宋"/>
          <w:color w:val="000000" w:themeColor="text1"/>
          <w:sz w:val="32"/>
          <w:szCs w:val="32"/>
          <w:lang w:eastAsia="zh-CN"/>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3.79</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住</w:t>
      </w:r>
      <w:r>
        <w:rPr>
          <w:rFonts w:hint="eastAsia" w:ascii="仿宋" w:hAnsi="仿宋" w:eastAsia="仿宋"/>
          <w:color w:val="000000" w:themeColor="text1"/>
          <w:sz w:val="32"/>
          <w:szCs w:val="32"/>
          <w14:textFill>
            <w14:solidFill>
              <w14:schemeClr w14:val="tx1"/>
            </w14:solidFill>
          </w14:textFill>
        </w:rPr>
        <w:t>房保障支出</w:t>
      </w:r>
      <w:r>
        <w:rPr>
          <w:rFonts w:hint="eastAsia" w:ascii="仿宋" w:hAnsi="仿宋" w:eastAsia="仿宋"/>
          <w:color w:val="000000" w:themeColor="text1"/>
          <w:sz w:val="32"/>
          <w:szCs w:val="32"/>
          <w:lang w:val="en-US" w:eastAsia="zh-CN"/>
          <w14:textFill>
            <w14:solidFill>
              <w14:schemeClr w14:val="tx1"/>
            </w14:solidFill>
          </w14:textFill>
        </w:rPr>
        <w:t>21.62</w:t>
      </w:r>
      <w:r>
        <w:rPr>
          <w:rFonts w:hint="eastAsia" w:ascii="仿宋" w:hAnsi="仿宋" w:eastAsia="仿宋"/>
          <w:color w:val="000000" w:themeColor="text1"/>
          <w:sz w:val="32"/>
          <w:szCs w:val="32"/>
          <w14:textFill>
            <w14:solidFill>
              <w14:schemeClr w14:val="tx1"/>
            </w14:solidFill>
          </w14:textFill>
        </w:rPr>
        <w:t>万元，</w:t>
      </w:r>
      <w:r>
        <w:rPr>
          <w:rFonts w:hint="eastAsia" w:ascii="仿宋" w:hAnsi="仿宋" w:eastAsia="仿宋"/>
          <w:color w:val="000000" w:themeColor="text1"/>
          <w:sz w:val="32"/>
          <w:szCs w:val="32"/>
          <w:lang w:val="en-US" w:eastAsia="zh-CN"/>
          <w14:textFill>
            <w14:solidFill>
              <w14:schemeClr w14:val="tx1"/>
            </w14:solidFill>
          </w14:textFill>
        </w:rPr>
        <w:t>占</w:t>
      </w:r>
      <w:r>
        <w:rPr>
          <w:rFonts w:hint="eastAsia" w:ascii="仿宋" w:hAnsi="仿宋" w:eastAsia="仿宋"/>
          <w:color w:val="000000" w:themeColor="text1"/>
          <w:sz w:val="32"/>
          <w:szCs w:val="32"/>
          <w:cs w:val="0"/>
          <w:lang w:val="en-US" w:eastAsia="zh-CN"/>
          <w14:textFill>
            <w14:solidFill>
              <w14:schemeClr w14:val="tx1"/>
            </w14:solidFill>
          </w14:textFill>
        </w:rPr>
        <w:t>6.49</w:t>
      </w:r>
      <w:r>
        <w:rPr>
          <w:rFonts w:hint="eastAsia" w:ascii="仿宋" w:hAnsi="仿宋" w:eastAsia="仿宋"/>
          <w:color w:val="000000" w:themeColor="text1"/>
          <w:sz w:val="32"/>
          <w:szCs w:val="32"/>
          <w:lang w:val="en-US" w:eastAsia="zh-CN"/>
          <w14:textFill>
            <w14:solidFill>
              <w14:schemeClr w14:val="tx1"/>
            </w14:solidFill>
          </w14:textFill>
        </w:rPr>
        <w:t>%。</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ascii="黑体" w:hAnsi="宋体" w:eastAsia="黑体" w:cs="宋体"/>
          <w:color w:val="000000"/>
          <w:kern w:val="0"/>
          <w:sz w:val="32"/>
          <w:szCs w:val="32"/>
        </w:rPr>
      </w:pPr>
      <w:r>
        <w:rPr>
          <w:rFonts w:hint="eastAsia" w:ascii="黑体" w:hAnsi="宋体" w:eastAsia="黑体" w:cs="宋体"/>
          <w:color w:val="000000"/>
          <w:kern w:val="0"/>
          <w:sz w:val="32"/>
          <w:szCs w:val="32"/>
        </w:rPr>
        <w:t>三、部门财政支出管理情况</w:t>
      </w:r>
    </w:p>
    <w:p>
      <w:pPr>
        <w:keepNext w:val="0"/>
        <w:keepLines w:val="0"/>
        <w:pageBreakBefore w:val="0"/>
        <w:widowControl/>
        <w:kinsoku/>
        <w:wordWrap/>
        <w:overflowPunct/>
        <w:topLinePunct w:val="0"/>
        <w:autoSpaceDE/>
        <w:autoSpaceDN/>
        <w:bidi w:val="0"/>
        <w:adjustRightInd w:val="0"/>
        <w:snapToGrid w:val="0"/>
        <w:spacing w:line="576" w:lineRule="exact"/>
        <w:ind w:firstLine="720"/>
        <w:jc w:val="left"/>
        <w:textAlignment w:val="auto"/>
        <w:rPr>
          <w:rFonts w:hint="eastAsia" w:ascii="楷体_GB2312" w:hAnsi="楷体_GB2312" w:eastAsia="楷体_GB2312" w:cs="楷体_GB2312"/>
          <w:b/>
          <w:bCs/>
          <w:color w:val="000000"/>
          <w:kern w:val="0"/>
          <w:sz w:val="32"/>
          <w:szCs w:val="32"/>
          <w:lang w:val="zh-CN"/>
        </w:rPr>
      </w:pPr>
      <w:r>
        <w:rPr>
          <w:rFonts w:hint="eastAsia" w:ascii="楷体_GB2312" w:hAnsi="楷体_GB2312" w:eastAsia="楷体_GB2312" w:cs="楷体_GB2312"/>
          <w:b/>
          <w:bCs/>
          <w:color w:val="000000"/>
          <w:kern w:val="0"/>
          <w:sz w:val="32"/>
          <w:szCs w:val="32"/>
          <w:lang w:val="zh-CN"/>
        </w:rPr>
        <w:t>（一）预算编制情况。</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sz w:val="32"/>
          <w:szCs w:val="32"/>
        </w:rPr>
      </w:pPr>
      <w:r>
        <w:rPr>
          <w:rFonts w:hint="eastAsia" w:ascii="仿宋_GB2312" w:hAnsi="仿宋_GB2312" w:eastAsia="仿宋_GB2312" w:cs="仿宋_GB2312"/>
          <w:sz w:val="32"/>
          <w:szCs w:val="32"/>
        </w:rPr>
        <w:t>我</w:t>
      </w:r>
      <w:r>
        <w:rPr>
          <w:rFonts w:hint="eastAsia" w:ascii="仿宋_GB2312" w:hAnsi="仿宋_GB2312" w:cs="仿宋_GB2312"/>
          <w:sz w:val="32"/>
          <w:szCs w:val="32"/>
          <w:lang w:val="en-US" w:eastAsia="zh-CN"/>
        </w:rPr>
        <w:t>部门</w:t>
      </w:r>
      <w:r>
        <w:rPr>
          <w:rFonts w:hint="eastAsia" w:ascii="仿宋_GB2312" w:hAnsi="仿宋_GB2312" w:eastAsia="仿宋_GB2312" w:cs="仿宋_GB2312"/>
          <w:sz w:val="32"/>
          <w:szCs w:val="32"/>
        </w:rPr>
        <w:t>严格按照《预算法》及相关财经法规和政策编制本年度预算，严格控制编报质量，保证所有资金合法合规，严格按照相关规定进行预算编制</w:t>
      </w:r>
      <w:r>
        <w:rPr>
          <w:rFonts w:hint="eastAsia" w:ascii="仿宋_GB2312" w:hAnsi="仿宋_GB2312" w:cs="仿宋_GB2312"/>
          <w:sz w:val="32"/>
          <w:szCs w:val="32"/>
          <w:lang w:eastAsia="zh-CN"/>
        </w:rPr>
        <w:t>。预算中</w:t>
      </w:r>
      <w:r>
        <w:rPr>
          <w:rFonts w:hint="eastAsia" w:ascii="仿宋_GB2312" w:hAnsi="仿宋_GB2312" w:eastAsia="仿宋_GB2312" w:cs="仿宋_GB2312"/>
          <w:sz w:val="32"/>
          <w:szCs w:val="32"/>
        </w:rPr>
        <w:t>基本支出，是用于保障</w:t>
      </w:r>
      <w:r>
        <w:rPr>
          <w:rFonts w:hint="eastAsia" w:ascii="仿宋_GB2312" w:hAnsi="仿宋_GB2312" w:cs="仿宋_GB2312"/>
          <w:sz w:val="32"/>
          <w:szCs w:val="32"/>
          <w:lang w:eastAsia="zh-CN"/>
        </w:rPr>
        <w:t>我</w:t>
      </w:r>
      <w:r>
        <w:rPr>
          <w:rFonts w:hint="eastAsia" w:ascii="仿宋_GB2312" w:hAnsi="仿宋_GB2312" w:cs="仿宋_GB2312"/>
          <w:sz w:val="32"/>
          <w:szCs w:val="32"/>
          <w:lang w:val="en-US" w:eastAsia="zh-CN"/>
        </w:rPr>
        <w:t>部门</w:t>
      </w:r>
      <w:r>
        <w:rPr>
          <w:rFonts w:hint="eastAsia" w:ascii="仿宋_GB2312" w:hAnsi="仿宋_GB2312" w:eastAsia="仿宋_GB2312" w:cs="仿宋_GB2312"/>
          <w:sz w:val="32"/>
          <w:szCs w:val="32"/>
        </w:rPr>
        <w:t>正常运转的日常支出，包括基本工资、津贴补贴等人员经费以及办公费、印刷费、水电费、</w:t>
      </w:r>
      <w:r>
        <w:rPr>
          <w:rFonts w:hint="eastAsia" w:ascii="仿宋_GB2312" w:hAnsi="仿宋_GB2312" w:eastAsia="仿宋_GB2312" w:cs="仿宋_GB2312"/>
          <w:sz w:val="32"/>
          <w:szCs w:val="32"/>
          <w:lang w:eastAsia="zh-CN"/>
        </w:rPr>
        <w:t>培训费、会议费</w:t>
      </w:r>
      <w:r>
        <w:rPr>
          <w:rFonts w:hint="eastAsia" w:ascii="仿宋_GB2312" w:hAnsi="仿宋_GB2312" w:eastAsia="仿宋_GB2312" w:cs="仿宋_GB2312"/>
          <w:sz w:val="32"/>
          <w:szCs w:val="32"/>
        </w:rPr>
        <w:t>等日常公用经</w:t>
      </w:r>
      <w:r>
        <w:rPr>
          <w:rFonts w:hint="eastAsia" w:ascii="仿宋_GB2312" w:hAnsi="仿宋_GB2312" w:eastAsia="仿宋_GB2312" w:cs="仿宋_GB2312"/>
          <w:sz w:val="32"/>
          <w:szCs w:val="32"/>
          <w:lang w:eastAsia="zh-CN"/>
        </w:rPr>
        <w:t>费。</w:t>
      </w:r>
      <w:r>
        <w:rPr>
          <w:rFonts w:hint="eastAsia" w:ascii="仿宋_GB2312" w:hAnsi="仿宋_GB2312" w:eastAsia="仿宋_GB2312" w:cs="仿宋_GB2312"/>
          <w:sz w:val="32"/>
          <w:szCs w:val="32"/>
          <w:lang w:val="en-US" w:eastAsia="zh-CN"/>
        </w:rPr>
        <w:t>202</w:t>
      </w:r>
      <w:r>
        <w:rPr>
          <w:rFonts w:hint="eastAsia" w:ascii="仿宋_GB2312" w:hAnsi="仿宋_GB2312" w:cs="仿宋_GB2312"/>
          <w:sz w:val="32"/>
          <w:szCs w:val="32"/>
          <w:lang w:val="en-US" w:eastAsia="zh-CN"/>
        </w:rPr>
        <w:t>2</w:t>
      </w:r>
      <w:r>
        <w:rPr>
          <w:rFonts w:hint="eastAsia" w:ascii="仿宋_GB2312" w:hAnsi="仿宋_GB2312" w:eastAsia="仿宋_GB2312" w:cs="仿宋_GB2312"/>
          <w:sz w:val="32"/>
          <w:szCs w:val="32"/>
          <w:lang w:val="en-US" w:eastAsia="zh-CN"/>
        </w:rPr>
        <w:t>年绩效目标执行率96%以上完成度较好，202</w:t>
      </w:r>
      <w:r>
        <w:rPr>
          <w:rFonts w:hint="eastAsia" w:ascii="仿宋_GB2312" w:hAnsi="仿宋_GB2312" w:cs="仿宋_GB2312"/>
          <w:sz w:val="32"/>
          <w:szCs w:val="32"/>
          <w:lang w:val="en-US" w:eastAsia="zh-CN"/>
        </w:rPr>
        <w:t>2</w:t>
      </w:r>
      <w:r>
        <w:rPr>
          <w:rFonts w:hint="eastAsia" w:ascii="仿宋_GB2312" w:hAnsi="仿宋_GB2312" w:eastAsia="仿宋_GB2312" w:cs="仿宋_GB2312"/>
          <w:sz w:val="32"/>
          <w:szCs w:val="32"/>
          <w:lang w:val="en-US" w:eastAsia="zh-CN"/>
        </w:rPr>
        <w:t>年我</w:t>
      </w:r>
      <w:r>
        <w:rPr>
          <w:rFonts w:hint="eastAsia" w:ascii="仿宋_GB2312" w:hAnsi="仿宋_GB2312" w:cs="仿宋_GB2312"/>
          <w:sz w:val="32"/>
          <w:szCs w:val="32"/>
          <w:lang w:val="en-US" w:eastAsia="zh-CN"/>
        </w:rPr>
        <w:t>部门</w:t>
      </w:r>
      <w:r>
        <w:rPr>
          <w:rFonts w:hint="eastAsia" w:ascii="仿宋_GB2312" w:hAnsi="仿宋_GB2312" w:eastAsia="仿宋_GB2312" w:cs="仿宋_GB2312"/>
          <w:sz w:val="32"/>
          <w:szCs w:val="32"/>
          <w:lang w:val="en-US" w:eastAsia="zh-CN"/>
        </w:rPr>
        <w:t>及时公开部门预算</w:t>
      </w:r>
      <w:r>
        <w:rPr>
          <w:rFonts w:hint="eastAsia" w:ascii="仿宋_GB2312" w:hAnsi="仿宋_GB2312" w:cs="仿宋_GB2312"/>
          <w:sz w:val="32"/>
          <w:szCs w:val="32"/>
          <w:lang w:val="en-US" w:eastAsia="zh-CN"/>
        </w:rPr>
        <w:t>、</w:t>
      </w:r>
      <w:r>
        <w:rPr>
          <w:rFonts w:hint="eastAsia" w:ascii="仿宋_GB2312" w:hAnsi="仿宋_GB2312" w:eastAsia="仿宋_GB2312" w:cs="仿宋_GB2312"/>
          <w:sz w:val="32"/>
          <w:szCs w:val="32"/>
          <w:lang w:val="en-US" w:eastAsia="zh-CN"/>
        </w:rPr>
        <w:t>决算</w:t>
      </w:r>
      <w:r>
        <w:rPr>
          <w:rFonts w:hint="eastAsia" w:ascii="仿宋_GB2312" w:hAnsi="仿宋_GB2312" w:cs="仿宋_GB2312"/>
          <w:sz w:val="32"/>
          <w:szCs w:val="32"/>
          <w:lang w:val="en-US" w:eastAsia="zh-CN"/>
        </w:rPr>
        <w:t>、</w:t>
      </w:r>
      <w:r>
        <w:rPr>
          <w:rFonts w:hint="eastAsia" w:ascii="仿宋_GB2312" w:hAnsi="仿宋_GB2312" w:eastAsia="仿宋_GB2312" w:cs="仿宋_GB2312"/>
          <w:sz w:val="32"/>
          <w:szCs w:val="32"/>
          <w:lang w:val="en-US" w:eastAsia="zh-CN"/>
        </w:rPr>
        <w:t>绩效报告等，对预算编制进一步细化。</w:t>
      </w:r>
    </w:p>
    <w:p>
      <w:pPr>
        <w:keepNext w:val="0"/>
        <w:keepLines w:val="0"/>
        <w:pageBreakBefore w:val="0"/>
        <w:widowControl/>
        <w:kinsoku/>
        <w:wordWrap/>
        <w:overflowPunct/>
        <w:topLinePunct w:val="0"/>
        <w:autoSpaceDE/>
        <w:autoSpaceDN/>
        <w:bidi w:val="0"/>
        <w:adjustRightInd w:val="0"/>
        <w:snapToGrid w:val="0"/>
        <w:spacing w:line="576" w:lineRule="exact"/>
        <w:ind w:firstLine="720"/>
        <w:jc w:val="left"/>
        <w:textAlignment w:val="auto"/>
        <w:rPr>
          <w:rFonts w:hint="eastAsia" w:ascii="楷体_GB2312" w:hAnsi="楷体_GB2312" w:eastAsia="楷体_GB2312" w:cs="楷体_GB2312"/>
          <w:b/>
          <w:bCs/>
          <w:i w:val="0"/>
          <w:iCs w:val="0"/>
          <w:color w:val="000000"/>
          <w:kern w:val="0"/>
          <w:sz w:val="32"/>
          <w:szCs w:val="32"/>
          <w:lang w:val="zh-CN"/>
        </w:rPr>
      </w:pPr>
      <w:r>
        <w:rPr>
          <w:rFonts w:hint="eastAsia" w:ascii="楷体_GB2312" w:hAnsi="楷体_GB2312" w:eastAsia="楷体_GB2312" w:cs="楷体_GB2312"/>
          <w:b/>
          <w:bCs/>
          <w:i w:val="0"/>
          <w:iCs w:val="0"/>
          <w:color w:val="000000"/>
          <w:kern w:val="0"/>
          <w:sz w:val="32"/>
          <w:szCs w:val="32"/>
          <w:lang w:val="zh-CN"/>
        </w:rPr>
        <w:t>（二）执行管理情况。</w:t>
      </w:r>
      <w:r>
        <w:rPr>
          <w:rFonts w:hint="eastAsia" w:ascii="楷体_GB2312" w:hAnsi="楷体_GB2312" w:eastAsia="楷体_GB2312" w:cs="楷体_GB2312"/>
          <w:b/>
          <w:bCs/>
          <w:i w:val="0"/>
          <w:iCs w:val="0"/>
          <w:color w:val="000000"/>
          <w:kern w:val="0"/>
          <w:sz w:val="32"/>
          <w:szCs w:val="32"/>
          <w:lang w:val="zh-CN"/>
        </w:rPr>
        <w:tab/>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宋体" w:eastAsia="仿宋_GB2312" w:cs="宋体"/>
          <w:color w:val="000000"/>
          <w:kern w:val="0"/>
          <w:sz w:val="32"/>
          <w:szCs w:val="32"/>
          <w:lang w:val="zh-CN" w:eastAsia="zh-CN"/>
        </w:rPr>
      </w:pPr>
      <w:r>
        <w:rPr>
          <w:rFonts w:hint="eastAsia" w:ascii="仿宋_GB2312" w:hAnsi="仿宋_GB2312" w:cs="仿宋_GB2312"/>
          <w:sz w:val="32"/>
          <w:szCs w:val="32"/>
          <w:lang w:eastAsia="zh-CN"/>
        </w:rPr>
        <w:t>我</w:t>
      </w:r>
      <w:r>
        <w:rPr>
          <w:rFonts w:hint="eastAsia" w:ascii="仿宋_GB2312" w:hAnsi="仿宋_GB2312" w:cs="仿宋_GB2312"/>
          <w:sz w:val="32"/>
          <w:szCs w:val="32"/>
          <w:lang w:val="en-US" w:eastAsia="zh-CN"/>
        </w:rPr>
        <w:t>部门</w:t>
      </w:r>
      <w:r>
        <w:rPr>
          <w:rFonts w:hint="eastAsia" w:ascii="仿宋_GB2312" w:hAnsi="仿宋_GB2312" w:eastAsia="仿宋_GB2312" w:cs="仿宋_GB2312"/>
          <w:sz w:val="32"/>
          <w:szCs w:val="32"/>
        </w:rPr>
        <w:t>预算执行到位，严格按照预算管理进行支付并做到节能降耗，“三公”经费严格按照年初预算执行</w:t>
      </w:r>
      <w:r>
        <w:rPr>
          <w:rFonts w:hint="eastAsia" w:ascii="仿宋_GB2312" w:hAnsi="仿宋_GB2312" w:cs="仿宋_GB2312"/>
          <w:sz w:val="32"/>
          <w:szCs w:val="32"/>
          <w:lang w:eastAsia="zh-CN"/>
        </w:rPr>
        <w:t>，预算数为</w:t>
      </w:r>
      <w:r>
        <w:rPr>
          <w:rFonts w:hint="eastAsia" w:ascii="仿宋_GB2312" w:hAnsi="仿宋_GB2312" w:cs="仿宋_GB2312"/>
          <w:sz w:val="32"/>
          <w:szCs w:val="32"/>
          <w:lang w:val="en-US" w:eastAsia="zh-CN"/>
        </w:rPr>
        <w:t>8.48万元，</w:t>
      </w:r>
      <w:r>
        <w:rPr>
          <w:rFonts w:hint="eastAsia" w:eastAsia="仿宋_GB2312"/>
          <w:sz w:val="32"/>
          <w:szCs w:val="32"/>
          <w:lang w:eastAsia="zh-CN"/>
        </w:rPr>
        <w:t>决算数为</w:t>
      </w:r>
      <w:r>
        <w:rPr>
          <w:rFonts w:hint="eastAsia"/>
          <w:sz w:val="32"/>
          <w:szCs w:val="32"/>
          <w:lang w:val="en-US" w:eastAsia="zh-CN"/>
        </w:rPr>
        <w:t>8.48</w:t>
      </w:r>
      <w:r>
        <w:rPr>
          <w:rFonts w:hint="eastAsia" w:eastAsia="仿宋_GB2312"/>
          <w:sz w:val="32"/>
          <w:szCs w:val="32"/>
          <w:lang w:eastAsia="zh-CN"/>
        </w:rPr>
        <w:t>万元</w:t>
      </w:r>
      <w:r>
        <w:rPr>
          <w:rFonts w:hint="eastAsia"/>
          <w:sz w:val="32"/>
          <w:szCs w:val="32"/>
          <w:lang w:eastAsia="zh-CN"/>
        </w:rPr>
        <w:t>，</w:t>
      </w:r>
      <w:r>
        <w:rPr>
          <w:rFonts w:hint="eastAsia" w:eastAsia="仿宋_GB2312"/>
          <w:sz w:val="32"/>
          <w:szCs w:val="32"/>
          <w:lang w:eastAsia="zh-CN"/>
        </w:rPr>
        <w:t>预算完成度为</w:t>
      </w:r>
      <w:r>
        <w:rPr>
          <w:rFonts w:hint="eastAsia"/>
          <w:sz w:val="32"/>
          <w:szCs w:val="32"/>
          <w:lang w:val="en-US" w:eastAsia="zh-CN"/>
        </w:rPr>
        <w:t>100</w:t>
      </w:r>
      <w:r>
        <w:rPr>
          <w:rFonts w:hint="eastAsia" w:eastAsia="仿宋_GB2312"/>
          <w:sz w:val="32"/>
          <w:szCs w:val="32"/>
          <w:lang w:eastAsia="zh-CN"/>
        </w:rPr>
        <w:t>%</w:t>
      </w:r>
      <w:r>
        <w:rPr>
          <w:rFonts w:hint="eastAsia"/>
          <w:sz w:val="32"/>
          <w:szCs w:val="32"/>
          <w:lang w:eastAsia="zh-CN"/>
        </w:rPr>
        <w:t>，</w:t>
      </w:r>
      <w:r>
        <w:rPr>
          <w:rFonts w:hint="eastAsia" w:eastAsia="仿宋_GB2312"/>
          <w:sz w:val="32"/>
          <w:szCs w:val="32"/>
          <w:lang w:eastAsia="zh-CN"/>
        </w:rPr>
        <w:t>其中:公务用车购置及运行维护费支出决算数为</w:t>
      </w:r>
      <w:r>
        <w:rPr>
          <w:rFonts w:hint="eastAsia"/>
          <w:sz w:val="32"/>
          <w:szCs w:val="32"/>
          <w:lang w:val="en-US" w:eastAsia="zh-CN"/>
        </w:rPr>
        <w:t>8.32</w:t>
      </w:r>
      <w:r>
        <w:rPr>
          <w:rFonts w:hint="eastAsia" w:eastAsia="仿宋_GB2312"/>
          <w:sz w:val="32"/>
          <w:szCs w:val="32"/>
          <w:lang w:eastAsia="zh-CN"/>
        </w:rPr>
        <w:t>万元，相比上年度增加</w:t>
      </w:r>
      <w:r>
        <w:rPr>
          <w:rFonts w:hint="eastAsia"/>
          <w:sz w:val="32"/>
          <w:szCs w:val="32"/>
          <w:lang w:val="en-US" w:eastAsia="zh-CN"/>
        </w:rPr>
        <w:t>4.5</w:t>
      </w:r>
      <w:r>
        <w:rPr>
          <w:rFonts w:hint="eastAsia" w:eastAsia="仿宋_GB2312"/>
          <w:sz w:val="32"/>
          <w:szCs w:val="32"/>
          <w:lang w:eastAsia="zh-CN"/>
        </w:rPr>
        <w:t>万元，主要原因是</w:t>
      </w:r>
      <w:r>
        <w:rPr>
          <w:rFonts w:hint="eastAsia" w:ascii="Times New Roman" w:hAnsi="Times New Roman" w:eastAsia="仿宋_GB2312" w:cs="Times New Roman"/>
          <w:sz w:val="32"/>
          <w:szCs w:val="32"/>
          <w:lang w:eastAsia="zh-CN"/>
        </w:rPr>
        <w:t>因</w:t>
      </w:r>
      <w:r>
        <w:rPr>
          <w:rFonts w:hint="eastAsia" w:ascii="Times New Roman" w:hAnsi="Times New Roman" w:eastAsia="仿宋_GB2312" w:cs="Times New Roman"/>
          <w:sz w:val="32"/>
          <w:szCs w:val="32"/>
          <w:lang w:val="en-US" w:eastAsia="zh-CN"/>
        </w:rPr>
        <w:t>为我</w:t>
      </w:r>
      <w:r>
        <w:rPr>
          <w:rFonts w:hint="eastAsia" w:cs="Times New Roman"/>
          <w:sz w:val="32"/>
          <w:szCs w:val="32"/>
          <w:lang w:val="en-US" w:eastAsia="zh-CN"/>
        </w:rPr>
        <w:t>部门</w:t>
      </w:r>
      <w:r>
        <w:rPr>
          <w:rFonts w:hint="eastAsia" w:ascii="Times New Roman" w:hAnsi="Times New Roman" w:eastAsia="仿宋_GB2312" w:cs="Times New Roman"/>
          <w:sz w:val="32"/>
          <w:szCs w:val="32"/>
          <w:lang w:val="en-US" w:eastAsia="zh-CN"/>
        </w:rPr>
        <w:t>公务用车车辆维修维护费用增加</w:t>
      </w:r>
      <w:r>
        <w:rPr>
          <w:rFonts w:hint="eastAsia" w:eastAsia="仿宋_GB2312"/>
          <w:sz w:val="32"/>
          <w:szCs w:val="32"/>
          <w:lang w:eastAsia="zh-CN"/>
        </w:rPr>
        <w:t>；公务接待费支出决算数为</w:t>
      </w:r>
      <w:r>
        <w:rPr>
          <w:rFonts w:hint="eastAsia"/>
          <w:sz w:val="32"/>
          <w:szCs w:val="32"/>
          <w:lang w:val="en-US" w:eastAsia="zh-CN"/>
        </w:rPr>
        <w:t>0.16</w:t>
      </w:r>
      <w:r>
        <w:rPr>
          <w:rFonts w:hint="eastAsia" w:eastAsia="仿宋_GB2312"/>
          <w:sz w:val="32"/>
          <w:szCs w:val="32"/>
          <w:lang w:eastAsia="zh-CN"/>
        </w:rPr>
        <w:t>万元，相比上年度</w:t>
      </w:r>
      <w:r>
        <w:rPr>
          <w:rFonts w:hint="eastAsia"/>
          <w:sz w:val="32"/>
          <w:szCs w:val="32"/>
          <w:lang w:val="en-US" w:eastAsia="zh-CN"/>
        </w:rPr>
        <w:t>增加0.04万元</w:t>
      </w:r>
      <w:r>
        <w:rPr>
          <w:rFonts w:hint="eastAsia" w:eastAsia="仿宋_GB2312"/>
          <w:sz w:val="32"/>
          <w:szCs w:val="32"/>
          <w:lang w:eastAsia="zh-CN"/>
        </w:rPr>
        <w:t xml:space="preserve">。 </w:t>
      </w:r>
    </w:p>
    <w:p>
      <w:pPr>
        <w:keepNext w:val="0"/>
        <w:keepLines w:val="0"/>
        <w:pageBreakBefore w:val="0"/>
        <w:widowControl/>
        <w:kinsoku/>
        <w:wordWrap/>
        <w:overflowPunct/>
        <w:topLinePunct w:val="0"/>
        <w:autoSpaceDE/>
        <w:autoSpaceDN/>
        <w:bidi w:val="0"/>
        <w:adjustRightInd w:val="0"/>
        <w:snapToGrid w:val="0"/>
        <w:spacing w:line="576" w:lineRule="exact"/>
        <w:ind w:firstLine="720"/>
        <w:jc w:val="left"/>
        <w:textAlignment w:val="auto"/>
        <w:rPr>
          <w:rFonts w:hint="eastAsia" w:ascii="楷体_GB2312" w:hAnsi="楷体_GB2312" w:eastAsia="楷体_GB2312" w:cs="楷体_GB2312"/>
          <w:color w:val="000000"/>
          <w:kern w:val="0"/>
          <w:sz w:val="32"/>
          <w:szCs w:val="32"/>
          <w:lang w:val="en-US" w:eastAsia="zh-CN"/>
        </w:rPr>
      </w:pPr>
      <w:r>
        <w:rPr>
          <w:rFonts w:hint="eastAsia" w:ascii="楷体_GB2312" w:hAnsi="楷体_GB2312" w:eastAsia="楷体_GB2312" w:cs="楷体_GB2312"/>
          <w:b/>
          <w:bCs/>
          <w:i w:val="0"/>
          <w:iCs w:val="0"/>
          <w:color w:val="000000"/>
          <w:kern w:val="0"/>
          <w:sz w:val="32"/>
          <w:szCs w:val="32"/>
          <w:lang w:val="zh-CN"/>
        </w:rPr>
        <w:t>（三）综合管理情况。</w:t>
      </w:r>
    </w:p>
    <w:p>
      <w:pPr>
        <w:keepNext w:val="0"/>
        <w:keepLines w:val="0"/>
        <w:pageBreakBefore w:val="0"/>
        <w:widowControl/>
        <w:suppressLineNumbers w:val="0"/>
        <w:kinsoku/>
        <w:wordWrap/>
        <w:overflowPunct/>
        <w:topLinePunct w:val="0"/>
        <w:autoSpaceDE/>
        <w:autoSpaceDN/>
        <w:bidi w:val="0"/>
        <w:adjustRightInd w:val="0"/>
        <w:snapToGrid w:val="0"/>
        <w:spacing w:beforeAutospacing="0" w:after="0" w:afterAutospacing="0" w:line="576" w:lineRule="exact"/>
        <w:ind w:left="0" w:right="0" w:firstLine="720"/>
        <w:jc w:val="left"/>
        <w:textAlignment w:val="auto"/>
        <w:rPr>
          <w:rFonts w:hint="eastAsia" w:ascii="仿宋_GB2312" w:hAnsi="宋体" w:eastAsia="仿宋_GB2312" w:cs="宋体"/>
          <w:color w:val="000000"/>
          <w:kern w:val="0"/>
          <w:sz w:val="32"/>
          <w:szCs w:val="32"/>
          <w:lang w:val="zh-CN" w:eastAsia="zh-CN"/>
        </w:rPr>
      </w:pPr>
      <w:r>
        <w:rPr>
          <w:rFonts w:hint="eastAsia" w:ascii="仿宋_GB2312" w:hAnsi="仿宋_GB2312" w:eastAsia="仿宋_GB2312" w:cs="仿宋_GB2312"/>
          <w:b w:val="0"/>
          <w:bCs w:val="0"/>
          <w:color w:val="000000"/>
          <w:sz w:val="32"/>
          <w:szCs w:val="32"/>
          <w:lang w:val="en-US" w:eastAsia="zh-CN"/>
        </w:rPr>
        <w:t>根据《会计法》《预算法》、《行政单位会计制》等法律和财政部及其省财政厅有关财务规章的规定，明确了单位经费审批权限及程序，经费预算、核算管理、资产购置与处置、财务监督等相关规定。按规定对本单位财务信息依法进行公开。</w:t>
      </w:r>
    </w:p>
    <w:p>
      <w:pPr>
        <w:pStyle w:val="43"/>
        <w:keepNext w:val="0"/>
        <w:keepLines w:val="0"/>
        <w:pageBreakBefore w:val="0"/>
        <w:numPr>
          <w:ilvl w:val="0"/>
          <w:numId w:val="0"/>
        </w:numPr>
        <w:tabs>
          <w:tab w:val="left" w:pos="0"/>
        </w:tabs>
        <w:kinsoku/>
        <w:wordWrap/>
        <w:overflowPunct/>
        <w:topLinePunct w:val="0"/>
        <w:autoSpaceDE/>
        <w:autoSpaceDN/>
        <w:bidi w:val="0"/>
        <w:spacing w:line="576" w:lineRule="exact"/>
        <w:ind w:left="750" w:leftChars="0"/>
        <w:jc w:val="both"/>
        <w:textAlignment w:val="auto"/>
        <w:rPr>
          <w:rFonts w:ascii="仿宋_GB2312" w:hAnsi="宋体" w:cs="宋体"/>
          <w:b/>
          <w:bCs/>
          <w:sz w:val="32"/>
          <w:szCs w:val="32"/>
        </w:rPr>
      </w:pPr>
      <w:r>
        <w:rPr>
          <w:rFonts w:hint="eastAsia" w:ascii="仿宋_GB2312" w:hAnsi="宋体" w:cs="宋体"/>
          <w:b/>
          <w:bCs/>
          <w:sz w:val="32"/>
          <w:szCs w:val="32"/>
          <w:lang w:val="en-US" w:eastAsia="zh-CN"/>
        </w:rPr>
        <w:t>1.</w:t>
      </w:r>
      <w:r>
        <w:rPr>
          <w:rFonts w:hint="eastAsia" w:ascii="仿宋_GB2312" w:hAnsi="宋体" w:cs="宋体"/>
          <w:b/>
          <w:bCs/>
          <w:sz w:val="32"/>
          <w:szCs w:val="32"/>
        </w:rPr>
        <w:t>资产管理</w:t>
      </w:r>
    </w:p>
    <w:p>
      <w:pPr>
        <w:pStyle w:val="43"/>
        <w:keepNext w:val="0"/>
        <w:keepLines w:val="0"/>
        <w:pageBreakBefore w:val="0"/>
        <w:kinsoku/>
        <w:wordWrap/>
        <w:overflowPunct/>
        <w:topLinePunct w:val="0"/>
        <w:autoSpaceDE/>
        <w:autoSpaceDN/>
        <w:bidi w:val="0"/>
        <w:spacing w:line="576" w:lineRule="exact"/>
        <w:ind w:firstLine="600"/>
        <w:jc w:val="both"/>
        <w:textAlignment w:val="auto"/>
        <w:rPr>
          <w:rFonts w:hint="eastAsia" w:ascii="仿宋_GB2312" w:hAnsi="宋体" w:cs="宋体"/>
          <w:sz w:val="32"/>
          <w:szCs w:val="32"/>
        </w:rPr>
      </w:pPr>
      <w:r>
        <w:rPr>
          <w:rFonts w:hint="eastAsia" w:ascii="仿宋_GB2312" w:hAnsi="宋体" w:cs="宋体"/>
          <w:sz w:val="32"/>
          <w:szCs w:val="32"/>
        </w:rPr>
        <w:t xml:space="preserve">由于现在的日常工作已逐步普及办公自动化，加快了办公设备淘汰更新，这就需要对固定资产进行年年清查盘点，使固定资产清查工作经常化、常态化，更好的从源头上对单位固定资产进行监控和管理。 </w:t>
      </w:r>
    </w:p>
    <w:p>
      <w:pPr>
        <w:pStyle w:val="43"/>
        <w:keepNext w:val="0"/>
        <w:keepLines w:val="0"/>
        <w:pageBreakBefore w:val="0"/>
        <w:numPr>
          <w:ilvl w:val="0"/>
          <w:numId w:val="0"/>
        </w:numPr>
        <w:tabs>
          <w:tab w:val="left" w:pos="0"/>
        </w:tabs>
        <w:kinsoku/>
        <w:wordWrap/>
        <w:overflowPunct/>
        <w:topLinePunct w:val="0"/>
        <w:autoSpaceDE/>
        <w:autoSpaceDN/>
        <w:bidi w:val="0"/>
        <w:spacing w:line="576" w:lineRule="exact"/>
        <w:ind w:left="750" w:leftChars="0"/>
        <w:jc w:val="both"/>
        <w:textAlignment w:val="auto"/>
        <w:rPr>
          <w:rFonts w:ascii="仿宋_GB2312" w:hAnsi="宋体" w:cs="宋体"/>
          <w:b/>
          <w:bCs/>
          <w:sz w:val="32"/>
          <w:szCs w:val="32"/>
        </w:rPr>
      </w:pPr>
      <w:r>
        <w:rPr>
          <w:rFonts w:hint="eastAsia" w:ascii="仿宋_GB2312" w:hAnsi="宋体" w:cs="宋体"/>
          <w:b/>
          <w:bCs/>
          <w:sz w:val="32"/>
          <w:szCs w:val="32"/>
          <w:lang w:val="en-US" w:eastAsia="zh-CN"/>
        </w:rPr>
        <w:t>2.</w:t>
      </w:r>
      <w:r>
        <w:rPr>
          <w:rFonts w:hint="eastAsia" w:ascii="仿宋_GB2312" w:hAnsi="宋体" w:cs="宋体"/>
          <w:b/>
          <w:bCs/>
          <w:sz w:val="32"/>
          <w:szCs w:val="32"/>
        </w:rPr>
        <w:t>单位内控管理</w:t>
      </w:r>
    </w:p>
    <w:p>
      <w:pPr>
        <w:keepNext w:val="0"/>
        <w:keepLines w:val="0"/>
        <w:pageBreakBefore w:val="0"/>
        <w:kinsoku/>
        <w:wordWrap/>
        <w:overflowPunct/>
        <w:topLinePunct w:val="0"/>
        <w:autoSpaceDE/>
        <w:autoSpaceDN/>
        <w:bidi w:val="0"/>
        <w:spacing w:line="576" w:lineRule="exact"/>
        <w:ind w:firstLine="640"/>
        <w:textAlignment w:val="auto"/>
        <w:rPr>
          <w:rFonts w:hint="eastAsia" w:ascii="仿宋_GB2312" w:eastAsia="仿宋_GB2312"/>
          <w:sz w:val="32"/>
          <w:szCs w:val="32"/>
        </w:rPr>
      </w:pPr>
      <w:r>
        <w:rPr>
          <w:rFonts w:hint="eastAsia" w:ascii="仿宋_GB2312" w:eastAsia="仿宋_GB2312"/>
          <w:sz w:val="32"/>
          <w:szCs w:val="32"/>
        </w:rPr>
        <w:t>在财务管理过程中逐步建立健全财务管理制度、财务核算制度、财务报销制度等，严格按照《行政单位会计制度》和《行政单位财务规则》的规定设置会计科目，建立了科学有效的会计核算方式，各项经济活动均真实、合法、准确、及时的反应在会计账目上，建立健全内部控制制度，积极配合财政部门开展预算、决算考评工作。</w:t>
      </w:r>
    </w:p>
    <w:p>
      <w:pPr>
        <w:pStyle w:val="17"/>
        <w:keepNext w:val="0"/>
        <w:keepLines w:val="0"/>
        <w:pageBreakBefore w:val="0"/>
        <w:kinsoku/>
        <w:wordWrap/>
        <w:overflowPunct/>
        <w:topLinePunct w:val="0"/>
        <w:autoSpaceDE/>
        <w:autoSpaceDN/>
        <w:bidi w:val="0"/>
        <w:spacing w:before="0" w:beforeAutospacing="0" w:after="0" w:afterAutospacing="0" w:line="576" w:lineRule="exact"/>
        <w:ind w:firstLine="643" w:firstLineChars="200"/>
        <w:textAlignment w:val="auto"/>
        <w:rPr>
          <w:rFonts w:ascii="仿宋_GB2312" w:eastAsia="仿宋_GB2312"/>
          <w:b/>
          <w:bCs/>
          <w:sz w:val="32"/>
          <w:szCs w:val="32"/>
        </w:rPr>
      </w:pPr>
      <w:r>
        <w:rPr>
          <w:rFonts w:hint="eastAsia" w:ascii="仿宋_GB2312"/>
          <w:b/>
          <w:bCs/>
          <w:sz w:val="32"/>
          <w:szCs w:val="32"/>
          <w:lang w:val="en-US" w:eastAsia="zh-CN"/>
        </w:rPr>
        <w:t>3.</w:t>
      </w:r>
      <w:r>
        <w:rPr>
          <w:rFonts w:hint="eastAsia" w:ascii="仿宋_GB2312" w:eastAsia="仿宋_GB2312"/>
          <w:b/>
          <w:bCs/>
          <w:sz w:val="32"/>
          <w:szCs w:val="32"/>
        </w:rPr>
        <w:t>部门预算管理</w:t>
      </w:r>
    </w:p>
    <w:p>
      <w:pPr>
        <w:pStyle w:val="2"/>
        <w:keepNext w:val="0"/>
        <w:keepLines w:val="0"/>
        <w:pageBreakBefore w:val="0"/>
        <w:kinsoku/>
        <w:wordWrap/>
        <w:overflowPunct/>
        <w:topLinePunct w:val="0"/>
        <w:autoSpaceDE/>
        <w:autoSpaceDN/>
        <w:bidi w:val="0"/>
        <w:spacing w:line="576" w:lineRule="exact"/>
        <w:textAlignment w:val="auto"/>
        <w:rPr>
          <w:rFonts w:hint="eastAsia" w:ascii="仿宋_GB2312" w:hAnsi="宋体" w:cs="宋体"/>
          <w:sz w:val="32"/>
          <w:szCs w:val="32"/>
        </w:rPr>
      </w:pPr>
      <w:r>
        <w:rPr>
          <w:rFonts w:hint="eastAsia" w:ascii="仿宋_GB2312" w:eastAsia="仿宋_GB2312"/>
          <w:sz w:val="32"/>
          <w:szCs w:val="32"/>
        </w:rPr>
        <w:t>严格按照综合预算原则。统一编制、统一管理、统筹安排资金，将</w:t>
      </w:r>
      <w:r>
        <w:rPr>
          <w:rFonts w:hint="eastAsia" w:ascii="仿宋_GB2312"/>
          <w:sz w:val="32"/>
          <w:szCs w:val="32"/>
          <w:lang w:val="en-US" w:eastAsia="zh-CN"/>
        </w:rPr>
        <w:t>我部门</w:t>
      </w:r>
      <w:r>
        <w:rPr>
          <w:rFonts w:hint="eastAsia" w:ascii="仿宋_GB2312" w:eastAsia="仿宋_GB2312"/>
          <w:sz w:val="32"/>
          <w:szCs w:val="32"/>
        </w:rPr>
        <w:t xml:space="preserve">所有安排的各项支出纳入综合预算，确保预算全面、真实反映单位实际的收支情况，使所有收支活动纳入预算管理与监督的范围。 </w:t>
      </w:r>
      <w:r>
        <w:rPr>
          <w:rFonts w:hint="eastAsia" w:ascii="仿宋_GB2312"/>
          <w:sz w:val="32"/>
          <w:szCs w:val="32"/>
        </w:rPr>
        <w:t xml:space="preserve">   </w:t>
      </w:r>
    </w:p>
    <w:p>
      <w:pPr>
        <w:keepNext w:val="0"/>
        <w:keepLines w:val="0"/>
        <w:pageBreakBefore w:val="0"/>
        <w:widowControl/>
        <w:suppressLineNumbers w:val="0"/>
        <w:kinsoku/>
        <w:wordWrap/>
        <w:overflowPunct/>
        <w:topLinePunct w:val="0"/>
        <w:autoSpaceDE/>
        <w:autoSpaceDN/>
        <w:bidi w:val="0"/>
        <w:adjustRightInd w:val="0"/>
        <w:snapToGrid w:val="0"/>
        <w:spacing w:beforeAutospacing="0" w:after="0" w:afterAutospacing="0" w:line="576" w:lineRule="exact"/>
        <w:ind w:left="0" w:right="0" w:firstLine="720"/>
        <w:jc w:val="left"/>
        <w:textAlignment w:val="auto"/>
        <w:rPr>
          <w:rFonts w:hint="eastAsia" w:ascii="仿宋_GB2312" w:hAnsi="仿宋_GB2312" w:eastAsia="仿宋_GB2312" w:cs="仿宋_GB2312"/>
          <w:b/>
          <w:bCs/>
          <w:color w:val="000000"/>
          <w:kern w:val="0"/>
          <w:sz w:val="32"/>
          <w:szCs w:val="32"/>
          <w:lang w:val="en-US" w:eastAsia="zh-CN"/>
        </w:rPr>
      </w:pPr>
      <w:r>
        <w:rPr>
          <w:rFonts w:hint="eastAsia" w:ascii="仿宋_GB2312" w:hAnsi="仿宋_GB2312" w:eastAsia="仿宋_GB2312" w:cs="仿宋_GB2312"/>
          <w:b/>
          <w:bCs/>
          <w:color w:val="000000"/>
          <w:kern w:val="0"/>
          <w:sz w:val="32"/>
          <w:szCs w:val="32"/>
          <w:lang w:val="en-US" w:eastAsia="zh-CN" w:bidi="ar"/>
        </w:rPr>
        <w:t>4.</w:t>
      </w:r>
      <w:r>
        <w:rPr>
          <w:rFonts w:hint="eastAsia" w:ascii="仿宋_GB2312" w:hAnsi="仿宋_GB2312" w:eastAsia="仿宋_GB2312" w:cs="仿宋_GB2312"/>
          <w:b/>
          <w:bCs/>
          <w:color w:val="000000"/>
          <w:kern w:val="0"/>
          <w:sz w:val="32"/>
          <w:szCs w:val="32"/>
          <w:lang w:val="zh-CN" w:eastAsia="zh-CN" w:bidi="ar"/>
        </w:rPr>
        <w:t>绩效管理</w:t>
      </w:r>
    </w:p>
    <w:p>
      <w:pPr>
        <w:keepNext w:val="0"/>
        <w:keepLines w:val="0"/>
        <w:pageBreakBefore w:val="0"/>
        <w:widowControl/>
        <w:kinsoku/>
        <w:wordWrap/>
        <w:overflowPunct/>
        <w:topLinePunct w:val="0"/>
        <w:autoSpaceDE/>
        <w:autoSpaceDN/>
        <w:bidi w:val="0"/>
        <w:adjustRightInd w:val="0"/>
        <w:snapToGrid w:val="0"/>
        <w:spacing w:line="576" w:lineRule="exact"/>
        <w:ind w:firstLine="720"/>
        <w:jc w:val="left"/>
        <w:textAlignment w:val="auto"/>
        <w:rPr>
          <w:rFonts w:hint="eastAsia" w:ascii="仿宋_GB2312" w:hAnsi="宋体" w:cs="宋体"/>
          <w:color w:val="000000"/>
          <w:kern w:val="0"/>
          <w:sz w:val="32"/>
          <w:szCs w:val="32"/>
          <w:lang w:val="zh-CN"/>
        </w:rPr>
      </w:pPr>
      <w:r>
        <w:rPr>
          <w:rFonts w:hint="eastAsia" w:ascii="仿宋_GB2312" w:hAnsi="仿宋_GB2312" w:eastAsia="仿宋_GB2312" w:cs="仿宋_GB2312"/>
          <w:b w:val="0"/>
          <w:bCs w:val="0"/>
          <w:color w:val="000000"/>
          <w:sz w:val="32"/>
          <w:szCs w:val="32"/>
          <w:lang w:val="en-US" w:eastAsia="zh-CN"/>
        </w:rPr>
        <w:t>我</w:t>
      </w:r>
      <w:r>
        <w:rPr>
          <w:rFonts w:hint="eastAsia" w:ascii="仿宋_GB2312" w:hAnsi="仿宋_GB2312" w:cs="仿宋_GB2312"/>
          <w:b w:val="0"/>
          <w:bCs w:val="0"/>
          <w:color w:val="000000"/>
          <w:sz w:val="32"/>
          <w:szCs w:val="32"/>
          <w:lang w:val="en-US" w:eastAsia="zh-CN"/>
        </w:rPr>
        <w:t>部门</w:t>
      </w:r>
      <w:r>
        <w:rPr>
          <w:rFonts w:hint="eastAsia" w:ascii="仿宋_GB2312" w:hAnsi="仿宋_GB2312" w:eastAsia="仿宋_GB2312" w:cs="仿宋_GB2312"/>
          <w:b w:val="0"/>
          <w:bCs w:val="0"/>
          <w:color w:val="000000"/>
          <w:sz w:val="32"/>
          <w:szCs w:val="32"/>
          <w:lang w:val="en-US" w:eastAsia="zh-CN"/>
        </w:rPr>
        <w:t>领导高度重视绩效评价工作，成立了绩效评价工作领导小组，采取座谈等方式听取</w:t>
      </w:r>
      <w:r>
        <w:rPr>
          <w:rFonts w:hint="eastAsia" w:ascii="仿宋_GB2312" w:hAnsi="仿宋_GB2312" w:cs="仿宋_GB2312"/>
          <w:b w:val="0"/>
          <w:bCs w:val="0"/>
          <w:color w:val="000000"/>
          <w:sz w:val="32"/>
          <w:szCs w:val="32"/>
          <w:lang w:val="en-US" w:eastAsia="zh-CN"/>
        </w:rPr>
        <w:t>相关</w:t>
      </w:r>
      <w:r>
        <w:rPr>
          <w:rFonts w:hint="eastAsia" w:ascii="仿宋_GB2312" w:hAnsi="仿宋_GB2312" w:eastAsia="仿宋_GB2312" w:cs="仿宋_GB2312"/>
          <w:b w:val="0"/>
          <w:bCs w:val="0"/>
          <w:color w:val="000000"/>
          <w:sz w:val="32"/>
          <w:szCs w:val="32"/>
          <w:lang w:val="en-US" w:eastAsia="zh-CN"/>
        </w:rPr>
        <w:t>情况，检查基本支出、</w:t>
      </w:r>
      <w:r>
        <w:rPr>
          <w:rFonts w:hint="eastAsia" w:ascii="仿宋_GB2312" w:hAnsi="仿宋_GB2312" w:cs="仿宋_GB2312"/>
          <w:b w:val="0"/>
          <w:bCs w:val="0"/>
          <w:color w:val="000000"/>
          <w:sz w:val="32"/>
          <w:szCs w:val="32"/>
          <w:lang w:val="en-US" w:eastAsia="zh-CN"/>
        </w:rPr>
        <w:t>专项办公费、会议费等</w:t>
      </w:r>
      <w:r>
        <w:rPr>
          <w:rFonts w:hint="eastAsia" w:ascii="仿宋_GB2312" w:hAnsi="仿宋_GB2312" w:eastAsia="仿宋_GB2312" w:cs="仿宋_GB2312"/>
          <w:b w:val="0"/>
          <w:bCs w:val="0"/>
          <w:color w:val="000000"/>
          <w:sz w:val="32"/>
          <w:szCs w:val="32"/>
          <w:lang w:val="en-US" w:eastAsia="zh-CN"/>
        </w:rPr>
        <w:t>支出有关账目，收集整理相关资料，并对资料进行分析，形成评价结论。</w:t>
      </w:r>
      <w:r>
        <w:rPr>
          <w:rFonts w:hint="eastAsia" w:ascii="仿宋_GB2312" w:hAnsi="仿宋_GB2312" w:eastAsia="仿宋_GB2312" w:cs="仿宋_GB2312"/>
          <w:b w:val="0"/>
          <w:bCs w:val="0"/>
          <w:color w:val="000000"/>
          <w:sz w:val="32"/>
          <w:szCs w:val="32"/>
          <w:lang w:val="en-US" w:eastAsia="zh-CN"/>
        </w:rPr>
        <w:br w:type="textWrapping"/>
      </w:r>
      <w:r>
        <w:rPr>
          <w:rFonts w:hint="eastAsia" w:ascii="仿宋_GB2312" w:hAnsi="仿宋_GB2312" w:eastAsia="仿宋_GB2312" w:cs="仿宋_GB2312"/>
          <w:b w:val="0"/>
          <w:bCs w:val="0"/>
          <w:color w:val="000000"/>
          <w:sz w:val="32"/>
          <w:szCs w:val="32"/>
          <w:lang w:val="en-US" w:eastAsia="zh-CN"/>
        </w:rPr>
        <w:t xml:space="preserve">    </w:t>
      </w:r>
      <w:r>
        <w:rPr>
          <w:rFonts w:hint="eastAsia" w:ascii="仿宋_GB2312" w:hAnsi="仿宋_GB2312" w:cs="仿宋_GB2312"/>
          <w:b w:val="0"/>
          <w:bCs w:val="0"/>
          <w:color w:val="000000"/>
          <w:sz w:val="32"/>
          <w:szCs w:val="32"/>
          <w:lang w:val="en-US" w:eastAsia="zh-CN"/>
        </w:rPr>
        <w:t>（1）</w:t>
      </w:r>
      <w:r>
        <w:rPr>
          <w:rFonts w:hint="eastAsia" w:ascii="仿宋_GB2312" w:hAnsi="仿宋_GB2312" w:eastAsia="仿宋_GB2312" w:cs="仿宋_GB2312"/>
          <w:b w:val="0"/>
          <w:bCs w:val="0"/>
          <w:color w:val="000000"/>
          <w:sz w:val="32"/>
          <w:szCs w:val="32"/>
          <w:lang w:val="en-US" w:eastAsia="zh-CN"/>
        </w:rPr>
        <w:t>部门预算严格按照上级部门预算编制通知和有关要求，结合单位具体工作及县级相关规定编制，按时完成基础、项目报送工作，</w:t>
      </w:r>
      <w:r>
        <w:rPr>
          <w:rFonts w:hint="eastAsia" w:ascii="仿宋_GB2312" w:hAnsi="仿宋_GB2312" w:cs="仿宋_GB2312"/>
          <w:b w:val="0"/>
          <w:bCs w:val="0"/>
          <w:color w:val="000000"/>
          <w:sz w:val="32"/>
          <w:szCs w:val="32"/>
          <w:lang w:val="en-US" w:eastAsia="zh-CN"/>
        </w:rPr>
        <w:t>我部门</w:t>
      </w:r>
      <w:r>
        <w:rPr>
          <w:rFonts w:hint="eastAsia" w:ascii="仿宋_GB2312" w:hAnsi="仿宋_GB2312" w:eastAsia="仿宋_GB2312" w:cs="仿宋_GB2312"/>
          <w:b w:val="0"/>
          <w:bCs w:val="0"/>
          <w:color w:val="000000"/>
          <w:sz w:val="32"/>
          <w:szCs w:val="32"/>
          <w:lang w:val="en-US" w:eastAsia="zh-CN"/>
        </w:rPr>
        <w:t>预算按时在</w:t>
      </w:r>
      <w:r>
        <w:rPr>
          <w:rFonts w:hint="eastAsia" w:ascii="仿宋_GB2312" w:hAnsi="仿宋_GB2312" w:cs="仿宋_GB2312"/>
          <w:b w:val="0"/>
          <w:bCs w:val="0"/>
          <w:color w:val="000000"/>
          <w:sz w:val="32"/>
          <w:szCs w:val="32"/>
          <w:lang w:val="en-US" w:eastAsia="zh-CN"/>
        </w:rPr>
        <w:t>红原县门户网站</w:t>
      </w:r>
      <w:r>
        <w:rPr>
          <w:rFonts w:hint="eastAsia" w:ascii="仿宋_GB2312" w:hAnsi="仿宋_GB2312" w:eastAsia="仿宋_GB2312" w:cs="仿宋_GB2312"/>
          <w:b w:val="0"/>
          <w:bCs w:val="0"/>
          <w:color w:val="000000"/>
          <w:sz w:val="32"/>
          <w:szCs w:val="32"/>
          <w:lang w:val="en-US" w:eastAsia="zh-CN"/>
        </w:rPr>
        <w:t>公开。</w:t>
      </w:r>
      <w:r>
        <w:rPr>
          <w:rFonts w:hint="eastAsia" w:ascii="仿宋_GB2312" w:hAnsi="仿宋_GB2312" w:eastAsia="仿宋_GB2312" w:cs="仿宋_GB2312"/>
          <w:b w:val="0"/>
          <w:bCs w:val="0"/>
          <w:color w:val="000000"/>
          <w:sz w:val="32"/>
          <w:szCs w:val="32"/>
          <w:lang w:val="en-US" w:eastAsia="zh-CN"/>
        </w:rPr>
        <w:br w:type="textWrapping"/>
      </w:r>
      <w:r>
        <w:rPr>
          <w:rFonts w:hint="eastAsia" w:ascii="仿宋_GB2312" w:hAnsi="仿宋_GB2312" w:eastAsia="仿宋_GB2312" w:cs="仿宋_GB2312"/>
          <w:b w:val="0"/>
          <w:bCs w:val="0"/>
          <w:color w:val="000000"/>
          <w:sz w:val="32"/>
          <w:szCs w:val="32"/>
          <w:lang w:val="en-US" w:eastAsia="zh-CN"/>
        </w:rPr>
        <w:t xml:space="preserve">   </w:t>
      </w:r>
      <w:r>
        <w:rPr>
          <w:rFonts w:hint="eastAsia" w:ascii="仿宋_GB2312" w:hAnsi="仿宋_GB2312" w:cs="仿宋_GB2312"/>
          <w:b w:val="0"/>
          <w:bCs w:val="0"/>
          <w:color w:val="000000"/>
          <w:sz w:val="32"/>
          <w:szCs w:val="32"/>
          <w:lang w:val="en-US" w:eastAsia="zh-CN"/>
        </w:rPr>
        <w:t>（2）</w:t>
      </w:r>
      <w:r>
        <w:rPr>
          <w:rFonts w:hint="eastAsia" w:ascii="仿宋_GB2312" w:hAnsi="仿宋_GB2312" w:eastAsia="仿宋_GB2312" w:cs="仿宋_GB2312"/>
          <w:b w:val="0"/>
          <w:bCs w:val="0"/>
          <w:color w:val="000000"/>
          <w:sz w:val="32"/>
          <w:szCs w:val="32"/>
          <w:lang w:val="en-US" w:eastAsia="zh-CN"/>
        </w:rPr>
        <w:t>严格执行支出预算，“三公经费”本着节约、高效的原则严格控制支出。</w:t>
      </w:r>
      <w:r>
        <w:rPr>
          <w:rFonts w:hint="eastAsia" w:ascii="仿宋_GB2312" w:hAnsi="仿宋_GB2312" w:eastAsia="仿宋_GB2312" w:cs="仿宋_GB2312"/>
          <w:b w:val="0"/>
          <w:bCs w:val="0"/>
          <w:color w:val="000000"/>
          <w:sz w:val="32"/>
          <w:szCs w:val="32"/>
          <w:lang w:val="en-US" w:eastAsia="zh-CN"/>
        </w:rPr>
        <w:br w:type="textWrapping"/>
      </w:r>
      <w:r>
        <w:rPr>
          <w:rFonts w:hint="eastAsia" w:ascii="仿宋_GB2312" w:hAnsi="仿宋_GB2312" w:eastAsia="仿宋_GB2312" w:cs="仿宋_GB2312"/>
          <w:b w:val="0"/>
          <w:bCs w:val="0"/>
          <w:color w:val="000000"/>
          <w:sz w:val="32"/>
          <w:szCs w:val="32"/>
          <w:lang w:val="en-US" w:eastAsia="zh-CN"/>
        </w:rPr>
        <w:t xml:space="preserve">   </w:t>
      </w:r>
      <w:r>
        <w:rPr>
          <w:rFonts w:hint="eastAsia" w:ascii="仿宋_GB2312" w:hAnsi="仿宋_GB2312" w:cs="仿宋_GB2312"/>
          <w:b w:val="0"/>
          <w:bCs w:val="0"/>
          <w:color w:val="000000"/>
          <w:sz w:val="32"/>
          <w:szCs w:val="32"/>
          <w:lang w:val="en-US" w:eastAsia="zh-CN"/>
        </w:rPr>
        <w:t>（3）</w:t>
      </w:r>
      <w:r>
        <w:rPr>
          <w:rFonts w:hint="eastAsia" w:ascii="仿宋_GB2312" w:hAnsi="仿宋_GB2312" w:eastAsia="仿宋_GB2312" w:cs="仿宋_GB2312"/>
          <w:b w:val="0"/>
          <w:bCs w:val="0"/>
          <w:color w:val="000000"/>
          <w:sz w:val="32"/>
          <w:szCs w:val="32"/>
          <w:lang w:val="en-US" w:eastAsia="zh-CN"/>
        </w:rPr>
        <w:t>认真开展部门绩效评价工作，绩效评价规章制度</w:t>
      </w:r>
      <w:r>
        <w:rPr>
          <w:rFonts w:hint="eastAsia" w:ascii="仿宋_GB2312" w:hAnsi="仿宋_GB2312" w:cs="仿宋_GB2312"/>
          <w:b w:val="0"/>
          <w:bCs w:val="0"/>
          <w:color w:val="000000"/>
          <w:sz w:val="32"/>
          <w:szCs w:val="32"/>
          <w:lang w:val="en-US" w:eastAsia="zh-CN"/>
        </w:rPr>
        <w:t>逐渐</w:t>
      </w:r>
      <w:r>
        <w:rPr>
          <w:rFonts w:hint="eastAsia" w:ascii="仿宋_GB2312" w:hAnsi="仿宋_GB2312" w:eastAsia="仿宋_GB2312" w:cs="仿宋_GB2312"/>
          <w:b w:val="0"/>
          <w:bCs w:val="0"/>
          <w:color w:val="000000"/>
          <w:sz w:val="32"/>
          <w:szCs w:val="32"/>
          <w:lang w:val="en-US" w:eastAsia="zh-CN"/>
        </w:rPr>
        <w:t>健全;严格按照相关法律、法规进行会计核算，严格资金管理，专款专用，资金拨付严格按相关程序报批后支付。认真开展</w:t>
      </w:r>
      <w:r>
        <w:rPr>
          <w:rFonts w:hint="eastAsia" w:ascii="仿宋_GB2312" w:hAnsi="仿宋_GB2312" w:cs="仿宋_GB2312"/>
          <w:b w:val="0"/>
          <w:bCs w:val="0"/>
          <w:color w:val="000000"/>
          <w:sz w:val="32"/>
          <w:szCs w:val="32"/>
          <w:lang w:val="en-US" w:eastAsia="zh-CN"/>
        </w:rPr>
        <w:t>部门整体</w:t>
      </w:r>
      <w:r>
        <w:rPr>
          <w:rFonts w:hint="eastAsia" w:ascii="仿宋_GB2312" w:hAnsi="仿宋_GB2312" w:eastAsia="仿宋_GB2312" w:cs="仿宋_GB2312"/>
          <w:b w:val="0"/>
          <w:bCs w:val="0"/>
          <w:color w:val="000000"/>
          <w:sz w:val="32"/>
          <w:szCs w:val="32"/>
          <w:lang w:val="en-US" w:eastAsia="zh-CN"/>
        </w:rPr>
        <w:t>绩效评价工作，绩效评工作</w:t>
      </w:r>
      <w:r>
        <w:rPr>
          <w:rFonts w:hint="eastAsia" w:ascii="仿宋_GB2312" w:hAnsi="仿宋_GB2312" w:cs="仿宋_GB2312"/>
          <w:b w:val="0"/>
          <w:bCs w:val="0"/>
          <w:color w:val="000000"/>
          <w:sz w:val="32"/>
          <w:szCs w:val="32"/>
          <w:lang w:val="en-US" w:eastAsia="zh-CN"/>
        </w:rPr>
        <w:t>正逐步</w:t>
      </w:r>
      <w:r>
        <w:rPr>
          <w:rFonts w:hint="eastAsia" w:ascii="仿宋_GB2312" w:hAnsi="仿宋_GB2312" w:eastAsia="仿宋_GB2312" w:cs="仿宋_GB2312"/>
          <w:b w:val="0"/>
          <w:bCs w:val="0"/>
          <w:color w:val="000000"/>
          <w:sz w:val="32"/>
          <w:szCs w:val="32"/>
          <w:lang w:val="en-US" w:eastAsia="zh-CN"/>
        </w:rPr>
        <w:t xml:space="preserve">完善。    </w:t>
      </w:r>
    </w:p>
    <w:p>
      <w:pPr>
        <w:keepNext w:val="0"/>
        <w:keepLines w:val="0"/>
        <w:pageBreakBefore w:val="0"/>
        <w:widowControl/>
        <w:kinsoku/>
        <w:wordWrap/>
        <w:overflowPunct/>
        <w:topLinePunct w:val="0"/>
        <w:autoSpaceDE/>
        <w:autoSpaceDN/>
        <w:bidi w:val="0"/>
        <w:adjustRightInd w:val="0"/>
        <w:snapToGrid w:val="0"/>
        <w:spacing w:line="576" w:lineRule="exact"/>
        <w:ind w:firstLine="720"/>
        <w:jc w:val="left"/>
        <w:textAlignment w:val="auto"/>
        <w:rPr>
          <w:rFonts w:hint="eastAsia" w:ascii="楷体_GB2312" w:hAnsi="楷体_GB2312" w:eastAsia="楷体_GB2312" w:cs="楷体_GB2312"/>
          <w:b/>
          <w:bCs/>
          <w:i w:val="0"/>
          <w:iCs w:val="0"/>
          <w:color w:val="000000"/>
          <w:kern w:val="0"/>
          <w:sz w:val="32"/>
          <w:szCs w:val="32"/>
          <w:lang w:val="zh-CN"/>
        </w:rPr>
      </w:pPr>
      <w:r>
        <w:rPr>
          <w:rFonts w:hint="eastAsia" w:ascii="楷体_GB2312" w:hAnsi="楷体_GB2312" w:eastAsia="楷体_GB2312" w:cs="楷体_GB2312"/>
          <w:b/>
          <w:bCs/>
          <w:i w:val="0"/>
          <w:iCs w:val="0"/>
          <w:color w:val="000000"/>
          <w:kern w:val="0"/>
          <w:sz w:val="32"/>
          <w:szCs w:val="32"/>
          <w:lang w:val="zh-CN"/>
        </w:rPr>
        <w:t>（四）整体绩效。</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76" w:lineRule="exact"/>
        <w:ind w:left="0" w:right="0" w:firstLine="640" w:firstLineChars="20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绩效目标是预算编制的前提和基础，按照“费随事定”的原则，202</w:t>
      </w:r>
      <w:r>
        <w:rPr>
          <w:rFonts w:hint="eastAsia" w:ascii="仿宋_GB2312" w:cs="Times New Roman"/>
          <w:kern w:val="2"/>
          <w:sz w:val="32"/>
          <w:szCs w:val="32"/>
          <w:lang w:val="en-US" w:eastAsia="zh-CN" w:bidi="ar-SA"/>
        </w:rPr>
        <w:t>2</w:t>
      </w:r>
      <w:r>
        <w:rPr>
          <w:rFonts w:hint="eastAsia" w:ascii="仿宋_GB2312" w:hAnsi="Times New Roman" w:eastAsia="仿宋_GB2312" w:cs="Times New Roman"/>
          <w:kern w:val="2"/>
          <w:sz w:val="32"/>
          <w:szCs w:val="32"/>
          <w:lang w:val="en-US" w:eastAsia="zh-CN" w:bidi="ar-SA"/>
        </w:rPr>
        <w:t>年我</w:t>
      </w:r>
      <w:r>
        <w:rPr>
          <w:rFonts w:hint="eastAsia" w:ascii="仿宋_GB2312" w:cs="Times New Roman"/>
          <w:kern w:val="2"/>
          <w:sz w:val="32"/>
          <w:szCs w:val="32"/>
          <w:lang w:val="en-US" w:eastAsia="zh-CN" w:bidi="ar-SA"/>
        </w:rPr>
        <w:t>部门</w:t>
      </w:r>
      <w:r>
        <w:rPr>
          <w:rFonts w:hint="eastAsia" w:ascii="仿宋_GB2312" w:hAnsi="Times New Roman" w:eastAsia="仿宋_GB2312" w:cs="Times New Roman"/>
          <w:kern w:val="2"/>
          <w:sz w:val="32"/>
          <w:szCs w:val="32"/>
          <w:lang w:val="en-US" w:eastAsia="zh-CN" w:bidi="ar-SA"/>
        </w:rPr>
        <w:t>项目支出按要求编制了绩效目标，从项目完成、项目效益、满意度等方面设置了绩效指标，综合反映项目预期完成的数量、成本、时效、质量，预期达到的社会效益、经济效益、生态效益以及服务对象满意度等情况。</w:t>
      </w:r>
    </w:p>
    <w:p>
      <w:pPr>
        <w:keepNext w:val="0"/>
        <w:keepLines w:val="0"/>
        <w:pageBreakBefore w:val="0"/>
        <w:widowControl/>
        <w:kinsoku/>
        <w:wordWrap/>
        <w:overflowPunct/>
        <w:topLinePunct w:val="0"/>
        <w:autoSpaceDE/>
        <w:autoSpaceDN/>
        <w:bidi w:val="0"/>
        <w:adjustRightInd w:val="0"/>
        <w:snapToGrid w:val="0"/>
        <w:spacing w:line="576" w:lineRule="exact"/>
        <w:ind w:firstLine="720"/>
        <w:jc w:val="left"/>
        <w:textAlignment w:val="auto"/>
        <w:rPr>
          <w:rFonts w:hint="eastAsia" w:ascii="楷体_GB2312" w:hAnsi="楷体_GB2312" w:eastAsia="楷体_GB2312" w:cs="楷体_GB2312"/>
          <w:b/>
          <w:bCs/>
          <w:color w:val="000000"/>
          <w:kern w:val="0"/>
          <w:sz w:val="32"/>
          <w:szCs w:val="32"/>
          <w:lang w:val="zh-CN"/>
        </w:rPr>
      </w:pPr>
      <w:r>
        <w:rPr>
          <w:rFonts w:hint="eastAsia" w:ascii="楷体_GB2312" w:hAnsi="楷体_GB2312" w:eastAsia="楷体_GB2312" w:cs="楷体_GB2312"/>
          <w:b/>
          <w:bCs/>
          <w:color w:val="000000"/>
          <w:kern w:val="0"/>
          <w:sz w:val="32"/>
          <w:szCs w:val="32"/>
          <w:lang w:val="zh-CN"/>
        </w:rPr>
        <w:t>（五）结果应用情况</w:t>
      </w:r>
    </w:p>
    <w:p>
      <w:pPr>
        <w:keepNext w:val="0"/>
        <w:keepLines w:val="0"/>
        <w:pageBreakBefore w:val="0"/>
        <w:widowControl/>
        <w:kinsoku/>
        <w:wordWrap/>
        <w:overflowPunct/>
        <w:topLinePunct w:val="0"/>
        <w:autoSpaceDE/>
        <w:autoSpaceDN/>
        <w:bidi w:val="0"/>
        <w:adjustRightInd w:val="0"/>
        <w:snapToGrid w:val="0"/>
        <w:spacing w:line="576" w:lineRule="exact"/>
        <w:ind w:firstLine="720"/>
        <w:jc w:val="left"/>
        <w:textAlignment w:val="auto"/>
        <w:rPr>
          <w:rFonts w:hint="eastAsia" w:ascii="仿宋_GB2312" w:hAnsi="宋体" w:cs="宋体"/>
          <w:color w:val="000000"/>
          <w:kern w:val="0"/>
          <w:sz w:val="32"/>
          <w:szCs w:val="32"/>
          <w:lang w:val="zh-CN"/>
        </w:rPr>
      </w:pPr>
      <w:r>
        <w:rPr>
          <w:rFonts w:hint="eastAsia" w:ascii="仿宋_GB2312" w:hAnsi="宋体" w:cs="宋体"/>
          <w:color w:val="000000"/>
          <w:kern w:val="0"/>
          <w:sz w:val="32"/>
          <w:szCs w:val="32"/>
          <w:shd w:val="clear" w:color="auto" w:fill="FFFFFF"/>
          <w:lang w:val="en-US" w:eastAsia="zh-CN"/>
        </w:rPr>
        <w:t>2022年我部门从收支执行，三公经费管理，预算管理，绩效管理等方面进行了详尽</w:t>
      </w:r>
      <w:r>
        <w:rPr>
          <w:rFonts w:hint="eastAsia" w:ascii="仿宋_GB2312" w:hAnsi="宋体" w:cs="宋体"/>
          <w:color w:val="000000"/>
          <w:kern w:val="0"/>
          <w:sz w:val="32"/>
          <w:szCs w:val="32"/>
          <w:shd w:val="clear" w:color="auto" w:fill="FFFFFF"/>
          <w:lang w:val="zh-CN"/>
        </w:rPr>
        <w:t>部门自评、</w:t>
      </w:r>
      <w:r>
        <w:rPr>
          <w:rFonts w:hint="eastAsia" w:ascii="仿宋_GB2312" w:hAnsi="宋体" w:cs="宋体"/>
          <w:color w:val="000000"/>
          <w:kern w:val="0"/>
          <w:sz w:val="32"/>
          <w:szCs w:val="32"/>
          <w:shd w:val="clear" w:color="auto" w:fill="FFFFFF"/>
          <w:lang w:val="en-US" w:eastAsia="zh-CN"/>
        </w:rPr>
        <w:t>2022年预算绩效目标，项目预算绩效目标等均进行了公开，评价结果较好，对部门预算编制不够精准细化的问题将在后续工作中逐步改进。</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ascii="黑体" w:hAnsi="宋体" w:eastAsia="黑体" w:cs="宋体"/>
          <w:color w:val="000000"/>
          <w:kern w:val="0"/>
          <w:sz w:val="32"/>
          <w:szCs w:val="32"/>
        </w:rPr>
      </w:pPr>
      <w:r>
        <w:rPr>
          <w:rFonts w:hint="eastAsia" w:ascii="黑体" w:hAnsi="宋体" w:eastAsia="黑体" w:cs="宋体"/>
          <w:color w:val="000000"/>
          <w:kern w:val="0"/>
          <w:sz w:val="32"/>
          <w:szCs w:val="32"/>
        </w:rPr>
        <w:t>四、评价结论及建议</w:t>
      </w:r>
    </w:p>
    <w:p>
      <w:pPr>
        <w:keepNext w:val="0"/>
        <w:keepLines w:val="0"/>
        <w:pageBreakBefore w:val="0"/>
        <w:widowControl/>
        <w:kinsoku/>
        <w:wordWrap/>
        <w:overflowPunct/>
        <w:topLinePunct w:val="0"/>
        <w:autoSpaceDE/>
        <w:autoSpaceDN/>
        <w:bidi w:val="0"/>
        <w:adjustRightInd w:val="0"/>
        <w:snapToGrid w:val="0"/>
        <w:spacing w:line="576" w:lineRule="exact"/>
        <w:ind w:firstLine="720"/>
        <w:jc w:val="left"/>
        <w:textAlignment w:val="auto"/>
        <w:rPr>
          <w:rFonts w:hint="eastAsia" w:ascii="楷体_GB2312" w:hAnsi="楷体_GB2312" w:eastAsia="楷体_GB2312" w:cs="楷体_GB2312"/>
          <w:b/>
          <w:bCs/>
          <w:color w:val="000000"/>
          <w:kern w:val="0"/>
          <w:sz w:val="32"/>
          <w:szCs w:val="32"/>
          <w:lang w:val="zh-CN"/>
        </w:rPr>
      </w:pPr>
      <w:r>
        <w:rPr>
          <w:rFonts w:hint="eastAsia" w:ascii="楷体_GB2312" w:hAnsi="楷体_GB2312" w:eastAsia="楷体_GB2312" w:cs="楷体_GB2312"/>
          <w:b/>
          <w:bCs/>
          <w:color w:val="000000"/>
          <w:kern w:val="0"/>
          <w:sz w:val="32"/>
          <w:szCs w:val="32"/>
          <w:lang w:val="zh-CN"/>
        </w:rPr>
        <w:t>（一）评价结论。</w:t>
      </w:r>
    </w:p>
    <w:p>
      <w:pPr>
        <w:pStyle w:val="2"/>
        <w:keepNext w:val="0"/>
        <w:keepLines w:val="0"/>
        <w:pageBreakBefore w:val="0"/>
        <w:kinsoku/>
        <w:wordWrap/>
        <w:overflowPunct/>
        <w:topLinePunct w:val="0"/>
        <w:autoSpaceDE/>
        <w:autoSpaceDN/>
        <w:bidi w:val="0"/>
        <w:spacing w:line="576" w:lineRule="exact"/>
        <w:textAlignment w:val="auto"/>
        <w:rPr>
          <w:sz w:val="32"/>
          <w:szCs w:val="32"/>
          <w:lang w:val="zh-CN"/>
        </w:rPr>
      </w:pPr>
      <w:r>
        <w:rPr>
          <w:rFonts w:hint="eastAsia" w:ascii="仿宋_GB2312" w:hAnsi="仿宋_GB2312" w:cs="仿宋_GB2312"/>
          <w:b w:val="0"/>
          <w:bCs w:val="0"/>
          <w:color w:val="000000"/>
          <w:sz w:val="32"/>
          <w:szCs w:val="32"/>
          <w:lang w:val="en-US" w:eastAsia="zh-CN"/>
        </w:rPr>
        <w:t>根据《红原县部门支出绩效评价指标体系》自查的分96分，总体评价较好。</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720" w:leftChars="0"/>
        <w:jc w:val="left"/>
        <w:textAlignment w:val="auto"/>
        <w:rPr>
          <w:rFonts w:hint="eastAsia" w:ascii="仿宋_GB2312" w:hAnsi="宋体" w:cs="宋体"/>
          <w:b/>
          <w:bCs/>
          <w:color w:val="000000"/>
          <w:kern w:val="0"/>
          <w:sz w:val="32"/>
          <w:szCs w:val="32"/>
          <w:lang w:val="zh-CN"/>
        </w:rPr>
      </w:pPr>
      <w:r>
        <w:rPr>
          <w:rFonts w:hint="eastAsia" w:ascii="楷体_GB2312" w:hAnsi="楷体_GB2312" w:eastAsia="楷体_GB2312" w:cs="楷体_GB2312"/>
          <w:b/>
          <w:bCs/>
          <w:color w:val="000000"/>
          <w:kern w:val="0"/>
          <w:sz w:val="32"/>
          <w:szCs w:val="32"/>
          <w:lang w:val="zh-CN"/>
        </w:rPr>
        <w:t>（二）存在问题。</w:t>
      </w:r>
    </w:p>
    <w:p>
      <w:pPr>
        <w:pStyle w:val="2"/>
        <w:keepNext w:val="0"/>
        <w:keepLines w:val="0"/>
        <w:pageBreakBefore w:val="0"/>
        <w:numPr>
          <w:ilvl w:val="0"/>
          <w:numId w:val="0"/>
        </w:numPr>
        <w:kinsoku/>
        <w:wordWrap/>
        <w:overflowPunct/>
        <w:topLinePunct w:val="0"/>
        <w:autoSpaceDE/>
        <w:autoSpaceDN/>
        <w:bidi w:val="0"/>
        <w:spacing w:line="576" w:lineRule="exact"/>
        <w:ind w:firstLine="640" w:firstLineChars="200"/>
        <w:textAlignment w:val="auto"/>
        <w:rPr>
          <w:sz w:val="32"/>
          <w:szCs w:val="32"/>
          <w:lang w:val="zh-CN"/>
        </w:rPr>
      </w:pPr>
      <w:r>
        <w:rPr>
          <w:rFonts w:hint="eastAsia" w:ascii="仿宋_GB2312" w:hAnsi="仿宋_GB2312" w:eastAsia="仿宋_GB2312" w:cs="仿宋_GB2312"/>
          <w:b w:val="0"/>
          <w:bCs w:val="0"/>
          <w:color w:val="000000"/>
          <w:sz w:val="32"/>
          <w:szCs w:val="32"/>
          <w:lang w:val="en-US" w:eastAsia="zh-CN"/>
        </w:rPr>
        <w:t>由于财政支出的多样性和复杂性，绩效评价指标体系设置难度大，即使可以量化，但实际操作中很多项目间缺乏可比性且指标本身也在逐步变化，需要逐步完善。</w:t>
      </w:r>
      <w:r>
        <w:rPr>
          <w:rFonts w:hint="eastAsia" w:ascii="仿宋_GB2312" w:hAnsi="仿宋_GB2312" w:eastAsia="仿宋_GB2312" w:cs="仿宋_GB2312"/>
          <w:b w:val="0"/>
          <w:bCs w:val="0"/>
          <w:color w:val="000000"/>
          <w:sz w:val="32"/>
          <w:szCs w:val="32"/>
          <w:lang w:val="en-US" w:eastAsia="zh-CN"/>
        </w:rPr>
        <w:br w:type="textWrapping"/>
      </w:r>
      <w:r>
        <w:rPr>
          <w:rFonts w:hint="eastAsia" w:ascii="仿宋_GB2312" w:hAnsi="仿宋_GB2312" w:eastAsia="仿宋_GB2312" w:cs="仿宋_GB2312"/>
          <w:b w:val="0"/>
          <w:bCs w:val="0"/>
          <w:color w:val="000000"/>
          <w:sz w:val="32"/>
          <w:szCs w:val="32"/>
          <w:lang w:val="en-US" w:eastAsia="zh-CN"/>
        </w:rPr>
        <w:t xml:space="preserve">   存在的问题:在</w:t>
      </w:r>
      <w:r>
        <w:rPr>
          <w:rFonts w:hint="eastAsia" w:ascii="仿宋_GB2312" w:hAnsi="仿宋_GB2312" w:cs="仿宋_GB2312"/>
          <w:b w:val="0"/>
          <w:bCs w:val="0"/>
          <w:color w:val="000000"/>
          <w:sz w:val="32"/>
          <w:szCs w:val="32"/>
          <w:lang w:val="en-US" w:eastAsia="zh-CN"/>
        </w:rPr>
        <w:t>平时工作</w:t>
      </w:r>
      <w:r>
        <w:rPr>
          <w:rFonts w:hint="eastAsia" w:ascii="仿宋_GB2312" w:hAnsi="仿宋_GB2312" w:eastAsia="仿宋_GB2312" w:cs="仿宋_GB2312"/>
          <w:b w:val="0"/>
          <w:bCs w:val="0"/>
          <w:color w:val="000000"/>
          <w:sz w:val="32"/>
          <w:szCs w:val="32"/>
          <w:lang w:val="en-US" w:eastAsia="zh-CN"/>
        </w:rPr>
        <w:t>推进过程中，缺乏技术人员进行专业指导</w:t>
      </w:r>
      <w:r>
        <w:rPr>
          <w:rFonts w:hint="eastAsia" w:ascii="仿宋_GB2312" w:hAnsi="仿宋_GB2312" w:cs="仿宋_GB2312"/>
          <w:b w:val="0"/>
          <w:bCs w:val="0"/>
          <w:color w:val="000000"/>
          <w:sz w:val="32"/>
          <w:szCs w:val="32"/>
          <w:lang w:val="en-US" w:eastAsia="zh-CN"/>
        </w:rPr>
        <w:t>及培训，工作推进存在一定困难，预算编制还需更加精准</w:t>
      </w:r>
      <w:r>
        <w:rPr>
          <w:rFonts w:hint="eastAsia" w:ascii="仿宋_GB2312" w:hAnsi="仿宋_GB2312" w:eastAsia="仿宋_GB2312" w:cs="仿宋_GB2312"/>
          <w:b w:val="0"/>
          <w:bCs w:val="0"/>
          <w:color w:val="000000"/>
          <w:sz w:val="32"/>
          <w:szCs w:val="32"/>
          <w:lang w:val="en-US" w:eastAsia="zh-CN"/>
        </w:rPr>
        <w:t>。</w:t>
      </w:r>
    </w:p>
    <w:p>
      <w:pPr>
        <w:keepNext w:val="0"/>
        <w:keepLines w:val="0"/>
        <w:pageBreakBefore w:val="0"/>
        <w:widowControl/>
        <w:numPr>
          <w:ilvl w:val="0"/>
          <w:numId w:val="5"/>
        </w:numPr>
        <w:kinsoku/>
        <w:wordWrap/>
        <w:overflowPunct/>
        <w:topLinePunct w:val="0"/>
        <w:autoSpaceDE/>
        <w:autoSpaceDN/>
        <w:bidi w:val="0"/>
        <w:adjustRightInd w:val="0"/>
        <w:snapToGrid w:val="0"/>
        <w:spacing w:line="576" w:lineRule="exact"/>
        <w:ind w:left="0" w:leftChars="0" w:firstLine="720" w:firstLineChars="0"/>
        <w:jc w:val="left"/>
        <w:textAlignment w:val="auto"/>
        <w:rPr>
          <w:rFonts w:hint="eastAsia" w:ascii="楷体_GB2312" w:hAnsi="楷体_GB2312" w:eastAsia="楷体_GB2312" w:cs="楷体_GB2312"/>
          <w:b/>
          <w:bCs/>
          <w:color w:val="000000"/>
          <w:kern w:val="0"/>
          <w:sz w:val="32"/>
          <w:szCs w:val="32"/>
          <w:lang w:val="zh-CN"/>
        </w:rPr>
      </w:pPr>
      <w:r>
        <w:rPr>
          <w:rFonts w:hint="eastAsia" w:ascii="楷体_GB2312" w:hAnsi="楷体_GB2312" w:eastAsia="楷体_GB2312" w:cs="楷体_GB2312"/>
          <w:b/>
          <w:bCs/>
          <w:color w:val="000000"/>
          <w:kern w:val="0"/>
          <w:sz w:val="32"/>
          <w:szCs w:val="32"/>
          <w:lang w:val="zh-CN"/>
        </w:rPr>
        <w:t>改进建议。</w:t>
      </w:r>
    </w:p>
    <w:p>
      <w:pPr>
        <w:keepNext w:val="0"/>
        <w:keepLines w:val="0"/>
        <w:pageBreakBefore w:val="0"/>
        <w:widowControl w:val="0"/>
        <w:numPr>
          <w:ilvl w:val="0"/>
          <w:numId w:val="0"/>
        </w:numPr>
        <w:kinsoku/>
        <w:wordWrap/>
        <w:overflowPunct/>
        <w:topLinePunct w:val="0"/>
        <w:autoSpaceDE/>
        <w:autoSpaceDN/>
        <w:bidi w:val="0"/>
        <w:spacing w:line="576"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cs="仿宋_GB2312"/>
          <w:b w:val="0"/>
          <w:bCs w:val="0"/>
          <w:color w:val="000000"/>
          <w:sz w:val="32"/>
          <w:szCs w:val="32"/>
          <w:lang w:val="en-US" w:eastAsia="zh-CN"/>
        </w:rPr>
        <w:t>1.通过各种途径加强绩效管理学习，</w:t>
      </w:r>
      <w:r>
        <w:rPr>
          <w:rFonts w:hint="eastAsia" w:ascii="仿宋_GB2312" w:hAnsi="仿宋_GB2312" w:eastAsia="仿宋_GB2312" w:cs="仿宋_GB2312"/>
          <w:b w:val="0"/>
          <w:bCs w:val="0"/>
          <w:color w:val="000000"/>
          <w:sz w:val="32"/>
          <w:szCs w:val="32"/>
          <w:lang w:val="en-US" w:eastAsia="zh-CN"/>
        </w:rPr>
        <w:t>科学合理编制预算，严格执行预算。</w:t>
      </w:r>
    </w:p>
    <w:p>
      <w:pPr>
        <w:keepNext w:val="0"/>
        <w:keepLines w:val="0"/>
        <w:pageBreakBefore w:val="0"/>
        <w:widowControl w:val="0"/>
        <w:numPr>
          <w:ilvl w:val="0"/>
          <w:numId w:val="0"/>
        </w:numPr>
        <w:kinsoku/>
        <w:wordWrap/>
        <w:overflowPunct/>
        <w:topLinePunct w:val="0"/>
        <w:autoSpaceDE/>
        <w:autoSpaceDN/>
        <w:bidi w:val="0"/>
        <w:spacing w:line="576"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2.规范账务处理，提高财务信息质量。</w:t>
      </w:r>
    </w:p>
    <w:p>
      <w:pPr>
        <w:pStyle w:val="2"/>
        <w:keepNext w:val="0"/>
        <w:keepLines w:val="0"/>
        <w:pageBreakBefore w:val="0"/>
        <w:kinsoku/>
        <w:wordWrap/>
        <w:overflowPunct/>
        <w:topLinePunct w:val="0"/>
        <w:autoSpaceDE/>
        <w:autoSpaceDN/>
        <w:bidi w:val="0"/>
        <w:spacing w:line="576" w:lineRule="exact"/>
        <w:ind w:left="0" w:leftChars="0" w:firstLine="0" w:firstLineChars="0"/>
        <w:textAlignment w:val="auto"/>
        <w:rPr>
          <w:rFonts w:hint="eastAsia" w:ascii="仿宋_GB2312" w:hAnsi="仿宋_GB2312" w:eastAsia="仿宋_GB2312" w:cs="仿宋_GB2312"/>
          <w:b w:val="0"/>
          <w:bCs w:val="0"/>
          <w:color w:val="000000"/>
          <w:sz w:val="32"/>
          <w:szCs w:val="32"/>
          <w:lang w:val="en-US" w:eastAsia="zh-CN"/>
        </w:rPr>
      </w:pPr>
    </w:p>
    <w:p>
      <w:pPr>
        <w:pStyle w:val="2"/>
        <w:rPr>
          <w:rStyle w:val="30"/>
          <w:rFonts w:ascii="黑体" w:hAnsi="黑体" w:eastAsia="黑体"/>
          <w:b w:val="0"/>
        </w:rPr>
      </w:pPr>
    </w:p>
    <w:p>
      <w:pPr>
        <w:pStyle w:val="2"/>
        <w:ind w:left="0" w:leftChars="0" w:firstLine="0" w:firstLineChars="0"/>
        <w:rPr>
          <w:rStyle w:val="30"/>
          <w:rFonts w:ascii="黑体" w:hAnsi="黑体" w:eastAsia="黑体"/>
          <w:b w:val="0"/>
        </w:rPr>
      </w:pPr>
    </w:p>
    <w:p>
      <w:pPr>
        <w:spacing w:line="600" w:lineRule="exact"/>
        <w:jc w:val="center"/>
        <w:outlineLvl w:val="0"/>
        <w:rPr>
          <w:rStyle w:val="30"/>
          <w:rFonts w:ascii="黑体" w:hAnsi="黑体" w:eastAsia="黑体"/>
          <w:b w:val="0"/>
        </w:rPr>
      </w:pPr>
      <w:bookmarkStart w:id="83" w:name="_Toc15396618"/>
      <w:bookmarkStart w:id="84" w:name="_Toc1929"/>
      <w:r>
        <w:rPr>
          <w:rFonts w:hint="eastAsia" w:ascii="黑体" w:hAnsi="黑体" w:eastAsia="黑体"/>
          <w:color w:val="000000"/>
          <w:sz w:val="44"/>
          <w:szCs w:val="44"/>
        </w:rPr>
        <w:t>第</w:t>
      </w:r>
      <w:r>
        <w:rPr>
          <w:rStyle w:val="30"/>
          <w:rFonts w:hint="eastAsia" w:ascii="黑体" w:hAnsi="黑体" w:eastAsia="黑体"/>
          <w:b w:val="0"/>
        </w:rPr>
        <w:t>五部分 附表</w:t>
      </w:r>
      <w:bookmarkEnd w:id="79"/>
      <w:bookmarkEnd w:id="83"/>
      <w:bookmarkEnd w:id="84"/>
    </w:p>
    <w:p>
      <w:pPr>
        <w:spacing w:line="600" w:lineRule="exact"/>
        <w:jc w:val="center"/>
        <w:outlineLvl w:val="9"/>
        <w:rPr>
          <w:rFonts w:ascii="仿宋" w:hAnsi="仿宋" w:eastAsia="仿宋"/>
          <w:b/>
          <w:color w:val="000000"/>
          <w:sz w:val="44"/>
          <w:szCs w:val="44"/>
        </w:rPr>
      </w:pPr>
    </w:p>
    <w:p>
      <w:pPr>
        <w:pStyle w:val="5"/>
        <w:rPr>
          <w:rFonts w:ascii="仿宋" w:hAnsi="仿宋" w:eastAsia="仿宋"/>
          <w:color w:val="000000"/>
        </w:rPr>
      </w:pPr>
      <w:bookmarkStart w:id="85" w:name="_Toc15396619"/>
      <w:bookmarkStart w:id="86" w:name="_Toc8290"/>
      <w:r>
        <w:rPr>
          <w:rFonts w:hint="eastAsia" w:ascii="仿宋" w:hAnsi="仿宋" w:eastAsia="仿宋"/>
          <w:b w:val="0"/>
          <w:color w:val="000000"/>
        </w:rPr>
        <w:t>一、</w:t>
      </w:r>
      <w:bookmarkEnd w:id="85"/>
      <w:r>
        <w:rPr>
          <w:rFonts w:hint="eastAsia" w:ascii="仿宋" w:hAnsi="仿宋" w:eastAsia="仿宋"/>
          <w:b w:val="0"/>
          <w:color w:val="000000"/>
        </w:rPr>
        <w:t>收入支出决算总表</w:t>
      </w:r>
      <w:bookmarkEnd w:id="86"/>
    </w:p>
    <w:p>
      <w:pPr>
        <w:pStyle w:val="5"/>
        <w:rPr>
          <w:rFonts w:ascii="仿宋" w:hAnsi="仿宋" w:eastAsia="仿宋"/>
          <w:color w:val="000000"/>
        </w:rPr>
      </w:pPr>
      <w:bookmarkStart w:id="87" w:name="_Toc15396620"/>
      <w:bookmarkStart w:id="88" w:name="_Toc6863"/>
      <w:r>
        <w:rPr>
          <w:rFonts w:hint="eastAsia" w:ascii="仿宋" w:hAnsi="仿宋" w:eastAsia="仿宋"/>
          <w:b w:val="0"/>
          <w:color w:val="000000"/>
        </w:rPr>
        <w:t>二、</w:t>
      </w:r>
      <w:bookmarkEnd w:id="87"/>
      <w:r>
        <w:rPr>
          <w:rFonts w:hint="eastAsia" w:ascii="仿宋" w:hAnsi="仿宋" w:eastAsia="仿宋"/>
          <w:b w:val="0"/>
          <w:color w:val="000000"/>
        </w:rPr>
        <w:t>收入支出决算表</w:t>
      </w:r>
      <w:bookmarkEnd w:id="88"/>
    </w:p>
    <w:p>
      <w:pPr>
        <w:pStyle w:val="5"/>
        <w:rPr>
          <w:rFonts w:ascii="仿宋" w:hAnsi="仿宋" w:eastAsia="仿宋"/>
          <w:color w:val="000000"/>
        </w:rPr>
      </w:pPr>
      <w:bookmarkStart w:id="89" w:name="_Toc15396621"/>
      <w:bookmarkStart w:id="90" w:name="_Toc16204"/>
      <w:r>
        <w:rPr>
          <w:rStyle w:val="31"/>
          <w:rFonts w:hint="eastAsia" w:ascii="仿宋" w:hAnsi="仿宋" w:eastAsia="仿宋"/>
          <w:b w:val="0"/>
          <w:bCs w:val="0"/>
        </w:rPr>
        <w:t>三、</w:t>
      </w:r>
      <w:bookmarkEnd w:id="89"/>
      <w:r>
        <w:rPr>
          <w:rFonts w:hint="eastAsia" w:ascii="仿宋" w:hAnsi="仿宋" w:eastAsia="仿宋"/>
          <w:b w:val="0"/>
          <w:color w:val="000000"/>
        </w:rPr>
        <w:t>收入决算表</w:t>
      </w:r>
      <w:bookmarkEnd w:id="90"/>
    </w:p>
    <w:p>
      <w:pPr>
        <w:pStyle w:val="5"/>
        <w:rPr>
          <w:rFonts w:ascii="仿宋" w:hAnsi="仿宋" w:eastAsia="仿宋"/>
          <w:b w:val="0"/>
          <w:color w:val="000000"/>
        </w:rPr>
      </w:pPr>
      <w:bookmarkStart w:id="91" w:name="_Toc15396622"/>
      <w:bookmarkStart w:id="92" w:name="_Toc11893"/>
      <w:r>
        <w:rPr>
          <w:rStyle w:val="31"/>
          <w:rFonts w:hint="eastAsia" w:ascii="仿宋" w:hAnsi="仿宋" w:eastAsia="仿宋"/>
          <w:b w:val="0"/>
          <w:bCs w:val="0"/>
        </w:rPr>
        <w:t>四、</w:t>
      </w:r>
      <w:bookmarkEnd w:id="91"/>
      <w:r>
        <w:rPr>
          <w:rFonts w:hint="eastAsia" w:ascii="仿宋" w:hAnsi="仿宋" w:eastAsia="仿宋"/>
          <w:b w:val="0"/>
          <w:color w:val="000000"/>
        </w:rPr>
        <w:t>支出决算表</w:t>
      </w:r>
      <w:bookmarkEnd w:id="92"/>
    </w:p>
    <w:p>
      <w:pPr>
        <w:pStyle w:val="5"/>
        <w:rPr>
          <w:rStyle w:val="31"/>
          <w:rFonts w:ascii="仿宋" w:hAnsi="仿宋" w:eastAsia="仿宋"/>
          <w:b w:val="0"/>
          <w:bCs w:val="0"/>
        </w:rPr>
      </w:pPr>
      <w:bookmarkStart w:id="93" w:name="_Toc15396623"/>
      <w:bookmarkStart w:id="94" w:name="_Toc17226"/>
      <w:r>
        <w:rPr>
          <w:rStyle w:val="31"/>
          <w:rFonts w:hint="eastAsia" w:ascii="仿宋" w:hAnsi="仿宋" w:eastAsia="仿宋"/>
          <w:b w:val="0"/>
          <w:bCs w:val="0"/>
        </w:rPr>
        <w:t>五、</w:t>
      </w:r>
      <w:bookmarkEnd w:id="93"/>
      <w:bookmarkStart w:id="95" w:name="_Toc15396624"/>
      <w:r>
        <w:rPr>
          <w:rFonts w:hint="eastAsia" w:ascii="仿宋" w:hAnsi="仿宋" w:eastAsia="仿宋"/>
          <w:b w:val="0"/>
          <w:color w:val="000000"/>
        </w:rPr>
        <w:t>支出决算明细表</w:t>
      </w:r>
      <w:bookmarkEnd w:id="94"/>
    </w:p>
    <w:p>
      <w:pPr>
        <w:pStyle w:val="5"/>
        <w:rPr>
          <w:rFonts w:ascii="仿宋" w:hAnsi="仿宋" w:eastAsia="仿宋"/>
          <w:color w:val="000000"/>
        </w:rPr>
      </w:pPr>
      <w:bookmarkStart w:id="96" w:name="_Toc13646"/>
      <w:r>
        <w:rPr>
          <w:rStyle w:val="31"/>
          <w:rFonts w:hint="eastAsia" w:ascii="仿宋" w:hAnsi="仿宋" w:eastAsia="仿宋"/>
          <w:b w:val="0"/>
          <w:bCs w:val="0"/>
        </w:rPr>
        <w:t>六、</w:t>
      </w:r>
      <w:bookmarkEnd w:id="95"/>
      <w:r>
        <w:rPr>
          <w:rFonts w:hint="eastAsia" w:ascii="仿宋" w:hAnsi="仿宋" w:eastAsia="仿宋"/>
          <w:b w:val="0"/>
          <w:color w:val="000000"/>
        </w:rPr>
        <w:t>项目收入支出决算表</w:t>
      </w:r>
      <w:bookmarkEnd w:id="96"/>
    </w:p>
    <w:p>
      <w:pPr>
        <w:pStyle w:val="5"/>
        <w:rPr>
          <w:rFonts w:ascii="仿宋" w:hAnsi="仿宋" w:eastAsia="仿宋"/>
          <w:color w:val="000000"/>
        </w:rPr>
      </w:pPr>
      <w:bookmarkStart w:id="97" w:name="_Toc15396625"/>
      <w:bookmarkStart w:id="98" w:name="_Toc1899"/>
      <w:r>
        <w:rPr>
          <w:rStyle w:val="31"/>
          <w:rFonts w:hint="eastAsia" w:ascii="仿宋" w:hAnsi="仿宋" w:eastAsia="仿宋"/>
          <w:b w:val="0"/>
          <w:bCs w:val="0"/>
        </w:rPr>
        <w:t>七、</w:t>
      </w:r>
      <w:bookmarkEnd w:id="97"/>
      <w:r>
        <w:rPr>
          <w:rFonts w:hint="eastAsia" w:ascii="仿宋" w:hAnsi="仿宋" w:eastAsia="仿宋"/>
          <w:b w:val="0"/>
          <w:color w:val="000000"/>
        </w:rPr>
        <w:t>一般公共预算财政拨款收入支出决算表</w:t>
      </w:r>
      <w:bookmarkEnd w:id="98"/>
    </w:p>
    <w:p>
      <w:pPr>
        <w:pStyle w:val="5"/>
        <w:rPr>
          <w:rFonts w:hint="eastAsia" w:ascii="仿宋" w:hAnsi="仿宋" w:eastAsia="仿宋"/>
          <w:b w:val="0"/>
          <w:color w:val="000000"/>
        </w:rPr>
      </w:pPr>
      <w:bookmarkStart w:id="99" w:name="_Toc15396626"/>
      <w:bookmarkStart w:id="100" w:name="_Toc11147"/>
      <w:r>
        <w:rPr>
          <w:rStyle w:val="31"/>
          <w:rFonts w:hint="eastAsia" w:ascii="仿宋" w:hAnsi="仿宋" w:eastAsia="仿宋"/>
          <w:b w:val="0"/>
          <w:bCs w:val="0"/>
        </w:rPr>
        <w:t>八、</w:t>
      </w:r>
      <w:bookmarkEnd w:id="99"/>
      <w:bookmarkStart w:id="101" w:name="_Toc15396627"/>
      <w:r>
        <w:rPr>
          <w:rFonts w:hint="eastAsia" w:ascii="仿宋" w:hAnsi="仿宋" w:eastAsia="仿宋"/>
          <w:b w:val="0"/>
          <w:color w:val="000000"/>
        </w:rPr>
        <w:t>一般公共预算财政拨款支出决算明细表</w:t>
      </w:r>
      <w:bookmarkEnd w:id="100"/>
    </w:p>
    <w:p>
      <w:pPr>
        <w:pStyle w:val="5"/>
        <w:rPr>
          <w:rFonts w:hint="eastAsia" w:ascii="仿宋" w:hAnsi="仿宋" w:eastAsia="仿宋"/>
          <w:b w:val="0"/>
          <w:color w:val="000000"/>
        </w:rPr>
      </w:pPr>
      <w:bookmarkStart w:id="102" w:name="_Toc30450"/>
      <w:r>
        <w:rPr>
          <w:rStyle w:val="31"/>
          <w:rFonts w:hint="eastAsia" w:ascii="仿宋" w:hAnsi="仿宋" w:eastAsia="仿宋"/>
          <w:b w:val="0"/>
          <w:bCs w:val="0"/>
        </w:rPr>
        <w:t>九、</w:t>
      </w:r>
      <w:bookmarkEnd w:id="101"/>
      <w:bookmarkStart w:id="103" w:name="_Toc15396628"/>
      <w:r>
        <w:rPr>
          <w:rFonts w:hint="eastAsia" w:ascii="仿宋" w:hAnsi="仿宋" w:eastAsia="仿宋"/>
          <w:b w:val="0"/>
          <w:color w:val="000000"/>
        </w:rPr>
        <w:t>一般公共预算财政拨款基本支出决算明细表</w:t>
      </w:r>
      <w:bookmarkEnd w:id="102"/>
    </w:p>
    <w:p>
      <w:pPr>
        <w:pStyle w:val="5"/>
        <w:rPr>
          <w:rFonts w:ascii="仿宋" w:hAnsi="仿宋" w:eastAsia="仿宋"/>
          <w:color w:val="000000"/>
        </w:rPr>
      </w:pPr>
      <w:bookmarkStart w:id="104" w:name="_Toc6101"/>
      <w:r>
        <w:rPr>
          <w:rStyle w:val="31"/>
          <w:rFonts w:hint="eastAsia" w:ascii="仿宋" w:hAnsi="仿宋" w:eastAsia="仿宋"/>
          <w:b w:val="0"/>
          <w:bCs w:val="0"/>
        </w:rPr>
        <w:t>十、</w:t>
      </w:r>
      <w:bookmarkEnd w:id="103"/>
      <w:r>
        <w:rPr>
          <w:rFonts w:hint="eastAsia" w:ascii="仿宋" w:hAnsi="仿宋" w:eastAsia="仿宋"/>
          <w:b w:val="0"/>
          <w:color w:val="000000"/>
        </w:rPr>
        <w:t>一般公共预算财政拨款项目支出决算明细表</w:t>
      </w:r>
      <w:bookmarkEnd w:id="104"/>
    </w:p>
    <w:p>
      <w:pPr>
        <w:pStyle w:val="5"/>
        <w:rPr>
          <w:rFonts w:ascii="仿宋" w:hAnsi="仿宋" w:eastAsia="仿宋"/>
          <w:color w:val="000000"/>
        </w:rPr>
      </w:pPr>
      <w:bookmarkStart w:id="105" w:name="_Toc15396629"/>
      <w:bookmarkStart w:id="106" w:name="_Toc27795"/>
      <w:r>
        <w:rPr>
          <w:rStyle w:val="31"/>
          <w:rFonts w:hint="eastAsia" w:ascii="仿宋" w:hAnsi="仿宋" w:eastAsia="仿宋"/>
          <w:b w:val="0"/>
          <w:bCs w:val="0"/>
        </w:rPr>
        <w:t>十一、</w:t>
      </w:r>
      <w:bookmarkEnd w:id="105"/>
      <w:r>
        <w:rPr>
          <w:rFonts w:hint="eastAsia" w:ascii="仿宋" w:hAnsi="仿宋" w:eastAsia="仿宋"/>
          <w:b w:val="0"/>
          <w:color w:val="000000"/>
        </w:rPr>
        <w:t>预算支出相关信息表</w:t>
      </w:r>
      <w:bookmarkEnd w:id="106"/>
    </w:p>
    <w:p>
      <w:pPr>
        <w:pStyle w:val="5"/>
        <w:rPr>
          <w:rFonts w:ascii="仿宋" w:hAnsi="仿宋" w:eastAsia="仿宋"/>
          <w:color w:val="000000"/>
        </w:rPr>
      </w:pPr>
      <w:bookmarkStart w:id="107" w:name="_Toc17940"/>
      <w:bookmarkStart w:id="108" w:name="_Toc15396630"/>
      <w:r>
        <w:rPr>
          <w:rStyle w:val="31"/>
          <w:rFonts w:hint="eastAsia" w:ascii="仿宋" w:hAnsi="仿宋" w:eastAsia="仿宋"/>
          <w:b w:val="0"/>
          <w:bCs w:val="0"/>
        </w:rPr>
        <w:t>十二、</w:t>
      </w:r>
      <w:r>
        <w:rPr>
          <w:rFonts w:hint="eastAsia" w:ascii="仿宋" w:hAnsi="仿宋" w:eastAsia="仿宋"/>
          <w:b w:val="0"/>
          <w:color w:val="000000"/>
        </w:rPr>
        <w:t>基本数字表</w:t>
      </w:r>
      <w:bookmarkEnd w:id="107"/>
      <w:bookmarkEnd w:id="108"/>
    </w:p>
    <w:p>
      <w:pPr>
        <w:pStyle w:val="5"/>
        <w:rPr>
          <w:rFonts w:hint="eastAsia" w:ascii="仿宋" w:hAnsi="仿宋" w:eastAsia="仿宋"/>
          <w:b w:val="0"/>
          <w:color w:val="000000"/>
        </w:rPr>
      </w:pPr>
      <w:bookmarkStart w:id="109" w:name="_Toc15396631"/>
      <w:bookmarkStart w:id="110" w:name="_Toc30862"/>
      <w:r>
        <w:rPr>
          <w:rStyle w:val="31"/>
          <w:rFonts w:hint="eastAsia" w:ascii="仿宋" w:hAnsi="仿宋" w:eastAsia="仿宋"/>
          <w:b w:val="0"/>
          <w:bCs w:val="0"/>
        </w:rPr>
        <w:t>十三、</w:t>
      </w:r>
      <w:bookmarkEnd w:id="109"/>
      <w:r>
        <w:rPr>
          <w:rFonts w:hint="eastAsia" w:ascii="仿宋" w:hAnsi="仿宋" w:eastAsia="仿宋"/>
          <w:b w:val="0"/>
          <w:color w:val="000000"/>
        </w:rPr>
        <w:t>机构运行信息表</w:t>
      </w:r>
      <w:bookmarkEnd w:id="110"/>
    </w:p>
    <w:p>
      <w:pPr>
        <w:pStyle w:val="7"/>
        <w:ind w:left="0" w:leftChars="0" w:firstLine="0" w:firstLineChars="0"/>
        <w:rPr>
          <w:rFonts w:hint="eastAsia"/>
          <w:lang w:eastAsia="zh-CN"/>
        </w:rPr>
      </w:pPr>
    </w:p>
    <w:sectPr>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仿宋_GB2312"/>
    <w:panose1 w:val="02000000000000000000"/>
    <w:charset w:val="86"/>
    <w:family w:val="script"/>
    <w:pitch w:val="default"/>
    <w:sig w:usb0="00000000" w:usb1="00000000" w:usb2="00000000" w:usb3="00000000" w:csb0="00040000" w:csb1="00000000"/>
  </w:font>
  <w:font w:name="宋?">
    <w:altName w:val="Malgun Gothic"/>
    <w:panose1 w:val="00000000000000000000"/>
    <w:charset w:val="81"/>
    <w:family w:val="roman"/>
    <w:pitch w:val="default"/>
    <w:sig w:usb0="00000000" w:usb1="00000000" w:usb2="00000010" w:usb3="00000000" w:csb0="00080000" w:csb1="00000000"/>
  </w:font>
  <w:font w:name="楷体_GB2312">
    <w:altName w:val="楷体"/>
    <w:panose1 w:val="02010609030101010101"/>
    <w:charset w:val="86"/>
    <w:family w:val="auto"/>
    <w:pitch w:val="default"/>
    <w:sig w:usb0="00000000" w:usb1="00000000" w:usb2="00000000" w:usb3="00000000" w:csb0="00040000" w:csb1="00000000"/>
  </w:font>
  <w:font w:name="Malgun Gothic">
    <w:panose1 w:val="020B0503020000020004"/>
    <w:charset w:val="81"/>
    <w:family w:val="auto"/>
    <w:pitch w:val="default"/>
    <w:sig w:usb0="900002AF" w:usb1="01D77CFB" w:usb2="00000012" w:usb3="00000000" w:csb0="0008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sdt>
                          <w:sdtPr>
                            <w:id w:val="-1994781956"/>
                          </w:sdtPr>
                          <w:sdtContent>
                            <w:p>
                              <w:pPr>
                                <w:pStyle w:val="13"/>
                                <w:jc w:val="center"/>
                              </w:pPr>
                              <w:r>
                                <w:fldChar w:fldCharType="begin"/>
                              </w:r>
                              <w:r>
                                <w:instrText xml:space="preserve">PAGE   \* MERGEFORMAT</w:instrText>
                              </w:r>
                              <w:r>
                                <w:fldChar w:fldCharType="separate"/>
                              </w:r>
                              <w:r>
                                <w:rPr>
                                  <w:lang w:val="zh-CN"/>
                                </w:rPr>
                                <w:t>2</w:t>
                              </w:r>
                              <w:r>
                                <w:fldChar w:fldCharType="end"/>
                              </w:r>
                            </w:p>
                          </w:sdtContent>
                        </w:sdt>
                        <w:p>
                          <w:pPr>
                            <w:pStyle w:val="13"/>
                          </w:pP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hLsacgBAACZ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cWxO25x4OefP86/Hs8P38mb&#10;LE8foMasu4B5aXjvB1ya2Q/ozKwHFW3+Ih+CcRT3dBFXDomI/Gi1XK0qDAmMzRfEZ0/PQ4T0QXpL&#10;stHQiNMrovLjJ0hj6pySqzl/q40pEzTuLwdiZg/LvY89ZisNu2EitPPtCfn0OPiGOtxzSsxHh7rm&#10;HZmNOBu72TiEqPddWaJcD8K7Q8ImSm+5wgg7FcaJFXbTduWV+PNesp7+qM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N4S7GnIAQAAmQMAAA4AAAAAAAAAAQAgAAAAHgEAAGRycy9lMm9Eb2Mu&#10;eG1sUEsFBgAAAAAGAAYAWQEAAFgFAAAAAA==&#10;">
              <v:fill on="f" focussize="0,0"/>
              <v:stroke on="f"/>
              <v:imagedata o:title=""/>
              <o:lock v:ext="edit" aspectratio="f"/>
              <v:textbox inset="0mm,0mm,0mm,0mm" style="mso-fit-shape-to-text:t;">
                <w:txbxContent>
                  <w:sdt>
                    <w:sdtPr>
                      <w:id w:val="-1994781956"/>
                    </w:sdtPr>
                    <w:sdtContent>
                      <w:p>
                        <w:pPr>
                          <w:pStyle w:val="13"/>
                          <w:jc w:val="center"/>
                        </w:pPr>
                        <w:r>
                          <w:fldChar w:fldCharType="begin"/>
                        </w:r>
                        <w:r>
                          <w:instrText xml:space="preserve">PAGE   \* MERGEFORMAT</w:instrText>
                        </w:r>
                        <w:r>
                          <w:fldChar w:fldCharType="separate"/>
                        </w:r>
                        <w:r>
                          <w:rPr>
                            <w:lang w:val="zh-CN"/>
                          </w:rPr>
                          <w:t>2</w:t>
                        </w:r>
                        <w:r>
                          <w:fldChar w:fldCharType="end"/>
                        </w:r>
                      </w:p>
                    </w:sdtContent>
                  </w:sdt>
                  <w:p>
                    <w:pPr>
                      <w:pStyle w:val="13"/>
                    </w:pPr>
                  </w:p>
                </w:txbxContent>
              </v:textbox>
            </v:shape>
          </w:pict>
        </mc:Fallback>
      </mc:AlternateContent>
    </w:r>
  </w:p>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CE0CD3"/>
    <w:multiLevelType w:val="singleLevel"/>
    <w:tmpl w:val="DCCE0CD3"/>
    <w:lvl w:ilvl="0" w:tentative="0">
      <w:start w:val="1"/>
      <w:numFmt w:val="decimal"/>
      <w:suff w:val="nothing"/>
      <w:lvlText w:val="（%1）"/>
      <w:lvlJc w:val="left"/>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027A03B2"/>
    <w:multiLevelType w:val="singleLevel"/>
    <w:tmpl w:val="027A03B2"/>
    <w:lvl w:ilvl="0" w:tentative="0">
      <w:start w:val="1"/>
      <w:numFmt w:val="decimal"/>
      <w:lvlText w:val="%1."/>
      <w:lvlJc w:val="left"/>
      <w:pPr>
        <w:tabs>
          <w:tab w:val="left" w:pos="312"/>
        </w:tabs>
      </w:pPr>
    </w:lvl>
  </w:abstractNum>
  <w:abstractNum w:abstractNumId="3">
    <w:nsid w:val="2A220F73"/>
    <w:multiLevelType w:val="singleLevel"/>
    <w:tmpl w:val="2A220F73"/>
    <w:lvl w:ilvl="0" w:tentative="0">
      <w:start w:val="1"/>
      <w:numFmt w:val="decimal"/>
      <w:lvlText w:val="%1."/>
      <w:lvlJc w:val="left"/>
      <w:pPr>
        <w:tabs>
          <w:tab w:val="left" w:pos="312"/>
        </w:tabs>
      </w:pPr>
    </w:lvl>
  </w:abstractNum>
  <w:abstractNum w:abstractNumId="4">
    <w:nsid w:val="51E1B2A3"/>
    <w:multiLevelType w:val="singleLevel"/>
    <w:tmpl w:val="51E1B2A3"/>
    <w:lvl w:ilvl="0" w:tentative="0">
      <w:start w:val="2"/>
      <w:numFmt w:val="chineseCounting"/>
      <w:suff w:val="nothing"/>
      <w:lvlText w:val="（%1）"/>
      <w:lvlJc w:val="left"/>
      <w:rPr>
        <w:rFonts w:hint="eastAsia" w:ascii="楷体_GB2312" w:hAnsi="楷体_GB2312" w:eastAsia="楷体_GB2312" w:cs="楷体_GB2312"/>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M2NzA1MTg4Zjk2MzEzYTE1MjJhYzlhNzA0YjY0NDM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049D8"/>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A46D5"/>
    <w:rsid w:val="00FD3CC1"/>
    <w:rsid w:val="00FF1E02"/>
    <w:rsid w:val="00FF30B4"/>
    <w:rsid w:val="01B65EE7"/>
    <w:rsid w:val="01D5680E"/>
    <w:rsid w:val="027A5940"/>
    <w:rsid w:val="0343119B"/>
    <w:rsid w:val="05A30906"/>
    <w:rsid w:val="05E11832"/>
    <w:rsid w:val="08234384"/>
    <w:rsid w:val="09926481"/>
    <w:rsid w:val="0A6F4298"/>
    <w:rsid w:val="0AA06C76"/>
    <w:rsid w:val="10C055FF"/>
    <w:rsid w:val="10CA00A9"/>
    <w:rsid w:val="11EB6425"/>
    <w:rsid w:val="15D70BD4"/>
    <w:rsid w:val="16734728"/>
    <w:rsid w:val="16BB723D"/>
    <w:rsid w:val="183500C9"/>
    <w:rsid w:val="1BB76E65"/>
    <w:rsid w:val="1C177AE5"/>
    <w:rsid w:val="1DA076DC"/>
    <w:rsid w:val="1FF26CD4"/>
    <w:rsid w:val="206D14A8"/>
    <w:rsid w:val="20836900"/>
    <w:rsid w:val="219263AA"/>
    <w:rsid w:val="21FF3314"/>
    <w:rsid w:val="223D08AC"/>
    <w:rsid w:val="229972C4"/>
    <w:rsid w:val="240371BF"/>
    <w:rsid w:val="269E7634"/>
    <w:rsid w:val="274C0DA9"/>
    <w:rsid w:val="285443B9"/>
    <w:rsid w:val="29FD04D3"/>
    <w:rsid w:val="2A2B429D"/>
    <w:rsid w:val="2B1716CE"/>
    <w:rsid w:val="2B3A2F0F"/>
    <w:rsid w:val="2BA2543C"/>
    <w:rsid w:val="2C4A141C"/>
    <w:rsid w:val="2C673F57"/>
    <w:rsid w:val="2CC113B7"/>
    <w:rsid w:val="2D5A6F75"/>
    <w:rsid w:val="2D6A3274"/>
    <w:rsid w:val="2D6C3F53"/>
    <w:rsid w:val="319F7F4E"/>
    <w:rsid w:val="32C97752"/>
    <w:rsid w:val="34A15809"/>
    <w:rsid w:val="35265386"/>
    <w:rsid w:val="35670D6E"/>
    <w:rsid w:val="35C24C31"/>
    <w:rsid w:val="365340C6"/>
    <w:rsid w:val="37434CCD"/>
    <w:rsid w:val="3B162F0A"/>
    <w:rsid w:val="3B2F3EE1"/>
    <w:rsid w:val="3BD45317"/>
    <w:rsid w:val="3D9301D1"/>
    <w:rsid w:val="3D95132A"/>
    <w:rsid w:val="3E7C7E2C"/>
    <w:rsid w:val="3FB83028"/>
    <w:rsid w:val="43A85972"/>
    <w:rsid w:val="44221C29"/>
    <w:rsid w:val="46596F2F"/>
    <w:rsid w:val="467C4DAF"/>
    <w:rsid w:val="46C43FE0"/>
    <w:rsid w:val="49A465D6"/>
    <w:rsid w:val="49FB4B2E"/>
    <w:rsid w:val="4B1931D8"/>
    <w:rsid w:val="4BCC399E"/>
    <w:rsid w:val="4D1646FD"/>
    <w:rsid w:val="4ECE2238"/>
    <w:rsid w:val="4EE47996"/>
    <w:rsid w:val="50485D02"/>
    <w:rsid w:val="50506A35"/>
    <w:rsid w:val="51D114A4"/>
    <w:rsid w:val="51FD7221"/>
    <w:rsid w:val="53E05AE0"/>
    <w:rsid w:val="541B06AB"/>
    <w:rsid w:val="57A70DE1"/>
    <w:rsid w:val="58E16CF4"/>
    <w:rsid w:val="5ACA56DD"/>
    <w:rsid w:val="5CF80AB0"/>
    <w:rsid w:val="5E5C55A2"/>
    <w:rsid w:val="5EB81EBA"/>
    <w:rsid w:val="62FB4E56"/>
    <w:rsid w:val="637251F2"/>
    <w:rsid w:val="642A7FC1"/>
    <w:rsid w:val="65313523"/>
    <w:rsid w:val="66576847"/>
    <w:rsid w:val="67DB317E"/>
    <w:rsid w:val="67E1461B"/>
    <w:rsid w:val="68C3694D"/>
    <w:rsid w:val="6F3B504A"/>
    <w:rsid w:val="72734D90"/>
    <w:rsid w:val="72B33C76"/>
    <w:rsid w:val="733009D8"/>
    <w:rsid w:val="749D5D6D"/>
    <w:rsid w:val="75161F2C"/>
    <w:rsid w:val="794762A8"/>
    <w:rsid w:val="794C5FB4"/>
    <w:rsid w:val="79C142AC"/>
    <w:rsid w:val="7A5C3C8D"/>
    <w:rsid w:val="7F82454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9">
    <w:name w:val="Default Paragraph Font"/>
    <w:unhideWhenUsed/>
    <w:qFormat/>
    <w:uiPriority w:val="1"/>
  </w:style>
  <w:style w:type="table" w:default="1" w:styleId="18">
    <w:name w:val="Normal Table"/>
    <w:unhideWhenUsed/>
    <w:qFormat/>
    <w:uiPriority w:val="99"/>
    <w:tblPr>
      <w:tblCellMar>
        <w:top w:w="0" w:type="dxa"/>
        <w:left w:w="108" w:type="dxa"/>
        <w:bottom w:w="0" w:type="dxa"/>
        <w:right w:w="108" w:type="dxa"/>
      </w:tblCellMar>
    </w:tblPr>
  </w:style>
  <w:style w:type="paragraph" w:styleId="2">
    <w:name w:val="Body Text First Indent 2"/>
    <w:basedOn w:val="3"/>
    <w:qFormat/>
    <w:uiPriority w:val="99"/>
    <w:pPr>
      <w:ind w:firstLine="420" w:firstLineChars="200"/>
    </w:pPr>
  </w:style>
  <w:style w:type="paragraph" w:styleId="3">
    <w:name w:val="Body Text Indent"/>
    <w:basedOn w:val="1"/>
    <w:next w:val="2"/>
    <w:qFormat/>
    <w:uiPriority w:val="99"/>
    <w:pPr>
      <w:spacing w:after="120"/>
      <w:ind w:left="420" w:leftChars="200"/>
    </w:pPr>
    <w:rPr>
      <w:szCs w:val="20"/>
    </w:rPr>
  </w:style>
  <w:style w:type="paragraph" w:styleId="7">
    <w:name w:val="Normal Indent"/>
    <w:basedOn w:val="1"/>
    <w:qFormat/>
    <w:uiPriority w:val="0"/>
    <w:pPr>
      <w:ind w:firstLine="420" w:firstLineChars="200"/>
    </w:pPr>
    <w:rPr>
      <w:rFonts w:ascii="Calibri" w:hAnsi="Calibri" w:cs="黑体"/>
    </w:rPr>
  </w:style>
  <w:style w:type="paragraph" w:styleId="8">
    <w:name w:val="toa heading"/>
    <w:basedOn w:val="1"/>
    <w:next w:val="1"/>
    <w:qFormat/>
    <w:uiPriority w:val="0"/>
    <w:pPr>
      <w:spacing w:before="120" w:beforeAutospacing="0"/>
    </w:pPr>
    <w:rPr>
      <w:rFonts w:ascii="Arial" w:hAnsi="Arial"/>
      <w:sz w:val="24"/>
    </w:rPr>
  </w:style>
  <w:style w:type="paragraph" w:styleId="9">
    <w:name w:val="Salutation"/>
    <w:basedOn w:val="1"/>
    <w:next w:val="1"/>
    <w:qFormat/>
    <w:uiPriority w:val="0"/>
    <w:pPr>
      <w:jc w:val="both"/>
      <w:textAlignment w:val="baseline"/>
    </w:pPr>
    <w:rPr>
      <w:rFonts w:ascii="Calibri" w:hAnsi="Calibri" w:eastAsia="宋体"/>
      <w:kern w:val="2"/>
      <w:sz w:val="21"/>
      <w:szCs w:val="21"/>
      <w:lang w:val="en-US" w:eastAsia="zh-CN" w:bidi="ar-SA"/>
    </w:rPr>
  </w:style>
  <w:style w:type="paragraph" w:styleId="10">
    <w:name w:val="Body Text"/>
    <w:basedOn w:val="1"/>
    <w:link w:val="27"/>
    <w:qFormat/>
    <w:uiPriority w:val="99"/>
    <w:pPr>
      <w:spacing w:beforeLines="30"/>
    </w:pPr>
    <w:rPr>
      <w:rFonts w:ascii="仿宋_GB2312" w:eastAsia="仿宋_GB2312"/>
      <w:kern w:val="0"/>
      <w:sz w:val="30"/>
    </w:rPr>
  </w:style>
  <w:style w:type="paragraph" w:styleId="11">
    <w:name w:val="toc 3"/>
    <w:basedOn w:val="1"/>
    <w:next w:val="1"/>
    <w:unhideWhenUsed/>
    <w:qFormat/>
    <w:uiPriority w:val="39"/>
    <w:pPr>
      <w:tabs>
        <w:tab w:val="right" w:leader="dot" w:pos="8296"/>
      </w:tabs>
      <w:ind w:left="840" w:leftChars="400"/>
    </w:pPr>
  </w:style>
  <w:style w:type="paragraph" w:styleId="12">
    <w:name w:val="Balloon Text"/>
    <w:basedOn w:val="1"/>
    <w:link w:val="33"/>
    <w:unhideWhenUsed/>
    <w:qFormat/>
    <w:uiPriority w:val="99"/>
    <w:rPr>
      <w:sz w:val="18"/>
      <w:szCs w:val="18"/>
    </w:rPr>
  </w:style>
  <w:style w:type="paragraph" w:styleId="13">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4">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5">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6">
    <w:name w:val="toc 2"/>
    <w:basedOn w:val="1"/>
    <w:next w:val="1"/>
    <w:unhideWhenUsed/>
    <w:qFormat/>
    <w:uiPriority w:val="39"/>
    <w:pPr>
      <w:tabs>
        <w:tab w:val="right" w:leader="dot" w:pos="8296"/>
      </w:tabs>
      <w:ind w:left="420" w:leftChars="200"/>
    </w:pPr>
  </w:style>
  <w:style w:type="paragraph" w:styleId="17">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20">
    <w:name w:val="Strong"/>
    <w:basedOn w:val="19"/>
    <w:qFormat/>
    <w:uiPriority w:val="99"/>
    <w:rPr>
      <w:b/>
    </w:rPr>
  </w:style>
  <w:style w:type="character" w:styleId="21">
    <w:name w:val="Hyperlink"/>
    <w:basedOn w:val="19"/>
    <w:unhideWhenUsed/>
    <w:qFormat/>
    <w:uiPriority w:val="99"/>
    <w:rPr>
      <w:color w:val="0000FF" w:themeColor="hyperlink"/>
      <w:u w:val="single"/>
      <w14:textFill>
        <w14:solidFill>
          <w14:schemeClr w14:val="hlink"/>
        </w14:solidFill>
      </w14:textFill>
    </w:rPr>
  </w:style>
  <w:style w:type="character" w:customStyle="1" w:styleId="22">
    <w:name w:val="Header Char"/>
    <w:basedOn w:val="19"/>
    <w:semiHidden/>
    <w:qFormat/>
    <w:uiPriority w:val="99"/>
    <w:rPr>
      <w:rFonts w:ascii="Times New Roman" w:hAnsi="Times New Roman"/>
      <w:sz w:val="18"/>
      <w:szCs w:val="18"/>
    </w:rPr>
  </w:style>
  <w:style w:type="character" w:customStyle="1" w:styleId="23">
    <w:name w:val="页眉 字符"/>
    <w:link w:val="14"/>
    <w:semiHidden/>
    <w:qFormat/>
    <w:locked/>
    <w:uiPriority w:val="99"/>
    <w:rPr>
      <w:sz w:val="18"/>
    </w:rPr>
  </w:style>
  <w:style w:type="character" w:customStyle="1" w:styleId="24">
    <w:name w:val="Footer Char"/>
    <w:basedOn w:val="19"/>
    <w:semiHidden/>
    <w:qFormat/>
    <w:uiPriority w:val="99"/>
    <w:rPr>
      <w:rFonts w:ascii="Times New Roman" w:hAnsi="Times New Roman"/>
      <w:sz w:val="18"/>
      <w:szCs w:val="18"/>
    </w:rPr>
  </w:style>
  <w:style w:type="character" w:customStyle="1" w:styleId="25">
    <w:name w:val="页脚 字符"/>
    <w:link w:val="13"/>
    <w:qFormat/>
    <w:locked/>
    <w:uiPriority w:val="99"/>
    <w:rPr>
      <w:sz w:val="18"/>
    </w:rPr>
  </w:style>
  <w:style w:type="character" w:customStyle="1" w:styleId="26">
    <w:name w:val="Body Text Char"/>
    <w:basedOn w:val="19"/>
    <w:semiHidden/>
    <w:qFormat/>
    <w:uiPriority w:val="99"/>
    <w:rPr>
      <w:rFonts w:ascii="Times New Roman" w:hAnsi="Times New Roman"/>
      <w:szCs w:val="24"/>
    </w:rPr>
  </w:style>
  <w:style w:type="character" w:customStyle="1" w:styleId="27">
    <w:name w:val="正文文本 字符"/>
    <w:link w:val="10"/>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9">
    <w:name w:val="List Paragraph"/>
    <w:basedOn w:val="1"/>
    <w:qFormat/>
    <w:uiPriority w:val="34"/>
    <w:pPr>
      <w:ind w:firstLine="420" w:firstLineChars="200"/>
    </w:pPr>
  </w:style>
  <w:style w:type="character" w:customStyle="1" w:styleId="30">
    <w:name w:val="标题 1 字符"/>
    <w:basedOn w:val="19"/>
    <w:link w:val="4"/>
    <w:qFormat/>
    <w:uiPriority w:val="9"/>
    <w:rPr>
      <w:rFonts w:ascii="Times New Roman" w:hAnsi="Times New Roman"/>
      <w:b/>
      <w:bCs/>
      <w:kern w:val="44"/>
      <w:sz w:val="44"/>
      <w:szCs w:val="44"/>
    </w:rPr>
  </w:style>
  <w:style w:type="character" w:customStyle="1" w:styleId="31">
    <w:name w:val="标题 2 字符"/>
    <w:basedOn w:val="19"/>
    <w:link w:val="5"/>
    <w:qFormat/>
    <w:uiPriority w:val="9"/>
    <w:rPr>
      <w:rFonts w:asciiTheme="majorHAnsi" w:hAnsiTheme="majorHAnsi" w:eastAsiaTheme="majorEastAsia" w:cstheme="majorBidi"/>
      <w:b/>
      <w:bCs/>
      <w:kern w:val="2"/>
      <w:sz w:val="32"/>
      <w:szCs w:val="32"/>
    </w:rPr>
  </w:style>
  <w:style w:type="paragraph" w:customStyle="1" w:styleId="32">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字符"/>
    <w:basedOn w:val="19"/>
    <w:link w:val="12"/>
    <w:semiHidden/>
    <w:qFormat/>
    <w:uiPriority w:val="99"/>
    <w:rPr>
      <w:rFonts w:ascii="Times New Roman" w:hAnsi="Times New Roman"/>
      <w:kern w:val="2"/>
      <w:sz w:val="18"/>
      <w:szCs w:val="18"/>
    </w:rPr>
  </w:style>
  <w:style w:type="character" w:customStyle="1" w:styleId="34">
    <w:name w:val="标题 3 字符"/>
    <w:basedOn w:val="19"/>
    <w:link w:val="6"/>
    <w:qFormat/>
    <w:uiPriority w:val="9"/>
    <w:rPr>
      <w:rFonts w:ascii="Times New Roman" w:hAnsi="Times New Roman"/>
      <w:b/>
      <w:bCs/>
      <w:kern w:val="2"/>
      <w:sz w:val="32"/>
      <w:szCs w:val="32"/>
    </w:rPr>
  </w:style>
  <w:style w:type="paragraph" w:customStyle="1" w:styleId="35">
    <w:name w:val="TOC Heading"/>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6">
    <w:name w:val="List Paragraph1"/>
    <w:basedOn w:val="1"/>
    <w:qFormat/>
    <w:uiPriority w:val="0"/>
    <w:pPr>
      <w:ind w:firstLine="420" w:firstLineChars="200"/>
    </w:pPr>
  </w:style>
  <w:style w:type="paragraph" w:customStyle="1" w:styleId="37">
    <w:name w:val="正文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
    <w:name w:val="普通(网站) New"/>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39">
    <w:name w:val="WPSOffice手动目录 1"/>
    <w:qFormat/>
    <w:uiPriority w:val="0"/>
    <w:pPr>
      <w:ind w:leftChars="0"/>
    </w:pPr>
    <w:rPr>
      <w:rFonts w:ascii="Times New Roman" w:hAnsi="Times New Roman" w:eastAsia="宋体" w:cs="Times New Roman"/>
      <w:sz w:val="20"/>
      <w:szCs w:val="20"/>
    </w:rPr>
  </w:style>
  <w:style w:type="paragraph" w:customStyle="1" w:styleId="40">
    <w:name w:val="WPSOffice手动目录 2"/>
    <w:qFormat/>
    <w:uiPriority w:val="0"/>
    <w:pPr>
      <w:ind w:leftChars="200"/>
    </w:pPr>
    <w:rPr>
      <w:rFonts w:ascii="Times New Roman" w:hAnsi="Times New Roman" w:eastAsia="宋体" w:cs="Times New Roman"/>
      <w:sz w:val="20"/>
      <w:szCs w:val="20"/>
    </w:rPr>
  </w:style>
  <w:style w:type="paragraph" w:customStyle="1" w:styleId="41">
    <w:name w:val="BodyTextIndent2"/>
    <w:basedOn w:val="1"/>
    <w:qFormat/>
    <w:uiPriority w:val="0"/>
    <w:pPr>
      <w:spacing w:line="580" w:lineRule="exact"/>
      <w:ind w:firstLine="544" w:firstLineChars="200"/>
      <w:jc w:val="both"/>
      <w:textAlignment w:val="baseline"/>
    </w:pPr>
    <w:rPr>
      <w:rFonts w:ascii="仿宋_GB2312" w:hAnsi="Calibri" w:eastAsia="仿宋_GB2312"/>
      <w:spacing w:val="-4"/>
      <w:kern w:val="2"/>
      <w:sz w:val="28"/>
      <w:szCs w:val="24"/>
      <w:lang w:val="en-US" w:eastAsia="zh-CN" w:bidi="ar-SA"/>
    </w:rPr>
  </w:style>
  <w:style w:type="character" w:customStyle="1" w:styleId="42">
    <w:name w:val="NormalCharacter"/>
    <w:qFormat/>
    <w:uiPriority w:val="0"/>
    <w:rPr>
      <w:rFonts w:ascii="Calibri" w:hAnsi="Calibri" w:eastAsia="宋体" w:cs="Times New Roman"/>
      <w:kern w:val="2"/>
      <w:sz w:val="21"/>
      <w:szCs w:val="24"/>
      <w:lang w:val="en-US" w:eastAsia="zh-CN" w:bidi="ar-SA"/>
    </w:rPr>
  </w:style>
  <w:style w:type="paragraph" w:customStyle="1" w:styleId="43">
    <w:name w:val="No Spacing"/>
    <w:qFormat/>
    <w:uiPriority w:val="0"/>
    <w:pPr>
      <w:ind w:firstLine="200" w:firstLineChars="200"/>
    </w:pPr>
    <w:rPr>
      <w:rFonts w:ascii="Times New Roman" w:hAnsi="Times New Roman" w:eastAsia="仿宋_GB2312" w:cs="Times New Roman"/>
      <w:sz w:val="30"/>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4.xlsx"/></Relationships>
</file>

<file path=word/charts/_rels/chart6.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defTabSz="914400">
              <a:defRPr lang="zh-CN" sz="1400" b="0" i="0" u="none" strike="noStrike" kern="1200" spc="0" baseline="0">
                <a:solidFill>
                  <a:schemeClr val="tx1">
                    <a:lumMod val="65000"/>
                    <a:lumOff val="35000"/>
                  </a:schemeClr>
                </a:solidFill>
                <a:latin typeface="+mn-lt"/>
                <a:ea typeface="+mn-ea"/>
                <a:cs typeface="+mn-cs"/>
              </a:defRPr>
            </a:pPr>
            <a:r>
              <a:rPr sz="1400" b="0" i="0" u="none" strike="noStrike" kern="1200" cap="none" spc="0" normalizeH="0" baseline="0">
                <a:solidFill>
                  <a:schemeClr val="tx1">
                    <a:lumMod val="65000"/>
                    <a:lumOff val="35000"/>
                  </a:schemeClr>
                </a:solidFill>
                <a:effectLst/>
                <a:latin typeface="+mn-lt"/>
                <a:ea typeface="+mn-ea"/>
                <a:cs typeface="+mn-cs"/>
              </a:rPr>
              <a:t>收入支出预算执行情况（万元）</a:t>
            </a:r>
            <a:endParaRPr lang="en-US" altLang="zh-CN" sz="1400" b="0" i="0" u="none" strike="noStrike" kern="1200" cap="none" spc="0" normalizeH="0" baseline="0">
              <a:solidFill>
                <a:schemeClr val="tx1">
                  <a:lumMod val="65000"/>
                  <a:lumOff val="35000"/>
                </a:schemeClr>
              </a:solidFill>
              <a:effectLst/>
              <a:latin typeface="+mn-lt"/>
              <a:ea typeface="+mn-ea"/>
              <a:cs typeface="+mn-cs"/>
            </a:endParaRP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本年度收入预算数</c:v>
                </c:pt>
              </c:strCache>
            </c:strRef>
          </c:tx>
          <c:spPr>
            <a:solidFill>
              <a:schemeClr val="accent1"/>
            </a:solidFill>
            <a:ln>
              <a:noFill/>
            </a:ln>
            <a:effectLst/>
          </c:spPr>
          <c:invertIfNegative val="0"/>
          <c:dLbls>
            <c:delete val="1"/>
          </c:dLbls>
          <c:cat>
            <c:numRef>
              <c:f>Sheet1!$A$2</c:f>
              <c:numCache>
                <c:formatCode>General</c:formatCode>
                <c:ptCount val="1"/>
                <c:pt idx="0">
                  <c:v>2022</c:v>
                </c:pt>
              </c:numCache>
            </c:numRef>
          </c:cat>
          <c:val>
            <c:numRef>
              <c:f>Sheet1!$B$2</c:f>
              <c:numCache>
                <c:formatCode>General</c:formatCode>
                <c:ptCount val="1"/>
                <c:pt idx="0">
                  <c:v>225.06</c:v>
                </c:pt>
              </c:numCache>
            </c:numRef>
          </c:val>
        </c:ser>
        <c:ser>
          <c:idx val="1"/>
          <c:order val="1"/>
          <c:tx>
            <c:strRef>
              <c:f>Sheet1!$C$1</c:f>
              <c:strCache>
                <c:ptCount val="1"/>
                <c:pt idx="0">
                  <c:v>本年度收入决算数</c:v>
                </c:pt>
              </c:strCache>
            </c:strRef>
          </c:tx>
          <c:spPr>
            <a:solidFill>
              <a:schemeClr val="accent2"/>
            </a:solidFill>
            <a:ln>
              <a:noFill/>
            </a:ln>
            <a:effectLst/>
          </c:spPr>
          <c:invertIfNegative val="0"/>
          <c:dLbls>
            <c:delete val="1"/>
          </c:dLbls>
          <c:cat>
            <c:numRef>
              <c:f>Sheet1!$A$2</c:f>
              <c:numCache>
                <c:formatCode>General</c:formatCode>
                <c:ptCount val="1"/>
                <c:pt idx="0">
                  <c:v>2022</c:v>
                </c:pt>
              </c:numCache>
            </c:numRef>
          </c:cat>
          <c:val>
            <c:numRef>
              <c:f>Sheet1!$C$2</c:f>
              <c:numCache>
                <c:formatCode>General</c:formatCode>
                <c:ptCount val="1"/>
                <c:pt idx="0">
                  <c:v>225.06</c:v>
                </c:pt>
              </c:numCache>
            </c:numRef>
          </c:val>
        </c:ser>
        <c:ser>
          <c:idx val="2"/>
          <c:order val="2"/>
          <c:tx>
            <c:strRef>
              <c:f>Sheet1!$D$1</c:f>
              <c:strCache>
                <c:ptCount val="1"/>
                <c:pt idx="0">
                  <c:v>完成度</c:v>
                </c:pt>
              </c:strCache>
            </c:strRef>
          </c:tx>
          <c:spPr>
            <a:solidFill>
              <a:schemeClr val="accent3"/>
            </a:solidFill>
            <a:ln>
              <a:noFill/>
            </a:ln>
            <a:effectLst/>
          </c:spPr>
          <c:invertIfNegative val="0"/>
          <c:dLbls>
            <c:delete val="1"/>
          </c:dLbls>
          <c:cat>
            <c:numRef>
              <c:f>Sheet1!$A$2</c:f>
              <c:numCache>
                <c:formatCode>General</c:formatCode>
                <c:ptCount val="1"/>
                <c:pt idx="0">
                  <c:v>2022</c:v>
                </c:pt>
              </c:numCache>
            </c:numRef>
          </c:cat>
          <c:val>
            <c:numRef>
              <c:f>Sheet1!$D$2</c:f>
              <c:numCache>
                <c:formatCode>0%</c:formatCode>
                <c:ptCount val="1"/>
                <c:pt idx="0">
                  <c:v>1</c:v>
                </c:pt>
              </c:numCache>
            </c:numRef>
          </c:val>
        </c:ser>
        <c:dLbls>
          <c:showLegendKey val="0"/>
          <c:showVal val="0"/>
          <c:showCatName val="0"/>
          <c:showSerName val="0"/>
          <c:showPercent val="0"/>
          <c:showBubbleSize val="0"/>
        </c:dLbls>
        <c:gapWidth val="219"/>
        <c:overlap val="-27"/>
        <c:axId val="327530003"/>
        <c:axId val="662997339"/>
      </c:barChart>
      <c:catAx>
        <c:axId val="3275300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62997339"/>
        <c:crosses val="autoZero"/>
        <c:auto val="1"/>
        <c:lblAlgn val="ctr"/>
        <c:lblOffset val="100"/>
        <c:noMultiLvlLbl val="0"/>
      </c:catAx>
      <c:valAx>
        <c:axId val="662997339"/>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27530003"/>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rot="0" spcFirstLastPara="0" vertOverflow="ellipsis" horzOverflow="overflow" vert="horz" wrap="square" anchor="ctr" anchorCtr="1"/>
    <a:lstStyle/>
    <a:p>
      <a:pPr>
        <a:defRPr lang="zh-CN" sz="1000" kern="1200">
          <a:solidFill>
            <a:schemeClr val="tx1"/>
          </a:solidFill>
          <a:latin typeface="+mn-lt"/>
          <a:ea typeface="+mn-ea"/>
          <a:cs typeface="+mn-cs"/>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defTabSz="914400">
              <a:defRPr lang="zh-CN" sz="1600" b="1" i="0" u="none" strike="noStrike" kern="1200" spc="0" normalizeH="0" baseline="0">
                <a:solidFill>
                  <a:schemeClr val="dk1">
                    <a:lumMod val="50000"/>
                    <a:lumOff val="50000"/>
                  </a:schemeClr>
                </a:solidFill>
                <a:latin typeface="+mj-lt"/>
                <a:ea typeface="+mj-ea"/>
                <a:cs typeface="+mj-cs"/>
              </a:defRPr>
            </a:pPr>
            <a:r>
              <a:rPr sz="1600" b="1" i="0" u="none" strike="noStrike" kern="1200" cap="none" spc="0" normalizeH="0" baseline="0">
                <a:solidFill>
                  <a:schemeClr val="dk1">
                    <a:lumMod val="50000"/>
                    <a:lumOff val="50000"/>
                  </a:schemeClr>
                </a:solidFill>
                <a:effectLst/>
                <a:latin typeface="+mj-lt"/>
                <a:ea typeface="+mj-ea"/>
                <a:cs typeface="+mj-cs"/>
              </a:rPr>
              <a:t>收入支出结构分析（万元）</a:t>
            </a:r>
            <a:endParaRPr sz="1600" b="1" i="0" u="none" strike="noStrike" kern="1200" cap="none" spc="0" normalizeH="0" baseline="0">
              <a:solidFill>
                <a:schemeClr val="dk1">
                  <a:lumMod val="50000"/>
                  <a:lumOff val="50000"/>
                </a:schemeClr>
              </a:solidFill>
              <a:effectLst/>
              <a:latin typeface="+mj-lt"/>
              <a:ea typeface="+mj-ea"/>
              <a:cs typeface="+mj-cs"/>
            </a:endParaRP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explosion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dPt>
          <c:dLbls>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900" b="0" i="0" u="none" strike="noStrike" kern="1200" baseline="0">
                    <a:solidFill>
                      <a:schemeClr val="dk1">
                        <a:lumMod val="75000"/>
                        <a:lumOff val="25000"/>
                      </a:schemeClr>
                    </a:solidFill>
                    <a:latin typeface="+mn-lt"/>
                    <a:ea typeface="+mn-ea"/>
                    <a:cs typeface="+mn-cs"/>
                  </a:defRPr>
                </a:pPr>
              </a:p>
            </c:txPr>
            <c:dLblPos val="outEnd"/>
            <c:showLegendKey val="0"/>
            <c:showVal val="0"/>
            <c:showCatName val="1"/>
            <c:showSerName val="0"/>
            <c:showPercent val="1"/>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dk1">
                          <a:lumMod val="35000"/>
                          <a:lumOff val="65000"/>
                        </a:schemeClr>
                      </a:solidFill>
                      <a:prstDash val="solid"/>
                      <a:round/>
                    </a:ln>
                    <a:effectLst/>
                  </c:spPr>
                </c15:leaderLines>
              </c:ext>
            </c:extLst>
          </c:dLbls>
          <c:cat>
            <c:strRef>
              <c:f>Sheet1!$A$2</c:f>
              <c:strCache>
                <c:ptCount val="1"/>
                <c:pt idx="0">
                  <c:v>一般公共预算财政拨款收入</c:v>
                </c:pt>
              </c:strCache>
            </c:strRef>
          </c:cat>
          <c:val>
            <c:numRef>
              <c:f>Sheet1!$B$2</c:f>
              <c:numCache>
                <c:formatCode>General</c:formatCode>
                <c:ptCount val="1"/>
                <c:pt idx="0">
                  <c:v>225.06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overlay val="0"/>
      <c:spPr>
        <a:solidFill>
          <a:schemeClr val="lt1">
            <a:alpha val="50000"/>
          </a:schemeClr>
        </a:solidFill>
        <a:ln>
          <a:noFill/>
        </a:ln>
        <a:effectLst/>
      </c:spPr>
      <c:txPr>
        <a:bodyPr rot="0" spcFirstLastPara="0" vertOverflow="ellipsis" horzOverflow="overflow"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prstDash val="solid"/>
      <a:round/>
    </a:ln>
    <a:effectLst/>
  </c:spPr>
  <c:txPr>
    <a:bodyPr rot="0" spcFirstLastPara="0" vertOverflow="ellipsis" horzOverflow="overflow" vert="horz" wrap="square" anchor="ctr" anchorCtr="1"/>
    <a:lstStyle/>
    <a:p>
      <a:pPr>
        <a:defRPr lang="zh-CN" sz="900" kern="1200">
          <a:solidFill>
            <a:schemeClr val="dk1"/>
          </a:solidFill>
          <a:latin typeface="+mn-lt"/>
          <a:ea typeface="+mn-ea"/>
          <a:cs typeface="+mn-c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dk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支出情况分析</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88.45</c:v>
                </c:pt>
                <c:pt idx="1">
                  <c:v>11.55</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599223738575185"/>
          <c:y val="0.158886050610495"/>
          <c:w val="0.930345494080696"/>
          <c:h val="0.638631534211645"/>
        </c:manualLayout>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delete val="1"/>
          </c:dLbls>
          <c:cat>
            <c:strRef>
              <c:f>Sheet1!$A$2:$A$5</c:f>
              <c:strCache>
                <c:ptCount val="4"/>
                <c:pt idx="0">
                  <c:v>2022年</c:v>
                </c:pt>
                <c:pt idx="1">
                  <c:v>2021年</c:v>
                </c:pt>
                <c:pt idx="2">
                  <c:v>2022年</c:v>
                </c:pt>
                <c:pt idx="3">
                  <c:v>2021年</c:v>
                </c:pt>
              </c:strCache>
            </c:strRef>
          </c:cat>
          <c:val>
            <c:numRef>
              <c:f>Sheet1!$B$2:$B$5</c:f>
              <c:numCache>
                <c:formatCode>General</c:formatCode>
                <c:ptCount val="4"/>
                <c:pt idx="0">
                  <c:v>332.9</c:v>
                </c:pt>
                <c:pt idx="1">
                  <c:v>299.25</c:v>
                </c:pt>
              </c:numCache>
            </c:numRef>
          </c:val>
        </c:ser>
        <c:ser>
          <c:idx val="1"/>
          <c:order val="1"/>
          <c:tx>
            <c:strRef>
              <c:f>Sheet1!$C$1</c:f>
              <c:strCache>
                <c:ptCount val="1"/>
                <c:pt idx="0">
                  <c:v>支出</c:v>
                </c:pt>
              </c:strCache>
            </c:strRef>
          </c:tx>
          <c:spPr>
            <a:solidFill>
              <a:schemeClr val="accent2"/>
            </a:solidFill>
            <a:ln>
              <a:noFill/>
            </a:ln>
            <a:effectLst/>
          </c:spPr>
          <c:invertIfNegative val="0"/>
          <c:dLbls>
            <c:delete val="1"/>
          </c:dLbls>
          <c:cat>
            <c:strRef>
              <c:f>Sheet1!$A$2:$A$5</c:f>
              <c:strCache>
                <c:ptCount val="4"/>
                <c:pt idx="0">
                  <c:v>2022年</c:v>
                </c:pt>
                <c:pt idx="1">
                  <c:v>2021年</c:v>
                </c:pt>
                <c:pt idx="2">
                  <c:v>2022年</c:v>
                </c:pt>
                <c:pt idx="3">
                  <c:v>2021年</c:v>
                </c:pt>
              </c:strCache>
            </c:strRef>
          </c:cat>
          <c:val>
            <c:numRef>
              <c:f>Sheet1!$C$2:$C$5</c:f>
              <c:numCache>
                <c:formatCode>General</c:formatCode>
                <c:ptCount val="4"/>
                <c:pt idx="2">
                  <c:v>332.9</c:v>
                </c:pt>
                <c:pt idx="3">
                  <c:v>299.25</c:v>
                </c:pt>
              </c:numCache>
            </c:numRef>
          </c:val>
        </c:ser>
        <c:dLbls>
          <c:showLegendKey val="0"/>
          <c:showVal val="0"/>
          <c:showCatName val="0"/>
          <c:showSerName val="0"/>
          <c:showPercent val="0"/>
          <c:showBubbleSize val="0"/>
        </c:dLbls>
        <c:gapWidth val="246"/>
        <c:overlap val="-28"/>
        <c:axId val="157061212"/>
        <c:axId val="900064804"/>
      </c:barChart>
      <c:catAx>
        <c:axId val="15706121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00064804"/>
        <c:crosses val="autoZero"/>
        <c:auto val="1"/>
        <c:lblAlgn val="ctr"/>
        <c:lblOffset val="100"/>
        <c:noMultiLvlLbl val="0"/>
      </c:catAx>
      <c:valAx>
        <c:axId val="900064804"/>
        <c:scaling>
          <c:orientation val="minMax"/>
        </c:scaling>
        <c:delete val="0"/>
        <c:axPos val="l"/>
        <c:majorGridlines>
          <c:spPr>
            <a:ln w="9525" cap="flat" cmpd="sng" algn="ctr">
              <a:solidFill>
                <a:schemeClr val="bg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706121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2022</c:v>
                </c:pt>
              </c:strCache>
            </c:strRef>
          </c:tx>
          <c:spPr>
            <a:solidFill>
              <a:schemeClr val="accent1"/>
            </a:solidFill>
            <a:ln>
              <a:noFill/>
            </a:ln>
            <a:effectLst/>
          </c:spPr>
          <c:invertIfNegative val="0"/>
          <c:dLbls>
            <c:delete val="1"/>
          </c:dLbls>
          <c:cat>
            <c:numRef>
              <c:f>Sheet1!$A$2</c:f>
              <c:numCache>
                <c:formatCode>General</c:formatCode>
                <c:ptCount val="1"/>
              </c:numCache>
            </c:numRef>
          </c:cat>
          <c:val>
            <c:numRef>
              <c:f>Sheet1!$B$2</c:f>
              <c:numCache>
                <c:formatCode>General</c:formatCode>
                <c:ptCount val="1"/>
                <c:pt idx="0">
                  <c:v>225.06</c:v>
                </c:pt>
              </c:numCache>
            </c:numRef>
          </c:val>
        </c:ser>
        <c:ser>
          <c:idx val="1"/>
          <c:order val="1"/>
          <c:tx>
            <c:strRef>
              <c:f>Sheet1!$C$1</c:f>
              <c:strCache>
                <c:ptCount val="1"/>
                <c:pt idx="0">
                  <c:v>2021</c:v>
                </c:pt>
              </c:strCache>
            </c:strRef>
          </c:tx>
          <c:spPr>
            <a:solidFill>
              <a:schemeClr val="accent2"/>
            </a:solidFill>
            <a:ln>
              <a:noFill/>
            </a:ln>
            <a:effectLst/>
          </c:spPr>
          <c:invertIfNegative val="0"/>
          <c:dLbls>
            <c:delete val="1"/>
          </c:dLbls>
          <c:cat>
            <c:numRef>
              <c:f>Sheet1!$A$2</c:f>
              <c:numCache>
                <c:formatCode>General</c:formatCode>
                <c:ptCount val="1"/>
              </c:numCache>
            </c:numRef>
          </c:cat>
          <c:val>
            <c:numRef>
              <c:f>Sheet1!$C$2</c:f>
              <c:numCache>
                <c:formatCode>General</c:formatCode>
                <c:ptCount val="1"/>
                <c:pt idx="0">
                  <c:v>215.61</c:v>
                </c:pt>
              </c:numCache>
            </c:numRef>
          </c:val>
        </c:ser>
        <c:dLbls>
          <c:showLegendKey val="0"/>
          <c:showVal val="0"/>
          <c:showCatName val="0"/>
          <c:showSerName val="0"/>
          <c:showPercent val="0"/>
          <c:showBubbleSize val="0"/>
        </c:dLbls>
        <c:gapWidth val="246"/>
        <c:overlap val="-28"/>
        <c:axId val="293796978"/>
        <c:axId val="638351815"/>
      </c:barChart>
      <c:catAx>
        <c:axId val="29379697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38351815"/>
        <c:crosses val="autoZero"/>
        <c:auto val="1"/>
        <c:lblAlgn val="ctr"/>
        <c:lblOffset val="100"/>
        <c:noMultiLvlLbl val="0"/>
      </c:catAx>
      <c:valAx>
        <c:axId val="638351815"/>
        <c:scaling>
          <c:orientation val="minMax"/>
        </c:scaling>
        <c:delete val="0"/>
        <c:axPos val="l"/>
        <c:majorGridlines>
          <c:spPr>
            <a:ln w="9525" cap="flat" cmpd="sng" algn="ctr">
              <a:solidFill>
                <a:schemeClr val="bg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93796978"/>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占比</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delete val="1"/>
          </c:dLbls>
          <c:cat>
            <c:strRef>
              <c:f>Sheet1!$A$2:$A$5</c:f>
              <c:strCache>
                <c:ptCount val="4"/>
                <c:pt idx="0">
                  <c:v>一般公共服务支出</c:v>
                </c:pt>
                <c:pt idx="1">
                  <c:v>社会保障和就业（类）支出</c:v>
                </c:pt>
                <c:pt idx="2">
                  <c:v>卫生健康支出</c:v>
                </c:pt>
                <c:pt idx="3">
                  <c:v>住房保障支出</c:v>
                </c:pt>
              </c:strCache>
            </c:strRef>
          </c:cat>
          <c:val>
            <c:numRef>
              <c:f>Sheet1!$B$2:$B$5</c:f>
              <c:numCache>
                <c:formatCode>General</c:formatCode>
                <c:ptCount val="4"/>
                <c:pt idx="0">
                  <c:v>80.8</c:v>
                </c:pt>
                <c:pt idx="1">
                  <c:v>9.83</c:v>
                </c:pt>
                <c:pt idx="2">
                  <c:v>3.61</c:v>
                </c:pt>
                <c:pt idx="3">
                  <c:v>5.75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占比</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delete val="1"/>
          </c:dLbls>
          <c:cat>
            <c:strRef>
              <c:f>Sheet1!$A$2:$A$3</c:f>
              <c:strCache>
                <c:ptCount val="2"/>
                <c:pt idx="0">
                  <c:v>公务用车运行维护费</c:v>
                </c:pt>
                <c:pt idx="1">
                  <c:v>接待费</c:v>
                </c:pt>
              </c:strCache>
            </c:strRef>
          </c:cat>
          <c:val>
            <c:numRef>
              <c:f>Sheet1!$B$2:$B$3</c:f>
              <c:numCache>
                <c:formatCode>General</c:formatCode>
                <c:ptCount val="2"/>
                <c:pt idx="0">
                  <c:v>98.11</c:v>
                </c:pt>
                <c:pt idx="1">
                  <c:v>1.89</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51</Pages>
  <Words>21243</Words>
  <Characters>22774</Characters>
  <Lines>61</Lines>
  <Paragraphs>17</Paragraphs>
  <TotalTime>3</TotalTime>
  <ScaleCrop>false</ScaleCrop>
  <LinksUpToDate>false</LinksUpToDate>
  <CharactersWithSpaces>23081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刘霞</cp:lastModifiedBy>
  <cp:lastPrinted>2020-07-23T02:58:00Z</cp:lastPrinted>
  <dcterms:modified xsi:type="dcterms:W3CDTF">2023-11-02T09:56:03Z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99F0A60A3B64473E82D8A71841685294_13</vt:lpwstr>
  </property>
</Properties>
</file>