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bookmarkStart w:id="1" w:name="_Toc15377425"/>
      <w:bookmarkStart w:id="2" w:name="_Toc15396475"/>
      <w:bookmarkStart w:id="3" w:name="_Toc15377193"/>
      <w:bookmarkStart w:id="4" w:name="_Toc15378441"/>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bookmarkStart w:id="6" w:name="_Toc15396476"/>
      <w:bookmarkStart w:id="7" w:name="_Toc15396598"/>
      <w:bookmarkStart w:id="8" w:name="_Toc15378442"/>
      <w:bookmarkStart w:id="9" w:name="_Toc15377194"/>
      <w:bookmarkStart w:id="10" w:name="_Toc15377426"/>
      <w:r>
        <w:rPr>
          <w:rFonts w:hint="eastAsia" w:ascii="方正小标宋简体" w:eastAsia="方正小标宋简体"/>
          <w:sz w:val="72"/>
          <w:szCs w:val="72"/>
        </w:rPr>
        <w:t>四川省阿坝州</w:t>
      </w:r>
      <w:bookmarkEnd w:id="0"/>
      <w:bookmarkStart w:id="11" w:name="_Toc15306268"/>
    </w:p>
    <w:p>
      <w:pPr>
        <w:jc w:val="center"/>
        <w:rPr>
          <w:rFonts w:ascii="方正小标宋简体" w:eastAsia="方正小标宋简体"/>
          <w:sz w:val="72"/>
          <w:szCs w:val="72"/>
        </w:rPr>
      </w:pPr>
      <w:r>
        <w:rPr>
          <w:rFonts w:hint="eastAsia" w:ascii="方正小标宋简体" w:eastAsia="方正小标宋简体"/>
          <w:sz w:val="72"/>
          <w:szCs w:val="72"/>
        </w:rPr>
        <w:t>麦洼寺管会部门决算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月3</w:t>
      </w:r>
      <w:r>
        <w:rPr>
          <w:rFonts w:hAnsiTheme="minorHAnsi"/>
          <w:b w:val="0"/>
          <w:bCs w:val="0"/>
          <w:sz w:val="24"/>
          <w:szCs w:val="24"/>
        </w:rPr>
        <w:t>0</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_Toc79163856 \h </w:instrText>
      </w:r>
      <w:r>
        <w:fldChar w:fldCharType="separate"/>
      </w:r>
      <w:r>
        <w:t>4</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_Toc79163857 \h </w:instrText>
      </w:r>
      <w:r>
        <w:fldChar w:fldCharType="separate"/>
      </w:r>
      <w:r>
        <w:t>4</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_Toc79163858 \h </w:instrText>
      </w:r>
      <w:r>
        <w:fldChar w:fldCharType="separate"/>
      </w:r>
      <w:r>
        <w:t>4</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5</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6</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7</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7</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8</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9</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t>19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20</w:t>
      </w:r>
      <w:r>
        <w:fldChar w:fldCharType="end"/>
      </w:r>
    </w:p>
    <w:p>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r>
        <w:fldChar w:fldCharType="begin"/>
      </w:r>
      <w:r>
        <w:instrText xml:space="preserve"> PAGEREF _Toc79163884 \h </w:instrText>
      </w:r>
      <w:r>
        <w:fldChar w:fldCharType="separate"/>
      </w:r>
      <w:r>
        <w:t>20</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24</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24</w:t>
      </w:r>
      <w:r>
        <w:fldChar w:fldCharType="end"/>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2"/>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3"/>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Cs/>
          <w:color w:val="000000"/>
          <w:sz w:val="32"/>
          <w:szCs w:val="32"/>
        </w:rPr>
        <w:t>教务管理科及宣传教育科工作。负责寺庙及僧人信息管理，严禁18周岁以下青少年入寺；开展干部业务知识、宗教常识、形式政策的培训教育。财务管理科和公共服务中心工作。负责指导寺庙规范财务管理工作，切实做好财务、会计、税收管理等工作，推行寺庙财务定期公开；指导寺庙建立重大财务收支会议研究制度。办公室协调各科、中心各项工作；负责文秘、信息、机要、档案、保密、干部管理等工作；负责有关重要会议和重大活动的组织协调及其他上级交办的工作。治安消防科及项目管理工作。参与寺庙普法教育，加强防分裂、防盗、防火、防治安事故教育，提高僧人法制观念和防范意识等工作。</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8" w:name="_Toc21987"/>
      <w:r>
        <w:rPr>
          <w:rFonts w:hint="eastAsia" w:ascii="仿宋" w:hAnsi="仿宋" w:eastAsia="仿宋"/>
          <w:bCs/>
          <w:color w:val="000000"/>
          <w:sz w:val="32"/>
          <w:szCs w:val="32"/>
        </w:rPr>
        <w:t>（一）抓实寺庙依法常态管理工作</w:t>
      </w:r>
      <w:bookmarkEnd w:id="28"/>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29" w:name="_Toc2869"/>
      <w:r>
        <w:rPr>
          <w:rFonts w:hint="eastAsia" w:ascii="仿宋" w:hAnsi="仿宋" w:eastAsia="仿宋"/>
          <w:bCs/>
          <w:color w:val="000000"/>
          <w:sz w:val="32"/>
          <w:szCs w:val="32"/>
        </w:rPr>
        <w:t>1、管住场所。一是规范寺庙用地。二是规范寺庙建设。三是规范寺庙区域管理。</w:t>
      </w:r>
      <w:bookmarkEnd w:id="2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30" w:name="_Toc12046"/>
      <w:r>
        <w:rPr>
          <w:rFonts w:hint="eastAsia" w:ascii="仿宋" w:hAnsi="仿宋" w:eastAsia="仿宋"/>
          <w:bCs/>
          <w:color w:val="000000"/>
          <w:sz w:val="32"/>
          <w:szCs w:val="32"/>
        </w:rPr>
        <w:t>2、管住人员。一是坚持寺庙定员制度。二是切实完善寺规僧约。三是进一步规范僧人外出。四是坚决清退违规僧人。五是执行僧人护照集中统一管理。</w:t>
      </w:r>
      <w:bookmarkEnd w:id="30"/>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31" w:name="_Toc323"/>
      <w:r>
        <w:rPr>
          <w:rFonts w:hint="eastAsia" w:ascii="仿宋" w:hAnsi="仿宋" w:eastAsia="仿宋"/>
          <w:bCs/>
          <w:color w:val="000000"/>
          <w:sz w:val="32"/>
          <w:szCs w:val="32"/>
        </w:rPr>
        <w:t>3、管住活动。一是严格活动报批程序。二是制定完善相关方案预案。三是强化活动监管工作。四是管住财务。</w:t>
      </w:r>
      <w:bookmarkEnd w:id="31"/>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32" w:name="_Toc30168"/>
      <w:r>
        <w:rPr>
          <w:rFonts w:hint="eastAsia" w:ascii="仿宋" w:hAnsi="仿宋" w:eastAsia="仿宋"/>
          <w:bCs/>
          <w:color w:val="000000"/>
          <w:sz w:val="32"/>
          <w:szCs w:val="32"/>
        </w:rPr>
        <w:t>（二）抓实寺庙教育引导工作</w:t>
      </w:r>
      <w:bookmarkEnd w:id="32"/>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3" w:name="_Toc10540"/>
      <w:r>
        <w:rPr>
          <w:rFonts w:hint="eastAsia" w:ascii="仿宋" w:hAnsi="仿宋" w:eastAsia="仿宋"/>
          <w:bCs/>
          <w:color w:val="000000"/>
          <w:sz w:val="32"/>
          <w:szCs w:val="32"/>
        </w:rPr>
        <w:t>1、推行“讲经前讲法”活动。2、深化寺庙法制宣传。3、强化僧人教育引导。</w:t>
      </w:r>
      <w:bookmarkEnd w:id="33"/>
      <w:r>
        <w:rPr>
          <w:rFonts w:hint="eastAsia" w:ascii="仿宋" w:hAnsi="仿宋" w:eastAsia="仿宋"/>
          <w:bCs/>
          <w:color w:val="000000"/>
          <w:sz w:val="32"/>
          <w:szCs w:val="32"/>
        </w:rPr>
        <w:t xml:space="preserve">   </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4" w:name="_Toc9195"/>
      <w:r>
        <w:rPr>
          <w:rFonts w:hint="eastAsia" w:ascii="仿宋" w:hAnsi="仿宋" w:eastAsia="仿宋"/>
          <w:bCs/>
          <w:color w:val="000000"/>
          <w:sz w:val="32"/>
          <w:szCs w:val="32"/>
        </w:rPr>
        <w:t>（三）抓实寺庙公共服务工作</w:t>
      </w:r>
      <w:bookmarkEnd w:id="34"/>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5" w:name="_Toc23978"/>
      <w:r>
        <w:rPr>
          <w:rFonts w:hint="eastAsia" w:ascii="仿宋" w:hAnsi="仿宋" w:eastAsia="仿宋"/>
          <w:bCs/>
          <w:color w:val="000000"/>
          <w:sz w:val="32"/>
          <w:szCs w:val="32"/>
        </w:rPr>
        <w:t>1、推进寺庙民生项目续建工程。2、实施寺庙地质灾害治理。3、实施寺庙入户路建设。4、实施寺庙网围栏建设。</w:t>
      </w:r>
      <w:bookmarkEnd w:id="35"/>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6" w:name="_Toc14827"/>
      <w:r>
        <w:rPr>
          <w:rFonts w:hint="eastAsia" w:ascii="仿宋" w:hAnsi="仿宋" w:eastAsia="仿宋"/>
          <w:bCs/>
          <w:color w:val="000000"/>
          <w:sz w:val="32"/>
          <w:szCs w:val="32"/>
        </w:rPr>
        <w:t>（四） 抓实寺庙环境卫生整治工作</w:t>
      </w:r>
      <w:bookmarkEnd w:id="36"/>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7" w:name="_Toc12891"/>
      <w:r>
        <w:rPr>
          <w:rFonts w:hint="eastAsia" w:ascii="仿宋" w:hAnsi="仿宋" w:eastAsia="仿宋"/>
          <w:bCs/>
          <w:color w:val="000000"/>
          <w:sz w:val="32"/>
          <w:szCs w:val="32"/>
        </w:rPr>
        <w:t>(五）抓实寺庙消防安全工作</w:t>
      </w:r>
      <w:bookmarkEnd w:id="37"/>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    </w:t>
      </w:r>
      <w:bookmarkStart w:id="38" w:name="_Toc25696"/>
      <w:r>
        <w:rPr>
          <w:rFonts w:hint="eastAsia" w:ascii="仿宋" w:hAnsi="仿宋" w:eastAsia="仿宋"/>
          <w:bCs/>
          <w:color w:val="000000"/>
          <w:sz w:val="32"/>
          <w:szCs w:val="32"/>
        </w:rPr>
        <w:t>（六）抓实寺庙维护稳定工作</w:t>
      </w:r>
      <w:bookmarkEnd w:id="38"/>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39" w:name="_Toc29574"/>
      <w:r>
        <w:rPr>
          <w:rFonts w:hint="eastAsia" w:ascii="仿宋" w:hAnsi="仿宋" w:eastAsia="仿宋"/>
          <w:bCs/>
          <w:color w:val="000000"/>
          <w:sz w:val="32"/>
          <w:szCs w:val="32"/>
        </w:rPr>
        <w:t>（七）积极引导宗教界参与扶贫济困，助推脱贫攻坚</w:t>
      </w:r>
      <w:bookmarkEnd w:id="3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40" w:name="_Toc12520"/>
      <w:r>
        <w:rPr>
          <w:rFonts w:hint="eastAsia" w:ascii="仿宋" w:hAnsi="仿宋" w:eastAsia="仿宋"/>
          <w:bCs/>
          <w:color w:val="000000"/>
          <w:sz w:val="32"/>
          <w:szCs w:val="32"/>
        </w:rPr>
        <w:t>（八）有力推进党风廉政建设和反腐败工作</w:t>
      </w:r>
      <w:bookmarkEnd w:id="40"/>
    </w:p>
    <w:p>
      <w:pPr>
        <w:pStyle w:val="3"/>
        <w:rPr>
          <w:rStyle w:val="23"/>
          <w:b w:val="0"/>
          <w:bCs w:val="0"/>
        </w:rPr>
      </w:pPr>
      <w:bookmarkStart w:id="41" w:name="_Toc15396601"/>
      <w:bookmarkStart w:id="42" w:name="_Toc15377200"/>
      <w:bookmarkStart w:id="43" w:name="_Toc79163605"/>
      <w:bookmarkStart w:id="44" w:name="_Toc7916385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41"/>
      <w:bookmarkEnd w:id="42"/>
      <w:bookmarkEnd w:id="43"/>
      <w:bookmarkEnd w:id="44"/>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麦洼寺管会下属五科一中心，包括教务管理科、宣传教育科、财务管理科、公共服务中心、治安消防科、办公室，二级单位0个，其中行政单位0个，参照公务员法管理的事业单位0个，其他事业单位0个。</w:t>
      </w:r>
    </w:p>
    <w:p>
      <w:pPr>
        <w:pStyle w:val="6"/>
        <w:adjustRightInd w:val="0"/>
        <w:snapToGrid w:val="0"/>
        <w:spacing w:before="93" w:line="600" w:lineRule="exact"/>
        <w:ind w:firstLine="672" w:firstLineChars="210"/>
        <w:rPr>
          <w:rFonts w:ascii="仿宋" w:hAnsi="仿宋" w:eastAsia="仿宋"/>
          <w:color w:val="000000"/>
          <w:sz w:val="32"/>
          <w:szCs w:val="32"/>
          <w:lang w:eastAsia="zh-CN"/>
        </w:rPr>
      </w:pPr>
      <w:r>
        <w:rPr>
          <w:rFonts w:hint="eastAsia" w:ascii="仿宋" w:hAnsi="仿宋" w:eastAsia="仿宋"/>
          <w:color w:val="000000"/>
          <w:sz w:val="32"/>
          <w:szCs w:val="32"/>
        </w:rPr>
        <w:t>纳入</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无</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2"/>
          <w:rFonts w:ascii="黑体" w:hAnsi="黑体" w:eastAsia="黑体"/>
          <w:b w:val="0"/>
          <w:bCs w:val="0"/>
        </w:rPr>
      </w:pPr>
      <w:bookmarkStart w:id="45" w:name="_Toc15396602"/>
      <w:bookmarkStart w:id="46" w:name="_Toc15377204"/>
      <w:bookmarkStart w:id="47" w:name="_Toc79163609"/>
      <w:bookmarkStart w:id="48" w:name="_Toc79163859"/>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45"/>
      <w:bookmarkEnd w:id="46"/>
      <w:bookmarkEnd w:id="47"/>
      <w:bookmarkEnd w:id="48"/>
    </w:p>
    <w:p/>
    <w:p>
      <w:pPr>
        <w:pStyle w:val="33"/>
        <w:numPr>
          <w:ilvl w:val="0"/>
          <w:numId w:val="1"/>
        </w:numPr>
        <w:spacing w:line="600" w:lineRule="exact"/>
        <w:ind w:firstLineChars="0"/>
        <w:outlineLvl w:val="1"/>
        <w:rPr>
          <w:rStyle w:val="23"/>
          <w:rFonts w:ascii="黑体" w:hAnsi="黑体" w:eastAsia="黑体"/>
          <w:b w:val="0"/>
        </w:rPr>
      </w:pPr>
      <w:bookmarkStart w:id="49" w:name="_Toc79163860"/>
      <w:bookmarkStart w:id="50" w:name="_Toc15377205"/>
      <w:bookmarkStart w:id="51" w:name="_Toc79163610"/>
      <w:bookmarkStart w:id="52" w:name="_Toc15396603"/>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49"/>
      <w:bookmarkEnd w:id="50"/>
      <w:bookmarkEnd w:id="51"/>
      <w:bookmarkEnd w:id="52"/>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47625</wp:posOffset>
            </wp:positionH>
            <wp:positionV relativeFrom="paragraph">
              <wp:posOffset>1268095</wp:posOffset>
            </wp:positionV>
            <wp:extent cx="5210175" cy="2114550"/>
            <wp:effectExtent l="19050" t="0" r="9525" b="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2020年度收入总计298.1、支出总计322万元。与2019年相比，减少29.39万元，下降9.9</w:t>
      </w:r>
      <w:r>
        <w:rPr>
          <w:rFonts w:ascii="仿宋" w:hAnsi="仿宋" w:eastAsia="仿宋"/>
          <w:color w:val="000000"/>
          <w:sz w:val="32"/>
          <w:szCs w:val="32"/>
        </w:rPr>
        <w:t>%</w:t>
      </w:r>
      <w:r>
        <w:rPr>
          <w:rFonts w:hint="eastAsia" w:ascii="仿宋" w:hAnsi="仿宋" w:eastAsia="仿宋"/>
          <w:color w:val="000000"/>
          <w:sz w:val="32"/>
          <w:szCs w:val="32"/>
        </w:rPr>
        <w:t>。支出总计收入增加10.34万元，上涨3.21</w:t>
      </w:r>
      <w:r>
        <w:rPr>
          <w:rFonts w:ascii="仿宋" w:hAnsi="仿宋" w:eastAsia="仿宋"/>
          <w:color w:val="000000"/>
          <w:sz w:val="32"/>
          <w:szCs w:val="32"/>
        </w:rPr>
        <w:t>%</w:t>
      </w:r>
      <w:r>
        <w:rPr>
          <w:rFonts w:hint="eastAsia" w:ascii="仿宋" w:hAnsi="仿宋" w:eastAsia="仿宋"/>
          <w:color w:val="000000"/>
          <w:sz w:val="32"/>
          <w:szCs w:val="32"/>
        </w:rPr>
        <w:t>、主要变动原因是财返减少。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53" w:name="_Toc15396604"/>
      <w:bookmarkStart w:id="54" w:name="_Toc15377206"/>
      <w:bookmarkStart w:id="55" w:name="_Toc79163611"/>
      <w:bookmarkStart w:id="56" w:name="_Toc79163861"/>
      <w:r>
        <w:rPr>
          <w:rFonts w:hint="eastAsia" w:ascii="黑体" w:hAnsi="黑体" w:eastAsia="黑体"/>
          <w:color w:val="000000"/>
          <w:sz w:val="32"/>
          <w:szCs w:val="32"/>
        </w:rPr>
        <w:t>收</w:t>
      </w:r>
      <w:r>
        <w:rPr>
          <w:rStyle w:val="23"/>
          <w:rFonts w:hint="eastAsia" w:ascii="黑体" w:hAnsi="黑体" w:eastAsia="黑体"/>
          <w:b w:val="0"/>
        </w:rPr>
        <w:t>入决算情况说明</w:t>
      </w:r>
      <w:bookmarkEnd w:id="53"/>
      <w:bookmarkEnd w:id="54"/>
      <w:bookmarkEnd w:id="55"/>
      <w:bookmarkEnd w:id="5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年本年收入合计298.1万元，其中：一般公共预算财政拨款收入298.1万元，占100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FF0000"/>
          <w:sz w:val="32"/>
          <w:szCs w:val="32"/>
        </w:rPr>
      </w:pPr>
      <w:r>
        <w:rPr>
          <w:rFonts w:hint="eastAsia" w:ascii="仿宋" w:hAnsi="仿宋" w:eastAsia="仿宋"/>
          <w:color w:val="FF0000"/>
          <w:sz w:val="32"/>
          <w:szCs w:val="32"/>
        </w:rPr>
        <w:t>（注：数据来源于财决</w:t>
      </w:r>
      <w:r>
        <w:rPr>
          <w:rFonts w:ascii="仿宋" w:hAnsi="仿宋" w:eastAsia="仿宋"/>
          <w:color w:val="FF0000"/>
          <w:sz w:val="32"/>
          <w:szCs w:val="32"/>
        </w:rPr>
        <w:t>01</w:t>
      </w:r>
      <w:r>
        <w:rPr>
          <w:rFonts w:hint="eastAsia" w:ascii="仿宋" w:hAnsi="仿宋" w:eastAsia="仿宋"/>
          <w:color w:val="FF0000"/>
          <w:sz w:val="32"/>
          <w:szCs w:val="32"/>
        </w:rPr>
        <w:t>表）</w:t>
      </w:r>
    </w:p>
    <w:p>
      <w:pPr>
        <w:spacing w:line="600" w:lineRule="exact"/>
        <w:ind w:firstLine="640" w:firstLineChars="200"/>
        <w:rPr>
          <w:rFonts w:ascii="仿宋" w:hAnsi="仿宋" w:eastAsia="仿宋"/>
          <w:color w:val="000000"/>
          <w:sz w:val="32"/>
          <w:szCs w:val="32"/>
        </w:rPr>
      </w:pPr>
      <w:r>
        <w:rPr>
          <w:rFonts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180975</wp:posOffset>
            </wp:positionV>
            <wp:extent cx="4319270" cy="2163445"/>
            <wp:effectExtent l="19050" t="0" r="24130" b="825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3"/>
        <w:numPr>
          <w:ilvl w:val="0"/>
          <w:numId w:val="1"/>
        </w:numPr>
        <w:spacing w:line="600" w:lineRule="exact"/>
        <w:ind w:firstLineChars="0"/>
        <w:outlineLvl w:val="1"/>
        <w:rPr>
          <w:rStyle w:val="23"/>
          <w:rFonts w:ascii="黑体" w:hAnsi="黑体" w:eastAsia="黑体"/>
          <w:b w:val="0"/>
        </w:rPr>
      </w:pPr>
      <w:bookmarkStart w:id="57" w:name="_Toc15377207"/>
      <w:bookmarkStart w:id="58" w:name="_Toc79163612"/>
      <w:bookmarkStart w:id="59" w:name="_Toc15396605"/>
      <w:bookmarkStart w:id="60" w:name="_Toc79163862"/>
      <w:r>
        <w:rPr>
          <w:rFonts w:hint="eastAsia" w:ascii="黑体" w:hAnsi="黑体" w:eastAsia="黑体"/>
          <w:color w:val="000000"/>
          <w:sz w:val="32"/>
          <w:szCs w:val="32"/>
        </w:rPr>
        <w:t>支</w:t>
      </w:r>
      <w:r>
        <w:rPr>
          <w:rStyle w:val="23"/>
          <w:rFonts w:hint="eastAsia" w:ascii="黑体" w:hAnsi="黑体" w:eastAsia="黑体"/>
          <w:b w:val="0"/>
        </w:rPr>
        <w:t>出决算情况说明</w:t>
      </w:r>
      <w:bookmarkEnd w:id="57"/>
      <w:bookmarkEnd w:id="58"/>
      <w:bookmarkEnd w:id="59"/>
      <w:bookmarkEnd w:id="60"/>
    </w:p>
    <w:p>
      <w:pPr>
        <w:spacing w:line="60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1312" behindDoc="0" locked="0" layoutInCell="1" allowOverlap="1">
            <wp:simplePos x="0" y="0"/>
            <wp:positionH relativeFrom="column">
              <wp:posOffset>600075</wp:posOffset>
            </wp:positionH>
            <wp:positionV relativeFrom="paragraph">
              <wp:posOffset>2047875</wp:posOffset>
            </wp:positionV>
            <wp:extent cx="4146550" cy="2705100"/>
            <wp:effectExtent l="19050" t="0" r="25400" b="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_GB2312" w:eastAsia="仿宋_GB2312"/>
          <w:sz w:val="32"/>
          <w:szCs w:val="32"/>
        </w:rPr>
        <w:t>2020</w:t>
      </w:r>
      <w:r>
        <w:rPr>
          <w:rFonts w:hint="eastAsia" w:ascii="仿宋_GB2312" w:eastAsia="仿宋_GB2312"/>
          <w:sz w:val="32"/>
          <w:szCs w:val="32"/>
        </w:rPr>
        <w:t>年本年支出合计322万元，其中：基本支出297.5万元，占92.4</w:t>
      </w:r>
      <w:r>
        <w:rPr>
          <w:rFonts w:ascii="仿宋_GB2312" w:eastAsia="仿宋_GB2312"/>
          <w:sz w:val="32"/>
          <w:szCs w:val="32"/>
        </w:rPr>
        <w:t>%</w:t>
      </w:r>
      <w:r>
        <w:rPr>
          <w:rFonts w:hint="eastAsia" w:ascii="仿宋_GB2312" w:eastAsia="仿宋_GB2312"/>
          <w:sz w:val="32"/>
          <w:szCs w:val="32"/>
        </w:rPr>
        <w:t>；项目支出24.5万元，占7.6</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3"/>
          <w:rFonts w:ascii="黑体" w:hAnsi="黑体" w:eastAsia="黑体"/>
          <w:b w:val="0"/>
        </w:rPr>
      </w:pPr>
      <w:bookmarkStart w:id="61" w:name="_Toc15396606"/>
      <w:bookmarkStart w:id="62" w:name="_Toc15377208"/>
      <w:bookmarkStart w:id="63" w:name="_Toc79163613"/>
      <w:bookmarkStart w:id="64" w:name="_Toc79163863"/>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61"/>
      <w:bookmarkEnd w:id="62"/>
      <w:bookmarkEnd w:id="63"/>
      <w:bookmarkEnd w:id="64"/>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47625</wp:posOffset>
            </wp:positionH>
            <wp:positionV relativeFrom="paragraph">
              <wp:posOffset>1268095</wp:posOffset>
            </wp:positionV>
            <wp:extent cx="5210175" cy="2114550"/>
            <wp:effectExtent l="19050" t="0" r="9525" b="0"/>
            <wp:wrapTopAndBottom/>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2020年度财政拨款收入总计298.1、支出总计322万元。与2019年相比，减少29.39万元，下降9.9</w:t>
      </w:r>
      <w:r>
        <w:rPr>
          <w:rFonts w:ascii="仿宋" w:hAnsi="仿宋" w:eastAsia="仿宋"/>
          <w:color w:val="000000"/>
          <w:sz w:val="32"/>
          <w:szCs w:val="32"/>
        </w:rPr>
        <w:t>%</w:t>
      </w:r>
      <w:r>
        <w:rPr>
          <w:rFonts w:hint="eastAsia" w:ascii="仿宋" w:hAnsi="仿宋" w:eastAsia="仿宋"/>
          <w:color w:val="000000"/>
          <w:sz w:val="32"/>
          <w:szCs w:val="32"/>
        </w:rPr>
        <w:t>。支出总计收入增加10.34万元，上涨3.21</w:t>
      </w:r>
      <w:r>
        <w:rPr>
          <w:rFonts w:ascii="仿宋" w:hAnsi="仿宋" w:eastAsia="仿宋"/>
          <w:color w:val="000000"/>
          <w:sz w:val="32"/>
          <w:szCs w:val="32"/>
        </w:rPr>
        <w:t>%</w:t>
      </w:r>
      <w:r>
        <w:rPr>
          <w:rFonts w:hint="eastAsia" w:ascii="仿宋" w:hAnsi="仿宋" w:eastAsia="仿宋"/>
          <w:color w:val="000000"/>
          <w:sz w:val="32"/>
          <w:szCs w:val="32"/>
        </w:rPr>
        <w:t>、主要变动原因是财返减少。</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（注：除国有资本经营预算外，数据来源于财决</w:t>
      </w:r>
      <w:r>
        <w:rPr>
          <w:rFonts w:ascii="仿宋" w:hAnsi="仿宋" w:eastAsia="仿宋"/>
          <w:b/>
          <w:color w:val="FF0000"/>
          <w:sz w:val="32"/>
          <w:szCs w:val="32"/>
        </w:rPr>
        <w:t>Z01-1</w:t>
      </w:r>
      <w:r>
        <w:rPr>
          <w:rFonts w:hint="eastAsia" w:ascii="仿宋" w:hAnsi="仿宋" w:eastAsia="仿宋"/>
          <w:b/>
          <w:color w:val="FF0000"/>
          <w:sz w:val="32"/>
          <w:szCs w:val="32"/>
        </w:rPr>
        <w:t>表，口径为“总计”数</w:t>
      </w:r>
      <w:r>
        <w:rPr>
          <w:rFonts w:ascii="仿宋" w:hAnsi="仿宋" w:eastAsia="仿宋"/>
          <w:b/>
          <w:color w:val="FF0000"/>
          <w:sz w:val="32"/>
          <w:szCs w:val="32"/>
        </w:rPr>
        <w:t>+</w:t>
      </w:r>
      <w:r>
        <w:rPr>
          <w:rFonts w:hint="eastAsia" w:ascii="仿宋" w:hAnsi="仿宋" w:eastAsia="仿宋"/>
          <w:b/>
          <w:color w:val="FF0000"/>
          <w:sz w:val="32"/>
          <w:szCs w:val="32"/>
        </w:rPr>
        <w:t>国有资本经营预算。）</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3"/>
          <w:rFonts w:ascii="黑体" w:hAnsi="黑体" w:eastAsia="黑体"/>
          <w:b w:val="0"/>
        </w:rPr>
      </w:pPr>
      <w:bookmarkStart w:id="65" w:name="_Toc15377209"/>
      <w:bookmarkStart w:id="66" w:name="_Toc15396607"/>
      <w:bookmarkStart w:id="67" w:name="_Toc79163614"/>
      <w:bookmarkStart w:id="68"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65"/>
      <w:bookmarkEnd w:id="66"/>
      <w:bookmarkEnd w:id="67"/>
      <w:bookmarkEnd w:id="68"/>
    </w:p>
    <w:p>
      <w:pPr>
        <w:spacing w:line="600" w:lineRule="exact"/>
        <w:ind w:firstLine="643" w:firstLineChars="200"/>
        <w:outlineLvl w:val="2"/>
        <w:rPr>
          <w:rFonts w:ascii="仿宋" w:hAnsi="仿宋" w:eastAsia="仿宋"/>
          <w:b/>
          <w:color w:val="000000"/>
          <w:sz w:val="32"/>
          <w:szCs w:val="32"/>
        </w:rPr>
      </w:pPr>
      <w:bookmarkStart w:id="69" w:name="_Toc15377210"/>
      <w:bookmarkStart w:id="70" w:name="_Toc79163615"/>
      <w:bookmarkStart w:id="71" w:name="_Toc79163865"/>
      <w:r>
        <w:rPr>
          <w:rFonts w:hint="eastAsia" w:ascii="仿宋" w:hAnsi="仿宋" w:eastAsia="仿宋"/>
          <w:b/>
          <w:color w:val="000000"/>
          <w:sz w:val="32"/>
          <w:szCs w:val="32"/>
        </w:rPr>
        <w:t>（一）一般公共预算财政拨款支出决算总体情况</w:t>
      </w:r>
      <w:bookmarkEnd w:id="69"/>
      <w:bookmarkEnd w:id="70"/>
      <w:bookmarkEnd w:id="7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年一般公共预算财政拨款支出322万元，占本年支出合计的100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年相比，一般公共预算财政拨款增加10.34万元，上涨3.21</w:t>
      </w:r>
      <w:r>
        <w:rPr>
          <w:rFonts w:ascii="仿宋" w:hAnsi="仿宋" w:eastAsia="仿宋"/>
          <w:color w:val="000000"/>
          <w:sz w:val="32"/>
          <w:szCs w:val="32"/>
        </w:rPr>
        <w:t>%</w:t>
      </w:r>
      <w:r>
        <w:rPr>
          <w:rFonts w:hint="eastAsia" w:ascii="仿宋" w:hAnsi="仿宋" w:eastAsia="仿宋"/>
          <w:color w:val="000000"/>
          <w:sz w:val="32"/>
          <w:szCs w:val="32"/>
        </w:rPr>
        <w:t>。主要变动原因是去年财返用出。</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714375</wp:posOffset>
            </wp:positionH>
            <wp:positionV relativeFrom="paragraph">
              <wp:posOffset>276225</wp:posOffset>
            </wp:positionV>
            <wp:extent cx="3907790" cy="1915160"/>
            <wp:effectExtent l="19050" t="0" r="16510" b="889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72" w:name="_Toc79163866"/>
      <w:bookmarkStart w:id="73" w:name="_Toc15377211"/>
      <w:bookmarkStart w:id="74" w:name="_Toc79163616"/>
      <w:r>
        <w:rPr>
          <w:rFonts w:hint="eastAsia" w:ascii="仿宋" w:hAnsi="仿宋" w:eastAsia="仿宋"/>
          <w:b/>
          <w:color w:val="000000"/>
          <w:sz w:val="32"/>
          <w:szCs w:val="32"/>
        </w:rPr>
        <w:t>（二）一般公共预算财政拨款支出决算结构情况</w:t>
      </w:r>
      <w:bookmarkEnd w:id="72"/>
      <w:bookmarkEnd w:id="73"/>
      <w:bookmarkEnd w:id="74"/>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485775</wp:posOffset>
            </wp:positionH>
            <wp:positionV relativeFrom="paragraph">
              <wp:posOffset>2638425</wp:posOffset>
            </wp:positionV>
            <wp:extent cx="4364990" cy="2200910"/>
            <wp:effectExtent l="19050" t="0" r="16510" b="889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年一般公共预算财政拨款支出322万元，主要用于以下方面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支出233.1万元，占72.39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文化旅游体育与传媒（类）支出23.67万元，占7.35</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支出33.92万元，占10.53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12.79万元，占3.97</w:t>
      </w:r>
      <w:r>
        <w:rPr>
          <w:rFonts w:ascii="仿宋" w:hAnsi="仿宋" w:eastAsia="仿宋"/>
          <w:color w:val="000000"/>
          <w:sz w:val="32"/>
          <w:szCs w:val="32"/>
        </w:rPr>
        <w:t>%</w:t>
      </w:r>
      <w:r>
        <w:rPr>
          <w:rFonts w:hint="eastAsia" w:ascii="仿宋" w:hAnsi="仿宋" w:eastAsia="仿宋"/>
          <w:color w:val="000000"/>
          <w:sz w:val="32"/>
          <w:szCs w:val="32"/>
        </w:rPr>
        <w:t>；住房保障支出18.49万元，占5.76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75" w:name="_Toc79163867"/>
      <w:bookmarkStart w:id="76" w:name="_Toc79163617"/>
      <w:bookmarkStart w:id="77" w:name="_Toc15377212"/>
      <w:r>
        <w:rPr>
          <w:rFonts w:hint="eastAsia" w:ascii="仿宋" w:hAnsi="仿宋" w:eastAsia="仿宋"/>
          <w:b/>
          <w:color w:val="000000"/>
          <w:sz w:val="32"/>
          <w:szCs w:val="32"/>
        </w:rPr>
        <w:t>（三）一般公共预算财政拨款支出决算具体情况</w:t>
      </w:r>
      <w:bookmarkEnd w:id="75"/>
      <w:bookmarkEnd w:id="76"/>
      <w:bookmarkEnd w:id="77"/>
    </w:p>
    <w:p>
      <w:pPr>
        <w:spacing w:line="600" w:lineRule="exact"/>
        <w:ind w:firstLine="643" w:firstLineChars="200"/>
        <w:rPr>
          <w:rFonts w:ascii="仿宋_GB2312" w:eastAsia="仿宋_GB2312"/>
          <w:b/>
          <w:bCs/>
          <w:sz w:val="32"/>
          <w:szCs w:val="32"/>
        </w:rPr>
      </w:pPr>
      <w:bookmarkStart w:id="78" w:name="_Toc15377213"/>
      <w:bookmarkStart w:id="79" w:name="_Toc15378460"/>
      <w:bookmarkStart w:id="80" w:name="_Toc15377444"/>
      <w:r>
        <w:rPr>
          <w:rFonts w:ascii="仿宋_GB2312" w:eastAsia="仿宋_GB2312"/>
          <w:b/>
          <w:bCs/>
          <w:sz w:val="32"/>
          <w:szCs w:val="32"/>
        </w:rPr>
        <w:t>2020</w:t>
      </w:r>
      <w:r>
        <w:rPr>
          <w:rFonts w:hint="eastAsia" w:ascii="仿宋_GB2312" w:eastAsia="仿宋_GB2312"/>
          <w:b/>
          <w:bCs/>
          <w:sz w:val="32"/>
          <w:szCs w:val="32"/>
        </w:rPr>
        <w:t>年一般公共预算支出决算数为322，完成预算100</w:t>
      </w:r>
      <w:r>
        <w:rPr>
          <w:rFonts w:ascii="仿宋_GB2312" w:eastAsia="仿宋_GB2312"/>
          <w:b/>
          <w:bCs/>
          <w:sz w:val="32"/>
          <w:szCs w:val="32"/>
        </w:rPr>
        <w:t>%</w:t>
      </w:r>
      <w:r>
        <w:rPr>
          <w:rFonts w:hint="eastAsia" w:ascii="仿宋_GB2312" w:eastAsia="仿宋_GB2312"/>
          <w:b/>
          <w:bCs/>
          <w:sz w:val="32"/>
          <w:szCs w:val="32"/>
        </w:rPr>
        <w:t>。其中：</w:t>
      </w:r>
      <w:bookmarkEnd w:id="78"/>
      <w:bookmarkEnd w:id="79"/>
      <w:bookmarkEnd w:id="80"/>
    </w:p>
    <w:p>
      <w:pPr>
        <w:spacing w:line="600" w:lineRule="exact"/>
        <w:ind w:firstLine="643" w:firstLineChars="200"/>
        <w:rPr>
          <w:rFonts w:ascii="仿宋" w:hAnsi="仿宋" w:eastAsia="仿宋"/>
          <w:b/>
          <w:color w:val="000000"/>
          <w:sz w:val="32"/>
          <w:szCs w:val="32"/>
        </w:rPr>
      </w:pPr>
      <w:r>
        <w:rPr>
          <w:rStyle w:val="20"/>
          <w:rFonts w:ascii="仿宋" w:hAnsi="仿宋" w:eastAsia="仿宋"/>
          <w:bCs/>
          <w:color w:val="000000"/>
          <w:sz w:val="32"/>
          <w:szCs w:val="32"/>
        </w:rPr>
        <w:t>1.</w:t>
      </w:r>
      <w:r>
        <w:rPr>
          <w:rStyle w:val="20"/>
          <w:rFonts w:hint="eastAsia" w:ascii="仿宋" w:hAnsi="仿宋" w:eastAsia="仿宋"/>
          <w:bCs/>
          <w:color w:val="000000"/>
          <w:sz w:val="32"/>
          <w:szCs w:val="32"/>
        </w:rPr>
        <w:t>一般公共服务（类）统战事务（款）宗教事务（项）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支出决算为160.42万元，完成预算100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rPr>
        <w:t>2</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文化旅游体育与传媒（类）文化和旅游（款）其他文化和旅游（项）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支出决算为23.67万元，完成预算100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3</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社会保障和就业（类）行政事业单位养老支出（款）机关事业单位基本养老保险缴费支出（项）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支出决算为23.67万元，完成预算100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rPr>
        <w:t>4. 社会保障和就业（类）行政事业单位养老支出（款）机关事业单位职业年金缴费支出（项）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支出决算为10.25万元，完成预算100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5</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（类）公共卫生（款）重大公共卫生服务（项）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支出决算为0.2万元，完成预算100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6</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（类）公共卫生（款）其他公共卫生服务（项）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支出决算为0.6万元，完成预算100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7</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（类）行政事业单位医疗（款）行政单位医疗（项）</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支出决算为10.14万元，完成预算100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8</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（类）行政事业单位医疗（款）公务员医疗（项）：</w:t>
      </w:r>
      <w:r>
        <w:rPr>
          <w:rStyle w:val="20"/>
          <w:rFonts w:hint="eastAsia" w:ascii="仿宋" w:hAnsi="仿宋" w:eastAsia="仿宋"/>
          <w:b w:val="0"/>
          <w:bCs/>
          <w:color w:val="000000"/>
          <w:sz w:val="32"/>
          <w:szCs w:val="32"/>
        </w:rPr>
        <w:t>支出决算为1.85万元，完成预算100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rPr>
        <w:t>9</w:t>
      </w:r>
      <w:r>
        <w:rPr>
          <w:rStyle w:val="20"/>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0"/>
          <w:rFonts w:hint="eastAsia" w:ascii="仿宋" w:hAnsi="仿宋" w:eastAsia="仿宋"/>
          <w:bCs/>
          <w:color w:val="000000"/>
          <w:sz w:val="32"/>
          <w:szCs w:val="32"/>
        </w:rPr>
        <w:t>（类）住房改革支出（款）住房公积金（项）：</w:t>
      </w:r>
      <w:r>
        <w:rPr>
          <w:rStyle w:val="20"/>
          <w:rFonts w:hint="eastAsia" w:ascii="仿宋" w:hAnsi="仿宋" w:eastAsia="仿宋"/>
          <w:b w:val="0"/>
          <w:bCs/>
          <w:color w:val="000000"/>
          <w:sz w:val="32"/>
          <w:szCs w:val="32"/>
        </w:rPr>
        <w:t>支出决算为18.49万元，完成预算100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表，罗列全部功能分类科目至项级。上述“预算”口径为</w:t>
      </w:r>
      <w:r>
        <w:rPr>
          <w:rFonts w:hint="eastAsia" w:ascii="仿宋" w:hAnsi="仿宋" w:eastAsia="仿宋"/>
          <w:b/>
          <w:color w:val="FF0000"/>
          <w:sz w:val="32"/>
          <w:szCs w:val="32"/>
          <w:highlight w:val="yellow"/>
        </w:rPr>
        <w:t>调整预算数</w:t>
      </w:r>
      <w:r>
        <w:rPr>
          <w:rFonts w:hint="eastAsia" w:ascii="仿宋" w:hAnsi="仿宋" w:eastAsia="仿宋"/>
          <w:b/>
          <w:color w:val="FF0000"/>
          <w:sz w:val="32"/>
          <w:szCs w:val="32"/>
        </w:rPr>
        <w:t>。增减变动原因为决算数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和调整预算数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3"/>
        </w:rPr>
      </w:pPr>
      <w:bookmarkStart w:id="81" w:name="_Toc15396608"/>
      <w:bookmarkStart w:id="82" w:name="_Toc15377214"/>
      <w:bookmarkStart w:id="83" w:name="_Toc79163618"/>
      <w:bookmarkStart w:id="84"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81"/>
      <w:bookmarkEnd w:id="82"/>
      <w:bookmarkEnd w:id="83"/>
      <w:bookmarkEnd w:id="84"/>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年一般公共预算财政拨款基本支出273.49万元，其中：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229.84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43.65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07</w:t>
      </w:r>
      <w:r>
        <w:rPr>
          <w:rFonts w:hint="eastAsia" w:ascii="仿宋" w:hAnsi="仿宋" w:eastAsia="仿宋"/>
          <w:b/>
          <w:color w:val="FF0000"/>
          <w:sz w:val="32"/>
          <w:szCs w:val="32"/>
        </w:rPr>
        <w:t>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3"/>
          <w:rFonts w:ascii="黑体" w:hAnsi="黑体" w:eastAsia="黑体"/>
          <w:b w:val="0"/>
        </w:rPr>
      </w:pPr>
      <w:bookmarkStart w:id="85" w:name="_Toc15396609"/>
      <w:bookmarkStart w:id="86" w:name="_Toc15377215"/>
      <w:bookmarkStart w:id="87" w:name="_Toc79163619"/>
      <w:bookmarkStart w:id="88" w:name="_Toc7916386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85"/>
      <w:bookmarkEnd w:id="86"/>
      <w:bookmarkEnd w:id="87"/>
      <w:bookmarkEnd w:id="88"/>
    </w:p>
    <w:p>
      <w:pPr>
        <w:spacing w:line="600" w:lineRule="exact"/>
        <w:ind w:firstLine="640"/>
        <w:outlineLvl w:val="2"/>
        <w:rPr>
          <w:rFonts w:ascii="仿宋" w:hAnsi="仿宋" w:eastAsia="仿宋"/>
          <w:b/>
          <w:color w:val="000000"/>
          <w:sz w:val="32"/>
          <w:szCs w:val="32"/>
        </w:rPr>
      </w:pPr>
      <w:bookmarkStart w:id="89" w:name="_Toc15377216"/>
      <w:bookmarkStart w:id="90" w:name="_Toc79163620"/>
      <w:bookmarkStart w:id="91" w:name="_Toc79163870"/>
      <w:r>
        <w:rPr>
          <w:rFonts w:hint="eastAsia" w:ascii="仿宋" w:hAnsi="仿宋" w:eastAsia="仿宋"/>
          <w:b/>
          <w:color w:val="000000"/>
          <w:sz w:val="32"/>
          <w:szCs w:val="32"/>
        </w:rPr>
        <w:t>（一）“三公”经费财政拨款支出决算总体情况说明</w:t>
      </w:r>
      <w:bookmarkEnd w:id="89"/>
      <w:bookmarkEnd w:id="90"/>
      <w:bookmarkEnd w:id="9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年“三公”经费财政拨款支出决算为5.1万元，完成预算100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（注：上述“预算”口径为调整预算数，包括政府性基金支出决算情况。）</w:t>
      </w:r>
    </w:p>
    <w:p>
      <w:pPr>
        <w:spacing w:line="600" w:lineRule="exact"/>
        <w:ind w:firstLine="640"/>
        <w:outlineLvl w:val="2"/>
        <w:rPr>
          <w:rFonts w:ascii="仿宋" w:hAnsi="仿宋" w:eastAsia="仿宋"/>
          <w:b/>
          <w:color w:val="000000"/>
          <w:sz w:val="32"/>
          <w:szCs w:val="32"/>
        </w:rPr>
      </w:pPr>
      <w:bookmarkStart w:id="92" w:name="_Toc15377217"/>
      <w:bookmarkStart w:id="93" w:name="_Toc79163621"/>
      <w:bookmarkStart w:id="94" w:name="_Toc79163871"/>
      <w:r>
        <w:rPr>
          <w:rFonts w:hint="eastAsia" w:ascii="仿宋" w:hAnsi="仿宋" w:eastAsia="仿宋"/>
          <w:b/>
          <w:color w:val="000000"/>
          <w:sz w:val="32"/>
          <w:szCs w:val="32"/>
        </w:rPr>
        <w:t>（二）“三公”经费财政拨款支出决算具体情况说明</w:t>
      </w:r>
      <w:bookmarkEnd w:id="92"/>
      <w:bookmarkEnd w:id="93"/>
      <w:bookmarkEnd w:id="9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；公务用车购置及运行维护费支出决算4.6万元，占90.2</w:t>
      </w:r>
      <w:r>
        <w:rPr>
          <w:rFonts w:ascii="仿宋" w:hAnsi="仿宋" w:eastAsia="仿宋"/>
          <w:color w:val="000000"/>
          <w:sz w:val="32"/>
          <w:szCs w:val="32"/>
        </w:rPr>
        <w:t>%</w:t>
      </w:r>
      <w:r>
        <w:rPr>
          <w:rFonts w:hint="eastAsia" w:ascii="仿宋" w:hAnsi="仿宋" w:eastAsia="仿宋"/>
          <w:color w:val="000000"/>
          <w:sz w:val="32"/>
          <w:szCs w:val="32"/>
        </w:rPr>
        <w:t>；公务接待费支出决算0.46万元，占9.8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年无变化。</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4.6万元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2018</w:t>
      </w:r>
      <w:r>
        <w:rPr>
          <w:rFonts w:hint="eastAsia" w:ascii="仿宋_GB2312" w:eastAsia="仿宋_GB2312"/>
          <w:color w:val="000000"/>
          <w:sz w:val="32"/>
          <w:szCs w:val="32"/>
        </w:rPr>
        <w:t>年减少1.86万元，下降28.79</w:t>
      </w:r>
      <w:r>
        <w:rPr>
          <w:rFonts w:ascii="仿宋_GB2312" w:eastAsia="仿宋_GB2312"/>
          <w:color w:val="000000"/>
          <w:sz w:val="32"/>
          <w:szCs w:val="32"/>
        </w:rPr>
        <w:t>%</w:t>
      </w:r>
      <w:r>
        <w:rPr>
          <w:rFonts w:hint="eastAsia" w:ascii="仿宋_GB2312" w:eastAsia="仿宋_GB2312"/>
          <w:color w:val="000000"/>
          <w:sz w:val="32"/>
          <w:szCs w:val="32"/>
        </w:rPr>
        <w:t>。主要原因是厉行节约。</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4.6万元。主要用于寺管工作等所需的公务用车燃料费、维修费、过路过桥费、保险费等支出。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0.46万元，</w:t>
      </w:r>
      <w:r>
        <w:rPr>
          <w:rStyle w:val="20"/>
          <w:rFonts w:hint="eastAsia" w:ascii="仿宋" w:hAnsi="仿宋" w:eastAsia="仿宋"/>
          <w:b w:val="0"/>
          <w:bCs/>
          <w:color w:val="000000"/>
          <w:sz w:val="32"/>
          <w:szCs w:val="32"/>
        </w:rPr>
        <w:t>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年减少0.06万元，下降13.04</w:t>
      </w:r>
      <w:r>
        <w:rPr>
          <w:rFonts w:ascii="仿宋_GB2312" w:eastAsia="仿宋_GB2312"/>
          <w:color w:val="000000"/>
          <w:sz w:val="32"/>
          <w:szCs w:val="32"/>
        </w:rPr>
        <w:t>%</w:t>
      </w:r>
      <w:r>
        <w:rPr>
          <w:rFonts w:hint="eastAsia" w:ascii="仿宋_GB2312" w:eastAsia="仿宋_GB2312"/>
          <w:color w:val="000000"/>
          <w:sz w:val="32"/>
          <w:szCs w:val="32"/>
        </w:rPr>
        <w:t>。主要原因是厉行节约。其中：</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0.46</w:t>
      </w:r>
      <w:r>
        <w:rPr>
          <w:rFonts w:hint="eastAsia" w:ascii="仿宋_GB2312" w:eastAsia="仿宋_GB2312"/>
          <w:color w:val="000000"/>
          <w:sz w:val="32"/>
          <w:szCs w:val="32"/>
        </w:rPr>
        <w:t>万元，主要用于执行公务、开展业务活动开支的交通费、住宿费、用餐费等。国内公务接待5批次，30人次（不包括陪同人员），共计支出0.46万元，具体内容包括：1.与民管会进行年终总结后进行聚餐，1250元。2.一寺一策工作开展中与民管会工作餐，600元。3.在疫情防控期间的工作餐，2217元。4.开展寺庙环境卫生清理工作后与民管会一同聚餐，500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1</w:t>
      </w:r>
      <w:r>
        <w:rPr>
          <w:rFonts w:hint="eastAsia" w:ascii="仿宋_GB2312" w:eastAsia="仿宋_GB2312"/>
          <w:color w:val="000000"/>
          <w:sz w:val="32"/>
          <w:szCs w:val="32"/>
        </w:rPr>
        <w:t>万元，外事接待0批次，0人，共计支出0万元。0</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3"/>
          <w:rFonts w:ascii="黑体" w:hAnsi="黑体" w:eastAsia="黑体"/>
        </w:rPr>
      </w:pPr>
      <w:bookmarkStart w:id="95" w:name="_Toc15396610"/>
      <w:bookmarkStart w:id="96" w:name="_Toc15377218"/>
      <w:bookmarkStart w:id="97" w:name="_Toc79163622"/>
      <w:bookmarkStart w:id="98" w:name="_Toc79163872"/>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95"/>
      <w:bookmarkEnd w:id="96"/>
      <w:bookmarkEnd w:id="97"/>
      <w:bookmarkEnd w:id="9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3"/>
          <w:rFonts w:ascii="黑体" w:hAnsi="黑体" w:eastAsia="黑体"/>
          <w:b w:val="0"/>
        </w:rPr>
      </w:pPr>
      <w:bookmarkStart w:id="99" w:name="_Toc15377219"/>
      <w:bookmarkStart w:id="100" w:name="_Toc15396611"/>
      <w:bookmarkStart w:id="101" w:name="_Toc79163623"/>
      <w:bookmarkStart w:id="102" w:name="_Toc79163873"/>
      <w:r>
        <w:rPr>
          <w:rStyle w:val="23"/>
          <w:rFonts w:hint="eastAsia" w:ascii="黑体" w:hAnsi="黑体" w:eastAsia="黑体"/>
          <w:b w:val="0"/>
        </w:rPr>
        <w:t>国有资本经营预算支出决算情况说明</w:t>
      </w:r>
      <w:bookmarkEnd w:id="99"/>
      <w:bookmarkEnd w:id="100"/>
      <w:bookmarkEnd w:id="101"/>
      <w:bookmarkEnd w:id="10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3"/>
          <w:rFonts w:ascii="黑体" w:hAnsi="黑体" w:eastAsia="黑体"/>
        </w:rPr>
      </w:pPr>
      <w:bookmarkStart w:id="103" w:name="_Toc15396612"/>
      <w:bookmarkStart w:id="104" w:name="_Toc15377221"/>
      <w:bookmarkStart w:id="105" w:name="_Toc79163624"/>
      <w:bookmarkStart w:id="106"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103"/>
      <w:bookmarkEnd w:id="104"/>
      <w:bookmarkEnd w:id="105"/>
      <w:bookmarkEnd w:id="106"/>
    </w:p>
    <w:p>
      <w:pPr>
        <w:spacing w:line="600" w:lineRule="exact"/>
        <w:ind w:firstLine="643" w:firstLineChars="200"/>
        <w:outlineLvl w:val="2"/>
        <w:rPr>
          <w:rFonts w:ascii="仿宋" w:hAnsi="仿宋" w:eastAsia="仿宋"/>
          <w:color w:val="000000"/>
          <w:sz w:val="32"/>
          <w:szCs w:val="32"/>
        </w:rPr>
      </w:pPr>
      <w:bookmarkStart w:id="107" w:name="_Toc15377222"/>
      <w:bookmarkStart w:id="108" w:name="_Toc79163625"/>
      <w:bookmarkStart w:id="109" w:name="_Toc79163875"/>
      <w:r>
        <w:rPr>
          <w:rFonts w:hint="eastAsia" w:ascii="仿宋" w:hAnsi="仿宋" w:eastAsia="仿宋"/>
          <w:b/>
          <w:color w:val="000000"/>
          <w:sz w:val="32"/>
          <w:szCs w:val="32"/>
        </w:rPr>
        <w:t>（一）机关运行经费支出情况</w:t>
      </w:r>
      <w:bookmarkEnd w:id="107"/>
      <w:bookmarkEnd w:id="108"/>
      <w:bookmarkEnd w:id="10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年，麦洼寺管会机关运行经费支出41.5万元，比</w:t>
      </w:r>
      <w:r>
        <w:rPr>
          <w:rFonts w:ascii="仿宋_GB2312" w:eastAsia="仿宋_GB2312"/>
          <w:color w:val="000000"/>
          <w:sz w:val="32"/>
          <w:szCs w:val="32"/>
        </w:rPr>
        <w:t>2019</w:t>
      </w:r>
      <w:r>
        <w:rPr>
          <w:rFonts w:hint="eastAsia" w:ascii="仿宋_GB2312" w:eastAsia="仿宋_GB2312"/>
          <w:color w:val="000000"/>
          <w:sz w:val="32"/>
          <w:szCs w:val="32"/>
        </w:rPr>
        <w:t>年增加5.98万元，增长14.4</w:t>
      </w:r>
      <w:r>
        <w:rPr>
          <w:rFonts w:ascii="仿宋_GB2312" w:eastAsia="仿宋_GB2312"/>
          <w:color w:val="000000"/>
          <w:sz w:val="32"/>
          <w:szCs w:val="32"/>
        </w:rPr>
        <w:t>%</w:t>
      </w:r>
      <w:r>
        <w:rPr>
          <w:rFonts w:hint="eastAsia" w:ascii="仿宋_GB2312" w:eastAsia="仿宋_GB2312"/>
          <w:color w:val="000000"/>
          <w:sz w:val="32"/>
          <w:szCs w:val="32"/>
        </w:rPr>
        <w:t>。主要原因是一寺一策工作增加，清理寺庙人员工作增加。</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0" w:name="_Toc15377223"/>
      <w:bookmarkStart w:id="111" w:name="_Toc79163626"/>
      <w:bookmarkStart w:id="112" w:name="_Toc79163876"/>
      <w:r>
        <w:rPr>
          <w:rFonts w:hint="eastAsia" w:ascii="仿宋" w:hAnsi="仿宋" w:eastAsia="仿宋"/>
          <w:b/>
          <w:color w:val="000000"/>
          <w:sz w:val="32"/>
          <w:szCs w:val="32"/>
        </w:rPr>
        <w:t>（二）政府采购支出情况</w:t>
      </w:r>
      <w:bookmarkEnd w:id="110"/>
      <w:bookmarkEnd w:id="111"/>
      <w:bookmarkEnd w:id="11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3" w:name="_Toc79163627"/>
      <w:bookmarkStart w:id="114" w:name="_Toc15377224"/>
      <w:bookmarkStart w:id="115" w:name="_Toc79163877"/>
      <w:r>
        <w:rPr>
          <w:rFonts w:hint="eastAsia" w:ascii="仿宋" w:hAnsi="仿宋" w:eastAsia="仿宋"/>
          <w:b/>
          <w:color w:val="000000"/>
          <w:sz w:val="32"/>
          <w:szCs w:val="32"/>
        </w:rPr>
        <w:t>（三）国有资产占有使用情况</w:t>
      </w:r>
      <w:bookmarkEnd w:id="113"/>
      <w:bookmarkEnd w:id="114"/>
      <w:bookmarkEnd w:id="115"/>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日，共有车辆1辆，其中：主要领导干部用车0辆、机要通信用车0辆、应急保障用车0辆、其他用车1辆.其他用车主要是用于日常工作开展。单价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r>
        <w:rPr>
          <w:rFonts w:hint="eastAsia" w:ascii="仿宋" w:hAnsi="仿宋" w:eastAsia="仿宋"/>
          <w:b/>
          <w:color w:val="FF0000"/>
          <w:sz w:val="32"/>
          <w:szCs w:val="32"/>
        </w:rPr>
        <w:t>（注：数据来源财决附</w:t>
      </w:r>
      <w:r>
        <w:rPr>
          <w:rFonts w:ascii="仿宋" w:hAnsi="仿宋" w:eastAsia="仿宋"/>
          <w:b/>
          <w:color w:val="FF0000"/>
          <w:sz w:val="32"/>
          <w:szCs w:val="32"/>
        </w:rPr>
        <w:t>03</w:t>
      </w:r>
      <w:r>
        <w:rPr>
          <w:rFonts w:hint="eastAsia" w:ascii="仿宋" w:hAnsi="仿宋" w:eastAsia="仿宋"/>
          <w:b/>
          <w:color w:val="FF0000"/>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6" w:name="_Toc79163628"/>
      <w:bookmarkStart w:id="117" w:name="_Toc79163878"/>
      <w:r>
        <w:rPr>
          <w:rFonts w:hint="eastAsia" w:ascii="仿宋" w:hAnsi="仿宋" w:eastAsia="仿宋"/>
          <w:b/>
          <w:color w:val="000000"/>
          <w:sz w:val="32"/>
          <w:szCs w:val="32"/>
        </w:rPr>
        <w:t>（四）预算绩效管理情况。</w:t>
      </w:r>
      <w:bookmarkEnd w:id="116"/>
      <w:bookmarkEnd w:id="117"/>
    </w:p>
    <w:p>
      <w:pPr>
        <w:spacing w:line="5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根据预算绩效管理要求，本部门（单位）在年初预算编制阶段，组织对僧人五保项目开展了预算事前绩效评估，对4个项目编制了绩效目标，预算执行过程中，选取4个项目开展绩效监控，年终执行完毕后，对4个项目开展了绩效目标完成情况梳理填报。</w:t>
      </w:r>
    </w:p>
    <w:p>
      <w:pPr>
        <w:spacing w:line="5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本部门按要求对2019年部门整体支出开展绩效自评，从评价情况来看全部按时完成。本部门还自行组织了1个项目绩效评价，从评价情况来看全部按时完成。</w:t>
      </w:r>
    </w:p>
    <w:p>
      <w:pPr>
        <w:numPr>
          <w:ilvl w:val="0"/>
          <w:numId w:val="3"/>
        </w:numPr>
        <w:spacing w:line="580" w:lineRule="exact"/>
        <w:ind w:firstLine="480" w:firstLineChars="200"/>
        <w:rPr>
          <w:rFonts w:ascii="仿宋_GB2312" w:hAnsi="仿宋_GB2312" w:eastAsia="仿宋_GB2312" w:cs="仿宋_GB2312"/>
          <w:sz w:val="24"/>
        </w:rPr>
      </w:pPr>
      <w:r>
        <w:rPr>
          <w:rFonts w:hint="eastAsia" w:ascii="楷体_GB2312" w:hAnsi="楷体_GB2312" w:eastAsia="楷体_GB2312" w:cs="楷体_GB2312"/>
          <w:sz w:val="24"/>
        </w:rPr>
        <w:t>1.项目绩效目标完成情况。</w:t>
      </w:r>
      <w:r>
        <w:rPr>
          <w:rFonts w:hint="eastAsia" w:ascii="楷体_GB2312" w:hAnsi="楷体_GB2312" w:eastAsia="楷体_GB2312" w:cs="楷体_GB2312"/>
          <w:sz w:val="24"/>
        </w:rPr>
        <w:br w:type="textWrapping"/>
      </w:r>
      <w:r>
        <w:rPr>
          <w:rFonts w:hint="eastAsia" w:ascii="仿宋_GB2312" w:hAnsi="仿宋_GB2312" w:eastAsia="仿宋_GB2312" w:cs="仿宋_GB2312"/>
          <w:sz w:val="24"/>
        </w:rPr>
        <w:t xml:space="preserve">    部门在2019年度部门决算中反映“龙壤寺文物保护资金</w:t>
      </w:r>
      <w:r>
        <w:rPr>
          <w:rFonts w:ascii="仿宋_GB2312" w:hAnsi="仿宋_GB2312" w:eastAsia="仿宋_GB2312" w:cs="仿宋_GB2312"/>
          <w:sz w:val="24"/>
        </w:rPr>
        <w:t>”</w:t>
      </w:r>
      <w:r>
        <w:rPr>
          <w:rFonts w:hint="eastAsia" w:ascii="仿宋_GB2312" w:hAnsi="仿宋_GB2312" w:eastAsia="仿宋_GB2312" w:cs="仿宋_GB2312"/>
          <w:sz w:val="24"/>
        </w:rPr>
        <w:t>“疫情防控卡点支出</w:t>
      </w:r>
      <w:r>
        <w:rPr>
          <w:rFonts w:ascii="仿宋_GB2312" w:hAnsi="仿宋_GB2312" w:eastAsia="仿宋_GB2312" w:cs="仿宋_GB2312"/>
          <w:sz w:val="24"/>
        </w:rPr>
        <w:t>”</w:t>
      </w:r>
      <w:r>
        <w:rPr>
          <w:rFonts w:hint="eastAsia" w:ascii="仿宋_GB2312" w:hAnsi="仿宋_GB2312" w:eastAsia="仿宋_GB2312" w:cs="仿宋_GB2312"/>
          <w:sz w:val="24"/>
        </w:rPr>
        <w:t>2个项目绩效目标实际完成情况。（本单位部门项目绩效目标个数在5个以上的，选取5个项目进行公开，目标个数在5个以下的，全部进行公开，公开内容包括完成情况综述和完成情况表）。</w:t>
      </w:r>
    </w:p>
    <w:p>
      <w:pPr>
        <w:numPr>
          <w:ilvl w:val="0"/>
          <w:numId w:val="4"/>
        </w:numPr>
        <w:spacing w:line="5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龙壤寺文物保护资金项目绩效目标完成情况综述。项目全年预算数23.67万元，执行数为23.67万元，完成预算的100%。通过项目实施，保障了龙壤寺文物的保护。</w:t>
      </w:r>
    </w:p>
    <w:p>
      <w:pPr>
        <w:numPr>
          <w:ilvl w:val="0"/>
          <w:numId w:val="4"/>
        </w:numPr>
        <w:spacing w:line="5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疫情防控卡点支出项目绩效目标完成情况综述。项目全年预算数0.8万元，执行数为0.8万元，完成预算的100%。通过项目实施，保证了疫情防控工作开展。</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bCs/>
                <w:color w:val="000000"/>
                <w:kern w:val="0"/>
                <w:sz w:val="28"/>
                <w:szCs w:val="28"/>
              </w:rPr>
              <w:t>项目绩效目标完成情况表</w:t>
            </w:r>
            <w:r>
              <w:rPr>
                <w:rFonts w:hint="eastAsia" w:ascii="宋体" w:hAnsi="宋体" w:cs="宋体"/>
                <w:b/>
                <w:bCs/>
                <w:color w:val="000000"/>
                <w:kern w:val="0"/>
                <w:sz w:val="28"/>
                <w:szCs w:val="28"/>
              </w:rPr>
              <w:br w:type="textWrapping"/>
            </w:r>
            <w:r>
              <w:rPr>
                <w:rFonts w:hint="eastAsia" w:ascii="宋体" w:hAnsi="宋体" w:cs="宋体"/>
                <w:color w:val="000000"/>
                <w:kern w:val="0"/>
                <w:sz w:val="28"/>
                <w:szCs w:val="28"/>
              </w:rPr>
              <w:t>(2020 年度)</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仿宋_GB2312" w:eastAsia="仿宋_GB2312" w:cs="仿宋_GB2312"/>
                <w:sz w:val="24"/>
              </w:rPr>
              <w:t>龙壤寺文物保护资金</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麦洼寺管会</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color w:val="000000"/>
                <w:szCs w:val="21"/>
              </w:rPr>
              <w:t>23.67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color w:val="000000"/>
                <w:szCs w:val="21"/>
              </w:rPr>
              <w:t>23.67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color w:val="000000"/>
                <w:szCs w:val="21"/>
              </w:rPr>
              <w:t>23.67</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color w:val="000000"/>
                <w:szCs w:val="21"/>
              </w:rPr>
              <w:t>23.67</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b/>
                <w:color w:val="000000"/>
                <w:szCs w:val="21"/>
              </w:rPr>
            </w:pPr>
            <w:r>
              <w:rPr>
                <w:rFonts w:hint="eastAsia" w:ascii="仿宋_GB2312" w:hAnsi="仿宋_GB2312" w:eastAsia="仿宋_GB2312" w:cs="仿宋_GB2312"/>
                <w:sz w:val="24"/>
              </w:rPr>
              <w:t>龙壤寺文物的保护</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仿宋_GB2312" w:eastAsia="仿宋_GB2312" w:cs="仿宋_GB2312"/>
                <w:sz w:val="24"/>
              </w:rPr>
              <w:t>保障了龙壤寺文物的保护</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 xml:space="preserve">1 </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 xml:space="preserve">1 </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准时完成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按时完成</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符合政策依据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符合政策依据</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管理规范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管理规范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核算规范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核算规范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达到行业基准水平</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达到行业基准水平</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6"/>
                <w:szCs w:val="16"/>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满意</w:t>
            </w:r>
          </w:p>
        </w:tc>
      </w:tr>
    </w:tbl>
    <w:p>
      <w:pPr>
        <w:pStyle w:val="37"/>
        <w:numPr>
          <w:ilvl w:val="0"/>
          <w:numId w:val="4"/>
        </w:numPr>
        <w:spacing w:line="580" w:lineRule="exact"/>
        <w:ind w:firstLineChars="0"/>
        <w:rPr>
          <w:rFonts w:ascii="仿宋_GB2312" w:hAnsi="仿宋_GB2312" w:eastAsia="仿宋_GB2312" w:cs="仿宋_GB2312"/>
          <w:sz w:val="24"/>
        </w:rPr>
      </w:pPr>
    </w:p>
    <w:p>
      <w:pPr>
        <w:pStyle w:val="37"/>
        <w:numPr>
          <w:ilvl w:val="0"/>
          <w:numId w:val="4"/>
        </w:numPr>
        <w:spacing w:line="580" w:lineRule="exact"/>
        <w:ind w:firstLineChars="0"/>
        <w:rPr>
          <w:rFonts w:ascii="仿宋_GB2312" w:hAnsi="仿宋_GB2312" w:eastAsia="仿宋_GB2312" w:cs="仿宋_GB2312"/>
          <w:sz w:val="24"/>
        </w:rPr>
      </w:pP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仿宋_GB2312" w:eastAsia="仿宋_GB2312" w:cs="仿宋_GB2312"/>
                <w:sz w:val="24"/>
              </w:rPr>
              <w:t>疫情防控卡点支出项目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麦洼寺管会</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0.8</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宋体" w:hAnsi="宋体" w:cs="宋体"/>
                <w:b/>
                <w:color w:val="000000"/>
                <w:szCs w:val="21"/>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仿宋_GB2312" w:eastAsia="仿宋_GB2312" w:cs="仿宋_GB2312"/>
                <w:sz w:val="24"/>
              </w:rPr>
              <w:t>保证疫情防控工作开展</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Cs w:val="21"/>
              </w:rPr>
            </w:pPr>
            <w:r>
              <w:rPr>
                <w:rFonts w:hint="eastAsia" w:ascii="仿宋_GB2312" w:hAnsi="仿宋_GB2312" w:eastAsia="仿宋_GB2312" w:cs="仿宋_GB2312"/>
                <w:sz w:val="24"/>
              </w:rPr>
              <w:t>保证了疫情防控工作开展</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Cs w:val="21"/>
              </w:rPr>
            </w:pPr>
            <w:r>
              <w:rPr>
                <w:rFonts w:hint="eastAsia" w:ascii="仿宋_GB2312" w:hAnsi="宋体" w:eastAsia="仿宋_GB2312" w:cs="仿宋_GB2312"/>
                <w:color w:val="000000"/>
                <w:kern w:val="0"/>
                <w:szCs w:val="21"/>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16"/>
                <w:szCs w:val="16"/>
              </w:rPr>
            </w:pPr>
            <w:r>
              <w:rPr>
                <w:rFonts w:hint="eastAsia" w:ascii="宋体" w:hAnsi="宋体" w:cs="宋体"/>
                <w:b/>
                <w:color w:val="000000"/>
                <w:kern w:val="0"/>
                <w:sz w:val="16"/>
                <w:szCs w:val="16"/>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16"/>
                <w:szCs w:val="16"/>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 xml:space="preserve">1 </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 xml:space="preserve">1 </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准时完成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按时完成</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符合政策依据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符合政策依据</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按时发放</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合规</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管理规范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管理规范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核算规范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核算规范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达到行业基准水平</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kern w:val="0"/>
                <w:sz w:val="16"/>
                <w:szCs w:val="16"/>
              </w:rPr>
              <w:t>达到行业基准水平</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1</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16"/>
                <w:szCs w:val="16"/>
              </w:rPr>
            </w:pPr>
            <w:r>
              <w:rPr>
                <w:rFonts w:hint="eastAsia" w:ascii="宋体" w:hAnsi="宋体" w:cs="宋体"/>
                <w:color w:val="000000"/>
                <w:kern w:val="0"/>
                <w:sz w:val="16"/>
                <w:szCs w:val="16"/>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16"/>
                <w:szCs w:val="16"/>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6"/>
                <w:szCs w:val="16"/>
              </w:rPr>
            </w:pPr>
            <w:r>
              <w:rPr>
                <w:rFonts w:hint="eastAsia" w:ascii="宋体" w:hAnsi="宋体" w:cs="宋体"/>
                <w:color w:val="000000"/>
                <w:kern w:val="0"/>
                <w:sz w:val="16"/>
                <w:szCs w:val="16"/>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6"/>
                <w:szCs w:val="16"/>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6"/>
                <w:szCs w:val="16"/>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Cs w:val="21"/>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16"/>
                <w:szCs w:val="16"/>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满意</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本部门按要求对2020年部门整体支出绩效评价情况开展自评，《麦洼寺管会部门2020年部门整体支出绩效评价报告》见附件。</w:t>
      </w:r>
    </w:p>
    <w:p>
      <w:pPr>
        <w:spacing w:line="580" w:lineRule="exact"/>
        <w:ind w:firstLine="640" w:firstLineChars="200"/>
        <w:rPr>
          <w:rFonts w:ascii="仿宋_GB2312" w:hAnsi="Calibri" w:eastAsia="仿宋_GB2312" w:cs="仿宋"/>
          <w:color w:val="000000"/>
          <w:kern w:val="0"/>
          <w:sz w:val="32"/>
          <w:szCs w:val="32"/>
        </w:rPr>
      </w:pPr>
      <w:bookmarkStart w:id="118" w:name="_Toc15396613"/>
      <w:bookmarkStart w:id="119" w:name="_Toc15377225"/>
      <w:bookmarkStart w:id="120" w:name="_Toc79163629"/>
      <w:bookmarkStart w:id="121" w:name="_Toc79163879"/>
      <w:r>
        <w:rPr>
          <w:rFonts w:hint="eastAsia" w:ascii="仿宋_GB2312" w:hAnsi="Calibri" w:eastAsia="仿宋_GB2312" w:cs="仿宋"/>
          <w:color w:val="000000"/>
          <w:kern w:val="0"/>
          <w:sz w:val="32"/>
          <w:szCs w:val="32"/>
        </w:rPr>
        <w:t>本部门自行组织对片区僧人五保项目开展了绩效评价，《片区僧人五保项目2019年绩效评价报告》见附件。</w:t>
      </w:r>
    </w:p>
    <w:p>
      <w:pPr>
        <w:numPr>
          <w:ilvl w:val="0"/>
          <w:numId w:val="5"/>
        </w:numPr>
        <w:spacing w:line="600" w:lineRule="exact"/>
        <w:ind w:firstLine="660" w:firstLineChars="150"/>
        <w:jc w:val="center"/>
        <w:outlineLvl w:val="0"/>
        <w:rPr>
          <w:rStyle w:val="22"/>
          <w:rFonts w:ascii="黑体" w:hAnsi="黑体" w:eastAsia="黑体"/>
          <w:b w:val="0"/>
        </w:rPr>
      </w:pPr>
      <w:r>
        <w:rPr>
          <w:rFonts w:hint="eastAsia" w:ascii="黑体" w:hAnsi="黑体" w:eastAsia="黑体"/>
          <w:color w:val="000000"/>
          <w:sz w:val="44"/>
          <w:szCs w:val="44"/>
        </w:rPr>
        <w:t>名</w:t>
      </w:r>
      <w:r>
        <w:rPr>
          <w:rStyle w:val="22"/>
          <w:rFonts w:hint="eastAsia" w:ascii="黑体" w:hAnsi="黑体" w:eastAsia="黑体"/>
          <w:b w:val="0"/>
        </w:rPr>
        <w:t>词解释</w:t>
      </w:r>
      <w:bookmarkEnd w:id="118"/>
      <w:bookmarkEnd w:id="119"/>
      <w:bookmarkEnd w:id="120"/>
      <w:bookmarkEnd w:id="121"/>
    </w:p>
    <w:p>
      <w:pPr>
        <w:spacing w:line="600" w:lineRule="exact"/>
        <w:jc w:val="left"/>
        <w:rPr>
          <w:rFonts w:ascii="宋体"/>
          <w:b/>
          <w:color w:val="000000"/>
          <w:sz w:val="44"/>
          <w:szCs w:val="44"/>
        </w:rPr>
      </w:pP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bookmarkStart w:id="122" w:name="_Toc15377226"/>
      <w:r>
        <w:rPr>
          <w:rFonts w:hint="eastAsia" w:ascii="仿宋_GB2312" w:hAnsi="Calibri" w:eastAsia="仿宋_GB2312" w:cs="仿宋"/>
          <w:color w:val="000000"/>
          <w:kern w:val="0"/>
          <w:sz w:val="32"/>
          <w:szCs w:val="32"/>
          <w:lang w:val="en-US" w:eastAsia="zh-CN" w:bidi="ar-SA"/>
        </w:rPr>
        <w:t>1.财政拨款收入：指单位从同级财政部门取得的财政预算资金。</w:t>
      </w: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6.年初结转和结余：指以前年度尚未完成、结转到本年按有关规定继续使用的资金。 </w:t>
      </w: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7.结余分配：指事业单位按照事业单位会计制度的规定从非财政补助结余中分配的事业基金和职工福利基金等。</w:t>
      </w: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8、年末结转和结余：指单位按有关规定结转到下年或以后年度继续使用的资金。</w:t>
      </w:r>
    </w:p>
    <w:p>
      <w:p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9.一般公共服务（类）宗教事务（款）行政运行（项）：</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指反应我单位基本支出。</w:t>
      </w:r>
    </w:p>
    <w:p>
      <w:pPr>
        <w:numPr>
          <w:ilvl w:val="0"/>
          <w:numId w:val="6"/>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一般公共服务（类）宗教事务（款）宗教工作专</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项（项）：指用于宗教事务管理方面的专项支出。</w:t>
      </w:r>
    </w:p>
    <w:p>
      <w:pPr>
        <w:numPr>
          <w:ilvl w:val="0"/>
          <w:numId w:val="6"/>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一般公共服务（类）宗教事务（款）其他宗教事</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务支出（项）：指宗其他教事务方面的支出。</w:t>
      </w:r>
    </w:p>
    <w:p>
      <w:pPr>
        <w:numPr>
          <w:ilvl w:val="0"/>
          <w:numId w:val="7"/>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一般公共服务（类）统战事务（款）其他统战事</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务支出（项）：指其他中国共产党统战部门的事务支出。</w:t>
      </w:r>
    </w:p>
    <w:p>
      <w:pPr>
        <w:numPr>
          <w:ilvl w:val="0"/>
          <w:numId w:val="8"/>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社会保障和就业（类）行政事业单位离退休（款）</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机关事业单位基本养老保险缴费支出（项）：指单位缴纳的基本养老保险支出。</w:t>
      </w:r>
    </w:p>
    <w:p>
      <w:pPr>
        <w:numPr>
          <w:ilvl w:val="0"/>
          <w:numId w:val="8"/>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社会保障和就业（类）行政事业单位离退休（款）</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机关事业单位职业年金缴费支出（项）：指单位实际缴纳的职业年金支出。</w:t>
      </w:r>
    </w:p>
    <w:p>
      <w:pPr>
        <w:numPr>
          <w:ilvl w:val="0"/>
          <w:numId w:val="8"/>
        </w:numPr>
        <w:ind w:left="958" w:leftChars="304" w:hanging="320" w:hangingChars="1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社会保障和就业（类）特困人员救助供养（款）</w:t>
      </w:r>
    </w:p>
    <w:p>
      <w:pPr>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农村特困人员救助供养支出（项）：指僧人五保。</w:t>
      </w:r>
    </w:p>
    <w:p>
      <w:pPr>
        <w:numPr>
          <w:ilvl w:val="0"/>
          <w:numId w:val="8"/>
        </w:numPr>
        <w:ind w:left="958" w:leftChars="304" w:hanging="320" w:hangingChars="1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医疗卫生与计划生育（类）行政事业单位医疗（款）     </w:t>
      </w:r>
    </w:p>
    <w:p>
      <w:pPr>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行政单位医疗（项）：指行政单位基本医疗保险缴费经费。</w:t>
      </w:r>
    </w:p>
    <w:p>
      <w:pPr>
        <w:numPr>
          <w:ilvl w:val="0"/>
          <w:numId w:val="8"/>
        </w:numPr>
        <w:ind w:left="958" w:leftChars="304" w:hanging="320" w:hangingChars="100"/>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医疗卫生与计划生育（类）行政事业单位医疗（款）     </w:t>
      </w:r>
    </w:p>
    <w:p>
      <w:pPr>
        <w:jc w:val="left"/>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公务员医疗补助（项）：指公务员医疗补助经费。</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25.住房保障（类）住房改革支出（款）住房公积金（项）：指以一定比例为职工缴纳的住房公积金。</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26.基本支出：指为保障机构正常运转、完成日常工作任务而发生的人员支出和公用支出。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27.项目支出：指在基本支出之外为完成特定行政任务和事业发展目标所发生的支出。 </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28.经营支出：指事业单位在专业业务活动及其辅助活动之外开展非独立核算经营活动发生的支出。</w:t>
      </w: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29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30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r>
        <w:rPr>
          <w:rFonts w:hint="eastAsia" w:ascii="仿宋_GB2312" w:hAnsi="Calibri" w:eastAsia="仿宋_GB2312" w:cs="仿宋"/>
          <w:color w:val="000000"/>
          <w:kern w:val="0"/>
          <w:sz w:val="32"/>
          <w:szCs w:val="32"/>
          <w:lang w:val="en-US" w:eastAsia="zh-CN" w:bidi="ar-SA"/>
        </w:rPr>
        <w:br w:type="page"/>
      </w:r>
      <w:bookmarkStart w:id="123" w:name="_Toc15396614"/>
      <w:bookmarkStart w:id="124" w:name="_Toc79163630"/>
      <w:bookmarkStart w:id="125" w:name="_Toc7916388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23"/>
      <w:bookmarkEnd w:id="124"/>
      <w:bookmarkEnd w:id="125"/>
    </w:p>
    <w:p>
      <w:pPr>
        <w:spacing w:line="600" w:lineRule="exact"/>
        <w:jc w:val="left"/>
        <w:outlineLvl w:val="0"/>
        <w:rPr>
          <w:rFonts w:ascii="方正小标宋简体" w:hAnsi="方正小标宋简体" w:eastAsia="方正小标宋简体" w:cs="方正小标宋简体"/>
          <w:sz w:val="32"/>
          <w:szCs w:val="32"/>
        </w:rPr>
      </w:pPr>
      <w:bookmarkStart w:id="126" w:name="_Toc79163631"/>
      <w:bookmarkStart w:id="127" w:name="_Toc79163881"/>
      <w:r>
        <w:rPr>
          <w:rFonts w:hint="eastAsia" w:ascii="黑体" w:hAnsi="黑体" w:eastAsia="黑体" w:cs="黑体"/>
          <w:sz w:val="32"/>
          <w:szCs w:val="32"/>
        </w:rPr>
        <w:t>附件</w:t>
      </w:r>
      <w:r>
        <w:rPr>
          <w:rFonts w:ascii="黑体" w:hAnsi="黑体" w:eastAsia="黑体" w:cs="黑体"/>
          <w:sz w:val="32"/>
          <w:szCs w:val="32"/>
        </w:rPr>
        <w:t>1</w:t>
      </w:r>
      <w:bookmarkEnd w:id="126"/>
      <w:bookmarkEnd w:id="127"/>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28" w:name="_Toc79163632"/>
      <w:bookmarkStart w:id="129" w:name="_Toc79163882"/>
      <w:r>
        <w:rPr>
          <w:rFonts w:hint="eastAsia" w:ascii="方正小标宋简体" w:hAnsi="黑体" w:eastAsia="方正小标宋简体" w:cs="黑体"/>
          <w:sz w:val="44"/>
          <w:szCs w:val="44"/>
        </w:rPr>
        <w:t>麦洼寺管会部门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28"/>
      <w:bookmarkEnd w:id="129"/>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480" w:firstLineChars="200"/>
        <w:contextualSpacing/>
        <w:jc w:val="left"/>
        <w:rPr>
          <w:rFonts w:ascii="黑体" w:hAnsi="宋体" w:eastAsia="黑体" w:cs="宋体"/>
          <w:color w:val="000000"/>
          <w:kern w:val="0"/>
          <w:sz w:val="24"/>
          <w:shd w:val="clear" w:color="auto" w:fill="FFFFFF"/>
          <w:lang w:val="zh-CN"/>
        </w:rPr>
      </w:pPr>
      <w:r>
        <w:rPr>
          <w:rFonts w:hint="eastAsia" w:ascii="黑体" w:hAnsi="宋体" w:eastAsia="黑体" w:cs="宋体"/>
          <w:color w:val="000000"/>
          <w:kern w:val="0"/>
          <w:sz w:val="24"/>
          <w:shd w:val="clear" w:color="auto" w:fill="FFFFFF"/>
        </w:rPr>
        <w:t>一、</w:t>
      </w:r>
      <w:r>
        <w:rPr>
          <w:rFonts w:hint="eastAsia" w:ascii="黑体" w:hAnsi="宋体" w:eastAsia="黑体" w:cs="宋体"/>
          <w:color w:val="000000"/>
          <w:kern w:val="0"/>
          <w:sz w:val="24"/>
          <w:shd w:val="clear" w:color="auto" w:fill="FFFFFF"/>
          <w:lang w:val="zh-CN"/>
        </w:rPr>
        <w:t>部门（单位）概况</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（一）机构组成。</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我单位为独立核算全额拨款行政单位。</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机构职能。</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管委会为县政府派出机构，受县政府委托，履行相应宗教事务管理执法权，业务上接收统战和宗教工作部门的指导和监督。</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依法管理宗教事务，加强寺庙管理，加强僧尼管理，加强宗教活动管理。</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教育引导，以增强僧尼法制意识、公民意识、政府议事、祖国意识为目标，坚持不懈加强对僧尼的教育引导。</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公共服务，充分保障依法打击寺庙和持证僧尼的普惠性待遇，做到“五通”、“三有”、“三覆盖”。</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人员概况。</w:t>
      </w:r>
    </w:p>
    <w:p>
      <w:pPr>
        <w:pStyle w:val="32"/>
        <w:spacing w:line="560" w:lineRule="exact"/>
        <w:ind w:firstLine="640" w:firstLineChars="20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我单位共有编制10个，其中公务员编制10个，在职10人，公务员10人。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480" w:lineRule="exact"/>
        <w:ind w:firstLine="720"/>
        <w:jc w:val="left"/>
        <w:rPr>
          <w:rFonts w:hint="eastAsia" w:ascii="仿宋_GB2312" w:hAnsi="宋体" w:eastAsia="仿宋_GB2312"/>
          <w:sz w:val="32"/>
          <w:szCs w:val="32"/>
          <w:lang w:val="zh-CN"/>
        </w:rPr>
      </w:pPr>
      <w:r>
        <w:rPr>
          <w:rFonts w:hint="eastAsia" w:ascii="仿宋_GB2312" w:hAnsi="宋体" w:eastAsia="仿宋_GB2312"/>
          <w:sz w:val="32"/>
          <w:szCs w:val="32"/>
          <w:lang w:val="zh-CN"/>
        </w:rPr>
        <w:t>（一）部门财政资金收入情况。</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2020年我单位收入为298.1万元，其中一般公共预算财政拨款298.1万元。</w:t>
      </w:r>
    </w:p>
    <w:p>
      <w:pPr>
        <w:widowControl/>
        <w:adjustRightInd w:val="0"/>
        <w:snapToGrid w:val="0"/>
        <w:spacing w:line="480" w:lineRule="exact"/>
        <w:ind w:firstLine="720"/>
        <w:jc w:val="left"/>
        <w:rPr>
          <w:rFonts w:hint="eastAsia" w:ascii="仿宋_GB2312" w:hAnsi="宋体" w:eastAsia="仿宋_GB2312"/>
          <w:sz w:val="32"/>
          <w:szCs w:val="32"/>
          <w:lang w:val="zh-CN"/>
        </w:rPr>
      </w:pPr>
      <w:r>
        <w:rPr>
          <w:rFonts w:hint="eastAsia" w:ascii="仿宋_GB2312" w:hAnsi="宋体" w:eastAsia="仿宋_GB2312"/>
          <w:sz w:val="32"/>
          <w:szCs w:val="32"/>
          <w:lang w:val="zh-CN"/>
        </w:rPr>
        <w:t>（二）部门财政资金支出情况。</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2019年支出为322万，其中：一般公共预算拨款297.5万元,项目支出24.5万元。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（一）预算编制情况。</w:t>
      </w:r>
    </w:p>
    <w:p>
      <w:pPr>
        <w:pStyle w:val="32"/>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我管委会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（二）执行管理情况。</w:t>
      </w:r>
      <w:r>
        <w:rPr>
          <w:rFonts w:hint="eastAsia" w:ascii="仿宋_GB2312" w:hAnsi="宋体" w:eastAsia="仿宋_GB2312"/>
          <w:sz w:val="32"/>
          <w:szCs w:val="32"/>
          <w:lang w:val="zh-CN"/>
        </w:rPr>
        <w:tab/>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部门预算执行到位，严格按照预算管理进行支付并做到节能降耗，“三公”经费严格按照年初预算执行。</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（三）综合管理情况。</w:t>
      </w:r>
      <w:r>
        <w:rPr>
          <w:rFonts w:ascii="仿宋_GB2312" w:hAnsi="宋体" w:eastAsia="仿宋_GB2312"/>
          <w:sz w:val="32"/>
          <w:szCs w:val="32"/>
          <w:lang w:val="zh-CN"/>
        </w:rPr>
        <w:tab/>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宗教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严格落实《党政机关厉行节约反对浪费条例》的相关规定，进一步规范了“三公经费”的管理并严格控制了“三公经费”的支出。</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（四）整体绩效。</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我单位依法管理宗教事务，加强寺庙管理，加强僧尼管理，加强宗教活动管理；教育引导，以增强僧尼法制意识、公民意识、政府议事、祖国意识为目标，坚持不懈加强对僧尼的教育引导；公共服务，充分保障依法打击寺庙和持证僧尼的普惠性待遇，做到“五通”、“三有”、“三覆盖”。加强对重点项目绩效的管理，令寺庙僧人非常满意。</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（一）评价结论。</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根据《2020年红原县部门支出绩效评价指标体系》评分得分94分，部门整体支出绩效为“好”。</w:t>
      </w:r>
    </w:p>
    <w:p>
      <w:pPr>
        <w:widowControl/>
        <w:numPr>
          <w:ilvl w:val="0"/>
          <w:numId w:val="9"/>
        </w:numPr>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存在问题。</w:t>
      </w:r>
    </w:p>
    <w:p>
      <w:pPr>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1、预算管理意识薄弱，组织机构设置简单；人员配备不足，缺乏对预算工作重要的认识；2、预算编制时间短，方法简单；预算编制准备不充分。3、缺乏行之有效的监督机制，控制体系不健全。</w:t>
      </w:r>
    </w:p>
    <w:p>
      <w:pPr>
        <w:widowControl/>
        <w:adjustRightInd w:val="0"/>
        <w:snapToGrid w:val="0"/>
        <w:spacing w:line="480" w:lineRule="exact"/>
        <w:ind w:firstLine="720"/>
        <w:jc w:val="left"/>
        <w:rPr>
          <w:rFonts w:ascii="仿宋_GB2312" w:hAnsi="宋体" w:eastAsia="仿宋_GB2312"/>
          <w:sz w:val="32"/>
          <w:szCs w:val="32"/>
          <w:lang w:val="zh-CN"/>
        </w:rPr>
      </w:pPr>
      <w:r>
        <w:rPr>
          <w:rFonts w:hint="eastAsia" w:ascii="仿宋_GB2312" w:hAnsi="宋体" w:eastAsia="仿宋_GB2312"/>
          <w:sz w:val="32"/>
          <w:szCs w:val="32"/>
          <w:lang w:val="zh-CN"/>
        </w:rPr>
        <w:t>（三）改进建议。</w:t>
      </w:r>
    </w:p>
    <w:p>
      <w:pPr>
        <w:spacing w:line="58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1.加强组织领导，增强预算编制的准确性，提高对预算编制与执行的认识，为绩效评价工作开展创造更好的条件；2.建立长效机制，加强管理提高部门支出的绩效成果，为更好的服务工作发挥最大效益。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30" w:name="_Toc79163633"/>
      <w:bookmarkStart w:id="131" w:name="_Toc79163883"/>
      <w:r>
        <w:rPr>
          <w:rFonts w:hint="eastAsia" w:ascii="黑体" w:hAnsi="黑体" w:eastAsia="黑体" w:cs="黑体"/>
          <w:sz w:val="32"/>
          <w:szCs w:val="32"/>
        </w:rPr>
        <w:t>附件</w:t>
      </w:r>
      <w:r>
        <w:rPr>
          <w:rFonts w:ascii="黑体" w:hAnsi="黑体" w:eastAsia="黑体" w:cs="黑体"/>
          <w:sz w:val="32"/>
          <w:szCs w:val="32"/>
        </w:rPr>
        <w:t>2</w:t>
      </w:r>
      <w:bookmarkEnd w:id="130"/>
      <w:bookmarkEnd w:id="131"/>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32" w:name="_Toc79163634"/>
      <w:bookmarkStart w:id="133" w:name="_Toc79163884"/>
      <w:r>
        <w:rPr>
          <w:rFonts w:hint="eastAsia" w:ascii="方正小标宋简体" w:hAnsi="黑体" w:eastAsia="方正小标宋简体" w:cs="黑体"/>
          <w:sz w:val="44"/>
          <w:szCs w:val="44"/>
        </w:rPr>
        <w:t>麦洼寺管会项目2020年绩效评价报告</w:t>
      </w:r>
      <w:bookmarkEnd w:id="132"/>
      <w:bookmarkEnd w:id="133"/>
    </w:p>
    <w:p>
      <w:pPr>
        <w:spacing w:line="600" w:lineRule="exact"/>
        <w:rPr>
          <w:rFonts w:ascii="宋体"/>
          <w:sz w:val="32"/>
          <w:szCs w:val="32"/>
          <w:lang w:val="zh-CN"/>
        </w:rPr>
      </w:pPr>
    </w:p>
    <w:p>
      <w:pPr>
        <w:widowControl/>
        <w:adjustRightInd w:val="0"/>
        <w:snapToGrid w:val="0"/>
        <w:spacing w:line="480" w:lineRule="exact"/>
        <w:ind w:firstLine="720"/>
        <w:jc w:val="left"/>
        <w:rPr>
          <w:rFonts w:ascii="黑体" w:hAnsi="宋体" w:eastAsia="黑体" w:cs="宋体"/>
          <w:kern w:val="0"/>
          <w:sz w:val="18"/>
          <w:szCs w:val="21"/>
          <w:lang w:val="zh-CN"/>
        </w:rPr>
      </w:pPr>
      <w:r>
        <w:rPr>
          <w:rFonts w:hint="eastAsia" w:ascii="黑体" w:hAnsi="宋体" w:eastAsia="黑体" w:cs="宋体"/>
          <w:kern w:val="0"/>
          <w:sz w:val="24"/>
          <w:szCs w:val="21"/>
        </w:rPr>
        <w:t>一、</w:t>
      </w:r>
      <w:r>
        <w:rPr>
          <w:rFonts w:hint="eastAsia" w:ascii="黑体" w:hAnsi="宋体" w:eastAsia="黑体" w:cs="宋体"/>
          <w:kern w:val="0"/>
          <w:sz w:val="24"/>
          <w:szCs w:val="21"/>
          <w:lang w:val="zh-CN"/>
        </w:rPr>
        <w:t>部门（单位）概况</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（一）机构组成。</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我单位为独立核算全额拨款行政单位。</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机构职能。</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管委会为县政府派出机构，受县政府委托，履行相应宗教事务管理执法权，业务上接收统战和宗教工作部门的指导和监督。</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依法管理宗教事务，加强寺庙管理，加强僧尼管理，加强宗教活动管理。</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教育引导，以增强僧尼法制意识、公民意识、政府议事、祖国意识为目标，坚持不懈加强对僧尼的教育引导。</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公共服务，充分保障依法打击寺庙和持证僧尼的普惠性待遇，做到“五通”、“三有”、“三覆盖”。</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人员概况。</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我单位共有编制10个，其中公务员编制10个，在职10人，公务员10人。</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三、评价工作开展及项目情况</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本部门2020年片区僧人五保全部按时发放完成。</w:t>
      </w:r>
    </w:p>
    <w:p>
      <w:pPr>
        <w:spacing w:line="58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四、评价结论及绩效分析</w:t>
      </w:r>
    </w:p>
    <w:p>
      <w:pPr>
        <w:snapToGrid w:val="0"/>
        <w:spacing w:line="580" w:lineRule="exact"/>
        <w:ind w:firstLine="482" w:firstLineChars="200"/>
        <w:rPr>
          <w:rFonts w:ascii="楷体_GB2312" w:hAnsi="宋体" w:eastAsia="楷体_GB2312" w:cs="楷体_GB2312"/>
          <w:b/>
          <w:sz w:val="18"/>
          <w:szCs w:val="18"/>
        </w:rPr>
      </w:pPr>
      <w:r>
        <w:rPr>
          <w:rFonts w:hint="eastAsia" w:ascii="楷体_GB2312" w:hAnsi="宋体" w:eastAsia="楷体_GB2312" w:cs="楷体_GB2312"/>
          <w:b/>
          <w:sz w:val="24"/>
          <w:szCs w:val="18"/>
        </w:rPr>
        <w:t>（一）评价结论</w:t>
      </w:r>
    </w:p>
    <w:p>
      <w:pPr>
        <w:spacing w:line="576" w:lineRule="exact"/>
        <w:ind w:firstLine="640" w:firstLineChars="200"/>
        <w:rPr>
          <w:rFonts w:ascii="宋体" w:hAnsi="宋体" w:eastAsia="仿宋_GB2312" w:cs="宋体"/>
          <w:sz w:val="18"/>
          <w:szCs w:val="18"/>
        </w:rPr>
      </w:pPr>
      <w:r>
        <w:rPr>
          <w:rFonts w:hint="eastAsia" w:ascii="仿宋_GB2312" w:hAnsi="宋体" w:eastAsia="仿宋_GB2312"/>
          <w:sz w:val="32"/>
          <w:szCs w:val="32"/>
          <w:lang w:val="zh-CN"/>
        </w:rPr>
        <w:t>保障了龙壤寺文物保护工作。</w:t>
      </w:r>
    </w:p>
    <w:p>
      <w:pPr>
        <w:snapToGrid w:val="0"/>
        <w:spacing w:line="580" w:lineRule="exact"/>
        <w:ind w:left="420" w:leftChars="200" w:firstLine="241" w:firstLineChars="100"/>
        <w:rPr>
          <w:rFonts w:ascii="楷体_GB2312" w:hAnsi="宋体" w:eastAsia="楷体_GB2312" w:cs="楷体_GB2312"/>
          <w:b/>
          <w:sz w:val="24"/>
          <w:szCs w:val="18"/>
        </w:rPr>
      </w:pPr>
      <w:r>
        <w:rPr>
          <w:rFonts w:hint="eastAsia" w:ascii="楷体_GB2312" w:hAnsi="宋体" w:eastAsia="楷体_GB2312" w:cs="楷体_GB2312"/>
          <w:b/>
          <w:sz w:val="24"/>
          <w:szCs w:val="18"/>
        </w:rPr>
        <w:t>二、绩效分析</w:t>
      </w:r>
    </w:p>
    <w:p>
      <w:pPr>
        <w:spacing w:line="576"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1、项目决策</w:t>
      </w:r>
    </w:p>
    <w:p>
      <w:pPr>
        <w:spacing w:line="576"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1.本部门在2020年度部门决算中反映“龙壤寺文物保护资金”项目绩效目标实际完成情况。</w:t>
      </w:r>
    </w:p>
    <w:p>
      <w:pPr>
        <w:spacing w:line="576"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2.片区僧人五保项目绩效目标完成情况综述。项目全年预算数23.67万元，执行数为23.67万元。通过项目实施，保障龙壤寺文物保护。</w:t>
      </w:r>
    </w:p>
    <w:p>
      <w:pPr>
        <w:snapToGrid w:val="0"/>
        <w:spacing w:line="580" w:lineRule="exact"/>
        <w:ind w:left="640"/>
        <w:rPr>
          <w:rFonts w:ascii="黑体" w:hAnsi="宋体" w:eastAsia="黑体" w:cs="黑体"/>
          <w:sz w:val="24"/>
          <w:szCs w:val="18"/>
        </w:rPr>
      </w:pPr>
      <w:r>
        <w:rPr>
          <w:rFonts w:hint="eastAsia" w:ascii="黑体" w:hAnsi="宋体" w:eastAsia="黑体" w:cs="黑体"/>
          <w:sz w:val="24"/>
          <w:szCs w:val="18"/>
        </w:rPr>
        <w:t>三、存在主要问题</w:t>
      </w:r>
    </w:p>
    <w:p>
      <w:pPr>
        <w:spacing w:line="576"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1.文物保护比较困难。</w:t>
      </w:r>
    </w:p>
    <w:p>
      <w:pPr>
        <w:snapToGrid w:val="0"/>
        <w:spacing w:line="580" w:lineRule="exact"/>
        <w:ind w:firstLine="480" w:firstLineChars="200"/>
        <w:rPr>
          <w:rFonts w:ascii="黑体" w:hAnsi="宋体" w:eastAsia="黑体" w:cs="黑体"/>
          <w:sz w:val="18"/>
          <w:szCs w:val="18"/>
        </w:rPr>
      </w:pPr>
      <w:r>
        <w:rPr>
          <w:rFonts w:hint="eastAsia" w:ascii="黑体" w:hAnsi="宋体" w:eastAsia="黑体" w:cs="黑体"/>
          <w:sz w:val="24"/>
          <w:szCs w:val="18"/>
        </w:rPr>
        <w:t>四、相关措施建议</w:t>
      </w:r>
    </w:p>
    <w:p>
      <w:pPr>
        <w:spacing w:line="576" w:lineRule="exact"/>
        <w:ind w:firstLine="640" w:firstLineChars="200"/>
        <w:rPr>
          <w:rFonts w:hint="eastAsia" w:ascii="仿宋_GB2312" w:hAnsi="宋体" w:eastAsia="仿宋_GB2312"/>
          <w:sz w:val="32"/>
          <w:szCs w:val="32"/>
          <w:lang w:val="zh-CN"/>
        </w:rPr>
      </w:pPr>
      <w:bookmarkStart w:id="178" w:name="_GoBack"/>
      <w:r>
        <w:rPr>
          <w:rFonts w:hint="eastAsia" w:ascii="仿宋_GB2312" w:hAnsi="宋体" w:eastAsia="仿宋_GB2312"/>
          <w:sz w:val="32"/>
          <w:szCs w:val="32"/>
          <w:lang w:val="zh-CN"/>
        </w:rPr>
        <w:t>1.下一步改进措施：加强文物保护。</w:t>
      </w:r>
    </w:p>
    <w:bookmarkEnd w:id="178"/>
    <w:p>
      <w:pPr>
        <w:widowControl/>
        <w:jc w:val="left"/>
        <w:rPr>
          <w:rStyle w:val="22"/>
          <w:rFonts w:ascii="黑体" w:hAnsi="黑体" w:eastAsia="黑体"/>
          <w:b w:val="0"/>
        </w:rPr>
      </w:pPr>
      <w:r>
        <w:rPr>
          <w:rStyle w:val="22"/>
          <w:rFonts w:ascii="黑体" w:hAnsi="黑体" w:eastAsia="黑体"/>
          <w:b w:val="0"/>
        </w:rPr>
        <w:br w:type="page"/>
      </w:r>
    </w:p>
    <w:p>
      <w:pPr>
        <w:spacing w:line="600" w:lineRule="exact"/>
        <w:jc w:val="center"/>
        <w:outlineLvl w:val="0"/>
        <w:rPr>
          <w:rStyle w:val="22"/>
          <w:rFonts w:ascii="黑体" w:hAnsi="黑体" w:eastAsia="黑体"/>
          <w:b w:val="0"/>
        </w:rPr>
      </w:pPr>
      <w:bookmarkStart w:id="134" w:name="_Toc15396618"/>
      <w:bookmarkStart w:id="135" w:name="_Toc79163635"/>
      <w:bookmarkStart w:id="136" w:name="_Toc7916388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22"/>
      <w:bookmarkEnd w:id="134"/>
      <w:bookmarkEnd w:id="135"/>
      <w:bookmarkEnd w:id="136"/>
    </w:p>
    <w:p>
      <w:pPr>
        <w:pStyle w:val="3"/>
        <w:rPr>
          <w:rFonts w:ascii="仿宋" w:hAnsi="仿宋" w:eastAsia="仿宋"/>
          <w:color w:val="000000"/>
        </w:rPr>
      </w:pPr>
      <w:bookmarkStart w:id="137" w:name="_Toc15396619"/>
      <w:bookmarkStart w:id="138" w:name="_Toc79163636"/>
      <w:bookmarkStart w:id="139" w:name="_Toc79163886"/>
      <w:r>
        <w:rPr>
          <w:rFonts w:hint="eastAsia" w:ascii="仿宋" w:hAnsi="仿宋" w:eastAsia="仿宋"/>
          <w:b w:val="0"/>
          <w:color w:val="000000"/>
        </w:rPr>
        <w:t>一、收</w:t>
      </w:r>
      <w:r>
        <w:rPr>
          <w:rStyle w:val="23"/>
          <w:rFonts w:hint="eastAsia" w:ascii="仿宋" w:hAnsi="仿宋" w:eastAsia="仿宋"/>
          <w:b w:val="0"/>
          <w:bCs w:val="0"/>
        </w:rPr>
        <w:t>入支出决算总表</w:t>
      </w:r>
      <w:bookmarkEnd w:id="137"/>
      <w:bookmarkEnd w:id="138"/>
      <w:bookmarkEnd w:id="139"/>
    </w:p>
    <w:p>
      <w:pPr>
        <w:pStyle w:val="3"/>
        <w:rPr>
          <w:rFonts w:ascii="仿宋" w:hAnsi="仿宋" w:eastAsia="仿宋"/>
          <w:color w:val="000000"/>
        </w:rPr>
      </w:pPr>
      <w:bookmarkStart w:id="140" w:name="_Toc15396620"/>
      <w:bookmarkStart w:id="141" w:name="_Toc79163637"/>
      <w:bookmarkStart w:id="142" w:name="_Toc79163887"/>
      <w:r>
        <w:rPr>
          <w:rFonts w:hint="eastAsia" w:ascii="仿宋" w:hAnsi="仿宋" w:eastAsia="仿宋"/>
          <w:b w:val="0"/>
          <w:color w:val="000000"/>
        </w:rPr>
        <w:t>二、收</w:t>
      </w:r>
      <w:r>
        <w:rPr>
          <w:rStyle w:val="23"/>
          <w:rFonts w:hint="eastAsia" w:ascii="仿宋" w:hAnsi="仿宋" w:eastAsia="仿宋"/>
          <w:b w:val="0"/>
          <w:bCs w:val="0"/>
        </w:rPr>
        <w:t>入决算表</w:t>
      </w:r>
      <w:bookmarkEnd w:id="140"/>
      <w:bookmarkEnd w:id="141"/>
      <w:bookmarkEnd w:id="142"/>
    </w:p>
    <w:p>
      <w:pPr>
        <w:pStyle w:val="3"/>
        <w:rPr>
          <w:rFonts w:ascii="仿宋" w:hAnsi="仿宋" w:eastAsia="仿宋"/>
          <w:color w:val="000000"/>
        </w:rPr>
      </w:pPr>
      <w:bookmarkStart w:id="143" w:name="_Toc15396621"/>
      <w:bookmarkStart w:id="144" w:name="_Toc79163638"/>
      <w:bookmarkStart w:id="145"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43"/>
      <w:bookmarkEnd w:id="144"/>
      <w:bookmarkEnd w:id="145"/>
    </w:p>
    <w:p>
      <w:pPr>
        <w:pStyle w:val="3"/>
        <w:rPr>
          <w:rFonts w:ascii="仿宋" w:hAnsi="仿宋" w:eastAsia="仿宋"/>
          <w:b w:val="0"/>
          <w:color w:val="000000"/>
        </w:rPr>
      </w:pPr>
      <w:bookmarkStart w:id="146" w:name="_Toc15396622"/>
      <w:bookmarkStart w:id="147" w:name="_Toc79163639"/>
      <w:bookmarkStart w:id="148" w:name="_Toc7916388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46"/>
      <w:bookmarkEnd w:id="147"/>
      <w:bookmarkEnd w:id="148"/>
    </w:p>
    <w:p>
      <w:pPr>
        <w:pStyle w:val="3"/>
        <w:rPr>
          <w:rStyle w:val="23"/>
          <w:rFonts w:ascii="仿宋" w:hAnsi="仿宋" w:eastAsia="仿宋"/>
          <w:b w:val="0"/>
          <w:bCs w:val="0"/>
        </w:rPr>
      </w:pPr>
      <w:bookmarkStart w:id="149" w:name="_Toc15396623"/>
      <w:bookmarkStart w:id="150" w:name="_Toc79163640"/>
      <w:bookmarkStart w:id="151"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49"/>
      <w:bookmarkEnd w:id="150"/>
      <w:bookmarkEnd w:id="151"/>
      <w:bookmarkStart w:id="152" w:name="_Toc15396624"/>
    </w:p>
    <w:p>
      <w:pPr>
        <w:pStyle w:val="3"/>
        <w:rPr>
          <w:rFonts w:ascii="仿宋" w:hAnsi="仿宋" w:eastAsia="仿宋"/>
          <w:color w:val="000000"/>
        </w:rPr>
      </w:pPr>
      <w:bookmarkStart w:id="153" w:name="_Toc79163641"/>
      <w:bookmarkStart w:id="154"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52"/>
      <w:bookmarkEnd w:id="153"/>
      <w:bookmarkEnd w:id="154"/>
    </w:p>
    <w:p>
      <w:pPr>
        <w:pStyle w:val="3"/>
        <w:rPr>
          <w:rFonts w:ascii="仿宋" w:hAnsi="仿宋" w:eastAsia="仿宋"/>
          <w:color w:val="000000"/>
        </w:rPr>
      </w:pPr>
      <w:bookmarkStart w:id="155" w:name="_Toc15396625"/>
      <w:bookmarkStart w:id="156" w:name="_Toc79163642"/>
      <w:bookmarkStart w:id="157" w:name="_Toc7916389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55"/>
      <w:bookmarkEnd w:id="156"/>
      <w:bookmarkEnd w:id="157"/>
    </w:p>
    <w:p>
      <w:pPr>
        <w:pStyle w:val="3"/>
        <w:rPr>
          <w:rFonts w:ascii="仿宋" w:hAnsi="仿宋" w:eastAsia="仿宋"/>
          <w:color w:val="000000"/>
        </w:rPr>
      </w:pPr>
      <w:bookmarkStart w:id="158" w:name="_Toc15396626"/>
      <w:bookmarkStart w:id="159" w:name="_Toc79163643"/>
      <w:bookmarkStart w:id="160" w:name="_Toc7916389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58"/>
      <w:bookmarkEnd w:id="159"/>
      <w:bookmarkEnd w:id="160"/>
    </w:p>
    <w:p>
      <w:pPr>
        <w:pStyle w:val="3"/>
        <w:rPr>
          <w:rFonts w:ascii="仿宋" w:hAnsi="仿宋" w:eastAsia="仿宋"/>
          <w:color w:val="000000"/>
        </w:rPr>
      </w:pPr>
      <w:bookmarkStart w:id="161" w:name="_Toc15396627"/>
      <w:bookmarkStart w:id="162" w:name="_Toc79163644"/>
      <w:bookmarkStart w:id="163"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61"/>
      <w:bookmarkEnd w:id="162"/>
      <w:bookmarkEnd w:id="163"/>
    </w:p>
    <w:p>
      <w:pPr>
        <w:pStyle w:val="3"/>
        <w:rPr>
          <w:rFonts w:ascii="仿宋" w:hAnsi="仿宋" w:eastAsia="仿宋"/>
          <w:color w:val="000000"/>
        </w:rPr>
      </w:pPr>
      <w:bookmarkStart w:id="164" w:name="_Toc15396628"/>
      <w:bookmarkStart w:id="165" w:name="_Toc79163645"/>
      <w:bookmarkStart w:id="166" w:name="_Toc7916389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64"/>
      <w:bookmarkEnd w:id="165"/>
      <w:bookmarkEnd w:id="166"/>
    </w:p>
    <w:p>
      <w:pPr>
        <w:pStyle w:val="3"/>
        <w:rPr>
          <w:rFonts w:ascii="仿宋" w:hAnsi="仿宋" w:eastAsia="仿宋"/>
          <w:color w:val="000000"/>
        </w:rPr>
      </w:pPr>
      <w:bookmarkStart w:id="167" w:name="_Toc15396629"/>
      <w:bookmarkStart w:id="168" w:name="_Toc79163646"/>
      <w:bookmarkStart w:id="169"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67"/>
      <w:bookmarkEnd w:id="168"/>
      <w:bookmarkEnd w:id="169"/>
    </w:p>
    <w:p>
      <w:pPr>
        <w:pStyle w:val="3"/>
        <w:rPr>
          <w:rFonts w:ascii="仿宋" w:hAnsi="仿宋" w:eastAsia="仿宋"/>
          <w:color w:val="000000"/>
        </w:rPr>
      </w:pPr>
      <w:bookmarkStart w:id="170" w:name="_Toc15396630"/>
      <w:bookmarkStart w:id="171" w:name="_Toc79163647"/>
      <w:bookmarkStart w:id="172"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70"/>
      <w:bookmarkEnd w:id="171"/>
      <w:bookmarkEnd w:id="172"/>
    </w:p>
    <w:p>
      <w:pPr>
        <w:pStyle w:val="3"/>
        <w:rPr>
          <w:rStyle w:val="23"/>
          <w:rFonts w:ascii="仿宋" w:hAnsi="仿宋" w:eastAsia="仿宋"/>
          <w:b w:val="0"/>
          <w:bCs w:val="0"/>
        </w:rPr>
      </w:pPr>
      <w:bookmarkStart w:id="173" w:name="_Toc15396631"/>
      <w:bookmarkStart w:id="174" w:name="_Toc79163648"/>
      <w:bookmarkStart w:id="175" w:name="_Toc7916389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73"/>
      <w:bookmarkEnd w:id="174"/>
      <w:bookmarkEnd w:id="175"/>
    </w:p>
    <w:p>
      <w:pPr>
        <w:pStyle w:val="3"/>
        <w:rPr>
          <w:rStyle w:val="23"/>
          <w:rFonts w:ascii="仿宋" w:hAnsi="仿宋" w:eastAsia="仿宋"/>
          <w:b w:val="0"/>
          <w:bCs w:val="0"/>
        </w:rPr>
      </w:pPr>
      <w:bookmarkStart w:id="176" w:name="_Toc79163649"/>
      <w:bookmarkStart w:id="177" w:name="_Toc79163899"/>
      <w:r>
        <w:rPr>
          <w:rStyle w:val="23"/>
          <w:rFonts w:hint="eastAsia" w:ascii="仿宋" w:hAnsi="仿宋" w:eastAsia="仿宋"/>
          <w:b w:val="0"/>
          <w:bCs w:val="0"/>
        </w:rPr>
        <w:t>十四、国有资本经营预算财政拨款支出决算表</w:t>
      </w:r>
      <w:bookmarkEnd w:id="176"/>
      <w:bookmarkEnd w:id="17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28</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F2416298"/>
    <w:multiLevelType w:val="singleLevel"/>
    <w:tmpl w:val="F2416298"/>
    <w:lvl w:ilvl="0" w:tentative="0">
      <w:start w:val="10"/>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4116703C"/>
    <w:multiLevelType w:val="singleLevel"/>
    <w:tmpl w:val="4116703C"/>
    <w:lvl w:ilvl="0" w:tentative="0">
      <w:start w:val="15"/>
      <w:numFmt w:val="decimal"/>
      <w:lvlText w:val="%1."/>
      <w:lvlJc w:val="left"/>
      <w:pPr>
        <w:tabs>
          <w:tab w:val="left" w:pos="312"/>
        </w:tabs>
      </w:pPr>
    </w:lvl>
  </w:abstractNum>
  <w:abstractNum w:abstractNumId="7">
    <w:nsid w:val="44A8E491"/>
    <w:multiLevelType w:val="singleLevel"/>
    <w:tmpl w:val="44A8E491"/>
    <w:lvl w:ilvl="0" w:tentative="0">
      <w:start w:val="2"/>
      <w:numFmt w:val="chineseCounting"/>
      <w:suff w:val="nothing"/>
      <w:lvlText w:val="（%1）"/>
      <w:lvlJc w:val="left"/>
      <w:rPr>
        <w:rFonts w:hint="eastAsia"/>
      </w:rPr>
    </w:lvl>
  </w:abstractNum>
  <w:abstractNum w:abstractNumId="8">
    <w:nsid w:val="5DFA34F7"/>
    <w:multiLevelType w:val="singleLevel"/>
    <w:tmpl w:val="5DFA34F7"/>
    <w:lvl w:ilvl="0" w:tentative="0">
      <w:start w:val="10"/>
      <w:numFmt w:val="decimal"/>
      <w:lvlText w:val="%1."/>
      <w:lvlJc w:val="left"/>
      <w:pPr>
        <w:tabs>
          <w:tab w:val="left" w:pos="312"/>
        </w:tabs>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1CB9"/>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75735"/>
    <w:rsid w:val="0018106D"/>
    <w:rsid w:val="001877A7"/>
    <w:rsid w:val="00191536"/>
    <w:rsid w:val="00196687"/>
    <w:rsid w:val="001C0962"/>
    <w:rsid w:val="001C7687"/>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03B"/>
    <w:rsid w:val="00872FD8"/>
    <w:rsid w:val="008802A0"/>
    <w:rsid w:val="00885AF4"/>
    <w:rsid w:val="00892977"/>
    <w:rsid w:val="008939CD"/>
    <w:rsid w:val="008B768C"/>
    <w:rsid w:val="008C4DB1"/>
    <w:rsid w:val="008C4EAF"/>
    <w:rsid w:val="008C5176"/>
    <w:rsid w:val="008C7FD0"/>
    <w:rsid w:val="008D166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3B07"/>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C718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E2447"/>
    <w:rsid w:val="00FF1E02"/>
    <w:rsid w:val="00FF30B4"/>
    <w:rsid w:val="0A2032A3"/>
    <w:rsid w:val="10C055FF"/>
    <w:rsid w:val="118107EC"/>
    <w:rsid w:val="16BB723D"/>
    <w:rsid w:val="1D155CEE"/>
    <w:rsid w:val="240371BF"/>
    <w:rsid w:val="29FD04D3"/>
    <w:rsid w:val="319F7F4E"/>
    <w:rsid w:val="4ECE2238"/>
    <w:rsid w:val="569A5C7D"/>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3662305008949"/>
          <c:y val="0.0907422710775014"/>
          <c:w val="0.889512138894154"/>
          <c:h val="0.811558117319592"/>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支出</c:v>
                </c:pt>
                <c:pt idx="1">
                  <c:v>收入</c:v>
                </c:pt>
              </c:strCache>
            </c:strRef>
          </c:cat>
          <c:val>
            <c:numRef>
              <c:f>Sheet1!$B$2:$B$3</c:f>
              <c:numCache>
                <c:formatCode>General</c:formatCode>
                <c:ptCount val="2"/>
                <c:pt idx="0">
                  <c:v>322</c:v>
                </c:pt>
                <c:pt idx="1">
                  <c:v>298.1</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Sheet1!$A$2:$A$3</c:f>
              <c:strCache>
                <c:ptCount val="2"/>
                <c:pt idx="0">
                  <c:v>支出</c:v>
                </c:pt>
                <c:pt idx="1">
                  <c:v>收入</c:v>
                </c:pt>
              </c:strCache>
            </c:strRef>
          </c:cat>
          <c:val>
            <c:numRef>
              <c:f>Sheet1!$C$2:$C$3</c:f>
              <c:numCache>
                <c:formatCode>General</c:formatCode>
                <c:ptCount val="2"/>
                <c:pt idx="0">
                  <c:v>311.66</c:v>
                </c:pt>
                <c:pt idx="1">
                  <c:v>327.49</c:v>
                </c:pt>
              </c:numCache>
            </c:numRef>
          </c:val>
        </c:ser>
        <c:dLbls>
          <c:showLegendKey val="0"/>
          <c:showVal val="0"/>
          <c:showCatName val="0"/>
          <c:showSerName val="0"/>
          <c:showPercent val="0"/>
          <c:showBubbleSize val="0"/>
        </c:dLbls>
        <c:gapWidth val="219"/>
        <c:overlap val="-27"/>
        <c:axId val="112489984"/>
        <c:axId val="96149888"/>
      </c:barChart>
      <c:catAx>
        <c:axId val="1124899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49888"/>
        <c:crosses val="autoZero"/>
        <c:auto val="1"/>
        <c:lblAlgn val="ctr"/>
        <c:lblOffset val="100"/>
        <c:noMultiLvlLbl val="0"/>
      </c:catAx>
      <c:valAx>
        <c:axId val="961498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24899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92.4</c:v>
                </c:pt>
                <c:pt idx="1">
                  <c:v>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53662305008949"/>
          <c:y val="0.0907422710775014"/>
          <c:w val="0.889512138894154"/>
          <c:h val="0.811558117319593"/>
        </c:manualLayout>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支出</c:v>
                </c:pt>
                <c:pt idx="1">
                  <c:v>收入</c:v>
                </c:pt>
              </c:strCache>
            </c:strRef>
          </c:cat>
          <c:val>
            <c:numRef>
              <c:f>Sheet1!$B$2:$B$3</c:f>
              <c:numCache>
                <c:formatCode>General</c:formatCode>
                <c:ptCount val="2"/>
                <c:pt idx="0">
                  <c:v>322</c:v>
                </c:pt>
                <c:pt idx="1">
                  <c:v>298.1</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Sheet1!$A$2:$A$3</c:f>
              <c:strCache>
                <c:ptCount val="2"/>
                <c:pt idx="0">
                  <c:v>支出</c:v>
                </c:pt>
                <c:pt idx="1">
                  <c:v>收入</c:v>
                </c:pt>
              </c:strCache>
            </c:strRef>
          </c:cat>
          <c:val>
            <c:numRef>
              <c:f>Sheet1!$C$2:$C$3</c:f>
              <c:numCache>
                <c:formatCode>General</c:formatCode>
                <c:ptCount val="2"/>
                <c:pt idx="0">
                  <c:v>311.66</c:v>
                </c:pt>
                <c:pt idx="1">
                  <c:v>327.49</c:v>
                </c:pt>
              </c:numCache>
            </c:numRef>
          </c:val>
        </c:ser>
        <c:dLbls>
          <c:showLegendKey val="0"/>
          <c:showVal val="0"/>
          <c:showCatName val="0"/>
          <c:showSerName val="0"/>
          <c:showPercent val="0"/>
          <c:showBubbleSize val="0"/>
        </c:dLbls>
        <c:gapWidth val="219"/>
        <c:overlap val="-27"/>
        <c:axId val="96016256"/>
        <c:axId val="96077696"/>
      </c:barChart>
      <c:catAx>
        <c:axId val="9601625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077696"/>
        <c:crosses val="autoZero"/>
        <c:auto val="1"/>
        <c:lblAlgn val="ctr"/>
        <c:lblOffset val="100"/>
        <c:noMultiLvlLbl val="0"/>
      </c:catAx>
      <c:valAx>
        <c:axId val="960776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0162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28615384615385"/>
          <c:y val="0.0453982666116385"/>
          <c:w val="0.810215384615385"/>
          <c:h val="0.770408584399505"/>
        </c:manualLayout>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311.66</c:v>
                </c:pt>
              </c:numCache>
            </c:numRef>
          </c:val>
        </c:ser>
        <c:ser>
          <c:idx val="1"/>
          <c:order val="1"/>
          <c:tx>
            <c:strRef>
              <c:f>Sheet1!$C$1</c:f>
              <c:strCache>
                <c:ptCount val="1"/>
                <c:pt idx="0">
                  <c:v>2020</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322</c:v>
                </c:pt>
              </c:numCache>
            </c:numRef>
          </c:val>
        </c:ser>
        <c:dLbls>
          <c:showLegendKey val="0"/>
          <c:showVal val="0"/>
          <c:showCatName val="0"/>
          <c:showSerName val="0"/>
          <c:showPercent val="0"/>
          <c:showBubbleSize val="0"/>
        </c:dLbls>
        <c:gapWidth val="219"/>
        <c:overlap val="-27"/>
        <c:axId val="95912320"/>
        <c:axId val="95913856"/>
      </c:barChart>
      <c:catAx>
        <c:axId val="9591232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913856"/>
        <c:crosses val="autoZero"/>
        <c:auto val="1"/>
        <c:lblAlgn val="ctr"/>
        <c:lblOffset val="100"/>
        <c:noMultiLvlLbl val="0"/>
      </c:catAx>
      <c:valAx>
        <c:axId val="959138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912320"/>
        <c:crosses val="autoZero"/>
        <c:crossBetween val="between"/>
      </c:valAx>
      <c:spPr>
        <a:noFill/>
        <a:ln>
          <a:noFill/>
        </a:ln>
        <a:effectLst/>
      </c:spPr>
    </c:plotArea>
    <c:legend>
      <c:legendPos val="b"/>
      <c:layout>
        <c:manualLayout>
          <c:xMode val="edge"/>
          <c:yMode val="edge"/>
          <c:x val="0.0688170295742606"/>
          <c:y val="0.86903183023872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233.1</c:v>
                </c:pt>
                <c:pt idx="1">
                  <c:v>33.92</c:v>
                </c:pt>
                <c:pt idx="2">
                  <c:v>23.97</c:v>
                </c:pt>
                <c:pt idx="3">
                  <c:v>5.98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5737B-E634-4CAE-B69C-96DD43AEEB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2070</Words>
  <Characters>11802</Characters>
  <Lines>98</Lines>
  <Paragraphs>27</Paragraphs>
  <TotalTime>40</TotalTime>
  <ScaleCrop>false</ScaleCrop>
  <LinksUpToDate>false</LinksUpToDate>
  <CharactersWithSpaces>13845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2021-12-06T05:38:00Z</dcterms:created>
  <dc:creator>曹颖</dc:creator>
  <cp:lastModifiedBy>Administrator</cp:lastModifiedBy>
  <cp:lastPrinted>2021-07-29T03:56:00Z</cp:lastPrinted>
  <dcterms:modified xsi:type="dcterms:W3CDTF">2021-12-06T02:19:07Z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F11E8CE1E17A404D94F2430468172E83</vt:lpwstr>
  </property>
</Properties>
</file>