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bookmarkStart w:id="136" w:name="_GoBack"/>
      <w:bookmarkEnd w:id="136"/>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425"/>
      <w:bookmarkStart w:id="3" w:name="_Toc15396475"/>
      <w:bookmarkStart w:id="4" w:name="_Toc15377193"/>
      <w:bookmarkStart w:id="5" w:name="_Toc15396597"/>
      <w:bookmarkStart w:id="6" w:name="_Toc21558"/>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96598"/>
      <w:bookmarkStart w:id="8" w:name="_Toc15377426"/>
      <w:bookmarkStart w:id="9" w:name="_Toc17817"/>
      <w:bookmarkStart w:id="10" w:name="_Toc15378442"/>
      <w:bookmarkStart w:id="11" w:name="_Toc15396476"/>
      <w:bookmarkStart w:id="12" w:name="_Toc15377194"/>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3" w:name="_Toc15306268"/>
      <w:r>
        <w:rPr>
          <w:rFonts w:hint="eastAsia" w:ascii="方正小标宋简体" w:hAnsi="宋体" w:eastAsia="方正小标宋简体"/>
          <w:color w:val="000000"/>
          <w:sz w:val="72"/>
          <w:szCs w:val="72"/>
          <w:lang w:val="en-US" w:eastAsia="zh-CN"/>
        </w:rPr>
        <w:t>麦洼寺管会</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sdt>
      <w:sdtPr>
        <w:rPr>
          <w:rFonts w:ascii="宋体" w:hAnsi="宋体" w:eastAsia="宋体" w:cs="Times New Roman"/>
          <w:kern w:val="2"/>
          <w:sz w:val="21"/>
          <w:szCs w:val="24"/>
          <w:lang w:val="en-US" w:eastAsia="zh-CN" w:bidi="ar-SA"/>
        </w:rPr>
        <w:id w:val="147469871"/>
        <w15:color w:val="DBDBDB"/>
        <w:docPartObj>
          <w:docPartGallery w:val="Table of Contents"/>
          <w:docPartUnique/>
        </w:docPartObj>
      </w:sdtPr>
      <w:sdtEndPr>
        <w:rPr>
          <w:rFonts w:ascii="Times New Roman" w:hAnsi="Times New Roman"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32"/>
            <w:tabs>
              <w:tab w:val="right" w:leader="dot" w:pos="8306"/>
            </w:tabs>
          </w:pPr>
          <w:r>
            <w:fldChar w:fldCharType="begin"/>
          </w:r>
          <w:r>
            <w:instrText xml:space="preserve">TOC \o "1-3" \h \u </w:instrText>
          </w:r>
          <w:r>
            <w:fldChar w:fldCharType="separate"/>
          </w:r>
          <w:r>
            <w:fldChar w:fldCharType="begin"/>
          </w:r>
          <w:r>
            <w:instrText xml:space="preserve"> HYPERLINK \l _Toc21558 </w:instrText>
          </w:r>
          <w:r>
            <w:fldChar w:fldCharType="separate"/>
          </w:r>
          <w:r>
            <w:rPr>
              <w:rFonts w:ascii="黑体" w:hAnsi="黑体" w:eastAsia="黑体"/>
              <w:szCs w:val="72"/>
            </w:rPr>
            <w:t>201</w:t>
          </w:r>
          <w:r>
            <w:rPr>
              <w:rFonts w:hint="eastAsia" w:ascii="黑体" w:hAnsi="黑体" w:eastAsia="黑体"/>
              <w:szCs w:val="72"/>
            </w:rPr>
            <w:t>9</w:t>
          </w:r>
          <w:r>
            <w:rPr>
              <w:rFonts w:hint="eastAsia" w:ascii="方正小标宋简体" w:hAnsi="宋体" w:eastAsia="方正小标宋简体"/>
              <w:szCs w:val="72"/>
            </w:rPr>
            <w:t>年度</w:t>
          </w:r>
          <w:r>
            <w:tab/>
          </w:r>
          <w:r>
            <w:fldChar w:fldCharType="begin"/>
          </w:r>
          <w:r>
            <w:instrText xml:space="preserve"> PAGEREF _Toc21558 </w:instrText>
          </w:r>
          <w:r>
            <w:fldChar w:fldCharType="separate"/>
          </w:r>
          <w:r>
            <w:t>1</w:t>
          </w:r>
          <w:r>
            <w:fldChar w:fldCharType="end"/>
          </w:r>
          <w:r>
            <w:fldChar w:fldCharType="end"/>
          </w:r>
        </w:p>
        <w:p>
          <w:pPr>
            <w:pStyle w:val="32"/>
            <w:tabs>
              <w:tab w:val="right" w:leader="dot" w:pos="8306"/>
            </w:tabs>
          </w:pPr>
          <w:r>
            <w:fldChar w:fldCharType="begin"/>
          </w:r>
          <w:r>
            <w:instrText xml:space="preserve"> HYPERLINK \l _Toc17817 </w:instrText>
          </w:r>
          <w:r>
            <w:fldChar w:fldCharType="separate"/>
          </w:r>
          <w:r>
            <w:rPr>
              <w:rFonts w:hint="eastAsia" w:ascii="方正小标宋简体" w:hAnsi="宋体" w:eastAsia="方正小标宋简体"/>
              <w:szCs w:val="72"/>
            </w:rPr>
            <w:t>四川省阿坝州</w:t>
          </w:r>
          <w:r>
            <w:rPr>
              <w:rFonts w:hint="eastAsia" w:ascii="方正小标宋简体" w:hAnsi="宋体" w:eastAsia="方正小标宋简体"/>
              <w:szCs w:val="72"/>
              <w:lang w:eastAsia="zh-CN"/>
            </w:rPr>
            <w:t>红原县</w:t>
          </w:r>
          <w:r>
            <w:rPr>
              <w:rFonts w:hint="eastAsia" w:ascii="方正小标宋简体" w:hAnsi="宋体" w:eastAsia="方正小标宋简体"/>
              <w:szCs w:val="72"/>
              <w:lang w:val="en-US" w:eastAsia="zh-CN"/>
            </w:rPr>
            <w:t>麦洼寺管会</w:t>
          </w:r>
          <w:r>
            <w:rPr>
              <w:rFonts w:hint="eastAsia" w:ascii="方正小标宋简体" w:hAnsi="宋体" w:eastAsia="方正小标宋简体"/>
              <w:szCs w:val="72"/>
            </w:rPr>
            <w:t>部门决算</w:t>
          </w:r>
          <w:r>
            <w:tab/>
          </w:r>
          <w:r>
            <w:fldChar w:fldCharType="begin"/>
          </w:r>
          <w:r>
            <w:instrText xml:space="preserve"> PAGEREF _Toc17817 </w:instrText>
          </w:r>
          <w:r>
            <w:fldChar w:fldCharType="separate"/>
          </w:r>
          <w:r>
            <w:t>1</w:t>
          </w:r>
          <w:r>
            <w:fldChar w:fldCharType="end"/>
          </w:r>
          <w:r>
            <w:fldChar w:fldCharType="end"/>
          </w:r>
        </w:p>
        <w:p>
          <w:pPr>
            <w:pStyle w:val="32"/>
            <w:tabs>
              <w:tab w:val="right" w:leader="dot" w:pos="8306"/>
            </w:tabs>
          </w:pPr>
          <w:r>
            <w:fldChar w:fldCharType="begin"/>
          </w:r>
          <w:r>
            <w:instrText xml:space="preserve"> HYPERLINK \l _Toc32518 </w:instrText>
          </w:r>
          <w:r>
            <w:fldChar w:fldCharType="separate"/>
          </w:r>
          <w:r>
            <w:rPr>
              <w:rFonts w:hint="eastAsia"/>
            </w:rPr>
            <w:t>第一部分</w:t>
          </w:r>
          <w:r>
            <w:t xml:space="preserve"> </w:t>
          </w:r>
          <w:r>
            <w:rPr>
              <w:rFonts w:hint="eastAsia"/>
            </w:rPr>
            <w:t>部门概况</w:t>
          </w:r>
          <w:r>
            <w:tab/>
          </w:r>
          <w:r>
            <w:fldChar w:fldCharType="begin"/>
          </w:r>
          <w:r>
            <w:instrText xml:space="preserve"> PAGEREF _Toc32518 </w:instrText>
          </w:r>
          <w:r>
            <w:fldChar w:fldCharType="separate"/>
          </w:r>
          <w:r>
            <w:t>4</w:t>
          </w:r>
          <w:r>
            <w:fldChar w:fldCharType="end"/>
          </w:r>
          <w:r>
            <w:fldChar w:fldCharType="end"/>
          </w:r>
        </w:p>
        <w:p>
          <w:pPr>
            <w:pStyle w:val="32"/>
            <w:tabs>
              <w:tab w:val="right" w:leader="dot" w:pos="8306"/>
            </w:tabs>
          </w:pPr>
          <w:r>
            <w:fldChar w:fldCharType="begin"/>
          </w:r>
          <w:r>
            <w:instrText xml:space="preserve"> HYPERLINK \l _Toc13872 </w:instrText>
          </w:r>
          <w:r>
            <w:fldChar w:fldCharType="separate"/>
          </w:r>
          <w:r>
            <w:rPr>
              <w:rFonts w:hint="eastAsia" w:ascii="仿宋" w:hAnsi="仿宋" w:eastAsia="仿宋" w:cs="Times New Roman"/>
              <w:kern w:val="2"/>
              <w:szCs w:val="28"/>
              <w:lang w:val="en-US" w:eastAsia="zh-CN" w:bidi="ar-SA"/>
            </w:rPr>
            <w:t>第二部分度部门决算情况说明</w:t>
          </w:r>
          <w:r>
            <w:tab/>
          </w:r>
          <w:r>
            <w:fldChar w:fldCharType="begin"/>
          </w:r>
          <w:r>
            <w:instrText xml:space="preserve"> PAGEREF _Toc13872 </w:instrText>
          </w:r>
          <w:r>
            <w:fldChar w:fldCharType="separate"/>
          </w:r>
          <w:r>
            <w:t>4</w:t>
          </w:r>
          <w:r>
            <w:fldChar w:fldCharType="end"/>
          </w:r>
          <w:r>
            <w:fldChar w:fldCharType="end"/>
          </w:r>
        </w:p>
        <w:p>
          <w:pPr>
            <w:pStyle w:val="32"/>
            <w:tabs>
              <w:tab w:val="right" w:leader="dot" w:pos="8306"/>
            </w:tabs>
          </w:pPr>
          <w:r>
            <w:fldChar w:fldCharType="begin"/>
          </w:r>
          <w:r>
            <w:instrText xml:space="preserve"> HYPERLINK \l _Toc464 </w:instrText>
          </w:r>
          <w:r>
            <w:fldChar w:fldCharType="separate"/>
          </w:r>
          <w:r>
            <w:rPr>
              <w:rFonts w:hint="eastAsia" w:ascii="仿宋" w:hAnsi="仿宋" w:eastAsia="仿宋" w:cs="Times New Roman"/>
              <w:kern w:val="2"/>
              <w:szCs w:val="28"/>
              <w:lang w:val="en-US" w:eastAsia="zh-CN" w:bidi="ar-SA"/>
            </w:rPr>
            <w:t>第三部分</w:t>
          </w:r>
          <w:r>
            <w:rPr>
              <w:rFonts w:ascii="仿宋" w:hAnsi="仿宋" w:eastAsia="仿宋" w:cs="Times New Roman"/>
              <w:kern w:val="2"/>
              <w:szCs w:val="28"/>
              <w:lang w:val="en-US" w:eastAsia="zh-CN" w:bidi="ar-SA"/>
            </w:rPr>
            <w:t xml:space="preserve"> </w:t>
          </w:r>
          <w:r>
            <w:rPr>
              <w:rFonts w:hint="eastAsia" w:ascii="仿宋" w:hAnsi="仿宋" w:eastAsia="仿宋" w:cs="Times New Roman"/>
              <w:kern w:val="2"/>
              <w:szCs w:val="28"/>
              <w:lang w:val="en-US" w:eastAsia="zh-CN" w:bidi="ar-SA"/>
            </w:rPr>
            <w:t>名词解释</w:t>
          </w:r>
          <w:r>
            <w:tab/>
          </w:r>
          <w:r>
            <w:fldChar w:fldCharType="begin"/>
          </w:r>
          <w:r>
            <w:instrText xml:space="preserve"> PAGEREF _Toc464 </w:instrText>
          </w:r>
          <w:r>
            <w:fldChar w:fldCharType="separate"/>
          </w:r>
          <w:r>
            <w:t>4</w:t>
          </w:r>
          <w:r>
            <w:fldChar w:fldCharType="end"/>
          </w:r>
          <w:r>
            <w:fldChar w:fldCharType="end"/>
          </w:r>
        </w:p>
        <w:p>
          <w:pPr>
            <w:pStyle w:val="32"/>
            <w:tabs>
              <w:tab w:val="right" w:leader="dot" w:pos="8306"/>
            </w:tabs>
          </w:pPr>
          <w:r>
            <w:fldChar w:fldCharType="begin"/>
          </w:r>
          <w:r>
            <w:instrText xml:space="preserve"> HYPERLINK \l _Toc14657 </w:instrText>
          </w:r>
          <w:r>
            <w:fldChar w:fldCharType="separate"/>
          </w:r>
          <w:r>
            <w:rPr>
              <w:rFonts w:hint="eastAsia" w:ascii="仿宋" w:hAnsi="仿宋" w:eastAsia="仿宋" w:cs="Times New Roman"/>
              <w:kern w:val="2"/>
              <w:szCs w:val="28"/>
              <w:lang w:val="en-US" w:eastAsia="zh-CN" w:bidi="ar-SA"/>
            </w:rPr>
            <w:t>第四部分</w:t>
          </w:r>
          <w:r>
            <w:rPr>
              <w:rFonts w:ascii="仿宋" w:hAnsi="仿宋" w:eastAsia="仿宋" w:cs="Times New Roman"/>
              <w:kern w:val="2"/>
              <w:szCs w:val="28"/>
              <w:lang w:val="en-US" w:eastAsia="zh-CN" w:bidi="ar-SA"/>
            </w:rPr>
            <w:t xml:space="preserve"> </w:t>
          </w:r>
          <w:r>
            <w:rPr>
              <w:rFonts w:hint="eastAsia" w:ascii="仿宋" w:hAnsi="仿宋" w:eastAsia="仿宋" w:cs="Times New Roman"/>
              <w:kern w:val="2"/>
              <w:szCs w:val="28"/>
              <w:lang w:val="en-US" w:eastAsia="zh-CN" w:bidi="ar-SA"/>
            </w:rPr>
            <w:t>附件</w:t>
          </w:r>
          <w:r>
            <w:tab/>
          </w:r>
          <w:r>
            <w:fldChar w:fldCharType="begin"/>
          </w:r>
          <w:r>
            <w:instrText xml:space="preserve"> PAGEREF _Toc14657 </w:instrText>
          </w:r>
          <w:r>
            <w:fldChar w:fldCharType="separate"/>
          </w:r>
          <w:r>
            <w:t>4</w:t>
          </w:r>
          <w:r>
            <w:fldChar w:fldCharType="end"/>
          </w:r>
          <w:r>
            <w:fldChar w:fldCharType="end"/>
          </w:r>
        </w:p>
        <w:p>
          <w:pPr>
            <w:pStyle w:val="32"/>
            <w:tabs>
              <w:tab w:val="right" w:leader="dot" w:pos="8306"/>
            </w:tabs>
          </w:pPr>
          <w:r>
            <w:fldChar w:fldCharType="begin"/>
          </w:r>
          <w:r>
            <w:instrText xml:space="preserve"> HYPERLINK \l _Toc15084 </w:instrText>
          </w:r>
          <w:r>
            <w:fldChar w:fldCharType="separate"/>
          </w:r>
          <w:r>
            <w:rPr>
              <w:rFonts w:hint="eastAsia" w:ascii="仿宋" w:hAnsi="仿宋" w:eastAsia="仿宋" w:cs="Times New Roman"/>
              <w:kern w:val="2"/>
              <w:szCs w:val="28"/>
              <w:lang w:val="en-US" w:eastAsia="zh-CN" w:bidi="ar-SA"/>
            </w:rPr>
            <w:t>第五部分</w:t>
          </w:r>
          <w:r>
            <w:rPr>
              <w:rFonts w:ascii="仿宋" w:hAnsi="仿宋" w:eastAsia="仿宋" w:cs="Times New Roman"/>
              <w:kern w:val="2"/>
              <w:szCs w:val="28"/>
              <w:lang w:val="en-US" w:eastAsia="zh-CN" w:bidi="ar-SA"/>
            </w:rPr>
            <w:t xml:space="preserve"> </w:t>
          </w:r>
          <w:r>
            <w:rPr>
              <w:rFonts w:hint="eastAsia" w:ascii="仿宋" w:hAnsi="仿宋" w:eastAsia="仿宋" w:cs="Times New Roman"/>
              <w:kern w:val="2"/>
              <w:szCs w:val="28"/>
              <w:lang w:val="en-US" w:eastAsia="zh-CN" w:bidi="ar-SA"/>
            </w:rPr>
            <w:t>附表</w:t>
          </w:r>
          <w:r>
            <w:tab/>
          </w:r>
          <w:r>
            <w:fldChar w:fldCharType="begin"/>
          </w:r>
          <w:r>
            <w:instrText xml:space="preserve"> PAGEREF _Toc15084 </w:instrText>
          </w:r>
          <w:r>
            <w:fldChar w:fldCharType="separate"/>
          </w:r>
          <w:r>
            <w:t>4</w:t>
          </w:r>
          <w:r>
            <w:fldChar w:fldCharType="end"/>
          </w:r>
          <w:r>
            <w:fldChar w:fldCharType="end"/>
          </w:r>
        </w:p>
        <w:p>
          <w:pPr>
            <w:pStyle w:val="32"/>
            <w:tabs>
              <w:tab w:val="right" w:leader="dot" w:pos="8306"/>
            </w:tabs>
          </w:pPr>
          <w:r>
            <w:fldChar w:fldCharType="begin"/>
          </w:r>
          <w:r>
            <w:instrText xml:space="preserve"> HYPERLINK \l _Toc6437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_Toc6437 </w:instrText>
          </w:r>
          <w:r>
            <w:fldChar w:fldCharType="separate"/>
          </w:r>
          <w:r>
            <w:t>6</w:t>
          </w:r>
          <w:r>
            <w:fldChar w:fldCharType="end"/>
          </w:r>
          <w:r>
            <w:fldChar w:fldCharType="end"/>
          </w:r>
        </w:p>
        <w:p>
          <w:pPr>
            <w:pStyle w:val="33"/>
            <w:tabs>
              <w:tab w:val="right" w:leader="dot" w:pos="8306"/>
            </w:tabs>
          </w:pPr>
          <w:r>
            <w:fldChar w:fldCharType="begin"/>
          </w:r>
          <w:r>
            <w:instrText xml:space="preserve"> HYPERLINK \l _Toc830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_Toc830 </w:instrText>
          </w:r>
          <w:r>
            <w:fldChar w:fldCharType="separate"/>
          </w:r>
          <w:r>
            <w:t>6</w:t>
          </w:r>
          <w:r>
            <w:fldChar w:fldCharType="end"/>
          </w:r>
          <w:r>
            <w:fldChar w:fldCharType="end"/>
          </w:r>
        </w:p>
        <w:p>
          <w:pPr>
            <w:pStyle w:val="34"/>
            <w:tabs>
              <w:tab w:val="right" w:leader="dot" w:pos="8306"/>
            </w:tabs>
          </w:pPr>
          <w:r>
            <w:fldChar w:fldCharType="begin"/>
          </w:r>
          <w:r>
            <w:instrText xml:space="preserve"> HYPERLINK \l _Toc27477 </w:instrText>
          </w:r>
          <w:r>
            <w:fldChar w:fldCharType="separate"/>
          </w:r>
          <w:r>
            <w:rPr>
              <w:rFonts w:hint="eastAsia" w:ascii="仿宋" w:hAnsi="仿宋" w:eastAsia="仿宋"/>
              <w:bCs/>
              <w:szCs w:val="32"/>
            </w:rPr>
            <w:t>（一）主要职能。（职能参照省政府批准的三定方案）</w:t>
          </w:r>
          <w:r>
            <w:tab/>
          </w:r>
          <w:r>
            <w:fldChar w:fldCharType="begin"/>
          </w:r>
          <w:r>
            <w:instrText xml:space="preserve"> PAGEREF _Toc27477 </w:instrText>
          </w:r>
          <w:r>
            <w:fldChar w:fldCharType="separate"/>
          </w:r>
          <w:r>
            <w:t>6</w:t>
          </w:r>
          <w:r>
            <w:fldChar w:fldCharType="end"/>
          </w:r>
          <w:r>
            <w:fldChar w:fldCharType="end"/>
          </w:r>
        </w:p>
        <w:p>
          <w:pPr>
            <w:pStyle w:val="34"/>
            <w:tabs>
              <w:tab w:val="right" w:leader="dot" w:pos="8306"/>
            </w:tabs>
          </w:pPr>
          <w:r>
            <w:fldChar w:fldCharType="begin"/>
          </w:r>
          <w:r>
            <w:instrText xml:space="preserve"> HYPERLINK \l _Toc19451 </w:instrText>
          </w:r>
          <w:r>
            <w:fldChar w:fldCharType="separate"/>
          </w:r>
          <w:r>
            <w:rPr>
              <w:rFonts w:hint="eastAsia" w:ascii="仿宋" w:hAnsi="仿宋" w:eastAsia="仿宋"/>
              <w:bCs/>
              <w:szCs w:val="32"/>
            </w:rPr>
            <w:t>（二）</w:t>
          </w:r>
          <w:r>
            <w:rPr>
              <w:rFonts w:ascii="仿宋" w:hAnsi="仿宋" w:eastAsia="仿宋"/>
              <w:bCs/>
              <w:szCs w:val="32"/>
            </w:rPr>
            <w:t>201</w:t>
          </w:r>
          <w:r>
            <w:rPr>
              <w:rFonts w:hint="eastAsia" w:ascii="仿宋" w:hAnsi="仿宋" w:eastAsia="仿宋"/>
              <w:bCs/>
              <w:szCs w:val="32"/>
            </w:rPr>
            <w:t>9年重点工作完成情况。</w:t>
          </w:r>
          <w:r>
            <w:tab/>
          </w:r>
          <w:r>
            <w:fldChar w:fldCharType="begin"/>
          </w:r>
          <w:r>
            <w:instrText xml:space="preserve"> PAGEREF _Toc19451 </w:instrText>
          </w:r>
          <w:r>
            <w:fldChar w:fldCharType="separate"/>
          </w:r>
          <w:r>
            <w:t>6</w:t>
          </w:r>
          <w:r>
            <w:fldChar w:fldCharType="end"/>
          </w:r>
          <w:r>
            <w:fldChar w:fldCharType="end"/>
          </w:r>
        </w:p>
        <w:p>
          <w:pPr>
            <w:pStyle w:val="34"/>
            <w:tabs>
              <w:tab w:val="right" w:leader="dot" w:pos="8306"/>
            </w:tabs>
          </w:pPr>
          <w:r>
            <w:fldChar w:fldCharType="begin"/>
          </w:r>
          <w:r>
            <w:instrText xml:space="preserve"> HYPERLINK \l _Toc21987 </w:instrText>
          </w:r>
          <w:r>
            <w:fldChar w:fldCharType="separate"/>
          </w:r>
          <w:r>
            <w:rPr>
              <w:rFonts w:hint="eastAsia" w:ascii="仿宋" w:hAnsi="仿宋" w:eastAsia="仿宋"/>
              <w:bCs/>
              <w:szCs w:val="32"/>
              <w:lang w:val="en-US" w:eastAsia="zh-CN"/>
            </w:rPr>
            <w:t>（一）抓实寺庙依法常态管理工作</w:t>
          </w:r>
          <w:r>
            <w:tab/>
          </w:r>
          <w:r>
            <w:fldChar w:fldCharType="begin"/>
          </w:r>
          <w:r>
            <w:instrText xml:space="preserve"> PAGEREF _Toc21987 </w:instrText>
          </w:r>
          <w:r>
            <w:fldChar w:fldCharType="separate"/>
          </w:r>
          <w:r>
            <w:t>6</w:t>
          </w:r>
          <w:r>
            <w:fldChar w:fldCharType="end"/>
          </w:r>
          <w:r>
            <w:fldChar w:fldCharType="end"/>
          </w:r>
        </w:p>
        <w:p>
          <w:pPr>
            <w:pStyle w:val="34"/>
            <w:tabs>
              <w:tab w:val="right" w:leader="dot" w:pos="8306"/>
            </w:tabs>
          </w:pPr>
          <w:r>
            <w:fldChar w:fldCharType="begin"/>
          </w:r>
          <w:r>
            <w:instrText xml:space="preserve"> HYPERLINK \l _Toc30168 </w:instrText>
          </w:r>
          <w:r>
            <w:fldChar w:fldCharType="separate"/>
          </w:r>
          <w:r>
            <w:rPr>
              <w:rFonts w:hint="eastAsia" w:ascii="仿宋" w:hAnsi="仿宋" w:eastAsia="仿宋"/>
              <w:bCs/>
              <w:szCs w:val="32"/>
              <w:lang w:val="en-US" w:eastAsia="zh-CN"/>
            </w:rPr>
            <w:t>（二）抓实寺庙教育引导工作</w:t>
          </w:r>
          <w:r>
            <w:tab/>
          </w:r>
          <w:r>
            <w:fldChar w:fldCharType="begin"/>
          </w:r>
          <w:r>
            <w:instrText xml:space="preserve"> PAGEREF _Toc30168 </w:instrText>
          </w:r>
          <w:r>
            <w:fldChar w:fldCharType="separate"/>
          </w:r>
          <w:r>
            <w:t>7</w:t>
          </w:r>
          <w:r>
            <w:fldChar w:fldCharType="end"/>
          </w:r>
          <w:r>
            <w:fldChar w:fldCharType="end"/>
          </w:r>
        </w:p>
        <w:p>
          <w:pPr>
            <w:pStyle w:val="34"/>
            <w:tabs>
              <w:tab w:val="right" w:leader="dot" w:pos="8306"/>
            </w:tabs>
          </w:pPr>
          <w:r>
            <w:fldChar w:fldCharType="begin"/>
          </w:r>
          <w:r>
            <w:instrText xml:space="preserve"> HYPERLINK \l _Toc9195 </w:instrText>
          </w:r>
          <w:r>
            <w:fldChar w:fldCharType="separate"/>
          </w:r>
          <w:r>
            <w:rPr>
              <w:rFonts w:hint="eastAsia" w:ascii="仿宋" w:hAnsi="仿宋" w:eastAsia="仿宋"/>
              <w:bCs/>
              <w:szCs w:val="32"/>
              <w:lang w:val="en-US" w:eastAsia="zh-CN"/>
            </w:rPr>
            <w:t>（三）抓实寺庙公共服务工作</w:t>
          </w:r>
          <w:r>
            <w:tab/>
          </w:r>
          <w:r>
            <w:fldChar w:fldCharType="begin"/>
          </w:r>
          <w:r>
            <w:instrText xml:space="preserve"> PAGEREF _Toc9195 </w:instrText>
          </w:r>
          <w:r>
            <w:fldChar w:fldCharType="separate"/>
          </w:r>
          <w:r>
            <w:t>7</w:t>
          </w:r>
          <w:r>
            <w:fldChar w:fldCharType="end"/>
          </w:r>
          <w:r>
            <w:fldChar w:fldCharType="end"/>
          </w:r>
        </w:p>
        <w:p>
          <w:pPr>
            <w:pStyle w:val="34"/>
            <w:tabs>
              <w:tab w:val="right" w:leader="dot" w:pos="8306"/>
            </w:tabs>
          </w:pPr>
          <w:r>
            <w:fldChar w:fldCharType="begin"/>
          </w:r>
          <w:r>
            <w:instrText xml:space="preserve"> HYPERLINK \l _Toc14827 </w:instrText>
          </w:r>
          <w:r>
            <w:fldChar w:fldCharType="separate"/>
          </w:r>
          <w:r>
            <w:rPr>
              <w:rFonts w:hint="eastAsia" w:ascii="仿宋" w:hAnsi="仿宋" w:eastAsia="仿宋"/>
              <w:bCs/>
              <w:szCs w:val="32"/>
              <w:lang w:val="en-US" w:eastAsia="zh-CN"/>
            </w:rPr>
            <w:t>（四） 抓实寺庙环境卫生整治工作</w:t>
          </w:r>
          <w:r>
            <w:tab/>
          </w:r>
          <w:r>
            <w:fldChar w:fldCharType="begin"/>
          </w:r>
          <w:r>
            <w:instrText xml:space="preserve"> PAGEREF _Toc14827 </w:instrText>
          </w:r>
          <w:r>
            <w:fldChar w:fldCharType="separate"/>
          </w:r>
          <w:r>
            <w:t>7</w:t>
          </w:r>
          <w:r>
            <w:fldChar w:fldCharType="end"/>
          </w:r>
          <w:r>
            <w:fldChar w:fldCharType="end"/>
          </w:r>
        </w:p>
        <w:p>
          <w:pPr>
            <w:pStyle w:val="34"/>
            <w:tabs>
              <w:tab w:val="right" w:leader="dot" w:pos="8306"/>
            </w:tabs>
          </w:pPr>
          <w:r>
            <w:fldChar w:fldCharType="begin"/>
          </w:r>
          <w:r>
            <w:instrText xml:space="preserve"> HYPERLINK \l _Toc12891 </w:instrText>
          </w:r>
          <w:r>
            <w:fldChar w:fldCharType="separate"/>
          </w:r>
          <w:r>
            <w:rPr>
              <w:rFonts w:hint="eastAsia" w:ascii="仿宋" w:hAnsi="仿宋" w:eastAsia="仿宋"/>
              <w:bCs/>
              <w:szCs w:val="32"/>
              <w:lang w:val="en-US" w:eastAsia="zh-CN"/>
            </w:rPr>
            <w:t>(五）抓实寺庙消防安全工作</w:t>
          </w:r>
          <w:r>
            <w:tab/>
          </w:r>
          <w:r>
            <w:fldChar w:fldCharType="begin"/>
          </w:r>
          <w:r>
            <w:instrText xml:space="preserve"> PAGEREF _Toc12891 </w:instrText>
          </w:r>
          <w:r>
            <w:fldChar w:fldCharType="separate"/>
          </w:r>
          <w:r>
            <w:t>7</w:t>
          </w:r>
          <w:r>
            <w:fldChar w:fldCharType="end"/>
          </w:r>
          <w:r>
            <w:fldChar w:fldCharType="end"/>
          </w:r>
        </w:p>
        <w:p>
          <w:pPr>
            <w:pStyle w:val="34"/>
            <w:tabs>
              <w:tab w:val="right" w:leader="dot" w:pos="8306"/>
            </w:tabs>
          </w:pPr>
          <w:r>
            <w:fldChar w:fldCharType="begin"/>
          </w:r>
          <w:r>
            <w:instrText xml:space="preserve"> HYPERLINK \l _Toc25696 </w:instrText>
          </w:r>
          <w:r>
            <w:fldChar w:fldCharType="separate"/>
          </w:r>
          <w:r>
            <w:rPr>
              <w:rFonts w:hint="eastAsia" w:ascii="仿宋" w:hAnsi="仿宋" w:eastAsia="仿宋"/>
              <w:bCs/>
              <w:szCs w:val="32"/>
              <w:lang w:val="en-US" w:eastAsia="zh-CN"/>
            </w:rPr>
            <w:t>（六）抓实寺庙维护稳定工作</w:t>
          </w:r>
          <w:r>
            <w:tab/>
          </w:r>
          <w:r>
            <w:fldChar w:fldCharType="begin"/>
          </w:r>
          <w:r>
            <w:instrText xml:space="preserve"> PAGEREF _Toc25696 </w:instrText>
          </w:r>
          <w:r>
            <w:fldChar w:fldCharType="separate"/>
          </w:r>
          <w:r>
            <w:t>7</w:t>
          </w:r>
          <w:r>
            <w:fldChar w:fldCharType="end"/>
          </w:r>
          <w:r>
            <w:fldChar w:fldCharType="end"/>
          </w:r>
        </w:p>
        <w:p>
          <w:pPr>
            <w:pStyle w:val="34"/>
            <w:tabs>
              <w:tab w:val="right" w:leader="dot" w:pos="8306"/>
            </w:tabs>
          </w:pPr>
          <w:r>
            <w:fldChar w:fldCharType="begin"/>
          </w:r>
          <w:r>
            <w:instrText xml:space="preserve"> HYPERLINK \l _Toc29574 </w:instrText>
          </w:r>
          <w:r>
            <w:fldChar w:fldCharType="separate"/>
          </w:r>
          <w:r>
            <w:rPr>
              <w:rFonts w:hint="eastAsia" w:ascii="仿宋" w:hAnsi="仿宋" w:eastAsia="仿宋"/>
              <w:bCs/>
              <w:szCs w:val="32"/>
              <w:lang w:val="en-US" w:eastAsia="zh-CN"/>
            </w:rPr>
            <w:t>（七）积极引导宗教界参与扶贫济困，助推脱贫攻坚</w:t>
          </w:r>
          <w:r>
            <w:tab/>
          </w:r>
          <w:r>
            <w:fldChar w:fldCharType="begin"/>
          </w:r>
          <w:r>
            <w:instrText xml:space="preserve"> PAGEREF _Toc29574 </w:instrText>
          </w:r>
          <w:r>
            <w:fldChar w:fldCharType="separate"/>
          </w:r>
          <w:r>
            <w:t>7</w:t>
          </w:r>
          <w:r>
            <w:fldChar w:fldCharType="end"/>
          </w:r>
          <w:r>
            <w:fldChar w:fldCharType="end"/>
          </w:r>
        </w:p>
        <w:p>
          <w:pPr>
            <w:pStyle w:val="34"/>
            <w:tabs>
              <w:tab w:val="right" w:leader="dot" w:pos="8306"/>
            </w:tabs>
          </w:pPr>
          <w:r>
            <w:fldChar w:fldCharType="begin"/>
          </w:r>
          <w:r>
            <w:instrText xml:space="preserve"> HYPERLINK \l _Toc12520 </w:instrText>
          </w:r>
          <w:r>
            <w:fldChar w:fldCharType="separate"/>
          </w:r>
          <w:r>
            <w:rPr>
              <w:rFonts w:hint="eastAsia" w:ascii="仿宋" w:hAnsi="仿宋" w:eastAsia="仿宋"/>
              <w:bCs/>
              <w:szCs w:val="32"/>
              <w:lang w:val="en-US" w:eastAsia="zh-CN"/>
            </w:rPr>
            <w:t>（八）有力推进党风廉政建设和反腐败工作</w:t>
          </w:r>
          <w:r>
            <w:tab/>
          </w:r>
          <w:r>
            <w:fldChar w:fldCharType="begin"/>
          </w:r>
          <w:r>
            <w:instrText xml:space="preserve"> PAGEREF _Toc12520 </w:instrText>
          </w:r>
          <w:r>
            <w:fldChar w:fldCharType="separate"/>
          </w:r>
          <w:r>
            <w:t>7</w:t>
          </w:r>
          <w:r>
            <w:fldChar w:fldCharType="end"/>
          </w:r>
          <w:r>
            <w:fldChar w:fldCharType="end"/>
          </w:r>
        </w:p>
        <w:p>
          <w:pPr>
            <w:pStyle w:val="33"/>
            <w:tabs>
              <w:tab w:val="right" w:leader="dot" w:pos="8306"/>
            </w:tabs>
          </w:pPr>
          <w:r>
            <w:fldChar w:fldCharType="begin"/>
          </w:r>
          <w:r>
            <w:instrText xml:space="preserve"> HYPERLINK \l _Toc26867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_Toc26867 </w:instrText>
          </w:r>
          <w:r>
            <w:fldChar w:fldCharType="separate"/>
          </w:r>
          <w:r>
            <w:t>7</w:t>
          </w:r>
          <w:r>
            <w:fldChar w:fldCharType="end"/>
          </w:r>
          <w:r>
            <w:fldChar w:fldCharType="end"/>
          </w:r>
        </w:p>
        <w:p>
          <w:pPr>
            <w:pStyle w:val="32"/>
            <w:tabs>
              <w:tab w:val="right" w:leader="dot" w:pos="8306"/>
            </w:tabs>
          </w:pPr>
          <w:r>
            <w:fldChar w:fldCharType="begin"/>
          </w:r>
          <w:r>
            <w:instrText xml:space="preserve"> HYPERLINK \l _Toc7722 </w:instrText>
          </w:r>
          <w:r>
            <w:fldChar w:fldCharType="separate"/>
          </w:r>
          <w:r>
            <w:rPr>
              <w:rFonts w:hint="eastAsia" w:ascii="黑体" w:hAnsi="黑体" w:eastAsia="黑体"/>
            </w:rPr>
            <w:t xml:space="preserve">第二部分 </w:t>
          </w:r>
          <w:r>
            <w:rPr>
              <w:rFonts w:hint="eastAsia" w:ascii="黑体" w:hAnsi="黑体" w:eastAsia="黑体"/>
              <w:bCs w:val="0"/>
            </w:rPr>
            <w:t>2019年度部门决算情况说明</w:t>
          </w:r>
          <w:r>
            <w:tab/>
          </w:r>
          <w:r>
            <w:fldChar w:fldCharType="begin"/>
          </w:r>
          <w:r>
            <w:instrText xml:space="preserve"> PAGEREF _Toc7722 </w:instrText>
          </w:r>
          <w:r>
            <w:fldChar w:fldCharType="separate"/>
          </w:r>
          <w:r>
            <w:t>9</w:t>
          </w:r>
          <w:r>
            <w:fldChar w:fldCharType="end"/>
          </w:r>
          <w:r>
            <w:fldChar w:fldCharType="end"/>
          </w:r>
        </w:p>
        <w:p>
          <w:pPr>
            <w:pStyle w:val="33"/>
            <w:tabs>
              <w:tab w:val="right" w:leader="dot" w:pos="8306"/>
            </w:tabs>
          </w:pPr>
          <w:r>
            <w:fldChar w:fldCharType="begin"/>
          </w:r>
          <w:r>
            <w:instrText xml:space="preserve"> HYPERLINK \l _Toc7342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_Toc7342 </w:instrText>
          </w:r>
          <w:r>
            <w:fldChar w:fldCharType="separate"/>
          </w:r>
          <w:r>
            <w:t>9</w:t>
          </w:r>
          <w:r>
            <w:fldChar w:fldCharType="end"/>
          </w:r>
          <w:r>
            <w:fldChar w:fldCharType="end"/>
          </w:r>
        </w:p>
        <w:p>
          <w:pPr>
            <w:pStyle w:val="33"/>
            <w:tabs>
              <w:tab w:val="right" w:leader="dot" w:pos="8306"/>
            </w:tabs>
          </w:pPr>
          <w:r>
            <w:fldChar w:fldCharType="begin"/>
          </w:r>
          <w:r>
            <w:instrText xml:space="preserve"> HYPERLINK \l _Toc25624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_Toc25624 </w:instrText>
          </w:r>
          <w:r>
            <w:fldChar w:fldCharType="separate"/>
          </w:r>
          <w:r>
            <w:t>9</w:t>
          </w:r>
          <w:r>
            <w:fldChar w:fldCharType="end"/>
          </w:r>
          <w:r>
            <w:fldChar w:fldCharType="end"/>
          </w:r>
        </w:p>
        <w:p>
          <w:pPr>
            <w:pStyle w:val="33"/>
            <w:tabs>
              <w:tab w:val="right" w:leader="dot" w:pos="8306"/>
            </w:tabs>
          </w:pPr>
          <w:r>
            <w:fldChar w:fldCharType="begin"/>
          </w:r>
          <w:r>
            <w:instrText xml:space="preserve"> HYPERLINK \l _Toc9871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_Toc9871 </w:instrText>
          </w:r>
          <w:r>
            <w:fldChar w:fldCharType="separate"/>
          </w:r>
          <w:r>
            <w:t>10</w:t>
          </w:r>
          <w:r>
            <w:fldChar w:fldCharType="end"/>
          </w:r>
          <w:r>
            <w:fldChar w:fldCharType="end"/>
          </w:r>
        </w:p>
        <w:p>
          <w:pPr>
            <w:pStyle w:val="33"/>
            <w:tabs>
              <w:tab w:val="right" w:leader="dot" w:pos="8306"/>
            </w:tabs>
          </w:pPr>
          <w:r>
            <w:fldChar w:fldCharType="begin"/>
          </w:r>
          <w:r>
            <w:instrText xml:space="preserve"> HYPERLINK \l _Toc247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_Toc247 </w:instrText>
          </w:r>
          <w:r>
            <w:fldChar w:fldCharType="separate"/>
          </w:r>
          <w:r>
            <w:t>11</w:t>
          </w:r>
          <w:r>
            <w:fldChar w:fldCharType="end"/>
          </w:r>
          <w:r>
            <w:fldChar w:fldCharType="end"/>
          </w:r>
        </w:p>
        <w:p>
          <w:pPr>
            <w:pStyle w:val="33"/>
            <w:tabs>
              <w:tab w:val="right" w:leader="dot" w:pos="8306"/>
            </w:tabs>
          </w:pPr>
          <w:r>
            <w:fldChar w:fldCharType="begin"/>
          </w:r>
          <w:r>
            <w:instrText xml:space="preserve"> HYPERLINK \l _Toc1148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_Toc1148 </w:instrText>
          </w:r>
          <w:r>
            <w:fldChar w:fldCharType="separate"/>
          </w:r>
          <w:r>
            <w:t>11</w:t>
          </w:r>
          <w:r>
            <w:fldChar w:fldCharType="end"/>
          </w:r>
          <w:r>
            <w:fldChar w:fldCharType="end"/>
          </w:r>
        </w:p>
        <w:p>
          <w:pPr>
            <w:pStyle w:val="34"/>
            <w:tabs>
              <w:tab w:val="right" w:leader="dot" w:pos="8306"/>
            </w:tabs>
          </w:pPr>
          <w:r>
            <w:fldChar w:fldCharType="begin"/>
          </w:r>
          <w:r>
            <w:instrText xml:space="preserve"> HYPERLINK \l _Toc15499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_Toc15499 </w:instrText>
          </w:r>
          <w:r>
            <w:fldChar w:fldCharType="separate"/>
          </w:r>
          <w:r>
            <w:t>11</w:t>
          </w:r>
          <w:r>
            <w:fldChar w:fldCharType="end"/>
          </w:r>
          <w:r>
            <w:fldChar w:fldCharType="end"/>
          </w:r>
        </w:p>
        <w:p>
          <w:pPr>
            <w:pStyle w:val="34"/>
            <w:tabs>
              <w:tab w:val="right" w:leader="dot" w:pos="8306"/>
            </w:tabs>
          </w:pPr>
          <w:r>
            <w:fldChar w:fldCharType="begin"/>
          </w:r>
          <w:r>
            <w:instrText xml:space="preserve"> HYPERLINK \l _Toc12853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_Toc12853 </w:instrText>
          </w:r>
          <w:r>
            <w:fldChar w:fldCharType="separate"/>
          </w:r>
          <w:r>
            <w:t>12</w:t>
          </w:r>
          <w:r>
            <w:fldChar w:fldCharType="end"/>
          </w:r>
          <w:r>
            <w:fldChar w:fldCharType="end"/>
          </w:r>
        </w:p>
        <w:p>
          <w:pPr>
            <w:pStyle w:val="34"/>
            <w:tabs>
              <w:tab w:val="right" w:leader="dot" w:pos="8306"/>
            </w:tabs>
          </w:pPr>
          <w:r>
            <w:fldChar w:fldCharType="begin"/>
          </w:r>
          <w:r>
            <w:instrText xml:space="preserve"> HYPERLINK \l _Toc1700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_Toc1700 </w:instrText>
          </w:r>
          <w:r>
            <w:fldChar w:fldCharType="separate"/>
          </w:r>
          <w:r>
            <w:t>13</w:t>
          </w:r>
          <w:r>
            <w:fldChar w:fldCharType="end"/>
          </w:r>
          <w:r>
            <w:fldChar w:fldCharType="end"/>
          </w:r>
        </w:p>
        <w:p>
          <w:pPr>
            <w:pStyle w:val="33"/>
            <w:tabs>
              <w:tab w:val="right" w:leader="dot" w:pos="8306"/>
            </w:tabs>
          </w:pPr>
          <w:r>
            <w:fldChar w:fldCharType="begin"/>
          </w:r>
          <w:r>
            <w:instrText xml:space="preserve"> HYPERLINK \l _Toc18690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_Toc18690 </w:instrText>
          </w:r>
          <w:r>
            <w:fldChar w:fldCharType="separate"/>
          </w:r>
          <w:r>
            <w:t>14</w:t>
          </w:r>
          <w:r>
            <w:fldChar w:fldCharType="end"/>
          </w:r>
          <w:r>
            <w:fldChar w:fldCharType="end"/>
          </w:r>
        </w:p>
        <w:p>
          <w:pPr>
            <w:pStyle w:val="33"/>
            <w:tabs>
              <w:tab w:val="right" w:leader="dot" w:pos="8306"/>
            </w:tabs>
          </w:pPr>
          <w:r>
            <w:fldChar w:fldCharType="begin"/>
          </w:r>
          <w:r>
            <w:instrText xml:space="preserve"> HYPERLINK \l _Toc1683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_Toc1683 </w:instrText>
          </w:r>
          <w:r>
            <w:fldChar w:fldCharType="separate"/>
          </w:r>
          <w:r>
            <w:t>15</w:t>
          </w:r>
          <w:r>
            <w:fldChar w:fldCharType="end"/>
          </w:r>
          <w:r>
            <w:fldChar w:fldCharType="end"/>
          </w:r>
        </w:p>
        <w:p>
          <w:pPr>
            <w:pStyle w:val="34"/>
            <w:tabs>
              <w:tab w:val="right" w:leader="dot" w:pos="8306"/>
            </w:tabs>
          </w:pPr>
          <w:r>
            <w:fldChar w:fldCharType="begin"/>
          </w:r>
          <w:r>
            <w:instrText xml:space="preserve"> HYPERLINK \l _Toc7296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_Toc7296 </w:instrText>
          </w:r>
          <w:r>
            <w:fldChar w:fldCharType="separate"/>
          </w:r>
          <w:r>
            <w:t>15</w:t>
          </w:r>
          <w:r>
            <w:fldChar w:fldCharType="end"/>
          </w:r>
          <w:r>
            <w:fldChar w:fldCharType="end"/>
          </w:r>
        </w:p>
        <w:p>
          <w:pPr>
            <w:pStyle w:val="34"/>
            <w:tabs>
              <w:tab w:val="right" w:leader="dot" w:pos="8306"/>
            </w:tabs>
          </w:pPr>
          <w:r>
            <w:fldChar w:fldCharType="begin"/>
          </w:r>
          <w:r>
            <w:instrText xml:space="preserve"> HYPERLINK \l _Toc269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_Toc269 </w:instrText>
          </w:r>
          <w:r>
            <w:fldChar w:fldCharType="separate"/>
          </w:r>
          <w:r>
            <w:t>15</w:t>
          </w:r>
          <w:r>
            <w:fldChar w:fldCharType="end"/>
          </w:r>
          <w:r>
            <w:fldChar w:fldCharType="end"/>
          </w:r>
        </w:p>
        <w:p>
          <w:pPr>
            <w:pStyle w:val="33"/>
            <w:tabs>
              <w:tab w:val="right" w:leader="dot" w:pos="8306"/>
            </w:tabs>
          </w:pPr>
          <w:r>
            <w:fldChar w:fldCharType="begin"/>
          </w:r>
          <w:r>
            <w:instrText xml:space="preserve"> HYPERLINK \l _Toc27099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_Toc27099 </w:instrText>
          </w:r>
          <w:r>
            <w:fldChar w:fldCharType="separate"/>
          </w:r>
          <w:r>
            <w:t>16</w:t>
          </w:r>
          <w:r>
            <w:fldChar w:fldCharType="end"/>
          </w:r>
          <w:r>
            <w:fldChar w:fldCharType="end"/>
          </w:r>
        </w:p>
        <w:p>
          <w:pPr>
            <w:pStyle w:val="33"/>
            <w:tabs>
              <w:tab w:val="right" w:leader="dot" w:pos="8306"/>
            </w:tabs>
          </w:pPr>
          <w:r>
            <w:fldChar w:fldCharType="begin"/>
          </w:r>
          <w:r>
            <w:instrText xml:space="preserve"> HYPERLINK \l _Toc4032 </w:instrText>
          </w:r>
          <w:r>
            <w:fldChar w:fldCharType="separate"/>
          </w:r>
          <w:r>
            <w:rPr>
              <w:rFonts w:hint="eastAsia" w:ascii="黑体" w:hAnsi="黑体" w:eastAsia="黑体"/>
            </w:rPr>
            <w:t>九、 国有资本经营预算支出决算情况说明</w:t>
          </w:r>
          <w:r>
            <w:tab/>
          </w:r>
          <w:r>
            <w:fldChar w:fldCharType="begin"/>
          </w:r>
          <w:r>
            <w:instrText xml:space="preserve"> PAGEREF _Toc4032 </w:instrText>
          </w:r>
          <w:r>
            <w:fldChar w:fldCharType="separate"/>
          </w:r>
          <w:r>
            <w:t>16</w:t>
          </w:r>
          <w:r>
            <w:fldChar w:fldCharType="end"/>
          </w:r>
          <w:r>
            <w:fldChar w:fldCharType="end"/>
          </w:r>
        </w:p>
        <w:p>
          <w:pPr>
            <w:pStyle w:val="33"/>
            <w:tabs>
              <w:tab w:val="right" w:leader="dot" w:pos="8306"/>
            </w:tabs>
          </w:pPr>
          <w:r>
            <w:fldChar w:fldCharType="begin"/>
          </w:r>
          <w:r>
            <w:instrText xml:space="preserve"> HYPERLINK \l _Toc21008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_Toc21008 </w:instrText>
          </w:r>
          <w:r>
            <w:fldChar w:fldCharType="separate"/>
          </w:r>
          <w:r>
            <w:t>16</w:t>
          </w:r>
          <w:r>
            <w:fldChar w:fldCharType="end"/>
          </w:r>
          <w:r>
            <w:fldChar w:fldCharType="end"/>
          </w:r>
        </w:p>
        <w:p>
          <w:pPr>
            <w:pStyle w:val="34"/>
            <w:tabs>
              <w:tab w:val="right" w:leader="dot" w:pos="8306"/>
            </w:tabs>
          </w:pPr>
          <w:r>
            <w:fldChar w:fldCharType="begin"/>
          </w:r>
          <w:r>
            <w:instrText xml:space="preserve"> HYPERLINK \l _Toc12373 </w:instrText>
          </w:r>
          <w:r>
            <w:fldChar w:fldCharType="separate"/>
          </w:r>
          <w:r>
            <w:rPr>
              <w:rFonts w:hint="eastAsia" w:ascii="仿宋" w:hAnsi="仿宋" w:eastAsia="仿宋"/>
              <w:szCs w:val="32"/>
            </w:rPr>
            <w:t>（一）机关运行经费支出情况</w:t>
          </w:r>
          <w:r>
            <w:tab/>
          </w:r>
          <w:r>
            <w:fldChar w:fldCharType="begin"/>
          </w:r>
          <w:r>
            <w:instrText xml:space="preserve"> PAGEREF _Toc12373 </w:instrText>
          </w:r>
          <w:r>
            <w:fldChar w:fldCharType="separate"/>
          </w:r>
          <w:r>
            <w:t>16</w:t>
          </w:r>
          <w:r>
            <w:fldChar w:fldCharType="end"/>
          </w:r>
          <w:r>
            <w:fldChar w:fldCharType="end"/>
          </w:r>
        </w:p>
        <w:p>
          <w:pPr>
            <w:pStyle w:val="34"/>
            <w:tabs>
              <w:tab w:val="right" w:leader="dot" w:pos="8306"/>
            </w:tabs>
          </w:pPr>
          <w:r>
            <w:fldChar w:fldCharType="begin"/>
          </w:r>
          <w:r>
            <w:instrText xml:space="preserve"> HYPERLINK \l _Toc8792 </w:instrText>
          </w:r>
          <w:r>
            <w:fldChar w:fldCharType="separate"/>
          </w:r>
          <w:r>
            <w:rPr>
              <w:rFonts w:hint="eastAsia" w:ascii="仿宋" w:hAnsi="仿宋" w:eastAsia="仿宋"/>
              <w:szCs w:val="32"/>
            </w:rPr>
            <w:t>（二）政府采购支出情况</w:t>
          </w:r>
          <w:r>
            <w:tab/>
          </w:r>
          <w:r>
            <w:fldChar w:fldCharType="begin"/>
          </w:r>
          <w:r>
            <w:instrText xml:space="preserve"> PAGEREF _Toc8792 </w:instrText>
          </w:r>
          <w:r>
            <w:fldChar w:fldCharType="separate"/>
          </w:r>
          <w:r>
            <w:t>17</w:t>
          </w:r>
          <w:r>
            <w:fldChar w:fldCharType="end"/>
          </w:r>
          <w:r>
            <w:fldChar w:fldCharType="end"/>
          </w:r>
        </w:p>
        <w:p>
          <w:pPr>
            <w:pStyle w:val="34"/>
            <w:tabs>
              <w:tab w:val="right" w:leader="dot" w:pos="8306"/>
            </w:tabs>
          </w:pPr>
          <w:r>
            <w:fldChar w:fldCharType="begin"/>
          </w:r>
          <w:r>
            <w:instrText xml:space="preserve"> HYPERLINK \l _Toc28807 </w:instrText>
          </w:r>
          <w:r>
            <w:fldChar w:fldCharType="separate"/>
          </w:r>
          <w:r>
            <w:rPr>
              <w:rFonts w:hint="eastAsia" w:ascii="仿宋" w:hAnsi="仿宋" w:eastAsia="仿宋"/>
              <w:szCs w:val="32"/>
            </w:rPr>
            <w:t>（三）国有资产占有使用情况</w:t>
          </w:r>
          <w:r>
            <w:tab/>
          </w:r>
          <w:r>
            <w:fldChar w:fldCharType="begin"/>
          </w:r>
          <w:r>
            <w:instrText xml:space="preserve"> PAGEREF _Toc28807 </w:instrText>
          </w:r>
          <w:r>
            <w:fldChar w:fldCharType="separate"/>
          </w:r>
          <w:r>
            <w:t>17</w:t>
          </w:r>
          <w:r>
            <w:fldChar w:fldCharType="end"/>
          </w:r>
          <w:r>
            <w:fldChar w:fldCharType="end"/>
          </w:r>
        </w:p>
        <w:p>
          <w:pPr>
            <w:pStyle w:val="34"/>
            <w:tabs>
              <w:tab w:val="right" w:leader="dot" w:pos="8306"/>
            </w:tabs>
          </w:pPr>
          <w:r>
            <w:fldChar w:fldCharType="begin"/>
          </w:r>
          <w:r>
            <w:instrText xml:space="preserve"> HYPERLINK \l _Toc31045 </w:instrText>
          </w:r>
          <w:r>
            <w:fldChar w:fldCharType="separate"/>
          </w:r>
          <w:r>
            <w:rPr>
              <w:rFonts w:hint="eastAsia" w:ascii="仿宋" w:hAnsi="仿宋" w:eastAsia="仿宋"/>
              <w:szCs w:val="32"/>
            </w:rPr>
            <w:t>（四）预算绩效管理情况。</w:t>
          </w:r>
          <w:r>
            <w:tab/>
          </w:r>
          <w:r>
            <w:fldChar w:fldCharType="begin"/>
          </w:r>
          <w:r>
            <w:instrText xml:space="preserve"> PAGEREF _Toc31045 </w:instrText>
          </w:r>
          <w:r>
            <w:fldChar w:fldCharType="separate"/>
          </w:r>
          <w:r>
            <w:t>17</w:t>
          </w:r>
          <w:r>
            <w:fldChar w:fldCharType="end"/>
          </w:r>
          <w:r>
            <w:fldChar w:fldCharType="end"/>
          </w:r>
        </w:p>
        <w:p>
          <w:pPr>
            <w:pStyle w:val="32"/>
            <w:tabs>
              <w:tab w:val="right" w:leader="dot" w:pos="8306"/>
            </w:tabs>
          </w:pPr>
          <w:r>
            <w:fldChar w:fldCharType="begin"/>
          </w:r>
          <w:r>
            <w:instrText xml:space="preserve"> HYPERLINK \l _Toc9564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_Toc9564 </w:instrText>
          </w:r>
          <w:r>
            <w:fldChar w:fldCharType="separate"/>
          </w:r>
          <w:r>
            <w:t>25</w:t>
          </w:r>
          <w:r>
            <w:fldChar w:fldCharType="end"/>
          </w:r>
          <w:r>
            <w:fldChar w:fldCharType="end"/>
          </w:r>
        </w:p>
        <w:p>
          <w:pPr>
            <w:pStyle w:val="32"/>
            <w:tabs>
              <w:tab w:val="right" w:leader="dot" w:pos="8306"/>
            </w:tabs>
          </w:pPr>
          <w:r>
            <w:fldChar w:fldCharType="begin"/>
          </w:r>
          <w:r>
            <w:instrText xml:space="preserve"> HYPERLINK \l _Toc11666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_Toc11666 </w:instrText>
          </w:r>
          <w:r>
            <w:fldChar w:fldCharType="separate"/>
          </w:r>
          <w:r>
            <w:t>28</w:t>
          </w:r>
          <w:r>
            <w:fldChar w:fldCharType="end"/>
          </w:r>
          <w:r>
            <w:fldChar w:fldCharType="end"/>
          </w:r>
        </w:p>
        <w:p>
          <w:pPr>
            <w:pStyle w:val="32"/>
            <w:tabs>
              <w:tab w:val="right" w:leader="dot" w:pos="8306"/>
            </w:tabs>
          </w:pPr>
          <w:r>
            <w:fldChar w:fldCharType="begin"/>
          </w:r>
          <w:r>
            <w:instrText xml:space="preserve"> HYPERLINK \l _Toc4396 </w:instrText>
          </w:r>
          <w:r>
            <w:fldChar w:fldCharType="separate"/>
          </w:r>
          <w:r>
            <w:rPr>
              <w:rFonts w:hint="eastAsia" w:ascii="黑体" w:hAnsi="黑体" w:eastAsia="黑体" w:cs="黑体"/>
              <w:szCs w:val="32"/>
            </w:rPr>
            <w:t>附件1</w:t>
          </w:r>
          <w:r>
            <w:tab/>
          </w:r>
          <w:r>
            <w:fldChar w:fldCharType="begin"/>
          </w:r>
          <w:r>
            <w:instrText xml:space="preserve"> PAGEREF _Toc4396 </w:instrText>
          </w:r>
          <w:r>
            <w:fldChar w:fldCharType="separate"/>
          </w:r>
          <w:r>
            <w:t>28</w:t>
          </w:r>
          <w:r>
            <w:fldChar w:fldCharType="end"/>
          </w:r>
          <w:r>
            <w:fldChar w:fldCharType="end"/>
          </w:r>
        </w:p>
        <w:p>
          <w:pPr>
            <w:pStyle w:val="32"/>
            <w:tabs>
              <w:tab w:val="right" w:leader="dot" w:pos="8306"/>
            </w:tabs>
          </w:pPr>
          <w:r>
            <w:fldChar w:fldCharType="begin"/>
          </w:r>
          <w:r>
            <w:instrText xml:space="preserve"> HYPERLINK \l _Toc19617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_Toc19617 </w:instrText>
          </w:r>
          <w:r>
            <w:fldChar w:fldCharType="separate"/>
          </w:r>
          <w:r>
            <w:t>32</w:t>
          </w:r>
          <w:r>
            <w:fldChar w:fldCharType="end"/>
          </w:r>
          <w:r>
            <w:fldChar w:fldCharType="end"/>
          </w:r>
        </w:p>
        <w:p>
          <w:pPr>
            <w:pStyle w:val="33"/>
            <w:tabs>
              <w:tab w:val="right" w:leader="dot" w:pos="8306"/>
            </w:tabs>
          </w:pPr>
          <w:r>
            <w:fldChar w:fldCharType="begin"/>
          </w:r>
          <w:r>
            <w:instrText xml:space="preserve"> HYPERLINK \l _Toc5804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_Toc5804 </w:instrText>
          </w:r>
          <w:r>
            <w:fldChar w:fldCharType="separate"/>
          </w:r>
          <w:r>
            <w:t>32</w:t>
          </w:r>
          <w:r>
            <w:fldChar w:fldCharType="end"/>
          </w:r>
          <w:r>
            <w:fldChar w:fldCharType="end"/>
          </w:r>
        </w:p>
        <w:p>
          <w:pPr>
            <w:pStyle w:val="33"/>
            <w:tabs>
              <w:tab w:val="right" w:leader="dot" w:pos="8306"/>
            </w:tabs>
          </w:pPr>
          <w:r>
            <w:fldChar w:fldCharType="begin"/>
          </w:r>
          <w:r>
            <w:instrText xml:space="preserve"> HYPERLINK \l _Toc30141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_Toc30141 </w:instrText>
          </w:r>
          <w:r>
            <w:fldChar w:fldCharType="separate"/>
          </w:r>
          <w:r>
            <w:t>32</w:t>
          </w:r>
          <w:r>
            <w:fldChar w:fldCharType="end"/>
          </w:r>
          <w:r>
            <w:fldChar w:fldCharType="end"/>
          </w:r>
        </w:p>
        <w:p>
          <w:pPr>
            <w:pStyle w:val="33"/>
            <w:tabs>
              <w:tab w:val="right" w:leader="dot" w:pos="8306"/>
            </w:tabs>
          </w:pPr>
          <w:r>
            <w:fldChar w:fldCharType="begin"/>
          </w:r>
          <w:r>
            <w:instrText xml:space="preserve"> HYPERLINK \l _Toc18849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_Toc18849 </w:instrText>
          </w:r>
          <w:r>
            <w:fldChar w:fldCharType="separate"/>
          </w:r>
          <w:r>
            <w:t>32</w:t>
          </w:r>
          <w:r>
            <w:fldChar w:fldCharType="end"/>
          </w:r>
          <w:r>
            <w:fldChar w:fldCharType="end"/>
          </w:r>
        </w:p>
        <w:p>
          <w:pPr>
            <w:pStyle w:val="33"/>
            <w:tabs>
              <w:tab w:val="right" w:leader="dot" w:pos="8306"/>
            </w:tabs>
          </w:pPr>
          <w:r>
            <w:fldChar w:fldCharType="begin"/>
          </w:r>
          <w:r>
            <w:instrText xml:space="preserve"> HYPERLINK \l _Toc16539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_Toc16539 </w:instrText>
          </w:r>
          <w:r>
            <w:fldChar w:fldCharType="separate"/>
          </w:r>
          <w:r>
            <w:t>32</w:t>
          </w:r>
          <w:r>
            <w:fldChar w:fldCharType="end"/>
          </w:r>
          <w:r>
            <w:fldChar w:fldCharType="end"/>
          </w:r>
        </w:p>
        <w:p>
          <w:pPr>
            <w:pStyle w:val="33"/>
            <w:tabs>
              <w:tab w:val="right" w:leader="dot" w:pos="8306"/>
            </w:tabs>
          </w:pPr>
          <w:r>
            <w:fldChar w:fldCharType="begin"/>
          </w:r>
          <w:r>
            <w:instrText xml:space="preserve"> HYPERLINK \l _Toc29164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_Toc29164 </w:instrText>
          </w:r>
          <w:r>
            <w:fldChar w:fldCharType="separate"/>
          </w:r>
          <w:r>
            <w:t>32</w:t>
          </w:r>
          <w:r>
            <w:fldChar w:fldCharType="end"/>
          </w:r>
          <w:r>
            <w:fldChar w:fldCharType="end"/>
          </w:r>
        </w:p>
        <w:p>
          <w:pPr>
            <w:pStyle w:val="33"/>
            <w:tabs>
              <w:tab w:val="right" w:leader="dot" w:pos="8306"/>
            </w:tabs>
          </w:pPr>
          <w:r>
            <w:fldChar w:fldCharType="begin"/>
          </w:r>
          <w:r>
            <w:instrText xml:space="preserve"> HYPERLINK \l _Toc4269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_Toc4269 </w:instrText>
          </w:r>
          <w:r>
            <w:fldChar w:fldCharType="separate"/>
          </w:r>
          <w:r>
            <w:t>32</w:t>
          </w:r>
          <w:r>
            <w:fldChar w:fldCharType="end"/>
          </w:r>
          <w:r>
            <w:fldChar w:fldCharType="end"/>
          </w:r>
        </w:p>
        <w:p>
          <w:pPr>
            <w:pStyle w:val="33"/>
            <w:tabs>
              <w:tab w:val="right" w:leader="dot" w:pos="8306"/>
            </w:tabs>
          </w:pPr>
          <w:r>
            <w:fldChar w:fldCharType="begin"/>
          </w:r>
          <w:r>
            <w:instrText xml:space="preserve"> HYPERLINK \l _Toc31740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_Toc31740 </w:instrText>
          </w:r>
          <w:r>
            <w:fldChar w:fldCharType="separate"/>
          </w:r>
          <w:r>
            <w:t>32</w:t>
          </w:r>
          <w:r>
            <w:fldChar w:fldCharType="end"/>
          </w:r>
          <w:r>
            <w:fldChar w:fldCharType="end"/>
          </w:r>
        </w:p>
        <w:p>
          <w:pPr>
            <w:pStyle w:val="33"/>
            <w:tabs>
              <w:tab w:val="right" w:leader="dot" w:pos="8306"/>
            </w:tabs>
          </w:pPr>
          <w:r>
            <w:fldChar w:fldCharType="begin"/>
          </w:r>
          <w:r>
            <w:instrText xml:space="preserve"> HYPERLINK \l _Toc1093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_Toc1093 </w:instrText>
          </w:r>
          <w:r>
            <w:fldChar w:fldCharType="separate"/>
          </w:r>
          <w:r>
            <w:t>32</w:t>
          </w:r>
          <w:r>
            <w:fldChar w:fldCharType="end"/>
          </w:r>
          <w:r>
            <w:fldChar w:fldCharType="end"/>
          </w:r>
        </w:p>
        <w:p>
          <w:pPr>
            <w:pStyle w:val="33"/>
            <w:tabs>
              <w:tab w:val="right" w:leader="dot" w:pos="8306"/>
            </w:tabs>
          </w:pPr>
          <w:r>
            <w:fldChar w:fldCharType="begin"/>
          </w:r>
          <w:r>
            <w:instrText xml:space="preserve"> HYPERLINK \l _Toc27131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_Toc27131 </w:instrText>
          </w:r>
          <w:r>
            <w:fldChar w:fldCharType="separate"/>
          </w:r>
          <w:r>
            <w:t>32</w:t>
          </w:r>
          <w:r>
            <w:fldChar w:fldCharType="end"/>
          </w:r>
          <w:r>
            <w:fldChar w:fldCharType="end"/>
          </w:r>
        </w:p>
        <w:p>
          <w:pPr>
            <w:pStyle w:val="33"/>
            <w:tabs>
              <w:tab w:val="right" w:leader="dot" w:pos="8306"/>
            </w:tabs>
          </w:pPr>
          <w:r>
            <w:fldChar w:fldCharType="begin"/>
          </w:r>
          <w:r>
            <w:instrText xml:space="preserve"> HYPERLINK \l _Toc26009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_Toc26009 </w:instrText>
          </w:r>
          <w:r>
            <w:fldChar w:fldCharType="separate"/>
          </w:r>
          <w:r>
            <w:t>32</w:t>
          </w:r>
          <w:r>
            <w:fldChar w:fldCharType="end"/>
          </w:r>
          <w:r>
            <w:fldChar w:fldCharType="end"/>
          </w:r>
        </w:p>
        <w:p>
          <w:pPr>
            <w:pStyle w:val="33"/>
            <w:tabs>
              <w:tab w:val="right" w:leader="dot" w:pos="8306"/>
            </w:tabs>
          </w:pPr>
          <w:r>
            <w:fldChar w:fldCharType="begin"/>
          </w:r>
          <w:r>
            <w:instrText xml:space="preserve"> HYPERLINK \l _Toc13097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_Toc13097 </w:instrText>
          </w:r>
          <w:r>
            <w:fldChar w:fldCharType="separate"/>
          </w:r>
          <w:r>
            <w:t>32</w:t>
          </w:r>
          <w:r>
            <w:fldChar w:fldCharType="end"/>
          </w:r>
          <w:r>
            <w:fldChar w:fldCharType="end"/>
          </w:r>
        </w:p>
        <w:p>
          <w:pPr>
            <w:pStyle w:val="33"/>
            <w:tabs>
              <w:tab w:val="right" w:leader="dot" w:pos="8306"/>
            </w:tabs>
          </w:pPr>
          <w:r>
            <w:fldChar w:fldCharType="begin"/>
          </w:r>
          <w:r>
            <w:instrText xml:space="preserve"> HYPERLINK \l _Toc29996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_Toc29996 </w:instrText>
          </w:r>
          <w:r>
            <w:fldChar w:fldCharType="separate"/>
          </w:r>
          <w:r>
            <w:t>32</w:t>
          </w:r>
          <w:r>
            <w:fldChar w:fldCharType="end"/>
          </w:r>
          <w:r>
            <w:fldChar w:fldCharType="end"/>
          </w:r>
        </w:p>
        <w:p>
          <w:pPr>
            <w:pStyle w:val="33"/>
            <w:tabs>
              <w:tab w:val="right" w:leader="dot" w:pos="8306"/>
            </w:tabs>
          </w:pPr>
          <w:r>
            <w:fldChar w:fldCharType="begin"/>
          </w:r>
          <w:r>
            <w:instrText xml:space="preserve"> HYPERLINK \l _Toc11072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_Toc11072 </w:instrText>
          </w:r>
          <w:r>
            <w:fldChar w:fldCharType="separate"/>
          </w:r>
          <w:r>
            <w:t>32</w:t>
          </w:r>
          <w:r>
            <w:fldChar w:fldCharType="end"/>
          </w:r>
          <w:r>
            <w:fldChar w:fldCharType="end"/>
          </w:r>
        </w:p>
        <w:p>
          <w:r>
            <w:fldChar w:fldCharType="end"/>
          </w:r>
        </w:p>
      </w:sdtContent>
    </w:sdt>
    <w:p>
      <w:pPr>
        <w:pStyle w:val="2"/>
        <w:jc w:val="center"/>
        <w:rPr>
          <w:rFonts w:hint="eastAsia" w:ascii="黑体" w:hAnsi="黑体" w:eastAsia="黑体"/>
          <w:b w:val="0"/>
        </w:rPr>
      </w:pPr>
      <w:bookmarkStart w:id="14" w:name="_Toc6437"/>
      <w:bookmarkStart w:id="15" w:name="_Toc15377196"/>
      <w:bookmarkStart w:id="16" w:name="_Toc15396599"/>
    </w:p>
    <w:p>
      <w:pPr>
        <w:pStyle w:val="2"/>
        <w:jc w:val="both"/>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4"/>
      <w:bookmarkEnd w:id="15"/>
      <w:bookmarkEnd w:id="16"/>
    </w:p>
    <w:p>
      <w:pPr>
        <w:pStyle w:val="3"/>
        <w:rPr>
          <w:rStyle w:val="27"/>
          <w:rFonts w:ascii="仿宋" w:hAnsi="仿宋" w:eastAsia="仿宋"/>
          <w:b w:val="0"/>
          <w:bCs w:val="0"/>
        </w:rPr>
      </w:pPr>
      <w:bookmarkStart w:id="17" w:name="_Toc15396600"/>
      <w:bookmarkStart w:id="18" w:name="_Toc15377197"/>
      <w:bookmarkStart w:id="19" w:name="_Toc83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7"/>
      <w:bookmarkEnd w:id="18"/>
      <w:bookmarkEnd w:id="19"/>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0" w:name="_Toc27477"/>
      <w:bookmarkStart w:id="21" w:name="_Toc15378445"/>
      <w:bookmarkStart w:id="22" w:name="_Toc15377198"/>
      <w:r>
        <w:rPr>
          <w:rFonts w:hint="eastAsia" w:ascii="仿宋" w:hAnsi="仿宋" w:eastAsia="仿宋"/>
          <w:bCs/>
          <w:color w:val="000000"/>
          <w:sz w:val="32"/>
          <w:szCs w:val="32"/>
        </w:rPr>
        <w:t>（一）主要职能。</w:t>
      </w:r>
      <w:bookmarkEnd w:id="20"/>
      <w:bookmarkEnd w:id="21"/>
      <w:bookmarkEnd w:id="22"/>
      <w:bookmarkStart w:id="23" w:name="_Toc25056"/>
    </w:p>
    <w:p>
      <w:pPr>
        <w:pStyle w:val="5"/>
        <w:adjustRightInd w:val="0"/>
        <w:snapToGrid w:val="0"/>
        <w:spacing w:before="93" w:line="600" w:lineRule="exact"/>
        <w:ind w:firstLine="672" w:firstLineChars="210"/>
        <w:outlineLvl w:val="2"/>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教务管理科及宣传教育科工作。负责寺庙及僧人信息管理，严禁18周岁以下青少年入寺；开展干部业务知识、宗教常识、形式政策的培训教育。财务管理科和公共服务中心工作。负责指导寺庙规范财务管理工作，切实做好财务、会计、税收管理等工作，推行寺庙财务定期公开；指导寺庙建立重大财务收支会议研究制度。办公室协调各科、中心各项工作；负责文秘、信息、机要、档案、保密、干部管理等工作；负责有关重要会议和重大活动的组织协调及其他上级交办的工作。治安消防科及项目管理工作。参与寺庙普法教育，加强防分裂、防盗、防火、防治安事故教育，提高僧人法制观念和防范意识等工作。</w:t>
      </w:r>
      <w:bookmarkEnd w:id="23"/>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4" w:name="_Toc15377199"/>
      <w:bookmarkStart w:id="25" w:name="_Toc19451"/>
      <w:bookmarkStart w:id="26"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4"/>
      <w:bookmarkEnd w:id="25"/>
      <w:bookmarkEnd w:id="26"/>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bookmarkStart w:id="27" w:name="_Toc21987"/>
      <w:r>
        <w:rPr>
          <w:rFonts w:hint="eastAsia" w:ascii="仿宋" w:hAnsi="仿宋" w:eastAsia="仿宋"/>
          <w:bCs/>
          <w:color w:val="000000"/>
          <w:sz w:val="32"/>
          <w:szCs w:val="32"/>
          <w:lang w:val="en-US" w:eastAsia="zh-CN"/>
        </w:rPr>
        <w:t>（一）抓实寺庙依法常态管理工作</w:t>
      </w:r>
      <w:bookmarkEnd w:id="27"/>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 xml:space="preserve">  </w:t>
      </w:r>
      <w:bookmarkStart w:id="28" w:name="_Toc2869"/>
      <w:r>
        <w:rPr>
          <w:rFonts w:hint="eastAsia" w:ascii="仿宋" w:hAnsi="仿宋" w:eastAsia="仿宋"/>
          <w:bCs/>
          <w:color w:val="000000"/>
          <w:sz w:val="32"/>
          <w:szCs w:val="32"/>
          <w:lang w:val="en-US" w:eastAsia="zh-CN"/>
        </w:rPr>
        <w:t>1、管住场所。一是规范寺庙用地。二是规范寺庙建设。三是规范寺庙区域管理。</w:t>
      </w:r>
      <w:bookmarkEnd w:id="28"/>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bookmarkStart w:id="29" w:name="_Toc12046"/>
      <w:r>
        <w:rPr>
          <w:rFonts w:hint="eastAsia" w:ascii="仿宋" w:hAnsi="仿宋" w:eastAsia="仿宋"/>
          <w:bCs/>
          <w:color w:val="000000"/>
          <w:sz w:val="32"/>
          <w:szCs w:val="32"/>
          <w:lang w:val="en-US" w:eastAsia="zh-CN"/>
        </w:rPr>
        <w:t>2、管住人员。一是坚持寺庙定员制度。二是切实完善寺规僧约。三是进一步规范僧人外出。四是坚决清退违规僧人。五是执行僧人护照集中统一管理。</w:t>
      </w:r>
      <w:bookmarkEnd w:id="29"/>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bookmarkStart w:id="30" w:name="_Toc323"/>
      <w:r>
        <w:rPr>
          <w:rFonts w:hint="eastAsia" w:ascii="仿宋" w:hAnsi="仿宋" w:eastAsia="仿宋"/>
          <w:bCs/>
          <w:color w:val="000000"/>
          <w:sz w:val="32"/>
          <w:szCs w:val="32"/>
          <w:lang w:val="en-US" w:eastAsia="zh-CN"/>
        </w:rPr>
        <w:t>3、管住活动。一是严格活动报批程序。二是制定完善相关方案预案。三是强化活动监管工作。四是管住财务。</w:t>
      </w:r>
      <w:bookmarkEnd w:id="30"/>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bookmarkStart w:id="31" w:name="_Toc30168"/>
      <w:r>
        <w:rPr>
          <w:rFonts w:hint="eastAsia" w:ascii="仿宋" w:hAnsi="仿宋" w:eastAsia="仿宋"/>
          <w:bCs/>
          <w:color w:val="000000"/>
          <w:sz w:val="32"/>
          <w:szCs w:val="32"/>
          <w:lang w:val="en-US" w:eastAsia="zh-CN"/>
        </w:rPr>
        <w:t>（二）抓实寺庙教育引导工作</w:t>
      </w:r>
      <w:bookmarkEnd w:id="31"/>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 xml:space="preserve">    </w:t>
      </w:r>
      <w:bookmarkStart w:id="32" w:name="_Toc10540"/>
      <w:r>
        <w:rPr>
          <w:rFonts w:hint="eastAsia" w:ascii="仿宋" w:hAnsi="仿宋" w:eastAsia="仿宋"/>
          <w:bCs/>
          <w:color w:val="000000"/>
          <w:sz w:val="32"/>
          <w:szCs w:val="32"/>
          <w:lang w:val="en-US" w:eastAsia="zh-CN"/>
        </w:rPr>
        <w:t>1、推行“讲经前讲法”活动。2、深化寺庙法制宣传。3、强化僧人教育引导。</w:t>
      </w:r>
      <w:bookmarkEnd w:id="32"/>
      <w:r>
        <w:rPr>
          <w:rFonts w:hint="eastAsia" w:ascii="仿宋" w:hAnsi="仿宋" w:eastAsia="仿宋"/>
          <w:bCs/>
          <w:color w:val="000000"/>
          <w:sz w:val="32"/>
          <w:szCs w:val="32"/>
          <w:lang w:val="en-US" w:eastAsia="zh-CN"/>
        </w:rPr>
        <w:t xml:space="preserve">   </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 xml:space="preserve">   </w:t>
      </w:r>
      <w:bookmarkStart w:id="33" w:name="_Toc9195"/>
      <w:r>
        <w:rPr>
          <w:rFonts w:hint="eastAsia" w:ascii="仿宋" w:hAnsi="仿宋" w:eastAsia="仿宋"/>
          <w:bCs/>
          <w:color w:val="000000"/>
          <w:sz w:val="32"/>
          <w:szCs w:val="32"/>
          <w:lang w:val="en-US" w:eastAsia="zh-CN"/>
        </w:rPr>
        <w:t>（三）抓实寺庙公共服务工作</w:t>
      </w:r>
      <w:bookmarkEnd w:id="33"/>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 xml:space="preserve">    </w:t>
      </w:r>
      <w:bookmarkStart w:id="34" w:name="_Toc23978"/>
      <w:r>
        <w:rPr>
          <w:rFonts w:hint="eastAsia" w:ascii="仿宋" w:hAnsi="仿宋" w:eastAsia="仿宋"/>
          <w:bCs/>
          <w:color w:val="000000"/>
          <w:sz w:val="32"/>
          <w:szCs w:val="32"/>
          <w:lang w:val="en-US" w:eastAsia="zh-CN"/>
        </w:rPr>
        <w:t>1、推进寺庙民生项目续建工程。2、实施寺庙地质灾害治理。3、实施寺庙入户路建设。4、实施寺庙网围栏建设。</w:t>
      </w:r>
      <w:bookmarkEnd w:id="34"/>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 xml:space="preserve">   </w:t>
      </w:r>
      <w:bookmarkStart w:id="35" w:name="_Toc14827"/>
      <w:r>
        <w:rPr>
          <w:rFonts w:hint="eastAsia" w:ascii="仿宋" w:hAnsi="仿宋" w:eastAsia="仿宋"/>
          <w:bCs/>
          <w:color w:val="000000"/>
          <w:sz w:val="32"/>
          <w:szCs w:val="32"/>
          <w:lang w:val="en-US" w:eastAsia="zh-CN"/>
        </w:rPr>
        <w:t>（四） 抓实寺庙环境卫生整治工作</w:t>
      </w:r>
      <w:bookmarkEnd w:id="3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 xml:space="preserve">     </w:t>
      </w:r>
      <w:bookmarkStart w:id="36" w:name="_Toc12891"/>
      <w:r>
        <w:rPr>
          <w:rFonts w:hint="eastAsia" w:ascii="仿宋" w:hAnsi="仿宋" w:eastAsia="仿宋"/>
          <w:bCs/>
          <w:color w:val="000000"/>
          <w:sz w:val="32"/>
          <w:szCs w:val="32"/>
          <w:lang w:val="en-US" w:eastAsia="zh-CN"/>
        </w:rPr>
        <w:t>(五）抓实寺庙消防安全工作</w:t>
      </w:r>
      <w:bookmarkEnd w:id="36"/>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 xml:space="preserve">    </w:t>
      </w:r>
      <w:bookmarkStart w:id="37" w:name="_Toc25696"/>
      <w:r>
        <w:rPr>
          <w:rFonts w:hint="eastAsia" w:ascii="仿宋" w:hAnsi="仿宋" w:eastAsia="仿宋"/>
          <w:bCs/>
          <w:color w:val="000000"/>
          <w:sz w:val="32"/>
          <w:szCs w:val="32"/>
          <w:lang w:val="en-US" w:eastAsia="zh-CN"/>
        </w:rPr>
        <w:t>（六）抓实寺庙维护稳定工作</w:t>
      </w:r>
      <w:bookmarkEnd w:id="37"/>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bookmarkStart w:id="38" w:name="_Toc29574"/>
      <w:r>
        <w:rPr>
          <w:rFonts w:hint="eastAsia" w:ascii="仿宋" w:hAnsi="仿宋" w:eastAsia="仿宋"/>
          <w:bCs/>
          <w:color w:val="000000"/>
          <w:sz w:val="32"/>
          <w:szCs w:val="32"/>
          <w:lang w:val="en-US" w:eastAsia="zh-CN"/>
        </w:rPr>
        <w:t>（七）积极引导宗教界参与扶贫济困，助推脱贫攻坚</w:t>
      </w:r>
      <w:bookmarkEnd w:id="38"/>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39" w:name="_Toc12520"/>
      <w:r>
        <w:rPr>
          <w:rFonts w:hint="eastAsia" w:ascii="仿宋" w:hAnsi="仿宋" w:eastAsia="仿宋"/>
          <w:bCs/>
          <w:color w:val="000000"/>
          <w:sz w:val="32"/>
          <w:szCs w:val="32"/>
          <w:lang w:val="en-US" w:eastAsia="zh-CN"/>
        </w:rPr>
        <w:t>（八）有力推进党风廉政建设和反腐败工作</w:t>
      </w:r>
      <w:bookmarkEnd w:id="39"/>
    </w:p>
    <w:p>
      <w:pPr>
        <w:pStyle w:val="3"/>
        <w:rPr>
          <w:rStyle w:val="27"/>
          <w:b w:val="0"/>
          <w:bCs w:val="0"/>
        </w:rPr>
      </w:pPr>
      <w:bookmarkStart w:id="40" w:name="_Toc26867"/>
      <w:bookmarkStart w:id="41" w:name="_Toc15396601"/>
      <w:bookmarkStart w:id="42"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40"/>
      <w:bookmarkEnd w:id="41"/>
      <w:bookmarkEnd w:id="42"/>
    </w:p>
    <w:p>
      <w:pPr>
        <w:ind w:firstLine="800" w:firstLineChars="250"/>
        <w:rPr>
          <w:rFonts w:ascii="仿宋" w:hAnsi="仿宋" w:eastAsia="仿宋"/>
          <w:sz w:val="32"/>
          <w:szCs w:val="32"/>
        </w:rPr>
      </w:pPr>
      <w:r>
        <w:rPr>
          <w:rFonts w:hint="eastAsia" w:ascii="仿宋" w:hAnsi="仿宋" w:eastAsia="仿宋"/>
          <w:sz w:val="32"/>
          <w:szCs w:val="32"/>
          <w:lang w:eastAsia="zh-CN"/>
        </w:rPr>
        <w:t>麦洼寺管会</w:t>
      </w:r>
      <w:r>
        <w:rPr>
          <w:rFonts w:hint="eastAsia" w:ascii="仿宋" w:hAnsi="仿宋" w:eastAsia="仿宋"/>
          <w:sz w:val="32"/>
          <w:szCs w:val="32"/>
        </w:rPr>
        <w:t>下属</w:t>
      </w:r>
      <w:r>
        <w:rPr>
          <w:rFonts w:hint="eastAsia" w:ascii="仿宋" w:hAnsi="仿宋" w:eastAsia="仿宋"/>
          <w:sz w:val="32"/>
          <w:szCs w:val="32"/>
          <w:lang w:eastAsia="zh-CN"/>
        </w:rPr>
        <w:t>五科一中心，包括教务管理科、宣传教育科、财务管理科、公共服务中心、治安消防科、办公室，</w:t>
      </w:r>
      <w:r>
        <w:rPr>
          <w:rFonts w:hint="eastAsia" w:ascii="仿宋" w:hAnsi="仿宋" w:eastAsia="仿宋"/>
          <w:sz w:val="32"/>
          <w:szCs w:val="32"/>
        </w:rPr>
        <w:t>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widowControl/>
        <w:jc w:val="left"/>
        <w:rPr>
          <w:rFonts w:ascii="仿宋" w:hAnsi="仿宋" w:eastAsia="仿宋"/>
          <w:color w:val="000000"/>
          <w:kern w:val="0"/>
          <w:sz w:val="32"/>
          <w:szCs w:val="32"/>
        </w:rPr>
      </w:pPr>
      <w:r>
        <w:rPr>
          <w:rFonts w:hint="eastAsia" w:ascii="仿宋" w:hAnsi="仿宋" w:eastAsia="仿宋"/>
          <w:color w:val="000000"/>
          <w:sz w:val="32"/>
          <w:szCs w:val="32"/>
        </w:rPr>
        <w:t>纳入201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年度部门决算编制范围的二级预算单位包括：</w:t>
      </w:r>
      <w:r>
        <w:rPr>
          <w:rFonts w:hint="eastAsia" w:ascii="仿宋" w:hAnsi="仿宋" w:eastAsia="仿宋"/>
          <w:color w:val="000000"/>
          <w:sz w:val="32"/>
          <w:szCs w:val="32"/>
          <w:lang w:eastAsia="zh-CN"/>
        </w:rPr>
        <w:t>无</w:t>
      </w:r>
      <w:r>
        <w:rPr>
          <w:rFonts w:ascii="仿宋" w:hAnsi="仿宋" w:eastAsia="仿宋"/>
          <w:color w:val="000000"/>
          <w:sz w:val="32"/>
          <w:szCs w:val="32"/>
        </w:rPr>
        <w:br w:type="page"/>
      </w:r>
    </w:p>
    <w:p>
      <w:pPr>
        <w:pStyle w:val="2"/>
        <w:ind w:right="440"/>
        <w:jc w:val="right"/>
        <w:rPr>
          <w:rStyle w:val="26"/>
          <w:rFonts w:ascii="黑体" w:hAnsi="黑体" w:eastAsia="黑体"/>
          <w:b w:val="0"/>
          <w:bCs w:val="0"/>
        </w:rPr>
      </w:pPr>
      <w:bookmarkStart w:id="43" w:name="_Toc15396602"/>
      <w:bookmarkStart w:id="44" w:name="_Toc15377204"/>
      <w:bookmarkStart w:id="45" w:name="_Toc7722"/>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43"/>
      <w:bookmarkEnd w:id="44"/>
      <w:bookmarkEnd w:id="45"/>
    </w:p>
    <w:p>
      <w:pPr>
        <w:pStyle w:val="25"/>
        <w:numPr>
          <w:ilvl w:val="0"/>
          <w:numId w:val="1"/>
        </w:numPr>
        <w:spacing w:line="600" w:lineRule="exact"/>
        <w:ind w:firstLineChars="0"/>
        <w:outlineLvl w:val="1"/>
        <w:rPr>
          <w:rStyle w:val="27"/>
          <w:rFonts w:ascii="黑体" w:hAnsi="黑体" w:eastAsia="黑体"/>
          <w:b w:val="0"/>
        </w:rPr>
      </w:pPr>
      <w:bookmarkStart w:id="46" w:name="_Toc15396603"/>
      <w:bookmarkStart w:id="47" w:name="_Toc7342"/>
      <w:bookmarkStart w:id="48"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46"/>
      <w:bookmarkEnd w:id="47"/>
      <w:bookmarkEnd w:id="48"/>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327.49</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311.66</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20.53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6.26</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36.36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11.66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财返减少</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201295</wp:posOffset>
            </wp:positionH>
            <wp:positionV relativeFrom="paragraph">
              <wp:posOffset>167640</wp:posOffset>
            </wp:positionV>
            <wp:extent cx="4879975" cy="4009390"/>
            <wp:effectExtent l="4445" t="4445" r="11430" b="571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pStyle w:val="25"/>
        <w:numPr>
          <w:ilvl w:val="0"/>
          <w:numId w:val="1"/>
        </w:numPr>
        <w:spacing w:line="600" w:lineRule="exact"/>
        <w:ind w:firstLineChars="0"/>
        <w:outlineLvl w:val="1"/>
        <w:rPr>
          <w:rStyle w:val="27"/>
          <w:rFonts w:ascii="黑体" w:hAnsi="黑体" w:eastAsia="黑体"/>
          <w:b w:val="0"/>
        </w:rPr>
      </w:pPr>
      <w:bookmarkStart w:id="49" w:name="_Toc15377206"/>
      <w:bookmarkStart w:id="50" w:name="_Toc15396604"/>
      <w:bookmarkStart w:id="51" w:name="_Toc25624"/>
      <w:r>
        <w:rPr>
          <w:rFonts w:hint="eastAsia" w:ascii="黑体" w:hAnsi="黑体" w:eastAsia="黑体"/>
          <w:color w:val="000000"/>
          <w:sz w:val="32"/>
          <w:szCs w:val="32"/>
        </w:rPr>
        <w:t>收</w:t>
      </w:r>
      <w:r>
        <w:rPr>
          <w:rStyle w:val="27"/>
          <w:rFonts w:hint="eastAsia" w:ascii="黑体" w:hAnsi="黑体" w:eastAsia="黑体"/>
          <w:b w:val="0"/>
        </w:rPr>
        <w:t>入决算情况说明</w:t>
      </w:r>
      <w:bookmarkEnd w:id="49"/>
      <w:bookmarkEnd w:id="50"/>
      <w:bookmarkEnd w:id="51"/>
    </w:p>
    <w:p>
      <w:pPr>
        <w:spacing w:line="600" w:lineRule="exact"/>
        <w:ind w:firstLine="640" w:firstLineChars="200"/>
        <w:outlineLvl w:val="1"/>
        <w:rPr>
          <w:rFonts w:ascii="仿宋" w:hAnsi="仿宋" w:eastAsia="仿宋"/>
          <w:color w:val="000000"/>
          <w:sz w:val="32"/>
          <w:szCs w:val="32"/>
        </w:rPr>
      </w:pPr>
      <w:bookmarkStart w:id="52" w:name="_Toc11432"/>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327.49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327.49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52"/>
    </w:p>
    <w:p>
      <w:pPr>
        <w:spacing w:line="600" w:lineRule="exact"/>
        <w:ind w:firstLine="640" w:firstLineChars="200"/>
        <w:jc w:val="center"/>
        <w:outlineLvl w:val="1"/>
        <w:rPr>
          <w:rFonts w:ascii="仿宋" w:hAnsi="仿宋" w:eastAsia="仿宋"/>
          <w:color w:val="000000" w:themeColor="text1"/>
          <w:sz w:val="32"/>
          <w:szCs w:val="32"/>
        </w:rPr>
      </w:pPr>
      <w:bookmarkStart w:id="53" w:name="_Toc32641"/>
      <w:r>
        <w:rPr>
          <w:rFonts w:hint="eastAsia" w:ascii="仿宋" w:hAns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344170</wp:posOffset>
            </wp:positionH>
            <wp:positionV relativeFrom="paragraph">
              <wp:posOffset>128270</wp:posOffset>
            </wp:positionV>
            <wp:extent cx="4319270" cy="2496185"/>
            <wp:effectExtent l="4445" t="5080" r="19685" b="1333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themeColor="text1"/>
          <w:sz w:val="32"/>
          <w:szCs w:val="32"/>
        </w:rPr>
        <w:t>（图2：收入决算结构图）（饼状图）</w:t>
      </w:r>
      <w:bookmarkEnd w:id="53"/>
    </w:p>
    <w:p>
      <w:pPr>
        <w:pStyle w:val="25"/>
        <w:numPr>
          <w:ilvl w:val="0"/>
          <w:numId w:val="1"/>
        </w:numPr>
        <w:spacing w:line="600" w:lineRule="exact"/>
        <w:ind w:firstLineChars="0"/>
        <w:outlineLvl w:val="1"/>
        <w:rPr>
          <w:rStyle w:val="27"/>
          <w:rFonts w:ascii="黑体" w:hAnsi="黑体" w:eastAsia="黑体"/>
          <w:b w:val="0"/>
        </w:rPr>
      </w:pPr>
      <w:bookmarkStart w:id="54" w:name="_Toc15396605"/>
      <w:bookmarkStart w:id="55" w:name="_Toc15377207"/>
      <w:bookmarkStart w:id="56" w:name="_Toc9871"/>
      <w:r>
        <w:rPr>
          <w:rFonts w:hint="eastAsia" w:ascii="黑体" w:hAnsi="黑体" w:eastAsia="黑体"/>
          <w:color w:val="000000"/>
          <w:sz w:val="32"/>
          <w:szCs w:val="32"/>
        </w:rPr>
        <w:t>支</w:t>
      </w:r>
      <w:r>
        <w:rPr>
          <w:rStyle w:val="27"/>
          <w:rFonts w:hint="eastAsia" w:ascii="黑体" w:hAnsi="黑体" w:eastAsia="黑体"/>
          <w:b w:val="0"/>
        </w:rPr>
        <w:t>出决算情况说明</w:t>
      </w:r>
      <w:bookmarkEnd w:id="54"/>
      <w:bookmarkEnd w:id="55"/>
      <w:bookmarkEnd w:id="56"/>
    </w:p>
    <w:p>
      <w:pPr>
        <w:spacing w:line="600" w:lineRule="exact"/>
        <w:ind w:firstLine="640" w:firstLineChars="200"/>
        <w:outlineLvl w:val="1"/>
        <w:rPr>
          <w:rFonts w:hint="eastAsia" w:ascii="仿宋" w:hAnsi="仿宋" w:eastAsia="仿宋"/>
          <w:color w:val="000000"/>
          <w:sz w:val="32"/>
          <w:szCs w:val="32"/>
        </w:rPr>
      </w:pPr>
      <w:bookmarkStart w:id="57" w:name="_Toc8968"/>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311.66</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289.37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92.85</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22.3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7.15</w:t>
      </w:r>
      <w:r>
        <w:rPr>
          <w:rFonts w:ascii="仿宋" w:hAnsi="仿宋" w:eastAsia="仿宋"/>
          <w:color w:val="000000"/>
          <w:sz w:val="32"/>
          <w:szCs w:val="32"/>
        </w:rPr>
        <w:t>%</w:t>
      </w:r>
      <w:r>
        <w:rPr>
          <w:rFonts w:hint="eastAsia" w:ascii="仿宋" w:hAnsi="仿宋" w:eastAsia="仿宋"/>
          <w:color w:val="000000"/>
          <w:sz w:val="32"/>
          <w:szCs w:val="32"/>
        </w:rPr>
        <w:t>。</w:t>
      </w:r>
      <w:bookmarkEnd w:id="57"/>
    </w:p>
    <w:p>
      <w:pPr>
        <w:spacing w:line="600" w:lineRule="exact"/>
        <w:ind w:firstLine="640" w:firstLineChars="200"/>
        <w:jc w:val="center"/>
        <w:outlineLvl w:val="1"/>
        <w:rPr>
          <w:rFonts w:ascii="仿宋" w:hAnsi="仿宋" w:eastAsia="仿宋"/>
          <w:color w:val="000000" w:themeColor="text1"/>
          <w:sz w:val="32"/>
          <w:szCs w:val="32"/>
        </w:rPr>
      </w:pPr>
      <w:bookmarkStart w:id="58" w:name="_Toc10082"/>
      <w:r>
        <w:rPr>
          <w:rFonts w:hint="eastAsia" w:ascii="仿宋" w:hAnsi="仿宋" w:eastAsia="仿宋"/>
          <w:color w:val="000000"/>
          <w:sz w:val="32"/>
          <w:szCs w:val="32"/>
          <w:lang w:eastAsia="zh-CN"/>
        </w:rPr>
        <w:drawing>
          <wp:anchor distT="0" distB="0" distL="114300" distR="114300" simplePos="0" relativeHeight="251661312" behindDoc="0" locked="0" layoutInCell="1" allowOverlap="1">
            <wp:simplePos x="0" y="0"/>
            <wp:positionH relativeFrom="column">
              <wp:posOffset>506095</wp:posOffset>
            </wp:positionH>
            <wp:positionV relativeFrom="paragraph">
              <wp:posOffset>123825</wp:posOffset>
            </wp:positionV>
            <wp:extent cx="4146550" cy="2705735"/>
            <wp:effectExtent l="4445" t="5080" r="20955" b="1333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rPr>
        <w:t>（图3：支出决算结构图）（饼状图）</w:t>
      </w:r>
      <w:bookmarkEnd w:id="58"/>
    </w:p>
    <w:p>
      <w:pPr>
        <w:spacing w:line="600" w:lineRule="exact"/>
        <w:ind w:firstLine="640" w:firstLineChars="200"/>
        <w:outlineLvl w:val="1"/>
        <w:rPr>
          <w:rStyle w:val="27"/>
          <w:rFonts w:ascii="黑体" w:hAnsi="黑体" w:eastAsia="黑体"/>
          <w:b w:val="0"/>
        </w:rPr>
      </w:pPr>
      <w:bookmarkStart w:id="59" w:name="_Toc15377208"/>
      <w:bookmarkStart w:id="60" w:name="_Toc247"/>
      <w:bookmarkStart w:id="61"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327.49</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311.66</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20.53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6.26</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36.36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11.66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财返减少</w:t>
      </w:r>
      <w:r>
        <w:rPr>
          <w:rFonts w:hint="eastAsia" w:ascii="仿宋" w:hAnsi="仿宋" w:eastAsia="仿宋"/>
          <w:color w:val="000000"/>
          <w:sz w:val="32"/>
          <w:szCs w:val="32"/>
        </w:rPr>
        <w:t>。</w:t>
      </w:r>
    </w:p>
    <w:p>
      <w:pPr>
        <w:spacing w:line="600" w:lineRule="exact"/>
        <w:rPr>
          <w:rFonts w:ascii="仿宋" w:hAnsi="仿宋" w:eastAsia="仿宋"/>
          <w:color w:val="000000" w:themeColor="text1"/>
          <w:sz w:val="32"/>
          <w:szCs w:val="32"/>
        </w:rPr>
      </w:pPr>
      <w:r>
        <w:rPr>
          <w:rFonts w:hint="eastAsia" w:ascii="仿宋" w:hAns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633095</wp:posOffset>
            </wp:positionH>
            <wp:positionV relativeFrom="paragraph">
              <wp:posOffset>252095</wp:posOffset>
            </wp:positionV>
            <wp:extent cx="4327525" cy="3019425"/>
            <wp:effectExtent l="4445" t="4445" r="11430" b="508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themeColor="text1"/>
          <w:sz w:val="32"/>
          <w:szCs w:val="32"/>
        </w:rPr>
        <w:t>（图4：财政拨款收、支决算总计变动情况）（柱状图）</w:t>
      </w:r>
    </w:p>
    <w:p>
      <w:pPr>
        <w:spacing w:line="600" w:lineRule="exact"/>
        <w:ind w:firstLine="640" w:firstLineChars="200"/>
        <w:outlineLvl w:val="1"/>
        <w:rPr>
          <w:rStyle w:val="27"/>
          <w:rFonts w:ascii="黑体" w:hAnsi="黑体" w:eastAsia="黑体"/>
          <w:b w:val="0"/>
        </w:rPr>
      </w:pPr>
      <w:bookmarkStart w:id="62" w:name="_Toc1148"/>
      <w:bookmarkStart w:id="63" w:name="_Toc15396607"/>
      <w:bookmarkStart w:id="64"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62"/>
      <w:bookmarkEnd w:id="63"/>
      <w:bookmarkEnd w:id="64"/>
    </w:p>
    <w:p>
      <w:pPr>
        <w:spacing w:line="600" w:lineRule="exact"/>
        <w:ind w:firstLine="643" w:firstLineChars="200"/>
        <w:outlineLvl w:val="2"/>
        <w:rPr>
          <w:rFonts w:ascii="仿宋" w:hAnsi="仿宋" w:eastAsia="仿宋"/>
          <w:b/>
          <w:color w:val="000000"/>
          <w:sz w:val="32"/>
          <w:szCs w:val="32"/>
        </w:rPr>
      </w:pPr>
      <w:bookmarkStart w:id="65" w:name="_Toc15377210"/>
      <w:bookmarkStart w:id="66" w:name="_Toc15499"/>
      <w:r>
        <w:rPr>
          <w:rFonts w:hint="eastAsia" w:ascii="仿宋" w:hAnsi="仿宋" w:eastAsia="仿宋"/>
          <w:b/>
          <w:color w:val="000000"/>
          <w:sz w:val="32"/>
          <w:szCs w:val="32"/>
        </w:rPr>
        <w:t>（一）一般公共预算财政拨款支出决算总体情况</w:t>
      </w:r>
      <w:bookmarkEnd w:id="65"/>
      <w:bookmarkEnd w:id="66"/>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eastAsia="zh-CN"/>
        </w:rPr>
        <w:drawing>
          <wp:anchor distT="0" distB="0" distL="114300" distR="114300" simplePos="0" relativeHeight="251663360" behindDoc="0" locked="0" layoutInCell="1" allowOverlap="1">
            <wp:simplePos x="0" y="0"/>
            <wp:positionH relativeFrom="column">
              <wp:posOffset>633730</wp:posOffset>
            </wp:positionH>
            <wp:positionV relativeFrom="paragraph">
              <wp:posOffset>1713230</wp:posOffset>
            </wp:positionV>
            <wp:extent cx="3907790" cy="1915160"/>
            <wp:effectExtent l="4445" t="4445" r="12065" b="2349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311.66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36.36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11.66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项目支出减少。</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67" w:name="_Toc12853"/>
      <w:bookmarkStart w:id="68" w:name="_Toc15377211"/>
      <w:r>
        <w:rPr>
          <w:rFonts w:hint="eastAsia" w:ascii="仿宋" w:hAnsi="仿宋" w:eastAsia="仿宋"/>
          <w:b/>
          <w:color w:val="000000"/>
          <w:sz w:val="32"/>
          <w:szCs w:val="32"/>
        </w:rPr>
        <w:t>（二）一般公共预算财政拨款支出决算结构情况</w:t>
      </w:r>
      <w:bookmarkEnd w:id="67"/>
      <w:bookmarkEnd w:id="68"/>
    </w:p>
    <w:p>
      <w:pPr>
        <w:spacing w:line="600" w:lineRule="exact"/>
        <w:ind w:firstLine="640"/>
        <w:rPr>
          <w:rFonts w:ascii="仿宋" w:hAnsi="仿宋" w:eastAsia="仿宋"/>
          <w:b/>
          <w:color w:val="000000" w:themeColor="text1"/>
          <w:sz w:val="32"/>
          <w:szCs w:val="32"/>
        </w:rPr>
      </w:pPr>
      <w:r>
        <w:rPr>
          <w:rFonts w:hint="eastAsia" w:ascii="仿宋" w:hAnsi="仿宋" w:eastAsia="仿宋"/>
          <w:color w:val="000000" w:themeColor="text1"/>
          <w:sz w:val="32"/>
          <w:szCs w:val="32"/>
          <w:lang w:eastAsia="zh-CN"/>
        </w:rPr>
        <w:drawing>
          <wp:anchor distT="0" distB="0" distL="114300" distR="114300" simplePos="0" relativeHeight="251664384" behindDoc="0" locked="0" layoutInCell="1" allowOverlap="1">
            <wp:simplePos x="0" y="0"/>
            <wp:positionH relativeFrom="column">
              <wp:posOffset>258445</wp:posOffset>
            </wp:positionH>
            <wp:positionV relativeFrom="paragraph">
              <wp:posOffset>2112010</wp:posOffset>
            </wp:positionV>
            <wp:extent cx="4718685" cy="2600960"/>
            <wp:effectExtent l="4445" t="4445" r="20320" b="23495"/>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311.66</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242.31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77.75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37.94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12.17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lang w:val="en-US" w:eastAsia="zh-CN"/>
        </w:rPr>
        <w:t>12.8</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住房保障支出</w:t>
      </w:r>
      <w:r>
        <w:rPr>
          <w:rFonts w:hint="eastAsia" w:ascii="仿宋" w:hAnsi="仿宋" w:eastAsia="仿宋"/>
          <w:color w:val="000000" w:themeColor="text1"/>
          <w:sz w:val="32"/>
          <w:szCs w:val="32"/>
          <w:lang w:val="en-US" w:eastAsia="zh-CN"/>
        </w:rPr>
        <w:t>18.62</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5.98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69" w:name="_Toc1700"/>
      <w:bookmarkStart w:id="70" w:name="_Toc15377212"/>
      <w:r>
        <w:rPr>
          <w:rFonts w:hint="eastAsia" w:ascii="仿宋" w:hAnsi="仿宋" w:eastAsia="仿宋"/>
          <w:b/>
          <w:color w:val="000000"/>
          <w:sz w:val="32"/>
          <w:szCs w:val="32"/>
        </w:rPr>
        <w:t>（三）一般公共预算财政拨款支出决算具体情况</w:t>
      </w:r>
      <w:bookmarkEnd w:id="69"/>
      <w:bookmarkEnd w:id="70"/>
    </w:p>
    <w:p>
      <w:pPr>
        <w:spacing w:line="600" w:lineRule="exact"/>
        <w:ind w:firstLine="643" w:firstLineChars="200"/>
        <w:outlineLvl w:val="2"/>
        <w:rPr>
          <w:rFonts w:ascii="仿宋" w:hAnsi="仿宋" w:eastAsia="仿宋"/>
          <w:color w:val="FF0000"/>
          <w:sz w:val="32"/>
          <w:szCs w:val="32"/>
        </w:rPr>
      </w:pPr>
      <w:bookmarkStart w:id="71" w:name="_Toc15378460"/>
      <w:bookmarkStart w:id="72" w:name="_Toc15377444"/>
      <w:bookmarkStart w:id="73" w:name="_Toc31814"/>
      <w:bookmarkStart w:id="74" w:name="_Toc15377213"/>
      <w:r>
        <w:rPr>
          <w:rFonts w:hint="eastAsia" w:ascii="仿宋" w:hAnsi="仿宋" w:eastAsia="仿宋"/>
          <w:b/>
          <w:color w:val="000000" w:themeColor="text1"/>
          <w:sz w:val="32"/>
          <w:szCs w:val="32"/>
        </w:rPr>
        <w:t>2019年般公共预算支出决算数为</w:t>
      </w:r>
      <w:r>
        <w:rPr>
          <w:rFonts w:hint="eastAsia" w:ascii="仿宋" w:hAnsi="仿宋" w:eastAsia="仿宋"/>
          <w:b/>
          <w:color w:val="000000" w:themeColor="text1"/>
          <w:sz w:val="32"/>
          <w:szCs w:val="32"/>
          <w:lang w:val="en-US" w:eastAsia="zh-CN"/>
        </w:rPr>
        <w:t>311.66万元</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71"/>
      <w:bookmarkEnd w:id="72"/>
      <w:bookmarkEnd w:id="73"/>
      <w:bookmarkEnd w:id="74"/>
    </w:p>
    <w:p>
      <w:pPr>
        <w:spacing w:line="600" w:lineRule="exact"/>
        <w:ind w:firstLine="643" w:firstLineChars="200"/>
        <w:rPr>
          <w:rStyle w:val="16"/>
          <w:rFonts w:hint="eastAsia" w:ascii="仿宋" w:hAnsi="仿宋" w:eastAsia="仿宋"/>
          <w:b w:val="0"/>
          <w:bCs/>
          <w:color w:val="auto"/>
          <w:sz w:val="32"/>
          <w:szCs w:val="32"/>
        </w:rPr>
      </w:pPr>
      <w:r>
        <w:rPr>
          <w:rStyle w:val="16"/>
          <w:rFonts w:ascii="仿宋" w:hAnsi="仿宋" w:eastAsia="仿宋"/>
          <w:bCs/>
          <w:color w:val="auto"/>
          <w:sz w:val="32"/>
          <w:szCs w:val="32"/>
        </w:rPr>
        <w:t>1.</w:t>
      </w:r>
      <w:r>
        <w:rPr>
          <w:rStyle w:val="16"/>
          <w:rFonts w:hint="eastAsia" w:ascii="仿宋" w:hAnsi="仿宋" w:eastAsia="仿宋"/>
          <w:bCs/>
          <w:color w:val="auto"/>
          <w:sz w:val="32"/>
          <w:szCs w:val="32"/>
        </w:rPr>
        <w:t>一般公共服务（类）宗教事务（款）宗教事务（项）</w:t>
      </w:r>
      <w:r>
        <w:rPr>
          <w:rStyle w:val="16"/>
          <w:rFonts w:ascii="仿宋" w:hAnsi="仿宋" w:eastAsia="仿宋"/>
          <w:bCs/>
          <w:color w:val="auto"/>
          <w:sz w:val="32"/>
          <w:szCs w:val="32"/>
        </w:rPr>
        <w:t>:</w:t>
      </w:r>
      <w:r>
        <w:rPr>
          <w:rStyle w:val="16"/>
          <w:rFonts w:ascii="仿宋" w:hAnsi="仿宋" w:eastAsia="仿宋"/>
          <w:b w:val="0"/>
          <w:bCs/>
          <w:color w:val="auto"/>
          <w:sz w:val="32"/>
          <w:szCs w:val="32"/>
        </w:rPr>
        <w:t xml:space="preserve"> </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240.81</w:t>
      </w:r>
      <w:r>
        <w:rPr>
          <w:rStyle w:val="16"/>
          <w:rFonts w:hint="eastAsia" w:ascii="仿宋" w:hAnsi="仿宋" w:eastAsia="仿宋"/>
          <w:b w:val="0"/>
          <w:bCs/>
          <w:color w:val="auto"/>
          <w:sz w:val="32"/>
          <w:szCs w:val="32"/>
        </w:rPr>
        <w:t>万元，完成预算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p>
    <w:p>
      <w:pPr>
        <w:spacing w:line="600" w:lineRule="exact"/>
        <w:ind w:firstLine="643" w:firstLineChars="200"/>
        <w:rPr>
          <w:rStyle w:val="16"/>
          <w:rFonts w:hint="eastAsia" w:ascii="仿宋" w:hAnsi="仿宋" w:eastAsia="仿宋"/>
          <w:b w:val="0"/>
          <w:bCs/>
          <w:color w:val="auto"/>
          <w:sz w:val="32"/>
          <w:szCs w:val="32"/>
        </w:rPr>
      </w:pPr>
      <w:r>
        <w:rPr>
          <w:rStyle w:val="16"/>
          <w:rFonts w:hint="eastAsia" w:ascii="仿宋" w:hAnsi="仿宋" w:eastAsia="仿宋"/>
          <w:bCs/>
          <w:color w:val="auto"/>
          <w:sz w:val="32"/>
          <w:szCs w:val="32"/>
          <w:lang w:val="en-US" w:eastAsia="zh-CN"/>
        </w:rPr>
        <w:t>2</w:t>
      </w:r>
      <w:r>
        <w:rPr>
          <w:rStyle w:val="16"/>
          <w:rFonts w:ascii="仿宋" w:hAnsi="仿宋" w:eastAsia="仿宋"/>
          <w:bCs/>
          <w:color w:val="auto"/>
          <w:sz w:val="32"/>
          <w:szCs w:val="32"/>
        </w:rPr>
        <w:t>.</w:t>
      </w:r>
      <w:r>
        <w:rPr>
          <w:rStyle w:val="16"/>
          <w:rFonts w:hint="eastAsia" w:ascii="仿宋" w:hAnsi="仿宋" w:eastAsia="仿宋"/>
          <w:bCs/>
          <w:color w:val="auto"/>
          <w:sz w:val="32"/>
          <w:szCs w:val="32"/>
        </w:rPr>
        <w:t>一般公共服务（类）统战事务（款）其他一般公共服务支出（项）</w:t>
      </w:r>
      <w:r>
        <w:rPr>
          <w:rStyle w:val="16"/>
          <w:rFonts w:ascii="仿宋" w:hAnsi="仿宋" w:eastAsia="仿宋"/>
          <w:bCs/>
          <w:color w:val="auto"/>
          <w:sz w:val="32"/>
          <w:szCs w:val="32"/>
        </w:rPr>
        <w:t>:</w:t>
      </w:r>
      <w:r>
        <w:rPr>
          <w:rStyle w:val="16"/>
          <w:rFonts w:ascii="仿宋" w:hAnsi="仿宋" w:eastAsia="仿宋"/>
          <w:b w:val="0"/>
          <w:bCs/>
          <w:color w:val="auto"/>
          <w:sz w:val="32"/>
          <w:szCs w:val="32"/>
        </w:rPr>
        <w:t xml:space="preserve"> </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1.5</w:t>
      </w:r>
      <w:r>
        <w:rPr>
          <w:rStyle w:val="16"/>
          <w:rFonts w:hint="eastAsia" w:ascii="仿宋" w:hAnsi="仿宋" w:eastAsia="仿宋"/>
          <w:b w:val="0"/>
          <w:bCs/>
          <w:color w:val="auto"/>
          <w:sz w:val="32"/>
          <w:szCs w:val="32"/>
        </w:rPr>
        <w:t>万元，完成预算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p>
    <w:p>
      <w:pPr>
        <w:spacing w:line="600" w:lineRule="exact"/>
        <w:ind w:firstLine="643" w:firstLineChars="200"/>
        <w:rPr>
          <w:rStyle w:val="16"/>
          <w:rFonts w:hint="eastAsia" w:ascii="仿宋" w:hAnsi="仿宋" w:eastAsia="仿宋"/>
          <w:b w:val="0"/>
          <w:bCs/>
          <w:color w:val="auto"/>
          <w:sz w:val="32"/>
          <w:szCs w:val="32"/>
        </w:rPr>
      </w:pPr>
      <w:r>
        <w:rPr>
          <w:rStyle w:val="16"/>
          <w:rFonts w:hint="eastAsia" w:ascii="仿宋" w:hAnsi="仿宋" w:eastAsia="仿宋"/>
          <w:bCs/>
          <w:color w:val="auto"/>
          <w:sz w:val="32"/>
          <w:szCs w:val="32"/>
          <w:lang w:val="en-US" w:eastAsia="zh-CN"/>
        </w:rPr>
        <w:t>3</w:t>
      </w:r>
      <w:r>
        <w:rPr>
          <w:rStyle w:val="16"/>
          <w:rFonts w:ascii="仿宋" w:hAnsi="仿宋" w:eastAsia="仿宋"/>
          <w:bCs/>
          <w:color w:val="auto"/>
          <w:sz w:val="32"/>
          <w:szCs w:val="32"/>
        </w:rPr>
        <w:t>.</w:t>
      </w:r>
      <w:r>
        <w:rPr>
          <w:rStyle w:val="16"/>
          <w:rFonts w:hint="eastAsia" w:ascii="仿宋" w:hAnsi="仿宋" w:eastAsia="仿宋"/>
          <w:bCs/>
          <w:color w:val="auto"/>
          <w:sz w:val="32"/>
          <w:szCs w:val="32"/>
        </w:rPr>
        <w:t>社会保障和就业（类）行政事业单位离退休（款）机关事业单位基本养老保险缴费支出（项）</w:t>
      </w:r>
      <w:r>
        <w:rPr>
          <w:rStyle w:val="16"/>
          <w:rFonts w:ascii="仿宋" w:hAnsi="仿宋" w:eastAsia="仿宋"/>
          <w:bCs/>
          <w:color w:val="auto"/>
          <w:sz w:val="32"/>
          <w:szCs w:val="32"/>
        </w:rPr>
        <w:t>:</w:t>
      </w:r>
      <w:r>
        <w:rPr>
          <w:rStyle w:val="16"/>
          <w:rFonts w:ascii="仿宋" w:hAnsi="仿宋" w:eastAsia="仿宋"/>
          <w:b w:val="0"/>
          <w:bCs/>
          <w:color w:val="auto"/>
          <w:sz w:val="32"/>
          <w:szCs w:val="32"/>
        </w:rPr>
        <w:t xml:space="preserve"> </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19.75</w:t>
      </w:r>
      <w:r>
        <w:rPr>
          <w:rStyle w:val="16"/>
          <w:rFonts w:hint="eastAsia" w:ascii="仿宋" w:hAnsi="仿宋" w:eastAsia="仿宋"/>
          <w:b w:val="0"/>
          <w:bCs/>
          <w:color w:val="auto"/>
          <w:sz w:val="32"/>
          <w:szCs w:val="32"/>
        </w:rPr>
        <w:t>万元，完成预算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p>
    <w:p>
      <w:pPr>
        <w:spacing w:line="600" w:lineRule="exact"/>
        <w:ind w:firstLine="643" w:firstLineChars="200"/>
        <w:rPr>
          <w:rStyle w:val="16"/>
          <w:rFonts w:hint="eastAsia" w:ascii="仿宋" w:hAnsi="仿宋" w:eastAsia="仿宋"/>
          <w:b w:val="0"/>
          <w:bCs/>
          <w:color w:val="auto"/>
          <w:sz w:val="32"/>
          <w:szCs w:val="32"/>
        </w:rPr>
      </w:pPr>
      <w:r>
        <w:rPr>
          <w:rStyle w:val="16"/>
          <w:rFonts w:hint="eastAsia" w:ascii="仿宋" w:hAnsi="仿宋" w:eastAsia="仿宋"/>
          <w:bCs/>
          <w:color w:val="auto"/>
          <w:sz w:val="32"/>
          <w:szCs w:val="32"/>
          <w:lang w:val="en-US" w:eastAsia="zh-CN"/>
        </w:rPr>
        <w:t>4</w:t>
      </w:r>
      <w:r>
        <w:rPr>
          <w:rStyle w:val="16"/>
          <w:rFonts w:ascii="仿宋" w:hAnsi="仿宋" w:eastAsia="仿宋"/>
          <w:bCs/>
          <w:color w:val="auto"/>
          <w:sz w:val="32"/>
          <w:szCs w:val="32"/>
        </w:rPr>
        <w:t>.</w:t>
      </w:r>
      <w:r>
        <w:rPr>
          <w:rStyle w:val="16"/>
          <w:rFonts w:hint="eastAsia" w:ascii="仿宋" w:hAnsi="仿宋" w:eastAsia="仿宋"/>
          <w:bCs/>
          <w:color w:val="auto"/>
          <w:sz w:val="32"/>
          <w:szCs w:val="32"/>
        </w:rPr>
        <w:t>社会保障和就业（类）行政事业单位离退休（款）机关事业单位职业年金缴费支出（项）</w:t>
      </w:r>
      <w:r>
        <w:rPr>
          <w:rStyle w:val="16"/>
          <w:rFonts w:ascii="仿宋" w:hAnsi="仿宋" w:eastAsia="仿宋"/>
          <w:bCs/>
          <w:color w:val="auto"/>
          <w:sz w:val="32"/>
          <w:szCs w:val="32"/>
        </w:rPr>
        <w:t>:</w:t>
      </w:r>
      <w:r>
        <w:rPr>
          <w:rStyle w:val="16"/>
          <w:rFonts w:ascii="仿宋" w:hAnsi="仿宋" w:eastAsia="仿宋"/>
          <w:b w:val="0"/>
          <w:bCs/>
          <w:color w:val="auto"/>
          <w:sz w:val="32"/>
          <w:szCs w:val="32"/>
        </w:rPr>
        <w:t xml:space="preserve"> </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9.06</w:t>
      </w:r>
      <w:r>
        <w:rPr>
          <w:rStyle w:val="16"/>
          <w:rFonts w:hint="eastAsia" w:ascii="仿宋" w:hAnsi="仿宋" w:eastAsia="仿宋"/>
          <w:b w:val="0"/>
          <w:bCs/>
          <w:color w:val="auto"/>
          <w:sz w:val="32"/>
          <w:szCs w:val="32"/>
        </w:rPr>
        <w:t>万元，完成预算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p>
    <w:p>
      <w:pPr>
        <w:spacing w:line="600" w:lineRule="exact"/>
        <w:ind w:firstLine="643" w:firstLineChars="200"/>
        <w:rPr>
          <w:rStyle w:val="16"/>
          <w:rFonts w:hint="eastAsia" w:ascii="仿宋" w:hAnsi="仿宋" w:eastAsia="仿宋"/>
          <w:b w:val="0"/>
          <w:bCs/>
          <w:color w:val="auto"/>
          <w:sz w:val="32"/>
          <w:szCs w:val="32"/>
        </w:rPr>
      </w:pPr>
      <w:r>
        <w:rPr>
          <w:rStyle w:val="16"/>
          <w:rFonts w:hint="eastAsia" w:ascii="仿宋" w:hAnsi="仿宋" w:eastAsia="仿宋"/>
          <w:bCs/>
          <w:color w:val="auto"/>
          <w:sz w:val="32"/>
          <w:szCs w:val="32"/>
          <w:lang w:val="en-US" w:eastAsia="zh-CN"/>
        </w:rPr>
        <w:t>5</w:t>
      </w:r>
      <w:r>
        <w:rPr>
          <w:rStyle w:val="16"/>
          <w:rFonts w:ascii="仿宋" w:hAnsi="仿宋" w:eastAsia="仿宋"/>
          <w:bCs/>
          <w:color w:val="auto"/>
          <w:sz w:val="32"/>
          <w:szCs w:val="32"/>
        </w:rPr>
        <w:t>.</w:t>
      </w:r>
      <w:r>
        <w:rPr>
          <w:rStyle w:val="16"/>
          <w:rFonts w:hint="eastAsia" w:ascii="仿宋" w:hAnsi="仿宋" w:eastAsia="仿宋"/>
          <w:bCs/>
          <w:color w:val="auto"/>
          <w:sz w:val="32"/>
          <w:szCs w:val="32"/>
        </w:rPr>
        <w:t>社会保障和就业（类）特困人员救助供养（款）农村特困人员救助供养支出（项）</w:t>
      </w:r>
      <w:r>
        <w:rPr>
          <w:rStyle w:val="16"/>
          <w:rFonts w:ascii="仿宋" w:hAnsi="仿宋" w:eastAsia="仿宋"/>
          <w:bCs/>
          <w:color w:val="auto"/>
          <w:sz w:val="32"/>
          <w:szCs w:val="32"/>
        </w:rPr>
        <w:t>:</w:t>
      </w:r>
      <w:r>
        <w:rPr>
          <w:rStyle w:val="16"/>
          <w:rFonts w:ascii="仿宋" w:hAnsi="仿宋" w:eastAsia="仿宋"/>
          <w:b w:val="0"/>
          <w:bCs/>
          <w:color w:val="auto"/>
          <w:sz w:val="32"/>
          <w:szCs w:val="32"/>
        </w:rPr>
        <w:t xml:space="preserve"> </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9.12</w:t>
      </w:r>
      <w:r>
        <w:rPr>
          <w:rStyle w:val="16"/>
          <w:rFonts w:hint="eastAsia" w:ascii="仿宋" w:hAnsi="仿宋" w:eastAsia="仿宋"/>
          <w:b w:val="0"/>
          <w:bCs/>
          <w:color w:val="auto"/>
          <w:sz w:val="32"/>
          <w:szCs w:val="32"/>
        </w:rPr>
        <w:t>万元，完成预算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p>
    <w:p>
      <w:pPr>
        <w:spacing w:line="600" w:lineRule="exact"/>
        <w:ind w:firstLine="640" w:firstLineChars="200"/>
        <w:rPr>
          <w:rStyle w:val="16"/>
          <w:rFonts w:hint="eastAsia" w:ascii="仿宋" w:hAnsi="仿宋" w:eastAsia="仿宋"/>
          <w:b w:val="0"/>
          <w:bCs/>
          <w:color w:val="auto"/>
          <w:sz w:val="32"/>
          <w:szCs w:val="32"/>
        </w:rPr>
      </w:pPr>
      <w:r>
        <w:rPr>
          <w:rStyle w:val="16"/>
          <w:rFonts w:hint="eastAsia" w:ascii="仿宋" w:hAnsi="仿宋" w:eastAsia="仿宋"/>
          <w:b w:val="0"/>
          <w:bCs/>
          <w:color w:val="auto"/>
          <w:sz w:val="32"/>
          <w:szCs w:val="32"/>
          <w:lang w:val="en-US" w:eastAsia="zh-CN"/>
        </w:rPr>
        <w:t>6.</w:t>
      </w:r>
      <w:r>
        <w:rPr>
          <w:rStyle w:val="16"/>
          <w:rFonts w:hint="eastAsia" w:ascii="仿宋" w:hAnsi="仿宋" w:eastAsia="仿宋"/>
          <w:bCs/>
          <w:color w:val="auto"/>
          <w:sz w:val="32"/>
          <w:szCs w:val="32"/>
        </w:rPr>
        <w:t>卫生健康支出（类）公共卫生（款）农重大公共卫生专项（项）</w:t>
      </w:r>
      <w:r>
        <w:rPr>
          <w:rStyle w:val="16"/>
          <w:rFonts w:ascii="仿宋" w:hAnsi="仿宋" w:eastAsia="仿宋"/>
          <w:bCs/>
          <w:color w:val="auto"/>
          <w:sz w:val="32"/>
          <w:szCs w:val="32"/>
        </w:rPr>
        <w:t>:</w:t>
      </w:r>
      <w:r>
        <w:rPr>
          <w:rStyle w:val="16"/>
          <w:rFonts w:ascii="仿宋" w:hAnsi="仿宋" w:eastAsia="仿宋"/>
          <w:b w:val="0"/>
          <w:bCs/>
          <w:color w:val="auto"/>
          <w:sz w:val="32"/>
          <w:szCs w:val="32"/>
        </w:rPr>
        <w:t xml:space="preserve"> </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2.5</w:t>
      </w:r>
      <w:r>
        <w:rPr>
          <w:rStyle w:val="16"/>
          <w:rFonts w:hint="eastAsia" w:ascii="仿宋" w:hAnsi="仿宋" w:eastAsia="仿宋"/>
          <w:b w:val="0"/>
          <w:bCs/>
          <w:color w:val="auto"/>
          <w:sz w:val="32"/>
          <w:szCs w:val="32"/>
        </w:rPr>
        <w:t>万元，完成预算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p>
    <w:p>
      <w:pPr>
        <w:spacing w:line="600" w:lineRule="exact"/>
        <w:ind w:firstLine="643" w:firstLineChars="200"/>
        <w:rPr>
          <w:rStyle w:val="16"/>
          <w:rFonts w:hint="eastAsia" w:ascii="仿宋" w:hAnsi="仿宋" w:eastAsia="仿宋"/>
          <w:b w:val="0"/>
          <w:bCs/>
          <w:color w:val="auto"/>
          <w:sz w:val="32"/>
          <w:szCs w:val="32"/>
        </w:rPr>
      </w:pPr>
      <w:r>
        <w:rPr>
          <w:rStyle w:val="16"/>
          <w:rFonts w:hint="eastAsia" w:ascii="仿宋" w:hAnsi="仿宋" w:eastAsia="仿宋"/>
          <w:bCs/>
          <w:color w:val="auto"/>
          <w:sz w:val="32"/>
          <w:szCs w:val="32"/>
          <w:lang w:val="en-US" w:eastAsia="zh-CN"/>
        </w:rPr>
        <w:t>8</w:t>
      </w:r>
      <w:r>
        <w:rPr>
          <w:rStyle w:val="16"/>
          <w:rFonts w:ascii="仿宋" w:hAnsi="仿宋" w:eastAsia="仿宋"/>
          <w:bCs/>
          <w:color w:val="auto"/>
          <w:sz w:val="32"/>
          <w:szCs w:val="32"/>
        </w:rPr>
        <w:t>.</w:t>
      </w:r>
      <w:r>
        <w:rPr>
          <w:rStyle w:val="16"/>
          <w:rFonts w:hint="eastAsia" w:ascii="仿宋" w:hAnsi="仿宋" w:eastAsia="仿宋"/>
          <w:bCs/>
          <w:color w:val="auto"/>
          <w:sz w:val="32"/>
          <w:szCs w:val="32"/>
        </w:rPr>
        <w:t>医疗卫生与计划生育（类）行政事业单位医疗（款）行政单位医疗（项）</w:t>
      </w:r>
      <w:r>
        <w:rPr>
          <w:rStyle w:val="16"/>
          <w:rFonts w:ascii="仿宋" w:hAnsi="仿宋" w:eastAsia="仿宋"/>
          <w:bCs/>
          <w:color w:val="auto"/>
          <w:sz w:val="32"/>
          <w:szCs w:val="32"/>
        </w:rPr>
        <w:t>:</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8.82</w:t>
      </w:r>
      <w:r>
        <w:rPr>
          <w:rStyle w:val="16"/>
          <w:rFonts w:hint="eastAsia" w:ascii="仿宋" w:hAnsi="仿宋" w:eastAsia="仿宋"/>
          <w:b w:val="0"/>
          <w:bCs/>
          <w:color w:val="auto"/>
          <w:sz w:val="32"/>
          <w:szCs w:val="32"/>
        </w:rPr>
        <w:t>万元，完成预算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p>
    <w:p>
      <w:pPr>
        <w:spacing w:line="600" w:lineRule="exact"/>
        <w:ind w:firstLine="643" w:firstLineChars="200"/>
        <w:rPr>
          <w:rStyle w:val="16"/>
          <w:rFonts w:hint="eastAsia" w:ascii="仿宋" w:hAnsi="仿宋" w:eastAsia="仿宋"/>
          <w:b w:val="0"/>
          <w:bCs/>
          <w:color w:val="auto"/>
          <w:sz w:val="32"/>
          <w:szCs w:val="32"/>
        </w:rPr>
      </w:pPr>
      <w:r>
        <w:rPr>
          <w:rStyle w:val="16"/>
          <w:rFonts w:hint="eastAsia" w:ascii="仿宋" w:hAnsi="仿宋" w:eastAsia="仿宋"/>
          <w:bCs/>
          <w:color w:val="auto"/>
          <w:sz w:val="32"/>
          <w:szCs w:val="32"/>
          <w:lang w:val="en-US" w:eastAsia="zh-CN"/>
        </w:rPr>
        <w:t>9</w:t>
      </w:r>
      <w:r>
        <w:rPr>
          <w:rStyle w:val="16"/>
          <w:rFonts w:ascii="仿宋" w:hAnsi="仿宋" w:eastAsia="仿宋"/>
          <w:bCs/>
          <w:color w:val="auto"/>
          <w:sz w:val="32"/>
          <w:szCs w:val="32"/>
        </w:rPr>
        <w:t>.</w:t>
      </w:r>
      <w:r>
        <w:rPr>
          <w:rStyle w:val="16"/>
          <w:rFonts w:hint="eastAsia" w:ascii="仿宋" w:hAnsi="仿宋" w:eastAsia="仿宋"/>
          <w:bCs/>
          <w:color w:val="auto"/>
          <w:sz w:val="32"/>
          <w:szCs w:val="32"/>
        </w:rPr>
        <w:t>医疗卫生与计划生育（类）行政事业单位医疗（款）公务员医疗补助（项）</w:t>
      </w:r>
      <w:r>
        <w:rPr>
          <w:rStyle w:val="16"/>
          <w:rFonts w:ascii="仿宋" w:hAnsi="仿宋" w:eastAsia="仿宋"/>
          <w:bCs/>
          <w:color w:val="auto"/>
          <w:sz w:val="32"/>
          <w:szCs w:val="32"/>
        </w:rPr>
        <w:t>:</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1.48</w:t>
      </w:r>
      <w:r>
        <w:rPr>
          <w:rStyle w:val="16"/>
          <w:rFonts w:hint="eastAsia" w:ascii="仿宋" w:hAnsi="仿宋" w:eastAsia="仿宋"/>
          <w:b w:val="0"/>
          <w:bCs/>
          <w:color w:val="auto"/>
          <w:sz w:val="32"/>
          <w:szCs w:val="32"/>
        </w:rPr>
        <w:t>万元，完成预算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p>
    <w:p>
      <w:pPr>
        <w:spacing w:line="600" w:lineRule="exact"/>
        <w:ind w:firstLine="643" w:firstLineChars="200"/>
        <w:rPr>
          <w:rFonts w:ascii="仿宋" w:hAnsi="仿宋" w:eastAsia="仿宋"/>
          <w:color w:val="auto"/>
          <w:sz w:val="32"/>
          <w:szCs w:val="32"/>
        </w:rPr>
      </w:pPr>
      <w:r>
        <w:rPr>
          <w:rStyle w:val="16"/>
          <w:rFonts w:hint="eastAsia" w:ascii="仿宋" w:hAnsi="仿宋" w:eastAsia="仿宋"/>
          <w:bCs/>
          <w:color w:val="auto"/>
          <w:sz w:val="32"/>
          <w:szCs w:val="32"/>
          <w:lang w:val="en-US" w:eastAsia="zh-CN"/>
        </w:rPr>
        <w:t>10</w:t>
      </w:r>
      <w:r>
        <w:rPr>
          <w:rStyle w:val="16"/>
          <w:rFonts w:ascii="仿宋" w:hAnsi="仿宋" w:eastAsia="仿宋"/>
          <w:bCs/>
          <w:color w:val="auto"/>
          <w:sz w:val="32"/>
          <w:szCs w:val="32"/>
        </w:rPr>
        <w:t>.</w:t>
      </w:r>
      <w:r>
        <w:rPr>
          <w:rStyle w:val="16"/>
          <w:rFonts w:hint="eastAsia" w:ascii="仿宋" w:hAnsi="仿宋" w:eastAsia="仿宋"/>
          <w:bCs/>
          <w:color w:val="auto"/>
          <w:sz w:val="32"/>
          <w:szCs w:val="32"/>
        </w:rPr>
        <w:t>住房保障支出（类）住房改革支出（款）住房公积金（项）</w:t>
      </w:r>
      <w:r>
        <w:rPr>
          <w:rStyle w:val="16"/>
          <w:rFonts w:ascii="仿宋" w:hAnsi="仿宋" w:eastAsia="仿宋"/>
          <w:bCs/>
          <w:color w:val="auto"/>
          <w:sz w:val="32"/>
          <w:szCs w:val="32"/>
        </w:rPr>
        <w:t>:</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18.62</w:t>
      </w:r>
      <w:r>
        <w:rPr>
          <w:rStyle w:val="16"/>
          <w:rFonts w:hint="eastAsia" w:ascii="仿宋" w:hAnsi="仿宋" w:eastAsia="仿宋"/>
          <w:b w:val="0"/>
          <w:bCs/>
          <w:color w:val="auto"/>
          <w:sz w:val="32"/>
          <w:szCs w:val="32"/>
        </w:rPr>
        <w:t>万元。</w:t>
      </w:r>
    </w:p>
    <w:p>
      <w:pPr>
        <w:tabs>
          <w:tab w:val="right" w:pos="8306"/>
        </w:tabs>
        <w:spacing w:line="600" w:lineRule="exact"/>
        <w:ind w:firstLine="640"/>
        <w:outlineLvl w:val="1"/>
        <w:rPr>
          <w:rStyle w:val="27"/>
        </w:rPr>
      </w:pPr>
      <w:bookmarkStart w:id="75" w:name="_Toc18690"/>
      <w:bookmarkStart w:id="76" w:name="_Toc15377214"/>
      <w:bookmarkStart w:id="77"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75"/>
      <w:bookmarkEnd w:id="76"/>
      <w:bookmarkEnd w:id="77"/>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311.66</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264.47</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41.61万元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88.55万元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30.33万元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19.75万元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9.06万元</w:t>
      </w:r>
      <w:r>
        <w:rPr>
          <w:rFonts w:hint="eastAsia" w:ascii="仿宋" w:hAnsi="仿宋" w:eastAsia="仿宋"/>
          <w:color w:val="000000"/>
          <w:sz w:val="32"/>
          <w:szCs w:val="32"/>
        </w:rPr>
        <w:t>、职工基本医疗保险缴费</w:t>
      </w:r>
      <w:r>
        <w:rPr>
          <w:rFonts w:hint="eastAsia" w:ascii="仿宋" w:hAnsi="仿宋" w:eastAsia="仿宋"/>
          <w:color w:val="000000"/>
          <w:sz w:val="32"/>
          <w:szCs w:val="32"/>
          <w:lang w:val="en-US" w:eastAsia="zh-CN"/>
        </w:rPr>
        <w:t>8.82万元、公务员医疗补助缴费1.48万元、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3.69万元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0.76万元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18.62万元、生活补助32.66万元、救济费9.12万元、大型修缮9.18万元</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38.02</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18.91万元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1万元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0.5万元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0.3万元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0.3万元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3万元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0.5万元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0.86万元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1万元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1万元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0.52万元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2.68万元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6.46万元。</w:t>
      </w:r>
    </w:p>
    <w:p>
      <w:pPr>
        <w:spacing w:line="600" w:lineRule="exact"/>
        <w:ind w:firstLine="640"/>
        <w:outlineLvl w:val="1"/>
        <w:rPr>
          <w:rStyle w:val="27"/>
          <w:rFonts w:ascii="黑体" w:hAnsi="黑体" w:eastAsia="黑体"/>
          <w:b w:val="0"/>
        </w:rPr>
      </w:pPr>
      <w:bookmarkStart w:id="78" w:name="_Toc15377215"/>
      <w:bookmarkStart w:id="79" w:name="_Toc15396609"/>
      <w:bookmarkStart w:id="80" w:name="_Toc1683"/>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78"/>
      <w:bookmarkEnd w:id="79"/>
      <w:bookmarkEnd w:id="80"/>
    </w:p>
    <w:p>
      <w:pPr>
        <w:spacing w:line="600" w:lineRule="exact"/>
        <w:ind w:firstLine="640"/>
        <w:outlineLvl w:val="2"/>
        <w:rPr>
          <w:rFonts w:ascii="仿宋" w:hAnsi="仿宋" w:eastAsia="仿宋"/>
          <w:b/>
          <w:color w:val="000000"/>
          <w:sz w:val="32"/>
          <w:szCs w:val="32"/>
        </w:rPr>
      </w:pPr>
      <w:bookmarkStart w:id="81" w:name="_Toc7296"/>
      <w:bookmarkStart w:id="82" w:name="_Toc15377216"/>
      <w:r>
        <w:rPr>
          <w:rFonts w:hint="eastAsia" w:ascii="仿宋" w:hAnsi="仿宋" w:eastAsia="仿宋"/>
          <w:b/>
          <w:color w:val="000000"/>
          <w:sz w:val="32"/>
          <w:szCs w:val="32"/>
        </w:rPr>
        <w:t>（一）“三公”经费财政拨款支出决算总体情况说明</w:t>
      </w:r>
      <w:bookmarkEnd w:id="81"/>
      <w:bookmarkEnd w:id="8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6.98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83" w:name="_Toc269"/>
      <w:bookmarkStart w:id="84" w:name="_Toc15377217"/>
      <w:r>
        <w:rPr>
          <w:rFonts w:hint="eastAsia" w:ascii="仿宋" w:hAnsi="仿宋" w:eastAsia="仿宋"/>
          <w:b/>
          <w:color w:val="000000"/>
          <w:sz w:val="32"/>
          <w:szCs w:val="32"/>
        </w:rPr>
        <w:t>（二）“三公”经费财政拨款支出决算具体情况说明</w:t>
      </w:r>
      <w:bookmarkEnd w:id="83"/>
      <w:bookmarkEnd w:id="8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6.46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92.6</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0.52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7.4</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hint="default" w:ascii="仿宋_GB2312" w:eastAsia="仿宋_GB2312"/>
          <w:color w:val="000000"/>
          <w:sz w:val="32"/>
          <w:szCs w:val="32"/>
          <w:lang w:val="en-US"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无变化。</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6.46</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0.04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0.6</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6.46</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寺管工作</w:t>
      </w:r>
      <w:r>
        <w:rPr>
          <w:rFonts w:hint="eastAsia" w:ascii="仿宋_GB2312" w:eastAsia="仿宋_GB2312"/>
          <w:color w:val="000000"/>
          <w:sz w:val="32"/>
          <w:szCs w:val="32"/>
        </w:rPr>
        <w:t>等所需的公务用车燃料费、维修费、过路过桥费、保险费等支出。</w:t>
      </w:r>
    </w:p>
    <w:p>
      <w:pPr>
        <w:numPr>
          <w:ilvl w:val="0"/>
          <w:numId w:val="2"/>
        </w:num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0.52</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保持不变。</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0.52</w:t>
      </w:r>
      <w:r>
        <w:rPr>
          <w:rFonts w:hint="eastAsia" w:ascii="仿宋_GB2312" w:eastAsia="仿宋_GB2312"/>
          <w:color w:val="000000"/>
          <w:sz w:val="32"/>
          <w:szCs w:val="32"/>
        </w:rPr>
        <w:t>万元，执行公务、开展业务活动开支的交通费、住宿费、用餐费等。国内公务接待</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29</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0.52</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val="en-US" w:eastAsia="zh-CN"/>
        </w:rPr>
        <w:t>1.与民管会进行年终总结后进行聚餐，1050元。2.一寺一策工作开展中与民管会工作餐，780元。3.在疫情防控期间的工作餐，810元。4.开展寺庙环境卫生清理工作后与民管会一同聚餐（全年共计4次），1130元。</w:t>
      </w:r>
    </w:p>
    <w:p>
      <w:pPr>
        <w:spacing w:line="600" w:lineRule="exact"/>
        <w:ind w:firstLine="643" w:firstLineChars="200"/>
        <w:rPr>
          <w:rFonts w:hint="eastAsia" w:ascii="仿宋_GB2312" w:eastAsia="仿宋_GB2312"/>
          <w:color w:val="000000" w:themeColor="text1"/>
          <w:sz w:val="32"/>
          <w:szCs w:val="32"/>
          <w:lang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eastAsia="zh-CN"/>
        </w:rPr>
        <w:t>。</w:t>
      </w:r>
    </w:p>
    <w:p>
      <w:pPr>
        <w:spacing w:line="600" w:lineRule="exact"/>
        <w:ind w:firstLine="640"/>
        <w:outlineLvl w:val="1"/>
        <w:rPr>
          <w:rStyle w:val="27"/>
          <w:rFonts w:ascii="黑体" w:hAnsi="黑体" w:eastAsia="黑体"/>
        </w:rPr>
      </w:pPr>
      <w:bookmarkStart w:id="85" w:name="_Toc27099"/>
      <w:bookmarkStart w:id="86" w:name="_Toc15396610"/>
      <w:bookmarkStart w:id="87" w:name="_Toc15377218"/>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85"/>
      <w:bookmarkEnd w:id="86"/>
      <w:bookmarkEnd w:id="8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7"/>
          <w:rFonts w:ascii="黑体" w:hAnsi="黑体" w:eastAsia="黑体"/>
          <w:b w:val="0"/>
        </w:rPr>
      </w:pPr>
      <w:bookmarkStart w:id="88" w:name="_Toc4032"/>
      <w:bookmarkStart w:id="89" w:name="_Toc15396611"/>
      <w:bookmarkStart w:id="90" w:name="_Toc15377219"/>
      <w:r>
        <w:rPr>
          <w:rStyle w:val="27"/>
          <w:rFonts w:hint="eastAsia" w:ascii="黑体" w:hAnsi="黑体" w:eastAsia="黑体"/>
          <w:b w:val="0"/>
        </w:rPr>
        <w:t>国有资本经营预算支出决算情况说明</w:t>
      </w:r>
      <w:bookmarkEnd w:id="88"/>
      <w:bookmarkEnd w:id="89"/>
      <w:bookmarkEnd w:id="9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7"/>
          <w:rFonts w:ascii="黑体" w:hAnsi="黑体" w:eastAsia="黑体"/>
        </w:rPr>
      </w:pPr>
      <w:bookmarkStart w:id="91" w:name="_Toc15377221"/>
      <w:bookmarkStart w:id="92" w:name="_Toc21008"/>
      <w:bookmarkStart w:id="93" w:name="_Toc15396612"/>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15377222"/>
      <w:bookmarkStart w:id="95" w:name="_Toc12373"/>
      <w:r>
        <w:rPr>
          <w:rFonts w:hint="eastAsia" w:ascii="仿宋" w:hAnsi="仿宋" w:eastAsia="仿宋"/>
          <w:b/>
          <w:color w:val="000000"/>
          <w:sz w:val="32"/>
          <w:szCs w:val="32"/>
        </w:rPr>
        <w:t>（一）机关运行经费支出情况</w:t>
      </w:r>
      <w:bookmarkEnd w:id="94"/>
      <w:bookmarkEnd w:id="95"/>
    </w:p>
    <w:p>
      <w:pPr>
        <w:spacing w:line="600" w:lineRule="exact"/>
        <w:ind w:firstLine="640" w:firstLineChars="200"/>
        <w:rPr>
          <w:rFonts w:hint="default" w:ascii="仿宋_GB2312" w:eastAsia="仿宋_GB2312"/>
          <w:color w:val="000000" w:themeColor="text1"/>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麦洼寺管会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35.52</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33</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val="en-US" w:eastAsia="zh-CN"/>
        </w:rPr>
        <w:t>人员增加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6" w:name="_Toc15377223"/>
      <w:bookmarkStart w:id="97" w:name="_Toc8792"/>
      <w:r>
        <w:rPr>
          <w:rFonts w:hint="eastAsia" w:ascii="仿宋" w:hAnsi="仿宋" w:eastAsia="仿宋"/>
          <w:b/>
          <w:color w:val="000000"/>
          <w:sz w:val="32"/>
          <w:szCs w:val="32"/>
        </w:rPr>
        <w:t>（二）政府采购支出情况</w:t>
      </w:r>
      <w:bookmarkEnd w:id="96"/>
      <w:bookmarkEnd w:id="9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8" w:name="_Toc15377224"/>
      <w:bookmarkStart w:id="99" w:name="_Toc28807"/>
      <w:r>
        <w:rPr>
          <w:rFonts w:hint="eastAsia" w:ascii="仿宋" w:hAnsi="仿宋" w:eastAsia="仿宋"/>
          <w:b/>
          <w:color w:val="000000"/>
          <w:sz w:val="32"/>
          <w:szCs w:val="32"/>
        </w:rPr>
        <w:t>（三）国有资产占有使用情况</w:t>
      </w:r>
      <w:bookmarkEnd w:id="98"/>
      <w:bookmarkEnd w:id="99"/>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其他用车主要是用于</w:t>
      </w:r>
      <w:r>
        <w:rPr>
          <w:rFonts w:hint="eastAsia" w:ascii="仿宋_GB2312" w:eastAsia="仿宋_GB2312"/>
          <w:color w:val="000000" w:themeColor="text1"/>
          <w:sz w:val="32"/>
          <w:szCs w:val="32"/>
          <w:lang w:val="en-US" w:eastAsia="zh-CN"/>
        </w:rPr>
        <w:t>日常工作开展。</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31045"/>
      <w:r>
        <w:rPr>
          <w:rFonts w:hint="eastAsia" w:ascii="仿宋" w:hAnsi="仿宋" w:eastAsia="仿宋"/>
          <w:b/>
          <w:color w:val="000000"/>
          <w:sz w:val="32"/>
          <w:szCs w:val="32"/>
        </w:rPr>
        <w:t>（四）预算绩效管理情况。</w:t>
      </w:r>
      <w:bookmarkEnd w:id="100"/>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僧人五保</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全部按时完成</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个项目绩效评价，从评价情况来看</w:t>
      </w:r>
      <w:r>
        <w:rPr>
          <w:rFonts w:hint="eastAsia" w:ascii="仿宋_GB2312" w:hAnsi="仿宋_GB2312" w:eastAsia="仿宋_GB2312" w:cs="仿宋_GB2312"/>
          <w:sz w:val="32"/>
          <w:szCs w:val="32"/>
          <w:lang w:eastAsia="zh-CN"/>
        </w:rPr>
        <w:t>全部按时完成</w:t>
      </w:r>
      <w:r>
        <w:rPr>
          <w:rFonts w:hint="eastAsia" w:ascii="仿宋_GB2312" w:hAnsi="仿宋_GB2312" w:eastAsia="仿宋_GB2312" w:cs="仿宋_GB2312"/>
          <w:sz w:val="32"/>
          <w:szCs w:val="32"/>
        </w:rPr>
        <w:t>。</w:t>
      </w:r>
    </w:p>
    <w:p>
      <w:pPr>
        <w:numPr>
          <w:ilvl w:val="0"/>
          <w:numId w:val="4"/>
        </w:num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部门在201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僧人五保经费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“藏传佛教寺庙维修补助资金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藏传佛教寺庙</w:t>
      </w:r>
      <w:r>
        <w:rPr>
          <w:rFonts w:hint="eastAsia" w:ascii="仿宋_GB2312" w:hAnsi="仿宋_GB2312" w:eastAsia="仿宋_GB2312" w:cs="仿宋_GB2312"/>
          <w:sz w:val="32"/>
          <w:szCs w:val="32"/>
          <w:lang w:val="en-US" w:eastAsia="zh-CN"/>
        </w:rPr>
        <w:t>包虫病预防宣传资金</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个项目绩效目标实际完成情况。（本单位部门项目绩效目标个数在5个以上的，选取5个项目进行公开，目标个数在5个以下的，全部进行公开，公开内容包括完成情况综述和完成情况表）。</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僧人五保经费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9.12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9.12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片区寺庙</w:t>
      </w:r>
      <w:r>
        <w:rPr>
          <w:rFonts w:hint="eastAsia" w:ascii="仿宋_GB2312" w:hAnsi="仿宋_GB2312" w:eastAsia="仿宋_GB2312" w:cs="仿宋_GB2312"/>
          <w:sz w:val="32"/>
          <w:szCs w:val="32"/>
          <w:lang w:val="en-US" w:eastAsia="zh-CN"/>
        </w:rPr>
        <w:t>贫困僧人五保</w:t>
      </w:r>
      <w:r>
        <w:rPr>
          <w:rFonts w:hint="eastAsia" w:ascii="仿宋_GB2312" w:hAnsi="仿宋_GB2312" w:eastAsia="仿宋_GB2312" w:cs="仿宋_GB2312"/>
          <w:sz w:val="32"/>
          <w:szCs w:val="32"/>
          <w:lang w:eastAsia="zh-CN"/>
        </w:rPr>
        <w:t>经费资金的发放。</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藏传佛教寺庙维修补助资金项目绩效目标完成情况综述。项目全年预算数</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项目尚未实施</w:t>
      </w:r>
      <w:r>
        <w:rPr>
          <w:rFonts w:hint="eastAsia" w:ascii="仿宋_GB2312" w:hAnsi="仿宋_GB2312" w:eastAsia="仿宋_GB2312" w:cs="仿宋_GB2312"/>
          <w:sz w:val="32"/>
          <w:szCs w:val="32"/>
          <w:lang w:eastAsia="zh-CN"/>
        </w:rPr>
        <w:t>。</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藏传佛教寺庙</w:t>
      </w:r>
      <w:r>
        <w:rPr>
          <w:rFonts w:hint="eastAsia" w:ascii="仿宋_GB2312" w:hAnsi="仿宋_GB2312" w:eastAsia="仿宋_GB2312" w:cs="仿宋_GB2312"/>
          <w:sz w:val="32"/>
          <w:szCs w:val="32"/>
          <w:lang w:val="en-US" w:eastAsia="zh-CN"/>
        </w:rPr>
        <w:t>包虫病预防宣传资金</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加强了寺庙僧人预防包虫病等疾病预防观念及防疫知识</w:t>
      </w:r>
      <w:r>
        <w:rPr>
          <w:rFonts w:hint="eastAsia" w:ascii="仿宋_GB2312" w:hAnsi="仿宋_GB2312" w:eastAsia="仿宋_GB2312" w:cs="仿宋_GB2312"/>
          <w:sz w:val="32"/>
          <w:szCs w:val="32"/>
          <w:lang w:eastAsia="zh-CN"/>
        </w:rPr>
        <w:t>。</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4"/>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sz w:val="24"/>
                <w:szCs w:val="24"/>
                <w:u w:val="none"/>
              </w:rPr>
              <w:t>片区僧人五保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麦洼寺管会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color w:val="000000"/>
                <w:sz w:val="24"/>
                <w:lang w:val="en-US" w:eastAsia="zh-CN"/>
              </w:rPr>
              <w:t>9.12</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color w:val="000000"/>
                <w:sz w:val="24"/>
                <w:lang w:val="en-US" w:eastAsia="zh-CN"/>
              </w:rPr>
              <w:t>9.12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color w:val="000000"/>
                <w:sz w:val="24"/>
                <w:lang w:val="en-US" w:eastAsia="zh-CN"/>
              </w:rPr>
              <w:t>9.12</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color w:val="000000"/>
                <w:sz w:val="24"/>
                <w:lang w:val="en-US" w:eastAsia="zh-CN"/>
              </w:rPr>
              <w:t>9.12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rPr>
            </w:pPr>
            <w:r>
              <w:rPr>
                <w:rFonts w:hint="eastAsia" w:ascii="宋体" w:hAnsi="宋体" w:cs="宋体"/>
                <w:b/>
                <w:i w:val="0"/>
                <w:color w:val="000000"/>
                <w:sz w:val="24"/>
                <w:szCs w:val="24"/>
                <w:u w:val="none"/>
                <w:lang w:val="en-US" w:eastAsia="zh-CN"/>
              </w:rPr>
              <w:t>宣传包虫病预防知识</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val="en-US" w:eastAsia="zh-CN"/>
              </w:rPr>
              <w:t>加强了寺庙僧人预防包虫病等疾病预防观念及防疫知识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 xml:space="preserve">1 </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准时完成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按时完成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符合政策依据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符合政策依据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科学合理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按时发放</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按时发放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按时发放</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按时发放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合规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核算规范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核算规范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达到行业基准水平</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达到行业基准水平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满意</w:t>
            </w:r>
          </w:p>
        </w:tc>
      </w:tr>
    </w:tbl>
    <w:p>
      <w:pPr>
        <w:spacing w:line="580" w:lineRule="exact"/>
        <w:ind w:firstLine="640" w:firstLineChars="20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tbl>
      <w:tblPr>
        <w:tblStyle w:val="14"/>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r>
              <w:rPr>
                <w:rFonts w:hint="eastAsia" w:ascii="仿宋_GB2312" w:hAnsi="仿宋_GB2312" w:eastAsia="仿宋_GB2312" w:cs="仿宋_GB2312"/>
                <w:sz w:val="32"/>
                <w:szCs w:val="32"/>
                <w:lang w:eastAsia="zh-CN"/>
              </w:rPr>
              <w:t>藏传佛教寺庙</w:t>
            </w:r>
            <w:r>
              <w:rPr>
                <w:rFonts w:hint="eastAsia" w:ascii="仿宋_GB2312" w:hAnsi="仿宋_GB2312" w:eastAsia="仿宋_GB2312" w:cs="仿宋_GB2312"/>
                <w:sz w:val="32"/>
                <w:szCs w:val="32"/>
                <w:lang w:val="en-US" w:eastAsia="zh-CN"/>
              </w:rPr>
              <w:t>包虫病预防宣传资金</w:t>
            </w:r>
            <w:r>
              <w:rPr>
                <w:rFonts w:hint="eastAsia" w:ascii="仿宋_GB2312" w:hAnsi="仿宋_GB2312" w:eastAsia="仿宋_GB2312" w:cs="仿宋_GB2312"/>
                <w:sz w:val="32"/>
                <w:szCs w:val="32"/>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麦洼寺管会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rPr>
            </w:pPr>
            <w:r>
              <w:rPr>
                <w:rFonts w:hint="eastAsia" w:ascii="宋体" w:hAnsi="宋体" w:cs="宋体"/>
                <w:b/>
                <w:i w:val="0"/>
                <w:color w:val="000000"/>
                <w:sz w:val="24"/>
                <w:szCs w:val="24"/>
                <w:u w:val="none"/>
                <w:lang w:val="en-US" w:eastAsia="zh-CN"/>
              </w:rPr>
              <w:t>宣传包虫病预防知识</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val="en-US" w:eastAsia="zh-CN"/>
              </w:rPr>
              <w:t>加强了寺庙僧人预防包虫病等疾病预防观念及防疫知识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 xml:space="preserve">1 </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准时完成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按时完成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符合政策依据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符合政策依据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科学合理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按时发放</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按时发放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按时发放</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按时发放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合规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核算规范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核算规范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达到行业基准水平</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达到行业基准水平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满意</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bookmarkStart w:id="101" w:name="_Toc15377225"/>
      <w:bookmarkStart w:id="102" w:name="_Toc15396613"/>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麦洼寺管会</w:t>
      </w:r>
      <w:r>
        <w:rPr>
          <w:rFonts w:hint="eastAsia" w:ascii="仿宋_GB2312" w:hAnsi="仿宋_GB2312" w:eastAsia="仿宋_GB2312" w:cs="仿宋_GB2312"/>
          <w:sz w:val="32"/>
          <w:szCs w:val="32"/>
        </w:rPr>
        <w:t>部门201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本部门自行组织对片区僧人五保项目开展了绩效评价，《片区僧人五保项目201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年绩效评价报告》见附件。</w:t>
      </w: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numPr>
          <w:ilvl w:val="0"/>
          <w:numId w:val="6"/>
        </w:numPr>
        <w:spacing w:line="600" w:lineRule="exact"/>
        <w:ind w:firstLine="660" w:firstLineChars="150"/>
        <w:jc w:val="center"/>
        <w:outlineLvl w:val="0"/>
        <w:rPr>
          <w:rStyle w:val="26"/>
          <w:rFonts w:ascii="黑体" w:hAnsi="黑体" w:eastAsia="黑体"/>
          <w:b w:val="0"/>
        </w:rPr>
      </w:pPr>
      <w:bookmarkStart w:id="103" w:name="_Toc9564"/>
      <w:r>
        <w:rPr>
          <w:rFonts w:hint="eastAsia" w:ascii="黑体" w:hAnsi="黑体" w:eastAsia="黑体"/>
          <w:color w:val="000000"/>
          <w:sz w:val="44"/>
          <w:szCs w:val="44"/>
        </w:rPr>
        <w:t>名</w:t>
      </w:r>
      <w:r>
        <w:rPr>
          <w:rStyle w:val="26"/>
          <w:rFonts w:hint="eastAsia" w:ascii="黑体" w:hAnsi="黑体" w:eastAsia="黑体"/>
          <w:b w:val="0"/>
        </w:rPr>
        <w:t>词解释</w:t>
      </w:r>
      <w:bookmarkEnd w:id="101"/>
      <w:bookmarkEnd w:id="102"/>
      <w:bookmarkEnd w:id="103"/>
    </w:p>
    <w:p>
      <w:pPr>
        <w:pStyle w:val="24"/>
        <w:spacing w:line="560" w:lineRule="exact"/>
        <w:ind w:firstLine="640" w:firstLineChars="200"/>
        <w:rPr>
          <w:rFonts w:ascii="仿宋_GB2312" w:eastAsia="仿宋_GB2312"/>
          <w:sz w:val="32"/>
          <w:szCs w:val="32"/>
        </w:rPr>
      </w:pPr>
      <w:bookmarkStart w:id="104" w:name="_Toc15396614"/>
      <w:bookmarkStart w:id="105"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left="958" w:leftChars="304" w:hanging="320" w:hangingChars="100"/>
        <w:rPr>
          <w:rFonts w:hint="eastAsia"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一般公共服务（类）宗教事务（款）行政运行（项）：</w:t>
      </w:r>
    </w:p>
    <w:p>
      <w:pPr>
        <w:rPr>
          <w:rFonts w:hint="eastAsia" w:ascii="仿宋_GB2312" w:eastAsia="仿宋_GB2312"/>
          <w:color w:val="000000"/>
          <w:sz w:val="32"/>
          <w:szCs w:val="32"/>
        </w:rPr>
      </w:pPr>
      <w:r>
        <w:rPr>
          <w:rFonts w:hint="eastAsia" w:ascii="仿宋_GB2312" w:eastAsia="仿宋_GB2312"/>
          <w:color w:val="000000"/>
          <w:sz w:val="32"/>
          <w:szCs w:val="32"/>
        </w:rPr>
        <w:t>指</w:t>
      </w:r>
      <w:r>
        <w:rPr>
          <w:rFonts w:hint="eastAsia" w:ascii="仿宋_GB2312" w:eastAsia="仿宋_GB2312"/>
          <w:color w:val="000000"/>
          <w:sz w:val="32"/>
          <w:szCs w:val="32"/>
          <w:lang w:eastAsia="zh-CN"/>
        </w:rPr>
        <w:t>反应我单位基本支出</w:t>
      </w:r>
      <w:r>
        <w:rPr>
          <w:rFonts w:hint="eastAsia" w:ascii="仿宋_GB2312" w:eastAsia="仿宋_GB2312"/>
          <w:color w:val="000000"/>
          <w:sz w:val="32"/>
          <w:szCs w:val="32"/>
        </w:rPr>
        <w:t>。</w:t>
      </w:r>
    </w:p>
    <w:p>
      <w:pPr>
        <w:numPr>
          <w:ilvl w:val="0"/>
          <w:numId w:val="7"/>
        </w:numPr>
        <w:ind w:left="958" w:leftChars="304" w:hanging="320" w:hangingChars="100"/>
        <w:rPr>
          <w:rFonts w:hint="eastAsia" w:ascii="仿宋_GB2312" w:eastAsia="仿宋_GB2312"/>
          <w:color w:val="000000"/>
          <w:sz w:val="32"/>
          <w:szCs w:val="32"/>
          <w:lang w:eastAsia="zh-CN"/>
        </w:rPr>
      </w:pPr>
      <w:r>
        <w:rPr>
          <w:rFonts w:hint="eastAsia" w:ascii="仿宋_GB2312" w:eastAsia="仿宋_GB2312"/>
          <w:color w:val="000000"/>
          <w:sz w:val="32"/>
          <w:szCs w:val="32"/>
        </w:rPr>
        <w:t>一般公共服务（类）宗教事务（款）</w:t>
      </w:r>
      <w:r>
        <w:rPr>
          <w:rFonts w:hint="eastAsia" w:ascii="仿宋_GB2312" w:eastAsia="仿宋_GB2312"/>
          <w:color w:val="000000"/>
          <w:sz w:val="32"/>
          <w:szCs w:val="32"/>
          <w:lang w:eastAsia="zh-CN"/>
        </w:rPr>
        <w:t>宗教工作专</w:t>
      </w:r>
    </w:p>
    <w:p>
      <w:pPr>
        <w:numPr>
          <w:ilvl w:val="0"/>
          <w:numId w:val="0"/>
        </w:numPr>
        <w:rPr>
          <w:rFonts w:hint="eastAsia" w:ascii="仿宋_GB2312" w:eastAsia="仿宋_GB2312"/>
          <w:color w:val="000000"/>
          <w:sz w:val="32"/>
          <w:szCs w:val="32"/>
        </w:rPr>
      </w:pPr>
      <w:r>
        <w:rPr>
          <w:rFonts w:hint="eastAsia" w:ascii="仿宋_GB2312" w:eastAsia="仿宋_GB2312"/>
          <w:color w:val="000000"/>
          <w:sz w:val="32"/>
          <w:szCs w:val="32"/>
          <w:lang w:eastAsia="zh-CN"/>
        </w:rPr>
        <w:t>项</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用于宗教事务管理方面的专项支出</w:t>
      </w:r>
      <w:r>
        <w:rPr>
          <w:rFonts w:hint="eastAsia" w:ascii="仿宋_GB2312" w:eastAsia="仿宋_GB2312"/>
          <w:color w:val="000000"/>
          <w:sz w:val="32"/>
          <w:szCs w:val="32"/>
        </w:rPr>
        <w:t>。</w:t>
      </w:r>
    </w:p>
    <w:p>
      <w:pPr>
        <w:numPr>
          <w:ilvl w:val="0"/>
          <w:numId w:val="7"/>
        </w:numPr>
        <w:ind w:left="958" w:leftChars="304" w:hanging="320" w:hangingChars="100"/>
        <w:rPr>
          <w:rFonts w:hint="eastAsia" w:ascii="仿宋_GB2312" w:eastAsia="仿宋_GB2312"/>
          <w:color w:val="000000"/>
          <w:sz w:val="32"/>
          <w:szCs w:val="32"/>
          <w:lang w:eastAsia="zh-CN"/>
        </w:rPr>
      </w:pPr>
      <w:r>
        <w:rPr>
          <w:rFonts w:hint="eastAsia" w:ascii="仿宋_GB2312" w:eastAsia="仿宋_GB2312"/>
          <w:color w:val="000000"/>
          <w:sz w:val="32"/>
          <w:szCs w:val="32"/>
        </w:rPr>
        <w:t>一般公共服务（类）宗教事务（款）</w:t>
      </w:r>
      <w:r>
        <w:rPr>
          <w:rFonts w:hint="eastAsia" w:ascii="仿宋_GB2312" w:eastAsia="仿宋_GB2312"/>
          <w:color w:val="000000"/>
          <w:sz w:val="32"/>
          <w:szCs w:val="32"/>
          <w:lang w:eastAsia="zh-CN"/>
        </w:rPr>
        <w:t>其他宗教事</w:t>
      </w:r>
    </w:p>
    <w:p>
      <w:pPr>
        <w:numPr>
          <w:ilvl w:val="0"/>
          <w:numId w:val="0"/>
        </w:numPr>
        <w:rPr>
          <w:rFonts w:hint="eastAsia" w:ascii="仿宋_GB2312" w:eastAsia="仿宋_GB2312"/>
          <w:color w:val="000000"/>
          <w:sz w:val="32"/>
          <w:szCs w:val="32"/>
        </w:rPr>
      </w:pPr>
      <w:r>
        <w:rPr>
          <w:rFonts w:hint="eastAsia" w:ascii="仿宋_GB2312" w:eastAsia="仿宋_GB2312"/>
          <w:color w:val="000000"/>
          <w:sz w:val="32"/>
          <w:szCs w:val="32"/>
          <w:lang w:eastAsia="zh-CN"/>
        </w:rPr>
        <w:t>务支出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宗其他教事务方面的支出</w:t>
      </w:r>
      <w:r>
        <w:rPr>
          <w:rFonts w:hint="eastAsia" w:ascii="仿宋_GB2312" w:eastAsia="仿宋_GB2312"/>
          <w:color w:val="000000"/>
          <w:sz w:val="32"/>
          <w:szCs w:val="32"/>
        </w:rPr>
        <w:t>。</w:t>
      </w:r>
    </w:p>
    <w:p>
      <w:pPr>
        <w:numPr>
          <w:ilvl w:val="0"/>
          <w:numId w:val="8"/>
        </w:numPr>
        <w:ind w:left="958" w:leftChars="304" w:hanging="320" w:hangingChars="100"/>
        <w:rPr>
          <w:rFonts w:hint="eastAsia" w:ascii="仿宋_GB2312" w:eastAsia="仿宋_GB2312"/>
          <w:color w:val="000000"/>
          <w:sz w:val="32"/>
          <w:szCs w:val="32"/>
          <w:lang w:eastAsia="zh-CN"/>
        </w:rPr>
      </w:pPr>
      <w:r>
        <w:rPr>
          <w:rFonts w:hint="eastAsia" w:ascii="仿宋_GB2312" w:eastAsia="仿宋_GB2312"/>
          <w:color w:val="000000"/>
          <w:sz w:val="32"/>
          <w:szCs w:val="32"/>
        </w:rPr>
        <w:t>一般公共服务（类）</w:t>
      </w:r>
      <w:r>
        <w:rPr>
          <w:rFonts w:hint="eastAsia" w:ascii="仿宋_GB2312" w:eastAsia="仿宋_GB2312"/>
          <w:color w:val="000000"/>
          <w:sz w:val="32"/>
          <w:szCs w:val="32"/>
          <w:lang w:eastAsia="zh-CN"/>
        </w:rPr>
        <w:t>统战事务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其他统战事</w:t>
      </w:r>
    </w:p>
    <w:p>
      <w:pPr>
        <w:numPr>
          <w:ilvl w:val="0"/>
          <w:numId w:val="0"/>
        </w:numPr>
        <w:rPr>
          <w:rFonts w:hint="eastAsia" w:ascii="仿宋_GB2312" w:eastAsia="仿宋_GB2312"/>
          <w:color w:val="000000"/>
          <w:sz w:val="32"/>
          <w:szCs w:val="32"/>
        </w:rPr>
      </w:pPr>
      <w:r>
        <w:rPr>
          <w:rFonts w:hint="eastAsia" w:ascii="仿宋_GB2312" w:eastAsia="仿宋_GB2312"/>
          <w:color w:val="000000"/>
          <w:sz w:val="32"/>
          <w:szCs w:val="32"/>
          <w:lang w:eastAsia="zh-CN"/>
        </w:rPr>
        <w:t>务支出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其他中国共产党统战部门的事务支出</w:t>
      </w:r>
      <w:r>
        <w:rPr>
          <w:rFonts w:hint="eastAsia" w:ascii="仿宋_GB2312" w:eastAsia="仿宋_GB2312"/>
          <w:color w:val="000000"/>
          <w:sz w:val="32"/>
          <w:szCs w:val="32"/>
        </w:rPr>
        <w:t>。</w:t>
      </w:r>
    </w:p>
    <w:p>
      <w:pPr>
        <w:numPr>
          <w:ilvl w:val="0"/>
          <w:numId w:val="9"/>
        </w:numPr>
        <w:ind w:left="958" w:leftChars="304" w:hanging="320" w:hangingChars="100"/>
        <w:rPr>
          <w:rFonts w:hint="eastAsia" w:ascii="仿宋_GB2312" w:eastAsia="仿宋_GB2312"/>
          <w:color w:val="000000"/>
          <w:sz w:val="32"/>
          <w:szCs w:val="32"/>
        </w:rPr>
      </w:pPr>
      <w:r>
        <w:rPr>
          <w:rFonts w:hint="eastAsia" w:ascii="仿宋_GB2312" w:eastAsia="仿宋_GB2312"/>
          <w:color w:val="000000"/>
          <w:sz w:val="32"/>
          <w:szCs w:val="32"/>
        </w:rPr>
        <w:t>社会保障和就业（类）行政事业单位离退休（款）</w:t>
      </w:r>
    </w:p>
    <w:p>
      <w:pPr>
        <w:numPr>
          <w:ilvl w:val="0"/>
          <w:numId w:val="0"/>
        </w:numPr>
        <w:rPr>
          <w:rFonts w:hint="eastAsia" w:ascii="仿宋_GB2312" w:eastAsia="仿宋_GB2312"/>
          <w:color w:val="000000"/>
          <w:sz w:val="32"/>
          <w:szCs w:val="32"/>
        </w:rPr>
      </w:pPr>
      <w:r>
        <w:rPr>
          <w:rFonts w:hint="eastAsia" w:ascii="仿宋_GB2312" w:eastAsia="仿宋_GB2312"/>
          <w:color w:val="000000"/>
          <w:sz w:val="32"/>
          <w:szCs w:val="32"/>
        </w:rPr>
        <w:t>机关事业单位基本养老保险缴费支出（项）：指</w:t>
      </w:r>
      <w:r>
        <w:rPr>
          <w:rFonts w:hint="eastAsia" w:ascii="仿宋_GB2312" w:eastAsia="仿宋_GB2312"/>
          <w:color w:val="000000"/>
          <w:sz w:val="32"/>
          <w:szCs w:val="32"/>
          <w:lang w:eastAsia="zh-CN"/>
        </w:rPr>
        <w:t>单位缴纳的基本养老保险支出</w:t>
      </w:r>
      <w:r>
        <w:rPr>
          <w:rFonts w:hint="eastAsia" w:ascii="仿宋_GB2312" w:eastAsia="仿宋_GB2312"/>
          <w:color w:val="000000"/>
          <w:sz w:val="32"/>
          <w:szCs w:val="32"/>
        </w:rPr>
        <w:t>。</w:t>
      </w:r>
    </w:p>
    <w:p>
      <w:pPr>
        <w:numPr>
          <w:ilvl w:val="0"/>
          <w:numId w:val="9"/>
        </w:numPr>
        <w:ind w:left="958" w:leftChars="304" w:hanging="320" w:hangingChars="100"/>
        <w:rPr>
          <w:rFonts w:hint="eastAsia" w:ascii="仿宋_GB2312" w:eastAsia="仿宋_GB2312"/>
          <w:color w:val="000000"/>
          <w:sz w:val="32"/>
          <w:szCs w:val="32"/>
        </w:rPr>
      </w:pPr>
      <w:r>
        <w:rPr>
          <w:rFonts w:hint="eastAsia" w:ascii="仿宋_GB2312" w:eastAsia="仿宋_GB2312"/>
          <w:color w:val="000000"/>
          <w:sz w:val="32"/>
          <w:szCs w:val="32"/>
        </w:rPr>
        <w:t>社会保障和就业（类）行政事业单位离退休（款）</w:t>
      </w:r>
    </w:p>
    <w:p>
      <w:pPr>
        <w:numPr>
          <w:ilvl w:val="0"/>
          <w:numId w:val="0"/>
        </w:numPr>
        <w:rPr>
          <w:rFonts w:hint="eastAsia" w:ascii="仿宋_GB2312" w:eastAsia="仿宋_GB2312"/>
          <w:color w:val="000000"/>
          <w:sz w:val="32"/>
          <w:szCs w:val="32"/>
        </w:rPr>
      </w:pPr>
      <w:r>
        <w:rPr>
          <w:rFonts w:hint="eastAsia" w:ascii="仿宋_GB2312" w:eastAsia="仿宋_GB2312"/>
          <w:color w:val="000000"/>
          <w:sz w:val="32"/>
          <w:szCs w:val="32"/>
        </w:rPr>
        <w:t>机关事业单位职业年金缴费支出（项）：指</w:t>
      </w:r>
      <w:r>
        <w:rPr>
          <w:rFonts w:hint="eastAsia" w:ascii="仿宋_GB2312" w:eastAsia="仿宋_GB2312"/>
          <w:color w:val="000000"/>
          <w:sz w:val="32"/>
          <w:szCs w:val="32"/>
          <w:lang w:eastAsia="zh-CN"/>
        </w:rPr>
        <w:t>单位实际缴纳的职业年金支出</w:t>
      </w:r>
      <w:r>
        <w:rPr>
          <w:rFonts w:hint="eastAsia" w:ascii="仿宋_GB2312" w:eastAsia="仿宋_GB2312"/>
          <w:color w:val="000000"/>
          <w:sz w:val="32"/>
          <w:szCs w:val="32"/>
        </w:rPr>
        <w:t>。</w:t>
      </w:r>
    </w:p>
    <w:p>
      <w:pPr>
        <w:numPr>
          <w:ilvl w:val="0"/>
          <w:numId w:val="9"/>
        </w:numPr>
        <w:ind w:left="958" w:leftChars="304" w:hanging="320" w:hangingChars="100"/>
        <w:rPr>
          <w:rFonts w:hint="eastAsia" w:ascii="仿宋_GB2312" w:eastAsia="仿宋_GB2312"/>
          <w:color w:val="000000"/>
          <w:sz w:val="32"/>
          <w:szCs w:val="32"/>
        </w:rPr>
      </w:pPr>
      <w:r>
        <w:rPr>
          <w:rFonts w:hint="eastAsia" w:ascii="仿宋_GB2312" w:eastAsia="仿宋_GB2312"/>
          <w:color w:val="000000"/>
          <w:sz w:val="32"/>
          <w:szCs w:val="32"/>
        </w:rPr>
        <w:t>社会保障和就业（类）特困人员救助供养（款）</w:t>
      </w:r>
    </w:p>
    <w:p>
      <w:pPr>
        <w:numPr>
          <w:ilvl w:val="0"/>
          <w:numId w:val="0"/>
        </w:numPr>
        <w:rPr>
          <w:rFonts w:hint="eastAsia" w:ascii="仿宋_GB2312" w:eastAsia="仿宋_GB2312"/>
          <w:color w:val="000000"/>
          <w:sz w:val="32"/>
          <w:szCs w:val="32"/>
        </w:rPr>
      </w:pPr>
      <w:r>
        <w:rPr>
          <w:rFonts w:hint="eastAsia" w:ascii="仿宋_GB2312" w:eastAsia="仿宋_GB2312"/>
          <w:color w:val="000000"/>
          <w:sz w:val="32"/>
          <w:szCs w:val="32"/>
        </w:rPr>
        <w:t>农村特困人员救助供养支出（项）：指</w:t>
      </w:r>
      <w:r>
        <w:rPr>
          <w:rFonts w:hint="eastAsia" w:ascii="仿宋_GB2312" w:eastAsia="仿宋_GB2312"/>
          <w:color w:val="000000"/>
          <w:sz w:val="32"/>
          <w:szCs w:val="32"/>
          <w:lang w:eastAsia="zh-CN"/>
        </w:rPr>
        <w:t>僧人五保</w:t>
      </w:r>
      <w:r>
        <w:rPr>
          <w:rFonts w:hint="eastAsia" w:ascii="仿宋_GB2312" w:eastAsia="仿宋_GB2312"/>
          <w:color w:val="000000"/>
          <w:sz w:val="32"/>
          <w:szCs w:val="32"/>
        </w:rPr>
        <w:t>。</w:t>
      </w:r>
    </w:p>
    <w:p>
      <w:pPr>
        <w:keepNext w:val="0"/>
        <w:keepLines w:val="0"/>
        <w:pageBreakBefore w:val="0"/>
        <w:widowControl w:val="0"/>
        <w:numPr>
          <w:ilvl w:val="0"/>
          <w:numId w:val="9"/>
        </w:numPr>
        <w:kinsoku/>
        <w:wordWrap/>
        <w:overflowPunct/>
        <w:topLinePunct w:val="0"/>
        <w:autoSpaceDE/>
        <w:autoSpaceDN/>
        <w:bidi w:val="0"/>
        <w:adjustRightInd/>
        <w:snapToGrid/>
        <w:ind w:left="958" w:leftChars="304" w:hanging="320" w:hangingChars="10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医疗卫生与计划生育（类）行政事业单位医疗（款）</w:t>
      </w:r>
      <w:r>
        <w:rPr>
          <w:rFonts w:hint="eastAsia" w:ascii="仿宋_GB2312" w:eastAsia="仿宋_GB2312"/>
          <w:color w:val="00000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行政单位医疗（项）：指</w:t>
      </w:r>
      <w:r>
        <w:rPr>
          <w:rFonts w:hint="eastAsia" w:ascii="仿宋_GB2312" w:eastAsia="仿宋_GB2312"/>
          <w:color w:val="000000"/>
          <w:sz w:val="32"/>
          <w:szCs w:val="32"/>
          <w:lang w:eastAsia="zh-CN"/>
        </w:rPr>
        <w:t>行政单位基本医疗保险缴费经费</w:t>
      </w:r>
      <w:r>
        <w:rPr>
          <w:rFonts w:hint="eastAsia" w:ascii="仿宋_GB2312" w:eastAsia="仿宋_GB2312"/>
          <w:color w:val="000000"/>
          <w:sz w:val="32"/>
          <w:szCs w:val="32"/>
        </w:rPr>
        <w:t>。</w:t>
      </w:r>
    </w:p>
    <w:p>
      <w:pPr>
        <w:keepNext w:val="0"/>
        <w:keepLines w:val="0"/>
        <w:pageBreakBefore w:val="0"/>
        <w:widowControl w:val="0"/>
        <w:numPr>
          <w:ilvl w:val="0"/>
          <w:numId w:val="9"/>
        </w:numPr>
        <w:kinsoku/>
        <w:wordWrap/>
        <w:overflowPunct/>
        <w:topLinePunct w:val="0"/>
        <w:autoSpaceDE/>
        <w:autoSpaceDN/>
        <w:bidi w:val="0"/>
        <w:adjustRightInd/>
        <w:snapToGrid/>
        <w:ind w:left="958" w:leftChars="304" w:hanging="320" w:hangingChars="10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医疗卫生与计划生育（类）行政事业单位医疗（款）</w:t>
      </w:r>
      <w:r>
        <w:rPr>
          <w:rFonts w:hint="eastAsia" w:ascii="仿宋_GB2312" w:eastAsia="仿宋_GB2312"/>
          <w:color w:val="00000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公务员医疗补助（项）：指</w:t>
      </w:r>
      <w:r>
        <w:rPr>
          <w:rFonts w:hint="eastAsia" w:ascii="仿宋_GB2312" w:eastAsia="仿宋_GB2312"/>
          <w:color w:val="000000"/>
          <w:sz w:val="32"/>
          <w:szCs w:val="32"/>
          <w:lang w:eastAsia="zh-CN"/>
        </w:rPr>
        <w:t>公务员医疗补助经费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住房保障（类）住房改革支出（款）住房公积金（项）：指</w:t>
      </w:r>
      <w:r>
        <w:rPr>
          <w:rFonts w:hint="eastAsia" w:ascii="仿宋_GB2312" w:eastAsia="仿宋_GB2312"/>
          <w:color w:val="000000"/>
          <w:sz w:val="32"/>
          <w:szCs w:val="32"/>
          <w:lang w:eastAsia="zh-CN"/>
        </w:rPr>
        <w:t>以一定比例为职工缴纳的住房公积金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s="黑体"/>
          <w:sz w:val="32"/>
          <w:szCs w:val="32"/>
        </w:rPr>
      </w:pPr>
    </w:p>
    <w:p>
      <w:pPr>
        <w:spacing w:line="600" w:lineRule="exact"/>
        <w:jc w:val="center"/>
        <w:outlineLvl w:val="0"/>
        <w:rPr>
          <w:rStyle w:val="26"/>
          <w:rFonts w:ascii="黑体" w:hAnsi="黑体" w:eastAsia="黑体"/>
          <w:b w:val="0"/>
        </w:rPr>
      </w:pPr>
      <w:r>
        <w:rPr>
          <w:rFonts w:ascii="宋体"/>
          <w:b/>
          <w:color w:val="000000"/>
          <w:sz w:val="44"/>
          <w:szCs w:val="44"/>
        </w:rPr>
        <w:br w:type="page"/>
      </w:r>
      <w:bookmarkStart w:id="106" w:name="_Toc11666"/>
      <w:r>
        <w:rPr>
          <w:rFonts w:hint="eastAsia" w:ascii="黑体" w:hAnsi="黑体" w:eastAsia="黑体"/>
          <w:color w:val="000000"/>
          <w:sz w:val="44"/>
          <w:szCs w:val="44"/>
        </w:rPr>
        <w:t>第</w:t>
      </w:r>
      <w:r>
        <w:rPr>
          <w:rStyle w:val="26"/>
          <w:rFonts w:hint="eastAsia" w:ascii="黑体" w:hAnsi="黑体" w:eastAsia="黑体"/>
          <w:b w:val="0"/>
        </w:rPr>
        <w:t>四部分 附件</w:t>
      </w:r>
      <w:bookmarkEnd w:id="104"/>
      <w:bookmarkEnd w:id="106"/>
    </w:p>
    <w:p>
      <w:pPr>
        <w:spacing w:line="600" w:lineRule="exact"/>
        <w:jc w:val="left"/>
        <w:outlineLvl w:val="0"/>
        <w:rPr>
          <w:rFonts w:ascii="方正小标宋简体" w:hAnsi="方正小标宋简体" w:eastAsia="方正小标宋简体" w:cs="方正小标宋简体"/>
          <w:sz w:val="32"/>
          <w:szCs w:val="32"/>
        </w:rPr>
      </w:pPr>
      <w:bookmarkStart w:id="107" w:name="_Toc4396"/>
      <w:r>
        <w:rPr>
          <w:rFonts w:hint="eastAsia" w:ascii="黑体" w:hAnsi="黑体" w:eastAsia="黑体" w:cs="黑体"/>
          <w:sz w:val="32"/>
          <w:szCs w:val="32"/>
        </w:rPr>
        <w:t>附件1</w:t>
      </w:r>
      <w:bookmarkEnd w:id="107"/>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en-US" w:eastAsia="zh-CN"/>
        </w:rPr>
        <w:t>麦洼寺管会</w:t>
      </w: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（一）机构组成。</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 w:hAnsi="仿宋" w:eastAsia="仿宋"/>
          <w:color w:val="000000"/>
          <w:sz w:val="32"/>
          <w:szCs w:val="32"/>
          <w:lang w:val="zh-CN" w:eastAsia="zh-CN"/>
        </w:rPr>
      </w:pPr>
      <w:r>
        <w:rPr>
          <w:rFonts w:hint="eastAsia" w:ascii="仿宋_GB2312" w:eastAsia="仿宋_GB2312"/>
          <w:color w:val="000000"/>
          <w:sz w:val="32"/>
          <w:szCs w:val="32"/>
          <w:lang w:val="zh-CN" w:eastAsia="zh-CN"/>
        </w:rPr>
        <w:t>我单位为独立核算全额拨款行政单位</w:t>
      </w:r>
      <w:r>
        <w:rPr>
          <w:rFonts w:hint="eastAsia" w:ascii="仿宋_GB2312" w:eastAsia="仿宋_GB2312"/>
          <w:color w:val="000000"/>
          <w:sz w:val="32"/>
          <w:szCs w:val="32"/>
          <w:lang w:val="en-US" w:eastAsia="zh-CN"/>
        </w:rPr>
        <w:t>。</w:t>
      </w:r>
    </w:p>
    <w:p>
      <w:pPr>
        <w:keepNext w:val="0"/>
        <w:keepLines w:val="0"/>
        <w:widowControl/>
        <w:numPr>
          <w:ilvl w:val="0"/>
          <w:numId w:val="10"/>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机构职能。</w:t>
      </w:r>
    </w:p>
    <w:p>
      <w:pPr>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管委会为县政府派出机构，受县政府委托，履行相应宗教事务管理执法权，业务上接收统战和宗教工作部门的指导和监督。</w:t>
      </w:r>
    </w:p>
    <w:p>
      <w:pPr>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依法管理宗教事务，加强寺庙管理，加强僧尼管理，加强宗教活动管理。</w:t>
      </w:r>
    </w:p>
    <w:p>
      <w:pPr>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教育引导，以增强僧尼法制意识、公民意识、政府议事、祖国意识为目标，坚持不懈加强对僧尼的教育引导。</w:t>
      </w:r>
    </w:p>
    <w:p>
      <w:pPr>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公共服务，充分保障依法打击寺庙和持证僧尼的普惠性待遇，做到“五通”、“三有”、“三覆盖”。</w:t>
      </w:r>
    </w:p>
    <w:p>
      <w:pPr>
        <w:keepNext w:val="0"/>
        <w:keepLines w:val="0"/>
        <w:widowControl/>
        <w:numPr>
          <w:ilvl w:val="0"/>
          <w:numId w:val="10"/>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人员概况。</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我单位共有编制</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lang w:val="zh-CN" w:eastAsia="zh-CN"/>
        </w:rPr>
        <w:t>个，其中公务员编制</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lang w:val="zh-CN" w:eastAsia="zh-CN"/>
        </w:rPr>
        <w:t>个，在职</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lang w:val="zh-CN" w:eastAsia="zh-CN"/>
        </w:rPr>
        <w:t>人，公务员</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lang w:val="zh-CN" w:eastAsia="zh-CN"/>
        </w:rPr>
        <w:t>人。</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 w:hAnsi="仿宋" w:eastAsia="仿宋"/>
          <w:color w:val="000000"/>
          <w:sz w:val="32"/>
          <w:szCs w:val="32"/>
          <w:lang w:val="zh-CN" w:eastAsia="zh-CN"/>
        </w:rPr>
      </w:pPr>
      <w:r>
        <w:rPr>
          <w:rFonts w:hint="eastAsia" w:ascii="仿宋_GB2312" w:hAnsi="宋体" w:eastAsia="仿宋_GB2312" w:cs="宋体"/>
          <w:color w:val="000000"/>
          <w:kern w:val="0"/>
          <w:sz w:val="32"/>
          <w:szCs w:val="24"/>
          <w:lang w:val="zh-CN" w:eastAsia="zh-CN" w:bidi="ar"/>
        </w:rPr>
        <w:t>（一）部门财政资金收入情况。</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2019年我单位收入为327.49万元，其中一般公共预算财政拨款327.49万元。</w:t>
      </w:r>
    </w:p>
    <w:p>
      <w:pPr>
        <w:keepNext w:val="0"/>
        <w:keepLines w:val="0"/>
        <w:widowControl/>
        <w:numPr>
          <w:ilvl w:val="0"/>
          <w:numId w:val="11"/>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2019年支出为311.66万，其中：一般公共预算拨款289.37万元,项目支出22.3万元。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（一）预算编制情况。</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我管委会严格按照《预算法》及相关财经法规和政策编制本年度预算，严格控制编报质量，保证所有资金合法合规，严格按照相关规定进行预算编制，中央转移支付资金按照文件要求下达，专项转移支付严格根据分地区分项目进行编制.</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firstLine="640" w:firstLineChars="200"/>
        <w:jc w:val="left"/>
        <w:textAlignment w:val="auto"/>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 w:hAnsi="仿宋" w:eastAsia="仿宋"/>
          <w:color w:val="000000"/>
          <w:sz w:val="32"/>
          <w:szCs w:val="32"/>
          <w:lang w:val="zh-CN" w:eastAsia="zh-CN"/>
        </w:rPr>
      </w:pPr>
      <w:r>
        <w:rPr>
          <w:rFonts w:hint="eastAsia" w:ascii="仿宋_GB2312" w:hAnsi="Calibri" w:eastAsia="仿宋_GB2312" w:cs="仿宋"/>
          <w:color w:val="000000"/>
          <w:kern w:val="0"/>
          <w:sz w:val="32"/>
          <w:szCs w:val="32"/>
          <w:lang w:val="en-US" w:eastAsia="zh-CN" w:bidi="ar-SA"/>
        </w:rPr>
        <w:t>部门预算执行到位，严格按照预算管理进行支付并做到节能降耗，“三公”经费严格按照年初预算执行。</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在财务管理过程中建立健全财务核算制度、严格执行国家相关财经法规，加强了会计基础工作、逐渐规范了财务管理行为。严格按照《行政单位会计制度》和《行政单位财务规则》的规定设置的会计科目，建立了科学有效的会计核算方式，均真实、合法、准确的反映各项收支活动；建立健全了内控制度，加强和完善了经费收支和财务管理，积极配合各级财政部门开展相关经费的考评工作；本院在资金使用过程中，合理使用各项资金，严格执行各项经费开支范围和标准。对中央、省转移支付资金的使用全部用于与宗教事务，并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严格落实《党政机关厉行节约反对浪费条例》的相关规定，进一步规范了“三公”经费的管理并严格控制了“三公”经费的支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我单位</w:t>
      </w:r>
      <w:r>
        <w:rPr>
          <w:rFonts w:hint="eastAsia" w:ascii="仿宋_GB2312" w:hAnsi="Calibri" w:eastAsia="仿宋_GB2312" w:cs="仿宋"/>
          <w:color w:val="000000"/>
          <w:kern w:val="0"/>
          <w:sz w:val="32"/>
          <w:szCs w:val="32"/>
          <w:lang w:val="en-US" w:eastAsia="zh-CN" w:bidi="ar-SA"/>
        </w:rPr>
        <w:t>依法管理宗教事务，加强寺庙管理，加强僧尼管理，加强宗教活动管理；教育引导，以增强僧尼法制意识、公民意识、政府议事、祖国意识为目标，坚持不懈加强对僧尼的教育引导；公共服务，充分保障依法打击寺庙和持证僧尼的普惠性待遇，做到“五通”、“三有”、“三覆盖”。加强对重点项目绩效的管理，令寺庙僧人非常满意。</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（一）评价结论。</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根据《201</w:t>
      </w:r>
      <w:r>
        <w:rPr>
          <w:rFonts w:hint="eastAsia" w:ascii="仿宋_GB2312" w:hAnsi="Calibri" w:eastAsia="仿宋_GB2312" w:cs="仿宋"/>
          <w:color w:val="000000"/>
          <w:kern w:val="0"/>
          <w:sz w:val="32"/>
          <w:szCs w:val="32"/>
          <w:lang w:val="en-US" w:eastAsia="zh-CN" w:bidi="ar-SA"/>
        </w:rPr>
        <w:t>9</w:t>
      </w:r>
      <w:r>
        <w:rPr>
          <w:rFonts w:hint="eastAsia" w:ascii="仿宋_GB2312" w:hAnsi="Calibri" w:eastAsia="仿宋_GB2312" w:cs="仿宋"/>
          <w:color w:val="000000"/>
          <w:kern w:val="0"/>
          <w:sz w:val="32"/>
          <w:szCs w:val="32"/>
          <w:lang w:val="zh-CN" w:eastAsia="zh-CN" w:bidi="ar-SA"/>
        </w:rPr>
        <w:t>年红原县部门支出绩效评价指标体系》评分得分9</w:t>
      </w:r>
      <w:r>
        <w:rPr>
          <w:rFonts w:hint="eastAsia" w:ascii="仿宋_GB2312" w:hAnsi="Calibri" w:eastAsia="仿宋_GB2312" w:cs="仿宋"/>
          <w:color w:val="000000"/>
          <w:kern w:val="0"/>
          <w:sz w:val="32"/>
          <w:szCs w:val="32"/>
          <w:lang w:val="en-US" w:eastAsia="zh-CN" w:bidi="ar-SA"/>
        </w:rPr>
        <w:t>4</w:t>
      </w:r>
      <w:r>
        <w:rPr>
          <w:rFonts w:hint="eastAsia" w:ascii="仿宋_GB2312" w:hAnsi="Calibri" w:eastAsia="仿宋_GB2312" w:cs="仿宋"/>
          <w:color w:val="000000"/>
          <w:kern w:val="0"/>
          <w:sz w:val="32"/>
          <w:szCs w:val="32"/>
          <w:lang w:val="zh-CN" w:eastAsia="zh-CN" w:bidi="ar-SA"/>
        </w:rPr>
        <w:t>分，部门整体支出绩效为“好”。</w:t>
      </w:r>
    </w:p>
    <w:p>
      <w:pPr>
        <w:keepNext w:val="0"/>
        <w:keepLines w:val="0"/>
        <w:widowControl/>
        <w:numPr>
          <w:ilvl w:val="0"/>
          <w:numId w:val="11"/>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存在问题。</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1、预算管理意识薄弱，组织机构设置简单；人员配备不足，缺乏对预算工作重要的认识；2、预算编制时间短，方法简单；预算编制准备不充分。3、缺乏行之有效的监督机制，控制体系不健全。</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eastAsia="仿宋_GB2312" w:cs="仿宋_GB2312"/>
          <w:lang w:val="en-US"/>
        </w:rPr>
      </w:pPr>
      <w:r>
        <w:rPr>
          <w:rFonts w:hint="eastAsia" w:ascii="仿宋_GB2312" w:hAnsi="宋体" w:eastAsia="仿宋_GB2312" w:cs="宋体"/>
          <w:color w:val="000000"/>
          <w:kern w:val="0"/>
          <w:sz w:val="32"/>
          <w:szCs w:val="24"/>
          <w:lang w:val="zh-CN" w:eastAsia="zh-CN" w:bidi="ar"/>
        </w:rPr>
        <w:t>（三）改进建议。</w:t>
      </w:r>
    </w:p>
    <w:p>
      <w:pPr>
        <w:spacing w:line="580" w:lineRule="exact"/>
        <w:ind w:firstLine="640" w:firstLineChars="200"/>
        <w:rPr>
          <w:rFonts w:ascii="仿宋_GB2312" w:hAnsi="仿宋_GB2312" w:eastAsia="仿宋_GB2312" w:cs="仿宋_GB2312"/>
          <w:sz w:val="32"/>
          <w:szCs w:val="32"/>
        </w:rPr>
      </w:pPr>
      <w:r>
        <w:rPr>
          <w:rFonts w:hint="eastAsia" w:ascii="仿宋_GB2312" w:hAnsi="Calibri" w:eastAsia="仿宋_GB2312" w:cs="仿宋"/>
          <w:color w:val="000000"/>
          <w:kern w:val="0"/>
          <w:sz w:val="32"/>
          <w:szCs w:val="32"/>
          <w:lang w:val="en-US" w:eastAsia="zh-CN" w:bidi="ar-SA"/>
        </w:rPr>
        <w:t>1.加强组织领导，增强预算编制的准确性，提高对预算编制与执行的认识，为绩效评价工作开展创造更好的条件；2.建立长效机制，加强管理提高部门支出的绩效成果，为更好的服务工作发挥最大效益。</w:t>
      </w:r>
    </w:p>
    <w:p>
      <w:pPr>
        <w:spacing w:line="580" w:lineRule="exact"/>
        <w:ind w:firstLine="640" w:firstLineChars="200"/>
        <w:rPr>
          <w:rFonts w:ascii="仿宋_GB2312" w:hAnsi="仿宋_GB2312" w:eastAsia="仿宋_GB2312" w:cs="仿宋_GB2312"/>
          <w:sz w:val="32"/>
          <w:szCs w:val="32"/>
        </w:rPr>
      </w:pPr>
    </w:p>
    <w:p>
      <w:pPr>
        <w:snapToGrid w:val="0"/>
        <w:spacing w:line="580" w:lineRule="exact"/>
        <w:jc w:val="center"/>
        <w:rPr>
          <w:rFonts w:ascii="方正小标宋简体" w:hAnsi="宋体" w:eastAsia="方正小标宋简体" w:cs="方正小标宋简体"/>
          <w:color w:val="auto"/>
          <w:sz w:val="44"/>
          <w:szCs w:val="44"/>
        </w:rPr>
      </w:pPr>
      <w:r>
        <w:rPr>
          <w:rFonts w:hint="eastAsia" w:ascii="方正小标宋简体" w:hAnsi="宋体" w:eastAsia="方正小标宋简体" w:cs="方正小标宋简体"/>
          <w:color w:val="auto"/>
          <w:sz w:val="44"/>
          <w:szCs w:val="44"/>
        </w:rPr>
        <w:t>项目支出绩效评价报告范本</w:t>
      </w:r>
    </w:p>
    <w:p>
      <w:pPr>
        <w:tabs>
          <w:tab w:val="left" w:pos="3885"/>
        </w:tabs>
        <w:snapToGrid w:val="0"/>
        <w:spacing w:line="580" w:lineRule="exact"/>
        <w:ind w:firstLine="640" w:firstLineChars="200"/>
        <w:jc w:val="center"/>
        <w:rPr>
          <w:rFonts w:hAnsi="宋体"/>
          <w:color w:val="auto"/>
        </w:rPr>
      </w:pPr>
      <w:r>
        <w:rPr>
          <w:rFonts w:hint="eastAsia" w:hAnsi="宋体" w:eastAsia="仿宋_GB2312" w:cs="仿宋_GB2312"/>
          <w:color w:val="auto"/>
          <w:sz w:val="32"/>
        </w:rPr>
        <w:t>（</w:t>
      </w:r>
      <w:r>
        <w:rPr>
          <w:rFonts w:hAnsi="宋体" w:eastAsia="仿宋_GB2312"/>
          <w:color w:val="auto"/>
          <w:sz w:val="32"/>
        </w:rPr>
        <w:t>片区僧人五保</w:t>
      </w:r>
      <w:r>
        <w:rPr>
          <w:rFonts w:hint="eastAsia" w:hAnsi="宋体" w:eastAsia="仿宋_GB2312" w:cs="仿宋_GB2312"/>
          <w:color w:val="auto"/>
          <w:sz w:val="32"/>
        </w:rPr>
        <w:t>项目）</w:t>
      </w:r>
    </w:p>
    <w:p>
      <w:pPr>
        <w:widowControl/>
        <w:adjustRightInd w:val="0"/>
        <w:snapToGrid w:val="0"/>
        <w:spacing w:line="480" w:lineRule="exact"/>
        <w:ind w:firstLine="720"/>
        <w:jc w:val="left"/>
        <w:rPr>
          <w:rFonts w:ascii="黑体" w:hAnsi="宋体" w:eastAsia="黑体" w:cs="宋体"/>
          <w:color w:val="auto"/>
          <w:kern w:val="0"/>
          <w:lang w:val="zh-CN"/>
        </w:rPr>
      </w:pPr>
      <w:r>
        <w:rPr>
          <w:rFonts w:hint="eastAsia" w:ascii="黑体" w:hAnsi="宋体" w:eastAsia="黑体" w:cs="宋体"/>
          <w:color w:val="auto"/>
          <w:kern w:val="0"/>
          <w:sz w:val="32"/>
        </w:rPr>
        <w:t>一、</w:t>
      </w:r>
      <w:r>
        <w:rPr>
          <w:rFonts w:hint="eastAsia" w:ascii="黑体" w:hAnsi="宋体" w:eastAsia="黑体" w:cs="宋体"/>
          <w:color w:val="auto"/>
          <w:kern w:val="0"/>
          <w:sz w:val="32"/>
          <w:lang w:val="zh-CN"/>
        </w:rPr>
        <w:t>部门（单位）概况</w:t>
      </w:r>
    </w:p>
    <w:p>
      <w:pPr>
        <w:widowControl/>
        <w:adjustRightInd w:val="0"/>
        <w:snapToGrid w:val="0"/>
        <w:spacing w:line="480" w:lineRule="exact"/>
        <w:ind w:firstLine="720"/>
        <w:jc w:val="left"/>
        <w:rPr>
          <w:rFonts w:ascii="仿宋_GB2312" w:hAnsi="宋体" w:eastAsia="仿宋_GB2312" w:cs="宋体"/>
          <w:color w:val="auto"/>
          <w:kern w:val="0"/>
          <w:sz w:val="32"/>
          <w:lang w:val="zh-CN"/>
        </w:rPr>
      </w:pPr>
      <w:r>
        <w:rPr>
          <w:rFonts w:hint="eastAsia" w:ascii="仿宋_GB2312" w:hAnsi="宋体" w:eastAsia="仿宋_GB2312" w:cs="宋体"/>
          <w:color w:val="auto"/>
          <w:kern w:val="0"/>
          <w:sz w:val="32"/>
          <w:lang w:val="zh-CN"/>
        </w:rPr>
        <w:t>（一）机构组成。</w:t>
      </w:r>
    </w:p>
    <w:p>
      <w:pPr>
        <w:spacing w:line="576" w:lineRule="exact"/>
        <w:ind w:firstLine="640" w:firstLineChars="200"/>
        <w:rPr>
          <w:rFonts w:ascii="仿宋" w:hAnsi="仿宋" w:eastAsia="仿宋"/>
          <w:color w:val="auto"/>
          <w:sz w:val="32"/>
          <w:szCs w:val="32"/>
          <w:lang w:val="zh-CN"/>
        </w:rPr>
      </w:pPr>
      <w:r>
        <w:rPr>
          <w:rFonts w:hint="eastAsia" w:ascii="仿宋_GB2312" w:eastAsia="仿宋_GB2312"/>
          <w:color w:val="auto"/>
          <w:sz w:val="32"/>
          <w:szCs w:val="32"/>
          <w:lang w:val="zh-CN"/>
        </w:rPr>
        <w:t>我单位为独立核算全额拨款行政单位</w:t>
      </w:r>
      <w:r>
        <w:rPr>
          <w:rFonts w:hint="eastAsia" w:ascii="仿宋_GB2312" w:eastAsia="仿宋_GB2312"/>
          <w:color w:val="auto"/>
          <w:sz w:val="32"/>
          <w:szCs w:val="32"/>
        </w:rPr>
        <w:t>。</w:t>
      </w:r>
    </w:p>
    <w:p>
      <w:pPr>
        <w:widowControl/>
        <w:numPr>
          <w:ilvl w:val="0"/>
          <w:numId w:val="10"/>
        </w:numPr>
        <w:adjustRightInd w:val="0"/>
        <w:snapToGrid w:val="0"/>
        <w:spacing w:line="480" w:lineRule="exact"/>
        <w:ind w:firstLine="720"/>
        <w:jc w:val="left"/>
        <w:rPr>
          <w:rFonts w:ascii="仿宋_GB2312" w:hAnsi="宋体" w:eastAsia="仿宋_GB2312" w:cs="宋体"/>
          <w:color w:val="auto"/>
          <w:kern w:val="0"/>
          <w:sz w:val="32"/>
          <w:lang w:val="zh-CN"/>
        </w:rPr>
      </w:pPr>
      <w:r>
        <w:rPr>
          <w:rFonts w:hint="eastAsia" w:ascii="仿宋_GB2312" w:hAnsi="宋体" w:eastAsia="仿宋_GB2312" w:cs="宋体"/>
          <w:color w:val="auto"/>
          <w:kern w:val="0"/>
          <w:sz w:val="32"/>
          <w:lang w:val="zh-CN"/>
        </w:rPr>
        <w:t>机构职能。</w:t>
      </w:r>
    </w:p>
    <w:p>
      <w:pPr>
        <w:ind w:firstLine="640" w:firstLineChars="200"/>
        <w:rPr>
          <w:rFonts w:ascii="仿宋_GB2312" w:eastAsia="仿宋_GB2312"/>
          <w:color w:val="auto"/>
          <w:sz w:val="32"/>
          <w:szCs w:val="32"/>
          <w:lang w:val="zh-CN"/>
        </w:rPr>
      </w:pPr>
      <w:r>
        <w:rPr>
          <w:rFonts w:hint="eastAsia" w:ascii="仿宋_GB2312" w:eastAsia="仿宋_GB2312"/>
          <w:color w:val="auto"/>
          <w:sz w:val="32"/>
          <w:szCs w:val="32"/>
          <w:lang w:val="zh-CN"/>
        </w:rPr>
        <w:t>管委会为县政府派出机构，受县政府委托，履行相应宗教事务管理执法权，业务上接收统战和宗教工作部门的指导和监督。</w:t>
      </w:r>
    </w:p>
    <w:p>
      <w:pPr>
        <w:ind w:firstLine="640" w:firstLineChars="200"/>
        <w:rPr>
          <w:rFonts w:ascii="仿宋_GB2312" w:eastAsia="仿宋_GB2312"/>
          <w:color w:val="auto"/>
          <w:sz w:val="32"/>
          <w:szCs w:val="32"/>
          <w:lang w:val="zh-CN"/>
        </w:rPr>
      </w:pPr>
      <w:r>
        <w:rPr>
          <w:rFonts w:hint="eastAsia" w:ascii="仿宋_GB2312" w:eastAsia="仿宋_GB2312"/>
          <w:color w:val="auto"/>
          <w:sz w:val="32"/>
          <w:szCs w:val="32"/>
          <w:lang w:val="zh-CN"/>
        </w:rPr>
        <w:t>依法管理宗教事务，加强寺庙管理，加强僧尼管理，加强宗教活动管理。</w:t>
      </w:r>
    </w:p>
    <w:p>
      <w:pPr>
        <w:ind w:firstLine="640" w:firstLineChars="200"/>
        <w:rPr>
          <w:rFonts w:ascii="仿宋_GB2312" w:eastAsia="仿宋_GB2312"/>
          <w:color w:val="auto"/>
          <w:sz w:val="32"/>
          <w:szCs w:val="32"/>
          <w:lang w:val="zh-CN"/>
        </w:rPr>
      </w:pPr>
      <w:r>
        <w:rPr>
          <w:rFonts w:hint="eastAsia" w:ascii="仿宋_GB2312" w:eastAsia="仿宋_GB2312"/>
          <w:color w:val="auto"/>
          <w:sz w:val="32"/>
          <w:szCs w:val="32"/>
          <w:lang w:val="zh-CN"/>
        </w:rPr>
        <w:t>教育引导，以增强僧尼法制意识、公民意识、政府议事、祖国意识为目标，坚持不懈加强对僧尼的教育引导。</w:t>
      </w:r>
    </w:p>
    <w:p>
      <w:pPr>
        <w:ind w:firstLine="640" w:firstLineChars="200"/>
        <w:rPr>
          <w:rFonts w:ascii="仿宋_GB2312" w:eastAsia="仿宋_GB2312"/>
          <w:color w:val="auto"/>
          <w:sz w:val="32"/>
          <w:szCs w:val="32"/>
          <w:lang w:val="zh-CN"/>
        </w:rPr>
      </w:pPr>
      <w:r>
        <w:rPr>
          <w:rFonts w:hint="eastAsia" w:ascii="仿宋_GB2312" w:eastAsia="仿宋_GB2312"/>
          <w:color w:val="auto"/>
          <w:sz w:val="32"/>
          <w:szCs w:val="32"/>
          <w:lang w:val="zh-CN"/>
        </w:rPr>
        <w:t>公共服务，充分保障依法打击寺庙和持证僧尼的普惠性待遇，做到“五通”、“三有”、“三覆盖”。</w:t>
      </w:r>
    </w:p>
    <w:p>
      <w:pPr>
        <w:widowControl/>
        <w:numPr>
          <w:ilvl w:val="0"/>
          <w:numId w:val="10"/>
        </w:numPr>
        <w:adjustRightInd w:val="0"/>
        <w:snapToGrid w:val="0"/>
        <w:spacing w:line="480" w:lineRule="exact"/>
        <w:ind w:firstLine="720"/>
        <w:jc w:val="left"/>
        <w:rPr>
          <w:rFonts w:ascii="仿宋_GB2312" w:hAnsi="宋体" w:eastAsia="仿宋_GB2312" w:cs="宋体"/>
          <w:color w:val="auto"/>
          <w:kern w:val="0"/>
          <w:sz w:val="32"/>
          <w:lang w:val="zh-CN"/>
        </w:rPr>
      </w:pPr>
      <w:r>
        <w:rPr>
          <w:rFonts w:hint="eastAsia" w:ascii="仿宋_GB2312" w:hAnsi="宋体" w:eastAsia="仿宋_GB2312" w:cs="宋体"/>
          <w:color w:val="auto"/>
          <w:kern w:val="0"/>
          <w:sz w:val="32"/>
          <w:lang w:val="zh-CN"/>
        </w:rPr>
        <w:t>人员概况。</w:t>
      </w:r>
    </w:p>
    <w:p>
      <w:pPr>
        <w:spacing w:line="576" w:lineRule="exact"/>
        <w:ind w:firstLine="640" w:firstLineChars="200"/>
        <w:rPr>
          <w:rFonts w:ascii="仿宋_GB2312" w:eastAsia="仿宋_GB2312"/>
          <w:color w:val="auto"/>
          <w:sz w:val="32"/>
          <w:szCs w:val="32"/>
          <w:lang w:val="zh-CN"/>
        </w:rPr>
      </w:pPr>
      <w:r>
        <w:rPr>
          <w:rFonts w:hint="eastAsia" w:ascii="仿宋_GB2312" w:eastAsia="仿宋_GB2312"/>
          <w:color w:val="auto"/>
          <w:sz w:val="32"/>
          <w:szCs w:val="32"/>
          <w:lang w:val="zh-CN"/>
        </w:rPr>
        <w:t>我单位共有编制</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val="zh-CN"/>
        </w:rPr>
        <w:t>个，其中公务员编制</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val="zh-CN"/>
        </w:rPr>
        <w:t>个，在职</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val="zh-CN"/>
        </w:rPr>
        <w:t>人，公务员</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val="zh-CN"/>
        </w:rPr>
        <w:t>人。</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三、评价工作开展及项目情况</w:t>
      </w:r>
    </w:p>
    <w:p>
      <w:pPr>
        <w:spacing w:line="576" w:lineRule="exact"/>
        <w:ind w:firstLine="640" w:firstLineChars="200"/>
        <w:rPr>
          <w:rFonts w:ascii="仿宋_GB2312" w:eastAsia="仿宋_GB2312"/>
          <w:color w:val="auto"/>
          <w:sz w:val="32"/>
          <w:szCs w:val="32"/>
          <w:lang w:val="zh-CN"/>
        </w:rPr>
      </w:pPr>
      <w:r>
        <w:rPr>
          <w:rFonts w:hint="eastAsia" w:ascii="仿宋_GB2312" w:eastAsia="仿宋_GB2312"/>
          <w:color w:val="auto"/>
          <w:sz w:val="32"/>
          <w:szCs w:val="32"/>
        </w:rPr>
        <w:t>本部门201</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w:t>
      </w:r>
      <w:r>
        <w:rPr>
          <w:rFonts w:hint="eastAsia" w:ascii="仿宋_GB2312" w:eastAsia="仿宋_GB2312"/>
          <w:color w:val="auto"/>
          <w:sz w:val="32"/>
          <w:szCs w:val="32"/>
          <w:lang w:val="zh-CN"/>
        </w:rPr>
        <w:t>片区僧人五保全部按时发放完成。</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四、评价结论及绩效分析</w:t>
      </w:r>
    </w:p>
    <w:p>
      <w:pPr>
        <w:snapToGrid w:val="0"/>
        <w:spacing w:line="580" w:lineRule="exact"/>
        <w:ind w:firstLine="643" w:firstLineChars="200"/>
        <w:rPr>
          <w:rFonts w:ascii="楷体_GB2312" w:hAnsi="宋体" w:eastAsia="楷体_GB2312" w:cs="楷体_GB2312"/>
          <w:b/>
          <w:color w:val="auto"/>
          <w:szCs w:val="21"/>
        </w:rPr>
      </w:pPr>
      <w:r>
        <w:rPr>
          <w:rFonts w:hint="eastAsia" w:ascii="楷体_GB2312" w:hAnsi="宋体" w:eastAsia="楷体_GB2312" w:cs="楷体_GB2312"/>
          <w:b/>
          <w:color w:val="auto"/>
          <w:sz w:val="32"/>
          <w:szCs w:val="21"/>
        </w:rPr>
        <w:t>（一）评价结论</w:t>
      </w:r>
    </w:p>
    <w:p>
      <w:pPr>
        <w:spacing w:line="576" w:lineRule="exact"/>
        <w:ind w:firstLine="640" w:firstLineChars="200"/>
        <w:rPr>
          <w:rFonts w:ascii="宋体" w:hAnsi="宋体" w:eastAsia="仿宋_GB2312" w:cs="宋体"/>
          <w:color w:val="auto"/>
          <w:szCs w:val="21"/>
        </w:rPr>
      </w:pPr>
      <w:r>
        <w:rPr>
          <w:rFonts w:hint="eastAsia" w:ascii="仿宋_GB2312" w:eastAsia="仿宋_GB2312"/>
          <w:color w:val="auto"/>
          <w:sz w:val="32"/>
          <w:szCs w:val="32"/>
        </w:rPr>
        <w:t>本部门201</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w:t>
      </w:r>
      <w:r>
        <w:rPr>
          <w:rFonts w:hint="eastAsia" w:ascii="仿宋_GB2312" w:eastAsia="仿宋_GB2312"/>
          <w:color w:val="auto"/>
          <w:sz w:val="32"/>
          <w:szCs w:val="32"/>
          <w:lang w:val="zh-CN"/>
        </w:rPr>
        <w:t>片区僧人五保全部按时发放完成。</w:t>
      </w:r>
    </w:p>
    <w:p>
      <w:pPr>
        <w:snapToGrid w:val="0"/>
        <w:spacing w:line="580" w:lineRule="exact"/>
        <w:ind w:left="420" w:leftChars="200" w:firstLine="321" w:firstLineChars="100"/>
        <w:rPr>
          <w:rFonts w:ascii="楷体_GB2312" w:hAnsi="宋体" w:eastAsia="楷体_GB2312" w:cs="楷体_GB2312"/>
          <w:b/>
          <w:color w:val="auto"/>
          <w:sz w:val="32"/>
          <w:szCs w:val="21"/>
        </w:rPr>
      </w:pPr>
      <w:r>
        <w:rPr>
          <w:rFonts w:hint="eastAsia" w:ascii="楷体_GB2312" w:hAnsi="宋体" w:eastAsia="楷体_GB2312" w:cs="楷体_GB2312"/>
          <w:b/>
          <w:color w:val="auto"/>
          <w:sz w:val="32"/>
          <w:szCs w:val="21"/>
        </w:rPr>
        <w:t>二、绩效分析</w:t>
      </w:r>
    </w:p>
    <w:p>
      <w:pPr>
        <w:snapToGrid w:val="0"/>
        <w:spacing w:line="580" w:lineRule="exact"/>
        <w:ind w:left="420" w:leftChars="200"/>
        <w:rPr>
          <w:rFonts w:ascii="宋体" w:hAnsi="宋体" w:eastAsia="仿宋_GB2312" w:cs="宋体"/>
          <w:color w:val="auto"/>
          <w:szCs w:val="21"/>
        </w:rPr>
      </w:pPr>
      <w:r>
        <w:rPr>
          <w:rFonts w:hint="eastAsia" w:ascii="宋体" w:hAnsi="宋体" w:eastAsia="仿宋_GB2312" w:cs="宋体"/>
          <w:color w:val="auto"/>
          <w:sz w:val="32"/>
          <w:szCs w:val="21"/>
        </w:rPr>
        <w:t>1</w:t>
      </w:r>
      <w:r>
        <w:rPr>
          <w:rFonts w:hint="eastAsia" w:ascii="宋体" w:hAnsi="宋体" w:eastAsia="仿宋_GB2312" w:cs="仿宋_GB2312"/>
          <w:color w:val="auto"/>
          <w:sz w:val="32"/>
          <w:szCs w:val="21"/>
        </w:rPr>
        <w:t>、项目决策</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1.本部门在201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年度部门决算中反映“僧人五保”项目绩效目标实际完成情况。</w:t>
      </w:r>
    </w:p>
    <w:p>
      <w:pPr>
        <w:snapToGrid w:val="0"/>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.片区僧人五保项目绩效目标完成情况综述。项目全年预算数</w:t>
      </w:r>
      <w:r>
        <w:rPr>
          <w:rFonts w:hint="eastAsia" w:ascii="仿宋_GB2312" w:hAnsi="仿宋_GB2312" w:eastAsia="仿宋_GB2312" w:cs="仿宋_GB2312"/>
          <w:color w:val="auto"/>
          <w:sz w:val="32"/>
          <w:szCs w:val="32"/>
          <w:lang w:val="en-US" w:eastAsia="zh-CN"/>
        </w:rPr>
        <w:t>9.12</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9.12</w:t>
      </w:r>
      <w:r>
        <w:rPr>
          <w:rFonts w:hint="eastAsia" w:ascii="仿宋_GB2312" w:hAnsi="仿宋_GB2312" w:eastAsia="仿宋_GB2312" w:cs="仿宋_GB2312"/>
          <w:color w:val="auto"/>
          <w:sz w:val="32"/>
          <w:szCs w:val="32"/>
        </w:rPr>
        <w:t>万元。通过项目实施，保障片区五保僧人的生活。</w:t>
      </w:r>
    </w:p>
    <w:p>
      <w:pPr>
        <w:snapToGrid w:val="0"/>
        <w:spacing w:line="580" w:lineRule="exact"/>
        <w:ind w:left="640"/>
        <w:rPr>
          <w:rFonts w:ascii="黑体" w:hAnsi="宋体" w:eastAsia="黑体" w:cs="黑体"/>
          <w:color w:val="auto"/>
          <w:sz w:val="32"/>
          <w:szCs w:val="21"/>
        </w:rPr>
      </w:pPr>
      <w:r>
        <w:rPr>
          <w:rFonts w:hint="eastAsia" w:ascii="黑体" w:hAnsi="宋体" w:eastAsia="黑体" w:cs="黑体"/>
          <w:color w:val="auto"/>
          <w:sz w:val="32"/>
          <w:szCs w:val="21"/>
        </w:rPr>
        <w:t>三、存在主要问题</w:t>
      </w:r>
    </w:p>
    <w:p>
      <w:pPr>
        <w:snapToGrid w:val="0"/>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1.现金发放比较困难。</w:t>
      </w:r>
    </w:p>
    <w:p>
      <w:pPr>
        <w:snapToGrid w:val="0"/>
        <w:spacing w:line="580" w:lineRule="exact"/>
        <w:ind w:firstLine="640" w:firstLineChars="200"/>
        <w:rPr>
          <w:rFonts w:ascii="黑体" w:hAnsi="宋体" w:eastAsia="黑体" w:cs="黑体"/>
          <w:color w:val="auto"/>
          <w:szCs w:val="21"/>
        </w:rPr>
      </w:pPr>
      <w:r>
        <w:rPr>
          <w:rFonts w:hint="eastAsia" w:ascii="黑体" w:hAnsi="宋体" w:eastAsia="黑体" w:cs="黑体"/>
          <w:color w:val="auto"/>
          <w:sz w:val="32"/>
          <w:szCs w:val="21"/>
        </w:rPr>
        <w:t>四、相关措施建议</w:t>
      </w:r>
    </w:p>
    <w:p>
      <w:pPr>
        <w:snapToGrid w:val="0"/>
        <w:spacing w:line="580" w:lineRule="exact"/>
        <w:ind w:firstLine="640" w:firstLineChars="200"/>
        <w:rPr>
          <w:rFonts w:ascii="黑体" w:hAnsi="宋体" w:eastAsia="黑体" w:cs="黑体"/>
          <w:color w:val="auto"/>
          <w:sz w:val="32"/>
          <w:szCs w:val="21"/>
        </w:rPr>
      </w:pPr>
      <w:r>
        <w:rPr>
          <w:rFonts w:hint="eastAsia" w:ascii="仿宋_GB2312" w:hAnsi="仿宋_GB2312" w:eastAsia="仿宋_GB2312" w:cs="仿宋_GB2312"/>
          <w:color w:val="auto"/>
          <w:sz w:val="32"/>
          <w:szCs w:val="32"/>
        </w:rPr>
        <w:t>1.下一步改进措施：改为一卡通进行发放。</w:t>
      </w:r>
    </w:p>
    <w:p>
      <w:pPr>
        <w:spacing w:line="600" w:lineRule="exact"/>
        <w:jc w:val="center"/>
        <w:outlineLvl w:val="9"/>
        <w:rPr>
          <w:rFonts w:ascii="黑体" w:hAnsi="黑体" w:eastAsia="黑体"/>
          <w:color w:val="auto"/>
          <w:sz w:val="44"/>
          <w:szCs w:val="44"/>
        </w:rPr>
      </w:pPr>
    </w:p>
    <w:p>
      <w:pPr>
        <w:spacing w:line="600" w:lineRule="exact"/>
        <w:jc w:val="center"/>
        <w:outlineLvl w:val="9"/>
        <w:rPr>
          <w:rStyle w:val="26"/>
          <w:rFonts w:hint="default" w:ascii="黑体" w:hAnsi="黑体" w:eastAsia="黑体"/>
          <w:b w:val="0"/>
          <w:lang w:val="en-US" w:eastAsia="zh-CN"/>
        </w:rPr>
      </w:pPr>
    </w:p>
    <w:p>
      <w:pPr>
        <w:spacing w:line="600" w:lineRule="exact"/>
        <w:jc w:val="center"/>
        <w:outlineLvl w:val="9"/>
        <w:rPr>
          <w:rStyle w:val="26"/>
          <w:rFonts w:hint="default" w:ascii="黑体" w:hAnsi="黑体" w:eastAsia="黑体"/>
          <w:b w:val="0"/>
          <w:lang w:val="en-US" w:eastAsia="zh-CN"/>
        </w:rPr>
      </w:pPr>
    </w:p>
    <w:p>
      <w:pPr>
        <w:spacing w:line="600" w:lineRule="exact"/>
        <w:jc w:val="center"/>
        <w:outlineLvl w:val="9"/>
        <w:rPr>
          <w:rStyle w:val="26"/>
          <w:rFonts w:hint="default" w:ascii="黑体" w:hAnsi="黑体" w:eastAsia="黑体"/>
          <w:b w:val="0"/>
          <w:lang w:val="en-US" w:eastAsia="zh-CN"/>
        </w:rPr>
      </w:pPr>
    </w:p>
    <w:p>
      <w:pPr>
        <w:spacing w:line="600" w:lineRule="exact"/>
        <w:jc w:val="center"/>
        <w:outlineLvl w:val="9"/>
        <w:rPr>
          <w:rStyle w:val="26"/>
          <w:rFonts w:hint="default" w:ascii="黑体" w:hAnsi="黑体" w:eastAsia="黑体"/>
          <w:b w:val="0"/>
          <w:lang w:val="en-US" w:eastAsia="zh-CN"/>
        </w:rPr>
      </w:pPr>
    </w:p>
    <w:p>
      <w:pPr>
        <w:snapToGrid w:val="0"/>
        <w:spacing w:line="580" w:lineRule="exact"/>
        <w:jc w:val="center"/>
        <w:rPr>
          <w:rFonts w:ascii="方正小标宋简体" w:hAnsi="宋体" w:eastAsia="方正小标宋简体" w:cs="方正小标宋简体"/>
          <w:color w:val="auto"/>
          <w:sz w:val="44"/>
          <w:szCs w:val="44"/>
        </w:rPr>
      </w:pPr>
      <w:r>
        <w:rPr>
          <w:rFonts w:hint="eastAsia" w:ascii="方正小标宋简体" w:hAnsi="宋体" w:eastAsia="方正小标宋简体" w:cs="方正小标宋简体"/>
          <w:color w:val="auto"/>
          <w:sz w:val="44"/>
          <w:szCs w:val="44"/>
        </w:rPr>
        <w:t>项目支出绩效评价报告范本</w:t>
      </w:r>
    </w:p>
    <w:p>
      <w:pPr>
        <w:tabs>
          <w:tab w:val="left" w:pos="3885"/>
        </w:tabs>
        <w:snapToGrid w:val="0"/>
        <w:spacing w:line="580" w:lineRule="exact"/>
        <w:ind w:firstLine="640" w:firstLineChars="200"/>
        <w:jc w:val="center"/>
        <w:rPr>
          <w:rFonts w:hAnsi="宋体"/>
          <w:color w:val="auto"/>
        </w:rPr>
      </w:pPr>
      <w:r>
        <w:rPr>
          <w:rFonts w:hint="eastAsia" w:hAnsi="宋体" w:eastAsia="仿宋_GB2312" w:cs="仿宋_GB2312"/>
          <w:color w:val="auto"/>
          <w:sz w:val="32"/>
        </w:rPr>
        <w:t>（</w:t>
      </w:r>
      <w:r>
        <w:rPr>
          <w:rFonts w:hint="eastAsia" w:ascii="仿宋_GB2312" w:hAnsi="仿宋_GB2312" w:eastAsia="仿宋_GB2312" w:cs="仿宋_GB2312"/>
          <w:sz w:val="32"/>
          <w:szCs w:val="32"/>
          <w:lang w:eastAsia="zh-CN"/>
        </w:rPr>
        <w:t>藏传佛教寺庙</w:t>
      </w:r>
      <w:r>
        <w:rPr>
          <w:rFonts w:hint="eastAsia" w:ascii="仿宋_GB2312" w:hAnsi="仿宋_GB2312" w:eastAsia="仿宋_GB2312" w:cs="仿宋_GB2312"/>
          <w:sz w:val="32"/>
          <w:szCs w:val="32"/>
          <w:lang w:val="en-US" w:eastAsia="zh-CN"/>
        </w:rPr>
        <w:t>包虫病预防宣传资金</w:t>
      </w:r>
      <w:r>
        <w:rPr>
          <w:rFonts w:hint="eastAsia" w:ascii="仿宋_GB2312" w:hAnsi="仿宋_GB2312" w:eastAsia="仿宋_GB2312" w:cs="仿宋_GB2312"/>
          <w:sz w:val="32"/>
          <w:szCs w:val="32"/>
        </w:rPr>
        <w:t>项目</w:t>
      </w:r>
      <w:r>
        <w:rPr>
          <w:rFonts w:hint="eastAsia" w:hAnsi="宋体" w:eastAsia="仿宋_GB2312" w:cs="仿宋_GB2312"/>
          <w:color w:val="auto"/>
          <w:sz w:val="32"/>
        </w:rPr>
        <w:t>）</w:t>
      </w:r>
    </w:p>
    <w:p>
      <w:pPr>
        <w:tabs>
          <w:tab w:val="left" w:pos="3885"/>
        </w:tabs>
        <w:snapToGrid w:val="0"/>
        <w:spacing w:line="580" w:lineRule="exact"/>
        <w:ind w:firstLine="422" w:firstLineChars="200"/>
        <w:jc w:val="left"/>
        <w:rPr>
          <w:rFonts w:ascii="宋体" w:hAnsi="宋体" w:eastAsia="仿宋_GB2312" w:cs="宋体"/>
          <w:b/>
          <w:color w:val="auto"/>
          <w:szCs w:val="21"/>
        </w:rPr>
      </w:pPr>
    </w:p>
    <w:p>
      <w:pPr>
        <w:widowControl/>
        <w:adjustRightInd w:val="0"/>
        <w:snapToGrid w:val="0"/>
        <w:spacing w:line="480" w:lineRule="exact"/>
        <w:ind w:firstLine="720"/>
        <w:jc w:val="left"/>
        <w:rPr>
          <w:rFonts w:ascii="黑体" w:hAnsi="宋体" w:eastAsia="黑体" w:cs="宋体"/>
          <w:color w:val="auto"/>
          <w:kern w:val="0"/>
          <w:lang w:val="zh-CN"/>
        </w:rPr>
      </w:pPr>
      <w:r>
        <w:rPr>
          <w:rFonts w:hint="eastAsia" w:ascii="黑体" w:hAnsi="宋体" w:eastAsia="黑体" w:cs="宋体"/>
          <w:color w:val="auto"/>
          <w:kern w:val="0"/>
          <w:sz w:val="32"/>
        </w:rPr>
        <w:t>一、</w:t>
      </w:r>
      <w:r>
        <w:rPr>
          <w:rFonts w:hint="eastAsia" w:ascii="黑体" w:hAnsi="宋体" w:eastAsia="黑体" w:cs="宋体"/>
          <w:color w:val="auto"/>
          <w:kern w:val="0"/>
          <w:sz w:val="32"/>
          <w:lang w:val="zh-CN"/>
        </w:rPr>
        <w:t>部门（单位）概况</w:t>
      </w:r>
    </w:p>
    <w:p>
      <w:pPr>
        <w:widowControl/>
        <w:adjustRightInd w:val="0"/>
        <w:snapToGrid w:val="0"/>
        <w:spacing w:line="480" w:lineRule="exact"/>
        <w:ind w:firstLine="720"/>
        <w:jc w:val="left"/>
        <w:rPr>
          <w:rFonts w:ascii="仿宋_GB2312" w:hAnsi="宋体" w:eastAsia="仿宋_GB2312" w:cs="宋体"/>
          <w:color w:val="auto"/>
          <w:kern w:val="0"/>
          <w:sz w:val="32"/>
          <w:lang w:val="zh-CN"/>
        </w:rPr>
      </w:pPr>
      <w:r>
        <w:rPr>
          <w:rFonts w:hint="eastAsia" w:ascii="仿宋_GB2312" w:hAnsi="宋体" w:eastAsia="仿宋_GB2312" w:cs="宋体"/>
          <w:color w:val="auto"/>
          <w:kern w:val="0"/>
          <w:sz w:val="32"/>
          <w:lang w:val="zh-CN"/>
        </w:rPr>
        <w:t>（一）机构组成。</w:t>
      </w:r>
    </w:p>
    <w:p>
      <w:pPr>
        <w:spacing w:line="576" w:lineRule="exact"/>
        <w:ind w:firstLine="640" w:firstLineChars="200"/>
        <w:rPr>
          <w:rFonts w:ascii="仿宋" w:hAnsi="仿宋" w:eastAsia="仿宋"/>
          <w:color w:val="auto"/>
          <w:sz w:val="32"/>
          <w:szCs w:val="32"/>
          <w:lang w:val="zh-CN"/>
        </w:rPr>
      </w:pPr>
      <w:r>
        <w:rPr>
          <w:rFonts w:hint="eastAsia" w:ascii="仿宋_GB2312" w:eastAsia="仿宋_GB2312"/>
          <w:color w:val="auto"/>
          <w:sz w:val="32"/>
          <w:szCs w:val="32"/>
          <w:lang w:val="zh-CN"/>
        </w:rPr>
        <w:t>我单位为独立核算全额拨款行政单位</w:t>
      </w:r>
      <w:r>
        <w:rPr>
          <w:rFonts w:hint="eastAsia" w:ascii="仿宋_GB2312" w:eastAsia="仿宋_GB2312"/>
          <w:color w:val="auto"/>
          <w:sz w:val="32"/>
          <w:szCs w:val="32"/>
        </w:rPr>
        <w:t>。</w:t>
      </w:r>
    </w:p>
    <w:p>
      <w:pPr>
        <w:widowControl/>
        <w:numPr>
          <w:ilvl w:val="0"/>
          <w:numId w:val="10"/>
        </w:numPr>
        <w:adjustRightInd w:val="0"/>
        <w:snapToGrid w:val="0"/>
        <w:spacing w:line="480" w:lineRule="exact"/>
        <w:ind w:firstLine="720"/>
        <w:jc w:val="left"/>
        <w:rPr>
          <w:rFonts w:ascii="仿宋_GB2312" w:hAnsi="宋体" w:eastAsia="仿宋_GB2312" w:cs="宋体"/>
          <w:color w:val="auto"/>
          <w:kern w:val="0"/>
          <w:sz w:val="32"/>
          <w:lang w:val="zh-CN"/>
        </w:rPr>
      </w:pPr>
      <w:r>
        <w:rPr>
          <w:rFonts w:hint="eastAsia" w:ascii="仿宋_GB2312" w:hAnsi="宋体" w:eastAsia="仿宋_GB2312" w:cs="宋体"/>
          <w:color w:val="auto"/>
          <w:kern w:val="0"/>
          <w:sz w:val="32"/>
          <w:lang w:val="zh-CN"/>
        </w:rPr>
        <w:t>机构职能。</w:t>
      </w:r>
    </w:p>
    <w:p>
      <w:pPr>
        <w:ind w:firstLine="640" w:firstLineChars="200"/>
        <w:rPr>
          <w:rFonts w:ascii="仿宋_GB2312" w:eastAsia="仿宋_GB2312"/>
          <w:color w:val="auto"/>
          <w:sz w:val="32"/>
          <w:szCs w:val="32"/>
          <w:lang w:val="zh-CN"/>
        </w:rPr>
      </w:pPr>
      <w:r>
        <w:rPr>
          <w:rFonts w:hint="eastAsia" w:ascii="仿宋_GB2312" w:eastAsia="仿宋_GB2312"/>
          <w:color w:val="auto"/>
          <w:sz w:val="32"/>
          <w:szCs w:val="32"/>
          <w:lang w:val="zh-CN"/>
        </w:rPr>
        <w:t>管委会为县政府派出机构，受县政府委托，履行相应宗教事务管理执法权，业务上接收统战和宗教工作部门的指导和监督。</w:t>
      </w:r>
    </w:p>
    <w:p>
      <w:pPr>
        <w:ind w:firstLine="640" w:firstLineChars="200"/>
        <w:rPr>
          <w:rFonts w:ascii="仿宋_GB2312" w:eastAsia="仿宋_GB2312"/>
          <w:color w:val="auto"/>
          <w:sz w:val="32"/>
          <w:szCs w:val="32"/>
          <w:lang w:val="zh-CN"/>
        </w:rPr>
      </w:pPr>
      <w:r>
        <w:rPr>
          <w:rFonts w:hint="eastAsia" w:ascii="仿宋_GB2312" w:eastAsia="仿宋_GB2312"/>
          <w:color w:val="auto"/>
          <w:sz w:val="32"/>
          <w:szCs w:val="32"/>
          <w:lang w:val="zh-CN"/>
        </w:rPr>
        <w:t>依法管理宗教事务，加强寺庙管理，加强僧尼管理，加强宗教活动管理。</w:t>
      </w:r>
    </w:p>
    <w:p>
      <w:pPr>
        <w:ind w:firstLine="640" w:firstLineChars="200"/>
        <w:rPr>
          <w:rFonts w:ascii="仿宋_GB2312" w:eastAsia="仿宋_GB2312"/>
          <w:color w:val="auto"/>
          <w:sz w:val="32"/>
          <w:szCs w:val="32"/>
          <w:lang w:val="zh-CN"/>
        </w:rPr>
      </w:pPr>
      <w:r>
        <w:rPr>
          <w:rFonts w:hint="eastAsia" w:ascii="仿宋_GB2312" w:eastAsia="仿宋_GB2312"/>
          <w:color w:val="auto"/>
          <w:sz w:val="32"/>
          <w:szCs w:val="32"/>
          <w:lang w:val="zh-CN"/>
        </w:rPr>
        <w:t>教育引导，以增强僧尼法制意识、公民意识、政府议事、祖国意识为目标，坚持不懈加强对僧尼的教育引导。</w:t>
      </w:r>
    </w:p>
    <w:p>
      <w:pPr>
        <w:ind w:firstLine="640" w:firstLineChars="200"/>
        <w:rPr>
          <w:rFonts w:ascii="仿宋_GB2312" w:eastAsia="仿宋_GB2312"/>
          <w:color w:val="auto"/>
          <w:sz w:val="32"/>
          <w:szCs w:val="32"/>
          <w:lang w:val="zh-CN"/>
        </w:rPr>
      </w:pPr>
      <w:r>
        <w:rPr>
          <w:rFonts w:hint="eastAsia" w:ascii="仿宋_GB2312" w:eastAsia="仿宋_GB2312"/>
          <w:color w:val="auto"/>
          <w:sz w:val="32"/>
          <w:szCs w:val="32"/>
          <w:lang w:val="zh-CN"/>
        </w:rPr>
        <w:t>公共服务，充分保障依法打击寺庙和持证僧尼的普惠性待遇，做到“五通”、“三有”、“三覆盖”。</w:t>
      </w:r>
    </w:p>
    <w:p>
      <w:pPr>
        <w:widowControl/>
        <w:numPr>
          <w:ilvl w:val="0"/>
          <w:numId w:val="10"/>
        </w:numPr>
        <w:adjustRightInd w:val="0"/>
        <w:snapToGrid w:val="0"/>
        <w:spacing w:line="480" w:lineRule="exact"/>
        <w:ind w:firstLine="720"/>
        <w:jc w:val="left"/>
        <w:rPr>
          <w:rFonts w:ascii="仿宋_GB2312" w:hAnsi="宋体" w:eastAsia="仿宋_GB2312" w:cs="宋体"/>
          <w:color w:val="auto"/>
          <w:kern w:val="0"/>
          <w:sz w:val="32"/>
          <w:lang w:val="zh-CN"/>
        </w:rPr>
      </w:pPr>
      <w:r>
        <w:rPr>
          <w:rFonts w:hint="eastAsia" w:ascii="仿宋_GB2312" w:hAnsi="宋体" w:eastAsia="仿宋_GB2312" w:cs="宋体"/>
          <w:color w:val="auto"/>
          <w:kern w:val="0"/>
          <w:sz w:val="32"/>
          <w:lang w:val="zh-CN"/>
        </w:rPr>
        <w:t>人员概况。</w:t>
      </w:r>
    </w:p>
    <w:p>
      <w:pPr>
        <w:spacing w:line="576" w:lineRule="exact"/>
        <w:ind w:firstLine="640" w:firstLineChars="200"/>
        <w:rPr>
          <w:rFonts w:ascii="仿宋_GB2312" w:eastAsia="仿宋_GB2312"/>
          <w:color w:val="auto"/>
          <w:sz w:val="32"/>
          <w:szCs w:val="32"/>
          <w:lang w:val="zh-CN"/>
        </w:rPr>
      </w:pPr>
      <w:r>
        <w:rPr>
          <w:rFonts w:hint="eastAsia" w:ascii="仿宋_GB2312" w:eastAsia="仿宋_GB2312"/>
          <w:color w:val="auto"/>
          <w:sz w:val="32"/>
          <w:szCs w:val="32"/>
          <w:lang w:val="zh-CN"/>
        </w:rPr>
        <w:t>我单位共有编制</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val="zh-CN"/>
        </w:rPr>
        <w:t>个，其中公务员编制</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val="zh-CN"/>
        </w:rPr>
        <w:t>个，在职</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val="zh-CN"/>
        </w:rPr>
        <w:t>人，公务员</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val="zh-CN"/>
        </w:rPr>
        <w:t>人。</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三、评价工作开展及项目情况</w:t>
      </w:r>
    </w:p>
    <w:p>
      <w:pPr>
        <w:spacing w:line="576" w:lineRule="exact"/>
        <w:ind w:firstLine="640" w:firstLineChars="200"/>
        <w:rPr>
          <w:rFonts w:ascii="仿宋_GB2312" w:eastAsia="仿宋_GB2312"/>
          <w:color w:val="auto"/>
          <w:sz w:val="32"/>
          <w:szCs w:val="32"/>
          <w:lang w:val="zh-CN"/>
        </w:rPr>
      </w:pPr>
      <w:r>
        <w:rPr>
          <w:rFonts w:hint="eastAsia" w:ascii="仿宋_GB2312" w:eastAsia="仿宋_GB2312"/>
          <w:color w:val="auto"/>
          <w:sz w:val="32"/>
          <w:szCs w:val="32"/>
          <w:lang w:val="en-US" w:eastAsia="zh-CN"/>
        </w:rPr>
        <w:t>宣传包虫病预防知识加强了寺庙僧人预防包虫病等疾病预防观念及防疫知识</w:t>
      </w:r>
      <w:r>
        <w:rPr>
          <w:rFonts w:hint="eastAsia" w:ascii="仿宋_GB2312" w:eastAsia="仿宋_GB2312"/>
          <w:color w:val="auto"/>
          <w:sz w:val="32"/>
          <w:szCs w:val="32"/>
          <w:lang w:val="zh-CN"/>
        </w:rPr>
        <w:t>。</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四、评价结论及绩效分析</w:t>
      </w:r>
    </w:p>
    <w:p>
      <w:pPr>
        <w:snapToGrid w:val="0"/>
        <w:spacing w:line="580" w:lineRule="exact"/>
        <w:ind w:firstLine="643" w:firstLineChars="200"/>
        <w:rPr>
          <w:rFonts w:ascii="楷体_GB2312" w:hAnsi="宋体" w:eastAsia="楷体_GB2312" w:cs="楷体_GB2312"/>
          <w:b/>
          <w:color w:val="auto"/>
          <w:szCs w:val="21"/>
        </w:rPr>
      </w:pPr>
      <w:r>
        <w:rPr>
          <w:rFonts w:hint="eastAsia" w:ascii="楷体_GB2312" w:hAnsi="宋体" w:eastAsia="楷体_GB2312" w:cs="楷体_GB2312"/>
          <w:b/>
          <w:color w:val="auto"/>
          <w:sz w:val="32"/>
          <w:szCs w:val="21"/>
        </w:rPr>
        <w:t>（一）评价结论</w:t>
      </w:r>
    </w:p>
    <w:p>
      <w:pPr>
        <w:spacing w:line="576" w:lineRule="exact"/>
        <w:ind w:firstLine="640" w:firstLineChars="200"/>
        <w:rPr>
          <w:rFonts w:ascii="宋体" w:hAnsi="宋体" w:eastAsia="仿宋_GB2312" w:cs="宋体"/>
          <w:color w:val="auto"/>
          <w:szCs w:val="21"/>
        </w:rPr>
      </w:pPr>
      <w:r>
        <w:rPr>
          <w:rFonts w:hint="eastAsia" w:ascii="仿宋_GB2312" w:eastAsia="仿宋_GB2312"/>
          <w:color w:val="auto"/>
          <w:sz w:val="32"/>
          <w:szCs w:val="32"/>
        </w:rPr>
        <w:t>本部门201</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加强了寺庙僧人预防包虫病等疾病预防观念及防疫知识</w:t>
      </w:r>
      <w:r>
        <w:rPr>
          <w:rFonts w:hint="eastAsia" w:ascii="仿宋_GB2312" w:eastAsia="仿宋_GB2312"/>
          <w:color w:val="auto"/>
          <w:sz w:val="32"/>
          <w:szCs w:val="32"/>
          <w:lang w:val="zh-CN"/>
        </w:rPr>
        <w:t>。</w:t>
      </w:r>
    </w:p>
    <w:p>
      <w:pPr>
        <w:snapToGrid w:val="0"/>
        <w:spacing w:line="580" w:lineRule="exact"/>
        <w:ind w:left="420" w:leftChars="200" w:firstLine="321" w:firstLineChars="100"/>
        <w:rPr>
          <w:rFonts w:ascii="楷体_GB2312" w:hAnsi="宋体" w:eastAsia="楷体_GB2312" w:cs="楷体_GB2312"/>
          <w:b/>
          <w:color w:val="auto"/>
          <w:sz w:val="32"/>
          <w:szCs w:val="21"/>
        </w:rPr>
      </w:pPr>
      <w:r>
        <w:rPr>
          <w:rFonts w:hint="eastAsia" w:ascii="楷体_GB2312" w:hAnsi="宋体" w:eastAsia="楷体_GB2312" w:cs="楷体_GB2312"/>
          <w:b/>
          <w:color w:val="auto"/>
          <w:sz w:val="32"/>
          <w:szCs w:val="21"/>
        </w:rPr>
        <w:t>二、绩效分析</w:t>
      </w:r>
    </w:p>
    <w:p>
      <w:pPr>
        <w:snapToGrid w:val="0"/>
        <w:spacing w:line="580" w:lineRule="exact"/>
        <w:ind w:left="420" w:leftChars="200"/>
        <w:rPr>
          <w:rFonts w:ascii="宋体" w:hAnsi="宋体" w:eastAsia="仿宋_GB2312" w:cs="宋体"/>
          <w:color w:val="auto"/>
          <w:szCs w:val="21"/>
        </w:rPr>
      </w:pPr>
      <w:r>
        <w:rPr>
          <w:rFonts w:hint="eastAsia" w:ascii="宋体" w:hAnsi="宋体" w:eastAsia="仿宋_GB2312" w:cs="宋体"/>
          <w:color w:val="auto"/>
          <w:sz w:val="32"/>
          <w:szCs w:val="21"/>
        </w:rPr>
        <w:t>1</w:t>
      </w:r>
      <w:r>
        <w:rPr>
          <w:rFonts w:hint="eastAsia" w:ascii="宋体" w:hAnsi="宋体" w:eastAsia="仿宋_GB2312" w:cs="仿宋_GB2312"/>
          <w:color w:val="auto"/>
          <w:sz w:val="32"/>
          <w:szCs w:val="21"/>
        </w:rPr>
        <w:t>、项目决策</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1.本部门在201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年度部门决算中反映“</w:t>
      </w:r>
      <w:r>
        <w:rPr>
          <w:rFonts w:hint="eastAsia" w:ascii="仿宋_GB2312" w:hAnsi="仿宋_GB2312" w:eastAsia="仿宋_GB2312" w:cs="仿宋_GB2312"/>
          <w:sz w:val="32"/>
          <w:szCs w:val="32"/>
          <w:lang w:eastAsia="zh-CN"/>
        </w:rPr>
        <w:t>藏传佛教寺庙</w:t>
      </w:r>
      <w:r>
        <w:rPr>
          <w:rFonts w:hint="eastAsia" w:ascii="仿宋_GB2312" w:hAnsi="仿宋_GB2312" w:eastAsia="仿宋_GB2312" w:cs="仿宋_GB2312"/>
          <w:sz w:val="32"/>
          <w:szCs w:val="32"/>
          <w:lang w:val="en-US" w:eastAsia="zh-CN"/>
        </w:rPr>
        <w:t>包虫病预防宣传资金</w:t>
      </w:r>
      <w:r>
        <w:rPr>
          <w:rFonts w:hint="eastAsia" w:ascii="仿宋_GB2312" w:hAnsi="仿宋_GB2312" w:eastAsia="仿宋_GB2312" w:cs="仿宋_GB2312"/>
          <w:sz w:val="32"/>
          <w:szCs w:val="32"/>
        </w:rPr>
        <w:t>项目</w:t>
      </w:r>
      <w:r>
        <w:rPr>
          <w:rFonts w:hint="eastAsia" w:ascii="仿宋_GB2312" w:hAnsi="仿宋_GB2312" w:eastAsia="仿宋_GB2312" w:cs="仿宋_GB2312"/>
          <w:color w:val="auto"/>
          <w:sz w:val="32"/>
          <w:szCs w:val="32"/>
        </w:rPr>
        <w:t>”项目绩效目标实际完成情况。</w:t>
      </w:r>
    </w:p>
    <w:p>
      <w:pPr>
        <w:snapToGrid w:val="0"/>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.片区僧人五保项目绩效目标完成情况综述。项目全年预算数</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万元。通过项目实施，</w:t>
      </w:r>
      <w:r>
        <w:rPr>
          <w:rFonts w:hint="eastAsia" w:ascii="仿宋_GB2312" w:eastAsia="仿宋_GB2312"/>
          <w:color w:val="auto"/>
          <w:sz w:val="32"/>
          <w:szCs w:val="32"/>
          <w:lang w:val="en-US" w:eastAsia="zh-CN"/>
        </w:rPr>
        <w:t>加强了寺庙僧人预防包虫病等疾病预防观念及防疫知识</w:t>
      </w:r>
      <w:r>
        <w:rPr>
          <w:rFonts w:hint="eastAsia" w:ascii="仿宋_GB2312" w:eastAsia="仿宋_GB2312"/>
          <w:color w:val="auto"/>
          <w:sz w:val="32"/>
          <w:szCs w:val="32"/>
          <w:lang w:val="zh-CN"/>
        </w:rPr>
        <w:t>。</w:t>
      </w:r>
      <w:r>
        <w:rPr>
          <w:rFonts w:hint="eastAsia" w:ascii="仿宋_GB2312" w:hAnsi="仿宋_GB2312" w:eastAsia="仿宋_GB2312" w:cs="仿宋_GB2312"/>
          <w:color w:val="auto"/>
          <w:sz w:val="32"/>
          <w:szCs w:val="32"/>
        </w:rPr>
        <w:t>。</w:t>
      </w:r>
    </w:p>
    <w:p>
      <w:pPr>
        <w:snapToGrid w:val="0"/>
        <w:spacing w:line="580" w:lineRule="exact"/>
        <w:ind w:left="640"/>
        <w:rPr>
          <w:rFonts w:ascii="黑体" w:hAnsi="宋体" w:eastAsia="黑体" w:cs="黑体"/>
          <w:color w:val="auto"/>
          <w:sz w:val="32"/>
          <w:szCs w:val="21"/>
        </w:rPr>
      </w:pPr>
      <w:r>
        <w:rPr>
          <w:rFonts w:hint="eastAsia" w:ascii="黑体" w:hAnsi="宋体" w:eastAsia="黑体" w:cs="黑体"/>
          <w:color w:val="auto"/>
          <w:sz w:val="32"/>
          <w:szCs w:val="21"/>
        </w:rPr>
        <w:t>三、存在主要问题</w:t>
      </w:r>
    </w:p>
    <w:p>
      <w:pPr>
        <w:snapToGrid w:val="0"/>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僧人数较多，部分僧人在远牧点，宣传困难较大</w:t>
      </w:r>
      <w:r>
        <w:rPr>
          <w:rFonts w:hint="eastAsia" w:ascii="仿宋_GB2312" w:hAnsi="仿宋_GB2312" w:eastAsia="仿宋_GB2312" w:cs="仿宋_GB2312"/>
          <w:color w:val="auto"/>
          <w:sz w:val="32"/>
          <w:szCs w:val="32"/>
        </w:rPr>
        <w:t>。</w:t>
      </w:r>
    </w:p>
    <w:p>
      <w:pPr>
        <w:snapToGrid w:val="0"/>
        <w:spacing w:line="580" w:lineRule="exact"/>
        <w:ind w:firstLine="640" w:firstLineChars="200"/>
        <w:rPr>
          <w:rFonts w:ascii="黑体" w:hAnsi="宋体" w:eastAsia="黑体" w:cs="黑体"/>
          <w:color w:val="auto"/>
          <w:szCs w:val="21"/>
        </w:rPr>
      </w:pPr>
      <w:r>
        <w:rPr>
          <w:rFonts w:hint="eastAsia" w:ascii="黑体" w:hAnsi="宋体" w:eastAsia="黑体" w:cs="黑体"/>
          <w:color w:val="auto"/>
          <w:sz w:val="32"/>
          <w:szCs w:val="21"/>
        </w:rPr>
        <w:t>四、相关措施建议</w:t>
      </w:r>
    </w:p>
    <w:p>
      <w:pPr>
        <w:snapToGrid w:val="0"/>
        <w:spacing w:line="580" w:lineRule="exact"/>
        <w:ind w:firstLine="640" w:firstLineChars="200"/>
        <w:rPr>
          <w:rFonts w:ascii="黑体" w:hAnsi="宋体" w:eastAsia="黑体" w:cs="黑体"/>
          <w:color w:val="auto"/>
          <w:sz w:val="32"/>
          <w:szCs w:val="21"/>
        </w:rPr>
      </w:pPr>
      <w:r>
        <w:rPr>
          <w:rFonts w:hint="eastAsia" w:ascii="仿宋_GB2312" w:hAnsi="仿宋_GB2312" w:eastAsia="仿宋_GB2312" w:cs="仿宋_GB2312"/>
          <w:color w:val="auto"/>
          <w:sz w:val="32"/>
          <w:szCs w:val="32"/>
        </w:rPr>
        <w:t>1.下一步改进措施：</w:t>
      </w:r>
      <w:r>
        <w:rPr>
          <w:rFonts w:hint="eastAsia" w:ascii="仿宋_GB2312" w:hAnsi="仿宋_GB2312" w:eastAsia="仿宋_GB2312" w:cs="仿宋_GB2312"/>
          <w:color w:val="auto"/>
          <w:sz w:val="32"/>
          <w:szCs w:val="32"/>
          <w:lang w:val="en-US" w:eastAsia="zh-CN"/>
        </w:rPr>
        <w:t>组织宣讲队僧孺远牧进行宣讲，招聘基层群众与僧人进行宣讲</w:t>
      </w:r>
      <w:r>
        <w:rPr>
          <w:rFonts w:hint="eastAsia" w:ascii="仿宋_GB2312" w:hAnsi="仿宋_GB2312" w:eastAsia="仿宋_GB2312" w:cs="仿宋_GB2312"/>
          <w:color w:val="auto"/>
          <w:sz w:val="32"/>
          <w:szCs w:val="32"/>
        </w:rPr>
        <w:t>。</w:t>
      </w:r>
    </w:p>
    <w:p>
      <w:pPr>
        <w:spacing w:line="600" w:lineRule="exact"/>
        <w:jc w:val="center"/>
        <w:outlineLvl w:val="9"/>
        <w:rPr>
          <w:rFonts w:ascii="黑体" w:hAnsi="黑体" w:eastAsia="黑体"/>
          <w:color w:val="auto"/>
          <w:sz w:val="44"/>
          <w:szCs w:val="44"/>
        </w:rPr>
      </w:pPr>
    </w:p>
    <w:p>
      <w:pPr>
        <w:spacing w:line="600" w:lineRule="exact"/>
        <w:jc w:val="center"/>
        <w:outlineLvl w:val="9"/>
        <w:rPr>
          <w:rStyle w:val="26"/>
          <w:rFonts w:hint="default" w:ascii="黑体" w:hAnsi="黑体" w:eastAsia="黑体"/>
          <w:b w:val="0"/>
          <w:lang w:val="en-US" w:eastAsia="zh-CN"/>
        </w:rPr>
      </w:pPr>
    </w:p>
    <w:p>
      <w:pPr>
        <w:spacing w:line="600" w:lineRule="exact"/>
        <w:jc w:val="center"/>
        <w:outlineLvl w:val="9"/>
        <w:rPr>
          <w:rStyle w:val="26"/>
          <w:rFonts w:hint="default" w:ascii="黑体" w:hAnsi="黑体" w:eastAsia="黑体"/>
          <w:b w:val="0"/>
          <w:lang w:val="en-US" w:eastAsia="zh-CN"/>
        </w:rPr>
      </w:pPr>
    </w:p>
    <w:p>
      <w:pPr>
        <w:spacing w:line="600" w:lineRule="exact"/>
        <w:jc w:val="center"/>
        <w:outlineLvl w:val="9"/>
        <w:rPr>
          <w:rStyle w:val="26"/>
          <w:rFonts w:hint="default" w:ascii="黑体" w:hAnsi="黑体" w:eastAsia="黑体"/>
          <w:b w:val="0"/>
          <w:lang w:val="en-US" w:eastAsia="zh-CN"/>
        </w:rPr>
      </w:pPr>
    </w:p>
    <w:p>
      <w:pPr>
        <w:spacing w:line="600" w:lineRule="exact"/>
        <w:jc w:val="center"/>
        <w:outlineLvl w:val="9"/>
        <w:rPr>
          <w:rStyle w:val="26"/>
          <w:rFonts w:hint="default" w:ascii="黑体" w:hAnsi="黑体" w:eastAsia="黑体"/>
          <w:b w:val="0"/>
          <w:lang w:val="en-US" w:eastAsia="zh-CN"/>
        </w:rPr>
      </w:pPr>
    </w:p>
    <w:p>
      <w:pPr>
        <w:spacing w:line="600" w:lineRule="exact"/>
        <w:jc w:val="center"/>
        <w:outlineLvl w:val="9"/>
        <w:rPr>
          <w:rStyle w:val="26"/>
          <w:rFonts w:hint="default" w:ascii="黑体" w:hAnsi="黑体" w:eastAsia="黑体"/>
          <w:b w:val="0"/>
          <w:lang w:val="en-US" w:eastAsia="zh-CN"/>
        </w:rPr>
      </w:pPr>
    </w:p>
    <w:p>
      <w:pPr>
        <w:spacing w:line="600" w:lineRule="exact"/>
        <w:jc w:val="center"/>
        <w:outlineLvl w:val="9"/>
        <w:rPr>
          <w:rStyle w:val="26"/>
          <w:rFonts w:hint="default" w:ascii="黑体" w:hAnsi="黑体" w:eastAsia="黑体"/>
          <w:b w:val="0"/>
          <w:lang w:val="en-US" w:eastAsia="zh-CN"/>
        </w:rPr>
      </w:pPr>
    </w:p>
    <w:p>
      <w:pPr>
        <w:spacing w:line="600" w:lineRule="exact"/>
        <w:jc w:val="center"/>
        <w:outlineLvl w:val="9"/>
        <w:rPr>
          <w:rStyle w:val="26"/>
          <w:rFonts w:hint="default" w:ascii="黑体" w:hAnsi="黑体" w:eastAsia="黑体"/>
          <w:b w:val="0"/>
          <w:lang w:val="en-US" w:eastAsia="zh-CN"/>
        </w:rPr>
      </w:pPr>
    </w:p>
    <w:p>
      <w:pPr>
        <w:spacing w:line="600" w:lineRule="exact"/>
        <w:jc w:val="center"/>
        <w:outlineLvl w:val="9"/>
        <w:rPr>
          <w:rStyle w:val="26"/>
          <w:rFonts w:hint="default" w:ascii="黑体" w:hAnsi="黑体" w:eastAsia="黑体"/>
          <w:b w:val="0"/>
          <w:lang w:val="en-US" w:eastAsia="zh-CN"/>
        </w:rPr>
      </w:pPr>
    </w:p>
    <w:p>
      <w:pPr>
        <w:spacing w:line="600" w:lineRule="exact"/>
        <w:jc w:val="center"/>
        <w:outlineLvl w:val="9"/>
        <w:rPr>
          <w:rStyle w:val="26"/>
          <w:rFonts w:hint="default" w:ascii="黑体" w:hAnsi="黑体" w:eastAsia="黑体"/>
          <w:b w:val="0"/>
          <w:lang w:val="en-US" w:eastAsia="zh-CN"/>
        </w:rPr>
      </w:pPr>
    </w:p>
    <w:p>
      <w:pPr>
        <w:spacing w:line="600" w:lineRule="exact"/>
        <w:jc w:val="center"/>
        <w:outlineLvl w:val="9"/>
        <w:rPr>
          <w:rStyle w:val="26"/>
          <w:rFonts w:hint="default" w:ascii="黑体" w:hAnsi="黑体" w:eastAsia="黑体"/>
          <w:b w:val="0"/>
          <w:lang w:val="en-US" w:eastAsia="zh-CN"/>
        </w:rPr>
      </w:pPr>
    </w:p>
    <w:p>
      <w:pPr>
        <w:spacing w:line="600" w:lineRule="exact"/>
        <w:jc w:val="center"/>
        <w:outlineLvl w:val="0"/>
        <w:rPr>
          <w:rStyle w:val="26"/>
          <w:rFonts w:ascii="黑体" w:hAnsi="黑体" w:eastAsia="黑体"/>
          <w:b w:val="0"/>
        </w:rPr>
      </w:pPr>
      <w:bookmarkStart w:id="108" w:name="_Toc15396618"/>
      <w:bookmarkStart w:id="109" w:name="_Toc19617"/>
      <w:r>
        <w:rPr>
          <w:rFonts w:hint="eastAsia" w:ascii="黑体" w:hAnsi="黑体" w:eastAsia="黑体"/>
          <w:color w:val="000000"/>
          <w:sz w:val="44"/>
          <w:szCs w:val="44"/>
        </w:rPr>
        <w:t>第</w:t>
      </w:r>
      <w:r>
        <w:rPr>
          <w:rStyle w:val="26"/>
          <w:rFonts w:hint="eastAsia" w:ascii="黑体" w:hAnsi="黑体" w:eastAsia="黑体"/>
          <w:b w:val="0"/>
        </w:rPr>
        <w:t>五部分 附表</w:t>
      </w:r>
      <w:bookmarkEnd w:id="105"/>
      <w:bookmarkEnd w:id="108"/>
      <w:bookmarkEnd w:id="109"/>
    </w:p>
    <w:p>
      <w:pPr>
        <w:spacing w:line="600" w:lineRule="exact"/>
        <w:jc w:val="center"/>
        <w:outlineLvl w:val="9"/>
        <w:rPr>
          <w:rFonts w:ascii="仿宋" w:hAnsi="仿宋" w:eastAsia="仿宋"/>
          <w:b/>
          <w:color w:val="000000"/>
          <w:sz w:val="44"/>
          <w:szCs w:val="44"/>
        </w:rPr>
      </w:pPr>
    </w:p>
    <w:p>
      <w:pPr>
        <w:pStyle w:val="3"/>
        <w:rPr>
          <w:rFonts w:ascii="仿宋" w:hAnsi="仿宋" w:eastAsia="仿宋"/>
          <w:color w:val="000000"/>
        </w:rPr>
      </w:pPr>
      <w:bookmarkStart w:id="110" w:name="_Toc5804"/>
      <w:bookmarkStart w:id="111"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110"/>
      <w:bookmarkEnd w:id="111"/>
    </w:p>
    <w:p>
      <w:pPr>
        <w:pStyle w:val="3"/>
        <w:rPr>
          <w:rFonts w:ascii="仿宋" w:hAnsi="仿宋" w:eastAsia="仿宋"/>
          <w:color w:val="000000"/>
        </w:rPr>
      </w:pPr>
      <w:bookmarkStart w:id="112" w:name="_Toc15396620"/>
      <w:bookmarkStart w:id="113" w:name="_Toc30141"/>
      <w:r>
        <w:rPr>
          <w:rFonts w:hint="eastAsia" w:ascii="仿宋" w:hAnsi="仿宋" w:eastAsia="仿宋"/>
          <w:b w:val="0"/>
          <w:color w:val="000000"/>
        </w:rPr>
        <w:t>二、收</w:t>
      </w:r>
      <w:r>
        <w:rPr>
          <w:rStyle w:val="27"/>
          <w:rFonts w:hint="eastAsia" w:ascii="仿宋" w:hAnsi="仿宋" w:eastAsia="仿宋"/>
          <w:b w:val="0"/>
          <w:bCs w:val="0"/>
        </w:rPr>
        <w:t>入决算表</w:t>
      </w:r>
      <w:bookmarkEnd w:id="112"/>
      <w:bookmarkEnd w:id="113"/>
    </w:p>
    <w:p>
      <w:pPr>
        <w:pStyle w:val="3"/>
        <w:rPr>
          <w:rFonts w:ascii="仿宋" w:hAnsi="仿宋" w:eastAsia="仿宋"/>
          <w:color w:val="000000"/>
        </w:rPr>
      </w:pPr>
      <w:bookmarkStart w:id="114" w:name="_Toc15396621"/>
      <w:bookmarkStart w:id="115" w:name="_Toc18849"/>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14"/>
      <w:bookmarkEnd w:id="115"/>
    </w:p>
    <w:p>
      <w:pPr>
        <w:pStyle w:val="3"/>
        <w:rPr>
          <w:rFonts w:ascii="仿宋" w:hAnsi="仿宋" w:eastAsia="仿宋"/>
          <w:b w:val="0"/>
          <w:color w:val="000000"/>
        </w:rPr>
      </w:pPr>
      <w:bookmarkStart w:id="116" w:name="_Toc16539"/>
      <w:bookmarkStart w:id="117"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16"/>
      <w:bookmarkEnd w:id="117"/>
    </w:p>
    <w:p>
      <w:pPr>
        <w:pStyle w:val="3"/>
        <w:rPr>
          <w:rStyle w:val="27"/>
          <w:rFonts w:ascii="仿宋" w:hAnsi="仿宋" w:eastAsia="仿宋"/>
          <w:b w:val="0"/>
          <w:bCs w:val="0"/>
        </w:rPr>
      </w:pPr>
      <w:bookmarkStart w:id="118" w:name="_Toc15396623"/>
      <w:bookmarkStart w:id="119" w:name="_Toc29164"/>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18"/>
      <w:bookmarkEnd w:id="119"/>
      <w:bookmarkStart w:id="120" w:name="_Toc15396624"/>
    </w:p>
    <w:p>
      <w:pPr>
        <w:pStyle w:val="3"/>
        <w:rPr>
          <w:rFonts w:ascii="仿宋" w:hAnsi="仿宋" w:eastAsia="仿宋"/>
          <w:color w:val="000000"/>
        </w:rPr>
      </w:pPr>
      <w:bookmarkStart w:id="121" w:name="_Toc4269"/>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20"/>
      <w:bookmarkEnd w:id="121"/>
    </w:p>
    <w:p>
      <w:pPr>
        <w:pStyle w:val="3"/>
        <w:rPr>
          <w:rFonts w:ascii="仿宋" w:hAnsi="仿宋" w:eastAsia="仿宋"/>
          <w:color w:val="000000"/>
        </w:rPr>
      </w:pPr>
      <w:bookmarkStart w:id="122" w:name="_Toc15396625"/>
      <w:bookmarkStart w:id="123" w:name="_Toc31740"/>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22"/>
      <w:bookmarkEnd w:id="123"/>
    </w:p>
    <w:p>
      <w:pPr>
        <w:pStyle w:val="3"/>
        <w:rPr>
          <w:rFonts w:ascii="仿宋" w:hAnsi="仿宋" w:eastAsia="仿宋"/>
          <w:color w:val="000000"/>
        </w:rPr>
      </w:pPr>
      <w:bookmarkStart w:id="124" w:name="_Toc1093"/>
      <w:bookmarkStart w:id="125"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24"/>
      <w:bookmarkEnd w:id="125"/>
    </w:p>
    <w:p>
      <w:pPr>
        <w:pStyle w:val="3"/>
        <w:rPr>
          <w:rFonts w:ascii="仿宋" w:hAnsi="仿宋" w:eastAsia="仿宋"/>
          <w:color w:val="000000"/>
        </w:rPr>
      </w:pPr>
      <w:bookmarkStart w:id="126" w:name="_Toc15396627"/>
      <w:bookmarkStart w:id="127" w:name="_Toc27131"/>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26"/>
      <w:bookmarkEnd w:id="127"/>
    </w:p>
    <w:p>
      <w:pPr>
        <w:pStyle w:val="3"/>
        <w:rPr>
          <w:rFonts w:ascii="仿宋" w:hAnsi="仿宋" w:eastAsia="仿宋"/>
          <w:color w:val="000000"/>
        </w:rPr>
      </w:pPr>
      <w:bookmarkStart w:id="128" w:name="_Toc26009"/>
      <w:bookmarkStart w:id="129"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28"/>
      <w:bookmarkEnd w:id="129"/>
    </w:p>
    <w:p>
      <w:pPr>
        <w:pStyle w:val="3"/>
        <w:rPr>
          <w:rFonts w:ascii="仿宋" w:hAnsi="仿宋" w:eastAsia="仿宋"/>
          <w:color w:val="000000"/>
        </w:rPr>
      </w:pPr>
      <w:bookmarkStart w:id="130" w:name="_Toc15396629"/>
      <w:bookmarkStart w:id="131" w:name="_Toc13097"/>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30"/>
      <w:bookmarkEnd w:id="131"/>
    </w:p>
    <w:p>
      <w:pPr>
        <w:pStyle w:val="3"/>
        <w:rPr>
          <w:rFonts w:ascii="仿宋" w:hAnsi="仿宋" w:eastAsia="仿宋"/>
          <w:color w:val="000000"/>
        </w:rPr>
      </w:pPr>
      <w:bookmarkStart w:id="132" w:name="_Toc29996"/>
      <w:bookmarkStart w:id="133"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32"/>
      <w:bookmarkEnd w:id="133"/>
    </w:p>
    <w:p>
      <w:pPr>
        <w:pStyle w:val="3"/>
        <w:rPr>
          <w:rFonts w:ascii="仿宋" w:hAnsi="仿宋" w:eastAsia="仿宋"/>
          <w:color w:val="000000" w:themeColor="text1"/>
        </w:rPr>
      </w:pPr>
      <w:bookmarkStart w:id="134" w:name="_Toc15396631"/>
      <w:bookmarkStart w:id="135" w:name="_Toc11072"/>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134"/>
      <w:bookmarkEnd w:id="13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B9550FDE"/>
    <w:multiLevelType w:val="singleLevel"/>
    <w:tmpl w:val="B9550FDE"/>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F2416298"/>
    <w:multiLevelType w:val="singleLevel"/>
    <w:tmpl w:val="F2416298"/>
    <w:lvl w:ilvl="0" w:tentative="0">
      <w:start w:val="10"/>
      <w:numFmt w:val="decimal"/>
      <w:lvlText w:val="%1."/>
      <w:lvlJc w:val="left"/>
      <w:pPr>
        <w:tabs>
          <w:tab w:val="left" w:pos="312"/>
        </w:tabs>
      </w:p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4116703C"/>
    <w:multiLevelType w:val="singleLevel"/>
    <w:tmpl w:val="4116703C"/>
    <w:lvl w:ilvl="0" w:tentative="0">
      <w:start w:val="15"/>
      <w:numFmt w:val="decimal"/>
      <w:lvlText w:val="%1."/>
      <w:lvlJc w:val="left"/>
      <w:pPr>
        <w:tabs>
          <w:tab w:val="left" w:pos="312"/>
        </w:tabs>
      </w:pPr>
    </w:lvl>
  </w:abstractNum>
  <w:abstractNum w:abstractNumId="8">
    <w:nsid w:val="44A8E491"/>
    <w:multiLevelType w:val="singleLevel"/>
    <w:tmpl w:val="44A8E491"/>
    <w:lvl w:ilvl="0" w:tentative="0">
      <w:start w:val="2"/>
      <w:numFmt w:val="chineseCounting"/>
      <w:suff w:val="nothing"/>
      <w:lvlText w:val="（%1）"/>
      <w:lvlJc w:val="left"/>
      <w:rPr>
        <w:rFonts w:hint="eastAsia"/>
      </w:rPr>
    </w:lvl>
  </w:abstractNum>
  <w:abstractNum w:abstractNumId="9">
    <w:nsid w:val="5DFA34F7"/>
    <w:multiLevelType w:val="singleLevel"/>
    <w:tmpl w:val="5DFA34F7"/>
    <w:lvl w:ilvl="0" w:tentative="0">
      <w:start w:val="10"/>
      <w:numFmt w:val="decimal"/>
      <w:lvlText w:val="%1."/>
      <w:lvlJc w:val="left"/>
      <w:pPr>
        <w:tabs>
          <w:tab w:val="left" w:pos="312"/>
        </w:tabs>
      </w:pPr>
    </w:lvl>
  </w:abstractNum>
  <w:abstractNum w:abstractNumId="10">
    <w:nsid w:val="76A46865"/>
    <w:multiLevelType w:val="singleLevel"/>
    <w:tmpl w:val="76A46865"/>
    <w:lvl w:ilvl="0" w:tentative="0">
      <w:start w:val="3"/>
      <w:numFmt w:val="decimal"/>
      <w:lvlText w:val="%1."/>
      <w:lvlJc w:val="left"/>
      <w:pPr>
        <w:tabs>
          <w:tab w:val="left" w:pos="312"/>
        </w:tabs>
      </w:pPr>
    </w:lvl>
  </w:abstractNum>
  <w:num w:numId="1">
    <w:abstractNumId w:val="6"/>
  </w:num>
  <w:num w:numId="2">
    <w:abstractNumId w:val="10"/>
  </w:num>
  <w:num w:numId="3">
    <w:abstractNumId w:val="2"/>
  </w:num>
  <w:num w:numId="4">
    <w:abstractNumId w:val="4"/>
  </w:num>
  <w:num w:numId="5">
    <w:abstractNumId w:val="0"/>
  </w:num>
  <w:num w:numId="6">
    <w:abstractNumId w:val="3"/>
  </w:num>
  <w:num w:numId="7">
    <w:abstractNumId w:val="5"/>
  </w:num>
  <w:num w:numId="8">
    <w:abstractNumId w:val="9"/>
  </w:num>
  <w:num w:numId="9">
    <w:abstractNumId w:val="7"/>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60F685C"/>
    <w:rsid w:val="07941916"/>
    <w:rsid w:val="10C055FF"/>
    <w:rsid w:val="16BB723D"/>
    <w:rsid w:val="1CA6289C"/>
    <w:rsid w:val="240371BF"/>
    <w:rsid w:val="250E1E36"/>
    <w:rsid w:val="258833F1"/>
    <w:rsid w:val="25A62D2C"/>
    <w:rsid w:val="27FF7E84"/>
    <w:rsid w:val="29FD04D3"/>
    <w:rsid w:val="319F7F4E"/>
    <w:rsid w:val="3A007DBA"/>
    <w:rsid w:val="49D122FD"/>
    <w:rsid w:val="4B1931D8"/>
    <w:rsid w:val="4ECE2238"/>
    <w:rsid w:val="51916A8B"/>
    <w:rsid w:val="530510B7"/>
    <w:rsid w:val="55497EDE"/>
    <w:rsid w:val="56576F59"/>
    <w:rsid w:val="57A70DE1"/>
    <w:rsid w:val="597144EA"/>
    <w:rsid w:val="660962CC"/>
    <w:rsid w:val="66BF472B"/>
    <w:rsid w:val="66D6236E"/>
    <w:rsid w:val="69EA77E7"/>
    <w:rsid w:val="72734D90"/>
    <w:rsid w:val="761A1F42"/>
    <w:rsid w:val="77A377BB"/>
    <w:rsid w:val="787F0294"/>
    <w:rsid w:val="7D83772B"/>
    <w:rsid w:val="7FFAE80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Body Text Indent"/>
    <w:basedOn w:val="1"/>
    <w:unhideWhenUsed/>
    <w:qFormat/>
    <w:uiPriority w:val="99"/>
    <w:pPr>
      <w:spacing w:after="120"/>
      <w:ind w:left="420" w:leftChars="200"/>
    </w:pPr>
    <w:rPr>
      <w:szCs w:val="2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6"/>
    <w:unhideWhenUsed/>
    <w:qFormat/>
    <w:uiPriority w:val="99"/>
    <w:pPr>
      <w:ind w:firstLine="420" w:firstLine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2"/>
    <w:qFormat/>
    <w:uiPriority w:val="9"/>
    <w:rPr>
      <w:rFonts w:ascii="Times New Roman" w:hAnsi="Times New Roman"/>
      <w:b/>
      <w:bCs/>
      <w:kern w:val="44"/>
      <w:sz w:val="44"/>
      <w:szCs w:val="44"/>
    </w:rPr>
  </w:style>
  <w:style w:type="character" w:customStyle="1" w:styleId="27">
    <w:name w:val="标题 2 字符"/>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字符"/>
    <w:basedOn w:val="15"/>
    <w:link w:val="8"/>
    <w:semiHidden/>
    <w:qFormat/>
    <w:uiPriority w:val="99"/>
    <w:rPr>
      <w:rFonts w:ascii="Times New Roman" w:hAnsi="Times New Roman"/>
      <w:kern w:val="2"/>
      <w:sz w:val="18"/>
      <w:szCs w:val="18"/>
    </w:rPr>
  </w:style>
  <w:style w:type="character" w:customStyle="1" w:styleId="30">
    <w:name w:val="标题 3 字符"/>
    <w:basedOn w:val="15"/>
    <w:link w:val="4"/>
    <w:qFormat/>
    <w:uiPriority w:val="9"/>
    <w:rPr>
      <w:rFonts w:ascii="Times New Roman" w:hAnsi="Times New Roman"/>
      <w:b/>
      <w:bCs/>
      <w:kern w:val="2"/>
      <w:sz w:val="32"/>
      <w:szCs w:val="32"/>
    </w:rPr>
  </w:style>
  <w:style w:type="paragraph" w:customStyle="1" w:styleId="31">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2">
    <w:name w:val="WPSOffice手动目录 1"/>
    <w:qFormat/>
    <w:uiPriority w:val="0"/>
    <w:pPr>
      <w:ind w:leftChars="0"/>
    </w:pPr>
    <w:rPr>
      <w:rFonts w:asciiTheme="minorHAnsi" w:hAnsiTheme="minorHAnsi" w:eastAsiaTheme="minorEastAsia" w:cstheme="minorBidi"/>
      <w:sz w:val="20"/>
      <w:szCs w:val="20"/>
    </w:rPr>
  </w:style>
  <w:style w:type="paragraph" w:customStyle="1" w:styleId="33">
    <w:name w:val="WPSOffice手动目录 2"/>
    <w:qFormat/>
    <w:uiPriority w:val="0"/>
    <w:pPr>
      <w:ind w:leftChars="200"/>
    </w:pPr>
    <w:rPr>
      <w:rFonts w:asciiTheme="minorHAnsi" w:hAnsiTheme="minorHAnsi" w:eastAsiaTheme="minorEastAsia" w:cstheme="minorBidi"/>
      <w:sz w:val="20"/>
      <w:szCs w:val="20"/>
    </w:rPr>
  </w:style>
  <w:style w:type="paragraph" w:customStyle="1" w:styleId="34">
    <w:name w:val="WPSOffice手动目录 3"/>
    <w:qFormat/>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c:v>
                </c:pt>
              </c:strCache>
            </c:strRef>
          </c:tx>
          <c:spPr>
            <a:solidFill>
              <a:schemeClr val="accent1"/>
            </a:solidFill>
            <a:ln>
              <a:noFill/>
            </a:ln>
            <a:effectLst/>
          </c:spPr>
          <c:invertIfNegative val="0"/>
          <c:dLbls>
            <c:delete val="1"/>
          </c:dLbls>
          <c:cat>
            <c:strRef>
              <c:f>Sheet1!$A$2:$A$3</c:f>
              <c:strCache>
                <c:ptCount val="2"/>
                <c:pt idx="0">
                  <c:v>支出</c:v>
                </c:pt>
                <c:pt idx="1">
                  <c:v>收入</c:v>
                </c:pt>
              </c:strCache>
            </c:strRef>
          </c:cat>
          <c:val>
            <c:numRef>
              <c:f>Sheet1!$B$2:$B$3</c:f>
              <c:numCache>
                <c:formatCode>General</c:formatCode>
                <c:ptCount val="2"/>
                <c:pt idx="0">
                  <c:v>348.02</c:v>
                </c:pt>
                <c:pt idx="1">
                  <c:v>348.02</c:v>
                </c:pt>
              </c:numCache>
            </c:numRef>
          </c:val>
        </c:ser>
        <c:ser>
          <c:idx val="1"/>
          <c:order val="1"/>
          <c:tx>
            <c:strRef>
              <c:f>Sheet1!$C$1</c:f>
              <c:strCache>
                <c:ptCount val="1"/>
                <c:pt idx="0">
                  <c:v>2019</c:v>
                </c:pt>
              </c:strCache>
            </c:strRef>
          </c:tx>
          <c:spPr>
            <a:solidFill>
              <a:schemeClr val="accent2"/>
            </a:solidFill>
            <a:ln>
              <a:noFill/>
            </a:ln>
            <a:effectLst/>
          </c:spPr>
          <c:invertIfNegative val="0"/>
          <c:dLbls>
            <c:delete val="1"/>
          </c:dLbls>
          <c:cat>
            <c:strRef>
              <c:f>Sheet1!$A$2:$A$3</c:f>
              <c:strCache>
                <c:ptCount val="2"/>
                <c:pt idx="0">
                  <c:v>支出</c:v>
                </c:pt>
                <c:pt idx="1">
                  <c:v>收入</c:v>
                </c:pt>
              </c:strCache>
            </c:strRef>
          </c:cat>
          <c:val>
            <c:numRef>
              <c:f>Sheet1!$C$2:$C$3</c:f>
              <c:numCache>
                <c:formatCode>General</c:formatCode>
                <c:ptCount val="2"/>
                <c:pt idx="0">
                  <c:v>311.66</c:v>
                </c:pt>
                <c:pt idx="1">
                  <c:v>327.49</c:v>
                </c:pt>
              </c:numCache>
            </c:numRef>
          </c:val>
        </c:ser>
        <c:dLbls>
          <c:showLegendKey val="0"/>
          <c:showVal val="0"/>
          <c:showCatName val="0"/>
          <c:showSerName val="0"/>
          <c:showPercent val="0"/>
          <c:showBubbleSize val="0"/>
        </c:dLbls>
        <c:gapWidth val="219"/>
        <c:overlap val="-27"/>
        <c:axId val="161978170"/>
        <c:axId val="918468365"/>
      </c:barChart>
      <c:catAx>
        <c:axId val="1619781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8468365"/>
        <c:crosses val="autoZero"/>
        <c:auto val="1"/>
        <c:lblAlgn val="ctr"/>
        <c:lblOffset val="100"/>
        <c:noMultiLvlLbl val="0"/>
      </c:catAx>
      <c:valAx>
        <c:axId val="91846836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197817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一般公共预算财政拨款收入</c:v>
                </c:pt>
              </c:strCache>
            </c:strRef>
          </c:cat>
          <c:val>
            <c:numRef>
              <c:f>Sheet1!$B$2</c:f>
              <c:numCache>
                <c:formatCode>General</c:formatCode>
                <c:ptCount val="1"/>
                <c:pt idx="0">
                  <c:v>100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289.37</c:v>
                </c:pt>
                <c:pt idx="1">
                  <c:v>22.3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48080676642811"/>
          <c:y val="0.136997149192271"/>
          <c:w val="0.901288223812622"/>
          <c:h val="0.816819765600253"/>
        </c:manualLayout>
      </c:layout>
      <c:barChart>
        <c:barDir val="col"/>
        <c:grouping val="clustered"/>
        <c:varyColors val="0"/>
        <c:ser>
          <c:idx val="0"/>
          <c:order val="0"/>
          <c:tx>
            <c:strRef>
              <c:f>Sheet1!$B$1</c:f>
              <c:strCache>
                <c:ptCount val="1"/>
                <c:pt idx="0">
                  <c:v>2018</c:v>
                </c:pt>
              </c:strCache>
            </c:strRef>
          </c:tx>
          <c:spPr>
            <a:solidFill>
              <a:schemeClr val="accent1"/>
            </a:solidFill>
            <a:ln>
              <a:noFill/>
            </a:ln>
            <a:effectLst/>
          </c:spPr>
          <c:invertIfNegative val="0"/>
          <c:dLbls>
            <c:delete val="1"/>
          </c:dLbls>
          <c:cat>
            <c:strRef>
              <c:f>Sheet1!$A$2:$A$3</c:f>
              <c:strCache>
                <c:ptCount val="2"/>
                <c:pt idx="0">
                  <c:v>支出</c:v>
                </c:pt>
                <c:pt idx="1">
                  <c:v>收入</c:v>
                </c:pt>
              </c:strCache>
            </c:strRef>
          </c:cat>
          <c:val>
            <c:numRef>
              <c:f>Sheet1!$B$2:$B$3</c:f>
              <c:numCache>
                <c:formatCode>General</c:formatCode>
                <c:ptCount val="2"/>
                <c:pt idx="0">
                  <c:v>348.02</c:v>
                </c:pt>
                <c:pt idx="1">
                  <c:v>348.02</c:v>
                </c:pt>
              </c:numCache>
            </c:numRef>
          </c:val>
        </c:ser>
        <c:ser>
          <c:idx val="1"/>
          <c:order val="1"/>
          <c:tx>
            <c:strRef>
              <c:f>Sheet1!$C$1</c:f>
              <c:strCache>
                <c:ptCount val="1"/>
                <c:pt idx="0">
                  <c:v>2019</c:v>
                </c:pt>
              </c:strCache>
            </c:strRef>
          </c:tx>
          <c:spPr>
            <a:solidFill>
              <a:schemeClr val="accent2"/>
            </a:solidFill>
            <a:ln>
              <a:noFill/>
            </a:ln>
            <a:effectLst/>
          </c:spPr>
          <c:invertIfNegative val="0"/>
          <c:dLbls>
            <c:delete val="1"/>
          </c:dLbls>
          <c:cat>
            <c:strRef>
              <c:f>Sheet1!$A$2:$A$3</c:f>
              <c:strCache>
                <c:ptCount val="2"/>
                <c:pt idx="0">
                  <c:v>支出</c:v>
                </c:pt>
                <c:pt idx="1">
                  <c:v>收入</c:v>
                </c:pt>
              </c:strCache>
            </c:strRef>
          </c:cat>
          <c:val>
            <c:numRef>
              <c:f>Sheet1!$C$2:$C$3</c:f>
              <c:numCache>
                <c:formatCode>General</c:formatCode>
                <c:ptCount val="2"/>
                <c:pt idx="0">
                  <c:v>311.66</c:v>
                </c:pt>
                <c:pt idx="1">
                  <c:v>327.49</c:v>
                </c:pt>
              </c:numCache>
            </c:numRef>
          </c:val>
        </c:ser>
        <c:dLbls>
          <c:showLegendKey val="0"/>
          <c:showVal val="0"/>
          <c:showCatName val="0"/>
          <c:showSerName val="0"/>
          <c:showPercent val="0"/>
          <c:showBubbleSize val="0"/>
        </c:dLbls>
        <c:gapWidth val="219"/>
        <c:overlap val="-27"/>
        <c:axId val="161978170"/>
        <c:axId val="918468365"/>
      </c:barChart>
      <c:catAx>
        <c:axId val="1619781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8468365"/>
        <c:crosses val="autoZero"/>
        <c:auto val="1"/>
        <c:lblAlgn val="ctr"/>
        <c:lblOffset val="100"/>
        <c:noMultiLvlLbl val="0"/>
      </c:catAx>
      <c:valAx>
        <c:axId val="91846836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197817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28615384615385"/>
          <c:y val="0.0453982666116385"/>
          <c:w val="0.810215384615385"/>
          <c:h val="0.770408584399505"/>
        </c:manualLayout>
      </c:layout>
      <c:barChart>
        <c:barDir val="col"/>
        <c:grouping val="clustered"/>
        <c:varyColors val="0"/>
        <c:ser>
          <c:idx val="0"/>
          <c:order val="0"/>
          <c:tx>
            <c:strRef>
              <c:f>Sheet1!$B$1</c:f>
              <c:strCache>
                <c:ptCount val="1"/>
                <c:pt idx="0">
                  <c:v>2019</c:v>
                </c:pt>
              </c:strCache>
            </c:strRef>
          </c:tx>
          <c:spPr>
            <a:solidFill>
              <a:schemeClr val="accent1"/>
            </a:solidFill>
            <a:ln>
              <a:noFill/>
            </a:ln>
            <a:effectLst/>
          </c:spPr>
          <c:invertIfNegative val="0"/>
          <c:dLbls>
            <c:delete val="1"/>
          </c:dLbls>
          <c:cat>
            <c:strRef>
              <c:f>Sheet1!$A$2</c:f>
              <c:strCache>
                <c:ptCount val="1"/>
                <c:pt idx="0">
                  <c:v>一般公共预算财政拨款支出</c:v>
                </c:pt>
              </c:strCache>
            </c:strRef>
          </c:cat>
          <c:val>
            <c:numRef>
              <c:f>Sheet1!$B$2</c:f>
              <c:numCache>
                <c:formatCode>General</c:formatCode>
                <c:ptCount val="1"/>
                <c:pt idx="0">
                  <c:v>311.66</c:v>
                </c:pt>
              </c:numCache>
            </c:numRef>
          </c:val>
        </c:ser>
        <c:ser>
          <c:idx val="1"/>
          <c:order val="1"/>
          <c:tx>
            <c:strRef>
              <c:f>Sheet1!$C$1</c:f>
              <c:strCache>
                <c:ptCount val="1"/>
                <c:pt idx="0">
                  <c:v>2018</c:v>
                </c:pt>
              </c:strCache>
            </c:strRef>
          </c:tx>
          <c:spPr>
            <a:solidFill>
              <a:schemeClr val="accent2"/>
            </a:solidFill>
            <a:ln>
              <a:noFill/>
            </a:ln>
            <a:effectLst/>
          </c:spPr>
          <c:invertIfNegative val="0"/>
          <c:dLbls>
            <c:delete val="1"/>
          </c:dLbls>
          <c:cat>
            <c:strRef>
              <c:f>Sheet1!$A$2</c:f>
              <c:strCache>
                <c:ptCount val="1"/>
                <c:pt idx="0">
                  <c:v>一般公共预算财政拨款支出</c:v>
                </c:pt>
              </c:strCache>
            </c:strRef>
          </c:cat>
          <c:val>
            <c:numRef>
              <c:f>Sheet1!$C$2</c:f>
              <c:numCache>
                <c:formatCode>General</c:formatCode>
                <c:ptCount val="1"/>
                <c:pt idx="0">
                  <c:v>348.02</c:v>
                </c:pt>
              </c:numCache>
            </c:numRef>
          </c:val>
        </c:ser>
        <c:dLbls>
          <c:showLegendKey val="0"/>
          <c:showVal val="0"/>
          <c:showCatName val="0"/>
          <c:showSerName val="0"/>
          <c:showPercent val="0"/>
          <c:showBubbleSize val="0"/>
        </c:dLbls>
        <c:gapWidth val="219"/>
        <c:overlap val="-27"/>
        <c:axId val="168896375"/>
        <c:axId val="670563110"/>
      </c:barChart>
      <c:catAx>
        <c:axId val="16889637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0563110"/>
        <c:crosses val="autoZero"/>
        <c:auto val="1"/>
        <c:lblAlgn val="ctr"/>
        <c:lblOffset val="100"/>
        <c:noMultiLvlLbl val="0"/>
      </c:catAx>
      <c:valAx>
        <c:axId val="67056311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8896375"/>
        <c:crosses val="autoZero"/>
        <c:crossBetween val="between"/>
      </c:valAx>
      <c:spPr>
        <a:noFill/>
        <a:ln>
          <a:noFill/>
        </a:ln>
        <a:effectLst/>
      </c:spPr>
    </c:plotArea>
    <c:legend>
      <c:legendPos val="b"/>
      <c:layout>
        <c:manualLayout>
          <c:xMode val="edge"/>
          <c:yMode val="edge"/>
          <c:x val="0.0688170295742606"/>
          <c:y val="0.86903183023872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一般公共服务（类）</c:v>
                </c:pt>
                <c:pt idx="1">
                  <c:v>社会保障和就业（类）</c:v>
                </c:pt>
                <c:pt idx="2">
                  <c:v>卫生健康支出</c:v>
                </c:pt>
                <c:pt idx="3">
                  <c:v>住房保障支出</c:v>
                </c:pt>
              </c:strCache>
            </c:strRef>
          </c:cat>
          <c:val>
            <c:numRef>
              <c:f>Sheet1!$B$2:$B$5</c:f>
              <c:numCache>
                <c:formatCode>General</c:formatCode>
                <c:ptCount val="4"/>
                <c:pt idx="0">
                  <c:v>77.75</c:v>
                </c:pt>
                <c:pt idx="1">
                  <c:v>12.17</c:v>
                </c:pt>
                <c:pt idx="2">
                  <c:v>4.1</c:v>
                </c:pt>
                <c:pt idx="3">
                  <c:v>5.98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0</TotalTime>
  <ScaleCrop>false</ScaleCrop>
  <LinksUpToDate>false</LinksUpToDate>
  <CharactersWithSpaces>8587</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ruijie</cp:lastModifiedBy>
  <cp:lastPrinted>2020-07-23T10:58:00Z</cp:lastPrinted>
  <dcterms:modified xsi:type="dcterms:W3CDTF">2025-04-11T14:59:21Z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F578D5A67BCCC6ECC9BDF867FCEF02C0</vt:lpwstr>
  </property>
</Properties>
</file>