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96475"/>
      <w:bookmarkStart w:id="2" w:name="_Toc15377193"/>
      <w:bookmarkStart w:id="3" w:name="_Toc15377425"/>
      <w:bookmarkStart w:id="4" w:name="_Toc15396597"/>
      <w:bookmarkStart w:id="5" w:name="_Toc15378441"/>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hint="eastAsia" w:ascii="方正小标宋简体" w:hAnsi="宋体" w:eastAsia="方正小标宋简体"/>
          <w:color w:val="000000"/>
          <w:sz w:val="72"/>
          <w:szCs w:val="72"/>
          <w:lang w:eastAsia="zh-CN"/>
        </w:rPr>
      </w:pPr>
      <w:bookmarkStart w:id="6" w:name="_Toc15378442"/>
      <w:bookmarkStart w:id="7" w:name="_Toc15377426"/>
      <w:bookmarkStart w:id="8" w:name="_Toc15396598"/>
      <w:bookmarkStart w:id="9" w:name="_Toc15396476"/>
      <w:bookmarkStart w:id="10" w:name="_Toc15377194"/>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eastAsia="zh-CN"/>
        </w:rPr>
        <w:t>麦洼寺管会</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pStyle w:val="12"/>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2"/>
        <w:rPr>
          <w:rFonts w:cstheme="minorBidi"/>
        </w:rPr>
      </w:pPr>
      <w:r>
        <w:fldChar w:fldCharType="begin"/>
      </w:r>
      <w:r>
        <w:instrText xml:space="preserve"> HYPERLINK \l "_Toc15396599" </w:instrText>
      </w:r>
      <w:r>
        <w:fldChar w:fldCharType="separate"/>
      </w:r>
      <w:r>
        <w:rPr>
          <w:rStyle w:val="18"/>
          <w:rFonts w:hint="eastAsia"/>
        </w:rPr>
        <w:t>第一部分</w:t>
      </w:r>
      <w:r>
        <w:rPr>
          <w:rStyle w:val="18"/>
        </w:rPr>
        <w:t xml:space="preserve"> </w:t>
      </w:r>
      <w:r>
        <w:rPr>
          <w:rStyle w:val="18"/>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18"/>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18"/>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8"/>
          <w:rFonts w:hint="eastAsia"/>
        </w:rPr>
        <w:t>第二部分</w:t>
      </w:r>
      <w:r>
        <w:rPr>
          <w:rStyle w:val="18"/>
        </w:rPr>
        <w:t xml:space="preserve"> 2018</w:t>
      </w:r>
      <w:r>
        <w:rPr>
          <w:rStyle w:val="18"/>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18"/>
          <w:rFonts w:hint="eastAsia" w:ascii="仿宋" w:hAnsi="仿宋" w:eastAsia="仿宋" w:cstheme="majorBidi"/>
          <w:bCs/>
          <w:sz w:val="28"/>
          <w:szCs w:val="28"/>
        </w:rPr>
        <w:t>一、</w:t>
      </w:r>
      <w:r>
        <w:rPr>
          <w:rStyle w:val="18"/>
          <w:rFonts w:hint="eastAsia" w:ascii="仿宋" w:hAnsi="仿宋" w:eastAsia="仿宋"/>
          <w:sz w:val="28"/>
          <w:szCs w:val="28"/>
        </w:rPr>
        <w:t>收</w:t>
      </w:r>
      <w:r>
        <w:rPr>
          <w:rStyle w:val="18"/>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18"/>
          <w:rFonts w:hint="eastAsia" w:ascii="仿宋" w:hAnsi="仿宋" w:eastAsia="仿宋" w:cstheme="majorBidi"/>
          <w:bCs/>
          <w:sz w:val="28"/>
          <w:szCs w:val="28"/>
        </w:rPr>
        <w:t>二、</w:t>
      </w:r>
      <w:r>
        <w:rPr>
          <w:rStyle w:val="18"/>
          <w:rFonts w:hint="eastAsia" w:ascii="仿宋" w:hAnsi="仿宋" w:eastAsia="仿宋"/>
          <w:sz w:val="28"/>
          <w:szCs w:val="28"/>
        </w:rPr>
        <w:t>收</w:t>
      </w:r>
      <w:r>
        <w:rPr>
          <w:rStyle w:val="18"/>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18"/>
          <w:rFonts w:hint="eastAsia" w:ascii="仿宋" w:hAnsi="仿宋" w:eastAsia="仿宋" w:cstheme="majorBidi"/>
          <w:bCs/>
          <w:sz w:val="28"/>
          <w:szCs w:val="28"/>
        </w:rPr>
        <w:t>三、</w:t>
      </w:r>
      <w:r>
        <w:rPr>
          <w:rStyle w:val="18"/>
          <w:rFonts w:hint="eastAsia" w:ascii="仿宋" w:hAnsi="仿宋" w:eastAsia="仿宋"/>
          <w:sz w:val="28"/>
          <w:szCs w:val="28"/>
        </w:rPr>
        <w:t>支</w:t>
      </w:r>
      <w:r>
        <w:rPr>
          <w:rStyle w:val="18"/>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18"/>
          <w:rFonts w:hint="eastAsia" w:ascii="仿宋" w:hAnsi="仿宋" w:eastAsia="仿宋"/>
          <w:sz w:val="28"/>
          <w:szCs w:val="28"/>
        </w:rPr>
        <w:t>四、财</w:t>
      </w:r>
      <w:r>
        <w:rPr>
          <w:rStyle w:val="18"/>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18"/>
          <w:rFonts w:hint="eastAsia" w:ascii="仿宋" w:hAnsi="仿宋" w:eastAsia="仿宋"/>
          <w:sz w:val="28"/>
          <w:szCs w:val="28"/>
        </w:rPr>
        <w:t>五、一</w:t>
      </w:r>
      <w:r>
        <w:rPr>
          <w:rStyle w:val="18"/>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18"/>
          <w:rFonts w:hint="eastAsia" w:ascii="仿宋" w:hAnsi="仿宋" w:eastAsia="仿宋"/>
          <w:sz w:val="28"/>
          <w:szCs w:val="28"/>
        </w:rPr>
        <w:t>六、一</w:t>
      </w:r>
      <w:r>
        <w:rPr>
          <w:rStyle w:val="18"/>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18"/>
          <w:rFonts w:hint="eastAsia" w:ascii="仿宋" w:hAnsi="仿宋" w:eastAsia="仿宋"/>
          <w:sz w:val="28"/>
          <w:szCs w:val="28"/>
        </w:rPr>
        <w:t>七、</w:t>
      </w:r>
      <w:r>
        <w:rPr>
          <w:rStyle w:val="18"/>
          <w:rFonts w:ascii="仿宋" w:hAnsi="仿宋" w:eastAsia="仿宋"/>
          <w:sz w:val="28"/>
          <w:szCs w:val="28"/>
        </w:rPr>
        <w:t>“</w:t>
      </w:r>
      <w:r>
        <w:rPr>
          <w:rStyle w:val="18"/>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18"/>
          <w:rFonts w:hint="eastAsia" w:ascii="仿宋" w:hAnsi="仿宋" w:eastAsia="仿宋"/>
          <w:sz w:val="28"/>
          <w:szCs w:val="28"/>
        </w:rPr>
        <w:t>八、</w:t>
      </w:r>
      <w:r>
        <w:rPr>
          <w:rStyle w:val="18"/>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18"/>
          <w:rFonts w:hint="eastAsia" w:ascii="仿宋" w:hAnsi="仿宋" w:eastAsia="仿宋" w:cstheme="majorBidi"/>
          <w:bCs/>
          <w:sz w:val="28"/>
          <w:szCs w:val="28"/>
        </w:rPr>
        <w:t>九、</w:t>
      </w:r>
      <w:r>
        <w:rPr>
          <w:rStyle w:val="18"/>
          <w:rFonts w:hint="eastAsia" w:ascii="仿宋" w:hAnsi="仿宋" w:eastAsia="仿宋"/>
          <w:sz w:val="28"/>
          <w:szCs w:val="28"/>
        </w:rPr>
        <w:t xml:space="preserve"> 国</w:t>
      </w:r>
      <w:r>
        <w:rPr>
          <w:rStyle w:val="18"/>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18"/>
          <w:rFonts w:hint="eastAsia" w:ascii="仿宋" w:hAnsi="仿宋" w:eastAsia="仿宋"/>
          <w:sz w:val="28"/>
          <w:szCs w:val="28"/>
        </w:rPr>
        <w:t>十</w:t>
      </w:r>
      <w:r>
        <w:rPr>
          <w:rStyle w:val="18"/>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18"/>
          <w:rFonts w:hint="eastAsia"/>
          <w:bCs/>
          <w:kern w:val="44"/>
        </w:rPr>
        <w:t>第三部分</w:t>
      </w:r>
      <w:r>
        <w:rPr>
          <w:rStyle w:val="18"/>
          <w:rFonts w:hint="eastAsia"/>
        </w:rPr>
        <w:t xml:space="preserve"> 名</w:t>
      </w:r>
      <w:r>
        <w:rPr>
          <w:rStyle w:val="18"/>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18"/>
          <w:rFonts w:hint="eastAsia"/>
        </w:rPr>
        <w:t>第</w:t>
      </w:r>
      <w:r>
        <w:rPr>
          <w:rStyle w:val="18"/>
          <w:rFonts w:hint="eastAsia"/>
          <w:bCs/>
          <w:kern w:val="44"/>
        </w:rPr>
        <w:t>四部分</w:t>
      </w:r>
      <w:r>
        <w:rPr>
          <w:rStyle w:val="18"/>
          <w:bCs/>
          <w:kern w:val="44"/>
        </w:rPr>
        <w:t xml:space="preserve"> </w:t>
      </w:r>
      <w:r>
        <w:rPr>
          <w:rStyle w:val="18"/>
          <w:rFonts w:hint="eastAsia"/>
          <w:bCs/>
          <w:kern w:val="44"/>
        </w:rPr>
        <w:t>附件</w:t>
      </w:r>
      <w:r>
        <w:fldChar w:fldCharType="end"/>
      </w:r>
    </w:p>
    <w:p>
      <w:pPr>
        <w:pStyle w:val="13"/>
        <w:rPr>
          <w:rFonts w:ascii="仿宋" w:hAnsi="仿宋" w:eastAsia="仿宋" w:cstheme="minorBidi"/>
          <w:sz w:val="28"/>
          <w:szCs w:val="28"/>
        </w:rPr>
      </w:pPr>
      <w:r>
        <w:fldChar w:fldCharType="begin"/>
      </w:r>
      <w:r>
        <w:instrText xml:space="preserve"> HYPERLINK \l "_Toc15396615" </w:instrText>
      </w:r>
      <w:r>
        <w:fldChar w:fldCharType="separate"/>
      </w:r>
      <w:r>
        <w:rPr>
          <w:rStyle w:val="18"/>
          <w:rFonts w:hint="eastAsia" w:ascii="仿宋" w:hAnsi="仿宋" w:eastAsia="仿宋"/>
          <w:kern w:val="44"/>
          <w:sz w:val="28"/>
          <w:szCs w:val="28"/>
        </w:rPr>
        <w:t>附件</w:t>
      </w:r>
      <w:r>
        <w:rPr>
          <w:rStyle w:val="18"/>
          <w:rFonts w:ascii="仿宋" w:hAnsi="仿宋" w:eastAsia="仿宋"/>
          <w:kern w:val="44"/>
          <w:sz w:val="28"/>
          <w:szCs w:val="28"/>
        </w:rPr>
        <w:t>1</w:t>
      </w:r>
      <w:r>
        <w:rPr>
          <w:rFonts w:ascii="仿宋" w:hAnsi="仿宋" w:eastAsia="仿宋"/>
          <w:sz w:val="28"/>
          <w:szCs w:val="28"/>
        </w:rPr>
        <w:fldChar w:fldCharType="end"/>
      </w:r>
    </w:p>
    <w:p>
      <w:pPr>
        <w:pStyle w:val="12"/>
        <w:rPr>
          <w:rFonts w:cstheme="minorBidi"/>
        </w:rPr>
      </w:pPr>
      <w:r>
        <w:fldChar w:fldCharType="begin"/>
      </w:r>
      <w:r>
        <w:instrText xml:space="preserve"> HYPERLINK \l "_Toc15396618" </w:instrText>
      </w:r>
      <w:r>
        <w:fldChar w:fldCharType="separate"/>
      </w:r>
      <w:r>
        <w:rPr>
          <w:rStyle w:val="18"/>
          <w:rFonts w:hint="eastAsia"/>
        </w:rPr>
        <w:t>第</w:t>
      </w:r>
      <w:r>
        <w:rPr>
          <w:rStyle w:val="18"/>
          <w:rFonts w:hint="eastAsia"/>
          <w:bCs/>
          <w:kern w:val="44"/>
        </w:rPr>
        <w:t>五部分</w:t>
      </w:r>
      <w:r>
        <w:rPr>
          <w:rStyle w:val="18"/>
          <w:bCs/>
          <w:kern w:val="44"/>
        </w:rPr>
        <w:t xml:space="preserve"> </w:t>
      </w:r>
      <w:r>
        <w:rPr>
          <w:rStyle w:val="18"/>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8"/>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8"/>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8"/>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8"/>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8"/>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8"/>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8"/>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8"/>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8"/>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8"/>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8"/>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8"/>
          <w:rFonts w:hint="eastAsia" w:ascii="仿宋" w:hAnsi="仿宋" w:eastAsia="仿宋"/>
          <w:sz w:val="28"/>
          <w:szCs w:val="28"/>
        </w:rPr>
        <w:t>国有资本经营预算支出决算表</w:t>
      </w:r>
      <w:r>
        <w:rPr>
          <w:rFonts w:ascii="仿宋" w:hAnsi="仿宋" w:eastAsia="仿宋"/>
          <w:sz w:val="28"/>
          <w:szCs w:val="28"/>
        </w:rPr>
        <w:fldChar w:fldCharType="end"/>
      </w:r>
    </w:p>
    <w:p>
      <w:pPr>
        <w:ind w:firstLine="320" w:firstLineChars="100"/>
        <w:rPr>
          <w:rStyle w:val="29"/>
          <w:rFonts w:hint="eastAsia" w:ascii="仿宋" w:hAnsi="仿宋" w:eastAsia="仿宋"/>
          <w:b w:val="0"/>
          <w:bCs w:val="0"/>
          <w:lang w:val="en-US" w:eastAsia="zh-CN"/>
        </w:rPr>
      </w:pPr>
      <w:bookmarkStart w:id="74" w:name="_GoBack"/>
      <w:bookmarkEnd w:id="74"/>
      <w:r>
        <w:rPr>
          <w:rStyle w:val="29"/>
          <w:rFonts w:hint="eastAsia" w:ascii="仿宋" w:hAnsi="仿宋" w:eastAsia="仿宋"/>
          <w:b w:val="0"/>
          <w:bCs w:val="0"/>
          <w:lang w:val="en-US" w:eastAsia="zh-CN"/>
        </w:rPr>
        <w:t>十四、整体支出绩效评价打分表</w:t>
      </w:r>
    </w:p>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4"/>
        <w:jc w:val="center"/>
        <w:rPr>
          <w:rStyle w:val="28"/>
          <w:rFonts w:ascii="黑体" w:hAnsi="黑体" w:eastAsia="黑体"/>
          <w:b/>
          <w:bCs w:val="0"/>
        </w:rPr>
      </w:pPr>
      <w:r>
        <w:rPr>
          <w:rFonts w:hint="eastAsia" w:ascii="黑体" w:hAnsi="黑体" w:eastAsia="黑体"/>
          <w:b w:val="0"/>
        </w:rPr>
        <w:t xml:space="preserve">第一部分 </w:t>
      </w:r>
      <w:r>
        <w:rPr>
          <w:rStyle w:val="28"/>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29"/>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9"/>
          <w:rFonts w:hint="eastAsia" w:ascii="黑体" w:hAnsi="黑体" w:eastAsia="黑体"/>
          <w:b w:val="0"/>
          <w:bCs w:val="0"/>
        </w:rPr>
        <w:t>本职能及主要工作</w:t>
      </w:r>
      <w:bookmarkEnd w:id="14"/>
      <w:bookmarkEnd w:id="15"/>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（一）主要职能。（职能参照省政府批准的三定方案）</w:t>
      </w:r>
      <w:bookmarkEnd w:id="16"/>
      <w:bookmarkEnd w:id="17"/>
    </w:p>
    <w:p>
      <w:pPr>
        <w:pStyle w:val="7"/>
        <w:adjustRightInd w:val="0"/>
        <w:snapToGrid w:val="0"/>
        <w:spacing w:before="93" w:line="600" w:lineRule="exact"/>
        <w:ind w:firstLine="672" w:firstLineChars="210"/>
        <w:outlineLvl w:val="2"/>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教务管理科及宣传教育科工作。负责寺庙及僧人信息管理，严禁18周岁以下青少年入寺；开展干部业务知识、宗教常识、形式政策的培训教育。财务管理科和公共服务中心工作。负责指导寺庙规范财务管理工作，切实做好财务、会计、税收管理等工作，推行寺庙财务定期公开；指导寺庙建立重大财务收支会议研究制度。办公室协调各科、中心各项工作；负责文秘、信息、机要、档案、保密、干部管理等工作；负责有关重要会议和重大活动的组织协调及其他上级交办的工作。治安消防科及项目管理工作。参与寺庙普法教育，加强防分裂、防盗、防火、防治安事故教育，提高僧人法制观念和防范意识等工作。</w:t>
      </w:r>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keepNext w:val="0"/>
        <w:keepLines w:val="0"/>
        <w:pageBreakBefore w:val="0"/>
        <w:kinsoku/>
        <w:wordWrap/>
        <w:overflowPunct/>
        <w:topLinePunct w:val="0"/>
        <w:autoSpaceDN/>
        <w:bidi w:val="0"/>
        <w:adjustRightInd/>
        <w:snapToGrid/>
        <w:spacing w:line="580" w:lineRule="exact"/>
        <w:ind w:left="0" w:leftChars="0" w:right="0" w:rightChars="0" w:firstLine="627" w:firstLineChars="196"/>
        <w:textAlignment w:val="auto"/>
        <w:outlineLvl w:val="9"/>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（一）抓实寺庙依法常态管理工作</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1、管住场所。一是规范寺庙用地。二是规范寺庙建设。三是规范寺庙区域管理。</w:t>
      </w:r>
    </w:p>
    <w:p>
      <w:pPr>
        <w:ind w:firstLine="640" w:firstLineChars="200"/>
        <w:jc w:val="both"/>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2、管住人员。一是坚持寺庙定员制度。二是切实完善寺规僧约。三是进一步规范僧人外出。四是坚决清退违规僧人。五是执行僧人护照集中统一管理。</w:t>
      </w:r>
    </w:p>
    <w:p>
      <w:pPr>
        <w:ind w:firstLine="640" w:firstLineChars="200"/>
        <w:jc w:val="both"/>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3、管住活动。一是严格活动报批程序。二是制定完善相关方案预案。三是强化活动监管工作。四是管住财务。</w:t>
      </w:r>
    </w:p>
    <w:p>
      <w:pPr>
        <w:ind w:firstLine="640" w:firstLineChars="200"/>
        <w:jc w:val="both"/>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（二）抓实寺庙教育引导工作</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1、推行“讲经前讲法”活动。2、深化寺庙法制宣传。3、强化僧人教育引导。   </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（三）抓实寺庙公共服务工作</w:t>
      </w:r>
    </w:p>
    <w:p>
      <w:pPr>
        <w:numPr>
          <w:ilvl w:val="0"/>
          <w:numId w:val="0"/>
        </w:numPr>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1、推进寺庙民生项目续建工程。2、实施寺庙地质灾害治理。3、实施寺庙入户路建设。4、实施寺庙网围栏建设。</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（四） 抓实寺庙环境卫生整治工作</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(五）抓实寺庙消防安全工作</w:t>
      </w:r>
    </w:p>
    <w:p>
      <w:pPr>
        <w:ind w:firstLine="160" w:firstLineChars="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 xml:space="preserve">    （六）抓实寺庙维护稳定工作</w:t>
      </w:r>
    </w:p>
    <w:p>
      <w:pPr>
        <w:ind w:firstLine="800" w:firstLineChars="2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（七）积极引导宗教界参与扶贫济困，助推脱贫攻坚</w:t>
      </w:r>
    </w:p>
    <w:p>
      <w:pPr>
        <w:ind w:firstLine="800" w:firstLineChars="250"/>
        <w:rPr>
          <w:rFonts w:hint="eastAsia" w:ascii="宋体" w:hAnsi="宋体" w:eastAsia="宋体" w:cs="宋体"/>
          <w:i w:val="0"/>
          <w:caps w:val="0"/>
          <w:color w:val="333333"/>
          <w:spacing w:val="0"/>
          <w:kern w:val="0"/>
          <w:sz w:val="32"/>
          <w:szCs w:val="32"/>
          <w:shd w:val="clear" w:fill="FFFFFF"/>
          <w:lang w:val="en-US" w:eastAsia="zh-CN" w:bidi="ar-SA"/>
        </w:rPr>
      </w:pPr>
      <w:r>
        <w:rPr>
          <w:rFonts w:hint="eastAsia" w:ascii="宋体" w:hAnsi="宋体" w:eastAsia="宋体" w:cs="宋体"/>
          <w:i w:val="0"/>
          <w:caps w:val="0"/>
          <w:color w:val="333333"/>
          <w:spacing w:val="0"/>
          <w:kern w:val="0"/>
          <w:sz w:val="32"/>
          <w:szCs w:val="32"/>
          <w:shd w:val="clear" w:fill="FFFFFF"/>
          <w:lang w:val="en-US" w:eastAsia="zh-CN" w:bidi="ar-SA"/>
        </w:rPr>
        <w:t>（八）有力推进党风廉政建设和反腐败工作</w:t>
      </w:r>
    </w:p>
    <w:p>
      <w:pPr>
        <w:pStyle w:val="5"/>
        <w:rPr>
          <w:rStyle w:val="29"/>
          <w:b w:val="0"/>
          <w:bCs w:val="0"/>
        </w:rPr>
      </w:pPr>
      <w:bookmarkStart w:id="20" w:name="_Toc15396601"/>
      <w:bookmarkStart w:id="21" w:name="_Toc15377200"/>
      <w:r>
        <w:rPr>
          <w:rFonts w:hint="eastAsia" w:ascii="黑体" w:eastAsia="黑体"/>
          <w:b w:val="0"/>
          <w:color w:val="000000"/>
        </w:rPr>
        <w:t>二、</w:t>
      </w:r>
      <w:r>
        <w:rPr>
          <w:rFonts w:hint="eastAsia" w:ascii="黑体" w:hAnsi="黑体" w:eastAsia="黑体"/>
          <w:b w:val="0"/>
          <w:color w:val="000000"/>
        </w:rPr>
        <w:t>机</w:t>
      </w:r>
      <w:r>
        <w:rPr>
          <w:rStyle w:val="29"/>
          <w:rFonts w:hint="eastAsia" w:ascii="黑体" w:hAnsi="黑体" w:eastAsia="黑体"/>
          <w:b w:val="0"/>
          <w:bCs w:val="0"/>
        </w:rPr>
        <w:t>构设置</w:t>
      </w:r>
      <w:bookmarkEnd w:id="20"/>
      <w:bookmarkEnd w:id="21"/>
    </w:p>
    <w:p>
      <w:pPr>
        <w:ind w:firstLine="800" w:firstLineChars="250"/>
        <w:rPr>
          <w:rFonts w:ascii="仿宋" w:hAnsi="仿宋" w:eastAsia="仿宋"/>
          <w:sz w:val="32"/>
          <w:szCs w:val="32"/>
        </w:rPr>
      </w:pPr>
      <w:r>
        <w:rPr>
          <w:rFonts w:hint="eastAsia" w:ascii="仿宋" w:hAnsi="仿宋" w:eastAsia="仿宋"/>
          <w:sz w:val="32"/>
          <w:szCs w:val="32"/>
          <w:lang w:eastAsia="zh-CN"/>
        </w:rPr>
        <w:t>麦洼寺管会</w:t>
      </w:r>
      <w:r>
        <w:rPr>
          <w:rFonts w:hint="eastAsia" w:ascii="仿宋" w:hAnsi="仿宋" w:eastAsia="仿宋"/>
          <w:sz w:val="32"/>
          <w:szCs w:val="32"/>
        </w:rPr>
        <w:t>下属</w:t>
      </w:r>
      <w:r>
        <w:rPr>
          <w:rFonts w:hint="eastAsia" w:ascii="仿宋" w:hAnsi="仿宋" w:eastAsia="仿宋"/>
          <w:sz w:val="32"/>
          <w:szCs w:val="32"/>
          <w:lang w:eastAsia="zh-CN"/>
        </w:rPr>
        <w:t>五科一中心，包括教务管理科、宣传教育科、财务管理科、公共服务中心、治安消防科、办公室，</w:t>
      </w:r>
      <w:r>
        <w:rPr>
          <w:rFonts w:hint="eastAsia" w:ascii="仿宋" w:hAnsi="仿宋" w:eastAsia="仿宋"/>
          <w:sz w:val="32"/>
          <w:szCs w:val="32"/>
        </w:rPr>
        <w:t>二级单位</w:t>
      </w:r>
      <w:r>
        <w:rPr>
          <w:rFonts w:hint="eastAsia" w:ascii="仿宋" w:hAnsi="仿宋" w:eastAsia="仿宋"/>
          <w:sz w:val="32"/>
          <w:szCs w:val="32"/>
          <w:lang w:val="en-US" w:eastAsia="zh-CN"/>
        </w:rPr>
        <w:t>0</w:t>
      </w:r>
      <w:r>
        <w:rPr>
          <w:rFonts w:hint="eastAsia" w:ascii="仿宋" w:hAnsi="仿宋" w:eastAsia="仿宋"/>
          <w:sz w:val="32"/>
          <w:szCs w:val="32"/>
        </w:rPr>
        <w:t>个，其中行政单位</w:t>
      </w:r>
      <w:r>
        <w:rPr>
          <w:rFonts w:hint="eastAsia" w:ascii="仿宋" w:hAnsi="仿宋" w:eastAsia="仿宋"/>
          <w:sz w:val="32"/>
          <w:szCs w:val="32"/>
          <w:lang w:val="en-US" w:eastAsia="zh-CN"/>
        </w:rPr>
        <w:t>0</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0</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pPr>
        <w:pStyle w:val="7"/>
        <w:adjustRightInd w:val="0"/>
        <w:snapToGrid w:val="0"/>
        <w:spacing w:before="93" w:line="600" w:lineRule="exact"/>
        <w:ind w:firstLine="672" w:firstLineChars="210"/>
        <w:rPr>
          <w:rFonts w:ascii="仿宋" w:hAnsi="仿宋" w:eastAsia="仿宋"/>
          <w:color w:val="000000"/>
          <w:kern w:val="0"/>
          <w:sz w:val="32"/>
          <w:szCs w:val="32"/>
        </w:rPr>
      </w:pPr>
      <w:r>
        <w:rPr>
          <w:rFonts w:hint="eastAsia" w:ascii="仿宋" w:hAnsi="仿宋" w:eastAsia="仿宋"/>
          <w:color w:val="000000"/>
          <w:sz w:val="32"/>
          <w:szCs w:val="32"/>
        </w:rPr>
        <w:t>纳入2018年度部门决算编制范围的二级预算单位包括：</w:t>
      </w:r>
      <w:r>
        <w:rPr>
          <w:rFonts w:hint="eastAsia" w:ascii="仿宋" w:hAnsi="仿宋" w:eastAsia="仿宋"/>
          <w:color w:val="000000"/>
          <w:sz w:val="32"/>
          <w:szCs w:val="32"/>
          <w:lang w:eastAsia="zh-CN"/>
        </w:rPr>
        <w:t>无</w:t>
      </w:r>
      <w:r>
        <w:rPr>
          <w:rFonts w:ascii="仿宋" w:hAnsi="仿宋" w:eastAsia="仿宋"/>
          <w:color w:val="000000"/>
          <w:sz w:val="32"/>
          <w:szCs w:val="32"/>
        </w:rPr>
        <w:br w:type="page"/>
      </w:r>
    </w:p>
    <w:p>
      <w:pPr>
        <w:pStyle w:val="4"/>
        <w:ind w:right="440"/>
        <w:jc w:val="right"/>
        <w:rPr>
          <w:rStyle w:val="28"/>
          <w:rFonts w:ascii="黑体" w:hAnsi="黑体" w:eastAsia="黑体"/>
          <w:b w:val="0"/>
          <w:bCs w:val="0"/>
        </w:rPr>
      </w:pPr>
      <w:bookmarkStart w:id="22" w:name="_Toc15396602"/>
      <w:bookmarkStart w:id="23"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8"/>
          <w:rFonts w:hint="eastAsia" w:ascii="黑体" w:hAnsi="黑体" w:eastAsia="黑体"/>
          <w:b w:val="0"/>
          <w:bCs w:val="0"/>
        </w:rPr>
        <w:t>2018年度部门决算情况说明</w:t>
      </w:r>
      <w:bookmarkEnd w:id="22"/>
      <w:bookmarkEnd w:id="23"/>
    </w:p>
    <w:p/>
    <w:p>
      <w:pPr>
        <w:pStyle w:val="27"/>
        <w:numPr>
          <w:ilvl w:val="0"/>
          <w:numId w:val="1"/>
        </w:numPr>
        <w:spacing w:line="600" w:lineRule="exact"/>
        <w:ind w:firstLineChars="0"/>
        <w:outlineLvl w:val="1"/>
        <w:rPr>
          <w:rStyle w:val="29"/>
          <w:rFonts w:ascii="黑体" w:hAnsi="黑体" w:eastAsia="黑体"/>
          <w:b w:val="0"/>
        </w:rPr>
      </w:pPr>
      <w:bookmarkStart w:id="24" w:name="_Toc15377205"/>
      <w:bookmarkStart w:id="25" w:name="_Toc15396603"/>
      <w:r>
        <w:rPr>
          <w:rFonts w:hint="eastAsia" w:ascii="黑体" w:hAnsi="黑体" w:eastAsia="黑体"/>
          <w:color w:val="000000"/>
          <w:sz w:val="32"/>
          <w:szCs w:val="32"/>
        </w:rPr>
        <w:t>收</w:t>
      </w:r>
      <w:r>
        <w:rPr>
          <w:rStyle w:val="29"/>
          <w:rFonts w:hint="eastAsia" w:ascii="黑体" w:hAnsi="黑体" w:eastAsia="黑体"/>
          <w:b w:val="0"/>
        </w:rPr>
        <w:t>入支出决算总体情况说明</w:t>
      </w:r>
      <w:bookmarkEnd w:id="24"/>
      <w:bookmarkEnd w:id="25"/>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2018年度收</w:t>
      </w:r>
      <w:r>
        <w:rPr>
          <w:rFonts w:hint="eastAsia" w:ascii="仿宋" w:hAnsi="仿宋" w:eastAsia="仿宋"/>
          <w:color w:val="000000"/>
          <w:sz w:val="32"/>
          <w:szCs w:val="32"/>
          <w:lang w:eastAsia="zh-CN"/>
        </w:rPr>
        <w:t>入总计</w:t>
      </w:r>
      <w:r>
        <w:rPr>
          <w:rFonts w:hint="eastAsia" w:ascii="仿宋" w:hAnsi="仿宋" w:eastAsia="仿宋"/>
          <w:color w:val="000000"/>
          <w:sz w:val="32"/>
          <w:szCs w:val="32"/>
          <w:lang w:val="en-US" w:eastAsia="zh-CN"/>
        </w:rPr>
        <w:t>348.02</w:t>
      </w:r>
      <w:r>
        <w:rPr>
          <w:rFonts w:hint="eastAsia" w:ascii="仿宋" w:hAnsi="仿宋" w:eastAsia="仿宋"/>
          <w:color w:val="000000"/>
          <w:sz w:val="32"/>
          <w:szCs w:val="32"/>
        </w:rPr>
        <w:t>万元、支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348.02</w:t>
      </w:r>
      <w:r>
        <w:rPr>
          <w:rFonts w:hint="eastAsia" w:ascii="仿宋" w:hAnsi="仿宋" w:eastAsia="仿宋"/>
          <w:color w:val="000000"/>
          <w:sz w:val="32"/>
          <w:szCs w:val="32"/>
        </w:rPr>
        <w:t>万元。与2017年相比，收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减少</w:t>
      </w:r>
      <w:r>
        <w:rPr>
          <w:rFonts w:hint="eastAsia" w:ascii="仿宋" w:hAnsi="仿宋" w:eastAsia="仿宋"/>
          <w:color w:val="000000"/>
          <w:sz w:val="32"/>
          <w:szCs w:val="32"/>
          <w:lang w:val="en-US" w:eastAsia="zh-CN"/>
        </w:rPr>
        <w:t>22.17</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下降</w:t>
      </w:r>
      <w:r>
        <w:rPr>
          <w:rFonts w:hint="eastAsia" w:ascii="仿宋" w:hAnsi="仿宋" w:eastAsia="仿宋"/>
          <w:color w:val="000000"/>
          <w:sz w:val="32"/>
          <w:szCs w:val="32"/>
          <w:lang w:val="en-US" w:eastAsia="zh-CN"/>
        </w:rPr>
        <w:t>6.89</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财返减少。</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8.83</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2.61</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有人员调进，工资有变动。</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58240" behindDoc="0" locked="0" layoutInCell="1" allowOverlap="1">
            <wp:simplePos x="0" y="0"/>
            <wp:positionH relativeFrom="column">
              <wp:posOffset>887095</wp:posOffset>
            </wp:positionH>
            <wp:positionV relativeFrom="paragraph">
              <wp:posOffset>34290</wp:posOffset>
            </wp:positionV>
            <wp:extent cx="3690620" cy="3028950"/>
            <wp:effectExtent l="4445" t="4445" r="19685" b="1460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640" w:firstLineChars="200"/>
        <w:rPr>
          <w:rFonts w:hint="eastAsia" w:ascii="仿宋" w:hAnsi="仿宋" w:eastAsia="仿宋"/>
          <w:color w:val="000000"/>
          <w:sz w:val="32"/>
          <w:szCs w:val="32"/>
          <w:lang w:eastAsia="zh-CN"/>
        </w:rPr>
      </w:pPr>
    </w:p>
    <w:p>
      <w:pPr>
        <w:spacing w:line="600" w:lineRule="exact"/>
        <w:ind w:firstLine="640" w:firstLineChars="200"/>
        <w:rPr>
          <w:rFonts w:hint="eastAsia" w:ascii="仿宋" w:hAnsi="仿宋" w:eastAsia="仿宋"/>
          <w:color w:val="000000"/>
          <w:sz w:val="32"/>
          <w:szCs w:val="32"/>
          <w:lang w:eastAsia="zh-CN"/>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lang w:eastAsia="zh-CN"/>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：收、支决算总计变动情况图）（柱状图）</w:t>
      </w:r>
    </w:p>
    <w:p>
      <w:pPr>
        <w:pStyle w:val="27"/>
        <w:numPr>
          <w:ilvl w:val="0"/>
          <w:numId w:val="1"/>
        </w:numPr>
        <w:spacing w:line="600" w:lineRule="exact"/>
        <w:ind w:firstLineChars="0"/>
        <w:outlineLvl w:val="1"/>
        <w:rPr>
          <w:rStyle w:val="29"/>
          <w:rFonts w:ascii="黑体" w:hAnsi="黑体" w:eastAsia="黑体"/>
          <w:b w:val="0"/>
        </w:rPr>
      </w:pPr>
      <w:bookmarkStart w:id="26" w:name="_Toc15396604"/>
      <w:bookmarkStart w:id="27" w:name="_Toc15377206"/>
      <w:r>
        <w:rPr>
          <w:rFonts w:hint="eastAsia" w:ascii="黑体" w:hAnsi="黑体" w:eastAsia="黑体"/>
          <w:color w:val="000000"/>
          <w:sz w:val="32"/>
          <w:szCs w:val="32"/>
        </w:rPr>
        <w:t>收</w:t>
      </w:r>
      <w:r>
        <w:rPr>
          <w:rStyle w:val="29"/>
          <w:rFonts w:hint="eastAsia" w:ascii="黑体" w:hAnsi="黑体" w:eastAsia="黑体"/>
          <w:b w:val="0"/>
        </w:rPr>
        <w:t>入决算情况说明</w:t>
      </w:r>
      <w:bookmarkEnd w:id="26"/>
      <w:bookmarkEnd w:id="27"/>
    </w:p>
    <w:p>
      <w:pPr>
        <w:spacing w:line="600" w:lineRule="exact"/>
        <w:ind w:firstLine="640" w:firstLineChars="200"/>
        <w:outlineLvl w:val="1"/>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hint="eastAsia" w:ascii="仿宋" w:hAnsi="仿宋" w:eastAsia="仿宋"/>
          <w:color w:val="000000"/>
          <w:sz w:val="32"/>
          <w:szCs w:val="32"/>
          <w:lang w:val="en-US" w:eastAsia="zh-CN"/>
        </w:rPr>
        <w:t>315.37</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315.37</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；附属单位上缴收入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outlineLvl w:val="1"/>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6432" behindDoc="0" locked="0" layoutInCell="1" allowOverlap="1">
            <wp:simplePos x="0" y="0"/>
            <wp:positionH relativeFrom="column">
              <wp:posOffset>277495</wp:posOffset>
            </wp:positionH>
            <wp:positionV relativeFrom="paragraph">
              <wp:posOffset>309245</wp:posOffset>
            </wp:positionV>
            <wp:extent cx="4480560" cy="3020060"/>
            <wp:effectExtent l="4445" t="5080" r="10795" b="22860"/>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outlineLvl w:val="1"/>
        <w:rPr>
          <w:rFonts w:hint="eastAsia" w:ascii="仿宋" w:hAnsi="仿宋" w:eastAsia="仿宋"/>
          <w:color w:val="000000"/>
          <w:sz w:val="32"/>
          <w:szCs w:val="32"/>
          <w:lang w:eastAsia="zh-CN"/>
        </w:rPr>
      </w:pPr>
    </w:p>
    <w:p>
      <w:pPr>
        <w:spacing w:line="600" w:lineRule="exact"/>
        <w:ind w:firstLine="640" w:firstLineChars="200"/>
        <w:outlineLvl w:val="1"/>
        <w:rPr>
          <w:rFonts w:hint="eastAsia" w:ascii="仿宋" w:hAnsi="仿宋" w:eastAsia="仿宋"/>
          <w:color w:val="000000"/>
          <w:sz w:val="32"/>
          <w:szCs w:val="32"/>
          <w:lang w:eastAsia="zh-CN"/>
        </w:rPr>
      </w:pPr>
    </w:p>
    <w:p>
      <w:pPr>
        <w:spacing w:line="600" w:lineRule="exact"/>
        <w:ind w:firstLine="640" w:firstLineChars="200"/>
        <w:outlineLvl w:val="1"/>
        <w:rPr>
          <w:rFonts w:hint="eastAsia" w:ascii="仿宋" w:hAnsi="仿宋" w:eastAsia="仿宋"/>
          <w:color w:val="000000"/>
          <w:sz w:val="32"/>
          <w:szCs w:val="32"/>
          <w:lang w:eastAsia="zh-CN"/>
        </w:rPr>
      </w:pPr>
    </w:p>
    <w:p>
      <w:pPr>
        <w:spacing w:line="600" w:lineRule="exact"/>
        <w:ind w:firstLine="640" w:firstLineChars="200"/>
        <w:outlineLvl w:val="1"/>
        <w:rPr>
          <w:rFonts w:hint="eastAsia" w:ascii="仿宋" w:hAnsi="仿宋" w:eastAsia="仿宋"/>
          <w:color w:val="000000"/>
          <w:sz w:val="32"/>
          <w:szCs w:val="32"/>
          <w:lang w:eastAsia="zh-CN"/>
        </w:rPr>
      </w:pPr>
    </w:p>
    <w:p>
      <w:pPr>
        <w:spacing w:line="600" w:lineRule="exact"/>
        <w:ind w:firstLine="640" w:firstLineChars="200"/>
        <w:outlineLvl w:val="1"/>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（图2：收入决算结构图）（饼状图）</w:t>
      </w:r>
    </w:p>
    <w:p>
      <w:pPr>
        <w:pStyle w:val="27"/>
        <w:numPr>
          <w:ilvl w:val="0"/>
          <w:numId w:val="1"/>
        </w:numPr>
        <w:spacing w:line="600" w:lineRule="exact"/>
        <w:ind w:firstLineChars="0"/>
        <w:outlineLvl w:val="1"/>
        <w:rPr>
          <w:rStyle w:val="29"/>
          <w:rFonts w:ascii="黑体" w:hAnsi="黑体" w:eastAsia="黑体"/>
          <w:b w:val="0"/>
        </w:rPr>
      </w:pPr>
      <w:bookmarkStart w:id="28" w:name="_Toc15377207"/>
      <w:bookmarkStart w:id="29" w:name="_Toc15396605"/>
      <w:r>
        <w:rPr>
          <w:rFonts w:hint="eastAsia" w:ascii="黑体" w:hAnsi="黑体" w:eastAsia="黑体"/>
          <w:color w:val="000000"/>
          <w:sz w:val="32"/>
          <w:szCs w:val="32"/>
        </w:rPr>
        <w:t>支</w:t>
      </w:r>
      <w:r>
        <w:rPr>
          <w:rStyle w:val="29"/>
          <w:rFonts w:hint="eastAsia" w:ascii="黑体" w:hAnsi="黑体" w:eastAsia="黑体"/>
          <w:b w:val="0"/>
        </w:rPr>
        <w:t>出决算情况说明</w:t>
      </w:r>
      <w:bookmarkEnd w:id="28"/>
      <w:bookmarkEnd w:id="29"/>
    </w:p>
    <w:p>
      <w:pPr>
        <w:spacing w:line="600" w:lineRule="exact"/>
        <w:ind w:firstLine="64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 w:hAnsi="仿宋" w:eastAsia="仿宋"/>
          <w:color w:val="000000"/>
          <w:sz w:val="32"/>
          <w:szCs w:val="32"/>
          <w:lang w:val="en-US" w:eastAsia="zh-CN"/>
        </w:rPr>
        <w:t>343.04</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236.96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69.08</w:t>
      </w:r>
      <w:r>
        <w:rPr>
          <w:rFonts w:ascii="仿宋" w:hAnsi="仿宋" w:eastAsia="仿宋"/>
          <w:color w:val="000000"/>
          <w:sz w:val="32"/>
          <w:szCs w:val="32"/>
        </w:rPr>
        <w:t>%</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106.08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30.92</w:t>
      </w:r>
      <w:r>
        <w:rPr>
          <w:rFonts w:ascii="仿宋" w:hAnsi="仿宋" w:eastAsia="仿宋"/>
          <w:color w:val="000000"/>
          <w:sz w:val="32"/>
          <w:szCs w:val="32"/>
        </w:rPr>
        <w:t>%</w:t>
      </w:r>
      <w:r>
        <w:rPr>
          <w:rFonts w:hint="eastAsia" w:ascii="仿宋" w:hAnsi="仿宋" w:eastAsia="仿宋"/>
          <w:color w:val="000000"/>
          <w:sz w:val="32"/>
          <w:szCs w:val="32"/>
        </w:rPr>
        <w:t>；上缴上级支出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1312" behindDoc="0" locked="0" layoutInCell="1" allowOverlap="1">
            <wp:simplePos x="0" y="0"/>
            <wp:positionH relativeFrom="column">
              <wp:posOffset>445135</wp:posOffset>
            </wp:positionH>
            <wp:positionV relativeFrom="paragraph">
              <wp:posOffset>147955</wp:posOffset>
            </wp:positionV>
            <wp:extent cx="4423410" cy="3353435"/>
            <wp:effectExtent l="4445" t="5080" r="10795" b="13335"/>
            <wp:wrapSquare wrapText="bothSides"/>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lang w:eastAsia="zh-CN"/>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（图3：支出决算结构图）（饼状图）</w:t>
      </w:r>
    </w:p>
    <w:p>
      <w:pPr>
        <w:spacing w:line="600" w:lineRule="exact"/>
        <w:ind w:firstLine="640" w:firstLineChars="200"/>
        <w:outlineLvl w:val="1"/>
        <w:rPr>
          <w:rStyle w:val="29"/>
          <w:rFonts w:ascii="黑体" w:hAnsi="黑体" w:eastAsia="黑体"/>
          <w:b w:val="0"/>
        </w:rPr>
      </w:pPr>
      <w:bookmarkStart w:id="30" w:name="_Toc15396606"/>
      <w:bookmarkStart w:id="31" w:name="_Toc15377208"/>
      <w:r>
        <w:rPr>
          <w:rFonts w:hint="eastAsia" w:ascii="黑体" w:hAnsi="黑体" w:eastAsia="黑体"/>
          <w:color w:val="000000"/>
          <w:sz w:val="32"/>
          <w:szCs w:val="32"/>
        </w:rPr>
        <w:t>四、财</w:t>
      </w:r>
      <w:r>
        <w:rPr>
          <w:rStyle w:val="29"/>
          <w:rFonts w:hint="eastAsia" w:ascii="黑体" w:hAnsi="黑体" w:eastAsia="黑体"/>
          <w:b w:val="0"/>
        </w:rPr>
        <w:t>政拨款收入支出决算总体情况说明</w:t>
      </w:r>
      <w:bookmarkEnd w:id="30"/>
      <w:bookmarkEnd w:id="31"/>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w:t>
      </w:r>
      <w:r>
        <w:rPr>
          <w:rFonts w:hint="eastAsia" w:ascii="仿宋" w:hAnsi="仿宋" w:eastAsia="仿宋"/>
          <w:color w:val="000000"/>
          <w:sz w:val="32"/>
          <w:szCs w:val="32"/>
          <w:lang w:eastAsia="zh-CN"/>
        </w:rPr>
        <w:t>入总计</w:t>
      </w:r>
      <w:r>
        <w:rPr>
          <w:rFonts w:hint="eastAsia" w:ascii="仿宋" w:hAnsi="仿宋" w:eastAsia="仿宋"/>
          <w:color w:val="000000"/>
          <w:sz w:val="32"/>
          <w:szCs w:val="32"/>
          <w:lang w:val="en-US" w:eastAsia="zh-CN"/>
        </w:rPr>
        <w:t>315.37万元</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343.02</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7年相比，财政拨款收、支总计各增加</w:t>
      </w:r>
      <w:r>
        <w:rPr>
          <w:rFonts w:hint="eastAsia" w:ascii="仿宋" w:hAnsi="仿宋" w:eastAsia="仿宋"/>
          <w:color w:val="000000"/>
          <w:sz w:val="32"/>
          <w:szCs w:val="32"/>
          <w:lang w:val="en-US" w:eastAsia="zh-CN"/>
        </w:rPr>
        <w:t>30.82万元、3.84万元</w:t>
      </w:r>
      <w:r>
        <w:rPr>
          <w:rFonts w:hint="eastAsia" w:ascii="仿宋" w:hAnsi="仿宋" w:eastAsia="仿宋"/>
          <w:color w:val="000000"/>
          <w:sz w:val="32"/>
          <w:szCs w:val="32"/>
        </w:rPr>
        <w:t>，增长</w:t>
      </w:r>
      <w:r>
        <w:rPr>
          <w:rFonts w:hint="eastAsia" w:ascii="仿宋" w:hAnsi="仿宋" w:eastAsia="仿宋"/>
          <w:color w:val="000000"/>
          <w:sz w:val="32"/>
          <w:szCs w:val="32"/>
          <w:lang w:val="en-US" w:eastAsia="zh-CN"/>
        </w:rPr>
        <w:t>8.01</w:t>
      </w:r>
      <w:r>
        <w:rPr>
          <w:rFonts w:ascii="仿宋" w:hAnsi="仿宋" w:eastAsia="仿宋"/>
          <w:color w:val="000000"/>
          <w:sz w:val="32"/>
          <w:szCs w:val="32"/>
        </w:rPr>
        <w:t>%</w:t>
      </w:r>
      <w:r>
        <w:rPr>
          <w:rFonts w:hint="eastAsia" w:ascii="仿宋" w:hAnsi="仿宋" w:eastAsia="仿宋"/>
          <w:color w:val="000000"/>
          <w:sz w:val="32"/>
          <w:szCs w:val="32"/>
          <w:lang w:val="en-US" w:eastAsia="zh-CN"/>
        </w:rPr>
        <w:t>、1.13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有人员调进，工资有变动。</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2336" behindDoc="0" locked="0" layoutInCell="1" allowOverlap="1">
            <wp:simplePos x="0" y="0"/>
            <wp:positionH relativeFrom="column">
              <wp:posOffset>497205</wp:posOffset>
            </wp:positionH>
            <wp:positionV relativeFrom="paragraph">
              <wp:posOffset>71755</wp:posOffset>
            </wp:positionV>
            <wp:extent cx="4241800" cy="2895600"/>
            <wp:effectExtent l="4445" t="4445" r="20955" b="14605"/>
            <wp:wrapSquare wrapText="bothSides"/>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lang w:eastAsia="zh-CN"/>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（除国有资本经营预算外，数据来源于财决</w:t>
      </w:r>
      <w:r>
        <w:rPr>
          <w:rFonts w:ascii="仿宋" w:hAnsi="仿宋" w:eastAsia="仿宋"/>
          <w:b/>
          <w:color w:val="000000" w:themeColor="text1"/>
          <w:sz w:val="32"/>
          <w:szCs w:val="32"/>
          <w14:textFill>
            <w14:solidFill>
              <w14:schemeClr w14:val="tx1"/>
            </w14:solidFill>
          </w14:textFill>
        </w:rPr>
        <w:t>Z01-1</w:t>
      </w:r>
      <w:r>
        <w:rPr>
          <w:rFonts w:hint="eastAsia" w:ascii="仿宋" w:hAnsi="仿宋" w:eastAsia="仿宋"/>
          <w:b/>
          <w:color w:val="000000" w:themeColor="text1"/>
          <w:sz w:val="32"/>
          <w:szCs w:val="32"/>
          <w14:textFill>
            <w14:solidFill>
              <w14:schemeClr w14:val="tx1"/>
            </w14:solidFill>
          </w14:textFill>
        </w:rPr>
        <w:t>表，口径为“总计”数+国有资本经营预算。）</w:t>
      </w:r>
    </w:p>
    <w:p>
      <w:pPr>
        <w:spacing w:line="600" w:lineRule="exact"/>
        <w:ind w:firstLine="640"/>
        <w:rPr>
          <w:rFonts w:ascii="仿宋" w:hAnsi="仿宋" w:eastAsia="仿宋"/>
          <w:b/>
          <w:color w:val="00B050"/>
          <w:sz w:val="32"/>
          <w:szCs w:val="32"/>
        </w:rPr>
      </w:pPr>
    </w:p>
    <w:p>
      <w:pPr>
        <w:spacing w:line="600" w:lineRule="exact"/>
        <w:ind w:firstLine="640" w:firstLineChars="200"/>
        <w:outlineLvl w:val="1"/>
        <w:rPr>
          <w:rStyle w:val="29"/>
          <w:rFonts w:ascii="黑体" w:hAnsi="黑体" w:eastAsia="黑体"/>
          <w:b w:val="0"/>
        </w:rPr>
      </w:pPr>
      <w:bookmarkStart w:id="32" w:name="_Toc15396607"/>
      <w:bookmarkStart w:id="33"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9"/>
          <w:rFonts w:hint="eastAsia" w:ascii="黑体" w:hAnsi="黑体" w:eastAsia="黑体"/>
          <w:b w:val="0"/>
        </w:rPr>
        <w:t>般公共预算财政拨款支出决算情况说明</w:t>
      </w:r>
      <w:bookmarkEnd w:id="32"/>
      <w:bookmarkEnd w:id="33"/>
    </w:p>
    <w:p>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hint="eastAsia" w:ascii="仿宋" w:hAnsi="仿宋" w:eastAsia="仿宋"/>
          <w:color w:val="000000"/>
          <w:sz w:val="32"/>
          <w:szCs w:val="32"/>
          <w:lang w:val="en-US" w:eastAsia="zh-CN"/>
        </w:rPr>
        <w:t>348.02</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7年相比，一般公共预算财政拨款增加</w:t>
      </w:r>
      <w:r>
        <w:rPr>
          <w:rFonts w:hint="eastAsia" w:ascii="仿宋" w:hAnsi="仿宋" w:eastAsia="仿宋"/>
          <w:color w:val="000000"/>
          <w:sz w:val="32"/>
          <w:szCs w:val="32"/>
          <w:lang w:val="en-US" w:eastAsia="zh-CN"/>
        </w:rPr>
        <w:t>8.84</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2.61</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有人员调进，工资有变动。</w:t>
      </w:r>
    </w:p>
    <w:p>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3360" behindDoc="0" locked="0" layoutInCell="1" allowOverlap="1">
            <wp:simplePos x="0" y="0"/>
            <wp:positionH relativeFrom="column">
              <wp:posOffset>2322195</wp:posOffset>
            </wp:positionH>
            <wp:positionV relativeFrom="paragraph">
              <wp:posOffset>193040</wp:posOffset>
            </wp:positionV>
            <wp:extent cx="2423160" cy="2915285"/>
            <wp:effectExtent l="4445" t="4445" r="10795" b="13970"/>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lang w:eastAsia="zh-CN"/>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（图5：一般公共预算财政拨款支出决算变动情况）（柱状图）</w:t>
      </w: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spacing w:line="600" w:lineRule="exact"/>
        <w:ind w:firstLine="640"/>
        <w:rPr>
          <w:rFonts w:hint="eastAsia" w:ascii="仿宋" w:hAnsi="仿宋" w:eastAsia="仿宋"/>
          <w:b/>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hint="eastAsia" w:ascii="仿宋" w:hAnsi="仿宋" w:eastAsia="仿宋"/>
          <w:color w:val="000000" w:themeColor="text1"/>
          <w:sz w:val="32"/>
          <w:szCs w:val="32"/>
          <w:lang w:val="en-US" w:eastAsia="zh-CN"/>
          <w14:textFill>
            <w14:solidFill>
              <w14:schemeClr w14:val="tx1"/>
            </w14:solidFill>
          </w14:textFill>
        </w:rPr>
        <w:t>343.02</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一般公共服务（类）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258.44</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75.35</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教育支出（类）</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科学技术（类）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60.76</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17.71</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；医疗卫生支出</w:t>
      </w:r>
      <w:r>
        <w:rPr>
          <w:rFonts w:hint="eastAsia" w:ascii="仿宋" w:hAnsi="仿宋" w:eastAsia="仿宋"/>
          <w:color w:val="000000" w:themeColor="text1"/>
          <w:sz w:val="32"/>
          <w:szCs w:val="32"/>
          <w:lang w:val="en-US" w:eastAsia="zh-CN"/>
          <w14:textFill>
            <w14:solidFill>
              <w14:schemeClr w14:val="tx1"/>
            </w14:solidFill>
          </w14:textFill>
        </w:rPr>
        <w:t>8.11</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2.36</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；住房保障支出</w:t>
      </w:r>
      <w:r>
        <w:rPr>
          <w:rFonts w:hint="eastAsia" w:ascii="仿宋" w:hAnsi="仿宋" w:eastAsia="仿宋"/>
          <w:color w:val="000000" w:themeColor="text1"/>
          <w:sz w:val="32"/>
          <w:szCs w:val="32"/>
          <w:lang w:val="en-US" w:eastAsia="zh-CN"/>
          <w14:textFill>
            <w14:solidFill>
              <w14:schemeClr w14:val="tx1"/>
            </w14:solidFill>
          </w14:textFill>
        </w:rPr>
        <w:t>15.71</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4.58</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（罗列全部功能分类科目，至类级。）</w:t>
      </w:r>
    </w:p>
    <w:p>
      <w:pPr>
        <w:spacing w:line="600" w:lineRule="exact"/>
        <w:ind w:firstLine="640"/>
        <w:rPr>
          <w:rFonts w:hint="eastAsia" w:ascii="仿宋" w:hAnsi="仿宋" w:eastAsia="仿宋"/>
          <w:b/>
          <w:color w:val="000000" w:themeColor="text1"/>
          <w:sz w:val="32"/>
          <w:szCs w:val="32"/>
          <w:lang w:eastAsia="zh-CN"/>
          <w14:textFill>
            <w14:solidFill>
              <w14:schemeClr w14:val="tx1"/>
            </w14:solidFill>
          </w14:textFill>
        </w:rPr>
      </w:pPr>
      <w:r>
        <w:rPr>
          <w:rFonts w:hint="eastAsia" w:ascii="仿宋" w:hAnsi="仿宋" w:eastAsia="仿宋"/>
          <w:b/>
          <w:color w:val="000000" w:themeColor="text1"/>
          <w:sz w:val="32"/>
          <w:szCs w:val="32"/>
          <w:lang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-65405</wp:posOffset>
            </wp:positionH>
            <wp:positionV relativeFrom="paragraph">
              <wp:posOffset>509905</wp:posOffset>
            </wp:positionV>
            <wp:extent cx="4801870" cy="3180715"/>
            <wp:effectExtent l="4445" t="4445" r="13335" b="15240"/>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0"/>
        <w:rPr>
          <w:rFonts w:hint="eastAsia" w:ascii="仿宋" w:hAnsi="仿宋" w:eastAsia="仿宋"/>
          <w:b/>
          <w:color w:val="000000" w:themeColor="text1"/>
          <w:sz w:val="32"/>
          <w:szCs w:val="32"/>
          <w14:textFill>
            <w14:solidFill>
              <w14:schemeClr w14:val="tx1"/>
            </w14:solidFill>
          </w14:textFill>
        </w:rPr>
      </w:pPr>
    </w:p>
    <w:p>
      <w:pPr>
        <w:spacing w:line="600" w:lineRule="exact"/>
        <w:ind w:firstLine="640"/>
        <w:rPr>
          <w:rFonts w:hint="eastAsia" w:ascii="仿宋" w:hAnsi="仿宋" w:eastAsia="仿宋"/>
          <w:b/>
          <w:color w:val="000000" w:themeColor="text1"/>
          <w:sz w:val="32"/>
          <w:szCs w:val="32"/>
          <w14:textFill>
            <w14:solidFill>
              <w14:schemeClr w14:val="tx1"/>
            </w14:solidFill>
          </w14:textFill>
        </w:rPr>
      </w:pPr>
    </w:p>
    <w:p>
      <w:pPr>
        <w:spacing w:line="600" w:lineRule="exact"/>
        <w:ind w:firstLine="640"/>
        <w:rPr>
          <w:rFonts w:hint="eastAsia" w:ascii="仿宋" w:hAnsi="仿宋" w:eastAsia="仿宋"/>
          <w:b/>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left="319" w:leftChars="152" w:firstLine="320" w:firstLineChars="100"/>
        <w:rPr>
          <w:rFonts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（图6：一般公共预算财政拨款支出决算结构）（饼状图）</w:t>
      </w:r>
    </w:p>
    <w:p>
      <w:pPr>
        <w:spacing w:line="600" w:lineRule="exact"/>
        <w:ind w:firstLine="643" w:firstLineChars="200"/>
        <w:outlineLvl w:val="2"/>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pPr>
        <w:spacing w:line="600" w:lineRule="exact"/>
        <w:ind w:firstLine="643" w:firstLineChars="200"/>
        <w:outlineLvl w:val="2"/>
        <w:rPr>
          <w:rFonts w:ascii="仿宋" w:hAnsi="仿宋" w:eastAsia="仿宋"/>
          <w:color w:val="FF0000"/>
          <w:sz w:val="32"/>
          <w:szCs w:val="32"/>
        </w:rPr>
      </w:pPr>
      <w:bookmarkStart w:id="37" w:name="_Toc15377213"/>
      <w:bookmarkStart w:id="38" w:name="_Toc15377444"/>
      <w:bookmarkStart w:id="39" w:name="_Toc15378460"/>
      <w:r>
        <w:rPr>
          <w:rFonts w:hint="eastAsia" w:ascii="仿宋" w:hAnsi="仿宋" w:eastAsia="仿宋"/>
          <w:b/>
          <w:color w:val="000000" w:themeColor="text1"/>
          <w:sz w:val="32"/>
          <w:szCs w:val="32"/>
          <w14:textFill>
            <w14:solidFill>
              <w14:schemeClr w14:val="tx1"/>
            </w14:solidFill>
          </w14:textFill>
        </w:rPr>
        <w:t>2018年般公共预算支出决算数为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343.02</w:t>
      </w:r>
      <w:r>
        <w:rPr>
          <w:rFonts w:hint="eastAsia" w:ascii="仿宋" w:hAnsi="仿宋" w:eastAsia="仿宋"/>
          <w:color w:val="000000" w:themeColor="text1"/>
          <w:sz w:val="32"/>
          <w:szCs w:val="32"/>
          <w14:textFill>
            <w14:solidFill>
              <w14:schemeClr w14:val="tx1"/>
            </w14:solidFill>
          </w14:textFill>
        </w:rPr>
        <w:t>，</w:t>
      </w:r>
      <w:r>
        <w:rPr>
          <w:rStyle w:val="16"/>
          <w:rFonts w:hint="eastAsia" w:ascii="仿宋" w:hAnsi="仿宋" w:eastAsia="仿宋"/>
          <w:bCs/>
          <w:color w:val="000000" w:themeColor="text1"/>
          <w:sz w:val="32"/>
          <w:szCs w:val="32"/>
          <w14:textFill>
            <w14:solidFill>
              <w14:schemeClr w14:val="tx1"/>
            </w14:solidFill>
          </w14:textFill>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100</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37"/>
      <w:bookmarkEnd w:id="38"/>
      <w:bookmarkEnd w:id="39"/>
    </w:p>
    <w:p>
      <w:pPr>
        <w:spacing w:line="600" w:lineRule="exact"/>
        <w:ind w:firstLine="643" w:firstLineChars="200"/>
        <w:rPr>
          <w:rStyle w:val="16"/>
          <w:rFonts w:hint="eastAsia" w:ascii="仿宋" w:hAnsi="仿宋" w:eastAsia="仿宋"/>
          <w:b w:val="0"/>
          <w:bCs/>
          <w:color w:val="000000"/>
          <w:sz w:val="32"/>
          <w:szCs w:val="32"/>
        </w:rPr>
      </w:pPr>
      <w:r>
        <w:rPr>
          <w:rStyle w:val="16"/>
          <w:rFonts w:ascii="仿宋" w:hAnsi="仿宋" w:eastAsia="仿宋"/>
          <w:bCs/>
          <w:color w:val="000000"/>
          <w:sz w:val="32"/>
          <w:szCs w:val="32"/>
        </w:rPr>
        <w:t>1.</w:t>
      </w:r>
      <w:r>
        <w:rPr>
          <w:rStyle w:val="16"/>
          <w:rFonts w:hint="eastAsia" w:ascii="仿宋" w:hAnsi="仿宋" w:eastAsia="仿宋"/>
          <w:bCs/>
          <w:color w:val="000000"/>
          <w:sz w:val="32"/>
          <w:szCs w:val="32"/>
        </w:rPr>
        <w:t>一般公共服务（类）宗教事务（款）  行政运行（项）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185.72</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2</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一般公共服务（类）宗教事务（款）宗教工作专项（项）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41.72</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3</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一般公共服务（类）宗教事务（款）其他宗教事务支出（项）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4</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一般公共服务（类）统战事务（款）其他统战事务支出（项）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25</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5</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社会保障和就业（类）行政事业单位离退休（款）机关事业单位基本养老保险缴费支出（项）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19.56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6</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社会保障和就业（类）行政事业单位离退休（款）机关事业单位职业年金缴费支出（项）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7.84</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hint="eastAsia" w:ascii="仿宋" w:hAnsi="仿宋" w:eastAsia="仿宋"/>
          <w:bCs/>
          <w:color w:val="000000"/>
          <w:sz w:val="32"/>
          <w:szCs w:val="32"/>
          <w:lang w:val="en-US" w:eastAsia="zh-CN"/>
        </w:rPr>
        <w:t>7</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社会保障和就业（类）特困人员救助供养（款）农村特困人员救助供养支出（项）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33.36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8</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医疗卫生与计划生育（类）行政事业单位医疗（款）行政单位医疗（项）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6.63</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Style w:val="16"/>
          <w:rFonts w:hint="eastAsia" w:ascii="仿宋" w:hAnsi="仿宋" w:eastAsia="仿宋"/>
          <w:b w:val="0"/>
          <w:bCs/>
          <w:color w:val="000000"/>
          <w:sz w:val="32"/>
          <w:szCs w:val="32"/>
        </w:rPr>
      </w:pPr>
      <w:r>
        <w:rPr>
          <w:rStyle w:val="16"/>
          <w:rFonts w:hint="eastAsia" w:ascii="仿宋" w:hAnsi="仿宋" w:eastAsia="仿宋"/>
          <w:bCs/>
          <w:color w:val="000000"/>
          <w:sz w:val="32"/>
          <w:szCs w:val="32"/>
          <w:lang w:val="en-US" w:eastAsia="zh-CN"/>
        </w:rPr>
        <w:t>9</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医疗卫生与计划生育（类）行政事业单位医疗（款）公务员医疗补助（项）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1.48</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color w:val="000000"/>
          <w:sz w:val="32"/>
          <w:szCs w:val="32"/>
        </w:rPr>
      </w:pPr>
      <w:r>
        <w:rPr>
          <w:rStyle w:val="16"/>
          <w:rFonts w:hint="eastAsia" w:ascii="仿宋" w:hAnsi="仿宋" w:eastAsia="仿宋"/>
          <w:bCs/>
          <w:color w:val="000000"/>
          <w:sz w:val="32"/>
          <w:szCs w:val="32"/>
          <w:lang w:val="en-US" w:eastAsia="zh-CN"/>
        </w:rPr>
        <w:t>10</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住房保障支出（类）住房改革支出（款）住房公积金（项）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15.71</w:t>
      </w:r>
      <w:r>
        <w:rPr>
          <w:rStyle w:val="16"/>
          <w:rFonts w:hint="eastAsia" w:ascii="仿宋" w:hAnsi="仿宋" w:eastAsia="仿宋"/>
          <w:b w:val="0"/>
          <w:bCs/>
          <w:color w:val="000000"/>
          <w:sz w:val="32"/>
          <w:szCs w:val="32"/>
        </w:rPr>
        <w:t>万元。</w:t>
      </w:r>
    </w:p>
    <w:p>
      <w:pPr>
        <w:spacing w:line="600" w:lineRule="exact"/>
        <w:ind w:firstLine="640"/>
        <w:rPr>
          <w:rFonts w:ascii="仿宋" w:hAnsi="仿宋" w:eastAsia="仿宋"/>
          <w:b/>
          <w:color w:val="000000"/>
          <w:sz w:val="32"/>
          <w:szCs w:val="32"/>
        </w:rPr>
      </w:pPr>
    </w:p>
    <w:p>
      <w:pPr>
        <w:tabs>
          <w:tab w:val="right" w:pos="8306"/>
        </w:tabs>
        <w:spacing w:line="600" w:lineRule="exact"/>
        <w:ind w:firstLine="640"/>
        <w:outlineLvl w:val="1"/>
        <w:rPr>
          <w:rStyle w:val="29"/>
        </w:rPr>
      </w:pPr>
      <w:bookmarkStart w:id="40" w:name="_Toc15377214"/>
      <w:bookmarkStart w:id="41"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9"/>
          <w:rFonts w:hint="eastAsia" w:ascii="黑体" w:hAnsi="黑体" w:eastAsia="黑体"/>
          <w:b w:val="0"/>
        </w:rPr>
        <w:t>般公共预算财政拨款基本支出决算情况说明</w:t>
      </w:r>
      <w:bookmarkEnd w:id="40"/>
      <w:bookmarkEnd w:id="41"/>
      <w:r>
        <w:rPr>
          <w:rStyle w:val="29"/>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343.02</w:t>
      </w:r>
      <w:r>
        <w:rPr>
          <w:rFonts w:hint="eastAsia" w:ascii="仿宋" w:hAnsi="仿宋" w:eastAsia="仿宋"/>
          <w:color w:val="000000"/>
          <w:sz w:val="32"/>
          <w:szCs w:val="32"/>
        </w:rPr>
        <w:t>万元，其中：</w:t>
      </w:r>
    </w:p>
    <w:p>
      <w:pPr>
        <w:spacing w:line="600" w:lineRule="exact"/>
        <w:ind w:firstLine="645"/>
        <w:rPr>
          <w:rFonts w:ascii="仿宋" w:hAnsi="仿宋" w:eastAsia="仿宋"/>
          <w:i w:val="0"/>
          <w:iCs w:val="0"/>
          <w:color w:val="000000"/>
          <w:sz w:val="32"/>
          <w:szCs w:val="32"/>
        </w:rPr>
      </w:pPr>
      <w:r>
        <w:rPr>
          <w:rFonts w:hint="eastAsia" w:ascii="仿宋" w:hAnsi="仿宋" w:eastAsia="仿宋"/>
          <w:i w:val="0"/>
          <w:iCs w:val="0"/>
          <w:color w:val="000000"/>
          <w:sz w:val="32"/>
          <w:szCs w:val="32"/>
        </w:rPr>
        <w:t>人员经费</w:t>
      </w:r>
      <w:r>
        <w:rPr>
          <w:rFonts w:hint="eastAsia" w:ascii="仿宋" w:hAnsi="仿宋" w:eastAsia="仿宋"/>
          <w:i w:val="0"/>
          <w:iCs w:val="0"/>
          <w:color w:val="000000"/>
          <w:sz w:val="32"/>
          <w:szCs w:val="32"/>
          <w:lang w:val="en-US" w:eastAsia="zh-CN"/>
        </w:rPr>
        <w:t>288.49</w:t>
      </w:r>
      <w:r>
        <w:rPr>
          <w:rFonts w:hint="eastAsia" w:ascii="仿宋" w:hAnsi="仿宋" w:eastAsia="仿宋"/>
          <w:i w:val="0"/>
          <w:iCs w:val="0"/>
          <w:color w:val="000000"/>
          <w:sz w:val="32"/>
          <w:szCs w:val="32"/>
        </w:rPr>
        <w:t>万元，主要包括：基本工资</w:t>
      </w:r>
      <w:r>
        <w:rPr>
          <w:rFonts w:hint="eastAsia" w:ascii="仿宋" w:hAnsi="仿宋" w:eastAsia="仿宋"/>
          <w:i w:val="0"/>
          <w:iCs w:val="0"/>
          <w:color w:val="000000"/>
          <w:sz w:val="32"/>
          <w:szCs w:val="32"/>
          <w:lang w:val="en-US" w:eastAsia="zh-CN"/>
        </w:rPr>
        <w:t>49.13万元</w:t>
      </w:r>
      <w:r>
        <w:rPr>
          <w:rFonts w:hint="eastAsia" w:ascii="仿宋" w:hAnsi="仿宋" w:eastAsia="仿宋"/>
          <w:i w:val="0"/>
          <w:iCs w:val="0"/>
          <w:color w:val="000000"/>
          <w:sz w:val="32"/>
          <w:szCs w:val="32"/>
        </w:rPr>
        <w:t>、津贴补贴</w:t>
      </w:r>
      <w:r>
        <w:rPr>
          <w:rFonts w:hint="eastAsia" w:ascii="仿宋" w:hAnsi="仿宋" w:eastAsia="仿宋"/>
          <w:i w:val="0"/>
          <w:iCs w:val="0"/>
          <w:color w:val="000000"/>
          <w:sz w:val="32"/>
          <w:szCs w:val="32"/>
          <w:lang w:val="en-US" w:eastAsia="zh-CN"/>
        </w:rPr>
        <w:t>82.77</w:t>
      </w:r>
      <w:r>
        <w:rPr>
          <w:rFonts w:hint="eastAsia" w:ascii="仿宋" w:hAnsi="仿宋" w:eastAsia="仿宋"/>
          <w:i w:val="0"/>
          <w:iCs w:val="0"/>
          <w:color w:val="000000"/>
          <w:sz w:val="32"/>
          <w:szCs w:val="32"/>
        </w:rPr>
        <w:t>万元、奖金</w:t>
      </w:r>
      <w:r>
        <w:rPr>
          <w:rFonts w:hint="eastAsia" w:ascii="仿宋" w:hAnsi="仿宋" w:eastAsia="仿宋"/>
          <w:i w:val="0"/>
          <w:iCs w:val="0"/>
          <w:color w:val="000000"/>
          <w:sz w:val="32"/>
          <w:szCs w:val="32"/>
          <w:lang w:val="en-US" w:eastAsia="zh-CN"/>
        </w:rPr>
        <w:t>27.2</w:t>
      </w:r>
      <w:r>
        <w:rPr>
          <w:rFonts w:hint="eastAsia" w:ascii="仿宋" w:hAnsi="仿宋" w:eastAsia="仿宋"/>
          <w:i w:val="0"/>
          <w:iCs w:val="0"/>
          <w:color w:val="000000"/>
          <w:sz w:val="32"/>
          <w:szCs w:val="32"/>
        </w:rPr>
        <w:t>万元、伙食补助费</w:t>
      </w:r>
      <w:r>
        <w:rPr>
          <w:rFonts w:hint="eastAsia" w:ascii="仿宋" w:hAnsi="仿宋" w:eastAsia="仿宋"/>
          <w:i w:val="0"/>
          <w:iCs w:val="0"/>
          <w:color w:val="000000"/>
          <w:sz w:val="32"/>
          <w:szCs w:val="32"/>
          <w:lang w:val="en-US" w:eastAsia="zh-CN"/>
        </w:rPr>
        <w:t>0</w:t>
      </w:r>
      <w:r>
        <w:rPr>
          <w:rFonts w:hint="eastAsia" w:ascii="仿宋" w:hAnsi="仿宋" w:eastAsia="仿宋"/>
          <w:i w:val="0"/>
          <w:iCs w:val="0"/>
          <w:color w:val="000000"/>
          <w:sz w:val="32"/>
          <w:szCs w:val="32"/>
        </w:rPr>
        <w:t>万元、绩效工资</w:t>
      </w:r>
      <w:r>
        <w:rPr>
          <w:rFonts w:hint="eastAsia" w:ascii="仿宋" w:hAnsi="仿宋" w:eastAsia="仿宋"/>
          <w:i w:val="0"/>
          <w:iCs w:val="0"/>
          <w:color w:val="000000"/>
          <w:sz w:val="32"/>
          <w:szCs w:val="32"/>
          <w:lang w:val="en-US" w:eastAsia="zh-CN"/>
        </w:rPr>
        <w:t>0</w:t>
      </w:r>
      <w:r>
        <w:rPr>
          <w:rFonts w:hint="eastAsia" w:ascii="仿宋" w:hAnsi="仿宋" w:eastAsia="仿宋"/>
          <w:i w:val="0"/>
          <w:iCs w:val="0"/>
          <w:color w:val="000000"/>
          <w:sz w:val="32"/>
          <w:szCs w:val="32"/>
        </w:rPr>
        <w:t>万元、机关事业单位基本养老保险缴费</w:t>
      </w:r>
      <w:r>
        <w:rPr>
          <w:rFonts w:hint="eastAsia" w:ascii="仿宋" w:hAnsi="仿宋" w:eastAsia="仿宋"/>
          <w:i w:val="0"/>
          <w:iCs w:val="0"/>
          <w:color w:val="000000"/>
          <w:sz w:val="32"/>
          <w:szCs w:val="32"/>
          <w:lang w:val="en-US" w:eastAsia="zh-CN"/>
        </w:rPr>
        <w:t>19.56</w:t>
      </w:r>
      <w:r>
        <w:rPr>
          <w:rFonts w:hint="eastAsia" w:ascii="仿宋" w:hAnsi="仿宋" w:eastAsia="仿宋"/>
          <w:i w:val="0"/>
          <w:iCs w:val="0"/>
          <w:color w:val="000000"/>
          <w:sz w:val="32"/>
          <w:szCs w:val="32"/>
        </w:rPr>
        <w:t>万元、职业年金缴费</w:t>
      </w:r>
      <w:r>
        <w:rPr>
          <w:rFonts w:hint="eastAsia" w:ascii="仿宋" w:hAnsi="仿宋" w:eastAsia="仿宋"/>
          <w:i w:val="0"/>
          <w:iCs w:val="0"/>
          <w:color w:val="000000"/>
          <w:sz w:val="32"/>
          <w:szCs w:val="32"/>
          <w:lang w:val="en-US" w:eastAsia="zh-CN"/>
        </w:rPr>
        <w:t>7.84</w:t>
      </w:r>
      <w:r>
        <w:rPr>
          <w:rFonts w:hint="eastAsia" w:ascii="仿宋" w:hAnsi="仿宋" w:eastAsia="仿宋"/>
          <w:i w:val="0"/>
          <w:iCs w:val="0"/>
          <w:color w:val="000000"/>
          <w:sz w:val="32"/>
          <w:szCs w:val="32"/>
        </w:rPr>
        <w:t>万元、职工基本医疗保险缴费</w:t>
      </w:r>
      <w:r>
        <w:rPr>
          <w:rFonts w:hint="eastAsia" w:ascii="仿宋" w:hAnsi="仿宋" w:eastAsia="仿宋"/>
          <w:i w:val="0"/>
          <w:iCs w:val="0"/>
          <w:color w:val="000000"/>
          <w:sz w:val="32"/>
          <w:szCs w:val="32"/>
          <w:lang w:val="en-US" w:eastAsia="zh-CN"/>
        </w:rPr>
        <w:t>6.63万元</w:t>
      </w:r>
      <w:r>
        <w:rPr>
          <w:rFonts w:hint="eastAsia" w:ascii="仿宋" w:hAnsi="仿宋" w:eastAsia="仿宋"/>
          <w:i w:val="0"/>
          <w:iCs w:val="0"/>
          <w:color w:val="000000"/>
          <w:sz w:val="32"/>
          <w:szCs w:val="32"/>
          <w:lang w:eastAsia="zh-CN"/>
        </w:rPr>
        <w:t>、公务员医疗补助缴费</w:t>
      </w:r>
      <w:r>
        <w:rPr>
          <w:rFonts w:hint="eastAsia" w:ascii="仿宋" w:hAnsi="仿宋" w:eastAsia="仿宋"/>
          <w:i w:val="0"/>
          <w:iCs w:val="0"/>
          <w:color w:val="000000"/>
          <w:sz w:val="32"/>
          <w:szCs w:val="32"/>
          <w:lang w:val="en-US" w:eastAsia="zh-CN"/>
        </w:rPr>
        <w:t>1.14万元</w:t>
      </w:r>
      <w:r>
        <w:rPr>
          <w:rFonts w:hint="eastAsia" w:ascii="仿宋" w:hAnsi="仿宋" w:eastAsia="仿宋"/>
          <w:i w:val="0"/>
          <w:iCs w:val="0"/>
          <w:color w:val="000000"/>
          <w:sz w:val="32"/>
          <w:szCs w:val="32"/>
          <w:lang w:eastAsia="zh-CN"/>
        </w:rPr>
        <w:t>、</w:t>
      </w:r>
      <w:r>
        <w:rPr>
          <w:rFonts w:hint="eastAsia" w:ascii="仿宋" w:hAnsi="仿宋" w:eastAsia="仿宋"/>
          <w:i w:val="0"/>
          <w:iCs w:val="0"/>
          <w:color w:val="000000"/>
          <w:sz w:val="32"/>
          <w:szCs w:val="32"/>
        </w:rPr>
        <w:t>其他社会保障缴费</w:t>
      </w:r>
      <w:r>
        <w:rPr>
          <w:rFonts w:hint="eastAsia" w:ascii="仿宋" w:hAnsi="仿宋" w:eastAsia="仿宋"/>
          <w:i w:val="0"/>
          <w:iCs w:val="0"/>
          <w:color w:val="000000"/>
          <w:sz w:val="32"/>
          <w:szCs w:val="32"/>
          <w:lang w:val="en-US" w:eastAsia="zh-CN"/>
        </w:rPr>
        <w:t>2.33</w:t>
      </w:r>
      <w:r>
        <w:rPr>
          <w:rFonts w:hint="eastAsia" w:ascii="仿宋" w:hAnsi="仿宋" w:eastAsia="仿宋"/>
          <w:i w:val="0"/>
          <w:iCs w:val="0"/>
          <w:color w:val="000000"/>
          <w:sz w:val="32"/>
          <w:szCs w:val="32"/>
        </w:rPr>
        <w:t>万元、其他工资福利支出</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、离休费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、退休费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、抚恤金</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、生活补助</w:t>
      </w:r>
      <w:r>
        <w:rPr>
          <w:rFonts w:hint="eastAsia" w:ascii="仿宋" w:hAnsi="仿宋" w:eastAsia="仿宋"/>
          <w:i w:val="0"/>
          <w:iCs w:val="0"/>
          <w:color w:val="000000"/>
          <w:sz w:val="32"/>
          <w:szCs w:val="32"/>
          <w:lang w:val="en-US" w:eastAsia="zh-CN"/>
        </w:rPr>
        <w:t>41.72万元</w:t>
      </w:r>
      <w:r>
        <w:rPr>
          <w:rFonts w:hint="eastAsia" w:ascii="仿宋" w:hAnsi="仿宋" w:eastAsia="仿宋"/>
          <w:i w:val="0"/>
          <w:iCs w:val="0"/>
          <w:color w:val="000000"/>
          <w:sz w:val="32"/>
          <w:szCs w:val="32"/>
        </w:rPr>
        <w:t>、医疗费</w:t>
      </w:r>
      <w:r>
        <w:rPr>
          <w:rFonts w:hint="eastAsia" w:ascii="仿宋" w:hAnsi="仿宋" w:eastAsia="仿宋"/>
          <w:i w:val="0"/>
          <w:iCs w:val="0"/>
          <w:color w:val="000000"/>
          <w:sz w:val="32"/>
          <w:szCs w:val="32"/>
          <w:lang w:val="en-US" w:eastAsia="zh-CN"/>
        </w:rPr>
        <w:t>0.74万元</w:t>
      </w:r>
      <w:r>
        <w:rPr>
          <w:rFonts w:hint="eastAsia" w:ascii="仿宋" w:hAnsi="仿宋" w:eastAsia="仿宋"/>
          <w:i w:val="0"/>
          <w:iCs w:val="0"/>
          <w:color w:val="000000"/>
          <w:sz w:val="32"/>
          <w:szCs w:val="32"/>
        </w:rPr>
        <w:t>、</w:t>
      </w:r>
      <w:r>
        <w:rPr>
          <w:rFonts w:hint="eastAsia" w:ascii="仿宋" w:hAnsi="仿宋" w:eastAsia="仿宋"/>
          <w:i w:val="0"/>
          <w:iCs w:val="0"/>
          <w:color w:val="000000"/>
          <w:sz w:val="32"/>
          <w:szCs w:val="32"/>
          <w:lang w:eastAsia="zh-CN"/>
        </w:rPr>
        <w:t>救济费</w:t>
      </w:r>
      <w:r>
        <w:rPr>
          <w:rFonts w:hint="eastAsia" w:ascii="仿宋" w:hAnsi="仿宋" w:eastAsia="仿宋"/>
          <w:i w:val="0"/>
          <w:iCs w:val="0"/>
          <w:color w:val="000000"/>
          <w:sz w:val="32"/>
          <w:szCs w:val="32"/>
          <w:lang w:val="en-US" w:eastAsia="zh-CN"/>
        </w:rPr>
        <w:t>33.36万元、</w:t>
      </w:r>
      <w:r>
        <w:rPr>
          <w:rFonts w:hint="eastAsia" w:ascii="仿宋" w:hAnsi="仿宋" w:eastAsia="仿宋"/>
          <w:i w:val="0"/>
          <w:iCs w:val="0"/>
          <w:color w:val="000000"/>
          <w:sz w:val="32"/>
          <w:szCs w:val="32"/>
        </w:rPr>
        <w:t>奖励金</w:t>
      </w:r>
      <w:r>
        <w:rPr>
          <w:rFonts w:hint="eastAsia" w:ascii="仿宋" w:hAnsi="仿宋" w:eastAsia="仿宋"/>
          <w:i w:val="0"/>
          <w:iCs w:val="0"/>
          <w:color w:val="000000"/>
          <w:sz w:val="32"/>
          <w:szCs w:val="32"/>
          <w:lang w:val="en-US" w:eastAsia="zh-CN"/>
        </w:rPr>
        <w:t>0.02万元</w:t>
      </w:r>
      <w:r>
        <w:rPr>
          <w:rFonts w:hint="eastAsia" w:ascii="仿宋" w:hAnsi="仿宋" w:eastAsia="仿宋"/>
          <w:i w:val="0"/>
          <w:iCs w:val="0"/>
          <w:color w:val="000000"/>
          <w:sz w:val="32"/>
          <w:szCs w:val="32"/>
        </w:rPr>
        <w:t>、住房公积金</w:t>
      </w:r>
      <w:r>
        <w:rPr>
          <w:rFonts w:hint="eastAsia" w:ascii="仿宋" w:hAnsi="仿宋" w:eastAsia="仿宋"/>
          <w:i w:val="0"/>
          <w:iCs w:val="0"/>
          <w:color w:val="000000"/>
          <w:sz w:val="32"/>
          <w:szCs w:val="32"/>
          <w:lang w:val="en-US" w:eastAsia="zh-CN"/>
        </w:rPr>
        <w:t>15.71万元</w:t>
      </w:r>
      <w:r>
        <w:rPr>
          <w:rFonts w:hint="eastAsia" w:ascii="仿宋" w:hAnsi="仿宋" w:eastAsia="仿宋"/>
          <w:i w:val="0"/>
          <w:iCs w:val="0"/>
          <w:color w:val="000000"/>
          <w:sz w:val="32"/>
          <w:szCs w:val="32"/>
        </w:rPr>
        <w:t>、提租补贴</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、购房补贴</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、其他对个人和家庭的补助支出</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等。</w:t>
      </w:r>
      <w:r>
        <w:rPr>
          <w:rFonts w:ascii="仿宋" w:hAnsi="仿宋" w:eastAsia="仿宋"/>
          <w:i w:val="0"/>
          <w:iCs w:val="0"/>
          <w:color w:val="000000"/>
          <w:sz w:val="32"/>
          <w:szCs w:val="32"/>
        </w:rPr>
        <w:br w:type="textWrapping"/>
      </w:r>
      <w:r>
        <w:rPr>
          <w:rFonts w:hint="eastAsia" w:ascii="仿宋" w:hAnsi="仿宋" w:eastAsia="仿宋"/>
          <w:i w:val="0"/>
          <w:iCs w:val="0"/>
          <w:color w:val="000000"/>
          <w:sz w:val="32"/>
          <w:szCs w:val="32"/>
        </w:rPr>
        <w:t>　　公用经费</w:t>
      </w:r>
      <w:r>
        <w:rPr>
          <w:rFonts w:hint="eastAsia" w:ascii="仿宋" w:hAnsi="仿宋" w:eastAsia="仿宋"/>
          <w:i w:val="0"/>
          <w:iCs w:val="0"/>
          <w:color w:val="000000"/>
          <w:sz w:val="32"/>
          <w:szCs w:val="32"/>
          <w:lang w:val="en-US" w:eastAsia="zh-CN"/>
        </w:rPr>
        <w:t>54.53</w:t>
      </w:r>
      <w:r>
        <w:rPr>
          <w:rFonts w:hint="eastAsia" w:ascii="仿宋" w:hAnsi="仿宋" w:eastAsia="仿宋"/>
          <w:i w:val="0"/>
          <w:iCs w:val="0"/>
          <w:color w:val="000000"/>
          <w:sz w:val="32"/>
          <w:szCs w:val="32"/>
        </w:rPr>
        <w:t>万元，主要包括：办公费</w:t>
      </w:r>
      <w:r>
        <w:rPr>
          <w:rFonts w:hint="eastAsia" w:ascii="仿宋" w:hAnsi="仿宋" w:eastAsia="仿宋"/>
          <w:i w:val="0"/>
          <w:iCs w:val="0"/>
          <w:color w:val="000000"/>
          <w:sz w:val="32"/>
          <w:szCs w:val="32"/>
          <w:lang w:val="en-US" w:eastAsia="zh-CN"/>
        </w:rPr>
        <w:t>9.35万元</w:t>
      </w:r>
      <w:r>
        <w:rPr>
          <w:rFonts w:hint="eastAsia" w:ascii="仿宋" w:hAnsi="仿宋" w:eastAsia="仿宋"/>
          <w:i w:val="0"/>
          <w:iCs w:val="0"/>
          <w:color w:val="000000"/>
          <w:sz w:val="32"/>
          <w:szCs w:val="32"/>
        </w:rPr>
        <w:t>、印刷费</w:t>
      </w:r>
      <w:r>
        <w:rPr>
          <w:rFonts w:hint="eastAsia" w:ascii="仿宋" w:hAnsi="仿宋" w:eastAsia="仿宋"/>
          <w:i w:val="0"/>
          <w:iCs w:val="0"/>
          <w:color w:val="000000"/>
          <w:sz w:val="32"/>
          <w:szCs w:val="32"/>
          <w:lang w:val="en-US" w:eastAsia="zh-CN"/>
        </w:rPr>
        <w:t>0.97万元</w:t>
      </w:r>
      <w:r>
        <w:rPr>
          <w:rFonts w:hint="eastAsia" w:ascii="仿宋" w:hAnsi="仿宋" w:eastAsia="仿宋"/>
          <w:i w:val="0"/>
          <w:iCs w:val="0"/>
          <w:color w:val="000000"/>
          <w:sz w:val="32"/>
          <w:szCs w:val="32"/>
        </w:rPr>
        <w:t>、咨询费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、手续费</w:t>
      </w:r>
      <w:r>
        <w:rPr>
          <w:rFonts w:hint="eastAsia" w:ascii="仿宋" w:hAnsi="仿宋" w:eastAsia="仿宋"/>
          <w:i w:val="0"/>
          <w:iCs w:val="0"/>
          <w:color w:val="000000"/>
          <w:sz w:val="32"/>
          <w:szCs w:val="32"/>
          <w:lang w:val="en-US" w:eastAsia="zh-CN"/>
        </w:rPr>
        <w:t>0.46万元</w:t>
      </w:r>
      <w:r>
        <w:rPr>
          <w:rFonts w:hint="eastAsia" w:ascii="仿宋" w:hAnsi="仿宋" w:eastAsia="仿宋"/>
          <w:i w:val="0"/>
          <w:iCs w:val="0"/>
          <w:color w:val="000000"/>
          <w:sz w:val="32"/>
          <w:szCs w:val="32"/>
        </w:rPr>
        <w:t>、水费</w:t>
      </w:r>
      <w:r>
        <w:rPr>
          <w:rFonts w:hint="eastAsia" w:ascii="仿宋" w:hAnsi="仿宋" w:eastAsia="仿宋"/>
          <w:i w:val="0"/>
          <w:iCs w:val="0"/>
          <w:color w:val="000000"/>
          <w:sz w:val="32"/>
          <w:szCs w:val="32"/>
          <w:lang w:val="en-US" w:eastAsia="zh-CN"/>
        </w:rPr>
        <w:t>0.3万元</w:t>
      </w:r>
      <w:r>
        <w:rPr>
          <w:rFonts w:hint="eastAsia" w:ascii="仿宋" w:hAnsi="仿宋" w:eastAsia="仿宋"/>
          <w:i w:val="0"/>
          <w:iCs w:val="0"/>
          <w:color w:val="000000"/>
          <w:sz w:val="32"/>
          <w:szCs w:val="32"/>
        </w:rPr>
        <w:t>、电费</w:t>
      </w:r>
      <w:r>
        <w:rPr>
          <w:rFonts w:hint="eastAsia" w:ascii="仿宋" w:hAnsi="仿宋" w:eastAsia="仿宋"/>
          <w:i w:val="0"/>
          <w:iCs w:val="0"/>
          <w:color w:val="000000"/>
          <w:sz w:val="32"/>
          <w:szCs w:val="32"/>
          <w:lang w:val="en-US" w:eastAsia="zh-CN"/>
        </w:rPr>
        <w:t>0.3万元</w:t>
      </w:r>
      <w:r>
        <w:rPr>
          <w:rFonts w:hint="eastAsia" w:ascii="仿宋" w:hAnsi="仿宋" w:eastAsia="仿宋"/>
          <w:i w:val="0"/>
          <w:iCs w:val="0"/>
          <w:color w:val="000000"/>
          <w:sz w:val="32"/>
          <w:szCs w:val="32"/>
        </w:rPr>
        <w:t>、邮电费</w:t>
      </w:r>
      <w:r>
        <w:rPr>
          <w:rFonts w:hint="eastAsia" w:ascii="仿宋" w:hAnsi="仿宋" w:eastAsia="仿宋"/>
          <w:i w:val="0"/>
          <w:iCs w:val="0"/>
          <w:color w:val="000000"/>
          <w:sz w:val="32"/>
          <w:szCs w:val="32"/>
          <w:lang w:val="en-US" w:eastAsia="zh-CN"/>
        </w:rPr>
        <w:t>2.91万元</w:t>
      </w:r>
      <w:r>
        <w:rPr>
          <w:rFonts w:hint="eastAsia" w:ascii="仿宋" w:hAnsi="仿宋" w:eastAsia="仿宋"/>
          <w:i w:val="0"/>
          <w:iCs w:val="0"/>
          <w:color w:val="000000"/>
          <w:sz w:val="32"/>
          <w:szCs w:val="32"/>
        </w:rPr>
        <w:t>、取暖费</w:t>
      </w:r>
      <w:r>
        <w:rPr>
          <w:rFonts w:hint="eastAsia" w:ascii="仿宋" w:hAnsi="仿宋" w:eastAsia="仿宋"/>
          <w:i w:val="0"/>
          <w:iCs w:val="0"/>
          <w:color w:val="000000"/>
          <w:sz w:val="32"/>
          <w:szCs w:val="32"/>
          <w:lang w:val="en-US" w:eastAsia="zh-CN"/>
        </w:rPr>
        <w:t>0.16万元</w:t>
      </w:r>
      <w:r>
        <w:rPr>
          <w:rFonts w:hint="eastAsia" w:ascii="仿宋" w:hAnsi="仿宋" w:eastAsia="仿宋"/>
          <w:i w:val="0"/>
          <w:iCs w:val="0"/>
          <w:color w:val="000000"/>
          <w:sz w:val="32"/>
          <w:szCs w:val="32"/>
        </w:rPr>
        <w:t>、物业管理费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、差旅费</w:t>
      </w:r>
      <w:r>
        <w:rPr>
          <w:rFonts w:hint="eastAsia" w:ascii="仿宋" w:hAnsi="仿宋" w:eastAsia="仿宋"/>
          <w:i w:val="0"/>
          <w:iCs w:val="0"/>
          <w:color w:val="000000"/>
          <w:sz w:val="32"/>
          <w:szCs w:val="32"/>
          <w:lang w:val="en-US" w:eastAsia="zh-CN"/>
        </w:rPr>
        <w:t>1万元</w:t>
      </w:r>
      <w:r>
        <w:rPr>
          <w:rFonts w:hint="eastAsia" w:ascii="仿宋" w:hAnsi="仿宋" w:eastAsia="仿宋"/>
          <w:i w:val="0"/>
          <w:iCs w:val="0"/>
          <w:color w:val="000000"/>
          <w:sz w:val="32"/>
          <w:szCs w:val="32"/>
        </w:rPr>
        <w:t>、因公出国（境）费用</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、维修（护）费</w:t>
      </w:r>
      <w:r>
        <w:rPr>
          <w:rFonts w:hint="eastAsia" w:ascii="仿宋" w:hAnsi="仿宋" w:eastAsia="仿宋"/>
          <w:i w:val="0"/>
          <w:iCs w:val="0"/>
          <w:color w:val="000000"/>
          <w:sz w:val="32"/>
          <w:szCs w:val="32"/>
          <w:lang w:val="en-US" w:eastAsia="zh-CN"/>
        </w:rPr>
        <w:t>31万元</w:t>
      </w:r>
      <w:r>
        <w:rPr>
          <w:rFonts w:hint="eastAsia" w:ascii="仿宋" w:hAnsi="仿宋" w:eastAsia="仿宋"/>
          <w:i w:val="0"/>
          <w:iCs w:val="0"/>
          <w:color w:val="000000"/>
          <w:sz w:val="32"/>
          <w:szCs w:val="32"/>
        </w:rPr>
        <w:t>、租赁费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、会议费</w:t>
      </w:r>
      <w:r>
        <w:rPr>
          <w:rFonts w:hint="eastAsia" w:ascii="仿宋" w:hAnsi="仿宋" w:eastAsia="仿宋"/>
          <w:i w:val="0"/>
          <w:iCs w:val="0"/>
          <w:color w:val="000000"/>
          <w:sz w:val="32"/>
          <w:szCs w:val="32"/>
          <w:lang w:val="en-US" w:eastAsia="zh-CN"/>
        </w:rPr>
        <w:t>0.83万元</w:t>
      </w:r>
      <w:r>
        <w:rPr>
          <w:rFonts w:hint="eastAsia" w:ascii="仿宋" w:hAnsi="仿宋" w:eastAsia="仿宋"/>
          <w:i w:val="0"/>
          <w:iCs w:val="0"/>
          <w:color w:val="000000"/>
          <w:sz w:val="32"/>
          <w:szCs w:val="32"/>
        </w:rPr>
        <w:t>、培训费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、公务接待费</w:t>
      </w:r>
      <w:r>
        <w:rPr>
          <w:rFonts w:hint="eastAsia" w:ascii="仿宋" w:hAnsi="仿宋" w:eastAsia="仿宋"/>
          <w:i w:val="0"/>
          <w:iCs w:val="0"/>
          <w:color w:val="000000"/>
          <w:sz w:val="32"/>
          <w:szCs w:val="32"/>
          <w:lang w:val="en-US" w:eastAsia="zh-CN"/>
        </w:rPr>
        <w:t>0.52万元</w:t>
      </w:r>
      <w:r>
        <w:rPr>
          <w:rFonts w:hint="eastAsia" w:ascii="仿宋" w:hAnsi="仿宋" w:eastAsia="仿宋"/>
          <w:i w:val="0"/>
          <w:iCs w:val="0"/>
          <w:color w:val="000000"/>
          <w:sz w:val="32"/>
          <w:szCs w:val="32"/>
        </w:rPr>
        <w:t>、劳务费</w:t>
      </w:r>
      <w:r>
        <w:rPr>
          <w:rFonts w:hint="eastAsia" w:ascii="仿宋" w:hAnsi="仿宋" w:eastAsia="仿宋"/>
          <w:i w:val="0"/>
          <w:iCs w:val="0"/>
          <w:color w:val="000000"/>
          <w:sz w:val="32"/>
          <w:szCs w:val="32"/>
          <w:lang w:val="en-US" w:eastAsia="zh-CN"/>
        </w:rPr>
        <w:t>0.23万元</w:t>
      </w:r>
      <w:r>
        <w:rPr>
          <w:rFonts w:hint="eastAsia" w:ascii="仿宋" w:hAnsi="仿宋" w:eastAsia="仿宋"/>
          <w:i w:val="0"/>
          <w:iCs w:val="0"/>
          <w:color w:val="000000"/>
          <w:sz w:val="32"/>
          <w:szCs w:val="32"/>
        </w:rPr>
        <w:t>、委托业务费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、工会经费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、福利费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、公务用车运行维护费</w:t>
      </w:r>
      <w:r>
        <w:rPr>
          <w:rFonts w:hint="eastAsia" w:ascii="仿宋" w:hAnsi="仿宋" w:eastAsia="仿宋"/>
          <w:i w:val="0"/>
          <w:iCs w:val="0"/>
          <w:color w:val="000000"/>
          <w:sz w:val="32"/>
          <w:szCs w:val="32"/>
          <w:lang w:val="en-US" w:eastAsia="zh-CN"/>
        </w:rPr>
        <w:t>6.5万元</w:t>
      </w:r>
      <w:r>
        <w:rPr>
          <w:rFonts w:hint="eastAsia" w:ascii="仿宋" w:hAnsi="仿宋" w:eastAsia="仿宋"/>
          <w:i w:val="0"/>
          <w:iCs w:val="0"/>
          <w:color w:val="000000"/>
          <w:sz w:val="32"/>
          <w:szCs w:val="32"/>
        </w:rPr>
        <w:t>、其他交通费</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、税金及附加费用</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、其他商品和服务支出</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、办公设备购置</w:t>
      </w:r>
      <w:r>
        <w:rPr>
          <w:rFonts w:hint="eastAsia" w:ascii="仿宋" w:hAnsi="仿宋" w:eastAsia="仿宋"/>
          <w:i w:val="0"/>
          <w:iCs w:val="0"/>
          <w:color w:val="000000"/>
          <w:sz w:val="32"/>
          <w:szCs w:val="32"/>
          <w:lang w:val="en-US" w:eastAsia="zh-CN"/>
        </w:rPr>
        <w:t>0万元</w:t>
      </w:r>
      <w:r>
        <w:rPr>
          <w:rFonts w:hint="eastAsia" w:ascii="仿宋" w:hAnsi="仿宋" w:eastAsia="仿宋"/>
          <w:i w:val="0"/>
          <w:iCs w:val="0"/>
          <w:color w:val="000000"/>
          <w:sz w:val="32"/>
          <w:szCs w:val="32"/>
        </w:rPr>
        <w:t>、专用设备购置</w:t>
      </w:r>
      <w:r>
        <w:rPr>
          <w:rFonts w:hint="eastAsia" w:ascii="仿宋" w:hAnsi="仿宋" w:eastAsia="仿宋"/>
          <w:color w:val="000000"/>
          <w:sz w:val="32"/>
          <w:szCs w:val="32"/>
          <w:lang w:val="en-US" w:eastAsia="zh-CN"/>
        </w:rPr>
        <w:t>0万元</w:t>
      </w:r>
      <w:r>
        <w:rPr>
          <w:rFonts w:hint="eastAsia" w:ascii="仿宋" w:hAnsi="仿宋" w:eastAsia="仿宋"/>
          <w:i w:val="0"/>
          <w:iCs w:val="0"/>
          <w:color w:val="000000"/>
          <w:sz w:val="32"/>
          <w:szCs w:val="32"/>
        </w:rPr>
        <w:t>、信息网络及软件购置更新</w:t>
      </w:r>
      <w:r>
        <w:rPr>
          <w:rFonts w:hint="eastAsia" w:ascii="仿宋" w:hAnsi="仿宋" w:eastAsia="仿宋"/>
          <w:color w:val="000000"/>
          <w:sz w:val="32"/>
          <w:szCs w:val="32"/>
          <w:lang w:val="en-US" w:eastAsia="zh-CN"/>
        </w:rPr>
        <w:t>0万元</w:t>
      </w:r>
      <w:r>
        <w:rPr>
          <w:rFonts w:hint="eastAsia" w:ascii="仿宋" w:hAnsi="仿宋" w:eastAsia="仿宋"/>
          <w:i w:val="0"/>
          <w:iCs w:val="0"/>
          <w:color w:val="000000"/>
          <w:sz w:val="32"/>
          <w:szCs w:val="32"/>
        </w:rPr>
        <w:t>、其他资本性支出</w:t>
      </w:r>
      <w:r>
        <w:rPr>
          <w:rFonts w:hint="eastAsia" w:ascii="仿宋" w:hAnsi="仿宋" w:eastAsia="仿宋"/>
          <w:color w:val="000000"/>
          <w:sz w:val="32"/>
          <w:szCs w:val="32"/>
          <w:lang w:val="en-US" w:eastAsia="zh-CN"/>
        </w:rPr>
        <w:t>0万元</w:t>
      </w:r>
      <w:r>
        <w:rPr>
          <w:rFonts w:hint="eastAsia" w:ascii="仿宋" w:hAnsi="仿宋" w:eastAsia="仿宋"/>
          <w:i w:val="0"/>
          <w:iCs w:val="0"/>
          <w:color w:val="000000"/>
          <w:sz w:val="32"/>
          <w:szCs w:val="32"/>
        </w:rPr>
        <w:t>等。</w:t>
      </w:r>
    </w:p>
    <w:p>
      <w:pPr>
        <w:spacing w:line="600" w:lineRule="exact"/>
        <w:ind w:firstLine="640"/>
        <w:outlineLvl w:val="1"/>
        <w:rPr>
          <w:rStyle w:val="29"/>
          <w:rFonts w:ascii="黑体" w:hAnsi="黑体" w:eastAsia="黑体"/>
          <w:b w:val="0"/>
        </w:rPr>
      </w:pPr>
      <w:bookmarkStart w:id="42" w:name="_Toc15396609"/>
      <w:bookmarkStart w:id="43" w:name="_Toc15377215"/>
      <w:r>
        <w:rPr>
          <w:rFonts w:hint="eastAsia" w:ascii="黑体" w:eastAsia="黑体"/>
          <w:color w:val="000000"/>
          <w:sz w:val="32"/>
          <w:szCs w:val="32"/>
        </w:rPr>
        <w:t>七、</w:t>
      </w:r>
      <w:r>
        <w:rPr>
          <w:rStyle w:val="29"/>
          <w:rFonts w:hint="eastAsia" w:ascii="黑体" w:hAnsi="黑体" w:eastAsia="黑体"/>
        </w:rPr>
        <w:t>“</w:t>
      </w:r>
      <w:r>
        <w:rPr>
          <w:rStyle w:val="29"/>
          <w:rFonts w:hint="eastAsia" w:ascii="黑体" w:hAnsi="黑体" w:eastAsia="黑体"/>
          <w:b w:val="0"/>
        </w:rPr>
        <w:t>三公”经费财政拨款支出决算情况说明</w:t>
      </w:r>
      <w:bookmarkEnd w:id="42"/>
      <w:bookmarkEnd w:id="43"/>
    </w:p>
    <w:p>
      <w:pPr>
        <w:spacing w:line="600" w:lineRule="exact"/>
        <w:ind w:firstLine="640"/>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7.02</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6.5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92.59</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0.52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7.41</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rPr>
        <w:t>（图8：“三公”经费财政拨款支出结构）（饼状图）</w:t>
      </w: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5408" behindDoc="0" locked="0" layoutInCell="1" allowOverlap="1">
            <wp:simplePos x="0" y="0"/>
            <wp:positionH relativeFrom="column">
              <wp:posOffset>410845</wp:posOffset>
            </wp:positionH>
            <wp:positionV relativeFrom="paragraph">
              <wp:posOffset>-433705</wp:posOffset>
            </wp:positionV>
            <wp:extent cx="4194175" cy="2467610"/>
            <wp:effectExtent l="4445" t="4445" r="11430" b="23495"/>
            <wp:wrapSquare wrapText="bothSides"/>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hint="eastAsia" w:ascii="仿宋" w:hAnsi="仿宋" w:eastAsia="仿宋"/>
          <w:color w:val="000000"/>
          <w:sz w:val="32"/>
          <w:szCs w:val="32"/>
          <w:lang w:eastAsia="zh-CN"/>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321" w:firstLineChars="100"/>
        <w:rPr>
          <w:rFonts w:ascii="仿宋_GB2312" w:eastAsia="仿宋_GB2312"/>
          <w:b/>
          <w:color w:val="000000"/>
          <w:sz w:val="32"/>
          <w:szCs w:val="32"/>
        </w:rPr>
      </w:pPr>
    </w:p>
    <w:p>
      <w:pPr>
        <w:spacing w:line="600" w:lineRule="exact"/>
        <w:ind w:firstLine="643" w:firstLineChars="20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人。因公出国（境）支出决算比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ascii="仿宋_GB2312" w:eastAsia="仿宋_GB2312"/>
          <w:color w:val="000000"/>
          <w:sz w:val="32"/>
          <w:szCs w:val="32"/>
        </w:rPr>
        <w:t>/</w:t>
      </w:r>
      <w:r>
        <w:rPr>
          <w:rFonts w:hint="eastAsia" w:ascii="仿宋_GB2312" w:eastAsia="仿宋_GB2312"/>
          <w:color w:val="000000"/>
          <w:sz w:val="32"/>
          <w:szCs w:val="32"/>
        </w:rPr>
        <w:t>减少</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万元，增长</w:t>
      </w:r>
      <w:r>
        <w:rPr>
          <w:rFonts w:ascii="仿宋_GB2312" w:eastAsia="仿宋_GB2312"/>
          <w:color w:val="000000"/>
          <w:sz w:val="32"/>
          <w:szCs w:val="32"/>
        </w:rPr>
        <w:t>/</w:t>
      </w:r>
      <w:r>
        <w:rPr>
          <w:rFonts w:hint="eastAsia" w:ascii="仿宋_GB2312" w:eastAsia="仿宋_GB2312"/>
          <w:color w:val="000000"/>
          <w:sz w:val="32"/>
          <w:szCs w:val="32"/>
        </w:rPr>
        <w:t>下降</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rPr>
        <w:t>开支内容包括：</w:t>
      </w:r>
      <w:r>
        <w:rPr>
          <w:rFonts w:hint="eastAsia" w:ascii="仿宋_GB2312" w:eastAsia="仿宋_GB2312"/>
          <w:color w:val="000000"/>
          <w:sz w:val="32"/>
          <w:szCs w:val="32"/>
          <w:lang w:eastAsia="zh-CN"/>
        </w:rPr>
        <w:t>无</w:t>
      </w:r>
      <w:r>
        <w:rPr>
          <w:rFonts w:hint="eastAsia" w:ascii="仿宋_GB2312" w:eastAsia="仿宋_GB2312"/>
          <w:color w:val="000000"/>
          <w:sz w:val="32"/>
          <w:szCs w:val="32"/>
        </w:rPr>
        <w:t>（团组名称、出访地点、取得成效）等。</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6.5</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0.36</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5.25</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厉行节约</w:t>
      </w:r>
      <w:r>
        <w:rPr>
          <w:rFonts w:hint="eastAsia" w:ascii="仿宋_GB2312" w:eastAsia="仿宋_GB2312"/>
          <w:color w:val="000000"/>
          <w:sz w:val="32"/>
          <w:szCs w:val="32"/>
        </w:rPr>
        <w:t>。</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万元，越野车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无</w:t>
      </w: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6.5</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寺庙管理工作</w:t>
      </w:r>
      <w:r>
        <w:rPr>
          <w:rFonts w:hint="eastAsia" w:ascii="仿宋_GB2312" w:eastAsia="仿宋_GB2312"/>
          <w:color w:val="000000"/>
          <w:sz w:val="32"/>
          <w:szCs w:val="32"/>
        </w:rPr>
        <w:t>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0.52</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0.09</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21</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人员增加</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29</w:t>
      </w:r>
      <w:r>
        <w:rPr>
          <w:rFonts w:hint="eastAsia" w:ascii="仿宋_GB2312" w:eastAsia="仿宋_GB2312"/>
          <w:color w:val="000000"/>
          <w:sz w:val="32"/>
          <w:szCs w:val="32"/>
        </w:rPr>
        <w:t>人次，共计支出</w:t>
      </w:r>
      <w:r>
        <w:rPr>
          <w:rFonts w:hint="eastAsia" w:ascii="仿宋_GB2312" w:eastAsia="仿宋_GB2312"/>
          <w:color w:val="000000"/>
          <w:sz w:val="32"/>
          <w:szCs w:val="32"/>
          <w:lang w:val="en-US" w:eastAsia="zh-CN"/>
        </w:rPr>
        <w:t>0.52</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val="en-US" w:eastAsia="zh-CN"/>
        </w:rPr>
        <w:t>1.新旧民管会成员交接，1050元。2.完成煨桑节后接待民管会成员，780元。3.雅克音乐季接待民管会成员，810元。4.开展清理经幡工作后与民管会一同聚餐，1130元。</w:t>
      </w:r>
      <w:r>
        <w:rPr>
          <w:rFonts w:hint="eastAsia" w:ascii="仿宋_GB2312" w:eastAsia="仿宋_GB2312"/>
          <w:color w:val="000000"/>
          <w:sz w:val="32"/>
          <w:szCs w:val="32"/>
        </w:rPr>
        <w:t>（接待具体项目、金额）。其中：</w:t>
      </w:r>
    </w:p>
    <w:p>
      <w:pPr>
        <w:spacing w:line="600" w:lineRule="exact"/>
        <w:ind w:firstLine="643" w:firstLineChars="200"/>
        <w:rPr>
          <w:rFonts w:hint="eastAsia" w:ascii="仿宋_GB2312" w:eastAsia="仿宋_GB2312"/>
          <w:color w:val="000000" w:themeColor="text1"/>
          <w:sz w:val="32"/>
          <w:szCs w:val="32"/>
          <w:lang w:eastAsia="zh-CN"/>
          <w14:textFill>
            <w14:solidFill>
              <w14:schemeClr w14:val="tx1"/>
            </w14:solidFill>
          </w14:textFill>
        </w:rPr>
      </w:pPr>
      <w:r>
        <w:rPr>
          <w:rFonts w:hint="eastAsia" w:ascii="仿宋" w:hAnsi="仿宋" w:eastAsia="仿宋"/>
          <w:b/>
          <w:color w:val="000000"/>
          <w:sz w:val="32"/>
          <w:szCs w:val="32"/>
        </w:rPr>
        <w:t>外事接待支出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14:textFill>
            <w14:solidFill>
              <w14:schemeClr w14:val="tx1"/>
            </w14:solidFill>
          </w14:textFill>
        </w:rPr>
        <w:t>，外事接待</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批次，</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人，共计支出</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万元，主要用于接待</w:t>
      </w:r>
      <w:r>
        <w:rPr>
          <w:rFonts w:hint="eastAsia" w:ascii="仿宋_GB2312" w:eastAsia="仿宋_GB2312"/>
          <w:color w:val="000000" w:themeColor="text1"/>
          <w:sz w:val="32"/>
          <w:szCs w:val="32"/>
          <w:lang w:eastAsia="zh-CN"/>
          <w14:textFill>
            <w14:solidFill>
              <w14:schemeClr w14:val="tx1"/>
            </w14:solidFill>
          </w14:textFill>
        </w:rPr>
        <w:t>无</w:t>
      </w:r>
      <w:r>
        <w:rPr>
          <w:rFonts w:hint="eastAsia" w:ascii="仿宋_GB2312" w:eastAsia="仿宋_GB2312"/>
          <w:color w:val="000000" w:themeColor="text1"/>
          <w:sz w:val="32"/>
          <w:szCs w:val="32"/>
          <w14:textFill>
            <w14:solidFill>
              <w14:schemeClr w14:val="tx1"/>
            </w14:solidFill>
          </w14:textFill>
        </w:rPr>
        <w:t>（具体项目）。主要用于</w:t>
      </w:r>
      <w:r>
        <w:rPr>
          <w:rFonts w:hint="eastAsia" w:ascii="仿宋_GB2312" w:eastAsia="仿宋_GB2312"/>
          <w:color w:val="000000" w:themeColor="text1"/>
          <w:sz w:val="32"/>
          <w:szCs w:val="32"/>
          <w:lang w:eastAsia="zh-CN"/>
          <w14:textFill>
            <w14:solidFill>
              <w14:schemeClr w14:val="tx1"/>
            </w14:solidFill>
          </w14:textFill>
        </w:rPr>
        <w:t>无</w:t>
      </w:r>
    </w:p>
    <w:p>
      <w:pPr>
        <w:spacing w:line="600" w:lineRule="exact"/>
        <w:ind w:firstLine="640"/>
        <w:rPr>
          <w:rFonts w:hint="eastAsia" w:ascii="仿宋_GB2312" w:eastAsia="仿宋_GB2312"/>
          <w:color w:val="000000"/>
          <w:sz w:val="32"/>
          <w:szCs w:val="32"/>
          <w:lang w:eastAsia="zh-CN"/>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val="en-US" w:eastAsia="zh-CN"/>
        </w:rPr>
        <w:t>.</w:t>
      </w:r>
    </w:p>
    <w:p>
      <w:pPr>
        <w:spacing w:line="600" w:lineRule="exact"/>
        <w:outlineLvl w:val="1"/>
        <w:rPr>
          <w:rFonts w:hint="eastAsia" w:ascii="黑体" w:eastAsia="黑体"/>
          <w:color w:val="000000"/>
          <w:sz w:val="32"/>
          <w:szCs w:val="32"/>
        </w:rPr>
      </w:pPr>
      <w:bookmarkStart w:id="46" w:name="_Toc15377218"/>
      <w:bookmarkStart w:id="47" w:name="_Toc15396610"/>
    </w:p>
    <w:p>
      <w:pPr>
        <w:spacing w:line="600" w:lineRule="exact"/>
        <w:ind w:firstLine="640"/>
        <w:outlineLvl w:val="1"/>
        <w:rPr>
          <w:rStyle w:val="29"/>
          <w:rFonts w:ascii="黑体" w:hAnsi="黑体" w:eastAsia="黑体"/>
        </w:rPr>
      </w:pPr>
      <w:r>
        <w:rPr>
          <w:rFonts w:hint="eastAsia" w:ascii="黑体" w:eastAsia="黑体"/>
          <w:color w:val="000000"/>
          <w:sz w:val="32"/>
          <w:szCs w:val="32"/>
        </w:rPr>
        <w:t>八、</w:t>
      </w:r>
      <w:r>
        <w:rPr>
          <w:rStyle w:val="29"/>
          <w:rFonts w:hint="eastAsia" w:ascii="黑体" w:hAnsi="黑体" w:eastAsia="黑体"/>
          <w:b w:val="0"/>
        </w:rPr>
        <w:t>政府性基金预算支出决算情况说明</w:t>
      </w:r>
      <w:bookmarkEnd w:id="46"/>
      <w:bookmarkEnd w:id="47"/>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2"/>
        </w:numPr>
        <w:spacing w:line="600" w:lineRule="exact"/>
        <w:ind w:firstLine="640"/>
        <w:outlineLvl w:val="1"/>
        <w:rPr>
          <w:rStyle w:val="29"/>
          <w:rFonts w:ascii="黑体" w:hAnsi="黑体" w:eastAsia="黑体"/>
          <w:b w:val="0"/>
        </w:rPr>
      </w:pPr>
      <w:bookmarkStart w:id="48" w:name="_Toc15377219"/>
      <w:bookmarkStart w:id="49" w:name="_Toc15396611"/>
      <w:r>
        <w:rPr>
          <w:rStyle w:val="29"/>
          <w:rFonts w:hint="eastAsia" w:ascii="黑体" w:hAnsi="黑体" w:eastAsia="黑体"/>
          <w:b w:val="0"/>
        </w:rPr>
        <w:t>国有资本经营预算支出决算情况说明</w:t>
      </w:r>
      <w:bookmarkEnd w:id="48"/>
      <w:bookmarkEnd w:id="49"/>
    </w:p>
    <w:p>
      <w:pPr>
        <w:spacing w:line="600" w:lineRule="exact"/>
        <w:ind w:firstLine="640"/>
        <w:rPr>
          <w:rFonts w:hint="eastAsia"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spacing w:line="600" w:lineRule="exact"/>
        <w:ind w:firstLine="640"/>
        <w:rPr>
          <w:rFonts w:hint="eastAsia" w:ascii="仿宋_GB2312" w:eastAsia="仿宋_GB2312"/>
          <w:color w:val="000000"/>
          <w:sz w:val="32"/>
          <w:szCs w:val="32"/>
        </w:rPr>
      </w:pPr>
    </w:p>
    <w:p>
      <w:pPr>
        <w:pStyle w:val="27"/>
        <w:numPr>
          <w:ilvl w:val="0"/>
          <w:numId w:val="3"/>
        </w:numPr>
        <w:spacing w:line="580" w:lineRule="exact"/>
        <w:ind w:firstLineChars="0"/>
        <w:rPr>
          <w:rStyle w:val="29"/>
          <w:rFonts w:ascii="黑体" w:hAnsi="黑体" w:eastAsia="黑体"/>
          <w:b w:val="0"/>
        </w:rPr>
      </w:pPr>
      <w:r>
        <w:rPr>
          <w:rStyle w:val="29"/>
          <w:rFonts w:hint="eastAsia" w:ascii="黑体" w:hAnsi="黑体" w:eastAsia="黑体"/>
          <w:b w:val="0"/>
        </w:rPr>
        <w:t>预算绩效情况说明</w:t>
      </w:r>
    </w:p>
    <w:p>
      <w:pPr>
        <w:numPr>
          <w:ilvl w:val="0"/>
          <w:numId w:val="4"/>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sz w:val="32"/>
          <w:szCs w:val="32"/>
          <w:lang w:eastAsia="zh-CN"/>
        </w:rPr>
        <w:t>僧人五保</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本部门按要求对2018年部门整体支出开展绩效自评，从评价情况来看</w:t>
      </w:r>
      <w:r>
        <w:rPr>
          <w:rFonts w:hint="eastAsia" w:ascii="仿宋_GB2312" w:hAnsi="仿宋_GB2312" w:eastAsia="仿宋_GB2312" w:cs="仿宋_GB2312"/>
          <w:sz w:val="32"/>
          <w:szCs w:val="32"/>
          <w:lang w:eastAsia="zh-CN"/>
        </w:rPr>
        <w:t>全部按时完成</w:t>
      </w:r>
      <w:r>
        <w:rPr>
          <w:rFonts w:hint="eastAsia" w:ascii="仿宋_GB2312" w:hAnsi="仿宋_GB2312" w:eastAsia="仿宋_GB2312" w:cs="仿宋_GB2312"/>
          <w:sz w:val="32"/>
          <w:szCs w:val="32"/>
        </w:rPr>
        <w:t>。本部门还自行组织了</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个项目绩效评价，从评价情况来看</w:t>
      </w:r>
      <w:r>
        <w:rPr>
          <w:rFonts w:hint="eastAsia" w:ascii="仿宋_GB2312" w:hAnsi="仿宋_GB2312" w:eastAsia="仿宋_GB2312" w:cs="仿宋_GB2312"/>
          <w:sz w:val="32"/>
          <w:szCs w:val="32"/>
          <w:lang w:eastAsia="zh-CN"/>
        </w:rPr>
        <w:t>全部按时完成</w:t>
      </w:r>
      <w:r>
        <w:rPr>
          <w:rFonts w:hint="eastAsia" w:ascii="仿宋_GB2312" w:hAnsi="仿宋_GB2312" w:eastAsia="仿宋_GB2312" w:cs="仿宋_GB2312"/>
          <w:sz w:val="32"/>
          <w:szCs w:val="32"/>
        </w:rPr>
        <w:t>。</w:t>
      </w:r>
    </w:p>
    <w:p>
      <w:pPr>
        <w:numPr>
          <w:ilvl w:val="0"/>
          <w:numId w:val="4"/>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仿宋_GB2312" w:eastAsia="仿宋_GB2312" w:cs="仿宋_GB2312"/>
          <w:sz w:val="32"/>
          <w:szCs w:val="32"/>
          <w:lang w:eastAsia="zh-CN"/>
        </w:rPr>
        <w:t>片区寺庙工作经费、民管会成员工资、尼姑寺卫生费及三员经费</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“藏传佛教寺庙维修补助资金</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藏传佛教寺庙维修补助资金</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个项目绩效目标实际完成情况。（本单位部门项目绩效目标个数在5个以上的，选取5个项目进行公开，目标个数在5个以下的，全部进行公开，公开内容包括完成情况综述和完成情况表）。</w:t>
      </w:r>
    </w:p>
    <w:p>
      <w:pPr>
        <w:numPr>
          <w:ilvl w:val="0"/>
          <w:numId w:val="5"/>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片区寺庙工作经费、民管会成员工资、尼姑寺卫生费及三员经费</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41.72</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41.72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%。通过项目实施，保障了</w:t>
      </w:r>
      <w:r>
        <w:rPr>
          <w:rFonts w:hint="eastAsia" w:ascii="仿宋_GB2312" w:hAnsi="仿宋_GB2312" w:eastAsia="仿宋_GB2312" w:cs="仿宋_GB2312"/>
          <w:sz w:val="32"/>
          <w:szCs w:val="32"/>
          <w:lang w:eastAsia="zh-CN"/>
        </w:rPr>
        <w:t>片区寺庙工作经费、民管会成员工资、尼姑寺卫生费及三员经费资金的发放。</w:t>
      </w:r>
    </w:p>
    <w:p>
      <w:pPr>
        <w:numPr>
          <w:ilvl w:val="0"/>
          <w:numId w:val="5"/>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藏传佛教寺庙维修补助资金项目绩效目标完成情况综述。项目全年预算数</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%。通过项目实施，保障了藏传佛教寺庙维修补助资金</w:t>
      </w:r>
      <w:r>
        <w:rPr>
          <w:rFonts w:hint="eastAsia" w:ascii="仿宋_GB2312" w:hAnsi="仿宋_GB2312" w:eastAsia="仿宋_GB2312" w:cs="仿宋_GB2312"/>
          <w:sz w:val="32"/>
          <w:szCs w:val="32"/>
          <w:lang w:eastAsia="zh-CN"/>
        </w:rPr>
        <w:t>资金的发放实施。</w:t>
      </w:r>
    </w:p>
    <w:p>
      <w:pPr>
        <w:numPr>
          <w:ilvl w:val="0"/>
          <w:numId w:val="5"/>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藏传佛教寺庙维修补助资金项目绩效目标完成情况综述。项目全年预算数</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83.33</w:t>
      </w:r>
      <w:r>
        <w:rPr>
          <w:rFonts w:hint="eastAsia" w:ascii="仿宋_GB2312" w:hAnsi="仿宋_GB2312" w:eastAsia="仿宋_GB2312" w:cs="仿宋_GB2312"/>
          <w:sz w:val="32"/>
          <w:szCs w:val="32"/>
        </w:rPr>
        <w:t>%。通过项目实施，保障藏传佛教寺庙维修补助资金</w:t>
      </w:r>
      <w:r>
        <w:rPr>
          <w:rFonts w:hint="eastAsia" w:ascii="仿宋_GB2312" w:hAnsi="仿宋_GB2312" w:eastAsia="仿宋_GB2312" w:cs="仿宋_GB2312"/>
          <w:sz w:val="32"/>
          <w:szCs w:val="32"/>
          <w:lang w:eastAsia="zh-CN"/>
        </w:rPr>
        <w:t>资金的发放实施。</w:t>
      </w:r>
    </w:p>
    <w:p>
      <w:pPr>
        <w:numPr>
          <w:ilvl w:val="0"/>
          <w:numId w:val="5"/>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片区僧人五保项目绩效目标完成情况综述。项目全年预算数</w:t>
      </w:r>
      <w:r>
        <w:rPr>
          <w:rFonts w:hint="eastAsia" w:ascii="仿宋_GB2312" w:hAnsi="仿宋_GB2312" w:eastAsia="仿宋_GB2312" w:cs="仿宋_GB2312"/>
          <w:sz w:val="32"/>
          <w:szCs w:val="32"/>
          <w:lang w:val="en-US" w:eastAsia="zh-CN"/>
        </w:rPr>
        <w:t>33.36</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33.36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%。通过项目实施，保障</w:t>
      </w:r>
      <w:r>
        <w:rPr>
          <w:rFonts w:hint="eastAsia" w:ascii="仿宋_GB2312" w:hAnsi="仿宋_GB2312" w:eastAsia="仿宋_GB2312" w:cs="仿宋_GB2312"/>
          <w:sz w:val="32"/>
          <w:szCs w:val="32"/>
          <w:lang w:eastAsia="zh-CN"/>
        </w:rPr>
        <w:t>片区五保僧人的生活。</w:t>
      </w:r>
      <w:r>
        <w:rPr>
          <w:rFonts w:hint="eastAsia" w:ascii="仿宋_GB2312" w:hAnsi="仿宋_GB2312" w:eastAsia="仿宋_GB2312" w:cs="仿宋_GB2312"/>
          <w:sz w:val="32"/>
          <w:szCs w:val="32"/>
        </w:rPr>
        <w:t>发现的主要问题：</w:t>
      </w:r>
      <w:r>
        <w:rPr>
          <w:rFonts w:hint="eastAsia" w:ascii="仿宋_GB2312" w:hAnsi="仿宋_GB2312" w:eastAsia="仿宋_GB2312" w:cs="仿宋_GB2312"/>
          <w:sz w:val="32"/>
          <w:szCs w:val="32"/>
          <w:lang w:eastAsia="zh-CN"/>
        </w:rPr>
        <w:t>现金发放比较困难</w:t>
      </w:r>
      <w:r>
        <w:rPr>
          <w:rFonts w:hint="eastAsia" w:ascii="仿宋_GB2312" w:hAnsi="仿宋_GB2312" w:eastAsia="仿宋_GB2312" w:cs="仿宋_GB2312"/>
          <w:sz w:val="32"/>
          <w:szCs w:val="32"/>
        </w:rPr>
        <w:t>。下一步改进措施：</w:t>
      </w:r>
      <w:r>
        <w:rPr>
          <w:rFonts w:hint="eastAsia" w:ascii="仿宋_GB2312" w:hAnsi="仿宋_GB2312" w:eastAsia="仿宋_GB2312" w:cs="仿宋_GB2312"/>
          <w:sz w:val="32"/>
          <w:szCs w:val="32"/>
          <w:lang w:eastAsia="zh-CN"/>
        </w:rPr>
        <w:t>改为一卡通进行发放。</w:t>
      </w:r>
    </w:p>
    <w:p>
      <w:pPr>
        <w:tabs>
          <w:tab w:val="left" w:pos="312"/>
        </w:tabs>
        <w:spacing w:line="580" w:lineRule="exact"/>
        <w:rPr>
          <w:rFonts w:ascii="仿宋_GB2312" w:hAnsi="仿宋_GB2312" w:eastAsia="仿宋_GB2312" w:cs="仿宋_GB2312"/>
          <w:sz w:val="32"/>
          <w:szCs w:val="32"/>
        </w:rPr>
      </w:pPr>
    </w:p>
    <w:p>
      <w:pPr>
        <w:tabs>
          <w:tab w:val="left" w:pos="312"/>
        </w:tabs>
        <w:spacing w:line="580" w:lineRule="exact"/>
        <w:rPr>
          <w:rFonts w:ascii="仿宋_GB2312" w:hAnsi="仿宋_GB2312" w:eastAsia="仿宋_GB2312" w:cs="仿宋_GB2312"/>
          <w:sz w:val="32"/>
          <w:szCs w:val="32"/>
        </w:rPr>
      </w:pPr>
    </w:p>
    <w:tbl>
      <w:tblPr>
        <w:tblStyle w:val="19"/>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t>片区寺庙工作经费、民管会成员工资、尼姑寺卫生费及三员经费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麦洼寺管会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41.72</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41.72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41.72</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41.72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发放</w:t>
            </w:r>
            <w:r>
              <w:rPr>
                <w:rFonts w:hint="eastAsia" w:ascii="宋体" w:hAnsi="宋体" w:eastAsia="宋体" w:cs="宋体"/>
                <w:b/>
                <w:i w:val="0"/>
                <w:color w:val="000000"/>
                <w:sz w:val="24"/>
                <w:szCs w:val="24"/>
                <w:u w:val="none"/>
              </w:rPr>
              <w:t>片区寺庙工作经费、民管会成员工资、尼姑寺卫生费及三员经费</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rPr>
              <w:t>片区寺庙工作经费、民管会成员工资、尼姑寺卫生费及三员经费</w:t>
            </w:r>
            <w:r>
              <w:rPr>
                <w:rFonts w:hint="eastAsia" w:ascii="宋体" w:hAnsi="宋体" w:cs="宋体"/>
                <w:b/>
                <w:i w:val="0"/>
                <w:color w:val="000000"/>
                <w:sz w:val="24"/>
                <w:szCs w:val="24"/>
                <w:u w:val="none"/>
                <w:lang w:eastAsia="zh-CN"/>
              </w:rPr>
              <w:t>全部按时发放完成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准时完成</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符合政策依据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符合政策依据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科学合理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合规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满意</w:t>
            </w:r>
          </w:p>
        </w:tc>
      </w:tr>
    </w:tbl>
    <w:p>
      <w:pPr>
        <w:rPr>
          <w:rFonts w:ascii="Calibri" w:hAnsi="Calibri"/>
        </w:rPr>
      </w:pPr>
    </w:p>
    <w:tbl>
      <w:tblPr>
        <w:tblStyle w:val="19"/>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t>片区僧人五保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麦洼寺管会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33.36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33.36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33.36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33.36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发放</w:t>
            </w:r>
            <w:r>
              <w:rPr>
                <w:rFonts w:hint="eastAsia" w:ascii="宋体" w:hAnsi="宋体" w:eastAsia="宋体" w:cs="宋体"/>
                <w:b/>
                <w:i w:val="0"/>
                <w:color w:val="000000"/>
                <w:sz w:val="24"/>
                <w:szCs w:val="24"/>
                <w:u w:val="none"/>
              </w:rPr>
              <w:t>片区僧人五保</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eastAsia="宋体" w:cs="宋体"/>
                <w:b/>
                <w:i w:val="0"/>
                <w:color w:val="000000"/>
                <w:sz w:val="24"/>
                <w:szCs w:val="24"/>
                <w:u w:val="none"/>
              </w:rPr>
              <w:t>片区僧人五保</w:t>
            </w:r>
            <w:r>
              <w:rPr>
                <w:rFonts w:hint="eastAsia" w:ascii="宋体" w:hAnsi="宋体" w:cs="宋体"/>
                <w:b/>
                <w:i w:val="0"/>
                <w:color w:val="000000"/>
                <w:sz w:val="24"/>
                <w:szCs w:val="24"/>
                <w:u w:val="none"/>
                <w:lang w:eastAsia="zh-CN"/>
              </w:rPr>
              <w:t>全部按时发放完成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准时完成</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符合政策依据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符合政策依据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科学合理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合规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满意</w:t>
            </w:r>
          </w:p>
        </w:tc>
      </w:tr>
    </w:tbl>
    <w:p>
      <w:pPr>
        <w:rPr>
          <w:rFonts w:ascii="Calibri" w:hAnsi="Calibri"/>
        </w:rPr>
      </w:pPr>
    </w:p>
    <w:tbl>
      <w:tblPr>
        <w:tblStyle w:val="19"/>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t>藏传佛教寺庙维修补助资金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麦洼寺管会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完成寺庙保管室建设及监控室建设</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寺庙保管室建设及监控室建设全部完成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准时完成</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符合政策依据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符合政策依据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科学合理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按时发放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合规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核算规范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达到行业基准水平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满意</w:t>
            </w:r>
          </w:p>
        </w:tc>
      </w:tr>
    </w:tbl>
    <w:p>
      <w:pPr>
        <w:spacing w:line="580" w:lineRule="exact"/>
        <w:rPr>
          <w:rFonts w:ascii="仿宋_GB2312" w:hAnsi="仿宋_GB2312" w:eastAsia="仿宋_GB2312" w:cs="仿宋_GB2312"/>
          <w:sz w:val="32"/>
          <w:szCs w:val="32"/>
        </w:rPr>
      </w:pPr>
    </w:p>
    <w:p>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麦洼寺管会</w:t>
      </w:r>
      <w:r>
        <w:rPr>
          <w:rFonts w:hint="eastAsia" w:ascii="仿宋_GB2312" w:hAnsi="仿宋_GB2312" w:eastAsia="仿宋_GB2312" w:cs="仿宋_GB2312"/>
          <w:sz w:val="32"/>
          <w:szCs w:val="32"/>
        </w:rPr>
        <w:t>部门2018年部门整体支出绩效评价报告》见附件。</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本部门自行组织对片区僧人五保项目开展了绩效评价，《片区僧人五保项目2018年绩效评价报告》见附件。（非涉密部门均需公开部门整体支出评价报告，部门自行组织的绩效评价情况根据部门实际公开）</w:t>
      </w:r>
    </w:p>
    <w:p>
      <w:pPr>
        <w:spacing w:line="600" w:lineRule="exact"/>
        <w:ind w:firstLine="800" w:firstLineChars="250"/>
        <w:outlineLvl w:val="1"/>
        <w:rPr>
          <w:rStyle w:val="29"/>
          <w:rFonts w:ascii="黑体" w:hAnsi="黑体" w:eastAsia="黑体"/>
        </w:rPr>
      </w:pPr>
      <w:bookmarkStart w:id="50" w:name="_Toc15396612"/>
      <w:bookmarkStart w:id="51" w:name="_Toc15377221"/>
      <w:r>
        <w:rPr>
          <w:rFonts w:hint="eastAsia" w:ascii="黑体" w:hAnsi="黑体" w:eastAsia="黑体"/>
          <w:color w:val="000000"/>
          <w:sz w:val="32"/>
          <w:szCs w:val="32"/>
        </w:rPr>
        <w:t>十</w:t>
      </w:r>
      <w:r>
        <w:rPr>
          <w:rStyle w:val="29"/>
          <w:rFonts w:hint="eastAsia" w:ascii="黑体" w:hAnsi="黑体" w:eastAsia="黑体"/>
        </w:rPr>
        <w:t>一、</w:t>
      </w:r>
      <w:r>
        <w:rPr>
          <w:rStyle w:val="29"/>
          <w:rFonts w:hint="eastAsia" w:ascii="黑体" w:hAnsi="黑体" w:eastAsia="黑体"/>
          <w:b w:val="0"/>
        </w:rPr>
        <w:t>其他重要事项的情况说明</w:t>
      </w:r>
      <w:bookmarkEnd w:id="50"/>
      <w:bookmarkEnd w:id="51"/>
    </w:p>
    <w:p>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spacing w:line="600" w:lineRule="exact"/>
        <w:ind w:firstLine="640" w:firstLineChars="200"/>
        <w:rPr>
          <w:rFonts w:hint="eastAsia" w:ascii="仿宋_GB2312" w:eastAsia="仿宋_GB2312"/>
          <w:color w:val="000000" w:themeColor="text1"/>
          <w:sz w:val="32"/>
          <w:szCs w:val="32"/>
          <w:lang w:val="en-US" w:eastAsia="zh-CN"/>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8年，机关运行经费支出</w:t>
      </w:r>
      <w:r>
        <w:rPr>
          <w:rFonts w:hint="eastAsia" w:ascii="仿宋_GB2312" w:eastAsia="仿宋_GB2312"/>
          <w:color w:val="000000"/>
          <w:sz w:val="32"/>
          <w:szCs w:val="32"/>
          <w:lang w:val="en-US" w:eastAsia="zh-CN"/>
        </w:rPr>
        <w:t>23.53</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7年增减少</w:t>
      </w:r>
      <w:r>
        <w:rPr>
          <w:rFonts w:hint="eastAsia" w:ascii="仿宋_GB2312" w:eastAsia="仿宋_GB2312"/>
          <w:color w:val="000000"/>
          <w:sz w:val="32"/>
          <w:szCs w:val="32"/>
          <w:lang w:val="en-US" w:eastAsia="zh-CN"/>
        </w:rPr>
        <w:t>10.62</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31.1</w:t>
      </w:r>
      <w:r>
        <w:rPr>
          <w:rFonts w:ascii="仿宋_GB2312" w:eastAsia="仿宋_GB2312"/>
          <w:color w:val="000000"/>
          <w:sz w:val="32"/>
          <w:szCs w:val="32"/>
        </w:rPr>
        <w:t>%</w:t>
      </w:r>
      <w:r>
        <w:rPr>
          <w:rFonts w:hint="eastAsia" w:ascii="仿宋_GB2312" w:eastAsia="仿宋_GB2312"/>
          <w:color w:val="000000"/>
          <w:sz w:val="32"/>
          <w:szCs w:val="32"/>
          <w:lang w:val="en-US" w:eastAsia="zh-CN"/>
        </w:rPr>
        <w:t>.</w:t>
      </w:r>
    </w:p>
    <w:p>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CS05</w:t>
      </w:r>
      <w:r>
        <w:rPr>
          <w:rFonts w:hint="eastAsia" w:ascii="仿宋" w:hAnsi="仿宋" w:eastAsia="仿宋"/>
          <w:b/>
          <w:color w:val="000000"/>
          <w:sz w:val="32"/>
          <w:szCs w:val="32"/>
        </w:rPr>
        <w:t>表）</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无</w:t>
      </w:r>
      <w:r>
        <w:rPr>
          <w:rFonts w:hint="eastAsia" w:ascii="仿宋_GB2312" w:eastAsia="仿宋_GB2312"/>
          <w:color w:val="000000"/>
          <w:sz w:val="32"/>
          <w:szCs w:val="32"/>
        </w:rPr>
        <w:t>（具体工作）。授予中小企业合同金额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CS06</w:t>
      </w:r>
      <w:r>
        <w:rPr>
          <w:rFonts w:hint="eastAsia" w:ascii="仿宋" w:hAnsi="仿宋" w:eastAsia="仿宋"/>
          <w:b/>
          <w:color w:val="000000"/>
          <w:sz w:val="32"/>
          <w:szCs w:val="32"/>
        </w:rPr>
        <w:t>表）</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日，共有车辆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themeColor="text1"/>
          <w:sz w:val="32"/>
          <w:szCs w:val="32"/>
          <w14:textFill>
            <w14:solidFill>
              <w14:schemeClr w14:val="tx1"/>
            </w14:solidFill>
          </w14:textFill>
        </w:rPr>
        <w:t>其他用车主要是用于</w:t>
      </w:r>
      <w:r>
        <w:rPr>
          <w:rFonts w:hint="eastAsia" w:ascii="仿宋_GB2312" w:eastAsia="仿宋_GB2312"/>
          <w:color w:val="000000" w:themeColor="text1"/>
          <w:sz w:val="32"/>
          <w:szCs w:val="32"/>
          <w:lang w:eastAsia="zh-CN"/>
          <w14:textFill>
            <w14:solidFill>
              <w14:schemeClr w14:val="tx1"/>
            </w14:solidFill>
          </w14:textFill>
        </w:rPr>
        <w:t>无，</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台（套），单价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CS05</w:t>
      </w:r>
      <w:r>
        <w:rPr>
          <w:rFonts w:hint="eastAsia" w:ascii="仿宋" w:hAnsi="仿宋" w:eastAsia="仿宋"/>
          <w:b/>
          <w:color w:val="000000"/>
          <w:sz w:val="32"/>
          <w:szCs w:val="32"/>
        </w:rPr>
        <w:t>表，按部门决算报表填报数据罗列车辆情况。）</w:t>
      </w:r>
    </w:p>
    <w:p>
      <w:pPr>
        <w:widowControl/>
        <w:jc w:val="center"/>
        <w:rPr>
          <w:rStyle w:val="28"/>
          <w:rFonts w:ascii="黑体" w:hAnsi="黑体" w:eastAsia="黑体"/>
          <w:b w:val="0"/>
        </w:rPr>
      </w:pPr>
      <w:r>
        <w:rPr>
          <w:rFonts w:ascii="仿宋_GB2312" w:eastAsia="仿宋_GB2312"/>
          <w:b/>
          <w:color w:val="000000"/>
          <w:sz w:val="32"/>
          <w:szCs w:val="32"/>
        </w:rPr>
        <w:br w:type="page"/>
      </w:r>
      <w:bookmarkStart w:id="55" w:name="_Toc15377225"/>
      <w:bookmarkStart w:id="56" w:name="_Toc15396613"/>
      <w:r>
        <w:rPr>
          <w:rFonts w:hint="eastAsia" w:ascii="黑体" w:hAnsi="黑体" w:eastAsia="黑体"/>
          <w:b/>
          <w:color w:val="000000"/>
          <w:sz w:val="44"/>
          <w:szCs w:val="44"/>
        </w:rPr>
        <w:t>名</w:t>
      </w:r>
      <w:r>
        <w:rPr>
          <w:rStyle w:val="28"/>
          <w:rFonts w:hint="eastAsia" w:ascii="黑体" w:hAnsi="黑体" w:eastAsia="黑体"/>
          <w:b w:val="0"/>
        </w:rPr>
        <w:t>词解释</w:t>
      </w:r>
      <w:bookmarkEnd w:id="55"/>
      <w:bookmarkEnd w:id="56"/>
    </w:p>
    <w:p>
      <w:pPr>
        <w:spacing w:line="600" w:lineRule="exact"/>
        <w:jc w:val="left"/>
        <w:rPr>
          <w:rFonts w:ascii="宋体"/>
          <w:b/>
          <w:color w:val="000000"/>
          <w:sz w:val="44"/>
          <w:szCs w:val="44"/>
        </w:rPr>
      </w:pPr>
    </w:p>
    <w:p>
      <w:pPr>
        <w:pStyle w:val="26"/>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left="958" w:leftChars="304" w:hanging="320" w:hangingChars="100"/>
        <w:rPr>
          <w:rFonts w:hint="eastAsia" w:ascii="仿宋_GB2312" w:eastAsia="仿宋_GB2312"/>
          <w:color w:val="000000"/>
          <w:sz w:val="32"/>
          <w:szCs w:val="32"/>
        </w:rPr>
      </w:pPr>
      <w:r>
        <w:rPr>
          <w:rFonts w:ascii="仿宋_GB2312" w:eastAsia="仿宋_GB2312"/>
          <w:color w:val="000000"/>
          <w:sz w:val="32"/>
          <w:szCs w:val="32"/>
        </w:rPr>
        <w:t>9.</w:t>
      </w:r>
      <w:r>
        <w:rPr>
          <w:rFonts w:hint="eastAsia" w:ascii="仿宋_GB2312" w:eastAsia="仿宋_GB2312"/>
          <w:color w:val="000000"/>
          <w:sz w:val="32"/>
          <w:szCs w:val="32"/>
        </w:rPr>
        <w:t>一般公共服务（类）宗教事务（款）行政运行（项）：</w:t>
      </w:r>
    </w:p>
    <w:p>
      <w:pPr>
        <w:rPr>
          <w:rFonts w:hint="eastAsia" w:ascii="仿宋_GB2312" w:eastAsia="仿宋_GB2312"/>
          <w:color w:val="000000"/>
          <w:sz w:val="32"/>
          <w:szCs w:val="32"/>
        </w:rPr>
      </w:pPr>
      <w:r>
        <w:rPr>
          <w:rFonts w:hint="eastAsia" w:ascii="仿宋_GB2312" w:eastAsia="仿宋_GB2312"/>
          <w:color w:val="000000"/>
          <w:sz w:val="32"/>
          <w:szCs w:val="32"/>
        </w:rPr>
        <w:t>指</w:t>
      </w:r>
      <w:r>
        <w:rPr>
          <w:rFonts w:hint="eastAsia" w:ascii="仿宋_GB2312" w:eastAsia="仿宋_GB2312"/>
          <w:color w:val="000000"/>
          <w:sz w:val="32"/>
          <w:szCs w:val="32"/>
          <w:lang w:eastAsia="zh-CN"/>
        </w:rPr>
        <w:t>反应我单位基本支出</w:t>
      </w:r>
      <w:r>
        <w:rPr>
          <w:rFonts w:hint="eastAsia" w:ascii="仿宋_GB2312" w:eastAsia="仿宋_GB2312"/>
          <w:color w:val="000000"/>
          <w:sz w:val="32"/>
          <w:szCs w:val="32"/>
        </w:rPr>
        <w:t>。</w:t>
      </w:r>
    </w:p>
    <w:p>
      <w:pPr>
        <w:numPr>
          <w:ilvl w:val="0"/>
          <w:numId w:val="6"/>
        </w:numPr>
        <w:ind w:left="958" w:leftChars="304" w:hanging="320" w:hangingChars="100"/>
        <w:rPr>
          <w:rFonts w:hint="eastAsia" w:ascii="仿宋_GB2312" w:eastAsia="仿宋_GB2312"/>
          <w:color w:val="000000"/>
          <w:sz w:val="32"/>
          <w:szCs w:val="32"/>
          <w:lang w:eastAsia="zh-CN"/>
        </w:rPr>
      </w:pPr>
      <w:r>
        <w:rPr>
          <w:rFonts w:hint="eastAsia" w:ascii="仿宋_GB2312" w:eastAsia="仿宋_GB2312"/>
          <w:color w:val="000000"/>
          <w:sz w:val="32"/>
          <w:szCs w:val="32"/>
        </w:rPr>
        <w:t>一般公共服务（类）宗教事务（款）</w:t>
      </w:r>
      <w:r>
        <w:rPr>
          <w:rFonts w:hint="eastAsia" w:ascii="仿宋_GB2312" w:eastAsia="仿宋_GB2312"/>
          <w:color w:val="000000"/>
          <w:sz w:val="32"/>
          <w:szCs w:val="32"/>
          <w:lang w:eastAsia="zh-CN"/>
        </w:rPr>
        <w:t>宗教工作专</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lang w:eastAsia="zh-CN"/>
        </w:rPr>
        <w:t>项</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用于宗教事务管理方面的专项支出</w:t>
      </w:r>
      <w:r>
        <w:rPr>
          <w:rFonts w:hint="eastAsia" w:ascii="仿宋_GB2312" w:eastAsia="仿宋_GB2312"/>
          <w:color w:val="000000"/>
          <w:sz w:val="32"/>
          <w:szCs w:val="32"/>
        </w:rPr>
        <w:t>。</w:t>
      </w:r>
    </w:p>
    <w:p>
      <w:pPr>
        <w:numPr>
          <w:ilvl w:val="0"/>
          <w:numId w:val="6"/>
        </w:numPr>
        <w:ind w:left="958" w:leftChars="304" w:hanging="320" w:hangingChars="100"/>
        <w:rPr>
          <w:rFonts w:hint="eastAsia" w:ascii="仿宋_GB2312" w:eastAsia="仿宋_GB2312"/>
          <w:color w:val="000000"/>
          <w:sz w:val="32"/>
          <w:szCs w:val="32"/>
          <w:lang w:eastAsia="zh-CN"/>
        </w:rPr>
      </w:pPr>
      <w:r>
        <w:rPr>
          <w:rFonts w:hint="eastAsia" w:ascii="仿宋_GB2312" w:eastAsia="仿宋_GB2312"/>
          <w:color w:val="000000"/>
          <w:sz w:val="32"/>
          <w:szCs w:val="32"/>
        </w:rPr>
        <w:t>一般公共服务（类）宗教事务（款）</w:t>
      </w:r>
      <w:r>
        <w:rPr>
          <w:rFonts w:hint="eastAsia" w:ascii="仿宋_GB2312" w:eastAsia="仿宋_GB2312"/>
          <w:color w:val="000000"/>
          <w:sz w:val="32"/>
          <w:szCs w:val="32"/>
          <w:lang w:eastAsia="zh-CN"/>
        </w:rPr>
        <w:t>其他宗教事</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lang w:eastAsia="zh-CN"/>
        </w:rPr>
        <w:t>务支出</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宗其他教事务方面的支出</w:t>
      </w:r>
      <w:r>
        <w:rPr>
          <w:rFonts w:hint="eastAsia" w:ascii="仿宋_GB2312" w:eastAsia="仿宋_GB2312"/>
          <w:color w:val="000000"/>
          <w:sz w:val="32"/>
          <w:szCs w:val="32"/>
        </w:rPr>
        <w:t>。</w:t>
      </w:r>
    </w:p>
    <w:p>
      <w:pPr>
        <w:numPr>
          <w:ilvl w:val="0"/>
          <w:numId w:val="7"/>
        </w:numPr>
        <w:ind w:left="958" w:leftChars="304" w:hanging="320" w:hangingChars="100"/>
        <w:rPr>
          <w:rFonts w:hint="eastAsia" w:ascii="仿宋_GB2312" w:eastAsia="仿宋_GB2312"/>
          <w:color w:val="000000"/>
          <w:sz w:val="32"/>
          <w:szCs w:val="32"/>
          <w:lang w:eastAsia="zh-CN"/>
        </w:rPr>
      </w:pPr>
      <w:r>
        <w:rPr>
          <w:rFonts w:hint="eastAsia" w:ascii="仿宋_GB2312" w:eastAsia="仿宋_GB2312"/>
          <w:color w:val="000000"/>
          <w:sz w:val="32"/>
          <w:szCs w:val="32"/>
        </w:rPr>
        <w:t>一般公共服务（类）</w:t>
      </w:r>
      <w:r>
        <w:rPr>
          <w:rFonts w:hint="eastAsia" w:ascii="仿宋_GB2312" w:eastAsia="仿宋_GB2312"/>
          <w:color w:val="000000"/>
          <w:sz w:val="32"/>
          <w:szCs w:val="32"/>
          <w:lang w:eastAsia="zh-CN"/>
        </w:rPr>
        <w:t>统战事务</w:t>
      </w:r>
      <w:r>
        <w:rPr>
          <w:rFonts w:hint="eastAsia" w:ascii="仿宋_GB2312" w:eastAsia="仿宋_GB2312"/>
          <w:color w:val="000000"/>
          <w:sz w:val="32"/>
          <w:szCs w:val="32"/>
        </w:rPr>
        <w:t>（款）</w:t>
      </w:r>
      <w:r>
        <w:rPr>
          <w:rFonts w:hint="eastAsia" w:ascii="仿宋_GB2312" w:eastAsia="仿宋_GB2312"/>
          <w:color w:val="000000"/>
          <w:sz w:val="32"/>
          <w:szCs w:val="32"/>
          <w:lang w:eastAsia="zh-CN"/>
        </w:rPr>
        <w:t>其他统战事</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lang w:eastAsia="zh-CN"/>
        </w:rPr>
        <w:t>务支出</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其他中国共产党统战部门的事务支出</w:t>
      </w:r>
      <w:r>
        <w:rPr>
          <w:rFonts w:hint="eastAsia" w:ascii="仿宋_GB2312" w:eastAsia="仿宋_GB2312"/>
          <w:color w:val="000000"/>
          <w:sz w:val="32"/>
          <w:szCs w:val="32"/>
        </w:rPr>
        <w:t>。</w:t>
      </w:r>
    </w:p>
    <w:p>
      <w:pPr>
        <w:numPr>
          <w:ilvl w:val="0"/>
          <w:numId w:val="8"/>
        </w:numPr>
        <w:ind w:left="958" w:leftChars="304" w:hanging="320" w:hangingChars="100"/>
        <w:rPr>
          <w:rFonts w:hint="eastAsia" w:ascii="仿宋_GB2312" w:eastAsia="仿宋_GB2312"/>
          <w:color w:val="000000"/>
          <w:sz w:val="32"/>
          <w:szCs w:val="32"/>
        </w:rPr>
      </w:pPr>
      <w:r>
        <w:rPr>
          <w:rFonts w:hint="eastAsia" w:ascii="仿宋_GB2312" w:eastAsia="仿宋_GB2312"/>
          <w:color w:val="000000"/>
          <w:sz w:val="32"/>
          <w:szCs w:val="32"/>
        </w:rPr>
        <w:t>社会保障和就业（类）行政事业单位离退休（款）</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rPr>
        <w:t>机关事业单位基本养老保险缴费支出（项）：指</w:t>
      </w:r>
      <w:r>
        <w:rPr>
          <w:rFonts w:hint="eastAsia" w:ascii="仿宋_GB2312" w:eastAsia="仿宋_GB2312"/>
          <w:color w:val="000000"/>
          <w:sz w:val="32"/>
          <w:szCs w:val="32"/>
          <w:lang w:eastAsia="zh-CN"/>
        </w:rPr>
        <w:t>单位缴纳的基本养老保险支出</w:t>
      </w:r>
      <w:r>
        <w:rPr>
          <w:rFonts w:hint="eastAsia" w:ascii="仿宋_GB2312" w:eastAsia="仿宋_GB2312"/>
          <w:color w:val="000000"/>
          <w:sz w:val="32"/>
          <w:szCs w:val="32"/>
        </w:rPr>
        <w:t>。</w:t>
      </w:r>
    </w:p>
    <w:p>
      <w:pPr>
        <w:numPr>
          <w:ilvl w:val="0"/>
          <w:numId w:val="8"/>
        </w:numPr>
        <w:ind w:left="958" w:leftChars="304" w:hanging="320" w:hangingChars="100"/>
        <w:rPr>
          <w:rFonts w:hint="eastAsia" w:ascii="仿宋_GB2312" w:eastAsia="仿宋_GB2312"/>
          <w:color w:val="000000"/>
          <w:sz w:val="32"/>
          <w:szCs w:val="32"/>
        </w:rPr>
      </w:pPr>
      <w:r>
        <w:rPr>
          <w:rFonts w:hint="eastAsia" w:ascii="仿宋_GB2312" w:eastAsia="仿宋_GB2312"/>
          <w:color w:val="000000"/>
          <w:sz w:val="32"/>
          <w:szCs w:val="32"/>
        </w:rPr>
        <w:t>社会保障和就业（类）行政事业单位离退休（款）</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rPr>
        <w:t>机关事业单位职业年金缴费支出（项）：指</w:t>
      </w:r>
      <w:r>
        <w:rPr>
          <w:rFonts w:hint="eastAsia" w:ascii="仿宋_GB2312" w:eastAsia="仿宋_GB2312"/>
          <w:color w:val="000000"/>
          <w:sz w:val="32"/>
          <w:szCs w:val="32"/>
          <w:lang w:eastAsia="zh-CN"/>
        </w:rPr>
        <w:t>单位实际缴纳的职业年金支出</w:t>
      </w:r>
      <w:r>
        <w:rPr>
          <w:rFonts w:hint="eastAsia" w:ascii="仿宋_GB2312" w:eastAsia="仿宋_GB2312"/>
          <w:color w:val="000000"/>
          <w:sz w:val="32"/>
          <w:szCs w:val="32"/>
        </w:rPr>
        <w:t>。</w:t>
      </w:r>
    </w:p>
    <w:p>
      <w:pPr>
        <w:numPr>
          <w:ilvl w:val="0"/>
          <w:numId w:val="8"/>
        </w:numPr>
        <w:ind w:left="958" w:leftChars="304" w:hanging="320" w:hangingChars="100"/>
        <w:rPr>
          <w:rFonts w:hint="eastAsia" w:ascii="仿宋_GB2312" w:eastAsia="仿宋_GB2312"/>
          <w:color w:val="000000"/>
          <w:sz w:val="32"/>
          <w:szCs w:val="32"/>
        </w:rPr>
      </w:pPr>
      <w:r>
        <w:rPr>
          <w:rFonts w:hint="eastAsia" w:ascii="仿宋_GB2312" w:eastAsia="仿宋_GB2312"/>
          <w:color w:val="000000"/>
          <w:sz w:val="32"/>
          <w:szCs w:val="32"/>
        </w:rPr>
        <w:t>社会保障和就业（类）特困人员救助供养（款）</w:t>
      </w:r>
    </w:p>
    <w:p>
      <w:pPr>
        <w:numPr>
          <w:ilvl w:val="0"/>
          <w:numId w:val="0"/>
        </w:numPr>
        <w:rPr>
          <w:rFonts w:hint="eastAsia" w:ascii="仿宋_GB2312" w:eastAsia="仿宋_GB2312"/>
          <w:color w:val="000000"/>
          <w:sz w:val="32"/>
          <w:szCs w:val="32"/>
        </w:rPr>
      </w:pPr>
      <w:r>
        <w:rPr>
          <w:rFonts w:hint="eastAsia" w:ascii="仿宋_GB2312" w:eastAsia="仿宋_GB2312"/>
          <w:color w:val="000000"/>
          <w:sz w:val="32"/>
          <w:szCs w:val="32"/>
        </w:rPr>
        <w:t>农村特困人员救助供养支出（项）：指</w:t>
      </w:r>
      <w:r>
        <w:rPr>
          <w:rFonts w:hint="eastAsia" w:ascii="仿宋_GB2312" w:eastAsia="仿宋_GB2312"/>
          <w:color w:val="000000"/>
          <w:sz w:val="32"/>
          <w:szCs w:val="32"/>
          <w:lang w:eastAsia="zh-CN"/>
        </w:rPr>
        <w:t>僧人五保</w:t>
      </w:r>
      <w:r>
        <w:rPr>
          <w:rFonts w:hint="eastAsia" w:ascii="仿宋_GB2312" w:eastAsia="仿宋_GB2312"/>
          <w:color w:val="000000"/>
          <w:sz w:val="32"/>
          <w:szCs w:val="32"/>
        </w:rPr>
        <w:t>。</w:t>
      </w:r>
    </w:p>
    <w:p>
      <w:pPr>
        <w:keepNext w:val="0"/>
        <w:keepLines w:val="0"/>
        <w:pageBreakBefore w:val="0"/>
        <w:widowControl w:val="0"/>
        <w:numPr>
          <w:ilvl w:val="0"/>
          <w:numId w:val="8"/>
        </w:numPr>
        <w:kinsoku/>
        <w:wordWrap/>
        <w:overflowPunct/>
        <w:topLinePunct w:val="0"/>
        <w:autoSpaceDE/>
        <w:autoSpaceDN/>
        <w:bidi w:val="0"/>
        <w:adjustRightInd/>
        <w:snapToGrid/>
        <w:ind w:left="958" w:leftChars="304" w:hanging="320" w:hangingChars="100"/>
        <w:jc w:val="left"/>
        <w:textAlignment w:val="auto"/>
        <w:rPr>
          <w:rFonts w:hint="eastAsia" w:ascii="仿宋_GB2312" w:eastAsia="仿宋_GB2312"/>
          <w:color w:val="000000"/>
          <w:sz w:val="32"/>
          <w:szCs w:val="32"/>
        </w:rPr>
      </w:pPr>
      <w:r>
        <w:rPr>
          <w:rFonts w:hint="eastAsia" w:ascii="仿宋_GB2312" w:eastAsia="仿宋_GB2312"/>
          <w:color w:val="000000"/>
          <w:sz w:val="32"/>
          <w:szCs w:val="32"/>
        </w:rPr>
        <w:t>医疗卫生与计划生育（类）行政事业单位医疗（款）</w:t>
      </w:r>
      <w:r>
        <w:rPr>
          <w:rFonts w:hint="eastAsia" w:ascii="仿宋_GB2312" w:eastAsia="仿宋_GB2312"/>
          <w:color w:val="00000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仿宋_GB2312" w:eastAsia="仿宋_GB2312"/>
          <w:color w:val="000000"/>
          <w:sz w:val="32"/>
          <w:szCs w:val="32"/>
        </w:rPr>
      </w:pPr>
      <w:r>
        <w:rPr>
          <w:rFonts w:hint="eastAsia" w:ascii="仿宋_GB2312" w:eastAsia="仿宋_GB2312"/>
          <w:color w:val="000000"/>
          <w:sz w:val="32"/>
          <w:szCs w:val="32"/>
        </w:rPr>
        <w:t>行政单位医疗（项）：指</w:t>
      </w:r>
      <w:r>
        <w:rPr>
          <w:rFonts w:hint="eastAsia" w:ascii="仿宋_GB2312" w:eastAsia="仿宋_GB2312"/>
          <w:color w:val="000000"/>
          <w:sz w:val="32"/>
          <w:szCs w:val="32"/>
          <w:lang w:eastAsia="zh-CN"/>
        </w:rPr>
        <w:t>行政单位基本医疗保险缴费经费</w:t>
      </w:r>
      <w:r>
        <w:rPr>
          <w:rFonts w:hint="eastAsia" w:ascii="仿宋_GB2312" w:eastAsia="仿宋_GB2312"/>
          <w:color w:val="000000"/>
          <w:sz w:val="32"/>
          <w:szCs w:val="32"/>
        </w:rPr>
        <w:t>。</w:t>
      </w:r>
    </w:p>
    <w:p>
      <w:pPr>
        <w:keepNext w:val="0"/>
        <w:keepLines w:val="0"/>
        <w:pageBreakBefore w:val="0"/>
        <w:widowControl w:val="0"/>
        <w:numPr>
          <w:ilvl w:val="0"/>
          <w:numId w:val="8"/>
        </w:numPr>
        <w:kinsoku/>
        <w:wordWrap/>
        <w:overflowPunct/>
        <w:topLinePunct w:val="0"/>
        <w:autoSpaceDE/>
        <w:autoSpaceDN/>
        <w:bidi w:val="0"/>
        <w:adjustRightInd/>
        <w:snapToGrid/>
        <w:ind w:left="958" w:leftChars="304" w:hanging="320" w:hangingChars="100"/>
        <w:jc w:val="left"/>
        <w:textAlignment w:val="auto"/>
        <w:rPr>
          <w:rFonts w:hint="eastAsia" w:ascii="仿宋_GB2312" w:eastAsia="仿宋_GB2312"/>
          <w:color w:val="000000"/>
          <w:sz w:val="32"/>
          <w:szCs w:val="32"/>
        </w:rPr>
      </w:pPr>
      <w:r>
        <w:rPr>
          <w:rFonts w:hint="eastAsia" w:ascii="仿宋_GB2312" w:eastAsia="仿宋_GB2312"/>
          <w:color w:val="000000"/>
          <w:sz w:val="32"/>
          <w:szCs w:val="32"/>
        </w:rPr>
        <w:t>医疗卫生与计划生育（类）行政事业单位医疗（款）</w:t>
      </w:r>
      <w:r>
        <w:rPr>
          <w:rFonts w:hint="eastAsia" w:ascii="仿宋_GB2312" w:eastAsia="仿宋_GB2312"/>
          <w:color w:val="00000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仿宋_GB2312" w:eastAsia="仿宋_GB2312"/>
          <w:color w:val="000000"/>
          <w:sz w:val="32"/>
          <w:szCs w:val="32"/>
        </w:rPr>
      </w:pPr>
      <w:r>
        <w:rPr>
          <w:rFonts w:hint="eastAsia" w:ascii="仿宋_GB2312" w:eastAsia="仿宋_GB2312"/>
          <w:color w:val="000000"/>
          <w:sz w:val="32"/>
          <w:szCs w:val="32"/>
        </w:rPr>
        <w:t>公务员医疗补助（项）：指</w:t>
      </w:r>
      <w:r>
        <w:rPr>
          <w:rFonts w:hint="eastAsia" w:ascii="仿宋_GB2312" w:eastAsia="仿宋_GB2312"/>
          <w:color w:val="000000"/>
          <w:sz w:val="32"/>
          <w:szCs w:val="32"/>
          <w:lang w:eastAsia="zh-CN"/>
        </w:rPr>
        <w:t>公务员医疗补助经费</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ascii="仿宋_GB2312" w:eastAsia="仿宋_GB2312"/>
          <w:color w:val="000000"/>
          <w:sz w:val="32"/>
          <w:szCs w:val="32"/>
        </w:rPr>
        <w:t>25.</w:t>
      </w:r>
      <w:r>
        <w:rPr>
          <w:rFonts w:hint="eastAsia" w:ascii="仿宋_GB2312" w:eastAsia="仿宋_GB2312"/>
          <w:color w:val="000000"/>
          <w:sz w:val="32"/>
          <w:szCs w:val="32"/>
        </w:rPr>
        <w:t>住房保障（类）住房改革支出（款）住房公积金（项）：指</w:t>
      </w:r>
      <w:r>
        <w:rPr>
          <w:rFonts w:hint="eastAsia" w:ascii="仿宋_GB2312" w:eastAsia="仿宋_GB2312"/>
          <w:color w:val="000000"/>
          <w:sz w:val="32"/>
          <w:szCs w:val="32"/>
          <w:lang w:eastAsia="zh-CN"/>
        </w:rPr>
        <w:t>以一定比例为职工缴纳的住房公积金</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28.</w:t>
      </w:r>
      <w:r>
        <w:rPr>
          <w:rFonts w:hint="eastAsia" w:ascii="仿宋_GB2312" w:eastAsia="仿宋_GB2312"/>
          <w:color w:val="000000"/>
          <w:sz w:val="32"/>
          <w:szCs w:val="32"/>
        </w:rPr>
        <w:t>经营支出：指事业单位在专业业务活动及其辅助活动之外开展非独立核算经营活动发生的支出。</w:t>
      </w:r>
    </w:p>
    <w:p>
      <w:pPr>
        <w:pStyle w:val="26"/>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29.</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lang w:val="en-US" w:eastAsia="zh-CN"/>
        </w:rPr>
        <w:t>0.</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6"/>
        <w:spacing w:line="560" w:lineRule="exact"/>
        <w:ind w:firstLine="640" w:firstLineChars="200"/>
        <w:rPr>
          <w:rFonts w:ascii="仿宋_GB2312" w:eastAsia="仿宋_GB2312" w:cs="黑体"/>
          <w:sz w:val="32"/>
          <w:szCs w:val="32"/>
        </w:rPr>
      </w:pPr>
    </w:p>
    <w:p>
      <w:pPr>
        <w:keepNext w:val="0"/>
        <w:keepLines w:val="0"/>
        <w:pageBreakBefore w:val="0"/>
        <w:kinsoku/>
        <w:wordWrap/>
        <w:overflowPunct/>
        <w:topLinePunct w:val="0"/>
        <w:autoSpaceDE/>
        <w:autoSpaceDN/>
        <w:bidi w:val="0"/>
        <w:spacing w:line="576" w:lineRule="exact"/>
        <w:ind w:left="0" w:leftChars="0" w:right="0" w:rightChars="0" w:firstLine="2640" w:firstLineChars="600"/>
        <w:textAlignment w:val="auto"/>
        <w:rPr>
          <w:rStyle w:val="28"/>
          <w:rFonts w:ascii="黑体" w:hAnsi="黑体" w:eastAsia="黑体"/>
          <w:b w:val="0"/>
        </w:rPr>
      </w:pPr>
      <w:bookmarkStart w:id="57" w:name="_Toc15396614"/>
      <w:bookmarkStart w:id="58" w:name="_Toc15377226"/>
      <w:r>
        <w:rPr>
          <w:rFonts w:hint="eastAsia" w:ascii="黑体" w:hAnsi="黑体" w:eastAsia="黑体"/>
          <w:color w:val="000000"/>
          <w:sz w:val="44"/>
          <w:szCs w:val="44"/>
        </w:rPr>
        <w:t>第</w:t>
      </w:r>
      <w:r>
        <w:rPr>
          <w:rStyle w:val="28"/>
          <w:rFonts w:hint="eastAsia" w:ascii="黑体" w:hAnsi="黑体" w:eastAsia="黑体"/>
          <w:b w:val="0"/>
        </w:rPr>
        <w:t>四部分 附件</w:t>
      </w:r>
      <w:bookmarkEnd w:id="57"/>
    </w:p>
    <w:p>
      <w:pPr>
        <w:spacing w:line="600" w:lineRule="exact"/>
        <w:jc w:val="center"/>
        <w:outlineLvl w:val="0"/>
        <w:rPr>
          <w:rStyle w:val="28"/>
        </w:rPr>
      </w:pPr>
    </w:p>
    <w:p>
      <w:pPr>
        <w:pStyle w:val="5"/>
        <w:rPr>
          <w:rStyle w:val="28"/>
          <w:rFonts w:ascii="仿宋" w:hAnsi="仿宋" w:eastAsia="仿宋"/>
          <w:b w:val="0"/>
          <w:bCs w:val="0"/>
          <w:sz w:val="32"/>
          <w:szCs w:val="32"/>
        </w:rPr>
      </w:pPr>
      <w:bookmarkStart w:id="59" w:name="_Toc15396615"/>
      <w:r>
        <w:rPr>
          <w:rStyle w:val="28"/>
          <w:rFonts w:hint="eastAsia" w:ascii="仿宋" w:hAnsi="仿宋" w:eastAsia="仿宋"/>
          <w:b w:val="0"/>
          <w:bCs w:val="0"/>
          <w:sz w:val="32"/>
          <w:szCs w:val="32"/>
        </w:rPr>
        <w:t>附件1</w:t>
      </w:r>
      <w:bookmarkEnd w:id="59"/>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sz w:val="44"/>
          <w:szCs w:val="44"/>
          <w:lang w:val="en-US"/>
        </w:rPr>
      </w:pPr>
      <w:bookmarkStart w:id="60" w:name="_Toc15396617"/>
      <w:r>
        <w:rPr>
          <w:rFonts w:hint="eastAsia" w:ascii="方正小标宋简体" w:hAnsi="宋体" w:eastAsia="方正小标宋简体" w:cs="方正小标宋简体"/>
          <w:kern w:val="2"/>
          <w:sz w:val="44"/>
          <w:szCs w:val="44"/>
          <w:lang w:val="en-US" w:eastAsia="zh-CN" w:bidi="ar"/>
        </w:rPr>
        <w:t>部门整体支出绩效报告范本</w:t>
      </w:r>
    </w:p>
    <w:p>
      <w:pPr>
        <w:keepNext w:val="0"/>
        <w:keepLines w:val="0"/>
        <w:widowControl/>
        <w:suppressLineNumbers w:val="0"/>
        <w:spacing w:before="0" w:beforeAutospacing="0" w:after="0" w:afterAutospacing="0" w:line="480" w:lineRule="exact"/>
        <w:ind w:left="0" w:right="0"/>
        <w:jc w:val="center"/>
        <w:rPr>
          <w:rFonts w:hint="eastAsia" w:ascii="黑体" w:hAnsi="宋体" w:eastAsia="黑体" w:cs="宋体"/>
          <w:color w:val="000000"/>
          <w:kern w:val="0"/>
          <w:lang w:val="en-US"/>
        </w:rPr>
      </w:pPr>
      <w:r>
        <w:rPr>
          <w:rFonts w:hint="eastAsia" w:ascii="仿宋_GB2312" w:hAnsi="宋体" w:eastAsia="仿宋_GB2312" w:cs="仿宋_GB2312"/>
          <w:kern w:val="2"/>
          <w:sz w:val="32"/>
          <w:szCs w:val="24"/>
          <w:lang w:val="en-US" w:eastAsia="zh-CN" w:bidi="ar"/>
        </w:rPr>
        <w:t>（报告范围包括机关和下属单位）</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zh-CN" w:eastAsia="zh-CN"/>
        </w:rPr>
      </w:pPr>
      <w:r>
        <w:rPr>
          <w:rFonts w:hint="eastAsia" w:ascii="黑体" w:hAnsi="宋体" w:eastAsia="黑体" w:cs="宋体"/>
          <w:color w:val="000000"/>
          <w:kern w:val="0"/>
          <w:sz w:val="32"/>
          <w:szCs w:val="24"/>
          <w:lang w:val="en-US" w:eastAsia="zh-CN" w:bidi="ar"/>
        </w:rPr>
        <w:t>一、</w:t>
      </w:r>
      <w:r>
        <w:rPr>
          <w:rFonts w:hint="eastAsia" w:ascii="黑体" w:hAnsi="宋体" w:eastAsia="黑体" w:cs="宋体"/>
          <w:color w:val="000000"/>
          <w:kern w:val="0"/>
          <w:sz w:val="32"/>
          <w:szCs w:val="24"/>
          <w:lang w:val="zh-CN" w:eastAsia="zh-CN" w:bidi="ar"/>
        </w:rPr>
        <w:t>部门（单位）概况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（一）机构组成。</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 w:hAnsi="仿宋" w:eastAsia="仿宋"/>
          <w:color w:val="000000"/>
          <w:sz w:val="32"/>
          <w:szCs w:val="32"/>
          <w:lang w:val="zh-CN" w:eastAsia="zh-CN"/>
        </w:rPr>
      </w:pPr>
      <w:r>
        <w:rPr>
          <w:rFonts w:hint="eastAsia" w:ascii="仿宋_GB2312" w:eastAsia="仿宋_GB2312"/>
          <w:color w:val="000000"/>
          <w:sz w:val="32"/>
          <w:szCs w:val="32"/>
          <w:lang w:val="zh-CN" w:eastAsia="zh-CN"/>
        </w:rPr>
        <w:t>我单位为独立核算全额拨款行政单位</w:t>
      </w:r>
      <w:r>
        <w:rPr>
          <w:rFonts w:hint="eastAsia" w:ascii="仿宋_GB2312" w:eastAsia="仿宋_GB2312"/>
          <w:color w:val="000000"/>
          <w:sz w:val="32"/>
          <w:szCs w:val="32"/>
          <w:lang w:val="en-US" w:eastAsia="zh-CN"/>
        </w:rPr>
        <w:t>。</w:t>
      </w:r>
    </w:p>
    <w:p>
      <w:pPr>
        <w:keepNext w:val="0"/>
        <w:keepLines w:val="0"/>
        <w:widowControl/>
        <w:numPr>
          <w:ilvl w:val="0"/>
          <w:numId w:val="9"/>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机构职能。</w:t>
      </w:r>
    </w:p>
    <w:p>
      <w:pPr>
        <w:ind w:firstLine="640" w:firstLineChars="200"/>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管委会为县政府派出机构，受县政府委托，履行相应宗教事务管理执法权，业务上接收统战和宗教工作部门的指导和监督。</w:t>
      </w:r>
    </w:p>
    <w:p>
      <w:pPr>
        <w:ind w:firstLine="640" w:firstLineChars="200"/>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依法管理宗教事务，加强寺庙管理，加强僧尼管理，加强宗教活动管理。</w:t>
      </w:r>
    </w:p>
    <w:p>
      <w:pPr>
        <w:ind w:firstLine="640" w:firstLineChars="200"/>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教育引导，以增强僧尼法制意识、公民意识、政府议事、祖国意识为目标，坚持不懈加强对僧尼的教育引导。</w:t>
      </w:r>
    </w:p>
    <w:p>
      <w:pPr>
        <w:ind w:firstLine="640" w:firstLineChars="200"/>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公共服务，充分保障依法打击寺庙和持证僧尼的普惠性待遇，做到“五通”、“三有”、“三覆盖”。</w:t>
      </w:r>
    </w:p>
    <w:p>
      <w:pPr>
        <w:keepNext w:val="0"/>
        <w:keepLines w:val="0"/>
        <w:widowControl/>
        <w:numPr>
          <w:ilvl w:val="0"/>
          <w:numId w:val="9"/>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人员概况。</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我单位共有编制</w:t>
      </w:r>
      <w:r>
        <w:rPr>
          <w:rFonts w:hint="eastAsia" w:ascii="仿宋_GB2312" w:eastAsia="仿宋_GB2312"/>
          <w:color w:val="000000"/>
          <w:sz w:val="32"/>
          <w:szCs w:val="32"/>
          <w:lang w:val="en-US" w:eastAsia="zh-CN"/>
        </w:rPr>
        <w:t>10</w:t>
      </w:r>
      <w:r>
        <w:rPr>
          <w:rFonts w:hint="eastAsia" w:ascii="仿宋_GB2312" w:eastAsia="仿宋_GB2312"/>
          <w:color w:val="000000"/>
          <w:sz w:val="32"/>
          <w:szCs w:val="32"/>
          <w:lang w:val="zh-CN" w:eastAsia="zh-CN"/>
        </w:rPr>
        <w:t>个，其中公务员编制</w:t>
      </w:r>
      <w:r>
        <w:rPr>
          <w:rFonts w:hint="eastAsia" w:ascii="仿宋_GB2312" w:eastAsia="仿宋_GB2312"/>
          <w:color w:val="000000"/>
          <w:sz w:val="32"/>
          <w:szCs w:val="32"/>
          <w:lang w:val="en-US" w:eastAsia="zh-CN"/>
        </w:rPr>
        <w:t>10</w:t>
      </w:r>
      <w:r>
        <w:rPr>
          <w:rFonts w:hint="eastAsia" w:ascii="仿宋_GB2312" w:eastAsia="仿宋_GB2312"/>
          <w:color w:val="000000"/>
          <w:sz w:val="32"/>
          <w:szCs w:val="32"/>
          <w:lang w:val="zh-CN" w:eastAsia="zh-CN"/>
        </w:rPr>
        <w:t>个，在职</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lang w:val="zh-CN" w:eastAsia="zh-CN"/>
        </w:rPr>
        <w:t>人，公务员</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lang w:val="zh-CN" w:eastAsia="zh-CN"/>
        </w:rPr>
        <w:t>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olor w:val="000000"/>
          <w:sz w:val="32"/>
          <w:szCs w:val="32"/>
          <w:lang w:val="zh-CN" w:eastAsia="zh-CN"/>
        </w:rPr>
      </w:pPr>
      <w:r>
        <w:rPr>
          <w:rFonts w:hint="eastAsia" w:ascii="仿宋_GB2312" w:hAnsi="宋体" w:eastAsia="仿宋_GB2312" w:cs="宋体"/>
          <w:color w:val="000000"/>
          <w:kern w:val="0"/>
          <w:sz w:val="32"/>
          <w:szCs w:val="24"/>
          <w:lang w:val="zh-CN" w:eastAsia="zh-CN" w:bidi="ar"/>
        </w:rPr>
        <w:t>（一）部门财政资金收入情况。</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2018年我单位收入为348.02万元，其中一般公共预算财政拨款343.02万元。</w:t>
      </w:r>
    </w:p>
    <w:p>
      <w:pPr>
        <w:keepNext w:val="0"/>
        <w:keepLines w:val="0"/>
        <w:widowControl/>
        <w:numPr>
          <w:ilvl w:val="0"/>
          <w:numId w:val="10"/>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部门财政资金支出情况。</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2018年支出为348.02万，其中：一般公共预算拨款236.96万元,项目支出106.08万元。</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我管委会严格按照《预算法》及相关财经法规和政策编制本年度预算，严格控制编报质量，保证所有资金合法合规，严格按照相关规定进行预算编制，中央转移支付资金按照文件要求下达，专项转移支付严格根据分地区分项目进行编制.</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r>
        <w:rPr>
          <w:rFonts w:hint="eastAsia" w:ascii="楷体" w:hAnsi="楷体" w:eastAsia="楷体" w:cs="宋体"/>
          <w:color w:val="000000"/>
          <w:kern w:val="0"/>
          <w:sz w:val="32"/>
          <w:szCs w:val="24"/>
          <w:lang w:val="zh-CN" w:eastAsia="zh-CN" w:bidi="ar"/>
        </w:rPr>
        <w:tab/>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 w:hAnsi="仿宋" w:eastAsia="仿宋"/>
          <w:color w:val="000000"/>
          <w:sz w:val="32"/>
          <w:szCs w:val="32"/>
          <w:lang w:val="zh-CN" w:eastAsia="zh-CN"/>
        </w:rPr>
      </w:pPr>
      <w:r>
        <w:rPr>
          <w:rFonts w:hint="eastAsia" w:ascii="仿宋_GB2312" w:hAnsi="Calibri" w:eastAsia="仿宋_GB2312" w:cs="仿宋"/>
          <w:color w:val="000000"/>
          <w:kern w:val="0"/>
          <w:sz w:val="32"/>
          <w:szCs w:val="32"/>
          <w:lang w:val="en-US" w:eastAsia="zh-CN" w:bidi="ar-SA"/>
        </w:rPr>
        <w:t>部门预算执行到位，严格按照预算管理进行支付并做到节能降耗，“三公”经费严格按照年初预算执行。</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（三）综合管理情况。</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准确的反映各项收支活动；建立健全了内控制度，加强和完善了经费收支和财务管理，积极配合各级财政部门开展相关经费的考评工作；本院在资金使用过程中，合理使用各项资金，严格执行各项经费开支范围和标准。对中央、省转移支付资金的使用全部用于与宗教事务，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严格落实《党政机关厉行节约反对浪费条例》的相关规定，进一步规范了“三公经费”的管理并严格控制了“三公经费”的支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zh-CN" w:eastAsia="zh-CN" w:bidi="ar-SA"/>
        </w:rPr>
      </w:pPr>
      <w:r>
        <w:rPr>
          <w:rFonts w:hint="eastAsia" w:ascii="仿宋_GB2312" w:hAnsi="Calibri" w:eastAsia="仿宋_GB2312" w:cs="仿宋"/>
          <w:color w:val="000000"/>
          <w:kern w:val="0"/>
          <w:sz w:val="32"/>
          <w:szCs w:val="32"/>
          <w:lang w:val="zh-CN" w:eastAsia="zh-CN" w:bidi="ar-SA"/>
        </w:rPr>
        <w:t>我单位</w:t>
      </w:r>
      <w:r>
        <w:rPr>
          <w:rFonts w:hint="eastAsia" w:ascii="仿宋_GB2312" w:hAnsi="Calibri" w:eastAsia="仿宋_GB2312" w:cs="仿宋"/>
          <w:color w:val="000000"/>
          <w:kern w:val="0"/>
          <w:sz w:val="32"/>
          <w:szCs w:val="32"/>
          <w:lang w:val="en-US" w:eastAsia="zh-CN" w:bidi="ar-SA"/>
        </w:rPr>
        <w:t>依法管理宗教事务，加强寺庙管理，加强僧尼管理，加强宗教活动管理；教育引导，以增强僧尼法制意识、公民意识、政府议事、祖国意识为目标，坚持不懈加强对僧尼的教育引导；公共服务，充分保障依法打击寺庙和持证僧尼的普惠性待遇，做到“五通”、“三有”、“三覆盖”。加强对重点项目绩效的管理，令寺庙僧人非常满意。</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（一）评价结论。</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zh-CN" w:eastAsia="zh-CN" w:bidi="ar-SA"/>
        </w:rPr>
      </w:pPr>
      <w:r>
        <w:rPr>
          <w:rFonts w:hint="eastAsia" w:ascii="仿宋_GB2312" w:hAnsi="Calibri" w:eastAsia="仿宋_GB2312" w:cs="仿宋"/>
          <w:color w:val="000000"/>
          <w:kern w:val="0"/>
          <w:sz w:val="32"/>
          <w:szCs w:val="32"/>
          <w:lang w:val="zh-CN" w:eastAsia="zh-CN" w:bidi="ar-SA"/>
        </w:rPr>
        <w:t>根据《2018年红原县部门支出绩效评价指标体系》评分得分9</w:t>
      </w:r>
      <w:r>
        <w:rPr>
          <w:rFonts w:hint="eastAsia" w:ascii="仿宋_GB2312" w:hAnsi="Calibri" w:eastAsia="仿宋_GB2312" w:cs="仿宋"/>
          <w:color w:val="000000"/>
          <w:kern w:val="0"/>
          <w:sz w:val="32"/>
          <w:szCs w:val="32"/>
          <w:lang w:val="en-US" w:eastAsia="zh-CN" w:bidi="ar-SA"/>
        </w:rPr>
        <w:t>4</w:t>
      </w:r>
      <w:r>
        <w:rPr>
          <w:rFonts w:hint="eastAsia" w:ascii="仿宋_GB2312" w:hAnsi="Calibri" w:eastAsia="仿宋_GB2312" w:cs="仿宋"/>
          <w:color w:val="000000"/>
          <w:kern w:val="0"/>
          <w:sz w:val="32"/>
          <w:szCs w:val="32"/>
          <w:lang w:val="zh-CN" w:eastAsia="zh-CN" w:bidi="ar-SA"/>
        </w:rPr>
        <w:t>分，部门整体支出绩效为“好”。</w:t>
      </w:r>
    </w:p>
    <w:p>
      <w:pPr>
        <w:keepNext w:val="0"/>
        <w:keepLines w:val="0"/>
        <w:widowControl/>
        <w:numPr>
          <w:ilvl w:val="0"/>
          <w:numId w:val="10"/>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存在问题。</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1、预算管理意识薄弱，组织机构设置简单；人员配备不足，缺乏对预算工作重要的认识；2、预算编制时间短，方法简单；预算编制准备不充分。3、缺乏行之有效的监督机制，控制体系不健全。</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eastAsia="仿宋_GB2312" w:cs="仿宋_GB2312"/>
          <w:lang w:val="en-US"/>
        </w:rPr>
      </w:pPr>
      <w:r>
        <w:rPr>
          <w:rFonts w:hint="eastAsia" w:ascii="仿宋_GB2312" w:hAnsi="宋体" w:eastAsia="仿宋_GB2312" w:cs="宋体"/>
          <w:color w:val="000000"/>
          <w:kern w:val="0"/>
          <w:sz w:val="32"/>
          <w:szCs w:val="24"/>
          <w:lang w:val="zh-CN" w:eastAsia="zh-CN" w:bidi="ar"/>
        </w:rPr>
        <w:t>（三）改进建议。</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_GB2312" w:hAnsi="Calibri" w:eastAsia="仿宋_GB2312" w:cs="仿宋"/>
          <w:color w:val="000000"/>
          <w:kern w:val="0"/>
          <w:sz w:val="32"/>
          <w:szCs w:val="32"/>
          <w:lang w:val="en-US" w:eastAsia="zh-CN" w:bidi="ar-SA"/>
        </w:rPr>
      </w:pPr>
      <w:r>
        <w:rPr>
          <w:rFonts w:hint="eastAsia" w:ascii="仿宋_GB2312" w:hAnsi="Calibri" w:eastAsia="仿宋_GB2312" w:cs="仿宋"/>
          <w:color w:val="000000"/>
          <w:kern w:val="0"/>
          <w:sz w:val="32"/>
          <w:szCs w:val="32"/>
          <w:lang w:val="en-US" w:eastAsia="zh-CN" w:bidi="ar-SA"/>
        </w:rPr>
        <w:t>1.加强组织领导，增强预算编制的准确性，提高对预算编制与执行的认识，为绩效评价工作开展创造更好的条件；2.建立长效机制，加强管理提高部门支出的绩效成果，为更好的服务工作发挥最大效益。</w:t>
      </w:r>
    </w:p>
    <w:p>
      <w:pPr>
        <w:keepNext w:val="0"/>
        <w:keepLines w:val="0"/>
        <w:pageBreakBefore w:val="0"/>
        <w:kinsoku/>
        <w:wordWrap/>
        <w:overflowPunct/>
        <w:topLinePunct w:val="0"/>
        <w:autoSpaceDE/>
        <w:autoSpaceDN/>
        <w:bidi w:val="0"/>
        <w:spacing w:line="576" w:lineRule="exact"/>
        <w:ind w:left="0" w:leftChars="0" w:right="0" w:rightChars="0" w:firstLine="640" w:firstLineChars="200"/>
        <w:textAlignment w:val="auto"/>
        <w:rPr>
          <w:rFonts w:hint="eastAsia" w:ascii="仿宋" w:hAnsi="仿宋" w:eastAsia="仿宋"/>
          <w:color w:val="000000"/>
          <w:sz w:val="32"/>
          <w:szCs w:val="32"/>
          <w:lang w:val="en-US" w:eastAsia="zh-CN"/>
        </w:rPr>
      </w:pPr>
    </w:p>
    <w:p>
      <w:pPr>
        <w:pStyle w:val="5"/>
        <w:rPr>
          <w:rStyle w:val="28"/>
          <w:rFonts w:hint="eastAsia" w:ascii="仿宋" w:hAnsi="仿宋" w:eastAsia="仿宋"/>
          <w:b w:val="0"/>
          <w:bCs w:val="0"/>
          <w:sz w:val="32"/>
          <w:szCs w:val="32"/>
        </w:rPr>
      </w:pPr>
    </w:p>
    <w:p>
      <w:pPr>
        <w:pStyle w:val="5"/>
        <w:rPr>
          <w:rStyle w:val="28"/>
          <w:rFonts w:hint="eastAsia" w:ascii="仿宋" w:hAnsi="仿宋" w:eastAsia="仿宋"/>
          <w:b w:val="0"/>
          <w:bCs w:val="0"/>
          <w:sz w:val="32"/>
          <w:szCs w:val="32"/>
        </w:rPr>
      </w:pPr>
    </w:p>
    <w:p>
      <w:pPr>
        <w:pStyle w:val="5"/>
        <w:rPr>
          <w:rStyle w:val="28"/>
          <w:rFonts w:hint="eastAsia" w:ascii="仿宋" w:hAnsi="仿宋" w:eastAsia="仿宋"/>
          <w:b w:val="0"/>
          <w:bCs w:val="0"/>
          <w:sz w:val="32"/>
          <w:szCs w:val="32"/>
        </w:rPr>
      </w:pPr>
    </w:p>
    <w:p>
      <w:pPr>
        <w:pStyle w:val="5"/>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p>
      <w:pPr>
        <w:pStyle w:val="5"/>
        <w:rPr>
          <w:rStyle w:val="28"/>
          <w:rFonts w:hint="eastAsia" w:ascii="仿宋" w:hAnsi="仿宋" w:eastAsia="仿宋"/>
          <w:b w:val="0"/>
          <w:bCs w:val="0"/>
          <w:sz w:val="32"/>
          <w:szCs w:val="32"/>
        </w:rPr>
      </w:pPr>
    </w:p>
    <w:p>
      <w:pPr>
        <w:pStyle w:val="5"/>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p>
      <w:pPr>
        <w:rPr>
          <w:rStyle w:val="28"/>
          <w:rFonts w:hint="eastAsia" w:ascii="仿宋" w:hAnsi="仿宋" w:eastAsia="仿宋"/>
          <w:b w:val="0"/>
          <w:bCs w:val="0"/>
          <w:sz w:val="32"/>
          <w:szCs w:val="32"/>
        </w:rPr>
      </w:pPr>
    </w:p>
    <w:bookmarkEnd w:id="60"/>
    <w:p>
      <w:pPr>
        <w:spacing w:line="600" w:lineRule="exact"/>
        <w:jc w:val="both"/>
        <w:outlineLvl w:val="0"/>
        <w:rPr>
          <w:rFonts w:hint="eastAsia" w:ascii="黑体" w:hAnsi="黑体" w:eastAsia="黑体"/>
          <w:color w:val="000000"/>
          <w:sz w:val="44"/>
          <w:szCs w:val="44"/>
        </w:rPr>
      </w:pPr>
      <w:bookmarkStart w:id="61" w:name="_Toc15396618"/>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Style w:val="28"/>
          <w:rFonts w:ascii="黑体" w:hAnsi="黑体" w:eastAsia="黑体"/>
          <w:b w:val="0"/>
        </w:rPr>
      </w:pPr>
      <w:r>
        <w:rPr>
          <w:rFonts w:hint="eastAsia" w:ascii="黑体" w:hAnsi="黑体" w:eastAsia="黑体"/>
          <w:color w:val="000000"/>
          <w:sz w:val="44"/>
          <w:szCs w:val="44"/>
        </w:rPr>
        <w:t>第</w:t>
      </w:r>
      <w:r>
        <w:rPr>
          <w:rStyle w:val="28"/>
          <w:rFonts w:hint="eastAsia" w:ascii="黑体" w:hAnsi="黑体" w:eastAsia="黑体"/>
          <w:b w:val="0"/>
        </w:rPr>
        <w:t>五部分 附表</w:t>
      </w:r>
      <w:bookmarkEnd w:id="58"/>
      <w:bookmarkEnd w:id="61"/>
    </w:p>
    <w:p>
      <w:pPr>
        <w:spacing w:line="600" w:lineRule="exact"/>
        <w:jc w:val="center"/>
        <w:outlineLvl w:val="0"/>
        <w:rPr>
          <w:rFonts w:ascii="仿宋" w:hAnsi="仿宋" w:eastAsia="仿宋"/>
          <w:b/>
          <w:color w:val="000000"/>
          <w:sz w:val="44"/>
          <w:szCs w:val="44"/>
        </w:rPr>
      </w:pPr>
    </w:p>
    <w:p>
      <w:pPr>
        <w:pStyle w:val="5"/>
        <w:numPr>
          <w:ilvl w:val="0"/>
          <w:numId w:val="11"/>
        </w:numPr>
        <w:rPr>
          <w:rFonts w:hint="eastAsia" w:ascii="仿宋" w:hAnsi="仿宋" w:eastAsia="仿宋"/>
          <w:b w:val="0"/>
          <w:color w:val="000000"/>
        </w:rPr>
      </w:pPr>
      <w:bookmarkStart w:id="62" w:name="_Toc15396620"/>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29"/>
          <w:rFonts w:hint="eastAsia" w:ascii="仿宋" w:hAnsi="仿宋" w:eastAsia="仿宋"/>
          <w:b w:val="0"/>
          <w:bCs w:val="0"/>
        </w:rPr>
        <w:t>入总表</w:t>
      </w:r>
      <w:bookmarkEnd w:id="62"/>
    </w:p>
    <w:p>
      <w:pPr>
        <w:pStyle w:val="5"/>
        <w:rPr>
          <w:rFonts w:ascii="仿宋" w:hAnsi="仿宋" w:eastAsia="仿宋"/>
          <w:color w:val="000000"/>
        </w:rPr>
      </w:pPr>
      <w:bookmarkStart w:id="63" w:name="_Toc15396621"/>
      <w:r>
        <w:rPr>
          <w:rStyle w:val="29"/>
          <w:rFonts w:hint="eastAsia" w:ascii="仿宋" w:hAnsi="仿宋" w:eastAsia="仿宋"/>
          <w:b w:val="0"/>
          <w:bCs w:val="0"/>
        </w:rPr>
        <w:t>三、</w:t>
      </w:r>
      <w:r>
        <w:rPr>
          <w:rFonts w:hint="eastAsia" w:ascii="仿宋" w:hAnsi="仿宋" w:eastAsia="仿宋"/>
          <w:b w:val="0"/>
          <w:color w:val="000000"/>
        </w:rPr>
        <w:t>支</w:t>
      </w:r>
      <w:r>
        <w:rPr>
          <w:rStyle w:val="29"/>
          <w:rFonts w:hint="eastAsia" w:ascii="仿宋" w:hAnsi="仿宋" w:eastAsia="仿宋"/>
          <w:b w:val="0"/>
          <w:bCs w:val="0"/>
        </w:rPr>
        <w:t>出总表</w:t>
      </w:r>
      <w:bookmarkEnd w:id="63"/>
    </w:p>
    <w:p>
      <w:pPr>
        <w:pStyle w:val="5"/>
        <w:rPr>
          <w:rFonts w:ascii="仿宋" w:hAnsi="仿宋" w:eastAsia="仿宋"/>
          <w:b w:val="0"/>
          <w:color w:val="000000"/>
        </w:rPr>
      </w:pPr>
      <w:bookmarkStart w:id="64" w:name="_Toc15396622"/>
      <w:r>
        <w:rPr>
          <w:rStyle w:val="29"/>
          <w:rFonts w:hint="eastAsia" w:ascii="仿宋" w:hAnsi="仿宋" w:eastAsia="仿宋"/>
          <w:b w:val="0"/>
          <w:bCs w:val="0"/>
        </w:rPr>
        <w:t>四、</w:t>
      </w:r>
      <w:r>
        <w:rPr>
          <w:rFonts w:hint="eastAsia" w:ascii="仿宋" w:hAnsi="仿宋" w:eastAsia="仿宋"/>
          <w:b w:val="0"/>
          <w:color w:val="000000"/>
        </w:rPr>
        <w:t>财</w:t>
      </w:r>
      <w:r>
        <w:rPr>
          <w:rStyle w:val="29"/>
          <w:rFonts w:hint="eastAsia" w:ascii="仿宋" w:hAnsi="仿宋" w:eastAsia="仿宋"/>
          <w:b w:val="0"/>
          <w:bCs w:val="0"/>
        </w:rPr>
        <w:t>政拨款收入支出决算总表</w:t>
      </w:r>
      <w:bookmarkEnd w:id="64"/>
    </w:p>
    <w:p>
      <w:pPr>
        <w:pStyle w:val="5"/>
        <w:rPr>
          <w:rFonts w:ascii="仿宋" w:hAnsi="仿宋" w:eastAsia="仿宋"/>
          <w:color w:val="000000"/>
        </w:rPr>
      </w:pPr>
      <w:bookmarkStart w:id="65" w:name="_Toc15396623"/>
      <w:r>
        <w:rPr>
          <w:rStyle w:val="29"/>
          <w:rFonts w:hint="eastAsia" w:ascii="仿宋" w:hAnsi="仿宋" w:eastAsia="仿宋"/>
          <w:b w:val="0"/>
          <w:bCs w:val="0"/>
        </w:rPr>
        <w:t>五、</w:t>
      </w:r>
      <w:r>
        <w:rPr>
          <w:rFonts w:hint="eastAsia" w:ascii="仿宋" w:hAnsi="仿宋" w:eastAsia="仿宋"/>
          <w:b w:val="0"/>
          <w:color w:val="000000"/>
        </w:rPr>
        <w:t>财</w:t>
      </w:r>
      <w:r>
        <w:rPr>
          <w:rStyle w:val="29"/>
          <w:rFonts w:hint="eastAsia" w:ascii="仿宋" w:hAnsi="仿宋" w:eastAsia="仿宋"/>
          <w:b w:val="0"/>
          <w:bCs w:val="0"/>
        </w:rPr>
        <w:t>政拨款支出决算明细表（政府经济分类科目）</w:t>
      </w:r>
      <w:bookmarkEnd w:id="65"/>
    </w:p>
    <w:p>
      <w:pPr>
        <w:pStyle w:val="5"/>
        <w:rPr>
          <w:rFonts w:ascii="仿宋" w:hAnsi="仿宋" w:eastAsia="仿宋"/>
          <w:color w:val="000000"/>
        </w:rPr>
      </w:pPr>
      <w:bookmarkStart w:id="66" w:name="_Toc15396624"/>
      <w:r>
        <w:rPr>
          <w:rStyle w:val="29"/>
          <w:rFonts w:hint="eastAsia" w:ascii="仿宋" w:hAnsi="仿宋" w:eastAsia="仿宋"/>
          <w:b w:val="0"/>
          <w:bCs w:val="0"/>
        </w:rPr>
        <w:t>六、</w:t>
      </w:r>
      <w:r>
        <w:rPr>
          <w:rFonts w:hint="eastAsia" w:ascii="仿宋" w:hAnsi="仿宋" w:eastAsia="仿宋"/>
          <w:b w:val="0"/>
          <w:color w:val="000000"/>
        </w:rPr>
        <w:t>一</w:t>
      </w:r>
      <w:r>
        <w:rPr>
          <w:rStyle w:val="29"/>
          <w:rFonts w:hint="eastAsia" w:ascii="仿宋" w:hAnsi="仿宋" w:eastAsia="仿宋"/>
          <w:b w:val="0"/>
          <w:bCs w:val="0"/>
        </w:rPr>
        <w:t>般公共预算财政拨款支出决算表</w:t>
      </w:r>
      <w:bookmarkEnd w:id="66"/>
    </w:p>
    <w:p>
      <w:pPr>
        <w:pStyle w:val="5"/>
        <w:rPr>
          <w:rFonts w:ascii="仿宋" w:hAnsi="仿宋" w:eastAsia="仿宋"/>
          <w:color w:val="000000"/>
        </w:rPr>
      </w:pPr>
      <w:bookmarkStart w:id="67" w:name="_Toc15396625"/>
      <w:r>
        <w:rPr>
          <w:rStyle w:val="29"/>
          <w:rFonts w:hint="eastAsia" w:ascii="仿宋" w:hAnsi="仿宋" w:eastAsia="仿宋"/>
          <w:b w:val="0"/>
          <w:bCs w:val="0"/>
        </w:rPr>
        <w:t>七、</w:t>
      </w:r>
      <w:r>
        <w:rPr>
          <w:rFonts w:hint="eastAsia" w:ascii="仿宋" w:hAnsi="仿宋" w:eastAsia="仿宋"/>
          <w:b w:val="0"/>
          <w:color w:val="000000"/>
        </w:rPr>
        <w:t>一</w:t>
      </w:r>
      <w:r>
        <w:rPr>
          <w:rStyle w:val="29"/>
          <w:rFonts w:hint="eastAsia" w:ascii="仿宋" w:hAnsi="仿宋" w:eastAsia="仿宋"/>
          <w:b w:val="0"/>
          <w:bCs w:val="0"/>
        </w:rPr>
        <w:t>般公共预算财政拨款支出决算明细表</w:t>
      </w:r>
      <w:bookmarkEnd w:id="67"/>
    </w:p>
    <w:p>
      <w:pPr>
        <w:pStyle w:val="5"/>
        <w:rPr>
          <w:rFonts w:ascii="仿宋" w:hAnsi="仿宋" w:eastAsia="仿宋"/>
          <w:color w:val="000000"/>
        </w:rPr>
      </w:pPr>
      <w:bookmarkStart w:id="68" w:name="_Toc15396626"/>
      <w:r>
        <w:rPr>
          <w:rStyle w:val="29"/>
          <w:rFonts w:hint="eastAsia" w:ascii="仿宋" w:hAnsi="仿宋" w:eastAsia="仿宋"/>
          <w:b w:val="0"/>
          <w:bCs w:val="0"/>
        </w:rPr>
        <w:t>八、</w:t>
      </w:r>
      <w:r>
        <w:rPr>
          <w:rFonts w:hint="eastAsia" w:ascii="仿宋" w:hAnsi="仿宋" w:eastAsia="仿宋"/>
          <w:b w:val="0"/>
          <w:color w:val="000000"/>
        </w:rPr>
        <w:t>一</w:t>
      </w:r>
      <w:r>
        <w:rPr>
          <w:rStyle w:val="29"/>
          <w:rFonts w:hint="eastAsia" w:ascii="仿宋" w:hAnsi="仿宋" w:eastAsia="仿宋"/>
          <w:b w:val="0"/>
          <w:bCs w:val="0"/>
        </w:rPr>
        <w:t>般公共预算财政拨款基本支出决算表</w:t>
      </w:r>
      <w:bookmarkEnd w:id="68"/>
    </w:p>
    <w:p>
      <w:pPr>
        <w:pStyle w:val="5"/>
        <w:rPr>
          <w:rFonts w:ascii="仿宋" w:hAnsi="仿宋" w:eastAsia="仿宋"/>
          <w:color w:val="000000"/>
        </w:rPr>
      </w:pPr>
      <w:bookmarkStart w:id="69" w:name="_Toc15396627"/>
      <w:r>
        <w:rPr>
          <w:rStyle w:val="29"/>
          <w:rFonts w:hint="eastAsia" w:ascii="仿宋" w:hAnsi="仿宋" w:eastAsia="仿宋"/>
          <w:b w:val="0"/>
          <w:bCs w:val="0"/>
        </w:rPr>
        <w:t>九、</w:t>
      </w:r>
      <w:r>
        <w:rPr>
          <w:rFonts w:hint="eastAsia" w:ascii="仿宋" w:hAnsi="仿宋" w:eastAsia="仿宋"/>
          <w:b w:val="0"/>
          <w:color w:val="000000"/>
        </w:rPr>
        <w:t>一</w:t>
      </w:r>
      <w:r>
        <w:rPr>
          <w:rStyle w:val="29"/>
          <w:rFonts w:hint="eastAsia" w:ascii="仿宋" w:hAnsi="仿宋" w:eastAsia="仿宋"/>
          <w:b w:val="0"/>
          <w:bCs w:val="0"/>
        </w:rPr>
        <w:t>般公共预算财政拨款项目支出决算表</w:t>
      </w:r>
      <w:bookmarkEnd w:id="69"/>
    </w:p>
    <w:p>
      <w:pPr>
        <w:pStyle w:val="5"/>
        <w:rPr>
          <w:rFonts w:ascii="仿宋" w:hAnsi="仿宋" w:eastAsia="仿宋"/>
          <w:color w:val="000000"/>
        </w:rPr>
      </w:pPr>
      <w:bookmarkStart w:id="70" w:name="_Toc15396628"/>
      <w:r>
        <w:rPr>
          <w:rStyle w:val="29"/>
          <w:rFonts w:hint="eastAsia" w:ascii="仿宋" w:hAnsi="仿宋" w:eastAsia="仿宋"/>
          <w:b w:val="0"/>
          <w:bCs w:val="0"/>
        </w:rPr>
        <w:t>十、</w:t>
      </w:r>
      <w:r>
        <w:rPr>
          <w:rFonts w:hint="eastAsia" w:ascii="仿宋" w:hAnsi="仿宋" w:eastAsia="仿宋"/>
          <w:b w:val="0"/>
          <w:color w:val="000000"/>
        </w:rPr>
        <w:t>一</w:t>
      </w:r>
      <w:r>
        <w:rPr>
          <w:rStyle w:val="29"/>
          <w:rFonts w:hint="eastAsia" w:ascii="仿宋" w:hAnsi="仿宋" w:eastAsia="仿宋"/>
          <w:b w:val="0"/>
          <w:bCs w:val="0"/>
        </w:rPr>
        <w:t>般公共预算财政拨款“三公”经费支出决算表</w:t>
      </w:r>
      <w:bookmarkEnd w:id="70"/>
    </w:p>
    <w:p>
      <w:pPr>
        <w:pStyle w:val="5"/>
        <w:rPr>
          <w:rFonts w:ascii="仿宋" w:hAnsi="仿宋" w:eastAsia="仿宋"/>
          <w:color w:val="000000"/>
        </w:rPr>
      </w:pPr>
      <w:bookmarkStart w:id="71" w:name="_Toc15396629"/>
      <w:r>
        <w:rPr>
          <w:rStyle w:val="29"/>
          <w:rFonts w:hint="eastAsia" w:ascii="仿宋" w:hAnsi="仿宋" w:eastAsia="仿宋"/>
          <w:b w:val="0"/>
          <w:bCs w:val="0"/>
        </w:rPr>
        <w:t>十一、</w:t>
      </w:r>
      <w:r>
        <w:rPr>
          <w:rFonts w:hint="eastAsia" w:ascii="仿宋" w:hAnsi="仿宋" w:eastAsia="仿宋"/>
          <w:b w:val="0"/>
          <w:color w:val="000000"/>
        </w:rPr>
        <w:t>政</w:t>
      </w:r>
      <w:r>
        <w:rPr>
          <w:rStyle w:val="29"/>
          <w:rFonts w:hint="eastAsia" w:ascii="仿宋" w:hAnsi="仿宋" w:eastAsia="仿宋"/>
          <w:b w:val="0"/>
          <w:bCs w:val="0"/>
        </w:rPr>
        <w:t>府性基金预算财政拨款收入支出决算表</w:t>
      </w:r>
      <w:bookmarkEnd w:id="71"/>
    </w:p>
    <w:p>
      <w:pPr>
        <w:pStyle w:val="5"/>
        <w:rPr>
          <w:rFonts w:ascii="仿宋" w:hAnsi="仿宋" w:eastAsia="仿宋"/>
          <w:color w:val="000000"/>
        </w:rPr>
      </w:pPr>
      <w:bookmarkStart w:id="72" w:name="_Toc15396630"/>
      <w:r>
        <w:rPr>
          <w:rStyle w:val="29"/>
          <w:rFonts w:hint="eastAsia" w:ascii="仿宋" w:hAnsi="仿宋" w:eastAsia="仿宋"/>
          <w:b w:val="0"/>
          <w:bCs w:val="0"/>
        </w:rPr>
        <w:t>十二、</w:t>
      </w:r>
      <w:r>
        <w:rPr>
          <w:rFonts w:hint="eastAsia" w:ascii="仿宋" w:hAnsi="仿宋" w:eastAsia="仿宋"/>
          <w:b w:val="0"/>
          <w:color w:val="000000"/>
        </w:rPr>
        <w:t>政</w:t>
      </w:r>
      <w:r>
        <w:rPr>
          <w:rStyle w:val="29"/>
          <w:rFonts w:hint="eastAsia" w:ascii="仿宋" w:hAnsi="仿宋" w:eastAsia="仿宋"/>
          <w:b w:val="0"/>
          <w:bCs w:val="0"/>
        </w:rPr>
        <w:t>府性基金预算财政拨款“三公”经费支出决算表</w:t>
      </w:r>
      <w:bookmarkEnd w:id="72"/>
    </w:p>
    <w:p>
      <w:pPr>
        <w:pStyle w:val="5"/>
        <w:rPr>
          <w:rStyle w:val="29"/>
          <w:rFonts w:hint="eastAsia" w:ascii="仿宋" w:hAnsi="仿宋" w:eastAsia="仿宋"/>
          <w:b w:val="0"/>
          <w:bCs w:val="0"/>
        </w:rPr>
      </w:pPr>
      <w:bookmarkStart w:id="73" w:name="_Toc15396631"/>
      <w:r>
        <w:rPr>
          <w:rStyle w:val="29"/>
          <w:rFonts w:hint="eastAsia" w:ascii="仿宋" w:hAnsi="仿宋" w:eastAsia="仿宋"/>
          <w:b w:val="0"/>
          <w:bCs w:val="0"/>
        </w:rPr>
        <w:t>十三、</w:t>
      </w:r>
      <w:r>
        <w:rPr>
          <w:rFonts w:hint="eastAsia" w:ascii="仿宋" w:hAnsi="仿宋" w:eastAsia="仿宋"/>
          <w:b w:val="0"/>
          <w:color w:val="000000"/>
        </w:rPr>
        <w:t>国</w:t>
      </w:r>
      <w:r>
        <w:rPr>
          <w:rStyle w:val="29"/>
          <w:rFonts w:hint="eastAsia" w:ascii="仿宋" w:hAnsi="仿宋" w:eastAsia="仿宋"/>
          <w:b w:val="0"/>
          <w:bCs w:val="0"/>
        </w:rPr>
        <w:t>有资本经营预算支出决算表</w:t>
      </w:r>
      <w:bookmarkEnd w:id="73"/>
    </w:p>
    <w:p>
      <w:pPr>
        <w:ind w:firstLine="320" w:firstLineChars="100"/>
        <w:rPr>
          <w:rStyle w:val="29"/>
          <w:rFonts w:hint="eastAsia" w:ascii="仿宋" w:hAnsi="仿宋" w:eastAsia="仿宋"/>
          <w:b w:val="0"/>
          <w:bCs w:val="0"/>
          <w:lang w:val="en-US" w:eastAsia="zh-CN"/>
        </w:rPr>
      </w:pPr>
      <w:r>
        <w:rPr>
          <w:rStyle w:val="29"/>
          <w:rFonts w:hint="eastAsia" w:ascii="仿宋" w:hAnsi="仿宋" w:eastAsia="仿宋"/>
          <w:b w:val="0"/>
          <w:bCs w:val="0"/>
          <w:lang w:val="en-US" w:eastAsia="zh-CN"/>
        </w:rPr>
        <w:t>十四、整体支出绩效评价打分表</w:t>
      </w:r>
    </w:p>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Calibri Light">
    <w:panose1 w:val="020F0302020204030204"/>
    <w:charset w:val="00"/>
    <w:family w:val="auto"/>
    <w:pitch w:val="default"/>
    <w:sig w:usb0="A00002EF" w:usb1="4000207B" w:usb2="00000000" w:usb3="00000000" w:csb0="2000019F" w:csb1="00000000"/>
  </w:font>
  <w:font w:name="等线">
    <w:altName w:val="微软雅黑"/>
    <w:panose1 w:val="00000000000000000000"/>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10"/>
          <w:jc w:val="center"/>
        </w:pPr>
        <w:r>
          <w:fldChar w:fldCharType="begin"/>
        </w:r>
        <w:r>
          <w:instrText xml:space="preserve">PAGE   \* MERGEFORMAT</w:instrText>
        </w:r>
        <w:r>
          <w:fldChar w:fldCharType="separate"/>
        </w:r>
        <w:r>
          <w:rPr>
            <w:lang w:val="zh-CN"/>
          </w:rPr>
          <w:t>10</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6C66B"/>
    <w:multiLevelType w:val="singleLevel"/>
    <w:tmpl w:val="B026C66B"/>
    <w:lvl w:ilvl="0" w:tentative="0">
      <w:start w:val="1"/>
      <w:numFmt w:val="decimal"/>
      <w:lvlText w:val="%1."/>
      <w:lvlJc w:val="left"/>
      <w:pPr>
        <w:tabs>
          <w:tab w:val="left" w:pos="312"/>
        </w:tabs>
      </w:pPr>
    </w:lvl>
  </w:abstractNum>
  <w:abstractNum w:abstractNumId="1">
    <w:nsid w:val="B9550FDE"/>
    <w:multiLevelType w:val="singleLevel"/>
    <w:tmpl w:val="B9550FDE"/>
    <w:lvl w:ilvl="0" w:tentative="0">
      <w:start w:val="2"/>
      <w:numFmt w:val="chineseCounting"/>
      <w:suff w:val="nothing"/>
      <w:lvlText w:val="（%1）"/>
      <w:lvlJc w:val="left"/>
      <w:rPr>
        <w:rFonts w:hint="eastAsia"/>
      </w:rPr>
    </w:lvl>
  </w:abstractNum>
  <w:abstractNum w:abstractNumId="2">
    <w:nsid w:val="CF652CEC"/>
    <w:multiLevelType w:val="singleLevel"/>
    <w:tmpl w:val="CF652CEC"/>
    <w:lvl w:ilvl="0" w:tentative="0">
      <w:start w:val="9"/>
      <w:numFmt w:val="chineseCounting"/>
      <w:suff w:val="nothing"/>
      <w:lvlText w:val="%1、"/>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F2416298"/>
    <w:multiLevelType w:val="singleLevel"/>
    <w:tmpl w:val="F2416298"/>
    <w:lvl w:ilvl="0" w:tentative="0">
      <w:start w:val="10"/>
      <w:numFmt w:val="decimal"/>
      <w:lvlText w:val="%1."/>
      <w:lvlJc w:val="left"/>
      <w:pPr>
        <w:tabs>
          <w:tab w:val="left" w:pos="312"/>
        </w:tabs>
      </w:pPr>
    </w:lvl>
  </w:abstractNum>
  <w:abstractNum w:abstractNumId="5">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6">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7">
    <w:nsid w:val="4116703C"/>
    <w:multiLevelType w:val="singleLevel"/>
    <w:tmpl w:val="4116703C"/>
    <w:lvl w:ilvl="0" w:tentative="0">
      <w:start w:val="15"/>
      <w:numFmt w:val="decimal"/>
      <w:lvlText w:val="%1."/>
      <w:lvlJc w:val="left"/>
      <w:pPr>
        <w:tabs>
          <w:tab w:val="left" w:pos="312"/>
        </w:tabs>
      </w:pPr>
    </w:lvl>
  </w:abstractNum>
  <w:abstractNum w:abstractNumId="8">
    <w:nsid w:val="44A8E491"/>
    <w:multiLevelType w:val="singleLevel"/>
    <w:tmpl w:val="44A8E491"/>
    <w:lvl w:ilvl="0" w:tentative="0">
      <w:start w:val="2"/>
      <w:numFmt w:val="chineseCounting"/>
      <w:suff w:val="nothing"/>
      <w:lvlText w:val="（%1）"/>
      <w:lvlJc w:val="left"/>
      <w:rPr>
        <w:rFonts w:hint="eastAsia"/>
      </w:rPr>
    </w:lvl>
  </w:abstractNum>
  <w:abstractNum w:abstractNumId="9">
    <w:nsid w:val="5D5382B5"/>
    <w:multiLevelType w:val="singleLevel"/>
    <w:tmpl w:val="5D5382B5"/>
    <w:lvl w:ilvl="0" w:tentative="0">
      <w:start w:val="1"/>
      <w:numFmt w:val="chineseCounting"/>
      <w:suff w:val="nothing"/>
      <w:lvlText w:val="%1、"/>
      <w:lvlJc w:val="left"/>
    </w:lvl>
  </w:abstractNum>
  <w:abstractNum w:abstractNumId="10">
    <w:nsid w:val="5DFA34F7"/>
    <w:multiLevelType w:val="singleLevel"/>
    <w:tmpl w:val="5DFA34F7"/>
    <w:lvl w:ilvl="0" w:tentative="0">
      <w:start w:val="10"/>
      <w:numFmt w:val="decimal"/>
      <w:lvlText w:val="%1."/>
      <w:lvlJc w:val="left"/>
      <w:pPr>
        <w:tabs>
          <w:tab w:val="left" w:pos="312"/>
        </w:tabs>
      </w:pPr>
    </w:lvl>
  </w:abstractNum>
  <w:num w:numId="1">
    <w:abstractNumId w:val="5"/>
  </w:num>
  <w:num w:numId="2">
    <w:abstractNumId w:val="2"/>
  </w:num>
  <w:num w:numId="3">
    <w:abstractNumId w:val="6"/>
  </w:num>
  <w:num w:numId="4">
    <w:abstractNumId w:val="3"/>
  </w:num>
  <w:num w:numId="5">
    <w:abstractNumId w:val="0"/>
  </w:num>
  <w:num w:numId="6">
    <w:abstractNumId w:val="4"/>
  </w:num>
  <w:num w:numId="7">
    <w:abstractNumId w:val="10"/>
  </w:num>
  <w:num w:numId="8">
    <w:abstractNumId w:val="7"/>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47D654F"/>
    <w:rsid w:val="08DD55C7"/>
    <w:rsid w:val="0BBF0531"/>
    <w:rsid w:val="0ED62A80"/>
    <w:rsid w:val="10C055FF"/>
    <w:rsid w:val="10F529AD"/>
    <w:rsid w:val="128C0123"/>
    <w:rsid w:val="151D4DE7"/>
    <w:rsid w:val="16BB723D"/>
    <w:rsid w:val="1B484591"/>
    <w:rsid w:val="1DA06FC8"/>
    <w:rsid w:val="1F6006C1"/>
    <w:rsid w:val="240371BF"/>
    <w:rsid w:val="25B46BBD"/>
    <w:rsid w:val="284043DC"/>
    <w:rsid w:val="29FD04D3"/>
    <w:rsid w:val="2CB5581C"/>
    <w:rsid w:val="319F7F4E"/>
    <w:rsid w:val="322D5AD1"/>
    <w:rsid w:val="366165E2"/>
    <w:rsid w:val="3ABF06FE"/>
    <w:rsid w:val="3EB079F2"/>
    <w:rsid w:val="40F6333F"/>
    <w:rsid w:val="42375528"/>
    <w:rsid w:val="453E098F"/>
    <w:rsid w:val="47CA6448"/>
    <w:rsid w:val="49593399"/>
    <w:rsid w:val="4D0D5F9C"/>
    <w:rsid w:val="4EB94BA8"/>
    <w:rsid w:val="524B64EE"/>
    <w:rsid w:val="54FF00EB"/>
    <w:rsid w:val="55CD54E1"/>
    <w:rsid w:val="60857EF8"/>
    <w:rsid w:val="63F32206"/>
    <w:rsid w:val="69B35B4C"/>
    <w:rsid w:val="6B7F3207"/>
    <w:rsid w:val="6D20598A"/>
    <w:rsid w:val="6E9F640D"/>
    <w:rsid w:val="70D35E58"/>
    <w:rsid w:val="72F524A8"/>
    <w:rsid w:val="75282356"/>
    <w:rsid w:val="7DB146BC"/>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9">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uiPriority w:val="99"/>
    <w:pPr>
      <w:ind w:firstLine="420" w:firstLineChars="200"/>
    </w:pPr>
  </w:style>
  <w:style w:type="paragraph" w:styleId="3">
    <w:name w:val="Body Text Indent"/>
    <w:basedOn w:val="1"/>
    <w:unhideWhenUsed/>
    <w:uiPriority w:val="99"/>
    <w:pPr>
      <w:spacing w:after="120"/>
      <w:ind w:left="420" w:leftChars="200"/>
    </w:pPr>
    <w:rPr>
      <w:szCs w:val="20"/>
    </w:rPr>
  </w:style>
  <w:style w:type="paragraph" w:styleId="7">
    <w:name w:val="Body Text"/>
    <w:basedOn w:val="1"/>
    <w:link w:val="25"/>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szCs w:val="24"/>
      <w:lang w:bidi="ar-SA"/>
    </w:rPr>
  </w:style>
  <w:style w:type="character" w:styleId="16">
    <w:name w:val="Strong"/>
    <w:basedOn w:val="15"/>
    <w:qFormat/>
    <w:uiPriority w:val="99"/>
    <w:rPr>
      <w:b/>
    </w:rPr>
  </w:style>
  <w:style w:type="character" w:styleId="17">
    <w:name w:val="page number"/>
    <w:basedOn w:val="15"/>
    <w:qFormat/>
    <w:uiPriority w:val="0"/>
  </w:style>
  <w:style w:type="character" w:styleId="18">
    <w:name w:val="Hyperlink"/>
    <w:basedOn w:val="15"/>
    <w:unhideWhenUsed/>
    <w:qFormat/>
    <w:uiPriority w:val="99"/>
    <w:rPr>
      <w:color w:val="0000FF" w:themeColor="hyperlink"/>
      <w:u w:val="single"/>
      <w14:textFill>
        <w14:solidFill>
          <w14:schemeClr w14:val="hlink"/>
        </w14:solidFill>
      </w14:textFill>
    </w:rPr>
  </w:style>
  <w:style w:type="character" w:customStyle="1" w:styleId="20">
    <w:name w:val="Header Char"/>
    <w:basedOn w:val="15"/>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5"/>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5"/>
    <w:semiHidden/>
    <w:qFormat/>
    <w:uiPriority w:val="99"/>
    <w:rPr>
      <w:rFonts w:ascii="Times New Roman" w:hAnsi="Times New Roman"/>
      <w:szCs w:val="24"/>
    </w:rPr>
  </w:style>
  <w:style w:type="character" w:customStyle="1" w:styleId="25">
    <w:name w:val="正文文本 Char"/>
    <w:link w:val="7"/>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5"/>
    <w:link w:val="4"/>
    <w:qFormat/>
    <w:uiPriority w:val="9"/>
    <w:rPr>
      <w:rFonts w:ascii="Times New Roman" w:hAnsi="Times New Roman"/>
      <w:b/>
      <w:bCs/>
      <w:kern w:val="44"/>
      <w:sz w:val="44"/>
      <w:szCs w:val="44"/>
    </w:rPr>
  </w:style>
  <w:style w:type="character" w:customStyle="1" w:styleId="29">
    <w:name w:val="标题 2 Char"/>
    <w:basedOn w:val="15"/>
    <w:link w:val="5"/>
    <w:qFormat/>
    <w:uiPriority w:val="9"/>
    <w:rPr>
      <w:rFonts w:asciiTheme="majorHAnsi" w:hAnsiTheme="majorHAnsi" w:eastAsiaTheme="majorEastAsia" w:cstheme="majorBidi"/>
      <w:b/>
      <w:bCs/>
      <w:kern w:val="2"/>
      <w:sz w:val="32"/>
      <w:szCs w:val="32"/>
    </w:rPr>
  </w:style>
  <w:style w:type="paragraph" w:customStyle="1" w:styleId="30">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5"/>
    <w:link w:val="9"/>
    <w:semiHidden/>
    <w:qFormat/>
    <w:uiPriority w:val="99"/>
    <w:rPr>
      <w:rFonts w:ascii="Times New Roman" w:hAnsi="Times New Roman"/>
      <w:kern w:val="2"/>
      <w:sz w:val="18"/>
      <w:szCs w:val="18"/>
    </w:rPr>
  </w:style>
  <w:style w:type="character" w:customStyle="1" w:styleId="32">
    <w:name w:val="标题 3 Char"/>
    <w:basedOn w:val="15"/>
    <w:link w:val="6"/>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2018</c:v>
                </c:pt>
              </c:strCache>
            </c:strRef>
          </c:tx>
          <c:spPr>
            <a:solidFill>
              <a:schemeClr val="accent1"/>
            </a:solidFill>
            <a:ln>
              <a:noFill/>
            </a:ln>
            <a:effectLst/>
          </c:spPr>
          <c:invertIfNegative val="0"/>
          <c:dLbls>
            <c:delete val="1"/>
          </c:dLbls>
          <c:cat>
            <c:strRef>
              <c:f>Sheet1!$A$2:$A$3</c:f>
              <c:strCache>
                <c:ptCount val="2"/>
                <c:pt idx="0">
                  <c:v>支出</c:v>
                </c:pt>
                <c:pt idx="1">
                  <c:v>收入</c:v>
                </c:pt>
              </c:strCache>
            </c:strRef>
          </c:cat>
          <c:val>
            <c:numRef>
              <c:f>Sheet1!$B$2:$B$3</c:f>
              <c:numCache>
                <c:formatCode>General</c:formatCode>
                <c:ptCount val="2"/>
                <c:pt idx="0">
                  <c:v>348.02</c:v>
                </c:pt>
                <c:pt idx="1">
                  <c:v>348.02</c:v>
                </c:pt>
              </c:numCache>
            </c:numRef>
          </c:val>
        </c:ser>
        <c:ser>
          <c:idx val="1"/>
          <c:order val="1"/>
          <c:tx>
            <c:strRef>
              <c:f>Sheet1!$C$1</c:f>
              <c:strCache>
                <c:ptCount val="1"/>
                <c:pt idx="0">
                  <c:v>2017</c:v>
                </c:pt>
              </c:strCache>
            </c:strRef>
          </c:tx>
          <c:spPr>
            <a:solidFill>
              <a:schemeClr val="accent2"/>
            </a:solidFill>
            <a:ln>
              <a:noFill/>
            </a:ln>
            <a:effectLst/>
          </c:spPr>
          <c:invertIfNegative val="0"/>
          <c:dLbls>
            <c:delete val="1"/>
          </c:dLbls>
          <c:cat>
            <c:strRef>
              <c:f>Sheet1!$A$2:$A$3</c:f>
              <c:strCache>
                <c:ptCount val="2"/>
                <c:pt idx="0">
                  <c:v>支出</c:v>
                </c:pt>
                <c:pt idx="1">
                  <c:v>收入</c:v>
                </c:pt>
              </c:strCache>
            </c:strRef>
          </c:cat>
          <c:val>
            <c:numRef>
              <c:f>Sheet1!$C$2:$C$3</c:f>
              <c:numCache>
                <c:formatCode>General</c:formatCode>
                <c:ptCount val="2"/>
                <c:pt idx="0">
                  <c:v>339.19</c:v>
                </c:pt>
                <c:pt idx="1">
                  <c:v>370.19</c:v>
                </c:pt>
              </c:numCache>
            </c:numRef>
          </c:val>
        </c:ser>
        <c:dLbls>
          <c:showLegendKey val="0"/>
          <c:showVal val="0"/>
          <c:showCatName val="0"/>
          <c:showSerName val="0"/>
          <c:showPercent val="0"/>
          <c:showBubbleSize val="0"/>
        </c:dLbls>
        <c:gapWidth val="75"/>
        <c:overlap val="-25"/>
        <c:axId val="633438533"/>
        <c:axId val="646317094"/>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Sheet1!$A$2:$A$3</c15:sqref>
                        </c15:formulaRef>
                      </c:ext>
                    </c:extLst>
                    <c:strCache>
                      <c:ptCount val="2"/>
                      <c:pt idx="0">
                        <c:v>支出</c:v>
                      </c:pt>
                      <c:pt idx="1">
                        <c:v>收入</c:v>
                      </c:pt>
                    </c:strCache>
                  </c:strRef>
                </c:cat>
                <c:val>
                  <c:numRef>
                    <c:extLst>
                      <c:ext uri="{02D57815-91ED-43cb-92C2-25804820EDAC}">
                        <c15:formulaRef>
                          <c15:sqref>Sheet1!#REF!</c15:sqref>
                        </c15:formulaRef>
                      </c:ext>
                    </c:extLst>
                    <c:numCache>
                      <c:formatCode>General</c:formatCode>
                      <c:ptCount val="1"/>
                      <c:pt idx="0">
                        <c:v>1</c:v>
                      </c:pt>
                    </c:numCache>
                  </c:numRef>
                </c:val>
              </c15:ser>
            </c15:filteredBarSeries>
          </c:ext>
        </c:extLst>
      </c:barChart>
      <c:catAx>
        <c:axId val="63343853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46317094"/>
        <c:crosses val="autoZero"/>
        <c:auto val="1"/>
        <c:lblAlgn val="ctr"/>
        <c:lblOffset val="100"/>
        <c:noMultiLvlLbl val="0"/>
      </c:catAx>
      <c:valAx>
        <c:axId val="64631709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343853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一般公共预算财政拨款收入</c:v>
                </c:pt>
              </c:strCache>
            </c:strRef>
          </c:cat>
          <c:val>
            <c:numRef>
              <c:f>Sheet1!$B$2</c:f>
              <c:numCache>
                <c:formatCode>General</c:formatCode>
                <c:ptCount val="1"/>
                <c:pt idx="0">
                  <c:v>315.37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236.96</c:v>
                </c:pt>
                <c:pt idx="1">
                  <c:v>106.08</c:v>
                </c:pt>
              </c:numCache>
            </c:numRef>
          </c:val>
        </c:ser>
        <c:dLbls>
          <c:showLegendKey val="0"/>
          <c:showVal val="1"/>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2018</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支出</c:v>
                </c:pt>
                <c:pt idx="1">
                  <c:v>收入</c:v>
                </c:pt>
              </c:strCache>
            </c:strRef>
          </c:cat>
          <c:val>
            <c:numRef>
              <c:f>Sheet1!$B$2:$B$3</c:f>
              <c:numCache>
                <c:formatCode>General</c:formatCode>
                <c:ptCount val="2"/>
                <c:pt idx="0">
                  <c:v>343.02</c:v>
                </c:pt>
                <c:pt idx="1">
                  <c:v>315.37</c:v>
                </c:pt>
              </c:numCache>
            </c:numRef>
          </c:val>
        </c:ser>
        <c:ser>
          <c:idx val="1"/>
          <c:order val="1"/>
          <c:tx>
            <c:strRef>
              <c:f>Sheet1!$C$1</c:f>
              <c:strCache>
                <c:ptCount val="1"/>
                <c:pt idx="0">
                  <c:v>2017</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支出</c:v>
                </c:pt>
                <c:pt idx="1">
                  <c:v>收入</c:v>
                </c:pt>
              </c:strCache>
            </c:strRef>
          </c:cat>
          <c:val>
            <c:numRef>
              <c:f>Sheet1!$C$2:$C$3</c:f>
              <c:numCache>
                <c:formatCode>General</c:formatCode>
                <c:ptCount val="2"/>
                <c:pt idx="0">
                  <c:v>339.18</c:v>
                </c:pt>
                <c:pt idx="1">
                  <c:v>284.55</c:v>
                </c:pt>
              </c:numCache>
            </c:numRef>
          </c:val>
        </c:ser>
        <c:dLbls>
          <c:showLegendKey val="0"/>
          <c:showVal val="1"/>
          <c:showCatName val="0"/>
          <c:showSerName val="0"/>
          <c:showPercent val="0"/>
          <c:showBubbleSize val="0"/>
        </c:dLbls>
        <c:gapWidth val="75"/>
        <c:overlap val="0"/>
        <c:axId val="196826297"/>
        <c:axId val="212535466"/>
      </c:barChart>
      <c:catAx>
        <c:axId val="19682629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2535466"/>
        <c:crosses val="autoZero"/>
        <c:auto val="1"/>
        <c:lblAlgn val="ctr"/>
        <c:lblOffset val="100"/>
        <c:noMultiLvlLbl val="0"/>
      </c:catAx>
      <c:valAx>
        <c:axId val="212535466"/>
        <c:scaling>
          <c:orientation val="minMax"/>
        </c:scaling>
        <c:delete val="0"/>
        <c:axPos val="l"/>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682629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8878406708595"/>
          <c:y val="0.041385319102592"/>
          <c:w val="0.813259958071279"/>
          <c:h val="0.747636680461773"/>
        </c:manualLayout>
      </c:layout>
      <c:barChart>
        <c:barDir val="col"/>
        <c:grouping val="clustered"/>
        <c:varyColors val="0"/>
        <c:ser>
          <c:idx val="0"/>
          <c:order val="0"/>
          <c:tx>
            <c:strRef>
              <c:f>Sheet1!$B$1</c:f>
              <c:strCache>
                <c:ptCount val="1"/>
                <c:pt idx="0">
                  <c:v>2018</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一般公共预算财政拨款支出</c:v>
                </c:pt>
              </c:strCache>
            </c:strRef>
          </c:cat>
          <c:val>
            <c:numRef>
              <c:f>Sheet1!$B$2</c:f>
              <c:numCache>
                <c:formatCode>General</c:formatCode>
                <c:ptCount val="1"/>
                <c:pt idx="0">
                  <c:v>348.02</c:v>
                </c:pt>
              </c:numCache>
            </c:numRef>
          </c:val>
        </c:ser>
        <c:ser>
          <c:idx val="1"/>
          <c:order val="1"/>
          <c:tx>
            <c:strRef>
              <c:f>Sheet1!$C$1</c:f>
              <c:strCache>
                <c:ptCount val="1"/>
                <c:pt idx="0">
                  <c:v>2019</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一般公共预算财政拨款支出</c:v>
                </c:pt>
              </c:strCache>
            </c:strRef>
          </c:cat>
          <c:val>
            <c:numRef>
              <c:f>Sheet1!$C$2</c:f>
              <c:numCache>
                <c:formatCode>General</c:formatCode>
                <c:ptCount val="1"/>
                <c:pt idx="0">
                  <c:v>339.18</c:v>
                </c:pt>
              </c:numCache>
            </c:numRef>
          </c:val>
        </c:ser>
        <c:dLbls>
          <c:showLegendKey val="0"/>
          <c:showVal val="1"/>
          <c:showCatName val="0"/>
          <c:showSerName val="0"/>
          <c:showPercent val="0"/>
          <c:showBubbleSize val="0"/>
        </c:dLbls>
        <c:gapWidth val="75"/>
        <c:overlap val="0"/>
        <c:axId val="391283361"/>
        <c:axId val="393977208"/>
      </c:barChart>
      <c:catAx>
        <c:axId val="39128336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3977208"/>
        <c:crosses val="autoZero"/>
        <c:auto val="1"/>
        <c:lblAlgn val="ctr"/>
        <c:lblOffset val="100"/>
        <c:noMultiLvlLbl val="0"/>
      </c:catAx>
      <c:valAx>
        <c:axId val="393977208"/>
        <c:scaling>
          <c:orientation val="minMax"/>
        </c:scaling>
        <c:delete val="0"/>
        <c:axPos val="l"/>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128336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一般公共服务</c:v>
                </c:pt>
                <c:pt idx="1">
                  <c:v>社会保障和就业</c:v>
                </c:pt>
                <c:pt idx="2">
                  <c:v>医疗卫生支出</c:v>
                </c:pt>
                <c:pt idx="3">
                  <c:v>住房保障支出</c:v>
                </c:pt>
              </c:strCache>
            </c:strRef>
          </c:cat>
          <c:val>
            <c:numRef>
              <c:f>Sheet1!$B$2:$B$5</c:f>
              <c:numCache>
                <c:formatCode>General</c:formatCode>
                <c:ptCount val="4"/>
                <c:pt idx="0">
                  <c:v>258.44</c:v>
                </c:pt>
                <c:pt idx="1">
                  <c:v>60.76</c:v>
                </c:pt>
                <c:pt idx="2">
                  <c:v>2.36</c:v>
                </c:pt>
                <c:pt idx="3">
                  <c:v>4.58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公务用车购置及运行维护费</c:v>
                </c:pt>
                <c:pt idx="1">
                  <c:v>公务接待费</c:v>
                </c:pt>
              </c:strCache>
            </c:strRef>
          </c:cat>
          <c:val>
            <c:numRef>
              <c:f>Sheet1!$B$2:$B$3</c:f>
              <c:numCache>
                <c:formatCode>General</c:formatCode>
                <c:ptCount val="2"/>
                <c:pt idx="0">
                  <c:v>6.5</c:v>
                </c:pt>
                <c:pt idx="1">
                  <c:v>0.52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2019-09-15T08:58:20Z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