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646EA">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14:paraId="1955F74D">
      <w:pPr>
        <w:adjustRightInd w:val="0"/>
        <w:snapToGrid w:val="0"/>
        <w:spacing w:line="360" w:lineRule="auto"/>
        <w:jc w:val="center"/>
        <w:outlineLvl w:val="9"/>
        <w:rPr>
          <w:rFonts w:ascii="黑体" w:hAnsi="黑体" w:eastAsia="黑体"/>
          <w:color w:val="000000"/>
          <w:sz w:val="72"/>
          <w:szCs w:val="72"/>
        </w:rPr>
      </w:pPr>
    </w:p>
    <w:p w14:paraId="60E5C64D">
      <w:pPr>
        <w:adjustRightInd w:val="0"/>
        <w:snapToGrid w:val="0"/>
        <w:spacing w:line="360" w:lineRule="auto"/>
        <w:jc w:val="center"/>
        <w:outlineLvl w:val="9"/>
        <w:rPr>
          <w:rFonts w:ascii="方正小标宋简体" w:hAnsi="宋体" w:eastAsia="方正小标宋简体"/>
          <w:color w:val="000000"/>
          <w:sz w:val="72"/>
          <w:szCs w:val="72"/>
        </w:rPr>
      </w:pPr>
      <w:r>
        <w:rPr>
          <w:rFonts w:ascii="黑体" w:hAnsi="黑体" w:eastAsia="黑体"/>
          <w:color w:val="000000"/>
          <w:sz w:val="72"/>
          <w:szCs w:val="72"/>
        </w:rPr>
        <w:t>20</w:t>
      </w:r>
      <w:r>
        <w:rPr>
          <w:rFonts w:hint="eastAsia" w:ascii="黑体" w:hAnsi="黑体" w:eastAsia="黑体"/>
          <w:color w:val="000000"/>
          <w:sz w:val="72"/>
          <w:szCs w:val="72"/>
          <w:lang w:val="en-US" w:eastAsia="zh-CN"/>
        </w:rPr>
        <w:t>25</w:t>
      </w:r>
      <w:r>
        <w:rPr>
          <w:rFonts w:hint="eastAsia" w:ascii="方正小标宋简体" w:hAnsi="宋体" w:eastAsia="方正小标宋简体"/>
          <w:color w:val="000000"/>
          <w:sz w:val="72"/>
          <w:szCs w:val="72"/>
        </w:rPr>
        <w:t>年度</w:t>
      </w:r>
    </w:p>
    <w:p w14:paraId="163D352A">
      <w:pPr>
        <w:adjustRightInd w:val="0"/>
        <w:snapToGrid w:val="0"/>
        <w:spacing w:line="360" w:lineRule="auto"/>
        <w:jc w:val="center"/>
        <w:outlineLvl w:val="9"/>
        <w:rPr>
          <w:rFonts w:hint="eastAsia" w:ascii="黑体" w:hAnsi="黑体" w:eastAsia="黑体"/>
          <w:color w:val="000000"/>
          <w:sz w:val="72"/>
          <w:szCs w:val="72"/>
          <w:lang w:val="en-US" w:eastAsia="zh-CN"/>
        </w:rPr>
      </w:pPr>
      <w:bookmarkStart w:id="0" w:name="_Toc28872"/>
      <w:bookmarkStart w:id="1" w:name="_Toc13333"/>
      <w:bookmarkStart w:id="2" w:name="_Toc1387"/>
      <w:bookmarkStart w:id="3" w:name="_Toc4520"/>
      <w:bookmarkStart w:id="4" w:name="_Toc31528"/>
      <w:bookmarkStart w:id="5" w:name="_Toc28333"/>
      <w:bookmarkStart w:id="6" w:name="_Toc18829"/>
      <w:bookmarkStart w:id="7" w:name="_Toc28762"/>
      <w:bookmarkStart w:id="8" w:name="_Toc23284"/>
      <w:bookmarkStart w:id="9" w:name="_Toc26014"/>
      <w:bookmarkStart w:id="10" w:name="_Toc28659"/>
      <w:bookmarkStart w:id="11" w:name="_Toc22415"/>
      <w:bookmarkStart w:id="12" w:name="_Toc15983"/>
      <w:bookmarkStart w:id="13" w:name="_Toc7896"/>
      <w:bookmarkStart w:id="14" w:name="_Toc21644"/>
      <w:bookmarkStart w:id="15" w:name="_Toc20861"/>
      <w:r>
        <w:rPr>
          <w:rFonts w:hint="eastAsia" w:ascii="黑体" w:hAnsi="黑体" w:eastAsia="黑体"/>
          <w:color w:val="000000"/>
          <w:sz w:val="72"/>
          <w:szCs w:val="72"/>
          <w:lang w:eastAsia="zh-CN"/>
        </w:rPr>
        <w:t>红原县</w:t>
      </w:r>
      <w:bookmarkEnd w:id="0"/>
      <w:bookmarkEnd w:id="1"/>
      <w:bookmarkEnd w:id="2"/>
      <w:bookmarkEnd w:id="3"/>
      <w:bookmarkStart w:id="16" w:name="_Toc19355"/>
      <w:bookmarkStart w:id="17" w:name="_Toc26087"/>
      <w:r>
        <w:rPr>
          <w:rFonts w:hint="eastAsia" w:ascii="黑体" w:hAnsi="黑体" w:eastAsia="黑体"/>
          <w:color w:val="000000"/>
          <w:sz w:val="72"/>
          <w:szCs w:val="72"/>
          <w:lang w:val="en-US" w:eastAsia="zh-CN"/>
        </w:rPr>
        <w:t>新华书店</w:t>
      </w:r>
    </w:p>
    <w:p w14:paraId="7390DD06">
      <w:pPr>
        <w:adjustRightInd w:val="0"/>
        <w:snapToGrid w:val="0"/>
        <w:spacing w:line="360" w:lineRule="auto"/>
        <w:jc w:val="center"/>
        <w:outlineLvl w:val="9"/>
        <w:rPr>
          <w:rFonts w:ascii="黑体" w:hAnsi="黑体" w:eastAsia="黑体"/>
          <w:color w:val="000000"/>
          <w:sz w:val="72"/>
          <w:szCs w:val="72"/>
        </w:rPr>
      </w:pPr>
      <w:bookmarkStart w:id="18" w:name="_Toc13093"/>
      <w:bookmarkStart w:id="19" w:name="_Toc2639"/>
      <w:r>
        <w:rPr>
          <w:rFonts w:hint="eastAsia" w:ascii="黑体" w:hAnsi="黑体" w:eastAsia="黑体"/>
          <w:color w:val="000000"/>
          <w:sz w:val="72"/>
          <w:szCs w:val="72"/>
        </w:rPr>
        <w:t>关于</w:t>
      </w:r>
      <w:r>
        <w:rPr>
          <w:rFonts w:hint="eastAsia" w:ascii="黑体" w:hAnsi="黑体" w:eastAsia="黑体"/>
          <w:color w:val="000000"/>
          <w:sz w:val="72"/>
          <w:szCs w:val="72"/>
          <w:lang w:eastAsia="zh-CN"/>
        </w:rPr>
        <w:t>202</w:t>
      </w:r>
      <w:r>
        <w:rPr>
          <w:rFonts w:hint="eastAsia" w:ascii="黑体" w:hAnsi="黑体" w:eastAsia="黑体"/>
          <w:color w:val="000000"/>
          <w:sz w:val="72"/>
          <w:szCs w:val="72"/>
          <w:lang w:val="en-US" w:eastAsia="zh-CN"/>
        </w:rPr>
        <w:t>5</w:t>
      </w:r>
      <w:r>
        <w:rPr>
          <w:rFonts w:hint="eastAsia" w:ascii="黑体" w:hAnsi="黑体" w:eastAsia="黑体"/>
          <w:color w:val="000000"/>
          <w:sz w:val="72"/>
          <w:szCs w:val="72"/>
        </w:rPr>
        <w:t>年部门预算编制的说明</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4C448A56">
      <w:pPr>
        <w:pStyle w:val="2"/>
      </w:pPr>
    </w:p>
    <w:p w14:paraId="718FB916">
      <w:pPr>
        <w:rPr>
          <w:rFonts w:ascii="方正小标宋简体" w:hAnsi="宋体" w:eastAsia="方正小标宋简体"/>
          <w:sz w:val="36"/>
          <w:szCs w:val="36"/>
        </w:rPr>
      </w:pPr>
    </w:p>
    <w:p w14:paraId="4FB09F37">
      <w:pPr>
        <w:rPr>
          <w:rFonts w:ascii="方正小标宋简体" w:hAnsi="宋体" w:eastAsia="方正小标宋简体"/>
          <w:sz w:val="36"/>
          <w:szCs w:val="36"/>
        </w:rPr>
      </w:pPr>
    </w:p>
    <w:p w14:paraId="5D732AD7">
      <w:pPr>
        <w:rPr>
          <w:rFonts w:ascii="方正小标宋简体" w:hAnsi="宋体" w:eastAsia="方正小标宋简体"/>
          <w:sz w:val="36"/>
          <w:szCs w:val="36"/>
        </w:rPr>
      </w:pPr>
    </w:p>
    <w:p w14:paraId="06C030E3">
      <w:pPr>
        <w:pStyle w:val="2"/>
      </w:pPr>
    </w:p>
    <w:p w14:paraId="0537B77C">
      <w:pPr>
        <w:rPr>
          <w:rFonts w:ascii="方正小标宋简体" w:hAnsi="宋体" w:eastAsia="方正小标宋简体"/>
          <w:sz w:val="36"/>
          <w:szCs w:val="36"/>
        </w:rPr>
      </w:pPr>
    </w:p>
    <w:p w14:paraId="160E488C">
      <w:pPr>
        <w:autoSpaceDE w:val="0"/>
        <w:autoSpaceDN w:val="0"/>
        <w:adjustRightInd w:val="0"/>
        <w:ind w:firstLine="1276"/>
        <w:jc w:val="left"/>
        <w:rPr>
          <w:rFonts w:eastAsia="仿宋_GB2312"/>
          <w:sz w:val="32"/>
          <w:szCs w:val="32"/>
        </w:rPr>
      </w:pPr>
      <w:bookmarkStart w:id="20" w:name="_Toc11763"/>
      <w:bookmarkStart w:id="21" w:name="_Toc20639"/>
      <w:bookmarkStart w:id="22" w:name="_Toc15725"/>
      <w:bookmarkStart w:id="23" w:name="_Toc19416"/>
      <w:bookmarkStart w:id="24" w:name="_Toc3879"/>
      <w:r>
        <w:rPr>
          <w:rFonts w:hint="eastAsia" w:ascii="仿宋_GB2312" w:hAnsi="Calibri" w:eastAsia="仿宋_GB2312" w:cs="仿宋_GB2312"/>
          <w:sz w:val="32"/>
          <w:szCs w:val="32"/>
        </w:rPr>
        <w:t>保密审查情况：已审查，内容审定</w:t>
      </w:r>
      <w:bookmarkEnd w:id="20"/>
      <w:bookmarkEnd w:id="21"/>
      <w:bookmarkEnd w:id="22"/>
      <w:bookmarkEnd w:id="23"/>
      <w:bookmarkEnd w:id="24"/>
    </w:p>
    <w:p w14:paraId="798DAB37">
      <w:pPr>
        <w:autoSpaceDE w:val="0"/>
        <w:autoSpaceDN w:val="0"/>
        <w:adjustRightInd w:val="0"/>
        <w:ind w:firstLine="1276"/>
        <w:jc w:val="left"/>
        <w:rPr>
          <w:rFonts w:eastAsia="仿宋_GB2312"/>
          <w:sz w:val="32"/>
          <w:szCs w:val="32"/>
        </w:rPr>
      </w:pPr>
      <w:bookmarkStart w:id="25" w:name="_Toc24968"/>
      <w:bookmarkStart w:id="26" w:name="_Toc25414"/>
      <w:bookmarkStart w:id="27" w:name="_Toc480"/>
      <w:bookmarkStart w:id="28" w:name="_Toc16073"/>
      <w:bookmarkStart w:id="29" w:name="_Toc15358"/>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bookmarkEnd w:id="25"/>
      <w:bookmarkEnd w:id="26"/>
      <w:bookmarkEnd w:id="27"/>
      <w:bookmarkEnd w:id="28"/>
      <w:bookmarkEnd w:id="29"/>
    </w:p>
    <w:p w14:paraId="136963EA">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14:paraId="7CE90461">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14:paraId="12ED2F4E">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p>
    <w:p w14:paraId="4E477B12">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p>
    <w:p w14:paraId="5BFDF055">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目录</w:t>
      </w:r>
    </w:p>
    <w:sdt>
      <w:sdtPr>
        <w:rPr>
          <w:rFonts w:ascii="宋体" w:hAnsi="宋体" w:eastAsia="宋体" w:cstheme="minorBidi"/>
          <w:kern w:val="2"/>
          <w:sz w:val="21"/>
          <w:szCs w:val="24"/>
          <w:lang w:val="en-US" w:eastAsia="zh-CN" w:bidi="ar-SA"/>
        </w:rPr>
        <w:id w:val="147477846"/>
        <w15:color w:val="DBDBDB"/>
        <w:docPartObj>
          <w:docPartGallery w:val="Table of Contents"/>
          <w:docPartUnique/>
        </w:docPartObj>
      </w:sdtPr>
      <w:sdtEndPr>
        <w:rPr>
          <w:rFonts w:hint="eastAsia" w:eastAsia="宋体" w:cs="Times New Roman" w:asciiTheme="minorHAnsi" w:hAnsiTheme="minorHAnsi"/>
          <w:kern w:val="2"/>
          <w:sz w:val="21"/>
          <w:szCs w:val="24"/>
          <w:lang w:val="en-US" w:eastAsia="zh-CN" w:bidi="ar-SA"/>
        </w:rPr>
      </w:sdtEndPr>
      <w:sdtContent>
        <w:p w14:paraId="59614111">
          <w:pPr>
            <w:spacing w:before="0" w:beforeLines="0" w:after="0" w:afterLines="0" w:line="240" w:lineRule="auto"/>
            <w:ind w:left="0" w:leftChars="0" w:right="0" w:rightChars="0" w:firstLine="0" w:firstLineChars="0"/>
            <w:jc w:val="center"/>
          </w:pPr>
        </w:p>
        <w:p w14:paraId="2763D4C8">
          <w:pPr>
            <w:pStyle w:val="5"/>
            <w:tabs>
              <w:tab w:val="right" w:leader="dot" w:pos="8306"/>
            </w:tabs>
            <w:rPr>
              <w:rFonts w:hint="eastAsia" w:ascii="方正仿宋_GB2312" w:hAnsi="方正仿宋_GB2312" w:eastAsia="方正仿宋_GB2312" w:cs="方正仿宋_GB2312"/>
              <w:sz w:val="32"/>
              <w:szCs w:val="32"/>
            </w:rPr>
          </w:pPr>
          <w:r>
            <w:rPr>
              <w:rFonts w:hint="eastAsia"/>
            </w:rPr>
            <w:fldChar w:fldCharType="begin"/>
          </w:r>
          <w:r>
            <w:rPr>
              <w:rFonts w:hint="eastAsia"/>
            </w:rPr>
            <w:instrText xml:space="preserve">TOC \o "1-3" \h \u </w:instrText>
          </w:r>
          <w:r>
            <w:rPr>
              <w:rFonts w:hint="eastAsia"/>
            </w:rPr>
            <w:fldChar w:fldCharType="separate"/>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_Toc26309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一、基本职能及主要工作</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_Toc26309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185DD6DB">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_Toc25015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sz w:val="32"/>
              <w:szCs w:val="32"/>
              <w:lang w:eastAsia="zh-CN"/>
            </w:rPr>
            <w:t>（一）基本职能</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_Toc25015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64448589">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_Toc10974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sz w:val="32"/>
              <w:szCs w:val="32"/>
              <w:lang w:eastAsia="zh-CN"/>
            </w:rPr>
            <w:t>（二）202</w:t>
          </w:r>
          <w:r>
            <w:rPr>
              <w:rFonts w:hint="eastAsia" w:ascii="方正仿宋_GB2312" w:hAnsi="方正仿宋_GB2312" w:eastAsia="方正仿宋_GB2312" w:cs="方正仿宋_GB2312"/>
              <w:bCs w:val="0"/>
              <w:sz w:val="32"/>
              <w:szCs w:val="32"/>
              <w:lang w:val="en-US" w:eastAsia="zh-CN"/>
            </w:rPr>
            <w:t>5</w:t>
          </w:r>
          <w:r>
            <w:rPr>
              <w:rFonts w:hint="eastAsia" w:ascii="方正仿宋_GB2312" w:hAnsi="方正仿宋_GB2312" w:eastAsia="方正仿宋_GB2312" w:cs="方正仿宋_GB2312"/>
              <w:bCs w:val="0"/>
              <w:sz w:val="32"/>
              <w:szCs w:val="32"/>
              <w:lang w:eastAsia="zh-CN"/>
            </w:rPr>
            <w:t>年重点工作任务</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_Toc10974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4DE6EE44">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_Toc32605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二、部门</w:t>
          </w:r>
          <w:r>
            <w:rPr>
              <w:rFonts w:hint="eastAsia" w:ascii="方正仿宋_GB2312" w:hAnsi="方正仿宋_GB2312" w:eastAsia="方正仿宋_GB2312" w:cs="方正仿宋_GB2312"/>
              <w:sz w:val="32"/>
              <w:szCs w:val="32"/>
              <w:lang w:eastAsia="zh-CN"/>
            </w:rPr>
            <w:t>预算单位构成</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_Toc32605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05EAB881">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_Toc6197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三、收支预算总体情况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_Toc6197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0294D49A">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_Toc22560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四、 支出预算安排情况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_Toc22560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44EDDF3C">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_Toc20665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五、较上年度增减变化</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_Toc20665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1BCBE36">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_Toc30418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六、“三公”经费预算</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_Toc30418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674D4382">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_Toc27147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七、政府性基金预算收支情况说明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_Toc27147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4424F72">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_Toc24641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八、国有资本经营预算收支情况说明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_Toc24641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4FF7C198">
          <w:pPr>
            <w:pStyle w:val="5"/>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_Toc19632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kern w:val="0"/>
              <w:sz w:val="32"/>
              <w:szCs w:val="32"/>
              <w:shd w:val="clear" w:color="auto" w:fill="FFFFFF"/>
              <w:lang w:val="en-US" w:eastAsia="zh-CN" w:bidi="ar"/>
            </w:rPr>
            <w:t>九、其他重要事项的情况说明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_Toc19632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47A96719">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_Toc7714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kern w:val="0"/>
              <w:sz w:val="32"/>
              <w:szCs w:val="32"/>
              <w:shd w:val="clear" w:color="auto" w:fill="FFFFFF"/>
              <w:lang w:val="en-US" w:eastAsia="zh-CN" w:bidi="ar"/>
            </w:rPr>
            <w:t>（一）政府采购预算情况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_Toc7714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5621D395">
          <w:pPr>
            <w:pStyle w:val="6"/>
            <w:tabs>
              <w:tab w:val="right" w:leader="dot" w:pos="8306"/>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_Toc6591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kern w:val="0"/>
              <w:sz w:val="32"/>
              <w:szCs w:val="32"/>
              <w:shd w:val="clear" w:color="auto" w:fill="FFFFFF"/>
              <w:lang w:val="en-US" w:eastAsia="zh-CN" w:bidi="ar"/>
            </w:rPr>
            <w:t>（二）政府财政国有资产占用情况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_Toc6591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5B4DDC1B">
          <w:pPr>
            <w:pStyle w:val="6"/>
            <w:tabs>
              <w:tab w:val="right" w:leader="dot" w:pos="8306"/>
            </w:tabs>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_Toc31362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kern w:val="0"/>
              <w:sz w:val="32"/>
              <w:szCs w:val="32"/>
              <w:shd w:val="clear" w:color="auto" w:fill="FFFFFF"/>
              <w:lang w:val="en-US" w:eastAsia="zh-CN" w:bidi="ar"/>
            </w:rPr>
            <w:t>（三）绩效目标设置情况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_Toc31362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38C24936">
          <w:pPr>
            <w:pStyle w:val="2"/>
            <w:rPr>
              <w:rFonts w:hint="eastAsia" w:eastAsia="宋体" w:cs="Times New Roman" w:asciiTheme="minorHAnsi" w:hAnsiTheme="minorHAnsi"/>
              <w:kern w:val="2"/>
              <w:sz w:val="21"/>
              <w:szCs w:val="24"/>
              <w:lang w:val="en-US" w:eastAsia="zh-CN" w:bidi="ar-SA"/>
            </w:rPr>
          </w:pPr>
          <w:r>
            <w:rPr>
              <w:rFonts w:hint="eastAsia"/>
            </w:rPr>
            <w:fldChar w:fldCharType="end"/>
          </w:r>
        </w:p>
      </w:sdtContent>
    </w:sdt>
    <w:p w14:paraId="07405A5A">
      <w:pPr>
        <w:rPr>
          <w:rFonts w:hint="eastAsia"/>
        </w:rPr>
      </w:pPr>
    </w:p>
    <w:p w14:paraId="1776CDF1">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09EB97A6">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2FE93D2D">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44CAC9C9">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7D181AD9">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bookmarkStart w:id="44" w:name="_GoBack"/>
      <w:bookmarkEnd w:id="44"/>
      <w:r>
        <w:rPr>
          <w:rFonts w:hint="eastAsia"/>
          <w:sz w:val="32"/>
          <w:szCs w:val="32"/>
        </w:rPr>
        <w:t>按照预算管理有关规定，目前部门预算的编制实行综合预算制度，即全部收入和支出都反映在预算中。</w:t>
      </w:r>
    </w:p>
    <w:p w14:paraId="40F2C88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30" w:name="_Toc26309"/>
      <w:r>
        <w:rPr>
          <w:rFonts w:hint="eastAsia" w:ascii="黑体" w:eastAsia="黑体"/>
          <w:sz w:val="32"/>
          <w:szCs w:val="32"/>
        </w:rPr>
        <w:t>一、基本职能及主要工作</w:t>
      </w:r>
      <w:bookmarkEnd w:id="30"/>
    </w:p>
    <w:p w14:paraId="29824164">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31" w:name="_Toc25015"/>
      <w:r>
        <w:rPr>
          <w:rFonts w:hint="eastAsia" w:ascii="楷体_GB2312" w:hAnsi="楷体_GB2312" w:eastAsia="楷体_GB2312" w:cs="楷体_GB2312"/>
          <w:b/>
          <w:bCs w:val="0"/>
          <w:sz w:val="32"/>
          <w:szCs w:val="32"/>
          <w:lang w:eastAsia="zh-CN"/>
        </w:rPr>
        <w:t>（一）基本职能</w:t>
      </w:r>
      <w:bookmarkEnd w:id="31"/>
    </w:p>
    <w:p w14:paraId="733FD280">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sz w:val="32"/>
          <w:szCs w:val="32"/>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14:paraId="742AD42C">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32" w:name="_Toc10974"/>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bookmarkEnd w:id="32"/>
    </w:p>
    <w:p w14:paraId="7BB73F6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把握机遇，做好教材发行工作，密切店校关系，营造一个良好的外部环境,为我店的发行工作打下扎实的基础；做好免费教科书发行和售后服务工作；加快教材款回笼力度；加大政治类读物和有关活动用书的宣传征订力度，抓好门市规范服务,提高服务质量。</w:t>
      </w:r>
    </w:p>
    <w:p w14:paraId="3B478C7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33" w:name="_Toc32605"/>
      <w:r>
        <w:rPr>
          <w:rFonts w:hint="eastAsia" w:ascii="黑体" w:eastAsia="黑体"/>
          <w:sz w:val="32"/>
          <w:szCs w:val="32"/>
        </w:rPr>
        <w:t>二、部门</w:t>
      </w:r>
      <w:r>
        <w:rPr>
          <w:rFonts w:hint="eastAsia" w:ascii="黑体" w:eastAsia="黑体"/>
          <w:sz w:val="32"/>
          <w:szCs w:val="32"/>
          <w:lang w:eastAsia="zh-CN"/>
        </w:rPr>
        <w:t>预算单位构成</w:t>
      </w:r>
      <w:bookmarkEnd w:id="33"/>
    </w:p>
    <w:p w14:paraId="657E85EE">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val="en-US" w:eastAsia="zh-CN"/>
        </w:rPr>
        <w:t>红原县新华书店</w:t>
      </w:r>
      <w:r>
        <w:rPr>
          <w:rFonts w:hint="eastAsia"/>
          <w:sz w:val="32"/>
          <w:szCs w:val="32"/>
          <w:lang w:eastAsia="zh-CN"/>
        </w:rPr>
        <w:t>下设单位</w:t>
      </w:r>
      <w:r>
        <w:rPr>
          <w:rFonts w:hint="eastAsia"/>
          <w:sz w:val="32"/>
          <w:szCs w:val="32"/>
          <w:lang w:val="en-US" w:eastAsia="zh-CN"/>
        </w:rPr>
        <w:t>1</w:t>
      </w:r>
      <w:r>
        <w:rPr>
          <w:rFonts w:hint="eastAsia"/>
          <w:sz w:val="32"/>
          <w:szCs w:val="32"/>
        </w:rPr>
        <w:t>个，其中行政单位</w:t>
      </w:r>
      <w:r>
        <w:rPr>
          <w:rFonts w:hint="eastAsia"/>
          <w:sz w:val="32"/>
          <w:szCs w:val="32"/>
          <w:lang w:val="en-US" w:eastAsia="zh-CN"/>
        </w:rPr>
        <w:t>0</w:t>
      </w:r>
      <w:r>
        <w:rPr>
          <w:rFonts w:hint="eastAsia"/>
          <w:sz w:val="32"/>
          <w:szCs w:val="32"/>
        </w:rPr>
        <w:t>个，参照公务员法管理的事业单位</w:t>
      </w:r>
      <w:r>
        <w:rPr>
          <w:rFonts w:hint="eastAsia"/>
          <w:bCs/>
          <w:sz w:val="32"/>
          <w:szCs w:val="32"/>
          <w:lang w:val="en-US" w:eastAsia="zh-CN"/>
        </w:rPr>
        <w:t>0</w:t>
      </w:r>
      <w:r>
        <w:rPr>
          <w:rFonts w:hint="eastAsia"/>
          <w:sz w:val="32"/>
          <w:szCs w:val="32"/>
        </w:rPr>
        <w:t>个，其他事业单位</w:t>
      </w:r>
      <w:r>
        <w:rPr>
          <w:rFonts w:hint="eastAsia"/>
          <w:sz w:val="32"/>
          <w:szCs w:val="32"/>
          <w:lang w:val="en-US" w:eastAsia="zh-CN"/>
        </w:rPr>
        <w:t>1</w:t>
      </w:r>
      <w:r>
        <w:rPr>
          <w:rFonts w:hint="eastAsia"/>
          <w:sz w:val="32"/>
          <w:szCs w:val="32"/>
        </w:rPr>
        <w:t>个。</w:t>
      </w:r>
    </w:p>
    <w:p w14:paraId="27484E5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34" w:name="_Toc6197"/>
      <w:r>
        <w:rPr>
          <w:rFonts w:hint="eastAsia" w:ascii="黑体" w:eastAsia="黑体"/>
          <w:sz w:val="32"/>
          <w:szCs w:val="32"/>
        </w:rPr>
        <w:t>三、收支预算总体情况</w:t>
      </w:r>
      <w:bookmarkEnd w:id="34"/>
    </w:p>
    <w:p w14:paraId="405C80E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红原县新华书店</w:t>
      </w:r>
      <w:r>
        <w:rPr>
          <w:rFonts w:hint="eastAsia" w:ascii="仿宋_GB2312" w:eastAsia="仿宋_GB2312"/>
          <w:sz w:val="32"/>
          <w:szCs w:val="32"/>
        </w:rPr>
        <w:t>收入预算总额为93.59万元，其中：当年财政拨款收入93.59万元。相应安排支出预算93.59万元，其中：文化旅游体育与传媒支出68.5万元，社会保障和就业12.54万元，医疗卫生5.43万元，住房保障支出7.12万元。</w:t>
      </w:r>
    </w:p>
    <w:p w14:paraId="2E40653C">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35" w:name="_Toc22560"/>
      <w:r>
        <w:rPr>
          <w:rFonts w:hint="eastAsia" w:ascii="黑体" w:eastAsia="黑体"/>
          <w:sz w:val="32"/>
          <w:szCs w:val="32"/>
        </w:rPr>
        <w:t>支出预算安排情况</w:t>
      </w:r>
      <w:bookmarkEnd w:id="35"/>
    </w:p>
    <w:p w14:paraId="03DC666D">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红原县新华书店</w:t>
      </w:r>
      <w:r>
        <w:rPr>
          <w:rFonts w:hint="eastAsia" w:ascii="仿宋_GB2312" w:eastAsia="仿宋_GB2312"/>
          <w:sz w:val="32"/>
          <w:szCs w:val="32"/>
        </w:rPr>
        <w:t xml:space="preserve">预算安排支出主要用于保障该部门机构正常运转、完成日常工作任务以及承担事业发展相关工作。  </w:t>
      </w:r>
    </w:p>
    <w:p w14:paraId="3908EA0C">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基本支出93.59</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90.07</w:t>
      </w:r>
      <w:r>
        <w:rPr>
          <w:rFonts w:hint="eastAsia" w:ascii="仿宋_GB2312" w:eastAsia="仿宋_GB2312"/>
          <w:sz w:val="32"/>
          <w:szCs w:val="32"/>
          <w:lang w:val="en-US" w:eastAsia="zh-CN"/>
        </w:rPr>
        <w:t>万元，机关运行经费</w:t>
      </w:r>
      <w:r>
        <w:rPr>
          <w:rFonts w:hint="eastAsia" w:ascii="仿宋_GB2312" w:eastAsia="仿宋_GB2312"/>
          <w:sz w:val="32"/>
          <w:szCs w:val="32"/>
        </w:rPr>
        <w:t>3.52</w:t>
      </w:r>
      <w:r>
        <w:rPr>
          <w:rFonts w:hint="eastAsia" w:ascii="仿宋_GB2312" w:eastAsia="仿宋_GB2312"/>
          <w:sz w:val="32"/>
          <w:szCs w:val="32"/>
          <w:lang w:val="en-US" w:eastAsia="zh-CN"/>
        </w:rPr>
        <w:t>万元，其中：办公费0.52万元，工会经费0.63万元，福利费1.53万元</w:t>
      </w:r>
      <w:r>
        <w:rPr>
          <w:rFonts w:hint="eastAsia" w:ascii="仿宋_GB2312" w:eastAsia="仿宋_GB2312"/>
          <w:sz w:val="32"/>
          <w:szCs w:val="32"/>
          <w:lang w:eastAsia="zh-CN"/>
        </w:rPr>
        <w:t>，其他商品和服务支出</w:t>
      </w:r>
      <w:r>
        <w:rPr>
          <w:rFonts w:hint="eastAsia" w:ascii="仿宋_GB2312" w:eastAsia="仿宋_GB2312"/>
          <w:sz w:val="32"/>
          <w:szCs w:val="32"/>
          <w:lang w:val="en-US" w:eastAsia="zh-CN"/>
        </w:rPr>
        <w:t>0.84万元。</w:t>
      </w:r>
    </w:p>
    <w:p w14:paraId="1E35E3F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036FC1D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（一）文化旅游体育与传媒支出</w:t>
      </w:r>
      <w:r>
        <w:rPr>
          <w:rFonts w:hint="eastAsia" w:ascii="仿宋_GB2312" w:eastAsia="仿宋_GB2312"/>
          <w:sz w:val="32"/>
          <w:szCs w:val="32"/>
          <w:lang w:val="en-US" w:eastAsia="zh-CN"/>
        </w:rPr>
        <w:t>68.5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7411843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12.54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362D3F6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5.43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7B0BE90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7.12</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295FAF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0"/>
        <w:rPr>
          <w:rFonts w:hint="eastAsia" w:ascii="黑体" w:hAnsi="黑体" w:eastAsia="黑体" w:cs="黑体"/>
          <w:sz w:val="32"/>
          <w:szCs w:val="32"/>
        </w:rPr>
      </w:pPr>
      <w:bookmarkStart w:id="36" w:name="_Toc20665"/>
      <w:r>
        <w:rPr>
          <w:rFonts w:hint="eastAsia" w:ascii="黑体" w:hAnsi="黑体" w:eastAsia="黑体" w:cs="黑体"/>
          <w:color w:val="333333"/>
          <w:kern w:val="0"/>
          <w:sz w:val="32"/>
          <w:szCs w:val="32"/>
          <w:shd w:val="clear" w:color="auto" w:fill="FFFFFF"/>
          <w:lang w:val="en-US" w:eastAsia="zh-CN" w:bidi="ar"/>
        </w:rPr>
        <w:t>五、较上年度增减变化</w:t>
      </w:r>
      <w:bookmarkEnd w:id="36"/>
    </w:p>
    <w:p w14:paraId="2BAFD4D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93.59</w:t>
      </w:r>
      <w:r>
        <w:rPr>
          <w:rFonts w:hint="eastAsia" w:ascii="仿宋_GB2312" w:eastAsia="仿宋_GB2312"/>
          <w:sz w:val="32"/>
          <w:szCs w:val="32"/>
          <w:lang w:val="en-US" w:eastAsia="zh-CN"/>
        </w:rPr>
        <w:t>万元较上年度预算</w:t>
      </w:r>
      <w:r>
        <w:rPr>
          <w:rFonts w:hint="eastAsia" w:ascii="仿宋" w:hAnsi="仿宋" w:eastAsia="仿宋" w:cs="仿宋"/>
          <w:i w:val="0"/>
          <w:iCs w:val="0"/>
          <w:caps w:val="0"/>
          <w:color w:val="333333"/>
          <w:spacing w:val="0"/>
          <w:sz w:val="32"/>
          <w:szCs w:val="32"/>
        </w:rPr>
        <w:t>73.8</w:t>
      </w:r>
      <w:r>
        <w:rPr>
          <w:rFonts w:hint="eastAsia" w:ascii="仿宋_GB2312" w:eastAsia="仿宋_GB2312"/>
          <w:sz w:val="32"/>
          <w:szCs w:val="32"/>
          <w:lang w:val="en-US" w:eastAsia="zh-CN"/>
        </w:rPr>
        <w:t>万元增加了26.82%，其中基本行政运行经费预算</w:t>
      </w:r>
      <w:r>
        <w:rPr>
          <w:rFonts w:hint="eastAsia" w:ascii="仿宋" w:hAnsi="仿宋" w:eastAsia="仿宋" w:cs="仿宋"/>
          <w:i w:val="0"/>
          <w:iCs w:val="0"/>
          <w:caps w:val="0"/>
          <w:color w:val="333333"/>
          <w:spacing w:val="0"/>
          <w:sz w:val="32"/>
          <w:szCs w:val="32"/>
          <w:lang w:val="en-US" w:eastAsia="zh-CN"/>
        </w:rPr>
        <w:t>93.59</w:t>
      </w:r>
      <w:r>
        <w:rPr>
          <w:rFonts w:hint="eastAsia" w:ascii="仿宋_GB2312" w:eastAsia="仿宋_GB2312"/>
          <w:sz w:val="32"/>
          <w:szCs w:val="32"/>
          <w:lang w:val="en-US" w:eastAsia="zh-CN"/>
        </w:rPr>
        <w:t xml:space="preserve">万元，占全部总预算的100%，较上年73.8万元增加了26.82%，原因为新增各项开支，增加基本支出；专项业务工作0%，主要原因为缩减了项目经费开支，减少相关支出。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674644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37" w:name="_Toc30418"/>
      <w:r>
        <w:rPr>
          <w:rFonts w:hint="eastAsia" w:ascii="黑体" w:hAnsi="黑体" w:eastAsia="黑体" w:cs="黑体"/>
          <w:color w:val="333333"/>
          <w:kern w:val="0"/>
          <w:sz w:val="32"/>
          <w:szCs w:val="32"/>
          <w:shd w:val="clear" w:color="auto" w:fill="FFFFFF"/>
          <w:lang w:val="en-US" w:eastAsia="zh-CN" w:bidi="ar"/>
        </w:rPr>
        <w:t>六、“三公”经费预算</w:t>
      </w:r>
      <w:bookmarkEnd w:id="37"/>
    </w:p>
    <w:p w14:paraId="534032B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万元，其中：出国费0万元，与上年持平，主要原因为未安排因公出国；公车购置费0元，与上年持平；公务用车维护费支出0万元，较上年度预算0万元略有减少，主要原因严格执行“八项规定、六项禁令”；二是将有关股室的工作有机地结合起来，减少不必要的资源浪费。较上年度预算增加0万元，主要是安排的专项工作用车较多；公务接待费0万元，较上年度预算持平，主要原因为本年度我们将严格执行“八项规定、六项禁令”，结合本年度工作需要，减少不必 要的开支。</w:t>
      </w:r>
    </w:p>
    <w:p w14:paraId="16794A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38" w:name="_Toc27147"/>
      <w:r>
        <w:rPr>
          <w:rFonts w:hint="eastAsia" w:ascii="黑体" w:hAnsi="黑体" w:eastAsia="黑体" w:cs="黑体"/>
          <w:color w:val="333333"/>
          <w:kern w:val="0"/>
          <w:sz w:val="32"/>
          <w:szCs w:val="32"/>
          <w:shd w:val="clear" w:color="auto" w:fill="FFFFFF"/>
          <w:lang w:val="en-US" w:eastAsia="zh-CN" w:bidi="ar"/>
        </w:rPr>
        <w:t>七、政府性基金预算收支情况说明</w:t>
      </w:r>
      <w:bookmarkEnd w:id="38"/>
    </w:p>
    <w:p w14:paraId="14CC065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47FA999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39" w:name="_Toc24641"/>
      <w:r>
        <w:rPr>
          <w:rFonts w:hint="eastAsia" w:ascii="黑体" w:hAnsi="黑体" w:eastAsia="黑体" w:cs="黑体"/>
          <w:color w:val="333333"/>
          <w:kern w:val="0"/>
          <w:sz w:val="32"/>
          <w:szCs w:val="32"/>
          <w:shd w:val="clear" w:color="auto" w:fill="FFFFFF"/>
          <w:lang w:val="en-US" w:eastAsia="zh-CN" w:bidi="ar"/>
        </w:rPr>
        <w:t>八、国有资本经营预算收支情况说明</w:t>
      </w:r>
      <w:bookmarkEnd w:id="39"/>
    </w:p>
    <w:p w14:paraId="7C66FD8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3B3C69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40" w:name="_Toc19632"/>
      <w:r>
        <w:rPr>
          <w:rFonts w:hint="eastAsia" w:ascii="黑体" w:hAnsi="黑体" w:eastAsia="黑体" w:cs="黑体"/>
          <w:color w:val="333333"/>
          <w:kern w:val="0"/>
          <w:sz w:val="32"/>
          <w:szCs w:val="32"/>
          <w:shd w:val="clear" w:color="auto" w:fill="FFFFFF"/>
          <w:lang w:val="en-US" w:eastAsia="zh-CN" w:bidi="ar"/>
        </w:rPr>
        <w:t>九、其他重要事项的情况说明</w:t>
      </w:r>
      <w:bookmarkEnd w:id="40"/>
    </w:p>
    <w:p w14:paraId="33E5EA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firstLineChars="0"/>
        <w:jc w:val="left"/>
        <w:textAlignment w:val="auto"/>
        <w:outlineLvl w:val="1"/>
        <w:rPr>
          <w:rFonts w:hint="eastAsia" w:ascii="黑体" w:hAnsi="黑体" w:eastAsia="黑体" w:cs="黑体"/>
          <w:color w:val="333333"/>
          <w:kern w:val="0"/>
          <w:sz w:val="32"/>
          <w:szCs w:val="32"/>
          <w:shd w:val="clear" w:color="auto" w:fill="FFFFFF"/>
          <w:lang w:val="en-US" w:eastAsia="zh-CN" w:bidi="ar"/>
        </w:rPr>
      </w:pPr>
      <w:bookmarkStart w:id="41" w:name="_Toc7714"/>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41"/>
      <w:r>
        <w:rPr>
          <w:rFonts w:hint="eastAsia" w:ascii="黑体" w:hAnsi="黑体" w:eastAsia="黑体" w:cs="黑体"/>
          <w:color w:val="333333"/>
          <w:kern w:val="0"/>
          <w:sz w:val="32"/>
          <w:szCs w:val="32"/>
          <w:shd w:val="clear" w:color="auto" w:fill="FFFFFF"/>
          <w:lang w:val="en-US" w:eastAsia="zh-CN" w:bidi="ar"/>
        </w:rPr>
        <w:t xml:space="preserve"> </w:t>
      </w:r>
    </w:p>
    <w:p w14:paraId="038F56F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1F1395F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1"/>
      </w:pPr>
      <w:bookmarkStart w:id="42" w:name="_Toc6591"/>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42"/>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2A41D43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w:t>
      </w:r>
      <w:r>
        <w:rPr>
          <w:rFonts w:hint="eastAsia" w:ascii="仿宋" w:hAnsi="仿宋" w:eastAsia="仿宋" w:cs="仿宋"/>
          <w:i w:val="0"/>
          <w:iCs w:val="0"/>
          <w:caps w:val="0"/>
          <w:color w:val="333333"/>
          <w:spacing w:val="0"/>
          <w:sz w:val="32"/>
          <w:szCs w:val="32"/>
        </w:rPr>
        <w:t>实际共有固定资产价值</w:t>
      </w:r>
      <w:r>
        <w:rPr>
          <w:rFonts w:hint="eastAsia" w:ascii="仿宋" w:hAnsi="仿宋" w:eastAsia="仿宋" w:cs="仿宋"/>
          <w:i w:val="0"/>
          <w:iCs w:val="0"/>
          <w:caps w:val="0"/>
          <w:color w:val="333333"/>
          <w:spacing w:val="0"/>
          <w:sz w:val="32"/>
          <w:szCs w:val="32"/>
          <w:lang w:val="en-US" w:eastAsia="zh-CN"/>
        </w:rPr>
        <w:t>258.35</w:t>
      </w:r>
      <w:r>
        <w:rPr>
          <w:rFonts w:hint="eastAsia" w:ascii="仿宋" w:hAnsi="仿宋" w:eastAsia="仿宋" w:cs="仿宋"/>
          <w:i w:val="0"/>
          <w:iCs w:val="0"/>
          <w:caps w:val="0"/>
          <w:color w:val="333333"/>
          <w:spacing w:val="0"/>
          <w:sz w:val="32"/>
          <w:szCs w:val="32"/>
        </w:rPr>
        <w:t>万元：其中：公务用车</w:t>
      </w:r>
      <w:r>
        <w:rPr>
          <w:rFonts w:hint="eastAsia" w:ascii="仿宋" w:hAnsi="仿宋" w:eastAsia="仿宋" w:cs="仿宋"/>
          <w:i w:val="0"/>
          <w:iCs w:val="0"/>
          <w:caps w:val="0"/>
          <w:color w:val="333333"/>
          <w:spacing w:val="0"/>
          <w:sz w:val="32"/>
          <w:szCs w:val="32"/>
          <w:lang w:val="en-US" w:eastAsia="zh-CN"/>
        </w:rPr>
        <w:t>20</w:t>
      </w:r>
      <w:r>
        <w:rPr>
          <w:rFonts w:hint="eastAsia" w:ascii="仿宋" w:hAnsi="仿宋" w:eastAsia="仿宋" w:cs="仿宋"/>
          <w:i w:val="0"/>
          <w:iCs w:val="0"/>
          <w:caps w:val="0"/>
          <w:color w:val="333333"/>
          <w:spacing w:val="0"/>
          <w:sz w:val="32"/>
          <w:szCs w:val="32"/>
        </w:rPr>
        <w:t>万元；业务用房</w:t>
      </w:r>
      <w:r>
        <w:rPr>
          <w:rFonts w:hint="eastAsia" w:ascii="仿宋" w:hAnsi="仿宋" w:eastAsia="仿宋" w:cs="仿宋"/>
          <w:i w:val="0"/>
          <w:iCs w:val="0"/>
          <w:caps w:val="0"/>
          <w:color w:val="333333"/>
          <w:spacing w:val="0"/>
          <w:sz w:val="32"/>
          <w:szCs w:val="32"/>
          <w:lang w:val="en-US" w:eastAsia="zh-CN"/>
        </w:rPr>
        <w:t>238.35</w:t>
      </w:r>
      <w:r>
        <w:rPr>
          <w:rFonts w:hint="eastAsia" w:ascii="仿宋" w:hAnsi="仿宋" w:eastAsia="仿宋" w:cs="仿宋"/>
          <w:i w:val="0"/>
          <w:iCs w:val="0"/>
          <w:caps w:val="0"/>
          <w:color w:val="333333"/>
          <w:spacing w:val="0"/>
          <w:sz w:val="32"/>
          <w:szCs w:val="32"/>
        </w:rPr>
        <w:t>万元</w:t>
      </w:r>
      <w:r>
        <w:rPr>
          <w:rFonts w:hint="eastAsia" w:ascii="仿宋_GB2312" w:eastAsia="仿宋_GB2312"/>
          <w:sz w:val="32"/>
          <w:szCs w:val="32"/>
          <w:lang w:val="en-US" w:eastAsia="zh-CN"/>
        </w:rPr>
        <w:t>。</w:t>
      </w:r>
    </w:p>
    <w:p w14:paraId="6B2ABF1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0" w:firstLineChars="0"/>
        <w:jc w:val="left"/>
        <w:textAlignment w:val="auto"/>
        <w:outlineLvl w:val="1"/>
        <w:rPr>
          <w:rFonts w:hint="eastAsia" w:ascii="楷体_GB2312" w:hAnsi="楷体_GB2312" w:eastAsia="楷体_GB2312" w:cs="楷体_GB2312"/>
          <w:b/>
          <w:bCs/>
          <w:color w:val="333333"/>
          <w:kern w:val="0"/>
          <w:sz w:val="32"/>
          <w:szCs w:val="32"/>
          <w:shd w:val="clear" w:color="auto" w:fill="FFFFFF"/>
          <w:lang w:val="en-US" w:eastAsia="zh-CN" w:bidi="ar"/>
        </w:rPr>
      </w:pPr>
      <w:bookmarkStart w:id="43" w:name="_Toc31362"/>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43"/>
    </w:p>
    <w:p w14:paraId="644531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074B252E">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33ADE45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81BF13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303614F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6E49BD2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24EA6CD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4485A0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6BD7360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0028518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284E19B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7F01932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43202F8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17A334B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57E4406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374DF07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1FD22C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0E6295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B48522-DAA5-4BFE-8653-F06605294A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E19CF18-C2C1-4CD4-8896-232526ACAC74}"/>
  </w:font>
  <w:font w:name="仿宋_GB2312">
    <w:altName w:val="仿宋"/>
    <w:panose1 w:val="02010609030101010101"/>
    <w:charset w:val="86"/>
    <w:family w:val="modern"/>
    <w:pitch w:val="default"/>
    <w:sig w:usb0="00000000" w:usb1="00000000" w:usb2="00000000" w:usb3="00000000" w:csb0="00040000" w:csb1="00000000"/>
    <w:embedRegular r:id="rId3" w:fontKey="{E78721D4-2610-4E07-AD3F-B41CF42DCB7B}"/>
  </w:font>
  <w:font w:name="仿宋">
    <w:panose1 w:val="02010609060101010101"/>
    <w:charset w:val="86"/>
    <w:family w:val="auto"/>
    <w:pitch w:val="default"/>
    <w:sig w:usb0="800002BF" w:usb1="38CF7CFA" w:usb2="00000016" w:usb3="00000000" w:csb0="00040001" w:csb1="00000000"/>
    <w:embedRegular r:id="rId4" w:fontKey="{70D0AC7A-FECA-41DD-AF55-0C6CEF16D38F}"/>
  </w:font>
  <w:font w:name="方正小标宋简体">
    <w:panose1 w:val="02000000000000000000"/>
    <w:charset w:val="86"/>
    <w:family w:val="auto"/>
    <w:pitch w:val="default"/>
    <w:sig w:usb0="00000001" w:usb1="08000000" w:usb2="00000000" w:usb3="00000000" w:csb0="00040000" w:csb1="00000000"/>
    <w:embedRegular r:id="rId5" w:fontKey="{CEF6B74C-DE80-4213-94A7-09EA233BE645}"/>
  </w:font>
  <w:font w:name="楷体_GB2312">
    <w:altName w:val="楷体"/>
    <w:panose1 w:val="02010609030101010101"/>
    <w:charset w:val="86"/>
    <w:family w:val="auto"/>
    <w:pitch w:val="default"/>
    <w:sig w:usb0="00000000" w:usb1="00000000" w:usb2="00000000" w:usb3="00000000" w:csb0="00040000" w:csb1="00000000"/>
    <w:embedRegular r:id="rId6" w:fontKey="{A68BE57A-96F3-4408-A67B-8CB061053AB1}"/>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7" w:fontKey="{3B622B2E-9F54-447F-93F0-5C7674AA857A}"/>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8" w:fontKey="{5635F2E1-4C1A-4316-9174-E4403730AB5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19C1402F"/>
    <w:rsid w:val="5F78432A"/>
    <w:rsid w:val="615B7571"/>
    <w:rsid w:val="69C47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0"/>
    <w:pPr>
      <w:spacing w:after="120" w:line="240" w:lineRule="auto"/>
      <w:ind w:left="420" w:leftChars="200" w:firstLine="0" w:firstLineChars="0"/>
      <w:jc w:val="both"/>
    </w:pPr>
    <w:rPr>
      <w:rFonts w:eastAsia="宋体" w:cs="Times New Roman"/>
      <w:sz w:val="21"/>
      <w:szCs w:val="24"/>
    </w:rPr>
  </w:style>
  <w:style w:type="paragraph" w:styleId="4">
    <w:name w:val="Body Text"/>
    <w:basedOn w:val="1"/>
    <w:qFormat/>
    <w:uiPriority w:val="0"/>
    <w:pPr>
      <w:spacing w:before="93" w:beforeLines="30"/>
    </w:pPr>
    <w:rPr>
      <w:rFonts w:ascii="仿宋_GB2312" w:eastAsia="仿宋_GB2312"/>
      <w:sz w:val="30"/>
    </w:rPr>
  </w:style>
  <w:style w:type="paragraph" w:styleId="5">
    <w:name w:val="toc 1"/>
    <w:basedOn w:val="1"/>
    <w:next w:val="1"/>
    <w:uiPriority w:val="0"/>
  </w:style>
  <w:style w:type="paragraph" w:styleId="6">
    <w:name w:val="toc 2"/>
    <w:basedOn w:val="1"/>
    <w:next w:val="1"/>
    <w:uiPriority w:val="0"/>
    <w:pPr>
      <w:ind w:left="420" w:left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WPSOffice手动目录 1"/>
    <w:qFormat/>
    <w:uiPriority w:val="0"/>
    <w:pPr>
      <w:ind w:leftChars="0"/>
    </w:pPr>
    <w:rPr>
      <w:rFonts w:ascii="Times New Roman" w:hAnsi="Times New Roman" w:eastAsia="宋体" w:cs="Times New Roman"/>
      <w:sz w:val="20"/>
      <w:szCs w:val="20"/>
    </w:rPr>
  </w:style>
  <w:style w:type="paragraph" w:customStyle="1" w:styleId="1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2295</Words>
  <Characters>2453</Characters>
  <Lines>0</Lines>
  <Paragraphs>0</Paragraphs>
  <TotalTime>1</TotalTime>
  <ScaleCrop>false</ScaleCrop>
  <LinksUpToDate>false</LinksUpToDate>
  <CharactersWithSpaces>2499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碟碗丽免费招代理</cp:lastModifiedBy>
  <dcterms:modified xsi:type="dcterms:W3CDTF">2025-05-29T03:26:21Z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EE22D585CCE34B78804EEB90C419734E</vt:lpwstr>
  </property>
  <property fmtid="{D5CDD505-2E9C-101B-9397-08002B2CF9AE}" pid="4" name="KSOTemplateDocerSaveRecord">
    <vt:lpwstr>eyJoZGlkIjoiZTBkMTc3MmM3NTJjMDVmNjg0YzA5ZmU5MjUwZWQzOTMiLCJ1c2VySWQiOiIxMDU3MjA5MjY3In0=</vt:lpwstr>
  </property>
</Properties>
</file>