
<file path=[Content_Types].xml><?xml version="1.0" encoding="utf-8"?>
<Types xmlns="http://schemas.openxmlformats.org/package/2006/content-types">
  <Default Extension="xlsx" ContentType="application/vnd.openxmlformats-officedocument.spreadsheetml.shee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36EBA">
      <w:pPr>
        <w:spacing w:line="600" w:lineRule="exact"/>
        <w:jc w:val="center"/>
        <w:rPr>
          <w:rFonts w:hint="eastAsia" w:ascii="方正小标宋简体" w:hAnsi="宋体" w:eastAsia="方正小标宋简体"/>
          <w:sz w:val="72"/>
          <w:szCs w:val="72"/>
        </w:rPr>
      </w:pPr>
      <w:bookmarkStart w:id="0" w:name="_Toc15396475"/>
      <w:bookmarkStart w:id="1" w:name="_Toc15377425"/>
      <w:bookmarkStart w:id="2" w:name="_Toc15396597"/>
      <w:bookmarkStart w:id="3" w:name="_Toc15378441"/>
      <w:bookmarkStart w:id="4" w:name="_Toc15377193"/>
      <w:bookmarkStart w:id="5" w:name="_Toc15306267"/>
    </w:p>
    <w:p w14:paraId="0BBBAD9D">
      <w:pPr>
        <w:pStyle w:val="6"/>
        <w:spacing w:before="93"/>
      </w:pPr>
    </w:p>
    <w:p w14:paraId="3A0023EC">
      <w:pPr>
        <w:spacing w:line="600" w:lineRule="exact"/>
        <w:jc w:val="center"/>
        <w:rPr>
          <w:rFonts w:hint="eastAsia" w:ascii="方正小标宋简体" w:hAnsi="宋体" w:eastAsia="方正小标宋简体"/>
          <w:sz w:val="72"/>
          <w:szCs w:val="72"/>
        </w:rPr>
      </w:pPr>
    </w:p>
    <w:p w14:paraId="326EDDF1">
      <w:pPr>
        <w:spacing w:line="600" w:lineRule="exact"/>
        <w:jc w:val="center"/>
        <w:rPr>
          <w:rFonts w:hint="eastAsia" w:ascii="方正小标宋简体" w:hAnsi="宋体" w:eastAsia="方正小标宋简体"/>
          <w:sz w:val="72"/>
          <w:szCs w:val="72"/>
        </w:rPr>
      </w:pPr>
    </w:p>
    <w:p w14:paraId="62452BC8">
      <w:pPr>
        <w:adjustRightInd w:val="0"/>
        <w:snapToGrid w:val="0"/>
        <w:spacing w:line="360" w:lineRule="auto"/>
        <w:jc w:val="center"/>
        <w:outlineLvl w:val="0"/>
        <w:rPr>
          <w:rFonts w:hint="eastAsia" w:ascii="方正小标宋简体" w:hAnsi="方正小标宋简体" w:eastAsia="方正小标宋简体" w:cs="方正小标宋简体"/>
          <w:sz w:val="44"/>
          <w:szCs w:val="44"/>
        </w:rPr>
      </w:pPr>
      <w:bookmarkStart w:id="6" w:name="_Toc3973"/>
      <w:r>
        <w:rPr>
          <w:rFonts w:hint="eastAsia" w:ascii="方正小标宋简体" w:hAnsi="方正小标宋简体" w:eastAsia="方正小标宋简体" w:cs="方正小标宋简体"/>
          <w:sz w:val="44"/>
          <w:szCs w:val="44"/>
        </w:rPr>
        <w:t>2023年度</w:t>
      </w:r>
      <w:bookmarkEnd w:id="0"/>
      <w:bookmarkEnd w:id="1"/>
      <w:bookmarkEnd w:id="2"/>
      <w:bookmarkEnd w:id="3"/>
      <w:bookmarkEnd w:id="4"/>
      <w:bookmarkEnd w:id="6"/>
    </w:p>
    <w:bookmarkEnd w:id="5"/>
    <w:p w14:paraId="12AD9191">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7" w:name="_Toc27744"/>
      <w:bookmarkStart w:id="8" w:name="_Toc15377194"/>
      <w:bookmarkStart w:id="9" w:name="_Toc15396598"/>
      <w:bookmarkStart w:id="10" w:name="_Toc15378442"/>
      <w:bookmarkStart w:id="11" w:name="_Toc15396476"/>
      <w:bookmarkStart w:id="12" w:name="_Toc15377426"/>
      <w:bookmarkStart w:id="13" w:name="_Toc15306268"/>
      <w:r>
        <w:rPr>
          <w:rFonts w:hint="eastAsia" w:ascii="方正小标宋简体" w:hAnsi="宋体" w:eastAsia="方正小标宋简体"/>
          <w:color w:val="000000"/>
          <w:sz w:val="44"/>
          <w:szCs w:val="44"/>
        </w:rPr>
        <w:t>红原县新华书店</w:t>
      </w:r>
      <w:bookmarkEnd w:id="7"/>
    </w:p>
    <w:p w14:paraId="27B62F75">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14" w:name="_Toc25949"/>
      <w:r>
        <w:rPr>
          <w:rFonts w:hint="eastAsia" w:ascii="方正小标宋简体" w:hAnsi="方正小标宋简体" w:eastAsia="方正小标宋简体" w:cs="方正小标宋简体"/>
          <w:sz w:val="44"/>
          <w:szCs w:val="44"/>
        </w:rPr>
        <w:t>部门决算</w:t>
      </w:r>
      <w:bookmarkEnd w:id="8"/>
      <w:bookmarkEnd w:id="9"/>
      <w:bookmarkEnd w:id="10"/>
      <w:bookmarkEnd w:id="11"/>
      <w:bookmarkEnd w:id="12"/>
      <w:bookmarkEnd w:id="13"/>
      <w:r>
        <w:rPr>
          <w:rFonts w:hint="eastAsia" w:ascii="方正小标宋简体" w:hAnsi="方正小标宋简体" w:eastAsia="方正小标宋简体" w:cs="方正小标宋简体"/>
          <w:sz w:val="44"/>
          <w:szCs w:val="44"/>
        </w:rPr>
        <w:t>公开编制说明</w:t>
      </w:r>
      <w:bookmarkEnd w:id="14"/>
    </w:p>
    <w:p w14:paraId="134775CC">
      <w:pPr>
        <w:adjustRightInd w:val="0"/>
        <w:snapToGrid w:val="0"/>
        <w:spacing w:line="360" w:lineRule="auto"/>
        <w:jc w:val="center"/>
        <w:rPr>
          <w:rFonts w:hint="eastAsia" w:ascii="方正小标宋简体" w:hAnsi="宋体" w:eastAsia="方正小标宋简体"/>
          <w:sz w:val="52"/>
          <w:szCs w:val="52"/>
        </w:rPr>
      </w:pPr>
    </w:p>
    <w:p w14:paraId="377EC1DE">
      <w:pPr>
        <w:widowControl/>
        <w:jc w:val="center"/>
        <w:rPr>
          <w:rFonts w:hint="eastAsia" w:ascii="方正小标宋简体" w:hAnsi="宋体" w:eastAsia="方正小标宋简体"/>
          <w:sz w:val="36"/>
          <w:szCs w:val="36"/>
        </w:rPr>
      </w:pPr>
    </w:p>
    <w:p w14:paraId="14E02251">
      <w:pPr>
        <w:widowControl/>
        <w:jc w:val="center"/>
        <w:rPr>
          <w:rFonts w:hint="eastAsia" w:ascii="方正小标宋简体" w:hAnsi="宋体" w:eastAsia="方正小标宋简体"/>
          <w:sz w:val="36"/>
          <w:szCs w:val="36"/>
        </w:rPr>
      </w:pPr>
    </w:p>
    <w:p w14:paraId="75912788">
      <w:pPr>
        <w:widowControl/>
        <w:jc w:val="center"/>
        <w:rPr>
          <w:rFonts w:hint="eastAsia" w:ascii="方正小标宋简体" w:hAnsi="宋体" w:eastAsia="方正小标宋简体"/>
          <w:sz w:val="36"/>
          <w:szCs w:val="36"/>
        </w:rPr>
      </w:pPr>
    </w:p>
    <w:p w14:paraId="5CA68FC1">
      <w:pPr>
        <w:widowControl/>
        <w:jc w:val="center"/>
        <w:rPr>
          <w:rFonts w:hint="eastAsia" w:ascii="方正小标宋简体" w:hAnsi="宋体" w:eastAsia="方正小标宋简体"/>
          <w:sz w:val="36"/>
          <w:szCs w:val="36"/>
        </w:rPr>
      </w:pPr>
    </w:p>
    <w:p w14:paraId="7CE5C8FC">
      <w:pPr>
        <w:widowControl/>
        <w:jc w:val="center"/>
        <w:rPr>
          <w:rFonts w:hint="eastAsia" w:ascii="方正小标宋简体" w:hAnsi="宋体" w:eastAsia="方正小标宋简体"/>
          <w:sz w:val="36"/>
          <w:szCs w:val="36"/>
        </w:rPr>
      </w:pPr>
    </w:p>
    <w:p w14:paraId="165C5EA4">
      <w:pPr>
        <w:widowControl/>
        <w:jc w:val="center"/>
        <w:rPr>
          <w:rFonts w:hint="eastAsia" w:ascii="方正小标宋简体" w:hAnsi="宋体" w:eastAsia="方正小标宋简体"/>
          <w:sz w:val="36"/>
          <w:szCs w:val="36"/>
        </w:rPr>
      </w:pPr>
    </w:p>
    <w:p w14:paraId="70A76D0D">
      <w:pPr>
        <w:widowControl/>
        <w:jc w:val="center"/>
        <w:rPr>
          <w:rFonts w:hint="eastAsia" w:ascii="方正小标宋简体" w:hAnsi="宋体" w:eastAsia="方正小标宋简体"/>
          <w:sz w:val="36"/>
          <w:szCs w:val="36"/>
        </w:rPr>
      </w:pPr>
    </w:p>
    <w:p w14:paraId="620F83C2">
      <w:pPr>
        <w:widowControl/>
        <w:jc w:val="center"/>
        <w:rPr>
          <w:rFonts w:hint="eastAsia" w:ascii="方正小标宋简体" w:hAnsi="宋体" w:eastAsia="方正小标宋简体"/>
          <w:sz w:val="36"/>
          <w:szCs w:val="36"/>
        </w:rPr>
      </w:pPr>
    </w:p>
    <w:p w14:paraId="083E8305">
      <w:pPr>
        <w:widowControl/>
        <w:jc w:val="center"/>
        <w:rPr>
          <w:rFonts w:hint="eastAsia" w:ascii="方正小标宋简体" w:hAnsi="宋体" w:eastAsia="方正小标宋简体"/>
          <w:sz w:val="36"/>
          <w:szCs w:val="36"/>
        </w:rPr>
      </w:pPr>
    </w:p>
    <w:p w14:paraId="61350C9D">
      <w:pPr>
        <w:pStyle w:val="16"/>
        <w:widowControl/>
        <w:ind w:right="75"/>
      </w:pPr>
      <w:r>
        <w:rPr>
          <w:shd w:val="clear" w:color="auto" w:fill="FFFFFF"/>
        </w:rPr>
        <w:t>保密审查情况：已审查，内容审定</w:t>
      </w:r>
    </w:p>
    <w:p w14:paraId="375BFAD6">
      <w:pPr>
        <w:pStyle w:val="16"/>
        <w:widowControl/>
        <w:ind w:right="75"/>
        <w:rPr>
          <w:rStyle w:val="19"/>
          <w:sz w:val="30"/>
          <w:szCs w:val="30"/>
          <w:shd w:val="clear" w:color="auto" w:fill="FFFFFF"/>
        </w:rPr>
        <w:sectPr>
          <w:pgSz w:w="11906" w:h="16838"/>
          <w:pgMar w:top="1440" w:right="1800" w:bottom="1440" w:left="1800" w:header="851" w:footer="992" w:gutter="0"/>
          <w:cols w:space="720" w:num="1"/>
          <w:docGrid w:type="lines" w:linePitch="312" w:charSpace="0"/>
        </w:sectPr>
      </w:pPr>
      <w:r>
        <w:rPr>
          <w:shd w:val="clear" w:color="auto" w:fill="FFFFFF"/>
        </w:rPr>
        <w:t>部门主要负责人审签情况：已审签，同意对外</w:t>
      </w:r>
    </w:p>
    <w:p w14:paraId="508ED35F">
      <w:pPr>
        <w:widowControl/>
        <w:rPr>
          <w:rFonts w:hint="eastAsia" w:ascii="黑体" w:hAnsi="黑体" w:eastAsia="黑体" w:cstheme="minorBidi"/>
          <w:sz w:val="28"/>
          <w:szCs w:val="28"/>
        </w:rPr>
      </w:pPr>
      <w:r>
        <w:rPr>
          <w:rFonts w:hint="eastAsia" w:ascii="黑体" w:hAnsi="黑体" w:eastAsia="黑体"/>
          <w:sz w:val="48"/>
          <w:szCs w:val="48"/>
        </w:rPr>
        <w:t xml:space="preserve">              目录</w:t>
      </w:r>
    </w:p>
    <w:p w14:paraId="124FBD5B">
      <w:pPr>
        <w:pStyle w:val="14"/>
        <w:rPr>
          <w:rFonts w:hint="eastAsia"/>
        </w:rPr>
      </w:pPr>
      <w:r>
        <w:rPr>
          <w:rFonts w:hint="eastAsia"/>
        </w:rPr>
        <w:t>公开时间：2024年11月16日</w:t>
      </w:r>
    </w:p>
    <w:p w14:paraId="181FF75F"/>
    <w:sdt>
      <w:sdtPr>
        <w:rPr>
          <w:rFonts w:ascii="宋体" w:hAnsi="宋体"/>
        </w:rPr>
        <w:id w:val="147473446"/>
        <w15:color w:val="DBDBDB"/>
        <w:docPartObj>
          <w:docPartGallery w:val="Table of Contents"/>
          <w:docPartUnique/>
        </w:docPartObj>
      </w:sdtPr>
      <w:sdtEndPr>
        <w:rPr>
          <w:rFonts w:ascii="宋体" w:hAnsi="宋体"/>
        </w:rPr>
      </w:sdtEndPr>
      <w:sdtContent>
        <w:p w14:paraId="1D61AA8A">
          <w:pPr>
            <w:jc w:val="center"/>
          </w:pPr>
          <w:bookmarkStart w:id="15" w:name="_Toc15396599"/>
          <w:bookmarkStart w:id="16" w:name="_Toc15377196"/>
        </w:p>
        <w:p w14:paraId="46D83E5C">
          <w:pPr>
            <w:pStyle w:val="40"/>
            <w:tabs>
              <w:tab w:val="right" w:leader="dot" w:pos="8306"/>
            </w:tabs>
          </w:pPr>
          <w:r>
            <w:fldChar w:fldCharType="begin"/>
          </w:r>
          <w:r>
            <w:instrText xml:space="preserve">TOC \o "1-3" \h \u </w:instrText>
          </w:r>
          <w:r>
            <w:fldChar w:fldCharType="separate"/>
          </w:r>
          <w:r>
            <w:fldChar w:fldCharType="begin"/>
          </w:r>
          <w:r>
            <w:instrText xml:space="preserve"> HYPERLINK \l "_Toc3973" </w:instrText>
          </w:r>
          <w:r>
            <w:fldChar w:fldCharType="separate"/>
          </w:r>
          <w:r>
            <w:rPr>
              <w:rFonts w:hint="eastAsia" w:ascii="方正小标宋简体" w:hAnsi="方正小标宋简体" w:eastAsia="方正小标宋简体" w:cs="方正小标宋简体"/>
              <w:szCs w:val="44"/>
            </w:rPr>
            <w:t>2023年度</w:t>
          </w:r>
          <w:r>
            <w:tab/>
          </w:r>
          <w:r>
            <w:fldChar w:fldCharType="begin"/>
          </w:r>
          <w:r>
            <w:instrText xml:space="preserve"> PAGEREF _Toc3973 \h </w:instrText>
          </w:r>
          <w:r>
            <w:fldChar w:fldCharType="separate"/>
          </w:r>
          <w:r>
            <w:t>1</w:t>
          </w:r>
          <w:r>
            <w:fldChar w:fldCharType="end"/>
          </w:r>
          <w:r>
            <w:fldChar w:fldCharType="end"/>
          </w:r>
        </w:p>
        <w:p w14:paraId="70DD1B2C">
          <w:pPr>
            <w:pStyle w:val="40"/>
            <w:tabs>
              <w:tab w:val="right" w:leader="dot" w:pos="8306"/>
            </w:tabs>
          </w:pPr>
          <w:r>
            <w:fldChar w:fldCharType="begin"/>
          </w:r>
          <w:r>
            <w:instrText xml:space="preserve"> HYPERLINK \l "_Toc27744" </w:instrText>
          </w:r>
          <w:r>
            <w:fldChar w:fldCharType="separate"/>
          </w:r>
          <w:r>
            <w:rPr>
              <w:rFonts w:hint="eastAsia" w:ascii="方正小标宋简体" w:hAnsi="宋体" w:eastAsia="方正小标宋简体"/>
              <w:szCs w:val="44"/>
            </w:rPr>
            <w:t>红原县新华书店</w:t>
          </w:r>
          <w:r>
            <w:tab/>
          </w:r>
          <w:r>
            <w:fldChar w:fldCharType="begin"/>
          </w:r>
          <w:r>
            <w:instrText xml:space="preserve"> PAGEREF _Toc27744 \h </w:instrText>
          </w:r>
          <w:r>
            <w:fldChar w:fldCharType="separate"/>
          </w:r>
          <w:r>
            <w:t>1</w:t>
          </w:r>
          <w:r>
            <w:fldChar w:fldCharType="end"/>
          </w:r>
          <w:r>
            <w:fldChar w:fldCharType="end"/>
          </w:r>
        </w:p>
        <w:p w14:paraId="6D685953">
          <w:pPr>
            <w:pStyle w:val="40"/>
            <w:tabs>
              <w:tab w:val="right" w:leader="dot" w:pos="8306"/>
            </w:tabs>
          </w:pPr>
          <w:r>
            <w:fldChar w:fldCharType="begin"/>
          </w:r>
          <w:r>
            <w:instrText xml:space="preserve"> HYPERLINK \l "_Toc25949" </w:instrText>
          </w:r>
          <w:r>
            <w:fldChar w:fldCharType="separate"/>
          </w:r>
          <w:r>
            <w:rPr>
              <w:rFonts w:hint="eastAsia" w:ascii="方正小标宋简体" w:hAnsi="方正小标宋简体" w:eastAsia="方正小标宋简体" w:cs="方正小标宋简体"/>
              <w:szCs w:val="44"/>
            </w:rPr>
            <w:t>部门决算公开编制说明</w:t>
          </w:r>
          <w:r>
            <w:tab/>
          </w:r>
          <w:r>
            <w:fldChar w:fldCharType="begin"/>
          </w:r>
          <w:r>
            <w:instrText xml:space="preserve"> PAGEREF _Toc25949 \h </w:instrText>
          </w:r>
          <w:r>
            <w:fldChar w:fldCharType="separate"/>
          </w:r>
          <w:r>
            <w:t>1</w:t>
          </w:r>
          <w:r>
            <w:fldChar w:fldCharType="end"/>
          </w:r>
          <w:r>
            <w:fldChar w:fldCharType="end"/>
          </w:r>
        </w:p>
        <w:p w14:paraId="5737A62F">
          <w:pPr>
            <w:pStyle w:val="40"/>
            <w:tabs>
              <w:tab w:val="right" w:leader="dot" w:pos="8306"/>
            </w:tabs>
          </w:pPr>
          <w:r>
            <w:fldChar w:fldCharType="begin"/>
          </w:r>
          <w:r>
            <w:instrText xml:space="preserve"> HYPERLINK \l "_Toc17648" </w:instrText>
          </w:r>
          <w:r>
            <w:fldChar w:fldCharType="separate"/>
          </w:r>
          <w:r>
            <w:rPr>
              <w:rFonts w:hint="eastAsia" w:ascii="黑体" w:hAnsi="黑体" w:eastAsia="黑体"/>
            </w:rPr>
            <w:t>第一部分 部门概况</w:t>
          </w:r>
          <w:r>
            <w:tab/>
          </w:r>
          <w:r>
            <w:fldChar w:fldCharType="begin"/>
          </w:r>
          <w:r>
            <w:instrText xml:space="preserve"> PAGEREF _Toc17648 \h </w:instrText>
          </w:r>
          <w:r>
            <w:fldChar w:fldCharType="separate"/>
          </w:r>
          <w:r>
            <w:t>3</w:t>
          </w:r>
          <w:r>
            <w:fldChar w:fldCharType="end"/>
          </w:r>
          <w:r>
            <w:fldChar w:fldCharType="end"/>
          </w:r>
        </w:p>
        <w:p w14:paraId="0CEF3B9C">
          <w:pPr>
            <w:pStyle w:val="41"/>
            <w:tabs>
              <w:tab w:val="right" w:leader="dot" w:pos="8306"/>
            </w:tabs>
            <w:ind w:left="420"/>
          </w:pPr>
          <w:r>
            <w:fldChar w:fldCharType="begin"/>
          </w:r>
          <w:r>
            <w:instrText xml:space="preserve"> HYPERLINK \l "_Toc6919" </w:instrText>
          </w:r>
          <w:r>
            <w:fldChar w:fldCharType="separate"/>
          </w:r>
          <w:r>
            <w:rPr>
              <w:rFonts w:hint="eastAsia"/>
            </w:rPr>
            <w:t xml:space="preserve">一、 </w:t>
          </w:r>
          <w:r>
            <w:rPr>
              <w:rFonts w:hint="eastAsia" w:ascii="黑体" w:hAnsi="黑体" w:eastAsia="黑体"/>
            </w:rPr>
            <w:t>部门职责</w:t>
          </w:r>
          <w:r>
            <w:tab/>
          </w:r>
          <w:r>
            <w:fldChar w:fldCharType="begin"/>
          </w:r>
          <w:r>
            <w:instrText xml:space="preserve"> PAGEREF _Toc6919 \h </w:instrText>
          </w:r>
          <w:r>
            <w:fldChar w:fldCharType="separate"/>
          </w:r>
          <w:r>
            <w:t>3</w:t>
          </w:r>
          <w:r>
            <w:fldChar w:fldCharType="end"/>
          </w:r>
          <w:r>
            <w:fldChar w:fldCharType="end"/>
          </w:r>
        </w:p>
        <w:p w14:paraId="50CE7DAD">
          <w:pPr>
            <w:pStyle w:val="41"/>
            <w:tabs>
              <w:tab w:val="right" w:leader="dot" w:pos="8306"/>
            </w:tabs>
            <w:ind w:left="420"/>
          </w:pPr>
          <w:r>
            <w:fldChar w:fldCharType="begin"/>
          </w:r>
          <w:r>
            <w:instrText xml:space="preserve"> HYPERLINK \l "_Toc8783" </w:instrText>
          </w:r>
          <w:r>
            <w:fldChar w:fldCharType="separate"/>
          </w:r>
          <w:r>
            <w:rPr>
              <w:rFonts w:hint="eastAsia" w:ascii="黑体" w:hAnsi="黑体" w:eastAsia="黑体"/>
            </w:rPr>
            <w:t>二、机构设置</w:t>
          </w:r>
          <w:r>
            <w:tab/>
          </w:r>
          <w:r>
            <w:fldChar w:fldCharType="begin"/>
          </w:r>
          <w:r>
            <w:instrText xml:space="preserve"> PAGEREF _Toc8783 \h </w:instrText>
          </w:r>
          <w:r>
            <w:fldChar w:fldCharType="separate"/>
          </w:r>
          <w:r>
            <w:t>3</w:t>
          </w:r>
          <w:r>
            <w:fldChar w:fldCharType="end"/>
          </w:r>
          <w:r>
            <w:fldChar w:fldCharType="end"/>
          </w:r>
        </w:p>
        <w:p w14:paraId="1CB843EB">
          <w:pPr>
            <w:pStyle w:val="40"/>
            <w:tabs>
              <w:tab w:val="right" w:leader="dot" w:pos="8306"/>
            </w:tabs>
          </w:pPr>
          <w:r>
            <w:fldChar w:fldCharType="begin"/>
          </w:r>
          <w:r>
            <w:instrText xml:space="preserve"> HYPERLINK \l "_Toc26878"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_Toc26878 \h </w:instrText>
          </w:r>
          <w:r>
            <w:fldChar w:fldCharType="separate"/>
          </w:r>
          <w:r>
            <w:t>4</w:t>
          </w:r>
          <w:r>
            <w:fldChar w:fldCharType="end"/>
          </w:r>
          <w:r>
            <w:fldChar w:fldCharType="end"/>
          </w:r>
        </w:p>
        <w:p w14:paraId="641261B1">
          <w:pPr>
            <w:pStyle w:val="41"/>
            <w:tabs>
              <w:tab w:val="right" w:leader="dot" w:pos="8306"/>
            </w:tabs>
            <w:ind w:left="420"/>
          </w:pPr>
          <w:r>
            <w:fldChar w:fldCharType="begin"/>
          </w:r>
          <w:r>
            <w:instrText xml:space="preserve"> HYPERLINK \l "_Toc18132"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_Toc18132 \h </w:instrText>
          </w:r>
          <w:r>
            <w:fldChar w:fldCharType="separate"/>
          </w:r>
          <w:r>
            <w:t>4</w:t>
          </w:r>
          <w:r>
            <w:fldChar w:fldCharType="end"/>
          </w:r>
          <w:r>
            <w:fldChar w:fldCharType="end"/>
          </w:r>
        </w:p>
        <w:p w14:paraId="303A9C8B">
          <w:pPr>
            <w:pStyle w:val="41"/>
            <w:tabs>
              <w:tab w:val="right" w:leader="dot" w:pos="8306"/>
            </w:tabs>
            <w:ind w:left="420"/>
          </w:pPr>
          <w:r>
            <w:fldChar w:fldCharType="begin"/>
          </w:r>
          <w:r>
            <w:instrText xml:space="preserve"> HYPERLINK \l "_Toc17890"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_Toc17890 \h </w:instrText>
          </w:r>
          <w:r>
            <w:fldChar w:fldCharType="separate"/>
          </w:r>
          <w:r>
            <w:t>4</w:t>
          </w:r>
          <w:r>
            <w:fldChar w:fldCharType="end"/>
          </w:r>
          <w:r>
            <w:fldChar w:fldCharType="end"/>
          </w:r>
        </w:p>
        <w:p w14:paraId="539440C9">
          <w:pPr>
            <w:pStyle w:val="41"/>
            <w:tabs>
              <w:tab w:val="right" w:leader="dot" w:pos="8306"/>
            </w:tabs>
            <w:ind w:left="420"/>
          </w:pPr>
          <w:r>
            <w:fldChar w:fldCharType="begin"/>
          </w:r>
          <w:r>
            <w:instrText xml:space="preserve"> HYPERLINK \l "_Toc26167" </w:instrText>
          </w:r>
          <w:r>
            <w:fldChar w:fldCharType="separate"/>
          </w:r>
          <w:r>
            <w:rPr>
              <w:rFonts w:hint="eastAsia" w:ascii="仿宋" w:hAnsi="仿宋" w:eastAsia="仿宋"/>
              <w:szCs w:val="32"/>
            </w:rPr>
            <w:t>2023年度本年收入合计</w:t>
          </w:r>
          <w:r>
            <w:rPr>
              <w:szCs w:val="32"/>
            </w:rPr>
            <w:t>97.24</w:t>
          </w:r>
          <w:r>
            <w:rPr>
              <w:rFonts w:hint="eastAsia" w:ascii="仿宋" w:hAnsi="仿宋" w:eastAsia="仿宋"/>
              <w:szCs w:val="32"/>
            </w:rPr>
            <w:t>万元，其中：一般公共预算财政拨款收入</w:t>
          </w:r>
          <w:r>
            <w:rPr>
              <w:szCs w:val="32"/>
            </w:rPr>
            <w:t>97.24</w:t>
          </w:r>
          <w:r>
            <w:rPr>
              <w:rFonts w:hint="eastAsia" w:ascii="仿宋" w:hAnsi="仿宋" w:eastAsia="仿宋"/>
              <w:szCs w:val="32"/>
            </w:rPr>
            <w:t>万元，占</w:t>
          </w:r>
          <w:r>
            <w:rPr>
              <w:szCs w:val="32"/>
            </w:rPr>
            <w:t>100</w:t>
          </w:r>
          <w:r>
            <w:rPr>
              <w:rFonts w:ascii="仿宋" w:hAnsi="仿宋" w:eastAsia="仿宋"/>
              <w:szCs w:val="32"/>
            </w:rPr>
            <w:t>%</w:t>
          </w:r>
          <w:r>
            <w:rPr>
              <w:rFonts w:hint="eastAsia" w:ascii="仿宋" w:hAnsi="仿宋" w:eastAsia="仿宋"/>
              <w:szCs w:val="32"/>
            </w:rPr>
            <w:t>；政府性基金预算财政拨款收入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；国有资本经营预算财政拨款收入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；上级补助收入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；事业收入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；附属单位上缴收入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；其他收入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_Toc26167 \h </w:instrText>
          </w:r>
          <w:r>
            <w:fldChar w:fldCharType="separate"/>
          </w:r>
          <w:r>
            <w:t>4</w:t>
          </w:r>
          <w:r>
            <w:fldChar w:fldCharType="end"/>
          </w:r>
          <w:r>
            <w:fldChar w:fldCharType="end"/>
          </w:r>
        </w:p>
        <w:p w14:paraId="79863303">
          <w:pPr>
            <w:pStyle w:val="41"/>
            <w:tabs>
              <w:tab w:val="right" w:leader="dot" w:pos="8306"/>
            </w:tabs>
            <w:ind w:left="420"/>
          </w:pPr>
          <w:r>
            <w:fldChar w:fldCharType="begin"/>
          </w:r>
          <w:r>
            <w:instrText xml:space="preserve"> HYPERLINK \l "_Toc14121"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_Toc14121 \h </w:instrText>
          </w:r>
          <w:r>
            <w:fldChar w:fldCharType="separate"/>
          </w:r>
          <w:r>
            <w:t>5</w:t>
          </w:r>
          <w:r>
            <w:fldChar w:fldCharType="end"/>
          </w:r>
          <w:r>
            <w:fldChar w:fldCharType="end"/>
          </w:r>
        </w:p>
        <w:p w14:paraId="2C5FEBAF">
          <w:pPr>
            <w:pStyle w:val="41"/>
            <w:tabs>
              <w:tab w:val="right" w:leader="dot" w:pos="8306"/>
            </w:tabs>
            <w:ind w:left="420"/>
          </w:pPr>
          <w:r>
            <w:fldChar w:fldCharType="begin"/>
          </w:r>
          <w:r>
            <w:instrText xml:space="preserve"> HYPERLINK \l "_Toc20275" </w:instrText>
          </w:r>
          <w:r>
            <w:fldChar w:fldCharType="separate"/>
          </w:r>
          <w:r>
            <w:rPr>
              <w:rFonts w:hint="eastAsia" w:ascii="仿宋" w:hAnsi="仿宋" w:eastAsia="仿宋"/>
              <w:szCs w:val="32"/>
            </w:rPr>
            <w:t>2023年度本年支出合计</w:t>
          </w:r>
          <w:r>
            <w:rPr>
              <w:szCs w:val="32"/>
            </w:rPr>
            <w:t>97.24</w:t>
          </w:r>
          <w:r>
            <w:rPr>
              <w:rFonts w:hint="eastAsia" w:ascii="仿宋" w:hAnsi="仿宋" w:eastAsia="仿宋"/>
              <w:szCs w:val="32"/>
            </w:rPr>
            <w:t>万元，其中：基本支出</w:t>
          </w:r>
          <w:r>
            <w:rPr>
              <w:szCs w:val="32"/>
            </w:rPr>
            <w:t>96.22</w:t>
          </w:r>
          <w:r>
            <w:rPr>
              <w:rFonts w:hint="eastAsia" w:ascii="仿宋" w:hAnsi="仿宋" w:eastAsia="仿宋"/>
              <w:szCs w:val="32"/>
            </w:rPr>
            <w:t>万元，占</w:t>
          </w:r>
          <w:r>
            <w:rPr>
              <w:szCs w:val="32"/>
            </w:rPr>
            <w:t>98.95</w:t>
          </w:r>
          <w:r>
            <w:rPr>
              <w:rFonts w:ascii="仿宋" w:hAnsi="仿宋" w:eastAsia="仿宋"/>
              <w:szCs w:val="32"/>
            </w:rPr>
            <w:t>%</w:t>
          </w:r>
          <w:r>
            <w:rPr>
              <w:rFonts w:hint="eastAsia" w:ascii="仿宋" w:hAnsi="仿宋" w:eastAsia="仿宋"/>
              <w:szCs w:val="32"/>
            </w:rPr>
            <w:t>；项目支出</w:t>
          </w:r>
          <w:r>
            <w:rPr>
              <w:szCs w:val="32"/>
            </w:rPr>
            <w:t>1.02</w:t>
          </w:r>
          <w:r>
            <w:rPr>
              <w:rFonts w:hint="eastAsia" w:ascii="仿宋" w:hAnsi="仿宋" w:eastAsia="仿宋"/>
              <w:szCs w:val="32"/>
            </w:rPr>
            <w:t>万元，占</w:t>
          </w:r>
          <w:r>
            <w:rPr>
              <w:szCs w:val="32"/>
            </w:rPr>
            <w:t>1.04</w:t>
          </w:r>
          <w:r>
            <w:rPr>
              <w:rFonts w:ascii="仿宋" w:hAnsi="仿宋" w:eastAsia="仿宋"/>
              <w:szCs w:val="32"/>
            </w:rPr>
            <w:t>%</w:t>
          </w:r>
          <w:r>
            <w:rPr>
              <w:rFonts w:hint="eastAsia" w:ascii="仿宋" w:hAnsi="仿宋" w:eastAsia="仿宋"/>
              <w:szCs w:val="32"/>
            </w:rPr>
            <w:t>；上缴上级支出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；对附属单位补助支出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_Toc20275 \h </w:instrText>
          </w:r>
          <w:r>
            <w:fldChar w:fldCharType="separate"/>
          </w:r>
          <w:r>
            <w:t>5</w:t>
          </w:r>
          <w:r>
            <w:fldChar w:fldCharType="end"/>
          </w:r>
          <w:r>
            <w:fldChar w:fldCharType="end"/>
          </w:r>
        </w:p>
        <w:p w14:paraId="76E15A22">
          <w:pPr>
            <w:pStyle w:val="41"/>
            <w:tabs>
              <w:tab w:val="right" w:leader="dot" w:pos="8306"/>
            </w:tabs>
            <w:ind w:left="420"/>
          </w:pPr>
          <w:r>
            <w:fldChar w:fldCharType="begin"/>
          </w:r>
          <w:r>
            <w:instrText xml:space="preserve"> HYPERLINK \l "_Toc17511"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_Toc17511 \h </w:instrText>
          </w:r>
          <w:r>
            <w:fldChar w:fldCharType="separate"/>
          </w:r>
          <w:r>
            <w:t>6</w:t>
          </w:r>
          <w:r>
            <w:fldChar w:fldCharType="end"/>
          </w:r>
          <w:r>
            <w:fldChar w:fldCharType="end"/>
          </w:r>
        </w:p>
        <w:p w14:paraId="3E4BC815">
          <w:pPr>
            <w:pStyle w:val="41"/>
            <w:tabs>
              <w:tab w:val="right" w:leader="dot" w:pos="8306"/>
            </w:tabs>
            <w:ind w:left="420"/>
          </w:pPr>
          <w:r>
            <w:fldChar w:fldCharType="begin"/>
          </w:r>
          <w:r>
            <w:instrText xml:space="preserve"> HYPERLINK \l "_Toc21249"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_Toc21249 \h </w:instrText>
          </w:r>
          <w:r>
            <w:fldChar w:fldCharType="separate"/>
          </w:r>
          <w:r>
            <w:t>7</w:t>
          </w:r>
          <w:r>
            <w:fldChar w:fldCharType="end"/>
          </w:r>
          <w:r>
            <w:fldChar w:fldCharType="end"/>
          </w:r>
        </w:p>
        <w:p w14:paraId="7C479FAC">
          <w:pPr>
            <w:pStyle w:val="42"/>
            <w:tabs>
              <w:tab w:val="right" w:leader="dot" w:pos="8306"/>
            </w:tabs>
            <w:ind w:left="840"/>
          </w:pPr>
          <w:r>
            <w:fldChar w:fldCharType="begin"/>
          </w:r>
          <w:r>
            <w:instrText xml:space="preserve"> HYPERLINK \l "_Toc10756"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_Toc10756 \h </w:instrText>
          </w:r>
          <w:r>
            <w:fldChar w:fldCharType="separate"/>
          </w:r>
          <w:r>
            <w:t>7</w:t>
          </w:r>
          <w:r>
            <w:fldChar w:fldCharType="end"/>
          </w:r>
          <w:r>
            <w:fldChar w:fldCharType="end"/>
          </w:r>
        </w:p>
        <w:p w14:paraId="62C585B7">
          <w:pPr>
            <w:pStyle w:val="42"/>
            <w:tabs>
              <w:tab w:val="right" w:leader="dot" w:pos="8306"/>
            </w:tabs>
            <w:ind w:left="840"/>
          </w:pPr>
          <w:r>
            <w:fldChar w:fldCharType="begin"/>
          </w:r>
          <w:r>
            <w:instrText xml:space="preserve"> HYPERLINK \l "_Toc29748"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_Toc29748 \h </w:instrText>
          </w:r>
          <w:r>
            <w:fldChar w:fldCharType="separate"/>
          </w:r>
          <w:r>
            <w:t>7</w:t>
          </w:r>
          <w:r>
            <w:fldChar w:fldCharType="end"/>
          </w:r>
          <w:r>
            <w:fldChar w:fldCharType="end"/>
          </w:r>
        </w:p>
        <w:p w14:paraId="4EA79D9D">
          <w:pPr>
            <w:pStyle w:val="42"/>
            <w:tabs>
              <w:tab w:val="right" w:leader="dot" w:pos="8306"/>
            </w:tabs>
            <w:ind w:left="840"/>
          </w:pPr>
          <w:r>
            <w:fldChar w:fldCharType="begin"/>
          </w:r>
          <w:r>
            <w:instrText xml:space="preserve"> HYPERLINK \l "_Toc24808"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_Toc24808 \h </w:instrText>
          </w:r>
          <w:r>
            <w:fldChar w:fldCharType="separate"/>
          </w:r>
          <w:r>
            <w:t>8</w:t>
          </w:r>
          <w:r>
            <w:fldChar w:fldCharType="end"/>
          </w:r>
          <w:r>
            <w:fldChar w:fldCharType="end"/>
          </w:r>
        </w:p>
        <w:p w14:paraId="0F566B9A">
          <w:pPr>
            <w:pStyle w:val="42"/>
            <w:tabs>
              <w:tab w:val="right" w:leader="dot" w:pos="8306"/>
            </w:tabs>
            <w:ind w:left="840"/>
          </w:pPr>
          <w:r>
            <w:fldChar w:fldCharType="begin"/>
          </w:r>
          <w:r>
            <w:instrText xml:space="preserve"> HYPERLINK \l "_Toc20019" </w:instrText>
          </w:r>
          <w:r>
            <w:fldChar w:fldCharType="separate"/>
          </w:r>
          <w:r>
            <w:rPr>
              <w:rFonts w:hint="eastAsia" w:ascii="仿宋" w:hAnsi="仿宋" w:eastAsia="仿宋"/>
              <w:szCs w:val="32"/>
            </w:rPr>
            <w:t>2023年度一般公共预算支出决算数为</w:t>
          </w:r>
          <w:r>
            <w:rPr>
              <w:szCs w:val="32"/>
            </w:rPr>
            <w:t>97.24</w:t>
          </w:r>
          <w:r>
            <w:rPr>
              <w:rFonts w:hint="eastAsia" w:ascii="仿宋" w:hAnsi="仿宋" w:eastAsia="仿宋"/>
              <w:szCs w:val="32"/>
            </w:rPr>
            <w:t>，</w:t>
          </w:r>
          <w:r>
            <w:rPr>
              <w:rFonts w:hint="eastAsia" w:ascii="仿宋" w:hAnsi="仿宋" w:eastAsia="仿宋"/>
              <w:bCs/>
              <w:szCs w:val="32"/>
            </w:rPr>
            <w:t>完成预算100</w:t>
          </w:r>
          <w:r>
            <w:rPr>
              <w:rFonts w:ascii="仿宋" w:hAnsi="仿宋" w:eastAsia="仿宋"/>
              <w:bCs/>
              <w:szCs w:val="32"/>
            </w:rPr>
            <w:t>%</w:t>
          </w:r>
          <w:r>
            <w:rPr>
              <w:rFonts w:hint="eastAsia" w:ascii="仿宋" w:hAnsi="仿宋" w:eastAsia="仿宋"/>
              <w:bCs/>
              <w:szCs w:val="32"/>
            </w:rPr>
            <w:t>。其中：</w:t>
          </w:r>
          <w:r>
            <w:tab/>
          </w:r>
          <w:r>
            <w:fldChar w:fldCharType="begin"/>
          </w:r>
          <w:r>
            <w:instrText xml:space="preserve"> PAGEREF _Toc20019 \h </w:instrText>
          </w:r>
          <w:r>
            <w:fldChar w:fldCharType="separate"/>
          </w:r>
          <w:r>
            <w:t>8</w:t>
          </w:r>
          <w:r>
            <w:fldChar w:fldCharType="end"/>
          </w:r>
          <w:r>
            <w:fldChar w:fldCharType="end"/>
          </w:r>
        </w:p>
        <w:p w14:paraId="016AA514">
          <w:pPr>
            <w:pStyle w:val="41"/>
            <w:tabs>
              <w:tab w:val="right" w:leader="dot" w:pos="8306"/>
            </w:tabs>
            <w:ind w:left="420"/>
          </w:pPr>
          <w:r>
            <w:fldChar w:fldCharType="begin"/>
          </w:r>
          <w:r>
            <w:instrText xml:space="preserve"> HYPERLINK \l "_Toc27794"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_Toc27794 \h </w:instrText>
          </w:r>
          <w:r>
            <w:fldChar w:fldCharType="separate"/>
          </w:r>
          <w:r>
            <w:t>9</w:t>
          </w:r>
          <w:r>
            <w:fldChar w:fldCharType="end"/>
          </w:r>
          <w:r>
            <w:fldChar w:fldCharType="end"/>
          </w:r>
        </w:p>
        <w:p w14:paraId="734B913B">
          <w:pPr>
            <w:pStyle w:val="41"/>
            <w:tabs>
              <w:tab w:val="right" w:leader="dot" w:pos="8306"/>
            </w:tabs>
            <w:ind w:left="420"/>
          </w:pPr>
          <w:r>
            <w:fldChar w:fldCharType="begin"/>
          </w:r>
          <w:r>
            <w:instrText xml:space="preserve"> HYPERLINK \l "_Toc7524"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_Toc7524 \h </w:instrText>
          </w:r>
          <w:r>
            <w:fldChar w:fldCharType="separate"/>
          </w:r>
          <w:r>
            <w:t>10</w:t>
          </w:r>
          <w:r>
            <w:fldChar w:fldCharType="end"/>
          </w:r>
          <w:r>
            <w:fldChar w:fldCharType="end"/>
          </w:r>
        </w:p>
        <w:p w14:paraId="350F81A4">
          <w:pPr>
            <w:pStyle w:val="42"/>
            <w:tabs>
              <w:tab w:val="right" w:leader="dot" w:pos="8306"/>
            </w:tabs>
            <w:ind w:left="840"/>
          </w:pPr>
          <w:r>
            <w:fldChar w:fldCharType="begin"/>
          </w:r>
          <w:r>
            <w:instrText xml:space="preserve"> HYPERLINK \l "_Toc27405"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_Toc27405 \h </w:instrText>
          </w:r>
          <w:r>
            <w:fldChar w:fldCharType="separate"/>
          </w:r>
          <w:r>
            <w:t>10</w:t>
          </w:r>
          <w:r>
            <w:fldChar w:fldCharType="end"/>
          </w:r>
          <w:r>
            <w:fldChar w:fldCharType="end"/>
          </w:r>
        </w:p>
        <w:p w14:paraId="2EED43AD">
          <w:pPr>
            <w:pStyle w:val="42"/>
            <w:tabs>
              <w:tab w:val="right" w:leader="dot" w:pos="8306"/>
            </w:tabs>
            <w:ind w:left="840"/>
          </w:pPr>
          <w:r>
            <w:fldChar w:fldCharType="begin"/>
          </w:r>
          <w:r>
            <w:instrText xml:space="preserve"> HYPERLINK \l "_Toc5604"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_Toc5604 \h </w:instrText>
          </w:r>
          <w:r>
            <w:fldChar w:fldCharType="separate"/>
          </w:r>
          <w:r>
            <w:t>10</w:t>
          </w:r>
          <w:r>
            <w:fldChar w:fldCharType="end"/>
          </w:r>
          <w:r>
            <w:fldChar w:fldCharType="end"/>
          </w:r>
        </w:p>
        <w:p w14:paraId="5F4A082E">
          <w:pPr>
            <w:pStyle w:val="41"/>
            <w:tabs>
              <w:tab w:val="right" w:leader="dot" w:pos="8306"/>
            </w:tabs>
            <w:ind w:left="420"/>
          </w:pPr>
          <w:r>
            <w:fldChar w:fldCharType="begin"/>
          </w:r>
          <w:r>
            <w:instrText xml:space="preserve"> HYPERLINK \l "_Toc32090"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_Toc32090 \h </w:instrText>
          </w:r>
          <w:r>
            <w:fldChar w:fldCharType="separate"/>
          </w:r>
          <w:r>
            <w:t>11</w:t>
          </w:r>
          <w:r>
            <w:fldChar w:fldCharType="end"/>
          </w:r>
          <w:r>
            <w:fldChar w:fldCharType="end"/>
          </w:r>
        </w:p>
        <w:p w14:paraId="3628BFBA">
          <w:pPr>
            <w:pStyle w:val="41"/>
            <w:tabs>
              <w:tab w:val="right" w:leader="dot" w:pos="8306"/>
            </w:tabs>
            <w:ind w:left="420"/>
          </w:pPr>
          <w:r>
            <w:fldChar w:fldCharType="begin"/>
          </w:r>
          <w:r>
            <w:instrText xml:space="preserve"> HYPERLINK \l "_Toc25786" </w:instrText>
          </w:r>
          <w:r>
            <w:fldChar w:fldCharType="separate"/>
          </w:r>
          <w:r>
            <w:rPr>
              <w:rFonts w:hint="eastAsia" w:ascii="黑体" w:hAnsi="黑体" w:eastAsia="黑体"/>
            </w:rPr>
            <w:t>九、 国有资本经营预算支出决算情况说明</w:t>
          </w:r>
          <w:r>
            <w:tab/>
          </w:r>
          <w:r>
            <w:fldChar w:fldCharType="begin"/>
          </w:r>
          <w:r>
            <w:instrText xml:space="preserve"> PAGEREF _Toc25786 \h </w:instrText>
          </w:r>
          <w:r>
            <w:fldChar w:fldCharType="separate"/>
          </w:r>
          <w:r>
            <w:t>11</w:t>
          </w:r>
          <w:r>
            <w:fldChar w:fldCharType="end"/>
          </w:r>
          <w:r>
            <w:fldChar w:fldCharType="end"/>
          </w:r>
        </w:p>
        <w:p w14:paraId="54501571">
          <w:pPr>
            <w:pStyle w:val="41"/>
            <w:tabs>
              <w:tab w:val="right" w:leader="dot" w:pos="8306"/>
            </w:tabs>
            <w:ind w:left="420"/>
          </w:pPr>
          <w:r>
            <w:fldChar w:fldCharType="begin"/>
          </w:r>
          <w:r>
            <w:instrText xml:space="preserve"> HYPERLINK \l "_Toc5184" </w:instrText>
          </w:r>
          <w:r>
            <w:fldChar w:fldCharType="separate"/>
          </w:r>
          <w:r>
            <w:rPr>
              <w:rFonts w:hint="eastAsia" w:ascii="黑体" w:hAnsi="黑体" w:eastAsia="黑体"/>
            </w:rPr>
            <w:t>十、 其他重要事项的情况说明</w:t>
          </w:r>
          <w:r>
            <w:tab/>
          </w:r>
          <w:r>
            <w:fldChar w:fldCharType="begin"/>
          </w:r>
          <w:r>
            <w:instrText xml:space="preserve"> PAGEREF _Toc5184 \h </w:instrText>
          </w:r>
          <w:r>
            <w:fldChar w:fldCharType="separate"/>
          </w:r>
          <w:r>
            <w:t>11</w:t>
          </w:r>
          <w:r>
            <w:fldChar w:fldCharType="end"/>
          </w:r>
          <w:r>
            <w:fldChar w:fldCharType="end"/>
          </w:r>
        </w:p>
        <w:p w14:paraId="1F5365D9">
          <w:pPr>
            <w:pStyle w:val="42"/>
            <w:tabs>
              <w:tab w:val="right" w:leader="dot" w:pos="8306"/>
            </w:tabs>
            <w:ind w:left="840"/>
          </w:pPr>
          <w:r>
            <w:fldChar w:fldCharType="begin"/>
          </w:r>
          <w:r>
            <w:instrText xml:space="preserve"> HYPERLINK \l "_Toc22505" </w:instrText>
          </w:r>
          <w:r>
            <w:fldChar w:fldCharType="separate"/>
          </w:r>
          <w:r>
            <w:rPr>
              <w:rFonts w:hint="eastAsia" w:ascii="仿宋" w:hAnsi="仿宋" w:eastAsia="仿宋"/>
              <w:szCs w:val="32"/>
            </w:rPr>
            <w:t>（一）机关运行经费支出情况</w:t>
          </w:r>
          <w:r>
            <w:tab/>
          </w:r>
          <w:r>
            <w:fldChar w:fldCharType="begin"/>
          </w:r>
          <w:r>
            <w:instrText xml:space="preserve"> PAGEREF _Toc22505 \h </w:instrText>
          </w:r>
          <w:r>
            <w:fldChar w:fldCharType="separate"/>
          </w:r>
          <w:r>
            <w:t>11</w:t>
          </w:r>
          <w:r>
            <w:fldChar w:fldCharType="end"/>
          </w:r>
          <w:r>
            <w:fldChar w:fldCharType="end"/>
          </w:r>
        </w:p>
        <w:p w14:paraId="5D76E87B">
          <w:pPr>
            <w:pStyle w:val="42"/>
            <w:tabs>
              <w:tab w:val="right" w:leader="dot" w:pos="8306"/>
            </w:tabs>
            <w:ind w:left="840"/>
          </w:pPr>
          <w:r>
            <w:fldChar w:fldCharType="begin"/>
          </w:r>
          <w:r>
            <w:instrText xml:space="preserve"> HYPERLINK \l "_Toc19631" </w:instrText>
          </w:r>
          <w:r>
            <w:fldChar w:fldCharType="separate"/>
          </w:r>
          <w:r>
            <w:rPr>
              <w:rFonts w:hint="eastAsia" w:ascii="仿宋" w:hAnsi="仿宋" w:eastAsia="仿宋"/>
              <w:szCs w:val="32"/>
            </w:rPr>
            <w:t>（二）政府采购支出情况</w:t>
          </w:r>
          <w:r>
            <w:tab/>
          </w:r>
          <w:r>
            <w:fldChar w:fldCharType="begin"/>
          </w:r>
          <w:r>
            <w:instrText xml:space="preserve"> PAGEREF _Toc19631 \h </w:instrText>
          </w:r>
          <w:r>
            <w:fldChar w:fldCharType="separate"/>
          </w:r>
          <w:r>
            <w:t>12</w:t>
          </w:r>
          <w:r>
            <w:fldChar w:fldCharType="end"/>
          </w:r>
          <w:r>
            <w:fldChar w:fldCharType="end"/>
          </w:r>
        </w:p>
        <w:p w14:paraId="35C1AECB">
          <w:pPr>
            <w:pStyle w:val="42"/>
            <w:tabs>
              <w:tab w:val="right" w:leader="dot" w:pos="8306"/>
            </w:tabs>
            <w:ind w:left="840"/>
          </w:pPr>
          <w:r>
            <w:fldChar w:fldCharType="begin"/>
          </w:r>
          <w:r>
            <w:instrText xml:space="preserve"> HYPERLINK \l "_Toc19405" </w:instrText>
          </w:r>
          <w:r>
            <w:fldChar w:fldCharType="separate"/>
          </w:r>
          <w:r>
            <w:rPr>
              <w:rFonts w:hint="eastAsia" w:ascii="仿宋" w:hAnsi="仿宋" w:eastAsia="仿宋"/>
              <w:szCs w:val="32"/>
            </w:rPr>
            <w:t>（三）国有资产占有使用情况</w:t>
          </w:r>
          <w:r>
            <w:tab/>
          </w:r>
          <w:r>
            <w:fldChar w:fldCharType="begin"/>
          </w:r>
          <w:r>
            <w:instrText xml:space="preserve"> PAGEREF _Toc19405 \h </w:instrText>
          </w:r>
          <w:r>
            <w:fldChar w:fldCharType="separate"/>
          </w:r>
          <w:r>
            <w:t>12</w:t>
          </w:r>
          <w:r>
            <w:fldChar w:fldCharType="end"/>
          </w:r>
          <w:r>
            <w:fldChar w:fldCharType="end"/>
          </w:r>
        </w:p>
        <w:p w14:paraId="625B821A">
          <w:pPr>
            <w:pStyle w:val="42"/>
            <w:tabs>
              <w:tab w:val="right" w:leader="dot" w:pos="8306"/>
            </w:tabs>
            <w:ind w:left="840"/>
          </w:pPr>
          <w:r>
            <w:fldChar w:fldCharType="begin"/>
          </w:r>
          <w:r>
            <w:instrText xml:space="preserve"> HYPERLINK \l "_Toc8208" </w:instrText>
          </w:r>
          <w:r>
            <w:fldChar w:fldCharType="separate"/>
          </w:r>
          <w:r>
            <w:rPr>
              <w:rFonts w:hint="eastAsia" w:ascii="仿宋" w:hAnsi="仿宋" w:eastAsia="仿宋"/>
              <w:szCs w:val="32"/>
            </w:rPr>
            <w:t>（四）预算绩效管理情况</w:t>
          </w:r>
          <w:r>
            <w:tab/>
          </w:r>
          <w:r>
            <w:fldChar w:fldCharType="begin"/>
          </w:r>
          <w:r>
            <w:instrText xml:space="preserve"> PAGEREF _Toc8208 \h </w:instrText>
          </w:r>
          <w:r>
            <w:fldChar w:fldCharType="separate"/>
          </w:r>
          <w:r>
            <w:t>12</w:t>
          </w:r>
          <w:r>
            <w:fldChar w:fldCharType="end"/>
          </w:r>
          <w:r>
            <w:fldChar w:fldCharType="end"/>
          </w:r>
        </w:p>
        <w:p w14:paraId="6B9B0FE9">
          <w:pPr>
            <w:pStyle w:val="40"/>
            <w:tabs>
              <w:tab w:val="right" w:leader="dot" w:pos="8306"/>
            </w:tabs>
          </w:pPr>
          <w:r>
            <w:fldChar w:fldCharType="begin"/>
          </w:r>
          <w:r>
            <w:instrText xml:space="preserve"> HYPERLINK \l "_Toc12454" </w:instrText>
          </w:r>
          <w:r>
            <w:fldChar w:fldCharType="separate"/>
          </w:r>
          <w:r>
            <w:rPr>
              <w:rFonts w:hint="eastAsia"/>
            </w:rPr>
            <w:t>第三部分 名词解释</w:t>
          </w:r>
          <w:r>
            <w:tab/>
          </w:r>
          <w:r>
            <w:fldChar w:fldCharType="begin"/>
          </w:r>
          <w:r>
            <w:instrText xml:space="preserve"> PAGEREF _Toc12454 \h </w:instrText>
          </w:r>
          <w:r>
            <w:fldChar w:fldCharType="separate"/>
          </w:r>
          <w:r>
            <w:t>12</w:t>
          </w:r>
          <w:r>
            <w:fldChar w:fldCharType="end"/>
          </w:r>
          <w:r>
            <w:fldChar w:fldCharType="end"/>
          </w:r>
        </w:p>
        <w:p w14:paraId="36BE5023">
          <w:pPr>
            <w:pStyle w:val="40"/>
            <w:tabs>
              <w:tab w:val="right" w:leader="dot" w:pos="8306"/>
            </w:tabs>
          </w:pPr>
          <w:r>
            <w:fldChar w:fldCharType="begin"/>
          </w:r>
          <w:r>
            <w:instrText xml:space="preserve"> HYPERLINK \l "_Toc4149" </w:instrText>
          </w:r>
          <w:r>
            <w:fldChar w:fldCharType="separate"/>
          </w:r>
          <w:r>
            <w:rPr>
              <w:rFonts w:hint="eastAsia" w:ascii="黑体" w:hAnsi="黑体" w:eastAsia="黑体"/>
            </w:rPr>
            <w:t>第四部分 附件</w:t>
          </w:r>
          <w:r>
            <w:tab/>
          </w:r>
          <w:r>
            <w:fldChar w:fldCharType="begin"/>
          </w:r>
          <w:r>
            <w:instrText xml:space="preserve"> PAGEREF _Toc4149 \h </w:instrText>
          </w:r>
          <w:r>
            <w:fldChar w:fldCharType="separate"/>
          </w:r>
          <w:r>
            <w:t>16</w:t>
          </w:r>
          <w:r>
            <w:fldChar w:fldCharType="end"/>
          </w:r>
          <w:r>
            <w:fldChar w:fldCharType="end"/>
          </w:r>
        </w:p>
        <w:p w14:paraId="3E15172C">
          <w:pPr>
            <w:pStyle w:val="40"/>
            <w:tabs>
              <w:tab w:val="right" w:leader="dot" w:pos="8306"/>
            </w:tabs>
          </w:pPr>
          <w:r>
            <w:fldChar w:fldCharType="begin"/>
          </w:r>
          <w:r>
            <w:instrText xml:space="preserve"> HYPERLINK \l "_Toc20803" </w:instrText>
          </w:r>
          <w:r>
            <w:fldChar w:fldCharType="separate"/>
          </w:r>
          <w:r>
            <w:rPr>
              <w:rFonts w:hint="eastAsia" w:ascii="黑体" w:hAnsi="黑体" w:eastAsia="黑体"/>
            </w:rPr>
            <w:t>第五部分 附表</w:t>
          </w:r>
          <w:r>
            <w:tab/>
          </w:r>
          <w:r>
            <w:fldChar w:fldCharType="begin"/>
          </w:r>
          <w:r>
            <w:instrText xml:space="preserve"> PAGEREF _Toc20803 \h </w:instrText>
          </w:r>
          <w:r>
            <w:fldChar w:fldCharType="separate"/>
          </w:r>
          <w:r>
            <w:t>24</w:t>
          </w:r>
          <w:r>
            <w:fldChar w:fldCharType="end"/>
          </w:r>
          <w:r>
            <w:fldChar w:fldCharType="end"/>
          </w:r>
        </w:p>
        <w:p w14:paraId="4A26BF43">
          <w:r>
            <w:fldChar w:fldCharType="end"/>
          </w:r>
        </w:p>
      </w:sdtContent>
    </w:sdt>
    <w:p w14:paraId="4B8443BB">
      <w:pPr>
        <w:widowControl/>
        <w:spacing w:line="440" w:lineRule="exact"/>
        <w:jc w:val="left"/>
        <w:rPr>
          <w:rFonts w:hint="eastAsia" w:ascii="仿宋" w:hAnsi="仿宋" w:eastAsia="仿宋"/>
          <w:bCs/>
          <w:kern w:val="44"/>
          <w:sz w:val="24"/>
        </w:rPr>
      </w:pPr>
      <w:r>
        <w:rPr>
          <w:rFonts w:ascii="仿宋" w:hAnsi="仿宋" w:eastAsia="仿宋"/>
          <w:b/>
          <w:sz w:val="24"/>
        </w:rPr>
        <w:br w:type="page"/>
      </w:r>
    </w:p>
    <w:p w14:paraId="2C274755">
      <w:pPr>
        <w:pStyle w:val="3"/>
        <w:jc w:val="center"/>
        <w:rPr>
          <w:rStyle w:val="30"/>
          <w:rFonts w:hint="eastAsia" w:ascii="黑体" w:hAnsi="黑体" w:eastAsia="黑体"/>
          <w:b/>
          <w:bCs w:val="0"/>
        </w:rPr>
      </w:pPr>
      <w:bookmarkStart w:id="17" w:name="_Toc17648"/>
      <w:r>
        <w:rPr>
          <w:rFonts w:hint="eastAsia" w:ascii="黑体" w:hAnsi="黑体" w:eastAsia="黑体"/>
          <w:b w:val="0"/>
        </w:rPr>
        <w:t xml:space="preserve">第一部分 </w:t>
      </w:r>
      <w:r>
        <w:rPr>
          <w:rStyle w:val="30"/>
          <w:rFonts w:hint="eastAsia" w:ascii="黑体" w:hAnsi="黑体" w:eastAsia="黑体"/>
          <w:b w:val="0"/>
          <w:bCs w:val="0"/>
        </w:rPr>
        <w:t>部门概况</w:t>
      </w:r>
      <w:bookmarkEnd w:id="15"/>
      <w:bookmarkEnd w:id="16"/>
      <w:bookmarkEnd w:id="17"/>
    </w:p>
    <w:p w14:paraId="79E85F04">
      <w:pPr>
        <w:widowControl/>
        <w:jc w:val="left"/>
        <w:rPr>
          <w:rFonts w:ascii="黑体" w:eastAsia="黑体"/>
          <w:sz w:val="32"/>
          <w:szCs w:val="32"/>
        </w:rPr>
      </w:pPr>
    </w:p>
    <w:p w14:paraId="6292262B">
      <w:pPr>
        <w:pStyle w:val="4"/>
        <w:numPr>
          <w:ilvl w:val="0"/>
          <w:numId w:val="1"/>
        </w:numPr>
      </w:pPr>
      <w:bookmarkStart w:id="18" w:name="_Toc6919"/>
      <w:r>
        <w:rPr>
          <w:rFonts w:hint="eastAsia" w:ascii="黑体" w:hAnsi="黑体" w:eastAsia="黑体"/>
          <w:b w:val="0"/>
        </w:rPr>
        <w:t>部门职责</w:t>
      </w:r>
      <w:bookmarkEnd w:id="18"/>
    </w:p>
    <w:p w14:paraId="1BCF3A6E">
      <w:pPr>
        <w:pStyle w:val="37"/>
        <w:autoSpaceDE w:val="0"/>
        <w:snapToGrid w:val="0"/>
        <w:spacing w:beforeAutospacing="0" w:afterAutospacing="0" w:line="540" w:lineRule="exact"/>
        <w:ind w:firstLine="640" w:firstLineChars="200"/>
        <w:rPr>
          <w:rFonts w:hint="default" w:ascii="仿宋_GB2312" w:hAnsi="仿宋_GB2312" w:eastAsia="仿宋_GB2312" w:cs="仿宋_GB2312"/>
          <w:kern w:val="2"/>
          <w:sz w:val="32"/>
          <w:szCs w:val="32"/>
          <w:shd w:val="clear" w:color="auto" w:fill="FFFFFF"/>
        </w:rPr>
      </w:pPr>
      <w:bookmarkStart w:id="19" w:name="_Toc15377200"/>
      <w:bookmarkStart w:id="20" w:name="_Toc15396601"/>
      <w:r>
        <w:rPr>
          <w:rFonts w:ascii="仿宋_GB2312" w:hAnsi="仿宋_GB2312" w:eastAsia="仿宋_GB2312" w:cs="仿宋_GB2312"/>
          <w:kern w:val="2"/>
          <w:sz w:val="32"/>
          <w:szCs w:val="32"/>
          <w:shd w:val="clear" w:color="auto" w:fill="FFFFFF"/>
        </w:rPr>
        <w:t>1.主要职能。</w:t>
      </w:r>
    </w:p>
    <w:p w14:paraId="78015CA2">
      <w:pPr>
        <w:pStyle w:val="4"/>
        <w:ind w:firstLine="640" w:firstLineChars="200"/>
        <w:rPr>
          <w:rFonts w:ascii="仿宋_GB2312" w:hAnsi="仿宋_GB2312" w:eastAsia="仿宋_GB2312" w:cs="仿宋_GB2312"/>
          <w:b w:val="0"/>
          <w:bCs w:val="0"/>
          <w:shd w:val="clear" w:color="auto" w:fill="FFFFFF"/>
        </w:rPr>
      </w:pPr>
      <w:bookmarkStart w:id="21" w:name="_Toc31999"/>
      <w:r>
        <w:rPr>
          <w:rFonts w:hint="eastAsia" w:ascii="仿宋_GB2312" w:hAnsi="仿宋_GB2312" w:eastAsia="仿宋_GB2312" w:cs="仿宋_GB2312"/>
          <w:b w:val="0"/>
          <w:bCs w:val="0"/>
          <w:shd w:val="clear" w:color="auto" w:fill="FFFFFF"/>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bookmarkEnd w:id="21"/>
    </w:p>
    <w:p w14:paraId="674BA869">
      <w:pPr>
        <w:pStyle w:val="4"/>
        <w:rPr>
          <w:rFonts w:hint="eastAsia" w:ascii="黑体" w:hAnsi="黑体" w:eastAsia="黑体"/>
          <w:b w:val="0"/>
        </w:rPr>
      </w:pPr>
      <w:bookmarkStart w:id="22" w:name="_Toc8783"/>
      <w:r>
        <w:rPr>
          <w:rFonts w:hint="eastAsia" w:ascii="黑体" w:hAnsi="黑体" w:eastAsia="黑体"/>
          <w:b w:val="0"/>
        </w:rPr>
        <w:t>二、机构设置</w:t>
      </w:r>
      <w:bookmarkEnd w:id="19"/>
      <w:bookmarkEnd w:id="20"/>
      <w:bookmarkEnd w:id="22"/>
    </w:p>
    <w:p w14:paraId="5C88C432">
      <w:pPr>
        <w:ind w:firstLine="800" w:firstLineChars="25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红原县新华书店本级下属二级预算单位1个，其中行政单位0个，参照公务员法管理的事业单位1个，其他事业单位0个。</w:t>
      </w:r>
    </w:p>
    <w:p w14:paraId="550697F8">
      <w:pPr>
        <w:ind w:firstLine="800" w:firstLineChars="25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zh-CN"/>
        </w:rPr>
        <w:t>我</w:t>
      </w:r>
      <w:r>
        <w:rPr>
          <w:rFonts w:hint="eastAsia" w:ascii="仿宋_GB2312" w:hAnsi="仿宋_GB2312" w:eastAsia="仿宋_GB2312" w:cs="仿宋_GB2312"/>
          <w:sz w:val="32"/>
          <w:szCs w:val="32"/>
          <w:shd w:val="clear" w:color="auto" w:fill="FFFFFF"/>
        </w:rPr>
        <w:t>单位</w:t>
      </w:r>
      <w:r>
        <w:rPr>
          <w:rFonts w:hint="eastAsia" w:ascii="仿宋_GB2312" w:hAnsi="仿宋_GB2312" w:eastAsia="仿宋_GB2312" w:cs="仿宋_GB2312"/>
          <w:sz w:val="32"/>
          <w:szCs w:val="32"/>
          <w:shd w:val="clear" w:color="auto" w:fill="FFFFFF"/>
          <w:lang w:val="zh-CN"/>
        </w:rPr>
        <w:t>人事核定</w:t>
      </w:r>
      <w:r>
        <w:rPr>
          <w:rFonts w:hint="eastAsia" w:ascii="仿宋_GB2312" w:hAnsi="仿宋_GB2312" w:eastAsia="仿宋_GB2312" w:cs="仿宋_GB2312"/>
          <w:sz w:val="32"/>
          <w:szCs w:val="32"/>
          <w:shd w:val="clear" w:color="auto" w:fill="FFFFFF"/>
        </w:rPr>
        <w:t>事业</w:t>
      </w:r>
      <w:r>
        <w:rPr>
          <w:rFonts w:hint="eastAsia" w:ascii="仿宋_GB2312" w:hAnsi="仿宋_GB2312" w:eastAsia="仿宋_GB2312" w:cs="仿宋_GB2312"/>
          <w:sz w:val="32"/>
          <w:szCs w:val="32"/>
          <w:shd w:val="clear" w:color="auto" w:fill="FFFFFF"/>
          <w:lang w:val="zh-CN"/>
        </w:rPr>
        <w:t>编制</w:t>
      </w:r>
      <w:r>
        <w:rPr>
          <w:rFonts w:hint="eastAsia" w:ascii="仿宋_GB2312" w:hAnsi="仿宋_GB2312" w:eastAsia="仿宋_GB2312" w:cs="仿宋_GB2312"/>
          <w:sz w:val="32"/>
          <w:szCs w:val="32"/>
          <w:shd w:val="clear" w:color="auto" w:fill="FFFFFF"/>
        </w:rPr>
        <w:t>6</w:t>
      </w:r>
      <w:r>
        <w:rPr>
          <w:rFonts w:hint="eastAsia" w:ascii="仿宋_GB2312" w:hAnsi="仿宋_GB2312" w:eastAsia="仿宋_GB2312" w:cs="仿宋_GB2312"/>
          <w:sz w:val="32"/>
          <w:szCs w:val="32"/>
          <w:shd w:val="clear" w:color="auto" w:fill="FFFFFF"/>
          <w:lang w:val="zh-CN"/>
        </w:rPr>
        <w:t>人，其中：行政工勤编制</w:t>
      </w:r>
      <w:r>
        <w:rPr>
          <w:rFonts w:hint="eastAsia"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lang w:val="zh-CN"/>
        </w:rPr>
        <w:t>人。是独立核算的机构，是独立编报预算的单位。20</w:t>
      </w:r>
      <w:r>
        <w:rPr>
          <w:rFonts w:hint="eastAsia" w:ascii="仿宋_GB2312" w:hAnsi="仿宋_GB2312" w:eastAsia="仿宋_GB2312" w:cs="仿宋_GB2312"/>
          <w:sz w:val="32"/>
          <w:szCs w:val="32"/>
          <w:shd w:val="clear" w:color="auto" w:fill="FFFFFF"/>
        </w:rPr>
        <w:t>23</w:t>
      </w:r>
      <w:r>
        <w:rPr>
          <w:rFonts w:hint="eastAsia" w:ascii="仿宋_GB2312" w:hAnsi="仿宋_GB2312" w:eastAsia="仿宋_GB2312" w:cs="仿宋_GB2312"/>
          <w:sz w:val="32"/>
          <w:szCs w:val="32"/>
          <w:shd w:val="clear" w:color="auto" w:fill="FFFFFF"/>
          <w:lang w:val="zh-CN"/>
        </w:rPr>
        <w:t>年年末在职行政人数</w:t>
      </w:r>
      <w:r>
        <w:rPr>
          <w:rFonts w:hint="eastAsia"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lang w:val="zh-CN"/>
        </w:rPr>
        <w:t>人，其中：行政工勤在职人数</w:t>
      </w:r>
      <w:r>
        <w:rPr>
          <w:rFonts w:hint="eastAsia" w:ascii="仿宋_GB2312" w:hAnsi="仿宋_GB2312" w:eastAsia="仿宋_GB2312" w:cs="仿宋_GB2312"/>
          <w:sz w:val="32"/>
          <w:szCs w:val="32"/>
          <w:shd w:val="clear" w:color="auto" w:fill="FFFFFF"/>
        </w:rPr>
        <w:t>0</w:t>
      </w:r>
      <w:r>
        <w:rPr>
          <w:rFonts w:hint="eastAsia" w:ascii="仿宋_GB2312" w:hAnsi="仿宋_GB2312" w:eastAsia="仿宋_GB2312" w:cs="仿宋_GB2312"/>
          <w:sz w:val="32"/>
          <w:szCs w:val="32"/>
          <w:shd w:val="clear" w:color="auto" w:fill="FFFFFF"/>
          <w:lang w:val="zh-CN"/>
        </w:rPr>
        <w:t>人。事业编制人数</w:t>
      </w:r>
      <w:r>
        <w:rPr>
          <w:rFonts w:hint="eastAsia" w:ascii="仿宋_GB2312" w:hAnsi="仿宋_GB2312" w:eastAsia="仿宋_GB2312" w:cs="仿宋_GB2312"/>
          <w:sz w:val="32"/>
          <w:szCs w:val="32"/>
          <w:shd w:val="clear" w:color="auto" w:fill="FFFFFF"/>
        </w:rPr>
        <w:t>4人，实有人数4人。</w:t>
      </w:r>
      <w:bookmarkStart w:id="23" w:name="_Toc10469"/>
      <w:bookmarkEnd w:id="23"/>
    </w:p>
    <w:p w14:paraId="7900F8EE">
      <w:pPr>
        <w:pStyle w:val="3"/>
        <w:ind w:right="440"/>
        <w:jc w:val="center"/>
        <w:rPr>
          <w:rStyle w:val="30"/>
          <w:rFonts w:hint="eastAsia" w:ascii="黑体" w:hAnsi="黑体" w:eastAsia="黑体"/>
          <w:b w:val="0"/>
          <w:bCs/>
        </w:rPr>
      </w:pPr>
      <w:bookmarkStart w:id="24" w:name="_Toc15377204"/>
      <w:bookmarkStart w:id="25" w:name="_Toc15396602"/>
      <w:bookmarkStart w:id="26" w:name="_Toc26878"/>
      <w:r>
        <w:rPr>
          <w:rFonts w:hint="eastAsia" w:ascii="黑体" w:hAnsi="黑体" w:eastAsia="黑体"/>
          <w:b w:val="0"/>
        </w:rPr>
        <w:t>第二部分 2023年度</w:t>
      </w:r>
      <w:r>
        <w:rPr>
          <w:rStyle w:val="30"/>
          <w:rFonts w:hint="eastAsia" w:ascii="黑体" w:hAnsi="黑体" w:eastAsia="黑体"/>
          <w:b w:val="0"/>
          <w:bCs/>
        </w:rPr>
        <w:t>部门决算情况说明</w:t>
      </w:r>
      <w:bookmarkEnd w:id="24"/>
      <w:bookmarkEnd w:id="25"/>
      <w:bookmarkEnd w:id="26"/>
    </w:p>
    <w:p w14:paraId="355ABB9F"/>
    <w:p w14:paraId="74DC91A9">
      <w:pPr>
        <w:pStyle w:val="29"/>
        <w:numPr>
          <w:ilvl w:val="0"/>
          <w:numId w:val="2"/>
        </w:numPr>
        <w:spacing w:line="600" w:lineRule="exact"/>
        <w:ind w:firstLineChars="0"/>
        <w:outlineLvl w:val="1"/>
        <w:rPr>
          <w:rStyle w:val="31"/>
          <w:rFonts w:hint="eastAsia" w:ascii="黑体" w:hAnsi="黑体" w:eastAsia="黑体"/>
          <w:b w:val="0"/>
        </w:rPr>
      </w:pPr>
      <w:bookmarkStart w:id="27" w:name="_Toc15396603"/>
      <w:bookmarkStart w:id="28" w:name="_Toc15377205"/>
      <w:bookmarkStart w:id="29" w:name="_Toc18132"/>
      <w:r>
        <w:rPr>
          <w:rFonts w:hint="eastAsia" w:ascii="黑体" w:hAnsi="黑体" w:eastAsia="黑体"/>
          <w:sz w:val="32"/>
          <w:szCs w:val="32"/>
        </w:rPr>
        <w:t>收</w:t>
      </w:r>
      <w:r>
        <w:rPr>
          <w:rStyle w:val="31"/>
          <w:rFonts w:hint="eastAsia" w:ascii="黑体" w:hAnsi="黑体" w:eastAsia="黑体"/>
          <w:b w:val="0"/>
        </w:rPr>
        <w:t>入支出决算总体情况说明</w:t>
      </w:r>
      <w:bookmarkEnd w:id="27"/>
      <w:bookmarkEnd w:id="28"/>
      <w:bookmarkEnd w:id="29"/>
    </w:p>
    <w:p w14:paraId="4CCCE480">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2023年度收、支总计均为</w:t>
      </w:r>
      <w:r>
        <w:rPr>
          <w:rFonts w:hint="eastAsia"/>
          <w:sz w:val="32"/>
          <w:szCs w:val="32"/>
        </w:rPr>
        <w:t>97.24</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与2022年度相比，收、支总计各减少20.97万元，下降17.74</w:t>
      </w:r>
      <w:r>
        <w:rPr>
          <w:rFonts w:ascii="仿宋" w:hAnsi="仿宋" w:eastAsia="仿宋"/>
          <w:sz w:val="32"/>
          <w:szCs w:val="32"/>
        </w:rPr>
        <w:t>%</w:t>
      </w:r>
      <w:r>
        <w:rPr>
          <w:rFonts w:hint="eastAsia" w:ascii="仿宋" w:hAnsi="仿宋" w:eastAsia="仿宋"/>
          <w:sz w:val="32"/>
          <w:szCs w:val="32"/>
        </w:rPr>
        <w:t>。主要变动原因是因单位维修项目减少。</w:t>
      </w:r>
    </w:p>
    <w:p w14:paraId="6B66CFC0">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623CDD01">
      <w:pPr>
        <w:rPr>
          <w:rFonts w:ascii="仿宋_GB2312" w:eastAsia="仿宋_GB2312"/>
          <w:sz w:val="32"/>
          <w:szCs w:val="32"/>
        </w:rPr>
      </w:pPr>
      <w:r>
        <w:rPr>
          <w:rFonts w:hint="eastAsia" w:ascii="仿宋" w:hAnsi="仿宋" w:eastAsia="仿宋"/>
          <w:sz w:val="32"/>
          <w:szCs w:val="32"/>
        </w:rPr>
        <w:drawing>
          <wp:inline distT="0" distB="0" distL="114300" distR="114300">
            <wp:extent cx="4436110" cy="3393440"/>
            <wp:effectExtent l="4445" t="4445" r="17145" b="1206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3F74AB3">
      <w:pPr>
        <w:pStyle w:val="29"/>
        <w:numPr>
          <w:ilvl w:val="0"/>
          <w:numId w:val="2"/>
        </w:numPr>
        <w:spacing w:line="600" w:lineRule="exact"/>
        <w:ind w:firstLineChars="0"/>
        <w:outlineLvl w:val="1"/>
        <w:rPr>
          <w:rStyle w:val="31"/>
          <w:rFonts w:hint="eastAsia" w:ascii="黑体" w:hAnsi="黑体" w:eastAsia="黑体"/>
          <w:b w:val="0"/>
        </w:rPr>
      </w:pPr>
      <w:bookmarkStart w:id="30" w:name="_Toc15396604"/>
      <w:bookmarkStart w:id="31" w:name="_Toc15377206"/>
      <w:bookmarkStart w:id="32" w:name="_Toc17890"/>
      <w:r>
        <w:rPr>
          <w:rFonts w:hint="eastAsia" w:ascii="黑体" w:hAnsi="黑体" w:eastAsia="黑体"/>
          <w:sz w:val="32"/>
          <w:szCs w:val="32"/>
        </w:rPr>
        <w:t>收</w:t>
      </w:r>
      <w:r>
        <w:rPr>
          <w:rStyle w:val="31"/>
          <w:rFonts w:hint="eastAsia" w:ascii="黑体" w:hAnsi="黑体" w:eastAsia="黑体"/>
          <w:b w:val="0"/>
        </w:rPr>
        <w:t>入决算情况说明</w:t>
      </w:r>
      <w:bookmarkEnd w:id="30"/>
      <w:bookmarkEnd w:id="31"/>
      <w:bookmarkEnd w:id="32"/>
    </w:p>
    <w:p w14:paraId="50F99EFA">
      <w:pPr>
        <w:spacing w:line="600" w:lineRule="exact"/>
        <w:ind w:firstLine="640" w:firstLineChars="200"/>
        <w:jc w:val="left"/>
        <w:outlineLvl w:val="1"/>
        <w:rPr>
          <w:rFonts w:hint="eastAsia" w:ascii="仿宋" w:hAnsi="仿宋" w:eastAsia="仿宋"/>
          <w:sz w:val="32"/>
          <w:szCs w:val="32"/>
        </w:rPr>
      </w:pPr>
      <w:bookmarkStart w:id="33" w:name="_Toc26167"/>
      <w:r>
        <w:rPr>
          <w:rFonts w:hint="eastAsia" w:ascii="仿宋" w:hAnsi="仿宋" w:eastAsia="仿宋"/>
          <w:sz w:val="32"/>
          <w:szCs w:val="32"/>
        </w:rPr>
        <w:t>2023年度本年收入合计</w:t>
      </w:r>
      <w:r>
        <w:rPr>
          <w:sz w:val="32"/>
          <w:szCs w:val="32"/>
        </w:rPr>
        <w:t>97.24</w:t>
      </w:r>
      <w:r>
        <w:rPr>
          <w:rFonts w:hint="eastAsia" w:ascii="仿宋" w:hAnsi="仿宋" w:eastAsia="仿宋"/>
          <w:sz w:val="32"/>
          <w:szCs w:val="32"/>
        </w:rPr>
        <w:t>万元，其中：一般公共预算财政拨款收入</w:t>
      </w:r>
      <w:r>
        <w:rPr>
          <w:sz w:val="32"/>
          <w:szCs w:val="32"/>
        </w:rPr>
        <w:t>97.24</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3"/>
    </w:p>
    <w:p w14:paraId="1354B085">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（图2：收入决算结构图）（饼状图）</w:t>
      </w:r>
    </w:p>
    <w:p w14:paraId="33048DAC">
      <w:pPr>
        <w:spacing w:line="600" w:lineRule="exact"/>
        <w:ind w:firstLine="640" w:firstLineChars="200"/>
        <w:rPr>
          <w:rFonts w:ascii="仿宋_GB2312" w:eastAsia="仿宋_GB2312"/>
          <w:sz w:val="32"/>
          <w:szCs w:val="32"/>
        </w:rPr>
      </w:pPr>
    </w:p>
    <w:p w14:paraId="50BBD188">
      <w:pPr>
        <w:pStyle w:val="2"/>
        <w:rPr>
          <w:rFonts w:ascii="仿宋_GB2312" w:eastAsia="仿宋_GB2312"/>
          <w:sz w:val="32"/>
          <w:szCs w:val="32"/>
        </w:rPr>
      </w:pPr>
    </w:p>
    <w:p w14:paraId="50622446">
      <w:r>
        <w:rPr>
          <w:rFonts w:hint="eastAsia" w:ascii="仿宋_GB2312" w:eastAsia="仿宋_GB2312"/>
          <w:sz w:val="32"/>
          <w:szCs w:val="32"/>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0167169">
      <w:pPr>
        <w:pStyle w:val="29"/>
        <w:numPr>
          <w:ilvl w:val="0"/>
          <w:numId w:val="2"/>
        </w:numPr>
        <w:spacing w:line="600" w:lineRule="exact"/>
        <w:ind w:firstLineChars="0"/>
        <w:outlineLvl w:val="1"/>
        <w:rPr>
          <w:rStyle w:val="31"/>
          <w:rFonts w:hint="eastAsia" w:ascii="黑体" w:hAnsi="黑体" w:eastAsia="黑体"/>
          <w:b w:val="0"/>
        </w:rPr>
      </w:pPr>
      <w:bookmarkStart w:id="34" w:name="_Toc15396605"/>
      <w:bookmarkStart w:id="35" w:name="_Toc15377207"/>
      <w:bookmarkStart w:id="36" w:name="_Toc14121"/>
      <w:r>
        <w:rPr>
          <w:rFonts w:hint="eastAsia" w:ascii="黑体" w:hAnsi="黑体" w:eastAsia="黑体"/>
          <w:sz w:val="32"/>
          <w:szCs w:val="32"/>
        </w:rPr>
        <w:t>支</w:t>
      </w:r>
      <w:r>
        <w:rPr>
          <w:rStyle w:val="31"/>
          <w:rFonts w:hint="eastAsia" w:ascii="黑体" w:hAnsi="黑体" w:eastAsia="黑体"/>
          <w:b w:val="0"/>
        </w:rPr>
        <w:t>出决算情况说明</w:t>
      </w:r>
      <w:bookmarkEnd w:id="34"/>
      <w:bookmarkEnd w:id="35"/>
      <w:bookmarkEnd w:id="36"/>
    </w:p>
    <w:p w14:paraId="5809BD22">
      <w:pPr>
        <w:spacing w:line="600" w:lineRule="exact"/>
        <w:ind w:firstLine="640" w:firstLineChars="200"/>
        <w:outlineLvl w:val="1"/>
        <w:rPr>
          <w:rFonts w:hint="eastAsia" w:ascii="仿宋" w:hAnsi="仿宋" w:eastAsia="仿宋"/>
          <w:sz w:val="32"/>
          <w:szCs w:val="32"/>
        </w:rPr>
      </w:pPr>
      <w:bookmarkStart w:id="37" w:name="_Toc20275"/>
      <w:r>
        <w:rPr>
          <w:rFonts w:hint="eastAsia" w:ascii="仿宋" w:hAnsi="仿宋" w:eastAsia="仿宋"/>
          <w:sz w:val="32"/>
          <w:szCs w:val="32"/>
        </w:rPr>
        <w:t>2023年度本年支出合计</w:t>
      </w:r>
      <w:r>
        <w:rPr>
          <w:sz w:val="32"/>
          <w:szCs w:val="32"/>
        </w:rPr>
        <w:t>97.24</w:t>
      </w:r>
      <w:r>
        <w:rPr>
          <w:rFonts w:hint="eastAsia" w:ascii="仿宋" w:hAnsi="仿宋" w:eastAsia="仿宋"/>
          <w:sz w:val="32"/>
          <w:szCs w:val="32"/>
        </w:rPr>
        <w:t>万元，其中：基本支出</w:t>
      </w:r>
      <w:r>
        <w:rPr>
          <w:sz w:val="32"/>
          <w:szCs w:val="32"/>
        </w:rPr>
        <w:t>96.22</w:t>
      </w:r>
      <w:r>
        <w:rPr>
          <w:rFonts w:hint="eastAsia" w:ascii="仿宋" w:hAnsi="仿宋" w:eastAsia="仿宋"/>
          <w:sz w:val="32"/>
          <w:szCs w:val="32"/>
        </w:rPr>
        <w:t>万元，占</w:t>
      </w:r>
      <w:r>
        <w:rPr>
          <w:sz w:val="32"/>
          <w:szCs w:val="32"/>
        </w:rPr>
        <w:t>98.95</w:t>
      </w:r>
      <w:r>
        <w:rPr>
          <w:rFonts w:ascii="仿宋" w:hAnsi="仿宋" w:eastAsia="仿宋"/>
          <w:sz w:val="32"/>
          <w:szCs w:val="32"/>
        </w:rPr>
        <w:t>%</w:t>
      </w:r>
      <w:r>
        <w:rPr>
          <w:rFonts w:hint="eastAsia" w:ascii="仿宋" w:hAnsi="仿宋" w:eastAsia="仿宋"/>
          <w:sz w:val="32"/>
          <w:szCs w:val="32"/>
        </w:rPr>
        <w:t>；项目支出</w:t>
      </w:r>
      <w:r>
        <w:rPr>
          <w:sz w:val="32"/>
          <w:szCs w:val="32"/>
        </w:rPr>
        <w:t>1.02</w:t>
      </w:r>
      <w:r>
        <w:rPr>
          <w:rFonts w:hint="eastAsia" w:ascii="仿宋" w:hAnsi="仿宋" w:eastAsia="仿宋"/>
          <w:sz w:val="32"/>
          <w:szCs w:val="32"/>
        </w:rPr>
        <w:t>万元，占</w:t>
      </w:r>
      <w:r>
        <w:rPr>
          <w:sz w:val="32"/>
          <w:szCs w:val="32"/>
        </w:rPr>
        <w:t>1.04</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7"/>
    </w:p>
    <w:p w14:paraId="08A9A216">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14:paraId="6EBBEC92">
      <w:pPr>
        <w:pStyle w:val="2"/>
        <w:rPr>
          <w:rFonts w:hint="eastAsia" w:ascii="仿宋" w:hAnsi="仿宋" w:eastAsia="仿宋"/>
          <w:sz w:val="32"/>
          <w:szCs w:val="32"/>
        </w:rPr>
      </w:pPr>
    </w:p>
    <w:p w14:paraId="3A6FA14A">
      <w:pPr>
        <w:rPr>
          <w:rFonts w:hint="eastAsia" w:ascii="仿宋" w:hAnsi="仿宋" w:eastAsia="仿宋"/>
          <w:sz w:val="32"/>
          <w:szCs w:val="32"/>
        </w:rPr>
      </w:pPr>
      <w:r>
        <w:rPr>
          <w:rFonts w:hint="eastAsia" w:ascii="仿宋" w:hAnsi="仿宋" w:eastAsia="仿宋"/>
          <w:sz w:val="32"/>
          <w:szCs w:val="32"/>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8B5E49">
      <w:pPr>
        <w:spacing w:line="600" w:lineRule="exact"/>
        <w:ind w:firstLine="640" w:firstLineChars="200"/>
        <w:outlineLvl w:val="1"/>
        <w:rPr>
          <w:rStyle w:val="31"/>
          <w:rFonts w:hint="eastAsia" w:ascii="黑体" w:hAnsi="黑体" w:eastAsia="黑体"/>
          <w:b w:val="0"/>
        </w:rPr>
      </w:pPr>
      <w:bookmarkStart w:id="38" w:name="_Toc15377208"/>
      <w:bookmarkStart w:id="39" w:name="_Toc15396606"/>
      <w:bookmarkStart w:id="40" w:name="_Toc17511"/>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38"/>
      <w:bookmarkEnd w:id="39"/>
      <w:bookmarkEnd w:id="40"/>
    </w:p>
    <w:p w14:paraId="68ACFE85">
      <w:pPr>
        <w:spacing w:line="600" w:lineRule="exact"/>
        <w:ind w:firstLine="640"/>
        <w:rPr>
          <w:rFonts w:hint="eastAsia" w:ascii="仿宋" w:hAnsi="仿宋" w:eastAsia="仿宋"/>
          <w:sz w:val="32"/>
          <w:szCs w:val="32"/>
        </w:rPr>
      </w:pPr>
      <w:r>
        <w:rPr>
          <w:rFonts w:hint="eastAsia" w:ascii="仿宋" w:hAnsi="仿宋" w:eastAsia="仿宋"/>
          <w:sz w:val="32"/>
          <w:szCs w:val="32"/>
        </w:rPr>
        <w:t>2023年度财政拨款收、支总计均为</w:t>
      </w:r>
      <w:r>
        <w:rPr>
          <w:sz w:val="32"/>
          <w:szCs w:val="32"/>
        </w:rPr>
        <w:t>97.24</w:t>
      </w:r>
      <w:r>
        <w:rPr>
          <w:rFonts w:hint="eastAsia" w:ascii="仿宋" w:hAnsi="仿宋" w:eastAsia="仿宋"/>
          <w:sz w:val="32"/>
          <w:szCs w:val="32"/>
        </w:rPr>
        <w:t>万元。与2022年度相比，财政拨款收、支总计各减少20.97万元，下降17.74</w:t>
      </w:r>
      <w:r>
        <w:rPr>
          <w:rFonts w:ascii="仿宋" w:hAnsi="仿宋" w:eastAsia="仿宋"/>
          <w:sz w:val="32"/>
          <w:szCs w:val="32"/>
        </w:rPr>
        <w:t>%</w:t>
      </w:r>
      <w:r>
        <w:rPr>
          <w:rFonts w:hint="eastAsia" w:ascii="仿宋" w:hAnsi="仿宋" w:eastAsia="仿宋"/>
          <w:sz w:val="32"/>
          <w:szCs w:val="32"/>
        </w:rPr>
        <w:t>。主要变动原因是因我单位维修项目减少。</w:t>
      </w:r>
    </w:p>
    <w:p w14:paraId="4FAD12A7">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14:paraId="3DB15E72">
      <w:pPr>
        <w:pStyle w:val="2"/>
        <w:tabs>
          <w:tab w:val="left" w:pos="720"/>
        </w:tabs>
        <w:rPr>
          <w:rFonts w:hint="eastAsia" w:ascii="仿宋" w:hAnsi="仿宋" w:eastAsia="仿宋"/>
          <w:sz w:val="32"/>
          <w:szCs w:val="32"/>
        </w:rPr>
      </w:pPr>
      <w:r>
        <w:rPr>
          <w:rFonts w:hint="eastAsia" w:ascii="仿宋" w:hAnsi="仿宋" w:eastAsia="仿宋"/>
          <w:sz w:val="32"/>
          <w:szCs w:val="32"/>
        </w:rPr>
        <w:tab/>
      </w:r>
      <w:r>
        <w:rPr>
          <w:rFonts w:hint="eastAsia"/>
        </w:rPr>
        <w:drawing>
          <wp:inline distT="0" distB="0" distL="114300" distR="114300">
            <wp:extent cx="3527425" cy="2530475"/>
            <wp:effectExtent l="4445" t="4445" r="11430" b="1778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8103B8">
      <w:pPr>
        <w:pStyle w:val="2"/>
      </w:pPr>
    </w:p>
    <w:p w14:paraId="68788E8C">
      <w:pPr>
        <w:spacing w:line="600" w:lineRule="exact"/>
        <w:ind w:firstLine="640"/>
        <w:rPr>
          <w:rFonts w:hint="eastAsia" w:ascii="仿宋" w:hAnsi="仿宋" w:eastAsia="仿宋"/>
          <w:b/>
          <w:sz w:val="32"/>
          <w:szCs w:val="32"/>
        </w:rPr>
      </w:pPr>
    </w:p>
    <w:p w14:paraId="74016F7E">
      <w:pPr>
        <w:spacing w:line="600" w:lineRule="exact"/>
        <w:ind w:firstLine="640" w:firstLineChars="200"/>
        <w:outlineLvl w:val="1"/>
        <w:rPr>
          <w:rStyle w:val="31"/>
          <w:rFonts w:hint="eastAsia" w:ascii="黑体" w:hAnsi="黑体" w:eastAsia="黑体"/>
          <w:b w:val="0"/>
        </w:rPr>
      </w:pPr>
      <w:bookmarkStart w:id="41" w:name="_Toc15396607"/>
      <w:bookmarkStart w:id="42" w:name="_Toc21249"/>
      <w:bookmarkStart w:id="43" w:name="_Toc1537720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41"/>
      <w:bookmarkEnd w:id="42"/>
      <w:bookmarkEnd w:id="43"/>
    </w:p>
    <w:p w14:paraId="761F1E6B">
      <w:pPr>
        <w:spacing w:line="600" w:lineRule="exact"/>
        <w:ind w:firstLine="643" w:firstLineChars="200"/>
        <w:outlineLvl w:val="2"/>
        <w:rPr>
          <w:rFonts w:hint="eastAsia" w:ascii="仿宋" w:hAnsi="仿宋" w:eastAsia="仿宋"/>
          <w:b/>
          <w:sz w:val="32"/>
          <w:szCs w:val="32"/>
        </w:rPr>
      </w:pPr>
      <w:bookmarkStart w:id="44" w:name="_Toc10756"/>
      <w:bookmarkStart w:id="45" w:name="_Toc15377210"/>
      <w:r>
        <w:rPr>
          <w:rFonts w:hint="eastAsia" w:ascii="仿宋" w:hAnsi="仿宋" w:eastAsia="仿宋"/>
          <w:b/>
          <w:sz w:val="32"/>
          <w:szCs w:val="32"/>
        </w:rPr>
        <w:t>（一）一般公共预算财政拨款支出决算总体情况</w:t>
      </w:r>
      <w:bookmarkEnd w:id="44"/>
      <w:bookmarkEnd w:id="45"/>
    </w:p>
    <w:p w14:paraId="22DEF39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2023年度一般公共预算财政拨款支出</w:t>
      </w:r>
      <w:r>
        <w:rPr>
          <w:sz w:val="32"/>
          <w:szCs w:val="32"/>
        </w:rPr>
        <w:t>97.24</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。与2022年度相比，一般公共预算财政拨款支出减少20.97万元，下降17.74</w:t>
      </w:r>
      <w:r>
        <w:rPr>
          <w:rFonts w:ascii="仿宋" w:hAnsi="仿宋" w:eastAsia="仿宋"/>
          <w:sz w:val="32"/>
          <w:szCs w:val="32"/>
        </w:rPr>
        <w:t>%</w:t>
      </w:r>
      <w:r>
        <w:rPr>
          <w:rFonts w:hint="eastAsia" w:ascii="仿宋" w:hAnsi="仿宋" w:eastAsia="仿宋"/>
          <w:sz w:val="32"/>
          <w:szCs w:val="32"/>
        </w:rPr>
        <w:t>。主要变动原因是我单位维修项目减少。</w:t>
      </w:r>
    </w:p>
    <w:p w14:paraId="5E32F5E3">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14:paraId="640FFB1A">
      <w:pPr>
        <w:pStyle w:val="2"/>
        <w:rPr>
          <w:rFonts w:eastAsia="仿宋"/>
        </w:rPr>
      </w:pPr>
      <w:r>
        <w:rPr>
          <w:rFonts w:hint="eastAsia" w:ascii="仿宋" w:hAnsi="仿宋" w:eastAsia="仿宋"/>
          <w:sz w:val="32"/>
          <w:szCs w:val="32"/>
        </w:rPr>
        <w:drawing>
          <wp:inline distT="0" distB="0" distL="114300" distR="114300">
            <wp:extent cx="3981450" cy="2411730"/>
            <wp:effectExtent l="4445" t="4445" r="14605" b="2222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20F507">
      <w:pPr>
        <w:spacing w:line="600" w:lineRule="exact"/>
        <w:ind w:firstLine="643" w:firstLineChars="200"/>
        <w:outlineLvl w:val="2"/>
        <w:rPr>
          <w:rFonts w:hint="eastAsia" w:ascii="仿宋" w:hAnsi="仿宋" w:eastAsia="仿宋"/>
          <w:b/>
          <w:sz w:val="32"/>
          <w:szCs w:val="32"/>
        </w:rPr>
      </w:pPr>
      <w:bookmarkStart w:id="46" w:name="_Toc29748"/>
      <w:bookmarkStart w:id="47" w:name="_Toc15377211"/>
      <w:r>
        <w:rPr>
          <w:rFonts w:hint="eastAsia" w:ascii="仿宋" w:hAnsi="仿宋" w:eastAsia="仿宋"/>
          <w:b/>
          <w:sz w:val="32"/>
          <w:szCs w:val="32"/>
        </w:rPr>
        <w:t>（二）一般公共预算财政拨款支出决算结构情况</w:t>
      </w:r>
      <w:bookmarkEnd w:id="46"/>
      <w:bookmarkEnd w:id="47"/>
    </w:p>
    <w:p w14:paraId="0F64EC8E">
      <w:pPr>
        <w:spacing w:line="600" w:lineRule="exact"/>
        <w:ind w:firstLine="640"/>
        <w:rPr>
          <w:rFonts w:hint="eastAsia" w:ascii="仿宋" w:hAnsi="仿宋" w:eastAsia="仿宋"/>
          <w:sz w:val="32"/>
          <w:szCs w:val="32"/>
        </w:rPr>
      </w:pPr>
      <w:r>
        <w:rPr>
          <w:rFonts w:hint="eastAsia" w:ascii="仿宋" w:hAnsi="仿宋" w:eastAsia="仿宋"/>
          <w:sz w:val="32"/>
          <w:szCs w:val="32"/>
        </w:rPr>
        <w:t>2023年度一般公共预算财政拨款支出</w:t>
      </w:r>
      <w:r>
        <w:rPr>
          <w:sz w:val="32"/>
          <w:szCs w:val="32"/>
        </w:rPr>
        <w:t>97.24</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支出0</w:t>
      </w:r>
      <w:r>
        <w:rPr>
          <w:rFonts w:hint="eastAsia" w:ascii="仿宋" w:hAnsi="仿宋" w:eastAsia="仿宋"/>
          <w:sz w:val="32"/>
          <w:szCs w:val="32"/>
        </w:rPr>
        <w:t>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教育支出0</w:t>
      </w:r>
      <w:r>
        <w:rPr>
          <w:rFonts w:hint="eastAsia" w:ascii="仿宋" w:hAnsi="仿宋" w:eastAsia="仿宋"/>
          <w:sz w:val="32"/>
          <w:szCs w:val="32"/>
        </w:rPr>
        <w:t>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支出0</w:t>
      </w:r>
      <w:r>
        <w:rPr>
          <w:rFonts w:hint="eastAsia" w:ascii="仿宋" w:hAnsi="仿宋" w:eastAsia="仿宋"/>
          <w:sz w:val="32"/>
          <w:szCs w:val="32"/>
        </w:rPr>
        <w:t>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文化旅游体育与传媒支出65.22万元，占67.07%</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支出13.03</w:t>
      </w:r>
      <w:r>
        <w:rPr>
          <w:rFonts w:hint="eastAsia" w:ascii="仿宋" w:hAnsi="仿宋" w:eastAsia="仿宋"/>
          <w:sz w:val="32"/>
          <w:szCs w:val="32"/>
        </w:rPr>
        <w:t>万元，占13.4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卫生健康支出12.42</w:t>
      </w:r>
      <w:r>
        <w:rPr>
          <w:rFonts w:hint="eastAsia" w:ascii="仿宋" w:hAnsi="仿宋" w:eastAsia="仿宋"/>
          <w:sz w:val="32"/>
          <w:szCs w:val="32"/>
        </w:rPr>
        <w:t>万元，占12.77%；</w:t>
      </w:r>
      <w:r>
        <w:rPr>
          <w:rFonts w:hint="eastAsia" w:ascii="仿宋" w:hAnsi="仿宋" w:eastAsia="仿宋"/>
          <w:b/>
          <w:bCs/>
          <w:sz w:val="32"/>
          <w:szCs w:val="32"/>
        </w:rPr>
        <w:t>住房保障支出6.57</w:t>
      </w:r>
      <w:r>
        <w:rPr>
          <w:rFonts w:hint="eastAsia" w:ascii="仿宋" w:hAnsi="仿宋" w:eastAsia="仿宋"/>
          <w:sz w:val="32"/>
          <w:szCs w:val="32"/>
        </w:rPr>
        <w:t>万元，占6.76%。</w:t>
      </w:r>
    </w:p>
    <w:p w14:paraId="2DD3C35A">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14:paraId="2FFA1D47">
      <w:pPr>
        <w:pStyle w:val="2"/>
        <w:rPr>
          <w:rFonts w:hint="eastAsia" w:ascii="仿宋" w:hAnsi="仿宋" w:eastAsia="仿宋"/>
          <w:sz w:val="32"/>
          <w:szCs w:val="32"/>
        </w:rPr>
      </w:pPr>
    </w:p>
    <w:p w14:paraId="2941EE82">
      <w:pPr>
        <w:rPr>
          <w:rFonts w:hint="eastAsia" w:ascii="仿宋" w:hAnsi="仿宋" w:eastAsia="仿宋"/>
          <w:sz w:val="32"/>
          <w:szCs w:val="32"/>
        </w:rPr>
      </w:pPr>
      <w:r>
        <w:rPr>
          <w:rFonts w:hint="eastAsia" w:ascii="仿宋" w:hAnsi="仿宋" w:eastAsia="仿宋"/>
          <w:sz w:val="32"/>
          <w:szCs w:val="32"/>
        </w:rPr>
        <w:drawing>
          <wp:inline distT="0" distB="0" distL="114300" distR="114300">
            <wp:extent cx="3769995" cy="2234565"/>
            <wp:effectExtent l="4445" t="4445" r="16510" b="889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67B02A">
      <w:pPr>
        <w:spacing w:line="600" w:lineRule="exact"/>
        <w:ind w:firstLine="643" w:firstLineChars="200"/>
        <w:outlineLvl w:val="2"/>
        <w:rPr>
          <w:rFonts w:hint="eastAsia" w:ascii="仿宋" w:hAnsi="仿宋" w:eastAsia="仿宋"/>
          <w:b/>
          <w:sz w:val="32"/>
          <w:szCs w:val="32"/>
        </w:rPr>
      </w:pPr>
      <w:bookmarkStart w:id="48" w:name="_Toc15377212"/>
      <w:bookmarkStart w:id="49" w:name="_Toc24808"/>
      <w:r>
        <w:rPr>
          <w:rFonts w:hint="eastAsia" w:ascii="仿宋" w:hAnsi="仿宋" w:eastAsia="仿宋"/>
          <w:b/>
          <w:sz w:val="32"/>
          <w:szCs w:val="32"/>
        </w:rPr>
        <w:t>（三）一般公共预算财政拨款支出决算具体情况</w:t>
      </w:r>
      <w:bookmarkEnd w:id="48"/>
      <w:bookmarkEnd w:id="49"/>
    </w:p>
    <w:p w14:paraId="61DE2B46">
      <w:pPr>
        <w:spacing w:line="600" w:lineRule="exact"/>
        <w:ind w:firstLine="643" w:firstLineChars="200"/>
        <w:outlineLvl w:val="2"/>
        <w:rPr>
          <w:rFonts w:hint="eastAsia" w:ascii="仿宋" w:hAnsi="仿宋" w:eastAsia="仿宋"/>
          <w:sz w:val="32"/>
          <w:szCs w:val="32"/>
        </w:rPr>
      </w:pPr>
      <w:bookmarkStart w:id="50" w:name="_Toc15377213"/>
      <w:bookmarkStart w:id="51" w:name="_Toc15378460"/>
      <w:bookmarkStart w:id="52" w:name="_Toc15377444"/>
      <w:bookmarkStart w:id="53" w:name="_Toc20019"/>
      <w:r>
        <w:rPr>
          <w:rFonts w:hint="eastAsia" w:ascii="仿宋" w:hAnsi="仿宋" w:eastAsia="仿宋"/>
          <w:b/>
          <w:sz w:val="32"/>
          <w:szCs w:val="32"/>
        </w:rPr>
        <w:t>2023年度一般公共预算支出决算数为</w:t>
      </w:r>
      <w:r>
        <w:rPr>
          <w:sz w:val="32"/>
          <w:szCs w:val="32"/>
        </w:rPr>
        <w:t>97.24</w:t>
      </w:r>
      <w:r>
        <w:rPr>
          <w:rFonts w:hint="eastAsia" w:ascii="仿宋" w:hAnsi="仿宋" w:eastAsia="仿宋"/>
          <w:sz w:val="32"/>
          <w:szCs w:val="32"/>
        </w:rPr>
        <w:t>，</w:t>
      </w:r>
      <w:r>
        <w:rPr>
          <w:rStyle w:val="19"/>
          <w:rFonts w:hint="eastAsia" w:ascii="仿宋" w:hAnsi="仿宋" w:eastAsia="仿宋"/>
          <w:bCs/>
          <w:sz w:val="32"/>
          <w:szCs w:val="32"/>
        </w:rPr>
        <w:t>完成预算100</w:t>
      </w:r>
      <w:r>
        <w:rPr>
          <w:rStyle w:val="19"/>
          <w:rFonts w:ascii="仿宋" w:hAnsi="仿宋" w:eastAsia="仿宋"/>
          <w:bCs/>
          <w:sz w:val="32"/>
          <w:szCs w:val="32"/>
        </w:rPr>
        <w:t>%</w:t>
      </w:r>
      <w:r>
        <w:rPr>
          <w:rStyle w:val="19"/>
          <w:rFonts w:hint="eastAsia" w:ascii="仿宋" w:hAnsi="仿宋" w:eastAsia="仿宋"/>
          <w:bCs/>
          <w:sz w:val="32"/>
          <w:szCs w:val="32"/>
        </w:rPr>
        <w:t>。其中：</w:t>
      </w:r>
      <w:bookmarkEnd w:id="50"/>
      <w:bookmarkEnd w:id="51"/>
      <w:bookmarkEnd w:id="52"/>
      <w:bookmarkEnd w:id="53"/>
    </w:p>
    <w:p w14:paraId="232F0B7A">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rPr>
        <w:t>1</w:t>
      </w:r>
      <w:r>
        <w:rPr>
          <w:rStyle w:val="19"/>
          <w:rFonts w:ascii="仿宋" w:hAnsi="仿宋" w:eastAsia="仿宋"/>
          <w:bCs/>
          <w:sz w:val="32"/>
          <w:szCs w:val="32"/>
        </w:rPr>
        <w:t>.</w:t>
      </w:r>
      <w:r>
        <w:rPr>
          <w:rStyle w:val="19"/>
          <w:rFonts w:hint="eastAsia" w:ascii="仿宋" w:hAnsi="仿宋" w:eastAsia="仿宋"/>
          <w:bCs/>
          <w:sz w:val="32"/>
          <w:szCs w:val="32"/>
        </w:rPr>
        <w:t>文化旅游体育与传媒207</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支出决算为65.22万元，完成预算67.1</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5ED80223">
      <w:pPr>
        <w:spacing w:line="600" w:lineRule="exact"/>
        <w:rPr>
          <w:rFonts w:hint="eastAsia" w:ascii="仿宋" w:hAnsi="仿宋" w:eastAsia="仿宋"/>
          <w:b/>
          <w:sz w:val="32"/>
          <w:szCs w:val="32"/>
        </w:rPr>
      </w:pPr>
      <w:r>
        <w:rPr>
          <w:rFonts w:hint="eastAsia" w:ascii="仿宋" w:hAnsi="仿宋" w:eastAsia="仿宋"/>
          <w:b/>
          <w:sz w:val="32"/>
          <w:szCs w:val="32"/>
        </w:rPr>
        <w:t xml:space="preserve">    </w:t>
      </w:r>
      <w:r>
        <w:rPr>
          <w:rFonts w:hint="eastAsia" w:ascii="仿宋" w:hAnsi="仿宋" w:eastAsia="仿宋"/>
          <w:bCs/>
          <w:sz w:val="32"/>
          <w:szCs w:val="32"/>
        </w:rPr>
        <w:t>出版发行2070605：支出决算为65.22万元，完成预算67.1%。</w:t>
      </w:r>
    </w:p>
    <w:p w14:paraId="1FD6E91C">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rPr>
        <w:t>2</w:t>
      </w:r>
      <w:r>
        <w:rPr>
          <w:rStyle w:val="19"/>
          <w:rFonts w:ascii="仿宋" w:hAnsi="仿宋" w:eastAsia="仿宋"/>
          <w:bCs/>
          <w:sz w:val="32"/>
          <w:szCs w:val="32"/>
        </w:rPr>
        <w:t>.</w:t>
      </w:r>
      <w:r>
        <w:rPr>
          <w:rStyle w:val="19"/>
          <w:rFonts w:hint="eastAsia" w:ascii="仿宋" w:hAnsi="仿宋" w:eastAsia="仿宋"/>
          <w:bCs/>
          <w:sz w:val="32"/>
          <w:szCs w:val="32"/>
        </w:rPr>
        <w:t>社会保障和就业208</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支出决算为13.03万元，完成预算13.4</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，决算数等于预算数的。</w:t>
      </w:r>
    </w:p>
    <w:p w14:paraId="12B99C55">
      <w:pPr>
        <w:ind w:firstLine="640"/>
        <w:rPr>
          <w:rStyle w:val="19"/>
          <w:rFonts w:hint="eastAsia" w:ascii="仿宋" w:hAnsi="仿宋" w:eastAsia="仿宋"/>
          <w:b w:val="0"/>
          <w:bCs/>
          <w:sz w:val="32"/>
          <w:szCs w:val="32"/>
        </w:rPr>
      </w:pPr>
      <w:r>
        <w:rPr>
          <w:rStyle w:val="19"/>
          <w:rFonts w:hint="eastAsia" w:ascii="仿宋" w:hAnsi="仿宋" w:eastAsia="仿宋"/>
          <w:b w:val="0"/>
          <w:bCs/>
          <w:sz w:val="32"/>
          <w:szCs w:val="32"/>
        </w:rPr>
        <w:t>（1）社会保障和就业支出 机关事业单位基本养老保险缴费支出2080505：支出决算为：8.69万元，完成预算为66.69%。</w:t>
      </w:r>
    </w:p>
    <w:p w14:paraId="75AF3574">
      <w:pPr>
        <w:pStyle w:val="2"/>
        <w:ind w:firstLine="640"/>
      </w:pPr>
      <w:r>
        <w:rPr>
          <w:rFonts w:hint="eastAsia" w:ascii="仿宋" w:hAnsi="仿宋" w:eastAsia="仿宋" w:cs="仿宋"/>
          <w:sz w:val="32"/>
          <w:szCs w:val="32"/>
        </w:rPr>
        <w:t>（2）社会保障和就业支出  机关事业职业年金缴费支出2080506：支出决算为：4.34万元，完成预算为33.31%。</w:t>
      </w:r>
    </w:p>
    <w:p w14:paraId="5DA29568">
      <w:pPr>
        <w:spacing w:line="600" w:lineRule="exact"/>
        <w:ind w:firstLine="643" w:firstLineChars="200"/>
        <w:rPr>
          <w:rFonts w:hint="eastAsia" w:ascii="仿宋" w:hAnsi="仿宋" w:eastAsia="仿宋"/>
          <w:b/>
          <w:sz w:val="32"/>
          <w:szCs w:val="32"/>
        </w:rPr>
      </w:pPr>
      <w:r>
        <w:rPr>
          <w:rStyle w:val="19"/>
          <w:rFonts w:hint="eastAsia" w:ascii="仿宋" w:hAnsi="仿宋" w:eastAsia="仿宋"/>
          <w:bCs/>
          <w:sz w:val="32"/>
          <w:szCs w:val="32"/>
        </w:rPr>
        <w:t>3</w:t>
      </w:r>
      <w:r>
        <w:rPr>
          <w:rStyle w:val="19"/>
          <w:rFonts w:ascii="仿宋" w:hAnsi="仿宋" w:eastAsia="仿宋"/>
          <w:bCs/>
          <w:sz w:val="32"/>
          <w:szCs w:val="32"/>
        </w:rPr>
        <w:t>.</w:t>
      </w:r>
      <w:r>
        <w:rPr>
          <w:rFonts w:hint="eastAsia" w:ascii="仿宋" w:hAnsi="仿宋" w:eastAsia="仿宋"/>
          <w:b/>
          <w:bCs/>
          <w:sz w:val="32"/>
          <w:szCs w:val="32"/>
        </w:rPr>
        <w:t>卫生健康210</w:t>
      </w:r>
      <w:r>
        <w:rPr>
          <w:rStyle w:val="19"/>
          <w:rFonts w:ascii="仿宋" w:hAnsi="仿宋" w:eastAsia="仿宋"/>
          <w:bCs/>
          <w:sz w:val="32"/>
          <w:szCs w:val="32"/>
        </w:rPr>
        <w:t>:</w:t>
      </w:r>
      <w:r>
        <w:rPr>
          <w:rStyle w:val="19"/>
          <w:rFonts w:hint="eastAsia" w:ascii="仿宋" w:hAnsi="仿宋" w:eastAsia="仿宋"/>
          <w:b w:val="0"/>
          <w:bCs/>
          <w:sz w:val="32"/>
          <w:szCs w:val="32"/>
        </w:rPr>
        <w:t>支出决算为12.42万元，完成预算12.77</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414A90C5">
      <w:pPr>
        <w:spacing w:line="600" w:lineRule="exact"/>
        <w:rPr>
          <w:rFonts w:hint="eastAsia" w:ascii="仿宋" w:hAnsi="仿宋" w:eastAsia="仿宋"/>
          <w:sz w:val="32"/>
          <w:szCs w:val="32"/>
        </w:rPr>
      </w:pPr>
      <w:r>
        <w:rPr>
          <w:rFonts w:hint="eastAsia" w:ascii="仿宋" w:hAnsi="仿宋" w:eastAsia="仿宋"/>
          <w:sz w:val="32"/>
          <w:szCs w:val="32"/>
        </w:rPr>
        <w:t xml:space="preserve">     （1）卫生健康  事业单位医疗支出2101102：支出决算为10.76万元，完成预算86.63%。</w:t>
      </w:r>
    </w:p>
    <w:p w14:paraId="64A0B52C">
      <w:pPr>
        <w:pStyle w:val="2"/>
        <w:rPr>
          <w:rFonts w:hint="eastAsia" w:ascii="仿宋" w:hAnsi="仿宋" w:eastAsia="仿宋"/>
          <w:b/>
          <w:sz w:val="32"/>
          <w:szCs w:val="32"/>
        </w:rPr>
      </w:pPr>
      <w:r>
        <w:rPr>
          <w:rFonts w:hint="eastAsia" w:ascii="仿宋" w:hAnsi="仿宋" w:eastAsia="仿宋"/>
          <w:sz w:val="32"/>
          <w:szCs w:val="32"/>
        </w:rPr>
        <w:t xml:space="preserve">      （2）卫生健康  其他行政事业单位医疗支出2101199：支出决算为1.66万元，完成预算为13.37%。</w:t>
      </w:r>
    </w:p>
    <w:p w14:paraId="04535080">
      <w:pPr>
        <w:tabs>
          <w:tab w:val="right" w:pos="8306"/>
        </w:tabs>
        <w:spacing w:line="600" w:lineRule="exact"/>
        <w:ind w:firstLine="640"/>
        <w:outlineLvl w:val="1"/>
        <w:rPr>
          <w:rStyle w:val="31"/>
        </w:rPr>
      </w:pPr>
      <w:bookmarkStart w:id="54" w:name="_Toc15377214"/>
      <w:bookmarkStart w:id="55" w:name="_Toc15396608"/>
      <w:bookmarkStart w:id="56" w:name="_Toc2779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54"/>
      <w:bookmarkEnd w:id="55"/>
      <w:bookmarkEnd w:id="56"/>
      <w:r>
        <w:rPr>
          <w:rStyle w:val="31"/>
          <w:rFonts w:ascii="黑体" w:hAnsi="黑体" w:eastAsia="黑体"/>
          <w:b w:val="0"/>
        </w:rPr>
        <w:tab/>
      </w:r>
    </w:p>
    <w:p w14:paraId="0B43E71D">
      <w:pPr>
        <w:spacing w:line="600" w:lineRule="exact"/>
        <w:ind w:firstLine="645"/>
        <w:rPr>
          <w:rFonts w:hint="eastAsia" w:ascii="仿宋" w:hAnsi="仿宋" w:eastAsia="仿宋"/>
          <w:sz w:val="32"/>
          <w:szCs w:val="32"/>
        </w:rPr>
      </w:pPr>
      <w:r>
        <w:rPr>
          <w:rFonts w:hint="eastAsia" w:ascii="仿宋" w:hAnsi="仿宋" w:eastAsia="仿宋"/>
          <w:sz w:val="32"/>
          <w:szCs w:val="32"/>
        </w:rPr>
        <w:t>2023年度一般公共预算财政拨款基本支出</w:t>
      </w:r>
      <w:r>
        <w:rPr>
          <w:sz w:val="32"/>
          <w:szCs w:val="32"/>
        </w:rPr>
        <w:t>96.22</w:t>
      </w:r>
      <w:r>
        <w:rPr>
          <w:rFonts w:hint="eastAsia" w:ascii="仿宋" w:hAnsi="仿宋" w:eastAsia="仿宋"/>
          <w:sz w:val="32"/>
          <w:szCs w:val="32"/>
        </w:rPr>
        <w:t>万元，其中：</w:t>
      </w:r>
    </w:p>
    <w:p w14:paraId="4706083F">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sz w:val="32"/>
          <w:szCs w:val="32"/>
        </w:rPr>
        <w:t>95.55</w:t>
      </w:r>
      <w:r>
        <w:rPr>
          <w:rFonts w:hint="eastAsia" w:ascii="仿宋" w:hAnsi="仿宋" w:eastAsia="仿宋"/>
          <w:sz w:val="32"/>
          <w:szCs w:val="32"/>
        </w:rPr>
        <w:t>万元，主要包括：基本工资14.24万、津贴补贴12.86万、奖金24.22万、伙食补助费0万、绩效工资9.69万、机关事业单位基本养老保险缴费8.69万、职业年金缴费4.34万、其他社会保障缴费11.18万、其他工资福利支出0万、离休费0万、退休费0万、抚恤金0万、生活补助0万、医疗费补助2.2万、奖励金、住房公积金6.57万、其他对个人和家庭的补助支出1.56万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0.67</w:t>
      </w:r>
      <w:r>
        <w:rPr>
          <w:rFonts w:hint="eastAsia" w:ascii="仿宋" w:hAnsi="仿宋" w:eastAsia="仿宋"/>
          <w:sz w:val="32"/>
          <w:szCs w:val="32"/>
        </w:rPr>
        <w:t>万元，主要包括：办公费0万、印刷费0万、咨询费0万、手续费0万、水费0万、电费0万、邮电费0万、取暖费0万、物业管理费0万、差旅费0万、因公出国（境）费用0万、维修（护）费0万、租赁费0万、会议费0万、培训费0万、公务接待费0万、劳务费0万、委托业务费0万、工会经费0.67万、福利费0万、公务用车运行维护费0万、其他交通费0万、税金及附加费用0万、其他商品和服务支出0万、办公设备购置0万、专用设备购置0万、信息网络及软件购置更新0万、其他资本性支出0万等。</w:t>
      </w:r>
    </w:p>
    <w:p w14:paraId="4D772204">
      <w:pPr>
        <w:spacing w:line="600" w:lineRule="exact"/>
        <w:ind w:firstLine="640"/>
        <w:outlineLvl w:val="1"/>
        <w:rPr>
          <w:rStyle w:val="31"/>
          <w:rFonts w:hint="eastAsia" w:ascii="黑体" w:hAnsi="黑体" w:eastAsia="黑体"/>
          <w:b w:val="0"/>
        </w:rPr>
      </w:pPr>
      <w:bookmarkStart w:id="57" w:name="_Toc15396609"/>
      <w:bookmarkStart w:id="58" w:name="_Toc15377215"/>
      <w:bookmarkStart w:id="59" w:name="_Toc7524"/>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57"/>
      <w:bookmarkEnd w:id="58"/>
      <w:bookmarkEnd w:id="59"/>
    </w:p>
    <w:p w14:paraId="6E60D814">
      <w:pPr>
        <w:spacing w:line="600" w:lineRule="exact"/>
        <w:ind w:firstLine="640"/>
        <w:outlineLvl w:val="2"/>
        <w:rPr>
          <w:rFonts w:hint="eastAsia" w:ascii="仿宋" w:hAnsi="仿宋" w:eastAsia="仿宋"/>
          <w:b/>
          <w:sz w:val="32"/>
          <w:szCs w:val="32"/>
        </w:rPr>
      </w:pPr>
      <w:bookmarkStart w:id="60" w:name="_Toc27405"/>
      <w:bookmarkStart w:id="61" w:name="_Toc15377216"/>
      <w:r>
        <w:rPr>
          <w:rFonts w:hint="eastAsia" w:ascii="仿宋" w:hAnsi="仿宋" w:eastAsia="仿宋"/>
          <w:b/>
          <w:sz w:val="32"/>
          <w:szCs w:val="32"/>
        </w:rPr>
        <w:t>（一）“三公”经费财政拨款支出决算总体情况说明</w:t>
      </w:r>
      <w:bookmarkEnd w:id="60"/>
      <w:bookmarkEnd w:id="61"/>
    </w:p>
    <w:p w14:paraId="144E754C">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2023年度“三公”经费财政拨款支出决算为</w:t>
      </w:r>
      <w:r>
        <w:rPr>
          <w:sz w:val="32"/>
          <w:szCs w:val="32"/>
        </w:rPr>
        <w:t>0</w:t>
      </w:r>
      <w:r>
        <w:rPr>
          <w:rFonts w:hint="eastAsia" w:ascii="仿宋" w:hAnsi="仿宋" w:eastAsia="仿宋"/>
          <w:sz w:val="32"/>
          <w:szCs w:val="32"/>
        </w:rPr>
        <w:t>万元，完成预算</w:t>
      </w:r>
      <w:r>
        <w:rPr>
          <w:sz w:val="32"/>
          <w:szCs w:val="32"/>
        </w:rPr>
        <w:t>0</w:t>
      </w:r>
      <w:r>
        <w:rPr>
          <w:rFonts w:ascii="仿宋" w:hAnsi="仿宋" w:eastAsia="仿宋"/>
          <w:sz w:val="32"/>
          <w:szCs w:val="32"/>
        </w:rPr>
        <w:t>%</w:t>
      </w:r>
      <w:r>
        <w:rPr>
          <w:rFonts w:hint="eastAsia" w:ascii="仿宋" w:hAnsi="仿宋" w:eastAsia="仿宋"/>
          <w:sz w:val="32"/>
          <w:szCs w:val="32"/>
        </w:rPr>
        <w:t>，较上年度增加/减少0万元，增长/下降0%。决算数与预算数持平。</w:t>
      </w:r>
    </w:p>
    <w:p w14:paraId="20F6AC2B">
      <w:pPr>
        <w:spacing w:line="600" w:lineRule="exact"/>
        <w:ind w:firstLine="640"/>
        <w:outlineLvl w:val="2"/>
        <w:rPr>
          <w:rFonts w:hint="eastAsia" w:ascii="仿宋" w:hAnsi="仿宋" w:eastAsia="仿宋"/>
          <w:b/>
          <w:sz w:val="32"/>
          <w:szCs w:val="32"/>
        </w:rPr>
      </w:pPr>
      <w:bookmarkStart w:id="62" w:name="_Toc5604"/>
      <w:bookmarkStart w:id="63" w:name="_Toc15377217"/>
      <w:r>
        <w:rPr>
          <w:rFonts w:hint="eastAsia" w:ascii="仿宋" w:hAnsi="仿宋" w:eastAsia="仿宋"/>
          <w:b/>
          <w:sz w:val="32"/>
          <w:szCs w:val="32"/>
        </w:rPr>
        <w:t>（二）“三公”经费财政拨款支出决算具体情况说明</w:t>
      </w:r>
      <w:bookmarkEnd w:id="62"/>
      <w:bookmarkEnd w:id="63"/>
    </w:p>
    <w:p w14:paraId="3237B302">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p>
    <w:p w14:paraId="1DDB0ED9">
      <w:pPr>
        <w:spacing w:line="600" w:lineRule="exact"/>
        <w:ind w:firstLine="640"/>
      </w:pPr>
      <w:r>
        <w:rPr>
          <w:rFonts w:hint="eastAsia" w:ascii="仿宋" w:hAnsi="仿宋" w:eastAsia="仿宋"/>
          <w:sz w:val="32"/>
          <w:szCs w:val="32"/>
        </w:rPr>
        <w:t>（图7：“三公”经费财政拨款支出结构）（饼状图）</w:t>
      </w:r>
    </w:p>
    <w:p w14:paraId="77D55A5E">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w:t>
      </w:r>
    </w:p>
    <w:p w14:paraId="4EF8C98D">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14:paraId="3958F460">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w:t>
      </w:r>
    </w:p>
    <w:p w14:paraId="24A3CBA9">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万元。全年按规定更新购置公务用车0辆，其中：轿车0辆、金额0万元，越野车0辆、金额0万元，载客汽车0辆、金额0万元。截至2023年</w:t>
      </w:r>
      <w:r>
        <w:rPr>
          <w:rFonts w:ascii="仿宋_GB2312" w:eastAsia="仿宋_GB2312"/>
          <w:sz w:val="32"/>
          <w:szCs w:val="32"/>
        </w:rPr>
        <w:t>12</w:t>
      </w:r>
      <w:r>
        <w:rPr>
          <w:rFonts w:hint="eastAsia" w:ascii="仿宋_GB2312" w:eastAsia="仿宋_GB2312"/>
          <w:sz w:val="32"/>
          <w:szCs w:val="32"/>
        </w:rPr>
        <w:t>月31日，单位共有公务用车0辆，其中：轿车0辆、越野车0辆、载客汽车0辆。</w:t>
      </w:r>
    </w:p>
    <w:p w14:paraId="3AC8E27E">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0</w:t>
      </w:r>
      <w:r>
        <w:rPr>
          <w:rFonts w:hint="eastAsia" w:ascii="仿宋_GB2312" w:eastAsia="仿宋_GB2312"/>
          <w:sz w:val="32"/>
          <w:szCs w:val="32"/>
        </w:rPr>
        <w:t>万元。主要用于（具体工作）等所需的公务用车燃料费、维修费、过路过桥费、保险费等支出。</w:t>
      </w:r>
    </w:p>
    <w:p w14:paraId="47A5DC48">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w:t>
      </w:r>
    </w:p>
    <w:p w14:paraId="41008E32">
      <w:pPr>
        <w:spacing w:line="600" w:lineRule="exact"/>
        <w:ind w:firstLine="640"/>
        <w:rPr>
          <w:rFonts w:ascii="仿宋_GB2312" w:eastAsia="仿宋_GB2312"/>
          <w:sz w:val="32"/>
          <w:szCs w:val="32"/>
        </w:rPr>
      </w:pPr>
      <w:r>
        <w:rPr>
          <w:rFonts w:hint="eastAsia" w:ascii="仿宋" w:hAnsi="仿宋" w:eastAsia="仿宋"/>
          <w:b/>
          <w:sz w:val="32"/>
          <w:szCs w:val="32"/>
        </w:rPr>
        <w:t>国内公务接待支出0</w:t>
      </w:r>
      <w:r>
        <w:rPr>
          <w:rFonts w:hint="eastAsia" w:ascii="仿宋_GB2312" w:eastAsia="仿宋_GB2312"/>
          <w:sz w:val="32"/>
          <w:szCs w:val="32"/>
        </w:rPr>
        <w:t>万元，主要用于开展业务活动开支的住宿费、用餐费等。国内公务接待0批次，0人次（不包括陪同人员），共计支出0万元，具体内容包括：（接待具体项目、金额）。</w:t>
      </w:r>
    </w:p>
    <w:p w14:paraId="4D5BFE69">
      <w:pPr>
        <w:spacing w:line="600" w:lineRule="exact"/>
        <w:ind w:firstLine="643" w:firstLineChars="200"/>
        <w:rPr>
          <w:rFonts w:ascii="黑体" w:eastAsia="黑体"/>
          <w:sz w:val="32"/>
          <w:szCs w:val="32"/>
        </w:rPr>
      </w:pPr>
      <w:r>
        <w:rPr>
          <w:rFonts w:hint="eastAsia" w:ascii="仿宋" w:hAnsi="仿宋" w:eastAsia="仿宋"/>
          <w:b/>
          <w:sz w:val="32"/>
          <w:szCs w:val="32"/>
        </w:rPr>
        <w:t>外事接待支出0</w:t>
      </w:r>
      <w:r>
        <w:rPr>
          <w:rFonts w:hint="eastAsia" w:ascii="仿宋_GB2312" w:eastAsia="仿宋_GB2312"/>
          <w:sz w:val="32"/>
          <w:szCs w:val="32"/>
        </w:rPr>
        <w:t>万元，主要用于接待（具体项目）。外事接待0批次，0人次（不包括陪同人员），共计支出0万元。</w:t>
      </w:r>
      <w:bookmarkStart w:id="64" w:name="_Toc15377218"/>
      <w:bookmarkStart w:id="65" w:name="_Toc15396610"/>
    </w:p>
    <w:p w14:paraId="5D3BF1B6">
      <w:pPr>
        <w:spacing w:line="600" w:lineRule="exact"/>
        <w:ind w:firstLine="640"/>
        <w:outlineLvl w:val="1"/>
        <w:rPr>
          <w:rStyle w:val="31"/>
          <w:rFonts w:hint="eastAsia" w:ascii="黑体" w:hAnsi="黑体" w:eastAsia="黑体"/>
        </w:rPr>
      </w:pPr>
      <w:bookmarkStart w:id="66" w:name="_Toc32090"/>
      <w:r>
        <w:rPr>
          <w:rFonts w:hint="eastAsia" w:ascii="黑体" w:eastAsia="黑体"/>
          <w:sz w:val="32"/>
          <w:szCs w:val="32"/>
        </w:rPr>
        <w:t>八、</w:t>
      </w:r>
      <w:r>
        <w:rPr>
          <w:rStyle w:val="31"/>
          <w:rFonts w:hint="eastAsia" w:ascii="黑体" w:hAnsi="黑体" w:eastAsia="黑体"/>
          <w:b w:val="0"/>
        </w:rPr>
        <w:t>政府性基金预算支出决算情况说明</w:t>
      </w:r>
      <w:bookmarkEnd w:id="64"/>
      <w:bookmarkEnd w:id="65"/>
      <w:bookmarkEnd w:id="66"/>
    </w:p>
    <w:p w14:paraId="5FB4BEB6">
      <w:pPr>
        <w:spacing w:line="600" w:lineRule="exact"/>
        <w:ind w:firstLine="640"/>
        <w:rPr>
          <w:rFonts w:ascii="仿宋_GB2312" w:eastAsia="仿宋_GB2312"/>
          <w:sz w:val="32"/>
          <w:szCs w:val="32"/>
        </w:rPr>
      </w:pPr>
      <w:r>
        <w:rPr>
          <w:rFonts w:hint="eastAsia" w:ascii="仿宋_GB2312" w:eastAsia="仿宋_GB2312"/>
          <w:sz w:val="32"/>
          <w:szCs w:val="32"/>
        </w:rPr>
        <w:t>2023年度年初无政府性基金预算财政拨款收入及支出。</w:t>
      </w:r>
    </w:p>
    <w:p w14:paraId="34054607">
      <w:pPr>
        <w:numPr>
          <w:ilvl w:val="0"/>
          <w:numId w:val="3"/>
        </w:numPr>
        <w:spacing w:line="600" w:lineRule="exact"/>
        <w:ind w:firstLine="640"/>
        <w:outlineLvl w:val="1"/>
        <w:rPr>
          <w:rStyle w:val="31"/>
          <w:rFonts w:hint="eastAsia" w:ascii="黑体" w:hAnsi="黑体" w:eastAsia="黑体"/>
          <w:b w:val="0"/>
        </w:rPr>
      </w:pPr>
      <w:bookmarkStart w:id="67" w:name="_Toc15396611"/>
      <w:bookmarkStart w:id="68" w:name="_Toc15377219"/>
      <w:bookmarkStart w:id="69" w:name="_Toc25786"/>
      <w:r>
        <w:rPr>
          <w:rStyle w:val="31"/>
          <w:rFonts w:hint="eastAsia" w:ascii="黑体" w:hAnsi="黑体" w:eastAsia="黑体"/>
          <w:b w:val="0"/>
        </w:rPr>
        <w:t>国有资本经营预算支出决算情况说明</w:t>
      </w:r>
      <w:bookmarkEnd w:id="67"/>
      <w:bookmarkEnd w:id="68"/>
      <w:bookmarkEnd w:id="69"/>
    </w:p>
    <w:p w14:paraId="495C4253">
      <w:pPr>
        <w:spacing w:line="600" w:lineRule="exact"/>
        <w:ind w:firstLine="640"/>
        <w:rPr>
          <w:rFonts w:hint="eastAsia" w:ascii="方正小标宋简体" w:hAnsi="方正小标宋简体" w:eastAsia="方正小标宋简体" w:cs="方正小标宋简体"/>
          <w:sz w:val="44"/>
          <w:szCs w:val="44"/>
        </w:rPr>
      </w:pPr>
      <w:r>
        <w:rPr>
          <w:rFonts w:hint="eastAsia" w:ascii="仿宋_GB2312" w:eastAsia="仿宋_GB2312"/>
          <w:sz w:val="32"/>
          <w:szCs w:val="32"/>
        </w:rPr>
        <w:t>2023年度年初无国有资本经营预算财政拨款收入及支出。</w:t>
      </w:r>
    </w:p>
    <w:p w14:paraId="73694470">
      <w:pPr>
        <w:numPr>
          <w:ilvl w:val="0"/>
          <w:numId w:val="3"/>
        </w:numPr>
        <w:spacing w:line="600" w:lineRule="exact"/>
        <w:ind w:firstLine="640"/>
        <w:outlineLvl w:val="1"/>
        <w:rPr>
          <w:rStyle w:val="31"/>
          <w:rFonts w:hint="eastAsia" w:ascii="黑体" w:hAnsi="黑体" w:eastAsia="黑体"/>
          <w:b w:val="0"/>
        </w:rPr>
      </w:pPr>
      <w:bookmarkStart w:id="70" w:name="_Toc15377221"/>
      <w:bookmarkStart w:id="71" w:name="_Toc15396612"/>
      <w:bookmarkStart w:id="72" w:name="_Toc5184"/>
      <w:r>
        <w:rPr>
          <w:rStyle w:val="31"/>
          <w:rFonts w:hint="eastAsia" w:ascii="黑体" w:hAnsi="黑体" w:eastAsia="黑体"/>
          <w:b w:val="0"/>
        </w:rPr>
        <w:t>其他重要事项的情况说明</w:t>
      </w:r>
      <w:bookmarkEnd w:id="70"/>
      <w:bookmarkEnd w:id="71"/>
      <w:bookmarkEnd w:id="72"/>
    </w:p>
    <w:p w14:paraId="2873782C">
      <w:pPr>
        <w:spacing w:line="600" w:lineRule="exact"/>
        <w:ind w:firstLine="643" w:firstLineChars="200"/>
        <w:outlineLvl w:val="2"/>
        <w:rPr>
          <w:rFonts w:hint="eastAsia" w:ascii="仿宋" w:hAnsi="仿宋" w:eastAsia="仿宋"/>
          <w:sz w:val="32"/>
          <w:szCs w:val="32"/>
        </w:rPr>
      </w:pPr>
      <w:bookmarkStart w:id="73" w:name="_Toc15377222"/>
      <w:bookmarkStart w:id="74" w:name="_Toc22505"/>
      <w:r>
        <w:rPr>
          <w:rFonts w:hint="eastAsia" w:ascii="仿宋" w:hAnsi="仿宋" w:eastAsia="仿宋"/>
          <w:b/>
          <w:sz w:val="32"/>
          <w:szCs w:val="32"/>
        </w:rPr>
        <w:t>（一）机关运行经费支出情况</w:t>
      </w:r>
      <w:bookmarkEnd w:id="73"/>
      <w:bookmarkEnd w:id="74"/>
    </w:p>
    <w:p w14:paraId="70D5F0A5">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2023年度，红原县新华书店机关运行经费支出</w:t>
      </w:r>
      <w:r>
        <w:rPr>
          <w:sz w:val="32"/>
          <w:szCs w:val="32"/>
        </w:rPr>
        <w:t>0</w:t>
      </w:r>
      <w:r>
        <w:rPr>
          <w:rFonts w:hint="eastAsia" w:ascii="仿宋_GB2312" w:eastAsia="仿宋_GB2312"/>
          <w:sz w:val="32"/>
          <w:szCs w:val="32"/>
        </w:rPr>
        <w:t>万元，</w:t>
      </w:r>
      <w:r>
        <w:rPr>
          <w:rFonts w:hint="eastAsia" w:ascii="仿宋_GB2312" w:eastAsia="仿宋_GB2312"/>
          <w:color w:val="000000"/>
          <w:sz w:val="32"/>
          <w:szCs w:val="32"/>
        </w:rPr>
        <w:t>用于公务用车运行维护费，与2022年持平。</w:t>
      </w:r>
    </w:p>
    <w:p w14:paraId="5A7DE0C7">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75" w:name="_Toc19631"/>
      <w:bookmarkStart w:id="76" w:name="_Toc15377223"/>
      <w:r>
        <w:rPr>
          <w:rFonts w:hint="eastAsia" w:ascii="仿宋" w:hAnsi="仿宋" w:eastAsia="仿宋"/>
          <w:b/>
          <w:sz w:val="32"/>
          <w:szCs w:val="32"/>
        </w:rPr>
        <w:t>（二）政府采购支出情况</w:t>
      </w:r>
      <w:bookmarkEnd w:id="75"/>
      <w:bookmarkEnd w:id="76"/>
    </w:p>
    <w:p w14:paraId="2A250F6E">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2023年度，红原县新华书店政府采购支出总额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6ACDC055">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77" w:name="_Toc19405"/>
      <w:bookmarkStart w:id="78" w:name="_Toc15377224"/>
      <w:r>
        <w:rPr>
          <w:rFonts w:hint="eastAsia" w:ascii="仿宋" w:hAnsi="仿宋" w:eastAsia="仿宋"/>
          <w:b/>
          <w:sz w:val="32"/>
          <w:szCs w:val="32"/>
        </w:rPr>
        <w:t>（三）国有资产占有使用情况</w:t>
      </w:r>
      <w:bookmarkEnd w:id="77"/>
      <w:bookmarkEnd w:id="78"/>
    </w:p>
    <w:p w14:paraId="725860C1">
      <w:pPr>
        <w:autoSpaceDE w:val="0"/>
        <w:autoSpaceDN w:val="0"/>
        <w:adjustRightInd w:val="0"/>
        <w:spacing w:line="600" w:lineRule="exact"/>
        <w:ind w:firstLine="640" w:firstLineChars="200"/>
        <w:jc w:val="left"/>
        <w:rPr>
          <w:rFonts w:hint="eastAsia" w:ascii="仿宋" w:hAnsi="仿宋" w:eastAsia="仿宋"/>
          <w:b/>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红原县新华书店本级</w:t>
      </w:r>
      <w:r>
        <w:rPr>
          <w:rFonts w:hint="eastAsia" w:ascii="仿宋_GB2312" w:eastAsia="仿宋_GB2312"/>
          <w:sz w:val="32"/>
          <w:szCs w:val="32"/>
        </w:rPr>
        <w:t>共有车辆1辆，其中：主要领导干部用车0辆、机要通信用车0辆、应急保障用车1辆、其他用车0辆，主要用于出差。</w:t>
      </w:r>
    </w:p>
    <w:p w14:paraId="4384D143">
      <w:pPr>
        <w:autoSpaceDE w:val="0"/>
        <w:autoSpaceDN w:val="0"/>
        <w:adjustRightInd w:val="0"/>
        <w:spacing w:line="600" w:lineRule="exact"/>
        <w:ind w:firstLine="643" w:firstLineChars="200"/>
        <w:jc w:val="left"/>
        <w:outlineLvl w:val="2"/>
      </w:pPr>
      <w:bookmarkStart w:id="79" w:name="_Toc8208"/>
      <w:r>
        <w:rPr>
          <w:rFonts w:hint="eastAsia" w:ascii="仿宋" w:hAnsi="仿宋" w:eastAsia="仿宋"/>
          <w:b/>
          <w:sz w:val="32"/>
          <w:szCs w:val="32"/>
        </w:rPr>
        <w:t>（四）预算绩效管理情况</w:t>
      </w:r>
      <w:bookmarkEnd w:id="79"/>
    </w:p>
    <w:p w14:paraId="595CC8A3">
      <w:pPr>
        <w:pStyle w:val="16"/>
        <w:widowControl/>
        <w:spacing w:before="106" w:after="106" w:line="576" w:lineRule="exact"/>
        <w:ind w:firstLine="420"/>
        <w:jc w:val="both"/>
        <w:rPr>
          <w:rFonts w:hint="eastAsia" w:ascii="仿宋" w:hAnsi="仿宋" w:eastAsia="仿宋" w:cs="仿宋"/>
          <w:sz w:val="32"/>
          <w:szCs w:val="32"/>
        </w:rPr>
      </w:pPr>
      <w:r>
        <w:rPr>
          <w:rFonts w:hint="eastAsia" w:ascii="仿宋" w:hAnsi="仿宋" w:eastAsia="仿宋" w:cs="仿宋"/>
          <w:color w:val="333333"/>
          <w:sz w:val="32"/>
          <w:szCs w:val="32"/>
        </w:rPr>
        <w:t>绩效目标是预算编制的前提和基础，按照“费随事定”的原则，2023年我单位项目支出按要求编制了绩效目标，从项目完成、项目效益、满意度。</w:t>
      </w:r>
    </w:p>
    <w:p w14:paraId="5789F220">
      <w:pPr>
        <w:pStyle w:val="2"/>
      </w:pPr>
    </w:p>
    <w:p w14:paraId="621A9874">
      <w:pPr>
        <w:pStyle w:val="3"/>
        <w:jc w:val="center"/>
      </w:pPr>
      <w:bookmarkStart w:id="80" w:name="_Toc12454"/>
      <w:r>
        <w:rPr>
          <w:rFonts w:hint="eastAsia"/>
        </w:rPr>
        <w:t>第三部分 名词解释</w:t>
      </w:r>
      <w:bookmarkEnd w:id="80"/>
    </w:p>
    <w:p w14:paraId="31578A62"/>
    <w:p w14:paraId="0664AF31">
      <w:pPr>
        <w:numPr>
          <w:ilvl w:val="0"/>
          <w:numId w:val="4"/>
        </w:numPr>
        <w:ind w:firstLine="640" w:firstLineChars="200"/>
        <w:rPr>
          <w:rFonts w:hint="eastAsia" w:ascii="仿宋" w:hAnsi="仿宋" w:eastAsia="仿宋" w:cs="仿宋"/>
          <w:color w:val="333333"/>
          <w:sz w:val="32"/>
          <w:szCs w:val="32"/>
        </w:rPr>
      </w:pPr>
      <w:r>
        <w:rPr>
          <w:rFonts w:hint="eastAsia" w:ascii="仿宋_GB2312" w:eastAsia="仿宋_GB2312"/>
          <w:sz w:val="32"/>
          <w:szCs w:val="32"/>
        </w:rPr>
        <w:t>财政拨款收入：</w:t>
      </w:r>
      <w:r>
        <w:rPr>
          <w:rFonts w:hint="eastAsia" w:ascii="仿宋" w:hAnsi="仿宋" w:eastAsia="仿宋" w:cs="仿宋"/>
          <w:color w:val="333333"/>
          <w:sz w:val="32"/>
          <w:szCs w:val="32"/>
        </w:rPr>
        <w:t>指财政部门核拨给单位的财政预算资金。</w:t>
      </w:r>
    </w:p>
    <w:p w14:paraId="5FA19941">
      <w:pPr>
        <w:numPr>
          <w:ilvl w:val="0"/>
          <w:numId w:val="4"/>
        </w:numPr>
        <w:ind w:firstLine="640" w:firstLineChars="200"/>
        <w:rPr>
          <w:rFonts w:ascii="仿宋_GB2312" w:eastAsia="仿宋_GB2312"/>
          <w:sz w:val="32"/>
          <w:szCs w:val="32"/>
        </w:rPr>
      </w:pPr>
      <w:r>
        <w:rPr>
          <w:rFonts w:hint="eastAsia" w:ascii="仿宋_GB2312" w:eastAsia="仿宋_GB2312"/>
          <w:sz w:val="32"/>
          <w:szCs w:val="32"/>
        </w:rPr>
        <w:t>事业收入：指事业单位开展专业业务活动及辅助活动取得的收入。</w:t>
      </w:r>
    </w:p>
    <w:p w14:paraId="55814421">
      <w:pPr>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5B1F86F2">
      <w:pPr>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14:paraId="6388CD66">
      <w:pPr>
        <w:ind w:firstLine="640" w:firstLineChars="200"/>
        <w:rPr>
          <w:rFonts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123CB9F1">
      <w:pPr>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3EB61E01">
      <w:pPr>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6BA9E2D4">
      <w:pPr>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6F6FD061">
      <w:pPr>
        <w:ind w:firstLine="640" w:firstLineChars="200"/>
        <w:rPr>
          <w:rFonts w:ascii="仿宋_GB2312" w:eastAsia="仿宋_GB2312"/>
          <w:sz w:val="32"/>
          <w:szCs w:val="32"/>
        </w:rPr>
      </w:pPr>
      <w:r>
        <w:rPr>
          <w:rFonts w:hint="eastAsia" w:ascii="仿宋_GB2312" w:eastAsia="仿宋_GB2312"/>
          <w:sz w:val="32"/>
          <w:szCs w:val="32"/>
        </w:rPr>
        <w:t>9.一般公共服务（类）…（款）…（项）：指……。</w:t>
      </w:r>
    </w:p>
    <w:p w14:paraId="2F9A12B3">
      <w:pPr>
        <w:ind w:firstLine="640" w:firstLineChars="200"/>
        <w:rPr>
          <w:rFonts w:ascii="仿宋_GB2312" w:eastAsia="仿宋_GB2312"/>
          <w:sz w:val="32"/>
          <w:szCs w:val="32"/>
        </w:rPr>
      </w:pPr>
      <w:r>
        <w:rPr>
          <w:rFonts w:hint="eastAsia" w:ascii="仿宋_GB2312" w:eastAsia="仿宋_GB2312"/>
          <w:sz w:val="32"/>
          <w:szCs w:val="32"/>
        </w:rPr>
        <w:t>10.外交（类）…（款）…（项）：指……。</w:t>
      </w:r>
    </w:p>
    <w:p w14:paraId="44CC2170">
      <w:pPr>
        <w:ind w:firstLine="640" w:firstLineChars="200"/>
        <w:rPr>
          <w:rFonts w:ascii="仿宋_GB2312" w:eastAsia="仿宋_GB2312"/>
          <w:sz w:val="32"/>
          <w:szCs w:val="32"/>
        </w:rPr>
      </w:pPr>
      <w:r>
        <w:rPr>
          <w:rFonts w:hint="eastAsia" w:ascii="仿宋_GB2312" w:eastAsia="仿宋_GB2312"/>
          <w:sz w:val="32"/>
          <w:szCs w:val="32"/>
        </w:rPr>
        <w:t>11.公共安全（类）…（款）…（项）：指……。</w:t>
      </w:r>
    </w:p>
    <w:p w14:paraId="662B994E">
      <w:pPr>
        <w:ind w:firstLine="640" w:firstLineChars="200"/>
        <w:rPr>
          <w:rFonts w:ascii="仿宋_GB2312" w:eastAsia="仿宋_GB2312"/>
          <w:sz w:val="32"/>
          <w:szCs w:val="32"/>
        </w:rPr>
      </w:pPr>
      <w:r>
        <w:rPr>
          <w:rFonts w:hint="eastAsia" w:ascii="仿宋_GB2312" w:eastAsia="仿宋_GB2312"/>
          <w:sz w:val="32"/>
          <w:szCs w:val="32"/>
        </w:rPr>
        <w:t>12.教育（类）…（款）…（项）：指……。</w:t>
      </w:r>
    </w:p>
    <w:p w14:paraId="31A53A73">
      <w:pPr>
        <w:ind w:firstLine="640" w:firstLineChars="200"/>
        <w:rPr>
          <w:rFonts w:ascii="仿宋_GB2312" w:eastAsia="仿宋_GB2312"/>
          <w:sz w:val="32"/>
          <w:szCs w:val="32"/>
        </w:rPr>
      </w:pPr>
      <w:r>
        <w:rPr>
          <w:rFonts w:hint="eastAsia" w:ascii="仿宋_GB2312" w:eastAsia="仿宋_GB2312"/>
          <w:sz w:val="32"/>
          <w:szCs w:val="32"/>
        </w:rPr>
        <w:t>13.科学技术（类）…（款）…（项）：指……。</w:t>
      </w:r>
    </w:p>
    <w:p w14:paraId="2AC023F2">
      <w:pPr>
        <w:ind w:firstLine="640" w:firstLineChars="200"/>
        <w:rPr>
          <w:rFonts w:ascii="仿宋_GB2312" w:eastAsia="仿宋_GB2312"/>
          <w:sz w:val="32"/>
          <w:szCs w:val="32"/>
        </w:rPr>
      </w:pPr>
      <w:r>
        <w:rPr>
          <w:rFonts w:hint="eastAsia" w:ascii="仿宋_GB2312" w:eastAsia="仿宋_GB2312"/>
          <w:sz w:val="32"/>
          <w:szCs w:val="32"/>
        </w:rPr>
        <w:t>14.文化旅游体育与传媒（类）…（款）…（项）：指……。</w:t>
      </w:r>
    </w:p>
    <w:p w14:paraId="282FD069">
      <w:pPr>
        <w:ind w:firstLine="640" w:firstLineChars="200"/>
        <w:rPr>
          <w:rFonts w:ascii="仿宋_GB2312" w:eastAsia="仿宋_GB2312"/>
          <w:sz w:val="32"/>
          <w:szCs w:val="32"/>
        </w:rPr>
      </w:pPr>
      <w:r>
        <w:rPr>
          <w:rFonts w:hint="eastAsia" w:ascii="仿宋_GB2312" w:eastAsia="仿宋_GB2312"/>
          <w:sz w:val="32"/>
          <w:szCs w:val="32"/>
        </w:rPr>
        <w:t>15.社会保障和就业（类）…（款）…（项）：指……。</w:t>
      </w:r>
    </w:p>
    <w:p w14:paraId="4D5B0949">
      <w:pPr>
        <w:ind w:firstLine="640" w:firstLineChars="200"/>
        <w:rPr>
          <w:rFonts w:ascii="仿宋_GB2312" w:eastAsia="仿宋_GB2312"/>
          <w:sz w:val="32"/>
          <w:szCs w:val="32"/>
        </w:rPr>
      </w:pPr>
      <w:r>
        <w:rPr>
          <w:rFonts w:hint="eastAsia" w:ascii="仿宋_GB2312" w:eastAsia="仿宋_GB2312"/>
          <w:sz w:val="32"/>
          <w:szCs w:val="32"/>
        </w:rPr>
        <w:t>16.卫生健康（类）…（款）…（项）：指……。</w:t>
      </w:r>
    </w:p>
    <w:p w14:paraId="388017C0">
      <w:pPr>
        <w:ind w:firstLine="640" w:firstLineChars="200"/>
        <w:rPr>
          <w:rFonts w:ascii="仿宋_GB2312" w:eastAsia="仿宋_GB2312"/>
          <w:sz w:val="32"/>
          <w:szCs w:val="32"/>
        </w:rPr>
      </w:pPr>
      <w:r>
        <w:rPr>
          <w:rFonts w:hint="eastAsia" w:ascii="仿宋_GB2312" w:eastAsia="仿宋_GB2312"/>
          <w:sz w:val="32"/>
          <w:szCs w:val="32"/>
        </w:rPr>
        <w:t>17.节能环保（类）…（款）…（项）：指……。</w:t>
      </w:r>
    </w:p>
    <w:p w14:paraId="251BFF9C">
      <w:pPr>
        <w:ind w:firstLine="640" w:firstLineChars="200"/>
        <w:rPr>
          <w:rFonts w:ascii="仿宋_GB2312" w:eastAsia="仿宋_GB2312"/>
          <w:sz w:val="32"/>
          <w:szCs w:val="32"/>
        </w:rPr>
      </w:pPr>
      <w:r>
        <w:rPr>
          <w:rFonts w:hint="eastAsia" w:ascii="仿宋_GB2312" w:eastAsia="仿宋_GB2312"/>
          <w:sz w:val="32"/>
          <w:szCs w:val="32"/>
        </w:rPr>
        <w:t>18.城乡社区（类）…（款）…（项）：指……。</w:t>
      </w:r>
    </w:p>
    <w:p w14:paraId="3E29DBDD">
      <w:pPr>
        <w:ind w:firstLine="640" w:firstLineChars="200"/>
        <w:rPr>
          <w:rFonts w:ascii="仿宋_GB2312" w:eastAsia="仿宋_GB2312"/>
          <w:sz w:val="32"/>
          <w:szCs w:val="32"/>
        </w:rPr>
      </w:pPr>
      <w:r>
        <w:rPr>
          <w:rFonts w:hint="eastAsia" w:ascii="仿宋_GB2312" w:eastAsia="仿宋_GB2312"/>
          <w:sz w:val="32"/>
          <w:szCs w:val="32"/>
        </w:rPr>
        <w:t>19.农林水（类）…（款）…（项）：指……。</w:t>
      </w:r>
    </w:p>
    <w:p w14:paraId="66E47F1B">
      <w:pPr>
        <w:ind w:firstLine="640" w:firstLineChars="200"/>
        <w:rPr>
          <w:rFonts w:ascii="仿宋_GB2312" w:eastAsia="仿宋_GB2312"/>
          <w:sz w:val="32"/>
          <w:szCs w:val="32"/>
        </w:rPr>
      </w:pPr>
      <w:r>
        <w:rPr>
          <w:rFonts w:hint="eastAsia" w:ascii="仿宋_GB2312" w:eastAsia="仿宋_GB2312"/>
          <w:sz w:val="32"/>
          <w:szCs w:val="32"/>
        </w:rPr>
        <w:t>20.交通运输（类）…（款）…（项）：指……。</w:t>
      </w:r>
    </w:p>
    <w:p w14:paraId="66ED1622">
      <w:pPr>
        <w:ind w:firstLine="640" w:firstLineChars="200"/>
        <w:rPr>
          <w:rFonts w:ascii="仿宋_GB2312" w:eastAsia="仿宋_GB2312"/>
          <w:sz w:val="32"/>
          <w:szCs w:val="32"/>
        </w:rPr>
      </w:pPr>
      <w:r>
        <w:rPr>
          <w:rFonts w:hint="eastAsia" w:ascii="仿宋_GB2312" w:eastAsia="仿宋_GB2312"/>
          <w:sz w:val="32"/>
          <w:szCs w:val="32"/>
        </w:rPr>
        <w:t>21.资源勘探工业信息等（类）…（款）…（项）：指……。</w:t>
      </w:r>
    </w:p>
    <w:p w14:paraId="307702B3">
      <w:pPr>
        <w:ind w:firstLine="640" w:firstLineChars="200"/>
        <w:rPr>
          <w:rFonts w:ascii="仿宋_GB2312" w:eastAsia="仿宋_GB2312"/>
          <w:sz w:val="32"/>
          <w:szCs w:val="32"/>
        </w:rPr>
      </w:pPr>
      <w:r>
        <w:rPr>
          <w:rFonts w:hint="eastAsia" w:ascii="仿宋_GB2312" w:eastAsia="仿宋_GB2312"/>
          <w:sz w:val="32"/>
          <w:szCs w:val="32"/>
        </w:rPr>
        <w:t>22.商业服务业（类）…（款）…（项）：指……。</w:t>
      </w:r>
    </w:p>
    <w:p w14:paraId="60AF5987">
      <w:pPr>
        <w:ind w:firstLine="640" w:firstLineChars="200"/>
        <w:rPr>
          <w:rFonts w:ascii="仿宋_GB2312" w:eastAsia="仿宋_GB2312"/>
          <w:sz w:val="32"/>
          <w:szCs w:val="32"/>
        </w:rPr>
      </w:pPr>
      <w:r>
        <w:rPr>
          <w:rFonts w:hint="eastAsia" w:ascii="仿宋_GB2312" w:eastAsia="仿宋_GB2312"/>
          <w:sz w:val="32"/>
          <w:szCs w:val="32"/>
        </w:rPr>
        <w:t>23.金融（类）…（款）…（项）：指……。</w:t>
      </w:r>
    </w:p>
    <w:p w14:paraId="420A7B57">
      <w:pPr>
        <w:ind w:firstLine="640" w:firstLineChars="200"/>
        <w:rPr>
          <w:rFonts w:ascii="仿宋_GB2312" w:eastAsia="仿宋_GB2312"/>
          <w:sz w:val="32"/>
          <w:szCs w:val="32"/>
        </w:rPr>
      </w:pPr>
      <w:r>
        <w:rPr>
          <w:rFonts w:hint="eastAsia" w:ascii="仿宋_GB2312" w:eastAsia="仿宋_GB2312"/>
          <w:sz w:val="32"/>
          <w:szCs w:val="32"/>
        </w:rPr>
        <w:t>24.自然资源海洋气象等（类）…（款）…（项）：指……。</w:t>
      </w:r>
    </w:p>
    <w:p w14:paraId="272A96A4">
      <w:pPr>
        <w:ind w:firstLine="640" w:firstLineChars="200"/>
        <w:rPr>
          <w:rFonts w:ascii="仿宋_GB2312" w:eastAsia="仿宋_GB2312"/>
          <w:sz w:val="32"/>
          <w:szCs w:val="32"/>
        </w:rPr>
      </w:pPr>
      <w:r>
        <w:rPr>
          <w:rFonts w:hint="eastAsia" w:ascii="仿宋_GB2312" w:eastAsia="仿宋_GB2312"/>
          <w:sz w:val="32"/>
          <w:szCs w:val="32"/>
        </w:rPr>
        <w:t>25.住房保障（类）…（款）…（项）：指……。</w:t>
      </w:r>
    </w:p>
    <w:p w14:paraId="27E1E9D8">
      <w:pPr>
        <w:ind w:firstLine="640" w:firstLineChars="200"/>
        <w:rPr>
          <w:rFonts w:ascii="仿宋_GB2312" w:eastAsia="仿宋_GB2312"/>
          <w:sz w:val="32"/>
          <w:szCs w:val="32"/>
        </w:rPr>
      </w:pPr>
      <w:r>
        <w:rPr>
          <w:rFonts w:hint="eastAsia" w:ascii="仿宋_GB2312" w:eastAsia="仿宋_GB2312"/>
          <w:sz w:val="32"/>
          <w:szCs w:val="32"/>
        </w:rPr>
        <w:t>26.粮油物资储备（类）…（款）…（项）：指……。</w:t>
      </w:r>
    </w:p>
    <w:p w14:paraId="20D4DC43">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14:paraId="2112B32F">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14:paraId="6570D86E">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14:paraId="352BE34E">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FBBFE06">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0D3274">
      <w:pPr>
        <w:ind w:firstLine="643" w:firstLineChars="200"/>
        <w:rPr>
          <w:rFonts w:hint="eastAsia" w:ascii="仿宋" w:hAnsi="仿宋" w:eastAsia="仿宋"/>
          <w:b/>
          <w:sz w:val="32"/>
          <w:szCs w:val="32"/>
        </w:rPr>
      </w:pPr>
      <w:r>
        <w:rPr>
          <w:rFonts w:ascii="仿宋" w:hAnsi="仿宋" w:eastAsia="仿宋"/>
          <w:b/>
          <w:sz w:val="32"/>
          <w:szCs w:val="32"/>
        </w:rPr>
        <w:br w:type="page"/>
      </w:r>
    </w:p>
    <w:p w14:paraId="075552CD">
      <w:pPr>
        <w:pStyle w:val="3"/>
        <w:jc w:val="center"/>
        <w:rPr>
          <w:rFonts w:hint="eastAsia" w:ascii="黑体" w:hAnsi="黑体" w:eastAsia="黑体"/>
          <w:b w:val="0"/>
        </w:rPr>
      </w:pPr>
      <w:bookmarkStart w:id="81" w:name="_Toc4149"/>
      <w:r>
        <w:rPr>
          <w:rFonts w:hint="eastAsia" w:ascii="黑体" w:hAnsi="黑体" w:eastAsia="黑体"/>
          <w:b w:val="0"/>
        </w:rPr>
        <w:t>第四部分 附件</w:t>
      </w:r>
      <w:bookmarkEnd w:id="81"/>
    </w:p>
    <w:p w14:paraId="6F5640F6"/>
    <w:p w14:paraId="5B0709F0">
      <w:pPr>
        <w:rPr>
          <w:rFonts w:hint="eastAsia" w:ascii="黑体" w:hAnsi="黑体" w:eastAsia="黑体"/>
          <w:sz w:val="32"/>
          <w:szCs w:val="32"/>
        </w:rPr>
      </w:pPr>
      <w:r>
        <w:rPr>
          <w:rFonts w:hint="eastAsia" w:ascii="黑体" w:hAnsi="黑体" w:eastAsia="黑体"/>
          <w:sz w:val="32"/>
          <w:szCs w:val="32"/>
        </w:rPr>
        <w:t>附件1</w:t>
      </w:r>
    </w:p>
    <w:p w14:paraId="38151DAC">
      <w:pPr>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14:paraId="1D200F07"/>
    <w:p w14:paraId="71ED3437">
      <w:pPr>
        <w:rPr>
          <w:rFonts w:hint="eastAsia" w:ascii="黑体" w:hAnsi="黑体" w:eastAsia="黑体"/>
          <w:sz w:val="32"/>
          <w:szCs w:val="32"/>
        </w:rPr>
      </w:pPr>
      <w:r>
        <w:rPr>
          <w:rFonts w:hint="eastAsia" w:ascii="黑体" w:hAnsi="黑体" w:eastAsia="黑体"/>
          <w:sz w:val="32"/>
          <w:szCs w:val="32"/>
        </w:rPr>
        <w:t>一、部门（单位）基本情况</w:t>
      </w:r>
    </w:p>
    <w:p w14:paraId="33F9166C">
      <w:pPr>
        <w:ind w:firstLine="643" w:firstLineChars="200"/>
        <w:rPr>
          <w:rFonts w:ascii="仿宋_GB2312" w:eastAsia="仿宋_GB2312"/>
          <w:sz w:val="32"/>
          <w:szCs w:val="32"/>
        </w:rPr>
      </w:pPr>
      <w:r>
        <w:rPr>
          <w:rFonts w:hint="eastAsia" w:ascii="楷体_GB2312" w:eastAsia="楷体_GB2312"/>
          <w:b/>
          <w:sz w:val="32"/>
          <w:szCs w:val="32"/>
        </w:rPr>
        <w:t>（一）机构组成。</w:t>
      </w:r>
      <w:r>
        <w:rPr>
          <w:rFonts w:eastAsia="仿宋_GB2312"/>
          <w:sz w:val="32"/>
          <w:szCs w:val="32"/>
          <w:lang w:val="zh-CN"/>
        </w:rPr>
        <w:t>红原县新华书店是事业单位 ,执行行政单位会计制度 ,我单位下属 二 级决算单位 0个 ,其中行政单位 0个 ,参照公务员法管理的事业单位 1个 ,其他事业单位0个 ,是 独立核算的机构。</w:t>
      </w:r>
    </w:p>
    <w:p w14:paraId="75DDEB32">
      <w:pPr>
        <w:ind w:firstLine="643" w:firstLineChars="200"/>
        <w:rPr>
          <w:rFonts w:hint="eastAsia" w:ascii="仿宋" w:hAnsi="仿宋" w:eastAsia="仿宋" w:cs="仿宋"/>
          <w:bCs/>
          <w:sz w:val="32"/>
          <w:szCs w:val="32"/>
        </w:rPr>
      </w:pPr>
      <w:r>
        <w:rPr>
          <w:rFonts w:hint="eastAsia" w:ascii="楷体_GB2312" w:eastAsia="楷体_GB2312"/>
          <w:b/>
          <w:sz w:val="32"/>
          <w:szCs w:val="32"/>
        </w:rPr>
        <w:t>（二）机构职能。</w:t>
      </w:r>
      <w:r>
        <w:rPr>
          <w:rFonts w:hint="eastAsia" w:ascii="仿宋" w:hAnsi="仿宋" w:eastAsia="仿宋" w:cs="仿宋"/>
          <w:bCs/>
          <w:sz w:val="32"/>
          <w:szCs w:val="32"/>
        </w:rPr>
        <w:t>主要以专业技术提供社会公益服务。红原县新华书店作为党的思想宣传重要阵地 ,是先进文化的基本传播载体 ,承 担着传播主流文化 、传承民族文化 、 提高民族素质的重大使命 ,承担着为现代化建设提供精神动力 、智力支持的重要任务,同时还担负着教材的发行工作 ,主要负责全县中 、小学教材的征订发行工作。新华书店发挥着重要的经济作用 ,担 负着重要的政治职能 ,提 供大量的社会服务 ,履 行文化传播职能。</w:t>
      </w:r>
    </w:p>
    <w:p w14:paraId="5D94E5AF">
      <w:pPr>
        <w:pStyle w:val="2"/>
        <w:ind w:firstLine="643" w:firstLineChars="200"/>
        <w:rPr>
          <w:sz w:val="32"/>
          <w:szCs w:val="32"/>
        </w:rPr>
      </w:pPr>
      <w:r>
        <w:rPr>
          <w:rFonts w:hint="eastAsia" w:ascii="楷体_GB2312" w:eastAsia="楷体_GB2312"/>
          <w:b/>
          <w:sz w:val="32"/>
          <w:szCs w:val="32"/>
        </w:rPr>
        <w:t>（三）人员概况。</w:t>
      </w:r>
      <w:r>
        <w:rPr>
          <w:rFonts w:hint="eastAsia" w:ascii="仿宋" w:hAnsi="仿宋" w:eastAsia="仿宋" w:cs="仿宋"/>
          <w:bCs/>
          <w:sz w:val="32"/>
          <w:szCs w:val="32"/>
        </w:rPr>
        <w:t>我单位人事核定事业编制 6人 ,其 中 :行政工勤编制 0人 。是独立核算的机构 ,是独立编报预算的单位 。2023年 年末在职行政人数 0人 ,其 中 :行 政工勤在职人数 0人 。事业编制人数4人 ,实有人数4人 。</w:t>
      </w:r>
    </w:p>
    <w:p w14:paraId="343C429E">
      <w:pPr>
        <w:ind w:firstLine="640" w:firstLineChars="200"/>
        <w:rPr>
          <w:rFonts w:ascii="仿宋_GB2312" w:eastAsia="仿宋_GB2312"/>
          <w:sz w:val="32"/>
          <w:szCs w:val="32"/>
        </w:rPr>
      </w:pPr>
    </w:p>
    <w:p w14:paraId="06D46B4A">
      <w:pPr>
        <w:rPr>
          <w:rFonts w:hint="eastAsia" w:ascii="黑体" w:hAnsi="黑体" w:eastAsia="黑体"/>
          <w:sz w:val="32"/>
          <w:szCs w:val="32"/>
        </w:rPr>
      </w:pPr>
      <w:r>
        <w:rPr>
          <w:rFonts w:hint="eastAsia" w:ascii="黑体" w:hAnsi="黑体" w:eastAsia="黑体"/>
          <w:sz w:val="32"/>
          <w:szCs w:val="32"/>
        </w:rPr>
        <w:t>二、部门资金收支情况</w:t>
      </w:r>
    </w:p>
    <w:p w14:paraId="1E2498BA">
      <w:pPr>
        <w:widowControl/>
        <w:adjustRightInd w:val="0"/>
        <w:snapToGrid w:val="0"/>
        <w:spacing w:line="560" w:lineRule="exact"/>
        <w:ind w:firstLine="643" w:firstLineChars="200"/>
        <w:jc w:val="left"/>
        <w:rPr>
          <w:rFonts w:hint="eastAsia" w:ascii="仿宋_GB2312" w:hAnsi="宋体" w:cs="宋体"/>
          <w:b/>
          <w:bCs/>
          <w:color w:val="000000"/>
          <w:kern w:val="0"/>
          <w:sz w:val="32"/>
          <w:szCs w:val="32"/>
          <w:lang w:val="zh-CN"/>
        </w:rPr>
      </w:pPr>
      <w:r>
        <w:rPr>
          <w:rFonts w:hint="eastAsia" w:ascii="楷体_GB2312" w:eastAsia="楷体_GB2312"/>
          <w:b/>
          <w:sz w:val="32"/>
          <w:szCs w:val="32"/>
        </w:rPr>
        <w:t>（一）收入情况。</w:t>
      </w:r>
    </w:p>
    <w:p w14:paraId="7D03DCCD">
      <w:pPr>
        <w:widowControl/>
        <w:adjustRightInd w:val="0"/>
        <w:snapToGrid w:val="0"/>
        <w:spacing w:line="560" w:lineRule="exact"/>
        <w:ind w:firstLine="720"/>
        <w:jc w:val="left"/>
        <w:rPr>
          <w:rFonts w:ascii="仿宋_GB2312" w:hAnsi="仿宋" w:eastAsia="仿宋_GB2312"/>
          <w:spacing w:val="-4"/>
          <w:sz w:val="32"/>
          <w:szCs w:val="32"/>
        </w:rPr>
      </w:pPr>
      <w:r>
        <w:rPr>
          <w:rFonts w:hint="eastAsia" w:ascii="仿宋_GB2312" w:hAnsi="仿宋" w:eastAsia="仿宋_GB2312"/>
          <w:spacing w:val="-4"/>
          <w:sz w:val="32"/>
          <w:szCs w:val="32"/>
        </w:rPr>
        <w:t>本单位2023年收入全年预算数为97.24万元，收入决算数为97.24万元，预算完成度为100%。</w:t>
      </w:r>
      <w:r>
        <w:rPr>
          <w:rFonts w:hint="eastAsia" w:ascii="仿宋_GB2312" w:hAnsi="仿宋" w:eastAsia="仿宋_GB2312"/>
          <w:spacing w:val="-4"/>
          <w:sz w:val="32"/>
          <w:szCs w:val="32"/>
          <w:lang w:val="zh-CN"/>
        </w:rPr>
        <w:t>20</w:t>
      </w:r>
      <w:r>
        <w:rPr>
          <w:rFonts w:hint="eastAsia" w:ascii="仿宋_GB2312" w:hAnsi="仿宋" w:eastAsia="仿宋_GB2312"/>
          <w:spacing w:val="-4"/>
          <w:sz w:val="32"/>
          <w:szCs w:val="32"/>
        </w:rPr>
        <w:t>23</w:t>
      </w:r>
      <w:r>
        <w:rPr>
          <w:rFonts w:hint="eastAsia" w:ascii="仿宋_GB2312" w:hAnsi="仿宋" w:eastAsia="仿宋_GB2312"/>
          <w:spacing w:val="-4"/>
          <w:sz w:val="32"/>
          <w:szCs w:val="32"/>
          <w:lang w:val="zh-CN"/>
        </w:rPr>
        <w:t>年</w:t>
      </w:r>
      <w:r>
        <w:rPr>
          <w:rFonts w:hint="eastAsia" w:ascii="仿宋_GB2312" w:hAnsi="仿宋" w:eastAsia="仿宋_GB2312"/>
          <w:spacing w:val="-4"/>
          <w:sz w:val="32"/>
          <w:szCs w:val="32"/>
        </w:rPr>
        <w:t>总</w:t>
      </w:r>
      <w:r>
        <w:rPr>
          <w:rFonts w:hint="eastAsia" w:ascii="仿宋_GB2312" w:hAnsi="仿宋" w:eastAsia="仿宋_GB2312"/>
          <w:spacing w:val="-4"/>
          <w:sz w:val="32"/>
          <w:szCs w:val="32"/>
          <w:lang w:val="zh-CN"/>
        </w:rPr>
        <w:t>收入</w:t>
      </w:r>
      <w:r>
        <w:rPr>
          <w:rFonts w:hint="eastAsia" w:ascii="仿宋_GB2312" w:hAnsi="仿宋" w:eastAsia="仿宋_GB2312"/>
          <w:spacing w:val="-4"/>
          <w:sz w:val="32"/>
          <w:szCs w:val="32"/>
        </w:rPr>
        <w:t>97.24</w:t>
      </w:r>
      <w:r>
        <w:rPr>
          <w:rFonts w:hint="eastAsia" w:ascii="仿宋_GB2312" w:hAnsi="仿宋" w:eastAsia="仿宋_GB2312"/>
          <w:spacing w:val="-4"/>
          <w:sz w:val="32"/>
          <w:szCs w:val="32"/>
          <w:lang w:val="zh-CN"/>
        </w:rPr>
        <w:t>万元，其中：财政拨款收入</w:t>
      </w:r>
      <w:r>
        <w:rPr>
          <w:rFonts w:hint="eastAsia" w:ascii="仿宋_GB2312" w:hAnsi="仿宋" w:eastAsia="仿宋_GB2312"/>
          <w:spacing w:val="-4"/>
          <w:sz w:val="32"/>
          <w:szCs w:val="32"/>
        </w:rPr>
        <w:t>97.24</w:t>
      </w:r>
      <w:r>
        <w:rPr>
          <w:rFonts w:hint="eastAsia" w:ascii="仿宋_GB2312" w:hAnsi="仿宋" w:eastAsia="仿宋_GB2312"/>
          <w:spacing w:val="-4"/>
          <w:sz w:val="32"/>
          <w:szCs w:val="32"/>
          <w:lang w:val="zh-CN"/>
        </w:rPr>
        <w:t>万元，占</w:t>
      </w:r>
      <w:r>
        <w:rPr>
          <w:rFonts w:hint="eastAsia" w:ascii="仿宋_GB2312" w:hAnsi="仿宋" w:eastAsia="仿宋_GB2312"/>
          <w:spacing w:val="-4"/>
          <w:sz w:val="32"/>
          <w:szCs w:val="32"/>
        </w:rPr>
        <w:t>100</w:t>
      </w:r>
      <w:r>
        <w:rPr>
          <w:rFonts w:hint="eastAsia" w:ascii="仿宋_GB2312" w:hAnsi="仿宋" w:eastAsia="仿宋_GB2312"/>
          <w:spacing w:val="-4"/>
          <w:sz w:val="32"/>
          <w:szCs w:val="32"/>
          <w:lang w:val="zh-CN"/>
        </w:rPr>
        <w:t>%</w:t>
      </w:r>
      <w:r>
        <w:rPr>
          <w:rFonts w:hint="eastAsia" w:ascii="仿宋_GB2312" w:hAnsi="仿宋" w:eastAsia="仿宋_GB2312"/>
          <w:spacing w:val="-4"/>
          <w:sz w:val="32"/>
          <w:szCs w:val="32"/>
        </w:rPr>
        <w:t>。</w:t>
      </w:r>
    </w:p>
    <w:p w14:paraId="183A9E62">
      <w:pPr>
        <w:widowControl/>
        <w:adjustRightInd w:val="0"/>
        <w:snapToGrid w:val="0"/>
        <w:spacing w:line="560" w:lineRule="exact"/>
        <w:ind w:firstLine="643" w:firstLineChars="200"/>
        <w:jc w:val="left"/>
        <w:rPr>
          <w:rFonts w:ascii="仿宋_GB2312" w:hAnsi="仿宋_GB2312" w:eastAsia="仿宋_GB2312" w:cs="仿宋_GB2312"/>
          <w:b/>
          <w:bCs/>
          <w:color w:val="000000"/>
          <w:kern w:val="0"/>
          <w:sz w:val="32"/>
          <w:szCs w:val="32"/>
          <w:lang w:bidi="ar"/>
        </w:rPr>
      </w:pPr>
      <w:r>
        <w:rPr>
          <w:rFonts w:hint="eastAsia" w:ascii="楷体_GB2312" w:eastAsia="楷体_GB2312"/>
          <w:b/>
          <w:sz w:val="32"/>
          <w:szCs w:val="32"/>
        </w:rPr>
        <w:t>（二）支出情况。</w:t>
      </w:r>
    </w:p>
    <w:p w14:paraId="1BDADD76">
      <w:pPr>
        <w:widowControl/>
        <w:adjustRightInd w:val="0"/>
        <w:snapToGrid w:val="0"/>
        <w:spacing w:line="560" w:lineRule="exact"/>
        <w:ind w:firstLine="720"/>
        <w:jc w:val="left"/>
        <w:rPr>
          <w:rFonts w:ascii="仿宋_GB2312" w:hAnsi="仿宋" w:eastAsia="仿宋_GB2312"/>
          <w:spacing w:val="-4"/>
          <w:sz w:val="32"/>
          <w:szCs w:val="32"/>
        </w:rPr>
      </w:pPr>
      <w:r>
        <w:rPr>
          <w:rFonts w:hint="eastAsia" w:ascii="仿宋_GB2312" w:hAnsi="仿宋" w:eastAsia="仿宋_GB2312"/>
          <w:spacing w:val="-4"/>
          <w:sz w:val="32"/>
          <w:szCs w:val="32"/>
        </w:rPr>
        <w:t>本单位2023年支出全年预算数为97.24万元，支出决算数为97.24万元，预算完成度为100%。</w:t>
      </w:r>
      <w:r>
        <w:rPr>
          <w:rFonts w:hint="eastAsia" w:ascii="仿宋_GB2312" w:hAnsi="仿宋" w:eastAsia="仿宋_GB2312"/>
          <w:spacing w:val="-4"/>
          <w:sz w:val="32"/>
          <w:szCs w:val="32"/>
          <w:lang w:val="zh-CN"/>
        </w:rPr>
        <w:t>20</w:t>
      </w:r>
      <w:r>
        <w:rPr>
          <w:rFonts w:hint="eastAsia" w:ascii="仿宋_GB2312" w:hAnsi="仿宋" w:eastAsia="仿宋_GB2312"/>
          <w:spacing w:val="-4"/>
          <w:sz w:val="32"/>
          <w:szCs w:val="32"/>
        </w:rPr>
        <w:t>23</w:t>
      </w:r>
      <w:r>
        <w:rPr>
          <w:rFonts w:hint="eastAsia" w:ascii="仿宋_GB2312" w:hAnsi="仿宋" w:eastAsia="仿宋_GB2312"/>
          <w:spacing w:val="-4"/>
          <w:sz w:val="32"/>
          <w:szCs w:val="32"/>
          <w:lang w:val="zh-CN"/>
        </w:rPr>
        <w:t>年支出合计</w:t>
      </w:r>
      <w:r>
        <w:rPr>
          <w:rFonts w:hint="eastAsia" w:ascii="仿宋_GB2312" w:hAnsi="仿宋" w:eastAsia="仿宋_GB2312"/>
          <w:spacing w:val="-4"/>
          <w:sz w:val="32"/>
          <w:szCs w:val="32"/>
        </w:rPr>
        <w:t>97.24</w:t>
      </w:r>
      <w:r>
        <w:rPr>
          <w:rFonts w:hint="eastAsia" w:ascii="仿宋_GB2312" w:hAnsi="仿宋" w:eastAsia="仿宋_GB2312"/>
          <w:spacing w:val="-4"/>
          <w:sz w:val="32"/>
          <w:szCs w:val="32"/>
          <w:lang w:val="zh-CN"/>
        </w:rPr>
        <w:t>万元，</w:t>
      </w:r>
      <w:r>
        <w:rPr>
          <w:rFonts w:ascii="仿宋_GB2312" w:hAnsi="仿宋" w:eastAsia="仿宋_GB2312"/>
          <w:spacing w:val="-4"/>
          <w:sz w:val="32"/>
          <w:szCs w:val="32"/>
          <w:lang w:val="zh-CN"/>
        </w:rPr>
        <w:t>其中：</w:t>
      </w:r>
      <w:r>
        <w:rPr>
          <w:rFonts w:hint="eastAsia" w:ascii="仿宋_GB2312" w:hAnsi="仿宋" w:eastAsia="仿宋_GB2312"/>
          <w:spacing w:val="-4"/>
          <w:sz w:val="32"/>
          <w:szCs w:val="32"/>
        </w:rPr>
        <w:t>文化旅游体育与传媒支出65.22万元，占67.07%；</w:t>
      </w:r>
      <w:r>
        <w:rPr>
          <w:rFonts w:ascii="仿宋_GB2312" w:hAnsi="仿宋" w:eastAsia="仿宋_GB2312"/>
          <w:spacing w:val="-4"/>
          <w:sz w:val="32"/>
          <w:szCs w:val="32"/>
          <w:lang w:val="zh-CN"/>
        </w:rPr>
        <w:t>社会保障和就业支出</w:t>
      </w:r>
      <w:r>
        <w:rPr>
          <w:rFonts w:hint="eastAsia" w:ascii="仿宋_GB2312" w:hAnsi="仿宋" w:eastAsia="仿宋_GB2312"/>
          <w:spacing w:val="-4"/>
          <w:sz w:val="32"/>
          <w:szCs w:val="32"/>
        </w:rPr>
        <w:t>13.03</w:t>
      </w:r>
      <w:r>
        <w:rPr>
          <w:rFonts w:ascii="仿宋_GB2312" w:hAnsi="仿宋" w:eastAsia="仿宋_GB2312"/>
          <w:spacing w:val="-4"/>
          <w:sz w:val="32"/>
          <w:szCs w:val="32"/>
          <w:lang w:val="zh-CN"/>
        </w:rPr>
        <w:t>万元，</w:t>
      </w:r>
      <w:r>
        <w:rPr>
          <w:rFonts w:hint="eastAsia" w:ascii="仿宋_GB2312" w:hAnsi="仿宋" w:eastAsia="仿宋_GB2312"/>
          <w:spacing w:val="-4"/>
          <w:sz w:val="32"/>
          <w:szCs w:val="32"/>
        </w:rPr>
        <w:t>占13.40</w:t>
      </w:r>
      <w:r>
        <w:rPr>
          <w:rFonts w:ascii="仿宋_GB2312" w:hAnsi="仿宋" w:eastAsia="仿宋_GB2312"/>
          <w:spacing w:val="-4"/>
          <w:sz w:val="32"/>
          <w:szCs w:val="32"/>
          <w:lang w:val="zh-CN"/>
        </w:rPr>
        <w:t>%；卫生健康支出</w:t>
      </w:r>
      <w:r>
        <w:rPr>
          <w:rFonts w:hint="eastAsia" w:ascii="仿宋_GB2312" w:hAnsi="仿宋" w:eastAsia="仿宋_GB2312"/>
          <w:spacing w:val="-4"/>
          <w:sz w:val="32"/>
          <w:szCs w:val="32"/>
        </w:rPr>
        <w:t>12.42</w:t>
      </w:r>
      <w:r>
        <w:rPr>
          <w:rFonts w:ascii="仿宋_GB2312" w:hAnsi="仿宋" w:eastAsia="仿宋_GB2312"/>
          <w:spacing w:val="-4"/>
          <w:sz w:val="32"/>
          <w:szCs w:val="32"/>
          <w:lang w:val="zh-CN"/>
        </w:rPr>
        <w:t>万元，占</w:t>
      </w:r>
      <w:r>
        <w:rPr>
          <w:rFonts w:hint="eastAsia" w:ascii="仿宋_GB2312" w:hAnsi="仿宋" w:eastAsia="仿宋_GB2312"/>
          <w:spacing w:val="-4"/>
          <w:sz w:val="32"/>
          <w:szCs w:val="32"/>
        </w:rPr>
        <w:t>12.77</w:t>
      </w:r>
      <w:r>
        <w:rPr>
          <w:rFonts w:ascii="仿宋_GB2312" w:hAnsi="仿宋" w:eastAsia="仿宋_GB2312"/>
          <w:spacing w:val="-4"/>
          <w:sz w:val="32"/>
          <w:szCs w:val="32"/>
          <w:lang w:val="zh-CN"/>
        </w:rPr>
        <w:t>%；住房保障支出</w:t>
      </w:r>
      <w:r>
        <w:rPr>
          <w:rFonts w:hint="eastAsia" w:ascii="仿宋_GB2312" w:hAnsi="仿宋" w:eastAsia="仿宋_GB2312"/>
          <w:spacing w:val="-4"/>
          <w:sz w:val="32"/>
          <w:szCs w:val="32"/>
        </w:rPr>
        <w:t>6.57</w:t>
      </w:r>
      <w:r>
        <w:rPr>
          <w:rFonts w:ascii="仿宋_GB2312" w:hAnsi="仿宋" w:eastAsia="仿宋_GB2312"/>
          <w:spacing w:val="-4"/>
          <w:sz w:val="32"/>
          <w:szCs w:val="32"/>
          <w:lang w:val="zh-CN"/>
        </w:rPr>
        <w:t>万元，占</w:t>
      </w:r>
      <w:r>
        <w:rPr>
          <w:rFonts w:hint="eastAsia" w:ascii="仿宋_GB2312" w:hAnsi="仿宋" w:eastAsia="仿宋_GB2312"/>
          <w:spacing w:val="-4"/>
          <w:sz w:val="32"/>
          <w:szCs w:val="32"/>
        </w:rPr>
        <w:t>6.76</w:t>
      </w:r>
      <w:r>
        <w:rPr>
          <w:rFonts w:ascii="仿宋_GB2312" w:hAnsi="仿宋" w:eastAsia="仿宋_GB2312"/>
          <w:spacing w:val="-4"/>
          <w:sz w:val="32"/>
          <w:szCs w:val="32"/>
          <w:lang w:val="zh-CN"/>
        </w:rPr>
        <w:t>%</w:t>
      </w:r>
      <w:r>
        <w:rPr>
          <w:rFonts w:hint="eastAsia" w:ascii="仿宋_GB2312" w:hAnsi="仿宋" w:eastAsia="仿宋_GB2312"/>
          <w:spacing w:val="-4"/>
          <w:sz w:val="32"/>
          <w:szCs w:val="32"/>
          <w:lang w:val="zh-CN"/>
        </w:rPr>
        <w:t>。</w:t>
      </w:r>
    </w:p>
    <w:p w14:paraId="366EB2C3">
      <w:pPr>
        <w:numPr>
          <w:ilvl w:val="0"/>
          <w:numId w:val="5"/>
        </w:numPr>
        <w:ind w:firstLine="643" w:firstLineChars="200"/>
        <w:rPr>
          <w:rFonts w:ascii="楷体_GB2312" w:eastAsia="楷体_GB2312"/>
          <w:b/>
          <w:sz w:val="32"/>
          <w:szCs w:val="32"/>
        </w:rPr>
      </w:pPr>
      <w:r>
        <w:rPr>
          <w:rFonts w:hint="eastAsia" w:ascii="楷体_GB2312" w:eastAsia="楷体_GB2312"/>
          <w:b/>
          <w:sz w:val="32"/>
          <w:szCs w:val="32"/>
        </w:rPr>
        <w:t>结余分配和结转结余情况。</w:t>
      </w:r>
    </w:p>
    <w:p w14:paraId="4FCCB3D6">
      <w:pPr>
        <w:ind w:firstLine="624" w:firstLineChars="200"/>
        <w:rPr>
          <w:rFonts w:hint="eastAsia" w:ascii="仿宋" w:hAnsi="仿宋" w:eastAsia="仿宋" w:cs="仿宋"/>
          <w:bCs/>
          <w:sz w:val="32"/>
          <w:szCs w:val="32"/>
        </w:rPr>
      </w:pPr>
      <w:r>
        <w:rPr>
          <w:rFonts w:hint="eastAsia" w:ascii="仿宋_GB2312" w:hAnsi="仿宋" w:eastAsia="仿宋_GB2312"/>
          <w:spacing w:val="-4"/>
          <w:sz w:val="32"/>
          <w:szCs w:val="32"/>
          <w:lang w:val="zh-CN"/>
        </w:rPr>
        <w:t>红原县新华书店 2023年决算报表结转结余为 0元 。</w:t>
      </w:r>
    </w:p>
    <w:p w14:paraId="7B1C0024">
      <w:pPr>
        <w:rPr>
          <w:rFonts w:hint="eastAsia" w:ascii="黑体" w:hAnsi="黑体" w:eastAsia="黑体"/>
          <w:sz w:val="32"/>
          <w:szCs w:val="32"/>
        </w:rPr>
      </w:pPr>
      <w:r>
        <w:rPr>
          <w:rFonts w:hint="eastAsia" w:ascii="黑体" w:hAnsi="黑体" w:eastAsia="黑体"/>
          <w:sz w:val="32"/>
          <w:szCs w:val="32"/>
        </w:rPr>
        <w:t>三、部门预算绩效分析</w:t>
      </w:r>
    </w:p>
    <w:p w14:paraId="7C3E5864">
      <w:pPr>
        <w:rPr>
          <w:rFonts w:ascii="楷体_GB2312" w:eastAsia="楷体_GB2312"/>
          <w:b/>
          <w:sz w:val="32"/>
          <w:szCs w:val="32"/>
        </w:rPr>
      </w:pPr>
      <w:r>
        <w:rPr>
          <w:rFonts w:hint="eastAsia" w:ascii="楷体_GB2312" w:eastAsia="楷体_GB2312"/>
          <w:b/>
          <w:sz w:val="32"/>
          <w:szCs w:val="32"/>
        </w:rPr>
        <w:t>（一）部门预算总体绩效分析。</w:t>
      </w:r>
    </w:p>
    <w:p w14:paraId="7ED1E325">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lang w:val="zh-CN"/>
        </w:rPr>
        <w:t>根据部门预算绩效评价指标体系“总体绩效”涉及二、三级指标进行逐项绩效分析并评分,依-2次包括履职效能、预算管理、财务管理、资产管理、采购管理等</w:t>
      </w:r>
      <w:r>
        <w:rPr>
          <w:rFonts w:hint="eastAsia" w:ascii="仿宋_GB2312" w:hAnsi="仿宋" w:eastAsia="仿宋_GB2312"/>
          <w:spacing w:val="-4"/>
          <w:sz w:val="32"/>
          <w:szCs w:val="32"/>
        </w:rPr>
        <w:t>情况。</w:t>
      </w:r>
    </w:p>
    <w:p w14:paraId="5503F528">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p>
    <w:p w14:paraId="13E0DCF8">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产出指标 :质量指标 ,各校教材教辅、物资、政治读物发放验收合格率 ,=1OO%,全 年完成值100%。产出指标 :时指标 ,教 材教辅 、政治读物征订发放完成时效 ,=</w:t>
      </w:r>
      <w:r>
        <w:rPr>
          <w:rFonts w:hint="eastAsia" w:ascii="仿宋_GB2312" w:hAnsi="仿宋" w:eastAsia="仿宋_GB2312"/>
          <w:spacing w:val="-4"/>
          <w:sz w:val="32"/>
          <w:szCs w:val="32"/>
        </w:rPr>
        <w:t>1</w:t>
      </w:r>
      <w:r>
        <w:rPr>
          <w:rFonts w:hint="eastAsia" w:ascii="仿宋_GB2312" w:hAnsi="仿宋" w:eastAsia="仿宋_GB2312"/>
          <w:spacing w:val="-4"/>
          <w:sz w:val="32"/>
          <w:szCs w:val="32"/>
          <w:lang w:val="zh-CN"/>
        </w:rPr>
        <w:t>年 ,全年完成值100%。</w:t>
      </w:r>
    </w:p>
    <w:p w14:paraId="3489DCFA">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效益指标 :社会效益指标 ,服务民生大众 ,定性指标 ,有效保障。</w:t>
      </w:r>
    </w:p>
    <w:p w14:paraId="27EF3638">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满意度指标 :服务对象满意度指标 ,各学校对教材教辅满意度 ,95%,全年完成值100%。</w:t>
      </w:r>
    </w:p>
    <w:p w14:paraId="1EFFBC31">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p>
    <w:p w14:paraId="53E35FF8">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lang w:val="zh-CN"/>
        </w:rPr>
        <w:t>预算编制质量：实际收入与预算收入无差异，实际支出与预算支出无差异。所有应纳入预算的项目被涵盖</w:t>
      </w:r>
      <w:r>
        <w:rPr>
          <w:rFonts w:hint="eastAsia" w:ascii="仿宋_GB2312" w:hAnsi="仿宋" w:eastAsia="仿宋_GB2312"/>
          <w:spacing w:val="-4"/>
          <w:sz w:val="32"/>
          <w:szCs w:val="32"/>
        </w:rPr>
        <w:t>100%，预算分配与单位的年度总体目标相匹配。预算编制符合法律法规和内部政策制度。</w:t>
      </w:r>
    </w:p>
    <w:p w14:paraId="54E58176">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单位收入统筹：</w:t>
      </w:r>
      <w:r>
        <w:rPr>
          <w:rFonts w:hint="eastAsia" w:ascii="仿宋_GB2312" w:hAnsi="仿宋" w:eastAsia="仿宋_GB2312"/>
          <w:spacing w:val="-4"/>
          <w:sz w:val="32"/>
          <w:szCs w:val="32"/>
        </w:rPr>
        <w:t>本单位2023年收入全年预算数为97.24万元，收入决算数为97.24万元，预算完成度为100%。</w:t>
      </w:r>
      <w:r>
        <w:rPr>
          <w:rFonts w:hint="eastAsia" w:ascii="仿宋_GB2312" w:hAnsi="仿宋" w:eastAsia="仿宋_GB2312"/>
          <w:spacing w:val="-4"/>
          <w:sz w:val="32"/>
          <w:szCs w:val="32"/>
          <w:lang w:val="zh-CN"/>
        </w:rPr>
        <w:t>20</w:t>
      </w:r>
      <w:r>
        <w:rPr>
          <w:rFonts w:hint="eastAsia" w:ascii="仿宋_GB2312" w:hAnsi="仿宋" w:eastAsia="仿宋_GB2312"/>
          <w:spacing w:val="-4"/>
          <w:sz w:val="32"/>
          <w:szCs w:val="32"/>
        </w:rPr>
        <w:t>23</w:t>
      </w:r>
      <w:r>
        <w:rPr>
          <w:rFonts w:hint="eastAsia" w:ascii="仿宋_GB2312" w:hAnsi="仿宋" w:eastAsia="仿宋_GB2312"/>
          <w:spacing w:val="-4"/>
          <w:sz w:val="32"/>
          <w:szCs w:val="32"/>
          <w:lang w:val="zh-CN"/>
        </w:rPr>
        <w:t>年度总收入</w:t>
      </w:r>
      <w:r>
        <w:rPr>
          <w:rFonts w:hint="eastAsia" w:ascii="仿宋_GB2312" w:hAnsi="仿宋" w:eastAsia="仿宋_GB2312"/>
          <w:spacing w:val="-4"/>
          <w:sz w:val="32"/>
          <w:szCs w:val="32"/>
        </w:rPr>
        <w:t>97.24</w:t>
      </w:r>
      <w:r>
        <w:rPr>
          <w:rFonts w:hint="eastAsia" w:ascii="仿宋_GB2312" w:hAnsi="仿宋" w:eastAsia="仿宋_GB2312"/>
          <w:spacing w:val="-4"/>
          <w:sz w:val="32"/>
          <w:szCs w:val="32"/>
          <w:lang w:val="zh-CN"/>
        </w:rPr>
        <w:t>万元，其中：财政拨款收入</w:t>
      </w:r>
      <w:r>
        <w:rPr>
          <w:rFonts w:hint="eastAsia" w:ascii="仿宋_GB2312" w:hAnsi="仿宋" w:eastAsia="仿宋_GB2312"/>
          <w:spacing w:val="-4"/>
          <w:sz w:val="32"/>
          <w:szCs w:val="32"/>
        </w:rPr>
        <w:t>97.24</w:t>
      </w:r>
      <w:r>
        <w:rPr>
          <w:rFonts w:hint="eastAsia" w:ascii="仿宋_GB2312" w:hAnsi="仿宋" w:eastAsia="仿宋_GB2312"/>
          <w:spacing w:val="-4"/>
          <w:sz w:val="32"/>
          <w:szCs w:val="32"/>
          <w:lang w:val="zh-CN"/>
        </w:rPr>
        <w:t>万元，占</w:t>
      </w:r>
      <w:r>
        <w:rPr>
          <w:rFonts w:hint="eastAsia" w:ascii="仿宋_GB2312" w:hAnsi="仿宋" w:eastAsia="仿宋_GB2312"/>
          <w:spacing w:val="-4"/>
          <w:sz w:val="32"/>
          <w:szCs w:val="32"/>
        </w:rPr>
        <w:t>100</w:t>
      </w:r>
      <w:r>
        <w:rPr>
          <w:rFonts w:hint="eastAsia" w:ascii="仿宋_GB2312" w:hAnsi="仿宋" w:eastAsia="仿宋_GB2312"/>
          <w:spacing w:val="-4"/>
          <w:sz w:val="32"/>
          <w:szCs w:val="32"/>
          <w:lang w:val="zh-CN"/>
        </w:rPr>
        <w:t>%；政府性基金预算财政拨款</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万元，占</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%；其他收入</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万元，占</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%；上级补助收入0万元，占0%；事业收入0万元，占0%；经营收入0万元，占0%；附属单位上缴收入0万元，占0%；上年项目支出结转和结余</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万元，占</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w:t>
      </w:r>
    </w:p>
    <w:p w14:paraId="03A479F1">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lang w:val="zh-CN"/>
        </w:rPr>
        <w:t>支出执行进度：</w:t>
      </w:r>
      <w:r>
        <w:rPr>
          <w:rFonts w:hint="eastAsia" w:ascii="仿宋_GB2312" w:hAnsi="仿宋" w:eastAsia="仿宋_GB2312"/>
          <w:spacing w:val="-4"/>
          <w:sz w:val="32"/>
          <w:szCs w:val="32"/>
        </w:rPr>
        <w:t>2023年度支出全年预算数为97.24万元，支出决算数为97.24万元，预算完成度为100%，执行进度100%。</w:t>
      </w:r>
    </w:p>
    <w:p w14:paraId="57E6BF82">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预算年终结余：无。</w:t>
      </w:r>
    </w:p>
    <w:p w14:paraId="4A4DB777">
      <w:pPr>
        <w:numPr>
          <w:ilvl w:val="0"/>
          <w:numId w:val="4"/>
        </w:numPr>
        <w:adjustRightInd w:val="0"/>
        <w:snapToGrid w:val="0"/>
        <w:spacing w:line="578" w:lineRule="exact"/>
        <w:ind w:firstLine="640" w:firstLineChars="200"/>
        <w:jc w:val="left"/>
        <w:rPr>
          <w:rFonts w:ascii="仿宋_GB2312" w:hAnsi="仿宋" w:eastAsia="仿宋_GB2312"/>
          <w:spacing w:val="-4"/>
          <w:sz w:val="32"/>
          <w:szCs w:val="32"/>
          <w:lang w:val="zh-CN"/>
        </w:rPr>
      </w:pPr>
      <w:r>
        <w:rPr>
          <w:rFonts w:hint="eastAsia" w:ascii="楷体_GB2312" w:hAnsi="楷体_GB2312" w:eastAsia="楷体_GB2312" w:cs="楷体_GB2312"/>
          <w:color w:val="000000"/>
          <w:kern w:val="0"/>
          <w:sz w:val="32"/>
          <w:szCs w:val="32"/>
          <w:shd w:val="clear" w:color="auto" w:fill="FFFFFF"/>
          <w:lang w:val="zh-CN"/>
        </w:rPr>
        <w:t>财务管理。</w:t>
      </w:r>
      <w:r>
        <w:rPr>
          <w:rFonts w:hint="eastAsia" w:ascii="仿宋_GB2312" w:hAnsi="仿宋" w:eastAsia="仿宋_GB2312"/>
          <w:spacing w:val="-4"/>
          <w:sz w:val="32"/>
          <w:szCs w:val="32"/>
          <w:lang w:val="zh-CN"/>
        </w:rPr>
        <w:t>围绕财务管理制度、财务岗位设置、资金使用规范进行绩效分析。</w:t>
      </w:r>
    </w:p>
    <w:p w14:paraId="228436E2">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453A5019">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691F9A4F">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rPr>
        <w:t>A</w:t>
      </w:r>
      <w:r>
        <w:rPr>
          <w:rFonts w:hint="eastAsia" w:ascii="仿宋_GB2312" w:hAnsi="仿宋" w:eastAsia="仿宋_GB2312"/>
          <w:spacing w:val="-4"/>
          <w:sz w:val="32"/>
          <w:szCs w:val="32"/>
          <w:lang w:val="zh-CN"/>
        </w:rPr>
        <w:t>、明确了记账人员与审批人员、经办人员的职责权限，使其相互分离、相互制约，以明确责任，防止舞弊，各项业务事项得以有序进行。</w:t>
      </w:r>
    </w:p>
    <w:p w14:paraId="7C6FB09F">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rPr>
        <w:t>B</w:t>
      </w:r>
      <w:r>
        <w:rPr>
          <w:rFonts w:hint="eastAsia" w:ascii="仿宋_GB2312" w:hAnsi="仿宋" w:eastAsia="仿宋_GB2312"/>
          <w:spacing w:val="-4"/>
          <w:sz w:val="32"/>
          <w:szCs w:val="32"/>
          <w:lang w:val="zh-CN"/>
        </w:rPr>
        <w:t>、明确了财务收支审批程序和审批人的权限和责任，规范了各项资金的使用，提高了资金使用效益。</w:t>
      </w:r>
    </w:p>
    <w:p w14:paraId="63D7C17D">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rPr>
        <w:t>C</w:t>
      </w:r>
      <w:r>
        <w:rPr>
          <w:rFonts w:hint="eastAsia" w:ascii="仿宋_GB2312" w:hAnsi="仿宋" w:eastAsia="仿宋_GB2312"/>
          <w:spacing w:val="-4"/>
          <w:sz w:val="32"/>
          <w:szCs w:val="32"/>
          <w:lang w:val="zh-CN"/>
        </w:rPr>
        <w:t>、明确经费支出的范围和开支标准，采取各种有效措施控制经费开支，杜绝了浪费现象的发生。</w:t>
      </w:r>
    </w:p>
    <w:p w14:paraId="6726D0D1">
      <w:pPr>
        <w:adjustRightInd w:val="0"/>
        <w:snapToGrid w:val="0"/>
        <w:spacing w:line="578" w:lineRule="exact"/>
        <w:ind w:firstLine="624" w:firstLineChars="200"/>
        <w:jc w:val="left"/>
        <w:rPr>
          <w:rFonts w:ascii="仿宋_GB2312" w:hAnsi="仿宋" w:eastAsia="仿宋_GB2312"/>
          <w:spacing w:val="-4"/>
          <w:sz w:val="32"/>
          <w:szCs w:val="32"/>
        </w:rPr>
      </w:pPr>
      <w:r>
        <w:rPr>
          <w:rFonts w:hint="eastAsia" w:ascii="仿宋_GB2312" w:hAnsi="仿宋" w:eastAsia="仿宋_GB2312"/>
          <w:spacing w:val="-4"/>
          <w:sz w:val="32"/>
          <w:szCs w:val="32"/>
        </w:rPr>
        <w:t>D</w:t>
      </w:r>
      <w:r>
        <w:rPr>
          <w:rFonts w:hint="eastAsia" w:ascii="仿宋_GB2312" w:hAnsi="仿宋" w:eastAsia="仿宋_GB2312"/>
          <w:spacing w:val="-4"/>
          <w:sz w:val="32"/>
          <w:szCs w:val="32"/>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5725DE28">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p>
    <w:p w14:paraId="62C88483">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人均资产变化率 :无变化。</w:t>
      </w:r>
    </w:p>
    <w:p w14:paraId="41908994">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资产利用率 :100%。</w:t>
      </w:r>
    </w:p>
    <w:p w14:paraId="60FAD37F">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资产盘活率 :95%。</w:t>
      </w:r>
    </w:p>
    <w:p w14:paraId="11909C16">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单位资产管理由办公室总负责 ,使用人具体负责管理 ,对不能继续使用的资产由使用人交回办公室并提出申请 ,由办公室提供材料交给财务室按照相关程序统 一 购置。财政所每年对单位资产进行 一 次集中清理 ,对 不能使用的资产及时报相关部门进行报废处理。</w:t>
      </w:r>
    </w:p>
    <w:p w14:paraId="73C0AF83">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5.</w:t>
      </w:r>
      <w:r>
        <w:rPr>
          <w:rFonts w:hint="eastAsia" w:ascii="楷体_GB2312" w:hAnsi="楷体_GB2312" w:eastAsia="楷体_GB2312" w:cs="楷体_GB2312"/>
          <w:color w:val="000000"/>
          <w:kern w:val="0"/>
          <w:sz w:val="32"/>
          <w:szCs w:val="32"/>
          <w:shd w:val="clear" w:color="auto" w:fill="FFFFFF"/>
          <w:lang w:val="zh-CN"/>
        </w:rPr>
        <w:t>采购管理。</w:t>
      </w:r>
    </w:p>
    <w:p w14:paraId="421A2548">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围绕支持中小企业发展、采购执行率进行绩效分析。本单位无采购。</w:t>
      </w:r>
    </w:p>
    <w:p w14:paraId="00151C31">
      <w:pPr>
        <w:adjustRightInd w:val="0"/>
        <w:snapToGrid w:val="0"/>
        <w:spacing w:line="578" w:lineRule="exact"/>
        <w:ind w:firstLine="624" w:firstLineChars="200"/>
        <w:jc w:val="left"/>
        <w:rPr>
          <w:rFonts w:ascii="仿宋_GB2312" w:hAnsi="仿宋" w:eastAsia="仿宋_GB2312"/>
          <w:spacing w:val="-4"/>
          <w:sz w:val="32"/>
          <w:szCs w:val="32"/>
          <w:lang w:val="zh-CN"/>
        </w:rPr>
      </w:pPr>
      <w:r>
        <w:rPr>
          <w:rFonts w:hint="eastAsia" w:ascii="仿宋_GB2312" w:hAnsi="仿宋" w:eastAsia="仿宋_GB2312"/>
          <w:spacing w:val="-4"/>
          <w:sz w:val="32"/>
          <w:szCs w:val="32"/>
        </w:rPr>
        <w:t>本单位无采购。</w:t>
      </w:r>
    </w:p>
    <w:p w14:paraId="44E73FE5">
      <w:pPr>
        <w:numPr>
          <w:ilvl w:val="0"/>
          <w:numId w:val="6"/>
        </w:numPr>
        <w:ind w:firstLine="643" w:firstLineChars="200"/>
        <w:rPr>
          <w:rFonts w:ascii="仿宋_GB2312" w:hAnsi="仿宋" w:eastAsia="仿宋_GB2312"/>
          <w:spacing w:val="-4"/>
          <w:sz w:val="32"/>
          <w:szCs w:val="32"/>
          <w:lang w:val="zh-CN"/>
        </w:rPr>
      </w:pPr>
      <w:r>
        <w:rPr>
          <w:rFonts w:hint="eastAsia" w:ascii="楷体_GB2312" w:eastAsia="楷体_GB2312"/>
          <w:b/>
          <w:sz w:val="32"/>
          <w:szCs w:val="32"/>
        </w:rPr>
        <w:t>部门预算项目绩效分析。</w:t>
      </w:r>
      <w:r>
        <w:rPr>
          <w:rFonts w:hint="eastAsia" w:ascii="仿宋_GB2312" w:hAnsi="仿宋" w:eastAsia="仿宋_GB2312"/>
          <w:spacing w:val="-4"/>
          <w:sz w:val="32"/>
          <w:szCs w:val="32"/>
          <w:lang w:val="zh-CN"/>
        </w:rPr>
        <w:t>填报以下数据 ,并根据部门预算绩效评价指标体系“项目绩效”涉及二、三级指标进行逐项绩效分析并评分 ,依次包括项目决策、项目执行、目标实现等情况。</w:t>
      </w:r>
    </w:p>
    <w:p w14:paraId="768B0197">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rPr>
        <w:t>常年项目绩效分析。</w:t>
      </w:r>
      <w:r>
        <w:rPr>
          <w:rFonts w:hint="eastAsia" w:ascii="仿宋_GB2312" w:hAnsi="仿宋" w:eastAsia="仿宋_GB2312"/>
          <w:spacing w:val="-4"/>
          <w:sz w:val="32"/>
          <w:szCs w:val="32"/>
          <w:lang w:val="zh-CN"/>
        </w:rPr>
        <w:t>该类项目总数</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个，涉及预算总金额</w:t>
      </w:r>
      <w:r>
        <w:rPr>
          <w:rFonts w:hint="eastAsia" w:ascii="仿宋_GB2312" w:hAnsi="仿宋" w:eastAsia="仿宋_GB2312"/>
          <w:spacing w:val="-4"/>
          <w:sz w:val="32"/>
          <w:szCs w:val="32"/>
        </w:rPr>
        <w:t xml:space="preserve">   0</w:t>
      </w:r>
      <w:r>
        <w:rPr>
          <w:rFonts w:hint="eastAsia" w:ascii="仿宋_GB2312" w:hAnsi="仿宋" w:eastAsia="仿宋_GB2312"/>
          <w:spacing w:val="-4"/>
          <w:sz w:val="32"/>
          <w:szCs w:val="32"/>
          <w:lang w:val="zh-CN"/>
        </w:rPr>
        <w:t>万元，1—1</w:t>
      </w:r>
      <w:r>
        <w:rPr>
          <w:rFonts w:hint="eastAsia" w:ascii="仿宋_GB2312" w:hAnsi="仿宋" w:eastAsia="仿宋_GB2312"/>
          <w:spacing w:val="-4"/>
          <w:sz w:val="32"/>
          <w:szCs w:val="32"/>
        </w:rPr>
        <w:t>2</w:t>
      </w:r>
      <w:r>
        <w:rPr>
          <w:rFonts w:hint="eastAsia" w:ascii="仿宋_GB2312" w:hAnsi="仿宋" w:eastAsia="仿宋_GB2312"/>
          <w:spacing w:val="-4"/>
          <w:sz w:val="32"/>
          <w:szCs w:val="32"/>
          <w:lang w:val="zh-CN"/>
        </w:rPr>
        <w:t>月预算执行总体进度为</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%，其中：预算结余率大于</w:t>
      </w:r>
      <w:r>
        <w:rPr>
          <w:rFonts w:hint="eastAsia" w:ascii="仿宋_GB2312" w:hAnsi="仿宋" w:eastAsia="仿宋_GB2312"/>
          <w:spacing w:val="-4"/>
          <w:sz w:val="32"/>
          <w:szCs w:val="32"/>
        </w:rPr>
        <w:t>10%</w:t>
      </w:r>
      <w:r>
        <w:rPr>
          <w:rFonts w:hint="eastAsia" w:ascii="仿宋_GB2312" w:hAnsi="仿宋" w:eastAsia="仿宋_GB2312"/>
          <w:spacing w:val="-4"/>
          <w:sz w:val="32"/>
          <w:szCs w:val="32"/>
          <w:lang w:val="zh-CN"/>
        </w:rPr>
        <w:t>的项目共计</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个。</w:t>
      </w:r>
    </w:p>
    <w:p w14:paraId="4DC8FDAF">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rPr>
        <w:t>阶段（一次性）项目绩效分析。</w:t>
      </w:r>
      <w:r>
        <w:rPr>
          <w:rFonts w:hint="eastAsia" w:ascii="仿宋_GB2312" w:hAnsi="仿宋" w:eastAsia="仿宋_GB2312"/>
          <w:spacing w:val="-4"/>
          <w:sz w:val="32"/>
          <w:szCs w:val="32"/>
          <w:lang w:val="zh-CN"/>
        </w:rPr>
        <w:t>该类项目总数</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个，涉及预算总金额</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万元，1—1</w:t>
      </w:r>
      <w:r>
        <w:rPr>
          <w:rFonts w:hint="eastAsia" w:ascii="仿宋_GB2312" w:hAnsi="仿宋" w:eastAsia="仿宋_GB2312"/>
          <w:spacing w:val="-4"/>
          <w:sz w:val="32"/>
          <w:szCs w:val="32"/>
        </w:rPr>
        <w:t>2</w:t>
      </w:r>
      <w:r>
        <w:rPr>
          <w:rFonts w:hint="eastAsia" w:ascii="仿宋_GB2312" w:hAnsi="仿宋" w:eastAsia="仿宋_GB2312"/>
          <w:spacing w:val="-4"/>
          <w:sz w:val="32"/>
          <w:szCs w:val="32"/>
          <w:lang w:val="zh-CN"/>
        </w:rPr>
        <w:t>月预算执行总体进度为</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%，其中：预算结余率大于</w:t>
      </w:r>
      <w:r>
        <w:rPr>
          <w:rFonts w:hint="eastAsia" w:ascii="仿宋_GB2312" w:hAnsi="仿宋" w:eastAsia="仿宋_GB2312"/>
          <w:spacing w:val="-4"/>
          <w:sz w:val="32"/>
          <w:szCs w:val="32"/>
        </w:rPr>
        <w:t>10%</w:t>
      </w:r>
      <w:r>
        <w:rPr>
          <w:rFonts w:hint="eastAsia" w:ascii="仿宋_GB2312" w:hAnsi="仿宋" w:eastAsia="仿宋_GB2312"/>
          <w:spacing w:val="-4"/>
          <w:sz w:val="32"/>
          <w:szCs w:val="32"/>
          <w:lang w:val="zh-CN"/>
        </w:rPr>
        <w:t>的项目共计</w:t>
      </w:r>
      <w:r>
        <w:rPr>
          <w:rFonts w:hint="eastAsia" w:ascii="仿宋_GB2312" w:hAnsi="仿宋" w:eastAsia="仿宋_GB2312"/>
          <w:spacing w:val="-4"/>
          <w:sz w:val="32"/>
          <w:szCs w:val="32"/>
        </w:rPr>
        <w:t>0</w:t>
      </w:r>
      <w:r>
        <w:rPr>
          <w:rFonts w:hint="eastAsia" w:ascii="仿宋_GB2312" w:hAnsi="仿宋" w:eastAsia="仿宋_GB2312"/>
          <w:spacing w:val="-4"/>
          <w:sz w:val="32"/>
          <w:szCs w:val="32"/>
          <w:lang w:val="zh-CN"/>
        </w:rPr>
        <w:t>个。</w:t>
      </w:r>
    </w:p>
    <w:p w14:paraId="32B8F7EB">
      <w:pPr>
        <w:ind w:firstLine="640" w:firstLineChars="200"/>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1.项目决策。</w:t>
      </w:r>
    </w:p>
    <w:p w14:paraId="7D0BC7F0">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rPr>
        <w:t>决策程序 :加强对领导机关、领导干部特别是各级领导班子主要负责人的监督。认真检查党的路线、方针、政策和决议的执行情况 ,监 督民主集中制及领导班子议事规则落实情况 ,反 属重大决策、重要干部任免、重大项 目安排和大额度资金的使用 ,必须由领导班子集体作出决定。</w:t>
      </w:r>
    </w:p>
    <w:p w14:paraId="48022CA9">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rPr>
        <w:t>目标设置 :履行政治领导责任 ,做好理论武装何思想政治工作 ,负责学习、宣传、贯彻执行党的理论和路线方针政策 ,贯彻落实党中央、省委、州委和县委的 ,决 策部署 ,发挥好把方向、管大局、保落实 ;提高退役军人思想政治、管理保障和安置优抚等法律法规 ,拟定退役军人工作政策并组织实施 ,褒扬彰显退役军人为党、国家和人民牺牲奉献的精神风范和价值导向 ;</w:t>
      </w:r>
    </w:p>
    <w:p w14:paraId="16782D95">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rPr>
        <w:t>项目入库:严格按照程序以及要求 ,项 目在资金使用前必须进行项目入库。</w:t>
      </w:r>
    </w:p>
    <w:p w14:paraId="1B796CF8">
      <w:pPr>
        <w:ind w:firstLine="640" w:firstLineChars="200"/>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2.项目执行。</w:t>
      </w:r>
    </w:p>
    <w:p w14:paraId="1C5636A5">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rPr>
        <w:t>2023年预算决算总收入97.24万 元 ,2023年支出合计97.24万元 ,资金使用率10OO/0。其中:文化旅游体育与传媒支出65。万元 ,占07%;社会保障和就业支出13。O3万元 ,占13%;卫生健康支出12.42万元 ,占12.77%;住房保障支出6.57万元 ,占 6.76%。</w:t>
      </w:r>
    </w:p>
    <w:p w14:paraId="327B1589">
      <w:pPr>
        <w:ind w:firstLine="640" w:firstLineChars="200"/>
        <w:rPr>
          <w:rFonts w:ascii="仿宋_GB2312" w:hAnsi="仿宋" w:eastAsia="仿宋_GB2312"/>
          <w:spacing w:val="-4"/>
          <w:sz w:val="32"/>
          <w:szCs w:val="32"/>
        </w:rPr>
      </w:pPr>
      <w:r>
        <w:rPr>
          <w:rFonts w:hint="eastAsia" w:ascii="楷体_GB2312" w:hAnsi="楷体_GB2312" w:eastAsia="楷体_GB2312" w:cs="楷体_GB2312"/>
          <w:color w:val="000000"/>
          <w:kern w:val="0"/>
          <w:sz w:val="32"/>
          <w:szCs w:val="32"/>
          <w:shd w:val="clear" w:color="auto" w:fill="FFFFFF"/>
        </w:rPr>
        <w:t>3.目标实现。</w:t>
      </w:r>
      <w:r>
        <w:rPr>
          <w:rFonts w:hint="eastAsia" w:ascii="仿宋_GB2312" w:hAnsi="仿宋" w:eastAsia="仿宋_GB2312"/>
          <w:spacing w:val="-4"/>
          <w:sz w:val="32"/>
          <w:szCs w:val="32"/>
        </w:rPr>
        <w:t>围绕目标完成、目标偏离、实现效果进行绩效分析。</w:t>
      </w:r>
    </w:p>
    <w:p w14:paraId="36F5E816">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rPr>
        <w:t>2023年</w:t>
      </w:r>
      <w:r>
        <w:rPr>
          <w:rFonts w:hint="eastAsia" w:ascii="仿宋_GB2312" w:hAnsi="仿宋" w:eastAsia="仿宋_GB2312"/>
          <w:spacing w:val="-4"/>
          <w:sz w:val="32"/>
          <w:szCs w:val="32"/>
          <w:lang w:val="zh-CN"/>
        </w:rPr>
        <w:t>我</w:t>
      </w:r>
      <w:r>
        <w:rPr>
          <w:rFonts w:hint="eastAsia" w:ascii="仿宋_GB2312" w:hAnsi="仿宋" w:eastAsia="仿宋_GB2312"/>
          <w:spacing w:val="-4"/>
          <w:sz w:val="32"/>
          <w:szCs w:val="32"/>
        </w:rPr>
        <w:t>单位目标完成100%，未偏离目标。</w:t>
      </w:r>
      <w:r>
        <w:rPr>
          <w:rFonts w:hint="eastAsia" w:ascii="仿宋_GB2312" w:hAnsi="仿宋" w:eastAsia="仿宋_GB2312"/>
          <w:spacing w:val="-4"/>
          <w:sz w:val="32"/>
          <w:szCs w:val="32"/>
          <w:lang w:val="zh-CN"/>
        </w:rPr>
        <w:t>负责全县一般书籍，中小学教材的征订发行工作。</w:t>
      </w:r>
    </w:p>
    <w:p w14:paraId="12D55A21">
      <w:pPr>
        <w:ind w:firstLine="643" w:firstLineChars="200"/>
        <w:rPr>
          <w:rFonts w:ascii="楷体_GB2312" w:eastAsia="楷体_GB2312"/>
          <w:b/>
          <w:sz w:val="32"/>
          <w:szCs w:val="32"/>
        </w:rPr>
      </w:pPr>
      <w:r>
        <w:rPr>
          <w:rFonts w:hint="eastAsia" w:ascii="楷体_GB2312" w:eastAsia="楷体_GB2312"/>
          <w:b/>
          <w:sz w:val="32"/>
          <w:szCs w:val="32"/>
        </w:rPr>
        <w:t>（三）重点领域绩效分析。</w:t>
      </w:r>
    </w:p>
    <w:p w14:paraId="1DEF5811">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rPr>
        <w:t>我单位2023年未涉及重点领域事项。</w:t>
      </w:r>
    </w:p>
    <w:p w14:paraId="021240DF">
      <w:pPr>
        <w:numPr>
          <w:ilvl w:val="0"/>
          <w:numId w:val="6"/>
        </w:numPr>
        <w:ind w:firstLine="643" w:firstLineChars="200"/>
        <w:rPr>
          <w:rFonts w:ascii="楷体_GB2312" w:eastAsia="楷体_GB2312"/>
          <w:b/>
          <w:sz w:val="32"/>
          <w:szCs w:val="32"/>
        </w:rPr>
      </w:pPr>
      <w:r>
        <w:rPr>
          <w:rFonts w:hint="eastAsia" w:ascii="楷体_GB2312" w:eastAsia="楷体_GB2312"/>
          <w:b/>
          <w:sz w:val="32"/>
          <w:szCs w:val="32"/>
        </w:rPr>
        <w:t>绩效结果应用情况。</w:t>
      </w:r>
    </w:p>
    <w:p w14:paraId="114F6370">
      <w:pPr>
        <w:ind w:firstLine="624" w:firstLineChars="200"/>
        <w:rPr>
          <w:rFonts w:ascii="仿宋_GB2312" w:hAnsi="仿宋" w:eastAsia="仿宋_GB2312"/>
          <w:spacing w:val="-4"/>
          <w:sz w:val="32"/>
          <w:szCs w:val="32"/>
        </w:rPr>
      </w:pPr>
      <w:r>
        <w:rPr>
          <w:rFonts w:hint="eastAsia" w:ascii="仿宋_GB2312" w:hAnsi="仿宋" w:eastAsia="仿宋_GB2312"/>
          <w:spacing w:val="-4"/>
          <w:sz w:val="32"/>
          <w:szCs w:val="32"/>
          <w:lang w:val="zh-CN"/>
        </w:rPr>
        <w:t>我</w:t>
      </w:r>
      <w:r>
        <w:rPr>
          <w:rFonts w:hint="eastAsia" w:ascii="仿宋_GB2312" w:hAnsi="仿宋" w:eastAsia="仿宋_GB2312"/>
          <w:spacing w:val="-4"/>
          <w:sz w:val="32"/>
          <w:szCs w:val="32"/>
        </w:rPr>
        <w:t>单位</w:t>
      </w:r>
      <w:r>
        <w:rPr>
          <w:rFonts w:hint="eastAsia" w:ascii="仿宋_GB2312" w:hAnsi="仿宋" w:eastAsia="仿宋_GB2312"/>
          <w:spacing w:val="-4"/>
          <w:sz w:val="32"/>
          <w:szCs w:val="32"/>
          <w:lang w:val="zh-CN"/>
        </w:rPr>
        <w:t>部门绩效结果应用到了下一年的绩效目标设定与调整。根据支出预决算，为下一年度的预算提供了基础预算数据。优化了</w:t>
      </w:r>
      <w:r>
        <w:rPr>
          <w:rFonts w:hint="eastAsia" w:ascii="仿宋_GB2312" w:hAnsi="仿宋" w:eastAsia="仿宋_GB2312"/>
          <w:spacing w:val="-4"/>
          <w:sz w:val="32"/>
          <w:szCs w:val="32"/>
        </w:rPr>
        <w:t>单位</w:t>
      </w:r>
      <w:r>
        <w:rPr>
          <w:rFonts w:hint="eastAsia" w:ascii="仿宋_GB2312" w:hAnsi="仿宋" w:eastAsia="仿宋_GB2312"/>
          <w:spacing w:val="-4"/>
          <w:sz w:val="32"/>
          <w:szCs w:val="32"/>
          <w:lang w:val="zh-CN"/>
        </w:rPr>
        <w:t>资金的使用率。保障了机关日常正常运转，同时在维护少数民族地区的社会稳定，提高人民生活水平，改善人民生活质量等方面有着极其重要的意义，有力促进了社会和谐发展，为全县及乡镇的经济发展作出了应有的贡献，</w:t>
      </w:r>
      <w:r>
        <w:rPr>
          <w:rFonts w:hint="eastAsia" w:ascii="仿宋_GB2312" w:hAnsi="仿宋" w:eastAsia="仿宋_GB2312"/>
          <w:spacing w:val="-4"/>
          <w:sz w:val="32"/>
          <w:szCs w:val="32"/>
        </w:rPr>
        <w:t>2023年预算及决算已在政府信息公开网站进行了公开。</w:t>
      </w:r>
    </w:p>
    <w:p w14:paraId="2DA66A8D">
      <w:pPr>
        <w:rPr>
          <w:rFonts w:hint="eastAsia" w:ascii="黑体" w:hAnsi="黑体" w:eastAsia="黑体"/>
          <w:sz w:val="32"/>
          <w:szCs w:val="32"/>
        </w:rPr>
      </w:pPr>
      <w:r>
        <w:rPr>
          <w:rFonts w:hint="eastAsia" w:ascii="黑体" w:hAnsi="黑体" w:eastAsia="黑体"/>
          <w:sz w:val="32"/>
          <w:szCs w:val="32"/>
        </w:rPr>
        <w:t>四、评价结论及建议</w:t>
      </w:r>
    </w:p>
    <w:p w14:paraId="645269CE">
      <w:pPr>
        <w:ind w:firstLine="643" w:firstLineChars="200"/>
        <w:rPr>
          <w:rFonts w:ascii="楷体_GB2312" w:eastAsia="楷体_GB2312"/>
          <w:b/>
          <w:sz w:val="32"/>
          <w:szCs w:val="32"/>
        </w:rPr>
      </w:pPr>
      <w:r>
        <w:rPr>
          <w:rFonts w:hint="eastAsia" w:ascii="楷体_GB2312" w:eastAsia="楷体_GB2312"/>
          <w:b/>
          <w:sz w:val="32"/>
          <w:szCs w:val="32"/>
        </w:rPr>
        <w:t>（一）评价结论。</w:t>
      </w:r>
    </w:p>
    <w:p w14:paraId="48B1E1B9">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我单位部门支出预算,保障了机关日常正常运转,同时在维护少数民族</w:t>
      </w:r>
      <w:bookmarkStart w:id="83" w:name="_GoBack"/>
      <w:bookmarkEnd w:id="83"/>
      <w:r>
        <w:rPr>
          <w:rFonts w:hint="eastAsia" w:ascii="仿宋_GB2312" w:hAnsi="仿宋" w:eastAsia="仿宋_GB2312"/>
          <w:spacing w:val="-4"/>
          <w:sz w:val="32"/>
          <w:szCs w:val="32"/>
          <w:lang w:val="zh-CN"/>
        </w:rPr>
        <w:t>地区的社会稳定,提高人民生活水平,改善人民生活质量等方面有着极其重要的意义,有力促进了社会和谐发展,为全县及乡镇的经济发展作出了应有的贡献,部门整体支出绩效自评等级为优秀。</w:t>
      </w:r>
    </w:p>
    <w:p w14:paraId="6B2D4089">
      <w:pPr>
        <w:numPr>
          <w:ilvl w:val="0"/>
          <w:numId w:val="7"/>
        </w:numPr>
        <w:ind w:firstLine="643" w:firstLineChars="200"/>
        <w:rPr>
          <w:rFonts w:ascii="楷体_GB2312" w:eastAsia="楷体_GB2312"/>
          <w:b/>
          <w:sz w:val="32"/>
          <w:szCs w:val="32"/>
        </w:rPr>
      </w:pPr>
      <w:r>
        <w:rPr>
          <w:rFonts w:hint="eastAsia" w:ascii="楷体_GB2312" w:eastAsia="楷体_GB2312"/>
          <w:b/>
          <w:sz w:val="32"/>
          <w:szCs w:val="32"/>
        </w:rPr>
        <w:t>存在问题。</w:t>
      </w:r>
    </w:p>
    <w:p w14:paraId="4211A8CD">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由于财政支出的多样性和复杂性 ,绩效评价指标体系设置难度大,即使可以量化 ,但实际操作中很多项目间缺乏可比性且指标本身也在逐步变化 ,需要逐步完善。在平时工作推进过程中 ,缺乏技术人员进行专业指导及培训 ,工作推进存在一定困难 ,预算编制还需更加精准。</w:t>
      </w:r>
    </w:p>
    <w:p w14:paraId="3A85A301">
      <w:pPr>
        <w:numPr>
          <w:ilvl w:val="0"/>
          <w:numId w:val="7"/>
        </w:numPr>
        <w:ind w:firstLine="643" w:firstLineChars="200"/>
        <w:rPr>
          <w:rFonts w:ascii="楷体_GB2312" w:eastAsia="楷体_GB2312"/>
          <w:b/>
          <w:sz w:val="32"/>
          <w:szCs w:val="32"/>
        </w:rPr>
      </w:pPr>
      <w:r>
        <w:rPr>
          <w:rFonts w:hint="eastAsia" w:ascii="楷体_GB2312" w:eastAsia="楷体_GB2312"/>
          <w:b/>
          <w:sz w:val="32"/>
          <w:szCs w:val="32"/>
        </w:rPr>
        <w:t>改进建议。</w:t>
      </w:r>
    </w:p>
    <w:p w14:paraId="33CB31BC">
      <w:pPr>
        <w:ind w:firstLine="624" w:firstLineChars="200"/>
        <w:rPr>
          <w:rFonts w:ascii="仿宋_GB2312" w:hAnsi="仿宋" w:eastAsia="仿宋_GB2312"/>
          <w:spacing w:val="-4"/>
          <w:sz w:val="32"/>
          <w:szCs w:val="32"/>
          <w:lang w:val="zh-CN"/>
        </w:rPr>
      </w:pPr>
      <w:r>
        <w:rPr>
          <w:rFonts w:hint="eastAsia" w:ascii="仿宋_GB2312" w:hAnsi="仿宋" w:eastAsia="仿宋_GB2312"/>
          <w:spacing w:val="-4"/>
          <w:sz w:val="32"/>
          <w:szCs w:val="32"/>
          <w:lang w:val="zh-CN"/>
        </w:rPr>
        <w:t>1.通过各种途径加强绩效管理学习 ,科学合理编制预算 ,严格执行预算。</w:t>
      </w:r>
    </w:p>
    <w:p w14:paraId="153FC102">
      <w:pPr>
        <w:ind w:firstLine="624" w:firstLineChars="200"/>
        <w:rPr>
          <w:rFonts w:eastAsia="仿宋_GB2312"/>
          <w:sz w:val="32"/>
          <w:szCs w:val="32"/>
          <w:lang w:val="zh-CN"/>
        </w:rPr>
      </w:pPr>
      <w:r>
        <w:rPr>
          <w:rFonts w:hint="eastAsia" w:ascii="仿宋_GB2312" w:hAnsi="仿宋" w:eastAsia="仿宋_GB2312"/>
          <w:spacing w:val="-4"/>
          <w:sz w:val="32"/>
          <w:szCs w:val="32"/>
          <w:lang w:val="zh-CN"/>
        </w:rPr>
        <w:t>2.规 范账务处理 ,提 高财务信息质量。</w:t>
      </w:r>
    </w:p>
    <w:p w14:paraId="49DC16AF">
      <w:pPr>
        <w:ind w:firstLine="640" w:firstLineChars="200"/>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预算项目支出绩效自评表（2023年度）</w:t>
      </w:r>
    </w:p>
    <w:p w14:paraId="1B5F10D1"/>
    <w:p w14:paraId="2914E237">
      <w:r>
        <w:rPr>
          <w:rFonts w:hint="eastAsia"/>
        </w:rPr>
        <w:object>
          <v:shape id="_x0000_i1025" o:spt="75" type="#_x0000_t75" style="height:258pt;width:414pt;" o:ole="t" filled="f" o:preferrelative="t" stroked="f" coordsize="21600,21600">
            <v:path/>
            <v:fill on="f" focussize="0,0"/>
            <v:stroke on="f" joinstyle="miter"/>
            <v:imagedata r:id="rId13" o:title=""/>
            <o:lock v:ext="edit" aspectratio="f"/>
            <w10:wrap type="none"/>
            <w10:anchorlock/>
          </v:shape>
          <o:OLEObject Type="Embed" ProgID="Excel.Sheet.12" ShapeID="_x0000_i1025" DrawAspect="Content" ObjectID="_1468075725" r:id="rId12">
            <o:LockedField>false</o:LockedField>
          </o:OLEObject>
        </w:object>
      </w:r>
    </w:p>
    <w:p w14:paraId="3D8DCA33">
      <w:pPr>
        <w:pStyle w:val="2"/>
      </w:pPr>
    </w:p>
    <w:p w14:paraId="364B9596"/>
    <w:p w14:paraId="4DD73A07">
      <w:pPr>
        <w:pStyle w:val="2"/>
      </w:pPr>
    </w:p>
    <w:p w14:paraId="47518DD6"/>
    <w:p w14:paraId="0CDBD547">
      <w:pPr>
        <w:pStyle w:val="2"/>
      </w:pPr>
    </w:p>
    <w:p w14:paraId="3AA7519C"/>
    <w:p w14:paraId="57BB64AC">
      <w:pPr>
        <w:pStyle w:val="2"/>
      </w:pPr>
    </w:p>
    <w:p w14:paraId="0A38CCF1"/>
    <w:p w14:paraId="636B9E11">
      <w:pPr>
        <w:pStyle w:val="2"/>
      </w:pPr>
    </w:p>
    <w:p w14:paraId="21D9B9FE"/>
    <w:p w14:paraId="60F0AE71">
      <w:pPr>
        <w:pStyle w:val="2"/>
      </w:pPr>
    </w:p>
    <w:p w14:paraId="038BFB0F"/>
    <w:p w14:paraId="0F0BE3E6">
      <w:pPr>
        <w:pStyle w:val="2"/>
      </w:pPr>
    </w:p>
    <w:p w14:paraId="7325148B"/>
    <w:p w14:paraId="303A77CE">
      <w:pPr>
        <w:pStyle w:val="2"/>
      </w:pPr>
    </w:p>
    <w:p w14:paraId="490C7AA8"/>
    <w:p w14:paraId="338C7703">
      <w:pPr>
        <w:pStyle w:val="2"/>
      </w:pPr>
    </w:p>
    <w:p w14:paraId="5DFE8C4E"/>
    <w:p w14:paraId="47554B23">
      <w:pPr>
        <w:pStyle w:val="2"/>
      </w:pPr>
    </w:p>
    <w:p w14:paraId="115C2016">
      <w:pPr>
        <w:rPr>
          <w:rFonts w:hint="eastAsia"/>
        </w:rPr>
      </w:pPr>
    </w:p>
    <w:p w14:paraId="21372BFA">
      <w:pPr>
        <w:pStyle w:val="3"/>
        <w:jc w:val="center"/>
        <w:rPr>
          <w:rFonts w:hint="eastAsia" w:ascii="黑体" w:hAnsi="黑体" w:eastAsia="黑体"/>
        </w:rPr>
      </w:pPr>
      <w:bookmarkStart w:id="82" w:name="_Toc20803"/>
      <w:r>
        <w:rPr>
          <w:rFonts w:hint="eastAsia" w:ascii="黑体" w:hAnsi="黑体" w:eastAsia="黑体"/>
        </w:rPr>
        <w:t>第五部分 附表</w:t>
      </w:r>
      <w:bookmarkEnd w:id="82"/>
    </w:p>
    <w:p w14:paraId="5C9EE10C">
      <w:pPr>
        <w:rPr>
          <w:rFonts w:hint="eastAsia" w:ascii="仿宋" w:hAnsi="仿宋" w:eastAsia="仿宋"/>
          <w:sz w:val="32"/>
          <w:szCs w:val="32"/>
        </w:rPr>
      </w:pPr>
      <w:r>
        <w:rPr>
          <w:rFonts w:hint="eastAsia" w:ascii="仿宋" w:hAnsi="仿宋" w:eastAsia="仿宋"/>
          <w:sz w:val="32"/>
          <w:szCs w:val="32"/>
        </w:rPr>
        <w:t>一、收入支出决算总表</w:t>
      </w:r>
    </w:p>
    <w:p w14:paraId="562C7149">
      <w:pPr>
        <w:rPr>
          <w:rFonts w:hint="eastAsia" w:ascii="仿宋" w:hAnsi="仿宋" w:eastAsia="仿宋"/>
          <w:sz w:val="32"/>
          <w:szCs w:val="32"/>
        </w:rPr>
      </w:pPr>
      <w:r>
        <w:rPr>
          <w:rFonts w:hint="eastAsia" w:ascii="仿宋" w:hAnsi="仿宋" w:eastAsia="仿宋"/>
          <w:sz w:val="32"/>
          <w:szCs w:val="32"/>
        </w:rPr>
        <w:t>二、收入决算表</w:t>
      </w:r>
    </w:p>
    <w:p w14:paraId="0202D4E4">
      <w:pPr>
        <w:rPr>
          <w:rFonts w:hint="eastAsia" w:ascii="仿宋" w:hAnsi="仿宋" w:eastAsia="仿宋"/>
          <w:sz w:val="32"/>
          <w:szCs w:val="32"/>
        </w:rPr>
      </w:pPr>
      <w:r>
        <w:rPr>
          <w:rFonts w:hint="eastAsia" w:ascii="仿宋" w:hAnsi="仿宋" w:eastAsia="仿宋"/>
          <w:sz w:val="32"/>
          <w:szCs w:val="32"/>
        </w:rPr>
        <w:t>三、支出决算表</w:t>
      </w:r>
    </w:p>
    <w:p w14:paraId="41ADDA5D">
      <w:pPr>
        <w:rPr>
          <w:rFonts w:hint="eastAsia" w:ascii="仿宋" w:hAnsi="仿宋" w:eastAsia="仿宋"/>
          <w:sz w:val="32"/>
          <w:szCs w:val="32"/>
        </w:rPr>
      </w:pPr>
      <w:r>
        <w:rPr>
          <w:rFonts w:hint="eastAsia" w:ascii="仿宋" w:hAnsi="仿宋" w:eastAsia="仿宋"/>
          <w:sz w:val="32"/>
          <w:szCs w:val="32"/>
        </w:rPr>
        <w:t>四、财政拨款收入支出决算总表</w:t>
      </w:r>
    </w:p>
    <w:p w14:paraId="459EE9B8">
      <w:pPr>
        <w:rPr>
          <w:rFonts w:hint="eastAsia" w:ascii="仿宋" w:hAnsi="仿宋" w:eastAsia="仿宋"/>
          <w:sz w:val="32"/>
          <w:szCs w:val="32"/>
        </w:rPr>
      </w:pPr>
      <w:r>
        <w:rPr>
          <w:rFonts w:hint="eastAsia" w:ascii="仿宋" w:hAnsi="仿宋" w:eastAsia="仿宋"/>
          <w:sz w:val="32"/>
          <w:szCs w:val="32"/>
        </w:rPr>
        <w:t>五、财政拨款支出决算明细表</w:t>
      </w:r>
    </w:p>
    <w:p w14:paraId="7C7910B5">
      <w:pPr>
        <w:rPr>
          <w:rFonts w:hint="eastAsia" w:ascii="仿宋" w:hAnsi="仿宋" w:eastAsia="仿宋"/>
          <w:sz w:val="32"/>
          <w:szCs w:val="32"/>
        </w:rPr>
      </w:pPr>
      <w:r>
        <w:rPr>
          <w:rFonts w:hint="eastAsia" w:ascii="仿宋" w:hAnsi="仿宋" w:eastAsia="仿宋"/>
          <w:sz w:val="32"/>
          <w:szCs w:val="32"/>
        </w:rPr>
        <w:t>六、一般公共预算财政拨款支出决算表</w:t>
      </w:r>
    </w:p>
    <w:p w14:paraId="4B82D9ED">
      <w:pPr>
        <w:rPr>
          <w:rFonts w:hint="eastAsia" w:ascii="仿宋" w:hAnsi="仿宋" w:eastAsia="仿宋"/>
          <w:sz w:val="32"/>
          <w:szCs w:val="32"/>
        </w:rPr>
      </w:pPr>
      <w:r>
        <w:rPr>
          <w:rFonts w:hint="eastAsia" w:ascii="仿宋" w:hAnsi="仿宋" w:eastAsia="仿宋"/>
          <w:sz w:val="32"/>
          <w:szCs w:val="32"/>
        </w:rPr>
        <w:t>七、一般公共预算财政拨款支出决算明细表</w:t>
      </w:r>
    </w:p>
    <w:p w14:paraId="75EF41C5">
      <w:pPr>
        <w:rPr>
          <w:rFonts w:hint="eastAsia" w:ascii="仿宋" w:hAnsi="仿宋" w:eastAsia="仿宋"/>
          <w:sz w:val="32"/>
          <w:szCs w:val="32"/>
        </w:rPr>
      </w:pPr>
      <w:r>
        <w:rPr>
          <w:rFonts w:hint="eastAsia" w:ascii="仿宋" w:hAnsi="仿宋" w:eastAsia="仿宋"/>
          <w:sz w:val="32"/>
          <w:szCs w:val="32"/>
        </w:rPr>
        <w:t>八、一般公共预算财政拨款基本支出决算表</w:t>
      </w:r>
    </w:p>
    <w:p w14:paraId="76BB1940">
      <w:pPr>
        <w:rPr>
          <w:rFonts w:hint="eastAsia" w:ascii="仿宋" w:hAnsi="仿宋" w:eastAsia="仿宋"/>
          <w:sz w:val="32"/>
          <w:szCs w:val="32"/>
        </w:rPr>
      </w:pPr>
      <w:r>
        <w:rPr>
          <w:rFonts w:hint="eastAsia" w:ascii="仿宋" w:hAnsi="仿宋" w:eastAsia="仿宋"/>
          <w:sz w:val="32"/>
          <w:szCs w:val="32"/>
        </w:rPr>
        <w:t>九、一般公共预算财政拨款项目支出决算表</w:t>
      </w:r>
    </w:p>
    <w:p w14:paraId="02C4A1AB">
      <w:pPr>
        <w:rPr>
          <w:rFonts w:hint="eastAsia" w:ascii="仿宋" w:hAnsi="仿宋" w:eastAsia="仿宋"/>
          <w:sz w:val="32"/>
          <w:szCs w:val="32"/>
        </w:rPr>
      </w:pPr>
      <w:r>
        <w:rPr>
          <w:rFonts w:hint="eastAsia" w:ascii="仿宋" w:hAnsi="仿宋" w:eastAsia="仿宋"/>
          <w:sz w:val="32"/>
          <w:szCs w:val="32"/>
        </w:rPr>
        <w:t>十、政府性基金预算财政拨款收入支出决算表</w:t>
      </w:r>
    </w:p>
    <w:p w14:paraId="4C7AC283">
      <w:pPr>
        <w:rPr>
          <w:rFonts w:hint="eastAsia" w:ascii="仿宋" w:hAnsi="仿宋" w:eastAsia="仿宋"/>
          <w:sz w:val="32"/>
          <w:szCs w:val="32"/>
        </w:rPr>
      </w:pPr>
      <w:r>
        <w:rPr>
          <w:rFonts w:hint="eastAsia" w:ascii="仿宋" w:hAnsi="仿宋" w:eastAsia="仿宋"/>
          <w:sz w:val="32"/>
          <w:szCs w:val="32"/>
        </w:rPr>
        <w:t>十一、国有资本经营预算财政拨款收入支出决算表</w:t>
      </w:r>
    </w:p>
    <w:p w14:paraId="1C84E792">
      <w:pPr>
        <w:rPr>
          <w:rFonts w:hint="eastAsia" w:ascii="仿宋" w:hAnsi="仿宋" w:eastAsia="仿宋"/>
          <w:sz w:val="32"/>
          <w:szCs w:val="32"/>
        </w:rPr>
      </w:pPr>
      <w:r>
        <w:rPr>
          <w:rFonts w:hint="eastAsia" w:ascii="仿宋" w:hAnsi="仿宋" w:eastAsia="仿宋"/>
          <w:sz w:val="32"/>
          <w:szCs w:val="32"/>
        </w:rPr>
        <w:t>十二、国有资本经营预算财政拨款支出决算表</w:t>
      </w:r>
    </w:p>
    <w:p w14:paraId="31B49D90">
      <w:pPr>
        <w:rPr>
          <w:rFonts w:hint="eastAsia"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2"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75F34E9">
        <w:pPr>
          <w:pStyle w:val="12"/>
          <w:jc w:val="center"/>
        </w:pPr>
        <w:r>
          <w:fldChar w:fldCharType="begin"/>
        </w:r>
        <w:r>
          <w:instrText xml:space="preserve">PAGE   \* MERGEFORMAT</w:instrText>
        </w:r>
        <w:r>
          <w:fldChar w:fldCharType="separate"/>
        </w:r>
        <w:r>
          <w:rPr>
            <w:lang w:val="zh-CN"/>
          </w:rPr>
          <w:t>23</w:t>
        </w:r>
        <w:r>
          <w:fldChar w:fldCharType="end"/>
        </w:r>
      </w:p>
    </w:sdtContent>
  </w:sdt>
  <w:p w14:paraId="7A7DB4B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5711F">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511B3"/>
    <w:multiLevelType w:val="singleLevel"/>
    <w:tmpl w:val="885511B3"/>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04BE6155"/>
    <w:multiLevelType w:val="singleLevel"/>
    <w:tmpl w:val="04BE6155"/>
    <w:lvl w:ilvl="0" w:tentative="0">
      <w:start w:val="2"/>
      <w:numFmt w:val="chineseCounting"/>
      <w:suff w:val="nothing"/>
      <w:lvlText w:val="（%1）"/>
      <w:lvlJc w:val="left"/>
      <w:rPr>
        <w:rFonts w:hint="eastAsia"/>
      </w:rPr>
    </w:lvl>
  </w:abstractNum>
  <w:abstractNum w:abstractNumId="3">
    <w:nsid w:val="0BF89126"/>
    <w:multiLevelType w:val="singleLevel"/>
    <w:tmpl w:val="0BF89126"/>
    <w:lvl w:ilvl="0" w:tentative="0">
      <w:start w:val="3"/>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588C1BD"/>
    <w:multiLevelType w:val="singleLevel"/>
    <w:tmpl w:val="2588C1BD"/>
    <w:lvl w:ilvl="0" w:tentative="0">
      <w:start w:val="2"/>
      <w:numFmt w:val="chineseCounting"/>
      <w:suff w:val="nothing"/>
      <w:lvlText w:val="（%1）"/>
      <w:lvlJc w:val="left"/>
      <w:rPr>
        <w:rFonts w:hint="eastAsia"/>
      </w:rPr>
    </w:lvl>
  </w:abstractNum>
  <w:abstractNum w:abstractNumId="6">
    <w:nsid w:val="36A4E3DE"/>
    <w:multiLevelType w:val="singleLevel"/>
    <w:tmpl w:val="36A4E3DE"/>
    <w:lvl w:ilvl="0" w:tentative="0">
      <w:start w:val="1"/>
      <w:numFmt w:val="decimal"/>
      <w:lvlText w:val="%1."/>
      <w:lvlJc w:val="left"/>
      <w:pPr>
        <w:tabs>
          <w:tab w:val="left" w:pos="312"/>
        </w:tabs>
      </w:pPr>
    </w:lvl>
  </w:abstractNum>
  <w:num w:numId="1">
    <w:abstractNumId w:val="0"/>
  </w:num>
  <w:num w:numId="2">
    <w:abstractNumId w:val="4"/>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C61BC"/>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5530"/>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4BDC"/>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AF2A3B"/>
    <w:rsid w:val="02FEBE30"/>
    <w:rsid w:val="036F8141"/>
    <w:rsid w:val="066E0107"/>
    <w:rsid w:val="07996F6E"/>
    <w:rsid w:val="07DFD8BA"/>
    <w:rsid w:val="0A2032A3"/>
    <w:rsid w:val="0D35B1ED"/>
    <w:rsid w:val="0E7ED1F5"/>
    <w:rsid w:val="0F98263C"/>
    <w:rsid w:val="101860EC"/>
    <w:rsid w:val="10C055FF"/>
    <w:rsid w:val="118107EC"/>
    <w:rsid w:val="13D50BC4"/>
    <w:rsid w:val="13F5616D"/>
    <w:rsid w:val="16BB723D"/>
    <w:rsid w:val="17BE0AB6"/>
    <w:rsid w:val="17F9714D"/>
    <w:rsid w:val="1918F934"/>
    <w:rsid w:val="1BE8440E"/>
    <w:rsid w:val="1D155CEE"/>
    <w:rsid w:val="1D497F76"/>
    <w:rsid w:val="1DFBC4B3"/>
    <w:rsid w:val="1E740ACF"/>
    <w:rsid w:val="1EBD2DA3"/>
    <w:rsid w:val="1F19C781"/>
    <w:rsid w:val="1F33FCE5"/>
    <w:rsid w:val="1F7F7398"/>
    <w:rsid w:val="1FD2DB6F"/>
    <w:rsid w:val="1FF35744"/>
    <w:rsid w:val="1FF6BC77"/>
    <w:rsid w:val="1FF9236D"/>
    <w:rsid w:val="2333840E"/>
    <w:rsid w:val="23860B96"/>
    <w:rsid w:val="240371BF"/>
    <w:rsid w:val="257C638F"/>
    <w:rsid w:val="29FD04D3"/>
    <w:rsid w:val="2BFF7BC6"/>
    <w:rsid w:val="2C8A61B5"/>
    <w:rsid w:val="2CD59C95"/>
    <w:rsid w:val="2CDD487B"/>
    <w:rsid w:val="2DF04E50"/>
    <w:rsid w:val="2EFD05E5"/>
    <w:rsid w:val="2F040D46"/>
    <w:rsid w:val="2F4F95CE"/>
    <w:rsid w:val="2FACAFDD"/>
    <w:rsid w:val="2FAE5751"/>
    <w:rsid w:val="2FB1A395"/>
    <w:rsid w:val="2FCF0B76"/>
    <w:rsid w:val="2FD9A7D8"/>
    <w:rsid w:val="30D73880"/>
    <w:rsid w:val="319F7F4E"/>
    <w:rsid w:val="3304709D"/>
    <w:rsid w:val="35AA7537"/>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A6129D"/>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2261680"/>
    <w:rsid w:val="426143BB"/>
    <w:rsid w:val="44E268DA"/>
    <w:rsid w:val="457F4F6B"/>
    <w:rsid w:val="4737FB58"/>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7E6D0A"/>
    <w:rsid w:val="53AB6B88"/>
    <w:rsid w:val="53F74C96"/>
    <w:rsid w:val="5583522D"/>
    <w:rsid w:val="57BD3DD4"/>
    <w:rsid w:val="57F9CD1E"/>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E9EA"/>
    <w:rsid w:val="63B23AA5"/>
    <w:rsid w:val="64663409"/>
    <w:rsid w:val="647F5392"/>
    <w:rsid w:val="64E322C4"/>
    <w:rsid w:val="65FB93B9"/>
    <w:rsid w:val="6633C463"/>
    <w:rsid w:val="67D55B77"/>
    <w:rsid w:val="67EE7F84"/>
    <w:rsid w:val="686F5F53"/>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2CD31F3"/>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99"/>
    <w:rPr>
      <w:rFonts w:ascii="宋体" w:hAnsi="Courier New"/>
    </w:r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jc w:val="left"/>
    </w:pPr>
    <w:rPr>
      <w:kern w:val="0"/>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1"/>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普通(网站) Char"/>
    <w:basedOn w:val="1"/>
    <w:qFormat/>
    <w:uiPriority w:val="0"/>
    <w:pPr>
      <w:spacing w:beforeAutospacing="1" w:afterAutospacing="1"/>
      <w:jc w:val="left"/>
    </w:pPr>
    <w:rPr>
      <w:rFonts w:hint="eastAsia" w:ascii="宋体" w:hAnsi="宋体"/>
      <w:kern w:val="0"/>
      <w:sz w:val="24"/>
    </w:rPr>
  </w:style>
  <w:style w:type="paragraph" w:customStyle="1" w:styleId="38">
    <w:name w:val="BodyTextIndent2"/>
    <w:basedOn w:val="1"/>
    <w:qFormat/>
    <w:uiPriority w:val="0"/>
    <w:pPr>
      <w:spacing w:line="580" w:lineRule="exact"/>
      <w:ind w:firstLine="544" w:firstLineChars="200"/>
      <w:textAlignment w:val="baseline"/>
    </w:pPr>
    <w:rPr>
      <w:rFonts w:ascii="仿宋_GB2312" w:hAnsi="Calibri" w:eastAsia="仿宋_GB2312"/>
      <w:spacing w:val="-4"/>
      <w:sz w:val="28"/>
    </w:rPr>
  </w:style>
  <w:style w:type="character" w:customStyle="1" w:styleId="39">
    <w:name w:val="NormalCharacter"/>
    <w:qFormat/>
    <w:uiPriority w:val="0"/>
    <w:rPr>
      <w:rFonts w:ascii="Calibri" w:hAnsi="Calibri" w:eastAsia="宋体" w:cs="Times New Roman"/>
      <w:kern w:val="2"/>
      <w:sz w:val="21"/>
      <w:szCs w:val="24"/>
      <w:lang w:val="en-US" w:eastAsia="zh-CN" w:bidi="ar-SA"/>
    </w:rPr>
  </w:style>
  <w:style w:type="paragraph" w:customStyle="1" w:styleId="40">
    <w:name w:val="WPSOffice手动目录 1"/>
    <w:uiPriority w:val="0"/>
    <w:rPr>
      <w:rFonts w:asciiTheme="minorHAnsi" w:hAnsiTheme="minorHAnsi" w:eastAsiaTheme="minorEastAsia" w:cstheme="minorBidi"/>
      <w:lang w:val="en-US" w:eastAsia="zh-CN" w:bidi="ar-SA"/>
    </w:rPr>
  </w:style>
  <w:style w:type="paragraph" w:customStyle="1" w:styleId="41">
    <w:name w:val="WPSOffice手动目录 2"/>
    <w:uiPriority w:val="0"/>
    <w:pPr>
      <w:ind w:left="200" w:leftChars="200"/>
    </w:pPr>
    <w:rPr>
      <w:rFonts w:asciiTheme="minorHAnsi" w:hAnsiTheme="minorHAnsi" w:eastAsiaTheme="minorEastAsia" w:cstheme="minorBidi"/>
      <w:lang w:val="en-US" w:eastAsia="zh-CN" w:bidi="ar-SA"/>
    </w:rPr>
  </w:style>
  <w:style w:type="paragraph" w:customStyle="1" w:styleId="42">
    <w:name w:val="WPSOffice手动目录 3"/>
    <w:uiPriority w:val="0"/>
    <w:pPr>
      <w:ind w:left="400" w:leftChars="4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emf"/><Relationship Id="rId12" Type="http://schemas.openxmlformats.org/officeDocument/2006/relationships/package" Target="embeddings/Workbook1.xlsx"/><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118.21</c:v>
                </c:pt>
                <c:pt idx="1">
                  <c:v>97.24</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pt idx="0">
                  <c:v>118.21</c:v>
                </c:pt>
                <c:pt idx="1">
                  <c:v>97.24</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46553784"/>
        <c:axId val="912369862"/>
      </c:barChart>
      <c:catAx>
        <c:axId val="24655378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369862"/>
        <c:crosses val="autoZero"/>
        <c:auto val="1"/>
        <c:lblAlgn val="ctr"/>
        <c:lblOffset val="100"/>
        <c:noMultiLvlLbl val="0"/>
      </c:catAx>
      <c:valAx>
        <c:axId val="91236986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65537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eb3c7ca-c9c2-4c94-9ca6-996a1a4384f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2023年</c:v>
                </c:pt>
              </c:strCache>
            </c:strRef>
          </c:cat>
          <c:val>
            <c:numRef>
              <c:f>Sheet1!$B$2:$B$5</c:f>
              <c:numCache>
                <c:formatCode>General</c:formatCode>
                <c:ptCount val="4"/>
                <c:pt idx="0">
                  <c:v>97.24</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2023年</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f16436c-cb54-4c50-9677-a625324f64f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基本情况分析</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strCache>
            </c:strRef>
          </c:cat>
          <c:val>
            <c:numRef>
              <c:f>Sheet1!$B$2:$B$6</c:f>
              <c:numCache>
                <c:formatCode>General</c:formatCode>
                <c:ptCount val="5"/>
                <c:pt idx="0">
                  <c:v>96.22</c:v>
                </c:pt>
                <c:pt idx="1">
                  <c:v>1.02</c:v>
                </c:pt>
              </c:numCache>
            </c:numRef>
          </c:val>
        </c:ser>
        <c:ser>
          <c:idx val="1"/>
          <c:order val="1"/>
          <c:tx>
            <c:strRef>
              <c:f>Sheet1!$C$1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strCache>
            </c:strRef>
          </c:cat>
          <c:val>
            <c:numRef>
              <c:f>Sheet1!$C$2:$C$6</c:f>
              <c:numCache>
                <c:formatCode>General</c:formatCode>
                <c:ptCount val="5"/>
              </c:numCache>
            </c:numRef>
          </c:val>
        </c:ser>
        <c:ser>
          <c:idx val="2"/>
          <c:order val="2"/>
          <c:tx>
            <c:strRef>
              <c:f>Sheet1!$D$1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strCache>
            </c:strRef>
          </c:cat>
          <c:val>
            <c:numRef>
              <c:f>Sheet1!$D$2:$D$6</c:f>
              <c:numCache>
                <c:formatCode>General</c:formatCode>
                <c:ptCount val="5"/>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ea79dbb-9f21-4cd4-adde-1d2a7311405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Sheet1!$A$2:$A$5</c:f>
              <c:strCache>
                <c:ptCount val="4"/>
                <c:pt idx="0">
                  <c:v>2023年</c:v>
                </c:pt>
                <c:pt idx="1">
                  <c:v>2022年</c:v>
                </c:pt>
                <c:pt idx="2">
                  <c:v>2023年</c:v>
                </c:pt>
                <c:pt idx="3">
                  <c:v>2022年</c:v>
                </c:pt>
              </c:strCache>
            </c:strRef>
          </c:cat>
          <c:val>
            <c:numRef>
              <c:f>Sheet1!$B$2:$B$5</c:f>
              <c:numCache>
                <c:formatCode>General</c:formatCode>
                <c:ptCount val="4"/>
                <c:pt idx="0">
                  <c:v>97.24</c:v>
                </c:pt>
                <c:pt idx="1">
                  <c:v>118.21</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Sheet1!$A$2:$A$5</c:f>
              <c:strCache>
                <c:ptCount val="4"/>
                <c:pt idx="0">
                  <c:v>2023年</c:v>
                </c:pt>
                <c:pt idx="1">
                  <c:v>2022年</c:v>
                </c:pt>
                <c:pt idx="2">
                  <c:v>2023年</c:v>
                </c:pt>
                <c:pt idx="3">
                  <c:v>2022年</c:v>
                </c:pt>
              </c:strCache>
            </c:strRef>
          </c:cat>
          <c:val>
            <c:numRef>
              <c:f>Sheet1!$C$2:$C$5</c:f>
              <c:numCache>
                <c:formatCode>General</c:formatCode>
                <c:ptCount val="4"/>
                <c:pt idx="2">
                  <c:v>97.24</c:v>
                </c:pt>
                <c:pt idx="3">
                  <c:v>118.21</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2023年</c:v>
                </c:pt>
                <c:pt idx="1">
                  <c:v>2022年</c:v>
                </c:pt>
                <c:pt idx="2">
                  <c:v>2023年</c:v>
                </c:pt>
                <c:pt idx="3">
                  <c:v>2022年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20281552"/>
        <c:axId val="672610389"/>
      </c:barChart>
      <c:catAx>
        <c:axId val="9202815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2610389"/>
        <c:crosses val="autoZero"/>
        <c:auto val="1"/>
        <c:lblAlgn val="ctr"/>
        <c:lblOffset val="100"/>
        <c:noMultiLvlLbl val="0"/>
      </c:catAx>
      <c:valAx>
        <c:axId val="6726103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02815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535edeb-ddf1-4764-96fe-fda9a37398a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财政拨款支出</c:v>
                </c:pt>
              </c:strCache>
            </c:strRef>
          </c:tx>
          <c:spPr>
            <a:solidFill>
              <a:schemeClr val="accent1"/>
            </a:solidFill>
            <a:ln>
              <a:noFill/>
            </a:ln>
            <a:effectLst/>
          </c:spPr>
          <c:invertIfNegative val="0"/>
          <c:dLbls>
            <c:delete val="1"/>
          </c:dLbls>
          <c:cat>
            <c:strRef>
              <c:f>Sheet1!$A$2:$A$5</c:f>
              <c:strCache>
                <c:ptCount val="4"/>
                <c:pt idx="0">
                  <c:v>2023年</c:v>
                </c:pt>
                <c:pt idx="1">
                  <c:v>2022年</c:v>
                </c:pt>
              </c:strCache>
            </c:strRef>
          </c:cat>
          <c:val>
            <c:numRef>
              <c:f>Sheet1!$B$2:$B$5</c:f>
              <c:numCache>
                <c:formatCode>General</c:formatCode>
                <c:ptCount val="4"/>
                <c:pt idx="0">
                  <c:v>97.24</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2023年</c:v>
                </c:pt>
                <c:pt idx="1">
                  <c:v>2022年</c:v>
                </c:pt>
              </c:strCache>
            </c:strRef>
          </c:cat>
          <c:val>
            <c:numRef>
              <c:f>Sheet1!$C$2:$C$5</c:f>
              <c:numCache>
                <c:formatCode>General</c:formatCode>
                <c:ptCount val="4"/>
                <c:pt idx="1">
                  <c:v>118.21</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2023年</c:v>
                </c:pt>
                <c:pt idx="1">
                  <c:v>2022年</c:v>
                </c:pt>
              </c:strCache>
            </c:strRef>
          </c:cat>
          <c:val>
            <c:numRef>
              <c:f>Sheet1!$D$2:$D$5</c:f>
              <c:numCache>
                <c:formatCode>General</c:formatCode>
                <c:ptCount val="4"/>
              </c:numCache>
            </c:numRef>
          </c:val>
        </c:ser>
        <c:ser>
          <c:idx val="3"/>
          <c:order val="3"/>
          <c:tx>
            <c:strRef>
              <c:f>Sheet1!$E$1</c:f>
              <c:strCache>
                <c:ptCount val="1"/>
                <c:pt idx="0">
                  <c:v/>
                </c:pt>
              </c:strCache>
            </c:strRef>
          </c:tx>
          <c:spPr>
            <a:solidFill>
              <a:schemeClr val="accent4"/>
            </a:solidFill>
            <a:ln>
              <a:noFill/>
            </a:ln>
            <a:effectLst/>
          </c:spPr>
          <c:invertIfNegative val="0"/>
          <c:dLbls>
            <c:delete val="1"/>
          </c:dLbls>
          <c:cat>
            <c:strRef>
              <c:f>Sheet1!$A$2:$A$5</c:f>
              <c:strCache>
                <c:ptCount val="4"/>
                <c:pt idx="0">
                  <c:v>2023年</c:v>
                </c:pt>
                <c:pt idx="1">
                  <c:v>2022年</c:v>
                </c:pt>
              </c:strCache>
            </c:strRef>
          </c:cat>
          <c:val>
            <c:numRef>
              <c:f>Sheet1!$E$2:$E$5</c:f>
              <c:numCache>
                <c:formatCode>General</c:formatCode>
                <c:ptCount val="4"/>
              </c:numCache>
            </c:numRef>
          </c:val>
        </c:ser>
        <c:ser>
          <c:idx val="4"/>
          <c:order val="4"/>
          <c:tx>
            <c:strRef>
              <c:f>Sheet1!$F$1</c:f>
              <c:strCache>
                <c:ptCount val="1"/>
                <c:pt idx="0">
                  <c:v/>
                </c:pt>
              </c:strCache>
            </c:strRef>
          </c:tx>
          <c:spPr>
            <a:solidFill>
              <a:schemeClr val="accent5"/>
            </a:solidFill>
            <a:ln>
              <a:noFill/>
            </a:ln>
            <a:effectLst/>
          </c:spPr>
          <c:invertIfNegative val="0"/>
          <c:dLbls>
            <c:delete val="1"/>
          </c:dLbls>
          <c:cat>
            <c:strRef>
              <c:f>Sheet1!$A$2:$A$5</c:f>
              <c:strCache>
                <c:ptCount val="4"/>
                <c:pt idx="0">
                  <c:v>2023年</c:v>
                </c:pt>
                <c:pt idx="1">
                  <c:v>2022年</c:v>
                </c:pt>
              </c:strCache>
            </c:strRef>
          </c:cat>
          <c:val>
            <c:numRef>
              <c:f>Sheet1!$F$2:$F$5</c:f>
              <c:numCache>
                <c:formatCode>General</c:formatCode>
                <c:ptCount val="4"/>
              </c:numCache>
            </c:numRef>
          </c:val>
        </c:ser>
        <c:dLbls>
          <c:showLegendKey val="0"/>
          <c:showVal val="0"/>
          <c:showCatName val="0"/>
          <c:showSerName val="0"/>
          <c:showPercent val="0"/>
          <c:showBubbleSize val="0"/>
        </c:dLbls>
        <c:gapWidth val="219"/>
        <c:overlap val="-27"/>
        <c:axId val="459758631"/>
        <c:axId val="598611748"/>
      </c:barChart>
      <c:catAx>
        <c:axId val="459758631"/>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8611748"/>
        <c:crosses val="autoZero"/>
        <c:auto val="1"/>
        <c:lblAlgn val="ctr"/>
        <c:lblOffset val="100"/>
        <c:noMultiLvlLbl val="0"/>
      </c:catAx>
      <c:valAx>
        <c:axId val="5986117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975863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71d3329-4370-48da-840b-d5bec158e6e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文化旅游体育与传媒</c:v>
                </c:pt>
                <c:pt idx="1">
                  <c:v>社会保障和就业</c:v>
                </c:pt>
                <c:pt idx="2">
                  <c:v>卫生健康</c:v>
                </c:pt>
                <c:pt idx="3">
                  <c:v>住房保障</c:v>
                </c:pt>
              </c:strCache>
            </c:strRef>
          </c:cat>
          <c:val>
            <c:numRef>
              <c:f>Sheet1!$B$2:$B$5</c:f>
              <c:numCache>
                <c:formatCode>General</c:formatCode>
                <c:ptCount val="4"/>
                <c:pt idx="0">
                  <c:v>74</c:v>
                </c:pt>
                <c:pt idx="1">
                  <c:v>13.8</c:v>
                </c:pt>
                <c:pt idx="2">
                  <c:v>5.53</c:v>
                </c:pt>
                <c:pt idx="3">
                  <c:v>8.08</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文化旅游体育与传媒</c:v>
                </c:pt>
                <c:pt idx="1">
                  <c:v>社会保障和就业</c:v>
                </c:pt>
                <c:pt idx="2">
                  <c:v>卫生健康</c:v>
                </c:pt>
                <c:pt idx="3">
                  <c:v>住房保障</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28ad56-fc9d-4292-944f-53d714d5f37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25</Pages>
  <Words>7729</Words>
  <Characters>8488</Characters>
  <Lines>25</Lines>
  <Paragraphs>22</Paragraphs>
  <TotalTime>1</TotalTime>
  <ScaleCrop>false</ScaleCrop>
  <LinksUpToDate>false</LinksUpToDate>
  <CharactersWithSpaces>8755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花红易衰</cp:lastModifiedBy>
  <cp:lastPrinted>2023-08-03T10:35:00Z</cp:lastPrinted>
  <dcterms:modified xsi:type="dcterms:W3CDTF">2024-11-29T08:25:44Z</dcterms:modified>
  <dc:title>四川省***</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E82946A010AB408BB683B854DF84BE0F</vt:lpwstr>
  </property>
</Properties>
</file>