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color w:val="000000"/>
          <w:sz w:val="72"/>
          <w:szCs w:val="72"/>
        </w:rPr>
      </w:pPr>
      <w:bookmarkStart w:id="0" w:name="_Toc15306267"/>
    </w:p>
    <w:p>
      <w:pPr>
        <w:spacing w:line="600" w:lineRule="exact"/>
        <w:jc w:val="both"/>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8441"/>
      <w:bookmarkStart w:id="2" w:name="_Toc25332"/>
      <w:bookmarkStart w:id="3" w:name="_Toc15377193"/>
      <w:bookmarkStart w:id="4" w:name="_Toc15396597"/>
      <w:bookmarkStart w:id="5" w:name="_Toc15377425"/>
      <w:bookmarkStart w:id="6" w:name="_Toc15396475"/>
      <w:r>
        <w:rPr>
          <w:rFonts w:ascii="黑体" w:hAnsi="黑体" w:eastAsia="黑体"/>
          <w:color w:val="000000"/>
          <w:sz w:val="72"/>
          <w:szCs w:val="72"/>
        </w:rPr>
        <w:t>20</w:t>
      </w:r>
      <w:r>
        <w:rPr>
          <w:rFonts w:hint="eastAsia" w:ascii="黑体" w:hAnsi="黑体" w:eastAsia="黑体"/>
          <w:color w:val="000000"/>
          <w:sz w:val="72"/>
          <w:szCs w:val="72"/>
          <w:lang w:val="en-US" w:eastAsia="zh-CN"/>
        </w:rPr>
        <w:t>21</w:t>
      </w:r>
      <w:r>
        <w:rPr>
          <w:rFonts w:hint="eastAsia" w:ascii="方正小标宋简体" w:hAnsi="宋体" w:eastAsia="方正小标宋简体"/>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hAnsi="宋体" w:eastAsia="方正小标宋简体"/>
          <w:color w:val="000000"/>
          <w:sz w:val="72"/>
          <w:szCs w:val="72"/>
        </w:rPr>
      </w:pPr>
      <w:bookmarkStart w:id="7" w:name="_Toc15377426"/>
      <w:bookmarkStart w:id="8" w:name="_Toc15378442"/>
      <w:bookmarkStart w:id="9" w:name="_Toc27029"/>
      <w:bookmarkStart w:id="10" w:name="_Toc15377194"/>
      <w:bookmarkStart w:id="11" w:name="_Toc15396598"/>
      <w:bookmarkStart w:id="12" w:name="_Toc15396476"/>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红原县</w:t>
      </w:r>
      <w:bookmarkEnd w:id="0"/>
      <w:bookmarkStart w:id="13" w:name="_Toc15306268"/>
      <w:r>
        <w:rPr>
          <w:rFonts w:hint="eastAsia" w:ascii="方正小标宋简体" w:hAnsi="宋体" w:eastAsia="方正小标宋简体"/>
          <w:color w:val="000000"/>
          <w:sz w:val="72"/>
          <w:szCs w:val="72"/>
          <w:lang w:val="en-US" w:eastAsia="zh-CN"/>
        </w:rPr>
        <w:t>新华书店</w:t>
      </w:r>
      <w:r>
        <w:rPr>
          <w:rFonts w:hint="eastAsia" w:ascii="方正小标宋简体" w:hAnsi="宋体" w:eastAsia="方正小标宋简体"/>
          <w:color w:val="000000"/>
          <w:sz w:val="72"/>
          <w:szCs w:val="72"/>
        </w:rPr>
        <w:t>部门决算</w:t>
      </w:r>
      <w:bookmarkEnd w:id="7"/>
      <w:bookmarkEnd w:id="8"/>
      <w:bookmarkEnd w:id="9"/>
      <w:bookmarkEnd w:id="10"/>
      <w:bookmarkEnd w:id="11"/>
      <w:bookmarkEnd w:id="12"/>
      <w:bookmarkEnd w:id="13"/>
    </w:p>
    <w:p>
      <w:pPr>
        <w:widowControl/>
        <w:jc w:val="center"/>
        <w:rPr>
          <w:rFonts w:ascii="方正小标宋简体" w:hAnsi="宋体" w:eastAsia="方正小标宋简体"/>
          <w:color w:val="000000"/>
          <w:sz w:val="36"/>
          <w:szCs w:val="36"/>
        </w:rPr>
      </w:pPr>
    </w:p>
    <w:p>
      <w:pPr>
        <w:pStyle w:val="10"/>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方正小标宋简体" w:hAnsi="宋体" w:eastAsia="方正小标宋简体"/>
          <w:sz w:val="36"/>
          <w:szCs w:val="36"/>
        </w:rPr>
      </w:pPr>
    </w:p>
    <w:p>
      <w:pPr>
        <w:widowControl/>
        <w:tabs>
          <w:tab w:val="center" w:pos="4213"/>
          <w:tab w:val="left" w:pos="5918"/>
        </w:tabs>
        <w:jc w:val="left"/>
        <w:rPr>
          <w:rFonts w:hint="eastAsia" w:ascii="黑体" w:hAnsi="黑体" w:eastAsia="黑体"/>
          <w:color w:val="000000"/>
          <w:sz w:val="48"/>
          <w:szCs w:val="48"/>
          <w:lang w:eastAsia="zh-CN"/>
        </w:rPr>
      </w:pPr>
      <w:r>
        <w:rPr>
          <w:rFonts w:ascii="方正小标宋简体" w:hAnsi="宋体" w:eastAsia="方正小标宋简体"/>
          <w:sz w:val="36"/>
          <w:szCs w:val="36"/>
        </w:rPr>
        <w:br w:type="page"/>
      </w:r>
      <w:r>
        <w:rPr>
          <w:rFonts w:hint="eastAsia" w:ascii="方正小标宋简体" w:hAnsi="宋体" w:eastAsia="方正小标宋简体"/>
          <w:sz w:val="36"/>
          <w:szCs w:val="36"/>
          <w:lang w:eastAsia="zh-CN"/>
        </w:rPr>
        <w:tab/>
      </w:r>
      <w:r>
        <w:rPr>
          <w:rFonts w:hint="eastAsia" w:ascii="黑体" w:hAnsi="黑体" w:eastAsia="黑体"/>
          <w:color w:val="000000"/>
          <w:sz w:val="48"/>
          <w:szCs w:val="48"/>
        </w:rPr>
        <w:t>目录</w:t>
      </w:r>
      <w:r>
        <w:rPr>
          <w:rFonts w:hint="eastAsia" w:ascii="黑体" w:hAnsi="黑体" w:eastAsia="黑体"/>
          <w:color w:val="000000"/>
          <w:sz w:val="48"/>
          <w:szCs w:val="48"/>
          <w:lang w:eastAsia="zh-CN"/>
        </w:rPr>
        <w:tab/>
      </w:r>
    </w:p>
    <w:p>
      <w:pPr>
        <w:widowControl/>
        <w:jc w:val="center"/>
        <w:rPr>
          <w:rFonts w:ascii="黑体" w:hAnsi="黑体" w:eastAsia="黑体" w:cstheme="minorBidi"/>
          <w:sz w:val="28"/>
          <w:szCs w:val="28"/>
        </w:rPr>
      </w:pPr>
    </w:p>
    <w:p/>
    <w:sdt>
      <w:sdtPr>
        <w:rPr>
          <w:rFonts w:ascii="宋体" w:hAnsi="宋体" w:eastAsia="宋体" w:cs="Times New Roman"/>
          <w:kern w:val="2"/>
          <w:sz w:val="21"/>
          <w:szCs w:val="24"/>
          <w:lang w:val="en-US" w:eastAsia="zh-CN" w:bidi="ar-SA"/>
        </w:rPr>
        <w:id w:val="147466278"/>
        <w15:color w:val="DBDBDB"/>
        <w:docPartObj>
          <w:docPartGallery w:val="Table of Contents"/>
          <w:docPartUnique/>
        </w:docPartObj>
      </w:sdtPr>
      <w:sdtEndPr>
        <w:rPr>
          <w:rFonts w:hint="eastAsia" w:ascii="Calibri" w:hAnsi="Calibri" w:eastAsia="宋体" w:cs="Times New Roman"/>
          <w:b/>
          <w:kern w:val="2"/>
          <w:sz w:val="21"/>
          <w:szCs w:val="21"/>
          <w:lang w:val="en-US" w:eastAsia="zh-CN" w:bidi="ar-SA"/>
        </w:rPr>
      </w:sdtEndPr>
      <w:sdtContent>
        <w:p>
          <w:pPr>
            <w:spacing w:before="0" w:beforeLines="0" w:after="0" w:afterLines="0" w:line="240" w:lineRule="auto"/>
            <w:ind w:left="0" w:leftChars="0" w:right="0" w:rightChars="0" w:firstLine="0" w:firstLineChars="0"/>
            <w:jc w:val="center"/>
          </w:pPr>
        </w:p>
        <w:p>
          <w:pPr>
            <w:pStyle w:val="15"/>
            <w:tabs>
              <w:tab w:val="right" w:leader="dot" w:pos="8306"/>
              <w:tab w:val="clear" w:pos="8296"/>
            </w:tabs>
          </w:pPr>
          <w:r>
            <w:rPr>
              <w:rFonts w:hint="eastAsia"/>
            </w:rPr>
            <w:fldChar w:fldCharType="begin"/>
          </w:r>
          <w:r>
            <w:rPr>
              <w:rFonts w:hint="eastAsia"/>
            </w:rPr>
            <w:instrText xml:space="preserve">TOC \o "1-2" \h \u </w:instrText>
          </w:r>
          <w:r>
            <w:rPr>
              <w:rFonts w:hint="eastAsia"/>
            </w:rPr>
            <w:fldChar w:fldCharType="separate"/>
          </w:r>
          <w:r>
            <w:rPr>
              <w:rFonts w:hint="eastAsia"/>
            </w:rPr>
            <w:fldChar w:fldCharType="begin"/>
          </w:r>
          <w:r>
            <w:rPr>
              <w:rFonts w:hint="eastAsia"/>
            </w:rPr>
            <w:instrText xml:space="preserve"> HYPERLINK \l _Toc25332 </w:instrText>
          </w:r>
          <w:r>
            <w:rPr>
              <w:rFonts w:hint="eastAsia"/>
            </w:rPr>
            <w:fldChar w:fldCharType="separate"/>
          </w:r>
          <w:r>
            <w:rPr>
              <w:rFonts w:ascii="黑体" w:hAnsi="黑体" w:eastAsia="黑体"/>
              <w:szCs w:val="72"/>
            </w:rPr>
            <w:t>20</w:t>
          </w:r>
          <w:r>
            <w:rPr>
              <w:rFonts w:hint="eastAsia" w:ascii="黑体" w:hAnsi="黑体" w:eastAsia="黑体"/>
              <w:szCs w:val="72"/>
              <w:lang w:val="en-US" w:eastAsia="zh-CN"/>
            </w:rPr>
            <w:t>21</w:t>
          </w:r>
          <w:r>
            <w:rPr>
              <w:rFonts w:hint="eastAsia" w:ascii="方正小标宋简体" w:hAnsi="宋体" w:eastAsia="方正小标宋简体"/>
              <w:szCs w:val="72"/>
            </w:rPr>
            <w:t>年度</w:t>
          </w:r>
          <w:r>
            <w:tab/>
          </w:r>
          <w:r>
            <w:fldChar w:fldCharType="begin"/>
          </w:r>
          <w:r>
            <w:instrText xml:space="preserve"> PAGEREF _Toc25332 \h </w:instrText>
          </w:r>
          <w:r>
            <w:fldChar w:fldCharType="separate"/>
          </w:r>
          <w:r>
            <w:t>1</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_Toc27029 </w:instrText>
          </w:r>
          <w:r>
            <w:rPr>
              <w:rFonts w:hint="eastAsia"/>
            </w:rPr>
            <w:fldChar w:fldCharType="separate"/>
          </w:r>
          <w:r>
            <w:rPr>
              <w:rFonts w:hint="eastAsia" w:ascii="方正小标宋简体" w:hAnsi="宋体" w:eastAsia="方正小标宋简体"/>
              <w:szCs w:val="72"/>
            </w:rPr>
            <w:t>四川省阿坝州</w:t>
          </w:r>
          <w:r>
            <w:rPr>
              <w:rFonts w:hint="eastAsia" w:ascii="方正小标宋简体" w:hAnsi="宋体" w:eastAsia="方正小标宋简体"/>
              <w:szCs w:val="72"/>
              <w:lang w:eastAsia="zh-CN"/>
            </w:rPr>
            <w:t>红原县</w:t>
          </w:r>
          <w:r>
            <w:rPr>
              <w:rFonts w:hint="eastAsia" w:ascii="方正小标宋简体" w:hAnsi="宋体" w:eastAsia="方正小标宋简体"/>
              <w:szCs w:val="72"/>
              <w:lang w:val="en-US" w:eastAsia="zh-CN"/>
            </w:rPr>
            <w:t>新华书店</w:t>
          </w:r>
          <w:r>
            <w:rPr>
              <w:rFonts w:hint="eastAsia" w:ascii="方正小标宋简体" w:hAnsi="宋体" w:eastAsia="方正小标宋简体"/>
              <w:szCs w:val="72"/>
            </w:rPr>
            <w:t>部门决算</w:t>
          </w:r>
          <w:r>
            <w:tab/>
          </w:r>
          <w:r>
            <w:fldChar w:fldCharType="begin"/>
          </w:r>
          <w:r>
            <w:instrText xml:space="preserve"> PAGEREF _Toc27029 \h </w:instrText>
          </w:r>
          <w:r>
            <w:fldChar w:fldCharType="separate"/>
          </w:r>
          <w:r>
            <w:t>1</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_Toc4551 </w:instrText>
          </w:r>
          <w:r>
            <w:rPr>
              <w:rFonts w:hint="eastAsia"/>
            </w:rPr>
            <w:fldChar w:fldCharType="separate"/>
          </w:r>
          <w:r>
            <w:rPr>
              <w:rFonts w:hint="eastAsia" w:ascii="黑体" w:hAnsi="黑体" w:eastAsia="黑体"/>
            </w:rPr>
            <w:t xml:space="preserve">第一部分 </w:t>
          </w:r>
          <w:r>
            <w:rPr>
              <w:rFonts w:hint="eastAsia" w:ascii="黑体" w:hAnsi="黑体" w:eastAsia="黑体"/>
              <w:bCs w:val="0"/>
            </w:rPr>
            <w:t>部门概况</w:t>
          </w:r>
          <w:r>
            <w:tab/>
          </w:r>
          <w:r>
            <w:fldChar w:fldCharType="begin"/>
          </w:r>
          <w:r>
            <w:instrText xml:space="preserve"> PAGEREF _Toc4551 \h </w:instrText>
          </w:r>
          <w:r>
            <w:fldChar w:fldCharType="separate"/>
          </w:r>
          <w:r>
            <w:t>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_Toc29661 </w:instrText>
          </w:r>
          <w:r>
            <w:rPr>
              <w:rFonts w:hint="eastAsia"/>
            </w:rPr>
            <w:fldChar w:fldCharType="separate"/>
          </w:r>
          <w:r>
            <w:rPr>
              <w:rFonts w:hint="eastAsia" w:ascii="黑体" w:eastAsia="黑体" w:hAnsiTheme="majorHAnsi" w:cstheme="majorBidi"/>
              <w:bCs/>
              <w:kern w:val="2"/>
              <w:szCs w:val="32"/>
              <w:lang w:val="en-US" w:eastAsia="zh-CN" w:bidi="ar-SA"/>
            </w:rPr>
            <w:t>一、基本职能及主要工作</w:t>
          </w:r>
          <w:r>
            <w:tab/>
          </w:r>
          <w:r>
            <w:fldChar w:fldCharType="begin"/>
          </w:r>
          <w:r>
            <w:instrText xml:space="preserve"> PAGEREF _Toc29661 \h </w:instrText>
          </w:r>
          <w:r>
            <w:fldChar w:fldCharType="separate"/>
          </w:r>
          <w:r>
            <w:t>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_Toc20682 </w:instrText>
          </w:r>
          <w:r>
            <w:rPr>
              <w:rFonts w:hint="eastAsia"/>
            </w:rPr>
            <w:fldChar w:fldCharType="separate"/>
          </w:r>
          <w:r>
            <w:rPr>
              <w:rFonts w:hint="eastAsia" w:ascii="宋体" w:hAnsi="宋体" w:eastAsia="宋体" w:cs="宋体"/>
              <w:bCs/>
              <w:i w:val="0"/>
              <w:iCs w:val="0"/>
              <w:caps w:val="0"/>
              <w:spacing w:val="0"/>
              <w:szCs w:val="32"/>
              <w:shd w:val="clear" w:color="auto" w:fill="FFFFFF"/>
            </w:rPr>
            <w:t>（一）基本职能</w:t>
          </w:r>
          <w:r>
            <w:tab/>
          </w:r>
          <w:r>
            <w:fldChar w:fldCharType="begin"/>
          </w:r>
          <w:r>
            <w:instrText xml:space="preserve"> PAGEREF _Toc20682 \h </w:instrText>
          </w:r>
          <w:r>
            <w:fldChar w:fldCharType="separate"/>
          </w:r>
          <w:r>
            <w:t>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_Toc14054 </w:instrText>
          </w:r>
          <w:r>
            <w:rPr>
              <w:rFonts w:hint="eastAsia"/>
            </w:rPr>
            <w:fldChar w:fldCharType="separate"/>
          </w:r>
          <w:r>
            <w:rPr>
              <w:rFonts w:hint="eastAsia" w:ascii="宋体" w:hAnsi="宋体" w:eastAsia="宋体" w:cs="宋体"/>
              <w:bCs/>
              <w:i w:val="0"/>
              <w:iCs w:val="0"/>
              <w:caps w:val="0"/>
              <w:spacing w:val="0"/>
              <w:szCs w:val="32"/>
              <w:shd w:val="clear" w:color="auto" w:fill="FFFFFF"/>
            </w:rPr>
            <w:t>（二）202</w:t>
          </w:r>
          <w:r>
            <w:rPr>
              <w:rFonts w:hint="eastAsia" w:ascii="宋体" w:hAnsi="宋体" w:eastAsia="宋体" w:cs="宋体"/>
              <w:bCs/>
              <w:i w:val="0"/>
              <w:iCs w:val="0"/>
              <w:caps w:val="0"/>
              <w:spacing w:val="0"/>
              <w:szCs w:val="32"/>
              <w:shd w:val="clear" w:color="auto" w:fill="FFFFFF"/>
              <w:lang w:val="en-US" w:eastAsia="zh-CN"/>
            </w:rPr>
            <w:t>1</w:t>
          </w:r>
          <w:r>
            <w:rPr>
              <w:rFonts w:hint="eastAsia" w:ascii="宋体" w:hAnsi="宋体" w:eastAsia="宋体" w:cs="宋体"/>
              <w:bCs/>
              <w:i w:val="0"/>
              <w:iCs w:val="0"/>
              <w:caps w:val="0"/>
              <w:spacing w:val="0"/>
              <w:szCs w:val="32"/>
              <w:shd w:val="clear" w:color="auto" w:fill="FFFFFF"/>
            </w:rPr>
            <w:t>年重点工作任务</w:t>
          </w:r>
          <w:r>
            <w:tab/>
          </w:r>
          <w:r>
            <w:fldChar w:fldCharType="begin"/>
          </w:r>
          <w:r>
            <w:instrText xml:space="preserve"> PAGEREF _Toc14054 \h </w:instrText>
          </w:r>
          <w:r>
            <w:fldChar w:fldCharType="separate"/>
          </w:r>
          <w:r>
            <w:t>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_Toc15000 </w:instrText>
          </w:r>
          <w:r>
            <w:rPr>
              <w:rFonts w:hint="eastAsia"/>
            </w:rPr>
            <w:fldChar w:fldCharType="separate"/>
          </w:r>
          <w:r>
            <w:rPr>
              <w:rFonts w:hint="eastAsia" w:ascii="黑体" w:eastAsia="黑体"/>
            </w:rPr>
            <w:t>二、</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_Toc15000 \h </w:instrText>
          </w:r>
          <w:r>
            <w:fldChar w:fldCharType="separate"/>
          </w:r>
          <w:r>
            <w:t>3</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_Toc18273 </w:instrText>
          </w:r>
          <w:r>
            <w:rPr>
              <w:rFonts w:hint="eastAsia"/>
            </w:rPr>
            <w:fldChar w:fldCharType="separate"/>
          </w:r>
          <w:r>
            <w:rPr>
              <w:rFonts w:hint="eastAsia" w:ascii="黑体" w:hAnsi="黑体" w:eastAsia="黑体"/>
              <w:szCs w:val="32"/>
              <w:lang w:eastAsia="zh-CN"/>
            </w:rPr>
            <w:t>四、</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_Toc18273 \h </w:instrText>
          </w:r>
          <w:r>
            <w:fldChar w:fldCharType="separate"/>
          </w:r>
          <w:r>
            <w:t>4</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_Toc27546 </w:instrText>
          </w:r>
          <w:r>
            <w:rPr>
              <w:rFonts w:hint="eastAsia"/>
            </w:rPr>
            <w:fldChar w:fldCharType="separate"/>
          </w:r>
          <w:r>
            <w:rPr>
              <w:rFonts w:hint="eastAsia" w:ascii="仿宋" w:hAnsi="仿宋" w:eastAsia="仿宋"/>
              <w:szCs w:val="32"/>
              <w:lang w:eastAsia="zh-CN"/>
            </w:rPr>
            <w:t>2021</w:t>
          </w:r>
          <w:r>
            <w:rPr>
              <w:rFonts w:hint="eastAsia" w:ascii="仿宋" w:hAnsi="仿宋" w:eastAsia="仿宋"/>
              <w:szCs w:val="32"/>
            </w:rPr>
            <w:t>年本年收入合计</w:t>
          </w:r>
          <w:r>
            <w:rPr>
              <w:rFonts w:hint="eastAsia" w:ascii="仿宋" w:hAnsi="仿宋" w:eastAsia="仿宋"/>
              <w:szCs w:val="32"/>
              <w:lang w:val="en-US" w:eastAsia="zh-CN"/>
            </w:rPr>
            <w:t>103.48</w:t>
          </w:r>
          <w:r>
            <w:rPr>
              <w:rFonts w:hint="eastAsia" w:ascii="仿宋" w:hAnsi="仿宋" w:eastAsia="仿宋"/>
              <w:szCs w:val="32"/>
            </w:rPr>
            <w:t>万元，其中：一般公共预算财政拨款收入</w:t>
          </w:r>
          <w:r>
            <w:rPr>
              <w:rFonts w:hint="eastAsia" w:ascii="仿宋" w:hAnsi="仿宋" w:eastAsia="仿宋"/>
              <w:szCs w:val="32"/>
              <w:lang w:val="en-US" w:eastAsia="zh-CN"/>
            </w:rPr>
            <w:t>103.48</w:t>
          </w:r>
          <w:r>
            <w:rPr>
              <w:rFonts w:hint="eastAsia" w:ascii="仿宋" w:hAnsi="仿宋" w:eastAsia="仿宋"/>
              <w:szCs w:val="32"/>
            </w:rPr>
            <w:t>万元，占</w:t>
          </w:r>
          <w:r>
            <w:rPr>
              <w:rFonts w:hint="eastAsia" w:ascii="仿宋" w:hAnsi="仿宋" w:eastAsia="仿宋"/>
              <w:szCs w:val="32"/>
              <w:lang w:val="en-US" w:eastAsia="zh-CN"/>
            </w:rPr>
            <w:t>100</w:t>
          </w:r>
          <w:r>
            <w:rPr>
              <w:rFonts w:hint="eastAsia" w:ascii="仿宋" w:hAnsi="仿宋" w:eastAsia="仿宋"/>
              <w:szCs w:val="32"/>
            </w:rPr>
            <w:t>%；政府性基金预算财政拨款收入</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hint="eastAsia" w:ascii="仿宋" w:hAnsi="仿宋" w:eastAsia="仿宋"/>
              <w:szCs w:val="32"/>
            </w:rPr>
            <w:t>%；上级补助收入</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hint="eastAsia" w:ascii="仿宋" w:hAnsi="仿宋" w:eastAsia="仿宋"/>
              <w:szCs w:val="32"/>
            </w:rPr>
            <w:t>%；事业收入</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hint="eastAsia" w:ascii="仿宋" w:hAnsi="仿宋" w:eastAsia="仿宋"/>
              <w:szCs w:val="32"/>
            </w:rPr>
            <w:t>%；经营收入</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hint="eastAsia" w:ascii="仿宋" w:hAnsi="仿宋" w:eastAsia="仿宋"/>
              <w:szCs w:val="32"/>
            </w:rPr>
            <w:t>%；附属单位上缴收入</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hint="eastAsia" w:ascii="仿宋" w:hAnsi="仿宋" w:eastAsia="仿宋"/>
              <w:szCs w:val="32"/>
            </w:rPr>
            <w:t>%；其他收入</w:t>
          </w:r>
          <w:r>
            <w:rPr>
              <w:rFonts w:hint="eastAsia" w:ascii="仿宋" w:hAnsi="仿宋" w:eastAsia="仿宋"/>
              <w:szCs w:val="32"/>
              <w:lang w:val="en-US" w:eastAsia="zh-CN"/>
            </w:rPr>
            <w:t>0</w:t>
          </w:r>
          <w:r>
            <w:rPr>
              <w:rFonts w:hint="eastAsia" w:ascii="仿宋" w:hAnsi="仿宋" w:eastAsia="仿宋"/>
              <w:szCs w:val="32"/>
            </w:rPr>
            <w:t>万元，占0%。</w:t>
          </w:r>
          <w:r>
            <w:tab/>
          </w:r>
          <w:r>
            <w:fldChar w:fldCharType="begin"/>
          </w:r>
          <w:r>
            <w:instrText xml:space="preserve"> PAGEREF _Toc27546 \h </w:instrText>
          </w:r>
          <w:r>
            <w:fldChar w:fldCharType="separate"/>
          </w:r>
          <w:r>
            <w:t>4</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_Toc10405 </w:instrText>
          </w:r>
          <w:r>
            <w:rPr>
              <w:rFonts w:hint="eastAsia"/>
            </w:rPr>
            <w:fldChar w:fldCharType="separate"/>
          </w:r>
          <w:r>
            <w:rPr>
              <w:rFonts w:hint="eastAsia" w:ascii="黑体" w:hAnsi="黑体" w:eastAsia="黑体"/>
              <w:szCs w:val="32"/>
              <w:lang w:eastAsia="zh-CN"/>
            </w:rPr>
            <w:t>五、</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_Toc10405 \h </w:instrText>
          </w:r>
          <w:r>
            <w:fldChar w:fldCharType="separate"/>
          </w:r>
          <w:r>
            <w:t>4</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_Toc6164 </w:instrText>
          </w:r>
          <w:r>
            <w:rPr>
              <w:rFonts w:hint="eastAsia"/>
            </w:rPr>
            <w:fldChar w:fldCharType="separate"/>
          </w:r>
          <w:r>
            <w:rPr>
              <w:rFonts w:hint="eastAsia" w:ascii="仿宋" w:hAnsi="仿宋" w:eastAsia="仿宋"/>
              <w:szCs w:val="32"/>
              <w:lang w:eastAsia="zh-CN"/>
            </w:rPr>
            <w:t>2021</w:t>
          </w:r>
          <w:r>
            <w:rPr>
              <w:rFonts w:hint="eastAsia" w:ascii="仿宋" w:hAnsi="仿宋" w:eastAsia="仿宋"/>
              <w:szCs w:val="32"/>
            </w:rPr>
            <w:t>年本年支出合计</w:t>
          </w:r>
          <w:r>
            <w:rPr>
              <w:rFonts w:hint="eastAsia" w:ascii="仿宋" w:hAnsi="仿宋" w:eastAsia="仿宋"/>
              <w:szCs w:val="32"/>
              <w:lang w:val="en-US" w:eastAsia="zh-CN"/>
            </w:rPr>
            <w:t>103.48</w:t>
          </w:r>
          <w:r>
            <w:rPr>
              <w:rFonts w:hint="eastAsia" w:ascii="仿宋" w:hAnsi="仿宋" w:eastAsia="仿宋"/>
              <w:szCs w:val="32"/>
            </w:rPr>
            <w:t>万元，其中：基本支出</w:t>
          </w:r>
          <w:r>
            <w:rPr>
              <w:rFonts w:hint="eastAsia" w:ascii="仿宋" w:hAnsi="仿宋" w:eastAsia="仿宋"/>
              <w:szCs w:val="32"/>
              <w:lang w:val="en-US" w:eastAsia="zh-CN"/>
            </w:rPr>
            <w:t>95.68</w:t>
          </w:r>
          <w:r>
            <w:rPr>
              <w:rFonts w:hint="eastAsia" w:ascii="仿宋" w:hAnsi="仿宋" w:eastAsia="仿宋"/>
              <w:szCs w:val="32"/>
            </w:rPr>
            <w:t>万元，占</w:t>
          </w:r>
          <w:r>
            <w:rPr>
              <w:rFonts w:hint="eastAsia" w:ascii="仿宋" w:hAnsi="仿宋" w:eastAsia="仿宋"/>
              <w:szCs w:val="32"/>
              <w:lang w:val="en-US" w:eastAsia="zh-CN"/>
            </w:rPr>
            <w:t>92.46</w:t>
          </w:r>
          <w:r>
            <w:rPr>
              <w:rFonts w:hint="eastAsia" w:ascii="仿宋" w:hAnsi="仿宋" w:eastAsia="仿宋"/>
              <w:szCs w:val="32"/>
            </w:rPr>
            <w:t>%；项目支出</w:t>
          </w:r>
          <w:r>
            <w:rPr>
              <w:rFonts w:hint="eastAsia" w:ascii="仿宋" w:hAnsi="仿宋" w:eastAsia="仿宋"/>
              <w:szCs w:val="32"/>
              <w:lang w:val="en-US" w:eastAsia="zh-CN"/>
            </w:rPr>
            <w:t>7.81</w:t>
          </w:r>
          <w:r>
            <w:rPr>
              <w:rFonts w:hint="eastAsia" w:ascii="仿宋" w:hAnsi="仿宋" w:eastAsia="仿宋"/>
              <w:szCs w:val="32"/>
            </w:rPr>
            <w:t>万元，占</w:t>
          </w:r>
          <w:r>
            <w:rPr>
              <w:rFonts w:hint="eastAsia" w:ascii="仿宋" w:hAnsi="仿宋" w:eastAsia="仿宋"/>
              <w:szCs w:val="32"/>
              <w:lang w:val="en-US" w:eastAsia="zh-CN"/>
            </w:rPr>
            <w:t>7.55</w:t>
          </w:r>
          <w:r>
            <w:rPr>
              <w:rFonts w:hint="eastAsia" w:ascii="仿宋" w:hAnsi="仿宋" w:eastAsia="仿宋"/>
              <w:szCs w:val="32"/>
            </w:rPr>
            <w:t>%；经营支出</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hint="eastAsia" w:ascii="仿宋" w:hAnsi="仿宋" w:eastAsia="仿宋"/>
              <w:szCs w:val="32"/>
            </w:rPr>
            <w:t>%；对附属单位补助支出</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hint="eastAsia" w:ascii="仿宋" w:hAnsi="仿宋" w:eastAsia="仿宋"/>
              <w:szCs w:val="32"/>
            </w:rPr>
            <w:t>%。</w:t>
          </w:r>
          <w:r>
            <w:tab/>
          </w:r>
          <w:r>
            <w:fldChar w:fldCharType="begin"/>
          </w:r>
          <w:r>
            <w:instrText xml:space="preserve"> PAGEREF _Toc6164 \h </w:instrText>
          </w:r>
          <w:r>
            <w:fldChar w:fldCharType="separate"/>
          </w:r>
          <w:r>
            <w:t>4</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_Toc11013 </w:instrText>
          </w:r>
          <w:r>
            <w:rPr>
              <w:rFonts w:hint="eastAsia"/>
            </w:rPr>
            <w:fldChar w:fldCharType="separate"/>
          </w:r>
          <w:r>
            <w:rPr>
              <w:rFonts w:hint="eastAsia" w:ascii="黑体" w:hAnsi="黑体" w:eastAsia="黑体"/>
              <w:szCs w:val="32"/>
              <w:lang w:eastAsia="zh-CN"/>
            </w:rPr>
            <w:t>六、</w:t>
          </w:r>
          <w:r>
            <w:rPr>
              <w:rFonts w:hint="eastAsia" w:ascii="黑体" w:hAnsi="黑体" w:eastAsia="黑体"/>
              <w:szCs w:val="32"/>
            </w:rPr>
            <w:t>财</w:t>
          </w:r>
          <w:r>
            <w:rPr>
              <w:rFonts w:hint="eastAsia" w:ascii="黑体" w:hAnsi="黑体" w:eastAsia="黑体"/>
            </w:rPr>
            <w:t>政拨款收入支出决算总体情况说明</w:t>
          </w:r>
          <w:r>
            <w:tab/>
          </w:r>
          <w:r>
            <w:fldChar w:fldCharType="begin"/>
          </w:r>
          <w:r>
            <w:instrText xml:space="preserve"> PAGEREF _Toc11013 \h </w:instrText>
          </w:r>
          <w:r>
            <w:fldChar w:fldCharType="separate"/>
          </w:r>
          <w:r>
            <w:t>5</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_Toc4007 </w:instrText>
          </w:r>
          <w:r>
            <w:rPr>
              <w:rFonts w:hint="eastAsia"/>
            </w:rPr>
            <w:fldChar w:fldCharType="separate"/>
          </w:r>
          <w:r>
            <w:rPr>
              <w:rFonts w:hint="eastAsia" w:ascii="黑体" w:hAnsi="黑体" w:eastAsia="黑体"/>
              <w:szCs w:val="32"/>
              <w:lang w:val="en-US" w:eastAsia="zh-CN"/>
            </w:rPr>
            <w:t>七</w:t>
          </w:r>
          <w:r>
            <w:rPr>
              <w:rFonts w:hint="eastAsia" w:ascii="黑体" w:hAnsi="黑体" w:eastAsia="黑体"/>
              <w:szCs w:val="32"/>
            </w:rPr>
            <w:t>、一</w:t>
          </w:r>
          <w:r>
            <w:rPr>
              <w:rFonts w:hint="eastAsia" w:ascii="黑体" w:hAnsi="黑体" w:eastAsia="黑体"/>
            </w:rPr>
            <w:t>般公共预算财政拨款支出决算情况说明</w:t>
          </w:r>
          <w:r>
            <w:tab/>
          </w:r>
          <w:r>
            <w:fldChar w:fldCharType="begin"/>
          </w:r>
          <w:r>
            <w:instrText xml:space="preserve"> PAGEREF _Toc4007 \h </w:instrText>
          </w:r>
          <w:r>
            <w:fldChar w:fldCharType="separate"/>
          </w:r>
          <w:r>
            <w:t>5</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_Toc1491 </w:instrText>
          </w:r>
          <w:r>
            <w:rPr>
              <w:rFonts w:hint="eastAsia"/>
            </w:rPr>
            <w:fldChar w:fldCharType="separate"/>
          </w:r>
          <w:r>
            <w:rPr>
              <w:rFonts w:hint="eastAsia" w:ascii="仿宋" w:hAnsi="仿宋" w:eastAsia="仿宋" w:cs="仿宋"/>
              <w:szCs w:val="32"/>
              <w:lang w:val="en-US" w:eastAsia="zh-CN"/>
            </w:rPr>
            <w:t>2021</w:t>
          </w:r>
          <w:r>
            <w:rPr>
              <w:rFonts w:hint="eastAsia" w:ascii="仿宋" w:hAnsi="仿宋" w:eastAsia="仿宋" w:cs="仿宋"/>
              <w:szCs w:val="32"/>
            </w:rPr>
            <w:t>年</w:t>
          </w:r>
          <w:r>
            <w:rPr>
              <w:rFonts w:hint="eastAsia" w:ascii="仿宋" w:hAnsi="仿宋" w:eastAsia="仿宋" w:cs="仿宋"/>
              <w:szCs w:val="32"/>
              <w:lang w:eastAsia="zh-CN"/>
            </w:rPr>
            <w:t>一</w:t>
          </w:r>
          <w:r>
            <w:rPr>
              <w:rFonts w:hint="eastAsia" w:ascii="仿宋" w:hAnsi="仿宋" w:eastAsia="仿宋" w:cs="仿宋"/>
              <w:szCs w:val="32"/>
            </w:rPr>
            <w:t>般公共预算支出决算数为</w:t>
          </w:r>
          <w:r>
            <w:rPr>
              <w:rFonts w:hint="eastAsia" w:ascii="仿宋" w:hAnsi="仿宋" w:eastAsia="仿宋" w:cs="仿宋"/>
              <w:szCs w:val="32"/>
              <w:lang w:val="en-US" w:eastAsia="zh-CN"/>
            </w:rPr>
            <w:t>95.68万元</w:t>
          </w:r>
          <w:r>
            <w:rPr>
              <w:rFonts w:hint="eastAsia" w:ascii="仿宋" w:hAnsi="仿宋" w:eastAsia="仿宋" w:cs="仿宋"/>
              <w:szCs w:val="32"/>
            </w:rPr>
            <w:t>，</w:t>
          </w:r>
          <w:r>
            <w:rPr>
              <w:rFonts w:hint="eastAsia" w:ascii="仿宋" w:hAnsi="仿宋" w:eastAsia="仿宋" w:cs="仿宋"/>
              <w:bCs/>
              <w:szCs w:val="32"/>
            </w:rPr>
            <w:t>完成预算</w:t>
          </w:r>
          <w:r>
            <w:rPr>
              <w:rFonts w:hint="eastAsia" w:ascii="仿宋" w:hAnsi="仿宋" w:eastAsia="仿宋" w:cs="仿宋"/>
              <w:bCs/>
              <w:szCs w:val="32"/>
              <w:lang w:val="en-US" w:eastAsia="zh-CN"/>
            </w:rPr>
            <w:t>100</w:t>
          </w:r>
          <w:r>
            <w:rPr>
              <w:rFonts w:hint="eastAsia" w:ascii="仿宋" w:hAnsi="仿宋" w:eastAsia="仿宋" w:cs="仿宋"/>
              <w:bCs/>
              <w:szCs w:val="32"/>
            </w:rPr>
            <w:t>%。其中：</w:t>
          </w:r>
          <w:r>
            <w:tab/>
          </w:r>
          <w:r>
            <w:fldChar w:fldCharType="begin"/>
          </w:r>
          <w:r>
            <w:instrText xml:space="preserve"> PAGEREF _Toc1491 \h </w:instrText>
          </w:r>
          <w:r>
            <w:fldChar w:fldCharType="separate"/>
          </w:r>
          <w:r>
            <w:t>7</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_Toc453 </w:instrText>
          </w:r>
          <w:r>
            <w:rPr>
              <w:rFonts w:hint="eastAsia"/>
            </w:rPr>
            <w:fldChar w:fldCharType="separate"/>
          </w:r>
          <w:r>
            <w:rPr>
              <w:rFonts w:hint="eastAsia" w:ascii="黑体" w:eastAsia="黑体"/>
              <w:szCs w:val="32"/>
              <w:lang w:val="en-US" w:eastAsia="zh-CN"/>
            </w:rPr>
            <w:t>八</w:t>
          </w:r>
          <w:r>
            <w:rPr>
              <w:rFonts w:hint="eastAsia" w:ascii="黑体" w:eastAsia="黑体"/>
              <w:szCs w:val="32"/>
            </w:rPr>
            <w:t>、</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_Toc453 \h </w:instrText>
          </w:r>
          <w:r>
            <w:fldChar w:fldCharType="separate"/>
          </w:r>
          <w:r>
            <w:t>8</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_Toc21113 </w:instrText>
          </w:r>
          <w:r>
            <w:rPr>
              <w:rFonts w:hint="eastAsia"/>
            </w:rPr>
            <w:fldChar w:fldCharType="separate"/>
          </w:r>
          <w:r>
            <w:rPr>
              <w:rFonts w:hint="eastAsia" w:ascii="黑体" w:eastAsia="黑体"/>
              <w:szCs w:val="32"/>
              <w:lang w:val="en-US" w:eastAsia="zh-CN"/>
            </w:rPr>
            <w:t>九</w:t>
          </w:r>
          <w:r>
            <w:rPr>
              <w:rFonts w:hint="eastAsia" w:ascii="黑体" w:eastAsia="黑体"/>
              <w:szCs w:val="32"/>
            </w:rPr>
            <w:t>、</w:t>
          </w:r>
          <w:r>
            <w:rPr>
              <w:rFonts w:hint="eastAsia" w:ascii="黑体" w:hAnsi="黑体" w:eastAsia="黑体"/>
            </w:rPr>
            <w:t>“三公”经费财政拨款支出决算情况说明</w:t>
          </w:r>
          <w:r>
            <w:tab/>
          </w:r>
          <w:r>
            <w:fldChar w:fldCharType="begin"/>
          </w:r>
          <w:r>
            <w:instrText xml:space="preserve"> PAGEREF _Toc21113 \h </w:instrText>
          </w:r>
          <w:r>
            <w:fldChar w:fldCharType="separate"/>
          </w:r>
          <w:r>
            <w:t>8</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_Toc13039 </w:instrText>
          </w:r>
          <w:r>
            <w:rPr>
              <w:rFonts w:hint="eastAsia"/>
            </w:rPr>
            <w:fldChar w:fldCharType="separate"/>
          </w:r>
          <w:r>
            <w:rPr>
              <w:rFonts w:hint="eastAsia" w:ascii="黑体" w:eastAsia="黑体"/>
              <w:szCs w:val="32"/>
              <w:lang w:val="en-US" w:eastAsia="zh-CN"/>
            </w:rPr>
            <w:t>十</w:t>
          </w:r>
          <w:r>
            <w:rPr>
              <w:rFonts w:hint="eastAsia" w:ascii="黑体" w:eastAsia="黑体"/>
              <w:szCs w:val="32"/>
            </w:rPr>
            <w:t>、</w:t>
          </w:r>
          <w:r>
            <w:rPr>
              <w:rFonts w:hint="eastAsia" w:ascii="黑体" w:hAnsi="黑体" w:eastAsia="黑体"/>
            </w:rPr>
            <w:t>政府性基金预算支出决算情况说明</w:t>
          </w:r>
          <w:r>
            <w:tab/>
          </w:r>
          <w:r>
            <w:fldChar w:fldCharType="begin"/>
          </w:r>
          <w:r>
            <w:instrText xml:space="preserve"> PAGEREF _Toc13039 \h </w:instrText>
          </w:r>
          <w:r>
            <w:fldChar w:fldCharType="separate"/>
          </w:r>
          <w:r>
            <w:t>10</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_Toc31051 </w:instrText>
          </w:r>
          <w:r>
            <w:rPr>
              <w:rFonts w:hint="eastAsia"/>
            </w:rPr>
            <w:fldChar w:fldCharType="separate"/>
          </w:r>
          <w:r>
            <w:rPr>
              <w:rFonts w:hint="eastAsia" w:ascii="黑体" w:hAnsi="黑体" w:eastAsia="黑体"/>
              <w:lang w:val="en-US" w:eastAsia="zh-CN"/>
            </w:rPr>
            <w:t>十一、</w:t>
          </w:r>
          <w:r>
            <w:rPr>
              <w:rFonts w:hint="eastAsia" w:ascii="黑体" w:hAnsi="黑体" w:eastAsia="黑体"/>
            </w:rPr>
            <w:t>国有资本经营预算支出决算情况说明</w:t>
          </w:r>
          <w:r>
            <w:tab/>
          </w:r>
          <w:r>
            <w:fldChar w:fldCharType="begin"/>
          </w:r>
          <w:r>
            <w:instrText xml:space="preserve"> PAGEREF _Toc31051 \h </w:instrText>
          </w:r>
          <w:r>
            <w:fldChar w:fldCharType="separate"/>
          </w:r>
          <w:r>
            <w:t>10</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_Toc4273 </w:instrText>
          </w:r>
          <w:r>
            <w:rPr>
              <w:rFonts w:hint="eastAsia"/>
            </w:rPr>
            <w:fldChar w:fldCharType="separate"/>
          </w:r>
          <w:r>
            <w:rPr>
              <w:rFonts w:hint="eastAsia" w:ascii="黑体" w:hAnsi="黑体" w:eastAsia="黑体"/>
              <w:szCs w:val="32"/>
              <w:lang w:val="en-US" w:eastAsia="zh-CN"/>
            </w:rPr>
            <w:t>十二、</w:t>
          </w:r>
          <w:r>
            <w:rPr>
              <w:rFonts w:hint="eastAsia" w:ascii="黑体" w:hAnsi="黑体" w:eastAsia="黑体"/>
            </w:rPr>
            <w:t>其他重要事项的情况说明</w:t>
          </w:r>
          <w:r>
            <w:tab/>
          </w:r>
          <w:r>
            <w:fldChar w:fldCharType="begin"/>
          </w:r>
          <w:r>
            <w:instrText xml:space="preserve"> PAGEREF _Toc4273 \h </w:instrText>
          </w:r>
          <w:r>
            <w:fldChar w:fldCharType="separate"/>
          </w:r>
          <w:r>
            <w:t>10</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_Toc26113 </w:instrText>
          </w:r>
          <w:r>
            <w:rPr>
              <w:rFonts w:hint="eastAsia"/>
            </w:rPr>
            <w:fldChar w:fldCharType="separate"/>
          </w:r>
          <w:r>
            <w:rPr>
              <w:rFonts w:hint="eastAsia" w:ascii="黑体" w:hAnsi="黑体" w:eastAsia="黑体"/>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_Toc26113 \h </w:instrText>
          </w:r>
          <w:r>
            <w:fldChar w:fldCharType="separate"/>
          </w:r>
          <w:r>
            <w:t>13</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_Toc17083 </w:instrText>
          </w:r>
          <w:r>
            <w:rPr>
              <w:rFonts w:hint="eastAsia"/>
            </w:rPr>
            <w:fldChar w:fldCharType="separate"/>
          </w:r>
          <w:r>
            <w:rPr>
              <w:rFonts w:hint="eastAsia" w:ascii="黑体" w:hAnsi="黑体" w:eastAsia="黑体"/>
              <w:szCs w:val="44"/>
            </w:rPr>
            <w:t>第</w:t>
          </w:r>
          <w:r>
            <w:rPr>
              <w:rFonts w:hint="eastAsia" w:ascii="黑体" w:hAnsi="黑体" w:eastAsia="黑体"/>
            </w:rPr>
            <w:t>四部分 附件</w:t>
          </w:r>
          <w:r>
            <w:tab/>
          </w:r>
          <w:r>
            <w:fldChar w:fldCharType="begin"/>
          </w:r>
          <w:r>
            <w:instrText xml:space="preserve"> PAGEREF _Toc17083 \h </w:instrText>
          </w:r>
          <w:r>
            <w:fldChar w:fldCharType="separate"/>
          </w:r>
          <w:r>
            <w:t>18</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_Toc18688 </w:instrText>
          </w:r>
          <w:r>
            <w:rPr>
              <w:rFonts w:hint="eastAsia"/>
            </w:rPr>
            <w:fldChar w:fldCharType="separate"/>
          </w:r>
          <w:r>
            <w:rPr>
              <w:rFonts w:hint="eastAsia" w:ascii="黑体" w:hAnsi="黑体" w:eastAsia="黑体" w:cs="黑体"/>
              <w:szCs w:val="32"/>
            </w:rPr>
            <w:t>附件1</w:t>
          </w:r>
          <w:r>
            <w:tab/>
          </w:r>
          <w:r>
            <w:fldChar w:fldCharType="begin"/>
          </w:r>
          <w:r>
            <w:instrText xml:space="preserve"> PAGEREF _Toc18688 \h </w:instrText>
          </w:r>
          <w:r>
            <w:fldChar w:fldCharType="separate"/>
          </w:r>
          <w:r>
            <w:t>18</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_Toc2441 </w:instrText>
          </w:r>
          <w:r>
            <w:rPr>
              <w:rFonts w:hint="eastAsia"/>
            </w:rPr>
            <w:fldChar w:fldCharType="separate"/>
          </w:r>
          <w:r>
            <w:rPr>
              <w:rFonts w:hint="eastAsia" w:ascii="黑体" w:hAnsi="黑体" w:eastAsia="黑体"/>
              <w:szCs w:val="44"/>
            </w:rPr>
            <w:t>第</w:t>
          </w:r>
          <w:r>
            <w:rPr>
              <w:rFonts w:hint="eastAsia" w:ascii="黑体" w:hAnsi="黑体" w:eastAsia="黑体"/>
            </w:rPr>
            <w:t>五部分 附表</w:t>
          </w:r>
          <w:r>
            <w:tab/>
          </w:r>
          <w:r>
            <w:fldChar w:fldCharType="begin"/>
          </w:r>
          <w:r>
            <w:instrText xml:space="preserve"> PAGEREF _Toc2441 \h </w:instrText>
          </w:r>
          <w:r>
            <w:fldChar w:fldCharType="separate"/>
          </w:r>
          <w:r>
            <w:t>23</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_Toc5075 </w:instrText>
          </w:r>
          <w:r>
            <w:rPr>
              <w:rFonts w:hint="eastAsia"/>
            </w:rPr>
            <w:fldChar w:fldCharType="separate"/>
          </w:r>
          <w:r>
            <w:rPr>
              <w:rFonts w:hint="eastAsia" w:ascii="仿宋" w:hAnsi="仿宋" w:eastAsia="仿宋"/>
            </w:rPr>
            <w:t>一、收入支出决算总表</w:t>
          </w:r>
          <w:r>
            <w:tab/>
          </w:r>
          <w:r>
            <w:fldChar w:fldCharType="begin"/>
          </w:r>
          <w:r>
            <w:instrText xml:space="preserve"> PAGEREF _Toc5075 \h </w:instrText>
          </w:r>
          <w:r>
            <w:fldChar w:fldCharType="separate"/>
          </w:r>
          <w:r>
            <w:t>23</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_Toc32628 </w:instrText>
          </w:r>
          <w:r>
            <w:rPr>
              <w:rFonts w:hint="eastAsia"/>
            </w:rPr>
            <w:fldChar w:fldCharType="separate"/>
          </w:r>
          <w:r>
            <w:rPr>
              <w:rFonts w:hint="eastAsia" w:ascii="仿宋" w:hAnsi="仿宋" w:eastAsia="仿宋"/>
            </w:rPr>
            <w:t>二、收入支出决算表</w:t>
          </w:r>
          <w:r>
            <w:tab/>
          </w:r>
          <w:r>
            <w:fldChar w:fldCharType="begin"/>
          </w:r>
          <w:r>
            <w:instrText xml:space="preserve"> PAGEREF _Toc32628 \h </w:instrText>
          </w:r>
          <w:r>
            <w:fldChar w:fldCharType="separate"/>
          </w:r>
          <w:r>
            <w:t>23</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_Toc4742 </w:instrText>
          </w:r>
          <w:r>
            <w:rPr>
              <w:rFonts w:hint="eastAsia"/>
            </w:rPr>
            <w:fldChar w:fldCharType="separate"/>
          </w:r>
          <w:r>
            <w:rPr>
              <w:rFonts w:hint="eastAsia" w:ascii="仿宋" w:hAnsi="仿宋" w:eastAsia="仿宋"/>
              <w:bCs w:val="0"/>
            </w:rPr>
            <w:t>三、</w:t>
          </w:r>
          <w:r>
            <w:rPr>
              <w:rFonts w:hint="eastAsia" w:ascii="仿宋" w:hAnsi="仿宋" w:eastAsia="仿宋"/>
            </w:rPr>
            <w:t>收入决算表</w:t>
          </w:r>
          <w:r>
            <w:tab/>
          </w:r>
          <w:r>
            <w:fldChar w:fldCharType="begin"/>
          </w:r>
          <w:r>
            <w:instrText xml:space="preserve"> PAGEREF _Toc4742 \h </w:instrText>
          </w:r>
          <w:r>
            <w:fldChar w:fldCharType="separate"/>
          </w:r>
          <w:r>
            <w:t>23</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_Toc14115 </w:instrText>
          </w:r>
          <w:r>
            <w:rPr>
              <w:rFonts w:hint="eastAsia"/>
            </w:rPr>
            <w:fldChar w:fldCharType="separate"/>
          </w:r>
          <w:r>
            <w:rPr>
              <w:rFonts w:hint="eastAsia" w:ascii="仿宋" w:hAnsi="仿宋" w:eastAsia="仿宋"/>
              <w:bCs w:val="0"/>
            </w:rPr>
            <w:t>四、</w:t>
          </w:r>
          <w:r>
            <w:rPr>
              <w:rFonts w:hint="eastAsia" w:ascii="仿宋" w:hAnsi="仿宋" w:eastAsia="仿宋"/>
            </w:rPr>
            <w:t>支出决算表</w:t>
          </w:r>
          <w:r>
            <w:tab/>
          </w:r>
          <w:r>
            <w:fldChar w:fldCharType="begin"/>
          </w:r>
          <w:r>
            <w:instrText xml:space="preserve"> PAGEREF _Toc14115 \h </w:instrText>
          </w:r>
          <w:r>
            <w:fldChar w:fldCharType="separate"/>
          </w:r>
          <w:r>
            <w:t>23</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_Toc20672 </w:instrText>
          </w:r>
          <w:r>
            <w:rPr>
              <w:rFonts w:hint="eastAsia"/>
            </w:rPr>
            <w:fldChar w:fldCharType="separate"/>
          </w:r>
          <w:r>
            <w:rPr>
              <w:rFonts w:hint="eastAsia" w:ascii="仿宋" w:hAnsi="仿宋" w:eastAsia="仿宋"/>
              <w:bCs w:val="0"/>
            </w:rPr>
            <w:t>五、</w:t>
          </w:r>
          <w:r>
            <w:rPr>
              <w:rFonts w:hint="eastAsia" w:ascii="仿宋" w:hAnsi="仿宋" w:eastAsia="仿宋"/>
            </w:rPr>
            <w:t>支出决算明细表</w:t>
          </w:r>
          <w:r>
            <w:tab/>
          </w:r>
          <w:r>
            <w:fldChar w:fldCharType="begin"/>
          </w:r>
          <w:r>
            <w:instrText xml:space="preserve"> PAGEREF _Toc20672 \h </w:instrText>
          </w:r>
          <w:r>
            <w:fldChar w:fldCharType="separate"/>
          </w:r>
          <w:r>
            <w:t>23</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_Toc19128 </w:instrText>
          </w:r>
          <w:r>
            <w:rPr>
              <w:rFonts w:hint="eastAsia"/>
            </w:rPr>
            <w:fldChar w:fldCharType="separate"/>
          </w:r>
          <w:r>
            <w:rPr>
              <w:rFonts w:hint="eastAsia" w:ascii="仿宋" w:hAnsi="仿宋" w:eastAsia="仿宋"/>
              <w:bCs w:val="0"/>
            </w:rPr>
            <w:t>六、</w:t>
          </w:r>
          <w:r>
            <w:rPr>
              <w:rFonts w:hint="eastAsia" w:ascii="仿宋" w:hAnsi="仿宋" w:eastAsia="仿宋"/>
            </w:rPr>
            <w:t>项目收入支出决算表</w:t>
          </w:r>
          <w:r>
            <w:tab/>
          </w:r>
          <w:r>
            <w:fldChar w:fldCharType="begin"/>
          </w:r>
          <w:r>
            <w:instrText xml:space="preserve"> PAGEREF _Toc19128 \h </w:instrText>
          </w:r>
          <w:r>
            <w:fldChar w:fldCharType="separate"/>
          </w:r>
          <w:r>
            <w:t>23</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_Toc12500 </w:instrText>
          </w:r>
          <w:r>
            <w:rPr>
              <w:rFonts w:hint="eastAsia"/>
            </w:rPr>
            <w:fldChar w:fldCharType="separate"/>
          </w:r>
          <w:r>
            <w:rPr>
              <w:rFonts w:hint="eastAsia" w:ascii="仿宋" w:hAnsi="仿宋" w:eastAsia="仿宋"/>
              <w:bCs w:val="0"/>
            </w:rPr>
            <w:t>七、</w:t>
          </w:r>
          <w:r>
            <w:rPr>
              <w:rFonts w:hint="eastAsia" w:ascii="仿宋" w:hAnsi="仿宋" w:eastAsia="仿宋"/>
            </w:rPr>
            <w:t>一般公共预算财政拨款收入支出决算表</w:t>
          </w:r>
          <w:r>
            <w:tab/>
          </w:r>
          <w:r>
            <w:fldChar w:fldCharType="begin"/>
          </w:r>
          <w:r>
            <w:instrText xml:space="preserve"> PAGEREF _Toc12500 \h </w:instrText>
          </w:r>
          <w:r>
            <w:fldChar w:fldCharType="separate"/>
          </w:r>
          <w:r>
            <w:t>23</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_Toc18730 </w:instrText>
          </w:r>
          <w:r>
            <w:rPr>
              <w:rFonts w:hint="eastAsia"/>
            </w:rPr>
            <w:fldChar w:fldCharType="separate"/>
          </w:r>
          <w:r>
            <w:rPr>
              <w:rFonts w:hint="eastAsia" w:ascii="仿宋" w:hAnsi="仿宋" w:eastAsia="仿宋"/>
              <w:bCs w:val="0"/>
            </w:rPr>
            <w:t>八、</w:t>
          </w:r>
          <w:r>
            <w:rPr>
              <w:rFonts w:hint="eastAsia" w:ascii="仿宋" w:hAnsi="仿宋" w:eastAsia="仿宋"/>
            </w:rPr>
            <w:t>一般公共预算财政拨款支出决算明细表</w:t>
          </w:r>
          <w:r>
            <w:tab/>
          </w:r>
          <w:r>
            <w:fldChar w:fldCharType="begin"/>
          </w:r>
          <w:r>
            <w:instrText xml:space="preserve"> PAGEREF _Toc18730 \h </w:instrText>
          </w:r>
          <w:r>
            <w:fldChar w:fldCharType="separate"/>
          </w:r>
          <w:r>
            <w:t>23</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_Toc3095 </w:instrText>
          </w:r>
          <w:r>
            <w:rPr>
              <w:rFonts w:hint="eastAsia"/>
            </w:rPr>
            <w:fldChar w:fldCharType="separate"/>
          </w:r>
          <w:r>
            <w:rPr>
              <w:rFonts w:hint="eastAsia" w:ascii="仿宋" w:hAnsi="仿宋" w:eastAsia="仿宋"/>
              <w:bCs w:val="0"/>
            </w:rPr>
            <w:t>九、</w:t>
          </w:r>
          <w:r>
            <w:rPr>
              <w:rFonts w:hint="eastAsia" w:ascii="仿宋" w:hAnsi="仿宋" w:eastAsia="仿宋"/>
            </w:rPr>
            <w:t>一般公共预算财政拨款基本支出决算明细表</w:t>
          </w:r>
          <w:r>
            <w:tab/>
          </w:r>
          <w:r>
            <w:fldChar w:fldCharType="begin"/>
          </w:r>
          <w:r>
            <w:instrText xml:space="preserve"> PAGEREF _Toc3095 \h </w:instrText>
          </w:r>
          <w:r>
            <w:fldChar w:fldCharType="separate"/>
          </w:r>
          <w:r>
            <w:t>23</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_Toc7085 </w:instrText>
          </w:r>
          <w:r>
            <w:rPr>
              <w:rFonts w:hint="eastAsia"/>
            </w:rPr>
            <w:fldChar w:fldCharType="separate"/>
          </w:r>
          <w:r>
            <w:rPr>
              <w:rFonts w:hint="eastAsia" w:ascii="仿宋" w:hAnsi="仿宋" w:eastAsia="仿宋"/>
              <w:bCs w:val="0"/>
            </w:rPr>
            <w:t>十、</w:t>
          </w:r>
          <w:r>
            <w:rPr>
              <w:rFonts w:hint="eastAsia" w:ascii="仿宋" w:hAnsi="仿宋" w:eastAsia="仿宋"/>
            </w:rPr>
            <w:t>一般公共预算财政拨款项目支出决算明细表</w:t>
          </w:r>
          <w:r>
            <w:tab/>
          </w:r>
          <w:r>
            <w:fldChar w:fldCharType="begin"/>
          </w:r>
          <w:r>
            <w:instrText xml:space="preserve"> PAGEREF _Toc7085 \h </w:instrText>
          </w:r>
          <w:r>
            <w:fldChar w:fldCharType="separate"/>
          </w:r>
          <w:r>
            <w:t>23</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_Toc12104 </w:instrText>
          </w:r>
          <w:r>
            <w:rPr>
              <w:rFonts w:hint="eastAsia"/>
            </w:rPr>
            <w:fldChar w:fldCharType="separate"/>
          </w:r>
          <w:r>
            <w:rPr>
              <w:rFonts w:hint="eastAsia" w:ascii="仿宋" w:hAnsi="仿宋" w:eastAsia="仿宋"/>
              <w:bCs w:val="0"/>
            </w:rPr>
            <w:t>十一、</w:t>
          </w:r>
          <w:r>
            <w:rPr>
              <w:rFonts w:hint="eastAsia" w:ascii="仿宋" w:hAnsi="仿宋" w:eastAsia="仿宋"/>
            </w:rPr>
            <w:t>预算支出相关信息表</w:t>
          </w:r>
          <w:r>
            <w:tab/>
          </w:r>
          <w:r>
            <w:fldChar w:fldCharType="begin"/>
          </w:r>
          <w:r>
            <w:instrText xml:space="preserve"> PAGEREF _Toc12104 \h </w:instrText>
          </w:r>
          <w:r>
            <w:fldChar w:fldCharType="separate"/>
          </w:r>
          <w:r>
            <w:t>23</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_Toc2837 </w:instrText>
          </w:r>
          <w:r>
            <w:rPr>
              <w:rFonts w:hint="eastAsia"/>
            </w:rPr>
            <w:fldChar w:fldCharType="separate"/>
          </w:r>
          <w:r>
            <w:rPr>
              <w:rFonts w:hint="eastAsia" w:ascii="仿宋" w:hAnsi="仿宋" w:eastAsia="仿宋"/>
              <w:bCs w:val="0"/>
            </w:rPr>
            <w:t>十二、</w:t>
          </w:r>
          <w:r>
            <w:rPr>
              <w:rFonts w:hint="eastAsia" w:ascii="仿宋" w:hAnsi="仿宋" w:eastAsia="仿宋"/>
            </w:rPr>
            <w:t>基本数字表</w:t>
          </w:r>
          <w:r>
            <w:tab/>
          </w:r>
          <w:r>
            <w:fldChar w:fldCharType="begin"/>
          </w:r>
          <w:r>
            <w:instrText xml:space="preserve"> PAGEREF _Toc2837 \h </w:instrText>
          </w:r>
          <w:r>
            <w:fldChar w:fldCharType="separate"/>
          </w:r>
          <w:r>
            <w:t>23</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_Toc23239 </w:instrText>
          </w:r>
          <w:r>
            <w:rPr>
              <w:rFonts w:hint="eastAsia"/>
            </w:rPr>
            <w:fldChar w:fldCharType="separate"/>
          </w:r>
          <w:r>
            <w:rPr>
              <w:rFonts w:hint="eastAsia" w:ascii="仿宋" w:hAnsi="仿宋" w:eastAsia="仿宋"/>
              <w:bCs w:val="0"/>
            </w:rPr>
            <w:t>十三、</w:t>
          </w:r>
          <w:r>
            <w:rPr>
              <w:rFonts w:hint="eastAsia" w:ascii="仿宋" w:hAnsi="仿宋" w:eastAsia="仿宋"/>
            </w:rPr>
            <w:t>机构运行信息表</w:t>
          </w:r>
          <w:r>
            <w:tab/>
          </w:r>
          <w:r>
            <w:fldChar w:fldCharType="begin"/>
          </w:r>
          <w:r>
            <w:instrText xml:space="preserve"> PAGEREF _Toc23239 \h </w:instrText>
          </w:r>
          <w:r>
            <w:fldChar w:fldCharType="separate"/>
          </w:r>
          <w:r>
            <w:t>23</w:t>
          </w:r>
          <w:r>
            <w:fldChar w:fldCharType="end"/>
          </w:r>
          <w:r>
            <w:rPr>
              <w:rFonts w:hint="eastAsia"/>
            </w:rPr>
            <w:fldChar w:fldCharType="end"/>
          </w:r>
        </w:p>
        <w:p>
          <w:pPr>
            <w:pStyle w:val="7"/>
            <w:rPr>
              <w:rFonts w:hint="eastAsia" w:ascii="Calibri" w:hAnsi="Calibri" w:eastAsia="宋体" w:cs="Times New Roman"/>
              <w:b/>
              <w:kern w:val="2"/>
              <w:sz w:val="21"/>
              <w:szCs w:val="21"/>
              <w:lang w:val="en-US" w:eastAsia="zh-CN" w:bidi="ar-SA"/>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r>
            <w:rPr>
              <w:rFonts w:hint="eastAsia"/>
            </w:rPr>
            <w:fldChar w:fldCharType="end"/>
          </w:r>
        </w:p>
      </w:sdtContent>
    </w:sdt>
    <w:p>
      <w:pPr>
        <w:rPr>
          <w:rFonts w:hint="eastAsia"/>
        </w:rPr>
      </w:pPr>
    </w:p>
    <w:p>
      <w:pPr>
        <w:pStyle w:val="3"/>
        <w:jc w:val="center"/>
        <w:rPr>
          <w:rFonts w:ascii="黑体" w:eastAsia="黑体"/>
          <w:color w:val="000000"/>
          <w:sz w:val="32"/>
          <w:szCs w:val="32"/>
        </w:rPr>
      </w:pPr>
      <w:bookmarkStart w:id="14" w:name="_Toc4551"/>
      <w:r>
        <w:rPr>
          <w:rFonts w:hint="eastAsia" w:ascii="黑体" w:hAnsi="黑体" w:eastAsia="黑体"/>
          <w:b w:val="0"/>
        </w:rPr>
        <w:t xml:space="preserve">第一部分 </w:t>
      </w:r>
      <w:r>
        <w:rPr>
          <w:rStyle w:val="30"/>
          <w:rFonts w:hint="eastAsia" w:ascii="黑体" w:hAnsi="黑体" w:eastAsia="黑体"/>
          <w:b w:val="0"/>
          <w:bCs w:val="0"/>
        </w:rPr>
        <w:t>部门概况</w:t>
      </w:r>
      <w:bookmarkEnd w:id="14"/>
    </w:p>
    <w:p>
      <w:pPr>
        <w:snapToGrid w:val="0"/>
        <w:spacing w:line="560" w:lineRule="exact"/>
        <w:ind w:firstLine="640" w:firstLineChars="200"/>
        <w:outlineLvl w:val="1"/>
        <w:rPr>
          <w:rFonts w:hint="eastAsia" w:ascii="黑体" w:eastAsia="黑体" w:hAnsiTheme="majorHAnsi" w:cstheme="majorBidi"/>
          <w:b w:val="0"/>
          <w:bCs/>
          <w:color w:val="000000"/>
          <w:kern w:val="2"/>
          <w:sz w:val="32"/>
          <w:szCs w:val="32"/>
          <w:lang w:val="en-US" w:eastAsia="zh-CN" w:bidi="ar-SA"/>
        </w:rPr>
      </w:pPr>
      <w:bookmarkStart w:id="15" w:name="_Toc15377197"/>
      <w:bookmarkStart w:id="16" w:name="_Toc15396600"/>
      <w:bookmarkStart w:id="17" w:name="_Toc29661"/>
      <w:r>
        <w:rPr>
          <w:rFonts w:hint="eastAsia" w:ascii="黑体" w:eastAsia="黑体" w:hAnsiTheme="majorHAnsi" w:cstheme="majorBidi"/>
          <w:b w:val="0"/>
          <w:bCs/>
          <w:color w:val="000000"/>
          <w:kern w:val="2"/>
          <w:sz w:val="32"/>
          <w:szCs w:val="32"/>
          <w:lang w:val="en-US" w:eastAsia="zh-CN" w:bidi="ar-SA"/>
        </w:rPr>
        <w:t>一、基本职能及主要工作</w:t>
      </w:r>
      <w:bookmarkEnd w:id="15"/>
      <w:bookmarkEnd w:id="16"/>
      <w:bookmarkEnd w:id="17"/>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outlineLvl w:val="1"/>
        <w:rPr>
          <w:rFonts w:hint="eastAsia" w:ascii="宋体" w:hAnsi="宋体" w:eastAsia="宋体" w:cs="宋体"/>
          <w:i w:val="0"/>
          <w:iCs w:val="0"/>
          <w:caps w:val="0"/>
          <w:color w:val="333333"/>
          <w:spacing w:val="0"/>
          <w:sz w:val="32"/>
          <w:szCs w:val="32"/>
        </w:rPr>
      </w:pPr>
      <w:bookmarkStart w:id="18" w:name="_Toc22423"/>
      <w:bookmarkStart w:id="19" w:name="_Toc20682"/>
      <w:bookmarkStart w:id="20" w:name="_Toc15377200"/>
      <w:bookmarkStart w:id="21" w:name="_Toc15396601"/>
      <w:r>
        <w:rPr>
          <w:rFonts w:hint="eastAsia" w:ascii="宋体" w:hAnsi="宋体" w:eastAsia="宋体" w:cs="宋体"/>
          <w:b/>
          <w:bCs/>
          <w:i w:val="0"/>
          <w:iCs w:val="0"/>
          <w:caps w:val="0"/>
          <w:color w:val="333333"/>
          <w:spacing w:val="0"/>
          <w:sz w:val="32"/>
          <w:szCs w:val="32"/>
          <w:shd w:val="clear" w:color="auto" w:fill="FFFFFF"/>
        </w:rPr>
        <w:t>（一）基本职能</w:t>
      </w:r>
      <w:bookmarkEnd w:id="18"/>
      <w:bookmarkEnd w:id="19"/>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Arial" w:hAnsi="Arial" w:eastAsia="Arial" w:cs="Arial"/>
          <w:i w:val="0"/>
          <w:caps w:val="0"/>
          <w:color w:val="000000"/>
          <w:spacing w:val="0"/>
          <w:sz w:val="18"/>
          <w:szCs w:val="18"/>
        </w:rPr>
      </w:pPr>
      <w:bookmarkStart w:id="22" w:name="_Toc9610"/>
      <w:r>
        <w:rPr>
          <w:rStyle w:val="20"/>
          <w:rFonts w:hint="default" w:ascii="Arial" w:hAnsi="Arial" w:eastAsia="Arial" w:cs="Arial"/>
          <w:i w:val="0"/>
          <w:caps w:val="0"/>
          <w:color w:val="000000"/>
          <w:spacing w:val="0"/>
          <w:sz w:val="24"/>
          <w:szCs w:val="24"/>
          <w:shd w:val="clear" w:fill="FFFFFF"/>
        </w:rPr>
        <w:t>（一）基本情况。</w:t>
      </w:r>
    </w:p>
    <w:p>
      <w:pPr>
        <w:pStyle w:val="45"/>
        <w:keepNext w:val="0"/>
        <w:keepLines w:val="0"/>
        <w:pageBreakBefore w:val="0"/>
        <w:widowControl w:val="0"/>
        <w:suppressLineNumbers w:val="0"/>
        <w:wordWrap/>
        <w:topLinePunct w:val="0"/>
        <w:autoSpaceDE w:val="0"/>
        <w:autoSpaceDN/>
        <w:bidi w:val="0"/>
        <w:adjustRightInd/>
        <w:snapToGrid w:val="0"/>
        <w:spacing w:before="0" w:beforeAutospacing="0" w:afterAutospacing="0" w:line="540" w:lineRule="exact"/>
        <w:ind w:left="0" w:firstLine="640" w:firstLineChars="200"/>
        <w:jc w:val="left"/>
        <w:textAlignment w:val="auto"/>
        <w:rPr>
          <w:rFonts w:hint="eastAsia" w:ascii="仿宋_GB2312" w:eastAsia="仿宋_GB2312" w:cs="仿宋_GB2312"/>
          <w:kern w:val="0"/>
          <w:sz w:val="32"/>
          <w:szCs w:val="32"/>
          <w:shd w:val="clear" w:fill="FFFFFF"/>
        </w:rPr>
      </w:pPr>
      <w:r>
        <w:rPr>
          <w:rFonts w:hint="eastAsia" w:ascii="仿宋_GB2312" w:eastAsia="仿宋_GB2312" w:cs="仿宋_GB2312"/>
          <w:kern w:val="0"/>
          <w:sz w:val="32"/>
          <w:szCs w:val="32"/>
          <w:shd w:val="clear" w:fill="FFFFFF"/>
        </w:rPr>
        <w:t>1.主要职能。</w:t>
      </w:r>
    </w:p>
    <w:p>
      <w:pPr>
        <w:pStyle w:val="45"/>
        <w:keepNext w:val="0"/>
        <w:keepLines w:val="0"/>
        <w:pageBreakBefore w:val="0"/>
        <w:widowControl w:val="0"/>
        <w:suppressLineNumbers w:val="0"/>
        <w:wordWrap/>
        <w:topLinePunct w:val="0"/>
        <w:autoSpaceDE w:val="0"/>
        <w:autoSpaceDN/>
        <w:bidi w:val="0"/>
        <w:adjustRightInd/>
        <w:spacing w:before="0" w:beforeAutospacing="0" w:afterAutospacing="0" w:line="540" w:lineRule="exact"/>
        <w:ind w:left="0" w:firstLine="640" w:firstLineChars="200"/>
        <w:jc w:val="left"/>
        <w:textAlignment w:val="auto"/>
        <w:rPr>
          <w:rFonts w:hint="eastAsia" w:ascii="仿宋_GB2312" w:hAnsi="仿宋" w:eastAsia="仿宋_GB2312" w:cs="仿宋_GB2312"/>
          <w:color w:val="000000"/>
          <w:kern w:val="0"/>
          <w:sz w:val="32"/>
          <w:szCs w:val="32"/>
          <w:lang w:val="en-US" w:eastAsia="zh-CN" w:bidi="ar"/>
        </w:rPr>
      </w:pPr>
      <w:r>
        <w:rPr>
          <w:rFonts w:hint="eastAsia" w:ascii="仿宋_GB2312" w:eastAsia="仿宋_GB2312" w:cs="仿宋_GB2312"/>
          <w:kern w:val="0"/>
          <w:sz w:val="32"/>
          <w:szCs w:val="32"/>
          <w:shd w:val="clear" w:fill="FFFFFF"/>
        </w:rPr>
        <w:t>红原县新华书店作为党的思想宣传重要阵地，是先进文化的基本传播载体，承担着传播主流文化、传承民族文化、提高民族素质的重大使命，承担着为现代化建设提供精神动力、智力支持的重要任务，同时还担负着教材的发行工作，主要负责全县一般书籍、中小学教材的征订发行工作。发挥重要的经济作用，担负着重要的政治职能，提供大量的社会服务，履行文化传播职能。</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outlineLvl w:val="1"/>
        <w:rPr>
          <w:rFonts w:hint="eastAsia" w:ascii="宋体" w:hAnsi="宋体" w:eastAsia="宋体" w:cs="宋体"/>
          <w:i w:val="0"/>
          <w:iCs w:val="0"/>
          <w:caps w:val="0"/>
          <w:color w:val="333333"/>
          <w:spacing w:val="0"/>
          <w:sz w:val="32"/>
          <w:szCs w:val="32"/>
        </w:rPr>
      </w:pPr>
      <w:bookmarkStart w:id="23" w:name="_Toc14054"/>
      <w:r>
        <w:rPr>
          <w:rFonts w:hint="eastAsia" w:ascii="宋体" w:hAnsi="宋体" w:eastAsia="宋体" w:cs="宋体"/>
          <w:b/>
          <w:bCs/>
          <w:i w:val="0"/>
          <w:iCs w:val="0"/>
          <w:caps w:val="0"/>
          <w:color w:val="333333"/>
          <w:spacing w:val="0"/>
          <w:sz w:val="32"/>
          <w:szCs w:val="32"/>
          <w:shd w:val="clear" w:color="auto" w:fill="FFFFFF"/>
        </w:rPr>
        <w:t>（二）202</w:t>
      </w:r>
      <w:r>
        <w:rPr>
          <w:rFonts w:hint="eastAsia" w:ascii="宋体" w:hAnsi="宋体" w:eastAsia="宋体" w:cs="宋体"/>
          <w:b/>
          <w:bCs/>
          <w:i w:val="0"/>
          <w:iCs w:val="0"/>
          <w:caps w:val="0"/>
          <w:color w:val="333333"/>
          <w:spacing w:val="0"/>
          <w:sz w:val="32"/>
          <w:szCs w:val="32"/>
          <w:shd w:val="clear" w:color="auto" w:fill="FFFFFF"/>
          <w:lang w:val="en-US" w:eastAsia="zh-CN"/>
        </w:rPr>
        <w:t>1</w:t>
      </w:r>
      <w:r>
        <w:rPr>
          <w:rFonts w:hint="eastAsia" w:ascii="宋体" w:hAnsi="宋体" w:eastAsia="宋体" w:cs="宋体"/>
          <w:b/>
          <w:bCs/>
          <w:i w:val="0"/>
          <w:iCs w:val="0"/>
          <w:caps w:val="0"/>
          <w:color w:val="333333"/>
          <w:spacing w:val="0"/>
          <w:sz w:val="32"/>
          <w:szCs w:val="32"/>
          <w:shd w:val="clear" w:color="auto" w:fill="FFFFFF"/>
        </w:rPr>
        <w:t>年重点工作任务</w:t>
      </w:r>
      <w:bookmarkEnd w:id="22"/>
      <w:bookmarkEnd w:id="23"/>
    </w:p>
    <w:p>
      <w:pPr>
        <w:keepNext w:val="0"/>
        <w:keepLines w:val="0"/>
        <w:pageBreakBefore w:val="0"/>
        <w:widowControl/>
        <w:suppressLineNumbers w:val="0"/>
        <w:wordWrap/>
        <w:topLinePunct w:val="0"/>
        <w:autoSpaceDN/>
        <w:bidi w:val="0"/>
        <w:adjustRightInd/>
        <w:snapToGrid w:val="0"/>
        <w:spacing w:afterAutospacing="0" w:line="540" w:lineRule="exact"/>
        <w:ind w:left="0" w:firstLine="640" w:firstLineChars="200"/>
        <w:textAlignment w:val="auto"/>
        <w:rPr>
          <w:rFonts w:hint="eastAsia" w:ascii="仿宋_GB2312" w:hAnsi="仿宋" w:eastAsia="仿宋_GB2312" w:cs="宋体"/>
          <w:kern w:val="0"/>
          <w:sz w:val="32"/>
          <w:szCs w:val="32"/>
        </w:rPr>
      </w:pPr>
      <w:r>
        <w:rPr>
          <w:rFonts w:hint="eastAsia" w:ascii="仿宋_GB2312" w:hAnsi="仿宋" w:eastAsia="仿宋_GB2312" w:cs="宋体"/>
          <w:kern w:val="0"/>
          <w:sz w:val="32"/>
          <w:szCs w:val="32"/>
        </w:rPr>
        <w:t>1.主营业务板块：我单位新华书店主要业务为各类图书的批发和零售、教育文化用品，文具。</w:t>
      </w:r>
    </w:p>
    <w:p>
      <w:pPr>
        <w:keepNext w:val="0"/>
        <w:keepLines w:val="0"/>
        <w:pageBreakBefore w:val="0"/>
        <w:widowControl/>
        <w:suppressLineNumbers w:val="0"/>
        <w:wordWrap/>
        <w:topLinePunct w:val="0"/>
        <w:autoSpaceDN/>
        <w:bidi w:val="0"/>
        <w:adjustRightInd/>
        <w:snapToGrid w:val="0"/>
        <w:spacing w:afterAutospacing="0" w:line="540" w:lineRule="exact"/>
        <w:ind w:left="0" w:firstLine="640" w:firstLineChars="200"/>
        <w:textAlignment w:val="auto"/>
        <w:rPr>
          <w:rFonts w:hint="eastAsia" w:ascii="仿宋_GB2312" w:hAnsi="仿宋" w:eastAsia="仿宋_GB2312" w:cs="宋体"/>
          <w:kern w:val="0"/>
          <w:sz w:val="32"/>
          <w:szCs w:val="32"/>
        </w:rPr>
      </w:pPr>
      <w:r>
        <w:rPr>
          <w:rFonts w:hint="eastAsia" w:ascii="仿宋_GB2312" w:hAnsi="仿宋" w:eastAsia="仿宋_GB2312" w:cs="宋体"/>
          <w:kern w:val="0"/>
          <w:sz w:val="32"/>
          <w:szCs w:val="32"/>
        </w:rPr>
        <w:t>2.出版物发行数量8.3</w:t>
      </w:r>
      <w:r>
        <w:rPr>
          <w:rFonts w:hint="eastAsia" w:ascii="仿宋_GB2312" w:hAnsi="仿宋" w:eastAsia="仿宋_GB2312" w:cs="仿宋_GB2312"/>
          <w:kern w:val="0"/>
          <w:sz w:val="32"/>
          <w:szCs w:val="32"/>
        </w:rPr>
        <w:t>万册，比上年度减少</w:t>
      </w:r>
      <w:r>
        <w:rPr>
          <w:rFonts w:hint="eastAsia" w:ascii="仿宋_GB2312" w:hAnsi="仿宋" w:eastAsia="仿宋_GB2312" w:cs="宋体"/>
          <w:kern w:val="0"/>
          <w:sz w:val="32"/>
          <w:szCs w:val="32"/>
        </w:rPr>
        <w:t>2.4%；销售收入203</w:t>
      </w:r>
      <w:r>
        <w:rPr>
          <w:rFonts w:hint="eastAsia" w:ascii="仿宋_GB2312" w:hAnsi="仿宋" w:eastAsia="仿宋_GB2312" w:cs="仿宋_GB2312"/>
          <w:kern w:val="0"/>
          <w:sz w:val="32"/>
          <w:szCs w:val="32"/>
        </w:rPr>
        <w:t>万元，比上年度减少</w:t>
      </w:r>
      <w:r>
        <w:rPr>
          <w:rFonts w:hint="eastAsia" w:ascii="仿宋_GB2312" w:hAnsi="仿宋" w:eastAsia="仿宋_GB2312" w:cs="宋体"/>
          <w:kern w:val="0"/>
          <w:sz w:val="32"/>
          <w:szCs w:val="32"/>
        </w:rPr>
        <w:t>2.4%；利润总额-6.8</w:t>
      </w:r>
      <w:r>
        <w:rPr>
          <w:rFonts w:hint="eastAsia" w:ascii="仿宋_GB2312" w:hAnsi="仿宋" w:eastAsia="仿宋_GB2312" w:cs="仿宋_GB2312"/>
          <w:kern w:val="0"/>
          <w:sz w:val="32"/>
          <w:szCs w:val="32"/>
        </w:rPr>
        <w:t>万元，比上年度减少</w:t>
      </w:r>
      <w:r>
        <w:rPr>
          <w:rFonts w:hint="eastAsia" w:ascii="仿宋_GB2312" w:hAnsi="仿宋" w:eastAsia="仿宋_GB2312" w:cs="宋体"/>
          <w:kern w:val="0"/>
          <w:sz w:val="32"/>
          <w:szCs w:val="32"/>
        </w:rPr>
        <w:t>7.4%；上缴税款2万元，与上年度持平；库存2.1</w:t>
      </w:r>
      <w:r>
        <w:rPr>
          <w:rFonts w:hint="eastAsia" w:ascii="仿宋_GB2312" w:hAnsi="仿宋" w:eastAsia="仿宋_GB2312" w:cs="仿宋_GB2312"/>
          <w:kern w:val="0"/>
          <w:sz w:val="32"/>
          <w:szCs w:val="32"/>
        </w:rPr>
        <w:t>万册，余上年度持平。</w:t>
      </w:r>
    </w:p>
    <w:p>
      <w:pPr>
        <w:keepNext w:val="0"/>
        <w:keepLines w:val="0"/>
        <w:pageBreakBefore w:val="0"/>
        <w:widowControl/>
        <w:suppressLineNumbers w:val="0"/>
        <w:wordWrap/>
        <w:topLinePunct w:val="0"/>
        <w:autoSpaceDN/>
        <w:bidi w:val="0"/>
        <w:adjustRightInd/>
        <w:snapToGrid w:val="0"/>
        <w:spacing w:afterAutospacing="0" w:line="540" w:lineRule="exact"/>
        <w:ind w:left="0" w:firstLine="640" w:firstLineChars="200"/>
        <w:textAlignment w:val="auto"/>
        <w:rPr>
          <w:rFonts w:hint="eastAsia" w:ascii="仿宋_GB2312" w:hAnsi="仿宋" w:eastAsia="仿宋_GB2312" w:cs="仿宋_GB2312"/>
          <w:b w:val="0"/>
          <w:bCs w:val="0"/>
          <w:kern w:val="0"/>
          <w:sz w:val="32"/>
          <w:szCs w:val="32"/>
          <w:lang w:val="en-US" w:eastAsia="zh-CN" w:bidi="ar-SA"/>
        </w:rPr>
      </w:pPr>
      <w:r>
        <w:rPr>
          <w:rFonts w:hint="eastAsia" w:ascii="仿宋_GB2312" w:hAnsi="仿宋" w:eastAsia="仿宋_GB2312" w:cs="宋体"/>
          <w:kern w:val="0"/>
          <w:sz w:val="32"/>
          <w:szCs w:val="32"/>
        </w:rPr>
        <w:t>3.主要做法和经验：</w:t>
      </w:r>
      <w:r>
        <w:rPr>
          <w:rFonts w:hint="eastAsia" w:ascii="仿宋_GB2312" w:hAnsi="仿宋" w:eastAsia="仿宋_GB2312" w:cs="仿宋_GB2312"/>
          <w:b w:val="0"/>
          <w:bCs w:val="0"/>
          <w:kern w:val="0"/>
          <w:sz w:val="32"/>
          <w:szCs w:val="32"/>
          <w:lang w:val="en-US" w:eastAsia="zh-CN" w:bidi="ar-SA"/>
        </w:rPr>
        <w:t>我单位主要有以下做法和经验：一是在思想政治方面，营业员作为新华书店的最前沿，代表着新华书店的企业形象，我们的一言一行都影响着顾客对于新华书店的印象。这就要求我们在与读者直接接触的过程中以真情沟通读者，热情服务读者。干一行，爱一行，钻一行，精一行，是我们的工作宗旨。在过去的工作中，接触过无数的读者，经历过无数次主动与被动的服务方式，真正体会到什么オ是读者最需要的服务，工作中点点滴滴的积累，为我今后更好地为读者服务奠定了良好的基础。＂急读者之所急，想读者之所想”是我的服务宗旨。二是在日常工作方面，营业员的工作看似简单，但在日常的工作，实际上工作是纷繁复杂的。想把工作做好，没有足够的细心是很难做到的。我单位的日常工作主要包括以下几个方面：（1）上架：将新到货的图书根据图书类別、开本大小、厚薄、复本量、图书的内容特点等安排上架，进行适当的摆放展示，做到三个方便：方便看见、方便选购、方便拿取。（2）整理：在营业过程中随时检查卖场书架上图书摆放展示的情况，将被顾客放乱的图书整理归位，使之整齐有序。（3）补缺：查看架上图书的销售情况，对已经售缺的图书品种及时补充上架。发现常销、畅销图书库存数量不足，及时提出配货建议。（4）找书：当顾客询问查找图书时，如果书店有库存，帮顾客找出需要的图书。还有最重要的一点就是图书导购。就是要为顾客推荐合适的图书，为图书寻找对应的顾客。如何才能做到这两点呢？必须做到：了解你的读者，了解你的产品。也就是说，导购员首先要大致了解自己负责区域的毎一本书的内容和具体卖点，这样才能做到有针对性地导购。其次，导购员还必须尽可能了解读者的阅读爱好和购书目的，只有这样推荐图书的针对性也就越强，越容易取得成功。</w:t>
      </w:r>
    </w:p>
    <w:p>
      <w:pPr>
        <w:pStyle w:val="4"/>
        <w:pageBreakBefore w:val="0"/>
        <w:widowControl w:val="0"/>
        <w:kinsoku/>
        <w:wordWrap/>
        <w:overflowPunct/>
        <w:topLinePunct w:val="0"/>
        <w:autoSpaceDE/>
        <w:autoSpaceDN/>
        <w:bidi w:val="0"/>
        <w:spacing w:line="576" w:lineRule="exact"/>
        <w:ind w:firstLine="640" w:firstLineChars="200"/>
        <w:textAlignment w:val="auto"/>
        <w:rPr>
          <w:rStyle w:val="31"/>
          <w:b w:val="0"/>
          <w:bCs w:val="0"/>
        </w:rPr>
      </w:pPr>
      <w:bookmarkStart w:id="24" w:name="_Toc15000"/>
      <w:r>
        <w:rPr>
          <w:rFonts w:hint="eastAsia" w:ascii="黑体" w:eastAsia="黑体"/>
          <w:b w:val="0"/>
          <w:color w:val="000000"/>
        </w:rPr>
        <w:t>二、</w:t>
      </w:r>
      <w:r>
        <w:rPr>
          <w:rFonts w:hint="eastAsia" w:ascii="黑体" w:hAnsi="黑体" w:eastAsia="黑体"/>
          <w:b w:val="0"/>
          <w:color w:val="000000"/>
        </w:rPr>
        <w:t>机</w:t>
      </w:r>
      <w:r>
        <w:rPr>
          <w:rStyle w:val="31"/>
          <w:rFonts w:hint="eastAsia" w:ascii="黑体" w:hAnsi="黑体" w:eastAsia="黑体"/>
          <w:b w:val="0"/>
          <w:bCs w:val="0"/>
        </w:rPr>
        <w:t>构设置</w:t>
      </w:r>
      <w:bookmarkEnd w:id="20"/>
      <w:bookmarkEnd w:id="21"/>
      <w:bookmarkEnd w:id="24"/>
    </w:p>
    <w:p>
      <w:pPr>
        <w:pStyle w:val="45"/>
        <w:keepNext w:val="0"/>
        <w:keepLines w:val="0"/>
        <w:pageBreakBefore w:val="0"/>
        <w:widowControl w:val="0"/>
        <w:numPr>
          <w:ilvl w:val="0"/>
          <w:numId w:val="0"/>
        </w:numPr>
        <w:suppressLineNumbers w:val="0"/>
        <w:wordWrap/>
        <w:topLinePunct w:val="0"/>
        <w:autoSpaceDE w:val="0"/>
        <w:autoSpaceDN/>
        <w:bidi w:val="0"/>
        <w:adjustRightInd/>
        <w:spacing w:before="0" w:beforeAutospacing="0" w:afterAutospacing="0" w:line="540" w:lineRule="exact"/>
        <w:ind w:right="0" w:rightChars="0" w:firstLine="640" w:firstLineChars="200"/>
        <w:jc w:val="left"/>
        <w:textAlignment w:val="auto"/>
        <w:rPr>
          <w:rFonts w:hint="eastAsia" w:ascii="仿宋_GB2312" w:eastAsia="仿宋_GB2312" w:cs="仿宋_GB2312"/>
          <w:kern w:val="0"/>
          <w:sz w:val="32"/>
          <w:szCs w:val="32"/>
        </w:rPr>
      </w:pPr>
      <w:bookmarkStart w:id="25" w:name="_Toc15396603"/>
      <w:bookmarkStart w:id="26" w:name="_Toc15377205"/>
      <w:r>
        <w:rPr>
          <w:rFonts w:hint="eastAsia" w:ascii="仿宋_GB2312" w:eastAsia="仿宋_GB2312" w:cs="仿宋_GB2312"/>
          <w:kern w:val="0"/>
          <w:sz w:val="32"/>
          <w:szCs w:val="32"/>
          <w:shd w:val="clear" w:fill="FFFFFF"/>
        </w:rPr>
        <w:t>本单位本年度纳入本套决算编制范围的独立编制机构数共1个，与上年对比无变动；独立核算机构数共1个，与上年对比无变动。年末实有人数为5人，比上年增加0人；年末实有离退休人数为0人，比上年增加0人与上年对比，均无变化。</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Style w:val="31"/>
          <w:rFonts w:ascii="黑体" w:hAnsi="黑体" w:eastAsia="黑体"/>
          <w:b w:val="0"/>
        </w:rPr>
      </w:pPr>
      <w:r>
        <w:rPr>
          <w:rFonts w:hint="eastAsia" w:ascii="黑体" w:hAnsi="黑体" w:eastAsia="黑体"/>
          <w:color w:val="000000"/>
          <w:sz w:val="32"/>
          <w:szCs w:val="32"/>
          <w:lang w:eastAsia="zh-CN"/>
        </w:rPr>
        <w:t>三、</w:t>
      </w:r>
      <w:r>
        <w:rPr>
          <w:rFonts w:hint="eastAsia" w:ascii="黑体" w:hAnsi="黑体" w:eastAsia="黑体"/>
          <w:color w:val="000000"/>
          <w:sz w:val="32"/>
          <w:szCs w:val="32"/>
        </w:rPr>
        <w:t>收</w:t>
      </w:r>
      <w:r>
        <w:rPr>
          <w:rStyle w:val="31"/>
          <w:rFonts w:hint="eastAsia" w:ascii="黑体" w:hAnsi="黑体" w:eastAsia="黑体"/>
          <w:b w:val="0"/>
        </w:rPr>
        <w:t>入支出决算总体情况说明</w:t>
      </w:r>
      <w:bookmarkEnd w:id="25"/>
      <w:bookmarkEnd w:id="26"/>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本单位本年度收入调整预算数为103.48万元，收入决算数为103.48万元，预算完成度为100.00%，上年度预算完成度为100.00%。 本年度支出调整预算数为103.48万元，支出决算数为103.48万元，预算完成度为100.00%，上年度预算完成度为100.00%。</w:t>
      </w:r>
      <w:r>
        <w:rPr>
          <w:rFonts w:hint="default" w:ascii="仿宋" w:hAnsi="仿宋" w:eastAsia="仿宋" w:cs="Times New Roman"/>
          <w:color w:val="000000"/>
          <w:kern w:val="2"/>
          <w:sz w:val="32"/>
          <w:szCs w:val="32"/>
          <w:lang w:val="en-US" w:eastAsia="zh-CN" w:bidi="ar-SA"/>
        </w:rPr>
        <w:t>(可用柱形图或折线图)</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rPr>
          <w:rFonts w:hint="default" w:ascii="仿宋" w:hAnsi="仿宋" w:eastAsia="仿宋" w:cs="Times New Roman"/>
          <w:color w:val="000000"/>
          <w:kern w:val="2"/>
          <w:sz w:val="32"/>
          <w:szCs w:val="32"/>
          <w:lang w:val="en-US" w:eastAsia="zh-CN" w:bidi="ar-SA"/>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Style w:val="20"/>
          <w:rFonts w:hint="eastAsia" w:ascii="Arial" w:hAnsi="Arial" w:eastAsia="宋体" w:cs="Arial"/>
          <w:i w:val="0"/>
          <w:caps w:val="0"/>
          <w:color w:val="000000"/>
          <w:spacing w:val="0"/>
          <w:sz w:val="24"/>
          <w:szCs w:val="24"/>
          <w:shd w:val="clear" w:fill="FFFFFF"/>
          <w:lang w:eastAsia="zh-CN"/>
        </w:rPr>
      </w:pPr>
      <w:r>
        <w:rPr>
          <w:rStyle w:val="20"/>
          <w:rFonts w:hint="eastAsia" w:ascii="Arial" w:hAnsi="Arial" w:eastAsia="宋体" w:cs="Arial"/>
          <w:i w:val="0"/>
          <w:caps w:val="0"/>
          <w:color w:val="000000"/>
          <w:spacing w:val="0"/>
          <w:sz w:val="24"/>
          <w:szCs w:val="24"/>
          <w:shd w:val="clear" w:fill="FFFFFF"/>
          <w:lang w:eastAsia="zh-CN"/>
        </w:rPr>
        <w:drawing>
          <wp:inline distT="0" distB="0" distL="114300" distR="114300">
            <wp:extent cx="5238750" cy="2896235"/>
            <wp:effectExtent l="4445" t="4445" r="14605" b="762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7"/>
        <w:rPr>
          <w:rFonts w:hint="eastAsia" w:ascii="仿宋_GB2312" w:eastAsia="仿宋_GB2312"/>
          <w:color w:val="000000"/>
          <w:sz w:val="32"/>
          <w:szCs w:val="32"/>
          <w:lang w:eastAsia="zh-CN"/>
        </w:rPr>
      </w:pPr>
    </w:p>
    <w:p>
      <w:pPr>
        <w:pStyle w:val="29"/>
        <w:numPr>
          <w:ilvl w:val="0"/>
          <w:numId w:val="0"/>
        </w:numPr>
        <w:spacing w:line="600" w:lineRule="exact"/>
        <w:ind w:left="640" w:leftChars="0"/>
        <w:outlineLvl w:val="1"/>
        <w:rPr>
          <w:rStyle w:val="31"/>
          <w:rFonts w:ascii="黑体" w:hAnsi="黑体" w:eastAsia="黑体"/>
          <w:b w:val="0"/>
        </w:rPr>
      </w:pPr>
      <w:bookmarkStart w:id="27" w:name="_Toc15377206"/>
      <w:bookmarkStart w:id="28" w:name="_Toc15396604"/>
      <w:bookmarkStart w:id="29" w:name="_Toc18273"/>
      <w:r>
        <w:rPr>
          <w:rFonts w:hint="eastAsia" w:ascii="黑体" w:hAnsi="黑体" w:eastAsia="黑体"/>
          <w:color w:val="000000"/>
          <w:sz w:val="32"/>
          <w:szCs w:val="32"/>
          <w:lang w:eastAsia="zh-CN"/>
        </w:rPr>
        <w:t>四、</w:t>
      </w:r>
      <w:r>
        <w:rPr>
          <w:rFonts w:hint="eastAsia" w:ascii="黑体" w:hAnsi="黑体" w:eastAsia="黑体"/>
          <w:color w:val="000000"/>
          <w:sz w:val="32"/>
          <w:szCs w:val="32"/>
        </w:rPr>
        <w:t>收</w:t>
      </w:r>
      <w:r>
        <w:rPr>
          <w:rStyle w:val="31"/>
          <w:rFonts w:hint="eastAsia" w:ascii="黑体" w:hAnsi="黑体" w:eastAsia="黑体"/>
          <w:b w:val="0"/>
        </w:rPr>
        <w:t>入决算情况说明</w:t>
      </w:r>
      <w:bookmarkEnd w:id="27"/>
      <w:bookmarkEnd w:id="28"/>
      <w:bookmarkEnd w:id="29"/>
    </w:p>
    <w:p>
      <w:pPr>
        <w:spacing w:line="600" w:lineRule="exact"/>
        <w:ind w:firstLine="640" w:firstLineChars="200"/>
        <w:outlineLvl w:val="1"/>
        <w:rPr>
          <w:rFonts w:hint="eastAsia" w:ascii="仿宋" w:hAnsi="仿宋" w:eastAsia="仿宋"/>
          <w:color w:val="000000"/>
          <w:sz w:val="32"/>
          <w:szCs w:val="32"/>
        </w:rPr>
      </w:pPr>
      <w:bookmarkStart w:id="30" w:name="_Toc29935"/>
      <w:bookmarkStart w:id="31" w:name="_Toc1820"/>
      <w:bookmarkStart w:id="32" w:name="_Toc12789"/>
      <w:bookmarkStart w:id="33" w:name="_Toc27546"/>
      <w:r>
        <w:rPr>
          <w:rFonts w:hint="eastAsia" w:ascii="仿宋" w:hAnsi="仿宋" w:eastAsia="仿宋"/>
          <w:color w:val="000000"/>
          <w:sz w:val="32"/>
          <w:szCs w:val="32"/>
          <w:lang w:eastAsia="zh-CN"/>
        </w:rPr>
        <w:t>2021</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103.48</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103.48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万元，占0%。</w:t>
      </w:r>
      <w:bookmarkEnd w:id="30"/>
      <w:bookmarkEnd w:id="31"/>
      <w:bookmarkEnd w:id="32"/>
      <w:bookmarkEnd w:id="33"/>
    </w:p>
    <w:p>
      <w:pPr>
        <w:spacing w:line="600" w:lineRule="exact"/>
        <w:ind w:firstLine="960" w:firstLineChars="3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pStyle w:val="10"/>
        <w:ind w:left="420" w:leftChars="200" w:firstLine="0" w:firstLineChars="0"/>
        <w:rPr>
          <w:rFonts w:ascii="仿宋_GB2312" w:eastAsia="仿宋_GB2312"/>
          <w:color w:val="FF0000"/>
          <w:sz w:val="32"/>
          <w:szCs w:val="32"/>
        </w:rPr>
      </w:pPr>
      <w:r>
        <w:rPr>
          <w:rStyle w:val="20"/>
          <w:rFonts w:hint="eastAsia" w:ascii="Arial" w:hAnsi="Arial" w:eastAsia="宋体" w:cs="Arial"/>
          <w:i w:val="0"/>
          <w:caps w:val="0"/>
          <w:color w:val="000000"/>
          <w:spacing w:val="0"/>
          <w:sz w:val="24"/>
          <w:szCs w:val="24"/>
          <w:shd w:val="clear" w:fill="FFFFFF"/>
          <w:lang w:eastAsia="zh-CN"/>
        </w:rPr>
        <w:drawing>
          <wp:inline distT="0" distB="0" distL="114300" distR="114300">
            <wp:extent cx="2254250" cy="2279650"/>
            <wp:effectExtent l="4445" t="4445" r="1460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9"/>
        <w:numPr>
          <w:ilvl w:val="0"/>
          <w:numId w:val="0"/>
        </w:numPr>
        <w:spacing w:line="600" w:lineRule="exact"/>
        <w:ind w:left="640" w:leftChars="0"/>
        <w:outlineLvl w:val="1"/>
        <w:rPr>
          <w:rStyle w:val="31"/>
          <w:rFonts w:ascii="黑体" w:hAnsi="黑体" w:eastAsia="黑体"/>
          <w:b w:val="0"/>
        </w:rPr>
      </w:pPr>
      <w:bookmarkStart w:id="34" w:name="_Toc15377207"/>
      <w:bookmarkStart w:id="35" w:name="_Toc15396605"/>
      <w:bookmarkStart w:id="36" w:name="_Toc10405"/>
      <w:r>
        <w:rPr>
          <w:rFonts w:hint="eastAsia" w:ascii="黑体" w:hAnsi="黑体" w:eastAsia="黑体"/>
          <w:color w:val="000000"/>
          <w:sz w:val="32"/>
          <w:szCs w:val="32"/>
          <w:lang w:eastAsia="zh-CN"/>
        </w:rPr>
        <w:t>五、</w:t>
      </w:r>
      <w:r>
        <w:rPr>
          <w:rFonts w:hint="eastAsia" w:ascii="黑体" w:hAnsi="黑体" w:eastAsia="黑体"/>
          <w:color w:val="000000"/>
          <w:sz w:val="32"/>
          <w:szCs w:val="32"/>
        </w:rPr>
        <w:t>支</w:t>
      </w:r>
      <w:r>
        <w:rPr>
          <w:rStyle w:val="31"/>
          <w:rFonts w:hint="eastAsia" w:ascii="黑体" w:hAnsi="黑体" w:eastAsia="黑体"/>
          <w:b w:val="0"/>
        </w:rPr>
        <w:t>出决算情况说明</w:t>
      </w:r>
      <w:bookmarkEnd w:id="34"/>
      <w:bookmarkEnd w:id="35"/>
      <w:bookmarkEnd w:id="36"/>
    </w:p>
    <w:p>
      <w:pPr>
        <w:spacing w:line="600" w:lineRule="exact"/>
        <w:ind w:firstLine="640" w:firstLineChars="200"/>
        <w:outlineLvl w:val="1"/>
        <w:rPr>
          <w:rFonts w:ascii="仿宋" w:hAnsi="仿宋" w:eastAsia="仿宋"/>
          <w:color w:val="000000"/>
          <w:sz w:val="32"/>
          <w:szCs w:val="32"/>
        </w:rPr>
      </w:pPr>
      <w:bookmarkStart w:id="37" w:name="_Toc6164"/>
      <w:bookmarkStart w:id="38" w:name="_Toc31017"/>
      <w:bookmarkStart w:id="39" w:name="_Toc30411"/>
      <w:r>
        <w:rPr>
          <w:rFonts w:hint="eastAsia" w:ascii="仿宋" w:hAnsi="仿宋" w:eastAsia="仿宋"/>
          <w:color w:val="000000"/>
          <w:sz w:val="32"/>
          <w:szCs w:val="32"/>
          <w:lang w:eastAsia="zh-CN"/>
        </w:rPr>
        <w:t>2021</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103.48</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95.68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92.46</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7.81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7.55</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w:t>
      </w:r>
      <w:bookmarkEnd w:id="37"/>
      <w:bookmarkEnd w:id="38"/>
      <w:bookmarkEnd w:id="39"/>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pStyle w:val="10"/>
        <w:ind w:left="0" w:leftChars="0" w:firstLine="0" w:firstLineChars="0"/>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drawing>
          <wp:inline distT="0" distB="0" distL="114300" distR="114300">
            <wp:extent cx="3986530" cy="2049780"/>
            <wp:effectExtent l="4445" t="4445" r="9525" b="1587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numPr>
          <w:ilvl w:val="0"/>
          <w:numId w:val="0"/>
        </w:numPr>
        <w:spacing w:line="600" w:lineRule="exact"/>
        <w:ind w:left="640" w:leftChars="0"/>
        <w:outlineLvl w:val="9"/>
        <w:rPr>
          <w:rFonts w:hint="eastAsia" w:ascii="黑体" w:hAnsi="黑体" w:eastAsia="黑体"/>
          <w:color w:val="000000"/>
          <w:sz w:val="32"/>
          <w:szCs w:val="32"/>
          <w:lang w:eastAsia="zh-CN"/>
        </w:rPr>
      </w:pPr>
      <w:bookmarkStart w:id="40" w:name="_Toc15396606"/>
      <w:bookmarkStart w:id="41" w:name="_Toc15377208"/>
    </w:p>
    <w:p>
      <w:pPr>
        <w:numPr>
          <w:ilvl w:val="0"/>
          <w:numId w:val="0"/>
        </w:numPr>
        <w:spacing w:line="600" w:lineRule="exact"/>
        <w:ind w:left="640" w:leftChars="0"/>
        <w:outlineLvl w:val="1"/>
        <w:rPr>
          <w:rStyle w:val="31"/>
          <w:rFonts w:hint="eastAsia" w:ascii="黑体" w:hAnsi="黑体" w:eastAsia="黑体"/>
          <w:b w:val="0"/>
        </w:rPr>
      </w:pPr>
      <w:bookmarkStart w:id="42" w:name="_Toc11013"/>
      <w:r>
        <w:rPr>
          <w:rFonts w:hint="eastAsia" w:ascii="黑体" w:hAnsi="黑体" w:eastAsia="黑体"/>
          <w:color w:val="000000"/>
          <w:sz w:val="32"/>
          <w:szCs w:val="32"/>
          <w:lang w:eastAsia="zh-CN"/>
        </w:rPr>
        <w:t>六、</w:t>
      </w:r>
      <w:r>
        <w:rPr>
          <w:rFonts w:hint="eastAsia" w:ascii="黑体" w:hAnsi="黑体" w:eastAsia="黑体"/>
          <w:color w:val="000000"/>
          <w:sz w:val="32"/>
          <w:szCs w:val="32"/>
        </w:rPr>
        <w:t>财</w:t>
      </w:r>
      <w:r>
        <w:rPr>
          <w:rStyle w:val="31"/>
          <w:rFonts w:hint="eastAsia" w:ascii="黑体" w:hAnsi="黑体" w:eastAsia="黑体"/>
          <w:b w:val="0"/>
        </w:rPr>
        <w:t>政拨款收入支出决算总体情况说明</w:t>
      </w:r>
      <w:bookmarkEnd w:id="40"/>
      <w:bookmarkEnd w:id="41"/>
      <w:bookmarkEnd w:id="42"/>
    </w:p>
    <w:p>
      <w:pPr>
        <w:spacing w:line="600" w:lineRule="exact"/>
        <w:ind w:firstLine="640" w:firstLineChars="200"/>
        <w:rPr>
          <w:rFonts w:hint="eastAsia" w:eastAsia="仿宋"/>
          <w:lang w:val="en-US" w:eastAsia="zh-CN"/>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103.48</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，支出总计</w:t>
      </w:r>
      <w:r>
        <w:rPr>
          <w:rFonts w:hint="eastAsia" w:ascii="仿宋" w:hAnsi="仿宋" w:eastAsia="仿宋"/>
          <w:color w:val="000000"/>
          <w:sz w:val="32"/>
          <w:szCs w:val="32"/>
          <w:lang w:val="en-US" w:eastAsia="zh-CN"/>
        </w:rPr>
        <w:t>103.48</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。与</w:t>
      </w: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年相比，财政拨款收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总计收</w:t>
      </w:r>
      <w:r>
        <w:rPr>
          <w:rFonts w:hint="eastAsia" w:ascii="仿宋" w:hAnsi="仿宋" w:eastAsia="仿宋"/>
          <w:color w:val="000000"/>
          <w:sz w:val="32"/>
          <w:szCs w:val="32"/>
          <w:lang w:eastAsia="zh-CN"/>
        </w:rPr>
        <w:t>入</w:t>
      </w:r>
      <w:r>
        <w:rPr>
          <w:rFonts w:hint="eastAsia" w:ascii="仿宋" w:hAnsi="仿宋" w:eastAsia="仿宋"/>
          <w:color w:val="000000"/>
          <w:sz w:val="32"/>
          <w:szCs w:val="32"/>
          <w:lang w:val="en-US" w:eastAsia="zh-CN"/>
        </w:rPr>
        <w:t>增加28.07</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上涨37.22</w:t>
      </w:r>
      <w:r>
        <w:rPr>
          <w:rFonts w:ascii="仿宋" w:hAnsi="仿宋" w:eastAsia="仿宋"/>
          <w:color w:val="000000"/>
          <w:sz w:val="32"/>
          <w:szCs w:val="32"/>
        </w:rPr>
        <w:t>%</w:t>
      </w:r>
      <w:r>
        <w:rPr>
          <w:rFonts w:hint="eastAsia" w:ascii="仿宋" w:hAnsi="仿宋" w:eastAsia="仿宋"/>
          <w:color w:val="000000"/>
          <w:sz w:val="32"/>
          <w:szCs w:val="32"/>
          <w:lang w:eastAsia="zh-CN"/>
        </w:rPr>
        <w:t>，支出总计</w:t>
      </w:r>
      <w:r>
        <w:rPr>
          <w:rFonts w:hint="eastAsia" w:ascii="仿宋" w:hAnsi="仿宋" w:eastAsia="仿宋"/>
          <w:color w:val="000000"/>
          <w:sz w:val="32"/>
          <w:szCs w:val="32"/>
          <w:lang w:val="en-US" w:eastAsia="zh-CN"/>
        </w:rPr>
        <w:t>减少21.07万元，下降16.92%</w:t>
      </w:r>
      <w:r>
        <w:rPr>
          <w:rFonts w:hint="eastAsia" w:ascii="仿宋" w:hAnsi="仿宋" w:eastAsia="仿宋"/>
          <w:color w:val="000000"/>
          <w:sz w:val="32"/>
          <w:szCs w:val="32"/>
        </w:rPr>
        <w:t>。</w:t>
      </w:r>
    </w:p>
    <w:p>
      <w:pPr>
        <w:spacing w:line="600" w:lineRule="exac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pStyle w:val="7"/>
        <w:rPr>
          <w:rFonts w:hint="eastAsia" w:eastAsia="宋体"/>
          <w:lang w:eastAsia="zh-CN"/>
        </w:rPr>
      </w:pPr>
      <w:r>
        <w:rPr>
          <w:rFonts w:hint="eastAsia" w:eastAsia="宋体"/>
          <w:lang w:eastAsia="zh-CN"/>
        </w:rPr>
        <w:drawing>
          <wp:inline distT="0" distB="0" distL="114300" distR="114300">
            <wp:extent cx="5071745" cy="2092325"/>
            <wp:effectExtent l="4445" t="4445" r="16510" b="11430"/>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outlineLvl w:val="1"/>
        <w:rPr>
          <w:rStyle w:val="31"/>
          <w:rFonts w:ascii="黑体" w:hAnsi="黑体" w:eastAsia="黑体"/>
          <w:b w:val="0"/>
        </w:rPr>
      </w:pPr>
      <w:bookmarkStart w:id="43" w:name="_Toc15396607"/>
      <w:bookmarkStart w:id="44" w:name="_Toc15377209"/>
      <w:bookmarkStart w:id="45" w:name="_Toc4007"/>
      <w:r>
        <w:rPr>
          <w:rFonts w:hint="eastAsia" w:ascii="黑体" w:hAnsi="黑体" w:eastAsia="黑体"/>
          <w:color w:val="000000"/>
          <w:sz w:val="32"/>
          <w:szCs w:val="32"/>
          <w:lang w:val="en-US" w:eastAsia="zh-CN"/>
        </w:rPr>
        <w:t>七</w:t>
      </w:r>
      <w:r>
        <w:rPr>
          <w:rFonts w:hint="eastAsia" w:ascii="黑体" w:hAnsi="黑体" w:eastAsia="黑体"/>
          <w:color w:val="000000"/>
          <w:sz w:val="32"/>
          <w:szCs w:val="32"/>
        </w:rPr>
        <w:t>、</w:t>
      </w:r>
      <w:r>
        <w:rPr>
          <w:rFonts w:hint="eastAsia" w:ascii="黑体" w:hAnsi="黑体" w:eastAsia="黑体"/>
          <w:b/>
          <w:color w:val="000000"/>
          <w:sz w:val="32"/>
          <w:szCs w:val="32"/>
        </w:rPr>
        <w:t>一</w:t>
      </w:r>
      <w:r>
        <w:rPr>
          <w:rStyle w:val="31"/>
          <w:rFonts w:hint="eastAsia" w:ascii="黑体" w:hAnsi="黑体" w:eastAsia="黑体"/>
          <w:b w:val="0"/>
        </w:rPr>
        <w:t>般公共预算财政拨款支出决算情况说明</w:t>
      </w:r>
      <w:bookmarkEnd w:id="43"/>
      <w:bookmarkEnd w:id="44"/>
      <w:bookmarkEnd w:id="45"/>
    </w:p>
    <w:p>
      <w:pPr>
        <w:spacing w:line="600" w:lineRule="exact"/>
        <w:ind w:firstLine="643" w:firstLineChars="200"/>
        <w:outlineLvl w:val="2"/>
        <w:rPr>
          <w:rFonts w:ascii="仿宋" w:hAnsi="仿宋" w:eastAsia="仿宋"/>
          <w:b/>
          <w:color w:val="000000"/>
          <w:sz w:val="32"/>
          <w:szCs w:val="32"/>
        </w:rPr>
      </w:pPr>
      <w:bookmarkStart w:id="46" w:name="_Toc15377210"/>
      <w:r>
        <w:rPr>
          <w:rFonts w:hint="eastAsia" w:ascii="仿宋" w:hAnsi="仿宋" w:eastAsia="仿宋"/>
          <w:b/>
          <w:color w:val="000000"/>
          <w:sz w:val="32"/>
          <w:szCs w:val="32"/>
        </w:rPr>
        <w:t>（一）一般公共预算财政拨款支出决算总体情况</w:t>
      </w:r>
      <w:bookmarkEnd w:id="46"/>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103.48</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年相比，一般公共预算财政拨款</w:t>
      </w:r>
      <w:r>
        <w:rPr>
          <w:rFonts w:hint="eastAsia" w:ascii="仿宋" w:hAnsi="仿宋" w:eastAsia="仿宋"/>
          <w:color w:val="000000"/>
          <w:sz w:val="32"/>
          <w:szCs w:val="32"/>
          <w:lang w:val="en-US" w:eastAsia="zh-CN"/>
        </w:rPr>
        <w:t>减少21.07万元，下降16.92%</w:t>
      </w:r>
      <w:r>
        <w:rPr>
          <w:rFonts w:hint="eastAsia" w:ascii="仿宋" w:hAns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pStyle w:val="10"/>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4462780" cy="2525395"/>
            <wp:effectExtent l="4445" t="4445" r="15875" b="10160"/>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3" w:firstLineChars="200"/>
        <w:outlineLvl w:val="2"/>
        <w:rPr>
          <w:rFonts w:ascii="仿宋" w:hAnsi="仿宋" w:eastAsia="仿宋"/>
          <w:b/>
          <w:color w:val="000000"/>
          <w:sz w:val="32"/>
          <w:szCs w:val="32"/>
        </w:rPr>
      </w:pPr>
      <w:bookmarkStart w:id="47" w:name="_Toc15377211"/>
      <w:r>
        <w:rPr>
          <w:rFonts w:hint="eastAsia" w:ascii="仿宋" w:hAnsi="仿宋" w:eastAsia="仿宋"/>
          <w:b/>
          <w:color w:val="000000"/>
          <w:sz w:val="32"/>
          <w:szCs w:val="32"/>
        </w:rPr>
        <w:t>（二）一般公共预算财政拨款支出决算结构情况</w:t>
      </w:r>
      <w:bookmarkEnd w:id="47"/>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sz w:val="32"/>
          <w:szCs w:val="32"/>
          <w:lang w:val="en-US" w:eastAsia="zh-CN"/>
        </w:rPr>
        <w:t>103.48</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一般公共服务支出0</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lang w:eastAsia="zh-CN"/>
          <w14:textFill>
            <w14:solidFill>
              <w14:schemeClr w14:val="tx1"/>
            </w14:solidFill>
          </w14:textFill>
        </w:rPr>
        <w:t>%；文化旅游体育与传媒支出</w:t>
      </w:r>
      <w:r>
        <w:rPr>
          <w:rFonts w:hint="eastAsia" w:ascii="仿宋" w:hAnsi="仿宋" w:eastAsia="仿宋"/>
          <w:color w:val="000000" w:themeColor="text1"/>
          <w:sz w:val="32"/>
          <w:szCs w:val="32"/>
          <w:lang w:val="en-US" w:eastAsia="zh-CN"/>
          <w14:textFill>
            <w14:solidFill>
              <w14:schemeClr w14:val="tx1"/>
            </w14:solidFill>
          </w14:textFill>
        </w:rPr>
        <w:t>80.28万元，占77.58%；</w:t>
      </w:r>
      <w:r>
        <w:rPr>
          <w:rFonts w:hint="eastAsia" w:ascii="仿宋" w:hAnsi="仿宋" w:eastAsia="仿宋"/>
          <w:color w:val="000000" w:themeColor="text1"/>
          <w:sz w:val="32"/>
          <w:szCs w:val="32"/>
          <w:lang w:eastAsia="zh-CN"/>
          <w14:textFill>
            <w14:solidFill>
              <w14:schemeClr w14:val="tx1"/>
            </w14:solidFill>
          </w14:textFill>
        </w:rPr>
        <w:t>社会保障和就业（类）支出</w:t>
      </w:r>
      <w:r>
        <w:rPr>
          <w:rFonts w:hint="eastAsia" w:ascii="仿宋" w:hAnsi="仿宋" w:eastAsia="仿宋"/>
          <w:color w:val="000000" w:themeColor="text1"/>
          <w:sz w:val="32"/>
          <w:szCs w:val="32"/>
          <w:lang w:val="en-US" w:eastAsia="zh-CN"/>
          <w14:textFill>
            <w14:solidFill>
              <w14:schemeClr w14:val="tx1"/>
            </w14:solidFill>
          </w14:textFill>
        </w:rPr>
        <w:t>10.89</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10.52</w:t>
      </w:r>
      <w:r>
        <w:rPr>
          <w:rFonts w:hint="eastAsia" w:ascii="仿宋" w:hAnsi="仿宋" w:eastAsia="仿宋"/>
          <w:color w:val="000000" w:themeColor="text1"/>
          <w:sz w:val="32"/>
          <w:szCs w:val="32"/>
          <w:lang w:eastAsia="zh-CN"/>
          <w14:textFill>
            <w14:solidFill>
              <w14:schemeClr w14:val="tx1"/>
            </w14:solidFill>
          </w14:textFill>
        </w:rPr>
        <w:t>%；卫生健康支出</w:t>
      </w:r>
      <w:r>
        <w:rPr>
          <w:rFonts w:hint="eastAsia" w:ascii="仿宋" w:hAnsi="仿宋" w:eastAsia="仿宋"/>
          <w:color w:val="000000" w:themeColor="text1"/>
          <w:sz w:val="32"/>
          <w:szCs w:val="32"/>
          <w:lang w:val="en-US" w:eastAsia="zh-CN"/>
          <w14:textFill>
            <w14:solidFill>
              <w14:schemeClr w14:val="tx1"/>
            </w14:solidFill>
          </w14:textFill>
        </w:rPr>
        <w:t>5.03</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4.86</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住</w:t>
      </w:r>
      <w:r>
        <w:rPr>
          <w:rFonts w:hint="eastAsia" w:ascii="仿宋" w:hAnsi="仿宋" w:eastAsia="仿宋"/>
          <w:color w:val="000000" w:themeColor="text1"/>
          <w:sz w:val="32"/>
          <w:szCs w:val="32"/>
          <w14:textFill>
            <w14:solidFill>
              <w14:schemeClr w14:val="tx1"/>
            </w14:solidFill>
          </w14:textFill>
        </w:rPr>
        <w:t>房保障支出</w:t>
      </w:r>
      <w:r>
        <w:rPr>
          <w:rFonts w:hint="eastAsia" w:ascii="仿宋" w:hAnsi="仿宋" w:eastAsia="仿宋"/>
          <w:color w:val="000000" w:themeColor="text1"/>
          <w:sz w:val="32"/>
          <w:szCs w:val="32"/>
          <w:lang w:val="en-US" w:eastAsia="zh-CN"/>
          <w14:textFill>
            <w14:solidFill>
              <w14:schemeClr w14:val="tx1"/>
            </w14:solidFill>
          </w14:textFill>
        </w:rPr>
        <w:t>7.27</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lang w:val="en-US" w:eastAsia="zh-CN"/>
          <w14:textFill>
            <w14:solidFill>
              <w14:schemeClr w14:val="tx1"/>
            </w14:solidFill>
          </w14:textFill>
        </w:rPr>
        <w:t>占</w:t>
      </w:r>
      <w:r>
        <w:rPr>
          <w:rFonts w:hint="eastAsia" w:ascii="仿宋" w:hAnsi="仿宋" w:eastAsia="仿宋"/>
          <w:color w:val="000000" w:themeColor="text1"/>
          <w:sz w:val="32"/>
          <w:szCs w:val="32"/>
          <w:cs w:val="0"/>
          <w:lang w:val="en-US" w:eastAsia="zh-CN"/>
          <w14:textFill>
            <w14:solidFill>
              <w14:schemeClr w14:val="tx1"/>
            </w14:solidFill>
          </w14:textFill>
        </w:rPr>
        <w:t>7.03</w:t>
      </w:r>
      <w:r>
        <w:rPr>
          <w:rFonts w:hint="eastAsia" w:ascii="仿宋" w:hAnsi="仿宋" w:eastAsia="仿宋"/>
          <w:color w:val="000000" w:themeColor="text1"/>
          <w:sz w:val="32"/>
          <w:szCs w:val="32"/>
          <w:lang w:val="en-US" w:eastAsia="zh-CN"/>
          <w14:textFill>
            <w14:solidFill>
              <w14:schemeClr w14:val="tx1"/>
            </w14:solidFill>
          </w14:textFill>
        </w:rPr>
        <w:t>%。</w:t>
      </w:r>
      <w:r>
        <w:rPr>
          <w:rFonts w:hint="eastAsia" w:ascii="仿宋" w:hAnsi="仿宋" w:eastAsia="仿宋"/>
          <w:color w:val="000000"/>
          <w:sz w:val="32"/>
          <w:szCs w:val="32"/>
        </w:rPr>
        <w:t>（图6：一般公共预算财政拨款支出决算结构）（饼状图）</w:t>
      </w:r>
    </w:p>
    <w:p>
      <w:pPr>
        <w:pStyle w:val="10"/>
        <w:ind w:left="420" w:leftChars="200" w:firstLine="0" w:firstLineChars="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4234815" cy="2385695"/>
            <wp:effectExtent l="5080" t="4445" r="14605" b="1016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321" w:firstLineChars="100"/>
        <w:outlineLvl w:val="2"/>
        <w:rPr>
          <w:rFonts w:ascii="仿宋" w:hAnsi="仿宋" w:eastAsia="仿宋"/>
          <w:b/>
          <w:color w:val="000000"/>
          <w:sz w:val="32"/>
          <w:szCs w:val="32"/>
        </w:rPr>
      </w:pPr>
      <w:bookmarkStart w:id="48" w:name="_Toc15377212"/>
      <w:r>
        <w:rPr>
          <w:rFonts w:hint="eastAsia" w:ascii="仿宋" w:hAnsi="仿宋" w:eastAsia="仿宋"/>
          <w:b/>
          <w:color w:val="000000"/>
          <w:sz w:val="32"/>
          <w:szCs w:val="32"/>
        </w:rPr>
        <w:t>（三）一般公共预算财政拨款支出决算具体情况</w:t>
      </w:r>
      <w:bookmarkEnd w:id="48"/>
    </w:p>
    <w:p>
      <w:pPr>
        <w:spacing w:line="600" w:lineRule="exact"/>
        <w:ind w:firstLine="643" w:firstLineChars="200"/>
        <w:outlineLvl w:val="1"/>
        <w:rPr>
          <w:rFonts w:hint="eastAsia" w:ascii="仿宋" w:hAnsi="仿宋" w:eastAsia="仿宋" w:cs="仿宋"/>
          <w:color w:val="FF0000"/>
          <w:sz w:val="32"/>
          <w:szCs w:val="32"/>
        </w:rPr>
      </w:pPr>
      <w:bookmarkStart w:id="49" w:name="_Toc15378460"/>
      <w:bookmarkStart w:id="50" w:name="_Toc9371"/>
      <w:bookmarkStart w:id="51" w:name="_Toc15377213"/>
      <w:bookmarkStart w:id="52" w:name="_Toc15377444"/>
      <w:bookmarkStart w:id="53" w:name="_Toc18179"/>
      <w:bookmarkStart w:id="54" w:name="_Toc1491"/>
      <w:r>
        <w:rPr>
          <w:rFonts w:hint="eastAsia" w:ascii="仿宋" w:hAnsi="仿宋" w:eastAsia="仿宋" w:cs="仿宋"/>
          <w:b/>
          <w:color w:val="000000" w:themeColor="text1"/>
          <w:sz w:val="32"/>
          <w:szCs w:val="32"/>
          <w:lang w:val="en-US" w:eastAsia="zh-CN"/>
          <w14:textFill>
            <w14:solidFill>
              <w14:schemeClr w14:val="tx1"/>
            </w14:solidFill>
          </w14:textFill>
        </w:rPr>
        <w:t>2021</w:t>
      </w:r>
      <w:r>
        <w:rPr>
          <w:rFonts w:hint="eastAsia" w:ascii="仿宋" w:hAnsi="仿宋" w:eastAsia="仿宋" w:cs="仿宋"/>
          <w:b/>
          <w:color w:val="000000" w:themeColor="text1"/>
          <w:sz w:val="32"/>
          <w:szCs w:val="32"/>
          <w14:textFill>
            <w14:solidFill>
              <w14:schemeClr w14:val="tx1"/>
            </w14:solidFill>
          </w14:textFill>
        </w:rPr>
        <w:t>年</w:t>
      </w:r>
      <w:r>
        <w:rPr>
          <w:rFonts w:hint="eastAsia" w:ascii="仿宋" w:hAnsi="仿宋" w:eastAsia="仿宋" w:cs="仿宋"/>
          <w:b/>
          <w:color w:val="000000" w:themeColor="text1"/>
          <w:sz w:val="32"/>
          <w:szCs w:val="32"/>
          <w:lang w:eastAsia="zh-CN"/>
          <w14:textFill>
            <w14:solidFill>
              <w14:schemeClr w14:val="tx1"/>
            </w14:solidFill>
          </w14:textFill>
        </w:rPr>
        <w:t>一</w:t>
      </w:r>
      <w:r>
        <w:rPr>
          <w:rFonts w:hint="eastAsia" w:ascii="仿宋" w:hAnsi="仿宋" w:eastAsia="仿宋" w:cs="仿宋"/>
          <w:b/>
          <w:color w:val="000000" w:themeColor="text1"/>
          <w:sz w:val="32"/>
          <w:szCs w:val="32"/>
          <w14:textFill>
            <w14:solidFill>
              <w14:schemeClr w14:val="tx1"/>
            </w14:solidFill>
          </w14:textFill>
        </w:rPr>
        <w:t>般公共预算支出决算数为</w:t>
      </w:r>
      <w:r>
        <w:rPr>
          <w:rFonts w:hint="eastAsia" w:ascii="仿宋" w:hAnsi="仿宋" w:eastAsia="仿宋" w:cs="仿宋"/>
          <w:b/>
          <w:color w:val="000000" w:themeColor="text1"/>
          <w:sz w:val="32"/>
          <w:szCs w:val="32"/>
          <w:lang w:val="en-US" w:eastAsia="zh-CN"/>
          <w14:textFill>
            <w14:solidFill>
              <w14:schemeClr w14:val="tx1"/>
            </w14:solidFill>
          </w14:textFill>
        </w:rPr>
        <w:t>95.68万元</w:t>
      </w:r>
      <w:r>
        <w:rPr>
          <w:rFonts w:hint="eastAsia" w:ascii="仿宋" w:hAnsi="仿宋" w:eastAsia="仿宋" w:cs="仿宋"/>
          <w:color w:val="000000" w:themeColor="text1"/>
          <w:sz w:val="32"/>
          <w:szCs w:val="32"/>
          <w14:textFill>
            <w14:solidFill>
              <w14:schemeClr w14:val="tx1"/>
            </w14:solidFill>
          </w14:textFill>
        </w:rPr>
        <w:t>，</w:t>
      </w:r>
      <w:r>
        <w:rPr>
          <w:rStyle w:val="20"/>
          <w:rFonts w:hint="eastAsia" w:ascii="仿宋" w:hAnsi="仿宋" w:eastAsia="仿宋" w:cs="仿宋"/>
          <w:bCs/>
          <w:color w:val="000000" w:themeColor="text1"/>
          <w:sz w:val="32"/>
          <w:szCs w:val="32"/>
          <w14:textFill>
            <w14:solidFill>
              <w14:schemeClr w14:val="tx1"/>
            </w14:solidFill>
          </w14:textFill>
        </w:rPr>
        <w:t>完成</w:t>
      </w:r>
      <w:r>
        <w:rPr>
          <w:rStyle w:val="20"/>
          <w:rFonts w:hint="eastAsia" w:ascii="仿宋" w:hAnsi="仿宋" w:eastAsia="仿宋" w:cs="仿宋"/>
          <w:bCs/>
          <w:color w:val="000000"/>
          <w:sz w:val="32"/>
          <w:szCs w:val="32"/>
        </w:rPr>
        <w:t>预算</w:t>
      </w:r>
      <w:r>
        <w:rPr>
          <w:rStyle w:val="20"/>
          <w:rFonts w:hint="eastAsia" w:ascii="仿宋" w:hAnsi="仿宋" w:eastAsia="仿宋" w:cs="仿宋"/>
          <w:bCs/>
          <w:color w:val="000000"/>
          <w:sz w:val="32"/>
          <w:szCs w:val="32"/>
          <w:lang w:val="en-US" w:eastAsia="zh-CN"/>
        </w:rPr>
        <w:t>100</w:t>
      </w:r>
      <w:r>
        <w:rPr>
          <w:rStyle w:val="20"/>
          <w:rFonts w:hint="eastAsia" w:ascii="仿宋" w:hAnsi="仿宋" w:eastAsia="仿宋" w:cs="仿宋"/>
          <w:bCs/>
          <w:color w:val="000000"/>
          <w:sz w:val="32"/>
          <w:szCs w:val="32"/>
        </w:rPr>
        <w:t>%。其中：</w:t>
      </w:r>
      <w:bookmarkEnd w:id="49"/>
      <w:bookmarkEnd w:id="50"/>
      <w:bookmarkEnd w:id="51"/>
      <w:bookmarkEnd w:id="52"/>
      <w:bookmarkEnd w:id="53"/>
      <w:bookmarkEnd w:id="54"/>
    </w:p>
    <w:p>
      <w:pPr>
        <w:spacing w:line="600" w:lineRule="exact"/>
        <w:ind w:firstLine="643" w:firstLineChars="200"/>
        <w:rPr>
          <w:rFonts w:hint="default" w:ascii="仿宋" w:hAnsi="仿宋" w:eastAsia="仿宋"/>
          <w:b/>
          <w:bCs/>
          <w:color w:val="000000"/>
          <w:sz w:val="32"/>
          <w:szCs w:val="32"/>
          <w:lang w:val="en-US"/>
        </w:rPr>
      </w:pPr>
      <w:r>
        <w:rPr>
          <w:rFonts w:hint="eastAsia" w:ascii="仿宋" w:hAnsi="仿宋" w:eastAsia="仿宋"/>
          <w:b/>
          <w:bCs/>
          <w:color w:val="000000"/>
          <w:sz w:val="32"/>
          <w:szCs w:val="32"/>
          <w:lang w:val="en-US" w:eastAsia="zh-CN"/>
        </w:rPr>
        <w:t>1.</w:t>
      </w:r>
      <w:r>
        <w:rPr>
          <w:rFonts w:hint="eastAsia" w:ascii="仿宋" w:hAnsi="仿宋" w:eastAsia="仿宋"/>
          <w:b/>
          <w:bCs/>
          <w:color w:val="000000"/>
          <w:sz w:val="32"/>
          <w:szCs w:val="32"/>
        </w:rPr>
        <w:t>文化旅游体育与传媒支出</w:t>
      </w:r>
      <w:r>
        <w:rPr>
          <w:rFonts w:hint="eastAsia" w:ascii="仿宋" w:hAnsi="仿宋" w:eastAsia="仿宋"/>
          <w:b/>
          <w:bCs/>
          <w:color w:val="000000"/>
          <w:sz w:val="32"/>
          <w:szCs w:val="32"/>
          <w:lang w:val="en-US" w:eastAsia="zh-CN"/>
        </w:rPr>
        <w:t>207：支出决算为72.48万元，完成预算0%。</w:t>
      </w:r>
    </w:p>
    <w:p>
      <w:pPr>
        <w:spacing w:line="600" w:lineRule="exact"/>
        <w:ind w:firstLine="640" w:firstLineChars="200"/>
        <w:rPr>
          <w:rFonts w:hint="eastAsia"/>
          <w:lang w:val="en-US" w:eastAsia="zh-CN"/>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w:t>
      </w:r>
      <w:r>
        <w:rPr>
          <w:rFonts w:hint="eastAsia" w:ascii="仿宋" w:hAnsi="仿宋" w:eastAsia="仿宋"/>
          <w:color w:val="000000"/>
          <w:sz w:val="32"/>
          <w:szCs w:val="32"/>
        </w:rPr>
        <w:t xml:space="preserve">  出版发行</w:t>
      </w:r>
      <w:r>
        <w:rPr>
          <w:rFonts w:hint="eastAsia" w:ascii="仿宋" w:hAnsi="仿宋" w:eastAsia="仿宋"/>
          <w:color w:val="000000"/>
          <w:sz w:val="32"/>
          <w:szCs w:val="32"/>
          <w:lang w:val="en-US" w:eastAsia="zh-CN"/>
        </w:rPr>
        <w:t>2070605</w:t>
      </w:r>
      <w:r>
        <w:rPr>
          <w:rFonts w:hint="eastAsia" w:ascii="仿宋" w:hAnsi="仿宋" w:eastAsia="仿宋"/>
          <w:color w:val="000000"/>
          <w:sz w:val="32"/>
          <w:szCs w:val="32"/>
        </w:rPr>
        <w:t>: 支出决算为</w:t>
      </w:r>
      <w:r>
        <w:rPr>
          <w:rFonts w:hint="eastAsia" w:ascii="仿宋" w:hAnsi="仿宋" w:eastAsia="仿宋"/>
          <w:color w:val="000000"/>
          <w:sz w:val="32"/>
          <w:szCs w:val="32"/>
          <w:lang w:val="en-US" w:eastAsia="zh-CN"/>
        </w:rPr>
        <w:t>72.48</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w:t>
      </w:r>
    </w:p>
    <w:p>
      <w:pPr>
        <w:spacing w:line="600" w:lineRule="exact"/>
        <w:ind w:firstLine="643" w:firstLineChars="200"/>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2.社会保障和就业支出208：支出决算为10.89万元，完成预算100%。</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）社会保障和就业支出</w:t>
      </w:r>
      <w:r>
        <w:rPr>
          <w:rFonts w:hint="eastAsia" w:ascii="仿宋" w:hAnsi="仿宋" w:eastAsia="仿宋"/>
          <w:color w:val="000000"/>
          <w:sz w:val="32"/>
          <w:szCs w:val="32"/>
          <w:lang w:val="en-US" w:eastAsia="zh-CN"/>
        </w:rPr>
        <w:t xml:space="preserve"> 行机关事业单位基本养老保险缴费支出2080505：支出决算为：7.26万元，完成预算100%。</w:t>
      </w:r>
    </w:p>
    <w:p>
      <w:pPr>
        <w:spacing w:line="600" w:lineRule="exact"/>
        <w:ind w:firstLine="640" w:firstLineChars="200"/>
        <w:rPr>
          <w:rFonts w:hint="default"/>
          <w:lang w:val="en-US" w:eastAsia="zh-CN"/>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2</w:t>
      </w:r>
      <w:r>
        <w:rPr>
          <w:rFonts w:hint="eastAsia" w:ascii="仿宋" w:hAnsi="仿宋" w:eastAsia="仿宋"/>
          <w:color w:val="000000"/>
          <w:sz w:val="32"/>
          <w:szCs w:val="32"/>
          <w:lang w:eastAsia="zh-CN"/>
        </w:rPr>
        <w:t>）社会保障好就业支出</w:t>
      </w:r>
      <w:r>
        <w:rPr>
          <w:rFonts w:hint="eastAsia" w:ascii="仿宋" w:hAnsi="仿宋" w:eastAsia="仿宋"/>
          <w:color w:val="000000"/>
          <w:sz w:val="32"/>
          <w:szCs w:val="32"/>
          <w:lang w:val="en-US" w:eastAsia="zh-CN"/>
        </w:rPr>
        <w:t xml:space="preserve"> 机关事业单位职业年金缴费支出2080506：支出决算为3.63万元，完成预算100%。</w:t>
      </w:r>
    </w:p>
    <w:p>
      <w:pPr>
        <w:spacing w:line="600" w:lineRule="exact"/>
        <w:ind w:firstLine="643" w:firstLineChars="200"/>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3.卫生健康支出210：支出决算为5.03万元，完成预算100%。</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（1）卫生健康支出 事业单位医疗2101102：支出决算为3.57万元，完成预算100%。</w:t>
      </w:r>
    </w:p>
    <w:p>
      <w:pPr>
        <w:spacing w:line="600" w:lineRule="exact"/>
        <w:ind w:firstLine="640" w:firstLineChars="200"/>
        <w:rPr>
          <w:rFonts w:hint="eastAsia"/>
          <w:lang w:val="en-US" w:eastAsia="zh-CN"/>
        </w:rPr>
      </w:pPr>
      <w:r>
        <w:rPr>
          <w:rFonts w:hint="eastAsia" w:ascii="仿宋" w:hAnsi="仿宋" w:eastAsia="仿宋"/>
          <w:color w:val="000000"/>
          <w:sz w:val="32"/>
          <w:szCs w:val="32"/>
          <w:lang w:val="en-US" w:eastAsia="zh-CN"/>
        </w:rPr>
        <w:t>（2）卫生健康支出 其他行政事业单位医疗支出2101199：支出决算为1.46万元，完成预算100%。</w:t>
      </w:r>
    </w:p>
    <w:p>
      <w:pPr>
        <w:spacing w:line="600" w:lineRule="exact"/>
        <w:ind w:firstLine="643" w:firstLineChars="200"/>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4.住房保障支出221：支出决算为7.27万元，完成预算100%。</w:t>
      </w:r>
    </w:p>
    <w:p>
      <w:pPr>
        <w:spacing w:line="600" w:lineRule="exact"/>
        <w:ind w:firstLine="640" w:firstLineChars="200"/>
        <w:rPr>
          <w:rFonts w:ascii="仿宋" w:hAnsi="仿宋" w:eastAsia="仿宋"/>
          <w:b/>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）住房保障支出</w:t>
      </w:r>
      <w:r>
        <w:rPr>
          <w:rFonts w:hint="eastAsia" w:ascii="仿宋" w:hAnsi="仿宋" w:eastAsia="仿宋"/>
          <w:color w:val="000000"/>
          <w:sz w:val="32"/>
          <w:szCs w:val="32"/>
          <w:lang w:val="en-US" w:eastAsia="zh-CN"/>
        </w:rPr>
        <w:t xml:space="preserve"> 住房改革支出住房公积金2210201：支出决算为7.27万元，完成预算100%。</w:t>
      </w:r>
    </w:p>
    <w:p>
      <w:pPr>
        <w:tabs>
          <w:tab w:val="right" w:pos="8306"/>
        </w:tabs>
        <w:spacing w:line="600" w:lineRule="exact"/>
        <w:ind w:firstLine="640"/>
        <w:outlineLvl w:val="1"/>
        <w:rPr>
          <w:rStyle w:val="31"/>
        </w:rPr>
      </w:pPr>
      <w:bookmarkStart w:id="55" w:name="_Toc15396608"/>
      <w:bookmarkStart w:id="56" w:name="_Toc453"/>
      <w:bookmarkStart w:id="57" w:name="_Toc15377214"/>
      <w:r>
        <w:rPr>
          <w:rFonts w:hint="eastAsia" w:ascii="黑体" w:eastAsia="黑体"/>
          <w:color w:val="000000"/>
          <w:sz w:val="32"/>
          <w:szCs w:val="32"/>
          <w:lang w:val="en-US" w:eastAsia="zh-CN"/>
        </w:rPr>
        <w:t>八</w:t>
      </w:r>
      <w:r>
        <w:rPr>
          <w:rFonts w:hint="eastAsia" w:ascii="黑体" w:eastAsia="黑体"/>
          <w:b/>
          <w:color w:val="000000"/>
          <w:sz w:val="32"/>
          <w:szCs w:val="32"/>
        </w:rPr>
        <w:t>、</w:t>
      </w:r>
      <w:r>
        <w:rPr>
          <w:rFonts w:hint="eastAsia" w:ascii="黑体" w:hAnsi="黑体" w:eastAsia="黑体"/>
          <w:b/>
          <w:color w:val="000000"/>
          <w:sz w:val="32"/>
          <w:szCs w:val="32"/>
        </w:rPr>
        <w:t>一</w:t>
      </w:r>
      <w:r>
        <w:rPr>
          <w:rStyle w:val="31"/>
          <w:rFonts w:hint="eastAsia" w:ascii="黑体" w:hAnsi="黑体" w:eastAsia="黑体"/>
          <w:b w:val="0"/>
        </w:rPr>
        <w:t>般公共预算财政拨款基本支出决算情况说明</w:t>
      </w:r>
      <w:bookmarkEnd w:id="55"/>
      <w:bookmarkEnd w:id="56"/>
      <w:bookmarkEnd w:id="57"/>
      <w:r>
        <w:rPr>
          <w:rStyle w:val="31"/>
          <w:rFonts w:ascii="黑体" w:hAnsi="黑体" w:eastAsia="黑体"/>
          <w:b w:val="0"/>
        </w:rPr>
        <w:tab/>
      </w:r>
    </w:p>
    <w:p>
      <w:pPr>
        <w:spacing w:line="600" w:lineRule="exact"/>
        <w:ind w:firstLine="645"/>
        <w:rPr>
          <w:rFonts w:ascii="仿宋" w:hAnsi="仿宋" w:eastAsia="仿宋"/>
          <w:color w:val="auto"/>
          <w:sz w:val="32"/>
          <w:szCs w:val="32"/>
        </w:rPr>
      </w:pPr>
      <w:r>
        <w:rPr>
          <w:rFonts w:hint="eastAsia" w:ascii="仿宋" w:hAnsi="仿宋" w:eastAsia="仿宋"/>
          <w:color w:val="auto"/>
          <w:sz w:val="32"/>
          <w:szCs w:val="32"/>
          <w:lang w:val="en-US" w:eastAsia="zh-CN"/>
        </w:rPr>
        <w:t>2021</w:t>
      </w:r>
      <w:r>
        <w:rPr>
          <w:rFonts w:hint="eastAsia" w:ascii="仿宋" w:hAnsi="仿宋" w:eastAsia="仿宋"/>
          <w:color w:val="auto"/>
          <w:sz w:val="32"/>
          <w:szCs w:val="32"/>
        </w:rPr>
        <w:t>年一般公共预算财政拨款基本支出</w:t>
      </w:r>
      <w:r>
        <w:rPr>
          <w:rFonts w:hint="eastAsia" w:ascii="仿宋" w:hAnsi="仿宋" w:eastAsia="仿宋"/>
          <w:color w:val="auto"/>
          <w:sz w:val="32"/>
          <w:szCs w:val="32"/>
          <w:lang w:val="en-US" w:eastAsia="zh-CN"/>
        </w:rPr>
        <w:t>95.68</w:t>
      </w:r>
      <w:r>
        <w:rPr>
          <w:rFonts w:hint="eastAsia" w:ascii="仿宋" w:hAnsi="仿宋" w:eastAsia="仿宋"/>
          <w:color w:val="auto"/>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auto"/>
          <w:sz w:val="32"/>
          <w:szCs w:val="32"/>
          <w:lang w:val="en-US" w:eastAsia="zh-CN"/>
        </w:rPr>
        <w:t>人员经费90.82</w:t>
      </w:r>
      <w:r>
        <w:rPr>
          <w:rFonts w:hint="eastAsia" w:ascii="仿宋" w:hAnsi="仿宋" w:eastAsia="仿宋"/>
          <w:color w:val="auto"/>
          <w:sz w:val="32"/>
          <w:szCs w:val="32"/>
        </w:rPr>
        <w:t>万元，</w:t>
      </w:r>
      <w:r>
        <w:rPr>
          <w:rFonts w:hint="eastAsia" w:ascii="仿宋" w:hAnsi="仿宋" w:eastAsia="仿宋"/>
          <w:color w:val="000000"/>
          <w:sz w:val="32"/>
          <w:szCs w:val="32"/>
        </w:rPr>
        <w:t>主要包括：基本工资</w:t>
      </w:r>
      <w:r>
        <w:rPr>
          <w:rFonts w:hint="eastAsia" w:ascii="仿宋" w:hAnsi="仿宋" w:eastAsia="仿宋"/>
          <w:color w:val="000000"/>
          <w:sz w:val="32"/>
          <w:szCs w:val="32"/>
          <w:lang w:val="en-US" w:eastAsia="zh-CN"/>
        </w:rPr>
        <w:t>13.69万元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40.18万元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、绩效工资</w:t>
      </w:r>
      <w:r>
        <w:rPr>
          <w:rFonts w:hint="eastAsia" w:ascii="仿宋" w:hAnsi="仿宋" w:eastAsia="仿宋"/>
          <w:color w:val="000000"/>
          <w:sz w:val="32"/>
          <w:szCs w:val="32"/>
          <w:lang w:val="en-US" w:eastAsia="zh-CN"/>
        </w:rPr>
        <w:t>11.01万元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7.26万元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3.63万元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职工基本医疗保险缴费</w:t>
      </w:r>
      <w:r>
        <w:rPr>
          <w:rFonts w:hint="eastAsia" w:ascii="仿宋" w:hAnsi="仿宋" w:eastAsia="仿宋"/>
          <w:color w:val="000000"/>
          <w:sz w:val="32"/>
          <w:szCs w:val="32"/>
          <w:lang w:val="en-US" w:eastAsia="zh-CN"/>
        </w:rPr>
        <w:t>3.57</w:t>
      </w:r>
      <w:r>
        <w:rPr>
          <w:rFonts w:hint="eastAsia" w:ascii="仿宋" w:hAnsi="仿宋" w:eastAsia="仿宋"/>
          <w:color w:val="000000"/>
          <w:sz w:val="32"/>
          <w:szCs w:val="32"/>
          <w:lang w:eastAsia="zh-CN"/>
        </w:rPr>
        <w:t>万元、公务员医疗补助缴费</w:t>
      </w:r>
      <w:r>
        <w:rPr>
          <w:rFonts w:hint="eastAsia" w:ascii="仿宋" w:hAnsi="仿宋" w:eastAsia="仿宋"/>
          <w:color w:val="000000"/>
          <w:sz w:val="32"/>
          <w:szCs w:val="32"/>
          <w:lang w:val="en-US" w:eastAsia="zh-CN"/>
        </w:rPr>
        <w:t>1.46万元、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0.45万元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住房公积金</w:t>
      </w:r>
      <w:r>
        <w:rPr>
          <w:rFonts w:hint="eastAsia" w:ascii="仿宋" w:hAnsi="仿宋" w:eastAsia="仿宋"/>
          <w:color w:val="000000"/>
          <w:sz w:val="32"/>
          <w:szCs w:val="32"/>
          <w:lang w:val="en-US" w:eastAsia="zh-CN"/>
        </w:rPr>
        <w:t>7.27万元、医疗费0.54万元，</w:t>
      </w:r>
      <w:r>
        <w:rPr>
          <w:rFonts w:hint="eastAsia" w:ascii="仿宋" w:hAnsi="仿宋" w:eastAsia="仿宋"/>
          <w:color w:val="000000"/>
          <w:sz w:val="32"/>
          <w:szCs w:val="32"/>
        </w:rPr>
        <w:t>对个人和家庭的补助</w:t>
      </w:r>
      <w:r>
        <w:rPr>
          <w:rFonts w:hint="eastAsia" w:ascii="仿宋" w:hAnsi="仿宋" w:eastAsia="仿宋"/>
          <w:color w:val="000000"/>
          <w:sz w:val="32"/>
          <w:szCs w:val="32"/>
          <w:lang w:val="en-US" w:eastAsia="zh-CN"/>
        </w:rPr>
        <w:t>1.72万元</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4.85</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4.44万元</w:t>
      </w:r>
      <w:r>
        <w:rPr>
          <w:rFonts w:hint="eastAsia" w:ascii="仿宋" w:hAnsi="仿宋" w:eastAsia="仿宋"/>
          <w:color w:val="000000"/>
          <w:sz w:val="32"/>
          <w:szCs w:val="32"/>
        </w:rPr>
        <w:t>、印刷费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手续费0万元、水费0万元、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0.4万元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取暖费0万元、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维修（护）费0万元、会议费0万元、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0万元、劳务费0万元、委托业务费0万元、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w:t>
      </w:r>
    </w:p>
    <w:p>
      <w:pPr>
        <w:spacing w:line="600" w:lineRule="exact"/>
        <w:ind w:firstLine="640"/>
        <w:outlineLvl w:val="1"/>
        <w:rPr>
          <w:rStyle w:val="31"/>
          <w:rFonts w:ascii="黑体" w:hAnsi="黑体" w:eastAsia="黑体"/>
          <w:b w:val="0"/>
        </w:rPr>
      </w:pPr>
      <w:bookmarkStart w:id="58" w:name="_Toc15396609"/>
      <w:bookmarkStart w:id="59" w:name="_Toc15377215"/>
      <w:bookmarkStart w:id="60" w:name="_Toc21113"/>
      <w:r>
        <w:rPr>
          <w:rFonts w:hint="eastAsia" w:ascii="黑体" w:eastAsia="黑体"/>
          <w:color w:val="000000"/>
          <w:sz w:val="32"/>
          <w:szCs w:val="32"/>
          <w:lang w:val="en-US" w:eastAsia="zh-CN"/>
        </w:rPr>
        <w:t>九</w:t>
      </w:r>
      <w:r>
        <w:rPr>
          <w:rFonts w:hint="eastAsia" w:ascii="黑体" w:eastAsia="黑体"/>
          <w:color w:val="000000"/>
          <w:sz w:val="32"/>
          <w:szCs w:val="32"/>
        </w:rPr>
        <w:t>、</w:t>
      </w:r>
      <w:r>
        <w:rPr>
          <w:rStyle w:val="31"/>
          <w:rFonts w:hint="eastAsia" w:ascii="黑体" w:hAnsi="黑体" w:eastAsia="黑体"/>
        </w:rPr>
        <w:t>“</w:t>
      </w:r>
      <w:r>
        <w:rPr>
          <w:rStyle w:val="31"/>
          <w:rFonts w:hint="eastAsia" w:ascii="黑体" w:hAnsi="黑体" w:eastAsia="黑体"/>
          <w:b w:val="0"/>
        </w:rPr>
        <w:t>三公”经费财政拨款支出决算情况说明</w:t>
      </w:r>
      <w:bookmarkEnd w:id="58"/>
      <w:bookmarkEnd w:id="59"/>
      <w:bookmarkEnd w:id="60"/>
    </w:p>
    <w:p>
      <w:pPr>
        <w:spacing w:line="600" w:lineRule="exact"/>
        <w:ind w:firstLine="640"/>
        <w:outlineLvl w:val="2"/>
        <w:rPr>
          <w:rFonts w:ascii="仿宋" w:hAnsi="仿宋" w:eastAsia="仿宋"/>
          <w:b/>
          <w:color w:val="000000"/>
          <w:sz w:val="32"/>
          <w:szCs w:val="32"/>
        </w:rPr>
      </w:pPr>
      <w:bookmarkStart w:id="61" w:name="_Toc15377216"/>
      <w:r>
        <w:rPr>
          <w:rFonts w:hint="eastAsia" w:ascii="仿宋" w:hAnsi="仿宋" w:eastAsia="仿宋"/>
          <w:b/>
          <w:color w:val="000000"/>
          <w:sz w:val="32"/>
          <w:szCs w:val="32"/>
        </w:rPr>
        <w:t>（一）“三公”经费财政拨款支出决算总体情况说明</w:t>
      </w:r>
      <w:bookmarkEnd w:id="61"/>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62" w:name="_Toc15377217"/>
      <w:r>
        <w:rPr>
          <w:rFonts w:hint="eastAsia" w:ascii="仿宋" w:hAnsi="仿宋" w:eastAsia="仿宋"/>
          <w:b/>
          <w:color w:val="000000"/>
          <w:sz w:val="32"/>
          <w:szCs w:val="32"/>
        </w:rPr>
        <w:t>（二）“三公”经费财政拨款支出决算具体情况说明</w:t>
      </w:r>
      <w:bookmarkEnd w:id="62"/>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pStyle w:val="10"/>
        <w:rPr>
          <w:rFonts w:hint="eastAsia" w:eastAsia="宋体"/>
          <w:lang w:eastAsia="zh-CN"/>
        </w:rPr>
      </w:pPr>
      <w:r>
        <w:rPr>
          <w:rFonts w:hint="eastAsia" w:eastAsia="宋体"/>
          <w:lang w:eastAsia="zh-CN"/>
        </w:rPr>
        <w:drawing>
          <wp:inline distT="0" distB="0" distL="114300" distR="114300">
            <wp:extent cx="4577080" cy="2651760"/>
            <wp:effectExtent l="4445" t="5080" r="15875" b="1016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numPr>
          <w:ilvl w:val="0"/>
          <w:numId w:val="1"/>
        </w:numPr>
        <w:spacing w:line="600" w:lineRule="exact"/>
        <w:ind w:firstLine="640"/>
        <w:rPr>
          <w:rFonts w:hint="eastAsia" w:ascii="仿宋_GB2312" w:eastAsia="仿宋_GB2312"/>
          <w:color w:val="000000"/>
          <w:sz w:val="32"/>
          <w:szCs w:val="32"/>
          <w:lang w:eastAsia="zh-CN"/>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完成预算</w:t>
      </w:r>
      <w:r>
        <w:rPr>
          <w:rStyle w:val="20"/>
          <w:rFonts w:hint="eastAsia" w:ascii="仿宋" w:hAnsi="仿宋" w:eastAsia="仿宋"/>
          <w:b w:val="0"/>
          <w:bCs/>
          <w:color w:val="000000"/>
          <w:sz w:val="32"/>
          <w:szCs w:val="32"/>
          <w:lang w:val="en-US" w:eastAsia="zh-CN"/>
        </w:rPr>
        <w:t>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减少</w:t>
      </w:r>
      <w:r>
        <w:rPr>
          <w:rFonts w:hint="eastAsia" w:ascii="仿宋_GB2312" w:eastAsia="仿宋_GB2312"/>
          <w:color w:val="000000"/>
          <w:sz w:val="32"/>
          <w:szCs w:val="32"/>
          <w:lang w:eastAsia="zh-CN"/>
        </w:rPr>
        <w:t>持平。</w:t>
      </w:r>
    </w:p>
    <w:p>
      <w:pPr>
        <w:spacing w:line="600" w:lineRule="exact"/>
        <w:ind w:firstLine="640"/>
        <w:rPr>
          <w:rFonts w:hint="default" w:ascii="仿宋_GB2312" w:eastAsia="仿宋_GB2312"/>
          <w:b/>
          <w:color w:val="000000"/>
          <w:sz w:val="32"/>
          <w:szCs w:val="32"/>
          <w:lang w:val="en-US"/>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完成预算</w:t>
      </w:r>
      <w:r>
        <w:rPr>
          <w:rStyle w:val="20"/>
          <w:rFonts w:hint="eastAsia" w:ascii="仿宋" w:hAnsi="仿宋" w:eastAsia="仿宋"/>
          <w:b w:val="0"/>
          <w:bCs/>
          <w:color w:val="000000"/>
          <w:sz w:val="32"/>
          <w:szCs w:val="32"/>
          <w:lang w:val="en-US" w:eastAsia="zh-CN"/>
        </w:rPr>
        <w:t>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减少年。</w:t>
      </w:r>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万元。主要用于主要用于到县城开会、办事等所需的公务用车燃料费、维修费、保险费等支出。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完成预算</w:t>
      </w:r>
      <w:r>
        <w:rPr>
          <w:rStyle w:val="20"/>
          <w:rFonts w:hint="eastAsia" w:ascii="仿宋" w:hAnsi="仿宋" w:eastAsia="仿宋"/>
          <w:b w:val="0"/>
          <w:bCs/>
          <w:color w:val="000000"/>
          <w:sz w:val="32"/>
          <w:szCs w:val="32"/>
          <w:lang w:val="en-US" w:eastAsia="zh-CN"/>
        </w:rPr>
        <w:t>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w:t>
      </w:r>
      <w:r>
        <w:rPr>
          <w:rFonts w:hint="eastAsia" w:ascii="仿宋_GB2312" w:eastAsia="仿宋_GB2312"/>
          <w:color w:val="000000"/>
          <w:sz w:val="32"/>
          <w:szCs w:val="32"/>
          <w:lang w:val="en-US" w:eastAsia="zh-CN"/>
        </w:rPr>
        <w:t>与2020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减少。</w:t>
      </w:r>
    </w:p>
    <w:p>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万元，主要用于执行公务、开展业务活动开支的交通费、住宿费、用餐费等。国内公务接待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人次（包括陪同人员）。</w:t>
      </w:r>
    </w:p>
    <w:p>
      <w:pPr>
        <w:spacing w:line="600" w:lineRule="exact"/>
        <w:ind w:firstLine="643" w:firstLineChars="200"/>
        <w:rPr>
          <w:rFonts w:ascii="黑体" w:eastAsia="黑体"/>
          <w:color w:val="000000"/>
          <w:sz w:val="32"/>
          <w:szCs w:val="32"/>
        </w:rPr>
      </w:pPr>
      <w:r>
        <w:rPr>
          <w:rFonts w:hint="eastAsia" w:ascii="仿宋" w:hAnsi="仿宋" w:eastAsia="仿宋"/>
          <w:b/>
          <w:color w:val="000000"/>
          <w:sz w:val="32"/>
          <w:szCs w:val="32"/>
        </w:rPr>
        <w:t>外事接待支出</w:t>
      </w:r>
      <w:r>
        <w:rPr>
          <w:rFonts w:ascii="仿宋" w:hAns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万元，主要用于接待</w:t>
      </w:r>
      <w:r>
        <w:rPr>
          <w:rFonts w:ascii="仿宋_GB2312" w:eastAsia="仿宋_GB2312"/>
          <w:color w:val="000000"/>
          <w:sz w:val="32"/>
          <w:szCs w:val="32"/>
        </w:rPr>
        <w:t>0</w:t>
      </w:r>
      <w:r>
        <w:rPr>
          <w:rFonts w:hint="eastAsia" w:ascii="仿宋_GB2312" w:eastAsia="仿宋_GB2312"/>
          <w:color w:val="000000"/>
          <w:sz w:val="32"/>
          <w:szCs w:val="32"/>
        </w:rPr>
        <w:t>。</w:t>
      </w:r>
      <w:r>
        <w:rPr>
          <w:rFonts w:ascii="仿宋_GB2312" w:eastAsia="仿宋_GB2312"/>
          <w:color w:val="000000"/>
          <w:sz w:val="32"/>
          <w:szCs w:val="32"/>
        </w:rPr>
        <w:t>0</w:t>
      </w:r>
      <w:bookmarkStart w:id="63" w:name="_Toc15377218"/>
      <w:bookmarkStart w:id="64" w:name="_Toc15396610"/>
    </w:p>
    <w:p>
      <w:pPr>
        <w:spacing w:line="600" w:lineRule="exact"/>
        <w:ind w:firstLine="640"/>
        <w:outlineLvl w:val="1"/>
        <w:rPr>
          <w:rStyle w:val="31"/>
          <w:rFonts w:ascii="黑体" w:hAnsi="黑体" w:eastAsia="黑体"/>
        </w:rPr>
      </w:pPr>
      <w:bookmarkStart w:id="65" w:name="_Toc13039"/>
      <w:r>
        <w:rPr>
          <w:rFonts w:hint="eastAsia" w:ascii="黑体" w:eastAsia="黑体"/>
          <w:color w:val="000000"/>
          <w:sz w:val="32"/>
          <w:szCs w:val="32"/>
          <w:lang w:val="en-US" w:eastAsia="zh-CN"/>
        </w:rPr>
        <w:t>十</w:t>
      </w:r>
      <w:r>
        <w:rPr>
          <w:rFonts w:hint="eastAsia" w:ascii="黑体" w:eastAsia="黑体"/>
          <w:color w:val="000000"/>
          <w:sz w:val="32"/>
          <w:szCs w:val="32"/>
        </w:rPr>
        <w:t>、</w:t>
      </w:r>
      <w:r>
        <w:rPr>
          <w:rStyle w:val="31"/>
          <w:rFonts w:hint="eastAsia" w:ascii="黑体" w:hAnsi="黑体" w:eastAsia="黑体"/>
          <w:b w:val="0"/>
        </w:rPr>
        <w:t>政府性基金预算支出决算情况说明</w:t>
      </w:r>
      <w:bookmarkEnd w:id="63"/>
      <w:bookmarkEnd w:id="64"/>
      <w:bookmarkEnd w:id="65"/>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0"/>
        </w:numPr>
        <w:spacing w:line="600" w:lineRule="exact"/>
        <w:ind w:firstLine="640" w:firstLineChars="200"/>
        <w:outlineLvl w:val="1"/>
        <w:rPr>
          <w:rStyle w:val="31"/>
          <w:rFonts w:ascii="黑体" w:hAnsi="黑体" w:eastAsia="黑体"/>
          <w:b w:val="0"/>
        </w:rPr>
      </w:pPr>
      <w:bookmarkStart w:id="66" w:name="_Toc15396611"/>
      <w:bookmarkStart w:id="67" w:name="_Toc31051"/>
      <w:bookmarkStart w:id="68" w:name="_Toc15377219"/>
      <w:r>
        <w:rPr>
          <w:rStyle w:val="31"/>
          <w:rFonts w:hint="eastAsia" w:ascii="黑体" w:hAnsi="黑体" w:eastAsia="黑体"/>
          <w:b w:val="0"/>
          <w:lang w:val="en-US" w:eastAsia="zh-CN"/>
        </w:rPr>
        <w:t>十一、</w:t>
      </w:r>
      <w:r>
        <w:rPr>
          <w:rStyle w:val="31"/>
          <w:rFonts w:hint="eastAsia" w:ascii="黑体" w:hAnsi="黑体" w:eastAsia="黑体"/>
          <w:b w:val="0"/>
        </w:rPr>
        <w:t>国有资本经营预算支出决算情况说明</w:t>
      </w:r>
      <w:bookmarkEnd w:id="66"/>
      <w:bookmarkEnd w:id="67"/>
      <w:bookmarkEnd w:id="68"/>
    </w:p>
    <w:p>
      <w:pPr>
        <w:spacing w:line="600" w:lineRule="exact"/>
        <w:ind w:firstLine="640"/>
        <w:rPr>
          <w:rFonts w:hint="eastAsia" w:ascii="方正小标宋简体" w:hAnsi="方正小标宋简体" w:eastAsia="仿宋_GB2312" w:cs="方正小标宋简体"/>
          <w:sz w:val="44"/>
          <w:szCs w:val="44"/>
          <w:lang w:eastAsia="zh-CN"/>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800" w:firstLineChars="250"/>
        <w:outlineLvl w:val="1"/>
        <w:rPr>
          <w:rStyle w:val="31"/>
          <w:rFonts w:ascii="黑体" w:hAnsi="黑体" w:eastAsia="黑体"/>
        </w:rPr>
      </w:pPr>
      <w:bookmarkStart w:id="69" w:name="_Toc15396612"/>
      <w:bookmarkStart w:id="70" w:name="_Toc15377221"/>
      <w:bookmarkStart w:id="71" w:name="_Toc4273"/>
      <w:r>
        <w:rPr>
          <w:rFonts w:hint="eastAsia" w:ascii="黑体" w:hAnsi="黑体" w:eastAsia="黑体"/>
          <w:color w:val="000000"/>
          <w:sz w:val="32"/>
          <w:szCs w:val="32"/>
          <w:lang w:val="en-US" w:eastAsia="zh-CN"/>
        </w:rPr>
        <w:t>十二、</w:t>
      </w:r>
      <w:r>
        <w:rPr>
          <w:rStyle w:val="31"/>
          <w:rFonts w:hint="eastAsia" w:ascii="黑体" w:hAnsi="黑体" w:eastAsia="黑体"/>
          <w:b w:val="0"/>
        </w:rPr>
        <w:t>其他重要事项的情况说明</w:t>
      </w:r>
      <w:bookmarkEnd w:id="69"/>
      <w:bookmarkEnd w:id="70"/>
      <w:bookmarkEnd w:id="71"/>
    </w:p>
    <w:p>
      <w:pPr>
        <w:spacing w:line="600" w:lineRule="exact"/>
        <w:ind w:firstLine="643" w:firstLineChars="200"/>
        <w:outlineLvl w:val="2"/>
        <w:rPr>
          <w:rFonts w:ascii="仿宋" w:hAnsi="仿宋" w:eastAsia="仿宋"/>
          <w:color w:val="000000"/>
          <w:sz w:val="32"/>
          <w:szCs w:val="32"/>
        </w:rPr>
      </w:pPr>
      <w:bookmarkStart w:id="72" w:name="_Toc15377222"/>
      <w:r>
        <w:rPr>
          <w:rFonts w:hint="eastAsia" w:ascii="仿宋" w:hAnsi="仿宋" w:eastAsia="仿宋"/>
          <w:b/>
          <w:color w:val="000000"/>
          <w:sz w:val="32"/>
          <w:szCs w:val="32"/>
        </w:rPr>
        <w:t>（一）机关运行经费支出情况</w:t>
      </w:r>
      <w:bookmarkEnd w:id="72"/>
    </w:p>
    <w:p>
      <w:pPr>
        <w:spacing w:line="600" w:lineRule="exact"/>
        <w:ind w:firstLine="640"/>
        <w:rPr>
          <w:rFonts w:hint="eastAsia" w:ascii="仿宋_GB2312" w:eastAsia="仿宋_GB2312"/>
          <w:b/>
          <w:color w:val="000000"/>
          <w:sz w:val="32"/>
          <w:szCs w:val="32"/>
          <w:lang w:eastAsia="zh-CN"/>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新华书店</w:t>
      </w:r>
      <w:bookmarkStart w:id="110" w:name="_GoBack"/>
      <w:bookmarkEnd w:id="110"/>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，用于</w:t>
      </w:r>
      <w:r>
        <w:rPr>
          <w:rFonts w:hint="eastAsia" w:ascii="仿宋_GB2312" w:eastAsia="仿宋_GB2312"/>
          <w:color w:val="000000"/>
          <w:sz w:val="32"/>
          <w:szCs w:val="32"/>
        </w:rPr>
        <w:t>公务用车运行维护费</w:t>
      </w:r>
      <w:r>
        <w:rPr>
          <w:rFonts w:hint="eastAsia" w:ascii="仿宋_GB2312" w:eastAsia="仿宋_GB2312"/>
          <w:color w:val="000000"/>
          <w:sz w:val="32"/>
          <w:szCs w:val="32"/>
          <w:lang w:eastAsia="zh-CN"/>
        </w:rPr>
        <w:t>，与</w:t>
      </w:r>
      <w:r>
        <w:rPr>
          <w:rFonts w:hint="eastAsia" w:ascii="仿宋_GB2312" w:eastAsia="仿宋_GB2312"/>
          <w:color w:val="000000"/>
          <w:sz w:val="32"/>
          <w:szCs w:val="32"/>
          <w:lang w:val="en-US" w:eastAsia="zh-CN"/>
        </w:rPr>
        <w:t>2020年减少</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3" w:name="_Toc15377223"/>
      <w:r>
        <w:rPr>
          <w:rFonts w:hint="eastAsia" w:ascii="仿宋" w:hAnsi="仿宋" w:eastAsia="仿宋"/>
          <w:b/>
          <w:color w:val="000000"/>
          <w:sz w:val="32"/>
          <w:szCs w:val="32"/>
        </w:rPr>
        <w:t>（二）政府采购支出情况</w:t>
      </w:r>
      <w:bookmarkEnd w:id="73"/>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新华书店</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4" w:name="_Toc15377224"/>
      <w:r>
        <w:rPr>
          <w:rFonts w:hint="eastAsia" w:ascii="仿宋" w:hAnsi="仿宋" w:eastAsia="仿宋"/>
          <w:b/>
          <w:color w:val="000000"/>
          <w:sz w:val="32"/>
          <w:szCs w:val="32"/>
        </w:rPr>
        <w:t>（三）国有资产占有使用情况</w:t>
      </w:r>
      <w:bookmarkEnd w:id="74"/>
    </w:p>
    <w:p>
      <w:pPr>
        <w:autoSpaceDE w:val="0"/>
        <w:autoSpaceDN w:val="0"/>
        <w:adjustRightInd w:val="0"/>
        <w:spacing w:line="600" w:lineRule="exact"/>
        <w:ind w:firstLine="640" w:firstLineChars="200"/>
        <w:jc w:val="left"/>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themeColor="text1"/>
          <w:sz w:val="32"/>
          <w:szCs w:val="32"/>
          <w:lang w:val="en-US" w:eastAsia="zh-CN"/>
          <w14:textFill>
            <w14:solidFill>
              <w14:schemeClr w14:val="tx1"/>
            </w14:solidFill>
          </w14:textFill>
        </w:rPr>
        <w:t>新华书店</w:t>
      </w:r>
      <w:r>
        <w:rPr>
          <w:rFonts w:hint="eastAsia" w:ascii="仿宋_GB2312" w:eastAsia="仿宋_GB2312"/>
          <w:color w:val="000000" w:themeColor="text1"/>
          <w:sz w:val="32"/>
          <w:szCs w:val="32"/>
          <w14:textFill>
            <w14:solidFill>
              <w14:schemeClr w14:val="tx1"/>
            </w14:solidFill>
          </w14:textFill>
        </w:rPr>
        <w:t>共有车辆</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辆，其中：部级领导干部用车</w:t>
      </w:r>
      <w:r>
        <w:rPr>
          <w:rFonts w:ascii="仿宋_GB2312" w:eastAsia="仿宋_GB2312"/>
          <w:color w:val="000000" w:themeColor="text1"/>
          <w:sz w:val="32"/>
          <w:szCs w:val="32"/>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辆、一般公务用车</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主要是用于</w:t>
      </w:r>
      <w:r>
        <w:rPr>
          <w:rFonts w:hint="eastAsia" w:ascii="仿宋_GB2312" w:eastAsia="仿宋_GB2312"/>
          <w:color w:val="000000" w:themeColor="text1"/>
          <w:sz w:val="32"/>
          <w:szCs w:val="32"/>
          <w:lang w:eastAsia="zh-CN"/>
          <w14:textFill>
            <w14:solidFill>
              <w14:schemeClr w14:val="tx1"/>
            </w14:solidFill>
          </w14:textFill>
        </w:rPr>
        <w:t>日常出差使用。</w:t>
      </w:r>
    </w:p>
    <w:p>
      <w:pPr>
        <w:autoSpaceDE w:val="0"/>
        <w:autoSpaceDN w:val="0"/>
        <w:adjustRightInd w:val="0"/>
        <w:spacing w:line="600" w:lineRule="exact"/>
        <w:ind w:firstLine="643" w:firstLineChars="200"/>
        <w:jc w:val="left"/>
        <w:outlineLvl w:val="2"/>
        <w:rPr>
          <w:rFonts w:ascii="仿宋" w:hAnsi="仿宋" w:eastAsia="仿宋"/>
          <w:b/>
          <w:color w:val="auto"/>
          <w:sz w:val="32"/>
          <w:szCs w:val="32"/>
        </w:rPr>
      </w:pPr>
      <w:r>
        <w:rPr>
          <w:rFonts w:hint="eastAsia" w:ascii="仿宋" w:hAnsi="仿宋" w:eastAsia="仿宋"/>
          <w:b/>
          <w:color w:val="auto"/>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w:t>
      </w:r>
      <w:r>
        <w:rPr>
          <w:rFonts w:hint="eastAsia" w:ascii="仿宋_GB2312" w:hAnsi="仿宋_GB2312" w:eastAsia="仿宋_GB2312" w:cs="仿宋_GB2312"/>
          <w:sz w:val="32"/>
          <w:szCs w:val="32"/>
          <w:lang w:eastAsia="zh-CN"/>
        </w:rPr>
        <w:t>红原县新华书店业务用房及库房改造改扩建项目质保金等</w:t>
      </w:r>
      <w:r>
        <w:rPr>
          <w:rFonts w:hint="eastAsia" w:ascii="仿宋_GB2312" w:hAnsi="仿宋_GB2312" w:eastAsia="仿宋_GB2312" w:cs="仿宋_GB2312"/>
          <w:sz w:val="32"/>
          <w:szCs w:val="32"/>
        </w:rPr>
        <w:t>开展了预算事前绩效评估，预算执行过程中，选取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bCs/>
          <w:kern w:val="2"/>
          <w:sz w:val="32"/>
          <w:szCs w:val="32"/>
          <w:lang w:val="zh-CN" w:eastAsia="zh-CN" w:bidi="ar-SA"/>
        </w:rPr>
        <w:t>我</w:t>
      </w:r>
      <w:r>
        <w:rPr>
          <w:rFonts w:hint="eastAsia" w:ascii="仿宋_GB2312" w:hAnsi="仿宋_GB2312" w:eastAsia="仿宋_GB2312" w:cs="仿宋_GB2312"/>
          <w:bCs/>
          <w:kern w:val="2"/>
          <w:sz w:val="32"/>
          <w:szCs w:val="32"/>
          <w:lang w:val="en-US" w:eastAsia="zh-CN" w:bidi="ar-SA"/>
        </w:rPr>
        <w:t>单位</w:t>
      </w:r>
      <w:r>
        <w:rPr>
          <w:rFonts w:hint="eastAsia" w:ascii="仿宋_GB2312" w:hAnsi="仿宋_GB2312" w:eastAsia="仿宋_GB2312" w:cs="仿宋_GB2312"/>
          <w:bCs/>
          <w:kern w:val="2"/>
          <w:sz w:val="32"/>
          <w:szCs w:val="32"/>
          <w:lang w:val="zh-CN" w:eastAsia="zh-CN" w:bidi="ar-SA"/>
        </w:rPr>
        <w:t>严格按照年初预算进行部门整体支出，预算资金覆盖我</w:t>
      </w:r>
      <w:r>
        <w:rPr>
          <w:rFonts w:hint="eastAsia" w:ascii="仿宋_GB2312" w:hAnsi="仿宋_GB2312" w:eastAsia="仿宋_GB2312" w:cs="仿宋_GB2312"/>
          <w:bCs/>
          <w:kern w:val="2"/>
          <w:sz w:val="32"/>
          <w:szCs w:val="32"/>
          <w:lang w:val="en-US" w:eastAsia="zh-CN" w:bidi="ar-SA"/>
        </w:rPr>
        <w:t>单位</w:t>
      </w:r>
      <w:r>
        <w:rPr>
          <w:rFonts w:hint="eastAsia" w:ascii="仿宋_GB2312" w:hAnsi="仿宋_GB2312" w:eastAsia="仿宋_GB2312" w:cs="仿宋_GB2312"/>
          <w:bCs/>
          <w:kern w:val="2"/>
          <w:sz w:val="32"/>
          <w:szCs w:val="32"/>
          <w:lang w:val="zh-CN" w:eastAsia="zh-CN" w:bidi="ar-SA"/>
        </w:rPr>
        <w:t>工作的各个方面，按照保工资、保运转、保民生的保障序列科学编制，分配办法科学，考虑的因素必要合理，分配的结果合理，保障了人员经费及单位正常运转。在支出过程中，能严格遵守各项规章制度，“三公经费”有所下降。所有项目都详细制定了方案，严格按方案组织实施，并加强了监督。尤其是在专项经费支出上，我们能专款专用，严格审批程序，按项目实施计划的进度情况进行资金拨付，无截留、无挪用等现象，保障了资金安全</w:t>
      </w:r>
      <w:r>
        <w:rPr>
          <w:rFonts w:hint="eastAsia" w:ascii="仿宋_GB2312" w:hAnsi="仿宋_GB2312" w:eastAsia="仿宋_GB2312" w:cs="仿宋_GB2312"/>
          <w:sz w:val="32"/>
          <w:szCs w:val="32"/>
        </w:rPr>
        <w:t>。</w:t>
      </w:r>
    </w:p>
    <w:p>
      <w:pPr>
        <w:spacing w:line="580" w:lineRule="exact"/>
        <w:ind w:firstLine="640" w:firstLineChars="200"/>
        <w:rPr>
          <w:rFonts w:hint="eastAsia" w:ascii="仿宋_GB2312" w:hAnsi="仿宋_GB2312" w:eastAsia="仿宋_GB2312" w:cs="仿宋_GB2312"/>
          <w:bCs/>
          <w:kern w:val="2"/>
          <w:sz w:val="32"/>
          <w:szCs w:val="32"/>
          <w:lang w:val="zh-CN" w:eastAsia="zh-CN" w:bidi="ar-SA"/>
        </w:rPr>
      </w:pPr>
      <w:r>
        <w:rPr>
          <w:rFonts w:hint="eastAsia" w:ascii="仿宋_GB2312" w:hAnsi="仿宋_GB2312" w:eastAsia="仿宋_GB2312" w:cs="仿宋_GB2312"/>
          <w:bCs/>
          <w:kern w:val="2"/>
          <w:sz w:val="32"/>
          <w:szCs w:val="32"/>
          <w:lang w:val="en-US" w:eastAsia="zh-CN" w:bidi="ar-SA"/>
        </w:rPr>
        <w:t>1.</w:t>
      </w:r>
      <w:r>
        <w:rPr>
          <w:rFonts w:hint="eastAsia" w:ascii="仿宋_GB2312" w:hAnsi="仿宋_GB2312" w:eastAsia="仿宋_GB2312" w:cs="仿宋_GB2312"/>
          <w:bCs/>
          <w:kern w:val="2"/>
          <w:sz w:val="32"/>
          <w:szCs w:val="32"/>
          <w:lang w:val="zh-CN" w:eastAsia="zh-CN" w:bidi="ar-SA"/>
        </w:rPr>
        <w:t>项目绩效目标完成情况。</w:t>
      </w:r>
    </w:p>
    <w:p>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2.重点项目预算的绩效评价结果等情况</w:t>
      </w:r>
    </w:p>
    <w:p>
      <w:pPr>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本部门无重点项目</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val="en-US" w:eastAsia="zh-CN"/>
        </w:rPr>
        <w:t>红原县新华书店2021</w:t>
      </w:r>
      <w:r>
        <w:rPr>
          <w:rFonts w:hint="eastAsia" w:ascii="仿宋_GB2312" w:hAnsi="仿宋_GB2312" w:eastAsia="仿宋_GB2312" w:cs="仿宋_GB2312"/>
          <w:sz w:val="32"/>
          <w:szCs w:val="32"/>
        </w:rPr>
        <w:t>年部门整体支出绩效评价报告》见附件</w:t>
      </w: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pPr>
        <w:numPr>
          <w:ilvl w:val="0"/>
          <w:numId w:val="0"/>
        </w:numPr>
        <w:spacing w:line="580" w:lineRule="exact"/>
        <w:ind w:firstLine="640" w:firstLineChars="200"/>
        <w:rPr>
          <w:rFonts w:ascii="仿宋_GB2312" w:hAnsi="仿宋_GB2312" w:eastAsia="仿宋_GB2312" w:cs="仿宋_GB2312"/>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2"/>
        </w:numPr>
        <w:spacing w:line="600" w:lineRule="exact"/>
        <w:ind w:firstLine="660" w:firstLineChars="150"/>
        <w:jc w:val="center"/>
        <w:outlineLvl w:val="0"/>
        <w:rPr>
          <w:rStyle w:val="30"/>
          <w:rFonts w:ascii="黑体" w:hAnsi="黑体" w:eastAsia="黑体"/>
          <w:b w:val="0"/>
        </w:rPr>
      </w:pPr>
      <w:bookmarkStart w:id="75" w:name="_Toc15396613"/>
      <w:bookmarkStart w:id="76" w:name="_Toc15377225"/>
      <w:bookmarkStart w:id="77" w:name="_Toc26113"/>
      <w:r>
        <w:rPr>
          <w:rFonts w:hint="eastAsia" w:ascii="黑体" w:hAnsi="黑体" w:eastAsia="黑体"/>
          <w:color w:val="000000"/>
          <w:sz w:val="44"/>
          <w:szCs w:val="44"/>
        </w:rPr>
        <w:t>名</w:t>
      </w:r>
      <w:r>
        <w:rPr>
          <w:rStyle w:val="30"/>
          <w:rFonts w:hint="eastAsia" w:ascii="黑体" w:hAnsi="黑体" w:eastAsia="黑体"/>
          <w:b w:val="0"/>
        </w:rPr>
        <w:t>词解释</w:t>
      </w:r>
      <w:bookmarkEnd w:id="75"/>
      <w:bookmarkEnd w:id="76"/>
      <w:bookmarkEnd w:id="77"/>
    </w:p>
    <w:p>
      <w:pPr>
        <w:spacing w:line="600" w:lineRule="exact"/>
        <w:jc w:val="left"/>
        <w:rPr>
          <w:rFonts w:ascii="宋体"/>
          <w:b/>
          <w:color w:val="000000"/>
          <w:sz w:val="44"/>
          <w:szCs w:val="44"/>
        </w:rPr>
      </w:pP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bookmarkStart w:id="78" w:name="_Toc15377226"/>
      <w:r>
        <w:rPr>
          <w:rFonts w:hint="eastAsia" w:ascii="仿宋_GB2312" w:eastAsia="仿宋_GB2312"/>
          <w:color w:val="000000"/>
          <w:sz w:val="32"/>
          <w:szCs w:val="32"/>
        </w:rPr>
        <w:t>1.财政拨款收入：指单位从同级财政部门取得的财政预算资金。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2.其他收入：指单位取得财政拨款收入以外的各项收入。主要是</w:t>
      </w:r>
      <w:r>
        <w:rPr>
          <w:rFonts w:hint="eastAsia" w:ascii="仿宋_GB2312" w:eastAsia="仿宋_GB2312"/>
          <w:color w:val="000000"/>
          <w:sz w:val="32"/>
          <w:szCs w:val="32"/>
          <w:lang w:eastAsia="zh-CN"/>
        </w:rPr>
        <w:t>眉山援建项目收入</w:t>
      </w:r>
      <w:r>
        <w:rPr>
          <w:rFonts w:hint="eastAsia" w:ascii="仿宋_GB2312" w:eastAsia="仿宋_GB2312"/>
          <w:color w:val="000000"/>
          <w:sz w:val="32"/>
          <w:szCs w:val="32"/>
        </w:rPr>
        <w:t>等。</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3.年初结转和结余：指以前年度尚未完成、结转到本年按有关规定继续使用的资金。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4、年末结转和结余：指单位按有关规定结转到下年或以后年度继续使用的资金。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5. 一般公共服务（类）201（款）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（项）01——行政运行：反映行政单位（包括实行公务员管理的事业单位）的基本支出反映行政单位（包括实行公务员管理的事业单位）的基本支出。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6. 一般公共服务（类）201（款）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w:t>
      </w:r>
      <w:r>
        <w:rPr>
          <w:rFonts w:hint="eastAsia" w:ascii="仿宋_GB2312" w:eastAsia="仿宋_GB2312"/>
          <w:color w:val="000000"/>
          <w:sz w:val="32"/>
          <w:szCs w:val="32"/>
          <w:lang w:eastAsia="zh-CN"/>
        </w:rPr>
        <w:t>人大会议费</w:t>
      </w:r>
      <w:r>
        <w:rPr>
          <w:rFonts w:hint="eastAsia" w:ascii="仿宋_GB2312" w:eastAsia="仿宋_GB2312"/>
          <w:color w:val="000000"/>
          <w:sz w:val="32"/>
          <w:szCs w:val="32"/>
        </w:rPr>
        <w:t>：反映各级人大召开"人代会"等专门会议的支出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7. 一般公共服务（类）201（款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（项）0</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：反映各级政府办公厅（室）及相关机构的支出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rPr>
        <w:t>8. 一般公共服务（类）201（款）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（项）99——其他政府办公厅（室）及相关机构事务支出：反映除上述项目以外的其他政府办公厅（室）及相关机构事务支出</w:t>
      </w:r>
      <w:r>
        <w:rPr>
          <w:rFonts w:hint="eastAsia" w:ascii="仿宋_GB2312" w:eastAsia="仿宋_GB2312"/>
          <w:color w:val="000000"/>
          <w:sz w:val="32"/>
          <w:szCs w:val="32"/>
          <w:lang w:eastAsia="zh-CN"/>
        </w:rPr>
        <w:t>。</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 一般公共服务（类）201（款）</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 反映财政事务方面的支出。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 一般公共服务（类）201（款）</w:t>
      </w:r>
      <w:r>
        <w:rPr>
          <w:rFonts w:hint="eastAsia" w:ascii="仿宋_GB2312" w:eastAsia="仿宋_GB2312"/>
          <w:color w:val="000000"/>
          <w:sz w:val="32"/>
          <w:szCs w:val="32"/>
          <w:lang w:val="en-US" w:eastAsia="zh-CN"/>
        </w:rPr>
        <w:t>31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hint="eastAsia" w:ascii="仿宋_GB2312" w:eastAsia="仿宋_GB2312"/>
          <w:color w:val="000000"/>
          <w:sz w:val="32"/>
          <w:szCs w:val="32"/>
          <w:lang w:eastAsia="zh-CN"/>
        </w:rPr>
        <w:t>其它政府办公厅及相关事务支出</w:t>
      </w:r>
      <w:r>
        <w:rPr>
          <w:rFonts w:hint="eastAsia" w:ascii="仿宋_GB2312" w:eastAsia="仿宋_GB2312"/>
          <w:color w:val="000000"/>
          <w:sz w:val="32"/>
          <w:szCs w:val="32"/>
        </w:rPr>
        <w:t xml:space="preserve">:反映行政单位（包括实行公务员管理的事业单位）的基本支出 </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.社会保障和就业支出（类）208（款）05（项）05——机关事业单位基本养老保险缴费支出：反映机关事业单位实施养老保险制度的单位缴纳的基本养老保险费支出。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 社会保障和就业支出（类）208（款）05（项）06——机关事业单位职业年金缴费支出：反映机关事业单位实施养老保险制度匝单位缴纳的职业年金支出。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.医疗卫生与计划生育支出(类）210（款）</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（项）01——行政单位医疗：反映财政部门集中安排的公务员医疗补助经费。</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.医疗卫生与计划生育支出(类）210（款）</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（项）0</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w:t>
      </w:r>
      <w:r>
        <w:rPr>
          <w:rFonts w:hint="eastAsia" w:ascii="仿宋_GB2312" w:eastAsia="仿宋_GB2312"/>
          <w:color w:val="000000"/>
          <w:sz w:val="32"/>
          <w:szCs w:val="32"/>
        </w:rPr>
        <w:t>单位医疗</w:t>
      </w:r>
      <w:r>
        <w:rPr>
          <w:rFonts w:hint="eastAsia" w:ascii="仿宋_GB2312" w:eastAsia="仿宋_GB2312"/>
          <w:color w:val="000000"/>
          <w:sz w:val="32"/>
          <w:szCs w:val="32"/>
          <w:lang w:eastAsia="zh-CN"/>
        </w:rPr>
        <w:t>：</w:t>
      </w:r>
      <w:r>
        <w:rPr>
          <w:rFonts w:hint="eastAsia" w:ascii="仿宋_GB2312" w:eastAsia="仿宋_GB2312"/>
          <w:color w:val="000000"/>
          <w:sz w:val="32"/>
          <w:szCs w:val="32"/>
        </w:rPr>
        <w:t>反映除为行政单位（包括实行公务员管理的事业单位）提供后勤服务的各类后勤服务中心、医务室等附属事业单位外的其他事业单位基本支出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42</w:t>
      </w:r>
      <w:r>
        <w:rPr>
          <w:rFonts w:hint="eastAsia" w:ascii="仿宋_GB2312" w:eastAsia="仿宋_GB2312"/>
          <w:color w:val="000000"/>
          <w:sz w:val="32"/>
          <w:szCs w:val="32"/>
        </w:rPr>
        <w:t>—</w:t>
      </w:r>
      <w:r>
        <w:rPr>
          <w:rFonts w:hint="eastAsia" w:ascii="仿宋_GB2312" w:eastAsia="仿宋_GB2312"/>
          <w:color w:val="000000"/>
          <w:sz w:val="32"/>
          <w:szCs w:val="32"/>
          <w:lang w:eastAsia="zh-CN"/>
        </w:rPr>
        <w:t>农村道路建设：</w:t>
      </w:r>
      <w:r>
        <w:rPr>
          <w:rFonts w:hint="eastAsia" w:ascii="仿宋_GB2312" w:eastAsia="仿宋_GB2312"/>
          <w:color w:val="000000"/>
          <w:sz w:val="32"/>
          <w:szCs w:val="32"/>
        </w:rPr>
        <w:t>反映用于农村公路、乡村道路建设方面的支出。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52</w:t>
      </w:r>
      <w:r>
        <w:rPr>
          <w:rFonts w:hint="eastAsia" w:ascii="仿宋_GB2312" w:eastAsia="仿宋_GB2312"/>
          <w:color w:val="000000"/>
          <w:sz w:val="32"/>
          <w:szCs w:val="32"/>
        </w:rPr>
        <w:t>—</w:t>
      </w:r>
      <w:r>
        <w:rPr>
          <w:rFonts w:hint="eastAsia" w:ascii="仿宋_GB2312" w:eastAsia="仿宋_GB2312"/>
          <w:color w:val="000000"/>
          <w:sz w:val="32"/>
          <w:szCs w:val="32"/>
          <w:lang w:eastAsia="zh-CN"/>
        </w:rPr>
        <w:t>对高校毕业生到基层任职补助：</w:t>
      </w:r>
      <w:r>
        <w:rPr>
          <w:rFonts w:hint="eastAsia" w:ascii="仿宋_GB2312" w:eastAsia="仿宋_GB2312"/>
          <w:color w:val="000000"/>
          <w:sz w:val="32"/>
          <w:szCs w:val="32"/>
        </w:rPr>
        <w:t>反映按规定对高校毕业生到基层任职的补助支出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w:t>
      </w:r>
      <w:r>
        <w:rPr>
          <w:rFonts w:hint="eastAsia" w:ascii="仿宋_GB2312" w:eastAsia="仿宋_GB2312"/>
          <w:color w:val="000000"/>
          <w:sz w:val="32"/>
          <w:szCs w:val="32"/>
          <w:lang w:eastAsia="zh-CN"/>
        </w:rPr>
        <w:t>林业事业机构：</w:t>
      </w:r>
      <w:r>
        <w:rPr>
          <w:rFonts w:hint="eastAsia" w:ascii="仿宋_GB2312" w:eastAsia="仿宋_GB2312"/>
          <w:color w:val="000000"/>
          <w:sz w:val="32"/>
          <w:szCs w:val="32"/>
        </w:rPr>
        <w:t>反映用于林业事业单位的基本支出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18</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w:t>
      </w:r>
      <w:r>
        <w:rPr>
          <w:rFonts w:hint="eastAsia" w:ascii="仿宋_GB2312" w:eastAsia="仿宋_GB2312"/>
          <w:color w:val="000000"/>
          <w:sz w:val="32"/>
          <w:szCs w:val="32"/>
          <w:lang w:eastAsia="zh-CN"/>
        </w:rPr>
        <w:t>防汛：</w:t>
      </w:r>
      <w:r>
        <w:rPr>
          <w:rFonts w:hint="eastAsia" w:ascii="仿宋_GB2312" w:eastAsia="仿宋_GB2312"/>
          <w:color w:val="000000"/>
          <w:sz w:val="32"/>
          <w:szCs w:val="32"/>
        </w:rPr>
        <w:t>反映防汛业务支出。有关事项包括防汛物资购置管护，防汛通信设施设备、网络系统、车船设备运行维护，防汛值班、水情报汛、防汛指挥系统运行维护、水毁修复以及防汛组织（如防汛预案编制、检查、演习、宣传、培训、会议等），汛期调用民工及劳动保护，水利设施灾后重建，退田还湖，蓄滞洪区补偿、水情、雨情、决策支持，防汛视频会商，山洪灾害防治等。。</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07</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eastAsia="zh-CN"/>
        </w:rPr>
        <w:t>对村民委员会和党支部补助：</w:t>
      </w:r>
      <w:r>
        <w:rPr>
          <w:rFonts w:hint="eastAsia" w:ascii="仿宋_GB2312" w:eastAsia="仿宋_GB2312"/>
          <w:color w:val="000000"/>
          <w:sz w:val="32"/>
          <w:szCs w:val="32"/>
        </w:rPr>
        <w:t>反映各级财政对村民委员会和村党支部的补助支出，以及支持建立县级基本财力保障机制安排的村级组织运转奖补资金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.住房保障支出(类）221（款）02（项）01—住房公积金：反映行政事业单位按人力资源和社会保障部、财政部规定的基本工资和津贴补贴以及规定比例为职工缴纳的住房公积金。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w:t>
      </w:r>
      <w:r>
        <w:rPr>
          <w:rFonts w:hint="eastAsia" w:ascii="仿宋_GB2312" w:eastAsia="仿宋_GB2312"/>
          <w:color w:val="000000"/>
          <w:sz w:val="32"/>
          <w:szCs w:val="32"/>
          <w:lang w:eastAsia="zh-CN"/>
        </w:rPr>
        <w:t>其他支出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229</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（项）01—</w:t>
      </w:r>
      <w:r>
        <w:rPr>
          <w:rFonts w:hint="eastAsia" w:ascii="仿宋_GB2312" w:eastAsia="仿宋_GB2312"/>
          <w:color w:val="000000"/>
          <w:sz w:val="32"/>
          <w:szCs w:val="32"/>
          <w:lang w:eastAsia="zh-CN"/>
        </w:rPr>
        <w:t>其他支出</w:t>
      </w:r>
      <w:r>
        <w:rPr>
          <w:rFonts w:hint="eastAsia" w:ascii="仿宋_GB2312" w:eastAsia="仿宋_GB2312"/>
          <w:color w:val="000000"/>
          <w:sz w:val="32"/>
          <w:szCs w:val="32"/>
        </w:rPr>
        <w:t>：反映除上述项目以外其他不能划分到具体功能科目中的支出项目</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.年末结转和结余：指本年度或以前年度预算安排、因客观条件发生变化无法按原计划实施，需延迟到以后年度按有关规定继续使用的资金。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.基本支出：指为保障机构正常运转、完成日常工作任务而发生的人员支出和公用支出。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.项目支出：指在基本支出之外为完成特定行政任务和事业发展目标所发生的支出。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25</w:t>
      </w:r>
      <w:r>
        <w:rPr>
          <w:rFonts w:hint="eastAsia" w:ascii="仿宋_GB2312" w:eastAsia="仿宋_GB2312"/>
          <w:color w:val="000000"/>
          <w:sz w:val="32"/>
          <w:szCs w:val="32"/>
        </w:rPr>
        <w:t>.“三公”经费：纳入</w:t>
      </w:r>
      <w:r>
        <w:rPr>
          <w:rFonts w:hint="eastAsia" w:ascii="仿宋_GB2312" w:eastAsia="仿宋_GB2312"/>
          <w:color w:val="000000"/>
          <w:sz w:val="32"/>
          <w:szCs w:val="32"/>
          <w:lang w:eastAsia="zh-CN"/>
        </w:rPr>
        <w:t>县</w:t>
      </w:r>
      <w:r>
        <w:rPr>
          <w:rFonts w:hint="eastAsia" w:ascii="仿宋_GB2312" w:eastAsia="仿宋_GB2312"/>
          <w:color w:val="000000"/>
          <w:sz w:val="32"/>
          <w:szCs w:val="32"/>
        </w:rPr>
        <w:t>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26</w:t>
      </w:r>
      <w:r>
        <w:rPr>
          <w:rFonts w:hint="eastAsia" w:ascii="仿宋_GB2312" w:eastAsia="仿宋_GB2312"/>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27.基本支出：指为保障机构正常运转、完成日常工作任务而发生的人员支出和公用支出。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 xml:space="preserve">28.项目支出：指在基本支出之外为完成特定行政任务和事业发展目标所发生的支出。 </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29.经营支出：指事业单位在专业业务活动及其辅助活动之外开展非独立核算经营活动发生的支出。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30"/>
          <w:rFonts w:ascii="黑体" w:hAnsi="黑体" w:eastAsia="黑体"/>
          <w:b w:val="0"/>
        </w:rPr>
      </w:pPr>
      <w:r>
        <w:rPr>
          <w:rFonts w:ascii="宋体"/>
          <w:b/>
          <w:color w:val="000000"/>
          <w:sz w:val="44"/>
          <w:szCs w:val="44"/>
        </w:rPr>
        <w:br w:type="page"/>
      </w:r>
      <w:bookmarkStart w:id="79" w:name="_Toc15396614"/>
      <w:bookmarkStart w:id="80" w:name="_Toc17083"/>
      <w:r>
        <w:rPr>
          <w:rFonts w:hint="eastAsia" w:ascii="黑体" w:hAnsi="黑体" w:eastAsia="黑体"/>
          <w:color w:val="000000"/>
          <w:sz w:val="44"/>
          <w:szCs w:val="44"/>
        </w:rPr>
        <w:t>第</w:t>
      </w:r>
      <w:r>
        <w:rPr>
          <w:rStyle w:val="30"/>
          <w:rFonts w:hint="eastAsia" w:ascii="黑体" w:hAnsi="黑体" w:eastAsia="黑体"/>
          <w:b w:val="0"/>
        </w:rPr>
        <w:t>四部分 附件</w:t>
      </w:r>
      <w:bookmarkEnd w:id="79"/>
      <w:bookmarkEnd w:id="80"/>
    </w:p>
    <w:p>
      <w:pPr>
        <w:spacing w:line="600" w:lineRule="exact"/>
        <w:jc w:val="left"/>
        <w:outlineLvl w:val="1"/>
        <w:rPr>
          <w:rFonts w:ascii="方正小标宋简体" w:hAnsi="方正小标宋简体" w:eastAsia="方正小标宋简体" w:cs="方正小标宋简体"/>
          <w:sz w:val="32"/>
          <w:szCs w:val="32"/>
        </w:rPr>
      </w:pPr>
      <w:bookmarkStart w:id="81" w:name="_Toc18688"/>
      <w:r>
        <w:rPr>
          <w:rFonts w:hint="eastAsia" w:ascii="黑体" w:hAnsi="黑体" w:eastAsia="黑体" w:cs="黑体"/>
          <w:sz w:val="32"/>
          <w:szCs w:val="32"/>
        </w:rPr>
        <w:t>附件1</w:t>
      </w:r>
      <w:bookmarkEnd w:id="81"/>
    </w:p>
    <w:p>
      <w:pPr>
        <w:spacing w:line="580" w:lineRule="exact"/>
        <w:jc w:val="center"/>
        <w:rPr>
          <w:rFonts w:ascii="方正小标宋简体" w:hAnsi="方正小标宋简体" w:eastAsia="方正小标宋简体" w:cs="方正小标宋简体"/>
          <w:sz w:val="44"/>
          <w:szCs w:val="44"/>
        </w:rPr>
      </w:pPr>
    </w:p>
    <w:p>
      <w:pPr>
        <w:keepNext w:val="0"/>
        <w:keepLines w:val="0"/>
        <w:pageBreakBefore w:val="0"/>
        <w:widowControl/>
        <w:kinsoku/>
        <w:wordWrap/>
        <w:overflowPunct/>
        <w:topLinePunct w:val="0"/>
        <w:autoSpaceDE/>
        <w:autoSpaceDN/>
        <w:bidi w:val="0"/>
        <w:spacing w:line="500" w:lineRule="exact"/>
        <w:jc w:val="center"/>
        <w:textAlignment w:val="auto"/>
        <w:rPr>
          <w:rFonts w:hint="default" w:ascii="方正小标宋简体" w:hAnsi="宋体" w:eastAsia="方正小标宋简体"/>
          <w:sz w:val="44"/>
          <w:szCs w:val="44"/>
          <w:lang w:val="en-US" w:eastAsia="zh-CN"/>
        </w:rPr>
      </w:pPr>
      <w:bookmarkStart w:id="82" w:name="_Toc15396618"/>
      <w:r>
        <w:rPr>
          <w:rFonts w:hint="eastAsia" w:ascii="方正小标宋简体" w:hAnsi="宋体" w:eastAsia="方正小标宋简体"/>
          <w:sz w:val="44"/>
          <w:szCs w:val="44"/>
          <w:lang w:eastAsia="zh-CN"/>
        </w:rPr>
        <w:t>红原县</w:t>
      </w:r>
      <w:r>
        <w:rPr>
          <w:rFonts w:hint="eastAsia" w:ascii="方正小标宋简体" w:hAnsi="宋体" w:eastAsia="方正小标宋简体"/>
          <w:sz w:val="44"/>
          <w:szCs w:val="44"/>
          <w:lang w:val="en-US" w:eastAsia="zh-CN"/>
        </w:rPr>
        <w:t>新华书店</w:t>
      </w:r>
    </w:p>
    <w:p>
      <w:pPr>
        <w:keepNext w:val="0"/>
        <w:keepLines w:val="0"/>
        <w:pageBreakBefore w:val="0"/>
        <w:widowControl/>
        <w:kinsoku/>
        <w:wordWrap/>
        <w:overflowPunct/>
        <w:topLinePunct w:val="0"/>
        <w:autoSpaceDE/>
        <w:autoSpaceDN/>
        <w:bidi w:val="0"/>
        <w:spacing w:line="500" w:lineRule="exact"/>
        <w:jc w:val="center"/>
        <w:textAlignment w:val="auto"/>
        <w:rPr>
          <w:rFonts w:ascii="方正小标宋简体" w:hAnsi="宋体" w:eastAsia="方正小标宋简体"/>
          <w:sz w:val="44"/>
          <w:szCs w:val="44"/>
        </w:rPr>
      </w:pPr>
      <w:r>
        <w:rPr>
          <w:rFonts w:ascii="方正小标宋简体" w:hAnsi="宋体" w:eastAsia="方正小标宋简体"/>
          <w:sz w:val="44"/>
          <w:szCs w:val="44"/>
        </w:rPr>
        <w:t>20</w:t>
      </w:r>
      <w:r>
        <w:rPr>
          <w:rFonts w:hint="eastAsia" w:ascii="方正小标宋简体" w:hAnsi="宋体" w:eastAsia="方正小标宋简体"/>
          <w:sz w:val="44"/>
          <w:szCs w:val="44"/>
        </w:rPr>
        <w:t>2</w:t>
      </w:r>
      <w:r>
        <w:rPr>
          <w:rFonts w:hint="eastAsia" w:ascii="方正小标宋简体" w:hAnsi="宋体" w:eastAsia="方正小标宋简体"/>
          <w:sz w:val="44"/>
          <w:szCs w:val="44"/>
          <w:lang w:val="en-US" w:eastAsia="zh-CN"/>
        </w:rPr>
        <w:t>2</w:t>
      </w:r>
      <w:r>
        <w:rPr>
          <w:rFonts w:hint="eastAsia" w:ascii="方正小标宋简体" w:hAnsi="宋体" w:eastAsia="方正小标宋简体"/>
          <w:sz w:val="44"/>
          <w:szCs w:val="44"/>
        </w:rPr>
        <w:t>年部门</w:t>
      </w:r>
      <w:r>
        <w:rPr>
          <w:rFonts w:hint="eastAsia" w:ascii="方正小标宋简体" w:hAnsi="宋体" w:eastAsia="方正小标宋简体"/>
          <w:sz w:val="44"/>
          <w:szCs w:val="44"/>
          <w:lang w:eastAsia="zh-CN"/>
        </w:rPr>
        <w:t>整体</w:t>
      </w:r>
      <w:r>
        <w:rPr>
          <w:rFonts w:hint="eastAsia" w:ascii="方正小标宋简体" w:hAnsi="宋体" w:eastAsia="方正小标宋简体"/>
          <w:sz w:val="44"/>
          <w:szCs w:val="44"/>
        </w:rPr>
        <w:t>支出绩效报告</w:t>
      </w:r>
    </w:p>
    <w:p>
      <w:pPr>
        <w:pStyle w:val="10"/>
        <w:keepNext w:val="0"/>
        <w:keepLines w:val="0"/>
        <w:pageBreakBefore w:val="0"/>
        <w:kinsoku/>
        <w:wordWrap/>
        <w:overflowPunct/>
        <w:topLinePunct w:val="0"/>
        <w:autoSpaceDE/>
        <w:autoSpaceDN/>
        <w:bidi w:val="0"/>
        <w:spacing w:line="500" w:lineRule="exact"/>
        <w:ind w:left="0" w:leftChars="0" w:firstLine="0" w:firstLineChars="0"/>
        <w:textAlignment w:val="auto"/>
        <w:rPr>
          <w:rFonts w:hint="eastAsia"/>
        </w:rPr>
      </w:pP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eastAsia" w:ascii="黑体" w:hAnsi="黑体" w:eastAsia="黑体" w:cs="黑体"/>
          <w:color w:val="000000"/>
          <w:kern w:val="0"/>
          <w:sz w:val="32"/>
          <w:szCs w:val="32"/>
          <w:lang w:val="zh-CN"/>
        </w:rPr>
      </w:pPr>
      <w:r>
        <w:rPr>
          <w:rFonts w:hint="eastAsia" w:ascii="黑体" w:hAnsi="黑体" w:eastAsia="黑体" w:cs="黑体"/>
          <w:color w:val="000000"/>
          <w:kern w:val="0"/>
          <w:sz w:val="32"/>
          <w:szCs w:val="32"/>
        </w:rPr>
        <w:t>一、</w:t>
      </w:r>
      <w:r>
        <w:rPr>
          <w:rFonts w:hint="eastAsia" w:ascii="黑体" w:hAnsi="黑体" w:eastAsia="黑体" w:cs="黑体"/>
          <w:color w:val="000000"/>
          <w:kern w:val="0"/>
          <w:sz w:val="32"/>
          <w:szCs w:val="32"/>
          <w:lang w:val="zh-CN"/>
        </w:rPr>
        <w:t>部门（单位）概况</w:t>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default" w:ascii="Times New Roman" w:hAnsi="Times New Roman" w:eastAsia="楷体_GB2312" w:cs="Times New Roman"/>
          <w:b/>
          <w:sz w:val="32"/>
          <w:szCs w:val="32"/>
          <w:lang w:val="zh-CN"/>
        </w:rPr>
      </w:pPr>
      <w:r>
        <w:rPr>
          <w:rFonts w:hint="default" w:ascii="Times New Roman" w:hAnsi="Times New Roman" w:eastAsia="楷体_GB2312" w:cs="Times New Roman"/>
          <w:b/>
          <w:sz w:val="32"/>
          <w:szCs w:val="32"/>
          <w:lang w:val="zh-CN"/>
        </w:rPr>
        <w:t>（一）机构组成。</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红原县</w:t>
      </w:r>
      <w:r>
        <w:rPr>
          <w:rFonts w:hint="eastAsia" w:eastAsia="仿宋" w:cs="Times New Roman"/>
          <w:color w:val="000000"/>
          <w:spacing w:val="0"/>
          <w:position w:val="0"/>
          <w:sz w:val="32"/>
          <w:szCs w:val="32"/>
          <w:shd w:val="clear" w:fill="auto"/>
          <w:lang w:val="en-US" w:eastAsia="zh-CN"/>
        </w:rPr>
        <w:t>新华书店</w:t>
      </w:r>
      <w:r>
        <w:rPr>
          <w:rFonts w:hint="default" w:ascii="Times New Roman" w:hAnsi="Times New Roman" w:eastAsia="仿宋_GB2312" w:cs="Times New Roman"/>
          <w:sz w:val="32"/>
          <w:szCs w:val="32"/>
          <w:lang w:val="zh-CN"/>
        </w:rPr>
        <w:t>是</w:t>
      </w:r>
      <w:r>
        <w:rPr>
          <w:rFonts w:hint="eastAsia" w:cs="Times New Roman"/>
          <w:sz w:val="32"/>
          <w:szCs w:val="32"/>
          <w:lang w:val="en-US" w:eastAsia="zh-CN"/>
        </w:rPr>
        <w:t>事业</w:t>
      </w:r>
      <w:r>
        <w:rPr>
          <w:rFonts w:hint="default" w:ascii="Times New Roman" w:hAnsi="Times New Roman" w:eastAsia="仿宋_GB2312" w:cs="Times New Roman"/>
          <w:sz w:val="32"/>
          <w:szCs w:val="32"/>
          <w:lang w:val="zh-CN"/>
        </w:rPr>
        <w:t>单位，执行行政单位会计制度，我局下属二级决算单位</w:t>
      </w:r>
      <w:r>
        <w:rPr>
          <w:rFonts w:hint="eastAsia" w:cs="Times New Roman"/>
          <w:sz w:val="32"/>
          <w:szCs w:val="32"/>
          <w:lang w:val="en-US" w:eastAsia="zh-CN"/>
        </w:rPr>
        <w:t>0</w:t>
      </w:r>
      <w:r>
        <w:rPr>
          <w:rFonts w:hint="default" w:ascii="Times New Roman" w:hAnsi="Times New Roman" w:eastAsia="仿宋_GB2312" w:cs="Times New Roman"/>
          <w:sz w:val="32"/>
          <w:szCs w:val="32"/>
          <w:lang w:val="zh-CN"/>
        </w:rPr>
        <w:t>个，其中行政单位0个，参照公务员法管理的事业单位</w:t>
      </w:r>
      <w:r>
        <w:rPr>
          <w:rFonts w:hint="eastAsia" w:ascii="Times New Roman" w:hAnsi="Times New Roman" w:cs="Times New Roman"/>
          <w:sz w:val="32"/>
          <w:szCs w:val="32"/>
          <w:lang w:val="en-US" w:eastAsia="zh-CN"/>
        </w:rPr>
        <w:t>1</w:t>
      </w:r>
      <w:r>
        <w:rPr>
          <w:rFonts w:hint="default" w:ascii="Times New Roman" w:hAnsi="Times New Roman" w:eastAsia="仿宋_GB2312" w:cs="Times New Roman"/>
          <w:sz w:val="32"/>
          <w:szCs w:val="32"/>
          <w:lang w:val="zh-CN"/>
        </w:rPr>
        <w:t xml:space="preserve">个，其他事业单位0个。是独立核算的机构，是独立编报决算的单位。 </w:t>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default" w:ascii="Times New Roman" w:hAnsi="Times New Roman" w:eastAsia="楷体_GB2312" w:cs="Times New Roman"/>
          <w:b/>
          <w:sz w:val="32"/>
          <w:szCs w:val="32"/>
          <w:lang w:val="zh-CN"/>
        </w:rPr>
      </w:pPr>
      <w:r>
        <w:rPr>
          <w:rFonts w:hint="default" w:ascii="Times New Roman" w:hAnsi="Times New Roman" w:eastAsia="楷体_GB2312" w:cs="Times New Roman"/>
          <w:b/>
          <w:sz w:val="32"/>
          <w:szCs w:val="32"/>
          <w:lang w:val="zh-CN"/>
        </w:rPr>
        <w:t>（二）机构职能。</w:t>
      </w:r>
    </w:p>
    <w:p>
      <w:pPr>
        <w:keepNext w:val="0"/>
        <w:keepLines w:val="0"/>
        <w:pageBreakBefore w:val="0"/>
        <w:widowControl w:val="0"/>
        <w:kinsoku/>
        <w:wordWrap/>
        <w:overflowPunct/>
        <w:topLinePunct w:val="0"/>
        <w:autoSpaceDE/>
        <w:autoSpaceDN/>
        <w:bidi w:val="0"/>
        <w:adjustRightInd/>
        <w:spacing w:before="0" w:after="0" w:line="560" w:lineRule="exact"/>
        <w:ind w:left="0" w:right="0" w:firstLine="640"/>
        <w:jc w:val="both"/>
        <w:textAlignment w:val="auto"/>
        <w:rPr>
          <w:rFonts w:hint="eastAsia" w:asciiTheme="minorEastAsia" w:hAnsiTheme="minorEastAsia"/>
          <w:sz w:val="32"/>
          <w:szCs w:val="32"/>
        </w:rPr>
      </w:pPr>
      <w:r>
        <w:rPr>
          <w:rFonts w:hint="eastAsia" w:asciiTheme="minorEastAsia" w:hAnsiTheme="minorEastAsia"/>
          <w:sz w:val="32"/>
          <w:szCs w:val="32"/>
        </w:rPr>
        <w:t>主要以专业技术提供社会公益服务。红原县新华书店作为党的思想宣传重要阵地，是先进文化的基本传播载体，承担着传播主流文化、传承民族文化、提高民族素质的重大使命，承担着为现代化建设提供精神动力、智力支持的重要任务，同时还担负着教材的发行工作，主要负责全县中、小学教材的征订发行工作。新华书店发挥着重要的经济作用，担负着重要的政治职能，提供大量的社会服务，履行文化传播职能。</w:t>
      </w:r>
    </w:p>
    <w:p>
      <w:pPr>
        <w:pStyle w:val="2"/>
        <w:ind w:firstLine="640" w:firstLineChars="200"/>
        <w:rPr>
          <w:rFonts w:hint="default"/>
          <w:sz w:val="32"/>
          <w:szCs w:val="32"/>
        </w:rPr>
      </w:pPr>
      <w:r>
        <w:rPr>
          <w:rFonts w:hint="eastAsia" w:ascii="仿宋_GB2312" w:hAnsi="Times New Roman" w:eastAsia="仿宋_GB2312"/>
          <w:color w:val="000000"/>
          <w:kern w:val="0"/>
          <w:sz w:val="32"/>
          <w:szCs w:val="32"/>
        </w:rPr>
        <w:t>我单位编制人数</w:t>
      </w:r>
      <w:r>
        <w:rPr>
          <w:rFonts w:hint="eastAsia" w:ascii="仿宋_GB2312" w:hAnsi="Times New Roman" w:eastAsia="仿宋_GB2312"/>
          <w:color w:val="000000"/>
          <w:kern w:val="0"/>
          <w:sz w:val="32"/>
          <w:szCs w:val="32"/>
          <w:lang w:val="en-US" w:eastAsia="zh-CN"/>
        </w:rPr>
        <w:t>6</w:t>
      </w:r>
      <w:r>
        <w:rPr>
          <w:rFonts w:hint="eastAsia" w:ascii="仿宋_GB2312" w:hAnsi="Times New Roman" w:eastAsia="仿宋_GB2312"/>
          <w:color w:val="000000"/>
          <w:kern w:val="0"/>
          <w:sz w:val="32"/>
          <w:szCs w:val="32"/>
        </w:rPr>
        <w:t>人，较上年度增加0人，年末实有人数5人，较上年度增加0人。</w:t>
      </w: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ascii="黑体" w:hAnsi="宋体" w:eastAsia="黑体" w:cs="宋体"/>
          <w:color w:val="000000"/>
          <w:kern w:val="0"/>
          <w:sz w:val="32"/>
          <w:szCs w:val="32"/>
        </w:rPr>
      </w:pPr>
      <w:r>
        <w:rPr>
          <w:rFonts w:hint="eastAsia" w:ascii="黑体" w:hAnsi="宋体" w:eastAsia="黑体" w:cs="宋体"/>
          <w:color w:val="000000"/>
          <w:kern w:val="0"/>
          <w:sz w:val="32"/>
          <w:szCs w:val="32"/>
        </w:rPr>
        <w:t>二、部门财政资金收支情况</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left"/>
        <w:textAlignment w:val="auto"/>
        <w:rPr>
          <w:rFonts w:hint="eastAsia" w:ascii="仿宋_GB2312" w:hAnsi="宋体" w:cs="宋体"/>
          <w:b/>
          <w:bCs/>
          <w:color w:val="000000"/>
          <w:kern w:val="0"/>
          <w:sz w:val="32"/>
          <w:szCs w:val="32"/>
          <w:lang w:val="zh-CN"/>
        </w:rPr>
      </w:pPr>
      <w:r>
        <w:rPr>
          <w:rFonts w:hint="eastAsia" w:ascii="仿宋_GB2312" w:hAnsi="宋体" w:cs="宋体"/>
          <w:b/>
          <w:bCs/>
          <w:color w:val="000000"/>
          <w:kern w:val="0"/>
          <w:sz w:val="32"/>
          <w:szCs w:val="32"/>
          <w:lang w:val="zh-CN"/>
        </w:rPr>
        <w:t>（一）部门财政资金收入情况。</w:t>
      </w:r>
    </w:p>
    <w:p>
      <w:pPr>
        <w:pStyle w:val="41"/>
        <w:keepNext w:val="0"/>
        <w:keepLines w:val="0"/>
        <w:pageBreakBefore w:val="0"/>
        <w:widowControl/>
        <w:kinsoku/>
        <w:wordWrap/>
        <w:overflowPunct/>
        <w:topLinePunct w:val="0"/>
        <w:autoSpaceDE/>
        <w:autoSpaceDN/>
        <w:bidi w:val="0"/>
        <w:snapToGrid/>
        <w:spacing w:beforeAutospacing="0" w:afterAutospacing="0" w:line="560" w:lineRule="exact"/>
        <w:ind w:firstLine="624" w:firstLineChars="200"/>
        <w:textAlignment w:val="auto"/>
        <w:rPr>
          <w:rStyle w:val="42"/>
          <w:rFonts w:hint="eastAsia" w:ascii="仿宋_GB2312" w:hAnsi="Calibri" w:eastAsia="仿宋_GB2312"/>
          <w:kern w:val="2"/>
          <w:sz w:val="32"/>
          <w:szCs w:val="32"/>
          <w:lang w:val="zh-CN" w:eastAsia="zh-CN" w:bidi="ar-SA"/>
        </w:rPr>
      </w:pPr>
      <w:r>
        <w:rPr>
          <w:rFonts w:hint="eastAsia" w:eastAsia="仿宋_GB2312"/>
          <w:sz w:val="32"/>
          <w:szCs w:val="32"/>
          <w:lang w:eastAsia="zh-CN"/>
        </w:rPr>
        <w:t>本单位本年度总收入为</w:t>
      </w:r>
      <w:r>
        <w:rPr>
          <w:rFonts w:hint="eastAsia"/>
          <w:sz w:val="32"/>
          <w:szCs w:val="32"/>
          <w:lang w:val="en-US" w:eastAsia="zh-CN"/>
        </w:rPr>
        <w:t>103.48</w:t>
      </w:r>
      <w:r>
        <w:rPr>
          <w:rFonts w:hint="eastAsia" w:eastAsia="仿宋_GB2312"/>
          <w:sz w:val="32"/>
          <w:szCs w:val="32"/>
          <w:lang w:eastAsia="zh-CN"/>
        </w:rPr>
        <w:t>万元。其中：一般公共预算财政拨款收入为</w:t>
      </w:r>
      <w:r>
        <w:rPr>
          <w:rFonts w:hint="eastAsia"/>
          <w:sz w:val="32"/>
          <w:szCs w:val="32"/>
          <w:lang w:val="en-US" w:eastAsia="zh-CN"/>
        </w:rPr>
        <w:t>103.48</w:t>
      </w:r>
      <w:r>
        <w:rPr>
          <w:rFonts w:hint="eastAsia" w:eastAsia="仿宋_GB2312"/>
          <w:sz w:val="32"/>
          <w:szCs w:val="32"/>
          <w:lang w:eastAsia="zh-CN"/>
        </w:rPr>
        <w:t>万元，占比</w:t>
      </w:r>
      <w:r>
        <w:rPr>
          <w:rFonts w:hint="eastAsia"/>
          <w:sz w:val="32"/>
          <w:szCs w:val="32"/>
          <w:lang w:val="en-US" w:eastAsia="zh-CN"/>
        </w:rPr>
        <w:t>100</w:t>
      </w:r>
      <w:r>
        <w:rPr>
          <w:rFonts w:hint="eastAsia" w:eastAsia="仿宋_GB2312"/>
          <w:sz w:val="32"/>
          <w:szCs w:val="32"/>
          <w:lang w:eastAsia="zh-CN"/>
        </w:rPr>
        <w:t xml:space="preserve">%；其他收入为 </w:t>
      </w:r>
      <w:r>
        <w:rPr>
          <w:rFonts w:hint="eastAsia"/>
          <w:sz w:val="32"/>
          <w:szCs w:val="32"/>
          <w:lang w:val="en-US" w:eastAsia="zh-CN"/>
        </w:rPr>
        <w:t>0</w:t>
      </w:r>
      <w:r>
        <w:rPr>
          <w:rFonts w:hint="eastAsia" w:eastAsia="仿宋_GB2312"/>
          <w:sz w:val="32"/>
          <w:szCs w:val="32"/>
          <w:lang w:eastAsia="zh-CN"/>
        </w:rPr>
        <w:t>万元，占比</w:t>
      </w:r>
      <w:r>
        <w:rPr>
          <w:rFonts w:hint="eastAsia"/>
          <w:sz w:val="32"/>
          <w:szCs w:val="32"/>
          <w:lang w:val="en-US" w:eastAsia="zh-CN"/>
        </w:rPr>
        <w:t>0</w:t>
      </w:r>
      <w:r>
        <w:rPr>
          <w:rFonts w:hint="eastAsia" w:eastAsia="仿宋_GB2312"/>
          <w:sz w:val="32"/>
          <w:szCs w:val="32"/>
          <w:lang w:eastAsia="zh-CN"/>
        </w:rPr>
        <w:t>%。</w:t>
      </w:r>
    </w:p>
    <w:p>
      <w:pPr>
        <w:keepNext w:val="0"/>
        <w:keepLines w:val="0"/>
        <w:pageBreakBefore w:val="0"/>
        <w:widowControl/>
        <w:numPr>
          <w:ilvl w:val="0"/>
          <w:numId w:val="3"/>
        </w:numPr>
        <w:kinsoku/>
        <w:wordWrap/>
        <w:overflowPunct/>
        <w:topLinePunct w:val="0"/>
        <w:autoSpaceDE/>
        <w:autoSpaceDN/>
        <w:bidi w:val="0"/>
        <w:adjustRightInd w:val="0"/>
        <w:snapToGrid w:val="0"/>
        <w:spacing w:line="560" w:lineRule="exact"/>
        <w:ind w:firstLine="720"/>
        <w:jc w:val="left"/>
        <w:textAlignment w:val="auto"/>
        <w:rPr>
          <w:rFonts w:hint="eastAsia" w:ascii="仿宋_GB2312" w:hAnsi="仿宋_GB2312" w:eastAsia="仿宋_GB2312" w:cs="仿宋_GB2312"/>
          <w:b/>
          <w:bCs/>
          <w:color w:val="000000"/>
          <w:kern w:val="0"/>
          <w:sz w:val="32"/>
          <w:szCs w:val="32"/>
          <w:lang w:val="en-US" w:eastAsia="zh-CN" w:bidi="ar"/>
        </w:rPr>
      </w:pPr>
      <w:r>
        <w:rPr>
          <w:rFonts w:hint="eastAsia" w:ascii="仿宋_GB2312" w:hAnsi="宋体" w:cs="宋体"/>
          <w:b/>
          <w:bCs/>
          <w:color w:val="000000"/>
          <w:kern w:val="0"/>
          <w:sz w:val="32"/>
          <w:szCs w:val="32"/>
          <w:lang w:val="zh-CN"/>
        </w:rPr>
        <w:t>部门财政资金支出情况。</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720"/>
        <w:jc w:val="left"/>
        <w:textAlignment w:val="auto"/>
        <w:rPr>
          <w:rFonts w:hint="default" w:eastAsia="仿宋_GB2312"/>
          <w:sz w:val="32"/>
          <w:szCs w:val="32"/>
          <w:lang w:val="en-US" w:eastAsia="zh-CN"/>
        </w:rPr>
      </w:pPr>
      <w:r>
        <w:rPr>
          <w:rFonts w:hint="default" w:ascii="Times New Roman" w:hAnsi="Times New Roman" w:eastAsia="仿宋_GB2312" w:cs="Times New Roman"/>
          <w:sz w:val="32"/>
          <w:szCs w:val="32"/>
          <w:lang w:val="zh-CN"/>
        </w:rPr>
        <w:t>20</w:t>
      </w:r>
      <w:r>
        <w:rPr>
          <w:rFonts w:hint="default" w:ascii="Times New Roman" w:hAnsi="Times New Roman" w:cs="Times New Roman"/>
          <w:sz w:val="32"/>
          <w:szCs w:val="32"/>
          <w:lang w:val="en-US" w:eastAsia="zh-CN"/>
        </w:rPr>
        <w:t>2</w:t>
      </w:r>
      <w:r>
        <w:rPr>
          <w:rFonts w:hint="eastAsia" w:cs="Times New Roman"/>
          <w:sz w:val="32"/>
          <w:szCs w:val="32"/>
          <w:lang w:val="en-US" w:eastAsia="zh-CN"/>
        </w:rPr>
        <w:t>1</w:t>
      </w:r>
      <w:r>
        <w:rPr>
          <w:rFonts w:hint="default" w:ascii="Times New Roman" w:hAnsi="Times New Roman" w:eastAsia="仿宋_GB2312" w:cs="Times New Roman"/>
          <w:sz w:val="32"/>
          <w:szCs w:val="32"/>
          <w:lang w:val="zh-CN"/>
        </w:rPr>
        <w:t>年支出合计</w:t>
      </w:r>
      <w:r>
        <w:rPr>
          <w:rFonts w:hint="eastAsia" w:cs="Times New Roman"/>
          <w:sz w:val="32"/>
          <w:szCs w:val="32"/>
          <w:lang w:val="en-US" w:eastAsia="zh-CN"/>
        </w:rPr>
        <w:t>103.48</w:t>
      </w:r>
      <w:r>
        <w:rPr>
          <w:rFonts w:hint="default" w:ascii="Times New Roman" w:hAnsi="Times New Roman" w:eastAsia="仿宋_GB2312" w:cs="Times New Roman"/>
          <w:sz w:val="32"/>
          <w:szCs w:val="32"/>
          <w:lang w:val="zh-CN"/>
        </w:rPr>
        <w:t>万元，其中：</w:t>
      </w:r>
      <w:r>
        <w:rPr>
          <w:rFonts w:hint="eastAsia" w:cs="Times New Roman"/>
          <w:sz w:val="32"/>
          <w:szCs w:val="32"/>
          <w:lang w:val="en-US" w:eastAsia="zh-CN"/>
        </w:rPr>
        <w:t>文化旅游体育与传媒支出80.28万元，占77.58%；</w:t>
      </w:r>
      <w:r>
        <w:rPr>
          <w:rFonts w:hint="default" w:ascii="Times New Roman" w:hAnsi="Times New Roman" w:eastAsia="仿宋_GB2312" w:cs="Times New Roman"/>
          <w:sz w:val="32"/>
          <w:szCs w:val="32"/>
          <w:lang w:val="zh-CN"/>
        </w:rPr>
        <w:t>社会保障和就业支出</w:t>
      </w:r>
      <w:r>
        <w:rPr>
          <w:rFonts w:hint="eastAsia" w:cs="Times New Roman"/>
          <w:sz w:val="32"/>
          <w:szCs w:val="32"/>
          <w:lang w:val="en-US" w:eastAsia="zh-CN"/>
        </w:rPr>
        <w:t>10.89</w:t>
      </w:r>
      <w:r>
        <w:rPr>
          <w:rFonts w:hint="default" w:ascii="Times New Roman" w:hAnsi="Times New Roman" w:eastAsia="仿宋_GB2312" w:cs="Times New Roman"/>
          <w:sz w:val="32"/>
          <w:szCs w:val="32"/>
          <w:lang w:val="zh-CN"/>
        </w:rPr>
        <w:t>万元，</w:t>
      </w:r>
      <w:r>
        <w:rPr>
          <w:rFonts w:hint="eastAsia" w:ascii="Times New Roman" w:hAnsi="Times New Roman" w:cs="Times New Roman"/>
          <w:sz w:val="32"/>
          <w:szCs w:val="32"/>
          <w:lang w:val="en-US" w:eastAsia="zh-CN"/>
        </w:rPr>
        <w:t>占</w:t>
      </w:r>
      <w:r>
        <w:rPr>
          <w:rFonts w:hint="eastAsia" w:cs="Times New Roman"/>
          <w:sz w:val="32"/>
          <w:szCs w:val="32"/>
          <w:lang w:val="en-US" w:eastAsia="zh-CN"/>
        </w:rPr>
        <w:t>10.52</w:t>
      </w:r>
      <w:r>
        <w:rPr>
          <w:rFonts w:hint="default" w:ascii="Times New Roman" w:hAnsi="Times New Roman" w:eastAsia="仿宋_GB2312" w:cs="Times New Roman"/>
          <w:sz w:val="32"/>
          <w:szCs w:val="32"/>
          <w:lang w:val="zh-CN"/>
        </w:rPr>
        <w:t>%；</w:t>
      </w:r>
      <w:r>
        <w:rPr>
          <w:rFonts w:hint="default" w:ascii="Times New Roman" w:hAnsi="Times New Roman" w:cs="Times New Roman"/>
          <w:sz w:val="32"/>
          <w:szCs w:val="32"/>
          <w:lang w:val="zh-CN"/>
        </w:rPr>
        <w:t>卫生健康</w:t>
      </w:r>
      <w:r>
        <w:rPr>
          <w:rFonts w:hint="default" w:ascii="Times New Roman" w:hAnsi="Times New Roman" w:eastAsia="仿宋_GB2312" w:cs="Times New Roman"/>
          <w:sz w:val="32"/>
          <w:szCs w:val="32"/>
          <w:lang w:val="zh-CN"/>
        </w:rPr>
        <w:t>支出</w:t>
      </w:r>
      <w:r>
        <w:rPr>
          <w:rFonts w:hint="eastAsia" w:cs="Times New Roman"/>
          <w:sz w:val="32"/>
          <w:szCs w:val="32"/>
          <w:lang w:val="en-US" w:eastAsia="zh-CN"/>
        </w:rPr>
        <w:t>5.03</w:t>
      </w:r>
      <w:r>
        <w:rPr>
          <w:rFonts w:hint="default" w:ascii="Times New Roman" w:hAnsi="Times New Roman" w:eastAsia="仿宋_GB2312" w:cs="Times New Roman"/>
          <w:sz w:val="32"/>
          <w:szCs w:val="32"/>
          <w:lang w:val="zh-CN"/>
        </w:rPr>
        <w:t>万元，占</w:t>
      </w:r>
      <w:r>
        <w:rPr>
          <w:rFonts w:hint="eastAsia" w:cs="Times New Roman"/>
          <w:sz w:val="32"/>
          <w:szCs w:val="32"/>
          <w:lang w:val="en-US" w:eastAsia="zh-CN"/>
        </w:rPr>
        <w:t>4.86</w:t>
      </w:r>
      <w:r>
        <w:rPr>
          <w:rFonts w:hint="default" w:ascii="Times New Roman" w:hAnsi="Times New Roman" w:eastAsia="仿宋_GB2312" w:cs="Times New Roman"/>
          <w:sz w:val="32"/>
          <w:szCs w:val="32"/>
          <w:lang w:val="zh-CN"/>
        </w:rPr>
        <w:t>%；住房保障支出</w:t>
      </w:r>
      <w:r>
        <w:rPr>
          <w:rFonts w:hint="eastAsia" w:cs="Times New Roman"/>
          <w:sz w:val="32"/>
          <w:szCs w:val="32"/>
          <w:lang w:val="en-US" w:eastAsia="zh-CN"/>
        </w:rPr>
        <w:t>7.27</w:t>
      </w:r>
      <w:r>
        <w:rPr>
          <w:rFonts w:hint="default" w:ascii="Times New Roman" w:hAnsi="Times New Roman" w:eastAsia="仿宋_GB2312" w:cs="Times New Roman"/>
          <w:sz w:val="32"/>
          <w:szCs w:val="32"/>
          <w:lang w:val="zh-CN"/>
        </w:rPr>
        <w:t>万元，占</w:t>
      </w:r>
      <w:r>
        <w:rPr>
          <w:rFonts w:hint="eastAsia" w:cs="Times New Roman"/>
          <w:sz w:val="32"/>
          <w:szCs w:val="32"/>
          <w:lang w:val="en-US" w:eastAsia="zh-CN"/>
        </w:rPr>
        <w:t>7.03</w:t>
      </w:r>
      <w:r>
        <w:rPr>
          <w:rFonts w:hint="default" w:ascii="Times New Roman" w:hAnsi="Times New Roman" w:eastAsia="仿宋_GB2312" w:cs="Times New Roman"/>
          <w:sz w:val="32"/>
          <w:szCs w:val="32"/>
          <w:lang w:val="zh-CN"/>
        </w:rPr>
        <w:t>%</w:t>
      </w:r>
      <w:r>
        <w:rPr>
          <w:rFonts w:hint="eastAsia" w:ascii="Times New Roman" w:hAnsi="Times New Roman" w:cs="Times New Roman"/>
          <w:sz w:val="32"/>
          <w:szCs w:val="32"/>
          <w:lang w:val="zh-CN"/>
        </w:rPr>
        <w:t>。</w:t>
      </w: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ascii="黑体" w:hAnsi="宋体" w:eastAsia="黑体" w:cs="宋体"/>
          <w:color w:val="000000"/>
          <w:kern w:val="0"/>
          <w:sz w:val="32"/>
          <w:szCs w:val="32"/>
        </w:rPr>
      </w:pPr>
      <w:r>
        <w:rPr>
          <w:rFonts w:hint="eastAsia" w:ascii="黑体" w:hAnsi="宋体" w:eastAsia="黑体" w:cs="宋体"/>
          <w:color w:val="000000"/>
          <w:kern w:val="0"/>
          <w:sz w:val="32"/>
          <w:szCs w:val="32"/>
        </w:rPr>
        <w:t>三、部门财政支出管理情况</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（一）预算编制情况。</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sz w:val="32"/>
          <w:szCs w:val="32"/>
        </w:rPr>
      </w:pPr>
      <w:r>
        <w:rPr>
          <w:rFonts w:hint="eastAsia" w:ascii="仿宋_GB2312" w:hAnsi="仿宋_GB2312" w:eastAsia="仿宋_GB2312" w:cs="仿宋_GB2312"/>
          <w:sz w:val="32"/>
          <w:szCs w:val="32"/>
        </w:rPr>
        <w:t>我</w:t>
      </w:r>
      <w:r>
        <w:rPr>
          <w:rFonts w:hint="eastAsia" w:ascii="仿宋_GB2312" w:hAnsi="仿宋_GB2312" w:cs="仿宋_GB2312"/>
          <w:sz w:val="32"/>
          <w:szCs w:val="32"/>
          <w:lang w:val="en-US" w:eastAsia="zh-CN"/>
        </w:rPr>
        <w:t>单位</w:t>
      </w:r>
      <w:r>
        <w:rPr>
          <w:rFonts w:hint="eastAsia" w:ascii="仿宋_GB2312" w:hAnsi="仿宋_GB2312" w:eastAsia="仿宋_GB2312" w:cs="仿宋_GB2312"/>
          <w:sz w:val="32"/>
          <w:szCs w:val="32"/>
        </w:rPr>
        <w:t>严格按照《预算法》及相关财经法规和政策编制本年度预算，严格控制编报质量，保证所有资金合法合规，严格按照相关规定进行预算编制</w:t>
      </w:r>
      <w:r>
        <w:rPr>
          <w:rFonts w:hint="eastAsia" w:ascii="仿宋_GB2312" w:hAnsi="仿宋_GB2312" w:cs="仿宋_GB2312"/>
          <w:sz w:val="32"/>
          <w:szCs w:val="32"/>
          <w:lang w:eastAsia="zh-CN"/>
        </w:rPr>
        <w:t>。预算中</w:t>
      </w:r>
      <w:r>
        <w:rPr>
          <w:rFonts w:hint="eastAsia" w:ascii="仿宋_GB2312" w:hAnsi="仿宋_GB2312" w:eastAsia="仿宋_GB2312" w:cs="仿宋_GB2312"/>
          <w:sz w:val="32"/>
          <w:szCs w:val="32"/>
        </w:rPr>
        <w:t>基本支出，是用于保障</w:t>
      </w:r>
      <w:r>
        <w:rPr>
          <w:rFonts w:hint="eastAsia" w:ascii="仿宋_GB2312" w:hAnsi="仿宋_GB2312" w:cs="仿宋_GB2312"/>
          <w:sz w:val="32"/>
          <w:szCs w:val="32"/>
          <w:lang w:eastAsia="zh-CN"/>
        </w:rPr>
        <w:t>我</w:t>
      </w:r>
      <w:r>
        <w:rPr>
          <w:rFonts w:hint="eastAsia" w:ascii="仿宋_GB2312" w:hAnsi="仿宋_GB2312" w:cs="仿宋_GB2312"/>
          <w:sz w:val="32"/>
          <w:szCs w:val="32"/>
          <w:lang w:val="en-US" w:eastAsia="zh-CN"/>
        </w:rPr>
        <w:t>校</w:t>
      </w:r>
      <w:r>
        <w:rPr>
          <w:rFonts w:hint="eastAsia" w:ascii="仿宋_GB2312" w:hAnsi="仿宋_GB2312" w:eastAsia="仿宋_GB2312" w:cs="仿宋_GB2312"/>
          <w:sz w:val="32"/>
          <w:szCs w:val="32"/>
        </w:rPr>
        <w:t>正常运转的日常支出，包括基本工资、津贴补贴等人员经费以及办公费、印刷费、水电费、</w:t>
      </w:r>
      <w:r>
        <w:rPr>
          <w:rFonts w:hint="eastAsia" w:ascii="仿宋_GB2312" w:hAnsi="仿宋_GB2312" w:eastAsia="仿宋_GB2312" w:cs="仿宋_GB2312"/>
          <w:sz w:val="32"/>
          <w:szCs w:val="32"/>
          <w:lang w:eastAsia="zh-CN"/>
        </w:rPr>
        <w:t>培训费、会议费</w:t>
      </w:r>
      <w:r>
        <w:rPr>
          <w:rFonts w:hint="eastAsia" w:ascii="仿宋_GB2312" w:hAnsi="仿宋_GB2312" w:eastAsia="仿宋_GB2312" w:cs="仿宋_GB2312"/>
          <w:sz w:val="32"/>
          <w:szCs w:val="32"/>
        </w:rPr>
        <w:t>等日常公用经</w:t>
      </w:r>
      <w:r>
        <w:rPr>
          <w:rFonts w:hint="eastAsia" w:ascii="仿宋_GB2312" w:hAnsi="仿宋_GB2312" w:eastAsia="仿宋_GB2312" w:cs="仿宋_GB2312"/>
          <w:sz w:val="32"/>
          <w:szCs w:val="32"/>
          <w:lang w:eastAsia="zh-CN"/>
        </w:rPr>
        <w:t>费。</w:t>
      </w:r>
      <w:r>
        <w:rPr>
          <w:rFonts w:hint="eastAsia" w:ascii="仿宋_GB2312" w:hAnsi="仿宋_GB2312" w:eastAsia="仿宋_GB2312" w:cs="仿宋_GB2312"/>
          <w:sz w:val="32"/>
          <w:szCs w:val="32"/>
          <w:lang w:val="en-US" w:eastAsia="zh-CN"/>
        </w:rPr>
        <w:t>202</w:t>
      </w:r>
      <w:r>
        <w:rPr>
          <w:rFonts w:hint="eastAsia" w:ascii="仿宋_GB2312" w:hAnsi="仿宋_GB2312" w:cs="仿宋_GB2312"/>
          <w:sz w:val="32"/>
          <w:szCs w:val="32"/>
          <w:lang w:val="en-US" w:eastAsia="zh-CN"/>
        </w:rPr>
        <w:t>1</w:t>
      </w:r>
      <w:r>
        <w:rPr>
          <w:rFonts w:hint="eastAsia" w:ascii="仿宋_GB2312" w:hAnsi="仿宋_GB2312" w:eastAsia="仿宋_GB2312" w:cs="仿宋_GB2312"/>
          <w:sz w:val="32"/>
          <w:szCs w:val="32"/>
          <w:lang w:val="en-US" w:eastAsia="zh-CN"/>
        </w:rPr>
        <w:t>年绩效目标执行率96%以上完成度较好，202</w:t>
      </w:r>
      <w:r>
        <w:rPr>
          <w:rFonts w:hint="eastAsia" w:ascii="仿宋_GB2312" w:hAnsi="仿宋_GB2312" w:cs="仿宋_GB2312"/>
          <w:sz w:val="32"/>
          <w:szCs w:val="32"/>
          <w:lang w:val="en-US" w:eastAsia="zh-CN"/>
        </w:rPr>
        <w:t>1</w:t>
      </w:r>
      <w:r>
        <w:rPr>
          <w:rFonts w:hint="eastAsia" w:ascii="仿宋_GB2312" w:hAnsi="仿宋_GB2312" w:eastAsia="仿宋_GB2312" w:cs="仿宋_GB2312"/>
          <w:sz w:val="32"/>
          <w:szCs w:val="32"/>
          <w:lang w:val="en-US" w:eastAsia="zh-CN"/>
        </w:rPr>
        <w:t>年我单位及时公开部门预算</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决算</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绩效报告等，对预算编制进一步细化。</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hint="eastAsia" w:ascii="仿宋_GB2312" w:hAnsi="仿宋_GB2312" w:eastAsia="仿宋_GB2312" w:cs="仿宋_GB2312"/>
          <w:b/>
          <w:bCs/>
          <w:i w:val="0"/>
          <w:iCs w:val="0"/>
          <w:color w:val="000000"/>
          <w:kern w:val="0"/>
          <w:sz w:val="32"/>
          <w:szCs w:val="32"/>
          <w:lang w:val="zh-CN"/>
        </w:rPr>
      </w:pPr>
      <w:r>
        <w:rPr>
          <w:rFonts w:hint="eastAsia" w:ascii="仿宋_GB2312" w:hAnsi="仿宋_GB2312" w:eastAsia="仿宋_GB2312" w:cs="仿宋_GB2312"/>
          <w:b/>
          <w:bCs/>
          <w:i w:val="0"/>
          <w:iCs w:val="0"/>
          <w:color w:val="000000"/>
          <w:kern w:val="0"/>
          <w:sz w:val="32"/>
          <w:szCs w:val="32"/>
          <w:lang w:val="zh-CN"/>
        </w:rPr>
        <w:t>（二）执行管理情况。</w:t>
      </w:r>
      <w:r>
        <w:rPr>
          <w:rFonts w:hint="eastAsia" w:ascii="仿宋_GB2312" w:hAnsi="仿宋_GB2312" w:eastAsia="仿宋_GB2312" w:cs="仿宋_GB2312"/>
          <w:b/>
          <w:bCs/>
          <w:i w:val="0"/>
          <w:iCs w:val="0"/>
          <w:color w:val="000000"/>
          <w:kern w:val="0"/>
          <w:sz w:val="32"/>
          <w:szCs w:val="32"/>
          <w:lang w:val="zh-CN"/>
        </w:rPr>
        <w:tab/>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color w:val="000000"/>
          <w:kern w:val="0"/>
          <w:sz w:val="32"/>
          <w:szCs w:val="32"/>
          <w:lang w:val="zh-CN" w:eastAsia="zh-CN"/>
        </w:rPr>
      </w:pPr>
      <w:r>
        <w:rPr>
          <w:rFonts w:hint="eastAsia" w:ascii="仿宋_GB2312" w:hAnsi="仿宋_GB2312" w:cs="仿宋_GB2312"/>
          <w:sz w:val="32"/>
          <w:szCs w:val="32"/>
          <w:lang w:eastAsia="zh-CN"/>
        </w:rPr>
        <w:t>我</w:t>
      </w:r>
      <w:r>
        <w:rPr>
          <w:rFonts w:hint="eastAsia" w:ascii="仿宋_GB2312" w:hAnsi="仿宋_GB2312" w:cs="仿宋_GB2312"/>
          <w:sz w:val="32"/>
          <w:szCs w:val="32"/>
          <w:lang w:val="en-US" w:eastAsia="zh-CN"/>
        </w:rPr>
        <w:t>单位</w:t>
      </w:r>
      <w:r>
        <w:rPr>
          <w:rFonts w:hint="eastAsia" w:ascii="仿宋_GB2312" w:hAnsi="仿宋_GB2312" w:eastAsia="仿宋_GB2312" w:cs="仿宋_GB2312"/>
          <w:sz w:val="32"/>
          <w:szCs w:val="32"/>
        </w:rPr>
        <w:t>预算执行到位，严格按照预算管理进行支付并做到节能降耗，“三公”经费严格按照年初预算执行</w:t>
      </w:r>
      <w:r>
        <w:rPr>
          <w:rFonts w:hint="eastAsia" w:ascii="仿宋_GB2312" w:hAnsi="仿宋_GB2312" w:cs="仿宋_GB2312"/>
          <w:sz w:val="32"/>
          <w:szCs w:val="32"/>
          <w:lang w:eastAsia="zh-CN"/>
        </w:rPr>
        <w:t>，预算数为</w:t>
      </w:r>
      <w:r>
        <w:rPr>
          <w:rFonts w:hint="eastAsia" w:ascii="仿宋_GB2312" w:hAnsi="仿宋_GB2312" w:cs="仿宋_GB2312"/>
          <w:sz w:val="32"/>
          <w:szCs w:val="32"/>
          <w:lang w:val="en-US" w:eastAsia="zh-CN"/>
        </w:rPr>
        <w:t>0万元，</w:t>
      </w:r>
      <w:r>
        <w:rPr>
          <w:rFonts w:hint="eastAsia" w:eastAsia="仿宋_GB2312"/>
          <w:sz w:val="32"/>
          <w:szCs w:val="32"/>
          <w:lang w:eastAsia="zh-CN"/>
        </w:rPr>
        <w:t>决算数为</w:t>
      </w:r>
      <w:r>
        <w:rPr>
          <w:rFonts w:hint="eastAsia"/>
          <w:sz w:val="32"/>
          <w:szCs w:val="32"/>
          <w:lang w:val="en-US" w:eastAsia="zh-CN"/>
        </w:rPr>
        <w:t>0</w:t>
      </w:r>
      <w:r>
        <w:rPr>
          <w:rFonts w:hint="eastAsia" w:eastAsia="仿宋_GB2312"/>
          <w:sz w:val="32"/>
          <w:szCs w:val="32"/>
          <w:lang w:eastAsia="zh-CN"/>
        </w:rPr>
        <w:t>万元</w:t>
      </w:r>
      <w:r>
        <w:rPr>
          <w:rFonts w:hint="eastAsia"/>
          <w:sz w:val="32"/>
          <w:szCs w:val="32"/>
          <w:lang w:eastAsia="zh-CN"/>
        </w:rPr>
        <w:t>，</w:t>
      </w:r>
      <w:r>
        <w:rPr>
          <w:rFonts w:hint="eastAsia" w:eastAsia="仿宋_GB2312"/>
          <w:sz w:val="32"/>
          <w:szCs w:val="32"/>
          <w:lang w:eastAsia="zh-CN"/>
        </w:rPr>
        <w:t>预算完成度为</w:t>
      </w:r>
      <w:r>
        <w:rPr>
          <w:rFonts w:hint="eastAsia"/>
          <w:sz w:val="32"/>
          <w:szCs w:val="32"/>
          <w:lang w:val="en-US" w:eastAsia="zh-CN"/>
        </w:rPr>
        <w:t>0</w:t>
      </w:r>
      <w:r>
        <w:rPr>
          <w:rFonts w:hint="eastAsia" w:eastAsia="仿宋_GB2312"/>
          <w:sz w:val="32"/>
          <w:szCs w:val="32"/>
          <w:lang w:eastAsia="zh-CN"/>
        </w:rPr>
        <w:t>%</w:t>
      </w:r>
      <w:r>
        <w:rPr>
          <w:rFonts w:hint="eastAsia"/>
          <w:sz w:val="32"/>
          <w:szCs w:val="32"/>
          <w:lang w:eastAsia="zh-CN"/>
        </w:rPr>
        <w:t>，</w:t>
      </w:r>
      <w:r>
        <w:rPr>
          <w:rFonts w:hint="eastAsia" w:eastAsia="仿宋_GB2312"/>
          <w:sz w:val="32"/>
          <w:szCs w:val="32"/>
          <w:lang w:eastAsia="zh-CN"/>
        </w:rPr>
        <w:t>其中:公务用车购置及运行维护费支出决算数为</w:t>
      </w:r>
      <w:r>
        <w:rPr>
          <w:rFonts w:hint="eastAsia"/>
          <w:sz w:val="32"/>
          <w:szCs w:val="32"/>
          <w:lang w:val="en-US" w:eastAsia="zh-CN"/>
        </w:rPr>
        <w:t>0</w:t>
      </w:r>
      <w:r>
        <w:rPr>
          <w:rFonts w:hint="eastAsia" w:eastAsia="仿宋_GB2312"/>
          <w:sz w:val="32"/>
          <w:szCs w:val="32"/>
          <w:lang w:eastAsia="zh-CN"/>
        </w:rPr>
        <w:t>万元，相比上年度</w:t>
      </w:r>
      <w:r>
        <w:rPr>
          <w:rFonts w:hint="eastAsia"/>
          <w:sz w:val="32"/>
          <w:szCs w:val="32"/>
          <w:lang w:val="en-US" w:eastAsia="zh-CN"/>
        </w:rPr>
        <w:t>减少</w:t>
      </w:r>
      <w:r>
        <w:rPr>
          <w:rFonts w:hint="eastAsia" w:eastAsia="仿宋_GB2312"/>
          <w:sz w:val="32"/>
          <w:szCs w:val="32"/>
          <w:lang w:eastAsia="zh-CN"/>
        </w:rPr>
        <w:t>0万元，主要原因是</w:t>
      </w:r>
      <w:r>
        <w:rPr>
          <w:rFonts w:hint="eastAsia" w:cs="Times New Roman"/>
          <w:sz w:val="32"/>
          <w:szCs w:val="32"/>
          <w:lang w:val="en-US" w:eastAsia="zh-CN"/>
        </w:rPr>
        <w:t>厉行节约减少不必要的支出</w:t>
      </w:r>
      <w:r>
        <w:rPr>
          <w:rFonts w:hint="eastAsia" w:eastAsia="仿宋_GB2312"/>
          <w:sz w:val="32"/>
          <w:szCs w:val="32"/>
          <w:lang w:eastAsia="zh-CN"/>
        </w:rPr>
        <w:t>；公务接待费支出决算数为0万元，相比上年度</w:t>
      </w:r>
      <w:r>
        <w:rPr>
          <w:rFonts w:hint="eastAsia"/>
          <w:sz w:val="32"/>
          <w:szCs w:val="32"/>
          <w:lang w:val="en-US" w:eastAsia="zh-CN"/>
        </w:rPr>
        <w:t>减少0万元</w:t>
      </w:r>
      <w:r>
        <w:rPr>
          <w:rFonts w:hint="eastAsia" w:eastAsia="仿宋_GB2312"/>
          <w:sz w:val="32"/>
          <w:szCs w:val="32"/>
          <w:lang w:eastAsia="zh-CN"/>
        </w:rPr>
        <w:t xml:space="preserve">。 </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hint="eastAsia" w:ascii="仿宋_GB2312" w:hAnsi="宋体" w:cs="宋体"/>
          <w:color w:val="000000"/>
          <w:kern w:val="0"/>
          <w:sz w:val="32"/>
          <w:szCs w:val="32"/>
          <w:lang w:val="zh-CN"/>
        </w:rPr>
      </w:pPr>
      <w:r>
        <w:rPr>
          <w:rFonts w:hint="eastAsia" w:ascii="仿宋_GB2312" w:hAnsi="仿宋_GB2312" w:eastAsia="仿宋_GB2312" w:cs="仿宋_GB2312"/>
          <w:b/>
          <w:bCs/>
          <w:i w:val="0"/>
          <w:iCs w:val="0"/>
          <w:color w:val="000000"/>
          <w:kern w:val="0"/>
          <w:sz w:val="32"/>
          <w:szCs w:val="32"/>
          <w:lang w:val="zh-CN"/>
        </w:rPr>
        <w:t>（三）综合管理情况。</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720"/>
        <w:jc w:val="left"/>
        <w:textAlignment w:val="auto"/>
        <w:rPr>
          <w:rFonts w:hint="eastAsia" w:ascii="仿宋_GB2312" w:hAnsi="宋体" w:eastAsia="仿宋_GB2312" w:cs="宋体"/>
          <w:color w:val="000000"/>
          <w:kern w:val="0"/>
          <w:sz w:val="32"/>
          <w:szCs w:val="32"/>
          <w:lang w:val="zh-CN" w:eastAsia="zh-CN"/>
        </w:rPr>
      </w:pPr>
      <w:r>
        <w:rPr>
          <w:rFonts w:hint="eastAsia" w:ascii="仿宋_GB2312" w:hAnsi="仿宋_GB2312" w:eastAsia="仿宋_GB2312" w:cs="仿宋_GB2312"/>
          <w:b w:val="0"/>
          <w:bCs w:val="0"/>
          <w:color w:val="000000"/>
          <w:sz w:val="32"/>
          <w:szCs w:val="32"/>
          <w:lang w:val="en-US" w:eastAsia="zh-CN"/>
        </w:rPr>
        <w:t>根据《会计法》《预算法》、《行政单位会计制》等法律和财政部及其省财政厅有关财务规章的规定，明确了单位经费审批权限及程序，经费预算、核算管理、资产购置与处置、财务监督等相关规定。按规定对本单位财务信息依法进行公开。</w:t>
      </w:r>
    </w:p>
    <w:p>
      <w:pPr>
        <w:pStyle w:val="43"/>
        <w:keepNext w:val="0"/>
        <w:keepLines w:val="0"/>
        <w:pageBreakBefore w:val="0"/>
        <w:numPr>
          <w:ilvl w:val="0"/>
          <w:numId w:val="0"/>
        </w:numPr>
        <w:tabs>
          <w:tab w:val="left" w:pos="0"/>
        </w:tabs>
        <w:kinsoku/>
        <w:wordWrap/>
        <w:overflowPunct/>
        <w:topLinePunct w:val="0"/>
        <w:autoSpaceDE/>
        <w:autoSpaceDN/>
        <w:bidi w:val="0"/>
        <w:spacing w:line="560" w:lineRule="exact"/>
        <w:ind w:left="750" w:leftChars="0"/>
        <w:jc w:val="both"/>
        <w:textAlignment w:val="auto"/>
        <w:rPr>
          <w:rFonts w:ascii="仿宋_GB2312" w:hAnsi="宋体" w:cs="宋体"/>
          <w:sz w:val="32"/>
          <w:szCs w:val="32"/>
        </w:rPr>
      </w:pPr>
      <w:r>
        <w:rPr>
          <w:rFonts w:hint="eastAsia" w:ascii="仿宋_GB2312" w:hAnsi="宋体" w:cs="宋体"/>
          <w:sz w:val="32"/>
          <w:szCs w:val="32"/>
          <w:lang w:val="en-US" w:eastAsia="zh-CN"/>
        </w:rPr>
        <w:t>1.</w:t>
      </w:r>
      <w:r>
        <w:rPr>
          <w:rFonts w:hint="eastAsia" w:ascii="仿宋_GB2312" w:hAnsi="宋体" w:cs="宋体"/>
          <w:sz w:val="32"/>
          <w:szCs w:val="32"/>
        </w:rPr>
        <w:t>资产管理</w:t>
      </w:r>
    </w:p>
    <w:p>
      <w:pPr>
        <w:pStyle w:val="43"/>
        <w:keepNext w:val="0"/>
        <w:keepLines w:val="0"/>
        <w:pageBreakBefore w:val="0"/>
        <w:kinsoku/>
        <w:wordWrap/>
        <w:overflowPunct/>
        <w:topLinePunct w:val="0"/>
        <w:autoSpaceDE/>
        <w:autoSpaceDN/>
        <w:bidi w:val="0"/>
        <w:spacing w:line="560" w:lineRule="exact"/>
        <w:ind w:firstLine="600"/>
        <w:jc w:val="both"/>
        <w:textAlignment w:val="auto"/>
        <w:rPr>
          <w:rFonts w:hint="eastAsia" w:ascii="仿宋_GB2312" w:hAnsi="宋体" w:cs="宋体"/>
          <w:sz w:val="32"/>
          <w:szCs w:val="32"/>
        </w:rPr>
      </w:pPr>
      <w:r>
        <w:rPr>
          <w:rFonts w:hint="eastAsia" w:ascii="仿宋_GB2312" w:hAnsi="宋体" w:cs="宋体"/>
          <w:sz w:val="32"/>
          <w:szCs w:val="32"/>
        </w:rPr>
        <w:t xml:space="preserve">由于现在的日常工作已逐步普及办公自动化，加快了办公设备淘汰更新，这就需要对固定资产进行年年清查盘点，使固定资产清查工作经常化、常态化，更好的从源头上对单位固定资产进行监控和管理。 </w:t>
      </w:r>
    </w:p>
    <w:p>
      <w:pPr>
        <w:pStyle w:val="43"/>
        <w:keepNext w:val="0"/>
        <w:keepLines w:val="0"/>
        <w:pageBreakBefore w:val="0"/>
        <w:numPr>
          <w:ilvl w:val="0"/>
          <w:numId w:val="0"/>
        </w:numPr>
        <w:tabs>
          <w:tab w:val="left" w:pos="0"/>
        </w:tabs>
        <w:kinsoku/>
        <w:wordWrap/>
        <w:overflowPunct/>
        <w:topLinePunct w:val="0"/>
        <w:autoSpaceDE/>
        <w:autoSpaceDN/>
        <w:bidi w:val="0"/>
        <w:spacing w:line="560" w:lineRule="exact"/>
        <w:ind w:left="750" w:leftChars="0"/>
        <w:jc w:val="both"/>
        <w:textAlignment w:val="auto"/>
        <w:rPr>
          <w:rFonts w:ascii="仿宋_GB2312" w:hAnsi="宋体" w:cs="宋体"/>
          <w:sz w:val="32"/>
          <w:szCs w:val="32"/>
        </w:rPr>
      </w:pPr>
      <w:r>
        <w:rPr>
          <w:rFonts w:hint="eastAsia" w:ascii="仿宋_GB2312" w:hAnsi="宋体" w:cs="宋体"/>
          <w:sz w:val="32"/>
          <w:szCs w:val="32"/>
          <w:lang w:val="en-US" w:eastAsia="zh-CN"/>
        </w:rPr>
        <w:t>2.</w:t>
      </w:r>
      <w:r>
        <w:rPr>
          <w:rFonts w:hint="eastAsia" w:ascii="仿宋_GB2312" w:hAnsi="宋体" w:cs="宋体"/>
          <w:sz w:val="32"/>
          <w:szCs w:val="32"/>
        </w:rPr>
        <w:t>单位内控管理</w:t>
      </w:r>
    </w:p>
    <w:p>
      <w:pPr>
        <w:keepNext w:val="0"/>
        <w:keepLines w:val="0"/>
        <w:pageBreakBefore w:val="0"/>
        <w:kinsoku/>
        <w:wordWrap/>
        <w:overflowPunct/>
        <w:topLinePunct w:val="0"/>
        <w:autoSpaceDE/>
        <w:autoSpaceDN/>
        <w:bidi w:val="0"/>
        <w:spacing w:before="72" w:line="560" w:lineRule="exact"/>
        <w:ind w:firstLine="640"/>
        <w:textAlignment w:val="auto"/>
        <w:rPr>
          <w:rFonts w:hint="eastAsia" w:ascii="仿宋_GB2312" w:eastAsia="仿宋_GB2312"/>
          <w:sz w:val="32"/>
          <w:szCs w:val="32"/>
        </w:rPr>
      </w:pPr>
      <w:r>
        <w:rPr>
          <w:rFonts w:hint="eastAsia" w:ascii="仿宋_GB2312" w:eastAsia="仿宋_GB2312"/>
          <w:sz w:val="32"/>
          <w:szCs w:val="32"/>
        </w:rPr>
        <w:t>在财务管理过程中逐步建立健全财务管理制度、财务核算制度、财务报销制度等，严格按照《行政单位会计制度》和《行政单位财务规则》的规定设置会计科目，建立了科学有效的会计核算方式，各项经济活动均真实、合法、准确、及时的反应在会计账目上，建立健全内部控制制度，积极配合财政部门开展预算、决算考评工作。</w:t>
      </w:r>
    </w:p>
    <w:p>
      <w:pPr>
        <w:pStyle w:val="17"/>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ascii="仿宋_GB2312" w:eastAsia="仿宋_GB2312"/>
          <w:sz w:val="32"/>
          <w:szCs w:val="32"/>
        </w:rPr>
      </w:pPr>
      <w:r>
        <w:rPr>
          <w:rFonts w:hint="eastAsia" w:ascii="仿宋_GB2312"/>
          <w:sz w:val="32"/>
          <w:szCs w:val="32"/>
          <w:lang w:val="en-US" w:eastAsia="zh-CN"/>
        </w:rPr>
        <w:t>3.</w:t>
      </w:r>
      <w:r>
        <w:rPr>
          <w:rFonts w:hint="eastAsia" w:ascii="仿宋_GB2312" w:eastAsia="仿宋_GB2312"/>
          <w:sz w:val="32"/>
          <w:szCs w:val="32"/>
        </w:rPr>
        <w:t>部门预算管理</w:t>
      </w:r>
    </w:p>
    <w:p>
      <w:pPr>
        <w:pStyle w:val="10"/>
        <w:keepNext w:val="0"/>
        <w:keepLines w:val="0"/>
        <w:pageBreakBefore w:val="0"/>
        <w:kinsoku/>
        <w:wordWrap/>
        <w:overflowPunct/>
        <w:topLinePunct w:val="0"/>
        <w:autoSpaceDE/>
        <w:autoSpaceDN/>
        <w:bidi w:val="0"/>
        <w:spacing w:line="560" w:lineRule="exact"/>
        <w:textAlignment w:val="auto"/>
        <w:rPr>
          <w:rFonts w:hint="eastAsia" w:ascii="仿宋_GB2312" w:hAnsi="宋体" w:cs="宋体"/>
          <w:sz w:val="32"/>
          <w:szCs w:val="32"/>
        </w:rPr>
      </w:pPr>
      <w:r>
        <w:rPr>
          <w:rFonts w:hint="eastAsia" w:ascii="仿宋_GB2312" w:eastAsia="仿宋_GB2312"/>
          <w:sz w:val="32"/>
          <w:szCs w:val="32"/>
        </w:rPr>
        <w:t>严格按照综合预算原则。统一编制、统一管理、统筹安排资金，将</w:t>
      </w:r>
      <w:r>
        <w:rPr>
          <w:rFonts w:hint="eastAsia" w:ascii="仿宋_GB2312"/>
          <w:sz w:val="32"/>
          <w:szCs w:val="32"/>
          <w:lang w:val="en-US" w:eastAsia="zh-CN"/>
        </w:rPr>
        <w:t>我单位</w:t>
      </w:r>
      <w:r>
        <w:rPr>
          <w:rFonts w:hint="eastAsia" w:ascii="仿宋_GB2312" w:eastAsia="仿宋_GB2312"/>
          <w:sz w:val="32"/>
          <w:szCs w:val="32"/>
        </w:rPr>
        <w:t xml:space="preserve">所有安排的各项支出纳入综合预算，确保预算全面、真实反映单位实际的收支情况，使所有收支活动纳入预算管理与监督的范围。 </w:t>
      </w:r>
      <w:r>
        <w:rPr>
          <w:rFonts w:hint="eastAsia" w:ascii="仿宋_GB2312"/>
          <w:sz w:val="32"/>
          <w:szCs w:val="32"/>
        </w:rPr>
        <w:t xml:space="preserve">   </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720"/>
        <w:jc w:val="left"/>
        <w:textAlignment w:val="auto"/>
        <w:rPr>
          <w:rFonts w:hint="default" w:ascii="楷体" w:hAnsi="楷体" w:eastAsia="楷体" w:cs="宋体"/>
          <w:color w:val="000000"/>
          <w:kern w:val="0"/>
          <w:sz w:val="32"/>
          <w:szCs w:val="32"/>
          <w:lang w:val="en-US" w:eastAsia="zh-CN"/>
        </w:rPr>
      </w:pPr>
      <w:r>
        <w:rPr>
          <w:rFonts w:hint="eastAsia" w:ascii="楷体" w:hAnsi="楷体" w:eastAsia="楷体" w:cs="宋体"/>
          <w:color w:val="000000"/>
          <w:kern w:val="0"/>
          <w:sz w:val="32"/>
          <w:szCs w:val="32"/>
          <w:lang w:val="en-US" w:eastAsia="zh-CN" w:bidi="ar"/>
        </w:rPr>
        <w:t>4.</w:t>
      </w:r>
      <w:r>
        <w:rPr>
          <w:rFonts w:hint="eastAsia" w:ascii="楷体" w:hAnsi="楷体" w:eastAsia="楷体" w:cs="宋体"/>
          <w:color w:val="000000"/>
          <w:kern w:val="0"/>
          <w:sz w:val="32"/>
          <w:szCs w:val="32"/>
          <w:lang w:val="zh-CN" w:eastAsia="zh-CN" w:bidi="ar"/>
        </w:rPr>
        <w:t>绩效管理</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hint="eastAsia" w:ascii="仿宋_GB2312" w:hAnsi="宋体" w:cs="宋体"/>
          <w:color w:val="000000"/>
          <w:kern w:val="0"/>
          <w:sz w:val="32"/>
          <w:szCs w:val="32"/>
          <w:lang w:val="zh-CN"/>
        </w:rPr>
      </w:pPr>
      <w:r>
        <w:rPr>
          <w:rFonts w:hint="eastAsia" w:ascii="仿宋_GB2312" w:hAnsi="仿宋_GB2312" w:eastAsia="仿宋_GB2312" w:cs="仿宋_GB2312"/>
          <w:b w:val="0"/>
          <w:bCs w:val="0"/>
          <w:color w:val="000000"/>
          <w:sz w:val="32"/>
          <w:szCs w:val="32"/>
          <w:lang w:val="en-US" w:eastAsia="zh-CN"/>
        </w:rPr>
        <w:t>我</w:t>
      </w:r>
      <w:r>
        <w:rPr>
          <w:rFonts w:hint="eastAsia" w:ascii="仿宋_GB2312" w:hAnsi="仿宋_GB2312" w:cs="仿宋_GB2312"/>
          <w:b w:val="0"/>
          <w:bCs w:val="0"/>
          <w:color w:val="000000"/>
          <w:sz w:val="32"/>
          <w:szCs w:val="32"/>
          <w:lang w:val="en-US" w:eastAsia="zh-CN"/>
        </w:rPr>
        <w:t>单位</w:t>
      </w:r>
      <w:r>
        <w:rPr>
          <w:rFonts w:hint="eastAsia" w:ascii="仿宋_GB2312" w:hAnsi="仿宋_GB2312" w:eastAsia="仿宋_GB2312" w:cs="仿宋_GB2312"/>
          <w:b w:val="0"/>
          <w:bCs w:val="0"/>
          <w:color w:val="000000"/>
          <w:sz w:val="32"/>
          <w:szCs w:val="32"/>
          <w:lang w:val="en-US" w:eastAsia="zh-CN"/>
        </w:rPr>
        <w:t>领导高度重视绩效评价工作，成立了绩效评价工作领导小组，采取座谈等方式听取</w:t>
      </w:r>
      <w:r>
        <w:rPr>
          <w:rFonts w:hint="eastAsia" w:ascii="仿宋_GB2312" w:hAnsi="仿宋_GB2312" w:cs="仿宋_GB2312"/>
          <w:b w:val="0"/>
          <w:bCs w:val="0"/>
          <w:color w:val="000000"/>
          <w:sz w:val="32"/>
          <w:szCs w:val="32"/>
          <w:lang w:val="en-US" w:eastAsia="zh-CN"/>
        </w:rPr>
        <w:t>相关</w:t>
      </w:r>
      <w:r>
        <w:rPr>
          <w:rFonts w:hint="eastAsia" w:ascii="仿宋_GB2312" w:hAnsi="仿宋_GB2312" w:eastAsia="仿宋_GB2312" w:cs="仿宋_GB2312"/>
          <w:b w:val="0"/>
          <w:bCs w:val="0"/>
          <w:color w:val="000000"/>
          <w:sz w:val="32"/>
          <w:szCs w:val="32"/>
          <w:lang w:val="en-US" w:eastAsia="zh-CN"/>
        </w:rPr>
        <w:t>情况，检查基本支出、</w:t>
      </w:r>
      <w:r>
        <w:rPr>
          <w:rFonts w:hint="eastAsia" w:ascii="仿宋_GB2312" w:hAnsi="仿宋_GB2312" w:cs="仿宋_GB2312"/>
          <w:b w:val="0"/>
          <w:bCs w:val="0"/>
          <w:color w:val="000000"/>
          <w:sz w:val="32"/>
          <w:szCs w:val="32"/>
          <w:lang w:val="en-US" w:eastAsia="zh-CN"/>
        </w:rPr>
        <w:t>专项办公费、会议费等</w:t>
      </w:r>
      <w:r>
        <w:rPr>
          <w:rFonts w:hint="eastAsia" w:ascii="仿宋_GB2312" w:hAnsi="仿宋_GB2312" w:eastAsia="仿宋_GB2312" w:cs="仿宋_GB2312"/>
          <w:b w:val="0"/>
          <w:bCs w:val="0"/>
          <w:color w:val="000000"/>
          <w:sz w:val="32"/>
          <w:szCs w:val="32"/>
          <w:lang w:val="en-US" w:eastAsia="zh-CN"/>
        </w:rPr>
        <w:t>支出有关账目，收集整理相关资料，并对资料进行分析，形成评价结论。</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cs="仿宋_GB2312"/>
          <w:b w:val="0"/>
          <w:bCs w:val="0"/>
          <w:color w:val="000000"/>
          <w:sz w:val="32"/>
          <w:szCs w:val="32"/>
          <w:lang w:val="en-US" w:eastAsia="zh-CN"/>
        </w:rPr>
        <w:t>（1）</w:t>
      </w:r>
      <w:r>
        <w:rPr>
          <w:rFonts w:hint="eastAsia" w:ascii="仿宋_GB2312" w:hAnsi="仿宋_GB2312" w:eastAsia="仿宋_GB2312" w:cs="仿宋_GB2312"/>
          <w:b w:val="0"/>
          <w:bCs w:val="0"/>
          <w:color w:val="000000"/>
          <w:sz w:val="32"/>
          <w:szCs w:val="32"/>
          <w:lang w:val="en-US" w:eastAsia="zh-CN"/>
        </w:rPr>
        <w:t>部门预算严格按照上级部门预算编制通知和有关要求，结合单位具体工作及县级相关规定编制，按时完成基础、项目报送工作，</w:t>
      </w:r>
      <w:r>
        <w:rPr>
          <w:rFonts w:hint="eastAsia" w:ascii="仿宋_GB2312" w:hAnsi="仿宋_GB2312" w:cs="仿宋_GB2312"/>
          <w:b w:val="0"/>
          <w:bCs w:val="0"/>
          <w:color w:val="000000"/>
          <w:sz w:val="32"/>
          <w:szCs w:val="32"/>
          <w:lang w:val="en-US" w:eastAsia="zh-CN"/>
        </w:rPr>
        <w:t>我单位</w:t>
      </w:r>
      <w:r>
        <w:rPr>
          <w:rFonts w:hint="eastAsia" w:ascii="仿宋_GB2312" w:hAnsi="仿宋_GB2312" w:eastAsia="仿宋_GB2312" w:cs="仿宋_GB2312"/>
          <w:b w:val="0"/>
          <w:bCs w:val="0"/>
          <w:color w:val="000000"/>
          <w:sz w:val="32"/>
          <w:szCs w:val="32"/>
          <w:lang w:val="en-US" w:eastAsia="zh-CN"/>
        </w:rPr>
        <w:t>预算按时在</w:t>
      </w:r>
      <w:r>
        <w:rPr>
          <w:rFonts w:hint="eastAsia" w:ascii="仿宋_GB2312" w:hAnsi="仿宋_GB2312" w:cs="仿宋_GB2312"/>
          <w:b w:val="0"/>
          <w:bCs w:val="0"/>
          <w:color w:val="000000"/>
          <w:sz w:val="32"/>
          <w:szCs w:val="32"/>
          <w:lang w:val="en-US" w:eastAsia="zh-CN"/>
        </w:rPr>
        <w:t>红原县门户网站</w:t>
      </w:r>
      <w:r>
        <w:rPr>
          <w:rFonts w:hint="eastAsia" w:ascii="仿宋_GB2312" w:hAnsi="仿宋_GB2312" w:eastAsia="仿宋_GB2312" w:cs="仿宋_GB2312"/>
          <w:b w:val="0"/>
          <w:bCs w:val="0"/>
          <w:color w:val="000000"/>
          <w:sz w:val="32"/>
          <w:szCs w:val="32"/>
          <w:lang w:val="en-US" w:eastAsia="zh-CN"/>
        </w:rPr>
        <w:t>公开。</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cs="仿宋_GB2312"/>
          <w:b w:val="0"/>
          <w:bCs w:val="0"/>
          <w:color w:val="000000"/>
          <w:sz w:val="32"/>
          <w:szCs w:val="32"/>
          <w:lang w:val="en-US" w:eastAsia="zh-CN"/>
        </w:rPr>
        <w:t>（2）</w:t>
      </w:r>
      <w:r>
        <w:rPr>
          <w:rFonts w:hint="eastAsia" w:ascii="仿宋_GB2312" w:hAnsi="仿宋_GB2312" w:eastAsia="仿宋_GB2312" w:cs="仿宋_GB2312"/>
          <w:b w:val="0"/>
          <w:bCs w:val="0"/>
          <w:color w:val="000000"/>
          <w:sz w:val="32"/>
          <w:szCs w:val="32"/>
          <w:lang w:val="en-US" w:eastAsia="zh-CN"/>
        </w:rPr>
        <w:t>严格执行支出预算，“三公经费”本着节约、高效的原则严格控制支出。</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cs="仿宋_GB2312"/>
          <w:b w:val="0"/>
          <w:bCs w:val="0"/>
          <w:color w:val="000000"/>
          <w:sz w:val="32"/>
          <w:szCs w:val="32"/>
          <w:lang w:val="en-US" w:eastAsia="zh-CN"/>
        </w:rPr>
        <w:t>（3）</w:t>
      </w:r>
      <w:r>
        <w:rPr>
          <w:rFonts w:hint="eastAsia" w:ascii="仿宋_GB2312" w:hAnsi="仿宋_GB2312" w:eastAsia="仿宋_GB2312" w:cs="仿宋_GB2312"/>
          <w:b w:val="0"/>
          <w:bCs w:val="0"/>
          <w:color w:val="000000"/>
          <w:sz w:val="32"/>
          <w:szCs w:val="32"/>
          <w:lang w:val="en-US" w:eastAsia="zh-CN"/>
        </w:rPr>
        <w:t>认真开展部门绩效评价工作，绩效评价规章制度</w:t>
      </w:r>
      <w:r>
        <w:rPr>
          <w:rFonts w:hint="eastAsia" w:ascii="仿宋_GB2312" w:hAnsi="仿宋_GB2312" w:cs="仿宋_GB2312"/>
          <w:b w:val="0"/>
          <w:bCs w:val="0"/>
          <w:color w:val="000000"/>
          <w:sz w:val="32"/>
          <w:szCs w:val="32"/>
          <w:lang w:val="en-US" w:eastAsia="zh-CN"/>
        </w:rPr>
        <w:t>逐渐</w:t>
      </w:r>
      <w:r>
        <w:rPr>
          <w:rFonts w:hint="eastAsia" w:ascii="仿宋_GB2312" w:hAnsi="仿宋_GB2312" w:eastAsia="仿宋_GB2312" w:cs="仿宋_GB2312"/>
          <w:b w:val="0"/>
          <w:bCs w:val="0"/>
          <w:color w:val="000000"/>
          <w:sz w:val="32"/>
          <w:szCs w:val="32"/>
          <w:lang w:val="en-US" w:eastAsia="zh-CN"/>
        </w:rPr>
        <w:t>健全;严格按照相关法律、法规进行会计核算，严格资金管理，专款专用，资金拨付严格按相关程序报批后支付。认真开展</w:t>
      </w:r>
      <w:r>
        <w:rPr>
          <w:rFonts w:hint="eastAsia" w:ascii="仿宋_GB2312" w:hAnsi="仿宋_GB2312" w:cs="仿宋_GB2312"/>
          <w:b w:val="0"/>
          <w:bCs w:val="0"/>
          <w:color w:val="000000"/>
          <w:sz w:val="32"/>
          <w:szCs w:val="32"/>
          <w:lang w:val="en-US" w:eastAsia="zh-CN"/>
        </w:rPr>
        <w:t>部门整体</w:t>
      </w:r>
      <w:r>
        <w:rPr>
          <w:rFonts w:hint="eastAsia" w:ascii="仿宋_GB2312" w:hAnsi="仿宋_GB2312" w:eastAsia="仿宋_GB2312" w:cs="仿宋_GB2312"/>
          <w:b w:val="0"/>
          <w:bCs w:val="0"/>
          <w:color w:val="000000"/>
          <w:sz w:val="32"/>
          <w:szCs w:val="32"/>
          <w:lang w:val="en-US" w:eastAsia="zh-CN"/>
        </w:rPr>
        <w:t>绩效评价工作，绩效评价工作</w:t>
      </w:r>
      <w:r>
        <w:rPr>
          <w:rFonts w:hint="eastAsia" w:ascii="仿宋_GB2312" w:hAnsi="仿宋_GB2312" w:cs="仿宋_GB2312"/>
          <w:b w:val="0"/>
          <w:bCs w:val="0"/>
          <w:color w:val="000000"/>
          <w:sz w:val="32"/>
          <w:szCs w:val="32"/>
          <w:lang w:val="en-US" w:eastAsia="zh-CN"/>
        </w:rPr>
        <w:t>正逐步</w:t>
      </w:r>
      <w:r>
        <w:rPr>
          <w:rFonts w:hint="eastAsia" w:ascii="仿宋_GB2312" w:hAnsi="仿宋_GB2312" w:eastAsia="仿宋_GB2312" w:cs="仿宋_GB2312"/>
          <w:b w:val="0"/>
          <w:bCs w:val="0"/>
          <w:color w:val="000000"/>
          <w:sz w:val="32"/>
          <w:szCs w:val="32"/>
          <w:lang w:val="en-US" w:eastAsia="zh-CN"/>
        </w:rPr>
        <w:t xml:space="preserve">完善。    </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hint="eastAsia" w:ascii="仿宋_GB2312" w:hAnsi="仿宋_GB2312" w:eastAsia="仿宋_GB2312" w:cs="仿宋_GB2312"/>
          <w:b/>
          <w:bCs/>
          <w:i w:val="0"/>
          <w:iCs w:val="0"/>
          <w:color w:val="000000"/>
          <w:kern w:val="0"/>
          <w:sz w:val="32"/>
          <w:szCs w:val="32"/>
          <w:lang w:val="zh-CN"/>
        </w:rPr>
      </w:pPr>
      <w:r>
        <w:rPr>
          <w:rFonts w:hint="eastAsia" w:ascii="仿宋_GB2312" w:hAnsi="仿宋_GB2312" w:eastAsia="仿宋_GB2312" w:cs="仿宋_GB2312"/>
          <w:b/>
          <w:bCs/>
          <w:i w:val="0"/>
          <w:iCs w:val="0"/>
          <w:color w:val="000000"/>
          <w:kern w:val="0"/>
          <w:sz w:val="32"/>
          <w:szCs w:val="32"/>
          <w:lang w:val="zh-CN"/>
        </w:rPr>
        <w:t>（四）整体绩效。</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firstLineChars="200"/>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SA"/>
        </w:rPr>
        <w:t>绩效目标是预算编制的前提和基础，按照“费随事定”的原则，202</w:t>
      </w:r>
      <w:r>
        <w:rPr>
          <w:rFonts w:hint="eastAsia" w:ascii="仿宋_GB2312" w:hAnsi="仿宋_GB2312" w:cs="仿宋_GB2312"/>
          <w:b w:val="0"/>
          <w:bCs w:val="0"/>
          <w:color w:val="000000"/>
          <w:kern w:val="2"/>
          <w:sz w:val="32"/>
          <w:szCs w:val="32"/>
          <w:lang w:val="en-US" w:eastAsia="zh-CN" w:bidi="ar-SA"/>
        </w:rPr>
        <w:t>1</w:t>
      </w:r>
      <w:r>
        <w:rPr>
          <w:rFonts w:hint="eastAsia" w:ascii="仿宋_GB2312" w:hAnsi="仿宋_GB2312" w:eastAsia="仿宋_GB2312" w:cs="仿宋_GB2312"/>
          <w:b w:val="0"/>
          <w:bCs w:val="0"/>
          <w:color w:val="000000"/>
          <w:kern w:val="2"/>
          <w:sz w:val="32"/>
          <w:szCs w:val="32"/>
          <w:lang w:val="en-US" w:eastAsia="zh-CN" w:bidi="ar-SA"/>
        </w:rPr>
        <w:t>年我</w:t>
      </w:r>
      <w:r>
        <w:rPr>
          <w:rFonts w:hint="eastAsia" w:ascii="仿宋_GB2312" w:hAnsi="仿宋_GB2312" w:cs="仿宋_GB2312"/>
          <w:b w:val="0"/>
          <w:bCs w:val="0"/>
          <w:color w:val="000000"/>
          <w:kern w:val="2"/>
          <w:sz w:val="32"/>
          <w:szCs w:val="32"/>
          <w:lang w:val="en-US" w:eastAsia="zh-CN" w:bidi="ar-SA"/>
        </w:rPr>
        <w:t>单位</w:t>
      </w:r>
      <w:r>
        <w:rPr>
          <w:rFonts w:hint="eastAsia" w:ascii="仿宋_GB2312" w:hAnsi="仿宋_GB2312" w:eastAsia="仿宋_GB2312" w:cs="仿宋_GB2312"/>
          <w:b w:val="0"/>
          <w:bCs w:val="0"/>
          <w:color w:val="000000"/>
          <w:kern w:val="2"/>
          <w:sz w:val="32"/>
          <w:szCs w:val="32"/>
          <w:lang w:val="en-US" w:eastAsia="zh-CN" w:bidi="ar-SA"/>
        </w:rPr>
        <w:t>项目支出按要求编制了绩效目标，从项目完成、项目效益、满意度等方面设置了绩效指标，综合反映项目预期完成的数量、成本、时效、质量，预期达到的社会效益、经济效益、生态效益以及服务对象满意度等情况。</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w:t>
      </w:r>
      <w:r>
        <w:rPr>
          <w:rFonts w:hint="eastAsia" w:ascii="仿宋_GB2312" w:hAnsi="仿宋_GB2312" w:cs="仿宋_GB2312"/>
          <w:b/>
          <w:bCs/>
          <w:color w:val="000000"/>
          <w:kern w:val="0"/>
          <w:sz w:val="32"/>
          <w:szCs w:val="32"/>
          <w:lang w:val="zh-CN"/>
        </w:rPr>
        <w:t>五</w:t>
      </w:r>
      <w:r>
        <w:rPr>
          <w:rFonts w:hint="eastAsia" w:ascii="仿宋_GB2312" w:hAnsi="仿宋_GB2312" w:eastAsia="仿宋_GB2312" w:cs="仿宋_GB2312"/>
          <w:b/>
          <w:bCs/>
          <w:color w:val="000000"/>
          <w:kern w:val="0"/>
          <w:sz w:val="32"/>
          <w:szCs w:val="32"/>
          <w:lang w:val="zh-CN"/>
        </w:rPr>
        <w:t>）结果应用情况</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hint="eastAsia" w:ascii="仿宋_GB2312" w:hAnsi="宋体" w:cs="宋体"/>
          <w:color w:val="000000"/>
          <w:kern w:val="0"/>
          <w:sz w:val="32"/>
          <w:szCs w:val="32"/>
          <w:lang w:val="zh-CN"/>
        </w:rPr>
      </w:pPr>
      <w:r>
        <w:rPr>
          <w:rFonts w:hint="eastAsia" w:ascii="仿宋_GB2312" w:hAnsi="宋体" w:cs="宋体"/>
          <w:color w:val="000000"/>
          <w:kern w:val="0"/>
          <w:sz w:val="32"/>
          <w:szCs w:val="32"/>
          <w:shd w:val="clear" w:color="auto" w:fill="FFFFFF"/>
          <w:lang w:val="en-US" w:eastAsia="zh-CN"/>
        </w:rPr>
        <w:t>2021年我单位从收支执行，三公经费管理，预算管理，绩效管理等方面进行了详尽</w:t>
      </w:r>
      <w:r>
        <w:rPr>
          <w:rFonts w:hint="eastAsia" w:ascii="仿宋_GB2312" w:hAnsi="宋体" w:cs="宋体"/>
          <w:color w:val="000000"/>
          <w:kern w:val="0"/>
          <w:sz w:val="32"/>
          <w:szCs w:val="32"/>
          <w:shd w:val="clear" w:color="auto" w:fill="FFFFFF"/>
          <w:lang w:val="zh-CN"/>
        </w:rPr>
        <w:t>部门自评、</w:t>
      </w:r>
      <w:r>
        <w:rPr>
          <w:rFonts w:hint="eastAsia" w:ascii="仿宋_GB2312" w:hAnsi="宋体" w:cs="宋体"/>
          <w:color w:val="000000"/>
          <w:kern w:val="0"/>
          <w:sz w:val="32"/>
          <w:szCs w:val="32"/>
          <w:shd w:val="clear" w:color="auto" w:fill="FFFFFF"/>
          <w:lang w:val="en-US" w:eastAsia="zh-CN"/>
        </w:rPr>
        <w:t>2021年预算绩效目标，项目预算绩效目标等均进行了公开，评价结果较好，对部门预算编制不够精准细化的问题将在后续工作中逐步改进。</w:t>
      </w:r>
    </w:p>
    <w:p>
      <w:pPr>
        <w:keepNext w:val="0"/>
        <w:keepLines w:val="0"/>
        <w:pageBreakBefore w:val="0"/>
        <w:widowControl/>
        <w:numPr>
          <w:ilvl w:val="0"/>
          <w:numId w:val="4"/>
        </w:numPr>
        <w:kinsoku/>
        <w:wordWrap/>
        <w:overflowPunct/>
        <w:topLinePunct w:val="0"/>
        <w:autoSpaceDE/>
        <w:autoSpaceDN/>
        <w:bidi w:val="0"/>
        <w:adjustRightInd w:val="0"/>
        <w:snapToGrid w:val="0"/>
        <w:spacing w:line="560" w:lineRule="exact"/>
        <w:jc w:val="left"/>
        <w:textAlignment w:val="auto"/>
        <w:rPr>
          <w:rFonts w:hint="eastAsia" w:ascii="黑体" w:hAnsi="宋体" w:eastAsia="黑体" w:cs="宋体"/>
          <w:color w:val="000000"/>
          <w:kern w:val="0"/>
          <w:sz w:val="32"/>
          <w:szCs w:val="32"/>
        </w:rPr>
      </w:pPr>
      <w:r>
        <w:rPr>
          <w:rFonts w:hint="eastAsia" w:ascii="黑体" w:hAnsi="宋体" w:eastAsia="黑体" w:cs="宋体"/>
          <w:color w:val="000000"/>
          <w:kern w:val="0"/>
          <w:sz w:val="32"/>
          <w:szCs w:val="32"/>
        </w:rPr>
        <w:t>评价结论及建议</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3" w:firstLineChars="200"/>
        <w:jc w:val="left"/>
        <w:textAlignment w:val="auto"/>
        <w:rPr>
          <w:rFonts w:hint="eastAsia" w:ascii="仿宋_GB2312" w:hAnsi="宋体" w:cs="宋体"/>
          <w:b/>
          <w:bCs/>
          <w:color w:val="000000"/>
          <w:kern w:val="0"/>
          <w:sz w:val="32"/>
          <w:szCs w:val="32"/>
          <w:lang w:val="zh-CN"/>
        </w:rPr>
      </w:pPr>
      <w:r>
        <w:rPr>
          <w:rFonts w:hint="eastAsia" w:ascii="仿宋_GB2312" w:hAnsi="宋体" w:cs="宋体"/>
          <w:b/>
          <w:bCs/>
          <w:color w:val="000000"/>
          <w:kern w:val="0"/>
          <w:sz w:val="32"/>
          <w:szCs w:val="32"/>
          <w:lang w:val="zh-CN"/>
        </w:rPr>
        <w:t>（一）评价结论。</w:t>
      </w:r>
    </w:p>
    <w:p>
      <w:pPr>
        <w:pStyle w:val="10"/>
        <w:keepNext w:val="0"/>
        <w:keepLines w:val="0"/>
        <w:pageBreakBefore w:val="0"/>
        <w:kinsoku/>
        <w:wordWrap/>
        <w:overflowPunct/>
        <w:topLinePunct w:val="0"/>
        <w:autoSpaceDE/>
        <w:autoSpaceDN/>
        <w:bidi w:val="0"/>
        <w:spacing w:line="560" w:lineRule="exact"/>
        <w:ind w:left="0" w:leftChars="0" w:firstLine="640" w:firstLineChars="200"/>
        <w:textAlignment w:val="auto"/>
        <w:rPr>
          <w:sz w:val="32"/>
          <w:szCs w:val="32"/>
          <w:lang w:val="zh-CN"/>
        </w:rPr>
      </w:pPr>
      <w:r>
        <w:rPr>
          <w:rFonts w:hint="eastAsia" w:ascii="仿宋_GB2312" w:hAnsi="仿宋_GB2312" w:cs="仿宋_GB2312"/>
          <w:b w:val="0"/>
          <w:bCs w:val="0"/>
          <w:color w:val="000000"/>
          <w:sz w:val="32"/>
          <w:szCs w:val="32"/>
          <w:lang w:val="en-US" w:eastAsia="zh-CN"/>
        </w:rPr>
        <w:t>根据《红原县部门支出绩效评价指标体系》自查的分98分，总体评价较好。</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720" w:leftChars="0"/>
        <w:jc w:val="left"/>
        <w:textAlignment w:val="auto"/>
        <w:rPr>
          <w:rFonts w:hint="eastAsia" w:ascii="仿宋_GB2312" w:hAnsi="宋体" w:cs="宋体"/>
          <w:b/>
          <w:bCs/>
          <w:color w:val="000000"/>
          <w:kern w:val="0"/>
          <w:sz w:val="32"/>
          <w:szCs w:val="32"/>
          <w:lang w:val="zh-CN"/>
        </w:rPr>
      </w:pPr>
      <w:r>
        <w:rPr>
          <w:rFonts w:hint="eastAsia" w:ascii="仿宋_GB2312" w:hAnsi="宋体" w:cs="宋体"/>
          <w:b/>
          <w:bCs/>
          <w:color w:val="000000"/>
          <w:kern w:val="0"/>
          <w:sz w:val="32"/>
          <w:szCs w:val="32"/>
          <w:lang w:val="zh-CN"/>
        </w:rPr>
        <w:t>（二）存在问题。</w:t>
      </w:r>
    </w:p>
    <w:p>
      <w:pPr>
        <w:pStyle w:val="10"/>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sz w:val="32"/>
          <w:szCs w:val="32"/>
          <w:lang w:val="zh-CN"/>
        </w:rPr>
      </w:pPr>
      <w:r>
        <w:rPr>
          <w:rFonts w:hint="eastAsia" w:ascii="仿宋_GB2312" w:hAnsi="仿宋_GB2312" w:eastAsia="仿宋_GB2312" w:cs="仿宋_GB2312"/>
          <w:b w:val="0"/>
          <w:bCs w:val="0"/>
          <w:color w:val="000000"/>
          <w:sz w:val="32"/>
          <w:szCs w:val="32"/>
          <w:lang w:val="en-US" w:eastAsia="zh-CN"/>
        </w:rPr>
        <w:t>由于财政支出的多样性和复杂性，绩效评价指标体系设置难度大，即使可以量化，但实际操作中很多项目间缺乏可比性且指标本身也在逐步变化，需要逐步完善。</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存在的问题:在</w:t>
      </w:r>
      <w:r>
        <w:rPr>
          <w:rFonts w:hint="eastAsia" w:ascii="仿宋_GB2312" w:hAnsi="仿宋_GB2312" w:cs="仿宋_GB2312"/>
          <w:b w:val="0"/>
          <w:bCs w:val="0"/>
          <w:color w:val="000000"/>
          <w:sz w:val="32"/>
          <w:szCs w:val="32"/>
          <w:lang w:val="en-US" w:eastAsia="zh-CN"/>
        </w:rPr>
        <w:t>平时工作</w:t>
      </w:r>
      <w:r>
        <w:rPr>
          <w:rFonts w:hint="eastAsia" w:ascii="仿宋_GB2312" w:hAnsi="仿宋_GB2312" w:eastAsia="仿宋_GB2312" w:cs="仿宋_GB2312"/>
          <w:b w:val="0"/>
          <w:bCs w:val="0"/>
          <w:color w:val="000000"/>
          <w:sz w:val="32"/>
          <w:szCs w:val="32"/>
          <w:lang w:val="en-US" w:eastAsia="zh-CN"/>
        </w:rPr>
        <w:t>推进过程中，缺乏技术人员进行专业指导</w:t>
      </w:r>
      <w:r>
        <w:rPr>
          <w:rFonts w:hint="eastAsia" w:ascii="仿宋_GB2312" w:hAnsi="仿宋_GB2312" w:cs="仿宋_GB2312"/>
          <w:b w:val="0"/>
          <w:bCs w:val="0"/>
          <w:color w:val="000000"/>
          <w:sz w:val="32"/>
          <w:szCs w:val="32"/>
          <w:lang w:val="en-US" w:eastAsia="zh-CN"/>
        </w:rPr>
        <w:t>及培训，工作推进存在一定困难，预算编制还需更加精准</w:t>
      </w:r>
      <w:r>
        <w:rPr>
          <w:rFonts w:hint="eastAsia" w:ascii="仿宋_GB2312" w:hAnsi="仿宋_GB2312" w:eastAsia="仿宋_GB2312" w:cs="仿宋_GB2312"/>
          <w:b w:val="0"/>
          <w:bCs w:val="0"/>
          <w:color w:val="000000"/>
          <w:sz w:val="32"/>
          <w:szCs w:val="32"/>
          <w:lang w:val="en-US" w:eastAsia="zh-CN"/>
        </w:rPr>
        <w:t>。</w:t>
      </w:r>
    </w:p>
    <w:p>
      <w:pPr>
        <w:keepNext w:val="0"/>
        <w:keepLines w:val="0"/>
        <w:pageBreakBefore w:val="0"/>
        <w:widowControl/>
        <w:numPr>
          <w:ilvl w:val="0"/>
          <w:numId w:val="3"/>
        </w:numPr>
        <w:kinsoku/>
        <w:wordWrap/>
        <w:overflowPunct/>
        <w:topLinePunct w:val="0"/>
        <w:autoSpaceDE/>
        <w:autoSpaceDN/>
        <w:bidi w:val="0"/>
        <w:adjustRightInd w:val="0"/>
        <w:snapToGrid w:val="0"/>
        <w:spacing w:line="560" w:lineRule="exact"/>
        <w:ind w:left="0" w:leftChars="0" w:firstLine="720" w:firstLineChars="0"/>
        <w:jc w:val="left"/>
        <w:textAlignment w:val="auto"/>
        <w:rPr>
          <w:rFonts w:hint="eastAsia" w:ascii="仿宋_GB2312" w:hAnsi="宋体" w:cs="宋体"/>
          <w:b/>
          <w:bCs/>
          <w:color w:val="000000"/>
          <w:kern w:val="0"/>
          <w:sz w:val="32"/>
          <w:szCs w:val="32"/>
          <w:lang w:val="zh-CN"/>
        </w:rPr>
      </w:pPr>
      <w:r>
        <w:rPr>
          <w:rFonts w:hint="eastAsia" w:ascii="仿宋_GB2312" w:hAnsi="宋体" w:cs="宋体"/>
          <w:b/>
          <w:bCs/>
          <w:color w:val="000000"/>
          <w:kern w:val="0"/>
          <w:sz w:val="32"/>
          <w:szCs w:val="32"/>
          <w:lang w:val="zh-CN"/>
        </w:rPr>
        <w:t>改进建议。</w:t>
      </w: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cs="仿宋_GB2312"/>
          <w:b w:val="0"/>
          <w:bCs w:val="0"/>
          <w:color w:val="000000"/>
          <w:sz w:val="32"/>
          <w:szCs w:val="32"/>
          <w:lang w:val="en-US" w:eastAsia="zh-CN"/>
        </w:rPr>
        <w:t>1.通过各种途径加强绩效管理学习，</w:t>
      </w:r>
      <w:r>
        <w:rPr>
          <w:rFonts w:hint="eastAsia" w:ascii="仿宋_GB2312" w:hAnsi="仿宋_GB2312" w:eastAsia="仿宋_GB2312" w:cs="仿宋_GB2312"/>
          <w:b w:val="0"/>
          <w:bCs w:val="0"/>
          <w:color w:val="000000"/>
          <w:sz w:val="32"/>
          <w:szCs w:val="32"/>
          <w:lang w:val="en-US" w:eastAsia="zh-CN"/>
        </w:rPr>
        <w:t>科学合理编制预算，严格执行预算。</w:t>
      </w: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2.规范账务处理，提高财务信息质量。</w:t>
      </w: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30"/>
          <w:rFonts w:ascii="黑体" w:hAnsi="黑体" w:eastAsia="黑体"/>
          <w:b w:val="0"/>
        </w:rPr>
      </w:pPr>
      <w:bookmarkStart w:id="83" w:name="_Toc2441"/>
      <w:r>
        <w:rPr>
          <w:rFonts w:hint="eastAsia" w:ascii="黑体" w:hAnsi="黑体" w:eastAsia="黑体"/>
          <w:color w:val="000000"/>
          <w:sz w:val="44"/>
          <w:szCs w:val="44"/>
        </w:rPr>
        <w:t>第</w:t>
      </w:r>
      <w:r>
        <w:rPr>
          <w:rStyle w:val="30"/>
          <w:rFonts w:hint="eastAsia" w:ascii="黑体" w:hAnsi="黑体" w:eastAsia="黑体"/>
          <w:b w:val="0"/>
        </w:rPr>
        <w:t>五部分 附表</w:t>
      </w:r>
      <w:bookmarkEnd w:id="78"/>
      <w:bookmarkEnd w:id="82"/>
      <w:bookmarkEnd w:id="83"/>
    </w:p>
    <w:p>
      <w:pPr>
        <w:spacing w:line="600" w:lineRule="exact"/>
        <w:jc w:val="center"/>
        <w:outlineLvl w:val="9"/>
        <w:rPr>
          <w:rFonts w:ascii="仿宋" w:hAnsi="仿宋" w:eastAsia="仿宋"/>
          <w:b/>
          <w:color w:val="000000"/>
          <w:sz w:val="44"/>
          <w:szCs w:val="44"/>
        </w:rPr>
      </w:pPr>
    </w:p>
    <w:p>
      <w:pPr>
        <w:pStyle w:val="4"/>
        <w:rPr>
          <w:rFonts w:ascii="仿宋" w:hAnsi="仿宋" w:eastAsia="仿宋"/>
          <w:color w:val="000000"/>
        </w:rPr>
      </w:pPr>
      <w:bookmarkStart w:id="84" w:name="_Toc15396619"/>
      <w:bookmarkStart w:id="85" w:name="_Toc5075"/>
      <w:r>
        <w:rPr>
          <w:rFonts w:hint="eastAsia" w:ascii="仿宋" w:hAnsi="仿宋" w:eastAsia="仿宋"/>
          <w:b w:val="0"/>
          <w:color w:val="000000"/>
        </w:rPr>
        <w:t>一、</w:t>
      </w:r>
      <w:bookmarkEnd w:id="84"/>
      <w:r>
        <w:rPr>
          <w:rFonts w:hint="eastAsia" w:ascii="仿宋" w:hAnsi="仿宋" w:eastAsia="仿宋"/>
          <w:b w:val="0"/>
          <w:color w:val="000000"/>
        </w:rPr>
        <w:t>收入支出决算总表</w:t>
      </w:r>
      <w:bookmarkEnd w:id="85"/>
    </w:p>
    <w:p>
      <w:pPr>
        <w:pStyle w:val="4"/>
        <w:rPr>
          <w:rFonts w:ascii="仿宋" w:hAnsi="仿宋" w:eastAsia="仿宋"/>
          <w:color w:val="000000"/>
        </w:rPr>
      </w:pPr>
      <w:bookmarkStart w:id="86" w:name="_Toc15396620"/>
      <w:bookmarkStart w:id="87" w:name="_Toc32628"/>
      <w:r>
        <w:rPr>
          <w:rFonts w:hint="eastAsia" w:ascii="仿宋" w:hAnsi="仿宋" w:eastAsia="仿宋"/>
          <w:b w:val="0"/>
          <w:color w:val="000000"/>
        </w:rPr>
        <w:t>二、</w:t>
      </w:r>
      <w:bookmarkEnd w:id="86"/>
      <w:r>
        <w:rPr>
          <w:rFonts w:hint="eastAsia" w:ascii="仿宋" w:hAnsi="仿宋" w:eastAsia="仿宋"/>
          <w:b w:val="0"/>
          <w:color w:val="000000"/>
        </w:rPr>
        <w:t>收入支出决算表</w:t>
      </w:r>
      <w:bookmarkEnd w:id="87"/>
    </w:p>
    <w:p>
      <w:pPr>
        <w:pStyle w:val="4"/>
        <w:rPr>
          <w:rFonts w:ascii="仿宋" w:hAnsi="仿宋" w:eastAsia="仿宋"/>
          <w:color w:val="000000"/>
        </w:rPr>
      </w:pPr>
      <w:bookmarkStart w:id="88" w:name="_Toc15396621"/>
      <w:bookmarkStart w:id="89" w:name="_Toc4742"/>
      <w:r>
        <w:rPr>
          <w:rStyle w:val="31"/>
          <w:rFonts w:hint="eastAsia" w:ascii="仿宋" w:hAnsi="仿宋" w:eastAsia="仿宋"/>
          <w:b w:val="0"/>
          <w:bCs w:val="0"/>
        </w:rPr>
        <w:t>三、</w:t>
      </w:r>
      <w:bookmarkEnd w:id="88"/>
      <w:r>
        <w:rPr>
          <w:rFonts w:hint="eastAsia" w:ascii="仿宋" w:hAnsi="仿宋" w:eastAsia="仿宋"/>
          <w:b w:val="0"/>
          <w:color w:val="000000"/>
        </w:rPr>
        <w:t>收入决算表</w:t>
      </w:r>
      <w:bookmarkEnd w:id="89"/>
    </w:p>
    <w:p>
      <w:pPr>
        <w:pStyle w:val="4"/>
        <w:rPr>
          <w:rFonts w:ascii="仿宋" w:hAnsi="仿宋" w:eastAsia="仿宋"/>
          <w:b w:val="0"/>
          <w:color w:val="000000"/>
        </w:rPr>
      </w:pPr>
      <w:bookmarkStart w:id="90" w:name="_Toc15396622"/>
      <w:bookmarkStart w:id="91" w:name="_Toc14115"/>
      <w:r>
        <w:rPr>
          <w:rStyle w:val="31"/>
          <w:rFonts w:hint="eastAsia" w:ascii="仿宋" w:hAnsi="仿宋" w:eastAsia="仿宋"/>
          <w:b w:val="0"/>
          <w:bCs w:val="0"/>
        </w:rPr>
        <w:t>四、</w:t>
      </w:r>
      <w:bookmarkEnd w:id="90"/>
      <w:r>
        <w:rPr>
          <w:rFonts w:hint="eastAsia" w:ascii="仿宋" w:hAnsi="仿宋" w:eastAsia="仿宋"/>
          <w:b w:val="0"/>
          <w:color w:val="000000"/>
        </w:rPr>
        <w:t>支出决算表</w:t>
      </w:r>
      <w:bookmarkEnd w:id="91"/>
    </w:p>
    <w:p>
      <w:pPr>
        <w:pStyle w:val="4"/>
        <w:rPr>
          <w:rStyle w:val="31"/>
          <w:rFonts w:ascii="仿宋" w:hAnsi="仿宋" w:eastAsia="仿宋"/>
          <w:b w:val="0"/>
          <w:bCs w:val="0"/>
        </w:rPr>
      </w:pPr>
      <w:bookmarkStart w:id="92" w:name="_Toc15396623"/>
      <w:bookmarkStart w:id="93" w:name="_Toc20672"/>
      <w:r>
        <w:rPr>
          <w:rStyle w:val="31"/>
          <w:rFonts w:hint="eastAsia" w:ascii="仿宋" w:hAnsi="仿宋" w:eastAsia="仿宋"/>
          <w:b w:val="0"/>
          <w:bCs w:val="0"/>
        </w:rPr>
        <w:t>五、</w:t>
      </w:r>
      <w:bookmarkEnd w:id="92"/>
      <w:bookmarkStart w:id="94" w:name="_Toc15396624"/>
      <w:r>
        <w:rPr>
          <w:rFonts w:hint="eastAsia" w:ascii="仿宋" w:hAnsi="仿宋" w:eastAsia="仿宋"/>
          <w:b w:val="0"/>
          <w:color w:val="000000"/>
        </w:rPr>
        <w:t>支出决算明细表</w:t>
      </w:r>
      <w:bookmarkEnd w:id="93"/>
    </w:p>
    <w:p>
      <w:pPr>
        <w:pStyle w:val="4"/>
        <w:rPr>
          <w:rFonts w:ascii="仿宋" w:hAnsi="仿宋" w:eastAsia="仿宋"/>
          <w:color w:val="000000"/>
        </w:rPr>
      </w:pPr>
      <w:bookmarkStart w:id="95" w:name="_Toc19128"/>
      <w:r>
        <w:rPr>
          <w:rStyle w:val="31"/>
          <w:rFonts w:hint="eastAsia" w:ascii="仿宋" w:hAnsi="仿宋" w:eastAsia="仿宋"/>
          <w:b w:val="0"/>
          <w:bCs w:val="0"/>
        </w:rPr>
        <w:t>六、</w:t>
      </w:r>
      <w:bookmarkEnd w:id="94"/>
      <w:r>
        <w:rPr>
          <w:rFonts w:hint="eastAsia" w:ascii="仿宋" w:hAnsi="仿宋" w:eastAsia="仿宋"/>
          <w:b w:val="0"/>
          <w:color w:val="000000"/>
        </w:rPr>
        <w:t>项目收入支出决算表</w:t>
      </w:r>
      <w:bookmarkEnd w:id="95"/>
    </w:p>
    <w:p>
      <w:pPr>
        <w:pStyle w:val="4"/>
        <w:rPr>
          <w:rFonts w:ascii="仿宋" w:hAnsi="仿宋" w:eastAsia="仿宋"/>
          <w:color w:val="000000"/>
        </w:rPr>
      </w:pPr>
      <w:bookmarkStart w:id="96" w:name="_Toc15396625"/>
      <w:bookmarkStart w:id="97" w:name="_Toc12500"/>
      <w:r>
        <w:rPr>
          <w:rStyle w:val="31"/>
          <w:rFonts w:hint="eastAsia" w:ascii="仿宋" w:hAnsi="仿宋" w:eastAsia="仿宋"/>
          <w:b w:val="0"/>
          <w:bCs w:val="0"/>
        </w:rPr>
        <w:t>七、</w:t>
      </w:r>
      <w:bookmarkEnd w:id="96"/>
      <w:r>
        <w:rPr>
          <w:rFonts w:hint="eastAsia" w:ascii="仿宋" w:hAnsi="仿宋" w:eastAsia="仿宋"/>
          <w:b w:val="0"/>
          <w:color w:val="000000"/>
        </w:rPr>
        <w:t>一般公共预算财政拨款收入支出决算表</w:t>
      </w:r>
      <w:bookmarkEnd w:id="97"/>
    </w:p>
    <w:p>
      <w:pPr>
        <w:pStyle w:val="4"/>
        <w:rPr>
          <w:rFonts w:hint="eastAsia" w:ascii="仿宋" w:hAnsi="仿宋" w:eastAsia="仿宋"/>
          <w:b w:val="0"/>
          <w:color w:val="000000"/>
        </w:rPr>
      </w:pPr>
      <w:bookmarkStart w:id="98" w:name="_Toc15396626"/>
      <w:bookmarkStart w:id="99" w:name="_Toc18730"/>
      <w:r>
        <w:rPr>
          <w:rStyle w:val="31"/>
          <w:rFonts w:hint="eastAsia" w:ascii="仿宋" w:hAnsi="仿宋" w:eastAsia="仿宋"/>
          <w:b w:val="0"/>
          <w:bCs w:val="0"/>
        </w:rPr>
        <w:t>八、</w:t>
      </w:r>
      <w:bookmarkEnd w:id="98"/>
      <w:bookmarkStart w:id="100" w:name="_Toc15396627"/>
      <w:r>
        <w:rPr>
          <w:rFonts w:hint="eastAsia" w:ascii="仿宋" w:hAnsi="仿宋" w:eastAsia="仿宋"/>
          <w:b w:val="0"/>
          <w:color w:val="000000"/>
        </w:rPr>
        <w:t>一般公共预算财政拨款支出决算明细表</w:t>
      </w:r>
      <w:bookmarkEnd w:id="99"/>
    </w:p>
    <w:p>
      <w:pPr>
        <w:pStyle w:val="4"/>
        <w:rPr>
          <w:rFonts w:hint="eastAsia" w:ascii="仿宋" w:hAnsi="仿宋" w:eastAsia="仿宋"/>
          <w:b w:val="0"/>
          <w:color w:val="000000"/>
        </w:rPr>
      </w:pPr>
      <w:bookmarkStart w:id="101" w:name="_Toc3095"/>
      <w:r>
        <w:rPr>
          <w:rStyle w:val="31"/>
          <w:rFonts w:hint="eastAsia" w:ascii="仿宋" w:hAnsi="仿宋" w:eastAsia="仿宋"/>
          <w:b w:val="0"/>
          <w:bCs w:val="0"/>
        </w:rPr>
        <w:t>九、</w:t>
      </w:r>
      <w:bookmarkEnd w:id="100"/>
      <w:bookmarkStart w:id="102" w:name="_Toc15396628"/>
      <w:r>
        <w:rPr>
          <w:rFonts w:hint="eastAsia" w:ascii="仿宋" w:hAnsi="仿宋" w:eastAsia="仿宋"/>
          <w:b w:val="0"/>
          <w:color w:val="000000"/>
        </w:rPr>
        <w:t>一般公共预算财政拨款基本支出决算明细表</w:t>
      </w:r>
      <w:bookmarkEnd w:id="101"/>
    </w:p>
    <w:p>
      <w:pPr>
        <w:pStyle w:val="4"/>
        <w:rPr>
          <w:rFonts w:ascii="仿宋" w:hAnsi="仿宋" w:eastAsia="仿宋"/>
          <w:color w:val="000000"/>
        </w:rPr>
      </w:pPr>
      <w:bookmarkStart w:id="103" w:name="_Toc7085"/>
      <w:r>
        <w:rPr>
          <w:rStyle w:val="31"/>
          <w:rFonts w:hint="eastAsia" w:ascii="仿宋" w:hAnsi="仿宋" w:eastAsia="仿宋"/>
          <w:b w:val="0"/>
          <w:bCs w:val="0"/>
        </w:rPr>
        <w:t>十、</w:t>
      </w:r>
      <w:bookmarkEnd w:id="102"/>
      <w:r>
        <w:rPr>
          <w:rFonts w:hint="eastAsia" w:ascii="仿宋" w:hAnsi="仿宋" w:eastAsia="仿宋"/>
          <w:b w:val="0"/>
          <w:color w:val="000000"/>
        </w:rPr>
        <w:t>一般公共预算财政拨款项目支出决算明细表</w:t>
      </w:r>
      <w:bookmarkEnd w:id="103"/>
    </w:p>
    <w:p>
      <w:pPr>
        <w:pStyle w:val="4"/>
        <w:rPr>
          <w:rFonts w:ascii="仿宋" w:hAnsi="仿宋" w:eastAsia="仿宋"/>
          <w:color w:val="000000"/>
        </w:rPr>
      </w:pPr>
      <w:bookmarkStart w:id="104" w:name="_Toc15396629"/>
      <w:bookmarkStart w:id="105" w:name="_Toc12104"/>
      <w:r>
        <w:rPr>
          <w:rStyle w:val="31"/>
          <w:rFonts w:hint="eastAsia" w:ascii="仿宋" w:hAnsi="仿宋" w:eastAsia="仿宋"/>
          <w:b w:val="0"/>
          <w:bCs w:val="0"/>
        </w:rPr>
        <w:t>十一、</w:t>
      </w:r>
      <w:bookmarkEnd w:id="104"/>
      <w:r>
        <w:rPr>
          <w:rFonts w:hint="eastAsia" w:ascii="仿宋" w:hAnsi="仿宋" w:eastAsia="仿宋"/>
          <w:b w:val="0"/>
          <w:color w:val="000000"/>
        </w:rPr>
        <w:t>预算支出相关信息表</w:t>
      </w:r>
      <w:bookmarkEnd w:id="105"/>
    </w:p>
    <w:p>
      <w:pPr>
        <w:pStyle w:val="4"/>
        <w:rPr>
          <w:rFonts w:ascii="仿宋" w:hAnsi="仿宋" w:eastAsia="仿宋"/>
          <w:color w:val="000000"/>
        </w:rPr>
      </w:pPr>
      <w:bookmarkStart w:id="106" w:name="_Toc2837"/>
      <w:bookmarkStart w:id="107" w:name="_Toc15396630"/>
      <w:r>
        <w:rPr>
          <w:rStyle w:val="31"/>
          <w:rFonts w:hint="eastAsia" w:ascii="仿宋" w:hAnsi="仿宋" w:eastAsia="仿宋"/>
          <w:b w:val="0"/>
          <w:bCs w:val="0"/>
        </w:rPr>
        <w:t>十二、</w:t>
      </w:r>
      <w:r>
        <w:rPr>
          <w:rFonts w:hint="eastAsia" w:ascii="仿宋" w:hAnsi="仿宋" w:eastAsia="仿宋"/>
          <w:b w:val="0"/>
          <w:color w:val="000000"/>
        </w:rPr>
        <w:t>基本数字表</w:t>
      </w:r>
      <w:bookmarkEnd w:id="106"/>
      <w:bookmarkEnd w:id="107"/>
    </w:p>
    <w:p>
      <w:pPr>
        <w:pStyle w:val="4"/>
        <w:rPr>
          <w:rFonts w:hint="eastAsia" w:ascii="仿宋" w:hAnsi="仿宋" w:eastAsia="仿宋"/>
          <w:b w:val="0"/>
          <w:color w:val="000000"/>
        </w:rPr>
      </w:pPr>
      <w:bookmarkStart w:id="108" w:name="_Toc15396631"/>
      <w:bookmarkStart w:id="109" w:name="_Toc23239"/>
      <w:r>
        <w:rPr>
          <w:rStyle w:val="31"/>
          <w:rFonts w:hint="eastAsia" w:ascii="仿宋" w:hAnsi="仿宋" w:eastAsia="仿宋"/>
          <w:b w:val="0"/>
          <w:bCs w:val="0"/>
        </w:rPr>
        <w:t>十三、</w:t>
      </w:r>
      <w:bookmarkEnd w:id="108"/>
      <w:r>
        <w:rPr>
          <w:rFonts w:hint="eastAsia" w:ascii="仿宋" w:hAnsi="仿宋" w:eastAsia="仿宋"/>
          <w:b w:val="0"/>
          <w:color w:val="000000"/>
        </w:rPr>
        <w:t>机构运行信息表</w:t>
      </w:r>
      <w:bookmarkEnd w:id="109"/>
    </w:p>
    <w:p>
      <w:pPr>
        <w:pStyle w:val="6"/>
        <w:ind w:left="0" w:leftChars="0" w:firstLine="0" w:firstLineChars="0"/>
        <w:rPr>
          <w:rFonts w:hint="eastAsia"/>
          <w:lang w:eastAsia="zh-CN"/>
        </w:rPr>
      </w:pPr>
    </w:p>
    <w:sectPr>
      <w:headerReference r:id="rId5" w:type="default"/>
      <w:footerReference r:id="rId6"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id w:val="-1994781956"/>
                          </w:sdtPr>
                          <w:sdtContent>
                            <w:p>
                              <w:pPr>
                                <w:pStyle w:val="13"/>
                                <w:jc w:val="center"/>
                              </w:pPr>
                              <w:r>
                                <w:fldChar w:fldCharType="begin"/>
                              </w:r>
                              <w:r>
                                <w:instrText xml:space="preserve">PAGE   \* MERGEFORMAT</w:instrText>
                              </w:r>
                              <w:r>
                                <w:fldChar w:fldCharType="separate"/>
                              </w:r>
                              <w:r>
                                <w:rPr>
                                  <w:lang w:val="zh-CN"/>
                                </w:rPr>
                                <w:t>2</w:t>
                              </w:r>
                              <w:r>
                                <w:fldChar w:fldCharType="end"/>
                              </w:r>
                            </w:p>
                          </w:sdtContent>
                        </w:sdt>
                        <w:p>
                          <w:pPr>
                            <w:pStyle w:val="13"/>
                          </w:pP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hLsacgBAACZ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cWxO25x4OefP86/Hs8P38mb&#10;LE8foMasu4B5aXjvB1ya2Q/ozKwHFW3+Ih+CcRT3dBFXDomI/Gi1XK0qDAmMzRfEZ0/PQ4T0QXpL&#10;stHQiNMrovLjJ0hj6pySqzl/q40pEzTuLwdiZg/LvY89ZisNu2EitPPtCfn0OPiGOtxzSsxHh7rm&#10;HZmNOBu72TiEqPddWaJcD8K7Q8ImSm+5wgg7FcaJFXbTduWV+PNesp7+qM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N4S7GnIAQAAmQMAAA4AAAAAAAAAAQAgAAAAHgEAAGRycy9lMm9Eb2Mu&#10;eG1sUEsFBgAAAAAGAAYAWQEAAFgFAAAAAA==&#10;">
              <v:fill on="f" focussize="0,0"/>
              <v:stroke on="f"/>
              <v:imagedata o:title=""/>
              <o:lock v:ext="edit" aspectratio="f"/>
              <v:textbox inset="0mm,0mm,0mm,0mm" style="mso-fit-shape-to-text:t;">
                <w:txbxContent>
                  <w:sdt>
                    <w:sdtPr>
                      <w:id w:val="-1994781956"/>
                    </w:sdtPr>
                    <w:sdtContent>
                      <w:p>
                        <w:pPr>
                          <w:pStyle w:val="13"/>
                          <w:jc w:val="center"/>
                        </w:pPr>
                        <w:r>
                          <w:fldChar w:fldCharType="begin"/>
                        </w:r>
                        <w:r>
                          <w:instrText xml:space="preserve">PAGE   \* MERGEFORMAT</w:instrText>
                        </w:r>
                        <w:r>
                          <w:fldChar w:fldCharType="separate"/>
                        </w:r>
                        <w:r>
                          <w:rPr>
                            <w:lang w:val="zh-CN"/>
                          </w:rPr>
                          <w:t>2</w:t>
                        </w:r>
                        <w:r>
                          <w:fldChar w:fldCharType="end"/>
                        </w:r>
                      </w:p>
                    </w:sdtContent>
                  </w:sdt>
                  <w:p>
                    <w:pPr>
                      <w:pStyle w:val="13"/>
                    </w:pPr>
                  </w:p>
                </w:txbxContent>
              </v:textbox>
            </v:shape>
          </w:pict>
        </mc:Fallback>
      </mc:AlternateContent>
    </w:r>
  </w:p>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4QsZskBAACZAwAADgAAAGRycy9lMm9Eb2MueG1srVPNjtMwEL4j8Q6W&#10;79TZg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DeUOG5x4OefP86//px/fyev&#10;szx9gBqzbgPmpeG9H3BpZj+gM7MeVLT5i3wIxlHc00VcOSQi8qPVcrWqMCQwNl8Qn90/DxHSB+kt&#10;yUZDI06viMqPnyCNqXNKrub8jTamTNC4/xyImT0s9z72mK007IaJ0M63J+TT4+Ab6nDPKTEfHeqa&#10;d2Q24mzsZuMQot53ZYlyPQjvDgmbKL3lCiPsVBgnVthN25VX4t97ybr/oz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ThCxmyQEAAJkDAAAOAAAAAAAAAAEAIAAAAB4BAABkcnMvZTJvRG9j&#10;LnhtbFBLBQYAAAAABgAGAFkBAABZBQAAAAA=&#10;">
              <v:fill on="f" focussize="0,0"/>
              <v:stroke on="f"/>
              <v:imagedata o:title=""/>
              <o:lock v:ext="edit" aspectratio="f"/>
              <v:textbox inset="0mm,0mm,0mm,0mm" style="mso-fit-shape-to-text:t;">
                <w:txbxContent>
                  <w:p>
                    <w:pPr>
                      <w:pStyle w:val="1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08E675"/>
    <w:multiLevelType w:val="singleLevel"/>
    <w:tmpl w:val="8F08E675"/>
    <w:lvl w:ilvl="0" w:tentative="0">
      <w:start w:val="4"/>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027A03B2"/>
    <w:multiLevelType w:val="singleLevel"/>
    <w:tmpl w:val="027A03B2"/>
    <w:lvl w:ilvl="0" w:tentative="0">
      <w:start w:val="1"/>
      <w:numFmt w:val="decimal"/>
      <w:lvlText w:val="%1."/>
      <w:lvlJc w:val="left"/>
      <w:pPr>
        <w:tabs>
          <w:tab w:val="left" w:pos="312"/>
        </w:tabs>
      </w:pPr>
    </w:lvl>
  </w:abstractNum>
  <w:abstractNum w:abstractNumId="3">
    <w:nsid w:val="51E1B2A3"/>
    <w:multiLevelType w:val="singleLevel"/>
    <w:tmpl w:val="51E1B2A3"/>
    <w:lvl w:ilvl="0" w:tentative="0">
      <w:start w:val="2"/>
      <w:numFmt w:val="chineseCounting"/>
      <w:suff w:val="nothing"/>
      <w:lvlText w:val="（%1）"/>
      <w:lvlJc w:val="left"/>
      <w:rPr>
        <w:rFonts w:hint="eastAsi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2ZTk0Y2QxZmUxOTIzMWNkNGVhOTM5MGQ1NzBjODc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049D8"/>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A46D5"/>
    <w:rsid w:val="00FD3CC1"/>
    <w:rsid w:val="00FF1E02"/>
    <w:rsid w:val="00FF30B4"/>
    <w:rsid w:val="01B65EE7"/>
    <w:rsid w:val="01D5680E"/>
    <w:rsid w:val="027A5940"/>
    <w:rsid w:val="0343119B"/>
    <w:rsid w:val="05A30906"/>
    <w:rsid w:val="05E11832"/>
    <w:rsid w:val="08234384"/>
    <w:rsid w:val="0A6F4298"/>
    <w:rsid w:val="104636E3"/>
    <w:rsid w:val="10C055FF"/>
    <w:rsid w:val="10CA00A9"/>
    <w:rsid w:val="11EB6425"/>
    <w:rsid w:val="15D70BD4"/>
    <w:rsid w:val="16734728"/>
    <w:rsid w:val="16BB723D"/>
    <w:rsid w:val="183500C9"/>
    <w:rsid w:val="1BB76E65"/>
    <w:rsid w:val="1C177AE5"/>
    <w:rsid w:val="1DA076DC"/>
    <w:rsid w:val="1FD957E2"/>
    <w:rsid w:val="1FF26CD4"/>
    <w:rsid w:val="206D14A8"/>
    <w:rsid w:val="20836900"/>
    <w:rsid w:val="219263AA"/>
    <w:rsid w:val="21FF3314"/>
    <w:rsid w:val="223D08AC"/>
    <w:rsid w:val="229972C4"/>
    <w:rsid w:val="240371BF"/>
    <w:rsid w:val="274C0DA9"/>
    <w:rsid w:val="285443B9"/>
    <w:rsid w:val="29FD04D3"/>
    <w:rsid w:val="2A2B429D"/>
    <w:rsid w:val="2B1716CE"/>
    <w:rsid w:val="2B3A2F0F"/>
    <w:rsid w:val="2BA2543C"/>
    <w:rsid w:val="2C4A141C"/>
    <w:rsid w:val="2C673F57"/>
    <w:rsid w:val="2CC113B7"/>
    <w:rsid w:val="2D6A3274"/>
    <w:rsid w:val="2D6C3F53"/>
    <w:rsid w:val="319F7F4E"/>
    <w:rsid w:val="32C97752"/>
    <w:rsid w:val="34A15809"/>
    <w:rsid w:val="35265386"/>
    <w:rsid w:val="35670D6E"/>
    <w:rsid w:val="35C24C31"/>
    <w:rsid w:val="365340C6"/>
    <w:rsid w:val="37434CCD"/>
    <w:rsid w:val="3B162F0A"/>
    <w:rsid w:val="3B2F3EE1"/>
    <w:rsid w:val="3BD45317"/>
    <w:rsid w:val="3D9301D1"/>
    <w:rsid w:val="3D95132A"/>
    <w:rsid w:val="3FB83028"/>
    <w:rsid w:val="43A85972"/>
    <w:rsid w:val="44221C29"/>
    <w:rsid w:val="46596F2F"/>
    <w:rsid w:val="467C4DAF"/>
    <w:rsid w:val="46C43FE0"/>
    <w:rsid w:val="49A465D6"/>
    <w:rsid w:val="49FB4B2E"/>
    <w:rsid w:val="4B1931D8"/>
    <w:rsid w:val="4D1646FD"/>
    <w:rsid w:val="4ECE2238"/>
    <w:rsid w:val="4EE47996"/>
    <w:rsid w:val="50485D02"/>
    <w:rsid w:val="50506A35"/>
    <w:rsid w:val="51D114A4"/>
    <w:rsid w:val="51FD7221"/>
    <w:rsid w:val="53E05AE0"/>
    <w:rsid w:val="541B06AB"/>
    <w:rsid w:val="57A70DE1"/>
    <w:rsid w:val="58E16CF4"/>
    <w:rsid w:val="5A266F03"/>
    <w:rsid w:val="5ACA56DD"/>
    <w:rsid w:val="5CF80AB0"/>
    <w:rsid w:val="5E5C55A2"/>
    <w:rsid w:val="5EB81EBA"/>
    <w:rsid w:val="637251F2"/>
    <w:rsid w:val="642A7FC1"/>
    <w:rsid w:val="65313523"/>
    <w:rsid w:val="66576847"/>
    <w:rsid w:val="67DB317E"/>
    <w:rsid w:val="67E1461B"/>
    <w:rsid w:val="68C3694D"/>
    <w:rsid w:val="6F3B504A"/>
    <w:rsid w:val="72734D90"/>
    <w:rsid w:val="72B33C76"/>
    <w:rsid w:val="733009D8"/>
    <w:rsid w:val="749D5D6D"/>
    <w:rsid w:val="75161F2C"/>
    <w:rsid w:val="794762A8"/>
    <w:rsid w:val="794C5FB4"/>
    <w:rsid w:val="79C142AC"/>
    <w:rsid w:val="7A5C3C8D"/>
    <w:rsid w:val="7F82454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9">
    <w:name w:val="Default Paragraph Font"/>
    <w:unhideWhenUsed/>
    <w:qFormat/>
    <w:uiPriority w:val="1"/>
  </w:style>
  <w:style w:type="table" w:default="1" w:styleId="18">
    <w:name w:val="Normal Table"/>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pPr>
      <w:spacing w:before="120" w:beforeAutospacing="0"/>
    </w:pPr>
    <w:rPr>
      <w:rFonts w:ascii="Arial" w:hAnsi="Arial"/>
      <w:sz w:val="24"/>
    </w:rPr>
  </w:style>
  <w:style w:type="paragraph" w:styleId="6">
    <w:name w:val="Normal Indent"/>
    <w:basedOn w:val="1"/>
    <w:qFormat/>
    <w:uiPriority w:val="0"/>
    <w:pPr>
      <w:ind w:firstLine="420" w:firstLineChars="200"/>
    </w:pPr>
    <w:rPr>
      <w:rFonts w:ascii="Calibri" w:hAnsi="Calibri" w:cs="黑体"/>
    </w:rPr>
  </w:style>
  <w:style w:type="paragraph" w:styleId="7">
    <w:name w:val="Salutation"/>
    <w:basedOn w:val="1"/>
    <w:next w:val="1"/>
    <w:qFormat/>
    <w:uiPriority w:val="0"/>
    <w:pPr>
      <w:jc w:val="both"/>
      <w:textAlignment w:val="baseline"/>
    </w:pPr>
    <w:rPr>
      <w:rFonts w:ascii="Calibri" w:hAnsi="Calibri" w:eastAsia="宋体"/>
      <w:kern w:val="2"/>
      <w:sz w:val="21"/>
      <w:szCs w:val="21"/>
      <w:lang w:val="en-US" w:eastAsia="zh-CN" w:bidi="ar-SA"/>
    </w:rPr>
  </w:style>
  <w:style w:type="paragraph" w:styleId="8">
    <w:name w:val="Body Text"/>
    <w:basedOn w:val="1"/>
    <w:link w:val="27"/>
    <w:qFormat/>
    <w:uiPriority w:val="99"/>
    <w:pPr>
      <w:spacing w:beforeLines="30"/>
    </w:pPr>
    <w:rPr>
      <w:rFonts w:ascii="仿宋_GB2312" w:eastAsia="仿宋_GB2312"/>
      <w:kern w:val="0"/>
      <w:sz w:val="30"/>
    </w:rPr>
  </w:style>
  <w:style w:type="paragraph" w:styleId="9">
    <w:name w:val="Body Text Indent"/>
    <w:basedOn w:val="1"/>
    <w:next w:val="10"/>
    <w:qFormat/>
    <w:uiPriority w:val="99"/>
    <w:pPr>
      <w:spacing w:after="120"/>
      <w:ind w:left="420" w:leftChars="200"/>
    </w:pPr>
    <w:rPr>
      <w:szCs w:val="20"/>
    </w:rPr>
  </w:style>
  <w:style w:type="paragraph" w:styleId="10">
    <w:name w:val="Body Text First Indent 2"/>
    <w:basedOn w:val="9"/>
    <w:next w:val="1"/>
    <w:qFormat/>
    <w:uiPriority w:val="99"/>
    <w:pPr>
      <w:ind w:firstLine="420" w:firstLineChars="200"/>
    </w:pPr>
  </w:style>
  <w:style w:type="paragraph" w:styleId="11">
    <w:name w:val="toc 3"/>
    <w:basedOn w:val="1"/>
    <w:next w:val="1"/>
    <w:unhideWhenUsed/>
    <w:qFormat/>
    <w:uiPriority w:val="39"/>
    <w:pPr>
      <w:tabs>
        <w:tab w:val="right" w:leader="dot" w:pos="8296"/>
      </w:tabs>
      <w:ind w:left="840" w:leftChars="400"/>
    </w:pPr>
  </w:style>
  <w:style w:type="paragraph" w:styleId="12">
    <w:name w:val="Balloon Text"/>
    <w:basedOn w:val="1"/>
    <w:link w:val="33"/>
    <w:unhideWhenUsed/>
    <w:qFormat/>
    <w:uiPriority w:val="99"/>
    <w:rPr>
      <w:sz w:val="18"/>
      <w:szCs w:val="18"/>
    </w:rPr>
  </w:style>
  <w:style w:type="paragraph" w:styleId="13">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4">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6">
    <w:name w:val="toc 2"/>
    <w:basedOn w:val="1"/>
    <w:next w:val="1"/>
    <w:unhideWhenUsed/>
    <w:qFormat/>
    <w:uiPriority w:val="39"/>
    <w:pPr>
      <w:tabs>
        <w:tab w:val="right" w:leader="dot" w:pos="8296"/>
      </w:tabs>
      <w:ind w:left="420" w:leftChars="200"/>
    </w:pPr>
  </w:style>
  <w:style w:type="paragraph" w:styleId="17">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character" w:customStyle="1" w:styleId="22">
    <w:name w:val="Header Char"/>
    <w:basedOn w:val="19"/>
    <w:semiHidden/>
    <w:qFormat/>
    <w:uiPriority w:val="99"/>
    <w:rPr>
      <w:rFonts w:ascii="Times New Roman" w:hAnsi="Times New Roman"/>
      <w:sz w:val="18"/>
      <w:szCs w:val="18"/>
    </w:rPr>
  </w:style>
  <w:style w:type="character" w:customStyle="1" w:styleId="23">
    <w:name w:val="页眉 字符"/>
    <w:link w:val="14"/>
    <w:semiHidden/>
    <w:qFormat/>
    <w:locked/>
    <w:uiPriority w:val="99"/>
    <w:rPr>
      <w:sz w:val="18"/>
    </w:rPr>
  </w:style>
  <w:style w:type="character" w:customStyle="1" w:styleId="24">
    <w:name w:val="Footer Char"/>
    <w:basedOn w:val="19"/>
    <w:semiHidden/>
    <w:qFormat/>
    <w:uiPriority w:val="99"/>
    <w:rPr>
      <w:rFonts w:ascii="Times New Roman" w:hAnsi="Times New Roman"/>
      <w:sz w:val="18"/>
      <w:szCs w:val="18"/>
    </w:rPr>
  </w:style>
  <w:style w:type="character" w:customStyle="1" w:styleId="25">
    <w:name w:val="页脚 字符"/>
    <w:link w:val="13"/>
    <w:qFormat/>
    <w:locked/>
    <w:uiPriority w:val="99"/>
    <w:rPr>
      <w:sz w:val="18"/>
    </w:rPr>
  </w:style>
  <w:style w:type="character" w:customStyle="1" w:styleId="26">
    <w:name w:val="Body Text Char"/>
    <w:basedOn w:val="19"/>
    <w:semiHidden/>
    <w:qFormat/>
    <w:uiPriority w:val="99"/>
    <w:rPr>
      <w:rFonts w:ascii="Times New Roman" w:hAnsi="Times New Roman"/>
      <w:szCs w:val="24"/>
    </w:rPr>
  </w:style>
  <w:style w:type="character" w:customStyle="1" w:styleId="27">
    <w:name w:val="正文文本 字符"/>
    <w:link w:val="8"/>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字符"/>
    <w:basedOn w:val="19"/>
    <w:link w:val="3"/>
    <w:qFormat/>
    <w:uiPriority w:val="9"/>
    <w:rPr>
      <w:rFonts w:ascii="Times New Roman" w:hAnsi="Times New Roman"/>
      <w:b/>
      <w:bCs/>
      <w:kern w:val="44"/>
      <w:sz w:val="44"/>
      <w:szCs w:val="44"/>
    </w:rPr>
  </w:style>
  <w:style w:type="character" w:customStyle="1" w:styleId="31">
    <w:name w:val="标题 2 字符"/>
    <w:basedOn w:val="19"/>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字符"/>
    <w:basedOn w:val="19"/>
    <w:link w:val="12"/>
    <w:semiHidden/>
    <w:qFormat/>
    <w:uiPriority w:val="99"/>
    <w:rPr>
      <w:rFonts w:ascii="Times New Roman" w:hAnsi="Times New Roman"/>
      <w:kern w:val="2"/>
      <w:sz w:val="18"/>
      <w:szCs w:val="18"/>
    </w:rPr>
  </w:style>
  <w:style w:type="character" w:customStyle="1" w:styleId="34">
    <w:name w:val="标题 3 字符"/>
    <w:basedOn w:val="19"/>
    <w:link w:val="5"/>
    <w:qFormat/>
    <w:uiPriority w:val="9"/>
    <w:rPr>
      <w:rFonts w:ascii="Times New Roman" w:hAnsi="Times New Roman"/>
      <w:b/>
      <w:bCs/>
      <w:kern w:val="2"/>
      <w:sz w:val="32"/>
      <w:szCs w:val="32"/>
    </w:rPr>
  </w:style>
  <w:style w:type="paragraph" w:customStyle="1" w:styleId="35">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List Paragraph1"/>
    <w:basedOn w:val="1"/>
    <w:qFormat/>
    <w:uiPriority w:val="0"/>
    <w:pPr>
      <w:ind w:firstLine="420" w:firstLineChars="200"/>
    </w:pPr>
  </w:style>
  <w:style w:type="paragraph" w:customStyle="1" w:styleId="37">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
    <w:name w:val="普通(网站) New"/>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39">
    <w:name w:val="WPSOffice手动目录 1"/>
    <w:qFormat/>
    <w:uiPriority w:val="0"/>
    <w:pPr>
      <w:ind w:leftChars="0"/>
    </w:pPr>
    <w:rPr>
      <w:rFonts w:ascii="Times New Roman" w:hAnsi="Times New Roman" w:eastAsia="宋体" w:cs="Times New Roman"/>
      <w:sz w:val="20"/>
      <w:szCs w:val="20"/>
    </w:rPr>
  </w:style>
  <w:style w:type="paragraph" w:customStyle="1" w:styleId="40">
    <w:name w:val="WPSOffice手动目录 2"/>
    <w:qFormat/>
    <w:uiPriority w:val="0"/>
    <w:pPr>
      <w:ind w:leftChars="200"/>
    </w:pPr>
    <w:rPr>
      <w:rFonts w:ascii="Times New Roman" w:hAnsi="Times New Roman" w:eastAsia="宋体" w:cs="Times New Roman"/>
      <w:sz w:val="20"/>
      <w:szCs w:val="20"/>
    </w:rPr>
  </w:style>
  <w:style w:type="paragraph" w:customStyle="1" w:styleId="41">
    <w:name w:val="BodyTextIndent2"/>
    <w:basedOn w:val="1"/>
    <w:qFormat/>
    <w:uiPriority w:val="0"/>
    <w:pPr>
      <w:spacing w:line="580" w:lineRule="exact"/>
      <w:ind w:firstLine="544" w:firstLineChars="200"/>
      <w:jc w:val="both"/>
      <w:textAlignment w:val="baseline"/>
    </w:pPr>
    <w:rPr>
      <w:rFonts w:ascii="仿宋_GB2312" w:hAnsi="Calibri" w:eastAsia="仿宋_GB2312"/>
      <w:spacing w:val="-4"/>
      <w:kern w:val="2"/>
      <w:sz w:val="28"/>
      <w:szCs w:val="24"/>
      <w:lang w:val="en-US" w:eastAsia="zh-CN" w:bidi="ar-SA"/>
    </w:rPr>
  </w:style>
  <w:style w:type="character" w:customStyle="1" w:styleId="42">
    <w:name w:val="NormalCharacter"/>
    <w:qFormat/>
    <w:uiPriority w:val="0"/>
    <w:rPr>
      <w:rFonts w:ascii="Calibri" w:hAnsi="Calibri" w:eastAsia="宋体" w:cs="Times New Roman"/>
      <w:kern w:val="2"/>
      <w:sz w:val="21"/>
      <w:szCs w:val="24"/>
      <w:lang w:val="en-US" w:eastAsia="zh-CN" w:bidi="ar-SA"/>
    </w:rPr>
  </w:style>
  <w:style w:type="paragraph" w:customStyle="1" w:styleId="43">
    <w:name w:val="No Spacing"/>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44">
    <w:name w:val="17"/>
    <w:basedOn w:val="19"/>
    <w:qFormat/>
    <w:uiPriority w:val="0"/>
    <w:rPr>
      <w:rFonts w:hint="eastAsia" w:ascii="宋体" w:hAnsi="宋体" w:eastAsia="宋体" w:cs="宋体"/>
      <w:b/>
      <w:sz w:val="36"/>
      <w:szCs w:val="36"/>
    </w:rPr>
  </w:style>
  <w:style w:type="paragraph" w:customStyle="1" w:styleId="45">
    <w:name w:val="普通(网站) Char"/>
    <w:basedOn w:val="1"/>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kern="1200" cap="none" spc="0" normalizeH="0" baseline="0">
                <a:solidFill>
                  <a:schemeClr val="tx1">
                    <a:lumMod val="65000"/>
                    <a:lumOff val="35000"/>
                  </a:schemeClr>
                </a:solidFill>
                <a:effectLst/>
                <a:latin typeface="+mn-lt"/>
                <a:ea typeface="+mn-ea"/>
                <a:cs typeface="+mn-cs"/>
              </a:rPr>
              <a:t>收入支出预算执行情况（万元）</a:t>
            </a:r>
            <a:endParaRPr lang="en-US" altLang="zh-CN" sz="1400" b="0" i="0" u="none" strike="noStrike" kern="1200" cap="none" spc="0" normalizeH="0" baseline="0">
              <a:solidFill>
                <a:schemeClr val="tx1">
                  <a:lumMod val="65000"/>
                  <a:lumOff val="35000"/>
                </a:schemeClr>
              </a:solidFill>
              <a:effectLst/>
              <a:latin typeface="+mn-lt"/>
              <a:ea typeface="+mn-ea"/>
              <a:cs typeface="+mn-cs"/>
            </a:endParaRP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本年度收入预算数</c:v>
                </c:pt>
              </c:strCache>
            </c:strRef>
          </c:tx>
          <c:spPr>
            <a:solidFill>
              <a:schemeClr val="accent1"/>
            </a:solidFill>
            <a:ln>
              <a:noFill/>
            </a:ln>
            <a:effectLst/>
          </c:spPr>
          <c:invertIfNegative val="0"/>
          <c:dLbls>
            <c:delete val="1"/>
          </c:dLbls>
          <c:cat>
            <c:numRef>
              <c:f>Sheet1!$A$2</c:f>
              <c:numCache>
                <c:formatCode>General</c:formatCode>
                <c:ptCount val="1"/>
                <c:pt idx="0">
                  <c:v>2021</c:v>
                </c:pt>
              </c:numCache>
            </c:numRef>
          </c:cat>
          <c:val>
            <c:numRef>
              <c:f>Sheet1!$B$2</c:f>
              <c:numCache>
                <c:formatCode>General</c:formatCode>
                <c:ptCount val="1"/>
                <c:pt idx="0">
                  <c:v>103.48</c:v>
                </c:pt>
              </c:numCache>
            </c:numRef>
          </c:val>
        </c:ser>
        <c:ser>
          <c:idx val="1"/>
          <c:order val="1"/>
          <c:tx>
            <c:strRef>
              <c:f>Sheet1!$C$1</c:f>
              <c:strCache>
                <c:ptCount val="1"/>
                <c:pt idx="0">
                  <c:v>本年度收入决算数</c:v>
                </c:pt>
              </c:strCache>
            </c:strRef>
          </c:tx>
          <c:spPr>
            <a:solidFill>
              <a:schemeClr val="accent2"/>
            </a:solidFill>
            <a:ln>
              <a:noFill/>
            </a:ln>
            <a:effectLst/>
          </c:spPr>
          <c:invertIfNegative val="0"/>
          <c:dLbls>
            <c:delete val="1"/>
          </c:dLbls>
          <c:cat>
            <c:numRef>
              <c:f>Sheet1!$A$2</c:f>
              <c:numCache>
                <c:formatCode>General</c:formatCode>
                <c:ptCount val="1"/>
                <c:pt idx="0">
                  <c:v>2021</c:v>
                </c:pt>
              </c:numCache>
            </c:numRef>
          </c:cat>
          <c:val>
            <c:numRef>
              <c:f>Sheet1!$C$2</c:f>
              <c:numCache>
                <c:formatCode>General</c:formatCode>
                <c:ptCount val="1"/>
                <c:pt idx="0">
                  <c:v>103.48</c:v>
                </c:pt>
              </c:numCache>
            </c:numRef>
          </c:val>
        </c:ser>
        <c:ser>
          <c:idx val="2"/>
          <c:order val="2"/>
          <c:tx>
            <c:strRef>
              <c:f>Sheet1!$D$1</c:f>
              <c:strCache>
                <c:ptCount val="1"/>
                <c:pt idx="0">
                  <c:v>完成度</c:v>
                </c:pt>
              </c:strCache>
            </c:strRef>
          </c:tx>
          <c:spPr>
            <a:solidFill>
              <a:schemeClr val="accent3"/>
            </a:solidFill>
            <a:ln>
              <a:noFill/>
            </a:ln>
            <a:effectLst/>
          </c:spPr>
          <c:invertIfNegative val="0"/>
          <c:dLbls>
            <c:delete val="1"/>
          </c:dLbls>
          <c:cat>
            <c:numRef>
              <c:f>Sheet1!$A$2</c:f>
              <c:numCache>
                <c:formatCode>General</c:formatCode>
                <c:ptCount val="1"/>
                <c:pt idx="0">
                  <c:v>2021</c:v>
                </c:pt>
              </c:numCache>
            </c:numRef>
          </c:cat>
          <c:val>
            <c:numRef>
              <c:f>Sheet1!$D$2</c:f>
              <c:numCache>
                <c:formatCode>0%</c:formatCode>
                <c:ptCount val="1"/>
                <c:pt idx="0">
                  <c:v>1</c:v>
                </c:pt>
              </c:numCache>
            </c:numRef>
          </c:val>
        </c:ser>
        <c:dLbls>
          <c:showLegendKey val="0"/>
          <c:showVal val="0"/>
          <c:showCatName val="0"/>
          <c:showSerName val="0"/>
          <c:showPercent val="0"/>
          <c:showBubbleSize val="0"/>
        </c:dLbls>
        <c:gapWidth val="219"/>
        <c:overlap val="-27"/>
        <c:axId val="327530003"/>
        <c:axId val="662997339"/>
      </c:barChart>
      <c:catAx>
        <c:axId val="3275300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2997339"/>
        <c:crosses val="autoZero"/>
        <c:auto val="1"/>
        <c:lblAlgn val="ctr"/>
        <c:lblOffset val="100"/>
        <c:noMultiLvlLbl val="0"/>
      </c:catAx>
      <c:valAx>
        <c:axId val="662997339"/>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7530003"/>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rot="0" spcFirstLastPara="0" vertOverflow="ellipsis" horzOverflow="overflow" vert="horz" wrap="square" anchor="ctr" anchorCtr="1"/>
    <a:lstStyle/>
    <a:p>
      <a:pPr>
        <a:defRPr lang="zh-CN" sz="1000" kern="1200">
          <a:solidFill>
            <a:schemeClr val="tx1"/>
          </a:solidFill>
          <a:latin typeface="+mn-lt"/>
          <a:ea typeface="+mn-ea"/>
          <a:cs typeface="+mn-c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600" b="1" i="0" u="none" strike="noStrike" kern="1200" spc="0" normalizeH="0" baseline="0">
                <a:solidFill>
                  <a:schemeClr val="dk1">
                    <a:lumMod val="50000"/>
                    <a:lumOff val="50000"/>
                  </a:schemeClr>
                </a:solidFill>
                <a:latin typeface="+mj-lt"/>
                <a:ea typeface="+mj-ea"/>
                <a:cs typeface="+mj-cs"/>
              </a:defRPr>
            </a:pPr>
            <a:r>
              <a:rPr sz="1600" b="1" i="0" u="none" strike="noStrike" kern="1200" cap="none" spc="0" normalizeH="0" baseline="0">
                <a:solidFill>
                  <a:schemeClr val="dk1">
                    <a:lumMod val="50000"/>
                    <a:lumOff val="50000"/>
                  </a:schemeClr>
                </a:solidFill>
                <a:effectLst/>
                <a:latin typeface="+mj-lt"/>
                <a:ea typeface="+mj-ea"/>
                <a:cs typeface="+mj-cs"/>
              </a:rPr>
              <a:t>收入支出结构分析（万元）</a:t>
            </a:r>
            <a:endParaRPr sz="1600" b="1" i="0" u="none" strike="noStrike" kern="1200" cap="none" spc="0" normalizeH="0" baseline="0">
              <a:solidFill>
                <a:schemeClr val="dk1">
                  <a:lumMod val="50000"/>
                  <a:lumOff val="50000"/>
                </a:schemeClr>
              </a:solidFill>
              <a:effectLst/>
              <a:latin typeface="+mj-lt"/>
              <a:ea typeface="+mj-ea"/>
              <a:cs typeface="+mj-cs"/>
            </a:endParaRP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explosion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dPt>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dk1">
                        <a:lumMod val="75000"/>
                        <a:lumOff val="25000"/>
                      </a:schemeClr>
                    </a:solidFill>
                    <a:latin typeface="+mn-lt"/>
                    <a:ea typeface="+mn-ea"/>
                    <a:cs typeface="+mn-cs"/>
                  </a:defRPr>
                </a:pPr>
              </a:p>
            </c:txPr>
            <c:dLblPos val="outEnd"/>
            <c:showLegendKey val="0"/>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prstDash val="solid"/>
                      <a:round/>
                    </a:ln>
                    <a:effectLst/>
                  </c:spPr>
                </c15:leaderLines>
              </c:ext>
            </c:extLst>
          </c:dLbls>
          <c:cat>
            <c:strRef>
              <c:f>Sheet1!$A$2</c:f>
              <c:strCache>
                <c:ptCount val="1"/>
                <c:pt idx="0">
                  <c:v>一般公共预算财政拨款收入</c:v>
                </c:pt>
              </c:strCache>
            </c:strRef>
          </c:cat>
          <c:val>
            <c:numRef>
              <c:f>Sheet1!$B$2</c:f>
              <c:numCache>
                <c:formatCode>General</c:formatCode>
                <c:ptCount val="1"/>
                <c:pt idx="0">
                  <c:v>103.48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solidFill>
          <a:schemeClr val="lt1">
            <a:alpha val="50000"/>
          </a:schemeClr>
        </a:solidFill>
        <a:ln>
          <a:noFill/>
        </a:ln>
        <a:effectLst/>
      </c:spPr>
      <c:txPr>
        <a:bodyPr rot="0" spcFirstLastPara="0" vertOverflow="ellipsis" horzOverflow="overflow"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prstDash val="solid"/>
      <a:round/>
    </a:ln>
    <a:effectLst/>
  </c:spPr>
  <c:txPr>
    <a:bodyPr rot="0" spcFirstLastPara="0" vertOverflow="ellipsis" horzOverflow="overflow" vert="horz" wrap="square" anchor="ctr" anchorCtr="1"/>
    <a:lstStyle/>
    <a:p>
      <a:pPr>
        <a:defRPr lang="zh-CN" sz="900" kern="1200">
          <a:solidFill>
            <a:schemeClr val="dk1"/>
          </a:solidFill>
          <a:latin typeface="+mn-lt"/>
          <a:ea typeface="+mn-ea"/>
          <a:cs typeface="+mn-c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支出情况分析</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92.46</c:v>
                </c:pt>
                <c:pt idx="1">
                  <c:v>7.55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599223738575185"/>
          <c:y val="0.158886050610495"/>
          <c:w val="0.930345494080696"/>
          <c:h val="0.638631534211645"/>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delete val="1"/>
          </c:dLbls>
          <c:cat>
            <c:strRef>
              <c:f>Sheet1!$A$2:$A$5</c:f>
              <c:strCache>
                <c:ptCount val="4"/>
                <c:pt idx="0">
                  <c:v>2020年</c:v>
                </c:pt>
                <c:pt idx="1">
                  <c:v>2021年</c:v>
                </c:pt>
                <c:pt idx="2">
                  <c:v>2020年</c:v>
                </c:pt>
                <c:pt idx="3">
                  <c:v>2021年</c:v>
                </c:pt>
              </c:strCache>
            </c:strRef>
          </c:cat>
          <c:val>
            <c:numRef>
              <c:f>Sheet1!$B$2:$B$5</c:f>
              <c:numCache>
                <c:formatCode>General</c:formatCode>
                <c:ptCount val="4"/>
                <c:pt idx="0">
                  <c:v>75.41</c:v>
                </c:pt>
                <c:pt idx="1">
                  <c:v>103.48</c:v>
                </c:pt>
              </c:numCache>
            </c:numRef>
          </c:val>
        </c:ser>
        <c:ser>
          <c:idx val="1"/>
          <c:order val="1"/>
          <c:tx>
            <c:strRef>
              <c:f>Sheet1!$C$1</c:f>
              <c:strCache>
                <c:ptCount val="1"/>
                <c:pt idx="0">
                  <c:v>支出</c:v>
                </c:pt>
              </c:strCache>
            </c:strRef>
          </c:tx>
          <c:spPr>
            <a:solidFill>
              <a:schemeClr val="accent2"/>
            </a:solidFill>
            <a:ln>
              <a:noFill/>
            </a:ln>
            <a:effectLst/>
          </c:spPr>
          <c:invertIfNegative val="0"/>
          <c:dLbls>
            <c:delete val="1"/>
          </c:dLbls>
          <c:cat>
            <c:strRef>
              <c:f>Sheet1!$A$2:$A$5</c:f>
              <c:strCache>
                <c:ptCount val="4"/>
                <c:pt idx="0">
                  <c:v>2020年</c:v>
                </c:pt>
                <c:pt idx="1">
                  <c:v>2021年</c:v>
                </c:pt>
                <c:pt idx="2">
                  <c:v>2020年</c:v>
                </c:pt>
                <c:pt idx="3">
                  <c:v>2021年</c:v>
                </c:pt>
              </c:strCache>
            </c:strRef>
          </c:cat>
          <c:val>
            <c:numRef>
              <c:f>Sheet1!$C$2:$C$5</c:f>
              <c:numCache>
                <c:formatCode>General</c:formatCode>
                <c:ptCount val="4"/>
                <c:pt idx="2">
                  <c:v>124.56</c:v>
                </c:pt>
                <c:pt idx="3">
                  <c:v>103.48</c:v>
                </c:pt>
              </c:numCache>
            </c:numRef>
          </c:val>
        </c:ser>
        <c:dLbls>
          <c:showLegendKey val="0"/>
          <c:showVal val="0"/>
          <c:showCatName val="0"/>
          <c:showSerName val="0"/>
          <c:showPercent val="0"/>
          <c:showBubbleSize val="0"/>
        </c:dLbls>
        <c:gapWidth val="246"/>
        <c:overlap val="-28"/>
        <c:axId val="157061212"/>
        <c:axId val="900064804"/>
      </c:barChart>
      <c:catAx>
        <c:axId val="15706121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00064804"/>
        <c:crosses val="autoZero"/>
        <c:auto val="1"/>
        <c:lblAlgn val="ctr"/>
        <c:lblOffset val="100"/>
        <c:noMultiLvlLbl val="0"/>
      </c:catAx>
      <c:valAx>
        <c:axId val="900064804"/>
        <c:scaling>
          <c:orientation val="minMax"/>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706121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2020</c:v>
                </c:pt>
              </c:strCache>
            </c:strRef>
          </c:tx>
          <c:spPr>
            <a:solidFill>
              <a:schemeClr val="accent1"/>
            </a:solidFill>
            <a:ln>
              <a:noFill/>
            </a:ln>
            <a:effectLst/>
          </c:spPr>
          <c:invertIfNegative val="0"/>
          <c:dLbls>
            <c:delete val="1"/>
          </c:dLbls>
          <c:cat>
            <c:numRef>
              <c:f>Sheet1!$A$2</c:f>
              <c:numCache>
                <c:formatCode>General</c:formatCode>
                <c:ptCount val="1"/>
              </c:numCache>
            </c:numRef>
          </c:cat>
          <c:val>
            <c:numRef>
              <c:f>Sheet1!$B$2</c:f>
              <c:numCache>
                <c:formatCode>General</c:formatCode>
                <c:ptCount val="1"/>
                <c:pt idx="0">
                  <c:v>124.56</c:v>
                </c:pt>
              </c:numCache>
            </c:numRef>
          </c:val>
        </c:ser>
        <c:ser>
          <c:idx val="1"/>
          <c:order val="1"/>
          <c:tx>
            <c:strRef>
              <c:f>Sheet1!$C$1</c:f>
              <c:strCache>
                <c:ptCount val="1"/>
                <c:pt idx="0">
                  <c:v>2021</c:v>
                </c:pt>
              </c:strCache>
            </c:strRef>
          </c:tx>
          <c:spPr>
            <a:solidFill>
              <a:schemeClr val="accent2"/>
            </a:solidFill>
            <a:ln>
              <a:noFill/>
            </a:ln>
            <a:effectLst/>
          </c:spPr>
          <c:invertIfNegative val="0"/>
          <c:dLbls>
            <c:delete val="1"/>
          </c:dLbls>
          <c:cat>
            <c:numRef>
              <c:f>Sheet1!$A$2</c:f>
              <c:numCache>
                <c:formatCode>General</c:formatCode>
                <c:ptCount val="1"/>
              </c:numCache>
            </c:numRef>
          </c:cat>
          <c:val>
            <c:numRef>
              <c:f>Sheet1!$C$2</c:f>
              <c:numCache>
                <c:formatCode>General</c:formatCode>
                <c:ptCount val="1"/>
                <c:pt idx="0">
                  <c:v>103.48</c:v>
                </c:pt>
              </c:numCache>
            </c:numRef>
          </c:val>
        </c:ser>
        <c:dLbls>
          <c:showLegendKey val="0"/>
          <c:showVal val="0"/>
          <c:showCatName val="0"/>
          <c:showSerName val="0"/>
          <c:showPercent val="0"/>
          <c:showBubbleSize val="0"/>
        </c:dLbls>
        <c:gapWidth val="246"/>
        <c:overlap val="-28"/>
        <c:axId val="293796978"/>
        <c:axId val="638351815"/>
      </c:barChart>
      <c:catAx>
        <c:axId val="29379697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8351815"/>
        <c:crosses val="autoZero"/>
        <c:auto val="1"/>
        <c:lblAlgn val="ctr"/>
        <c:lblOffset val="100"/>
        <c:noMultiLvlLbl val="0"/>
      </c:catAx>
      <c:valAx>
        <c:axId val="638351815"/>
        <c:scaling>
          <c:orientation val="minMax"/>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9379697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占比</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elete val="1"/>
          </c:dLbls>
          <c:cat>
            <c:strRef>
              <c:f>Sheet1!$A$2:$A$5</c:f>
              <c:strCache>
                <c:ptCount val="4"/>
                <c:pt idx="0">
                  <c:v>文化旅游体育与传媒支出</c:v>
                </c:pt>
                <c:pt idx="1">
                  <c:v>社会保障和就业（类）支出</c:v>
                </c:pt>
                <c:pt idx="2">
                  <c:v>卫生健康支出</c:v>
                </c:pt>
                <c:pt idx="3">
                  <c:v>住房保障支出</c:v>
                </c:pt>
              </c:strCache>
            </c:strRef>
          </c:cat>
          <c:val>
            <c:numRef>
              <c:f>Sheet1!$B$2:$B$5</c:f>
              <c:numCache>
                <c:formatCode>General</c:formatCode>
                <c:ptCount val="4"/>
                <c:pt idx="0">
                  <c:v>77.58</c:v>
                </c:pt>
                <c:pt idx="1">
                  <c:v>10.52</c:v>
                </c:pt>
                <c:pt idx="2">
                  <c:v>4.86</c:v>
                </c:pt>
                <c:pt idx="3">
                  <c:v>7.03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占比</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elete val="1"/>
          </c:dLbls>
          <c:cat>
            <c:strRef>
              <c:f>Sheet1!$A$2:$A$3</c:f>
              <c:strCache>
                <c:ptCount val="2"/>
                <c:pt idx="0">
                  <c:v>公务用车运行维护费</c:v>
                </c:pt>
                <c:pt idx="1">
                  <c:v>接待费</c:v>
                </c:pt>
              </c:strCache>
            </c:strRef>
          </c:cat>
          <c:val>
            <c:numRef>
              <c:f>Sheet1!$B$2:$B$3</c:f>
              <c:numCache>
                <c:formatCode>General</c:formatCode>
                <c:ptCount val="2"/>
                <c:pt idx="0">
                  <c:v>0</c:v>
                </c:pt>
                <c:pt idx="1">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51</Pages>
  <Words>21243</Words>
  <Characters>22774</Characters>
  <Lines>61</Lines>
  <Paragraphs>17</Paragraphs>
  <TotalTime>0</TotalTime>
  <ScaleCrop>false</ScaleCrop>
  <LinksUpToDate>false</LinksUpToDate>
  <CharactersWithSpaces>23081</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Admin</cp:lastModifiedBy>
  <cp:lastPrinted>2020-07-23T02:58:00Z</cp:lastPrinted>
  <dcterms:modified xsi:type="dcterms:W3CDTF">2023-10-24T16:22:33Z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99F0A60A3B64473E82D8A71841685294_13</vt:lpwstr>
  </property>
</Properties>
</file>