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widowControl w:val="0"/>
        <w:spacing w:beforeAutospacing="0" w:line="560" w:lineRule="exact"/>
        <w:jc w:val="center"/>
        <w:rPr>
          <w:rFonts w:hint="default" w:cs="宋体"/>
          <w:sz w:val="44"/>
          <w:szCs w:val="44"/>
        </w:rPr>
      </w:pPr>
      <w:bookmarkStart w:id="174" w:name="_GoBack"/>
      <w:bookmarkEnd w:id="174"/>
      <w:r>
        <w:rPr>
          <w:rStyle w:val="12"/>
          <w:sz w:val="44"/>
          <w:szCs w:val="44"/>
          <w:shd w:val="clear" w:color="auto" w:fill="FFFFFF"/>
        </w:rPr>
        <w:t>2020</w:t>
      </w:r>
      <w:r>
        <w:rPr>
          <w:rStyle w:val="12"/>
          <w:rFonts w:hint="eastAsia" w:ascii="宋体" w:hAnsi="宋体" w:cs="宋体"/>
          <w:sz w:val="44"/>
          <w:szCs w:val="44"/>
          <w:shd w:val="clear" w:color="auto" w:fill="FFFFFF"/>
        </w:rPr>
        <w:t>年度</w:t>
      </w:r>
    </w:p>
    <w:p>
      <w:pPr>
        <w:pStyle w:val="11"/>
        <w:widowControl w:val="0"/>
        <w:spacing w:beforeAutospacing="0" w:line="560" w:lineRule="exact"/>
        <w:jc w:val="center"/>
        <w:rPr>
          <w:rFonts w:hint="default" w:cs="宋体"/>
          <w:sz w:val="44"/>
          <w:szCs w:val="44"/>
        </w:rPr>
      </w:pPr>
      <w:r>
        <w:rPr>
          <w:rStyle w:val="12"/>
          <w:rFonts w:hint="eastAsia" w:ascii="宋体" w:hAnsi="宋体" w:cs="宋体"/>
          <w:sz w:val="44"/>
          <w:szCs w:val="44"/>
          <w:shd w:val="clear" w:color="auto" w:fill="FFFFFF"/>
        </w:rPr>
        <w:t>阿坝州红原县新华书店部门决算</w:t>
      </w:r>
    </w:p>
    <w:p>
      <w:pPr>
        <w:pStyle w:val="11"/>
        <w:widowControl w:val="0"/>
        <w:spacing w:beforeAutospacing="0" w:line="560" w:lineRule="exact"/>
        <w:jc w:val="center"/>
        <w:rPr>
          <w:rFonts w:hint="default" w:cs="宋体"/>
        </w:rPr>
      </w:pPr>
    </w:p>
    <w:p>
      <w:pPr>
        <w:pStyle w:val="11"/>
        <w:widowControl w:val="0"/>
        <w:spacing w:beforeAutospacing="0" w:line="560" w:lineRule="exact"/>
        <w:jc w:val="center"/>
        <w:rPr>
          <w:rFonts w:hint="default" w:cs="宋体"/>
        </w:rPr>
      </w:pPr>
    </w:p>
    <w:p>
      <w:pPr>
        <w:pStyle w:val="11"/>
        <w:widowControl w:val="0"/>
        <w:spacing w:beforeAutospacing="0" w:line="560" w:lineRule="exact"/>
        <w:jc w:val="center"/>
        <w:rPr>
          <w:rFonts w:hint="default" w:cs="宋体"/>
        </w:rPr>
      </w:pPr>
    </w:p>
    <w:p>
      <w:pPr>
        <w:pStyle w:val="11"/>
        <w:widowControl w:val="0"/>
        <w:spacing w:beforeAutospacing="0" w:line="560" w:lineRule="exact"/>
        <w:jc w:val="center"/>
        <w:rPr>
          <w:rFonts w:hint="default" w:cs="宋体"/>
        </w:rPr>
      </w:pPr>
    </w:p>
    <w:p>
      <w:pPr>
        <w:pStyle w:val="11"/>
        <w:widowControl w:val="0"/>
        <w:spacing w:beforeAutospacing="0" w:line="560" w:lineRule="exact"/>
        <w:jc w:val="center"/>
        <w:rPr>
          <w:rFonts w:hint="default" w:cs="宋体"/>
        </w:rPr>
      </w:pPr>
    </w:p>
    <w:p>
      <w:pPr>
        <w:pStyle w:val="11"/>
        <w:widowControl w:val="0"/>
        <w:spacing w:beforeAutospacing="0" w:line="560" w:lineRule="exact"/>
        <w:jc w:val="center"/>
        <w:rPr>
          <w:rFonts w:hint="default" w:cs="宋体"/>
        </w:rPr>
      </w:pPr>
    </w:p>
    <w:p>
      <w:pPr>
        <w:pStyle w:val="11"/>
        <w:widowControl w:val="0"/>
        <w:spacing w:beforeAutospacing="0" w:line="560" w:lineRule="exact"/>
        <w:jc w:val="center"/>
        <w:rPr>
          <w:rFonts w:hint="default" w:cs="宋体"/>
        </w:rPr>
      </w:pPr>
    </w:p>
    <w:p>
      <w:pPr>
        <w:pStyle w:val="11"/>
        <w:widowControl w:val="0"/>
        <w:spacing w:beforeAutospacing="0" w:line="560" w:lineRule="exact"/>
        <w:jc w:val="center"/>
        <w:rPr>
          <w:rFonts w:hint="default" w:cs="宋体"/>
        </w:rPr>
      </w:pPr>
    </w:p>
    <w:p>
      <w:pPr>
        <w:pStyle w:val="11"/>
        <w:widowControl w:val="0"/>
        <w:spacing w:beforeAutospacing="0" w:line="560" w:lineRule="exact"/>
        <w:jc w:val="center"/>
        <w:rPr>
          <w:rFonts w:hint="default" w:cs="宋体"/>
        </w:rPr>
      </w:pPr>
    </w:p>
    <w:p>
      <w:pPr>
        <w:pStyle w:val="11"/>
        <w:widowControl w:val="0"/>
        <w:spacing w:beforeAutospacing="0" w:line="560" w:lineRule="exact"/>
        <w:rPr>
          <w:rFonts w:hint="default" w:eastAsia="宋体" w:cs="宋体"/>
          <w:shd w:val="clear" w:color="auto" w:fill="FFFFFF"/>
          <w:lang w:val="en-US" w:eastAsia="zh-CN"/>
        </w:rPr>
      </w:pPr>
      <w:r>
        <w:rPr>
          <w:rFonts w:cs="宋体"/>
          <w:shd w:val="clear" w:color="auto" w:fill="FFFFFF"/>
        </w:rPr>
        <w:t xml:space="preserve">     保密审查情况：</w:t>
      </w:r>
      <w:r>
        <w:rPr>
          <w:rFonts w:hint="eastAsia" w:cs="宋体"/>
          <w:shd w:val="clear" w:color="auto" w:fill="FFFFFF"/>
          <w:lang w:val="en-US" w:eastAsia="zh-CN"/>
        </w:rPr>
        <w:t>已审查，内容审定</w:t>
      </w:r>
    </w:p>
    <w:p>
      <w:pPr>
        <w:pStyle w:val="11"/>
        <w:widowControl w:val="0"/>
        <w:spacing w:beforeAutospacing="0" w:line="560" w:lineRule="exact"/>
        <w:rPr>
          <w:rFonts w:hint="default" w:ascii="Times New Roman" w:hAnsi="Times New Roman" w:eastAsia="宋体"/>
          <w:b/>
          <w:sz w:val="28"/>
          <w:szCs w:val="28"/>
          <w:shd w:val="clear" w:color="auto" w:fill="FFFFFF"/>
          <w:lang w:val="en-US" w:eastAsia="zh-CN"/>
        </w:rPr>
        <w:sectPr>
          <w:pgSz w:w="11915" w:h="16851"/>
          <w:pgMar w:top="1440" w:right="1800" w:bottom="1440" w:left="1800" w:header="851" w:footer="992" w:gutter="0"/>
          <w:cols w:space="720" w:num="1"/>
          <w:docGrid w:type="lines" w:linePitch="312" w:charSpace="0"/>
        </w:sectPr>
      </w:pPr>
      <w:r>
        <w:rPr>
          <w:rFonts w:cs="宋体"/>
          <w:shd w:val="clear" w:color="auto" w:fill="FFFFFF"/>
        </w:rPr>
        <w:t xml:space="preserve">     部门主要负责人审签情况</w:t>
      </w:r>
      <w:r>
        <w:rPr>
          <w:rFonts w:hint="eastAsia" w:cs="宋体"/>
          <w:shd w:val="clear" w:color="auto" w:fill="FFFFFF"/>
          <w:lang w:eastAsia="zh-CN"/>
        </w:rPr>
        <w:t>：</w:t>
      </w:r>
      <w:r>
        <w:rPr>
          <w:rFonts w:hint="eastAsia" w:cs="宋体"/>
          <w:shd w:val="clear" w:color="auto" w:fill="FFFFFF"/>
          <w:lang w:val="en-US" w:eastAsia="zh-CN"/>
        </w:rPr>
        <w:t>已审签，同意对外公开</w:t>
      </w:r>
    </w:p>
    <w:p>
      <w:pPr>
        <w:pStyle w:val="11"/>
        <w:widowControl w:val="0"/>
        <w:spacing w:beforeAutospacing="0" w:afterAutospacing="0"/>
        <w:ind w:firstLine="3204" w:firstLineChars="1140"/>
        <w:jc w:val="both"/>
        <w:rPr>
          <w:rFonts w:hint="default" w:cs="宋体"/>
          <w:sz w:val="28"/>
          <w:szCs w:val="28"/>
        </w:rPr>
      </w:pPr>
      <w:r>
        <w:rPr>
          <w:rStyle w:val="12"/>
          <w:rFonts w:hint="eastAsia" w:ascii="宋体" w:hAnsi="宋体" w:cs="宋体"/>
          <w:sz w:val="28"/>
          <w:szCs w:val="28"/>
          <w:shd w:val="clear" w:color="auto" w:fill="FFFFFF"/>
        </w:rPr>
        <w:t>目        录</w:t>
      </w:r>
    </w:p>
    <w:p>
      <w:pPr>
        <w:pStyle w:val="11"/>
        <w:widowControl w:val="0"/>
        <w:spacing w:beforeAutospacing="0" w:afterAutospacing="0"/>
        <w:jc w:val="center"/>
        <w:rPr>
          <w:rFonts w:hint="default"/>
        </w:rPr>
      </w:pPr>
      <w:r>
        <w:rPr>
          <w:rFonts w:cs="宋体"/>
          <w:sz w:val="28"/>
          <w:szCs w:val="28"/>
          <w:shd w:val="clear" w:color="auto" w:fill="FFFFFF"/>
        </w:rPr>
        <w:t>公开时间：2021年 11 月 29 日</w:t>
      </w:r>
    </w:p>
    <w:p>
      <w:pPr>
        <w:pStyle w:val="6"/>
        <w:keepNext w:val="0"/>
        <w:keepLines w:val="0"/>
        <w:pageBreakBefore w:val="0"/>
        <w:tabs>
          <w:tab w:val="right" w:leader="dot" w:pos="8305"/>
        </w:tabs>
        <w:kinsoku/>
        <w:wordWrap/>
        <w:overflowPunct/>
        <w:topLinePunct w:val="0"/>
        <w:autoSpaceDE/>
        <w:autoSpaceDN/>
        <w:bidi w:val="0"/>
        <w:adjustRightInd/>
        <w:snapToGrid/>
        <w:spacing w:line="360" w:lineRule="auto"/>
        <w:textAlignment w:val="auto"/>
        <w:rPr>
          <w:rFonts w:hint="default" w:ascii="Calibri" w:hAnsi="Calibri"/>
          <w:kern w:val="2"/>
          <w:sz w:val="21"/>
          <w:szCs w:val="22"/>
        </w:rPr>
      </w:pPr>
      <w:r>
        <w:rPr>
          <w:rFonts w:ascii="Times New Roman" w:hAnsi="Times New Roman"/>
          <w:sz w:val="21"/>
          <w:szCs w:val="21"/>
        </w:rPr>
        <w:fldChar w:fldCharType="begin"/>
      </w:r>
      <w:r>
        <w:rPr>
          <w:sz w:val="21"/>
          <w:szCs w:val="21"/>
        </w:rPr>
        <w:instrText xml:space="preserve">TOC \o "1-2" \h \u </w:instrText>
      </w:r>
      <w:r>
        <w:rPr>
          <w:rFonts w:ascii="Times New Roman" w:hAnsi="Times New Roman"/>
          <w:sz w:val="21"/>
          <w:szCs w:val="21"/>
        </w:rPr>
        <w:fldChar w:fldCharType="separate"/>
      </w:r>
      <w:r>
        <w:rPr>
          <w:rStyle w:val="10"/>
        </w:rPr>
        <w:fldChar w:fldCharType="begin"/>
      </w:r>
      <w:r>
        <w:rPr>
          <w:rStyle w:val="10"/>
        </w:rPr>
        <w:instrText xml:space="preserve"> </w:instrText>
      </w:r>
      <w:r>
        <w:instrText xml:space="preserve">HYPERLINK \l "_Toc88833316"</w:instrText>
      </w:r>
      <w:r>
        <w:rPr>
          <w:rStyle w:val="10"/>
        </w:rPr>
        <w:instrText xml:space="preserve"> </w:instrText>
      </w:r>
      <w:r>
        <w:rPr>
          <w:rStyle w:val="10"/>
        </w:rPr>
        <w:fldChar w:fldCharType="separate"/>
      </w:r>
      <w:r>
        <w:rPr>
          <w:rStyle w:val="10"/>
          <w:rFonts w:cs="宋体"/>
          <w:b/>
        </w:rPr>
        <w:t>第一部分</w:t>
      </w:r>
      <w:r>
        <w:rPr>
          <w:rStyle w:val="10"/>
          <w:rFonts w:cs="宋体"/>
          <w:b/>
          <w:shd w:val="clear" w:color="auto" w:fill="FFFFFF"/>
        </w:rPr>
        <w:t xml:space="preserve"> 部门概况</w:t>
      </w:r>
      <w:r>
        <w:tab/>
      </w:r>
      <w:r>
        <w:fldChar w:fldCharType="begin"/>
      </w:r>
      <w:r>
        <w:instrText xml:space="preserve"> PAGEREF _Toc88833316 \h </w:instrText>
      </w:r>
      <w:r>
        <w:rPr>
          <w:rFonts w:hint="default"/>
        </w:rPr>
        <w:fldChar w:fldCharType="separate"/>
      </w:r>
      <w:r>
        <w:t>1</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"_Toc88833317"</w:instrText>
      </w:r>
      <w:r>
        <w:rPr>
          <w:rStyle w:val="10"/>
        </w:rPr>
        <w:instrText xml:space="preserve"> </w:instrText>
      </w:r>
      <w:r>
        <w:rPr>
          <w:rStyle w:val="10"/>
        </w:rPr>
        <w:fldChar w:fldCharType="separate"/>
      </w:r>
      <w:r>
        <w:rPr>
          <w:rStyle w:val="10"/>
          <w:rFonts w:cs="宋体"/>
          <w:b/>
          <w:shd w:val="clear" w:color="auto" w:fill="FFFFFF"/>
        </w:rPr>
        <w:t>一、基本职能及主要工作</w:t>
      </w:r>
      <w:r>
        <w:tab/>
      </w:r>
      <w:r>
        <w:fldChar w:fldCharType="begin"/>
      </w:r>
      <w:r>
        <w:instrText xml:space="preserve"> PAGEREF _Toc88833317 \h </w:instrText>
      </w:r>
      <w:r>
        <w:rPr>
          <w:rFonts w:hint="default"/>
        </w:rPr>
        <w:fldChar w:fldCharType="separate"/>
      </w:r>
      <w:r>
        <w:t>1</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"_Toc88833318"</w:instrText>
      </w:r>
      <w:r>
        <w:rPr>
          <w:rStyle w:val="10"/>
        </w:rPr>
        <w:instrText xml:space="preserve"> </w:instrText>
      </w:r>
      <w:r>
        <w:rPr>
          <w:rStyle w:val="10"/>
        </w:rPr>
        <w:fldChar w:fldCharType="separate"/>
      </w:r>
      <w:r>
        <w:rPr>
          <w:rStyle w:val="10"/>
          <w:rFonts w:cs="宋体"/>
          <w:b/>
          <w:shd w:val="clear" w:color="auto" w:fill="FFFFFF"/>
        </w:rPr>
        <w:t>二、机构设置</w:t>
      </w:r>
      <w:r>
        <w:tab/>
      </w:r>
      <w:r>
        <w:fldChar w:fldCharType="begin"/>
      </w:r>
      <w:r>
        <w:instrText xml:space="preserve"> PAGEREF _Toc88833318 \h </w:instrText>
      </w:r>
      <w:r>
        <w:rPr>
          <w:rFonts w:hint="default"/>
        </w:rPr>
        <w:fldChar w:fldCharType="separate"/>
      </w:r>
      <w:r>
        <w:t>2</w:t>
      </w:r>
      <w:r>
        <w:fldChar w:fldCharType="end"/>
      </w:r>
      <w:r>
        <w:rPr>
          <w:rStyle w:val="10"/>
        </w:rPr>
        <w:fldChar w:fldCharType="end"/>
      </w:r>
    </w:p>
    <w:p>
      <w:pPr>
        <w:pStyle w:val="6"/>
        <w:keepNext w:val="0"/>
        <w:keepLines w:val="0"/>
        <w:pageBreakBefore w:val="0"/>
        <w:tabs>
          <w:tab w:val="right" w:leader="dot" w:pos="8305"/>
        </w:tabs>
        <w:kinsoku/>
        <w:wordWrap/>
        <w:overflowPunct/>
        <w:topLinePunct w:val="0"/>
        <w:autoSpaceDE/>
        <w:autoSpaceDN/>
        <w:bidi w:val="0"/>
        <w:adjustRightInd/>
        <w:snapToGrid/>
        <w:spacing w:line="360" w:lineRule="auto"/>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"_Toc88833319"</w:instrText>
      </w:r>
      <w:r>
        <w:rPr>
          <w:rStyle w:val="10"/>
        </w:rPr>
        <w:instrText xml:space="preserve"> </w:instrText>
      </w:r>
      <w:r>
        <w:rPr>
          <w:rStyle w:val="10"/>
        </w:rPr>
        <w:fldChar w:fldCharType="separate"/>
      </w:r>
      <w:r>
        <w:rPr>
          <w:rStyle w:val="10"/>
          <w:rFonts w:cs="宋体"/>
          <w:b/>
        </w:rPr>
        <w:t>第二部分</w:t>
      </w:r>
      <w:r>
        <w:rPr>
          <w:rStyle w:val="10"/>
          <w:rFonts w:ascii="Times New Roman" w:hAnsi="Times New Roman"/>
          <w:b/>
          <w:shd w:val="clear" w:color="auto" w:fill="FFFFFF"/>
        </w:rPr>
        <w:t xml:space="preserve"> 2020</w:t>
      </w:r>
      <w:r>
        <w:rPr>
          <w:rStyle w:val="10"/>
          <w:rFonts w:cs="宋体"/>
          <w:b/>
          <w:shd w:val="clear" w:color="auto" w:fill="FFFFFF"/>
        </w:rPr>
        <w:t>年度部门决算情况说明</w:t>
      </w:r>
      <w:r>
        <w:tab/>
      </w:r>
      <w:r>
        <w:fldChar w:fldCharType="begin"/>
      </w:r>
      <w:r>
        <w:instrText xml:space="preserve"> PAGEREF _Toc88833319 \h </w:instrText>
      </w:r>
      <w:r>
        <w:rPr>
          <w:rFonts w:hint="default"/>
        </w:rPr>
        <w:fldChar w:fldCharType="separate"/>
      </w:r>
      <w:r>
        <w:t>2</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"_Toc88833320"</w:instrText>
      </w:r>
      <w:r>
        <w:rPr>
          <w:rStyle w:val="10"/>
        </w:rPr>
        <w:instrText xml:space="preserve"> </w:instrText>
      </w:r>
      <w:r>
        <w:rPr>
          <w:rStyle w:val="10"/>
        </w:rPr>
        <w:fldChar w:fldCharType="separate"/>
      </w:r>
      <w:r>
        <w:rPr>
          <w:rStyle w:val="10"/>
          <w:rFonts w:cs="宋体"/>
        </w:rPr>
        <w:t>一、</w:t>
      </w:r>
      <w:r>
        <w:rPr>
          <w:rStyle w:val="10"/>
          <w:rFonts w:cs="宋体"/>
          <w:b/>
          <w:shd w:val="clear" w:color="auto" w:fill="FFFFFF"/>
        </w:rPr>
        <w:t xml:space="preserve"> 收入支出决算总体情况说明</w:t>
      </w:r>
      <w:r>
        <w:tab/>
      </w:r>
      <w:r>
        <w:fldChar w:fldCharType="begin"/>
      </w:r>
      <w:r>
        <w:instrText xml:space="preserve"> PAGEREF _Toc88833320 \h </w:instrText>
      </w:r>
      <w:r>
        <w:rPr>
          <w:rFonts w:hint="default"/>
        </w:rPr>
        <w:fldChar w:fldCharType="separate"/>
      </w:r>
      <w:r>
        <w:t>2</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"_Toc88833321"</w:instrText>
      </w:r>
      <w:r>
        <w:rPr>
          <w:rStyle w:val="10"/>
        </w:rPr>
        <w:instrText xml:space="preserve"> </w:instrText>
      </w:r>
      <w:r>
        <w:rPr>
          <w:rStyle w:val="10"/>
        </w:rPr>
        <w:fldChar w:fldCharType="separate"/>
      </w:r>
      <w:r>
        <w:rPr>
          <w:rStyle w:val="10"/>
          <w:rFonts w:cs="宋体"/>
          <w:b/>
          <w:shd w:val="clear" w:color="auto" w:fill="FFFFFF"/>
        </w:rPr>
        <w:t>二、收入决算情况说明</w:t>
      </w:r>
      <w:r>
        <w:tab/>
      </w:r>
      <w:r>
        <w:fldChar w:fldCharType="begin"/>
      </w:r>
      <w:r>
        <w:instrText xml:space="preserve"> PAGEREF _Toc88833321 \h </w:instrText>
      </w:r>
      <w:r>
        <w:rPr>
          <w:rFonts w:hint="default"/>
        </w:rPr>
        <w:fldChar w:fldCharType="separate"/>
      </w:r>
      <w:r>
        <w:t>2</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"_Toc88833322"</w:instrText>
      </w:r>
      <w:r>
        <w:rPr>
          <w:rStyle w:val="10"/>
        </w:rPr>
        <w:instrText xml:space="preserve"> </w:instrText>
      </w:r>
      <w:r>
        <w:rPr>
          <w:rStyle w:val="10"/>
        </w:rPr>
        <w:fldChar w:fldCharType="separate"/>
      </w:r>
      <w:r>
        <w:rPr>
          <w:rStyle w:val="10"/>
          <w:rFonts w:cs="宋体"/>
          <w:b/>
          <w:shd w:val="clear" w:color="auto" w:fill="FFFFFF"/>
        </w:rPr>
        <w:t>三、支出决算情况说明</w:t>
      </w:r>
      <w:r>
        <w:tab/>
      </w:r>
      <w:r>
        <w:fldChar w:fldCharType="begin"/>
      </w:r>
      <w:r>
        <w:instrText xml:space="preserve"> PAGEREF _Toc88833322 \h </w:instrText>
      </w:r>
      <w:r>
        <w:rPr>
          <w:rFonts w:hint="default"/>
        </w:rPr>
        <w:fldChar w:fldCharType="separate"/>
      </w:r>
      <w:r>
        <w:t>3</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"_Toc88833323"</w:instrText>
      </w:r>
      <w:r>
        <w:rPr>
          <w:rStyle w:val="10"/>
        </w:rPr>
        <w:instrText xml:space="preserve"> </w:instrText>
      </w:r>
      <w:r>
        <w:rPr>
          <w:rStyle w:val="10"/>
        </w:rPr>
        <w:fldChar w:fldCharType="separate"/>
      </w:r>
      <w:r>
        <w:rPr>
          <w:rStyle w:val="10"/>
          <w:rFonts w:cs="宋体"/>
          <w:b/>
          <w:shd w:val="clear" w:color="auto" w:fill="FFFFFF"/>
        </w:rPr>
        <w:t>四、财政拨款收入支出决算总体情况说明</w:t>
      </w:r>
      <w:r>
        <w:tab/>
      </w:r>
      <w:r>
        <w:fldChar w:fldCharType="begin"/>
      </w:r>
      <w:r>
        <w:instrText xml:space="preserve"> PAGEREF _Toc88833323 \h </w:instrText>
      </w:r>
      <w:r>
        <w:rPr>
          <w:rFonts w:hint="default"/>
        </w:rPr>
        <w:fldChar w:fldCharType="separate"/>
      </w:r>
      <w:r>
        <w:t>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"_Toc88833324"</w:instrText>
      </w:r>
      <w:r>
        <w:rPr>
          <w:rStyle w:val="10"/>
        </w:rPr>
        <w:instrText xml:space="preserve"> </w:instrText>
      </w:r>
      <w:r>
        <w:rPr>
          <w:rStyle w:val="10"/>
        </w:rPr>
        <w:fldChar w:fldCharType="separate"/>
      </w:r>
      <w:r>
        <w:rPr>
          <w:rStyle w:val="10"/>
          <w:rFonts w:cs="宋体"/>
          <w:b/>
          <w:shd w:val="clear" w:color="auto" w:fill="FFFFFF"/>
        </w:rPr>
        <w:t>五、一般公共预算财政拨款支出决算情况说明</w:t>
      </w:r>
      <w:r>
        <w:tab/>
      </w:r>
      <w:r>
        <w:fldChar w:fldCharType="begin"/>
      </w:r>
      <w:r>
        <w:instrText xml:space="preserve"> PAGEREF _Toc88833324 \h </w:instrText>
      </w:r>
      <w:r>
        <w:rPr>
          <w:rFonts w:hint="default"/>
        </w:rPr>
        <w:fldChar w:fldCharType="separate"/>
      </w:r>
      <w:r>
        <w:t>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"_Toc88833325"</w:instrText>
      </w:r>
      <w:r>
        <w:rPr>
          <w:rStyle w:val="10"/>
        </w:rPr>
        <w:instrText xml:space="preserve"> </w:instrText>
      </w:r>
      <w:r>
        <w:rPr>
          <w:rStyle w:val="10"/>
        </w:rPr>
        <w:fldChar w:fldCharType="separate"/>
      </w:r>
      <w:r>
        <w:rPr>
          <w:rStyle w:val="10"/>
          <w:rFonts w:ascii="仿宋_GB2312" w:hAnsi="Times New Roman" w:eastAsia="仿宋_GB2312" w:cs="仿宋_GB2312"/>
          <w:b/>
          <w:shd w:val="clear" w:color="auto" w:fill="FFFFFF"/>
        </w:rPr>
        <w:t>六、一般公共预算财政拨款基本支出决算情况说明</w:t>
      </w:r>
      <w:r>
        <w:tab/>
      </w:r>
      <w:r>
        <w:fldChar w:fldCharType="begin"/>
      </w:r>
      <w:r>
        <w:instrText xml:space="preserve"> PAGEREF _Toc88833325 \h </w:instrText>
      </w:r>
      <w:r>
        <w:rPr>
          <w:rFonts w:hint="default"/>
        </w:rPr>
        <w:fldChar w:fldCharType="separate"/>
      </w:r>
      <w:r>
        <w:t>6</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"_Toc88833326"</w:instrText>
      </w:r>
      <w:r>
        <w:rPr>
          <w:rStyle w:val="10"/>
        </w:rPr>
        <w:instrText xml:space="preserve"> </w:instrText>
      </w:r>
      <w:r>
        <w:rPr>
          <w:rStyle w:val="10"/>
        </w:rPr>
        <w:fldChar w:fldCharType="separate"/>
      </w:r>
      <w:r>
        <w:rPr>
          <w:rStyle w:val="10"/>
          <w:rFonts w:ascii="仿宋_GB2312" w:hAnsi="Times New Roman" w:eastAsia="仿宋_GB2312" w:cs="仿宋_GB2312"/>
          <w:b/>
          <w:shd w:val="clear" w:color="auto" w:fill="FFFFFF"/>
        </w:rPr>
        <w:t>七、“三公”经费财政拨款支出决算情况说明</w:t>
      </w:r>
      <w:r>
        <w:tab/>
      </w:r>
      <w:r>
        <w:fldChar w:fldCharType="begin"/>
      </w:r>
      <w:r>
        <w:instrText xml:space="preserve"> PAGEREF _Toc88833326 \h </w:instrText>
      </w:r>
      <w:r>
        <w:rPr>
          <w:rFonts w:hint="default"/>
        </w:rPr>
        <w:fldChar w:fldCharType="separate"/>
      </w:r>
      <w:r>
        <w:t>6</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"_Toc88833327"</w:instrText>
      </w:r>
      <w:r>
        <w:rPr>
          <w:rStyle w:val="10"/>
        </w:rPr>
        <w:instrText xml:space="preserve"> </w:instrText>
      </w:r>
      <w:r>
        <w:rPr>
          <w:rStyle w:val="10"/>
        </w:rPr>
        <w:fldChar w:fldCharType="separate"/>
      </w:r>
      <w:r>
        <w:rPr>
          <w:rStyle w:val="10"/>
          <w:rFonts w:cs="宋体"/>
          <w:b/>
          <w:shd w:val="clear" w:color="auto" w:fill="FFFFFF"/>
        </w:rPr>
        <w:t>八、政府性基金预算支出决算情况说明</w:t>
      </w:r>
      <w:r>
        <w:tab/>
      </w:r>
      <w:r>
        <w:fldChar w:fldCharType="begin"/>
      </w:r>
      <w:r>
        <w:instrText xml:space="preserve"> PAGEREF _Toc88833327 \h </w:instrText>
      </w:r>
      <w:r>
        <w:rPr>
          <w:rFonts w:hint="default"/>
        </w:rPr>
        <w:fldChar w:fldCharType="separate"/>
      </w:r>
      <w:r>
        <w:t>8</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"_Toc88833328"</w:instrText>
      </w:r>
      <w:r>
        <w:rPr>
          <w:rStyle w:val="10"/>
        </w:rPr>
        <w:instrText xml:space="preserve"> </w:instrText>
      </w:r>
      <w:r>
        <w:rPr>
          <w:rStyle w:val="10"/>
        </w:rPr>
        <w:fldChar w:fldCharType="separate"/>
      </w:r>
      <w:r>
        <w:rPr>
          <w:rStyle w:val="10"/>
          <w:rFonts w:cs="宋体"/>
          <w:b/>
          <w:shd w:val="clear" w:color="auto" w:fill="FFFFFF"/>
        </w:rPr>
        <w:t>九、国有资本经营预算支出决算情况说明</w:t>
      </w:r>
      <w:r>
        <w:tab/>
      </w:r>
      <w:r>
        <w:fldChar w:fldCharType="begin"/>
      </w:r>
      <w:r>
        <w:instrText xml:space="preserve"> PAGEREF _Toc88833328 \h </w:instrText>
      </w:r>
      <w:r>
        <w:rPr>
          <w:rFonts w:hint="default"/>
        </w:rPr>
        <w:fldChar w:fldCharType="separate"/>
      </w:r>
      <w:r>
        <w:t>8</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"_Toc88833329"</w:instrText>
      </w:r>
      <w:r>
        <w:rPr>
          <w:rStyle w:val="10"/>
        </w:rPr>
        <w:instrText xml:space="preserve"> </w:instrText>
      </w:r>
      <w:r>
        <w:rPr>
          <w:rStyle w:val="10"/>
        </w:rPr>
        <w:fldChar w:fldCharType="separate"/>
      </w:r>
      <w:r>
        <w:rPr>
          <w:rStyle w:val="10"/>
          <w:rFonts w:cs="宋体"/>
          <w:b/>
          <w:shd w:val="clear" w:color="auto" w:fill="FFFFFF"/>
        </w:rPr>
        <w:t>十、其他重要事项的情况说明</w:t>
      </w:r>
      <w:r>
        <w:tab/>
      </w:r>
      <w:r>
        <w:fldChar w:fldCharType="begin"/>
      </w:r>
      <w:r>
        <w:instrText xml:space="preserve"> PAGEREF _Toc88833329 \h </w:instrText>
      </w:r>
      <w:r>
        <w:rPr>
          <w:rFonts w:hint="default"/>
        </w:rPr>
        <w:fldChar w:fldCharType="separate"/>
      </w:r>
      <w:r>
        <w:t>8</w:t>
      </w:r>
      <w:r>
        <w:fldChar w:fldCharType="end"/>
      </w:r>
      <w:r>
        <w:rPr>
          <w:rStyle w:val="10"/>
        </w:rPr>
        <w:fldChar w:fldCharType="end"/>
      </w:r>
    </w:p>
    <w:p>
      <w:pPr>
        <w:pStyle w:val="6"/>
        <w:keepNext w:val="0"/>
        <w:keepLines w:val="0"/>
        <w:pageBreakBefore w:val="0"/>
        <w:tabs>
          <w:tab w:val="right" w:leader="dot" w:pos="8305"/>
        </w:tabs>
        <w:kinsoku/>
        <w:wordWrap/>
        <w:overflowPunct/>
        <w:topLinePunct w:val="0"/>
        <w:autoSpaceDE/>
        <w:autoSpaceDN/>
        <w:bidi w:val="0"/>
        <w:adjustRightInd/>
        <w:snapToGrid/>
        <w:spacing w:line="360" w:lineRule="auto"/>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"_Toc88833330"</w:instrText>
      </w:r>
      <w:r>
        <w:rPr>
          <w:rStyle w:val="10"/>
        </w:rPr>
        <w:instrText xml:space="preserve"> </w:instrText>
      </w:r>
      <w:r>
        <w:rPr>
          <w:rStyle w:val="10"/>
        </w:rPr>
        <w:fldChar w:fldCharType="separate"/>
      </w:r>
      <w:r>
        <w:rPr>
          <w:rStyle w:val="10"/>
          <w:rFonts w:ascii="仿宋_GB2312" w:eastAsia="仿宋_GB2312" w:cs="仿宋_GB2312"/>
          <w:b/>
          <w:shd w:val="clear" w:color="auto" w:fill="FFFFFF"/>
        </w:rPr>
        <w:t>第三部分 名词解释</w:t>
      </w:r>
      <w:r>
        <w:tab/>
      </w:r>
      <w:r>
        <w:fldChar w:fldCharType="begin"/>
      </w:r>
      <w:r>
        <w:instrText xml:space="preserve"> PAGEREF _Toc88833330 \h </w:instrText>
      </w:r>
      <w:r>
        <w:rPr>
          <w:rFonts w:hint="default"/>
        </w:rPr>
        <w:fldChar w:fldCharType="separate"/>
      </w:r>
      <w:r>
        <w:t>9</w:t>
      </w:r>
      <w:r>
        <w:fldChar w:fldCharType="end"/>
      </w:r>
      <w:r>
        <w:rPr>
          <w:rStyle w:val="10"/>
        </w:rPr>
        <w:fldChar w:fldCharType="end"/>
      </w:r>
    </w:p>
    <w:p>
      <w:pPr>
        <w:pStyle w:val="6"/>
        <w:keepNext w:val="0"/>
        <w:keepLines w:val="0"/>
        <w:pageBreakBefore w:val="0"/>
        <w:tabs>
          <w:tab w:val="right" w:leader="dot" w:pos="8305"/>
        </w:tabs>
        <w:kinsoku/>
        <w:wordWrap/>
        <w:overflowPunct/>
        <w:topLinePunct w:val="0"/>
        <w:autoSpaceDE/>
        <w:autoSpaceDN/>
        <w:bidi w:val="0"/>
        <w:adjustRightInd/>
        <w:snapToGrid/>
        <w:spacing w:line="360" w:lineRule="auto"/>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"_Toc88833331"</w:instrText>
      </w:r>
      <w:r>
        <w:rPr>
          <w:rStyle w:val="10"/>
        </w:rPr>
        <w:instrText xml:space="preserve"> </w:instrText>
      </w:r>
      <w:r>
        <w:rPr>
          <w:rStyle w:val="10"/>
        </w:rPr>
        <w:fldChar w:fldCharType="separate"/>
      </w:r>
      <w:r>
        <w:rPr>
          <w:rStyle w:val="10"/>
          <w:rFonts w:cs="宋体"/>
          <w:b/>
          <w:shd w:val="clear" w:color="auto" w:fill="FFFFFF"/>
        </w:rPr>
        <w:t>第四部分 附件</w:t>
      </w:r>
      <w:r>
        <w:tab/>
      </w:r>
      <w:r>
        <w:fldChar w:fldCharType="begin"/>
      </w:r>
      <w:r>
        <w:instrText xml:space="preserve"> PAGEREF _Toc88833331 \h </w:instrText>
      </w:r>
      <w:r>
        <w:rPr>
          <w:rFonts w:hint="default"/>
        </w:rPr>
        <w:fldChar w:fldCharType="separate"/>
      </w:r>
      <w:r>
        <w:t>11</w:t>
      </w:r>
      <w:r>
        <w:fldChar w:fldCharType="end"/>
      </w:r>
      <w:r>
        <w:rPr>
          <w:rStyle w:val="10"/>
        </w:rPr>
        <w:fldChar w:fldCharType="end"/>
      </w:r>
    </w:p>
    <w:p>
      <w:pPr>
        <w:pStyle w:val="6"/>
        <w:keepNext w:val="0"/>
        <w:keepLines w:val="0"/>
        <w:pageBreakBefore w:val="0"/>
        <w:tabs>
          <w:tab w:val="right" w:leader="dot" w:pos="8305"/>
        </w:tabs>
        <w:kinsoku/>
        <w:wordWrap/>
        <w:overflowPunct/>
        <w:topLinePunct w:val="0"/>
        <w:autoSpaceDE/>
        <w:autoSpaceDN/>
        <w:bidi w:val="0"/>
        <w:adjustRightInd/>
        <w:snapToGrid/>
        <w:spacing w:line="360" w:lineRule="auto"/>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"_Toc88833332"</w:instrText>
      </w:r>
      <w:r>
        <w:rPr>
          <w:rStyle w:val="10"/>
        </w:rPr>
        <w:instrText xml:space="preserve"> </w:instrText>
      </w:r>
      <w:r>
        <w:rPr>
          <w:rStyle w:val="10"/>
        </w:rPr>
        <w:fldChar w:fldCharType="separate"/>
      </w:r>
      <w:r>
        <w:rPr>
          <w:rStyle w:val="10"/>
          <w:rFonts w:ascii="方正小标宋简体" w:hAnsi="方正小标宋简体" w:eastAsia="方正小标宋简体" w:cs="方正小标宋简体"/>
        </w:rPr>
        <w:t>红原县新华书店2020年部门整体支出绩效评价报告</w:t>
      </w:r>
      <w:r>
        <w:tab/>
      </w:r>
      <w:r>
        <w:fldChar w:fldCharType="begin"/>
      </w:r>
      <w:r>
        <w:instrText xml:space="preserve"> PAGEREF _Toc88833332 \h </w:instrText>
      </w:r>
      <w:r>
        <w:rPr>
          <w:rFonts w:hint="default"/>
        </w:rPr>
        <w:fldChar w:fldCharType="separate"/>
      </w:r>
      <w:r>
        <w:t>11</w:t>
      </w:r>
      <w:r>
        <w:fldChar w:fldCharType="end"/>
      </w:r>
      <w:r>
        <w:rPr>
          <w:rStyle w:val="10"/>
        </w:rPr>
        <w:fldChar w:fldCharType="end"/>
      </w:r>
    </w:p>
    <w:p>
      <w:pPr>
        <w:pStyle w:val="6"/>
        <w:keepNext w:val="0"/>
        <w:keepLines w:val="0"/>
        <w:pageBreakBefore w:val="0"/>
        <w:tabs>
          <w:tab w:val="right" w:leader="dot" w:pos="8305"/>
        </w:tabs>
        <w:kinsoku/>
        <w:wordWrap/>
        <w:overflowPunct/>
        <w:topLinePunct w:val="0"/>
        <w:autoSpaceDE/>
        <w:autoSpaceDN/>
        <w:bidi w:val="0"/>
        <w:adjustRightInd/>
        <w:snapToGrid/>
        <w:spacing w:line="360" w:lineRule="auto"/>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"_Toc88833334"</w:instrText>
      </w:r>
      <w:r>
        <w:rPr>
          <w:rStyle w:val="10"/>
        </w:rPr>
        <w:instrText xml:space="preserve"> </w:instrText>
      </w:r>
      <w:r>
        <w:rPr>
          <w:rStyle w:val="10"/>
        </w:rPr>
        <w:fldChar w:fldCharType="separate"/>
      </w:r>
      <w:r>
        <w:rPr>
          <w:rStyle w:val="10"/>
          <w:rFonts w:cs="宋体"/>
          <w:b/>
        </w:rPr>
        <w:t>第五部分</w:t>
      </w:r>
      <w:r>
        <w:rPr>
          <w:rStyle w:val="10"/>
          <w:rFonts w:cs="宋体"/>
          <w:b/>
          <w:shd w:val="clear" w:color="auto" w:fill="FFFFFF"/>
        </w:rPr>
        <w:t xml:space="preserve"> 附表</w:t>
      </w:r>
      <w:r>
        <w:tab/>
      </w:r>
      <w:r>
        <w:fldChar w:fldCharType="begin"/>
      </w:r>
      <w:r>
        <w:instrText xml:space="preserve"> PAGEREF _Toc88833334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"_Toc88833335"</w:instrText>
      </w:r>
      <w:r>
        <w:rPr>
          <w:rStyle w:val="10"/>
        </w:rPr>
        <w:instrText xml:space="preserve"> </w:instrText>
      </w:r>
      <w:r>
        <w:rPr>
          <w:rStyle w:val="10"/>
        </w:rPr>
        <w:fldChar w:fldCharType="separate"/>
      </w:r>
      <w:r>
        <w:rPr>
          <w:rStyle w:val="10"/>
          <w:rFonts w:cs="宋体"/>
          <w:shd w:val="clear" w:color="auto" w:fill="FFFFFF"/>
        </w:rPr>
        <w:t>一、收入支出决算总表</w:t>
      </w:r>
      <w:r>
        <w:tab/>
      </w:r>
      <w:r>
        <w:fldChar w:fldCharType="begin"/>
      </w:r>
      <w:r>
        <w:instrText xml:space="preserve"> PAGEREF _Toc88833335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"_Toc88833336"</w:instrText>
      </w:r>
      <w:r>
        <w:rPr>
          <w:rStyle w:val="10"/>
        </w:rPr>
        <w:instrText xml:space="preserve"> </w:instrText>
      </w:r>
      <w:r>
        <w:rPr>
          <w:rStyle w:val="10"/>
        </w:rPr>
        <w:fldChar w:fldCharType="separate"/>
      </w:r>
      <w:r>
        <w:rPr>
          <w:rStyle w:val="10"/>
          <w:rFonts w:cs="宋体"/>
          <w:shd w:val="clear" w:color="auto" w:fill="FFFFFF"/>
        </w:rPr>
        <w:t>二、收入决算表</w:t>
      </w:r>
      <w:r>
        <w:tab/>
      </w:r>
      <w:r>
        <w:fldChar w:fldCharType="begin"/>
      </w:r>
      <w:r>
        <w:instrText xml:space="preserve"> PAGEREF _Toc88833336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"_Toc88833337"</w:instrText>
      </w:r>
      <w:r>
        <w:rPr>
          <w:rStyle w:val="10"/>
        </w:rPr>
        <w:instrText xml:space="preserve"> </w:instrText>
      </w:r>
      <w:r>
        <w:rPr>
          <w:rStyle w:val="10"/>
        </w:rPr>
        <w:fldChar w:fldCharType="separate"/>
      </w:r>
      <w:r>
        <w:rPr>
          <w:rStyle w:val="10"/>
          <w:rFonts w:cs="宋体"/>
          <w:shd w:val="clear" w:color="auto" w:fill="FFFFFF"/>
        </w:rPr>
        <w:t>三、支出决算表</w:t>
      </w:r>
      <w:r>
        <w:tab/>
      </w:r>
      <w:r>
        <w:fldChar w:fldCharType="begin"/>
      </w:r>
      <w:r>
        <w:instrText xml:space="preserve"> PAGEREF _Toc88833337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"_Toc88833338"</w:instrText>
      </w:r>
      <w:r>
        <w:rPr>
          <w:rStyle w:val="10"/>
        </w:rPr>
        <w:instrText xml:space="preserve"> </w:instrText>
      </w:r>
      <w:r>
        <w:rPr>
          <w:rStyle w:val="10"/>
        </w:rPr>
        <w:fldChar w:fldCharType="separate"/>
      </w:r>
      <w:r>
        <w:rPr>
          <w:rStyle w:val="10"/>
          <w:rFonts w:cs="宋体"/>
          <w:shd w:val="clear" w:color="auto" w:fill="FFFFFF"/>
        </w:rPr>
        <w:t>四、财政拨款收入支出决算总表</w:t>
      </w:r>
      <w:r>
        <w:tab/>
      </w:r>
      <w:r>
        <w:fldChar w:fldCharType="begin"/>
      </w:r>
      <w:r>
        <w:instrText xml:space="preserve"> PAGEREF _Toc88833338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"_Toc88833339"</w:instrText>
      </w:r>
      <w:r>
        <w:rPr>
          <w:rStyle w:val="10"/>
        </w:rPr>
        <w:instrText xml:space="preserve"> </w:instrText>
      </w:r>
      <w:r>
        <w:rPr>
          <w:rStyle w:val="10"/>
        </w:rPr>
        <w:fldChar w:fldCharType="separate"/>
      </w:r>
      <w:r>
        <w:rPr>
          <w:rStyle w:val="10"/>
          <w:rFonts w:cs="宋体"/>
          <w:shd w:val="clear" w:color="auto" w:fill="FFFFFF"/>
        </w:rPr>
        <w:t>五、财政拨款支出决算明细表</w:t>
      </w:r>
      <w:r>
        <w:tab/>
      </w:r>
      <w:r>
        <w:fldChar w:fldCharType="begin"/>
      </w:r>
      <w:r>
        <w:instrText xml:space="preserve"> PAGEREF _Toc88833339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"_Toc88833340"</w:instrText>
      </w:r>
      <w:r>
        <w:rPr>
          <w:rStyle w:val="10"/>
        </w:rPr>
        <w:instrText xml:space="preserve"> </w:instrText>
      </w:r>
      <w:r>
        <w:rPr>
          <w:rStyle w:val="10"/>
        </w:rPr>
        <w:fldChar w:fldCharType="separate"/>
      </w:r>
      <w:r>
        <w:rPr>
          <w:rStyle w:val="10"/>
          <w:rFonts w:cs="宋体"/>
          <w:shd w:val="clear" w:color="auto" w:fill="FFFFFF"/>
        </w:rPr>
        <w:t>六、一般公共预算财政拨款支出决算表</w:t>
      </w:r>
      <w:r>
        <w:tab/>
      </w:r>
      <w:r>
        <w:fldChar w:fldCharType="begin"/>
      </w:r>
      <w:r>
        <w:instrText xml:space="preserve"> PAGEREF _Toc88833340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"_Toc88833341"</w:instrText>
      </w:r>
      <w:r>
        <w:rPr>
          <w:rStyle w:val="10"/>
        </w:rPr>
        <w:instrText xml:space="preserve"> </w:instrText>
      </w:r>
      <w:r>
        <w:rPr>
          <w:rStyle w:val="10"/>
        </w:rPr>
        <w:fldChar w:fldCharType="separate"/>
      </w:r>
      <w:r>
        <w:rPr>
          <w:rStyle w:val="10"/>
          <w:rFonts w:cs="宋体"/>
          <w:shd w:val="clear" w:color="auto" w:fill="FFFFFF"/>
        </w:rPr>
        <w:t>七、一般公共预算财政拨款支出决算明细表</w:t>
      </w:r>
      <w:r>
        <w:tab/>
      </w:r>
      <w:r>
        <w:fldChar w:fldCharType="begin"/>
      </w:r>
      <w:r>
        <w:instrText xml:space="preserve"> PAGEREF _Toc88833341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"_Toc88833342"</w:instrText>
      </w:r>
      <w:r>
        <w:rPr>
          <w:rStyle w:val="10"/>
        </w:rPr>
        <w:instrText xml:space="preserve"> </w:instrText>
      </w:r>
      <w:r>
        <w:rPr>
          <w:rStyle w:val="10"/>
        </w:rPr>
        <w:fldChar w:fldCharType="separate"/>
      </w:r>
      <w:r>
        <w:rPr>
          <w:rStyle w:val="10"/>
          <w:rFonts w:cs="宋体"/>
          <w:shd w:val="clear" w:color="auto" w:fill="FFFFFF"/>
        </w:rPr>
        <w:t>八、一般公共预算财政拨款基本支出决算表</w:t>
      </w:r>
      <w:r>
        <w:tab/>
      </w:r>
      <w:r>
        <w:fldChar w:fldCharType="begin"/>
      </w:r>
      <w:r>
        <w:instrText xml:space="preserve"> PAGEREF _Toc88833342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"_Toc88833343"</w:instrText>
      </w:r>
      <w:r>
        <w:rPr>
          <w:rStyle w:val="10"/>
        </w:rPr>
        <w:instrText xml:space="preserve"> </w:instrText>
      </w:r>
      <w:r>
        <w:rPr>
          <w:rStyle w:val="10"/>
        </w:rPr>
        <w:fldChar w:fldCharType="separate"/>
      </w:r>
      <w:r>
        <w:rPr>
          <w:rStyle w:val="10"/>
          <w:rFonts w:cs="宋体"/>
          <w:shd w:val="clear" w:color="auto" w:fill="FFFFFF"/>
        </w:rPr>
        <w:t>九、一般公共预算财政拨款项目支出决算表</w:t>
      </w:r>
      <w:r>
        <w:tab/>
      </w:r>
      <w:r>
        <w:fldChar w:fldCharType="begin"/>
      </w:r>
      <w:r>
        <w:instrText xml:space="preserve"> PAGEREF _Toc88833343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"_Toc88833344"</w:instrText>
      </w:r>
      <w:r>
        <w:rPr>
          <w:rStyle w:val="10"/>
        </w:rPr>
        <w:instrText xml:space="preserve"> </w:instrText>
      </w:r>
      <w:r>
        <w:rPr>
          <w:rStyle w:val="10"/>
        </w:rPr>
        <w:fldChar w:fldCharType="separate"/>
      </w:r>
      <w:r>
        <w:rPr>
          <w:rStyle w:val="10"/>
          <w:rFonts w:cs="宋体"/>
          <w:shd w:val="clear" w:color="auto" w:fill="FFFFFF"/>
        </w:rPr>
        <w:t>十、一般公共预算财政拨款“三公”经费支出决算表</w:t>
      </w:r>
      <w:r>
        <w:tab/>
      </w:r>
      <w:r>
        <w:fldChar w:fldCharType="begin"/>
      </w:r>
      <w:r>
        <w:instrText xml:space="preserve"> PAGEREF _Toc88833344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"_Toc88833345"</w:instrText>
      </w:r>
      <w:r>
        <w:rPr>
          <w:rStyle w:val="10"/>
        </w:rPr>
        <w:instrText xml:space="preserve"> </w:instrText>
      </w:r>
      <w:r>
        <w:rPr>
          <w:rStyle w:val="10"/>
        </w:rPr>
        <w:fldChar w:fldCharType="separate"/>
      </w:r>
      <w:r>
        <w:rPr>
          <w:rStyle w:val="10"/>
          <w:rFonts w:cs="宋体"/>
          <w:shd w:val="clear" w:color="auto" w:fill="FFFFFF"/>
        </w:rPr>
        <w:t>十一、政府性基金预算财政拨款收入支出决算表</w:t>
      </w:r>
      <w:r>
        <w:tab/>
      </w:r>
      <w:r>
        <w:fldChar w:fldCharType="begin"/>
      </w:r>
      <w:r>
        <w:instrText xml:space="preserve"> PAGEREF _Toc88833345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"_Toc88833346"</w:instrText>
      </w:r>
      <w:r>
        <w:rPr>
          <w:rStyle w:val="10"/>
        </w:rPr>
        <w:instrText xml:space="preserve"> </w:instrText>
      </w:r>
      <w:r>
        <w:rPr>
          <w:rStyle w:val="10"/>
        </w:rPr>
        <w:fldChar w:fldCharType="separate"/>
      </w:r>
      <w:r>
        <w:rPr>
          <w:rStyle w:val="10"/>
          <w:rFonts w:cs="宋体"/>
          <w:shd w:val="clear" w:color="auto" w:fill="FFFFFF"/>
        </w:rPr>
        <w:t>十二、政府性基金预算财政拨款“三公”经费支出决算表</w:t>
      </w:r>
      <w:r>
        <w:tab/>
      </w:r>
      <w:r>
        <w:fldChar w:fldCharType="begin"/>
      </w:r>
      <w:r>
        <w:instrText xml:space="preserve"> PAGEREF _Toc88833346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"_Toc88833347"</w:instrText>
      </w:r>
      <w:r>
        <w:rPr>
          <w:rStyle w:val="10"/>
        </w:rPr>
        <w:instrText xml:space="preserve"> </w:instrText>
      </w:r>
      <w:r>
        <w:rPr>
          <w:rStyle w:val="10"/>
        </w:rPr>
        <w:fldChar w:fldCharType="separate"/>
      </w:r>
      <w:r>
        <w:rPr>
          <w:rStyle w:val="10"/>
          <w:rFonts w:cs="宋体"/>
          <w:shd w:val="clear" w:color="auto" w:fill="FFFFFF"/>
        </w:rPr>
        <w:t>十三、国有资本经营预算财政拨款收入支出决算表</w:t>
      </w:r>
      <w:r>
        <w:tab/>
      </w:r>
      <w:r>
        <w:fldChar w:fldCharType="begin"/>
      </w:r>
      <w:r>
        <w:instrText xml:space="preserve"> PAGEREF _Toc88833347 \h </w:instrText>
      </w:r>
      <w:r>
        <w:rPr>
          <w:rFonts w:hint="default"/>
        </w:rPr>
        <w:fldChar w:fldCharType="separate"/>
      </w:r>
      <w:r>
        <w:t>14</w:t>
      </w:r>
      <w:r>
        <w:fldChar w:fldCharType="end"/>
      </w:r>
      <w:r>
        <w:rPr>
          <w:rStyle w:val="10"/>
        </w:rPr>
        <w:fldChar w:fldCharType="end"/>
      </w:r>
    </w:p>
    <w:p>
      <w:pPr>
        <w:pStyle w:val="7"/>
        <w:keepNext w:val="0"/>
        <w:keepLines w:val="0"/>
        <w:pageBreakBefore w:val="0"/>
        <w:tabs>
          <w:tab w:val="right" w:leader="dot" w:pos="8305"/>
        </w:tabs>
        <w:kinsoku/>
        <w:wordWrap/>
        <w:overflowPunct/>
        <w:topLinePunct w:val="0"/>
        <w:autoSpaceDE/>
        <w:autoSpaceDN/>
        <w:bidi w:val="0"/>
        <w:adjustRightInd/>
        <w:snapToGrid/>
        <w:spacing w:before="93" w:line="360" w:lineRule="auto"/>
        <w:ind w:left="480"/>
        <w:textAlignment w:val="auto"/>
        <w:rPr>
          <w:rFonts w:hint="default" w:ascii="Calibri" w:hAnsi="Calibri"/>
          <w:kern w:val="2"/>
          <w:sz w:val="21"/>
          <w:szCs w:val="22"/>
        </w:rPr>
      </w:pPr>
      <w:r>
        <w:rPr>
          <w:rStyle w:val="10"/>
        </w:rPr>
        <w:fldChar w:fldCharType="begin"/>
      </w:r>
      <w:r>
        <w:rPr>
          <w:rStyle w:val="10"/>
        </w:rPr>
        <w:instrText xml:space="preserve"> </w:instrText>
      </w:r>
      <w:r>
        <w:instrText xml:space="preserve">HYPERLINK \l "_Toc88833348"</w:instrText>
      </w:r>
      <w:r>
        <w:rPr>
          <w:rStyle w:val="10"/>
        </w:rPr>
        <w:instrText xml:space="preserve"> </w:instrText>
      </w:r>
      <w:r>
        <w:rPr>
          <w:rStyle w:val="10"/>
        </w:rPr>
        <w:fldChar w:fldCharType="separate"/>
      </w:r>
      <w:r>
        <w:rPr>
          <w:rStyle w:val="10"/>
          <w:rFonts w:cs="宋体"/>
          <w:shd w:val="clear" w:color="auto" w:fill="FFFFFF"/>
        </w:rPr>
        <w:t>十四、国有资本经营预算财政拨款支出决算表</w:t>
      </w:r>
      <w:r>
        <w:tab/>
      </w:r>
      <w:r>
        <w:fldChar w:fldCharType="begin"/>
      </w:r>
      <w:r>
        <w:instrText xml:space="preserve"> PAGEREF _Toc88833348 \h </w:instrText>
      </w:r>
      <w:r>
        <w:rPr>
          <w:rFonts w:hint="default"/>
        </w:rPr>
        <w:fldChar w:fldCharType="separate"/>
      </w:r>
      <w:r>
        <w:t>14</w:t>
      </w:r>
      <w:r>
        <w:fldChar w:fldCharType="end"/>
      </w:r>
      <w:r>
        <w:rPr>
          <w:rStyle w:val="10"/>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1"/>
          <w:szCs w:val="21"/>
        </w:rPr>
      </w:pPr>
      <w:r>
        <w:rPr>
          <w:b/>
          <w:sz w:val="21"/>
          <w:szCs w:val="21"/>
        </w:rPr>
        <w:fldChar w:fldCharType="end"/>
      </w:r>
    </w:p>
    <w:p>
      <w:pPr>
        <w:widowControl w:val="0"/>
        <w:spacing w:line="360" w:lineRule="auto"/>
        <w:jc w:val="center"/>
        <w:rPr>
          <w:rFonts w:hint="default" w:cs="宋体"/>
          <w:sz w:val="21"/>
          <w:szCs w:val="21"/>
        </w:rPr>
      </w:pPr>
    </w:p>
    <w:p>
      <w:pPr>
        <w:pStyle w:val="13"/>
        <w:widowControl w:val="0"/>
        <w:ind w:left="480"/>
        <w:rPr>
          <w:sz w:val="28"/>
          <w:szCs w:val="28"/>
        </w:rPr>
      </w:pPr>
    </w:p>
    <w:p>
      <w:pPr>
        <w:widowControl w:val="0"/>
        <w:rPr>
          <w:rFonts w:hint="default" w:cs="宋体"/>
        </w:rPr>
      </w:pPr>
    </w:p>
    <w:p>
      <w:pPr>
        <w:widowControl w:val="0"/>
        <w:autoSpaceDE w:val="0"/>
        <w:spacing w:line="560" w:lineRule="exact"/>
        <w:jc w:val="center"/>
        <w:rPr>
          <w:rFonts w:hint="default" w:cs="宋体"/>
        </w:rPr>
      </w:pPr>
    </w:p>
    <w:p>
      <w:pPr>
        <w:widowControl w:val="0"/>
        <w:spacing w:line="560" w:lineRule="exact"/>
        <w:jc w:val="center"/>
        <w:rPr>
          <w:rFonts w:hint="default" w:cs="宋体"/>
        </w:rPr>
      </w:pPr>
    </w:p>
    <w:p>
      <w:pPr>
        <w:pStyle w:val="14"/>
        <w:widowControl w:val="0"/>
        <w:autoSpaceDE w:val="0"/>
        <w:spacing w:beforeAutospacing="1" w:afterAutospacing="1" w:line="560" w:lineRule="exact"/>
        <w:rPr>
          <w:rFonts w:ascii="宋体" w:hAnsi="宋体" w:cs="宋体"/>
          <w:b/>
          <w:sz w:val="28"/>
          <w:szCs w:val="28"/>
        </w:rPr>
      </w:pPr>
    </w:p>
    <w:p>
      <w:pPr>
        <w:widowControl w:val="0"/>
        <w:autoSpaceDE w:val="0"/>
        <w:spacing w:line="560" w:lineRule="exact"/>
        <w:rPr>
          <w:rFonts w:hint="default" w:cs="宋体"/>
        </w:rPr>
      </w:pPr>
    </w:p>
    <w:p>
      <w:pPr>
        <w:widowControl w:val="0"/>
        <w:rPr>
          <w:rFonts w:hint="default" w:cs="宋体"/>
          <w:b/>
          <w:sz w:val="32"/>
          <w:szCs w:val="32"/>
          <w:shd w:val="clear" w:color="auto" w:fill="FFFFFF"/>
        </w:rPr>
        <w:sectPr>
          <w:footerReference r:id="rId3" w:type="default"/>
          <w:pgSz w:w="11915" w:h="16851"/>
          <w:pgMar w:top="1440" w:right="1800" w:bottom="1440" w:left="1800" w:header="851" w:footer="992" w:gutter="0"/>
          <w:cols w:space="720" w:num="1"/>
          <w:docGrid w:type="lines" w:linePitch="312" w:charSpace="0"/>
        </w:sectPr>
      </w:pPr>
    </w:p>
    <w:p>
      <w:pPr>
        <w:pStyle w:val="11"/>
        <w:widowControl w:val="0"/>
        <w:numPr>
          <w:ilvl w:val="0"/>
          <w:numId w:val="1"/>
        </w:numPr>
        <w:autoSpaceDE w:val="0"/>
        <w:spacing w:beforeAutospacing="0" w:after="100" w:afterAutospacing="0"/>
        <w:jc w:val="center"/>
        <w:outlineLvl w:val="0"/>
        <w:rPr>
          <w:rFonts w:hint="default" w:cs="宋体"/>
          <w:b/>
          <w:sz w:val="32"/>
          <w:szCs w:val="32"/>
          <w:shd w:val="clear" w:color="auto" w:fill="FFFFFF"/>
        </w:rPr>
      </w:pPr>
      <w:bookmarkStart w:id="0" w:name="_Toc29702"/>
      <w:bookmarkEnd w:id="0"/>
      <w:bookmarkStart w:id="1" w:name="_Toc3471"/>
      <w:bookmarkEnd w:id="1"/>
      <w:bookmarkStart w:id="2" w:name="_Toc6795"/>
      <w:bookmarkEnd w:id="2"/>
      <w:bookmarkStart w:id="3" w:name="_Toc88833316"/>
      <w:bookmarkStart w:id="4" w:name="_Toc88561068"/>
      <w:r>
        <w:rPr>
          <w:rStyle w:val="12"/>
          <w:rFonts w:hint="eastAsia" w:ascii="宋体" w:hAnsi="宋体" w:cs="宋体"/>
          <w:sz w:val="32"/>
          <w:szCs w:val="32"/>
          <w:shd w:val="clear" w:color="auto" w:fill="FFFFFF"/>
        </w:rPr>
        <w:t>部门概况</w:t>
      </w:r>
      <w:bookmarkEnd w:id="3"/>
      <w:bookmarkEnd w:id="4"/>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outlineLvl w:val="1"/>
        <w:rPr>
          <w:rFonts w:hint="default" w:cs="宋体"/>
          <w:sz w:val="32"/>
          <w:szCs w:val="32"/>
        </w:rPr>
      </w:pPr>
      <w:bookmarkStart w:id="5" w:name="_Toc31185"/>
      <w:bookmarkEnd w:id="5"/>
      <w:bookmarkStart w:id="6" w:name="_Toc14298"/>
      <w:bookmarkEnd w:id="6"/>
      <w:bookmarkStart w:id="7" w:name="_Toc5831"/>
      <w:bookmarkEnd w:id="7"/>
      <w:bookmarkStart w:id="8" w:name="_Toc88561069"/>
      <w:bookmarkStart w:id="9" w:name="_Toc88833317"/>
      <w:r>
        <w:rPr>
          <w:rStyle w:val="12"/>
          <w:rFonts w:hint="eastAsia" w:ascii="宋体" w:hAnsi="宋体" w:cs="宋体"/>
          <w:sz w:val="32"/>
          <w:szCs w:val="32"/>
          <w:shd w:val="clear" w:color="auto" w:fill="FFFFFF"/>
        </w:rPr>
        <w:t>一、基本职能及主要工作</w:t>
      </w:r>
      <w:bookmarkEnd w:id="8"/>
      <w:bookmarkEnd w:id="9"/>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ascii="仿宋_GB2312" w:eastAsia="仿宋_GB2312" w:cs="仿宋_GB2312"/>
          <w:sz w:val="32"/>
          <w:szCs w:val="32"/>
        </w:rPr>
      </w:pPr>
      <w:r>
        <w:rPr>
          <w:rFonts w:ascii="仿宋_GB2312" w:eastAsia="仿宋_GB2312" w:cs="仿宋_GB2312"/>
          <w:sz w:val="32"/>
          <w:szCs w:val="32"/>
          <w:shd w:val="clear" w:color="auto" w:fill="FFFFFF"/>
        </w:rPr>
        <w:t>（一）主要职能。</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ascii="仿宋_GB2312" w:eastAsia="仿宋_GB2312" w:cs="仿宋_GB2312"/>
          <w:sz w:val="32"/>
          <w:szCs w:val="32"/>
        </w:rPr>
      </w:pPr>
      <w:r>
        <w:rPr>
          <w:rFonts w:ascii="仿宋_GB2312" w:eastAsia="仿宋_GB2312" w:cs="仿宋_GB2312"/>
          <w:sz w:val="32"/>
          <w:szCs w:val="32"/>
          <w:shd w:val="clear" w:color="auto" w:fill="FFFFFF"/>
        </w:rPr>
        <w:t xml:space="preserve">    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pPr>
        <w:pStyle w:val="11"/>
        <w:keepNext w:val="0"/>
        <w:keepLines w:val="0"/>
        <w:pageBreakBefore w:val="0"/>
        <w:widowControl w:val="0"/>
        <w:kinsoku/>
        <w:wordWrap/>
        <w:overflowPunct/>
        <w:topLinePunct w:val="0"/>
        <w:autoSpaceDE w:val="0"/>
        <w:autoSpaceDN/>
        <w:bidi w:val="0"/>
        <w:spacing w:beforeAutospacing="0" w:afterAutospacing="0" w:line="560" w:lineRule="exact"/>
        <w:textAlignment w:val="auto"/>
        <w:rPr>
          <w:rFonts w:hint="default" w:ascii="仿宋_GB2312" w:eastAsia="仿宋_GB2312" w:cs="仿宋_GB2312"/>
          <w:sz w:val="32"/>
          <w:szCs w:val="32"/>
          <w:shd w:val="clear" w:color="auto" w:fill="FFFFFF"/>
        </w:rPr>
      </w:pPr>
      <w:r>
        <w:rPr>
          <w:rFonts w:ascii="仿宋_GB2312" w:eastAsia="仿宋_GB2312" w:cs="仿宋_GB2312"/>
          <w:sz w:val="32"/>
          <w:szCs w:val="32"/>
          <w:shd w:val="clear" w:color="auto" w:fill="FFFFFF"/>
        </w:rPr>
        <w:t>（二）2020年重点工作完成情况。</w:t>
      </w:r>
    </w:p>
    <w:p>
      <w:pPr>
        <w:pStyle w:val="4"/>
        <w:keepNext w:val="0"/>
        <w:keepLines w:val="0"/>
        <w:pageBreakBefore w:val="0"/>
        <w:widowControl w:val="0"/>
        <w:numPr>
          <w:ilvl w:val="0"/>
          <w:numId w:val="2"/>
        </w:numPr>
        <w:kinsoku/>
        <w:wordWrap/>
        <w:overflowPunct/>
        <w:topLinePunct w:val="0"/>
        <w:autoSpaceDE w:val="0"/>
        <w:autoSpaceDN/>
        <w:bidi w:val="0"/>
        <w:adjustRightInd w:val="0"/>
        <w:snapToGrid w:val="0"/>
        <w:spacing w:before="93" w:line="560" w:lineRule="exact"/>
        <w:ind w:firstLine="672" w:firstLineChars="210"/>
        <w:textAlignment w:val="auto"/>
        <w:outlineLvl w:val="2"/>
        <w:rPr>
          <w:rFonts w:hint="default" w:cs="宋体"/>
          <w:color w:val="000000"/>
          <w:sz w:val="32"/>
          <w:szCs w:val="32"/>
        </w:rPr>
      </w:pPr>
      <w:bookmarkStart w:id="10" w:name="_Toc88561070"/>
      <w:bookmarkEnd w:id="10"/>
      <w:r>
        <w:rPr>
          <w:rFonts w:cs="仿宋_GB2312"/>
          <w:color w:val="000000"/>
          <w:sz w:val="32"/>
          <w:szCs w:val="32"/>
        </w:rPr>
        <w:t>一年来，我店坚持依法决策，凡是有重大事项决策，重大安排和大额度资金运作事项，必须通过我店职工共同商量并上报文体广新局领导并征求领导的同意。我店坚持民主决策，按照</w:t>
      </w:r>
      <w:r>
        <w:rPr>
          <w:rFonts w:cs="宋体"/>
          <w:color w:val="000000"/>
          <w:sz w:val="32"/>
          <w:szCs w:val="32"/>
        </w:rPr>
        <w:t>“集体领导、民主集中、个别酝酿、会议决定”的要求进行决策，保证权力正确行使。</w:t>
      </w:r>
    </w:p>
    <w:p>
      <w:pPr>
        <w:keepNext w:val="0"/>
        <w:keepLines w:val="0"/>
        <w:pageBreakBefore w:val="0"/>
        <w:widowControl w:val="0"/>
        <w:kinsoku/>
        <w:wordWrap/>
        <w:overflowPunct/>
        <w:topLinePunct w:val="0"/>
        <w:autoSpaceDE w:val="0"/>
        <w:autoSpaceDN/>
        <w:bidi w:val="0"/>
        <w:spacing w:before="93" w:line="560" w:lineRule="exact"/>
        <w:ind w:firstLine="640" w:firstLineChars="200"/>
        <w:textAlignment w:val="auto"/>
        <w:rPr>
          <w:rFonts w:hint="default" w:ascii="仿宋_GB2312" w:eastAsia="仿宋_GB2312" w:cs="仿宋_GB2312"/>
          <w:color w:val="000000"/>
          <w:sz w:val="32"/>
          <w:szCs w:val="32"/>
        </w:rPr>
      </w:pPr>
      <w:r>
        <w:rPr>
          <w:rFonts w:ascii="仿宋_GB2312" w:eastAsia="仿宋_GB2312" w:cs="仿宋_GB2312"/>
          <w:color w:val="000000"/>
          <w:sz w:val="32"/>
          <w:szCs w:val="32"/>
        </w:rPr>
        <w:t>2、对重点主题出版物和主旋律出版物发行工作，我店高度重视，精心组织，加强宣传推广，采取多种措施，大力开拓市场，有效扩大发行量。</w:t>
      </w:r>
    </w:p>
    <w:p>
      <w:pPr>
        <w:keepNext w:val="0"/>
        <w:keepLines w:val="0"/>
        <w:pageBreakBefore w:val="0"/>
        <w:widowControl w:val="0"/>
        <w:kinsoku/>
        <w:wordWrap/>
        <w:overflowPunct/>
        <w:topLinePunct w:val="0"/>
        <w:autoSpaceDE w:val="0"/>
        <w:autoSpaceDN/>
        <w:bidi w:val="0"/>
        <w:spacing w:before="93" w:line="560" w:lineRule="exact"/>
        <w:ind w:firstLine="640" w:firstLineChars="200"/>
        <w:textAlignment w:val="auto"/>
        <w:rPr>
          <w:rFonts w:hint="default" w:ascii="仿宋_GB2312" w:eastAsia="仿宋_GB2312" w:cs="仿宋_GB2312"/>
          <w:color w:val="000000"/>
          <w:sz w:val="32"/>
          <w:szCs w:val="32"/>
        </w:rPr>
      </w:pPr>
      <w:r>
        <w:rPr>
          <w:rFonts w:ascii="仿宋_GB2312" w:eastAsia="仿宋_GB2312" w:cs="仿宋_GB2312"/>
          <w:color w:val="000000"/>
          <w:sz w:val="32"/>
          <w:szCs w:val="32"/>
        </w:rPr>
        <w:t>3、坚持守法经营，诚信经营。严格把好非法出版物进货关，2020年度，我店未出现破坏秩序、违背职业道德、销售非法出版物等违法违规行为。</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default" w:cs="宋体"/>
          <w:sz w:val="32"/>
          <w:szCs w:val="32"/>
        </w:rPr>
      </w:pPr>
      <w:r>
        <w:rPr>
          <w:rFonts w:ascii="仿宋_GB2312" w:eastAsia="仿宋_GB2312" w:cs="仿宋_GB2312"/>
          <w:color w:val="000000"/>
          <w:sz w:val="32"/>
          <w:szCs w:val="32"/>
        </w:rPr>
        <w:t>4、2020年度，我店加大进货渠道、提高进货质量和服务质量，取得了一定的经济效益。</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outlineLvl w:val="1"/>
        <w:rPr>
          <w:rFonts w:hint="default" w:cs="宋体"/>
          <w:sz w:val="32"/>
          <w:szCs w:val="32"/>
        </w:rPr>
      </w:pPr>
      <w:bookmarkStart w:id="11" w:name="_Toc12796"/>
      <w:bookmarkEnd w:id="11"/>
      <w:bookmarkStart w:id="12" w:name="_Toc13014"/>
      <w:bookmarkEnd w:id="12"/>
      <w:bookmarkStart w:id="13" w:name="_Toc17288"/>
      <w:bookmarkEnd w:id="13"/>
      <w:bookmarkStart w:id="14" w:name="_Toc88561071"/>
      <w:bookmarkStart w:id="15" w:name="_Toc88833318"/>
      <w:r>
        <w:rPr>
          <w:rStyle w:val="12"/>
          <w:rFonts w:hint="eastAsia" w:ascii="宋体" w:hAnsi="宋体" w:cs="宋体"/>
          <w:sz w:val="32"/>
          <w:szCs w:val="32"/>
          <w:shd w:val="clear" w:color="auto" w:fill="FFFFFF"/>
        </w:rPr>
        <w:t>二、机构设置</w:t>
      </w:r>
      <w:bookmarkEnd w:id="14"/>
      <w:bookmarkEnd w:id="15"/>
    </w:p>
    <w:p>
      <w:pPr>
        <w:pStyle w:val="11"/>
        <w:keepNext w:val="0"/>
        <w:keepLines w:val="0"/>
        <w:pageBreakBefore w:val="0"/>
        <w:widowControl w:val="0"/>
        <w:kinsoku/>
        <w:wordWrap/>
        <w:overflowPunct/>
        <w:topLinePunct w:val="0"/>
        <w:autoSpaceDE w:val="0"/>
        <w:autoSpaceDN/>
        <w:bidi w:val="0"/>
        <w:spacing w:beforeAutospacing="0" w:afterAutospacing="0" w:line="560" w:lineRule="exact"/>
        <w:ind w:firstLine="640" w:firstLineChars="200"/>
        <w:textAlignment w:val="auto"/>
        <w:rPr>
          <w:rFonts w:hint="default" w:ascii="仿宋_GB2312" w:eastAsia="仿宋_GB2312" w:cs="仿宋_GB2312"/>
          <w:sz w:val="32"/>
          <w:szCs w:val="32"/>
        </w:rPr>
      </w:pPr>
      <w:r>
        <w:rPr>
          <w:rFonts w:ascii="仿宋_GB2312" w:eastAsia="仿宋_GB2312" w:cs="仿宋_GB2312"/>
          <w:sz w:val="32"/>
          <w:szCs w:val="32"/>
        </w:rPr>
        <w:t>我单位为独立核算差额拨款事业单位, 无下设机构。</w:t>
      </w:r>
    </w:p>
    <w:p>
      <w:pPr>
        <w:pStyle w:val="11"/>
        <w:widowControl w:val="0"/>
        <w:numPr>
          <w:ilvl w:val="0"/>
          <w:numId w:val="3"/>
        </w:numPr>
        <w:autoSpaceDE w:val="0"/>
        <w:spacing w:beforeAutospacing="0" w:after="100" w:afterAutospacing="0" w:line="560" w:lineRule="exact"/>
        <w:jc w:val="center"/>
        <w:outlineLvl w:val="0"/>
        <w:rPr>
          <w:rFonts w:hint="default" w:ascii="Times New Roman" w:hAnsi="Times New Roman"/>
          <w:b/>
          <w:sz w:val="32"/>
          <w:szCs w:val="32"/>
          <w:shd w:val="clear" w:color="auto" w:fill="FFFFFF"/>
        </w:rPr>
      </w:pPr>
      <w:bookmarkStart w:id="16" w:name="_Toc14624"/>
      <w:bookmarkEnd w:id="16"/>
      <w:bookmarkStart w:id="17" w:name="_Toc21982"/>
      <w:bookmarkEnd w:id="17"/>
      <w:bookmarkStart w:id="18" w:name="_Toc23892"/>
      <w:bookmarkEnd w:id="18"/>
      <w:bookmarkStart w:id="19" w:name="_Toc88561072"/>
      <w:bookmarkStart w:id="20" w:name="_Toc88833319"/>
      <w:r>
        <w:rPr>
          <w:rStyle w:val="12"/>
          <w:sz w:val="32"/>
          <w:szCs w:val="32"/>
          <w:shd w:val="clear" w:color="auto" w:fill="FFFFFF"/>
        </w:rPr>
        <w:t>2020</w:t>
      </w:r>
      <w:bookmarkEnd w:id="19"/>
      <w:r>
        <w:rPr>
          <w:rStyle w:val="12"/>
          <w:rFonts w:hint="eastAsia" w:ascii="宋体" w:hAnsi="宋体" w:cs="宋体"/>
          <w:sz w:val="32"/>
          <w:szCs w:val="32"/>
          <w:shd w:val="clear" w:color="auto" w:fill="FFFFFF"/>
        </w:rPr>
        <w:t>年度部门决算情况说明</w:t>
      </w:r>
      <w:bookmarkEnd w:id="20"/>
    </w:p>
    <w:p>
      <w:pPr>
        <w:pStyle w:val="11"/>
        <w:keepNext w:val="0"/>
        <w:keepLines w:val="0"/>
        <w:pageBreakBefore w:val="0"/>
        <w:widowControl w:val="0"/>
        <w:numPr>
          <w:ilvl w:val="0"/>
          <w:numId w:val="4"/>
        </w:numPr>
        <w:kinsoku/>
        <w:wordWrap/>
        <w:overflowPunct/>
        <w:topLinePunct w:val="0"/>
        <w:autoSpaceDE w:val="0"/>
        <w:autoSpaceDN/>
        <w:bidi w:val="0"/>
        <w:adjustRightInd/>
        <w:snapToGrid/>
        <w:spacing w:beforeAutospacing="0" w:afterAutospacing="0" w:line="560" w:lineRule="exact"/>
        <w:ind w:left="0"/>
        <w:jc w:val="both"/>
        <w:textAlignment w:val="auto"/>
        <w:outlineLvl w:val="1"/>
        <w:rPr>
          <w:rFonts w:hint="default" w:cs="宋体"/>
          <w:sz w:val="32"/>
          <w:szCs w:val="32"/>
        </w:rPr>
      </w:pPr>
      <w:bookmarkStart w:id="21" w:name="_Toc8335"/>
      <w:bookmarkEnd w:id="21"/>
      <w:bookmarkStart w:id="22" w:name="_Toc7720"/>
      <w:bookmarkEnd w:id="22"/>
      <w:bookmarkStart w:id="23" w:name="_Toc16309"/>
      <w:bookmarkEnd w:id="23"/>
      <w:bookmarkStart w:id="24" w:name="_Toc88561073"/>
      <w:bookmarkStart w:id="25" w:name="_Toc88833320"/>
      <w:r>
        <w:rPr>
          <w:rStyle w:val="12"/>
          <w:rFonts w:hint="eastAsia" w:ascii="宋体" w:hAnsi="宋体" w:cs="宋体"/>
          <w:sz w:val="32"/>
          <w:szCs w:val="32"/>
          <w:shd w:val="clear" w:color="auto" w:fill="FFFFFF"/>
        </w:rPr>
        <w:t>收入支出决算总体情况说明</w:t>
      </w:r>
      <w:bookmarkEnd w:id="24"/>
      <w:bookmarkEnd w:id="25"/>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ind w:firstLine="640" w:firstLineChars="200"/>
        <w:jc w:val="both"/>
        <w:textAlignment w:val="auto"/>
        <w:rPr>
          <w:rFonts w:hint="default" w:ascii="仿宋_GB2312" w:eastAsia="仿宋_GB2312" w:cs="仿宋_GB2312"/>
          <w:sz w:val="32"/>
          <w:szCs w:val="32"/>
          <w:shd w:val="clear" w:color="auto" w:fill="FFFFFF"/>
        </w:rPr>
      </w:pPr>
      <w:r>
        <w:rPr>
          <w:rFonts w:ascii="仿宋_GB2312" w:eastAsia="仿宋_GB2312" w:cs="仿宋_GB2312"/>
          <w:sz w:val="32"/>
          <w:szCs w:val="32"/>
          <w:shd w:val="clear" w:color="auto" w:fill="FFFFFF"/>
        </w:rPr>
        <w:t>2020年度收、支总计124.57万元。与2019年相比，收、支总计各增加 10.32万元，增长 9.03%。主要变动原因是增加工资福利和项目支出。</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ind w:firstLine="640" w:firstLineChars="200"/>
        <w:jc w:val="both"/>
        <w:textAlignment w:val="auto"/>
        <w:rPr>
          <w:rFonts w:hint="default" w:cs="宋体"/>
          <w:sz w:val="32"/>
          <w:szCs w:val="32"/>
          <w:shd w:val="clear" w:color="auto" w:fill="FFFFFF"/>
        </w:rPr>
      </w:pPr>
      <w:r>
        <w:rPr>
          <w:rFonts w:ascii="仿宋_GB2312" w:eastAsia="仿宋_GB2312" w:cs="仿宋_GB2312"/>
          <w:sz w:val="32"/>
          <w:szCs w:val="32"/>
          <w:shd w:val="clear" w:color="auto" w:fill="FFFFFF"/>
        </w:rPr>
        <w:t>（图1：收、支决算总计变动情况图）（柱状图）</w:t>
      </w:r>
    </w:p>
    <w:p>
      <w:pPr>
        <w:widowControl w:val="0"/>
        <w:spacing w:line="600" w:lineRule="exact"/>
        <w:ind w:firstLine="480" w:firstLineChars="200"/>
        <w:rPr>
          <w:rFonts w:hint="default" w:ascii="仿宋" w:hAnsi="仿宋" w:eastAsia="仿宋"/>
          <w:color w:val="000000"/>
          <w:sz w:val="32"/>
          <w:szCs w:val="32"/>
        </w:rPr>
      </w:pPr>
      <w:r>
        <w:pict>
          <v:shape id="Object 9" o:spid="_x0000_s1026" o:spt="75" type="#_x0000_t75" style="position:absolute;left:0pt;margin-left:68.9pt;margin-top:5.95pt;height:150.15pt;width:252.65pt;mso-wrap-distance-bottom:0.1pt;mso-wrap-distance-left:9pt;mso-wrap-distance-right:9pt;mso-wrap-distance-top:0pt;z-index:251661312;mso-width-relative:page;mso-height-relative:page;" o:ole="t" filled="f" o:preferrelative="t" stroked="f" coordsize="21600,21600">
            <v:path/>
            <v:fill on="f" focussize="0,0"/>
            <v:stroke on="f"/>
            <v:imagedata r:id="rId7" o:title=""/>
            <o:lock v:ext="edit" aspectratio="f"/>
            <w10:wrap type="square"/>
          </v:shape>
          <o:OLEObject Type="Embed" ProgID="Excel.Chart.8" ShapeID="Object 9" DrawAspect="Content" ObjectID="_1468075725" r:id="rId6">
            <o:LockedField>false</o:LockedField>
          </o:OLEObject>
        </w:pict>
      </w:r>
    </w:p>
    <w:p>
      <w:pPr>
        <w:widowControl w:val="0"/>
        <w:spacing w:line="600" w:lineRule="exact"/>
        <w:rPr>
          <w:rFonts w:hint="default" w:ascii="仿宋" w:hAnsi="仿宋" w:eastAsia="仿宋"/>
          <w:color w:val="000000"/>
          <w:sz w:val="32"/>
          <w:szCs w:val="32"/>
        </w:rPr>
      </w:pPr>
    </w:p>
    <w:p>
      <w:pPr>
        <w:widowControl w:val="0"/>
        <w:spacing w:line="600" w:lineRule="exact"/>
        <w:jc w:val="center"/>
        <w:rPr>
          <w:rFonts w:hint="default" w:ascii="仿宋" w:hAnsi="仿宋" w:eastAsia="仿宋"/>
          <w:color w:val="000000"/>
          <w:sz w:val="32"/>
          <w:szCs w:val="32"/>
        </w:rPr>
      </w:pPr>
    </w:p>
    <w:p>
      <w:pPr>
        <w:pStyle w:val="11"/>
        <w:widowControl w:val="0"/>
        <w:autoSpaceDE w:val="0"/>
        <w:spacing w:beforeAutospacing="0" w:afterAutospacing="0"/>
        <w:outlineLvl w:val="1"/>
        <w:rPr>
          <w:rStyle w:val="12"/>
          <w:rFonts w:hint="eastAsia" w:ascii="宋体" w:hAnsi="宋体" w:cs="宋体"/>
          <w:sz w:val="32"/>
          <w:szCs w:val="32"/>
          <w:shd w:val="clear" w:color="auto" w:fill="FFFFFF"/>
        </w:rPr>
      </w:pPr>
      <w:bookmarkStart w:id="26" w:name="_Toc2948"/>
      <w:bookmarkEnd w:id="26"/>
      <w:bookmarkStart w:id="27" w:name="_Toc7759"/>
      <w:bookmarkEnd w:id="27"/>
      <w:bookmarkStart w:id="28" w:name="_Toc88561074"/>
    </w:p>
    <w:p>
      <w:pPr>
        <w:pStyle w:val="11"/>
        <w:widowControl w:val="0"/>
        <w:autoSpaceDE w:val="0"/>
        <w:spacing w:beforeAutospacing="0" w:afterAutospacing="0"/>
        <w:outlineLvl w:val="1"/>
        <w:rPr>
          <w:rStyle w:val="12"/>
          <w:rFonts w:hint="eastAsia" w:ascii="宋体" w:hAnsi="宋体" w:cs="宋体"/>
          <w:sz w:val="32"/>
          <w:szCs w:val="32"/>
          <w:shd w:val="clear" w:color="auto" w:fill="FFFFFF"/>
        </w:rPr>
      </w:pPr>
    </w:p>
    <w:p>
      <w:pPr>
        <w:pStyle w:val="11"/>
        <w:widowControl w:val="0"/>
        <w:autoSpaceDE w:val="0"/>
        <w:spacing w:beforeAutospacing="0" w:afterAutospacing="0"/>
        <w:outlineLvl w:val="1"/>
        <w:rPr>
          <w:rFonts w:hint="default" w:cs="宋体"/>
          <w:sz w:val="32"/>
          <w:szCs w:val="32"/>
        </w:rPr>
      </w:pPr>
      <w:bookmarkStart w:id="29" w:name="_Toc88833321"/>
      <w:r>
        <w:rPr>
          <w:rStyle w:val="12"/>
          <w:rFonts w:hint="eastAsia" w:ascii="宋体" w:hAnsi="宋体" w:cs="宋体"/>
          <w:sz w:val="32"/>
          <w:szCs w:val="32"/>
          <w:shd w:val="clear" w:color="auto" w:fill="FFFFFF"/>
        </w:rPr>
        <w:t>二、收入决算情况说明</w:t>
      </w:r>
      <w:bookmarkEnd w:id="28"/>
      <w:bookmarkEnd w:id="29"/>
    </w:p>
    <w:p>
      <w:pPr>
        <w:pStyle w:val="11"/>
        <w:widowControl w:val="0"/>
        <w:autoSpaceDE w:val="0"/>
        <w:spacing w:beforeAutospacing="0" w:afterAutospacing="0"/>
        <w:rPr>
          <w:rFonts w:cs="宋体"/>
          <w:sz w:val="32"/>
          <w:szCs w:val="32"/>
        </w:rPr>
      </w:pPr>
      <w:r>
        <w:rPr>
          <w:rFonts w:ascii="仿宋_GB2312" w:eastAsia="仿宋_GB2312" w:cs="仿宋_GB2312"/>
          <w:sz w:val="32"/>
          <w:szCs w:val="32"/>
          <w:shd w:val="clear" w:color="auto" w:fill="FFFFFF"/>
        </w:rPr>
        <w:t xml:space="preserve">   2020年本年收入合计75.42万元，其中：一般公共预算财政拨款收入75.42万元，占 100.00%；政府性基金预算财政拨款收入0.00万元，占 0.00%；国有资本经营预算财政拨款收入0.00万元，占 0.00%;上级补助收入0.00万元，占 0.00%；事业收入0.00万元，占 0.00%；经营收入0.00万元，占 0.00%；附属单位上缴收入0.00万元，占0.00%。其他收入0.00万元，占 0.00%。</w:t>
      </w:r>
    </w:p>
    <w:p>
      <w:pPr>
        <w:pStyle w:val="11"/>
        <w:widowControl w:val="0"/>
        <w:autoSpaceDE w:val="0"/>
        <w:spacing w:beforeAutospacing="0" w:line="560" w:lineRule="exact"/>
        <w:jc w:val="center"/>
        <w:rPr>
          <w:rFonts w:hint="default" w:ascii="仿宋_GB2312" w:eastAsia="仿宋_GB2312" w:cs="仿宋_GB2312"/>
          <w:sz w:val="32"/>
          <w:szCs w:val="32"/>
        </w:rPr>
      </w:pPr>
      <w:r>
        <w:rPr>
          <w:rFonts w:ascii="仿宋_GB2312" w:eastAsia="仿宋_GB2312" w:cs="仿宋_GB2312"/>
          <w:sz w:val="32"/>
          <w:szCs w:val="32"/>
          <w:shd w:val="clear" w:color="auto" w:fill="FFFFFF"/>
        </w:rPr>
        <w:t>（图2：收入决算结构图）（饼状图）</w:t>
      </w:r>
    </w:p>
    <w:p>
      <w:pPr>
        <w:pStyle w:val="11"/>
        <w:widowControl w:val="0"/>
        <w:spacing w:beforeAutospacing="0" w:line="560" w:lineRule="exact"/>
        <w:rPr>
          <w:rFonts w:hint="default" w:ascii="Times New Roman" w:hAnsi="Times New Roman"/>
          <w:b/>
          <w:sz w:val="32"/>
          <w:szCs w:val="32"/>
          <w:shd w:val="clear" w:color="auto" w:fill="FFFFFF"/>
        </w:rPr>
      </w:pPr>
      <w:r>
        <w:pict>
          <v:shape id="Object 8" o:spid="_x0000_s1027" o:spt="75" type="#_x0000_t75" style="position:absolute;left:0pt;margin-left:57.9pt;margin-top:3.6pt;height:165.15pt;width:283.4pt;mso-wrap-distance-bottom:0.1pt;mso-wrap-distance-left:9pt;mso-wrap-distance-right:9pt;mso-wrap-distance-top:0pt;z-index:251662336;mso-width-relative:page;mso-height-relative:page;" o:ole="t" filled="f" stroked="f" coordsize="21600,21600">
            <v:path/>
            <v:fill on="f" focussize="0,0"/>
            <v:stroke on="f"/>
            <v:imagedata r:id="rId9" o:title=""/>
            <o:lock v:ext="edit" aspectratio="t"/>
            <w10:wrap type="square"/>
          </v:shape>
          <o:OLEObject Type="Embed" ProgID="Excel.Chart.8" ShapeID="Object 8" DrawAspect="Content" ObjectID="_1468075726" r:id="rId8">
            <o:LockedField>false</o:LockedField>
          </o:OLEObject>
        </w:pict>
      </w:r>
    </w:p>
    <w:p>
      <w:pPr>
        <w:pStyle w:val="11"/>
        <w:widowControl w:val="0"/>
        <w:autoSpaceDE w:val="0"/>
        <w:spacing w:beforeAutospacing="0" w:line="560" w:lineRule="exact"/>
        <w:rPr>
          <w:rFonts w:hint="default" w:ascii="Times New Roman" w:hAnsi="Times New Roman" w:cs="宋体"/>
          <w:b/>
          <w:sz w:val="32"/>
          <w:szCs w:val="32"/>
          <w:shd w:val="clear" w:color="auto" w:fill="FFFFFF"/>
        </w:rPr>
      </w:pPr>
    </w:p>
    <w:p>
      <w:pPr>
        <w:pStyle w:val="11"/>
        <w:widowControl w:val="0"/>
        <w:autoSpaceDE w:val="0"/>
        <w:spacing w:beforeAutospacing="0"/>
        <w:rPr>
          <w:rFonts w:ascii="Times New Roman" w:hAnsi="Times New Roman" w:cs="宋体"/>
          <w:b/>
          <w:sz w:val="32"/>
          <w:szCs w:val="32"/>
          <w:shd w:val="clear" w:color="auto" w:fill="FFFFFF"/>
        </w:rPr>
      </w:pPr>
      <w:bookmarkStart w:id="30" w:name="_Toc11954"/>
      <w:bookmarkEnd w:id="30"/>
      <w:bookmarkStart w:id="31" w:name="_Toc30691"/>
      <w:bookmarkEnd w:id="31"/>
    </w:p>
    <w:p>
      <w:pPr>
        <w:pStyle w:val="11"/>
        <w:widowControl w:val="0"/>
        <w:autoSpaceDE w:val="0"/>
        <w:spacing w:beforeAutospacing="0"/>
        <w:rPr>
          <w:rFonts w:hint="default" w:cs="宋体"/>
          <w:b/>
          <w:sz w:val="32"/>
          <w:szCs w:val="32"/>
          <w:shd w:val="clear" w:color="auto" w:fill="FFFFFF"/>
        </w:rPr>
      </w:pPr>
    </w:p>
    <w:p>
      <w:pPr>
        <w:pStyle w:val="11"/>
        <w:widowControl w:val="0"/>
        <w:autoSpaceDE w:val="0"/>
        <w:spacing w:beforeAutospacing="0" w:afterAutospacing="0"/>
        <w:outlineLvl w:val="1"/>
        <w:rPr>
          <w:rStyle w:val="12"/>
          <w:rFonts w:hint="eastAsia" w:ascii="宋体" w:hAnsi="宋体" w:cs="宋体"/>
          <w:sz w:val="32"/>
          <w:szCs w:val="32"/>
          <w:shd w:val="clear" w:color="auto" w:fill="FFFFFF"/>
        </w:rPr>
      </w:pPr>
      <w:bookmarkStart w:id="32" w:name="_Toc24602"/>
      <w:bookmarkEnd w:id="32"/>
      <w:bookmarkStart w:id="33" w:name="_Toc88561075"/>
    </w:p>
    <w:p>
      <w:pPr>
        <w:pStyle w:val="11"/>
        <w:widowControl w:val="0"/>
        <w:autoSpaceDE w:val="0"/>
        <w:spacing w:beforeAutospacing="0" w:afterAutospacing="0"/>
        <w:outlineLvl w:val="1"/>
        <w:rPr>
          <w:rFonts w:hint="default" w:cs="宋体"/>
          <w:sz w:val="32"/>
          <w:szCs w:val="32"/>
        </w:rPr>
      </w:pPr>
      <w:bookmarkStart w:id="34" w:name="_Toc88833322"/>
      <w:r>
        <w:rPr>
          <w:rStyle w:val="12"/>
          <w:rFonts w:hint="eastAsia" w:ascii="宋体" w:hAnsi="宋体" w:cs="宋体"/>
          <w:sz w:val="32"/>
          <w:szCs w:val="32"/>
          <w:shd w:val="clear" w:color="auto" w:fill="FFFFFF"/>
        </w:rPr>
        <w:t>三、支出决算情况说明</w:t>
      </w:r>
      <w:bookmarkEnd w:id="33"/>
      <w:bookmarkEnd w:id="34"/>
    </w:p>
    <w:p>
      <w:pPr>
        <w:pStyle w:val="11"/>
        <w:widowControl w:val="0"/>
        <w:autoSpaceDE w:val="0"/>
        <w:spacing w:beforeAutospacing="0"/>
        <w:rPr>
          <w:rFonts w:hint="default" w:ascii="仿宋_GB2312" w:eastAsia="仿宋_GB2312" w:cs="仿宋_GB2312"/>
          <w:sz w:val="32"/>
          <w:szCs w:val="32"/>
          <w:shd w:val="clear" w:color="auto" w:fill="FFFFFF"/>
        </w:rPr>
      </w:pPr>
      <w:r>
        <w:rPr>
          <w:rFonts w:ascii="仿宋_GB2312" w:eastAsia="仿宋_GB2312" w:cs="仿宋_GB2312"/>
          <w:sz w:val="32"/>
          <w:szCs w:val="32"/>
          <w:shd w:val="clear" w:color="auto" w:fill="FFFFFF"/>
        </w:rPr>
        <w:t>2020年本年支出合计124.57万元，其中：基本支出75.42万元，占 60.54%；项目支出49.15万元，占 39.46%；上缴上级支出0.00万元，占 0.00%；经营支出0.00万元，占 0.00%；对附属单位补助支出0.00万元，占 0.00%；。</w:t>
      </w:r>
    </w:p>
    <w:p>
      <w:pPr>
        <w:pStyle w:val="11"/>
        <w:widowControl w:val="0"/>
        <w:autoSpaceDE w:val="0"/>
        <w:spacing w:beforeAutospacing="0" w:afterAutospacing="0"/>
        <w:ind w:firstLine="1280" w:firstLineChars="400"/>
        <w:jc w:val="both"/>
        <w:rPr>
          <w:rFonts w:hint="default" w:ascii="仿宋_GB2312" w:eastAsia="仿宋_GB2312" w:cs="仿宋_GB2312"/>
          <w:sz w:val="32"/>
          <w:szCs w:val="32"/>
        </w:rPr>
      </w:pPr>
      <w:r>
        <w:rPr>
          <w:rFonts w:ascii="仿宋_GB2312" w:eastAsia="仿宋_GB2312" w:cs="仿宋_GB2312"/>
          <w:sz w:val="32"/>
          <w:szCs w:val="32"/>
          <w:shd w:val="clear" w:color="auto" w:fill="FFFFFF"/>
        </w:rPr>
        <w:t>（图3：支出决算结构图）（饼状图）</w:t>
      </w:r>
    </w:p>
    <w:p>
      <w:pPr>
        <w:pStyle w:val="11"/>
        <w:widowControl w:val="0"/>
        <w:spacing w:beforeAutospacing="0" w:line="560" w:lineRule="exact"/>
        <w:rPr>
          <w:rFonts w:hint="default" w:ascii="Times New Roman" w:hAnsi="Times New Roman"/>
          <w:b/>
          <w:sz w:val="32"/>
          <w:szCs w:val="32"/>
          <w:shd w:val="clear" w:color="auto" w:fill="FFFFFF"/>
        </w:rPr>
      </w:pPr>
      <w:r>
        <w:pict>
          <v:shape id="Object 7" o:spid="_x0000_s1028" o:spt="75" type="#_x0000_t75" style="position:absolute;left:0pt;margin-left:48.15pt;margin-top:21.15pt;height:181.7pt;width:274.8pt;mso-wrap-distance-bottom:0pt;mso-wrap-distance-left:9pt;mso-wrap-distance-right:9pt;mso-wrap-distance-top:0pt;z-index:251663360;mso-width-relative:page;mso-height-relative:page;" o:ole="t" filled="f" stroked="f" coordsize="21600,21600">
            <v:path/>
            <v:fill on="f" focussize="0,0"/>
            <v:stroke on="f"/>
            <v:imagedata r:id="rId11" o:title=""/>
            <o:lock v:ext="edit" aspectratio="t"/>
            <w10:wrap type="square"/>
          </v:shape>
          <o:OLEObject Type="Embed" ProgID="Excel.Chart.8" ShapeID="Object 7" DrawAspect="Content" ObjectID="_1468075727" r:id="rId10">
            <o:LockedField>false</o:LockedField>
          </o:OLEObject>
        </w:pict>
      </w:r>
      <w:r>
        <mc:AlternateContent>
          <mc:Choice Requires="wps">
            <w:drawing>
              <wp:inline distT="0" distB="0" distL="114300" distR="114300">
                <wp:extent cx="3752850" cy="2286000"/>
                <wp:effectExtent l="0" t="0" r="0" b="0"/>
                <wp:docPr id="1" name="矩形 1" descr="IMG_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wps:cNvSpPr>
                      <wps:spPr>
                        <a:xfrm>
                          <a:off x="0" y="0"/>
                          <a:ext cx="3752850" cy="2286000"/>
                        </a:xfrm>
                        <a:prstGeom prst="rect">
                          <a:avLst/>
                        </a:prstGeom>
                        <a:noFill/>
                        <a:ln>
                          <a:noFill/>
                        </a:ln>
                      </wps:spPr>
                      <wps:bodyPr upright="0"/>
                    </wps:wsp>
                  </a:graphicData>
                </a:graphic>
              </wp:inline>
            </w:drawing>
          </mc:Choice>
          <mc:Fallback>
            <w:pict>
              <v:rect id="_x0000_s1026" o:spid="_x0000_s1026" o:spt="1" alt="IMG_258" style="height:180pt;width:295.5pt;" filled="f" stroked="f" coordsize="21600,21600" o:gfxdata="UEsFBgAAAAAAAAAAAAAAAAAAAAAAAFBLAwQKAAAAAACHTuJAAAAAAAAAAAAAAAAABAAAAGRycy9Q&#10;SwMEFAAAAAgAh07iQKMd/4TWAAAABQEAAA8AAABkcnMvZG93bnJldi54bWxNj0FLw0AQhe+C/2EZ&#10;wYvY3SgWjdn0UBCLCKWp9rzNTpPQ7Gya3Sb13zt6aS8PHm9475tsdnKtGLAPjScNyUSBQCq9bajS&#10;8LV+u38GEaIha1pPqOEHA8zy66vMpNaPtMKhiJXgEgqp0VDH2KVShrJGZ8LEd0ic7XzvTGTbV9L2&#10;ZuRy18oHpabSmYZ4oTYdzmss98XRaRjL5bBZf77L5d1m4emwOMyL7w+tb28S9Qoi4imej+EPn9Eh&#10;Z6atP5INotXAj8R/5ezpJWG71fA4VQpknslL+vwXUEsDBBQAAAAIAIdO4kDiP57HyAEAAH0DAAAO&#10;AAAAZHJzL2Uyb0RvYy54bWytU8Fu1DAQvSPxD5bvrNOgLatosxVi1QqpQEXpuXIdJ7GIPZbHu9n9&#10;GiRufASfU/EbjJ3tQsulBy6RZ8bzZt57zvJsZwe21QENuJqfzArOtFPQGNfV/ObL+asFZxila+QA&#10;Ttd8r5GfrV6+WI6+0iX0MDQ6MAJxWI2+5n2MvhICVa+txBl47ajYQrAyUhg60QQ5ErodRFkUp2KE&#10;0PgASiNSdj0V+QExPAcQ2tYovQa1sdrFCTXoQUaihL3xyFd527bVKn5qW9SRDTUnpjF/aQid79JX&#10;rJay6oL0vVGHFeRzVnjCyUrjaOgRai2jZJtg/oGyRgVAaONMgRUTkawIsTgpnmhz3UuvMxeSGv1R&#10;dPx/sOrj9iow09BL4MxJS4b/+vbj/ud3RnGjUZFW7z9c3JbzRdJq9FhRy7W/Cokt+ktQX5E5+Awk&#10;bYKAd710nX6LnrRPKeoSj9pSgAeAXRtsAiIh2C67sj+6oneRKUq+fjMvF3MyTFGtLBenRZF9E7J6&#10;aPcB44UGy9Kh5oFGZzfk9hJjWkBWD1fSNAfnZhiy9YN7lKCLKZMXnnZM295BsyeVNj6Yrif8aXyq&#10;kCsZ/fCCku1/xxnpz1+z+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WAAAAZHJzL1BLAQIUABQAAAAIAIdO4kCjHf+E1gAAAAUBAAAPAAAA&#10;AAAAAAEAIAAAADgAAABkcnMvZG93bnJldi54bWxQSwECFAAUAAAACACHTuJA4j+ex8gBAAB9AwAA&#10;DgAAAAAAAAABACAAAAA7AQAAZHJzL2Uyb0RvYy54bWxQSwUGAAAAAAYABgBZAQAAdQUAAAAA&#10;">
                <v:fill on="f" focussize="0,0"/>
                <v:stroke on="f"/>
                <v:imagedata o:title=""/>
                <o:lock v:ext="edit" rotation="t" aspectratio="t"/>
                <w10:wrap type="none"/>
                <w10:anchorlock/>
              </v:rect>
            </w:pict>
          </mc:Fallback>
        </mc:AlternateContent>
      </w:r>
    </w:p>
    <w:p>
      <w:pPr>
        <w:pStyle w:val="11"/>
        <w:widowControl w:val="0"/>
        <w:autoSpaceDE w:val="0"/>
        <w:spacing w:beforeAutospacing="0" w:line="560" w:lineRule="exact"/>
        <w:rPr>
          <w:rFonts w:hint="default" w:cs="宋体"/>
          <w:b/>
          <w:sz w:val="32"/>
          <w:szCs w:val="32"/>
          <w:shd w:val="clear" w:color="auto" w:fill="FFFFFF"/>
        </w:rPr>
      </w:pPr>
      <w:bookmarkStart w:id="35" w:name="_Toc21252"/>
      <w:bookmarkEnd w:id="35"/>
    </w:p>
    <w:p>
      <w:pPr>
        <w:pStyle w:val="11"/>
        <w:widowControl w:val="0"/>
        <w:autoSpaceDE w:val="0"/>
        <w:spacing w:beforeAutospacing="0" w:line="560" w:lineRule="exact"/>
        <w:outlineLvl w:val="1"/>
        <w:rPr>
          <w:rStyle w:val="12"/>
          <w:rFonts w:hint="eastAsia" w:ascii="宋体" w:hAnsi="宋体" w:cs="宋体"/>
          <w:sz w:val="32"/>
          <w:szCs w:val="32"/>
          <w:shd w:val="clear" w:color="auto" w:fill="FFFFFF"/>
        </w:rPr>
      </w:pPr>
      <w:bookmarkStart w:id="36" w:name="_Toc9221"/>
      <w:bookmarkEnd w:id="36"/>
      <w:bookmarkStart w:id="37" w:name="_Toc88561076"/>
    </w:p>
    <w:p>
      <w:pPr>
        <w:pStyle w:val="11"/>
        <w:widowControl w:val="0"/>
        <w:autoSpaceDE w:val="0"/>
        <w:spacing w:beforeAutospacing="0" w:line="560" w:lineRule="exact"/>
        <w:outlineLvl w:val="1"/>
        <w:rPr>
          <w:rStyle w:val="12"/>
          <w:rFonts w:hint="eastAsia" w:ascii="宋体" w:hAnsi="宋体" w:cs="宋体"/>
          <w:sz w:val="32"/>
          <w:szCs w:val="32"/>
          <w:shd w:val="clear" w:color="auto" w:fill="FFFFFF"/>
        </w:rPr>
      </w:pPr>
    </w:p>
    <w:p>
      <w:pPr>
        <w:pStyle w:val="11"/>
        <w:widowControl w:val="0"/>
        <w:tabs>
          <w:tab w:val="left" w:pos="6750"/>
        </w:tabs>
        <w:autoSpaceDE w:val="0"/>
        <w:spacing w:beforeAutospacing="0" w:line="560" w:lineRule="exact"/>
        <w:outlineLvl w:val="1"/>
        <w:rPr>
          <w:rStyle w:val="12"/>
          <w:rFonts w:hint="eastAsia" w:ascii="宋体" w:hAnsi="宋体" w:cs="宋体"/>
          <w:sz w:val="32"/>
          <w:szCs w:val="32"/>
          <w:shd w:val="clear" w:color="auto" w:fill="FFFFFF"/>
        </w:rPr>
      </w:pPr>
      <w:r>
        <w:rPr>
          <w:rStyle w:val="12"/>
          <w:rFonts w:hint="eastAsia" w:ascii="宋体" w:hAnsi="宋体" w:cs="宋体"/>
          <w:sz w:val="32"/>
          <w:szCs w:val="32"/>
          <w:shd w:val="clear" w:color="auto" w:fill="FFFFFF"/>
        </w:rPr>
        <w:tab/>
      </w:r>
    </w:p>
    <w:p>
      <w:pPr>
        <w:pStyle w:val="11"/>
        <w:widowControl w:val="0"/>
        <w:autoSpaceDE w:val="0"/>
        <w:spacing w:beforeAutospacing="0" w:line="560" w:lineRule="exact"/>
        <w:outlineLvl w:val="1"/>
        <w:rPr>
          <w:rFonts w:hint="default" w:cs="宋体"/>
          <w:sz w:val="32"/>
          <w:szCs w:val="32"/>
        </w:rPr>
      </w:pPr>
      <w:bookmarkStart w:id="38" w:name="_Toc88833323"/>
      <w:r>
        <w:rPr>
          <w:rStyle w:val="12"/>
          <w:rFonts w:hint="eastAsia" w:ascii="宋体" w:hAnsi="宋体" w:cs="宋体"/>
          <w:sz w:val="32"/>
          <w:szCs w:val="32"/>
          <w:shd w:val="clear" w:color="auto" w:fill="FFFFFF"/>
        </w:rPr>
        <w:t>四、财政拨款收入支出决算总体情况说明</w:t>
      </w:r>
      <w:bookmarkEnd w:id="37"/>
      <w:bookmarkEnd w:id="38"/>
    </w:p>
    <w:p>
      <w:pPr>
        <w:pStyle w:val="11"/>
        <w:widowControl w:val="0"/>
        <w:autoSpaceDE w:val="0"/>
        <w:spacing w:beforeAutospacing="0" w:afterAutospacing="0"/>
        <w:ind w:firstLine="640" w:firstLineChars="200"/>
        <w:jc w:val="both"/>
        <w:rPr>
          <w:rFonts w:hint="default" w:cs="宋体"/>
          <w:sz w:val="32"/>
          <w:szCs w:val="32"/>
          <w:shd w:val="clear" w:color="auto" w:fill="FFFFFF"/>
        </w:rPr>
      </w:pPr>
      <w:r>
        <w:rPr>
          <w:rFonts w:ascii="仿宋_GB2312" w:eastAsia="仿宋_GB2312" w:cs="仿宋_GB2312"/>
          <w:sz w:val="32"/>
          <w:szCs w:val="32"/>
          <w:shd w:val="clear" w:color="auto" w:fill="FFFFFF"/>
        </w:rPr>
        <w:t>2020年度收、支总计124.57万元。与2019年相比，收、支总计各增加 10.32万元，增长 9.03%。主要变动原因是增加工资福利和项目支出。</w:t>
      </w:r>
    </w:p>
    <w:p>
      <w:pPr>
        <w:pStyle w:val="11"/>
        <w:widowControl w:val="0"/>
        <w:autoSpaceDE w:val="0"/>
        <w:spacing w:beforeAutospacing="0" w:line="560" w:lineRule="exact"/>
        <w:jc w:val="center"/>
        <w:rPr>
          <w:rFonts w:hint="default" w:ascii="仿宋_GB2312" w:eastAsia="仿宋_GB2312" w:cs="仿宋_GB2312"/>
          <w:sz w:val="32"/>
          <w:szCs w:val="32"/>
        </w:rPr>
      </w:pPr>
      <w:r>
        <w:rPr>
          <w:rFonts w:ascii="仿宋_GB2312" w:eastAsia="仿宋_GB2312" w:cs="仿宋_GB2312"/>
          <w:sz w:val="32"/>
          <w:szCs w:val="32"/>
          <w:shd w:val="clear" w:color="auto" w:fill="FFFFFF"/>
        </w:rPr>
        <w:t>（图4：财政拨款收、支决算总计变动情况）（柱状图）</w:t>
      </w:r>
    </w:p>
    <w:p>
      <w:pPr>
        <w:pStyle w:val="11"/>
        <w:widowControl w:val="0"/>
        <w:spacing w:beforeAutospacing="0" w:line="560" w:lineRule="exact"/>
        <w:rPr>
          <w:rFonts w:hint="default" w:ascii="Times New Roman" w:hAnsi="Times New Roman"/>
          <w:b/>
          <w:sz w:val="32"/>
          <w:szCs w:val="32"/>
          <w:shd w:val="clear" w:color="auto" w:fill="FFFFFF"/>
        </w:rPr>
      </w:pPr>
      <w:r>
        <w:pict>
          <v:shape id="Object 5" o:spid="_x0000_s1029" o:spt="75" type="#_x0000_t75" style="position:absolute;left:0pt;margin-left:48.15pt;margin-top:1.95pt;height:152.5pt;width:253.6pt;mso-wrap-distance-bottom:0pt;mso-wrap-distance-left:9pt;mso-wrap-distance-right:9pt;mso-wrap-distance-top:0pt;z-index:251664384;mso-width-relative:page;mso-height-relative:page;" o:ole="t" filled="f" stroked="f" coordsize="21600,21600">
            <v:path/>
            <v:fill on="f" focussize="0,0"/>
            <v:stroke on="f"/>
            <v:imagedata r:id="rId13" o:title=""/>
            <o:lock v:ext="edit" aspectratio="t"/>
            <w10:wrap type="square"/>
          </v:shape>
          <o:OLEObject Type="Embed" ProgID="Excel.Chart.8" ShapeID="Object 5" DrawAspect="Content" ObjectID="_1468075728" r:id="rId12">
            <o:LockedField>false</o:LockedField>
          </o:OLEObject>
        </w:pict>
      </w:r>
    </w:p>
    <w:p>
      <w:pPr>
        <w:pStyle w:val="11"/>
        <w:widowControl w:val="0"/>
        <w:autoSpaceDE w:val="0"/>
        <w:spacing w:beforeAutospacing="0" w:line="560" w:lineRule="exact"/>
        <w:rPr>
          <w:rFonts w:hint="default" w:cs="宋体"/>
          <w:b/>
          <w:sz w:val="32"/>
          <w:szCs w:val="32"/>
          <w:shd w:val="clear" w:color="auto" w:fill="FFFFFF"/>
        </w:rPr>
      </w:pPr>
    </w:p>
    <w:p>
      <w:pPr>
        <w:pStyle w:val="11"/>
        <w:widowControl w:val="0"/>
        <w:autoSpaceDE w:val="0"/>
        <w:spacing w:beforeAutospacing="0"/>
        <w:outlineLvl w:val="1"/>
        <w:rPr>
          <w:rStyle w:val="12"/>
          <w:rFonts w:hint="eastAsia" w:ascii="宋体" w:hAnsi="宋体" w:cs="宋体"/>
          <w:sz w:val="32"/>
          <w:szCs w:val="32"/>
          <w:shd w:val="clear" w:color="auto" w:fill="FFFFFF"/>
        </w:rPr>
      </w:pPr>
      <w:bookmarkStart w:id="39" w:name="_Toc6000"/>
      <w:bookmarkEnd w:id="39"/>
      <w:bookmarkStart w:id="40" w:name="_Toc8394"/>
      <w:bookmarkEnd w:id="40"/>
      <w:bookmarkStart w:id="41" w:name="_Toc19727"/>
      <w:bookmarkEnd w:id="41"/>
      <w:bookmarkStart w:id="42" w:name="_Toc88561077"/>
    </w:p>
    <w:p>
      <w:pPr>
        <w:pStyle w:val="11"/>
        <w:widowControl w:val="0"/>
        <w:autoSpaceDE w:val="0"/>
        <w:spacing w:beforeAutospacing="0" w:afterAutospacing="0"/>
        <w:outlineLvl w:val="1"/>
        <w:rPr>
          <w:rStyle w:val="12"/>
          <w:rFonts w:hint="eastAsia" w:ascii="宋体" w:hAnsi="宋体" w:cs="宋体"/>
          <w:sz w:val="32"/>
          <w:szCs w:val="32"/>
          <w:shd w:val="clear" w:color="auto" w:fill="FFFFFF"/>
        </w:rPr>
      </w:pPr>
    </w:p>
    <w:p>
      <w:pPr>
        <w:pStyle w:val="11"/>
        <w:widowControl w:val="0"/>
        <w:autoSpaceDE w:val="0"/>
        <w:spacing w:beforeAutospacing="0" w:afterAutospacing="0"/>
        <w:outlineLvl w:val="1"/>
        <w:rPr>
          <w:rFonts w:hint="default" w:cs="宋体"/>
          <w:sz w:val="32"/>
          <w:szCs w:val="32"/>
        </w:rPr>
      </w:pPr>
      <w:bookmarkStart w:id="43" w:name="_Toc88833324"/>
      <w:r>
        <w:rPr>
          <w:rStyle w:val="12"/>
          <w:rFonts w:hint="eastAsia" w:ascii="宋体" w:hAnsi="宋体" w:cs="宋体"/>
          <w:sz w:val="32"/>
          <w:szCs w:val="32"/>
          <w:shd w:val="clear" w:color="auto" w:fill="FFFFFF"/>
        </w:rPr>
        <w:t>五、一般公共预算财政拨款支出决算情况说明</w:t>
      </w:r>
      <w:bookmarkEnd w:id="42"/>
      <w:bookmarkEnd w:id="43"/>
    </w:p>
    <w:p>
      <w:pPr>
        <w:pStyle w:val="11"/>
        <w:widowControl w:val="0"/>
        <w:autoSpaceDE w:val="0"/>
        <w:spacing w:beforeAutospacing="0" w:afterAutospacing="0"/>
        <w:rPr>
          <w:rFonts w:hint="default" w:ascii="仿宋_GB2312" w:eastAsia="仿宋_GB2312" w:cs="仿宋_GB2312"/>
          <w:sz w:val="32"/>
          <w:szCs w:val="32"/>
        </w:rPr>
      </w:pPr>
      <w:r>
        <w:rPr>
          <w:rStyle w:val="12"/>
          <w:rFonts w:hint="eastAsia" w:ascii="仿宋_GB2312" w:eastAsia="仿宋_GB2312" w:cs="仿宋_GB2312"/>
          <w:sz w:val="32"/>
          <w:szCs w:val="32"/>
          <w:shd w:val="clear" w:color="auto" w:fill="FFFFFF"/>
        </w:rPr>
        <w:t>（一）一般公共预算财政拨款支出决算总体情况</w:t>
      </w:r>
    </w:p>
    <w:p>
      <w:pPr>
        <w:pStyle w:val="11"/>
        <w:widowControl w:val="0"/>
        <w:autoSpaceDE w:val="0"/>
        <w:spacing w:beforeAutospacing="0" w:afterAutospacing="0"/>
        <w:rPr>
          <w:rFonts w:hint="default" w:ascii="仿宋_GB2312" w:eastAsia="仿宋_GB2312" w:cs="仿宋_GB2312"/>
          <w:sz w:val="32"/>
          <w:szCs w:val="32"/>
        </w:rPr>
      </w:pPr>
      <w:r>
        <w:rPr>
          <w:rFonts w:ascii="仿宋_GB2312" w:eastAsia="仿宋_GB2312" w:cs="仿宋_GB2312"/>
          <w:sz w:val="32"/>
          <w:szCs w:val="32"/>
          <w:shd w:val="clear" w:color="auto" w:fill="FFFFFF"/>
        </w:rPr>
        <w:t xml:space="preserve">    2020年一般公共预算财政拨款支出124.57万元，占本年支出合计的 100%。与2019年相比，一般公共预算财政拨款增加 10.32万元，增长9.03%。主要变动原因是增加工资福利和项目支出。</w:t>
      </w:r>
    </w:p>
    <w:p>
      <w:pPr>
        <w:pStyle w:val="11"/>
        <w:widowControl w:val="0"/>
        <w:autoSpaceDE w:val="0"/>
        <w:spacing w:beforeAutospacing="0" w:line="560" w:lineRule="exact"/>
        <w:jc w:val="center"/>
        <w:rPr>
          <w:rFonts w:hint="default" w:ascii="仿宋_GB2312" w:eastAsia="仿宋_GB2312" w:cs="仿宋_GB2312"/>
          <w:sz w:val="32"/>
          <w:szCs w:val="32"/>
        </w:rPr>
      </w:pPr>
      <w:r>
        <w:pict>
          <v:shape id="Object 4" o:spid="_x0000_s1030" o:spt="75" type="#_x0000_t75" style="position:absolute;left:0pt;margin-left:133.65pt;margin-top:39.75pt;height:148.3pt;width:219.85pt;mso-wrap-distance-bottom:0pt;mso-wrap-distance-left:9pt;mso-wrap-distance-right:9pt;mso-wrap-distance-top:0pt;z-index:251665408;mso-width-relative:page;mso-height-relative:page;" o:ole="t" filled="f" stroked="f" coordsize="21600,21600">
            <v:path/>
            <v:fill on="f" focussize="0,0"/>
            <v:stroke on="f"/>
            <v:imagedata r:id="rId15" o:title=""/>
            <o:lock v:ext="edit" aspectratio="t"/>
            <w10:wrap type="square"/>
          </v:shape>
          <o:OLEObject Type="Embed" ProgID="Excel.Chart.8" ShapeID="Object 4" DrawAspect="Content" ObjectID="_1468075729" r:id="rId14">
            <o:LockedField>false</o:LockedField>
          </o:OLEObject>
        </w:pict>
      </w:r>
      <w:r>
        <w:rPr>
          <w:rFonts w:ascii="仿宋_GB2312" w:eastAsia="仿宋_GB2312" w:cs="仿宋_GB2312"/>
          <w:sz w:val="32"/>
          <w:szCs w:val="32"/>
          <w:shd w:val="clear" w:color="auto" w:fill="FFFFFF"/>
        </w:rPr>
        <w:t>（图5：一般公共预算财政拨款支出决算变动情况）（柱状图）</w:t>
      </w:r>
    </w:p>
    <w:p>
      <w:pPr>
        <w:pStyle w:val="11"/>
        <w:widowControl w:val="0"/>
        <w:spacing w:beforeAutospacing="0" w:line="560" w:lineRule="exact"/>
        <w:rPr>
          <w:rStyle w:val="12"/>
          <w:rFonts w:hint="eastAsia" w:ascii="宋体" w:hAnsi="宋体" w:cs="宋体"/>
          <w:sz w:val="32"/>
          <w:szCs w:val="32"/>
          <w:shd w:val="clear" w:color="auto" w:fill="FFFFFF"/>
        </w:rPr>
      </w:pPr>
    </w:p>
    <w:p>
      <w:pPr>
        <w:pStyle w:val="11"/>
        <w:widowControl w:val="0"/>
        <w:autoSpaceDE w:val="0"/>
        <w:spacing w:beforeAutospacing="0" w:afterAutospacing="0"/>
        <w:rPr>
          <w:rStyle w:val="12"/>
          <w:rFonts w:hint="eastAsia" w:ascii="宋体" w:hAnsi="宋体" w:cs="宋体"/>
          <w:sz w:val="32"/>
          <w:szCs w:val="32"/>
          <w:shd w:val="clear" w:color="auto" w:fill="FFFFFF"/>
        </w:rPr>
      </w:pPr>
    </w:p>
    <w:p>
      <w:pPr>
        <w:pStyle w:val="11"/>
        <w:widowControl w:val="0"/>
        <w:autoSpaceDE w:val="0"/>
        <w:spacing w:beforeAutospacing="0" w:afterAutospacing="0"/>
        <w:rPr>
          <w:rFonts w:hint="default" w:cs="宋体"/>
          <w:sz w:val="32"/>
          <w:szCs w:val="32"/>
        </w:rPr>
      </w:pPr>
      <w:r>
        <w:rPr>
          <w:rStyle w:val="12"/>
          <w:rFonts w:hint="eastAsia" w:ascii="宋体" w:hAnsi="宋体" w:cs="宋体"/>
          <w:sz w:val="32"/>
          <w:szCs w:val="32"/>
          <w:shd w:val="clear" w:color="auto" w:fill="FFFFFF"/>
        </w:rPr>
        <w:t>（二）一般公共预算财政拨款支出决算结构情况</w:t>
      </w:r>
    </w:p>
    <w:p>
      <w:pPr>
        <w:widowControl w:val="0"/>
        <w:autoSpaceDE w:val="0"/>
        <w:spacing w:line="560" w:lineRule="exact"/>
        <w:ind w:firstLine="640" w:firstLineChars="200"/>
        <w:rPr>
          <w:rFonts w:hint="default" w:cs="宋体"/>
          <w:sz w:val="32"/>
          <w:szCs w:val="32"/>
        </w:rPr>
      </w:pPr>
      <w:r>
        <w:rPr>
          <w:rFonts w:ascii="仿宋_GB2312" w:eastAsia="仿宋_GB2312" w:cs="仿宋_GB2312"/>
          <w:sz w:val="32"/>
          <w:szCs w:val="32"/>
          <w:shd w:val="clear" w:color="auto" w:fill="FFFFFF"/>
        </w:rPr>
        <w:t>2020年一般公共预算财政拨款支出124.57万元，主要用于以下方面:</w:t>
      </w:r>
      <w:r>
        <w:rPr>
          <w:rFonts w:ascii="仿宋_GB2312" w:eastAsia="仿宋_GB2312" w:cs="仿宋_GB2312"/>
          <w:b/>
          <w:color w:val="000000"/>
          <w:sz w:val="32"/>
          <w:szCs w:val="32"/>
        </w:rPr>
        <w:t>文化旅游体育与传媒（类）</w:t>
      </w:r>
      <w:r>
        <w:rPr>
          <w:rFonts w:ascii="仿宋_GB2312" w:eastAsia="仿宋_GB2312" w:cs="仿宋_GB2312"/>
          <w:color w:val="000000"/>
          <w:sz w:val="32"/>
          <w:szCs w:val="32"/>
        </w:rPr>
        <w:t>支出101.23万元，占81.26%；</w:t>
      </w:r>
      <w:r>
        <w:rPr>
          <w:rFonts w:ascii="仿宋_GB2312" w:eastAsia="仿宋_GB2312" w:cs="仿宋_GB2312"/>
          <w:b/>
          <w:color w:val="000000"/>
          <w:sz w:val="32"/>
          <w:szCs w:val="32"/>
        </w:rPr>
        <w:t>社会保障和就业（类）</w:t>
      </w:r>
      <w:r>
        <w:rPr>
          <w:rFonts w:ascii="仿宋_GB2312" w:eastAsia="仿宋_GB2312" w:cs="仿宋_GB2312"/>
          <w:color w:val="000000"/>
          <w:sz w:val="32"/>
          <w:szCs w:val="32"/>
        </w:rPr>
        <w:t>支出10.89万元，占8.74%；</w:t>
      </w:r>
      <w:r>
        <w:rPr>
          <w:rFonts w:ascii="仿宋_GB2312" w:eastAsia="仿宋_GB2312" w:cs="仿宋_GB2312"/>
          <w:b/>
          <w:color w:val="000000"/>
          <w:sz w:val="32"/>
          <w:szCs w:val="32"/>
        </w:rPr>
        <w:t>卫生健康支出</w:t>
      </w:r>
      <w:r>
        <w:rPr>
          <w:rFonts w:ascii="仿宋_GB2312" w:eastAsia="仿宋_GB2312" w:cs="仿宋_GB2312"/>
          <w:color w:val="000000"/>
          <w:sz w:val="32"/>
          <w:szCs w:val="32"/>
        </w:rPr>
        <w:t>5.44万元，占4.37%；</w:t>
      </w:r>
      <w:r>
        <w:rPr>
          <w:rFonts w:ascii="仿宋_GB2312" w:eastAsia="仿宋_GB2312" w:cs="仿宋_GB2312"/>
          <w:b/>
          <w:color w:val="000000"/>
          <w:sz w:val="32"/>
          <w:szCs w:val="32"/>
        </w:rPr>
        <w:t>住房保障</w:t>
      </w:r>
      <w:r>
        <w:rPr>
          <w:rFonts w:ascii="仿宋_GB2312" w:eastAsia="仿宋_GB2312" w:cs="仿宋_GB2312"/>
          <w:color w:val="000000"/>
          <w:sz w:val="32"/>
          <w:szCs w:val="32"/>
        </w:rPr>
        <w:t>支出7.01万元，占5.63%。</w:t>
      </w:r>
    </w:p>
    <w:p>
      <w:pPr>
        <w:pStyle w:val="11"/>
        <w:widowControl w:val="0"/>
        <w:autoSpaceDE w:val="0"/>
        <w:spacing w:beforeAutospacing="0" w:line="560" w:lineRule="exact"/>
        <w:jc w:val="center"/>
        <w:rPr>
          <w:rFonts w:hint="default" w:cs="宋体"/>
          <w:sz w:val="32"/>
          <w:szCs w:val="32"/>
        </w:rPr>
      </w:pPr>
      <w:r>
        <w:pict>
          <v:shape id="Object 3" o:spid="_x0000_s1031" o:spt="75" type="#_x0000_t75" style="position:absolute;left:0pt;margin-left:57.65pt;margin-top:54.3pt;height:140.75pt;width:230.25pt;mso-wrap-distance-bottom:0.05pt;mso-wrap-distance-left:9pt;mso-wrap-distance-right:9pt;mso-wrap-distance-top:0pt;z-index:251666432;mso-width-relative:page;mso-height-relative:page;" o:ole="t" filled="f" o:preferrelative="t" stroked="f" coordsize="21600,21600">
            <v:path/>
            <v:fill on="f" focussize="0,0"/>
            <v:stroke on="f"/>
            <v:imagedata r:id="rId17" o:title=""/>
            <o:lock v:ext="edit" aspectratio="f"/>
            <w10:wrap type="square"/>
          </v:shape>
          <o:OLEObject Type="Embed" ProgID="Excel.Chart.8" ShapeID="Object 3" DrawAspect="Content" ObjectID="_1468075730" r:id="rId16">
            <o:LockedField>false</o:LockedField>
          </o:OLEObject>
        </w:pict>
      </w:r>
      <w:r>
        <w:rPr>
          <w:rFonts w:cs="宋体"/>
          <w:sz w:val="32"/>
          <w:szCs w:val="32"/>
          <w:shd w:val="clear" w:color="auto" w:fill="FFFFFF"/>
        </w:rPr>
        <w:t>（图6：一般公共预算财政拨款支出决算结构）（饼状图）</w:t>
      </w:r>
    </w:p>
    <w:p>
      <w:pPr>
        <w:pStyle w:val="11"/>
        <w:widowControl w:val="0"/>
        <w:autoSpaceDE w:val="0"/>
        <w:spacing w:beforeAutospacing="0" w:line="560" w:lineRule="exact"/>
        <w:rPr>
          <w:rFonts w:hint="default" w:cs="宋体"/>
          <w:sz w:val="32"/>
          <w:szCs w:val="32"/>
        </w:rPr>
      </w:pPr>
    </w:p>
    <w:p>
      <w:pPr>
        <w:pStyle w:val="11"/>
        <w:widowControl w:val="0"/>
        <w:spacing w:beforeAutospacing="0" w:line="560" w:lineRule="exact"/>
        <w:rPr>
          <w:rFonts w:hint="default" w:ascii="Times New Roman" w:hAnsi="Times New Roman"/>
          <w:b/>
          <w:sz w:val="32"/>
          <w:szCs w:val="32"/>
          <w:shd w:val="clear" w:color="auto" w:fill="FFFFFF"/>
        </w:rPr>
      </w:pPr>
    </w:p>
    <w:p>
      <w:pPr>
        <w:pStyle w:val="11"/>
        <w:widowControl w:val="0"/>
        <w:autoSpaceDE w:val="0"/>
        <w:spacing w:beforeAutospacing="0" w:line="560" w:lineRule="exact"/>
        <w:rPr>
          <w:rFonts w:hint="default" w:ascii="Times New Roman" w:hAnsi="Times New Roman"/>
          <w:b/>
          <w:sz w:val="32"/>
          <w:szCs w:val="32"/>
          <w:shd w:val="clear" w:color="auto" w:fill="FFFFFF"/>
        </w:rPr>
      </w:pPr>
    </w:p>
    <w:p>
      <w:pPr>
        <w:pStyle w:val="11"/>
        <w:widowControl w:val="0"/>
        <w:autoSpaceDE w:val="0"/>
        <w:spacing w:beforeAutospacing="0" w:afterAutospacing="0"/>
        <w:rPr>
          <w:rFonts w:hint="default" w:cs="宋体"/>
          <w:sz w:val="32"/>
          <w:szCs w:val="32"/>
        </w:rPr>
      </w:pPr>
      <w:r>
        <w:rPr>
          <w:rStyle w:val="12"/>
          <w:rFonts w:hint="eastAsia" w:ascii="宋体" w:hAnsi="宋体" w:cs="宋体"/>
          <w:sz w:val="32"/>
          <w:szCs w:val="32"/>
          <w:shd w:val="clear" w:color="auto" w:fill="FFFFFF"/>
        </w:rPr>
        <w:t>（三）一般公共预算财政拨款支出决算具体情况</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ascii="仿宋_GB2312" w:eastAsia="仿宋_GB2312" w:cs="仿宋_GB2312"/>
          <w:sz w:val="32"/>
          <w:szCs w:val="32"/>
        </w:rPr>
      </w:pPr>
      <w:r>
        <w:rPr>
          <w:rFonts w:ascii="仿宋_GB2312" w:eastAsia="仿宋_GB2312" w:cs="仿宋_GB2312"/>
          <w:sz w:val="32"/>
          <w:szCs w:val="32"/>
          <w:shd w:val="clear" w:color="auto" w:fill="FFFFFF"/>
        </w:rPr>
        <w:t xml:space="preserve">  2020年一般公共预算支出决算数为124.57万元，完成预算100.00%。其中：</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ascii="仿宋_GB2312" w:eastAsia="仿宋_GB2312" w:cs="仿宋_GB2312"/>
          <w:color w:val="000000"/>
          <w:sz w:val="32"/>
          <w:szCs w:val="32"/>
        </w:rPr>
      </w:pPr>
      <w:r>
        <w:rPr>
          <w:rStyle w:val="12"/>
          <w:rFonts w:hint="eastAsia" w:ascii="仿宋_GB2312" w:eastAsia="仿宋_GB2312" w:cs="仿宋_GB2312"/>
          <w:color w:val="000000"/>
          <w:sz w:val="32"/>
          <w:szCs w:val="32"/>
        </w:rPr>
        <w:t>1.文化旅游体育与传媒（类）新闻出版电影（款）出版发行（项）:</w:t>
      </w:r>
      <w:r>
        <w:rPr>
          <w:rStyle w:val="12"/>
          <w:rFonts w:hint="eastAsia" w:ascii="仿宋_GB2312" w:eastAsia="仿宋_GB2312" w:cs="仿宋_GB2312"/>
          <w:b w:val="0"/>
          <w:color w:val="000000"/>
          <w:sz w:val="32"/>
          <w:szCs w:val="32"/>
        </w:rPr>
        <w:t xml:space="preserve"> 支出决算为101.23万元，完成预算100%。</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ascii="仿宋_GB2312" w:eastAsia="仿宋_GB2312" w:cs="仿宋_GB2312"/>
          <w:b/>
          <w:sz w:val="32"/>
          <w:szCs w:val="32"/>
          <w:shd w:val="clear" w:color="auto" w:fill="FFFFFF"/>
        </w:rPr>
      </w:pPr>
      <w:r>
        <w:rPr>
          <w:rFonts w:ascii="仿宋_GB2312" w:eastAsia="仿宋_GB2312" w:cs="仿宋_GB2312"/>
          <w:b/>
          <w:sz w:val="32"/>
          <w:szCs w:val="32"/>
          <w:shd w:val="clear" w:color="auto" w:fill="FFFFFF"/>
        </w:rPr>
        <w:t>2.社会保障和就业支出（类）</w:t>
      </w:r>
    </w:p>
    <w:p>
      <w:pPr>
        <w:pStyle w:val="11"/>
        <w:keepNext w:val="0"/>
        <w:keepLines/>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ascii="仿宋_GB2312" w:eastAsia="仿宋_GB2312" w:cs="仿宋_GB2312"/>
          <w:sz w:val="32"/>
          <w:szCs w:val="32"/>
          <w:shd w:val="clear" w:color="auto" w:fill="FFFFFF"/>
        </w:rPr>
      </w:pPr>
      <w:r>
        <w:rPr>
          <w:rStyle w:val="12"/>
          <w:rFonts w:hint="eastAsia" w:ascii="仿宋_GB2312" w:eastAsia="仿宋_GB2312" w:cs="仿宋_GB2312"/>
          <w:color w:val="000000"/>
          <w:sz w:val="32"/>
          <w:szCs w:val="32"/>
        </w:rPr>
        <w:t>①</w:t>
      </w:r>
      <w:r>
        <w:rPr>
          <w:rFonts w:ascii="仿宋_GB2312" w:eastAsia="仿宋_GB2312" w:cs="仿宋_GB2312"/>
          <w:b/>
          <w:sz w:val="32"/>
          <w:szCs w:val="32"/>
          <w:shd w:val="clear" w:color="auto" w:fill="FFFFFF"/>
        </w:rPr>
        <w:t>行政事业单位养老支出（款）机关事业单位基本养老保险缴费支出（项）:</w:t>
      </w:r>
      <w:r>
        <w:rPr>
          <w:rFonts w:ascii="仿宋_GB2312" w:eastAsia="仿宋_GB2312" w:cs="仿宋_GB2312"/>
          <w:sz w:val="32"/>
          <w:szCs w:val="32"/>
          <w:shd w:val="clear" w:color="auto" w:fill="FFFFFF"/>
        </w:rPr>
        <w:t xml:space="preserve"> 支出决算为7.26万元，完成预算100%。</w:t>
      </w:r>
    </w:p>
    <w:p>
      <w:pPr>
        <w:bidi w:val="0"/>
        <w:jc w:val="left"/>
        <w:rPr>
          <w:rFonts w:hint="default" w:eastAsia="宋体"/>
          <w:lang w:val="en-US" w:eastAsia="zh-CN"/>
        </w:rPr>
      </w:pPr>
      <w:r>
        <w:rPr>
          <w:rFonts w:hint="eastAsia"/>
          <w:lang w:val="en-US" w:eastAsia="zh-CN"/>
        </w:rPr>
        <w:t xml:space="preserve"> </w:t>
      </w:r>
      <w:r>
        <w:rPr>
          <w:rStyle w:val="12"/>
          <w:rFonts w:hint="eastAsia" w:ascii="仿宋_GB2312" w:eastAsia="仿宋_GB2312" w:cs="仿宋_GB2312"/>
          <w:color w:val="000000"/>
          <w:sz w:val="32"/>
          <w:szCs w:val="32"/>
        </w:rPr>
        <w:t>②</w:t>
      </w:r>
      <w:r>
        <w:rPr>
          <w:rFonts w:ascii="仿宋_GB2312" w:eastAsia="仿宋_GB2312" w:cs="仿宋_GB2312"/>
          <w:b/>
          <w:sz w:val="32"/>
          <w:szCs w:val="32"/>
          <w:shd w:val="clear" w:color="auto" w:fill="FFFFFF"/>
        </w:rPr>
        <w:t>行政事业单位养老支出（款）机关事业单位职业年金缴</w:t>
      </w:r>
    </w:p>
    <w:p>
      <w:pPr>
        <w:pStyle w:val="11"/>
        <w:keepNext w:val="0"/>
        <w:keepLines w:val="0"/>
        <w:pageBreakBefore w:val="0"/>
        <w:widowControl/>
        <w:kinsoku/>
        <w:wordWrap/>
        <w:overflowPunct/>
        <w:topLinePunct w:val="0"/>
        <w:autoSpaceDE w:val="0"/>
        <w:autoSpaceDN/>
        <w:bidi w:val="0"/>
        <w:adjustRightInd/>
        <w:snapToGrid/>
        <w:spacing w:beforeAutospacing="0" w:afterAutospacing="0" w:line="560" w:lineRule="exact"/>
        <w:textAlignment w:val="auto"/>
      </w:pPr>
      <w:r>
        <w:rPr>
          <w:rFonts w:ascii="仿宋_GB2312" w:eastAsia="仿宋_GB2312" w:cs="仿宋_GB2312"/>
          <w:b/>
          <w:sz w:val="32"/>
          <w:szCs w:val="32"/>
          <w:shd w:val="clear" w:color="auto" w:fill="FFFFFF"/>
        </w:rPr>
        <w:t>费支出（项）:</w:t>
      </w:r>
      <w:r>
        <w:rPr>
          <w:rFonts w:ascii="仿宋_GB2312" w:eastAsia="仿宋_GB2312" w:cs="仿宋_GB2312"/>
          <w:sz w:val="32"/>
          <w:szCs w:val="32"/>
          <w:shd w:val="clear" w:color="auto" w:fill="FFFFFF"/>
        </w:rPr>
        <w:t>支出决算为3.63万元，完成预算100%。</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ascii="仿宋_GB2312" w:eastAsia="仿宋_GB2312" w:cs="仿宋_GB2312"/>
          <w:b/>
          <w:sz w:val="32"/>
          <w:szCs w:val="32"/>
          <w:shd w:val="clear" w:color="auto" w:fill="FFFFFF"/>
        </w:rPr>
      </w:pPr>
      <w:r>
        <w:rPr>
          <w:rFonts w:ascii="仿宋_GB2312" w:eastAsia="仿宋_GB2312" w:cs="仿宋_GB2312"/>
          <w:b/>
          <w:sz w:val="32"/>
          <w:szCs w:val="32"/>
          <w:shd w:val="clear" w:color="auto" w:fill="FFFFFF"/>
        </w:rPr>
        <w:t>3.卫生健康（类）</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ascii="仿宋_GB2312" w:eastAsia="仿宋_GB2312" w:cs="仿宋_GB2312"/>
          <w:sz w:val="32"/>
          <w:szCs w:val="32"/>
          <w:shd w:val="clear" w:color="auto" w:fill="FFFFFF"/>
        </w:rPr>
      </w:pPr>
      <w:r>
        <w:rPr>
          <w:rStyle w:val="12"/>
          <w:rFonts w:hint="eastAsia" w:ascii="仿宋_GB2312" w:eastAsia="仿宋_GB2312" w:cs="仿宋_GB2312"/>
          <w:color w:val="000000"/>
          <w:sz w:val="32"/>
          <w:szCs w:val="32"/>
        </w:rPr>
        <w:t>①行政事业单位医疗</w:t>
      </w:r>
      <w:r>
        <w:rPr>
          <w:rFonts w:ascii="仿宋_GB2312" w:eastAsia="仿宋_GB2312" w:cs="仿宋_GB2312"/>
          <w:sz w:val="32"/>
          <w:szCs w:val="32"/>
          <w:shd w:val="clear" w:color="auto" w:fill="FFFFFF"/>
        </w:rPr>
        <w:t>（款）事业单位医疗（项）: 支出决算为4.07万元，完成预算100%。</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ascii="仿宋_GB2312" w:eastAsia="仿宋_GB2312" w:cs="仿宋_GB2312"/>
          <w:sz w:val="32"/>
          <w:szCs w:val="32"/>
          <w:shd w:val="clear" w:color="auto" w:fill="FFFFFF"/>
        </w:rPr>
      </w:pPr>
      <w:r>
        <w:rPr>
          <w:rStyle w:val="12"/>
          <w:rFonts w:hint="eastAsia" w:ascii="仿宋_GB2312" w:eastAsia="仿宋_GB2312" w:cs="仿宋_GB2312"/>
          <w:color w:val="000000"/>
          <w:sz w:val="32"/>
          <w:szCs w:val="32"/>
        </w:rPr>
        <w:t>②行政事业单位医疗</w:t>
      </w:r>
      <w:r>
        <w:rPr>
          <w:rFonts w:ascii="仿宋_GB2312" w:eastAsia="仿宋_GB2312" w:cs="仿宋_GB2312"/>
          <w:sz w:val="32"/>
          <w:szCs w:val="32"/>
          <w:shd w:val="clear" w:color="auto" w:fill="FFFFFF"/>
        </w:rPr>
        <w:t>（款）其他行政事业单位医疗支出（项）:支出决算为1.37万元，完成预算100%。</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cs="宋体"/>
          <w:sz w:val="32"/>
          <w:szCs w:val="32"/>
        </w:rPr>
      </w:pPr>
      <w:r>
        <w:rPr>
          <w:rFonts w:ascii="仿宋_GB2312" w:eastAsia="仿宋_GB2312" w:cs="仿宋_GB2312"/>
          <w:b/>
          <w:sz w:val="32"/>
          <w:szCs w:val="32"/>
          <w:shd w:val="clear" w:color="auto" w:fill="FFFFFF"/>
        </w:rPr>
        <w:t>4.</w:t>
      </w:r>
      <w:r>
        <w:rPr>
          <w:rStyle w:val="12"/>
          <w:rFonts w:hint="eastAsia" w:ascii="仿宋_GB2312" w:eastAsia="仿宋_GB2312" w:cs="仿宋_GB2312"/>
          <w:color w:val="000000"/>
          <w:sz w:val="32"/>
          <w:szCs w:val="32"/>
        </w:rPr>
        <w:t>住房保障（类）住房改革（款）住房公积金（项）:</w:t>
      </w:r>
      <w:r>
        <w:rPr>
          <w:rStyle w:val="12"/>
          <w:rFonts w:hint="eastAsia" w:ascii="仿宋" w:hAnsi="仿宋" w:eastAsia="仿宋" w:cs="仿宋"/>
          <w:b w:val="0"/>
          <w:color w:val="000000"/>
          <w:sz w:val="32"/>
          <w:szCs w:val="32"/>
        </w:rPr>
        <w:t>支出决算为7.01万元，完成预算100%。</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outlineLvl w:val="1"/>
        <w:rPr>
          <w:rFonts w:hint="default" w:ascii="仿宋_GB2312" w:eastAsia="仿宋_GB2312" w:cs="仿宋_GB2312"/>
          <w:sz w:val="32"/>
          <w:szCs w:val="32"/>
        </w:rPr>
      </w:pPr>
      <w:bookmarkStart w:id="44" w:name="_Toc25909"/>
      <w:bookmarkEnd w:id="44"/>
      <w:bookmarkStart w:id="45" w:name="_Toc30694"/>
      <w:bookmarkEnd w:id="45"/>
      <w:bookmarkStart w:id="46" w:name="_Toc384"/>
      <w:bookmarkEnd w:id="46"/>
      <w:bookmarkStart w:id="47" w:name="_Toc88833325"/>
      <w:bookmarkStart w:id="48" w:name="_Toc88561078"/>
      <w:r>
        <w:rPr>
          <w:rStyle w:val="12"/>
          <w:rFonts w:hint="eastAsia" w:ascii="仿宋_GB2312" w:eastAsia="仿宋_GB2312" w:cs="仿宋_GB2312"/>
          <w:sz w:val="32"/>
          <w:szCs w:val="32"/>
          <w:shd w:val="clear" w:color="auto" w:fill="FFFFFF"/>
        </w:rPr>
        <w:t>六、一般公共预算财政拨款基本支出决算情况说明</w:t>
      </w:r>
      <w:bookmarkEnd w:id="47"/>
      <w:bookmarkEnd w:id="48"/>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ind w:firstLine="640" w:firstLineChars="200"/>
        <w:textAlignment w:val="auto"/>
        <w:rPr>
          <w:rFonts w:hint="default" w:ascii="仿宋_GB2312" w:eastAsia="仿宋_GB2312" w:cs="仿宋_GB2312"/>
          <w:sz w:val="32"/>
          <w:szCs w:val="32"/>
        </w:rPr>
      </w:pPr>
      <w:r>
        <w:rPr>
          <w:rFonts w:ascii="仿宋_GB2312" w:eastAsia="仿宋_GB2312" w:cs="仿宋_GB2312"/>
          <w:sz w:val="32"/>
          <w:szCs w:val="32"/>
          <w:shd w:val="clear" w:color="auto" w:fill="FFFFFF"/>
        </w:rPr>
        <w:t>2020年一般公共预算财政拨款基本支出75.42万元，其中：</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ascii="仿宋_GB2312" w:eastAsia="仿宋_GB2312" w:cs="仿宋_GB2312"/>
          <w:sz w:val="32"/>
          <w:szCs w:val="32"/>
          <w:shd w:val="clear" w:color="auto" w:fill="FFFFFF"/>
        </w:rPr>
      </w:pPr>
      <w:r>
        <w:rPr>
          <w:rFonts w:ascii="仿宋_GB2312" w:eastAsia="仿宋_GB2312" w:cs="仿宋_GB2312"/>
          <w:sz w:val="32"/>
          <w:szCs w:val="32"/>
          <w:shd w:val="clear" w:color="auto" w:fill="FFFFFF"/>
        </w:rPr>
        <w:t xml:space="preserve">   人员经费74.67万元，主要包括：基本工资13.04万元、津贴补贴22.56万元、奖金1.09万元、绩效工资11.91万元、机关事业单位基本养老保险缴费7.26万元、职业年金缴费3.63万元、 </w:t>
      </w:r>
      <w:r>
        <w:rPr>
          <w:rFonts w:ascii="仿宋" w:hAnsi="仿宋" w:eastAsia="仿宋" w:cs="仿宋"/>
          <w:color w:val="000000"/>
          <w:sz w:val="32"/>
          <w:szCs w:val="32"/>
        </w:rPr>
        <w:t>医疗补助1.37万元、</w:t>
      </w:r>
      <w:r>
        <w:rPr>
          <w:rFonts w:ascii="仿宋_GB2312" w:eastAsia="仿宋_GB2312" w:cs="仿宋_GB2312"/>
          <w:sz w:val="32"/>
          <w:szCs w:val="32"/>
          <w:shd w:val="clear" w:color="auto" w:fill="FFFFFF"/>
        </w:rPr>
        <w:t>其他社会保障缴费1.05万元、住房公积金7.01万元、医疗费0.78万元，生活补助0.9万元。</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ascii="仿宋_GB2312" w:eastAsia="仿宋_GB2312" w:cs="仿宋_GB2312"/>
          <w:sz w:val="32"/>
          <w:szCs w:val="32"/>
        </w:rPr>
      </w:pPr>
      <w:r>
        <w:rPr>
          <w:rFonts w:ascii="仿宋_GB2312" w:eastAsia="仿宋_GB2312" w:cs="仿宋_GB2312"/>
          <w:sz w:val="32"/>
          <w:szCs w:val="32"/>
          <w:shd w:val="clear" w:color="auto" w:fill="FFFFFF"/>
        </w:rPr>
        <w:t xml:space="preserve">   日常公用经费0.75万元，主要包括：办公费0.15万元、维修（护）费0.40万元、公务用车运行维护费0.2万元。</w:t>
      </w:r>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outlineLvl w:val="1"/>
        <w:rPr>
          <w:rFonts w:hint="default" w:ascii="仿宋_GB2312" w:eastAsia="仿宋_GB2312" w:cs="仿宋_GB2312"/>
          <w:sz w:val="32"/>
          <w:szCs w:val="32"/>
        </w:rPr>
      </w:pPr>
      <w:bookmarkStart w:id="49" w:name="_Toc27565"/>
      <w:bookmarkEnd w:id="49"/>
      <w:bookmarkStart w:id="50" w:name="_Toc23863"/>
      <w:bookmarkEnd w:id="50"/>
      <w:bookmarkStart w:id="51" w:name="_Toc22407"/>
      <w:bookmarkEnd w:id="51"/>
      <w:bookmarkStart w:id="52" w:name="_Toc88561079"/>
      <w:bookmarkStart w:id="53" w:name="_Toc88833326"/>
      <w:r>
        <w:rPr>
          <w:rStyle w:val="12"/>
          <w:rFonts w:hint="eastAsia" w:ascii="仿宋_GB2312" w:eastAsia="仿宋_GB2312" w:cs="仿宋_GB2312"/>
          <w:sz w:val="32"/>
          <w:szCs w:val="32"/>
          <w:shd w:val="clear" w:color="auto" w:fill="FFFFFF"/>
        </w:rPr>
        <w:t>七、“三公”经费财政拨款支出决算情况说明</w:t>
      </w:r>
      <w:bookmarkEnd w:id="52"/>
      <w:bookmarkEnd w:id="53"/>
    </w:p>
    <w:p>
      <w:pPr>
        <w:pStyle w:val="11"/>
        <w:keepNext w:val="0"/>
        <w:keepLines w:val="0"/>
        <w:pageBreakBefore w:val="0"/>
        <w:widowControl w:val="0"/>
        <w:kinsoku/>
        <w:wordWrap/>
        <w:overflowPunct/>
        <w:topLinePunct w:val="0"/>
        <w:autoSpaceDE w:val="0"/>
        <w:autoSpaceDN/>
        <w:bidi w:val="0"/>
        <w:adjustRightInd/>
        <w:snapToGrid/>
        <w:spacing w:beforeAutospacing="0" w:afterAutospacing="0" w:line="560" w:lineRule="exact"/>
        <w:textAlignment w:val="auto"/>
        <w:rPr>
          <w:rFonts w:hint="default" w:cs="宋体"/>
          <w:sz w:val="32"/>
          <w:szCs w:val="32"/>
        </w:rPr>
      </w:pPr>
      <w:r>
        <w:rPr>
          <w:rStyle w:val="12"/>
          <w:rFonts w:hint="eastAsia" w:ascii="宋体" w:hAnsi="宋体" w:cs="宋体"/>
          <w:sz w:val="32"/>
          <w:szCs w:val="32"/>
          <w:shd w:val="clear" w:color="auto" w:fill="FFFFFF"/>
        </w:rPr>
        <w:t>（一）“三公”经费财政拨款支出决算总体情况说明</w:t>
      </w:r>
    </w:p>
    <w:p>
      <w:pPr>
        <w:pStyle w:val="11"/>
        <w:widowControl w:val="0"/>
        <w:autoSpaceDE w:val="0"/>
        <w:spacing w:beforeAutospacing="0" w:afterAutospacing="0" w:line="360" w:lineRule="auto"/>
        <w:ind w:firstLine="640" w:firstLineChars="200"/>
        <w:rPr>
          <w:rFonts w:hint="default" w:ascii="仿宋_GB2312" w:eastAsia="仿宋_GB2312" w:cs="仿宋_GB2312"/>
          <w:sz w:val="32"/>
          <w:szCs w:val="32"/>
        </w:rPr>
      </w:pPr>
      <w:r>
        <w:rPr>
          <w:rFonts w:ascii="仿宋_GB2312" w:eastAsia="仿宋_GB2312" w:cs="仿宋_GB2312"/>
          <w:sz w:val="32"/>
          <w:szCs w:val="32"/>
          <w:shd w:val="clear" w:color="auto" w:fill="FFFFFF"/>
        </w:rPr>
        <w:t>2020年“三公”经费财政拨款支出决算为0.20万元，完成预算100.00%，决算数与预算数持平。</w:t>
      </w:r>
    </w:p>
    <w:p>
      <w:pPr>
        <w:pStyle w:val="11"/>
        <w:widowControl w:val="0"/>
        <w:numPr>
          <w:ilvl w:val="0"/>
          <w:numId w:val="5"/>
        </w:numPr>
        <w:spacing w:beforeAutospacing="0" w:afterAutospacing="0" w:line="360" w:lineRule="auto"/>
        <w:rPr>
          <w:rFonts w:hint="default" w:ascii="仿宋_GB2312" w:eastAsia="仿宋_GB2312" w:cs="仿宋_GB2312"/>
          <w:sz w:val="32"/>
          <w:szCs w:val="32"/>
          <w:shd w:val="clear" w:color="auto" w:fill="FFFFFF"/>
        </w:rPr>
      </w:pPr>
      <w:r>
        <w:rPr>
          <w:rStyle w:val="12"/>
          <w:sz w:val="32"/>
          <w:szCs w:val="32"/>
          <w:shd w:val="clear" w:color="auto" w:fill="FFFFFF"/>
        </w:rPr>
        <w:t>“</w:t>
      </w:r>
      <w:r>
        <w:rPr>
          <w:rStyle w:val="12"/>
          <w:rFonts w:hint="eastAsia" w:ascii="宋体" w:hAnsi="宋体" w:cs="宋体"/>
          <w:sz w:val="32"/>
          <w:szCs w:val="32"/>
          <w:shd w:val="clear" w:color="auto" w:fill="FFFFFF"/>
        </w:rPr>
        <w:t>三公</w:t>
      </w:r>
      <w:r>
        <w:rPr>
          <w:rStyle w:val="12"/>
          <w:sz w:val="32"/>
          <w:szCs w:val="32"/>
          <w:shd w:val="clear" w:color="auto" w:fill="FFFFFF"/>
        </w:rPr>
        <w:t>”</w:t>
      </w:r>
      <w:r>
        <w:rPr>
          <w:rStyle w:val="12"/>
          <w:rFonts w:hint="eastAsia" w:ascii="宋体" w:hAnsi="宋体" w:cs="宋体"/>
          <w:sz w:val="32"/>
          <w:szCs w:val="32"/>
          <w:shd w:val="clear" w:color="auto" w:fill="FFFFFF"/>
        </w:rPr>
        <w:t>经费财政拨款支出决算具体情况说明</w:t>
      </w:r>
    </w:p>
    <w:p>
      <w:pPr>
        <w:pStyle w:val="11"/>
        <w:widowControl w:val="0"/>
        <w:spacing w:beforeAutospacing="0" w:afterAutospacing="0" w:line="360" w:lineRule="auto"/>
        <w:ind w:firstLine="640" w:firstLineChars="200"/>
        <w:rPr>
          <w:rFonts w:hint="default" w:ascii="仿宋_GB2312" w:eastAsia="仿宋_GB2312" w:cs="仿宋_GB2312"/>
          <w:sz w:val="32"/>
          <w:szCs w:val="32"/>
        </w:rPr>
      </w:pPr>
      <w:r>
        <w:rPr>
          <w:rFonts w:ascii="仿宋_GB2312" w:eastAsia="仿宋_GB2312" w:cs="仿宋_GB2312"/>
          <w:sz w:val="32"/>
          <w:szCs w:val="32"/>
          <w:shd w:val="clear" w:color="auto" w:fill="FFFFFF"/>
        </w:rPr>
        <w:t>2020年“三公”经费财政拨款支出决算中，因公出国（境）费支出决算0.00万元，占 0.00%；公务用车购置及运行维护费支出决算0.20万元，占 1.00%；公务接待费支出决算0.00万元，占 0.00%。具体情况如下：</w:t>
      </w:r>
    </w:p>
    <w:p>
      <w:pPr>
        <w:pStyle w:val="11"/>
        <w:widowControl w:val="0"/>
        <w:spacing w:beforeAutospacing="0" w:line="560" w:lineRule="exact"/>
        <w:jc w:val="center"/>
        <w:rPr>
          <w:rFonts w:hint="default" w:ascii="仿宋_GB2312" w:eastAsia="仿宋_GB2312" w:cs="仿宋_GB2312"/>
          <w:sz w:val="32"/>
          <w:szCs w:val="32"/>
        </w:rPr>
      </w:pPr>
      <w:r>
        <w:rPr>
          <w:rFonts w:ascii="仿宋_GB2312" w:eastAsia="仿宋_GB2312" w:cs="仿宋_GB2312"/>
          <w:sz w:val="32"/>
          <w:szCs w:val="32"/>
          <w:shd w:val="clear" w:color="auto" w:fill="FFFFFF"/>
        </w:rPr>
        <w:t>（图7：“三公”经费财政拨款支出结构）（饼状图）</w:t>
      </w:r>
    </w:p>
    <w:p>
      <w:pPr>
        <w:pStyle w:val="11"/>
        <w:widowControl w:val="0"/>
        <w:spacing w:beforeAutospacing="0"/>
        <w:jc w:val="center"/>
        <w:rPr>
          <w:rFonts w:hint="default" w:cs="宋体"/>
          <w:sz w:val="32"/>
          <w:szCs w:val="32"/>
        </w:rPr>
      </w:pPr>
      <w:r>
        <w:pict>
          <v:shape id="Object 2" o:spid="_x0000_s1032" o:spt="75" type="#_x0000_t75" style="position:absolute;left:0pt;margin-left:52.5pt;margin-top:5.45pt;height:223.2pt;width:298.55pt;mso-wrap-distance-bottom:0.05pt;mso-wrap-distance-left:9pt;mso-wrap-distance-right:9pt;mso-wrap-distance-top:0pt;z-index:251667456;mso-width-relative:page;mso-height-relative:page;" o:ole="t" filled="f" stroked="f" coordsize="21600,21600">
            <v:path/>
            <v:fill on="f" focussize="0,0"/>
            <v:stroke on="f"/>
            <v:imagedata r:id="rId19" o:title=""/>
            <o:lock v:ext="edit" aspectratio="t"/>
            <w10:wrap type="square"/>
          </v:shape>
          <o:OLEObject Type="Embed" ProgID="Excel.Chart.8" ShapeID="Object 2" DrawAspect="Content" ObjectID="_1468075731" r:id="rId18">
            <o:LockedField>false</o:LockedField>
          </o:OLEObject>
        </w:pict>
      </w:r>
    </w:p>
    <w:p>
      <w:pPr>
        <w:pStyle w:val="11"/>
        <w:widowControl w:val="0"/>
        <w:spacing w:beforeAutospacing="0" w:after="100" w:afterAutospacing="0" w:line="560" w:lineRule="exact"/>
        <w:rPr>
          <w:rFonts w:hint="default" w:ascii="仿宋_GB2312" w:eastAsia="仿宋_GB2312" w:cs="仿宋_GB2312"/>
          <w:sz w:val="32"/>
          <w:szCs w:val="32"/>
          <w:shd w:val="clear" w:color="auto" w:fill="FFFFFF"/>
        </w:rPr>
      </w:pPr>
    </w:p>
    <w:p>
      <w:pPr>
        <w:pStyle w:val="11"/>
        <w:widowControl w:val="0"/>
        <w:spacing w:beforeAutospacing="0" w:after="100" w:afterAutospacing="0" w:line="560" w:lineRule="exact"/>
        <w:rPr>
          <w:rFonts w:hint="default" w:ascii="仿宋_GB2312" w:eastAsia="仿宋_GB2312" w:cs="仿宋_GB2312"/>
          <w:sz w:val="32"/>
          <w:szCs w:val="32"/>
          <w:shd w:val="clear" w:color="auto" w:fill="FFFFFF"/>
        </w:rPr>
      </w:pPr>
    </w:p>
    <w:p>
      <w:pPr>
        <w:pStyle w:val="11"/>
        <w:widowControl w:val="0"/>
        <w:spacing w:beforeAutospacing="0" w:after="100" w:afterAutospacing="0" w:line="560" w:lineRule="exact"/>
        <w:rPr>
          <w:rFonts w:hint="default" w:ascii="仿宋_GB2312" w:eastAsia="仿宋_GB2312" w:cs="仿宋_GB2312"/>
          <w:sz w:val="32"/>
          <w:szCs w:val="32"/>
          <w:shd w:val="clear" w:color="auto" w:fill="FFFFFF"/>
        </w:rPr>
      </w:pPr>
    </w:p>
    <w:p>
      <w:pPr>
        <w:pStyle w:val="11"/>
        <w:widowControl w:val="0"/>
        <w:spacing w:beforeAutospacing="0" w:after="100" w:afterAutospacing="0" w:line="560" w:lineRule="exact"/>
        <w:rPr>
          <w:rStyle w:val="12"/>
          <w:rFonts w:hint="eastAsia" w:ascii="仿宋_GB2312" w:eastAsia="仿宋_GB2312" w:cs="仿宋_GB2312"/>
          <w:sz w:val="32"/>
          <w:szCs w:val="32"/>
          <w:shd w:val="clear" w:color="auto" w:fill="FFFFFF"/>
        </w:rPr>
      </w:pPr>
    </w:p>
    <w:p>
      <w:pPr>
        <w:pStyle w:val="11"/>
        <w:widowControl w:val="0"/>
        <w:spacing w:beforeAutospacing="0" w:after="100" w:afterAutospacing="0" w:line="560" w:lineRule="exact"/>
        <w:rPr>
          <w:rStyle w:val="12"/>
          <w:rFonts w:hint="eastAsia" w:ascii="仿宋_GB2312" w:eastAsia="仿宋_GB2312" w:cs="仿宋_GB2312"/>
          <w:sz w:val="32"/>
          <w:szCs w:val="32"/>
          <w:shd w:val="clear" w:color="auto" w:fill="FFFFFF"/>
        </w:rPr>
      </w:pPr>
    </w:p>
    <w:p>
      <w:pPr>
        <w:pStyle w:val="11"/>
        <w:widowControl w:val="0"/>
        <w:spacing w:beforeAutospacing="0" w:after="100" w:afterAutospacing="0" w:line="560" w:lineRule="exact"/>
        <w:rPr>
          <w:rStyle w:val="12"/>
          <w:rFonts w:hint="eastAsia" w:ascii="仿宋_GB2312" w:eastAsia="仿宋_GB2312" w:cs="仿宋_GB2312"/>
          <w:sz w:val="32"/>
          <w:szCs w:val="32"/>
          <w:shd w:val="clear" w:color="auto" w:fill="FFFFFF"/>
        </w:rPr>
      </w:pPr>
    </w:p>
    <w:p>
      <w:pPr>
        <w:pStyle w:val="11"/>
        <w:widowControl w:val="0"/>
        <w:spacing w:beforeAutospacing="0" w:after="100" w:afterAutospacing="0" w:line="560" w:lineRule="exact"/>
        <w:rPr>
          <w:rFonts w:hint="default" w:ascii="仿宋_GB2312" w:eastAsia="仿宋_GB2312" w:cs="仿宋_GB2312"/>
          <w:sz w:val="32"/>
          <w:szCs w:val="32"/>
          <w:shd w:val="clear" w:color="auto" w:fill="FFFFFF"/>
        </w:rPr>
      </w:pPr>
      <w:r>
        <w:rPr>
          <w:rStyle w:val="12"/>
          <w:rFonts w:hint="eastAsia" w:ascii="仿宋_GB2312" w:eastAsia="仿宋_GB2312" w:cs="仿宋_GB2312"/>
          <w:sz w:val="32"/>
          <w:szCs w:val="32"/>
          <w:shd w:val="clear" w:color="auto" w:fill="FFFFFF"/>
        </w:rPr>
        <w:t>1.因公出国（境）经费支出</w:t>
      </w:r>
      <w:r>
        <w:rPr>
          <w:rFonts w:ascii="仿宋_GB2312" w:eastAsia="仿宋_GB2312" w:cs="仿宋_GB2312"/>
          <w:sz w:val="32"/>
          <w:szCs w:val="32"/>
          <w:shd w:val="clear" w:color="auto" w:fill="FFFFFF"/>
        </w:rPr>
        <w:t>0.00</w:t>
      </w:r>
      <w:r>
        <w:rPr>
          <w:rStyle w:val="12"/>
          <w:rFonts w:hint="eastAsia" w:ascii="仿宋_GB2312" w:eastAsia="仿宋_GB2312" w:cs="仿宋_GB2312"/>
          <w:sz w:val="32"/>
          <w:szCs w:val="32"/>
          <w:shd w:val="clear" w:color="auto" w:fill="FFFFFF"/>
        </w:rPr>
        <w:t>万元，</w:t>
      </w:r>
      <w:r>
        <w:rPr>
          <w:rFonts w:ascii="仿宋_GB2312" w:eastAsia="仿宋_GB2312" w:cs="仿宋_GB2312"/>
          <w:sz w:val="32"/>
          <w:szCs w:val="32"/>
          <w:shd w:val="clear" w:color="auto" w:fill="FFFFFF"/>
        </w:rPr>
        <w:t>因公出国（境）支出决算数与2019年持平。</w:t>
      </w:r>
    </w:p>
    <w:p>
      <w:pPr>
        <w:widowControl w:val="0"/>
        <w:spacing w:line="560" w:lineRule="exact"/>
        <w:rPr>
          <w:rFonts w:hint="default" w:ascii="仿宋_GB2312" w:eastAsia="仿宋_GB2312" w:cs="仿宋_GB2312"/>
          <w:sz w:val="32"/>
          <w:szCs w:val="32"/>
          <w:shd w:val="clear" w:color="auto" w:fill="FFFFFF"/>
        </w:rPr>
      </w:pPr>
      <w:r>
        <w:rPr>
          <w:rStyle w:val="12"/>
          <w:rFonts w:hint="eastAsia" w:ascii="仿宋_GB2312" w:eastAsia="仿宋_GB2312" w:cs="仿宋_GB2312"/>
          <w:sz w:val="32"/>
          <w:szCs w:val="32"/>
          <w:shd w:val="clear" w:color="auto" w:fill="FFFFFF"/>
        </w:rPr>
        <w:t>2.公务用车购置及运行维护费支出</w:t>
      </w:r>
      <w:r>
        <w:rPr>
          <w:rFonts w:ascii="仿宋_GB2312" w:eastAsia="仿宋_GB2312" w:cs="仿宋_GB2312"/>
          <w:sz w:val="32"/>
          <w:szCs w:val="32"/>
          <w:shd w:val="clear" w:color="auto" w:fill="FFFFFF"/>
        </w:rPr>
        <w:t>0.20</w:t>
      </w:r>
      <w:r>
        <w:rPr>
          <w:rStyle w:val="12"/>
          <w:rFonts w:hint="eastAsia" w:ascii="仿宋_GB2312" w:eastAsia="仿宋_GB2312" w:cs="仿宋_GB2312"/>
          <w:sz w:val="32"/>
          <w:szCs w:val="32"/>
          <w:shd w:val="clear" w:color="auto" w:fill="FFFFFF"/>
        </w:rPr>
        <w:t>万元,完成预算</w:t>
      </w:r>
      <w:r>
        <w:rPr>
          <w:rFonts w:ascii="仿宋_GB2312" w:eastAsia="仿宋_GB2312" w:cs="仿宋_GB2312"/>
          <w:sz w:val="32"/>
          <w:szCs w:val="32"/>
          <w:shd w:val="clear" w:color="auto" w:fill="FFFFFF"/>
        </w:rPr>
        <w:t>100.00</w:t>
      </w:r>
      <w:r>
        <w:rPr>
          <w:rStyle w:val="12"/>
          <w:rFonts w:hint="eastAsia" w:ascii="仿宋_GB2312" w:eastAsia="仿宋_GB2312" w:cs="仿宋_GB2312"/>
          <w:sz w:val="32"/>
          <w:szCs w:val="32"/>
          <w:shd w:val="clear" w:color="auto" w:fill="FFFFFF"/>
        </w:rPr>
        <w:t>%。</w:t>
      </w:r>
      <w:r>
        <w:rPr>
          <w:rFonts w:ascii="仿宋_GB2312" w:eastAsia="仿宋_GB2312" w:cs="仿宋_GB2312"/>
          <w:sz w:val="32"/>
          <w:szCs w:val="32"/>
          <w:shd w:val="clear" w:color="auto" w:fill="FFFFFF"/>
        </w:rPr>
        <w:t>公务用车购置及运行维护费支出决算与2019年持平。</w:t>
      </w:r>
    </w:p>
    <w:p>
      <w:pPr>
        <w:keepNext w:val="0"/>
        <w:keepLines w:val="0"/>
        <w:pageBreakBefore w:val="0"/>
        <w:widowControl w:val="0"/>
        <w:kinsoku/>
        <w:wordWrap/>
        <w:overflowPunct/>
        <w:topLinePunct w:val="0"/>
        <w:bidi w:val="0"/>
        <w:snapToGrid/>
        <w:spacing w:line="560" w:lineRule="exact"/>
        <w:ind w:firstLine="640" w:firstLineChars="200"/>
        <w:textAlignment w:val="auto"/>
        <w:rPr>
          <w:rStyle w:val="12"/>
          <w:rFonts w:hint="eastAsia" w:ascii="仿宋_GB2312" w:eastAsia="仿宋_GB2312" w:cs="仿宋_GB2312"/>
          <w:sz w:val="32"/>
          <w:szCs w:val="32"/>
          <w:shd w:val="clear" w:color="auto" w:fill="FFFFFF"/>
        </w:rPr>
      </w:pPr>
      <w:r>
        <w:rPr>
          <w:rFonts w:ascii="仿宋_GB2312" w:eastAsia="仿宋_GB2312" w:cs="仿宋_GB2312"/>
          <w:sz w:val="32"/>
          <w:szCs w:val="32"/>
          <w:shd w:val="clear" w:color="auto" w:fill="FFFFFF"/>
        </w:rPr>
        <w:t>截至2020年12月底，单位共有公务用车 1辆，其中：其他用车1辆。</w:t>
      </w:r>
      <w:r>
        <w:rPr>
          <w:rStyle w:val="12"/>
          <w:rFonts w:hint="eastAsia" w:ascii="仿宋_GB2312" w:eastAsia="仿宋_GB2312" w:cs="仿宋_GB2312"/>
          <w:sz w:val="32"/>
          <w:szCs w:val="32"/>
          <w:shd w:val="clear" w:color="auto" w:fill="FFFFFF"/>
        </w:rPr>
        <w:t>公务用车运行维护费支出</w:t>
      </w:r>
      <w:r>
        <w:rPr>
          <w:rFonts w:ascii="仿宋_GB2312" w:eastAsia="仿宋_GB2312" w:cs="仿宋_GB2312"/>
          <w:sz w:val="32"/>
          <w:szCs w:val="32"/>
          <w:shd w:val="clear" w:color="auto" w:fill="FFFFFF"/>
        </w:rPr>
        <w:t>0.20</w:t>
      </w:r>
      <w:r>
        <w:rPr>
          <w:rStyle w:val="12"/>
          <w:rFonts w:hint="eastAsia" w:ascii="仿宋_GB2312" w:eastAsia="仿宋_GB2312" w:cs="仿宋_GB2312"/>
          <w:sz w:val="32"/>
          <w:szCs w:val="32"/>
          <w:shd w:val="clear" w:color="auto" w:fill="FFFFFF"/>
        </w:rPr>
        <w:t>万元。</w:t>
      </w:r>
      <w:r>
        <w:rPr>
          <w:rFonts w:ascii="仿宋_GB2312" w:eastAsia="仿宋_GB2312" w:cs="仿宋_GB2312"/>
          <w:color w:val="000000"/>
          <w:sz w:val="32"/>
          <w:szCs w:val="32"/>
        </w:rPr>
        <w:t>主要用于开展业务活动等所需的公务用车燃料费、维修费、过路过桥费、保险费等支出。</w:t>
      </w:r>
    </w:p>
    <w:p>
      <w:pPr>
        <w:pStyle w:val="11"/>
        <w:keepNext w:val="0"/>
        <w:keepLines w:val="0"/>
        <w:pageBreakBefore w:val="0"/>
        <w:widowControl w:val="0"/>
        <w:kinsoku/>
        <w:wordWrap/>
        <w:overflowPunct/>
        <w:topLinePunct w:val="0"/>
        <w:bidi w:val="0"/>
        <w:snapToGrid/>
        <w:spacing w:beforeAutospacing="0" w:afterAutospacing="0" w:line="560" w:lineRule="exact"/>
        <w:textAlignment w:val="auto"/>
        <w:rPr>
          <w:rFonts w:hint="default" w:ascii="仿宋_GB2312" w:eastAsia="仿宋_GB2312" w:cs="仿宋_GB2312"/>
          <w:sz w:val="32"/>
          <w:szCs w:val="32"/>
        </w:rPr>
      </w:pPr>
      <w:r>
        <w:rPr>
          <w:rStyle w:val="12"/>
          <w:rFonts w:hint="eastAsia" w:ascii="仿宋_GB2312" w:eastAsia="仿宋_GB2312" w:cs="仿宋_GB2312"/>
          <w:sz w:val="32"/>
          <w:szCs w:val="32"/>
          <w:shd w:val="clear" w:color="auto" w:fill="FFFFFF"/>
        </w:rPr>
        <w:t>3.公务接待费支出</w:t>
      </w:r>
      <w:r>
        <w:rPr>
          <w:rFonts w:ascii="仿宋_GB2312" w:eastAsia="仿宋_GB2312" w:cs="仿宋_GB2312"/>
          <w:sz w:val="32"/>
          <w:szCs w:val="32"/>
          <w:shd w:val="clear" w:color="auto" w:fill="FFFFFF"/>
        </w:rPr>
        <w:t>0.00</w:t>
      </w:r>
      <w:r>
        <w:rPr>
          <w:rStyle w:val="12"/>
          <w:rFonts w:hint="eastAsia" w:ascii="仿宋_GB2312" w:eastAsia="仿宋_GB2312" w:cs="仿宋_GB2312"/>
          <w:sz w:val="32"/>
          <w:szCs w:val="32"/>
          <w:shd w:val="clear" w:color="auto" w:fill="FFFFFF"/>
        </w:rPr>
        <w:t>万元，</w:t>
      </w:r>
      <w:r>
        <w:rPr>
          <w:rFonts w:ascii="仿宋_GB2312" w:eastAsia="仿宋_GB2312" w:cs="仿宋_GB2312"/>
          <w:sz w:val="32"/>
          <w:szCs w:val="32"/>
          <w:shd w:val="clear" w:color="auto" w:fill="FFFFFF"/>
        </w:rPr>
        <w:t xml:space="preserve">公务接待费支出决算数与2020年持平。 </w:t>
      </w:r>
    </w:p>
    <w:p>
      <w:pPr>
        <w:pStyle w:val="11"/>
        <w:keepNext w:val="0"/>
        <w:keepLines w:val="0"/>
        <w:pageBreakBefore w:val="0"/>
        <w:widowControl w:val="0"/>
        <w:kinsoku/>
        <w:wordWrap/>
        <w:overflowPunct/>
        <w:topLinePunct w:val="0"/>
        <w:bidi w:val="0"/>
        <w:snapToGrid/>
        <w:spacing w:beforeAutospacing="0" w:afterAutospacing="0" w:line="560" w:lineRule="exact"/>
        <w:textAlignment w:val="auto"/>
        <w:outlineLvl w:val="1"/>
        <w:rPr>
          <w:rFonts w:hint="default" w:cs="宋体"/>
          <w:sz w:val="32"/>
          <w:szCs w:val="32"/>
        </w:rPr>
      </w:pPr>
      <w:bookmarkStart w:id="54" w:name="_Toc5141"/>
      <w:bookmarkEnd w:id="54"/>
      <w:bookmarkStart w:id="55" w:name="_Toc14323"/>
      <w:bookmarkEnd w:id="55"/>
      <w:bookmarkStart w:id="56" w:name="_Toc31210"/>
      <w:bookmarkEnd w:id="56"/>
      <w:bookmarkStart w:id="57" w:name="_Toc88833327"/>
      <w:bookmarkStart w:id="58" w:name="_Toc88561080"/>
      <w:r>
        <w:rPr>
          <w:rStyle w:val="12"/>
          <w:rFonts w:hint="eastAsia" w:ascii="宋体" w:hAnsi="宋体" w:cs="宋体"/>
          <w:sz w:val="32"/>
          <w:szCs w:val="32"/>
          <w:shd w:val="clear" w:color="auto" w:fill="FFFFFF"/>
        </w:rPr>
        <w:t>八、政府性基金预算支出决算情况说明</w:t>
      </w:r>
      <w:bookmarkEnd w:id="57"/>
      <w:bookmarkEnd w:id="58"/>
    </w:p>
    <w:p>
      <w:pPr>
        <w:pStyle w:val="11"/>
        <w:keepNext w:val="0"/>
        <w:keepLines w:val="0"/>
        <w:pageBreakBefore w:val="0"/>
        <w:widowControl w:val="0"/>
        <w:kinsoku/>
        <w:wordWrap/>
        <w:overflowPunct/>
        <w:topLinePunct w:val="0"/>
        <w:bidi w:val="0"/>
        <w:snapToGrid/>
        <w:spacing w:beforeAutospacing="0" w:afterAutospacing="0" w:line="560" w:lineRule="exact"/>
        <w:textAlignment w:val="auto"/>
        <w:rPr>
          <w:rFonts w:hint="default" w:cs="宋体"/>
          <w:sz w:val="32"/>
          <w:szCs w:val="32"/>
        </w:rPr>
      </w:pPr>
      <w:r>
        <w:rPr>
          <w:rFonts w:ascii="仿宋_GB2312" w:eastAsia="仿宋_GB2312" w:cs="仿宋_GB2312"/>
          <w:sz w:val="32"/>
          <w:szCs w:val="32"/>
          <w:shd w:val="clear" w:color="auto" w:fill="FFFFFF"/>
        </w:rPr>
        <w:t xml:space="preserve">   2020年政府性基金预算拨款支出0.00万元。</w:t>
      </w:r>
    </w:p>
    <w:p>
      <w:pPr>
        <w:pStyle w:val="11"/>
        <w:keepNext w:val="0"/>
        <w:keepLines w:val="0"/>
        <w:pageBreakBefore w:val="0"/>
        <w:widowControl w:val="0"/>
        <w:kinsoku/>
        <w:wordWrap/>
        <w:overflowPunct/>
        <w:topLinePunct w:val="0"/>
        <w:bidi w:val="0"/>
        <w:snapToGrid/>
        <w:spacing w:beforeAutospacing="0" w:afterAutospacing="0" w:line="560" w:lineRule="exact"/>
        <w:textAlignment w:val="auto"/>
        <w:outlineLvl w:val="1"/>
        <w:rPr>
          <w:rFonts w:hint="default" w:cs="宋体"/>
          <w:sz w:val="32"/>
          <w:szCs w:val="32"/>
        </w:rPr>
      </w:pPr>
      <w:bookmarkStart w:id="59" w:name="_Toc23448"/>
      <w:bookmarkEnd w:id="59"/>
      <w:bookmarkStart w:id="60" w:name="_Toc11714"/>
      <w:bookmarkEnd w:id="60"/>
      <w:bookmarkStart w:id="61" w:name="_Toc20020"/>
      <w:bookmarkEnd w:id="61"/>
      <w:bookmarkStart w:id="62" w:name="_Toc88833328"/>
      <w:bookmarkStart w:id="63" w:name="_Toc88561081"/>
      <w:r>
        <w:rPr>
          <w:rStyle w:val="12"/>
          <w:rFonts w:hint="eastAsia" w:ascii="宋体" w:hAnsi="宋体" w:cs="宋体"/>
          <w:sz w:val="32"/>
          <w:szCs w:val="32"/>
          <w:shd w:val="clear" w:color="auto" w:fill="FFFFFF"/>
        </w:rPr>
        <w:t>九、国有资本经营预算支出决算情况说明</w:t>
      </w:r>
      <w:bookmarkEnd w:id="62"/>
      <w:bookmarkEnd w:id="63"/>
    </w:p>
    <w:p>
      <w:pPr>
        <w:pStyle w:val="11"/>
        <w:keepNext w:val="0"/>
        <w:keepLines w:val="0"/>
        <w:pageBreakBefore w:val="0"/>
        <w:widowControl w:val="0"/>
        <w:kinsoku/>
        <w:wordWrap/>
        <w:overflowPunct/>
        <w:topLinePunct w:val="0"/>
        <w:bidi w:val="0"/>
        <w:snapToGrid/>
        <w:spacing w:beforeAutospacing="0" w:afterAutospacing="0" w:line="560" w:lineRule="exact"/>
        <w:ind w:firstLine="320" w:firstLineChars="100"/>
        <w:textAlignment w:val="auto"/>
        <w:rPr>
          <w:rFonts w:hint="default" w:cs="宋体"/>
          <w:sz w:val="32"/>
          <w:szCs w:val="32"/>
        </w:rPr>
      </w:pPr>
      <w:r>
        <w:rPr>
          <w:rFonts w:ascii="仿宋_GB2312" w:eastAsia="仿宋_GB2312" w:cs="仿宋_GB2312"/>
          <w:sz w:val="32"/>
          <w:szCs w:val="32"/>
          <w:shd w:val="clear" w:color="auto" w:fill="FFFFFF"/>
        </w:rPr>
        <w:t xml:space="preserve"> 2020年国有资本经营预算拨款支出0.00万元。</w:t>
      </w:r>
    </w:p>
    <w:p>
      <w:pPr>
        <w:pStyle w:val="11"/>
        <w:keepNext w:val="0"/>
        <w:keepLines w:val="0"/>
        <w:pageBreakBefore w:val="0"/>
        <w:widowControl w:val="0"/>
        <w:kinsoku/>
        <w:wordWrap/>
        <w:overflowPunct/>
        <w:topLinePunct w:val="0"/>
        <w:bidi w:val="0"/>
        <w:snapToGrid/>
        <w:spacing w:beforeAutospacing="0" w:afterAutospacing="0" w:line="560" w:lineRule="exact"/>
        <w:textAlignment w:val="auto"/>
        <w:outlineLvl w:val="1"/>
        <w:rPr>
          <w:rFonts w:hint="default" w:cs="宋体"/>
          <w:sz w:val="32"/>
          <w:szCs w:val="32"/>
        </w:rPr>
      </w:pPr>
      <w:bookmarkStart w:id="64" w:name="_Toc1173"/>
      <w:bookmarkEnd w:id="64"/>
      <w:bookmarkStart w:id="65" w:name="_Toc32110"/>
      <w:bookmarkEnd w:id="65"/>
      <w:bookmarkStart w:id="66" w:name="_Toc4347"/>
      <w:bookmarkEnd w:id="66"/>
      <w:bookmarkStart w:id="67" w:name="_Toc88833329"/>
      <w:bookmarkStart w:id="68" w:name="_Toc88561082"/>
      <w:r>
        <w:rPr>
          <w:rStyle w:val="12"/>
          <w:rFonts w:hint="eastAsia" w:ascii="宋体" w:hAnsi="宋体" w:cs="宋体"/>
          <w:sz w:val="32"/>
          <w:szCs w:val="32"/>
          <w:shd w:val="clear" w:color="auto" w:fill="FFFFFF"/>
        </w:rPr>
        <w:t>十、其他重要事项的情况说明</w:t>
      </w:r>
      <w:bookmarkEnd w:id="67"/>
      <w:bookmarkEnd w:id="68"/>
    </w:p>
    <w:p>
      <w:pPr>
        <w:pStyle w:val="11"/>
        <w:keepNext w:val="0"/>
        <w:keepLines w:val="0"/>
        <w:pageBreakBefore w:val="0"/>
        <w:widowControl w:val="0"/>
        <w:kinsoku/>
        <w:wordWrap/>
        <w:overflowPunct/>
        <w:topLinePunct w:val="0"/>
        <w:bidi w:val="0"/>
        <w:snapToGrid/>
        <w:spacing w:beforeAutospacing="0" w:afterAutospacing="0" w:line="560" w:lineRule="exact"/>
        <w:textAlignment w:val="auto"/>
        <w:rPr>
          <w:rFonts w:hint="default" w:cs="宋体"/>
          <w:sz w:val="32"/>
          <w:szCs w:val="32"/>
        </w:rPr>
      </w:pPr>
      <w:r>
        <w:rPr>
          <w:rStyle w:val="12"/>
          <w:rFonts w:hint="eastAsia" w:ascii="宋体" w:hAnsi="宋体" w:cs="宋体"/>
          <w:sz w:val="32"/>
          <w:szCs w:val="32"/>
          <w:shd w:val="clear" w:color="auto" w:fill="FFFFFF"/>
        </w:rPr>
        <w:t>（一）机关运行经费支出情况</w:t>
      </w:r>
    </w:p>
    <w:p>
      <w:pPr>
        <w:pStyle w:val="11"/>
        <w:keepNext w:val="0"/>
        <w:keepLines w:val="0"/>
        <w:pageBreakBefore w:val="0"/>
        <w:widowControl w:val="0"/>
        <w:kinsoku/>
        <w:wordWrap/>
        <w:overflowPunct/>
        <w:topLinePunct w:val="0"/>
        <w:bidi w:val="0"/>
        <w:snapToGrid/>
        <w:spacing w:beforeAutospacing="0" w:afterAutospacing="0" w:line="560" w:lineRule="exact"/>
        <w:ind w:firstLine="320" w:firstLineChars="100"/>
        <w:textAlignment w:val="auto"/>
        <w:rPr>
          <w:rFonts w:hint="default" w:ascii="仿宋_GB2312" w:eastAsia="仿宋_GB2312" w:cs="仿宋_GB2312"/>
          <w:sz w:val="32"/>
          <w:szCs w:val="32"/>
          <w:shd w:val="clear" w:color="auto" w:fill="FFFFFF"/>
        </w:rPr>
      </w:pPr>
      <w:r>
        <w:rPr>
          <w:rFonts w:ascii="仿宋_GB2312" w:eastAsia="仿宋_GB2312" w:cs="仿宋_GB2312"/>
          <w:sz w:val="32"/>
          <w:szCs w:val="32"/>
          <w:shd w:val="clear" w:color="auto" w:fill="FFFFFF"/>
        </w:rPr>
        <w:t>2020年，阿坝州红原县新华书店机关运行经费支出0.76万元，比2019增加0.76万元，增长1.00%，主要原因是为保障单位运行，将办公费、车辆运行维护费等纳入了部门预算。</w:t>
      </w:r>
    </w:p>
    <w:p>
      <w:pPr>
        <w:pStyle w:val="11"/>
        <w:keepNext w:val="0"/>
        <w:keepLines w:val="0"/>
        <w:pageBreakBefore w:val="0"/>
        <w:widowControl w:val="0"/>
        <w:kinsoku/>
        <w:wordWrap/>
        <w:overflowPunct/>
        <w:topLinePunct w:val="0"/>
        <w:bidi w:val="0"/>
        <w:snapToGrid/>
        <w:spacing w:beforeAutospacing="0" w:afterAutospacing="0" w:line="560" w:lineRule="exact"/>
        <w:textAlignment w:val="auto"/>
        <w:rPr>
          <w:rFonts w:hint="default" w:cs="宋体"/>
          <w:sz w:val="32"/>
          <w:szCs w:val="32"/>
        </w:rPr>
      </w:pPr>
      <w:r>
        <w:rPr>
          <w:rStyle w:val="12"/>
          <w:rFonts w:hint="eastAsia" w:ascii="宋体" w:hAnsi="宋体" w:cs="宋体"/>
          <w:sz w:val="32"/>
          <w:szCs w:val="32"/>
          <w:shd w:val="clear" w:color="auto" w:fill="FFFFFF"/>
        </w:rPr>
        <w:t>（二）政府采购支出情况</w:t>
      </w:r>
    </w:p>
    <w:p>
      <w:pPr>
        <w:pStyle w:val="11"/>
        <w:keepNext w:val="0"/>
        <w:keepLines w:val="0"/>
        <w:pageBreakBefore w:val="0"/>
        <w:widowControl w:val="0"/>
        <w:kinsoku/>
        <w:wordWrap/>
        <w:overflowPunct/>
        <w:topLinePunct w:val="0"/>
        <w:bidi w:val="0"/>
        <w:snapToGrid/>
        <w:spacing w:beforeAutospacing="0" w:afterAutospacing="0" w:line="560" w:lineRule="exact"/>
        <w:ind w:firstLine="320" w:firstLineChars="100"/>
        <w:textAlignment w:val="auto"/>
        <w:rPr>
          <w:rFonts w:hint="default" w:ascii="仿宋_GB2312" w:eastAsia="仿宋_GB2312" w:cs="仿宋_GB2312"/>
          <w:sz w:val="32"/>
          <w:szCs w:val="32"/>
          <w:shd w:val="clear" w:color="auto" w:fill="FFFFFF"/>
        </w:rPr>
      </w:pPr>
      <w:r>
        <w:rPr>
          <w:rFonts w:ascii="仿宋_GB2312" w:eastAsia="仿宋_GB2312" w:cs="仿宋_GB2312"/>
          <w:sz w:val="32"/>
          <w:szCs w:val="32"/>
          <w:shd w:val="clear" w:color="auto" w:fill="FFFFFF"/>
        </w:rPr>
        <w:t>2020年，阿坝州红原县新华书店政府采购支出总额0.00万元。</w:t>
      </w:r>
    </w:p>
    <w:p>
      <w:pPr>
        <w:pStyle w:val="11"/>
        <w:keepNext w:val="0"/>
        <w:keepLines w:val="0"/>
        <w:pageBreakBefore w:val="0"/>
        <w:widowControl w:val="0"/>
        <w:kinsoku/>
        <w:wordWrap/>
        <w:overflowPunct/>
        <w:topLinePunct w:val="0"/>
        <w:bidi w:val="0"/>
        <w:snapToGrid/>
        <w:spacing w:beforeAutospacing="0" w:afterAutospacing="0" w:line="560" w:lineRule="exact"/>
        <w:textAlignment w:val="auto"/>
        <w:rPr>
          <w:rFonts w:hint="default" w:cs="宋体"/>
          <w:sz w:val="32"/>
          <w:szCs w:val="32"/>
        </w:rPr>
      </w:pPr>
      <w:r>
        <w:rPr>
          <w:rStyle w:val="12"/>
          <w:rFonts w:hint="eastAsia" w:ascii="宋体" w:hAnsi="宋体" w:cs="宋体"/>
          <w:sz w:val="32"/>
          <w:szCs w:val="32"/>
          <w:shd w:val="clear" w:color="auto" w:fill="FFFFFF"/>
        </w:rPr>
        <w:t>（三）国有资产占有使用情况</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default" w:ascii="仿宋" w:hAnsi="仿宋" w:eastAsia="仿宋_GB2312" w:cs="仿宋"/>
          <w:b/>
          <w:color w:val="FF0000"/>
          <w:sz w:val="32"/>
          <w:szCs w:val="32"/>
        </w:rPr>
      </w:pPr>
      <w:r>
        <w:rPr>
          <w:rFonts w:ascii="仿宋_GB2312" w:eastAsia="仿宋_GB2312" w:cs="仿宋_GB2312"/>
          <w:sz w:val="32"/>
          <w:szCs w:val="32"/>
          <w:shd w:val="clear" w:color="auto" w:fill="FFFFFF"/>
        </w:rPr>
        <w:t>截至2020年12月31日，阿坝州红原县新华书店共有车辆1辆，其中：其他用车 1辆。主要用于</w:t>
      </w:r>
      <w:r>
        <w:rPr>
          <w:rFonts w:ascii="仿宋_GB2312" w:eastAsia="仿宋_GB2312" w:cs="仿宋_GB2312"/>
          <w:color w:val="000000"/>
          <w:sz w:val="32"/>
          <w:szCs w:val="32"/>
        </w:rPr>
        <w:t>开展单位业务活动。</w:t>
      </w:r>
    </w:p>
    <w:p>
      <w:pPr>
        <w:pStyle w:val="11"/>
        <w:widowControl w:val="0"/>
        <w:spacing w:beforeAutospacing="0" w:afterAutospacing="0"/>
        <w:rPr>
          <w:rFonts w:hint="default" w:cs="宋体"/>
          <w:sz w:val="32"/>
          <w:szCs w:val="32"/>
        </w:rPr>
      </w:pPr>
      <w:r>
        <w:rPr>
          <w:rStyle w:val="12"/>
          <w:rFonts w:hint="eastAsia" w:ascii="宋体" w:hAnsi="宋体" w:cs="宋体"/>
          <w:sz w:val="32"/>
          <w:szCs w:val="32"/>
          <w:shd w:val="clear" w:color="auto" w:fill="FFFFFF"/>
        </w:rPr>
        <w:t>（四）预算绩效管理情况。</w:t>
      </w:r>
    </w:p>
    <w:p>
      <w:pPr>
        <w:widowControl w:val="0"/>
        <w:spacing w:line="560" w:lineRule="exact"/>
        <w:ind w:firstLine="640" w:firstLineChars="200"/>
        <w:rPr>
          <w:rFonts w:hint="default" w:ascii="仿宋_GB2312" w:eastAsia="仿宋_GB2312" w:cs="仿宋_GB2312"/>
          <w:sz w:val="32"/>
          <w:szCs w:val="32"/>
          <w:shd w:val="clear" w:color="auto" w:fill="FFFFFF"/>
        </w:rPr>
      </w:pPr>
      <w:r>
        <w:rPr>
          <w:rFonts w:ascii="仿宋_GB2312" w:eastAsia="仿宋_GB2312" w:cs="仿宋_GB2312"/>
          <w:sz w:val="32"/>
          <w:szCs w:val="32"/>
        </w:rPr>
        <w:t>本部门按要求对2020年部门整体支出开展绩效自评，从评价情况来看，本单位严格按照《预算法》及相关财政法规和政策编制预算，部门预算执行到位。本部门无专项预算项目，因此未组织开展项目支出绩效评价。</w:t>
      </w:r>
    </w:p>
    <w:p>
      <w:pPr>
        <w:widowControl w:val="0"/>
        <w:spacing w:line="560" w:lineRule="exact"/>
        <w:ind w:firstLine="640" w:firstLineChars="200"/>
        <w:rPr>
          <w:rFonts w:hint="default" w:ascii="仿宋_GB2312" w:eastAsia="仿宋_GB2312" w:cs="仿宋_GB2312"/>
          <w:sz w:val="32"/>
          <w:szCs w:val="32"/>
        </w:rPr>
      </w:pPr>
      <w:r>
        <w:rPr>
          <w:rFonts w:ascii="仿宋_GB2312" w:eastAsia="仿宋_GB2312" w:cs="仿宋_GB2312"/>
          <w:sz w:val="32"/>
          <w:szCs w:val="32"/>
          <w:shd w:val="clear" w:color="auto" w:fill="FFFFFF"/>
        </w:rPr>
        <w:t>本单位按要求对2020年部门整体支出绩效评价情况开展自评，</w:t>
      </w:r>
      <w:r>
        <w:rPr>
          <w:rFonts w:ascii="仿宋_GB2312" w:eastAsia="仿宋_GB2312" w:cs="仿宋_GB2312"/>
          <w:sz w:val="32"/>
          <w:szCs w:val="32"/>
        </w:rPr>
        <w:t>《红原县新华书店2020年部门整体支出绩效评价报告》见附件（附件1）。</w:t>
      </w:r>
    </w:p>
    <w:p>
      <w:pPr>
        <w:pStyle w:val="11"/>
        <w:widowControl w:val="0"/>
        <w:autoSpaceDE w:val="0"/>
        <w:spacing w:beforeAutospacing="0" w:line="560" w:lineRule="exact"/>
        <w:jc w:val="center"/>
        <w:outlineLvl w:val="0"/>
        <w:rPr>
          <w:rFonts w:hint="default" w:ascii="仿宋_GB2312" w:eastAsia="仿宋_GB2312" w:cs="仿宋_GB2312"/>
          <w:sz w:val="32"/>
          <w:szCs w:val="32"/>
        </w:rPr>
      </w:pPr>
      <w:bookmarkStart w:id="69" w:name="_Toc14528"/>
      <w:bookmarkEnd w:id="69"/>
      <w:bookmarkStart w:id="70" w:name="_Toc22262"/>
      <w:bookmarkEnd w:id="70"/>
      <w:bookmarkStart w:id="71" w:name="_Toc23491"/>
      <w:bookmarkEnd w:id="71"/>
      <w:bookmarkStart w:id="72" w:name="_Toc88833330"/>
      <w:bookmarkStart w:id="73" w:name="_Toc88561083"/>
      <w:r>
        <w:rPr>
          <w:rFonts w:ascii="仿宋_GB2312" w:eastAsia="仿宋_GB2312" w:cs="仿宋_GB2312"/>
          <w:b/>
          <w:sz w:val="32"/>
          <w:szCs w:val="32"/>
          <w:shd w:val="clear" w:color="auto" w:fill="FFFFFF"/>
        </w:rPr>
        <w:t>第三部分 名词解释</w:t>
      </w:r>
      <w:bookmarkEnd w:id="72"/>
      <w:bookmarkEnd w:id="73"/>
    </w:p>
    <w:p>
      <w:pPr>
        <w:pStyle w:val="11"/>
        <w:widowControl w:val="0"/>
        <w:autoSpaceDE w:val="0"/>
        <w:spacing w:beforeAutospacing="0" w:line="560" w:lineRule="exact"/>
        <w:rPr>
          <w:rFonts w:hint="default" w:ascii="仿宋_GB2312" w:eastAsia="仿宋_GB2312" w:cs="仿宋_GB2312"/>
          <w:sz w:val="32"/>
          <w:szCs w:val="32"/>
        </w:rPr>
      </w:pPr>
      <w:r>
        <w:rPr>
          <w:rFonts w:ascii="仿宋_GB2312" w:eastAsia="仿宋_GB2312" w:cs="仿宋_GB2312"/>
          <w:sz w:val="32"/>
          <w:szCs w:val="32"/>
          <w:shd w:val="clear" w:color="auto" w:fill="FFFFFF"/>
        </w:rPr>
        <w:t>1.财政拨款收入：指单位从同级财政部门取得的财政预算资金。</w:t>
      </w:r>
    </w:p>
    <w:p>
      <w:pPr>
        <w:pStyle w:val="11"/>
        <w:widowControl w:val="0"/>
        <w:autoSpaceDE w:val="0"/>
        <w:spacing w:beforeAutospacing="0" w:line="560" w:lineRule="exact"/>
        <w:rPr>
          <w:rFonts w:hint="default" w:ascii="仿宋_GB2312" w:eastAsia="仿宋_GB2312" w:cs="仿宋_GB2312"/>
          <w:sz w:val="32"/>
          <w:szCs w:val="32"/>
        </w:rPr>
      </w:pPr>
      <w:r>
        <w:rPr>
          <w:rFonts w:ascii="仿宋_GB2312" w:eastAsia="仿宋_GB2312" w:cs="仿宋_GB2312"/>
          <w:sz w:val="32"/>
          <w:szCs w:val="32"/>
          <w:shd w:val="clear" w:color="auto" w:fill="FFFFFF"/>
        </w:rPr>
        <w:t>2.年初结转和结余：指以前年度尚未完成、结转到本年按有关规定继续使用的资金。</w:t>
      </w:r>
    </w:p>
    <w:p>
      <w:pPr>
        <w:widowControl w:val="0"/>
        <w:spacing w:line="560" w:lineRule="exact"/>
        <w:rPr>
          <w:rFonts w:hint="default" w:ascii="仿宋_GB2312" w:eastAsia="仿宋_GB2312" w:cs="仿宋_GB2312"/>
          <w:color w:val="000000"/>
          <w:sz w:val="32"/>
          <w:szCs w:val="32"/>
        </w:rPr>
      </w:pPr>
      <w:r>
        <w:rPr>
          <w:rFonts w:ascii="仿宋_GB2312" w:eastAsia="仿宋_GB2312" w:cs="仿宋_GB2312"/>
          <w:color w:val="000000"/>
          <w:sz w:val="32"/>
          <w:szCs w:val="32"/>
        </w:rPr>
        <w:t>3.文化体育与传媒（类）</w:t>
      </w:r>
    </w:p>
    <w:p>
      <w:pPr>
        <w:widowControl w:val="0"/>
        <w:spacing w:line="560" w:lineRule="exact"/>
        <w:rPr>
          <w:rFonts w:hint="default" w:ascii="仿宋_GB2312" w:eastAsia="仿宋_GB2312" w:cs="仿宋_GB2312"/>
          <w:color w:val="000000"/>
          <w:sz w:val="32"/>
          <w:szCs w:val="32"/>
        </w:rPr>
      </w:pPr>
      <w:r>
        <w:rPr>
          <w:rFonts w:hint="default" w:ascii="Calibri" w:hAnsi="Calibri" w:eastAsia="仿宋_GB2312" w:cs="Calibri"/>
          <w:color w:val="000000"/>
          <w:sz w:val="32"/>
          <w:szCs w:val="32"/>
        </w:rPr>
        <w:t>①</w:t>
      </w:r>
      <w:r>
        <w:rPr>
          <w:rFonts w:ascii="仿宋_GB2312" w:eastAsia="仿宋_GB2312" w:cs="仿宋_GB2312"/>
          <w:color w:val="000000"/>
          <w:sz w:val="32"/>
          <w:szCs w:val="32"/>
        </w:rPr>
        <w:t>新闻出版电影（款）出版发行（项）：指图书、报纸、期刊、音像、电子、网络出版物出版、印刷复制和发行等方面的支出。</w:t>
      </w:r>
    </w:p>
    <w:p>
      <w:pPr>
        <w:widowControl w:val="0"/>
        <w:spacing w:line="560" w:lineRule="exact"/>
        <w:rPr>
          <w:rFonts w:hint="default" w:cs="宋体"/>
        </w:rPr>
      </w:pPr>
      <w:r>
        <w:rPr>
          <w:rFonts w:hint="default" w:ascii="Calibri" w:hAnsi="Calibri" w:eastAsia="仿宋_GB2312" w:cs="Calibri"/>
          <w:color w:val="000000"/>
          <w:sz w:val="32"/>
          <w:szCs w:val="32"/>
        </w:rPr>
        <w:t>②</w:t>
      </w:r>
      <w:r>
        <w:rPr>
          <w:rFonts w:ascii="仿宋_GB2312" w:eastAsia="仿宋_GB2312" w:cs="仿宋_GB2312"/>
          <w:color w:val="000000"/>
          <w:sz w:val="32"/>
          <w:szCs w:val="32"/>
        </w:rPr>
        <w:t>其他文化体育与传媒支出（款）其他文化体育与传媒支出（项）：指除上述项目以外其他用于文化体育与传媒方面的支出。</w:t>
      </w:r>
    </w:p>
    <w:p>
      <w:pPr>
        <w:widowControl w:val="0"/>
        <w:spacing w:line="560" w:lineRule="exact"/>
        <w:rPr>
          <w:rFonts w:hint="default" w:ascii="仿宋_GB2312" w:eastAsia="仿宋_GB2312" w:cs="仿宋_GB2312"/>
          <w:color w:val="000000"/>
          <w:sz w:val="32"/>
          <w:szCs w:val="32"/>
        </w:rPr>
      </w:pPr>
      <w:r>
        <w:rPr>
          <w:rFonts w:ascii="仿宋_GB2312" w:eastAsia="仿宋_GB2312" w:cs="仿宋_GB2312"/>
          <w:color w:val="000000"/>
          <w:sz w:val="32"/>
          <w:szCs w:val="32"/>
        </w:rPr>
        <w:t>4.社会保障和就业（类）</w:t>
      </w:r>
    </w:p>
    <w:p>
      <w:pPr>
        <w:widowControl w:val="0"/>
        <w:spacing w:line="560" w:lineRule="exact"/>
        <w:rPr>
          <w:rFonts w:hint="default" w:ascii="仿宋_GB2312" w:eastAsia="仿宋_GB2312" w:cs="仿宋_GB2312"/>
          <w:color w:val="000000"/>
          <w:sz w:val="32"/>
          <w:szCs w:val="32"/>
        </w:rPr>
      </w:pPr>
      <w:r>
        <w:rPr>
          <w:rFonts w:hint="default" w:ascii="Calibri" w:hAnsi="Calibri" w:eastAsia="仿宋_GB2312" w:cs="Calibri"/>
          <w:color w:val="000000"/>
          <w:sz w:val="32"/>
          <w:szCs w:val="32"/>
        </w:rPr>
        <w:t>①</w:t>
      </w:r>
      <w:r>
        <w:rPr>
          <w:rFonts w:ascii="仿宋_GB2312" w:eastAsia="仿宋_GB2312" w:cs="仿宋_GB2312"/>
          <w:color w:val="000000"/>
          <w:sz w:val="32"/>
          <w:szCs w:val="32"/>
        </w:rPr>
        <w:t>行政事业单位基本养老保险缴费支出（项）：指养老保险。</w:t>
      </w:r>
    </w:p>
    <w:p>
      <w:pPr>
        <w:pStyle w:val="2"/>
        <w:widowControl w:val="0"/>
        <w:spacing w:line="560" w:lineRule="exact"/>
      </w:pPr>
      <w:r>
        <w:rPr>
          <w:rFonts w:ascii="Calibri" w:hAnsi="Calibri" w:eastAsia="仿宋_GB2312" w:cs="Calibri"/>
          <w:color w:val="000000"/>
          <w:sz w:val="32"/>
          <w:szCs w:val="32"/>
        </w:rPr>
        <w:t>①</w:t>
      </w:r>
      <w:r>
        <w:rPr>
          <w:rFonts w:hint="eastAsia" w:ascii="仿宋_GB2312" w:eastAsia="仿宋_GB2312" w:cs="仿宋_GB2312"/>
          <w:color w:val="000000"/>
          <w:sz w:val="32"/>
          <w:szCs w:val="32"/>
        </w:rPr>
        <w:t>行政事业单位机关事业单位职业年金缴费支出（项）：指职业年金。</w:t>
      </w:r>
    </w:p>
    <w:p>
      <w:pPr>
        <w:widowControl w:val="0"/>
        <w:spacing w:line="560" w:lineRule="exact"/>
        <w:rPr>
          <w:rFonts w:hint="default" w:ascii="仿宋_GB2312" w:eastAsia="仿宋_GB2312" w:cs="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lang w:val="en-US" w:eastAsia="zh-CN"/>
        </w:rPr>
        <w:t>卫生健康支出</w:t>
      </w:r>
      <w:r>
        <w:rPr>
          <w:rFonts w:ascii="仿宋_GB2312" w:eastAsia="仿宋_GB2312" w:cs="仿宋_GB2312"/>
          <w:color w:val="000000"/>
          <w:sz w:val="32"/>
          <w:szCs w:val="32"/>
        </w:rPr>
        <w:t>（类）</w:t>
      </w:r>
    </w:p>
    <w:p>
      <w:pPr>
        <w:widowControl w:val="0"/>
        <w:autoSpaceDE w:val="0"/>
        <w:spacing w:line="560" w:lineRule="exact"/>
        <w:rPr>
          <w:rFonts w:hint="default" w:ascii="仿宋_GB2312" w:eastAsia="仿宋_GB2312" w:cs="仿宋_GB2312"/>
          <w:color w:val="000000"/>
          <w:sz w:val="32"/>
          <w:szCs w:val="32"/>
        </w:rPr>
      </w:pPr>
      <w:r>
        <w:rPr>
          <w:rFonts w:hint="default" w:ascii="Calibri" w:hAnsi="Calibri" w:eastAsia="仿宋_GB2312" w:cs="Calibri"/>
          <w:color w:val="000000"/>
          <w:sz w:val="32"/>
          <w:szCs w:val="32"/>
        </w:rPr>
        <w:t>①</w:t>
      </w:r>
      <w:r>
        <w:rPr>
          <w:rFonts w:ascii="仿宋_GB2312" w:eastAsia="仿宋_GB2312" w:cs="仿宋_GB2312"/>
          <w:color w:val="000000"/>
          <w:sz w:val="32"/>
          <w:szCs w:val="32"/>
        </w:rPr>
        <w:t>行政事业单位医疗（款）事业单位医疗（项）：指财政部门集中安排的事业单位基本医疗保险缴费经费。</w:t>
      </w:r>
    </w:p>
    <w:p>
      <w:pPr>
        <w:widowControl w:val="0"/>
        <w:autoSpaceDE w:val="0"/>
        <w:spacing w:line="560" w:lineRule="exact"/>
        <w:rPr>
          <w:rFonts w:hint="default" w:cs="宋体"/>
        </w:rPr>
      </w:pPr>
      <w:r>
        <w:rPr>
          <w:rFonts w:hint="default" w:ascii="Calibri" w:hAnsi="Calibri" w:eastAsia="仿宋_GB2312" w:cs="Calibri"/>
          <w:color w:val="000000"/>
          <w:sz w:val="32"/>
          <w:szCs w:val="32"/>
        </w:rPr>
        <w:t>①</w:t>
      </w:r>
      <w:r>
        <w:rPr>
          <w:rFonts w:ascii="仿宋_GB2312" w:eastAsia="仿宋_GB2312" w:cs="仿宋_GB2312"/>
          <w:color w:val="000000"/>
          <w:sz w:val="32"/>
          <w:szCs w:val="32"/>
        </w:rPr>
        <w:t>行政事业单位医疗（款）其他行政事业单位医疗支出（项）：除上述项目以外其他用于医疗保障方面的支出。</w:t>
      </w:r>
    </w:p>
    <w:p>
      <w:pPr>
        <w:widowControl w:val="0"/>
        <w:numPr>
          <w:ilvl w:val="0"/>
          <w:numId w:val="6"/>
        </w:numPr>
        <w:autoSpaceDE w:val="0"/>
        <w:spacing w:line="560" w:lineRule="exact"/>
        <w:rPr>
          <w:rFonts w:hint="default" w:ascii="仿宋_GB2312" w:eastAsia="仿宋_GB2312" w:cs="仿宋_GB2312"/>
          <w:color w:val="000000"/>
          <w:sz w:val="32"/>
          <w:szCs w:val="32"/>
        </w:rPr>
      </w:pPr>
      <w:r>
        <w:rPr>
          <w:rFonts w:ascii="仿宋_GB2312" w:eastAsia="仿宋_GB2312" w:cs="仿宋_GB2312"/>
          <w:color w:val="000000"/>
          <w:sz w:val="32"/>
          <w:szCs w:val="32"/>
        </w:rPr>
        <w:t>住房保障（类）住房改革支出（款）住房公积金（项）：指行政事业单位按人力资源和社会保障部、财政部规定的基本工资和津补贴一级规定比例为职工缴纳的住房公积金。</w:t>
      </w:r>
    </w:p>
    <w:p>
      <w:pPr>
        <w:pStyle w:val="11"/>
        <w:widowControl w:val="0"/>
        <w:autoSpaceDE w:val="0"/>
        <w:spacing w:beforeAutospacing="0" w:afterAutospacing="0"/>
        <w:rPr>
          <w:rFonts w:hint="default" w:ascii="仿宋_GB2312" w:eastAsia="仿宋_GB2312" w:cs="仿宋_GB2312"/>
          <w:sz w:val="32"/>
          <w:szCs w:val="32"/>
        </w:rPr>
      </w:pPr>
      <w:r>
        <w:rPr>
          <w:rFonts w:ascii="仿宋_GB2312" w:eastAsia="仿宋_GB2312" w:cs="仿宋_GB2312"/>
          <w:sz w:val="32"/>
          <w:szCs w:val="32"/>
          <w:shd w:val="clear" w:color="auto" w:fill="FFFFFF"/>
        </w:rPr>
        <w:t>7.基本支出：指为保障机构正常运转、完成日常工作任务而发生的人员支出和公用支出。</w:t>
      </w:r>
    </w:p>
    <w:p>
      <w:pPr>
        <w:pStyle w:val="11"/>
        <w:widowControl w:val="0"/>
        <w:autoSpaceDE w:val="0"/>
        <w:spacing w:beforeAutospacing="0" w:afterAutospacing="0"/>
        <w:rPr>
          <w:rFonts w:hint="default" w:ascii="仿宋_GB2312" w:eastAsia="仿宋_GB2312" w:cs="仿宋_GB2312"/>
          <w:sz w:val="32"/>
          <w:szCs w:val="32"/>
        </w:rPr>
      </w:pPr>
      <w:r>
        <w:rPr>
          <w:rFonts w:ascii="仿宋_GB2312" w:eastAsia="仿宋_GB2312" w:cs="仿宋_GB2312"/>
          <w:sz w:val="32"/>
          <w:szCs w:val="32"/>
          <w:shd w:val="clear" w:color="auto" w:fill="FFFFFF"/>
        </w:rPr>
        <w:t>8.项目支出：指在基本支出之外为完成特定行政任务和事业发展目标所发生的支出。</w:t>
      </w:r>
    </w:p>
    <w:p>
      <w:pPr>
        <w:pStyle w:val="11"/>
        <w:widowControl w:val="0"/>
        <w:autoSpaceDE w:val="0"/>
        <w:spacing w:beforeAutospacing="0" w:afterAutospacing="0"/>
        <w:rPr>
          <w:rFonts w:hint="default" w:ascii="仿宋_GB2312" w:eastAsia="仿宋_GB2312" w:cs="仿宋_GB2312"/>
          <w:sz w:val="32"/>
          <w:szCs w:val="32"/>
        </w:rPr>
      </w:pPr>
      <w:r>
        <w:rPr>
          <w:rFonts w:ascii="仿宋_GB2312" w:eastAsia="仿宋_GB2312" w:cs="仿宋_GB2312"/>
          <w:sz w:val="32"/>
          <w:szCs w:val="32"/>
          <w:shd w:val="clear" w:color="auto" w:fill="FFFFFF"/>
        </w:rPr>
        <w:t>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1"/>
        <w:widowControl w:val="0"/>
        <w:autoSpaceDE w:val="0"/>
        <w:spacing w:beforeAutospacing="0" w:line="560" w:lineRule="exact"/>
        <w:rPr>
          <w:rFonts w:hint="default" w:cs="宋体"/>
          <w:sz w:val="32"/>
          <w:szCs w:val="32"/>
        </w:rPr>
      </w:pPr>
      <w:r>
        <w:rPr>
          <w:rFonts w:ascii="仿宋_GB2312" w:eastAsia="仿宋_GB2312" w:cs="仿宋_GB2312"/>
          <w:sz w:val="32"/>
          <w:szCs w:val="32"/>
          <w:shd w:val="clear" w:color="auto" w:fill="FFFFFF"/>
        </w:rPr>
        <w:t>10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1"/>
        <w:widowControl w:val="0"/>
        <w:spacing w:beforeAutospacing="0" w:line="560" w:lineRule="exact"/>
        <w:jc w:val="center"/>
        <w:outlineLvl w:val="0"/>
        <w:rPr>
          <w:rFonts w:hint="default" w:cs="宋体"/>
          <w:b/>
          <w:sz w:val="32"/>
          <w:szCs w:val="32"/>
        </w:rPr>
      </w:pPr>
      <w:bookmarkStart w:id="74" w:name="_Toc7284"/>
      <w:bookmarkEnd w:id="74"/>
      <w:bookmarkStart w:id="75" w:name="_Toc1020"/>
      <w:bookmarkEnd w:id="75"/>
      <w:bookmarkStart w:id="76" w:name="_Toc20102"/>
      <w:bookmarkEnd w:id="76"/>
      <w:bookmarkStart w:id="77" w:name="_Toc88561084"/>
      <w:bookmarkStart w:id="78" w:name="_Toc88833331"/>
      <w:r>
        <w:rPr>
          <w:rFonts w:cs="宋体"/>
          <w:b/>
          <w:sz w:val="32"/>
          <w:szCs w:val="32"/>
          <w:shd w:val="clear" w:color="auto" w:fill="FFFFFF"/>
        </w:rPr>
        <w:t>第四部分 附件</w:t>
      </w:r>
      <w:bookmarkEnd w:id="77"/>
      <w:bookmarkEnd w:id="78"/>
    </w:p>
    <w:p>
      <w:pPr>
        <w:pStyle w:val="11"/>
        <w:widowControl w:val="0"/>
        <w:spacing w:beforeAutospacing="0" w:line="560" w:lineRule="exact"/>
        <w:rPr>
          <w:rFonts w:hint="default" w:cs="宋体"/>
          <w:shd w:val="clear" w:color="auto" w:fill="FFFFFF"/>
        </w:rPr>
      </w:pPr>
      <w:r>
        <w:rPr>
          <w:rFonts w:cs="宋体"/>
          <w:sz w:val="32"/>
          <w:szCs w:val="32"/>
          <w:shd w:val="clear" w:color="auto" w:fill="FFFFFF"/>
        </w:rPr>
        <w:t>附件1</w:t>
      </w:r>
    </w:p>
    <w:p>
      <w:pPr>
        <w:widowControl w:val="0"/>
        <w:spacing w:line="560" w:lineRule="exact"/>
        <w:jc w:val="center"/>
        <w:outlineLvl w:val="0"/>
        <w:rPr>
          <w:rFonts w:hint="default" w:ascii="方正小标宋简体" w:hAnsi="方正小标宋简体" w:eastAsia="方正小标宋简体" w:cs="方正小标宋简体"/>
          <w:color w:val="000000"/>
          <w:sz w:val="40"/>
          <w:szCs w:val="40"/>
        </w:rPr>
      </w:pPr>
      <w:bookmarkStart w:id="79" w:name="_Toc11162"/>
      <w:bookmarkEnd w:id="79"/>
      <w:bookmarkStart w:id="80" w:name="_Toc32396"/>
      <w:bookmarkEnd w:id="80"/>
      <w:bookmarkStart w:id="81" w:name="_Toc19357"/>
      <w:bookmarkEnd w:id="81"/>
      <w:bookmarkStart w:id="82" w:name="_Toc26717"/>
      <w:bookmarkEnd w:id="82"/>
      <w:bookmarkStart w:id="83" w:name="_Toc88561085"/>
      <w:bookmarkStart w:id="84" w:name="_Toc88833332"/>
      <w:r>
        <w:rPr>
          <w:rFonts w:ascii="方正小标宋简体" w:hAnsi="方正小标宋简体" w:eastAsia="方正小标宋简体" w:cs="方正小标宋简体"/>
          <w:color w:val="000000"/>
          <w:sz w:val="40"/>
          <w:szCs w:val="40"/>
        </w:rPr>
        <w:t>红原县新华书店</w:t>
      </w:r>
      <w:bookmarkEnd w:id="83"/>
      <w:bookmarkEnd w:id="84"/>
    </w:p>
    <w:p>
      <w:pPr>
        <w:widowControl w:val="0"/>
        <w:spacing w:line="560" w:lineRule="exact"/>
        <w:jc w:val="center"/>
        <w:outlineLvl w:val="0"/>
        <w:rPr>
          <w:rFonts w:hint="default" w:ascii="方正小标宋简体" w:hAnsi="方正小标宋简体" w:eastAsia="方正小标宋简体" w:cs="方正小标宋简体"/>
          <w:color w:val="000000"/>
          <w:sz w:val="40"/>
          <w:szCs w:val="40"/>
        </w:rPr>
      </w:pPr>
      <w:bookmarkStart w:id="85" w:name="_Toc10298"/>
      <w:bookmarkEnd w:id="85"/>
      <w:bookmarkStart w:id="86" w:name="_Toc21995"/>
      <w:bookmarkEnd w:id="86"/>
      <w:bookmarkStart w:id="87" w:name="_Toc18237"/>
      <w:bookmarkEnd w:id="87"/>
      <w:bookmarkStart w:id="88" w:name="_Toc5069"/>
      <w:bookmarkEnd w:id="88"/>
      <w:bookmarkStart w:id="89" w:name="_Toc88561086"/>
      <w:bookmarkStart w:id="90" w:name="_Toc88833333"/>
      <w:bookmarkStart w:id="91" w:name="_Toc27324"/>
      <w:r>
        <w:rPr>
          <w:rFonts w:ascii="方正小标宋简体" w:hAnsi="方正小标宋简体" w:eastAsia="方正小标宋简体" w:cs="方正小标宋简体"/>
          <w:color w:val="000000"/>
          <w:sz w:val="40"/>
          <w:szCs w:val="40"/>
        </w:rPr>
        <w:t>20</w:t>
      </w:r>
      <w:bookmarkEnd w:id="89"/>
      <w:r>
        <w:rPr>
          <w:rFonts w:ascii="方正小标宋简体" w:hAnsi="方正小标宋简体" w:eastAsia="方正小标宋简体" w:cs="方正小标宋简体"/>
          <w:color w:val="000000"/>
          <w:sz w:val="40"/>
          <w:szCs w:val="40"/>
        </w:rPr>
        <w:t>20年部门整体支出绩效评价报告</w:t>
      </w:r>
      <w:bookmarkEnd w:id="90"/>
      <w:bookmarkEnd w:id="91"/>
    </w:p>
    <w:p>
      <w:pPr>
        <w:widowControl w:val="0"/>
        <w:spacing w:line="560" w:lineRule="exact"/>
        <w:jc w:val="center"/>
        <w:outlineLvl w:val="0"/>
        <w:rPr>
          <w:rFonts w:hint="default" w:cs="宋体"/>
        </w:rPr>
      </w:pPr>
    </w:p>
    <w:p>
      <w:pPr>
        <w:pStyle w:val="11"/>
        <w:widowControl w:val="0"/>
        <w:spacing w:beforeAutospacing="0" w:afterAutospacing="0"/>
        <w:rPr>
          <w:rFonts w:hint="default" w:cs="宋体"/>
          <w:sz w:val="32"/>
          <w:szCs w:val="32"/>
        </w:rPr>
      </w:pPr>
      <w:r>
        <w:rPr>
          <w:rFonts w:cs="宋体"/>
          <w:sz w:val="32"/>
          <w:szCs w:val="32"/>
          <w:shd w:val="clear" w:color="auto" w:fill="FFFFFF"/>
        </w:rPr>
        <w:t>一、部门（单位）概况</w:t>
      </w:r>
    </w:p>
    <w:p>
      <w:pPr>
        <w:widowControl w:val="0"/>
        <w:adjustRightInd w:val="0"/>
        <w:snapToGrid w:val="0"/>
        <w:spacing w:line="560" w:lineRule="exact"/>
        <w:outlineLvl w:val="2"/>
        <w:rPr>
          <w:rFonts w:hint="default" w:ascii="仿宋_GB2312" w:eastAsia="仿宋_GB2312" w:cs="仿宋_GB2312"/>
          <w:color w:val="000000"/>
          <w:sz w:val="32"/>
          <w:szCs w:val="32"/>
          <w:shd w:val="clear" w:color="auto" w:fill="FFFFFF"/>
        </w:rPr>
      </w:pPr>
      <w:bookmarkStart w:id="92" w:name="_Toc88561087"/>
      <w:bookmarkEnd w:id="92"/>
      <w:r>
        <w:rPr>
          <w:rFonts w:ascii="仿宋_GB2312" w:eastAsia="仿宋_GB2312" w:cs="仿宋_GB2312"/>
          <w:color w:val="000000"/>
          <w:sz w:val="32"/>
          <w:szCs w:val="32"/>
          <w:shd w:val="clear" w:color="auto" w:fill="FFFFFF"/>
        </w:rPr>
        <w:t>（一）机构组成。</w:t>
      </w:r>
    </w:p>
    <w:p>
      <w:pPr>
        <w:widowControl w:val="0"/>
        <w:spacing w:line="560" w:lineRule="exact"/>
        <w:ind w:firstLine="640" w:firstLineChars="200"/>
        <w:rPr>
          <w:rFonts w:hint="default" w:cs="宋体"/>
        </w:rPr>
      </w:pPr>
      <w:r>
        <w:rPr>
          <w:rFonts w:ascii="仿宋_GB2312" w:eastAsia="仿宋_GB2312" w:cs="仿宋_GB2312"/>
          <w:color w:val="000000"/>
          <w:sz w:val="32"/>
          <w:szCs w:val="32"/>
        </w:rPr>
        <w:t>新华书店属于一级预算单位，差额拨款事业单位。</w:t>
      </w:r>
    </w:p>
    <w:p>
      <w:pPr>
        <w:pStyle w:val="15"/>
        <w:widowControl w:val="0"/>
        <w:numPr>
          <w:ilvl w:val="0"/>
          <w:numId w:val="7"/>
        </w:numPr>
        <w:adjustRightInd w:val="0"/>
        <w:snapToGrid w:val="0"/>
        <w:spacing w:beforeAutospacing="0" w:afterAutospacing="0"/>
        <w:contextualSpacing/>
        <w:outlineLvl w:val="2"/>
        <w:rPr>
          <w:rFonts w:hint="default" w:ascii="仿宋_GB2312" w:eastAsia="仿宋_GB2312" w:cs="仿宋_GB2312"/>
          <w:color w:val="000000"/>
          <w:sz w:val="32"/>
          <w:szCs w:val="32"/>
          <w:shd w:val="clear" w:color="auto" w:fill="FFFFFF"/>
        </w:rPr>
      </w:pPr>
      <w:bookmarkStart w:id="93" w:name="_Toc88561088"/>
      <w:bookmarkEnd w:id="93"/>
      <w:r>
        <w:rPr>
          <w:rFonts w:ascii="仿宋_GB2312" w:eastAsia="仿宋_GB2312" w:cs="仿宋_GB2312"/>
          <w:color w:val="000000"/>
          <w:sz w:val="32"/>
          <w:szCs w:val="32"/>
          <w:shd w:val="clear" w:color="auto" w:fill="FFFFFF"/>
        </w:rPr>
        <w:t>机构职能。</w:t>
      </w:r>
    </w:p>
    <w:p>
      <w:pPr>
        <w:widowControl w:val="0"/>
        <w:ind w:firstLine="640" w:firstLineChars="200"/>
        <w:rPr>
          <w:rFonts w:hint="default" w:cs="宋体"/>
        </w:rPr>
      </w:pPr>
      <w:r>
        <w:rPr>
          <w:rFonts w:ascii="仿宋_GB2312" w:hAnsi="仿宋" w:eastAsia="仿宋_GB2312" w:cs="仿宋_GB2312"/>
          <w:sz w:val="32"/>
          <w:szCs w:val="32"/>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p>
    <w:p>
      <w:pPr>
        <w:pStyle w:val="15"/>
        <w:widowControl w:val="0"/>
        <w:numPr>
          <w:ilvl w:val="0"/>
          <w:numId w:val="7"/>
        </w:numPr>
        <w:adjustRightInd w:val="0"/>
        <w:snapToGrid w:val="0"/>
        <w:spacing w:beforeAutospacing="0" w:afterAutospacing="0"/>
        <w:contextualSpacing/>
        <w:outlineLvl w:val="2"/>
        <w:rPr>
          <w:rFonts w:hint="default" w:ascii="仿宋_GB2312" w:eastAsia="仿宋_GB2312" w:cs="仿宋_GB2312"/>
          <w:color w:val="000000"/>
          <w:sz w:val="32"/>
          <w:szCs w:val="32"/>
          <w:shd w:val="clear" w:color="auto" w:fill="FFFFFF"/>
        </w:rPr>
      </w:pPr>
      <w:bookmarkStart w:id="94" w:name="_Toc88561089"/>
      <w:bookmarkEnd w:id="94"/>
      <w:r>
        <w:rPr>
          <w:rFonts w:ascii="仿宋_GB2312" w:eastAsia="仿宋_GB2312" w:cs="仿宋_GB2312"/>
          <w:color w:val="000000"/>
          <w:sz w:val="32"/>
          <w:szCs w:val="32"/>
          <w:shd w:val="clear" w:color="auto" w:fill="FFFFFF"/>
        </w:rPr>
        <w:t>人员概况。</w:t>
      </w:r>
    </w:p>
    <w:p>
      <w:pPr>
        <w:widowControl w:val="0"/>
        <w:spacing w:line="560" w:lineRule="exact"/>
        <w:ind w:firstLine="640" w:firstLineChars="200"/>
        <w:rPr>
          <w:rFonts w:hint="default" w:ascii="仿宋_GB2312" w:eastAsia="仿宋_GB2312" w:cs="仿宋_GB2312"/>
          <w:sz w:val="32"/>
          <w:szCs w:val="32"/>
        </w:rPr>
      </w:pPr>
      <w:r>
        <w:rPr>
          <w:rFonts w:ascii="仿宋_GB2312" w:eastAsia="仿宋_GB2312" w:cs="仿宋_GB2312"/>
          <w:sz w:val="32"/>
          <w:szCs w:val="32"/>
        </w:rPr>
        <w:t>截止2020年底我单位共有</w:t>
      </w:r>
      <w:r>
        <w:rPr>
          <w:rFonts w:ascii="仿宋_GB2312" w:hAnsi="仿宋" w:eastAsia="仿宋_GB2312" w:cs="仿宋_GB2312"/>
          <w:sz w:val="32"/>
          <w:szCs w:val="32"/>
        </w:rPr>
        <w:t>事业编制6个，在</w:t>
      </w:r>
      <w:r>
        <w:rPr>
          <w:rFonts w:ascii="仿宋_GB2312" w:eastAsia="仿宋_GB2312" w:cs="仿宋_GB2312"/>
          <w:sz w:val="32"/>
          <w:szCs w:val="32"/>
        </w:rPr>
        <w:t>职5人，事业编制5人。</w:t>
      </w:r>
    </w:p>
    <w:p>
      <w:pPr>
        <w:pStyle w:val="11"/>
        <w:widowControl w:val="0"/>
        <w:spacing w:beforeAutospacing="0" w:afterAutospacing="0" w:line="560" w:lineRule="exact"/>
        <w:rPr>
          <w:rFonts w:hint="default" w:cs="宋体"/>
          <w:sz w:val="32"/>
          <w:szCs w:val="32"/>
        </w:rPr>
      </w:pPr>
      <w:r>
        <w:rPr>
          <w:rFonts w:cs="宋体"/>
          <w:sz w:val="32"/>
          <w:szCs w:val="32"/>
          <w:shd w:val="clear" w:color="auto" w:fill="FFFFFF"/>
        </w:rPr>
        <w:t>二、部门财政资金收支情况</w:t>
      </w:r>
    </w:p>
    <w:p>
      <w:pPr>
        <w:widowControl w:val="0"/>
        <w:adjustRightInd w:val="0"/>
        <w:snapToGrid w:val="0"/>
        <w:spacing w:line="560" w:lineRule="exact"/>
        <w:outlineLvl w:val="2"/>
        <w:rPr>
          <w:rFonts w:hint="default" w:ascii="仿宋_GB2312" w:eastAsia="仿宋_GB2312" w:cs="仿宋_GB2312"/>
          <w:color w:val="000000"/>
          <w:sz w:val="32"/>
          <w:szCs w:val="32"/>
          <w:shd w:val="clear" w:color="auto" w:fill="FFFFFF"/>
        </w:rPr>
      </w:pPr>
      <w:bookmarkStart w:id="95" w:name="_Toc88561090"/>
      <w:bookmarkEnd w:id="95"/>
      <w:r>
        <w:rPr>
          <w:rFonts w:ascii="仿宋_GB2312" w:eastAsia="仿宋_GB2312" w:cs="仿宋_GB2312"/>
          <w:color w:val="000000"/>
          <w:sz w:val="32"/>
          <w:szCs w:val="32"/>
          <w:shd w:val="clear" w:color="auto" w:fill="FFFFFF"/>
        </w:rPr>
        <w:t>（一）部门财政资金收入情况。</w:t>
      </w:r>
    </w:p>
    <w:p>
      <w:pPr>
        <w:widowControl w:val="0"/>
        <w:spacing w:line="560" w:lineRule="exact"/>
        <w:ind w:firstLine="640" w:firstLineChars="200"/>
        <w:rPr>
          <w:rFonts w:hint="default" w:ascii="仿宋_GB2312" w:hAnsi="仿宋" w:eastAsia="仿宋_GB2312" w:cs="仿宋"/>
          <w:sz w:val="32"/>
          <w:szCs w:val="32"/>
        </w:rPr>
      </w:pPr>
      <w:r>
        <w:rPr>
          <w:rFonts w:ascii="仿宋_GB2312" w:hAnsi="仿宋" w:eastAsia="仿宋_GB2312" w:cs="仿宋"/>
          <w:sz w:val="32"/>
          <w:szCs w:val="32"/>
        </w:rPr>
        <w:t>2020</w:t>
      </w:r>
      <w:r>
        <w:rPr>
          <w:rFonts w:ascii="仿宋_GB2312" w:hAnsi="仿宋" w:eastAsia="仿宋_GB2312" w:cs="仿宋_GB2312"/>
          <w:sz w:val="32"/>
          <w:szCs w:val="32"/>
        </w:rPr>
        <w:t>年总收入</w:t>
      </w:r>
      <w:r>
        <w:rPr>
          <w:rFonts w:ascii="仿宋_GB2312" w:hAnsi="仿宋" w:eastAsia="仿宋_GB2312" w:cs="仿宋"/>
          <w:sz w:val="32"/>
          <w:szCs w:val="32"/>
        </w:rPr>
        <w:t>124.57</w:t>
      </w:r>
      <w:r>
        <w:rPr>
          <w:rFonts w:ascii="仿宋_GB2312" w:hAnsi="仿宋" w:eastAsia="仿宋_GB2312" w:cs="仿宋_GB2312"/>
          <w:sz w:val="32"/>
          <w:szCs w:val="32"/>
        </w:rPr>
        <w:t>万元，本年收入</w:t>
      </w:r>
      <w:r>
        <w:rPr>
          <w:rFonts w:ascii="仿宋_GB2312" w:hAnsi="仿宋" w:eastAsia="仿宋_GB2312" w:cs="仿宋"/>
          <w:sz w:val="32"/>
          <w:szCs w:val="32"/>
        </w:rPr>
        <w:t>75.42</w:t>
      </w:r>
      <w:r>
        <w:rPr>
          <w:rFonts w:ascii="仿宋_GB2312" w:hAnsi="仿宋" w:eastAsia="仿宋_GB2312" w:cs="仿宋_GB2312"/>
          <w:sz w:val="32"/>
          <w:szCs w:val="32"/>
        </w:rPr>
        <w:t>万元，占总收入</w:t>
      </w:r>
      <w:r>
        <w:rPr>
          <w:rFonts w:ascii="仿宋_GB2312" w:hAnsi="仿宋" w:eastAsia="仿宋_GB2312" w:cs="仿宋"/>
          <w:sz w:val="32"/>
          <w:szCs w:val="32"/>
        </w:rPr>
        <w:t>60.54%</w:t>
      </w:r>
      <w:r>
        <w:rPr>
          <w:rFonts w:ascii="仿宋_GB2312" w:hAnsi="仿宋" w:eastAsia="仿宋_GB2312" w:cs="仿宋_GB2312"/>
          <w:sz w:val="32"/>
          <w:szCs w:val="32"/>
        </w:rPr>
        <w:t>，其中：其中财政拨款收入</w:t>
      </w:r>
      <w:r>
        <w:rPr>
          <w:rFonts w:ascii="仿宋_GB2312" w:hAnsi="仿宋" w:eastAsia="仿宋_GB2312" w:cs="仿宋"/>
          <w:sz w:val="32"/>
          <w:szCs w:val="32"/>
        </w:rPr>
        <w:t>75.42</w:t>
      </w:r>
      <w:r>
        <w:rPr>
          <w:rFonts w:ascii="仿宋_GB2312" w:hAnsi="仿宋" w:eastAsia="仿宋_GB2312" w:cs="仿宋_GB2312"/>
          <w:sz w:val="32"/>
          <w:szCs w:val="32"/>
        </w:rPr>
        <w:t>万元，占本年收入</w:t>
      </w:r>
      <w:r>
        <w:rPr>
          <w:rFonts w:ascii="仿宋_GB2312" w:hAnsi="仿宋" w:eastAsia="仿宋_GB2312" w:cs="仿宋"/>
          <w:sz w:val="32"/>
          <w:szCs w:val="32"/>
        </w:rPr>
        <w:t>100%</w:t>
      </w:r>
      <w:r>
        <w:rPr>
          <w:rFonts w:ascii="仿宋_GB2312" w:hAnsi="仿宋" w:eastAsia="仿宋_GB2312" w:cs="仿宋_GB2312"/>
          <w:sz w:val="32"/>
          <w:szCs w:val="32"/>
        </w:rPr>
        <w:t>；年初结转结余</w:t>
      </w:r>
      <w:r>
        <w:rPr>
          <w:rFonts w:ascii="仿宋_GB2312" w:hAnsi="仿宋" w:eastAsia="仿宋_GB2312" w:cs="仿宋"/>
          <w:sz w:val="32"/>
          <w:szCs w:val="32"/>
        </w:rPr>
        <w:t>49.15</w:t>
      </w:r>
      <w:r>
        <w:rPr>
          <w:rFonts w:ascii="仿宋_GB2312" w:hAnsi="仿宋" w:eastAsia="仿宋_GB2312" w:cs="仿宋_GB2312"/>
          <w:sz w:val="32"/>
          <w:szCs w:val="32"/>
        </w:rPr>
        <w:t>万元，占总收入</w:t>
      </w:r>
      <w:r>
        <w:rPr>
          <w:rFonts w:ascii="仿宋_GB2312" w:hAnsi="仿宋" w:eastAsia="仿宋_GB2312" w:cs="仿宋"/>
          <w:sz w:val="32"/>
          <w:szCs w:val="32"/>
        </w:rPr>
        <w:t>39.46%</w:t>
      </w:r>
      <w:r>
        <w:rPr>
          <w:rFonts w:ascii="仿宋_GB2312" w:hAnsi="仿宋" w:eastAsia="仿宋_GB2312" w:cs="仿宋_GB2312"/>
          <w:sz w:val="32"/>
          <w:szCs w:val="32"/>
        </w:rPr>
        <w:t>。</w:t>
      </w:r>
    </w:p>
    <w:p>
      <w:pPr>
        <w:pStyle w:val="15"/>
        <w:widowControl w:val="0"/>
        <w:numPr>
          <w:ilvl w:val="0"/>
          <w:numId w:val="8"/>
        </w:numPr>
        <w:adjustRightInd w:val="0"/>
        <w:snapToGrid w:val="0"/>
        <w:spacing w:beforeAutospacing="0" w:afterAutospacing="0" w:line="560" w:lineRule="exact"/>
        <w:contextualSpacing/>
        <w:outlineLvl w:val="2"/>
        <w:rPr>
          <w:rFonts w:hint="default" w:ascii="仿宋_GB2312" w:eastAsia="仿宋_GB2312" w:cs="仿宋_GB2312"/>
          <w:color w:val="000000"/>
          <w:sz w:val="32"/>
          <w:szCs w:val="32"/>
          <w:shd w:val="clear" w:color="auto" w:fill="FFFFFF"/>
        </w:rPr>
      </w:pPr>
      <w:bookmarkStart w:id="96" w:name="_Toc88561091"/>
      <w:bookmarkEnd w:id="96"/>
      <w:r>
        <w:rPr>
          <w:rFonts w:ascii="仿宋_GB2312" w:eastAsia="仿宋_GB2312" w:cs="仿宋_GB2312"/>
          <w:color w:val="000000"/>
          <w:sz w:val="32"/>
          <w:szCs w:val="32"/>
          <w:shd w:val="clear" w:color="auto" w:fill="FFFFFF"/>
        </w:rPr>
        <w:t>部门财政资金支出情况。</w:t>
      </w:r>
    </w:p>
    <w:p>
      <w:pPr>
        <w:widowControl w:val="0"/>
        <w:spacing w:line="560" w:lineRule="exact"/>
        <w:ind w:firstLine="640" w:firstLineChars="200"/>
        <w:rPr>
          <w:rFonts w:hint="default" w:ascii="仿宋_GB2312" w:eastAsia="仿宋_GB2312" w:cs="仿宋_GB2312"/>
          <w:sz w:val="32"/>
          <w:szCs w:val="32"/>
        </w:rPr>
      </w:pPr>
      <w:r>
        <w:rPr>
          <w:rFonts w:ascii="仿宋_GB2312" w:eastAsia="仿宋_GB2312" w:cs="仿宋_GB2312"/>
          <w:sz w:val="32"/>
          <w:szCs w:val="32"/>
        </w:rPr>
        <w:t>2020一般公共预算财政拨款支出75.43万元，主要用于以下方面:社会保障和就业支出11.12万元，占18.07%；完成预算100%。医疗卫生与计划生育5.09万元，占8.27%；完成预算100%。文化体育与传媒支出38.66万元，占62.82%；完成预算100%。住房保障支出6.67万元，占10.84%；完成预算100%。</w:t>
      </w:r>
    </w:p>
    <w:p>
      <w:pPr>
        <w:pStyle w:val="11"/>
        <w:widowControl w:val="0"/>
        <w:spacing w:beforeAutospacing="0" w:afterAutospacing="0" w:line="560" w:lineRule="exact"/>
        <w:rPr>
          <w:rFonts w:hint="default" w:cs="宋体"/>
          <w:sz w:val="32"/>
          <w:szCs w:val="32"/>
        </w:rPr>
      </w:pPr>
      <w:r>
        <w:rPr>
          <w:rFonts w:cs="宋体"/>
          <w:sz w:val="32"/>
          <w:szCs w:val="32"/>
          <w:shd w:val="clear" w:color="auto" w:fill="FFFFFF"/>
        </w:rPr>
        <w:t>三、部门整体预算绩效管理情况</w:t>
      </w:r>
    </w:p>
    <w:p>
      <w:pPr>
        <w:widowControl w:val="0"/>
        <w:adjustRightInd w:val="0"/>
        <w:snapToGrid w:val="0"/>
        <w:spacing w:line="560" w:lineRule="exact"/>
        <w:outlineLvl w:val="2"/>
        <w:rPr>
          <w:rFonts w:hint="default" w:ascii="仿宋_GB2312" w:eastAsia="仿宋_GB2312" w:cs="仿宋_GB2312"/>
          <w:color w:val="000000"/>
          <w:sz w:val="32"/>
          <w:szCs w:val="32"/>
          <w:shd w:val="clear" w:color="auto" w:fill="FFFFFF"/>
        </w:rPr>
      </w:pPr>
      <w:bookmarkStart w:id="97" w:name="_Toc88561092"/>
      <w:bookmarkEnd w:id="97"/>
      <w:r>
        <w:rPr>
          <w:rFonts w:ascii="仿宋_GB2312" w:eastAsia="仿宋_GB2312" w:cs="仿宋_GB2312"/>
          <w:color w:val="000000"/>
          <w:sz w:val="32"/>
          <w:szCs w:val="32"/>
          <w:shd w:val="clear" w:color="auto" w:fill="FFFFFF"/>
        </w:rPr>
        <w:t>（一）部门预算管理。</w:t>
      </w:r>
    </w:p>
    <w:p>
      <w:pPr>
        <w:widowControl w:val="0"/>
        <w:spacing w:line="560" w:lineRule="exact"/>
        <w:ind w:firstLine="642" w:firstLineChars="200"/>
        <w:rPr>
          <w:rFonts w:hint="default" w:ascii="仿宋_GB2312" w:eastAsia="仿宋_GB2312" w:cs="仿宋_GB2312"/>
          <w:b/>
          <w:sz w:val="32"/>
          <w:szCs w:val="32"/>
        </w:rPr>
      </w:pPr>
      <w:r>
        <w:rPr>
          <w:rFonts w:ascii="仿宋_GB2312" w:eastAsia="仿宋_GB2312" w:cs="仿宋_GB2312"/>
          <w:b/>
          <w:sz w:val="32"/>
          <w:szCs w:val="32"/>
        </w:rPr>
        <w:t>预算编制情况。</w:t>
      </w:r>
      <w:r>
        <w:rPr>
          <w:rFonts w:ascii="仿宋_GB2312" w:eastAsia="仿宋_GB2312" w:cs="仿宋_GB2312"/>
          <w:sz w:val="32"/>
          <w:szCs w:val="32"/>
        </w:rPr>
        <w:t>本单位严格按照《预算法》及相关财经法规和政策编制本年度预算，严格控制编报质量，保证所有资金合法合规，严格按照相关规定进行预算编制，中央转移支付资金按照文件要求执行，专项转移支付严格根据分地区分项目进行编制。</w:t>
      </w:r>
      <w:r>
        <w:rPr>
          <w:rFonts w:ascii="仿宋_GB2312" w:eastAsia="仿宋_GB2312" w:cs="仿宋_GB2312"/>
          <w:b/>
          <w:sz w:val="32"/>
          <w:szCs w:val="32"/>
        </w:rPr>
        <w:t>执行管理情况。</w:t>
      </w:r>
      <w:r>
        <w:rPr>
          <w:rFonts w:ascii="仿宋_GB2312" w:eastAsia="仿宋_GB2312" w:cs="仿宋_GB2312"/>
          <w:sz w:val="32"/>
          <w:szCs w:val="32"/>
        </w:rPr>
        <w:t>部门预算执行到位,严格按照预算管理进行支付并做到节能降耗，“三公”经费严格按照年初预算执行。2020年度“三公”经费财政拨款支出决算中，因公出国（境）费支出决算0元，占0%；公务用车购置及运行维护费支出决算0.2万元，占100%；公务接待费支出决算0元，占0%。</w:t>
      </w:r>
    </w:p>
    <w:p>
      <w:pPr>
        <w:widowControl w:val="0"/>
        <w:adjustRightInd w:val="0"/>
        <w:snapToGrid w:val="0"/>
        <w:spacing w:line="560" w:lineRule="exact"/>
        <w:outlineLvl w:val="2"/>
        <w:rPr>
          <w:rFonts w:hint="default" w:ascii="仿宋_GB2312" w:eastAsia="仿宋_GB2312" w:cs="仿宋_GB2312"/>
          <w:color w:val="000000"/>
          <w:sz w:val="32"/>
          <w:szCs w:val="32"/>
          <w:shd w:val="clear" w:color="auto" w:fill="FFFFFF"/>
        </w:rPr>
      </w:pPr>
      <w:bookmarkStart w:id="98" w:name="_Toc88561093"/>
      <w:bookmarkEnd w:id="98"/>
      <w:r>
        <w:rPr>
          <w:rFonts w:ascii="仿宋_GB2312" w:eastAsia="仿宋_GB2312" w:cs="仿宋_GB2312"/>
          <w:color w:val="000000"/>
          <w:sz w:val="32"/>
          <w:szCs w:val="32"/>
          <w:shd w:val="clear" w:color="auto" w:fill="FFFFFF"/>
        </w:rPr>
        <w:t>（二）结果应用情况。</w:t>
      </w:r>
    </w:p>
    <w:p>
      <w:pPr>
        <w:widowControl w:val="0"/>
        <w:spacing w:line="560" w:lineRule="exact"/>
        <w:ind w:firstLine="640" w:firstLineChars="200"/>
        <w:rPr>
          <w:rFonts w:hint="default" w:ascii="仿宋_GB2312" w:eastAsia="仿宋_GB2312" w:cs="仿宋_GB2312"/>
          <w:color w:val="000000"/>
          <w:sz w:val="32"/>
          <w:szCs w:val="32"/>
        </w:rPr>
      </w:pPr>
      <w:r>
        <w:rPr>
          <w:rFonts w:ascii="仿宋" w:hAnsi="仿宋" w:eastAsia="仿宋" w:cs="仿宋"/>
          <w:sz w:val="32"/>
          <w:szCs w:val="32"/>
        </w:rPr>
        <w:t>我店坚持依法决策，凡是有重大事项决策，重大安排和大额度资金运作事项，必须通过我店职工共同商量并上报文体广新局领导并征求领导的同意。我店坚持民主决策，按照“集体领导、民主集中、个别酝酿、会议决定”的要求进行决策，保证权力正确行使。</w:t>
      </w:r>
      <w:r>
        <w:rPr>
          <w:rFonts w:ascii="仿宋_GB2312" w:eastAsia="仿宋_GB2312" w:cs="仿宋_GB2312"/>
          <w:sz w:val="32"/>
          <w:szCs w:val="32"/>
        </w:rPr>
        <w:t>维护少数</w:t>
      </w:r>
      <w:r>
        <w:rPr>
          <w:rFonts w:ascii="仿宋_GB2312" w:eastAsia="仿宋_GB2312" w:cs="仿宋_GB2312"/>
          <w:sz w:val="32"/>
          <w:szCs w:val="32"/>
        </w:rPr>
        <w:t>民族</w:t>
      </w:r>
      <w:r>
        <w:rPr>
          <w:rFonts w:ascii="仿宋_GB2312" w:eastAsia="仿宋_GB2312" w:cs="仿宋_GB2312"/>
          <w:sz w:val="32"/>
          <w:szCs w:val="32"/>
        </w:rPr>
        <w:t>地区的社会稳定，提高人民生活水</w:t>
      </w:r>
      <w:r>
        <w:rPr>
          <w:rFonts w:ascii="仿宋_GB2312" w:eastAsia="仿宋_GB2312" w:cs="仿宋_GB2312"/>
          <w:color w:val="000000"/>
          <w:sz w:val="32"/>
          <w:szCs w:val="32"/>
        </w:rPr>
        <w:t xml:space="preserve">平，改善人民生活质量等方面有着极其重要的意义，有力促进了社会和谐发展，为全县及乡镇的经济发展作出了应有的贡献。部门整体支出绩效自评得良好。 </w:t>
      </w:r>
    </w:p>
    <w:p>
      <w:pPr>
        <w:pStyle w:val="11"/>
        <w:widowControl w:val="0"/>
        <w:spacing w:beforeAutospacing="0" w:afterAutospacing="0" w:line="560" w:lineRule="exact"/>
        <w:rPr>
          <w:rFonts w:hint="default" w:cs="宋体"/>
          <w:sz w:val="32"/>
          <w:szCs w:val="32"/>
        </w:rPr>
      </w:pPr>
      <w:r>
        <w:rPr>
          <w:rFonts w:cs="宋体"/>
          <w:sz w:val="32"/>
          <w:szCs w:val="32"/>
          <w:shd w:val="clear" w:color="auto" w:fill="FFFFFF"/>
        </w:rPr>
        <w:t>四、评价结论及建议</w:t>
      </w:r>
    </w:p>
    <w:p>
      <w:pPr>
        <w:widowControl w:val="0"/>
        <w:autoSpaceDE w:val="0"/>
        <w:spacing w:line="560" w:lineRule="exact"/>
        <w:rPr>
          <w:rFonts w:hint="default"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（一）评价结论。</w:t>
      </w:r>
    </w:p>
    <w:p>
      <w:pPr>
        <w:widowControl w:val="0"/>
        <w:autoSpaceDE w:val="0"/>
        <w:spacing w:line="560" w:lineRule="exact"/>
        <w:ind w:firstLine="640" w:firstLineChars="200"/>
        <w:rPr>
          <w:rFonts w:hint="default" w:ascii="仿宋_GB2312" w:eastAsia="仿宋_GB2312" w:cs="仿宋_GB2312"/>
          <w:color w:val="000000"/>
          <w:sz w:val="32"/>
          <w:szCs w:val="32"/>
          <w:shd w:val="clear" w:color="auto" w:fill="FFFFFF"/>
        </w:rPr>
      </w:pPr>
      <w:r>
        <w:rPr>
          <w:rFonts w:ascii="仿宋_GB2312" w:eastAsia="仿宋_GB2312" w:cs="仿宋_GB2312"/>
          <w:sz w:val="32"/>
          <w:szCs w:val="32"/>
        </w:rPr>
        <w:t>按照预算绩效管理要求，本单位对2020年整体支出开展绩效自评，自评得分96分，部门整体支出绩效“好”。</w:t>
      </w:r>
    </w:p>
    <w:p>
      <w:pPr>
        <w:widowControl w:val="0"/>
        <w:adjustRightInd w:val="0"/>
        <w:snapToGrid w:val="0"/>
        <w:spacing w:line="560" w:lineRule="exact"/>
        <w:rPr>
          <w:rFonts w:hint="default"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（二）存在问题。</w:t>
      </w:r>
    </w:p>
    <w:p>
      <w:pPr>
        <w:pStyle w:val="2"/>
        <w:widowControl w:val="0"/>
        <w:spacing w:line="560" w:lineRule="exact"/>
        <w:ind w:firstLine="320" w:firstLineChars="100"/>
      </w:pPr>
      <w:r>
        <w:rPr>
          <w:rFonts w:hint="eastAsia" w:ascii="仿宋_GB2312" w:eastAsia="仿宋_GB2312" w:cs="仿宋_GB2312"/>
          <w:sz w:val="32"/>
          <w:szCs w:val="32"/>
        </w:rPr>
        <w:t>内控制度需进一步完善。</w:t>
      </w:r>
    </w:p>
    <w:p>
      <w:pPr>
        <w:pStyle w:val="15"/>
        <w:widowControl w:val="0"/>
        <w:numPr>
          <w:ilvl w:val="0"/>
          <w:numId w:val="8"/>
        </w:numPr>
        <w:adjustRightInd w:val="0"/>
        <w:snapToGrid w:val="0"/>
        <w:spacing w:beforeAutospacing="0" w:afterAutospacing="0" w:line="560" w:lineRule="exact"/>
        <w:contextualSpacing/>
        <w:rPr>
          <w:rFonts w:hint="default"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改进建议。</w:t>
      </w:r>
    </w:p>
    <w:p>
      <w:pPr>
        <w:widowControl w:val="0"/>
        <w:spacing w:line="560" w:lineRule="exact"/>
        <w:ind w:firstLine="640" w:firstLineChars="200"/>
        <w:rPr>
          <w:rFonts w:hint="default" w:ascii="仿宋_GB2312" w:eastAsia="仿宋_GB2312" w:cs="仿宋_GB2312"/>
          <w:sz w:val="32"/>
          <w:szCs w:val="32"/>
        </w:rPr>
      </w:pPr>
      <w:r>
        <w:rPr>
          <w:rFonts w:ascii="仿宋_GB2312" w:eastAsia="仿宋_GB2312" w:cs="仿宋_GB2312"/>
          <w:sz w:val="32"/>
          <w:szCs w:val="32"/>
        </w:rPr>
        <w:t>进一步完善内部管理制度，提升管理效能。</w:t>
      </w:r>
    </w:p>
    <w:p>
      <w:pPr>
        <w:pStyle w:val="11"/>
        <w:widowControl w:val="0"/>
        <w:spacing w:beforeAutospacing="0" w:line="560" w:lineRule="exact"/>
        <w:rPr>
          <w:rFonts w:cs="宋体"/>
        </w:rPr>
      </w:pPr>
    </w:p>
    <w:p>
      <w:pPr>
        <w:pStyle w:val="11"/>
        <w:widowControl w:val="0"/>
        <w:spacing w:beforeAutospacing="0" w:line="560" w:lineRule="exact"/>
        <w:rPr>
          <w:rFonts w:hint="default" w:cs="宋体"/>
        </w:rPr>
      </w:pPr>
    </w:p>
    <w:p>
      <w:pPr>
        <w:pStyle w:val="11"/>
        <w:widowControl w:val="0"/>
        <w:numPr>
          <w:ilvl w:val="0"/>
          <w:numId w:val="9"/>
        </w:numPr>
        <w:spacing w:beforeAutospacing="0" w:line="560" w:lineRule="exact"/>
        <w:jc w:val="center"/>
        <w:outlineLvl w:val="0"/>
        <w:rPr>
          <w:rFonts w:hint="default" w:cs="宋体"/>
          <w:b/>
          <w:sz w:val="32"/>
          <w:szCs w:val="32"/>
          <w:shd w:val="clear" w:color="auto" w:fill="FFFFFF"/>
        </w:rPr>
      </w:pPr>
      <w:bookmarkStart w:id="99" w:name="_Toc15331"/>
      <w:bookmarkEnd w:id="99"/>
      <w:bookmarkStart w:id="100" w:name="_Toc19501"/>
      <w:bookmarkEnd w:id="100"/>
      <w:bookmarkStart w:id="101" w:name="_Toc6904"/>
      <w:bookmarkEnd w:id="101"/>
      <w:bookmarkStart w:id="102" w:name="_Toc88561094"/>
      <w:bookmarkStart w:id="103" w:name="_Toc88833334"/>
      <w:r>
        <w:rPr>
          <w:rFonts w:cs="宋体"/>
          <w:b/>
          <w:sz w:val="32"/>
          <w:szCs w:val="32"/>
          <w:shd w:val="clear" w:color="auto" w:fill="FFFFFF"/>
        </w:rPr>
        <w:t>附表</w:t>
      </w:r>
      <w:bookmarkEnd w:id="102"/>
      <w:bookmarkEnd w:id="103"/>
    </w:p>
    <w:p>
      <w:pPr>
        <w:pStyle w:val="3"/>
        <w:widowControl w:val="0"/>
        <w:autoSpaceDE w:val="0"/>
        <w:spacing w:beforeAutospacing="0" w:afterAutospacing="0" w:line="560" w:lineRule="exact"/>
        <w:rPr>
          <w:rFonts w:hint="default" w:cs="宋体"/>
          <w:b w:val="0"/>
        </w:rPr>
      </w:pPr>
      <w:bookmarkStart w:id="104" w:name="_Toc16902"/>
      <w:bookmarkEnd w:id="104"/>
      <w:bookmarkStart w:id="105" w:name="_Toc23635"/>
      <w:bookmarkEnd w:id="105"/>
      <w:bookmarkStart w:id="106" w:name="_Toc23688"/>
      <w:bookmarkEnd w:id="106"/>
      <w:bookmarkStart w:id="107" w:name="_Toc88833335"/>
      <w:bookmarkStart w:id="108" w:name="_Toc88561095"/>
      <w:r>
        <w:rPr>
          <w:rFonts w:cs="宋体"/>
          <w:b w:val="0"/>
          <w:sz w:val="24"/>
          <w:szCs w:val="24"/>
          <w:shd w:val="clear" w:color="auto" w:fill="FFFFFF"/>
        </w:rPr>
        <w:t>一、收入支出决算总表</w:t>
      </w:r>
      <w:bookmarkEnd w:id="107"/>
      <w:bookmarkEnd w:id="108"/>
    </w:p>
    <w:p>
      <w:pPr>
        <w:pStyle w:val="3"/>
        <w:widowControl w:val="0"/>
        <w:autoSpaceDE w:val="0"/>
        <w:spacing w:beforeAutospacing="0" w:afterAutospacing="0" w:line="560" w:lineRule="exact"/>
        <w:rPr>
          <w:rFonts w:hint="default" w:cs="宋体"/>
          <w:b w:val="0"/>
        </w:rPr>
      </w:pPr>
      <w:bookmarkStart w:id="109" w:name="_Toc29549"/>
      <w:bookmarkEnd w:id="109"/>
      <w:bookmarkStart w:id="110" w:name="_Toc22882"/>
      <w:bookmarkEnd w:id="110"/>
      <w:bookmarkStart w:id="111" w:name="_Toc4401"/>
      <w:bookmarkEnd w:id="111"/>
      <w:bookmarkStart w:id="112" w:name="_Toc88833336"/>
      <w:bookmarkStart w:id="113" w:name="_Toc88561096"/>
      <w:r>
        <w:rPr>
          <w:rFonts w:cs="宋体"/>
          <w:b w:val="0"/>
          <w:sz w:val="24"/>
          <w:szCs w:val="24"/>
          <w:shd w:val="clear" w:color="auto" w:fill="FFFFFF"/>
        </w:rPr>
        <w:t>二、收入决算表</w:t>
      </w:r>
      <w:bookmarkEnd w:id="112"/>
      <w:bookmarkEnd w:id="113"/>
    </w:p>
    <w:p>
      <w:pPr>
        <w:pStyle w:val="3"/>
        <w:widowControl w:val="0"/>
        <w:autoSpaceDE w:val="0"/>
        <w:spacing w:beforeAutospacing="0" w:afterAutospacing="0" w:line="560" w:lineRule="exact"/>
        <w:rPr>
          <w:rFonts w:hint="default" w:cs="宋体"/>
          <w:b w:val="0"/>
        </w:rPr>
      </w:pPr>
      <w:bookmarkStart w:id="114" w:name="_Toc4083"/>
      <w:bookmarkEnd w:id="114"/>
      <w:bookmarkStart w:id="115" w:name="_Toc30402"/>
      <w:bookmarkEnd w:id="115"/>
      <w:bookmarkStart w:id="116" w:name="_Toc30394"/>
      <w:bookmarkEnd w:id="116"/>
      <w:bookmarkStart w:id="117" w:name="_Toc88833337"/>
      <w:bookmarkStart w:id="118" w:name="_Toc88561097"/>
      <w:r>
        <w:rPr>
          <w:rFonts w:cs="宋体"/>
          <w:b w:val="0"/>
          <w:sz w:val="24"/>
          <w:szCs w:val="24"/>
          <w:shd w:val="clear" w:color="auto" w:fill="FFFFFF"/>
        </w:rPr>
        <w:t>三、支出决算表</w:t>
      </w:r>
      <w:bookmarkEnd w:id="117"/>
      <w:bookmarkEnd w:id="118"/>
    </w:p>
    <w:p>
      <w:pPr>
        <w:pStyle w:val="3"/>
        <w:widowControl w:val="0"/>
        <w:autoSpaceDE w:val="0"/>
        <w:spacing w:beforeAutospacing="0" w:afterAutospacing="0" w:line="560" w:lineRule="exact"/>
        <w:rPr>
          <w:rFonts w:hint="default" w:cs="宋体"/>
          <w:b w:val="0"/>
        </w:rPr>
      </w:pPr>
      <w:bookmarkStart w:id="119" w:name="_Toc18892"/>
      <w:bookmarkEnd w:id="119"/>
      <w:bookmarkStart w:id="120" w:name="_Toc11492"/>
      <w:bookmarkEnd w:id="120"/>
      <w:bookmarkStart w:id="121" w:name="_Toc29597"/>
      <w:bookmarkEnd w:id="121"/>
      <w:bookmarkStart w:id="122" w:name="_Toc88561098"/>
      <w:bookmarkStart w:id="123" w:name="_Toc88833338"/>
      <w:r>
        <w:rPr>
          <w:rFonts w:cs="宋体"/>
          <w:b w:val="0"/>
          <w:sz w:val="24"/>
          <w:szCs w:val="24"/>
          <w:shd w:val="clear" w:color="auto" w:fill="FFFFFF"/>
        </w:rPr>
        <w:t>四、财政拨款收入支出决算总表</w:t>
      </w:r>
      <w:bookmarkEnd w:id="122"/>
      <w:bookmarkEnd w:id="123"/>
    </w:p>
    <w:p>
      <w:pPr>
        <w:pStyle w:val="3"/>
        <w:widowControl w:val="0"/>
        <w:autoSpaceDE w:val="0"/>
        <w:spacing w:beforeAutospacing="0" w:afterAutospacing="0" w:line="560" w:lineRule="exact"/>
        <w:rPr>
          <w:rFonts w:hint="default" w:cs="宋体"/>
          <w:b w:val="0"/>
        </w:rPr>
      </w:pPr>
      <w:bookmarkStart w:id="124" w:name="_Toc31388"/>
      <w:bookmarkEnd w:id="124"/>
      <w:bookmarkStart w:id="125" w:name="_Toc15492"/>
      <w:bookmarkEnd w:id="125"/>
      <w:bookmarkStart w:id="126" w:name="_Toc23139"/>
      <w:bookmarkEnd w:id="126"/>
      <w:bookmarkStart w:id="127" w:name="_Toc88833339"/>
      <w:bookmarkStart w:id="128" w:name="_Toc88561099"/>
      <w:r>
        <w:rPr>
          <w:rFonts w:cs="宋体"/>
          <w:b w:val="0"/>
          <w:sz w:val="24"/>
          <w:szCs w:val="24"/>
          <w:shd w:val="clear" w:color="auto" w:fill="FFFFFF"/>
        </w:rPr>
        <w:t>五、财政拨款支出决算明细表</w:t>
      </w:r>
      <w:bookmarkEnd w:id="127"/>
      <w:bookmarkEnd w:id="128"/>
    </w:p>
    <w:p>
      <w:pPr>
        <w:pStyle w:val="3"/>
        <w:widowControl w:val="0"/>
        <w:autoSpaceDE w:val="0"/>
        <w:spacing w:beforeAutospacing="0" w:afterAutospacing="0" w:line="560" w:lineRule="exact"/>
        <w:rPr>
          <w:rFonts w:hint="default" w:cs="宋体"/>
          <w:b w:val="0"/>
        </w:rPr>
      </w:pPr>
      <w:bookmarkStart w:id="129" w:name="_Toc1025"/>
      <w:bookmarkEnd w:id="129"/>
      <w:bookmarkStart w:id="130" w:name="_Toc30360"/>
      <w:bookmarkEnd w:id="130"/>
      <w:bookmarkStart w:id="131" w:name="_Toc10734"/>
      <w:bookmarkEnd w:id="131"/>
      <w:bookmarkStart w:id="132" w:name="_Toc88561100"/>
      <w:bookmarkStart w:id="133" w:name="_Toc88833340"/>
      <w:r>
        <w:rPr>
          <w:rFonts w:cs="宋体"/>
          <w:b w:val="0"/>
          <w:sz w:val="24"/>
          <w:szCs w:val="24"/>
          <w:shd w:val="clear" w:color="auto" w:fill="FFFFFF"/>
        </w:rPr>
        <w:t>六、一般公共预算财政拨款支出决算表</w:t>
      </w:r>
      <w:bookmarkEnd w:id="132"/>
      <w:bookmarkEnd w:id="133"/>
    </w:p>
    <w:p>
      <w:pPr>
        <w:pStyle w:val="3"/>
        <w:widowControl w:val="0"/>
        <w:autoSpaceDE w:val="0"/>
        <w:spacing w:beforeAutospacing="0" w:afterAutospacing="0" w:line="560" w:lineRule="exact"/>
        <w:rPr>
          <w:rFonts w:hint="default" w:cs="宋体"/>
          <w:b w:val="0"/>
        </w:rPr>
      </w:pPr>
      <w:bookmarkStart w:id="134" w:name="_Toc25696"/>
      <w:bookmarkEnd w:id="134"/>
      <w:bookmarkStart w:id="135" w:name="_Toc6889"/>
      <w:bookmarkEnd w:id="135"/>
      <w:bookmarkStart w:id="136" w:name="_Toc7176"/>
      <w:bookmarkEnd w:id="136"/>
      <w:bookmarkStart w:id="137" w:name="_Toc88833341"/>
      <w:bookmarkStart w:id="138" w:name="_Toc88561101"/>
      <w:r>
        <w:rPr>
          <w:rFonts w:cs="宋体"/>
          <w:b w:val="0"/>
          <w:sz w:val="24"/>
          <w:szCs w:val="24"/>
          <w:shd w:val="clear" w:color="auto" w:fill="FFFFFF"/>
        </w:rPr>
        <w:t>七、一般公共预算财政拨款支出决算明细表</w:t>
      </w:r>
      <w:bookmarkEnd w:id="137"/>
      <w:bookmarkEnd w:id="138"/>
    </w:p>
    <w:p>
      <w:pPr>
        <w:pStyle w:val="3"/>
        <w:widowControl w:val="0"/>
        <w:autoSpaceDE w:val="0"/>
        <w:spacing w:beforeAutospacing="0" w:afterAutospacing="0" w:line="560" w:lineRule="exact"/>
        <w:rPr>
          <w:rFonts w:hint="default" w:cs="宋体"/>
          <w:b w:val="0"/>
        </w:rPr>
      </w:pPr>
      <w:bookmarkStart w:id="139" w:name="_Toc13686"/>
      <w:bookmarkEnd w:id="139"/>
      <w:bookmarkStart w:id="140" w:name="_Toc17305"/>
      <w:bookmarkEnd w:id="140"/>
      <w:bookmarkStart w:id="141" w:name="_Toc4335"/>
      <w:bookmarkEnd w:id="141"/>
      <w:bookmarkStart w:id="142" w:name="_Toc88561102"/>
      <w:bookmarkStart w:id="143" w:name="_Toc88833342"/>
      <w:r>
        <w:rPr>
          <w:rFonts w:cs="宋体"/>
          <w:b w:val="0"/>
          <w:sz w:val="24"/>
          <w:szCs w:val="24"/>
          <w:shd w:val="clear" w:color="auto" w:fill="FFFFFF"/>
        </w:rPr>
        <w:t>八、一般公共预算财政拨款基本支出决算表</w:t>
      </w:r>
      <w:bookmarkEnd w:id="142"/>
      <w:bookmarkEnd w:id="143"/>
    </w:p>
    <w:p>
      <w:pPr>
        <w:pStyle w:val="3"/>
        <w:widowControl w:val="0"/>
        <w:spacing w:beforeAutospacing="0" w:afterAutospacing="0" w:line="560" w:lineRule="exact"/>
        <w:rPr>
          <w:rFonts w:hint="default" w:cs="宋体"/>
          <w:b w:val="0"/>
        </w:rPr>
      </w:pPr>
      <w:bookmarkStart w:id="144" w:name="_Toc2991"/>
      <w:bookmarkEnd w:id="144"/>
      <w:bookmarkStart w:id="145" w:name="_Toc9254"/>
      <w:bookmarkEnd w:id="145"/>
      <w:bookmarkStart w:id="146" w:name="_Toc11603"/>
      <w:bookmarkEnd w:id="146"/>
      <w:bookmarkStart w:id="147" w:name="_Toc88833343"/>
      <w:bookmarkStart w:id="148" w:name="_Toc88561103"/>
      <w:r>
        <w:rPr>
          <w:rFonts w:cs="宋体"/>
          <w:b w:val="0"/>
          <w:sz w:val="24"/>
          <w:szCs w:val="24"/>
          <w:shd w:val="clear" w:color="auto" w:fill="FFFFFF"/>
        </w:rPr>
        <w:t>九、一般公共预算财政拨款项目支出决算表</w:t>
      </w:r>
      <w:bookmarkEnd w:id="147"/>
      <w:bookmarkEnd w:id="148"/>
    </w:p>
    <w:p>
      <w:pPr>
        <w:pStyle w:val="3"/>
        <w:widowControl w:val="0"/>
        <w:spacing w:beforeAutospacing="0" w:afterAutospacing="0" w:line="560" w:lineRule="exact"/>
        <w:rPr>
          <w:rFonts w:hint="default" w:cs="宋体"/>
          <w:b w:val="0"/>
        </w:rPr>
      </w:pPr>
      <w:bookmarkStart w:id="149" w:name="_Toc7639"/>
      <w:bookmarkEnd w:id="149"/>
      <w:bookmarkStart w:id="150" w:name="_Toc5810"/>
      <w:bookmarkEnd w:id="150"/>
      <w:bookmarkStart w:id="151" w:name="_Toc18585"/>
      <w:bookmarkEnd w:id="151"/>
      <w:bookmarkStart w:id="152" w:name="_Toc88561104"/>
      <w:bookmarkStart w:id="153" w:name="_Toc88833344"/>
      <w:r>
        <w:rPr>
          <w:rFonts w:cs="宋体"/>
          <w:b w:val="0"/>
          <w:sz w:val="24"/>
          <w:szCs w:val="24"/>
          <w:shd w:val="clear" w:color="auto" w:fill="FFFFFF"/>
        </w:rPr>
        <w:t>十、一般公共预算财政拨款“三公”经费支出决算表</w:t>
      </w:r>
      <w:bookmarkEnd w:id="152"/>
      <w:bookmarkEnd w:id="153"/>
    </w:p>
    <w:p>
      <w:pPr>
        <w:pStyle w:val="3"/>
        <w:widowControl w:val="0"/>
        <w:spacing w:beforeAutospacing="0" w:afterAutospacing="0" w:line="560" w:lineRule="exact"/>
        <w:rPr>
          <w:rFonts w:hint="default" w:cs="宋体"/>
          <w:b w:val="0"/>
        </w:rPr>
      </w:pPr>
      <w:bookmarkStart w:id="154" w:name="_Toc12574"/>
      <w:bookmarkEnd w:id="154"/>
      <w:bookmarkStart w:id="155" w:name="_Toc25959"/>
      <w:bookmarkEnd w:id="155"/>
      <w:bookmarkStart w:id="156" w:name="_Toc5398"/>
      <w:bookmarkEnd w:id="156"/>
      <w:bookmarkStart w:id="157" w:name="_Toc88561105"/>
      <w:bookmarkStart w:id="158" w:name="_Toc88833345"/>
      <w:r>
        <w:rPr>
          <w:rFonts w:cs="宋体"/>
          <w:b w:val="0"/>
          <w:sz w:val="24"/>
          <w:szCs w:val="24"/>
          <w:shd w:val="clear" w:color="auto" w:fill="FFFFFF"/>
        </w:rPr>
        <w:t>十一、政府性基金预算财政拨款收入支出决算表</w:t>
      </w:r>
      <w:bookmarkEnd w:id="157"/>
      <w:bookmarkEnd w:id="158"/>
    </w:p>
    <w:p>
      <w:pPr>
        <w:pStyle w:val="3"/>
        <w:widowControl w:val="0"/>
        <w:spacing w:beforeAutospacing="0" w:afterAutospacing="0" w:line="560" w:lineRule="exact"/>
        <w:rPr>
          <w:rFonts w:hint="default" w:cs="宋体"/>
          <w:b w:val="0"/>
        </w:rPr>
      </w:pPr>
      <w:bookmarkStart w:id="159" w:name="_Toc18278"/>
      <w:bookmarkEnd w:id="159"/>
      <w:bookmarkStart w:id="160" w:name="_Toc16303"/>
      <w:bookmarkEnd w:id="160"/>
      <w:bookmarkStart w:id="161" w:name="_Toc7547"/>
      <w:bookmarkEnd w:id="161"/>
      <w:bookmarkStart w:id="162" w:name="_Toc88561106"/>
      <w:bookmarkStart w:id="163" w:name="_Toc88833346"/>
      <w:r>
        <w:rPr>
          <w:rFonts w:cs="宋体"/>
          <w:b w:val="0"/>
          <w:sz w:val="24"/>
          <w:szCs w:val="24"/>
          <w:shd w:val="clear" w:color="auto" w:fill="FFFFFF"/>
        </w:rPr>
        <w:t>十二、政府性基金预算财政拨款“三公”经费支出决算表</w:t>
      </w:r>
      <w:bookmarkEnd w:id="162"/>
      <w:bookmarkEnd w:id="163"/>
    </w:p>
    <w:p>
      <w:pPr>
        <w:pStyle w:val="3"/>
        <w:widowControl w:val="0"/>
        <w:spacing w:beforeAutospacing="0" w:afterAutospacing="0" w:line="560" w:lineRule="exact"/>
        <w:rPr>
          <w:rFonts w:hint="default" w:cs="宋体"/>
          <w:b w:val="0"/>
        </w:rPr>
      </w:pPr>
      <w:bookmarkStart w:id="164" w:name="_Toc761"/>
      <w:bookmarkEnd w:id="164"/>
      <w:bookmarkStart w:id="165" w:name="_Toc5681"/>
      <w:bookmarkEnd w:id="165"/>
      <w:bookmarkStart w:id="166" w:name="_Toc17599"/>
      <w:bookmarkEnd w:id="166"/>
      <w:bookmarkStart w:id="167" w:name="_Toc88833347"/>
      <w:bookmarkStart w:id="168" w:name="_Toc88561107"/>
      <w:r>
        <w:rPr>
          <w:rFonts w:cs="宋体"/>
          <w:b w:val="0"/>
          <w:sz w:val="24"/>
          <w:szCs w:val="24"/>
          <w:shd w:val="clear" w:color="auto" w:fill="FFFFFF"/>
        </w:rPr>
        <w:t>十三、国有资本经营预算财政拨款收入支出决算表</w:t>
      </w:r>
      <w:bookmarkEnd w:id="167"/>
      <w:bookmarkEnd w:id="168"/>
    </w:p>
    <w:p>
      <w:pPr>
        <w:pStyle w:val="3"/>
        <w:widowControl w:val="0"/>
        <w:spacing w:beforeAutospacing="0" w:afterAutospacing="0" w:line="560" w:lineRule="exact"/>
        <w:rPr>
          <w:rFonts w:hint="default" w:cs="宋体"/>
          <w:b w:val="0"/>
        </w:rPr>
      </w:pPr>
      <w:bookmarkStart w:id="169" w:name="_Toc15808"/>
      <w:bookmarkEnd w:id="169"/>
      <w:bookmarkStart w:id="170" w:name="_Toc14981"/>
      <w:bookmarkEnd w:id="170"/>
      <w:bookmarkStart w:id="171" w:name="_Toc30970"/>
      <w:bookmarkEnd w:id="171"/>
      <w:bookmarkStart w:id="172" w:name="_Toc88833348"/>
      <w:bookmarkStart w:id="173" w:name="_Toc88561108"/>
      <w:r>
        <w:rPr>
          <w:rFonts w:cs="宋体"/>
          <w:b w:val="0"/>
          <w:sz w:val="24"/>
          <w:szCs w:val="24"/>
          <w:shd w:val="clear" w:color="auto" w:fill="FFFFFF"/>
        </w:rPr>
        <w:t>十四、国有资本经营预算财政拨款支出决算表</w:t>
      </w:r>
      <w:bookmarkEnd w:id="172"/>
      <w:bookmarkEnd w:id="173"/>
    </w:p>
    <w:p/>
    <w:sectPr>
      <w:footerReference r:id="rId4" w:type="default"/>
      <w:pgSz w:w="11915" w:h="16851"/>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default"/>
      </w:rPr>
    </w:pPr>
    <w:r>
      <w:rPr>
        <w:rFonts w:hint="default"/>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hint="default"/>
                            </w:rPr>
                          </w:pPr>
                          <w:r>
                            <w:fldChar w:fldCharType="begin"/>
                          </w:r>
                          <w:r>
                            <w:instrText xml:space="preserve"> PAGE  \* MERGEFORMAT </w:instrText>
                          </w:r>
                          <w:r>
                            <w:fldChar w:fldCharType="separate"/>
                          </w:r>
                          <w:r>
                            <w:rPr>
                              <w:rFonts w:hint="default"/>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7c0M1NwIAAHEEAAAOAAAAZHJz&#10;L2Uyb0RvYy54bWytVM2O0zAQviPxDpbvNG0Rq6pquipbFSFV7EoFcXYdp4nkP9luk/IA8AacuHDn&#10;ufocfHaSLlo47IGLM/aMv5nvm3EWt62S5CScr43O6WQ0pkRobopaH3L66ePm1YwSH5gumDRa5PQs&#10;PL1dvnyxaOxcTE1lZCEcAYj288bmtArBzrPM80oo5kfGCg1naZxiAVt3yArHGqArmU3H45usMa6w&#10;znDhPU7XnZP2iO45gKYsay7Whh+V0KFDdUKyAEq+qq2ny1RtWQoe7svSi0BkTsE0pBVJYO/jmi0X&#10;bH5wzFY170tgzynhCSfFao2kV6g1C4wcXf0XlKq5M96UYcSNyjoiSRGwmIyfaLOrmBWJC6T29iq6&#10;/3+w/MPpwZG6wCRMKNFMoeOX798uP35dfn4lOINAjfVzxO0sIkP71rQIHs49DiPvtnQqfsGIwA95&#10;z1d5RRsIj5dm09lsDBeHb9gAP3u8bp0P74RRJBo5dehfkpWdtj50oUNIzKbNppYy9VBq0uT05vWb&#10;cbpw9QBc6hgr0jT0MJFSV3q0Qrtve557U5xB05luUrzlmxqlbJkPD8xhNFA+Hk+4x1JKg5Smtyip&#10;jPvyr/MYj47BS0mDUcupxsuiRL7X6CQAw2C4wdgPhj6qO4PZRXNQSzJxwQU5mKUz6jNe1CrmgItp&#10;jkw5DYN5F7pxx4vkYrVKQUfr6kPVXcAcWha2emd5TBOl8nZ1DJA2KR4F6lRBp+IGk5h61r+aOOp/&#10;7lPU459i+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e3NDNTcCAABxBAAADgAAAAAAAAAB&#10;ACAAAAA1AQAAZHJzL2Uyb0RvYy54bWxQSwUGAAAAAAYABgBZAQAA3gUAAAAA&#10;">
              <v:fill on="f" focussize="0,0"/>
              <v:stroke on="f" weight="0.5pt"/>
              <v:imagedata o:title=""/>
              <o:lock v:ext="edit" aspectratio="f"/>
              <v:textbox inset="0mm,0mm,0mm,0mm" style="mso-fit-shape-to-text:t;">
                <w:txbxContent>
                  <w:p>
                    <w:pPr>
                      <w:pStyle w:val="5"/>
                      <w:rPr>
                        <w:rFonts w:hint="default"/>
                      </w:rPr>
                    </w:pPr>
                    <w:r>
                      <w:fldChar w:fldCharType="begin"/>
                    </w:r>
                    <w:r>
                      <w:instrText xml:space="preserve"> PAGE  \* MERGEFORMAT </w:instrText>
                    </w:r>
                    <w:r>
                      <w:fldChar w:fldCharType="separate"/>
                    </w:r>
                    <w:r>
                      <w:rPr>
                        <w:rFonts w:hint="default"/>
                      </w:rP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E3A8F"/>
    <w:multiLevelType w:val="multilevel"/>
    <w:tmpl w:val="99EE3A8F"/>
    <w:lvl w:ilvl="0" w:tentative="0">
      <w:start w:val="2"/>
      <w:numFmt w:val="chineseCounting"/>
      <w:suff w:val="space"/>
      <w:lvlText w:val="第%1部分"/>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A2D22BE6"/>
    <w:multiLevelType w:val="multilevel"/>
    <w:tmpl w:val="A2D22BE6"/>
    <w:lvl w:ilvl="0" w:tentative="0">
      <w:start w:val="1"/>
      <w:numFmt w:val="chineseCounting"/>
      <w:suff w:val="space"/>
      <w:lvlText w:val="第%1部分"/>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BFE41694"/>
    <w:multiLevelType w:val="multilevel"/>
    <w:tmpl w:val="BFE41694"/>
    <w:lvl w:ilvl="0" w:tentative="0">
      <w:start w:val="1"/>
      <w:numFmt w:val="chineseCounting"/>
      <w:suff w:val="space"/>
      <w:lvlText w:val="%1、"/>
      <w:lvlJc w:val="left"/>
      <w:pPr>
        <w:tabs>
          <w:tab w:val="left" w:pos="0"/>
        </w:tabs>
        <w:ind w:left="32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3">
    <w:nsid w:val="C3CAFD17"/>
    <w:multiLevelType w:val="multilevel"/>
    <w:tmpl w:val="C3CAFD17"/>
    <w:lvl w:ilvl="0" w:tentative="0">
      <w:start w:val="2"/>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4">
    <w:nsid w:val="CFCAC985"/>
    <w:multiLevelType w:val="multilevel"/>
    <w:tmpl w:val="CFCAC985"/>
    <w:lvl w:ilvl="0" w:tentative="0">
      <w:start w:val="1"/>
      <w:numFmt w:val="decimal"/>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5">
    <w:nsid w:val="DD0FA24E"/>
    <w:multiLevelType w:val="multilevel"/>
    <w:tmpl w:val="DD0FA24E"/>
    <w:lvl w:ilvl="0" w:tentative="0">
      <w:start w:val="2"/>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6">
    <w:nsid w:val="EB12E7C1"/>
    <w:multiLevelType w:val="multilevel"/>
    <w:tmpl w:val="EB12E7C1"/>
    <w:lvl w:ilvl="0" w:tentative="0">
      <w:start w:val="2"/>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7">
    <w:nsid w:val="090146EE"/>
    <w:multiLevelType w:val="singleLevel"/>
    <w:tmpl w:val="090146EE"/>
    <w:lvl w:ilvl="0" w:tentative="0">
      <w:start w:val="5"/>
      <w:numFmt w:val="chineseCounting"/>
      <w:suff w:val="space"/>
      <w:lvlText w:val="第%1部分"/>
      <w:lvlJc w:val="left"/>
      <w:rPr>
        <w:rFonts w:hint="eastAsia"/>
      </w:rPr>
    </w:lvl>
  </w:abstractNum>
  <w:abstractNum w:abstractNumId="8">
    <w:nsid w:val="390FD10C"/>
    <w:multiLevelType w:val="singleLevel"/>
    <w:tmpl w:val="390FD10C"/>
    <w:lvl w:ilvl="0" w:tentative="0">
      <w:start w:val="6"/>
      <w:numFmt w:val="decimal"/>
      <w:lvlText w:val="%1."/>
      <w:lvlJc w:val="left"/>
      <w:pPr>
        <w:tabs>
          <w:tab w:val="left" w:pos="312"/>
        </w:tabs>
      </w:pPr>
    </w:lvl>
  </w:abstractNum>
  <w:num w:numId="1">
    <w:abstractNumId w:val="1"/>
  </w:num>
  <w:num w:numId="2">
    <w:abstractNumId w:val="4"/>
  </w:num>
  <w:num w:numId="3">
    <w:abstractNumId w:val="0"/>
  </w:num>
  <w:num w:numId="4">
    <w:abstractNumId w:val="2"/>
  </w:num>
  <w:num w:numId="5">
    <w:abstractNumId w:val="5"/>
  </w:num>
  <w:num w:numId="6">
    <w:abstractNumId w:val="8"/>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E269E6"/>
    <w:rsid w:val="0BE269E6"/>
    <w:rsid w:val="4BF72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99"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99"/>
    <w:rPr>
      <w:rFonts w:hint="eastAsia" w:ascii="宋体" w:hAnsi="宋体" w:eastAsia="宋体" w:cs="Times New Roman"/>
      <w:sz w:val="24"/>
      <w:szCs w:val="24"/>
      <w:lang w:val="en-US" w:eastAsia="zh-CN" w:bidi="ar-SA"/>
    </w:rPr>
  </w:style>
  <w:style w:type="paragraph" w:styleId="3">
    <w:name w:val="heading 2"/>
    <w:basedOn w:val="1"/>
    <w:next w:val="1"/>
    <w:qFormat/>
    <w:uiPriority w:val="0"/>
    <w:pPr>
      <w:keepNext w:val="0"/>
      <w:keepLines w:val="0"/>
      <w:widowControl/>
      <w:suppressLineNumbers w:val="0"/>
      <w:spacing w:before="100" w:beforeAutospacing="1" w:after="100" w:afterAutospacing="1"/>
      <w:ind w:left="0" w:right="0"/>
      <w:jc w:val="left"/>
      <w:outlineLvl w:val="1"/>
    </w:pPr>
    <w:rPr>
      <w:rFonts w:hint="eastAsia" w:ascii="宋体" w:hAnsi="宋体" w:eastAsia="宋体" w:cs="宋体"/>
      <w:b/>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pPr>
      <w:keepNext w:val="0"/>
      <w:keepLines w:val="0"/>
      <w:widowControl/>
      <w:suppressLineNumbers w:val="0"/>
      <w:spacing w:before="0" w:beforeAutospacing="0" w:after="0" w:afterAutospacing="0"/>
      <w:ind w:left="0" w:right="0"/>
      <w:jc w:val="left"/>
    </w:pPr>
    <w:rPr>
      <w:rFonts w:hint="default" w:ascii="Times New Roman" w:hAnsi="Times New Roman" w:eastAsia="宋体" w:cs="Times New Roman"/>
      <w:kern w:val="0"/>
      <w:sz w:val="24"/>
      <w:szCs w:val="24"/>
      <w:lang w:val="en-US" w:eastAsia="zh-CN" w:bidi="ar"/>
    </w:rPr>
  </w:style>
  <w:style w:type="paragraph" w:styleId="4">
    <w:name w:val="Body Text"/>
    <w:basedOn w:val="1"/>
    <w:qFormat/>
    <w:uiPriority w:val="0"/>
    <w:pPr>
      <w:keepNext w:val="0"/>
      <w:keepLines w:val="0"/>
      <w:widowControl/>
      <w:suppressLineNumbers w:val="0"/>
      <w:spacing w:beforeLines="30" w:beforeAutospacing="0" w:after="0" w:afterAutospacing="0"/>
      <w:ind w:left="0" w:right="0"/>
      <w:jc w:val="left"/>
    </w:pPr>
    <w:rPr>
      <w:rFonts w:hint="eastAsia" w:ascii="仿宋_GB2312" w:hAnsi="宋体" w:eastAsia="仿宋_GB2312" w:cs="宋体"/>
      <w:kern w:val="0"/>
      <w:sz w:val="30"/>
      <w:szCs w:val="30"/>
      <w:lang w:val="en-US" w:eastAsia="zh-CN" w:bidi="ar"/>
    </w:rPr>
  </w:style>
  <w:style w:type="paragraph" w:styleId="5">
    <w:name w:val="footer"/>
    <w:basedOn w:val="1"/>
    <w:qFormat/>
    <w:uiPriority w:val="0"/>
    <w:pPr>
      <w:keepNext w:val="0"/>
      <w:keepLines w:val="0"/>
      <w:widowControl/>
      <w:suppressLineNumbers w:val="0"/>
      <w:snapToGrid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6">
    <w:name w:val="toc 1"/>
    <w:basedOn w:val="1"/>
    <w:next w:val="1"/>
    <w:qFormat/>
    <w:uiPriority w:val="39"/>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7">
    <w:name w:val="toc 2"/>
    <w:basedOn w:val="1"/>
    <w:next w:val="1"/>
    <w:qFormat/>
    <w:uiPriority w:val="39"/>
    <w:pPr>
      <w:keepNext w:val="0"/>
      <w:keepLines w:val="0"/>
      <w:widowControl/>
      <w:suppressLineNumbers w:val="0"/>
      <w:spacing w:before="0" w:beforeAutospacing="0" w:after="0" w:afterAutospacing="0"/>
      <w:ind w:left="420" w:leftChars="200" w:right="0"/>
      <w:jc w:val="left"/>
    </w:pPr>
    <w:rPr>
      <w:rFonts w:hint="eastAsia" w:ascii="宋体" w:hAnsi="宋体" w:eastAsia="宋体" w:cs="宋体"/>
      <w:kern w:val="0"/>
      <w:sz w:val="24"/>
      <w:szCs w:val="24"/>
      <w:lang w:val="en-US" w:eastAsia="zh-CN" w:bidi="ar"/>
    </w:rPr>
  </w:style>
  <w:style w:type="character" w:styleId="10">
    <w:name w:val="Hyperlink"/>
    <w:basedOn w:val="9"/>
    <w:qFormat/>
    <w:uiPriority w:val="99"/>
    <w:rPr>
      <w:color w:val="0000FF"/>
      <w:u w:val="single"/>
    </w:rPr>
  </w:style>
  <w:style w:type="paragraph" w:customStyle="1" w:styleId="11">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12">
    <w:name w:val="29"/>
    <w:basedOn w:val="9"/>
    <w:qFormat/>
    <w:uiPriority w:val="0"/>
    <w:rPr>
      <w:rFonts w:hint="default" w:ascii="Times New Roman" w:hAnsi="Times New Roman" w:cs="Times New Roman"/>
      <w:b/>
    </w:rPr>
  </w:style>
  <w:style w:type="paragraph" w:customStyle="1" w:styleId="13">
    <w:name w:val="WPSOffice手动目录 2"/>
    <w:basedOn w:val="1"/>
    <w:qFormat/>
    <w:uiPriority w:val="0"/>
    <w:pPr>
      <w:keepNext w:val="0"/>
      <w:keepLines w:val="0"/>
      <w:widowControl/>
      <w:suppressLineNumbers w:val="0"/>
      <w:spacing w:before="0" w:beforeAutospacing="0" w:after="0" w:afterAutospacing="0"/>
      <w:ind w:left="0" w:leftChars="200" w:right="0"/>
      <w:jc w:val="left"/>
    </w:pPr>
    <w:rPr>
      <w:rFonts w:hint="default" w:ascii="Times New Roman" w:hAnsi="Times New Roman" w:eastAsia="宋体" w:cs="Times New Roman"/>
      <w:kern w:val="0"/>
      <w:sz w:val="20"/>
      <w:szCs w:val="20"/>
      <w:lang w:val="en-US" w:eastAsia="zh-CN" w:bidi="ar"/>
    </w:rPr>
  </w:style>
  <w:style w:type="paragraph" w:customStyle="1" w:styleId="14">
    <w:name w:val="WPSOffice手动目录 1"/>
    <w:basedOn w:val="1"/>
    <w:qFormat/>
    <w:uiPriority w:val="0"/>
    <w:pPr>
      <w:keepNext w:val="0"/>
      <w:keepLines w:val="0"/>
      <w:widowControl/>
      <w:suppressLineNumbers w:val="0"/>
      <w:spacing w:before="0" w:beforeAutospacing="0" w:after="0" w:afterAutospacing="0"/>
      <w:ind w:left="0" w:right="0"/>
      <w:jc w:val="left"/>
    </w:pPr>
    <w:rPr>
      <w:rFonts w:hint="default" w:ascii="Times New Roman" w:hAnsi="Times New Roman" w:eastAsia="宋体" w:cs="Times New Roman"/>
      <w:kern w:val="0"/>
      <w:sz w:val="20"/>
      <w:szCs w:val="20"/>
      <w:lang w:val="en-US" w:eastAsia="zh-CN" w:bidi="ar"/>
    </w:rPr>
  </w:style>
  <w:style w:type="paragraph" w:customStyle="1" w:styleId="15">
    <w:name w:val="普通(网站) Char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7.bin"/><Relationship Id="rId17" Type="http://schemas.openxmlformats.org/officeDocument/2006/relationships/image" Target="media/image6.wmf"/><Relationship Id="rId16" Type="http://schemas.openxmlformats.org/officeDocument/2006/relationships/oleObject" Target="embeddings/oleObject6.bin"/><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2021-11-26T16:42:00Z</dcterms:created>
  <dc:creator>Administrator</dc:creator>
  <cp:lastModifiedBy>user</cp:lastModifiedBy>
  <dcterms:modified xsi:type="dcterms:W3CDTF">2022-05-10T11:43:10Z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61F0AC061D5B4BC2AE2302E5495ECE3A</vt:lpwstr>
  </property>
</Properties>
</file>