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pStyle w:val="2"/>
        <w:rPr>
          <w:rFonts w:ascii="方正小标宋简体" w:hAnsi="宋体" w:eastAsia="方正小标宋简体"/>
          <w:color w:val="000000"/>
          <w:sz w:val="72"/>
          <w:szCs w:val="72"/>
        </w:rPr>
      </w:pPr>
    </w:p>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77425"/>
      <w:bookmarkStart w:id="4" w:name="_Toc21384"/>
      <w:bookmarkStart w:id="5" w:name="_Toc15396597"/>
      <w:bookmarkStart w:id="6"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7" w:name="_Toc4290"/>
      <w:bookmarkStart w:id="8" w:name="_Toc3430"/>
      <w:bookmarkStart w:id="9" w:name="_Toc15396598"/>
      <w:bookmarkStart w:id="10" w:name="_Toc15378442"/>
      <w:bookmarkStart w:id="11" w:name="_Toc15396476"/>
      <w:bookmarkStart w:id="12" w:name="_Toc15377194"/>
      <w:bookmarkStart w:id="13"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End w:id="7"/>
      <w:bookmarkEnd w:id="8"/>
      <w:bookmarkStart w:id="14" w:name="_Toc15306268"/>
    </w:p>
    <w:p>
      <w:pPr>
        <w:adjustRightInd w:val="0"/>
        <w:snapToGrid w:val="0"/>
        <w:spacing w:line="360" w:lineRule="auto"/>
        <w:jc w:val="center"/>
        <w:outlineLvl w:val="0"/>
        <w:rPr>
          <w:rFonts w:ascii="方正小标宋简体" w:hAnsi="宋体" w:eastAsia="方正小标宋简体"/>
          <w:color w:val="000000"/>
          <w:sz w:val="72"/>
          <w:szCs w:val="72"/>
        </w:rPr>
      </w:pPr>
      <w:bookmarkStart w:id="15" w:name="_Toc1215"/>
      <w:bookmarkStart w:id="16" w:name="_Toc8182"/>
      <w:r>
        <w:rPr>
          <w:rFonts w:hint="eastAsia" w:ascii="方正小标宋简体" w:hAnsi="宋体" w:eastAsia="方正小标宋简体"/>
          <w:color w:val="000000"/>
          <w:sz w:val="72"/>
          <w:szCs w:val="72"/>
          <w:lang w:val="en-US" w:eastAsia="zh-CN"/>
        </w:rPr>
        <w:t>新华书店</w:t>
      </w:r>
      <w:r>
        <w:rPr>
          <w:rFonts w:hint="eastAsia" w:ascii="方正小标宋简体" w:hAnsi="宋体" w:eastAsia="方正小标宋简体"/>
          <w:color w:val="000000"/>
          <w:sz w:val="72"/>
          <w:szCs w:val="72"/>
        </w:rPr>
        <w:t>部门决算</w:t>
      </w:r>
      <w:bookmarkEnd w:id="9"/>
      <w:bookmarkEnd w:id="10"/>
      <w:bookmarkEnd w:id="11"/>
      <w:bookmarkEnd w:id="12"/>
      <w:bookmarkEnd w:id="13"/>
      <w:bookmarkEnd w:id="14"/>
      <w:bookmarkEnd w:id="15"/>
      <w:bookmarkEnd w:id="16"/>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2"/>
        <w:rPr>
          <w:rFonts w:hint="eastAsia"/>
        </w:rPr>
      </w:pPr>
    </w:p>
    <w:p>
      <w:pPr>
        <w:pStyle w:val="2"/>
        <w:rPr>
          <w:rFonts w:hint="eastAsia"/>
        </w:rPr>
      </w:pPr>
    </w:p>
    <w:sdt>
      <w:sdtPr>
        <w:rPr>
          <w:rFonts w:ascii="宋体" w:hAnsi="宋体" w:eastAsia="宋体" w:cs="Times New Roman"/>
          <w:b/>
          <w:bCs/>
          <w:kern w:val="2"/>
          <w:sz w:val="48"/>
          <w:szCs w:val="48"/>
          <w:lang w:val="en-US" w:eastAsia="zh-CN" w:bidi="ar-SA"/>
        </w:rPr>
        <w:id w:val="147451441"/>
        <w15:color w:val="DBDBDB"/>
        <w:docPartObj>
          <w:docPartGallery w:val="Table of Contents"/>
          <w:docPartUnique/>
        </w:docPartObj>
      </w:sdtPr>
      <w:sdtEndPr>
        <w:rPr>
          <w:rFonts w:ascii="宋体" w:hAnsi="宋体" w:eastAsia="宋体" w:cs="Times New Roman"/>
          <w:b/>
          <w:bCs/>
          <w:kern w:val="2"/>
          <w:sz w:val="48"/>
          <w:szCs w:val="48"/>
          <w:lang w:val="en-US" w:eastAsia="zh-CN" w:bidi="ar-SA"/>
        </w:rPr>
      </w:sdtEndPr>
      <w:sdtContent>
        <w:p>
          <w:pPr>
            <w:spacing w:before="0" w:beforeLines="0" w:after="0" w:afterLines="0" w:line="240" w:lineRule="auto"/>
            <w:ind w:left="0" w:leftChars="0" w:right="0" w:rightChars="0" w:firstLine="0" w:firstLineChars="0"/>
            <w:jc w:val="center"/>
            <w:rPr>
              <w:b/>
              <w:bCs/>
              <w:sz w:val="48"/>
              <w:szCs w:val="48"/>
            </w:rPr>
          </w:pPr>
          <w:bookmarkStart w:id="17" w:name="_Toc15377196"/>
          <w:bookmarkStart w:id="18" w:name="_Toc15396599"/>
        </w:p>
        <w:p>
          <w:pPr>
            <w:pStyle w:val="31"/>
            <w:tabs>
              <w:tab w:val="right" w:leader="dot" w:pos="8306"/>
            </w:tabs>
            <w:rPr>
              <w:b/>
            </w:rPr>
          </w:pPr>
          <w:r>
            <w:fldChar w:fldCharType="begin"/>
          </w:r>
          <w:r>
            <w:instrText xml:space="preserve">TOC \o "1-2" \h \u </w:instrText>
          </w:r>
          <w:r>
            <w:fldChar w:fldCharType="separate"/>
          </w:r>
        </w:p>
        <w:p>
          <w:pPr>
            <w:pStyle w:val="31"/>
            <w:tabs>
              <w:tab w:val="right" w:leader="dot" w:pos="8306"/>
            </w:tabs>
            <w:rPr>
              <w:b/>
            </w:rPr>
          </w:pPr>
          <w:r>
            <w:rPr>
              <w:b/>
            </w:rPr>
            <w:fldChar w:fldCharType="begin"/>
          </w:r>
          <w:r>
            <w:rPr>
              <w:b/>
            </w:rPr>
            <w:instrText xml:space="preserve"> HYPERLINK \l _Toc14597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_Toc14597 </w:instrText>
          </w:r>
          <w:r>
            <w:rPr>
              <w:b/>
            </w:rPr>
            <w:fldChar w:fldCharType="separate"/>
          </w:r>
          <w:r>
            <w:rPr>
              <w:b/>
            </w:rPr>
            <w:t>5</w:t>
          </w:r>
          <w:r>
            <w:rPr>
              <w:b/>
            </w:rPr>
            <w:fldChar w:fldCharType="end"/>
          </w:r>
          <w:r>
            <w:rPr>
              <w:b/>
            </w:rPr>
            <w:fldChar w:fldCharType="end"/>
          </w:r>
        </w:p>
        <w:p>
          <w:pPr>
            <w:pStyle w:val="32"/>
            <w:tabs>
              <w:tab w:val="right" w:leader="dot" w:pos="8306"/>
            </w:tabs>
          </w:pPr>
          <w:r>
            <w:fldChar w:fldCharType="begin"/>
          </w:r>
          <w:r>
            <w:instrText xml:space="preserve"> HYPERLINK \l _Toc10402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_Toc10402 </w:instrText>
          </w:r>
          <w:r>
            <w:fldChar w:fldCharType="separate"/>
          </w:r>
          <w:r>
            <w:t>5</w:t>
          </w:r>
          <w:r>
            <w:fldChar w:fldCharType="end"/>
          </w:r>
          <w:r>
            <w:fldChar w:fldCharType="end"/>
          </w:r>
        </w:p>
        <w:p>
          <w:pPr>
            <w:pStyle w:val="32"/>
            <w:tabs>
              <w:tab w:val="right" w:leader="dot" w:pos="8306"/>
            </w:tabs>
          </w:pPr>
          <w:r>
            <w:fldChar w:fldCharType="begin"/>
          </w:r>
          <w:r>
            <w:instrText xml:space="preserve"> HYPERLINK \l _Toc22411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_Toc22411 </w:instrText>
          </w:r>
          <w:r>
            <w:fldChar w:fldCharType="separate"/>
          </w:r>
          <w:r>
            <w:t>6</w:t>
          </w:r>
          <w:r>
            <w:fldChar w:fldCharType="end"/>
          </w:r>
          <w:r>
            <w:fldChar w:fldCharType="end"/>
          </w:r>
        </w:p>
        <w:p>
          <w:pPr>
            <w:pStyle w:val="31"/>
            <w:tabs>
              <w:tab w:val="right" w:leader="dot" w:pos="8306"/>
            </w:tabs>
            <w:rPr>
              <w:b/>
            </w:rPr>
          </w:pPr>
          <w:r>
            <w:rPr>
              <w:b/>
            </w:rPr>
            <w:fldChar w:fldCharType="begin"/>
          </w:r>
          <w:r>
            <w:rPr>
              <w:b/>
            </w:rPr>
            <w:instrText xml:space="preserve"> HYPERLINK \l _Toc1475 </w:instrText>
          </w:r>
          <w:r>
            <w:rPr>
              <w:b/>
            </w:rPr>
            <w:fldChar w:fldCharType="separate"/>
          </w:r>
          <w:r>
            <w:rPr>
              <w:rFonts w:hint="eastAsia" w:ascii="黑体" w:hAnsi="黑体" w:eastAsia="黑体"/>
              <w:b/>
              <w:szCs w:val="44"/>
            </w:rPr>
            <w:t>第二部分</w:t>
          </w:r>
          <w:r>
            <w:rPr>
              <w:rFonts w:hint="eastAsia" w:ascii="黑体" w:hAnsi="黑体" w:eastAsia="黑体"/>
              <w:b/>
            </w:rPr>
            <w:t xml:space="preserve"> </w:t>
          </w:r>
          <w:r>
            <w:rPr>
              <w:rFonts w:hint="eastAsia" w:ascii="黑体" w:hAnsi="黑体" w:eastAsia="黑体"/>
              <w:b/>
              <w:bCs w:val="0"/>
            </w:rPr>
            <w:t>2019年度部门决算情况说明</w:t>
          </w:r>
          <w:r>
            <w:rPr>
              <w:b/>
            </w:rPr>
            <w:tab/>
          </w:r>
          <w:r>
            <w:rPr>
              <w:b/>
            </w:rPr>
            <w:fldChar w:fldCharType="begin"/>
          </w:r>
          <w:r>
            <w:rPr>
              <w:b/>
            </w:rPr>
            <w:instrText xml:space="preserve"> PAGEREF _Toc1475 </w:instrText>
          </w:r>
          <w:r>
            <w:rPr>
              <w:b/>
            </w:rPr>
            <w:fldChar w:fldCharType="separate"/>
          </w:r>
          <w:r>
            <w:rPr>
              <w:b/>
            </w:rPr>
            <w:t>6</w:t>
          </w:r>
          <w:r>
            <w:rPr>
              <w:b/>
            </w:rPr>
            <w:fldChar w:fldCharType="end"/>
          </w:r>
          <w:r>
            <w:rPr>
              <w:b/>
            </w:rPr>
            <w:fldChar w:fldCharType="end"/>
          </w:r>
        </w:p>
        <w:p>
          <w:pPr>
            <w:pStyle w:val="32"/>
            <w:tabs>
              <w:tab w:val="right" w:leader="dot" w:pos="8306"/>
            </w:tabs>
          </w:pPr>
          <w:r>
            <w:fldChar w:fldCharType="begin"/>
          </w:r>
          <w:r>
            <w:instrText xml:space="preserve"> HYPERLINK \l _Toc28083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_Toc28083 </w:instrText>
          </w:r>
          <w:r>
            <w:fldChar w:fldCharType="separate"/>
          </w:r>
          <w:r>
            <w:t>6</w:t>
          </w:r>
          <w:r>
            <w:fldChar w:fldCharType="end"/>
          </w:r>
          <w:r>
            <w:fldChar w:fldCharType="end"/>
          </w:r>
        </w:p>
        <w:p>
          <w:pPr>
            <w:pStyle w:val="32"/>
            <w:tabs>
              <w:tab w:val="right" w:leader="dot" w:pos="8306"/>
            </w:tabs>
          </w:pPr>
          <w:r>
            <w:fldChar w:fldCharType="begin"/>
          </w:r>
          <w:r>
            <w:instrText xml:space="preserve"> HYPERLINK \l _Toc13255 </w:instrText>
          </w:r>
          <w:r>
            <w:fldChar w:fldCharType="separate"/>
          </w:r>
          <w:r>
            <w:rPr>
              <w:rFonts w:hint="eastAsia" w:ascii="黑体" w:hAnsi="黑体" w:eastAsia="黑体"/>
              <w:szCs w:val="32"/>
              <w:lang w:val="en-US" w:eastAsia="zh-CN"/>
            </w:rPr>
            <w:t>二、</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_Toc13255 </w:instrText>
          </w:r>
          <w:r>
            <w:fldChar w:fldCharType="separate"/>
          </w:r>
          <w:r>
            <w:t>6</w:t>
          </w:r>
          <w:r>
            <w:fldChar w:fldCharType="end"/>
          </w:r>
          <w:r>
            <w:fldChar w:fldCharType="end"/>
          </w:r>
        </w:p>
        <w:p>
          <w:pPr>
            <w:pStyle w:val="32"/>
            <w:tabs>
              <w:tab w:val="right" w:leader="dot" w:pos="8306"/>
            </w:tabs>
          </w:pPr>
          <w:r>
            <w:fldChar w:fldCharType="begin"/>
          </w:r>
          <w:r>
            <w:instrText xml:space="preserve"> HYPERLINK \l _Toc266 </w:instrText>
          </w:r>
          <w:r>
            <w:fldChar w:fldCharType="separate"/>
          </w:r>
          <w:r>
            <w:rPr>
              <w:rFonts w:hint="eastAsia" w:ascii="黑体" w:hAnsi="黑体" w:eastAsia="黑体"/>
              <w:szCs w:val="32"/>
              <w:lang w:val="en-US"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_Toc266 </w:instrText>
          </w:r>
          <w:r>
            <w:fldChar w:fldCharType="separate"/>
          </w:r>
          <w:r>
            <w:t>7</w:t>
          </w:r>
          <w:r>
            <w:fldChar w:fldCharType="end"/>
          </w:r>
          <w:r>
            <w:fldChar w:fldCharType="end"/>
          </w:r>
        </w:p>
        <w:p>
          <w:pPr>
            <w:pStyle w:val="32"/>
            <w:tabs>
              <w:tab w:val="right" w:leader="dot" w:pos="8306"/>
            </w:tabs>
          </w:pPr>
          <w:r>
            <w:fldChar w:fldCharType="begin"/>
          </w:r>
          <w:r>
            <w:instrText xml:space="preserve"> HYPERLINK \l _Toc11558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_Toc11558 </w:instrText>
          </w:r>
          <w:r>
            <w:fldChar w:fldCharType="separate"/>
          </w:r>
          <w:r>
            <w:t>7</w:t>
          </w:r>
          <w:r>
            <w:fldChar w:fldCharType="end"/>
          </w:r>
          <w:r>
            <w:fldChar w:fldCharType="end"/>
          </w:r>
        </w:p>
        <w:p>
          <w:pPr>
            <w:pStyle w:val="32"/>
            <w:tabs>
              <w:tab w:val="right" w:leader="dot" w:pos="8306"/>
            </w:tabs>
          </w:pPr>
          <w:r>
            <w:fldChar w:fldCharType="begin"/>
          </w:r>
          <w:r>
            <w:instrText xml:space="preserve"> HYPERLINK \l _Toc25917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_Toc25917 </w:instrText>
          </w:r>
          <w:r>
            <w:fldChar w:fldCharType="separate"/>
          </w:r>
          <w:r>
            <w:t>8</w:t>
          </w:r>
          <w:r>
            <w:fldChar w:fldCharType="end"/>
          </w:r>
          <w:r>
            <w:fldChar w:fldCharType="end"/>
          </w:r>
        </w:p>
        <w:p>
          <w:pPr>
            <w:pStyle w:val="32"/>
            <w:tabs>
              <w:tab w:val="right" w:leader="dot" w:pos="8306"/>
            </w:tabs>
          </w:pPr>
          <w:r>
            <w:fldChar w:fldCharType="begin"/>
          </w:r>
          <w:r>
            <w:instrText xml:space="preserve"> HYPERLINK \l _Toc1398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_Toc1398 </w:instrText>
          </w:r>
          <w:r>
            <w:fldChar w:fldCharType="separate"/>
          </w:r>
          <w:r>
            <w:t>10</w:t>
          </w:r>
          <w:r>
            <w:fldChar w:fldCharType="end"/>
          </w:r>
          <w:r>
            <w:fldChar w:fldCharType="end"/>
          </w:r>
        </w:p>
        <w:p>
          <w:pPr>
            <w:pStyle w:val="32"/>
            <w:tabs>
              <w:tab w:val="right" w:leader="dot" w:pos="8306"/>
            </w:tabs>
          </w:pPr>
          <w:r>
            <w:fldChar w:fldCharType="begin"/>
          </w:r>
          <w:r>
            <w:instrText xml:space="preserve"> HYPERLINK \l _Toc1212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_Toc1212 </w:instrText>
          </w:r>
          <w:r>
            <w:fldChar w:fldCharType="separate"/>
          </w:r>
          <w:r>
            <w:t>11</w:t>
          </w:r>
          <w:r>
            <w:fldChar w:fldCharType="end"/>
          </w:r>
          <w:r>
            <w:fldChar w:fldCharType="end"/>
          </w:r>
        </w:p>
        <w:p>
          <w:pPr>
            <w:pStyle w:val="32"/>
            <w:tabs>
              <w:tab w:val="right" w:leader="dot" w:pos="8306"/>
            </w:tabs>
          </w:pPr>
          <w:r>
            <w:fldChar w:fldCharType="begin"/>
          </w:r>
          <w:r>
            <w:instrText xml:space="preserve"> HYPERLINK \l _Toc16897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_Toc16897 </w:instrText>
          </w:r>
          <w:r>
            <w:fldChar w:fldCharType="separate"/>
          </w:r>
          <w:r>
            <w:t>12</w:t>
          </w:r>
          <w:r>
            <w:fldChar w:fldCharType="end"/>
          </w:r>
          <w:r>
            <w:fldChar w:fldCharType="end"/>
          </w:r>
        </w:p>
        <w:p>
          <w:pPr>
            <w:pStyle w:val="32"/>
            <w:tabs>
              <w:tab w:val="right" w:leader="dot" w:pos="8306"/>
            </w:tabs>
          </w:pPr>
          <w:r>
            <w:fldChar w:fldCharType="begin"/>
          </w:r>
          <w:r>
            <w:instrText xml:space="preserve"> HYPERLINK \l _Toc8562 </w:instrText>
          </w:r>
          <w:r>
            <w:fldChar w:fldCharType="separate"/>
          </w:r>
          <w:r>
            <w:rPr>
              <w:rFonts w:hint="eastAsia" w:ascii="黑体" w:hAnsi="黑体" w:eastAsia="黑体"/>
            </w:rPr>
            <w:t>九、 国有资本经营预算支出决算情况说明</w:t>
          </w:r>
          <w:r>
            <w:tab/>
          </w:r>
          <w:r>
            <w:fldChar w:fldCharType="begin"/>
          </w:r>
          <w:r>
            <w:instrText xml:space="preserve"> PAGEREF _Toc8562 </w:instrText>
          </w:r>
          <w:r>
            <w:fldChar w:fldCharType="separate"/>
          </w:r>
          <w:r>
            <w:t>12</w:t>
          </w:r>
          <w:r>
            <w:fldChar w:fldCharType="end"/>
          </w:r>
          <w:r>
            <w:fldChar w:fldCharType="end"/>
          </w:r>
        </w:p>
        <w:p>
          <w:pPr>
            <w:pStyle w:val="32"/>
            <w:tabs>
              <w:tab w:val="right" w:leader="dot" w:pos="8306"/>
            </w:tabs>
          </w:pPr>
          <w:r>
            <w:fldChar w:fldCharType="begin"/>
          </w:r>
          <w:r>
            <w:instrText xml:space="preserve"> HYPERLINK \l _Toc4144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_Toc4144 </w:instrText>
          </w:r>
          <w:r>
            <w:fldChar w:fldCharType="separate"/>
          </w:r>
          <w:r>
            <w:t>12</w:t>
          </w:r>
          <w:r>
            <w:fldChar w:fldCharType="end"/>
          </w:r>
          <w:r>
            <w:fldChar w:fldCharType="end"/>
          </w:r>
        </w:p>
        <w:p>
          <w:pPr>
            <w:pStyle w:val="31"/>
            <w:tabs>
              <w:tab w:val="right" w:leader="dot" w:pos="8306"/>
            </w:tabs>
            <w:rPr>
              <w:b/>
            </w:rPr>
          </w:pPr>
          <w:r>
            <w:rPr>
              <w:b/>
            </w:rPr>
            <w:fldChar w:fldCharType="begin"/>
          </w:r>
          <w:r>
            <w:rPr>
              <w:b/>
            </w:rPr>
            <w:instrText xml:space="preserve"> HYPERLINK \l _Toc22393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_Toc22393 </w:instrText>
          </w:r>
          <w:r>
            <w:rPr>
              <w:b/>
            </w:rPr>
            <w:fldChar w:fldCharType="separate"/>
          </w:r>
          <w:r>
            <w:rPr>
              <w:b/>
            </w:rPr>
            <w:t>13</w:t>
          </w:r>
          <w:r>
            <w:rPr>
              <w:b/>
            </w:rPr>
            <w:fldChar w:fldCharType="end"/>
          </w:r>
          <w:r>
            <w:rPr>
              <w:b/>
            </w:rPr>
            <w:fldChar w:fldCharType="end"/>
          </w:r>
        </w:p>
        <w:p>
          <w:pPr>
            <w:pStyle w:val="31"/>
            <w:tabs>
              <w:tab w:val="right" w:leader="dot" w:pos="8306"/>
            </w:tabs>
            <w:rPr>
              <w:b/>
            </w:rPr>
          </w:pPr>
          <w:r>
            <w:rPr>
              <w:b/>
            </w:rPr>
            <w:fldChar w:fldCharType="begin"/>
          </w:r>
          <w:r>
            <w:rPr>
              <w:b/>
            </w:rPr>
            <w:instrText xml:space="preserve"> HYPERLINK \l _Toc22277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_Toc22277 </w:instrText>
          </w:r>
          <w:r>
            <w:rPr>
              <w:b/>
            </w:rPr>
            <w:fldChar w:fldCharType="separate"/>
          </w:r>
          <w:r>
            <w:rPr>
              <w:b/>
            </w:rPr>
            <w:t>17</w:t>
          </w:r>
          <w:r>
            <w:rPr>
              <w:b/>
            </w:rPr>
            <w:fldChar w:fldCharType="end"/>
          </w:r>
          <w:r>
            <w:rPr>
              <w:b/>
            </w:rPr>
            <w:fldChar w:fldCharType="end"/>
          </w:r>
        </w:p>
        <w:p>
          <w:pPr>
            <w:pStyle w:val="31"/>
            <w:tabs>
              <w:tab w:val="right" w:leader="dot" w:pos="8306"/>
            </w:tabs>
            <w:rPr>
              <w:b/>
            </w:rPr>
          </w:pPr>
          <w:r>
            <w:rPr>
              <w:b/>
            </w:rPr>
            <w:fldChar w:fldCharType="begin"/>
          </w:r>
          <w:r>
            <w:rPr>
              <w:b/>
            </w:rPr>
            <w:instrText xml:space="preserve"> HYPERLINK \l _Toc5069 </w:instrText>
          </w:r>
          <w:r>
            <w:rPr>
              <w:b/>
            </w:rPr>
            <w:fldChar w:fldCharType="separate"/>
          </w:r>
          <w:r>
            <w:rPr>
              <w:rFonts w:ascii="方正小标宋简体" w:hAnsi="宋体" w:eastAsia="方正小标宋简体"/>
              <w:b/>
              <w:kern w:val="0"/>
              <w:szCs w:val="44"/>
            </w:rPr>
            <w:t>2019年部门</w:t>
          </w:r>
          <w:r>
            <w:rPr>
              <w:rFonts w:hint="eastAsia" w:ascii="方正小标宋简体" w:hAnsi="宋体" w:eastAsia="方正小标宋简体"/>
              <w:b/>
              <w:kern w:val="0"/>
              <w:szCs w:val="44"/>
              <w:lang w:val="zh-CN"/>
            </w:rPr>
            <w:t>整体支出绩效评价报告</w:t>
          </w:r>
          <w:r>
            <w:rPr>
              <w:b/>
            </w:rPr>
            <w:tab/>
          </w:r>
          <w:r>
            <w:rPr>
              <w:b/>
            </w:rPr>
            <w:fldChar w:fldCharType="begin"/>
          </w:r>
          <w:r>
            <w:rPr>
              <w:b/>
            </w:rPr>
            <w:instrText xml:space="preserve"> PAGEREF _Toc5069 </w:instrText>
          </w:r>
          <w:r>
            <w:rPr>
              <w:b/>
            </w:rPr>
            <w:fldChar w:fldCharType="separate"/>
          </w:r>
          <w:r>
            <w:rPr>
              <w:b/>
            </w:rPr>
            <w:t>17</w:t>
          </w:r>
          <w:r>
            <w:rPr>
              <w:b/>
            </w:rPr>
            <w:fldChar w:fldCharType="end"/>
          </w:r>
          <w:r>
            <w:rPr>
              <w:b/>
            </w:rPr>
            <w:fldChar w:fldCharType="end"/>
          </w:r>
        </w:p>
        <w:p>
          <w:pPr>
            <w:pStyle w:val="32"/>
            <w:tabs>
              <w:tab w:val="right" w:leader="dot" w:pos="8306"/>
            </w:tabs>
          </w:pPr>
          <w:r>
            <w:fldChar w:fldCharType="begin"/>
          </w:r>
          <w:r>
            <w:instrText xml:space="preserve"> HYPERLINK \l _Toc1220 </w:instrText>
          </w:r>
          <w:r>
            <w:fldChar w:fldCharType="separate"/>
          </w:r>
          <w:r>
            <w:rPr>
              <w:rFonts w:hint="eastAsia" w:ascii="黑体" w:hAnsi="宋体" w:eastAsia="黑体" w:cs="宋体"/>
              <w:kern w:val="0"/>
              <w:szCs w:val="32"/>
              <w:shd w:val="clear" w:color="auto" w:fill="FFFFFF"/>
            </w:rPr>
            <w:t>一、</w:t>
          </w:r>
          <w:r>
            <w:rPr>
              <w:rFonts w:hint="eastAsia" w:ascii="黑体" w:hAnsi="宋体" w:eastAsia="黑体" w:cs="宋体"/>
              <w:kern w:val="0"/>
              <w:szCs w:val="32"/>
              <w:shd w:val="clear" w:color="auto" w:fill="FFFFFF"/>
              <w:lang w:val="zh-CN"/>
            </w:rPr>
            <w:t>部门（单位）概况</w:t>
          </w:r>
          <w:r>
            <w:tab/>
          </w:r>
          <w:r>
            <w:fldChar w:fldCharType="begin"/>
          </w:r>
          <w:r>
            <w:instrText xml:space="preserve"> PAGEREF _Toc1220 </w:instrText>
          </w:r>
          <w:r>
            <w:fldChar w:fldCharType="separate"/>
          </w:r>
          <w:r>
            <w:t>17</w:t>
          </w:r>
          <w:r>
            <w:fldChar w:fldCharType="end"/>
          </w:r>
          <w:r>
            <w:fldChar w:fldCharType="end"/>
          </w:r>
        </w:p>
        <w:p>
          <w:pPr>
            <w:pStyle w:val="32"/>
            <w:tabs>
              <w:tab w:val="right" w:leader="dot" w:pos="8306"/>
            </w:tabs>
          </w:pPr>
          <w:r>
            <w:fldChar w:fldCharType="begin"/>
          </w:r>
          <w:r>
            <w:instrText xml:space="preserve"> HYPERLINK \l _Toc25342 </w:instrText>
          </w:r>
          <w:r>
            <w:fldChar w:fldCharType="separate"/>
          </w:r>
          <w:r>
            <w:rPr>
              <w:rFonts w:hint="eastAsia" w:ascii="黑体" w:hAnsi="宋体" w:eastAsia="黑体" w:cs="宋体"/>
              <w:kern w:val="0"/>
              <w:szCs w:val="32"/>
              <w:shd w:val="clear" w:color="auto" w:fill="FFFFFF"/>
            </w:rPr>
            <w:t>二、部门财政资金收支情况</w:t>
          </w:r>
          <w:r>
            <w:tab/>
          </w:r>
          <w:r>
            <w:fldChar w:fldCharType="begin"/>
          </w:r>
          <w:r>
            <w:instrText xml:space="preserve"> PAGEREF _Toc25342 </w:instrText>
          </w:r>
          <w:r>
            <w:fldChar w:fldCharType="separate"/>
          </w:r>
          <w:r>
            <w:t>17</w:t>
          </w:r>
          <w:r>
            <w:fldChar w:fldCharType="end"/>
          </w:r>
          <w:r>
            <w:fldChar w:fldCharType="end"/>
          </w:r>
        </w:p>
        <w:p>
          <w:pPr>
            <w:pStyle w:val="32"/>
            <w:tabs>
              <w:tab w:val="right" w:leader="dot" w:pos="8306"/>
            </w:tabs>
          </w:pPr>
          <w:r>
            <w:fldChar w:fldCharType="begin"/>
          </w:r>
          <w:r>
            <w:instrText xml:space="preserve"> HYPERLINK \l _Toc21542 </w:instrText>
          </w:r>
          <w:r>
            <w:fldChar w:fldCharType="separate"/>
          </w:r>
          <w:r>
            <w:rPr>
              <w:rFonts w:hint="eastAsia" w:ascii="黑体" w:hAnsi="宋体" w:eastAsia="黑体" w:cs="宋体"/>
              <w:kern w:val="0"/>
              <w:szCs w:val="32"/>
              <w:shd w:val="clear" w:color="auto" w:fill="FFFFFF"/>
            </w:rPr>
            <w:t>三、部门整体预算绩效管理情况</w:t>
          </w:r>
          <w:r>
            <w:tab/>
          </w:r>
          <w:r>
            <w:fldChar w:fldCharType="begin"/>
          </w:r>
          <w:r>
            <w:instrText xml:space="preserve"> PAGEREF _Toc21542 </w:instrText>
          </w:r>
          <w:r>
            <w:fldChar w:fldCharType="separate"/>
          </w:r>
          <w:r>
            <w:t>18</w:t>
          </w:r>
          <w:r>
            <w:fldChar w:fldCharType="end"/>
          </w:r>
          <w:r>
            <w:fldChar w:fldCharType="end"/>
          </w:r>
        </w:p>
        <w:p>
          <w:pPr>
            <w:pStyle w:val="32"/>
            <w:tabs>
              <w:tab w:val="right" w:leader="dot" w:pos="8306"/>
            </w:tabs>
          </w:pPr>
          <w:r>
            <w:fldChar w:fldCharType="begin"/>
          </w:r>
          <w:r>
            <w:instrText xml:space="preserve"> HYPERLINK \l _Toc16284 </w:instrText>
          </w:r>
          <w:r>
            <w:fldChar w:fldCharType="separate"/>
          </w:r>
          <w:r>
            <w:rPr>
              <w:rFonts w:hint="eastAsia" w:ascii="黑体" w:hAnsi="宋体" w:eastAsia="黑体" w:cs="宋体"/>
              <w:kern w:val="0"/>
              <w:szCs w:val="32"/>
              <w:shd w:val="clear" w:color="auto" w:fill="FFFFFF"/>
            </w:rPr>
            <w:t>四、评价结论及建议</w:t>
          </w:r>
          <w:r>
            <w:tab/>
          </w:r>
          <w:r>
            <w:fldChar w:fldCharType="begin"/>
          </w:r>
          <w:r>
            <w:instrText xml:space="preserve"> PAGEREF _Toc16284 </w:instrText>
          </w:r>
          <w:r>
            <w:fldChar w:fldCharType="separate"/>
          </w:r>
          <w:r>
            <w:t>20</w:t>
          </w:r>
          <w:r>
            <w:fldChar w:fldCharType="end"/>
          </w:r>
          <w:r>
            <w:fldChar w:fldCharType="end"/>
          </w:r>
        </w:p>
        <w:p>
          <w:pPr>
            <w:pStyle w:val="31"/>
            <w:tabs>
              <w:tab w:val="right" w:leader="dot" w:pos="8306"/>
            </w:tabs>
            <w:rPr>
              <w:rFonts w:hint="eastAsia" w:eastAsia="宋体"/>
              <w:b/>
              <w:lang w:val="en-US" w:eastAsia="zh-CN"/>
            </w:rPr>
          </w:pPr>
          <w:r>
            <w:rPr>
              <w:b/>
            </w:rPr>
            <w:fldChar w:fldCharType="begin"/>
          </w:r>
          <w:r>
            <w:rPr>
              <w:b/>
            </w:rPr>
            <w:instrText xml:space="preserve"> HYPERLINK \l _Toc22815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rFonts w:hint="eastAsia"/>
              <w:b/>
              <w:lang w:val="en-US" w:eastAsia="zh-CN"/>
            </w:rPr>
            <w:t>2</w:t>
          </w:r>
          <w:r>
            <w:rPr>
              <w:b/>
            </w:rPr>
            <w:fldChar w:fldCharType="end"/>
          </w:r>
          <w:r>
            <w:rPr>
              <w:rFonts w:hint="eastAsia"/>
              <w:b/>
              <w:lang w:val="en-US" w:eastAsia="zh-CN"/>
            </w:rPr>
            <w:t>1</w:t>
          </w:r>
        </w:p>
        <w:p>
          <w:pPr>
            <w:pStyle w:val="32"/>
            <w:tabs>
              <w:tab w:val="right" w:leader="dot" w:pos="8306"/>
            </w:tabs>
          </w:pPr>
          <w:r>
            <w:fldChar w:fldCharType="begin"/>
          </w:r>
          <w:r>
            <w:instrText xml:space="preserve"> HYPERLINK \l _Toc28375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end"/>
          </w:r>
        </w:p>
        <w:p>
          <w:pPr>
            <w:pStyle w:val="32"/>
            <w:tabs>
              <w:tab w:val="right" w:leader="dot" w:pos="8306"/>
            </w:tabs>
          </w:pPr>
          <w:r>
            <w:fldChar w:fldCharType="begin"/>
          </w:r>
          <w:r>
            <w:instrText xml:space="preserve"> HYPERLINK \l _Toc25881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end"/>
          </w:r>
        </w:p>
        <w:p>
          <w:pPr>
            <w:pStyle w:val="32"/>
            <w:tabs>
              <w:tab w:val="right" w:leader="dot" w:pos="8306"/>
            </w:tabs>
          </w:pPr>
          <w:r>
            <w:fldChar w:fldCharType="begin"/>
          </w:r>
          <w:r>
            <w:instrText xml:space="preserve"> HYPERLINK \l _Toc387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end"/>
          </w:r>
        </w:p>
        <w:p>
          <w:pPr>
            <w:pStyle w:val="32"/>
            <w:tabs>
              <w:tab w:val="right" w:leader="dot" w:pos="8306"/>
            </w:tabs>
          </w:pPr>
          <w:r>
            <w:fldChar w:fldCharType="begin"/>
          </w:r>
          <w:r>
            <w:instrText xml:space="preserve"> HYPERLINK \l _Toc32355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end"/>
          </w:r>
        </w:p>
        <w:p>
          <w:pPr>
            <w:pStyle w:val="32"/>
            <w:tabs>
              <w:tab w:val="right" w:leader="dot" w:pos="8306"/>
            </w:tabs>
          </w:pPr>
          <w:r>
            <w:fldChar w:fldCharType="begin"/>
          </w:r>
          <w:r>
            <w:instrText xml:space="preserve"> HYPERLINK \l _Toc25174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end"/>
          </w:r>
        </w:p>
        <w:p>
          <w:pPr>
            <w:pStyle w:val="32"/>
            <w:tabs>
              <w:tab w:val="right" w:leader="dot" w:pos="8306"/>
            </w:tabs>
          </w:pPr>
          <w:r>
            <w:fldChar w:fldCharType="begin"/>
          </w:r>
          <w:r>
            <w:instrText xml:space="preserve"> HYPERLINK \l _Toc29688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end"/>
          </w:r>
        </w:p>
        <w:p>
          <w:pPr>
            <w:pStyle w:val="32"/>
            <w:tabs>
              <w:tab w:val="right" w:leader="dot" w:pos="8306"/>
            </w:tabs>
          </w:pPr>
          <w:r>
            <w:fldChar w:fldCharType="begin"/>
          </w:r>
          <w:r>
            <w:instrText xml:space="preserve"> HYPERLINK \l _Toc24336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end"/>
          </w:r>
        </w:p>
        <w:p>
          <w:pPr>
            <w:pStyle w:val="32"/>
            <w:tabs>
              <w:tab w:val="right" w:leader="dot" w:pos="8306"/>
            </w:tabs>
          </w:pPr>
          <w:r>
            <w:fldChar w:fldCharType="begin"/>
          </w:r>
          <w:r>
            <w:instrText xml:space="preserve"> HYPERLINK \l _Toc29824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end"/>
          </w:r>
        </w:p>
        <w:p>
          <w:pPr>
            <w:pStyle w:val="32"/>
            <w:tabs>
              <w:tab w:val="right" w:leader="dot" w:pos="8306"/>
            </w:tabs>
          </w:pPr>
          <w:r>
            <w:fldChar w:fldCharType="begin"/>
          </w:r>
          <w:r>
            <w:instrText xml:space="preserve"> HYPERLINK \l _Toc19453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end"/>
          </w:r>
        </w:p>
        <w:p>
          <w:pPr>
            <w:pStyle w:val="32"/>
            <w:tabs>
              <w:tab w:val="right" w:leader="dot" w:pos="8306"/>
            </w:tabs>
          </w:pPr>
          <w:r>
            <w:fldChar w:fldCharType="begin"/>
          </w:r>
          <w:r>
            <w:instrText xml:space="preserve"> HYPERLINK \l _Toc27214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end"/>
          </w:r>
        </w:p>
        <w:p>
          <w:pPr>
            <w:pStyle w:val="32"/>
            <w:tabs>
              <w:tab w:val="right" w:leader="dot" w:pos="8306"/>
            </w:tabs>
          </w:pPr>
          <w:r>
            <w:fldChar w:fldCharType="begin"/>
          </w:r>
          <w:r>
            <w:instrText xml:space="preserve"> HYPERLINK \l _Toc7282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end"/>
          </w:r>
        </w:p>
        <w:p>
          <w:pPr>
            <w:pStyle w:val="32"/>
            <w:tabs>
              <w:tab w:val="right" w:leader="dot" w:pos="8306"/>
            </w:tabs>
          </w:pPr>
          <w:r>
            <w:fldChar w:fldCharType="begin"/>
          </w:r>
          <w:r>
            <w:instrText xml:space="preserve"> HYPERLINK \l _Toc11374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end"/>
          </w:r>
        </w:p>
        <w:p>
          <w:pPr>
            <w:pStyle w:val="32"/>
            <w:tabs>
              <w:tab w:val="right" w:leader="dot" w:pos="8306"/>
            </w:tabs>
          </w:pPr>
          <w:r>
            <w:fldChar w:fldCharType="begin"/>
          </w:r>
          <w:r>
            <w:instrText xml:space="preserve"> HYPERLINK \l _Toc24622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end"/>
          </w:r>
        </w:p>
        <w:p>
          <w:r>
            <w:rPr>
              <w:b/>
            </w:rPr>
            <w:fldChar w:fldCharType="end"/>
          </w:r>
        </w:p>
      </w:sdtContent>
    </w:sdt>
    <w:p>
      <w:pPr>
        <w:widowControl/>
        <w:jc w:val="center"/>
        <w:rPr>
          <w:rFonts w:ascii="仿宋" w:hAnsi="仿宋" w:eastAsia="仿宋"/>
          <w:bCs/>
          <w:kern w:val="44"/>
          <w:sz w:val="24"/>
        </w:rPr>
      </w:pPr>
      <w:r>
        <w:rPr>
          <w:rFonts w:ascii="仿宋" w:hAnsi="仿宋" w:eastAsia="仿宋"/>
          <w:b/>
          <w:sz w:val="24"/>
        </w:rPr>
        <w:br w:type="page"/>
      </w:r>
    </w:p>
    <w:p>
      <w:pPr>
        <w:pStyle w:val="3"/>
        <w:jc w:val="center"/>
        <w:rPr>
          <w:rStyle w:val="25"/>
          <w:rFonts w:ascii="黑体" w:hAnsi="黑体" w:eastAsia="黑体"/>
          <w:b/>
          <w:bCs w:val="0"/>
        </w:rPr>
      </w:pPr>
      <w:bookmarkStart w:id="19" w:name="_Toc21185"/>
      <w:bookmarkStart w:id="20" w:name="_Toc14597"/>
      <w:r>
        <w:rPr>
          <w:rFonts w:hint="eastAsia" w:ascii="黑体" w:hAnsi="黑体" w:eastAsia="黑体"/>
          <w:b w:val="0"/>
        </w:rPr>
        <w:t xml:space="preserve">第一部分 </w:t>
      </w:r>
      <w:r>
        <w:rPr>
          <w:rStyle w:val="25"/>
          <w:rFonts w:hint="eastAsia" w:ascii="黑体" w:hAnsi="黑体" w:eastAsia="黑体"/>
          <w:b w:val="0"/>
          <w:bCs w:val="0"/>
        </w:rPr>
        <w:t>部门概况</w:t>
      </w:r>
      <w:bookmarkEnd w:id="17"/>
      <w:bookmarkEnd w:id="18"/>
      <w:bookmarkEnd w:id="19"/>
      <w:bookmarkEnd w:id="20"/>
    </w:p>
    <w:p>
      <w:pPr>
        <w:widowControl/>
        <w:jc w:val="left"/>
        <w:rPr>
          <w:rFonts w:ascii="黑体" w:eastAsia="黑体"/>
          <w:color w:val="000000"/>
          <w:sz w:val="32"/>
          <w:szCs w:val="32"/>
        </w:rPr>
      </w:pPr>
    </w:p>
    <w:p>
      <w:pPr>
        <w:pStyle w:val="4"/>
        <w:rPr>
          <w:rStyle w:val="26"/>
          <w:rFonts w:ascii="仿宋" w:hAnsi="仿宋" w:eastAsia="仿宋"/>
          <w:b w:val="0"/>
          <w:bCs w:val="0"/>
        </w:rPr>
      </w:pPr>
      <w:bookmarkStart w:id="21" w:name="_Toc10402"/>
      <w:bookmarkStart w:id="22" w:name="_Toc15396600"/>
      <w:bookmarkStart w:id="23"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21"/>
      <w:bookmarkEnd w:id="22"/>
      <w:bookmarkEnd w:id="23"/>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5"/>
      <w:bookmarkStart w:id="25" w:name="_Toc15377198"/>
      <w:r>
        <w:rPr>
          <w:rFonts w:hint="eastAsia" w:ascii="仿宋" w:hAnsi="仿宋" w:eastAsia="仿宋"/>
          <w:bCs/>
          <w:color w:val="000000"/>
          <w:sz w:val="32"/>
          <w:szCs w:val="32"/>
        </w:rPr>
        <w:t>（一）主要职能。</w:t>
      </w:r>
      <w:bookmarkEnd w:id="24"/>
      <w:bookmarkEnd w:id="25"/>
    </w:p>
    <w:p>
      <w:pPr>
        <w:spacing w:line="560" w:lineRule="exact"/>
        <w:ind w:firstLine="640" w:firstLineChars="200"/>
        <w:rPr>
          <w:rFonts w:hint="eastAsia" w:ascii="仿宋" w:hAnsi="仿宋" w:eastAsia="仿宋"/>
          <w:bCs/>
          <w:color w:val="000000"/>
          <w:sz w:val="32"/>
          <w:szCs w:val="32"/>
        </w:rPr>
      </w:pPr>
      <w:r>
        <w:rPr>
          <w:rFonts w:hint="eastAsia" w:ascii="仿宋" w:hAnsi="仿宋" w:eastAsia="仿宋" w:cs="仿宋"/>
          <w:color w:val="000000"/>
          <w:sz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6" w:name="_Toc15378446"/>
      <w:bookmarkStart w:id="27"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6"/>
      <w:bookmarkEnd w:id="27"/>
    </w:p>
    <w:p>
      <w:pPr>
        <w:pStyle w:val="6"/>
        <w:numPr>
          <w:ilvl w:val="0"/>
          <w:numId w:val="1"/>
        </w:numPr>
        <w:adjustRightInd w:val="0"/>
        <w:snapToGrid w:val="0"/>
        <w:spacing w:before="93" w:line="600" w:lineRule="exact"/>
        <w:ind w:firstLine="672" w:firstLineChars="210"/>
        <w:outlineLvl w:val="2"/>
        <w:rPr>
          <w:rFonts w:hint="eastAsia" w:ascii="仿宋" w:hAnsi="仿宋" w:eastAsia="仿宋" w:cs="仿宋"/>
          <w:color w:val="000000"/>
          <w:sz w:val="32"/>
        </w:rPr>
      </w:pPr>
      <w:r>
        <w:rPr>
          <w:rFonts w:hint="eastAsia" w:ascii="仿宋" w:hAnsi="仿宋" w:eastAsia="仿宋" w:cs="仿宋"/>
          <w:color w:val="000000"/>
          <w:sz w:val="32"/>
          <w:lang w:val="en-US" w:eastAsia="zh-CN"/>
        </w:rPr>
        <w:t>一年来，</w:t>
      </w:r>
      <w:r>
        <w:rPr>
          <w:rFonts w:hint="eastAsia" w:ascii="仿宋" w:hAnsi="仿宋" w:eastAsia="仿宋" w:cs="仿宋"/>
          <w:color w:val="000000"/>
          <w:sz w:val="32"/>
        </w:rPr>
        <w:t>我店坚持依法决策，凡是有重大事项决策，重大安排和大额度资金运作事项，必须通过我店职工共同商量并上报文体广新局领导并征求领导的同意。我店坚持民主决策，按照“集体领导、民主集中、个别酝酿、会议决定”的要求进行决策，保证权力正确行使。</w:t>
      </w:r>
    </w:p>
    <w:p>
      <w:pPr>
        <w:keepNext w:val="0"/>
        <w:keepLines w:val="0"/>
        <w:pageBreakBefore w:val="0"/>
        <w:widowControl w:val="0"/>
        <w:kinsoku/>
        <w:wordWrap/>
        <w:overflowPunct/>
        <w:topLinePunct w:val="0"/>
        <w:autoSpaceDE/>
        <w:autoSpaceDN/>
        <w:bidi w:val="0"/>
        <w:adjustRightInd/>
        <w:snapToGrid/>
        <w:spacing w:before="93" w:line="480" w:lineRule="auto"/>
        <w:ind w:firstLine="640" w:firstLineChars="200"/>
        <w:textAlignment w:val="auto"/>
        <w:rPr>
          <w:rFonts w:ascii="仿宋" w:hAnsi="仿宋" w:eastAsia="仿宋" w:cs="仿宋"/>
          <w:color w:val="000000"/>
          <w:sz w:val="32"/>
        </w:rPr>
      </w:pPr>
      <w:r>
        <w:rPr>
          <w:rFonts w:hint="eastAsia" w:ascii="仿宋" w:hAnsi="仿宋" w:eastAsia="仿宋" w:cs="仿宋"/>
          <w:color w:val="000000"/>
          <w:sz w:val="32"/>
          <w:lang w:val="en-US" w:eastAsia="zh-CN"/>
        </w:rPr>
        <w:t>2、</w:t>
      </w:r>
      <w:r>
        <w:rPr>
          <w:rFonts w:hint="eastAsia" w:ascii="仿宋" w:hAnsi="仿宋" w:eastAsia="仿宋" w:cs="仿宋"/>
          <w:color w:val="000000"/>
          <w:sz w:val="32"/>
        </w:rPr>
        <w:t>对重点主题出版物</w:t>
      </w:r>
      <w:r>
        <w:rPr>
          <w:rFonts w:hint="eastAsia" w:ascii="仿宋" w:hAnsi="仿宋" w:eastAsia="仿宋" w:cs="仿宋"/>
          <w:color w:val="000000"/>
          <w:sz w:val="32"/>
          <w:lang w:val="en-US" w:eastAsia="zh-CN"/>
        </w:rPr>
        <w:t>和</w:t>
      </w:r>
      <w:r>
        <w:rPr>
          <w:rFonts w:hint="eastAsia" w:ascii="仿宋" w:hAnsi="仿宋" w:eastAsia="仿宋" w:cs="仿宋"/>
          <w:color w:val="000000"/>
          <w:sz w:val="32"/>
        </w:rPr>
        <w:t>主旋律出版物发行工作</w:t>
      </w:r>
      <w:r>
        <w:rPr>
          <w:rFonts w:hint="eastAsia" w:ascii="仿宋" w:hAnsi="仿宋" w:eastAsia="仿宋" w:cs="仿宋"/>
          <w:color w:val="000000"/>
          <w:sz w:val="32"/>
          <w:lang w:eastAsia="zh-CN"/>
        </w:rPr>
        <w:t>，</w:t>
      </w:r>
      <w:r>
        <w:rPr>
          <w:rFonts w:hint="eastAsia" w:ascii="仿宋" w:hAnsi="仿宋" w:eastAsia="仿宋" w:cs="仿宋"/>
          <w:color w:val="000000"/>
          <w:sz w:val="32"/>
        </w:rPr>
        <w:t>我店高度重视</w:t>
      </w:r>
      <w:r>
        <w:rPr>
          <w:rFonts w:hint="eastAsia" w:ascii="仿宋" w:hAnsi="仿宋" w:eastAsia="仿宋" w:cs="仿宋"/>
          <w:color w:val="000000"/>
          <w:sz w:val="32"/>
          <w:lang w:eastAsia="zh-CN"/>
        </w:rPr>
        <w:t>，</w:t>
      </w:r>
      <w:r>
        <w:rPr>
          <w:rFonts w:hint="eastAsia" w:ascii="仿宋" w:hAnsi="仿宋" w:eastAsia="仿宋" w:cs="仿宋"/>
          <w:color w:val="000000"/>
          <w:sz w:val="32"/>
        </w:rPr>
        <w:t>精心组织，加强宣传推广，采取多种措施，大力开拓市场，有效扩大发行量。</w:t>
      </w:r>
    </w:p>
    <w:p>
      <w:pPr>
        <w:keepNext w:val="0"/>
        <w:keepLines w:val="0"/>
        <w:pageBreakBefore w:val="0"/>
        <w:widowControl w:val="0"/>
        <w:kinsoku/>
        <w:wordWrap/>
        <w:overflowPunct/>
        <w:topLinePunct w:val="0"/>
        <w:autoSpaceDE/>
        <w:autoSpaceDN/>
        <w:bidi w:val="0"/>
        <w:adjustRightInd/>
        <w:snapToGrid/>
        <w:spacing w:before="93" w:line="480" w:lineRule="auto"/>
        <w:ind w:firstLine="640" w:firstLineChars="200"/>
        <w:textAlignment w:val="auto"/>
        <w:rPr>
          <w:rFonts w:hint="eastAsia" w:ascii="仿宋" w:hAnsi="仿宋" w:eastAsia="仿宋" w:cs="仿宋"/>
          <w:color w:val="000000"/>
          <w:sz w:val="32"/>
        </w:rPr>
      </w:pPr>
      <w:r>
        <w:rPr>
          <w:rFonts w:hint="eastAsia" w:ascii="仿宋" w:hAnsi="仿宋" w:eastAsia="仿宋" w:cs="仿宋"/>
          <w:color w:val="000000"/>
          <w:sz w:val="32"/>
          <w:lang w:val="en-US" w:eastAsia="zh-CN"/>
        </w:rPr>
        <w:t>3、坚持守法经营，诚信经营。</w:t>
      </w:r>
      <w:r>
        <w:rPr>
          <w:rFonts w:hint="eastAsia" w:ascii="仿宋" w:hAnsi="仿宋" w:eastAsia="仿宋" w:cs="仿宋"/>
          <w:color w:val="000000"/>
          <w:sz w:val="32"/>
        </w:rPr>
        <w:t>严格把好非法出版物进货关，</w:t>
      </w:r>
      <w:r>
        <w:rPr>
          <w:rFonts w:hint="eastAsia" w:ascii="仿宋" w:hAnsi="仿宋" w:eastAsia="仿宋" w:cs="仿宋"/>
          <w:color w:val="000000"/>
          <w:sz w:val="32"/>
          <w:lang w:val="en-US" w:eastAsia="zh-CN"/>
        </w:rPr>
        <w:t>2019年度，我店</w:t>
      </w:r>
      <w:r>
        <w:rPr>
          <w:rFonts w:hint="eastAsia" w:ascii="仿宋" w:hAnsi="仿宋" w:eastAsia="仿宋" w:cs="仿宋"/>
          <w:color w:val="000000"/>
          <w:sz w:val="32"/>
        </w:rPr>
        <w:t>未出现破坏秩序、违背职业道德</w:t>
      </w:r>
      <w:r>
        <w:rPr>
          <w:rFonts w:hint="eastAsia" w:ascii="仿宋" w:hAnsi="仿宋" w:eastAsia="仿宋" w:cs="仿宋"/>
          <w:color w:val="000000"/>
          <w:sz w:val="32"/>
          <w:lang w:eastAsia="zh-CN"/>
        </w:rPr>
        <w:t>、</w:t>
      </w:r>
      <w:r>
        <w:rPr>
          <w:rFonts w:hint="eastAsia" w:ascii="仿宋" w:hAnsi="仿宋" w:eastAsia="仿宋" w:cs="仿宋"/>
          <w:color w:val="000000"/>
          <w:sz w:val="32"/>
        </w:rPr>
        <w:t>销售非法出版物等违法违规行为。</w:t>
      </w:r>
    </w:p>
    <w:p>
      <w:pPr>
        <w:keepNext w:val="0"/>
        <w:keepLines w:val="0"/>
        <w:pageBreakBefore w:val="0"/>
        <w:widowControl w:val="0"/>
        <w:kinsoku/>
        <w:wordWrap/>
        <w:overflowPunct/>
        <w:topLinePunct w:val="0"/>
        <w:autoSpaceDE/>
        <w:autoSpaceDN/>
        <w:bidi w:val="0"/>
        <w:adjustRightInd/>
        <w:snapToGrid/>
        <w:spacing w:before="93" w:line="480" w:lineRule="auto"/>
        <w:ind w:firstLine="640" w:firstLineChars="200"/>
        <w:textAlignment w:val="auto"/>
        <w:rPr>
          <w:rFonts w:hint="eastAsia" w:ascii="仿宋" w:hAnsi="仿宋" w:eastAsia="仿宋" w:cs="仿宋"/>
          <w:color w:val="000000"/>
          <w:sz w:val="32"/>
        </w:rPr>
      </w:pPr>
      <w:r>
        <w:rPr>
          <w:rFonts w:hint="eastAsia" w:ascii="仿宋" w:hAnsi="仿宋" w:eastAsia="仿宋" w:cs="仿宋"/>
          <w:color w:val="000000"/>
          <w:sz w:val="32"/>
          <w:lang w:val="en-US" w:eastAsia="zh-CN"/>
        </w:rPr>
        <w:t>4、</w:t>
      </w:r>
      <w:r>
        <w:rPr>
          <w:rFonts w:hint="eastAsia" w:ascii="仿宋" w:hAnsi="仿宋" w:eastAsia="仿宋" w:cs="仿宋"/>
          <w:color w:val="000000"/>
          <w:sz w:val="32"/>
        </w:rPr>
        <w:t>201</w:t>
      </w:r>
      <w:r>
        <w:rPr>
          <w:rFonts w:hint="eastAsia" w:ascii="仿宋" w:hAnsi="仿宋" w:eastAsia="仿宋" w:cs="仿宋"/>
          <w:color w:val="000000"/>
          <w:sz w:val="32"/>
          <w:lang w:val="en-US" w:eastAsia="zh-CN"/>
        </w:rPr>
        <w:t>9</w:t>
      </w:r>
      <w:r>
        <w:rPr>
          <w:rFonts w:hint="eastAsia" w:ascii="仿宋" w:hAnsi="仿宋" w:eastAsia="仿宋" w:cs="仿宋"/>
          <w:color w:val="000000"/>
          <w:sz w:val="32"/>
        </w:rPr>
        <w:t>年度，我店加大进货渠道、提高进货质量和服务质量，取得了一定的经济效益。</w:t>
      </w:r>
    </w:p>
    <w:p>
      <w:pPr>
        <w:pStyle w:val="4"/>
        <w:pageBreakBefore w:val="0"/>
        <w:widowControl w:val="0"/>
        <w:kinsoku/>
        <w:wordWrap/>
        <w:overflowPunct/>
        <w:topLinePunct w:val="0"/>
        <w:autoSpaceDE/>
        <w:autoSpaceDN/>
        <w:bidi w:val="0"/>
        <w:adjustRightInd/>
        <w:spacing w:line="360" w:lineRule="auto"/>
        <w:ind w:firstLine="640" w:firstLineChars="200"/>
        <w:textAlignment w:val="auto"/>
        <w:rPr>
          <w:rStyle w:val="26"/>
          <w:b w:val="0"/>
          <w:bCs w:val="0"/>
        </w:rPr>
      </w:pPr>
      <w:bookmarkStart w:id="28" w:name="_Toc22411"/>
      <w:bookmarkStart w:id="29" w:name="_Toc15377200"/>
      <w:bookmarkStart w:id="30"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p>
    <w:p>
      <w:pPr>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我单位为独立核算差额拨款事业单位, 无下设机构。</w:t>
      </w:r>
    </w:p>
    <w:p>
      <w:pPr>
        <w:widowControl/>
        <w:ind w:firstLine="880" w:firstLineChars="200"/>
        <w:jc w:val="left"/>
        <w:outlineLvl w:val="0"/>
        <w:rPr>
          <w:rStyle w:val="25"/>
          <w:rFonts w:ascii="黑体" w:hAnsi="黑体" w:eastAsia="黑体"/>
          <w:b w:val="0"/>
          <w:bCs w:val="0"/>
        </w:rPr>
      </w:pPr>
      <w:bookmarkStart w:id="31" w:name="_Toc15396602"/>
      <w:bookmarkStart w:id="32" w:name="_Toc1475"/>
      <w:bookmarkStart w:id="33" w:name="_Toc15377204"/>
      <w:r>
        <w:rPr>
          <w:rFonts w:hint="eastAsia" w:ascii="黑体" w:hAnsi="黑体" w:eastAsia="黑体"/>
          <w:b w:val="0"/>
          <w:color w:val="000000"/>
          <w:sz w:val="44"/>
          <w:szCs w:val="44"/>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31"/>
      <w:bookmarkEnd w:id="32"/>
      <w:bookmarkEnd w:id="33"/>
    </w:p>
    <w:p/>
    <w:p>
      <w:pPr>
        <w:pStyle w:val="24"/>
        <w:numPr>
          <w:ilvl w:val="0"/>
          <w:numId w:val="2"/>
        </w:numPr>
        <w:spacing w:line="600" w:lineRule="exact"/>
        <w:ind w:firstLineChars="0"/>
        <w:outlineLvl w:val="1"/>
        <w:rPr>
          <w:rStyle w:val="26"/>
          <w:rFonts w:ascii="黑体" w:hAnsi="黑体" w:eastAsia="黑体"/>
          <w:b w:val="0"/>
        </w:rPr>
      </w:pPr>
      <w:bookmarkStart w:id="34" w:name="_Toc15377205"/>
      <w:bookmarkStart w:id="35" w:name="_Toc28083"/>
      <w:bookmarkStart w:id="36"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4"/>
      <w:bookmarkEnd w:id="35"/>
      <w:bookmarkEnd w:id="36"/>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61.54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与2018年相比，</w:t>
      </w:r>
      <w:r>
        <w:rPr>
          <w:rFonts w:hint="eastAsia" w:ascii="仿宋" w:hAnsi="仿宋" w:eastAsia="仿宋"/>
          <w:color w:val="000000"/>
          <w:sz w:val="32"/>
          <w:szCs w:val="32"/>
          <w:lang w:val="en-US" w:eastAsia="zh-CN"/>
        </w:rPr>
        <w:t>减少0.21万元，下降0.34%，</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没有新下发的存量资金。支出114.25万元，与2018年相比，减少37.59万元，下降24.76%，主要变动原因是减少了项目支出。</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59264" behindDoc="0" locked="0" layoutInCell="1" allowOverlap="1">
            <wp:simplePos x="0" y="0"/>
            <wp:positionH relativeFrom="column">
              <wp:posOffset>991870</wp:posOffset>
            </wp:positionH>
            <wp:positionV relativeFrom="paragraph">
              <wp:posOffset>158115</wp:posOffset>
            </wp:positionV>
            <wp:extent cx="2651760" cy="1619885"/>
            <wp:effectExtent l="4445" t="4445" r="10795" b="1397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hint="eastAsia" w:ascii="仿宋" w:hAnsi="仿宋" w:eastAsia="仿宋"/>
          <w:color w:val="000000" w:themeColor="text1"/>
          <w:sz w:val="32"/>
          <w:szCs w:val="32"/>
          <w:lang w:eastAsia="zh-CN"/>
        </w:rPr>
      </w:pPr>
    </w:p>
    <w:p>
      <w:pPr>
        <w:spacing w:line="600" w:lineRule="exact"/>
        <w:jc w:val="center"/>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lang w:eastAsia="zh-CN"/>
        </w:rPr>
      </w:pPr>
    </w:p>
    <w:p>
      <w:pPr>
        <w:pStyle w:val="24"/>
        <w:widowControl w:val="0"/>
        <w:numPr>
          <w:ilvl w:val="0"/>
          <w:numId w:val="0"/>
        </w:numPr>
        <w:spacing w:line="600" w:lineRule="exact"/>
        <w:jc w:val="both"/>
        <w:outlineLvl w:val="9"/>
        <w:rPr>
          <w:rStyle w:val="26"/>
          <w:rFonts w:ascii="黑体" w:hAnsi="黑体" w:eastAsia="黑体"/>
          <w:b w:val="0"/>
        </w:rPr>
      </w:pPr>
      <w:bookmarkStart w:id="37" w:name="_Toc15377206"/>
      <w:bookmarkStart w:id="38" w:name="_Toc15396604"/>
    </w:p>
    <w:p>
      <w:pPr>
        <w:pStyle w:val="24"/>
        <w:numPr>
          <w:ilvl w:val="0"/>
          <w:numId w:val="0"/>
        </w:numPr>
        <w:spacing w:line="600" w:lineRule="exact"/>
        <w:ind w:firstLine="640" w:firstLineChars="200"/>
        <w:outlineLvl w:val="1"/>
        <w:rPr>
          <w:rStyle w:val="26"/>
          <w:rFonts w:ascii="黑体" w:hAnsi="黑体" w:eastAsia="黑体"/>
          <w:b w:val="0"/>
        </w:rPr>
      </w:pPr>
      <w:bookmarkStart w:id="39" w:name="_Toc13255"/>
      <w:r>
        <w:rPr>
          <w:rFonts w:hint="eastAsia" w:ascii="黑体" w:hAnsi="黑体" w:eastAsia="黑体"/>
          <w:color w:val="000000"/>
          <w:sz w:val="32"/>
          <w:szCs w:val="32"/>
          <w:lang w:val="en-US"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37"/>
      <w:bookmarkEnd w:id="38"/>
      <w:bookmarkEnd w:id="39"/>
    </w:p>
    <w:p>
      <w:pPr>
        <w:spacing w:line="600" w:lineRule="exact"/>
        <w:ind w:firstLine="640" w:firstLineChars="200"/>
        <w:outlineLvl w:val="1"/>
        <w:rPr>
          <w:rFonts w:hint="eastAsia" w:ascii="仿宋" w:hAnsi="仿宋" w:eastAsia="仿宋"/>
          <w:color w:val="000000"/>
          <w:sz w:val="32"/>
          <w:szCs w:val="32"/>
          <w:lang w:eastAsia="zh-CN"/>
        </w:rPr>
      </w:pPr>
      <w:bookmarkStart w:id="40" w:name="_Toc9939"/>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61.54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61.54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40"/>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hint="eastAsia" w:ascii="仿宋" w:hAnsi="仿宋" w:eastAsia="仿宋"/>
          <w:color w:val="000000" w:themeColor="text1"/>
          <w:sz w:val="32"/>
          <w:szCs w:val="32"/>
        </w:rPr>
      </w:pPr>
      <w:r>
        <w:rPr>
          <w:rFonts w:hint="eastAsia" w:eastAsia="仿宋"/>
          <w:lang w:eastAsia="zh-CN"/>
        </w:rPr>
        <w:drawing>
          <wp:anchor distT="0" distB="0" distL="114300" distR="114300" simplePos="0" relativeHeight="251660288" behindDoc="0" locked="0" layoutInCell="1" allowOverlap="1">
            <wp:simplePos x="0" y="0"/>
            <wp:positionH relativeFrom="column">
              <wp:posOffset>871220</wp:posOffset>
            </wp:positionH>
            <wp:positionV relativeFrom="paragraph">
              <wp:posOffset>299720</wp:posOffset>
            </wp:positionV>
            <wp:extent cx="2453640" cy="1507490"/>
            <wp:effectExtent l="4445" t="4445" r="18415" b="1206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0"/>
        </w:numPr>
        <w:spacing w:line="600" w:lineRule="exact"/>
        <w:ind w:left="640" w:leftChars="0"/>
        <w:outlineLvl w:val="1"/>
        <w:rPr>
          <w:rStyle w:val="26"/>
          <w:rFonts w:ascii="黑体" w:hAnsi="黑体" w:eastAsia="黑体"/>
          <w:b w:val="0"/>
        </w:rPr>
      </w:pPr>
      <w:bookmarkStart w:id="41" w:name="_Toc266"/>
      <w:bookmarkStart w:id="42" w:name="_Toc15396605"/>
      <w:bookmarkStart w:id="43" w:name="_Toc15377207"/>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41"/>
      <w:bookmarkEnd w:id="42"/>
      <w:bookmarkEnd w:id="43"/>
    </w:p>
    <w:p>
      <w:pPr>
        <w:spacing w:line="600" w:lineRule="exact"/>
        <w:ind w:firstLine="640" w:firstLineChars="200"/>
        <w:outlineLvl w:val="1"/>
        <w:rPr>
          <w:rFonts w:hint="eastAsia" w:ascii="仿宋" w:hAnsi="仿宋" w:eastAsia="仿宋"/>
          <w:color w:val="000000"/>
          <w:sz w:val="32"/>
          <w:szCs w:val="32"/>
          <w:lang w:eastAsia="zh-CN"/>
        </w:rPr>
      </w:pPr>
      <w:bookmarkStart w:id="44" w:name="_Toc3781"/>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114.25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61.54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53.86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52.71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46.14</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44"/>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420" w:firstLineChars="200"/>
        <w:rPr>
          <w:rFonts w:hint="eastAsia" w:ascii="仿宋" w:hAnsi="仿宋" w:eastAsia="仿宋"/>
          <w:color w:val="000000" w:themeColor="text1"/>
          <w:sz w:val="32"/>
          <w:szCs w:val="32"/>
        </w:rPr>
      </w:pPr>
      <w:r>
        <w:rPr>
          <w:rFonts w:hint="eastAsia" w:eastAsia="仿宋"/>
          <w:lang w:eastAsia="zh-CN"/>
        </w:rPr>
        <w:drawing>
          <wp:anchor distT="0" distB="0" distL="114300" distR="114300" simplePos="0" relativeHeight="251661312" behindDoc="0" locked="0" layoutInCell="1" allowOverlap="1">
            <wp:simplePos x="0" y="0"/>
            <wp:positionH relativeFrom="column">
              <wp:posOffset>985520</wp:posOffset>
            </wp:positionH>
            <wp:positionV relativeFrom="paragraph">
              <wp:posOffset>223520</wp:posOffset>
            </wp:positionV>
            <wp:extent cx="2660650" cy="1856105"/>
            <wp:effectExtent l="4445" t="4445" r="20955" b="635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5" w:name="_Toc15377208"/>
      <w:bookmarkStart w:id="46" w:name="_Toc15396606"/>
      <w:bookmarkStart w:id="47" w:name="_Toc1155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5"/>
      <w:bookmarkEnd w:id="46"/>
      <w:bookmarkEnd w:id="47"/>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w:t>
      </w:r>
      <w:r>
        <w:rPr>
          <w:rFonts w:hint="eastAsia" w:ascii="仿宋" w:hAnsi="仿宋" w:eastAsia="仿宋"/>
          <w:color w:val="000000"/>
          <w:sz w:val="32"/>
          <w:szCs w:val="32"/>
          <w:lang w:val="en-US" w:eastAsia="zh-CN"/>
        </w:rPr>
        <w:t>收入61.54万元，与2018年相比，减少0.21万元，下降0.34%，</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没有新下发的存量资金。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114.25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与2018年相比，</w:t>
      </w:r>
      <w:r>
        <w:rPr>
          <w:rFonts w:hint="eastAsia" w:ascii="仿宋" w:hAnsi="仿宋" w:eastAsia="仿宋"/>
          <w:color w:val="000000"/>
          <w:sz w:val="32"/>
          <w:szCs w:val="32"/>
          <w:lang w:val="en-US" w:eastAsia="zh-CN"/>
        </w:rPr>
        <w:t>减少37.59万元，下降24.76%，主要变动原因是减少了项目支出。</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rPr>
          <w:rFonts w:hint="eastAsia" w:eastAsia="仿宋"/>
          <w:lang w:eastAsia="zh-CN"/>
        </w:rPr>
        <w:drawing>
          <wp:anchor distT="0" distB="0" distL="114300" distR="114300" simplePos="0" relativeHeight="251662336" behindDoc="0" locked="0" layoutInCell="1" allowOverlap="1">
            <wp:simplePos x="0" y="0"/>
            <wp:positionH relativeFrom="column">
              <wp:posOffset>896620</wp:posOffset>
            </wp:positionH>
            <wp:positionV relativeFrom="paragraph">
              <wp:posOffset>308610</wp:posOffset>
            </wp:positionV>
            <wp:extent cx="3442335" cy="2068195"/>
            <wp:effectExtent l="4445" t="4445" r="20320" b="2286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rPr>
          <w:rFonts w:ascii="仿宋" w:hAnsi="仿宋" w:eastAsia="仿宋"/>
          <w:b/>
          <w:color w:val="00B050"/>
          <w:sz w:val="32"/>
          <w:szCs w:val="32"/>
        </w:rPr>
      </w:pPr>
    </w:p>
    <w:p>
      <w:pPr>
        <w:jc w:val="center"/>
        <w:rPr>
          <w:rFonts w:ascii="仿宋" w:hAnsi="仿宋" w:eastAsia="仿宋"/>
          <w:b/>
          <w:color w:val="00B050"/>
          <w:sz w:val="32"/>
          <w:szCs w:val="32"/>
        </w:rPr>
      </w:pPr>
    </w:p>
    <w:p>
      <w:pPr>
        <w:pStyle w:val="2"/>
        <w:rPr>
          <w:rFonts w:ascii="仿宋" w:hAnsi="仿宋" w:eastAsia="仿宋"/>
          <w:b/>
          <w:color w:val="00B050"/>
          <w:sz w:val="32"/>
          <w:szCs w:val="32"/>
        </w:rPr>
      </w:pPr>
    </w:p>
    <w:p>
      <w:pPr>
        <w:rPr>
          <w:rFonts w:ascii="仿宋" w:hAnsi="仿宋" w:eastAsia="仿宋"/>
          <w:b/>
          <w:color w:val="00B050"/>
          <w:sz w:val="32"/>
          <w:szCs w:val="32"/>
        </w:rPr>
      </w:pPr>
    </w:p>
    <w:p>
      <w:pPr>
        <w:pStyle w:val="2"/>
        <w:rPr>
          <w:rFonts w:ascii="仿宋" w:hAnsi="仿宋" w:eastAsia="仿宋"/>
          <w:b/>
          <w:color w:val="00B050"/>
          <w:sz w:val="32"/>
          <w:szCs w:val="32"/>
        </w:rPr>
      </w:pPr>
    </w:p>
    <w:p/>
    <w:p>
      <w:pPr>
        <w:spacing w:line="600" w:lineRule="exact"/>
        <w:ind w:firstLine="640" w:firstLineChars="200"/>
        <w:outlineLvl w:val="1"/>
        <w:rPr>
          <w:rStyle w:val="26"/>
          <w:rFonts w:ascii="黑体" w:hAnsi="黑体" w:eastAsia="黑体"/>
          <w:b w:val="0"/>
        </w:rPr>
      </w:pPr>
      <w:bookmarkStart w:id="48" w:name="_Toc25917"/>
      <w:bookmarkStart w:id="49" w:name="_Toc15377209"/>
      <w:bookmarkStart w:id="50"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15377210"/>
      <w:r>
        <w:rPr>
          <w:rFonts w:hint="eastAsia" w:ascii="仿宋" w:hAnsi="仿宋" w:eastAsia="仿宋"/>
          <w:b/>
          <w:color w:val="000000"/>
          <w:sz w:val="32"/>
          <w:szCs w:val="32"/>
        </w:rPr>
        <w:t>（一）一般公共预算财政拨款支出决算总体情况</w:t>
      </w:r>
      <w:bookmarkEnd w:id="5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114.25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w:t>
      </w:r>
      <w:r>
        <w:rPr>
          <w:rFonts w:hint="eastAsia" w:ascii="仿宋" w:hAnsi="仿宋" w:eastAsia="仿宋"/>
          <w:color w:val="000000"/>
          <w:sz w:val="32"/>
          <w:szCs w:val="32"/>
          <w:lang w:val="en-US" w:eastAsia="zh-CN"/>
        </w:rPr>
        <w:t>拨款支出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36.34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24.14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没有项目方面的支出。</w:t>
      </w:r>
    </w:p>
    <w:p>
      <w:pPr>
        <w:spacing w:line="600" w:lineRule="exact"/>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pStyle w:val="2"/>
        <w:rPr>
          <w:rFonts w:hint="eastAsia" w:ascii="仿宋" w:hAnsi="仿宋" w:eastAsia="仿宋"/>
          <w:color w:val="000000" w:themeColor="text1"/>
          <w:sz w:val="32"/>
          <w:szCs w:val="32"/>
        </w:rPr>
      </w:pPr>
    </w:p>
    <w:p>
      <w:pPr>
        <w:jc w:val="center"/>
        <w:rPr>
          <w:rFonts w:hint="eastAsia" w:eastAsia="仿宋"/>
          <w:lang w:eastAsia="zh-CN"/>
        </w:rPr>
      </w:pPr>
      <w:r>
        <w:rPr>
          <w:rFonts w:hint="eastAsia" w:eastAsia="仿宋"/>
          <w:lang w:eastAsia="zh-CN"/>
        </w:rPr>
        <w:drawing>
          <wp:inline distT="0" distB="0" distL="114300" distR="114300">
            <wp:extent cx="2901315" cy="1572895"/>
            <wp:effectExtent l="4445" t="4445" r="8890" b="2286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1890" w:firstLineChars="900"/>
        <w:rPr>
          <w:rFonts w:hint="default"/>
          <w:lang w:val="en-US"/>
        </w:rPr>
      </w:pPr>
      <w:r>
        <w:rPr>
          <w:rFonts w:hint="eastAsia" w:eastAsia="仿宋"/>
          <w:lang w:val="en-US" w:eastAsia="zh-CN"/>
        </w:rPr>
        <w:t>一般公共预算财政拨款支出</w:t>
      </w:r>
    </w:p>
    <w:p>
      <w:pPr>
        <w:spacing w:line="600" w:lineRule="exact"/>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2" w:name="_Toc15377211"/>
      <w:r>
        <w:rPr>
          <w:rFonts w:hint="eastAsia" w:ascii="仿宋" w:hAnsi="仿宋" w:eastAsia="仿宋"/>
          <w:b/>
          <w:color w:val="000000"/>
          <w:sz w:val="32"/>
          <w:szCs w:val="32"/>
        </w:rPr>
        <w:t>（二）一般公共预算财政拨款支出决算结构情况</w:t>
      </w:r>
      <w:bookmarkEnd w:id="52"/>
    </w:p>
    <w:p>
      <w:pPr>
        <w:spacing w:line="600" w:lineRule="exact"/>
        <w:ind w:firstLine="640"/>
        <w:rPr>
          <w:rFonts w:hint="eastAsia" w:ascii="仿宋" w:hAnsi="仿宋" w:eastAsia="仿宋"/>
          <w:color w:val="000000" w:themeColor="text1"/>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114.25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w:t>
      </w:r>
      <w:r>
        <w:rPr>
          <w:rFonts w:hint="eastAsia" w:ascii="仿宋" w:hAnsi="仿宋" w:eastAsia="仿宋"/>
          <w:b w:val="0"/>
          <w:bCs w:val="0"/>
          <w:color w:val="000000" w:themeColor="text1"/>
          <w:sz w:val="32"/>
          <w:szCs w:val="32"/>
        </w:rPr>
        <w:t>支出</w:t>
      </w:r>
      <w:r>
        <w:rPr>
          <w:rFonts w:hint="eastAsia" w:ascii="仿宋" w:hAnsi="仿宋" w:eastAsia="仿宋"/>
          <w:b w:val="0"/>
          <w:bCs w:val="0"/>
          <w:color w:val="000000" w:themeColor="text1"/>
          <w:sz w:val="32"/>
          <w:szCs w:val="32"/>
          <w:lang w:val="en-US" w:eastAsia="zh-CN"/>
        </w:rPr>
        <w:t>91.37</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79.98</w:t>
      </w:r>
      <w:r>
        <w:rPr>
          <w:rFonts w:ascii="仿宋" w:hAnsi="仿宋" w:eastAsia="仿宋"/>
          <w:b w:val="0"/>
          <w:bCs w:val="0"/>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11.12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5.08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4.45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6.67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5.84</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rPr>
          <w:rFonts w:hint="eastAsia" w:ascii="仿宋" w:hAnsi="仿宋" w:eastAsia="仿宋"/>
          <w:color w:val="000000"/>
          <w:sz w:val="32"/>
          <w:szCs w:val="32"/>
        </w:rPr>
      </w:pPr>
    </w:p>
    <w:p>
      <w:pPr>
        <w:jc w:val="center"/>
        <w:rPr>
          <w:rFonts w:hint="eastAsia" w:ascii="仿宋" w:hAnsi="仿宋" w:eastAsia="仿宋"/>
          <w:color w:val="000000"/>
          <w:sz w:val="32"/>
          <w:szCs w:val="32"/>
        </w:rPr>
      </w:pPr>
      <w:r>
        <w:rPr>
          <w:rFonts w:hint="eastAsia" w:eastAsia="仿宋"/>
          <w:lang w:eastAsia="zh-CN"/>
        </w:rPr>
        <w:drawing>
          <wp:inline distT="0" distB="0" distL="114300" distR="114300">
            <wp:extent cx="3355340" cy="2067560"/>
            <wp:effectExtent l="4445" t="5080" r="12065" b="2286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3" w:name="_Toc15377212"/>
      <w:r>
        <w:rPr>
          <w:rFonts w:hint="eastAsia" w:ascii="仿宋" w:hAnsi="仿宋" w:eastAsia="仿宋"/>
          <w:b/>
          <w:color w:val="000000"/>
          <w:sz w:val="32"/>
          <w:szCs w:val="32"/>
        </w:rPr>
        <w:t>（三）一般公共预算财政拨款支出决算具体情况</w:t>
      </w:r>
      <w:bookmarkEnd w:id="53"/>
    </w:p>
    <w:p>
      <w:pPr>
        <w:spacing w:line="600" w:lineRule="exact"/>
        <w:ind w:firstLine="643" w:firstLineChars="200"/>
        <w:outlineLvl w:val="2"/>
        <w:rPr>
          <w:rFonts w:ascii="仿宋" w:hAnsi="仿宋" w:eastAsia="仿宋"/>
          <w:color w:val="FF0000"/>
          <w:sz w:val="32"/>
          <w:szCs w:val="32"/>
        </w:rPr>
      </w:pPr>
      <w:bookmarkStart w:id="54" w:name="_Toc15377213"/>
      <w:bookmarkStart w:id="55" w:name="_Toc15377444"/>
      <w:bookmarkStart w:id="56"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114.25万元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54"/>
      <w:bookmarkEnd w:id="55"/>
      <w:bookmarkEnd w:id="56"/>
    </w:p>
    <w:p>
      <w:pPr>
        <w:numPr>
          <w:ilvl w:val="0"/>
          <w:numId w:val="3"/>
        </w:numPr>
        <w:spacing w:line="600" w:lineRule="exact"/>
        <w:ind w:firstLine="643" w:firstLineChars="20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文化旅游体育与传媒（类）</w:t>
      </w:r>
    </w:p>
    <w:p>
      <w:pPr>
        <w:numPr>
          <w:ilvl w:val="0"/>
          <w:numId w:val="0"/>
        </w:num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default" w:ascii="Calibri" w:hAnsi="Calibri" w:eastAsia="仿宋" w:cs="Calibri"/>
          <w:bCs/>
          <w:color w:val="000000"/>
          <w:sz w:val="32"/>
          <w:szCs w:val="32"/>
        </w:rPr>
        <w:t>①</w:t>
      </w:r>
      <w:r>
        <w:rPr>
          <w:rStyle w:val="15"/>
          <w:rFonts w:hint="eastAsia" w:ascii="仿宋" w:hAnsi="仿宋" w:eastAsia="仿宋"/>
          <w:bCs/>
          <w:color w:val="000000"/>
          <w:sz w:val="32"/>
          <w:szCs w:val="32"/>
          <w:lang w:val="en-US" w:eastAsia="zh-CN"/>
        </w:rPr>
        <w:t>20706-新闻出版电影</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2070605-出版发行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38.66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numPr>
          <w:ilvl w:val="0"/>
          <w:numId w:val="0"/>
        </w:num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default" w:ascii="Calibri" w:hAnsi="Calibri" w:eastAsia="仿宋" w:cs="Calibri"/>
          <w:bCs/>
          <w:color w:val="000000"/>
          <w:sz w:val="32"/>
          <w:szCs w:val="32"/>
          <w:lang w:val="en-US" w:eastAsia="zh-CN"/>
        </w:rPr>
        <w:t>②</w:t>
      </w:r>
      <w:r>
        <w:rPr>
          <w:rStyle w:val="15"/>
          <w:rFonts w:hint="eastAsia" w:ascii="仿宋" w:hAnsi="仿宋" w:eastAsia="仿宋"/>
          <w:bCs/>
          <w:color w:val="000000"/>
          <w:sz w:val="32"/>
          <w:szCs w:val="32"/>
          <w:lang w:val="en-US" w:eastAsia="zh-CN"/>
        </w:rPr>
        <w:t>20799-其他文化体育与传媒支出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2079999-其他文化体育与传媒支出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52.71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numPr>
          <w:ilvl w:val="0"/>
          <w:numId w:val="3"/>
        </w:numPr>
        <w:spacing w:line="600" w:lineRule="exact"/>
        <w:ind w:left="0" w:leftChars="0" w:firstLine="643" w:firstLineChars="20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社会保障和就业（类）</w:t>
      </w:r>
    </w:p>
    <w:p>
      <w:pPr>
        <w:numPr>
          <w:ilvl w:val="0"/>
          <w:numId w:val="0"/>
        </w:num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default" w:ascii="Calibri" w:hAnsi="Calibri" w:eastAsia="仿宋" w:cs="Calibri"/>
          <w:bCs/>
          <w:color w:val="000000"/>
          <w:sz w:val="32"/>
          <w:szCs w:val="32"/>
        </w:rPr>
        <w:t>①</w:t>
      </w:r>
      <w:r>
        <w:rPr>
          <w:rStyle w:val="15"/>
          <w:rFonts w:hint="eastAsia" w:ascii="仿宋" w:hAnsi="仿宋" w:eastAsia="仿宋"/>
          <w:bCs/>
          <w:color w:val="000000"/>
          <w:sz w:val="32"/>
          <w:szCs w:val="32"/>
          <w:lang w:val="en-US" w:eastAsia="zh-CN"/>
        </w:rPr>
        <w:t>20805-行政事业单位离退休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2080505-机关事业单位基本养老保险缴费支出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7.61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numPr>
          <w:ilvl w:val="0"/>
          <w:numId w:val="0"/>
        </w:num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default" w:ascii="Calibri" w:hAnsi="Calibri" w:eastAsia="仿宋" w:cs="Calibri"/>
          <w:bCs/>
          <w:color w:val="000000"/>
          <w:sz w:val="32"/>
          <w:szCs w:val="32"/>
        </w:rPr>
        <w:t>②</w:t>
      </w:r>
      <w:r>
        <w:rPr>
          <w:rStyle w:val="15"/>
          <w:rFonts w:hint="eastAsia" w:ascii="仿宋" w:hAnsi="仿宋" w:eastAsia="仿宋"/>
          <w:bCs/>
          <w:color w:val="000000"/>
          <w:sz w:val="32"/>
          <w:szCs w:val="32"/>
          <w:lang w:val="en-US" w:eastAsia="zh-CN"/>
        </w:rPr>
        <w:t>20805-行政事业单位离退休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2080506-机关事业单位职业年金缴费支出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3.51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Style w:val="2"/>
        <w:rPr>
          <w:rFonts w:hint="eastAsia"/>
          <w:lang w:eastAsia="zh-CN"/>
        </w:rPr>
      </w:pPr>
    </w:p>
    <w:p>
      <w:pPr>
        <w:numPr>
          <w:ilvl w:val="0"/>
          <w:numId w:val="3"/>
        </w:numPr>
        <w:spacing w:line="600" w:lineRule="exact"/>
        <w:ind w:left="0" w:leftChars="0" w:firstLine="643" w:firstLineChars="200"/>
        <w:rPr>
          <w:rStyle w:val="15"/>
          <w:rFonts w:hint="eastAsia" w:ascii="仿宋" w:hAnsi="仿宋" w:eastAsia="仿宋"/>
          <w:bCs/>
          <w:color w:val="000000"/>
          <w:sz w:val="32"/>
          <w:szCs w:val="32"/>
        </w:rPr>
      </w:pP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（类）</w:t>
      </w:r>
    </w:p>
    <w:p>
      <w:pPr>
        <w:numPr>
          <w:ilvl w:val="0"/>
          <w:numId w:val="0"/>
        </w:numPr>
        <w:spacing w:line="600" w:lineRule="exact"/>
        <w:ind w:leftChars="200" w:firstLine="321" w:firstLineChars="100"/>
        <w:rPr>
          <w:rStyle w:val="15"/>
          <w:rFonts w:hint="eastAsia" w:ascii="仿宋" w:hAnsi="仿宋" w:eastAsia="仿宋"/>
          <w:b w:val="0"/>
          <w:bCs/>
          <w:color w:val="000000"/>
          <w:sz w:val="32"/>
          <w:szCs w:val="32"/>
          <w:lang w:eastAsia="zh-CN"/>
        </w:rPr>
      </w:pPr>
      <w:r>
        <w:rPr>
          <w:rStyle w:val="15"/>
          <w:rFonts w:hint="default" w:ascii="Calibri" w:hAnsi="Calibri" w:eastAsia="仿宋" w:cs="Calibri"/>
          <w:bCs/>
          <w:color w:val="000000"/>
          <w:sz w:val="32"/>
          <w:szCs w:val="32"/>
        </w:rPr>
        <w:t>①</w:t>
      </w:r>
      <w:r>
        <w:rPr>
          <w:rStyle w:val="15"/>
          <w:rFonts w:hint="eastAsia" w:ascii="仿宋" w:hAnsi="仿宋" w:eastAsia="仿宋"/>
          <w:bCs/>
          <w:color w:val="000000"/>
          <w:sz w:val="32"/>
          <w:szCs w:val="32"/>
          <w:lang w:val="en-US" w:eastAsia="zh-CN"/>
        </w:rPr>
        <w:t>21011-行政事业单位医疗</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2101102-事业单位医疗</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3.91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Style w:val="2"/>
        <w:ind w:firstLine="643" w:firstLineChars="200"/>
        <w:rPr>
          <w:rFonts w:hint="eastAsia"/>
          <w:lang w:eastAsia="zh-CN"/>
        </w:rPr>
      </w:pPr>
      <w:r>
        <w:rPr>
          <w:rStyle w:val="15"/>
          <w:rFonts w:hint="default" w:ascii="Calibri" w:hAnsi="Calibri" w:eastAsia="仿宋" w:cs="Calibri"/>
          <w:bCs/>
          <w:color w:val="000000"/>
          <w:sz w:val="32"/>
          <w:szCs w:val="32"/>
        </w:rPr>
        <w:t>②</w:t>
      </w:r>
      <w:r>
        <w:rPr>
          <w:rStyle w:val="15"/>
          <w:rFonts w:hint="eastAsia" w:ascii="仿宋" w:hAnsi="仿宋" w:eastAsia="仿宋"/>
          <w:bCs/>
          <w:color w:val="000000"/>
          <w:sz w:val="32"/>
          <w:szCs w:val="32"/>
          <w:lang w:val="en-US" w:eastAsia="zh-CN"/>
        </w:rPr>
        <w:t>21011-行政事业单位医疗</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2101199-其他行政事业单位医疗支出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Style w:val="2"/>
        <w:ind w:firstLine="643" w:firstLineChars="200"/>
        <w:rPr>
          <w:rFonts w:hint="eastAsia"/>
          <w:lang w:eastAsia="zh-CN"/>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rPr>
        <w:t>住房保障</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22102-住房改革支出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2210201-住房公积金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6.67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tabs>
          <w:tab w:val="right" w:pos="8306"/>
        </w:tabs>
        <w:spacing w:line="600" w:lineRule="exact"/>
        <w:ind w:firstLine="640" w:firstLineChars="200"/>
        <w:outlineLvl w:val="1"/>
        <w:rPr>
          <w:rStyle w:val="26"/>
        </w:rPr>
      </w:pPr>
      <w:bookmarkStart w:id="57" w:name="_Toc15396608"/>
      <w:bookmarkStart w:id="58" w:name="_Toc1398"/>
      <w:bookmarkStart w:id="5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57"/>
      <w:bookmarkEnd w:id="58"/>
      <w:bookmarkEnd w:id="59"/>
      <w:r>
        <w:rPr>
          <w:rStyle w:val="26"/>
          <w:rFonts w:ascii="黑体" w:hAnsi="黑体" w:eastAsia="黑体"/>
          <w:b w:val="0"/>
        </w:rPr>
        <w:tab/>
      </w:r>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61.54</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60.75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12.76万元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10.55万元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1.06万元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11.88万元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7.61万元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3.51万元、医疗保险3.91万元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医疗补助1.18万元、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0.99万元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6.67万元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医疗费0.64万元。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0.78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0.13万元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0.45万元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0.2万元。</w:t>
      </w:r>
    </w:p>
    <w:p>
      <w:pPr>
        <w:spacing w:line="600" w:lineRule="exact"/>
        <w:ind w:firstLine="640"/>
        <w:outlineLvl w:val="1"/>
        <w:rPr>
          <w:rStyle w:val="26"/>
          <w:rFonts w:ascii="黑体" w:hAnsi="黑体" w:eastAsia="黑体"/>
          <w:b w:val="0"/>
        </w:rPr>
      </w:pPr>
      <w:bookmarkStart w:id="60" w:name="_Toc15396609"/>
      <w:bookmarkStart w:id="61" w:name="_Toc15377215"/>
      <w:bookmarkStart w:id="62" w:name="_Toc1212"/>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pacing w:line="600" w:lineRule="exact"/>
        <w:ind w:firstLine="640"/>
        <w:rPr>
          <w:rFonts w:hint="eastAsia" w:ascii="仿宋" w:hAnsi="仿宋" w:eastAsia="仿宋"/>
          <w:b/>
          <w:color w:val="FF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ascii="仿宋" w:hAnsi="仿宋" w:eastAsia="仿宋"/>
          <w:color w:val="000000"/>
          <w:sz w:val="32"/>
          <w:szCs w:val="32"/>
        </w:rPr>
      </w:pPr>
    </w:p>
    <w:p>
      <w:pPr>
        <w:jc w:val="center"/>
        <w:rPr>
          <w:rFonts w:hint="eastAsia" w:ascii="仿宋" w:hAnsi="仿宋" w:eastAsia="仿宋"/>
          <w:color w:val="000000"/>
          <w:sz w:val="32"/>
          <w:szCs w:val="32"/>
        </w:rPr>
      </w:pPr>
      <w:r>
        <w:rPr>
          <w:rFonts w:hint="eastAsia" w:eastAsia="仿宋"/>
          <w:lang w:eastAsia="zh-CN"/>
        </w:rPr>
        <w:drawing>
          <wp:inline distT="0" distB="0" distL="114300" distR="114300">
            <wp:extent cx="3204210" cy="1620520"/>
            <wp:effectExtent l="4445" t="4445" r="10795" b="1333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
      <w:pPr>
        <w:spacing w:line="600" w:lineRule="exact"/>
        <w:ind w:firstLine="640"/>
        <w:rPr>
          <w:rFonts w:hint="default"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因公出国（境）支出决算与2018年持平。</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19.80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99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本年度没有购置公务用车。</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其他车型1辆。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开展业务活动</w:t>
      </w:r>
      <w:r>
        <w:rPr>
          <w:rFonts w:hint="eastAsia" w:ascii="仿宋_GB2312" w:eastAsia="仿宋_GB2312"/>
          <w:color w:val="000000"/>
          <w:sz w:val="32"/>
          <w:szCs w:val="32"/>
        </w:rPr>
        <w:t>等所需的公务用车燃料费、维修费、过路过桥费、保险费等支出。</w:t>
      </w:r>
    </w:p>
    <w:p>
      <w:pPr>
        <w:numPr>
          <w:ilvl w:val="0"/>
          <w:numId w:val="3"/>
        </w:numPr>
        <w:spacing w:line="600" w:lineRule="exact"/>
        <w:ind w:left="0" w:leftChars="0" w:firstLine="643" w:firstLineChars="200"/>
        <w:outlineLvl w:val="1"/>
        <w:rPr>
          <w:rStyle w:val="26"/>
          <w:rFonts w:ascii="黑体" w:hAnsi="黑体" w:eastAsia="黑体"/>
        </w:rPr>
      </w:pPr>
      <w:bookmarkStart w:id="65" w:name="_Toc31431"/>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万元，公务接待费支出决算</w:t>
      </w:r>
      <w:bookmarkStart w:id="66" w:name="_Toc15396610"/>
      <w:bookmarkStart w:id="67" w:name="_Toc15377218"/>
      <w:r>
        <w:rPr>
          <w:rFonts w:hint="eastAsia" w:ascii="仿宋_GB2312" w:eastAsia="仿宋_GB2312"/>
          <w:color w:val="000000"/>
          <w:sz w:val="32"/>
          <w:szCs w:val="32"/>
          <w:lang w:val="en-US" w:eastAsia="zh-CN"/>
        </w:rPr>
        <w:t>与2018年持平。</w:t>
      </w:r>
      <w:bookmarkEnd w:id="65"/>
    </w:p>
    <w:p>
      <w:pPr>
        <w:numPr>
          <w:ilvl w:val="0"/>
          <w:numId w:val="0"/>
        </w:numPr>
        <w:spacing w:line="600" w:lineRule="exact"/>
        <w:ind w:leftChars="200"/>
        <w:outlineLvl w:val="1"/>
        <w:rPr>
          <w:rStyle w:val="26"/>
          <w:rFonts w:ascii="黑体" w:hAnsi="黑体" w:eastAsia="黑体"/>
        </w:rPr>
      </w:pPr>
      <w:bookmarkStart w:id="68" w:name="_Toc16897"/>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6"/>
      <w:bookmarkEnd w:id="67"/>
      <w:bookmarkEnd w:id="6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6"/>
          <w:rFonts w:ascii="黑体" w:hAnsi="黑体" w:eastAsia="黑体"/>
          <w:b w:val="0"/>
        </w:rPr>
      </w:pPr>
      <w:bookmarkStart w:id="69" w:name="_Toc15396611"/>
      <w:bookmarkStart w:id="70" w:name="_Toc8562"/>
      <w:bookmarkStart w:id="71" w:name="_Toc15377219"/>
      <w:r>
        <w:rPr>
          <w:rStyle w:val="26"/>
          <w:rFonts w:hint="eastAsia" w:ascii="黑体" w:hAnsi="黑体" w:eastAsia="黑体"/>
          <w:b w:val="0"/>
        </w:rPr>
        <w:t>国有资本经营预算支出决算情况说明</w:t>
      </w:r>
      <w:bookmarkEnd w:id="69"/>
      <w:bookmarkEnd w:id="70"/>
      <w:bookmarkEnd w:id="7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72" w:name="_Toc15396612"/>
      <w:bookmarkStart w:id="73" w:name="_Toc15377221"/>
      <w:bookmarkStart w:id="74" w:name="_Toc414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2"/>
      <w:bookmarkEnd w:id="73"/>
      <w:bookmarkEnd w:id="74"/>
    </w:p>
    <w:p>
      <w:pPr>
        <w:spacing w:line="600" w:lineRule="exact"/>
        <w:ind w:firstLine="643" w:firstLineChars="200"/>
        <w:outlineLvl w:val="2"/>
        <w:rPr>
          <w:rFonts w:ascii="仿宋" w:hAnsi="仿宋" w:eastAsia="仿宋"/>
          <w:color w:val="000000"/>
          <w:sz w:val="32"/>
          <w:szCs w:val="32"/>
        </w:rPr>
      </w:pPr>
      <w:bookmarkStart w:id="75" w:name="_Toc15377222"/>
      <w:r>
        <w:rPr>
          <w:rFonts w:hint="eastAsia" w:ascii="仿宋" w:hAnsi="仿宋" w:eastAsia="仿宋"/>
          <w:b/>
          <w:color w:val="000000"/>
          <w:sz w:val="32"/>
          <w:szCs w:val="32"/>
        </w:rPr>
        <w:t>（一）机关运行经费支出情况</w:t>
      </w:r>
      <w:bookmarkEnd w:id="75"/>
    </w:p>
    <w:p>
      <w:pPr>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红原县新华书店</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与2018年持平。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3"/>
      <w:r>
        <w:rPr>
          <w:rFonts w:hint="eastAsia" w:ascii="仿宋" w:hAnsi="仿宋" w:eastAsia="仿宋"/>
          <w:b/>
          <w:color w:val="000000"/>
          <w:sz w:val="32"/>
          <w:szCs w:val="32"/>
        </w:rPr>
        <w:t>（二）政府采购支出情况</w:t>
      </w:r>
      <w:bookmarkEnd w:id="76"/>
    </w:p>
    <w:p>
      <w:pPr>
        <w:spacing w:line="600" w:lineRule="exact"/>
        <w:ind w:firstLine="640" w:firstLineChars="200"/>
        <w:rPr>
          <w:rFonts w:hint="eastAsia" w:ascii="仿宋" w:hAnsi="仿宋" w:eastAsia="仿宋_GB2312"/>
          <w:b/>
          <w:color w:val="FF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红原县新华书店</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7" w:name="_Toc15377224"/>
      <w:r>
        <w:rPr>
          <w:rFonts w:hint="eastAsia" w:ascii="仿宋" w:hAnsi="仿宋" w:eastAsia="仿宋"/>
          <w:b/>
          <w:color w:val="000000"/>
          <w:sz w:val="32"/>
          <w:szCs w:val="32"/>
        </w:rPr>
        <w:t>（三）国有资产占有使用情况</w:t>
      </w:r>
      <w:bookmarkEnd w:id="77"/>
    </w:p>
    <w:p>
      <w:pPr>
        <w:autoSpaceDE w:val="0"/>
        <w:autoSpaceDN w:val="0"/>
        <w:adjustRightInd w:val="0"/>
        <w:spacing w:line="600" w:lineRule="exact"/>
        <w:ind w:firstLine="640" w:firstLineChars="200"/>
        <w:jc w:val="left"/>
        <w:rPr>
          <w:rFonts w:hint="default"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红原县新华书店</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其他用车主要是用于</w:t>
      </w:r>
      <w:r>
        <w:rPr>
          <w:rFonts w:hint="eastAsia" w:ascii="仿宋_GB2312" w:eastAsia="仿宋_GB2312"/>
          <w:color w:val="000000" w:themeColor="text1"/>
          <w:sz w:val="32"/>
          <w:szCs w:val="32"/>
          <w:lang w:val="en-US" w:eastAsia="zh-CN"/>
        </w:rPr>
        <w:t>开展单位业务活动。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本单位严格按照《预算法》及相关财政法规和政策编制预算，部门预算执行到位。</w:t>
      </w:r>
      <w:r>
        <w:rPr>
          <w:rFonts w:hint="eastAsia" w:ascii="仿宋_GB2312" w:hAnsi="仿宋_GB2312" w:eastAsia="仿宋_GB2312" w:cs="仿宋_GB2312"/>
          <w:sz w:val="32"/>
          <w:szCs w:val="32"/>
        </w:rPr>
        <w:t>本部门未组织开展项目支出绩效评价。《</w:t>
      </w:r>
      <w:r>
        <w:rPr>
          <w:rFonts w:hint="eastAsia" w:ascii="仿宋_GB2312" w:hAnsi="仿宋_GB2312" w:eastAsia="仿宋_GB2312" w:cs="仿宋_GB2312"/>
          <w:sz w:val="32"/>
          <w:szCs w:val="32"/>
          <w:lang w:val="en-US" w:eastAsia="zh-CN"/>
        </w:rPr>
        <w:t>红原县新华书店</w:t>
      </w:r>
      <w:r>
        <w:rPr>
          <w:rFonts w:hint="eastAsia" w:ascii="仿宋_GB2312" w:hAnsi="仿宋_GB2312" w:eastAsia="仿宋_GB2312" w:cs="仿宋_GB2312"/>
          <w:sz w:val="32"/>
          <w:szCs w:val="32"/>
        </w:rPr>
        <w:t>2019年部门整体支出绩效评价报告》见附件（附件1）。</w:t>
      </w:r>
    </w:p>
    <w:p>
      <w:pPr>
        <w:widowControl/>
        <w:jc w:val="left"/>
        <w:rPr>
          <w:rFonts w:ascii="Times New Roman" w:hAnsi="Times New Roman" w:eastAsia="宋体" w:cs="Times New Roman"/>
          <w:kern w:val="2"/>
          <w:sz w:val="21"/>
          <w:szCs w:val="24"/>
          <w:lang w:val="en-US" w:eastAsia="zh-CN" w:bidi="ar-SA"/>
        </w:rPr>
      </w:pPr>
    </w:p>
    <w:p>
      <w:pPr>
        <w:numPr>
          <w:ilvl w:val="0"/>
          <w:numId w:val="5"/>
        </w:numPr>
        <w:spacing w:line="600" w:lineRule="exact"/>
        <w:ind w:firstLine="660" w:firstLineChars="150"/>
        <w:jc w:val="center"/>
        <w:outlineLvl w:val="0"/>
        <w:rPr>
          <w:rStyle w:val="25"/>
          <w:rFonts w:ascii="黑体" w:hAnsi="黑体" w:eastAsia="黑体"/>
          <w:b w:val="0"/>
        </w:rPr>
      </w:pPr>
      <w:bookmarkStart w:id="78" w:name="_Toc15396613"/>
      <w:bookmarkStart w:id="79" w:name="_Toc15377225"/>
      <w:bookmarkStart w:id="80" w:name="_Toc22393"/>
      <w:r>
        <w:rPr>
          <w:rFonts w:hint="eastAsia" w:ascii="黑体" w:hAnsi="黑体" w:eastAsia="黑体"/>
          <w:color w:val="000000"/>
          <w:sz w:val="44"/>
          <w:szCs w:val="44"/>
        </w:rPr>
        <w:t>名</w:t>
      </w:r>
      <w:r>
        <w:rPr>
          <w:rStyle w:val="25"/>
          <w:rFonts w:hint="eastAsia" w:ascii="黑体" w:hAnsi="黑体" w:eastAsia="黑体"/>
          <w:b w:val="0"/>
        </w:rPr>
        <w:t>词解释</w:t>
      </w:r>
      <w:bookmarkEnd w:id="78"/>
      <w:bookmarkEnd w:id="79"/>
      <w:bookmarkEnd w:id="80"/>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文化体育与传媒（类）</w:t>
      </w:r>
    </w:p>
    <w:p>
      <w:pPr>
        <w:ind w:firstLine="640" w:firstLineChars="200"/>
        <w:rPr>
          <w:rFonts w:hint="default" w:ascii="仿宋_GB2312" w:eastAsia="仿宋_GB2312"/>
          <w:color w:val="000000"/>
          <w:sz w:val="32"/>
          <w:szCs w:val="32"/>
          <w:lang w:val="en-US" w:eastAsia="zh-CN"/>
        </w:rPr>
      </w:pPr>
      <w:r>
        <w:rPr>
          <w:rFonts w:hint="default" w:ascii="Calibri" w:hAnsi="Calibri" w:eastAsia="仿宋_GB2312" w:cs="Calibri"/>
          <w:color w:val="000000"/>
          <w:sz w:val="32"/>
          <w:szCs w:val="32"/>
          <w:lang w:val="en-US" w:eastAsia="zh-CN"/>
        </w:rPr>
        <w:t>①</w:t>
      </w:r>
      <w:r>
        <w:rPr>
          <w:rFonts w:hint="eastAsia" w:ascii="仿宋_GB2312" w:eastAsia="仿宋_GB2312"/>
          <w:color w:val="000000"/>
          <w:sz w:val="32"/>
          <w:szCs w:val="32"/>
          <w:lang w:val="en-US" w:eastAsia="zh-CN"/>
        </w:rPr>
        <w:t>20706-新闻出版电影</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2070605-出版发行</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图书、报纸、期刊、音像、电子、网络出版物出版、印刷复制和发行等方面的支出。</w:t>
      </w:r>
    </w:p>
    <w:p>
      <w:pPr>
        <w:ind w:firstLine="640" w:firstLineChars="200"/>
      </w:pPr>
      <w:r>
        <w:rPr>
          <w:rFonts w:hint="default" w:ascii="Calibri" w:hAnsi="Calibri" w:eastAsia="仿宋_GB2312" w:cs="Calibri"/>
          <w:color w:val="000000"/>
          <w:sz w:val="32"/>
          <w:szCs w:val="32"/>
          <w:lang w:val="en-US" w:eastAsia="zh-CN"/>
        </w:rPr>
        <w:t>②</w:t>
      </w:r>
      <w:r>
        <w:rPr>
          <w:rFonts w:hint="eastAsia" w:ascii="仿宋_GB2312" w:eastAsia="仿宋_GB2312"/>
          <w:color w:val="000000"/>
          <w:sz w:val="32"/>
          <w:szCs w:val="32"/>
          <w:lang w:val="en-US" w:eastAsia="zh-CN"/>
        </w:rPr>
        <w:t>20799-其他文化体育与传媒支出</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2079999-其他文化体育与传媒支出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除上述项目以外其他用于文化体育与传媒方面的支出。</w:t>
      </w:r>
    </w:p>
    <w:p>
      <w:pPr>
        <w:numPr>
          <w:ilvl w:val="0"/>
          <w:numId w:val="6"/>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社会保障和就业（类）</w:t>
      </w:r>
    </w:p>
    <w:p>
      <w:pPr>
        <w:numPr>
          <w:ilvl w:val="0"/>
          <w:numId w:val="0"/>
        </w:numPr>
        <w:ind w:firstLine="640" w:firstLineChars="200"/>
        <w:rPr>
          <w:rFonts w:hint="eastAsia" w:ascii="仿宋_GB2312" w:eastAsia="仿宋_GB2312"/>
          <w:color w:val="000000"/>
          <w:sz w:val="32"/>
          <w:szCs w:val="32"/>
        </w:rPr>
      </w:pPr>
      <w:r>
        <w:rPr>
          <w:rFonts w:hint="default" w:ascii="Calibri" w:hAnsi="Calibri" w:eastAsia="仿宋_GB2312" w:cs="Calibri"/>
          <w:color w:val="000000"/>
          <w:sz w:val="32"/>
          <w:szCs w:val="32"/>
          <w:lang w:val="en-US" w:eastAsia="zh-CN"/>
        </w:rPr>
        <w:t>①</w:t>
      </w:r>
      <w:r>
        <w:rPr>
          <w:rFonts w:hint="eastAsia" w:ascii="仿宋_GB2312" w:eastAsia="仿宋_GB2312"/>
          <w:color w:val="000000"/>
          <w:sz w:val="32"/>
          <w:szCs w:val="32"/>
          <w:lang w:val="en-US" w:eastAsia="zh-CN"/>
        </w:rPr>
        <w:t>20805-行政事业单位离退休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2080505-机关事业单位基本养老保险缴费支出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养老保险</w:t>
      </w:r>
      <w:r>
        <w:rPr>
          <w:rFonts w:hint="eastAsia" w:ascii="仿宋_GB2312" w:eastAsia="仿宋_GB2312"/>
          <w:color w:val="000000"/>
          <w:sz w:val="32"/>
          <w:szCs w:val="32"/>
        </w:rPr>
        <w:t>。</w:t>
      </w:r>
    </w:p>
    <w:p>
      <w:pPr>
        <w:pStyle w:val="2"/>
        <w:ind w:firstLine="640" w:firstLineChars="200"/>
      </w:pPr>
      <w:r>
        <w:rPr>
          <w:rFonts w:hint="default" w:ascii="Calibri" w:hAnsi="Calibri" w:eastAsia="仿宋_GB2312" w:cs="Calibri"/>
          <w:color w:val="000000"/>
          <w:sz w:val="32"/>
          <w:szCs w:val="32"/>
          <w:lang w:val="en-US" w:eastAsia="zh-CN"/>
        </w:rPr>
        <w:t>①</w:t>
      </w:r>
      <w:r>
        <w:rPr>
          <w:rFonts w:hint="eastAsia" w:ascii="仿宋_GB2312" w:eastAsia="仿宋_GB2312"/>
          <w:color w:val="000000"/>
          <w:sz w:val="32"/>
          <w:szCs w:val="32"/>
          <w:lang w:val="en-US" w:eastAsia="zh-CN"/>
        </w:rPr>
        <w:t>20805-行政事业单位离退休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2080506-机关事业单位职业年金缴费支出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职业年金</w:t>
      </w:r>
      <w:r>
        <w:rPr>
          <w:rFonts w:hint="eastAsia" w:ascii="仿宋_GB2312" w:eastAsia="仿宋_GB2312"/>
          <w:color w:val="000000"/>
          <w:sz w:val="32"/>
          <w:szCs w:val="32"/>
        </w:rPr>
        <w:t>。</w:t>
      </w:r>
    </w:p>
    <w:p>
      <w:pPr>
        <w:numPr>
          <w:ilvl w:val="0"/>
          <w:numId w:val="6"/>
        </w:numPr>
        <w:ind w:left="0" w:leftChars="0" w:firstLine="640" w:firstLineChars="200"/>
        <w:rPr>
          <w:rFonts w:hint="eastAsia" w:ascii="仿宋_GB2312" w:eastAsia="仿宋_GB2312"/>
          <w:color w:val="000000"/>
          <w:sz w:val="32"/>
          <w:szCs w:val="32"/>
        </w:rPr>
      </w:pPr>
      <w:r>
        <w:rPr>
          <w:rFonts w:hint="eastAsia" w:ascii="仿宋_GB2312" w:eastAsia="仿宋_GB2312"/>
          <w:color w:val="000000"/>
          <w:sz w:val="32"/>
          <w:szCs w:val="32"/>
        </w:rPr>
        <w:t>医疗卫生与计划生育（类）</w:t>
      </w:r>
    </w:p>
    <w:p>
      <w:pPr>
        <w:ind w:firstLine="640" w:firstLineChars="200"/>
        <w:rPr>
          <w:rFonts w:hint="eastAsia" w:ascii="仿宋_GB2312" w:eastAsia="仿宋_GB2312"/>
          <w:color w:val="000000"/>
          <w:sz w:val="32"/>
          <w:szCs w:val="32"/>
        </w:rPr>
      </w:pPr>
      <w:r>
        <w:rPr>
          <w:rFonts w:hint="default" w:ascii="Calibri" w:hAnsi="Calibri" w:eastAsia="仿宋_GB2312" w:cs="Calibri"/>
          <w:color w:val="000000"/>
          <w:sz w:val="32"/>
          <w:szCs w:val="32"/>
          <w:lang w:val="en-US" w:eastAsia="zh-CN"/>
        </w:rPr>
        <w:t>①</w:t>
      </w:r>
      <w:r>
        <w:rPr>
          <w:rFonts w:hint="eastAsia" w:ascii="仿宋_GB2312" w:eastAsia="仿宋_GB2312"/>
          <w:color w:val="000000"/>
          <w:sz w:val="32"/>
          <w:szCs w:val="32"/>
          <w:lang w:val="en-US" w:eastAsia="zh-CN"/>
        </w:rPr>
        <w:t>21011-行政事业单位医疗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2101102-事业单位医疗</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指财政部门集中安排的事业单位基本医疗保险缴费经费</w:t>
      </w:r>
      <w:r>
        <w:rPr>
          <w:rFonts w:hint="eastAsia" w:ascii="仿宋_GB2312" w:eastAsia="仿宋_GB2312"/>
          <w:color w:val="000000"/>
          <w:sz w:val="32"/>
          <w:szCs w:val="32"/>
        </w:rPr>
        <w:t>。</w:t>
      </w:r>
    </w:p>
    <w:p>
      <w:pPr>
        <w:ind w:firstLine="640" w:firstLineChars="200"/>
      </w:pPr>
      <w:r>
        <w:rPr>
          <w:rFonts w:hint="default" w:ascii="Calibri" w:hAnsi="Calibri" w:eastAsia="仿宋_GB2312" w:cs="Calibri"/>
          <w:color w:val="000000"/>
          <w:sz w:val="32"/>
          <w:szCs w:val="32"/>
          <w:lang w:val="en-US" w:eastAsia="zh-CN"/>
        </w:rPr>
        <w:t>①</w:t>
      </w:r>
      <w:r>
        <w:rPr>
          <w:rFonts w:hint="eastAsia" w:ascii="仿宋_GB2312" w:eastAsia="仿宋_GB2312"/>
          <w:color w:val="000000"/>
          <w:sz w:val="32"/>
          <w:szCs w:val="32"/>
          <w:lang w:val="en-US" w:eastAsia="zh-CN"/>
        </w:rPr>
        <w:t>21011-行政事业单位医疗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2101199-其他行政事业单位医疗支出</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除上述项目以外其他用于医疗保障方面的支出。</w:t>
      </w:r>
    </w:p>
    <w:p>
      <w:pPr>
        <w:numPr>
          <w:ilvl w:val="0"/>
          <w:numId w:val="0"/>
        </w:num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22102-住房改革支出</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2210201-住房公积金</w:t>
      </w:r>
      <w:r>
        <w:rPr>
          <w:rFonts w:hint="eastAsia" w:ascii="仿宋_GB2312" w:eastAsia="仿宋_GB2312"/>
          <w:color w:val="000000"/>
          <w:sz w:val="32"/>
          <w:szCs w:val="32"/>
        </w:rPr>
        <w:t>（项）：指指</w:t>
      </w:r>
      <w:r>
        <w:rPr>
          <w:rFonts w:hint="eastAsia" w:ascii="仿宋_GB2312" w:eastAsia="仿宋_GB2312"/>
          <w:color w:val="000000"/>
          <w:sz w:val="32"/>
          <w:szCs w:val="32"/>
          <w:lang w:val="en-US" w:eastAsia="zh-CN"/>
        </w:rPr>
        <w:t>行政事业单位按人力资源和社会保障部、财政部规定的基本工资和津补贴一级规定比例为职工缴纳的住房公积金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Style w:val="25"/>
          <w:rFonts w:ascii="黑体" w:hAnsi="黑体" w:eastAsia="黑体"/>
          <w:b w:val="0"/>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81" w:name="_Toc15377226"/>
      <w:r>
        <w:rPr>
          <w:rFonts w:hint="eastAsia" w:ascii="仿宋_GB2312" w:eastAsia="仿宋_GB2312"/>
          <w:sz w:val="32"/>
          <w:szCs w:val="32"/>
          <w:lang w:eastAsia="zh-CN"/>
        </w:rPr>
        <w:t>。</w:t>
      </w:r>
      <w:r>
        <w:rPr>
          <w:rFonts w:ascii="宋体"/>
          <w:b/>
          <w:color w:val="000000"/>
          <w:sz w:val="44"/>
          <w:szCs w:val="44"/>
        </w:rPr>
        <w:br w:type="page"/>
      </w:r>
      <w:bookmarkStart w:id="82" w:name="_Toc15396614"/>
      <w:r>
        <w:rPr>
          <w:rFonts w:hint="eastAsia" w:ascii="宋体"/>
          <w:b/>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四部分 附件</w:t>
      </w:r>
      <w:bookmarkEnd w:id="82"/>
    </w:p>
    <w:p>
      <w:pPr>
        <w:spacing w:line="600" w:lineRule="exact"/>
        <w:jc w:val="left"/>
        <w:outlineLvl w:val="0"/>
        <w:rPr>
          <w:rFonts w:ascii="方正小标宋简体" w:hAnsi="方正小标宋简体" w:eastAsia="方正小标宋简体" w:cs="方正小标宋简体"/>
          <w:sz w:val="32"/>
          <w:szCs w:val="32"/>
        </w:rPr>
      </w:pPr>
      <w:bookmarkStart w:id="83" w:name="_Toc22277"/>
      <w:r>
        <w:rPr>
          <w:rFonts w:hint="eastAsia" w:ascii="黑体" w:hAnsi="黑体" w:eastAsia="黑体" w:cs="黑体"/>
          <w:sz w:val="32"/>
          <w:szCs w:val="32"/>
        </w:rPr>
        <w:t>附件1</w:t>
      </w:r>
      <w:bookmarkEnd w:id="83"/>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宋体" w:eastAsia="方正小标宋简体"/>
          <w:color w:val="000000"/>
          <w:kern w:val="0"/>
          <w:sz w:val="40"/>
          <w:szCs w:val="44"/>
          <w:lang w:val="en-US" w:eastAsia="zh-CN"/>
        </w:rPr>
      </w:pPr>
      <w:bookmarkStart w:id="84" w:name="_Toc26717"/>
      <w:r>
        <w:rPr>
          <w:rFonts w:hint="eastAsia" w:ascii="方正小标宋简体" w:hAnsi="宋体" w:eastAsia="方正小标宋简体"/>
          <w:color w:val="000000"/>
          <w:kern w:val="0"/>
          <w:sz w:val="40"/>
          <w:szCs w:val="44"/>
          <w:lang w:val="en-US" w:eastAsia="zh-CN"/>
        </w:rPr>
        <w:t>红原县新华书店</w:t>
      </w:r>
      <w:bookmarkEnd w:id="84"/>
    </w:p>
    <w:p>
      <w:pPr>
        <w:spacing w:line="600" w:lineRule="exact"/>
        <w:jc w:val="center"/>
        <w:outlineLvl w:val="0"/>
        <w:rPr>
          <w:rFonts w:ascii="方正小标宋简体" w:hAnsi="宋体" w:eastAsia="方正小标宋简体"/>
          <w:color w:val="000000"/>
          <w:kern w:val="0"/>
          <w:sz w:val="40"/>
          <w:szCs w:val="44"/>
          <w:lang w:val="zh-CN"/>
        </w:rPr>
      </w:pPr>
      <w:bookmarkStart w:id="85" w:name="_Toc5069"/>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85"/>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2"/>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86" w:name="_Toc1220"/>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86"/>
    </w:p>
    <w:p>
      <w:pPr>
        <w:widowControl/>
        <w:adjustRightInd w:val="0"/>
        <w:snapToGrid w:val="0"/>
        <w:spacing w:line="580" w:lineRule="exact"/>
        <w:ind w:firstLine="640" w:firstLineChars="200"/>
        <w:contextualSpacing/>
        <w:jc w:val="left"/>
        <w:outlineLvl w:val="2"/>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640" w:firstLineChars="200"/>
        <w:rPr>
          <w:lang w:val="zh-CN"/>
        </w:rPr>
      </w:pPr>
      <w:r>
        <w:rPr>
          <w:rFonts w:hint="eastAsia" w:ascii="仿宋_GB2312" w:hAnsi="宋体" w:eastAsia="仿宋_GB2312" w:cs="宋体"/>
          <w:color w:val="000000"/>
          <w:kern w:val="0"/>
          <w:sz w:val="32"/>
          <w:szCs w:val="32"/>
          <w:lang w:val="zh-CN"/>
        </w:rPr>
        <w:t>新华书店属于一级预算单位，差额拨款事业单位。</w:t>
      </w:r>
    </w:p>
    <w:p>
      <w:pPr>
        <w:widowControl/>
        <w:numPr>
          <w:ilvl w:val="0"/>
          <w:numId w:val="7"/>
        </w:numPr>
        <w:adjustRightInd w:val="0"/>
        <w:snapToGrid w:val="0"/>
        <w:spacing w:line="580" w:lineRule="exact"/>
        <w:ind w:firstLine="640" w:firstLineChars="200"/>
        <w:contextualSpacing/>
        <w:jc w:val="left"/>
        <w:outlineLvl w:val="2"/>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pacing w:line="560" w:lineRule="exact"/>
        <w:ind w:firstLine="420" w:firstLineChars="200"/>
        <w:rPr>
          <w:lang w:val="zh-CN"/>
        </w:rPr>
      </w:pPr>
      <w:r>
        <w:rPr>
          <w:rFonts w:hint="eastAsia"/>
          <w:lang w:val="zh-CN"/>
        </w:rPr>
        <w:tab/>
      </w:r>
      <w:r>
        <w:rPr>
          <w:rFonts w:hint="eastAsia" w:ascii="仿宋_GB2312" w:hAnsi="仿宋" w:eastAsia="仿宋_GB2312" w:cs="宋体"/>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widowControl/>
        <w:numPr>
          <w:ilvl w:val="0"/>
          <w:numId w:val="7"/>
        </w:numPr>
        <w:adjustRightInd w:val="0"/>
        <w:snapToGrid w:val="0"/>
        <w:spacing w:line="580" w:lineRule="exact"/>
        <w:ind w:left="0" w:leftChars="0" w:firstLine="640" w:firstLineChars="200"/>
        <w:contextualSpacing/>
        <w:jc w:val="left"/>
        <w:outlineLvl w:val="2"/>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w:t>
      </w:r>
      <w:r>
        <w:rPr>
          <w:rFonts w:hint="eastAsia" w:ascii="仿宋_GB2312" w:hAnsi="仿宋" w:eastAsia="仿宋_GB2312" w:cs="仿宋_GB2312"/>
          <w:bCs/>
          <w:sz w:val="32"/>
          <w:szCs w:val="32"/>
        </w:rPr>
        <w:t>事业编制6个，在</w:t>
      </w:r>
      <w:r>
        <w:rPr>
          <w:rFonts w:hint="eastAsia" w:ascii="仿宋_GB2312" w:hAnsi="仿宋_GB2312" w:eastAsia="仿宋_GB2312" w:cs="仿宋_GB2312"/>
          <w:bCs/>
          <w:sz w:val="32"/>
          <w:szCs w:val="32"/>
        </w:rPr>
        <w:t>职5人，事业编制5人。</w:t>
      </w:r>
    </w:p>
    <w:p>
      <w:pPr>
        <w:pStyle w:val="2"/>
        <w:numPr>
          <w:ilvl w:val="0"/>
          <w:numId w:val="0"/>
        </w:numPr>
        <w:ind w:leftChars="200"/>
        <w:rPr>
          <w:lang w:val="zh-CN"/>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7" w:name="_Toc25342"/>
      <w:r>
        <w:rPr>
          <w:rFonts w:hint="eastAsia" w:ascii="黑体" w:hAnsi="宋体" w:eastAsia="黑体" w:cs="宋体"/>
          <w:color w:val="000000"/>
          <w:kern w:val="0"/>
          <w:sz w:val="32"/>
          <w:szCs w:val="32"/>
          <w:shd w:val="clear" w:color="auto" w:fill="FFFFFF"/>
        </w:rPr>
        <w:t>二、部门财政资金收支情况</w:t>
      </w:r>
      <w:bookmarkEnd w:id="87"/>
    </w:p>
    <w:p>
      <w:pPr>
        <w:widowControl/>
        <w:adjustRightInd w:val="0"/>
        <w:snapToGrid w:val="0"/>
        <w:spacing w:line="580" w:lineRule="exact"/>
        <w:ind w:firstLine="640" w:firstLineChars="200"/>
        <w:contextualSpacing/>
        <w:jc w:val="left"/>
        <w:outlineLvl w:val="2"/>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1280" w:firstLineChars="400"/>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201</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rPr>
        <w:t>年总收入</w:t>
      </w:r>
      <w:r>
        <w:rPr>
          <w:rFonts w:hint="eastAsia" w:ascii="仿宋_GB2312" w:hAnsi="仿宋" w:eastAsia="仿宋_GB2312" w:cs="仿宋"/>
          <w:color w:val="auto"/>
          <w:sz w:val="32"/>
          <w:szCs w:val="32"/>
          <w:lang w:val="en-US" w:eastAsia="zh-CN"/>
        </w:rPr>
        <w:t>114.25万</w:t>
      </w:r>
      <w:r>
        <w:rPr>
          <w:rFonts w:hint="eastAsia" w:ascii="仿宋_GB2312" w:hAnsi="仿宋" w:eastAsia="仿宋_GB2312" w:cs="仿宋"/>
          <w:color w:val="auto"/>
          <w:sz w:val="32"/>
          <w:szCs w:val="32"/>
        </w:rPr>
        <w:t>元，本年收入</w:t>
      </w:r>
      <w:r>
        <w:rPr>
          <w:rFonts w:hint="eastAsia" w:ascii="仿宋_GB2312" w:hAnsi="仿宋" w:eastAsia="仿宋_GB2312" w:cs="仿宋"/>
          <w:color w:val="auto"/>
          <w:sz w:val="32"/>
          <w:szCs w:val="32"/>
          <w:lang w:val="en-US" w:eastAsia="zh-CN"/>
        </w:rPr>
        <w:t>61.54万</w:t>
      </w:r>
      <w:r>
        <w:rPr>
          <w:rFonts w:hint="eastAsia" w:ascii="仿宋_GB2312" w:hAnsi="仿宋" w:eastAsia="仿宋_GB2312" w:cs="仿宋"/>
          <w:color w:val="auto"/>
          <w:sz w:val="32"/>
          <w:szCs w:val="32"/>
        </w:rPr>
        <w:t>元，占总收入</w:t>
      </w:r>
      <w:r>
        <w:rPr>
          <w:rFonts w:hint="eastAsia" w:ascii="仿宋_GB2312" w:hAnsi="仿宋" w:eastAsia="仿宋_GB2312" w:cs="仿宋"/>
          <w:color w:val="auto"/>
          <w:sz w:val="32"/>
          <w:szCs w:val="32"/>
          <w:lang w:val="en-US" w:eastAsia="zh-CN"/>
        </w:rPr>
        <w:t>53.86</w:t>
      </w:r>
      <w:r>
        <w:rPr>
          <w:rFonts w:hint="eastAsia" w:ascii="仿宋_GB2312" w:hAnsi="仿宋" w:eastAsia="仿宋_GB2312" w:cs="仿宋"/>
          <w:color w:val="auto"/>
          <w:sz w:val="32"/>
          <w:szCs w:val="32"/>
        </w:rPr>
        <w:t>%，其中：其中财政拨款收入</w:t>
      </w:r>
      <w:r>
        <w:rPr>
          <w:rFonts w:hint="eastAsia" w:ascii="仿宋_GB2312" w:hAnsi="仿宋" w:eastAsia="仿宋_GB2312" w:cs="仿宋"/>
          <w:color w:val="auto"/>
          <w:sz w:val="32"/>
          <w:szCs w:val="32"/>
          <w:lang w:val="en-US" w:eastAsia="zh-CN"/>
        </w:rPr>
        <w:t>61.54万</w:t>
      </w:r>
      <w:r>
        <w:rPr>
          <w:rFonts w:hint="eastAsia" w:ascii="仿宋_GB2312" w:hAnsi="仿宋" w:eastAsia="仿宋_GB2312" w:cs="仿宋"/>
          <w:color w:val="auto"/>
          <w:sz w:val="32"/>
          <w:szCs w:val="32"/>
        </w:rPr>
        <w:t>元，占本年收入</w:t>
      </w:r>
      <w:r>
        <w:rPr>
          <w:rFonts w:hint="eastAsia" w:ascii="仿宋_GB2312" w:hAnsi="仿宋" w:eastAsia="仿宋_GB2312" w:cs="仿宋"/>
          <w:color w:val="auto"/>
          <w:sz w:val="32"/>
          <w:szCs w:val="32"/>
          <w:lang w:val="en-US" w:eastAsia="zh-CN"/>
        </w:rPr>
        <w:t>100</w:t>
      </w:r>
      <w:r>
        <w:rPr>
          <w:rFonts w:hint="eastAsia" w:ascii="仿宋_GB2312" w:hAnsi="仿宋" w:eastAsia="仿宋_GB2312" w:cs="仿宋"/>
          <w:color w:val="auto"/>
          <w:sz w:val="32"/>
          <w:szCs w:val="32"/>
        </w:rPr>
        <w:t>%；年初结转结余</w:t>
      </w:r>
      <w:r>
        <w:rPr>
          <w:rFonts w:hint="eastAsia" w:ascii="仿宋_GB2312" w:hAnsi="仿宋" w:eastAsia="仿宋_GB2312" w:cs="仿宋"/>
          <w:color w:val="auto"/>
          <w:sz w:val="32"/>
          <w:szCs w:val="32"/>
          <w:lang w:val="en-US" w:eastAsia="zh-CN"/>
        </w:rPr>
        <w:t>52.71万</w:t>
      </w:r>
      <w:r>
        <w:rPr>
          <w:rFonts w:hint="eastAsia" w:ascii="仿宋_GB2312" w:hAnsi="仿宋" w:eastAsia="仿宋_GB2312" w:cs="仿宋"/>
          <w:color w:val="auto"/>
          <w:sz w:val="32"/>
          <w:szCs w:val="32"/>
        </w:rPr>
        <w:t>元，占总收入</w:t>
      </w:r>
      <w:r>
        <w:rPr>
          <w:rFonts w:hint="eastAsia" w:ascii="仿宋_GB2312" w:hAnsi="仿宋" w:eastAsia="仿宋_GB2312" w:cs="仿宋"/>
          <w:color w:val="auto"/>
          <w:sz w:val="32"/>
          <w:szCs w:val="32"/>
          <w:lang w:val="en-US" w:eastAsia="zh-CN"/>
        </w:rPr>
        <w:t>46.14</w:t>
      </w:r>
      <w:r>
        <w:rPr>
          <w:rFonts w:hint="eastAsia" w:ascii="仿宋_GB2312" w:hAnsi="仿宋" w:eastAsia="仿宋_GB2312" w:cs="仿宋"/>
          <w:color w:val="auto"/>
          <w:sz w:val="32"/>
          <w:szCs w:val="32"/>
        </w:rPr>
        <w:t>%。</w:t>
      </w:r>
    </w:p>
    <w:p>
      <w:pPr>
        <w:widowControl/>
        <w:numPr>
          <w:ilvl w:val="0"/>
          <w:numId w:val="8"/>
        </w:numPr>
        <w:adjustRightInd w:val="0"/>
        <w:snapToGrid w:val="0"/>
        <w:spacing w:line="580" w:lineRule="exact"/>
        <w:ind w:firstLine="640" w:firstLineChars="200"/>
        <w:contextualSpacing/>
        <w:jc w:val="left"/>
        <w:outlineLvl w:val="2"/>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一般公共预算财政拨款支出</w:t>
      </w:r>
      <w:r>
        <w:rPr>
          <w:rFonts w:hint="eastAsia" w:ascii="仿宋_GB2312" w:hAnsi="仿宋_GB2312" w:eastAsia="仿宋_GB2312" w:cs="仿宋_GB2312"/>
          <w:color w:val="auto"/>
          <w:sz w:val="32"/>
          <w:szCs w:val="32"/>
          <w:lang w:val="en-US" w:eastAsia="zh-CN"/>
        </w:rPr>
        <w:t>61.54万</w:t>
      </w:r>
      <w:r>
        <w:rPr>
          <w:rFonts w:hint="eastAsia" w:ascii="仿宋_GB2312" w:hAnsi="仿宋_GB2312" w:eastAsia="仿宋_GB2312" w:cs="仿宋_GB2312"/>
          <w:color w:val="auto"/>
          <w:sz w:val="32"/>
          <w:szCs w:val="32"/>
        </w:rPr>
        <w:t>元，主要用于以下方面:社会保障和就业支出</w:t>
      </w:r>
      <w:r>
        <w:rPr>
          <w:rFonts w:hint="eastAsia" w:ascii="仿宋_GB2312" w:hAnsi="仿宋_GB2312" w:eastAsia="仿宋_GB2312" w:cs="仿宋_GB2312"/>
          <w:color w:val="auto"/>
          <w:sz w:val="32"/>
          <w:szCs w:val="32"/>
          <w:lang w:val="en-US" w:eastAsia="zh-CN"/>
        </w:rPr>
        <w:t>11.12万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18.07</w:t>
      </w:r>
      <w:r>
        <w:rPr>
          <w:rFonts w:hint="eastAsia" w:ascii="仿宋_GB2312" w:hAnsi="仿宋_GB2312" w:eastAsia="仿宋_GB2312" w:cs="仿宋_GB2312"/>
          <w:color w:val="auto"/>
          <w:sz w:val="32"/>
          <w:szCs w:val="32"/>
        </w:rPr>
        <w:t>%；完成预算100%。医疗卫生与计划生育</w:t>
      </w:r>
      <w:r>
        <w:rPr>
          <w:rFonts w:hint="eastAsia" w:ascii="仿宋_GB2312" w:hAnsi="仿宋_GB2312" w:eastAsia="仿宋_GB2312" w:cs="仿宋_GB2312"/>
          <w:color w:val="auto"/>
          <w:sz w:val="32"/>
          <w:szCs w:val="32"/>
          <w:lang w:val="en-US" w:eastAsia="zh-CN"/>
        </w:rPr>
        <w:t>5.09万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8.27</w:t>
      </w:r>
      <w:r>
        <w:rPr>
          <w:rFonts w:hint="eastAsia" w:ascii="仿宋_GB2312" w:hAnsi="仿宋_GB2312" w:eastAsia="仿宋_GB2312" w:cs="仿宋_GB2312"/>
          <w:color w:val="auto"/>
          <w:sz w:val="32"/>
          <w:szCs w:val="32"/>
        </w:rPr>
        <w:t>%；完成预算100%。</w:t>
      </w:r>
      <w:r>
        <w:rPr>
          <w:rFonts w:hint="eastAsia" w:ascii="仿宋_GB2312" w:hAnsi="仿宋_GB2312" w:eastAsia="仿宋_GB2312" w:cs="仿宋_GB2312"/>
          <w:color w:val="auto"/>
          <w:sz w:val="32"/>
          <w:szCs w:val="32"/>
          <w:lang w:val="en-US" w:eastAsia="zh-CN"/>
        </w:rPr>
        <w:t>文化体育与传媒</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38.66万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62.82</w:t>
      </w:r>
      <w:r>
        <w:rPr>
          <w:rFonts w:hint="eastAsia" w:ascii="仿宋_GB2312" w:hAnsi="仿宋_GB2312" w:eastAsia="仿宋_GB2312" w:cs="仿宋_GB2312"/>
          <w:color w:val="auto"/>
          <w:sz w:val="32"/>
          <w:szCs w:val="32"/>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6.67万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10.84</w:t>
      </w:r>
      <w:r>
        <w:rPr>
          <w:rFonts w:hint="eastAsia" w:ascii="仿宋_GB2312" w:hAnsi="仿宋_GB2312" w:eastAsia="仿宋_GB2312" w:cs="仿宋_GB2312"/>
          <w:color w:val="auto"/>
          <w:sz w:val="32"/>
          <w:szCs w:val="32"/>
        </w:rPr>
        <w:t>%；完成预算100%。</w:t>
      </w:r>
    </w:p>
    <w:p>
      <w:pPr>
        <w:pStyle w:val="2"/>
        <w:numPr>
          <w:ilvl w:val="0"/>
          <w:numId w:val="0"/>
        </w:numPr>
        <w:rPr>
          <w:lang w:val="zh-CN"/>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8" w:name="_Toc21542"/>
      <w:r>
        <w:rPr>
          <w:rFonts w:hint="eastAsia" w:ascii="黑体" w:hAnsi="宋体" w:eastAsia="黑体" w:cs="宋体"/>
          <w:color w:val="000000"/>
          <w:kern w:val="0"/>
          <w:sz w:val="32"/>
          <w:szCs w:val="32"/>
          <w:shd w:val="clear" w:color="auto" w:fill="FFFFFF"/>
        </w:rPr>
        <w:t>三、部门整体预算绩效管理情况</w:t>
      </w:r>
      <w:bookmarkEnd w:id="88"/>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60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预算编制情况</w:t>
      </w:r>
      <w:r>
        <w:rPr>
          <w:rFonts w:hint="eastAsia" w:ascii="仿宋_GB2312" w:hAnsi="仿宋_GB2312" w:eastAsia="仿宋_GB2312" w:cs="仿宋_GB2312"/>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r>
        <w:rPr>
          <w:rFonts w:hint="eastAsia" w:ascii="仿宋_GB2312" w:hAnsi="仿宋_GB2312" w:eastAsia="仿宋_GB2312" w:cs="仿宋_GB2312"/>
          <w:b/>
          <w:bCs/>
          <w:sz w:val="32"/>
          <w:szCs w:val="32"/>
          <w:lang w:val="en-US" w:eastAsia="zh-CN"/>
        </w:rPr>
        <w:t>执行管理情况</w:t>
      </w:r>
      <w:r>
        <w:rPr>
          <w:rFonts w:hint="eastAsia" w:ascii="仿宋_GB2312" w:hAnsi="仿宋_GB2312" w:eastAsia="仿宋_GB2312" w:cs="仿宋_GB2312"/>
          <w:sz w:val="32"/>
          <w:szCs w:val="32"/>
        </w:rPr>
        <w:t>部门预算执行到位，严格按照预算管理进行支付并做到节能降耗，“三公”经费严格按照年初预算执行。201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年度“三公”经费财政拨款支出决算中，因公出国（境）费支出决算0元，占0%；公务用车购置及运行维护费支出决算</w:t>
      </w:r>
      <w:r>
        <w:rPr>
          <w:rFonts w:hint="eastAsia" w:ascii="仿宋_GB2312" w:hAnsi="仿宋_GB2312" w:eastAsia="仿宋_GB2312" w:cs="仿宋_GB2312"/>
          <w:sz w:val="32"/>
          <w:szCs w:val="32"/>
          <w:lang w:val="en-US" w:eastAsia="zh-CN"/>
        </w:rPr>
        <w:t>0.2万</w:t>
      </w:r>
      <w:r>
        <w:rPr>
          <w:rFonts w:hint="eastAsia" w:ascii="仿宋_GB2312" w:hAnsi="仿宋_GB2312" w:eastAsia="仿宋_GB2312" w:cs="仿宋_GB2312"/>
          <w:sz w:val="32"/>
          <w:szCs w:val="32"/>
        </w:rPr>
        <w:t>元，占100%；公务接待费支出决算0元，占0%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综合管理情况</w:t>
      </w: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新政府会计制度》的规定设置的会计科目，建立了科学有效的会计核算方式，均真实、合法、准确的反映各项收支活动；建立健全了内控制度，加强和完善了经费收支和财务管理，积极配合各级财政部门开展相关经费的考评工作；本单位在资金使用过程中，合理使用各项资金，严格执行各项经费开支范围和标准。对项目资金，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60" w:lineRule="exact"/>
        <w:ind w:firstLine="640" w:firstLineChars="200"/>
        <w:rPr>
          <w:rFonts w:ascii="仿宋_GB2312" w:hAnsi="宋体" w:eastAsia="仿宋_GB2312" w:cs="宋体"/>
          <w:color w:val="000000"/>
          <w:kern w:val="0"/>
          <w:sz w:val="32"/>
          <w:lang w:val="zh-CN"/>
        </w:rPr>
      </w:pPr>
      <w:r>
        <w:rPr>
          <w:rFonts w:hint="eastAsia" w:ascii="仿宋" w:hAnsi="仿宋" w:eastAsia="仿宋"/>
          <w:sz w:val="32"/>
          <w:szCs w:val="32"/>
        </w:rPr>
        <w:t>我店坚持依法决策，凡是有重大事项决策，重大安排和大额度资金运作事项，必须通过我店职工共同商量并上报文体广新局领导并征求领导的同意。我店坚持民主决策，按照“集体领导、民主集中、个别酝酿、会议决定”的要求进行决策，保证权力正确行使。</w:t>
      </w:r>
      <w:r>
        <w:rPr>
          <w:rFonts w:hint="eastAsia" w:ascii="仿宋_GB2312" w:hAnsi="宋体" w:eastAsia="仿宋_GB2312" w:cs="宋体"/>
          <w:kern w:val="0"/>
          <w:sz w:val="32"/>
          <w:lang w:val="zh-CN"/>
        </w:rPr>
        <w:t>维护少数</w:t>
      </w:r>
      <w:r>
        <w:rPr>
          <w:rFonts w:hint="default" w:ascii="仿宋_GB2312" w:hAnsi="宋体" w:eastAsia="仿宋_GB2312" w:cs="宋体"/>
          <w:kern w:val="0"/>
          <w:sz w:val="32"/>
        </w:rPr>
        <w:t>民族</w:t>
      </w:r>
      <w:r>
        <w:rPr>
          <w:rFonts w:hint="eastAsia" w:ascii="仿宋_GB2312" w:hAnsi="宋体" w:eastAsia="仿宋_GB2312" w:cs="宋体"/>
          <w:kern w:val="0"/>
          <w:sz w:val="32"/>
          <w:lang w:val="zh-CN"/>
        </w:rPr>
        <w:t>地区的社会稳定，提高人民生活水</w:t>
      </w:r>
      <w:r>
        <w:rPr>
          <w:rFonts w:hint="eastAsia" w:ascii="仿宋_GB2312" w:hAnsi="宋体" w:eastAsia="仿宋_GB2312" w:cs="宋体"/>
          <w:color w:val="000000"/>
          <w:kern w:val="0"/>
          <w:sz w:val="32"/>
          <w:lang w:val="zh-CN"/>
        </w:rPr>
        <w:t>平，改善人民生活质量等方面有着极其重要的意义，有力促进了社会和谐发展，为全县及乡镇的经济发展作出了应有的贡献。部门整体支</w:t>
      </w:r>
      <w:bookmarkStart w:id="118" w:name="_GoBack"/>
      <w:bookmarkEnd w:id="118"/>
      <w:r>
        <w:rPr>
          <w:rFonts w:hint="eastAsia" w:ascii="仿宋_GB2312" w:hAnsi="宋体" w:eastAsia="仿宋_GB2312" w:cs="宋体"/>
          <w:color w:val="000000"/>
          <w:kern w:val="0"/>
          <w:sz w:val="32"/>
          <w:lang w:val="zh-CN"/>
        </w:rPr>
        <w:t xml:space="preserve">出绩效自评得良好。 </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9" w:name="_Toc16284"/>
      <w:r>
        <w:rPr>
          <w:rFonts w:hint="eastAsia" w:ascii="黑体" w:hAnsi="宋体" w:eastAsia="黑体" w:cs="宋体"/>
          <w:color w:val="000000"/>
          <w:kern w:val="0"/>
          <w:sz w:val="32"/>
          <w:szCs w:val="32"/>
          <w:shd w:val="clear" w:color="auto" w:fill="FFFFFF"/>
        </w:rPr>
        <w:t>四、评价结论及建议</w:t>
      </w:r>
      <w:bookmarkEnd w:id="89"/>
    </w:p>
    <w:p>
      <w:pPr>
        <w:spacing w:line="60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按照预算绩效管理要求，本单位对201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年整体支出开展绩效自评，自评得分97分，部门整体支出绩效为“好”。</w:t>
      </w:r>
    </w:p>
    <w:p>
      <w:pPr>
        <w:widowControl/>
        <w:numPr>
          <w:ilvl w:val="0"/>
          <w:numId w:val="8"/>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2"/>
        <w:numPr>
          <w:ilvl w:val="0"/>
          <w:numId w:val="0"/>
        </w:numPr>
        <w:ind w:leftChars="200" w:firstLine="320" w:firstLineChars="100"/>
        <w:rPr>
          <w:lang w:val="zh-CN"/>
        </w:rPr>
      </w:pPr>
      <w:r>
        <w:rPr>
          <w:rFonts w:hint="eastAsia" w:ascii="仿宋_GB2312" w:hAnsi="仿宋_GB2312" w:eastAsia="仿宋_GB2312" w:cs="仿宋_GB2312"/>
          <w:sz w:val="32"/>
          <w:szCs w:val="32"/>
          <w:lang w:val="en-US" w:eastAsia="zh-CN"/>
        </w:rPr>
        <w:t>内控制度需进一步完善</w:t>
      </w:r>
      <w:r>
        <w:rPr>
          <w:rFonts w:hint="eastAsia" w:ascii="仿宋_GB2312" w:hAnsi="仿宋_GB2312" w:eastAsia="仿宋_GB2312" w:cs="仿宋_GB2312"/>
          <w:sz w:val="32"/>
          <w:szCs w:val="32"/>
        </w:rPr>
        <w:t>。</w:t>
      </w:r>
    </w:p>
    <w:p>
      <w:pPr>
        <w:widowControl/>
        <w:numPr>
          <w:ilvl w:val="0"/>
          <w:numId w:val="8"/>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进一步完善内部管理制度，提升管理效能，更好地履行生态文明建设职能。</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9"/>
        <w:rPr>
          <w:rStyle w:val="25"/>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90" w:name="_Toc22815"/>
      <w:bookmarkStart w:id="91"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hint="eastAsia"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81"/>
      <w:bookmarkEnd w:id="90"/>
      <w:bookmarkEnd w:id="91"/>
    </w:p>
    <w:p>
      <w:pPr>
        <w:pStyle w:val="2"/>
      </w:pPr>
    </w:p>
    <w:p>
      <w:pPr>
        <w:bidi w:val="0"/>
      </w:pPr>
    </w:p>
    <w:p>
      <w:pPr>
        <w:bidi w:val="0"/>
      </w:pPr>
    </w:p>
    <w:p>
      <w:pPr>
        <w:bidi w:val="0"/>
      </w:pPr>
    </w:p>
    <w:p>
      <w:pPr>
        <w:bidi w:val="0"/>
      </w:pPr>
    </w:p>
    <w:p>
      <w:pPr>
        <w:pStyle w:val="4"/>
        <w:spacing w:before="0" w:after="0" w:line="240" w:lineRule="auto"/>
        <w:rPr>
          <w:rFonts w:ascii="仿宋" w:hAnsi="仿宋" w:eastAsia="仿宋"/>
          <w:color w:val="000000"/>
        </w:rPr>
      </w:pPr>
      <w:bookmarkStart w:id="92" w:name="_Toc15396619"/>
      <w:bookmarkStart w:id="93" w:name="_Toc28375"/>
      <w:r>
        <w:rPr>
          <w:rFonts w:hint="eastAsia" w:ascii="仿宋" w:hAnsi="仿宋" w:eastAsia="仿宋"/>
          <w:b w:val="0"/>
          <w:color w:val="000000"/>
        </w:rPr>
        <w:t>一、收</w:t>
      </w:r>
      <w:r>
        <w:rPr>
          <w:rStyle w:val="26"/>
          <w:rFonts w:hint="eastAsia" w:ascii="仿宋" w:hAnsi="仿宋" w:eastAsia="仿宋"/>
          <w:b w:val="0"/>
          <w:bCs w:val="0"/>
        </w:rPr>
        <w:t>入支出决算总表</w:t>
      </w:r>
      <w:bookmarkEnd w:id="92"/>
      <w:bookmarkEnd w:id="93"/>
    </w:p>
    <w:p>
      <w:pPr>
        <w:pStyle w:val="4"/>
        <w:rPr>
          <w:rFonts w:ascii="仿宋" w:hAnsi="仿宋" w:eastAsia="仿宋"/>
          <w:color w:val="000000"/>
        </w:rPr>
      </w:pPr>
      <w:bookmarkStart w:id="94" w:name="_Toc25881"/>
      <w:bookmarkStart w:id="95"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94"/>
      <w:bookmarkEnd w:id="95"/>
    </w:p>
    <w:p>
      <w:pPr>
        <w:pStyle w:val="4"/>
        <w:rPr>
          <w:rFonts w:ascii="仿宋" w:hAnsi="仿宋" w:eastAsia="仿宋"/>
          <w:color w:val="000000"/>
        </w:rPr>
      </w:pPr>
      <w:bookmarkStart w:id="96" w:name="_Toc15396621"/>
      <w:bookmarkStart w:id="97" w:name="_Toc387"/>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96"/>
      <w:bookmarkEnd w:id="97"/>
    </w:p>
    <w:p>
      <w:pPr>
        <w:pStyle w:val="4"/>
        <w:rPr>
          <w:rFonts w:ascii="仿宋" w:hAnsi="仿宋" w:eastAsia="仿宋"/>
          <w:b w:val="0"/>
          <w:color w:val="000000"/>
        </w:rPr>
      </w:pPr>
      <w:bookmarkStart w:id="98" w:name="_Toc32355"/>
      <w:bookmarkStart w:id="99"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98"/>
      <w:bookmarkEnd w:id="99"/>
    </w:p>
    <w:p>
      <w:pPr>
        <w:pStyle w:val="4"/>
        <w:rPr>
          <w:rStyle w:val="26"/>
          <w:rFonts w:ascii="仿宋" w:hAnsi="仿宋" w:eastAsia="仿宋"/>
          <w:b w:val="0"/>
          <w:bCs w:val="0"/>
        </w:rPr>
      </w:pPr>
      <w:bookmarkStart w:id="100" w:name="_Toc15396623"/>
      <w:bookmarkStart w:id="101" w:name="_Toc25174"/>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00"/>
      <w:bookmarkEnd w:id="101"/>
      <w:bookmarkStart w:id="102" w:name="_Toc15396624"/>
    </w:p>
    <w:p>
      <w:pPr>
        <w:pStyle w:val="4"/>
        <w:rPr>
          <w:rFonts w:ascii="仿宋" w:hAnsi="仿宋" w:eastAsia="仿宋"/>
          <w:color w:val="000000"/>
        </w:rPr>
      </w:pPr>
      <w:bookmarkStart w:id="103" w:name="_Toc29688"/>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02"/>
      <w:bookmarkEnd w:id="103"/>
    </w:p>
    <w:p>
      <w:pPr>
        <w:pStyle w:val="4"/>
        <w:rPr>
          <w:rFonts w:ascii="仿宋" w:hAnsi="仿宋" w:eastAsia="仿宋"/>
          <w:color w:val="000000"/>
        </w:rPr>
      </w:pPr>
      <w:bookmarkStart w:id="104" w:name="_Toc24336"/>
      <w:bookmarkStart w:id="105"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04"/>
      <w:bookmarkEnd w:id="105"/>
    </w:p>
    <w:p>
      <w:pPr>
        <w:pStyle w:val="4"/>
        <w:rPr>
          <w:rFonts w:ascii="仿宋" w:hAnsi="仿宋" w:eastAsia="仿宋"/>
          <w:color w:val="000000"/>
        </w:rPr>
      </w:pPr>
      <w:bookmarkStart w:id="106" w:name="_Toc29824"/>
      <w:bookmarkStart w:id="10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06"/>
      <w:bookmarkEnd w:id="107"/>
    </w:p>
    <w:p>
      <w:pPr>
        <w:pStyle w:val="4"/>
        <w:rPr>
          <w:rFonts w:ascii="仿宋" w:hAnsi="仿宋" w:eastAsia="仿宋"/>
          <w:color w:val="000000"/>
        </w:rPr>
      </w:pPr>
      <w:bookmarkStart w:id="108" w:name="_Toc19453"/>
      <w:bookmarkStart w:id="109"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08"/>
      <w:bookmarkEnd w:id="109"/>
    </w:p>
    <w:p>
      <w:pPr>
        <w:pStyle w:val="4"/>
        <w:rPr>
          <w:rFonts w:ascii="仿宋" w:hAnsi="仿宋" w:eastAsia="仿宋"/>
          <w:color w:val="000000"/>
        </w:rPr>
      </w:pPr>
      <w:bookmarkStart w:id="110" w:name="_Toc27214"/>
      <w:bookmarkStart w:id="111"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10"/>
      <w:bookmarkEnd w:id="111"/>
    </w:p>
    <w:p>
      <w:pPr>
        <w:pStyle w:val="4"/>
        <w:rPr>
          <w:rFonts w:ascii="仿宋" w:hAnsi="仿宋" w:eastAsia="仿宋"/>
          <w:color w:val="000000"/>
        </w:rPr>
      </w:pPr>
      <w:bookmarkStart w:id="112" w:name="_Toc15396629"/>
      <w:bookmarkStart w:id="113" w:name="_Toc7282"/>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12"/>
      <w:bookmarkEnd w:id="113"/>
    </w:p>
    <w:p>
      <w:pPr>
        <w:pStyle w:val="4"/>
        <w:rPr>
          <w:rFonts w:ascii="仿宋" w:hAnsi="仿宋" w:eastAsia="仿宋"/>
          <w:color w:val="000000"/>
        </w:rPr>
      </w:pPr>
      <w:bookmarkStart w:id="114" w:name="_Toc11374"/>
      <w:bookmarkStart w:id="115"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14"/>
      <w:bookmarkEnd w:id="115"/>
    </w:p>
    <w:p>
      <w:pPr>
        <w:pStyle w:val="4"/>
        <w:rPr>
          <w:rFonts w:ascii="仿宋" w:hAnsi="仿宋" w:eastAsia="仿宋"/>
          <w:color w:val="000000" w:themeColor="text1"/>
        </w:rPr>
      </w:pPr>
      <w:bookmarkStart w:id="116" w:name="_Toc15396631"/>
      <w:bookmarkStart w:id="117" w:name="_Toc24622"/>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16"/>
      <w:bookmarkEnd w:id="11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1B1C9"/>
    <w:multiLevelType w:val="singleLevel"/>
    <w:tmpl w:val="A5F1B1C9"/>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0F39A53"/>
    <w:multiLevelType w:val="singleLevel"/>
    <w:tmpl w:val="D0F39A53"/>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9D23616"/>
    <w:multiLevelType w:val="singleLevel"/>
    <w:tmpl w:val="09D23616"/>
    <w:lvl w:ilvl="0" w:tentative="0">
      <w:start w:val="2"/>
      <w:numFmt w:val="chineseCounting"/>
      <w:suff w:val="nothing"/>
      <w:lvlText w:val="（%1）"/>
      <w:lvlJc w:val="left"/>
      <w:rPr>
        <w:rFonts w:hint="eastAsia"/>
      </w:rPr>
    </w:lvl>
  </w:abstractNum>
  <w:abstractNum w:abstractNumId="5">
    <w:nsid w:val="0B35AEF2"/>
    <w:multiLevelType w:val="singleLevel"/>
    <w:tmpl w:val="0B35AEF2"/>
    <w:lvl w:ilvl="0" w:tentative="0">
      <w:start w:val="2"/>
      <w:numFmt w:val="chineseCounting"/>
      <w:suff w:val="nothing"/>
      <w:lvlText w:val="（%1）"/>
      <w:lvlJc w:val="left"/>
      <w:rPr>
        <w:rFonts w:hint="eastAsia"/>
      </w:rPr>
    </w:lvl>
  </w:abstractNum>
  <w:abstractNum w:abstractNumId="6">
    <w:nsid w:val="11F5FFEE"/>
    <w:multiLevelType w:val="singleLevel"/>
    <w:tmpl w:val="11F5FFEE"/>
    <w:lvl w:ilvl="0" w:tentative="0">
      <w:start w:val="10"/>
      <w:numFmt w:val="decimal"/>
      <w:lvlText w:val="%1."/>
      <w:lvlJc w:val="left"/>
      <w:pPr>
        <w:tabs>
          <w:tab w:val="left" w:pos="312"/>
        </w:tabs>
      </w:p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7"/>
  </w:num>
  <w:num w:numId="3">
    <w:abstractNumId w:val="0"/>
  </w:num>
  <w:num w:numId="4">
    <w:abstractNumId w:val="1"/>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E43A8"/>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3509C"/>
    <w:rsid w:val="017C647A"/>
    <w:rsid w:val="018E4930"/>
    <w:rsid w:val="033C4FF9"/>
    <w:rsid w:val="04AF10F9"/>
    <w:rsid w:val="058A2EA3"/>
    <w:rsid w:val="05C574ED"/>
    <w:rsid w:val="077A641A"/>
    <w:rsid w:val="0A9B572C"/>
    <w:rsid w:val="0B9B15DA"/>
    <w:rsid w:val="0C823740"/>
    <w:rsid w:val="0DE315F9"/>
    <w:rsid w:val="0F5D4DDB"/>
    <w:rsid w:val="0FF470B0"/>
    <w:rsid w:val="102728A4"/>
    <w:rsid w:val="10396D22"/>
    <w:rsid w:val="10C055FF"/>
    <w:rsid w:val="139031CC"/>
    <w:rsid w:val="13BB31A4"/>
    <w:rsid w:val="15323699"/>
    <w:rsid w:val="16BB723D"/>
    <w:rsid w:val="17B6048F"/>
    <w:rsid w:val="18FC4497"/>
    <w:rsid w:val="196F1B6D"/>
    <w:rsid w:val="19BA7A70"/>
    <w:rsid w:val="1A491B50"/>
    <w:rsid w:val="1AEA1CD6"/>
    <w:rsid w:val="1B984980"/>
    <w:rsid w:val="1BAB1D1D"/>
    <w:rsid w:val="1BF607CF"/>
    <w:rsid w:val="200C6997"/>
    <w:rsid w:val="2092299C"/>
    <w:rsid w:val="20D440BC"/>
    <w:rsid w:val="21C13374"/>
    <w:rsid w:val="2231658E"/>
    <w:rsid w:val="22F026A5"/>
    <w:rsid w:val="23D46809"/>
    <w:rsid w:val="240371BF"/>
    <w:rsid w:val="27FE01FA"/>
    <w:rsid w:val="284D3163"/>
    <w:rsid w:val="29FD04D3"/>
    <w:rsid w:val="2A045D65"/>
    <w:rsid w:val="2AD73283"/>
    <w:rsid w:val="2C203138"/>
    <w:rsid w:val="2EF474B4"/>
    <w:rsid w:val="30372E2B"/>
    <w:rsid w:val="304E6416"/>
    <w:rsid w:val="30624F66"/>
    <w:rsid w:val="319F7F4E"/>
    <w:rsid w:val="343F39F4"/>
    <w:rsid w:val="34ED0B10"/>
    <w:rsid w:val="35754904"/>
    <w:rsid w:val="35775999"/>
    <w:rsid w:val="35AE001E"/>
    <w:rsid w:val="36C84370"/>
    <w:rsid w:val="36C95810"/>
    <w:rsid w:val="37A30E83"/>
    <w:rsid w:val="37FF3179"/>
    <w:rsid w:val="38400791"/>
    <w:rsid w:val="39E1576F"/>
    <w:rsid w:val="3A886733"/>
    <w:rsid w:val="3A9F4564"/>
    <w:rsid w:val="3AD35840"/>
    <w:rsid w:val="3CB3529C"/>
    <w:rsid w:val="400B120C"/>
    <w:rsid w:val="422013E9"/>
    <w:rsid w:val="43273D0B"/>
    <w:rsid w:val="449235E4"/>
    <w:rsid w:val="47D32C2B"/>
    <w:rsid w:val="48396BB6"/>
    <w:rsid w:val="486B62C5"/>
    <w:rsid w:val="487C7BBA"/>
    <w:rsid w:val="499A51D2"/>
    <w:rsid w:val="4B1931D8"/>
    <w:rsid w:val="4B3805DE"/>
    <w:rsid w:val="4BC51342"/>
    <w:rsid w:val="4C1C62FD"/>
    <w:rsid w:val="4D1B6A3D"/>
    <w:rsid w:val="4DC51C93"/>
    <w:rsid w:val="4ECE2238"/>
    <w:rsid w:val="4F4D4244"/>
    <w:rsid w:val="50925F55"/>
    <w:rsid w:val="50B15918"/>
    <w:rsid w:val="50CF19BF"/>
    <w:rsid w:val="510746AE"/>
    <w:rsid w:val="516401F2"/>
    <w:rsid w:val="51F01BE9"/>
    <w:rsid w:val="52104203"/>
    <w:rsid w:val="541B6DBA"/>
    <w:rsid w:val="54B61E8A"/>
    <w:rsid w:val="554D55BF"/>
    <w:rsid w:val="561A3317"/>
    <w:rsid w:val="56C84CF7"/>
    <w:rsid w:val="578D10D9"/>
    <w:rsid w:val="57A70DE1"/>
    <w:rsid w:val="57F73DA9"/>
    <w:rsid w:val="58457B38"/>
    <w:rsid w:val="58650E57"/>
    <w:rsid w:val="59002A9B"/>
    <w:rsid w:val="5B410E64"/>
    <w:rsid w:val="5B481D69"/>
    <w:rsid w:val="5DCE3377"/>
    <w:rsid w:val="5EDF52CE"/>
    <w:rsid w:val="60931E80"/>
    <w:rsid w:val="618E2F67"/>
    <w:rsid w:val="61A2176E"/>
    <w:rsid w:val="61EA4953"/>
    <w:rsid w:val="653D1E9D"/>
    <w:rsid w:val="686C53EB"/>
    <w:rsid w:val="68EA7DB4"/>
    <w:rsid w:val="69390DCC"/>
    <w:rsid w:val="6941332A"/>
    <w:rsid w:val="69D142FC"/>
    <w:rsid w:val="6ACB0D91"/>
    <w:rsid w:val="6EC721CC"/>
    <w:rsid w:val="6F442D2B"/>
    <w:rsid w:val="6FB7685D"/>
    <w:rsid w:val="70304466"/>
    <w:rsid w:val="703D024B"/>
    <w:rsid w:val="707759AF"/>
    <w:rsid w:val="72734D90"/>
    <w:rsid w:val="73E00ECF"/>
    <w:rsid w:val="786461FE"/>
    <w:rsid w:val="7909657E"/>
    <w:rsid w:val="79E01D35"/>
    <w:rsid w:val="7A1802BD"/>
    <w:rsid w:val="7B694947"/>
    <w:rsid w:val="7B9A3C24"/>
    <w:rsid w:val="7C226C0A"/>
    <w:rsid w:val="7C2379A0"/>
    <w:rsid w:val="7C250A01"/>
    <w:rsid w:val="7C33104C"/>
    <w:rsid w:val="7D8E1454"/>
    <w:rsid w:val="7F3E7ADB"/>
    <w:rsid w:val="7F860CD7"/>
    <w:rsid w:val="EF171BE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WPSOffice手动目录 2"/>
    <w:qFormat/>
    <w:uiPriority w:val="0"/>
    <w:pPr>
      <w:ind w:leftChars="200"/>
    </w:pPr>
    <w:rPr>
      <w:rFonts w:asciiTheme="minorHAnsi" w:hAnsiTheme="minorHAnsi" w:eastAsiaTheme="minorEastAsia" w:cstheme="minorBidi"/>
      <w:sz w:val="20"/>
      <w:szCs w:val="20"/>
    </w:rPr>
  </w:style>
  <w:style w:type="paragraph" w:customStyle="1" w:styleId="33">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31497754344855"/>
          <c:y val="0.0788381742738589"/>
          <c:w val="0.897168521773091"/>
          <c:h val="0.653222683264177"/>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61.75</c:v>
                </c:pt>
                <c:pt idx="1">
                  <c:v>151.84</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Sheet1!$A$2:$A$5</c:f>
              <c:strCache>
                <c:ptCount val="4"/>
                <c:pt idx="0">
                  <c:v>收入</c:v>
                </c:pt>
                <c:pt idx="1">
                  <c:v>支出</c:v>
                </c:pt>
              </c:strCache>
            </c:strRef>
          </c:cat>
          <c:val>
            <c:numRef>
              <c:f>Sheet1!$C$2:$C$5</c:f>
              <c:numCache>
                <c:formatCode>General</c:formatCode>
                <c:ptCount val="4"/>
                <c:pt idx="0">
                  <c:v>61.54</c:v>
                </c:pt>
                <c:pt idx="1">
                  <c:v>114.25</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6"/>
        <c:axId val="879578327"/>
        <c:axId val="373698846"/>
      </c:barChart>
      <c:catAx>
        <c:axId val="8795783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3698846"/>
        <c:crosses val="autoZero"/>
        <c:auto val="1"/>
        <c:lblAlgn val="ctr"/>
        <c:lblOffset val="100"/>
        <c:noMultiLvlLbl val="0"/>
      </c:catAx>
      <c:valAx>
        <c:axId val="3736988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95783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extLst>
                <c:ext xmlns:c15="http://schemas.microsoft.com/office/drawing/2012/chart" uri="{02D57815-91ED-43cb-92C2-25804820EDAC}">
                  <c15:fullRef>
                    <c15:sqref>Sheet1!$A$2:$A$5</c15:sqref>
                  </c15:fullRef>
                </c:ext>
              </c:extLst>
              <c:f>Sheet1!$A$4</c:f>
              <c:strCache>
                <c:ptCount val="1"/>
                <c:pt idx="0">
                  <c:v>一般公共预算财政拨款收入</c:v>
                </c:pt>
              </c:strCache>
            </c:strRef>
          </c:cat>
          <c:val>
            <c:numRef>
              <c:extLst>
                <c:ext xmlns:c15="http://schemas.microsoft.com/office/drawing/2012/chart" uri="{02D57815-91ED-43cb-92C2-25804820EDAC}">
                  <c15:fullRef>
                    <c15:sqref>Sheet1!$B$2:$B$5</c15:sqref>
                  </c15:fullRef>
                </c:ext>
              </c:extLst>
              <c:f>Sheet1!$B$4</c:f>
              <c:numCache>
                <c:formatCode>General</c:formatCode>
                <c:ptCount val="1"/>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2943071965628"/>
          <c:y val="0.0102075535896563"/>
          <c:w val="0.43952738990333"/>
          <c:h val="0.696155154814563"/>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53.86</c:v>
                </c:pt>
                <c:pt idx="1">
                  <c:v>46.14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75490859851"/>
          <c:y val="0.0447376890891535"/>
          <c:w val="0.910925"/>
          <c:h val="0.717233333333333"/>
        </c:manualLayout>
      </c:layout>
      <c:barChart>
        <c:barDir val="col"/>
        <c:grouping val="clustered"/>
        <c:varyColors val="0"/>
        <c:ser>
          <c:idx val="0"/>
          <c:order val="0"/>
          <c:tx>
            <c:strRef>
              <c:f>Sheet1!$B$1</c:f>
              <c:strCache>
                <c:ptCount val="1"/>
                <c:pt idx="0">
                  <c:v>2018年</c:v>
                </c:pt>
              </c:strCache>
            </c:strRef>
          </c:tx>
          <c:spPr>
            <a:solidFill>
              <a:schemeClr val="accent2"/>
            </a:solidFill>
            <a:ln>
              <a:noFill/>
            </a:ln>
            <a:effectLst/>
          </c:spPr>
          <c:invertIfNegative val="0"/>
          <c:dLbls>
            <c:delete val="1"/>
          </c:dLbls>
          <c:cat>
            <c:strRef>
              <c:f>Sheet1!$A$2:$A$5</c:f>
              <c:strCache>
                <c:ptCount val="4"/>
                <c:pt idx="1">
                  <c:v>财政拨款收入</c:v>
                </c:pt>
              </c:strCache>
            </c:strRef>
          </c:cat>
          <c:val>
            <c:numRef>
              <c:f>Sheet1!$B$2:$B$5</c:f>
              <c:numCache>
                <c:formatCode>General</c:formatCode>
                <c:ptCount val="4"/>
                <c:pt idx="0">
                  <c:v>61.75</c:v>
                </c:pt>
                <c:pt idx="1">
                  <c:v>151.84</c:v>
                </c:pt>
              </c:numCache>
            </c:numRef>
          </c:val>
        </c:ser>
        <c:ser>
          <c:idx val="1"/>
          <c:order val="1"/>
          <c:tx>
            <c:strRef>
              <c:f>Sheet1!$C$1</c:f>
              <c:strCache>
                <c:ptCount val="1"/>
                <c:pt idx="0">
                  <c:v>2019年</c:v>
                </c:pt>
              </c:strCache>
            </c:strRef>
          </c:tx>
          <c:spPr>
            <a:solidFill>
              <a:schemeClr val="accent4"/>
            </a:solidFill>
            <a:ln>
              <a:noFill/>
            </a:ln>
            <a:effectLst/>
          </c:spPr>
          <c:invertIfNegative val="0"/>
          <c:dLbls>
            <c:delete val="1"/>
          </c:dLbls>
          <c:cat>
            <c:strRef>
              <c:f>Sheet1!$A$2:$A$5</c:f>
              <c:strCache>
                <c:ptCount val="4"/>
                <c:pt idx="1">
                  <c:v>财政拨款收入</c:v>
                </c:pt>
              </c:strCache>
            </c:strRef>
          </c:cat>
          <c:val>
            <c:numRef>
              <c:f>Sheet1!$C$2:$C$5</c:f>
              <c:numCache>
                <c:formatCode>General</c:formatCode>
                <c:ptCount val="4"/>
                <c:pt idx="0">
                  <c:v>61.54</c:v>
                </c:pt>
                <c:pt idx="1">
                  <c:v>114.25</c:v>
                </c:pt>
              </c:numCache>
            </c:numRef>
          </c:val>
        </c:ser>
        <c:dLbls>
          <c:showLegendKey val="0"/>
          <c:showVal val="0"/>
          <c:showCatName val="0"/>
          <c:showSerName val="0"/>
          <c:showPercent val="0"/>
          <c:showBubbleSize val="0"/>
        </c:dLbls>
        <c:gapWidth val="143"/>
        <c:overlap val="2"/>
        <c:axId val="832590700"/>
        <c:axId val="537069229"/>
      </c:barChart>
      <c:catAx>
        <c:axId val="8325907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069229"/>
        <c:crosses val="autoZero"/>
        <c:auto val="1"/>
        <c:lblAlgn val="ctr"/>
        <c:lblOffset val="100"/>
        <c:noMultiLvlLbl val="0"/>
      </c:catAx>
      <c:valAx>
        <c:axId val="5370692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590700"/>
        <c:crosses val="autoZero"/>
        <c:crossBetween val="between"/>
      </c:valAx>
      <c:spPr>
        <a:noFill/>
        <a:ln>
          <a:noFill/>
        </a:ln>
        <a:effectLst/>
      </c:spPr>
    </c:plotArea>
    <c:legend>
      <c:legendPos val="b"/>
      <c:layout>
        <c:manualLayout>
          <c:xMode val="edge"/>
          <c:yMode val="edge"/>
          <c:x val="0.569255087927287"/>
          <c:y val="0.9000275406224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8092382855874"/>
          <c:y val="0.0264761904761905"/>
          <c:w val="0.943859649122807"/>
          <c:h val="0.870361904761905"/>
        </c:manualLayout>
      </c:layout>
      <c:barChart>
        <c:barDir val="col"/>
        <c:grouping val="clustered"/>
        <c:varyColors val="0"/>
        <c:ser>
          <c:idx val="0"/>
          <c:order val="0"/>
          <c:tx>
            <c:strRef>
              <c:f>Sheet1!$B$1</c:f>
              <c:strCache>
                <c:ptCount val="1"/>
                <c:pt idx="0">
                  <c:v>2018年</c:v>
                </c:pt>
              </c:strCache>
            </c:strRef>
          </c:tx>
          <c:spPr>
            <a:solidFill>
              <a:schemeClr val="accent2"/>
            </a:solidFill>
            <a:ln>
              <a:noFill/>
            </a:ln>
            <a:effectLst/>
          </c:spPr>
          <c:invertIfNegative val="0"/>
          <c:dLbls>
            <c:delete val="1"/>
          </c:dLbls>
          <c:cat>
            <c:numRef>
              <c:f>Sheet1!$A$2:$A$5</c:f>
              <c:numCache>
                <c:formatCode>General</c:formatCode>
                <c:ptCount val="4"/>
              </c:numCache>
            </c:numRef>
          </c:cat>
          <c:val>
            <c:numRef>
              <c:f>Sheet1!$B$2:$B$5</c:f>
              <c:numCache>
                <c:formatCode>General</c:formatCode>
                <c:ptCount val="4"/>
                <c:pt idx="0">
                  <c:v>150.59</c:v>
                </c:pt>
              </c:numCache>
            </c:numRef>
          </c:val>
        </c:ser>
        <c:ser>
          <c:idx val="1"/>
          <c:order val="1"/>
          <c:tx>
            <c:strRef>
              <c:f>Sheet1!$C$1</c:f>
              <c:strCache>
                <c:ptCount val="1"/>
                <c:pt idx="0">
                  <c:v>2019年</c:v>
                </c:pt>
              </c:strCache>
            </c:strRef>
          </c:tx>
          <c:spPr>
            <a:solidFill>
              <a:schemeClr val="accent4"/>
            </a:solidFill>
            <a:ln>
              <a:noFill/>
            </a:ln>
            <a:effectLst/>
          </c:spPr>
          <c:invertIfNegative val="0"/>
          <c:dLbls>
            <c:delete val="1"/>
          </c:dLbls>
          <c:cat>
            <c:numRef>
              <c:f>Sheet1!$A$2:$A$5</c:f>
              <c:numCache>
                <c:formatCode>General</c:formatCode>
                <c:ptCount val="4"/>
              </c:numCache>
            </c:numRef>
          </c:cat>
          <c:val>
            <c:numRef>
              <c:f>Sheet1!$C$2:$C$5</c:f>
              <c:numCache>
                <c:formatCode>General</c:formatCode>
                <c:ptCount val="4"/>
                <c:pt idx="0">
                  <c:v>114.25</c:v>
                </c:pt>
              </c:numCache>
            </c:numRef>
          </c:val>
        </c:ser>
        <c:dLbls>
          <c:showLegendKey val="0"/>
          <c:showVal val="0"/>
          <c:showCatName val="0"/>
          <c:showSerName val="0"/>
          <c:showPercent val="0"/>
          <c:showBubbleSize val="0"/>
        </c:dLbls>
        <c:gapWidth val="143"/>
        <c:overlap val="2"/>
        <c:axId val="832590700"/>
        <c:axId val="537069229"/>
      </c:barChart>
      <c:catAx>
        <c:axId val="8325907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069229"/>
        <c:crosses val="autoZero"/>
        <c:auto val="1"/>
        <c:lblAlgn val="ctr"/>
        <c:lblOffset val="100"/>
        <c:noMultiLvlLbl val="0"/>
      </c:catAx>
      <c:valAx>
        <c:axId val="5370692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590700"/>
        <c:crosses val="autoZero"/>
        <c:crossBetween val="between"/>
      </c:valAx>
      <c:spPr>
        <a:noFill/>
        <a:ln>
          <a:noFill/>
        </a:ln>
        <a:effectLst/>
      </c:spPr>
    </c:plotArea>
    <c:legend>
      <c:legendPos val="b"/>
      <c:layout>
        <c:manualLayout>
          <c:xMode val="edge"/>
          <c:yMode val="edge"/>
          <c:x val="0.569255087927287"/>
          <c:y val="0.9000275406224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Pt>
            <c:idx val="3"/>
            <c:bubble3D val="0"/>
            <c:spPr>
              <a:solidFill>
                <a:schemeClr val="accent2">
                  <a:lumMod val="60000"/>
                </a:schemeClr>
              </a:solidFill>
              <a:ln w="19050">
                <a:solidFill>
                  <a:schemeClr val="lt1"/>
                </a:solidFill>
              </a:ln>
              <a:effectLst/>
            </c:spPr>
          </c:dPt>
          <c:dLbls>
            <c:delete val="1"/>
          </c:dLbls>
          <c:cat>
            <c:strRef>
              <c:f>Sheet1!$A$2:$A$5</c:f>
              <c:strCache>
                <c:ptCount val="4"/>
                <c:pt idx="0">
                  <c:v>文化旅游体育与传媒支出</c:v>
                </c:pt>
                <c:pt idx="1">
                  <c:v>社会保障和就业</c:v>
                </c:pt>
                <c:pt idx="2">
                  <c:v>卫生健康</c:v>
                </c:pt>
                <c:pt idx="3">
                  <c:v>住房保障</c:v>
                </c:pt>
              </c:strCache>
            </c:strRef>
          </c:cat>
          <c:val>
            <c:numRef>
              <c:f>Sheet1!$B$2:$B$5</c:f>
              <c:numCache>
                <c:formatCode>General</c:formatCode>
                <c:ptCount val="4"/>
                <c:pt idx="0">
                  <c:v>79.98</c:v>
                </c:pt>
                <c:pt idx="1">
                  <c:v>9.73</c:v>
                </c:pt>
                <c:pt idx="2">
                  <c:v>4.45</c:v>
                </c:pt>
                <c:pt idx="3">
                  <c:v>5.84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因公出国（境）费</c:v>
                </c:pt>
                <c:pt idx="1">
                  <c:v>公务用车购置及运行费</c:v>
                </c:pt>
                <c:pt idx="2">
                  <c:v>公务接待费</c:v>
                </c:pt>
              </c:strCache>
            </c:strRef>
          </c:cat>
          <c:val>
            <c:numRef>
              <c:f>Sheet1!$B$2:$B$5</c:f>
              <c:numCache>
                <c:formatCode>General</c:formatCode>
                <c:ptCount val="4"/>
                <c:pt idx="0">
                  <c:v>0</c:v>
                </c:pt>
                <c:pt idx="1">
                  <c:v>100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20</TotalTime>
  <ScaleCrop>false</ScaleCrop>
  <LinksUpToDate>false</LinksUpToDate>
  <CharactersWithSpaces>8587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万信会计服务田会计</cp:lastModifiedBy>
  <cp:lastPrinted>2020-10-14T18:43:00Z</cp:lastPrinted>
  <dcterms:modified xsi:type="dcterms:W3CDTF">2023-07-20T06:17:31Z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153F9807037047EA80F9EF0E6B8BA71F_13</vt:lpwstr>
  </property>
</Properties>
</file>