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auto"/>
        <w:ind w:firstLine="1440" w:firstLineChars="200"/>
        <w:jc w:val="center"/>
        <w:rPr>
          <w:rFonts w:ascii="方正小标宋简体" w:hAnsi="方正小标宋简体" w:eastAsia="方正小标宋简体" w:cs="方正小标宋简体"/>
          <w:color w:val="000000"/>
          <w:sz w:val="72"/>
        </w:rPr>
      </w:pPr>
    </w:p>
    <w:p>
      <w:pPr>
        <w:spacing w:line="600" w:lineRule="auto"/>
        <w:ind w:firstLine="1440" w:firstLineChars="200"/>
        <w:jc w:val="center"/>
        <w:rPr>
          <w:rFonts w:ascii="方正小标宋简体" w:hAnsi="方正小标宋简体" w:eastAsia="方正小标宋简体" w:cs="方正小标宋简体"/>
          <w:color w:val="000000"/>
          <w:sz w:val="72"/>
        </w:rPr>
      </w:pPr>
    </w:p>
    <w:p>
      <w:pPr>
        <w:spacing w:line="600" w:lineRule="auto"/>
        <w:ind w:firstLine="1440" w:firstLineChars="200"/>
        <w:jc w:val="center"/>
        <w:rPr>
          <w:rFonts w:ascii="方正小标宋简体" w:hAnsi="方正小标宋简体" w:eastAsia="方正小标宋简体" w:cs="方正小标宋简体"/>
          <w:color w:val="000000"/>
          <w:sz w:val="72"/>
        </w:rPr>
      </w:pPr>
    </w:p>
    <w:p>
      <w:pPr>
        <w:spacing w:line="600" w:lineRule="auto"/>
        <w:ind w:firstLine="1440" w:firstLineChars="200"/>
        <w:jc w:val="center"/>
        <w:rPr>
          <w:rFonts w:ascii="方正小标宋简体" w:hAnsi="方正小标宋简体" w:eastAsia="方正小标宋简体" w:cs="方正小标宋简体"/>
          <w:color w:val="000000"/>
          <w:sz w:val="72"/>
        </w:rPr>
      </w:pPr>
    </w:p>
    <w:p>
      <w:pPr>
        <w:spacing w:line="360" w:lineRule="auto"/>
        <w:ind w:firstLine="1440" w:firstLineChars="200"/>
        <w:jc w:val="center"/>
        <w:rPr>
          <w:rFonts w:ascii="方正小标宋简体" w:hAnsi="方正小标宋简体" w:eastAsia="方正小标宋简体" w:cs="方正小标宋简体"/>
          <w:color w:val="000000"/>
          <w:sz w:val="72"/>
        </w:rPr>
      </w:pPr>
      <w:r>
        <w:rPr>
          <w:rFonts w:ascii="黑体" w:hAnsi="黑体" w:eastAsia="黑体" w:cs="黑体"/>
          <w:color w:val="000000"/>
          <w:sz w:val="72"/>
        </w:rPr>
        <w:t>2018</w:t>
      </w:r>
      <w:r>
        <w:rPr>
          <w:rFonts w:ascii="方正小标宋简体" w:hAnsi="方正小标宋简体" w:eastAsia="方正小标宋简体" w:cs="方正小标宋简体"/>
          <w:color w:val="000000"/>
          <w:sz w:val="72"/>
        </w:rPr>
        <w:t>年度</w:t>
      </w:r>
    </w:p>
    <w:p>
      <w:pPr>
        <w:spacing w:line="360" w:lineRule="auto"/>
        <w:ind w:firstLine="1080" w:firstLineChars="150"/>
        <w:jc w:val="left"/>
        <w:rPr>
          <w:rFonts w:ascii="方正小标宋简体" w:hAnsi="方正小标宋简体" w:eastAsia="方正小标宋简体" w:cs="方正小标宋简体"/>
          <w:color w:val="000000"/>
          <w:sz w:val="72"/>
        </w:rPr>
      </w:pPr>
      <w:r>
        <w:rPr>
          <w:rFonts w:ascii="方正小标宋简体" w:hAnsi="方正小标宋简体" w:eastAsia="方正小标宋简体" w:cs="方正小标宋简体"/>
          <w:color w:val="000000"/>
          <w:sz w:val="72"/>
        </w:rPr>
        <w:t>四川省</w:t>
      </w:r>
      <w:r>
        <w:rPr>
          <w:rFonts w:hint="eastAsia" w:ascii="方正小标宋简体" w:hAnsi="方正小标宋简体" w:eastAsia="方正小标宋简体" w:cs="方正小标宋简体"/>
          <w:color w:val="000000"/>
          <w:sz w:val="72"/>
        </w:rPr>
        <w:t>红原县新华书店</w:t>
      </w:r>
    </w:p>
    <w:p>
      <w:pPr>
        <w:spacing w:line="360" w:lineRule="auto"/>
        <w:ind w:firstLine="1440" w:firstLineChars="200"/>
        <w:jc w:val="center"/>
        <w:rPr>
          <w:rFonts w:ascii="方正小标宋简体" w:hAnsi="方正小标宋简体" w:eastAsia="方正小标宋简体" w:cs="方正小标宋简体"/>
          <w:color w:val="000000"/>
          <w:sz w:val="72"/>
        </w:rPr>
      </w:pPr>
      <w:r>
        <w:rPr>
          <w:rFonts w:ascii="方正小标宋简体" w:hAnsi="方正小标宋简体" w:eastAsia="方正小标宋简体" w:cs="方正小标宋简体"/>
          <w:color w:val="000000"/>
          <w:sz w:val="72"/>
        </w:rPr>
        <w:t>部门决算</w:t>
      </w:r>
    </w:p>
    <w:p>
      <w:pPr>
        <w:spacing w:line="360" w:lineRule="auto"/>
        <w:ind w:firstLine="720" w:firstLineChars="200"/>
        <w:jc w:val="center"/>
        <w:rPr>
          <w:rFonts w:ascii="方正小标宋简体" w:hAnsi="方正小标宋简体" w:eastAsia="方正小标宋简体" w:cs="方正小标宋简体"/>
          <w:color w:val="000000"/>
          <w:sz w:val="36"/>
        </w:rPr>
      </w:pPr>
      <w:r>
        <w:rPr>
          <w:rFonts w:ascii="方正小标宋简体" w:hAnsi="方正小标宋简体" w:eastAsia="方正小标宋简体" w:cs="方正小标宋简体"/>
          <w:color w:val="000000"/>
          <w:sz w:val="36"/>
        </w:rPr>
        <w:t xml:space="preserve"> </w:t>
      </w:r>
    </w:p>
    <w:p>
      <w:pPr>
        <w:ind w:firstLine="960" w:firstLineChars="200"/>
        <w:jc w:val="center"/>
        <w:rPr>
          <w:rFonts w:ascii="黑体" w:hAnsi="黑体" w:eastAsia="黑体" w:cs="黑体"/>
          <w:color w:val="000000"/>
          <w:sz w:val="48"/>
        </w:rPr>
      </w:pPr>
      <w:r>
        <w:rPr>
          <w:rFonts w:ascii="黑体" w:hAnsi="黑体" w:eastAsia="黑体" w:cs="黑体"/>
          <w:color w:val="000000"/>
          <w:sz w:val="48"/>
        </w:rPr>
        <w:t>目录</w:t>
      </w:r>
    </w:p>
    <w:p>
      <w:pPr>
        <w:ind w:firstLine="560" w:firstLineChars="200"/>
        <w:jc w:val="center"/>
        <w:rPr>
          <w:rFonts w:ascii="黑体" w:hAnsi="黑体" w:eastAsia="黑体" w:cs="黑体"/>
          <w:sz w:val="28"/>
        </w:rPr>
      </w:pPr>
    </w:p>
    <w:p>
      <w:pPr>
        <w:ind w:firstLine="420" w:firstLineChars="200"/>
        <w:rPr>
          <w:rFonts w:ascii="Times New Roman" w:hAnsi="Times New Roman" w:eastAsia="Times New Roman" w:cs="Times New Roman"/>
        </w:rPr>
      </w:pPr>
    </w:p>
    <w:p>
      <w:pPr>
        <w:tabs>
          <w:tab w:val="right" w:leader="dot" w:pos="8296"/>
        </w:tabs>
        <w:spacing w:before="93"/>
        <w:ind w:firstLine="560" w:firstLineChars="200"/>
        <w:jc w:val="center"/>
        <w:rPr>
          <w:rFonts w:ascii="仿宋" w:hAnsi="仿宋" w:eastAsia="仿宋" w:cs="仿宋"/>
          <w:sz w:val="28"/>
        </w:rPr>
      </w:pPr>
      <w:r>
        <w:rPr>
          <w:rFonts w:ascii="仿宋" w:hAnsi="仿宋" w:eastAsia="仿宋" w:cs="仿宋"/>
          <w:color w:val="0000FF"/>
          <w:sz w:val="28"/>
          <w:u w:val="single"/>
        </w:rPr>
        <w:t>第一部分 部门概况</w:t>
      </w:r>
    </w:p>
    <w:p>
      <w:pPr>
        <w:tabs>
          <w:tab w:val="right" w:leader="dot" w:pos="8296"/>
        </w:tabs>
        <w:ind w:left="420" w:firstLine="560" w:firstLineChars="200"/>
        <w:rPr>
          <w:rFonts w:ascii="仿宋" w:hAnsi="仿宋" w:eastAsia="仿宋" w:cs="仿宋"/>
          <w:sz w:val="28"/>
        </w:rPr>
      </w:pPr>
      <w:r>
        <w:rPr>
          <w:rFonts w:ascii="仿宋" w:hAnsi="仿宋" w:eastAsia="仿宋" w:cs="仿宋"/>
          <w:color w:val="0000FF"/>
          <w:sz w:val="28"/>
          <w:u w:val="single"/>
        </w:rPr>
        <w:t>一、基本职能及主要工作</w:t>
      </w:r>
    </w:p>
    <w:p>
      <w:pPr>
        <w:tabs>
          <w:tab w:val="right" w:leader="dot" w:pos="8296"/>
        </w:tabs>
        <w:ind w:left="420" w:firstLine="560" w:firstLineChars="200"/>
        <w:rPr>
          <w:rFonts w:ascii="仿宋" w:hAnsi="仿宋" w:eastAsia="仿宋" w:cs="仿宋"/>
          <w:sz w:val="28"/>
        </w:rPr>
      </w:pPr>
      <w:r>
        <w:rPr>
          <w:rFonts w:ascii="仿宋" w:hAnsi="仿宋" w:eastAsia="仿宋" w:cs="仿宋"/>
          <w:color w:val="0000FF"/>
          <w:sz w:val="28"/>
          <w:u w:val="single"/>
        </w:rPr>
        <w:t>二、机构设置</w:t>
      </w:r>
    </w:p>
    <w:p>
      <w:pPr>
        <w:tabs>
          <w:tab w:val="right" w:leader="dot" w:pos="8296"/>
        </w:tabs>
        <w:spacing w:before="93"/>
        <w:ind w:firstLine="560" w:firstLineChars="200"/>
        <w:jc w:val="center"/>
        <w:rPr>
          <w:rFonts w:ascii="仿宋" w:hAnsi="仿宋" w:eastAsia="仿宋" w:cs="仿宋"/>
          <w:sz w:val="28"/>
        </w:rPr>
      </w:pPr>
      <w:r>
        <w:rPr>
          <w:rFonts w:ascii="仿宋" w:hAnsi="仿宋" w:eastAsia="仿宋" w:cs="仿宋"/>
          <w:color w:val="0000FF"/>
          <w:sz w:val="28"/>
          <w:u w:val="single"/>
        </w:rPr>
        <w:t>第二部分 2018年度部门决算情况说明</w:t>
      </w:r>
    </w:p>
    <w:p>
      <w:pPr>
        <w:tabs>
          <w:tab w:val="right" w:leader="dot" w:pos="8296"/>
        </w:tabs>
        <w:ind w:left="420" w:firstLine="560" w:firstLineChars="200"/>
        <w:rPr>
          <w:rFonts w:ascii="仿宋" w:hAnsi="仿宋" w:eastAsia="仿宋" w:cs="仿宋"/>
          <w:sz w:val="28"/>
        </w:rPr>
      </w:pPr>
      <w:r>
        <w:rPr>
          <w:rFonts w:ascii="仿宋" w:hAnsi="仿宋" w:eastAsia="仿宋" w:cs="仿宋"/>
          <w:color w:val="0000FF"/>
          <w:sz w:val="28"/>
          <w:u w:val="single"/>
        </w:rPr>
        <w:t>一、收入支出决算总体情况说明</w:t>
      </w:r>
    </w:p>
    <w:p>
      <w:pPr>
        <w:tabs>
          <w:tab w:val="right" w:leader="dot" w:pos="8296"/>
        </w:tabs>
        <w:ind w:left="420" w:firstLine="560" w:firstLineChars="200"/>
        <w:rPr>
          <w:rFonts w:ascii="仿宋" w:hAnsi="仿宋" w:eastAsia="仿宋" w:cs="仿宋"/>
          <w:sz w:val="28"/>
        </w:rPr>
      </w:pPr>
      <w:r>
        <w:rPr>
          <w:rFonts w:ascii="仿宋" w:hAnsi="仿宋" w:eastAsia="仿宋" w:cs="仿宋"/>
          <w:color w:val="0000FF"/>
          <w:sz w:val="28"/>
          <w:u w:val="single"/>
        </w:rPr>
        <w:t>二、收入决算情况说明</w:t>
      </w:r>
    </w:p>
    <w:p>
      <w:pPr>
        <w:tabs>
          <w:tab w:val="right" w:leader="dot" w:pos="8296"/>
        </w:tabs>
        <w:ind w:left="420" w:firstLine="560" w:firstLineChars="200"/>
        <w:rPr>
          <w:rFonts w:ascii="仿宋" w:hAnsi="仿宋" w:eastAsia="仿宋" w:cs="仿宋"/>
          <w:sz w:val="28"/>
        </w:rPr>
      </w:pPr>
      <w:r>
        <w:rPr>
          <w:rFonts w:ascii="仿宋" w:hAnsi="仿宋" w:eastAsia="仿宋" w:cs="仿宋"/>
          <w:color w:val="0000FF"/>
          <w:sz w:val="28"/>
          <w:u w:val="single"/>
        </w:rPr>
        <w:t>三、支出决算情况说明</w:t>
      </w:r>
    </w:p>
    <w:p>
      <w:pPr>
        <w:tabs>
          <w:tab w:val="right" w:leader="dot" w:pos="8296"/>
        </w:tabs>
        <w:ind w:left="420" w:firstLine="560" w:firstLineChars="200"/>
        <w:rPr>
          <w:rFonts w:ascii="仿宋" w:hAnsi="仿宋" w:eastAsia="仿宋" w:cs="仿宋"/>
          <w:sz w:val="28"/>
        </w:rPr>
      </w:pPr>
      <w:r>
        <w:rPr>
          <w:rFonts w:ascii="仿宋" w:hAnsi="仿宋" w:eastAsia="仿宋" w:cs="仿宋"/>
          <w:color w:val="0000FF"/>
          <w:sz w:val="28"/>
          <w:u w:val="single"/>
        </w:rPr>
        <w:t>四、财政拨款收入支出决算总体情况说明</w:t>
      </w:r>
    </w:p>
    <w:p>
      <w:pPr>
        <w:tabs>
          <w:tab w:val="right" w:leader="dot" w:pos="8296"/>
        </w:tabs>
        <w:ind w:left="420" w:firstLine="560" w:firstLineChars="200"/>
        <w:rPr>
          <w:rFonts w:ascii="仿宋" w:hAnsi="仿宋" w:eastAsia="仿宋" w:cs="仿宋"/>
          <w:sz w:val="28"/>
        </w:rPr>
      </w:pPr>
      <w:r>
        <w:rPr>
          <w:rFonts w:ascii="仿宋" w:hAnsi="仿宋" w:eastAsia="仿宋" w:cs="仿宋"/>
          <w:color w:val="0000FF"/>
          <w:sz w:val="28"/>
          <w:u w:val="single"/>
        </w:rPr>
        <w:t>五、一般公共预算财政拨款支出决算情况说明</w:t>
      </w:r>
    </w:p>
    <w:p>
      <w:pPr>
        <w:tabs>
          <w:tab w:val="right" w:leader="dot" w:pos="8296"/>
        </w:tabs>
        <w:ind w:left="420" w:firstLine="560" w:firstLineChars="200"/>
        <w:rPr>
          <w:rFonts w:ascii="仿宋" w:hAnsi="仿宋" w:eastAsia="仿宋" w:cs="仿宋"/>
          <w:sz w:val="28"/>
        </w:rPr>
      </w:pPr>
      <w:r>
        <w:rPr>
          <w:rFonts w:ascii="仿宋" w:hAnsi="仿宋" w:eastAsia="仿宋" w:cs="仿宋"/>
          <w:color w:val="0000FF"/>
          <w:sz w:val="28"/>
          <w:u w:val="single"/>
        </w:rPr>
        <w:t>六、一般公共预算财政拨款基本支出决算情况说明</w:t>
      </w:r>
    </w:p>
    <w:p>
      <w:pPr>
        <w:tabs>
          <w:tab w:val="right" w:leader="dot" w:pos="8296"/>
        </w:tabs>
        <w:ind w:left="420" w:firstLine="560" w:firstLineChars="200"/>
        <w:rPr>
          <w:rFonts w:ascii="仿宋" w:hAnsi="仿宋" w:eastAsia="仿宋" w:cs="仿宋"/>
          <w:sz w:val="28"/>
        </w:rPr>
      </w:pPr>
      <w:r>
        <w:rPr>
          <w:rFonts w:ascii="仿宋" w:hAnsi="仿宋" w:eastAsia="仿宋" w:cs="仿宋"/>
          <w:color w:val="0000FF"/>
          <w:sz w:val="28"/>
          <w:u w:val="single"/>
        </w:rPr>
        <w:t>七、“三公”经费财政拨款支出决算情况说明</w:t>
      </w:r>
    </w:p>
    <w:p>
      <w:pPr>
        <w:tabs>
          <w:tab w:val="right" w:leader="dot" w:pos="8296"/>
        </w:tabs>
        <w:ind w:left="420" w:firstLine="560" w:firstLineChars="200"/>
        <w:rPr>
          <w:rFonts w:ascii="仿宋" w:hAnsi="仿宋" w:eastAsia="仿宋" w:cs="仿宋"/>
          <w:sz w:val="28"/>
        </w:rPr>
      </w:pPr>
      <w:r>
        <w:rPr>
          <w:rFonts w:ascii="仿宋" w:hAnsi="仿宋" w:eastAsia="仿宋" w:cs="仿宋"/>
          <w:color w:val="0000FF"/>
          <w:sz w:val="28"/>
          <w:u w:val="single"/>
        </w:rPr>
        <w:t>八、政府性基金预算支出决算情况说明</w:t>
      </w:r>
    </w:p>
    <w:p>
      <w:pPr>
        <w:tabs>
          <w:tab w:val="right" w:leader="dot" w:pos="8296"/>
        </w:tabs>
        <w:ind w:left="420" w:firstLine="560" w:firstLineChars="200"/>
        <w:rPr>
          <w:rFonts w:ascii="仿宋" w:hAnsi="仿宋" w:eastAsia="仿宋" w:cs="仿宋"/>
          <w:sz w:val="28"/>
        </w:rPr>
      </w:pPr>
      <w:r>
        <w:rPr>
          <w:rFonts w:ascii="仿宋" w:hAnsi="仿宋" w:eastAsia="仿宋" w:cs="仿宋"/>
          <w:color w:val="0000FF"/>
          <w:sz w:val="28"/>
          <w:u w:val="single"/>
        </w:rPr>
        <w:t>九、 国有资本经营预算支出决算情况说明</w:t>
      </w:r>
    </w:p>
    <w:p>
      <w:pPr>
        <w:tabs>
          <w:tab w:val="right" w:leader="dot" w:pos="8296"/>
        </w:tabs>
        <w:ind w:left="420" w:firstLine="560" w:firstLineChars="200"/>
        <w:rPr>
          <w:rFonts w:ascii="仿宋" w:hAnsi="仿宋" w:eastAsia="仿宋" w:cs="仿宋"/>
          <w:sz w:val="28"/>
        </w:rPr>
      </w:pPr>
      <w:r>
        <w:rPr>
          <w:rFonts w:ascii="仿宋" w:hAnsi="仿宋" w:eastAsia="仿宋" w:cs="仿宋"/>
          <w:color w:val="0000FF"/>
          <w:sz w:val="28"/>
          <w:u w:val="single"/>
        </w:rPr>
        <w:t>十一、其他重要事项的情况说明</w:t>
      </w:r>
    </w:p>
    <w:p>
      <w:pPr>
        <w:tabs>
          <w:tab w:val="right" w:leader="dot" w:pos="8296"/>
        </w:tabs>
        <w:spacing w:before="93"/>
        <w:ind w:firstLine="560" w:firstLineChars="200"/>
        <w:jc w:val="center"/>
        <w:rPr>
          <w:rFonts w:ascii="仿宋" w:hAnsi="仿宋" w:eastAsia="仿宋" w:cs="仿宋"/>
          <w:sz w:val="28"/>
        </w:rPr>
      </w:pPr>
      <w:r>
        <w:rPr>
          <w:rFonts w:ascii="仿宋" w:hAnsi="仿宋" w:eastAsia="仿宋" w:cs="仿宋"/>
          <w:color w:val="0000FF"/>
          <w:sz w:val="28"/>
          <w:u w:val="single"/>
        </w:rPr>
        <w:t>第三部分 名词解释</w:t>
      </w:r>
    </w:p>
    <w:p>
      <w:pPr>
        <w:tabs>
          <w:tab w:val="right" w:leader="dot" w:pos="8296"/>
        </w:tabs>
        <w:spacing w:before="93"/>
        <w:ind w:firstLine="560" w:firstLineChars="200"/>
        <w:jc w:val="center"/>
        <w:rPr>
          <w:rFonts w:ascii="仿宋" w:hAnsi="仿宋" w:eastAsia="仿宋" w:cs="仿宋"/>
          <w:sz w:val="28"/>
        </w:rPr>
      </w:pPr>
      <w:r>
        <w:rPr>
          <w:rFonts w:ascii="仿宋" w:hAnsi="仿宋" w:eastAsia="仿宋" w:cs="仿宋"/>
          <w:color w:val="0000FF"/>
          <w:sz w:val="28"/>
          <w:u w:val="single"/>
        </w:rPr>
        <w:t>第四部分 附件</w:t>
      </w:r>
    </w:p>
    <w:p>
      <w:pPr>
        <w:tabs>
          <w:tab w:val="right" w:leader="dot" w:pos="8296"/>
        </w:tabs>
        <w:ind w:left="420" w:firstLine="560" w:firstLineChars="200"/>
        <w:rPr>
          <w:rFonts w:ascii="仿宋" w:hAnsi="仿宋" w:eastAsia="仿宋" w:cs="仿宋"/>
          <w:sz w:val="28"/>
        </w:rPr>
      </w:pPr>
      <w:r>
        <w:rPr>
          <w:rFonts w:ascii="仿宋" w:hAnsi="仿宋" w:eastAsia="仿宋" w:cs="仿宋"/>
          <w:color w:val="0000FF"/>
          <w:sz w:val="28"/>
          <w:u w:val="single"/>
        </w:rPr>
        <w:t>附件1</w:t>
      </w:r>
    </w:p>
    <w:p>
      <w:pPr>
        <w:tabs>
          <w:tab w:val="right" w:leader="dot" w:pos="8296"/>
        </w:tabs>
        <w:ind w:left="420" w:firstLine="560" w:firstLineChars="200"/>
        <w:rPr>
          <w:rFonts w:ascii="仿宋" w:hAnsi="仿宋" w:eastAsia="仿宋" w:cs="仿宋"/>
          <w:sz w:val="28"/>
        </w:rPr>
      </w:pPr>
      <w:r>
        <w:rPr>
          <w:rFonts w:ascii="仿宋" w:hAnsi="仿宋" w:eastAsia="仿宋" w:cs="仿宋"/>
          <w:color w:val="0000FF"/>
          <w:sz w:val="28"/>
          <w:u w:val="single"/>
        </w:rPr>
        <w:t>附件2</w:t>
      </w:r>
    </w:p>
    <w:p>
      <w:pPr>
        <w:tabs>
          <w:tab w:val="right" w:leader="dot" w:pos="8296"/>
        </w:tabs>
        <w:spacing w:before="93"/>
        <w:ind w:firstLine="560" w:firstLineChars="200"/>
        <w:jc w:val="center"/>
        <w:rPr>
          <w:rFonts w:ascii="仿宋" w:hAnsi="仿宋" w:eastAsia="仿宋" w:cs="仿宋"/>
          <w:sz w:val="28"/>
        </w:rPr>
      </w:pPr>
      <w:r>
        <w:rPr>
          <w:rFonts w:ascii="仿宋" w:hAnsi="仿宋" w:eastAsia="仿宋" w:cs="仿宋"/>
          <w:color w:val="0000FF"/>
          <w:sz w:val="28"/>
          <w:u w:val="single"/>
        </w:rPr>
        <w:t>第五部分 附表</w:t>
      </w:r>
    </w:p>
    <w:p>
      <w:pPr>
        <w:tabs>
          <w:tab w:val="right" w:leader="dot" w:pos="8296"/>
        </w:tabs>
        <w:ind w:left="420" w:firstLine="560" w:firstLineChars="200"/>
        <w:rPr>
          <w:rFonts w:ascii="仿宋" w:hAnsi="仿宋" w:eastAsia="仿宋" w:cs="仿宋"/>
          <w:sz w:val="28"/>
        </w:rPr>
      </w:pPr>
      <w:r>
        <w:rPr>
          <w:rFonts w:ascii="仿宋" w:hAnsi="仿宋" w:eastAsia="仿宋" w:cs="仿宋"/>
          <w:sz w:val="28"/>
        </w:rPr>
        <w:t>一、</w:t>
      </w:r>
      <w:r>
        <w:rPr>
          <w:rFonts w:ascii="仿宋" w:hAnsi="仿宋" w:eastAsia="仿宋" w:cs="仿宋"/>
          <w:color w:val="0000FF"/>
          <w:sz w:val="28"/>
          <w:u w:val="single"/>
        </w:rPr>
        <w:t>收入支出决算总表</w:t>
      </w:r>
    </w:p>
    <w:p>
      <w:pPr>
        <w:tabs>
          <w:tab w:val="right" w:leader="dot" w:pos="8296"/>
        </w:tabs>
        <w:ind w:left="420" w:firstLine="560" w:firstLineChars="200"/>
        <w:rPr>
          <w:rFonts w:ascii="仿宋" w:hAnsi="仿宋" w:eastAsia="仿宋" w:cs="仿宋"/>
          <w:sz w:val="28"/>
        </w:rPr>
      </w:pPr>
      <w:r>
        <w:rPr>
          <w:rFonts w:ascii="仿宋" w:hAnsi="仿宋" w:eastAsia="仿宋" w:cs="仿宋"/>
          <w:sz w:val="28"/>
        </w:rPr>
        <w:t>二、</w:t>
      </w:r>
      <w:r>
        <w:rPr>
          <w:rFonts w:ascii="仿宋" w:hAnsi="仿宋" w:eastAsia="仿宋" w:cs="仿宋"/>
          <w:color w:val="0000FF"/>
          <w:sz w:val="28"/>
          <w:u w:val="single"/>
        </w:rPr>
        <w:t>收入总表</w:t>
      </w:r>
    </w:p>
    <w:p>
      <w:pPr>
        <w:tabs>
          <w:tab w:val="right" w:leader="dot" w:pos="8296"/>
        </w:tabs>
        <w:ind w:left="420" w:firstLine="560" w:firstLineChars="200"/>
        <w:rPr>
          <w:rFonts w:ascii="仿宋" w:hAnsi="仿宋" w:eastAsia="仿宋" w:cs="仿宋"/>
          <w:sz w:val="28"/>
        </w:rPr>
      </w:pPr>
      <w:r>
        <w:rPr>
          <w:rFonts w:ascii="仿宋" w:hAnsi="仿宋" w:eastAsia="仿宋" w:cs="仿宋"/>
          <w:sz w:val="28"/>
        </w:rPr>
        <w:t>三、</w:t>
      </w:r>
      <w:r>
        <w:rPr>
          <w:rFonts w:ascii="仿宋" w:hAnsi="仿宋" w:eastAsia="仿宋" w:cs="仿宋"/>
          <w:color w:val="0000FF"/>
          <w:sz w:val="28"/>
          <w:u w:val="single"/>
        </w:rPr>
        <w:t>支出总表</w:t>
      </w:r>
    </w:p>
    <w:p>
      <w:pPr>
        <w:tabs>
          <w:tab w:val="right" w:leader="dot" w:pos="8296"/>
        </w:tabs>
        <w:ind w:left="420" w:firstLine="560" w:firstLineChars="200"/>
        <w:rPr>
          <w:rFonts w:ascii="仿宋" w:hAnsi="仿宋" w:eastAsia="仿宋" w:cs="仿宋"/>
          <w:sz w:val="28"/>
        </w:rPr>
      </w:pPr>
      <w:r>
        <w:rPr>
          <w:rFonts w:ascii="仿宋" w:hAnsi="仿宋" w:eastAsia="仿宋" w:cs="仿宋"/>
          <w:sz w:val="28"/>
        </w:rPr>
        <w:t>四、</w:t>
      </w:r>
      <w:r>
        <w:rPr>
          <w:rFonts w:ascii="仿宋" w:hAnsi="仿宋" w:eastAsia="仿宋" w:cs="仿宋"/>
          <w:color w:val="0000FF"/>
          <w:sz w:val="28"/>
          <w:u w:val="single"/>
        </w:rPr>
        <w:t>财政拨款收入支出决算总表</w:t>
      </w:r>
    </w:p>
    <w:p>
      <w:pPr>
        <w:tabs>
          <w:tab w:val="right" w:leader="dot" w:pos="8296"/>
        </w:tabs>
        <w:ind w:left="420" w:firstLine="560" w:firstLineChars="200"/>
        <w:rPr>
          <w:rFonts w:ascii="仿宋" w:hAnsi="仿宋" w:eastAsia="仿宋" w:cs="仿宋"/>
          <w:sz w:val="28"/>
        </w:rPr>
      </w:pPr>
      <w:r>
        <w:rPr>
          <w:rFonts w:ascii="仿宋" w:hAnsi="仿宋" w:eastAsia="仿宋" w:cs="仿宋"/>
          <w:sz w:val="28"/>
        </w:rPr>
        <w:t>五、财政拨款支出决算明细表（政府经济分类科目）</w:t>
      </w:r>
    </w:p>
    <w:p>
      <w:pPr>
        <w:tabs>
          <w:tab w:val="right" w:leader="dot" w:pos="8296"/>
        </w:tabs>
        <w:ind w:left="420" w:firstLine="560" w:firstLineChars="200"/>
        <w:rPr>
          <w:rFonts w:ascii="仿宋" w:hAnsi="仿宋" w:eastAsia="仿宋" w:cs="仿宋"/>
          <w:sz w:val="28"/>
        </w:rPr>
      </w:pPr>
      <w:r>
        <w:rPr>
          <w:rFonts w:ascii="仿宋" w:hAnsi="仿宋" w:eastAsia="仿宋" w:cs="仿宋"/>
          <w:sz w:val="28"/>
        </w:rPr>
        <w:t>六、</w:t>
      </w:r>
      <w:r>
        <w:rPr>
          <w:rFonts w:ascii="仿宋" w:hAnsi="仿宋" w:eastAsia="仿宋" w:cs="仿宋"/>
          <w:color w:val="0000FF"/>
          <w:sz w:val="28"/>
          <w:u w:val="single"/>
        </w:rPr>
        <w:t>一般公共预算财政拨款支出决算表</w:t>
      </w:r>
    </w:p>
    <w:p>
      <w:pPr>
        <w:tabs>
          <w:tab w:val="right" w:leader="dot" w:pos="8296"/>
        </w:tabs>
        <w:ind w:left="420" w:firstLine="560" w:firstLineChars="200"/>
        <w:rPr>
          <w:rFonts w:ascii="仿宋" w:hAnsi="仿宋" w:eastAsia="仿宋" w:cs="仿宋"/>
          <w:sz w:val="28"/>
        </w:rPr>
      </w:pPr>
      <w:r>
        <w:rPr>
          <w:rFonts w:ascii="仿宋" w:hAnsi="仿宋" w:eastAsia="仿宋" w:cs="仿宋"/>
          <w:sz w:val="28"/>
        </w:rPr>
        <w:t>七、</w:t>
      </w:r>
      <w:r>
        <w:rPr>
          <w:rFonts w:ascii="仿宋" w:hAnsi="仿宋" w:eastAsia="仿宋" w:cs="仿宋"/>
          <w:color w:val="0000FF"/>
          <w:sz w:val="28"/>
          <w:u w:val="single"/>
        </w:rPr>
        <w:t>一般公共预算财政拨款支出决算明细表</w:t>
      </w:r>
    </w:p>
    <w:p>
      <w:pPr>
        <w:tabs>
          <w:tab w:val="right" w:leader="dot" w:pos="8296"/>
        </w:tabs>
        <w:ind w:left="420" w:firstLine="560" w:firstLineChars="200"/>
        <w:rPr>
          <w:rFonts w:ascii="仿宋" w:hAnsi="仿宋" w:eastAsia="仿宋" w:cs="仿宋"/>
          <w:sz w:val="28"/>
        </w:rPr>
      </w:pPr>
      <w:r>
        <w:rPr>
          <w:rFonts w:ascii="仿宋" w:hAnsi="仿宋" w:eastAsia="仿宋" w:cs="仿宋"/>
          <w:sz w:val="28"/>
        </w:rPr>
        <w:t>八、</w:t>
      </w:r>
      <w:r>
        <w:rPr>
          <w:rFonts w:ascii="仿宋" w:hAnsi="仿宋" w:eastAsia="仿宋" w:cs="仿宋"/>
          <w:color w:val="0000FF"/>
          <w:sz w:val="28"/>
          <w:u w:val="single"/>
        </w:rPr>
        <w:t>一般公共预算财政拨款基本支出决算表</w:t>
      </w:r>
    </w:p>
    <w:p>
      <w:pPr>
        <w:tabs>
          <w:tab w:val="right" w:leader="dot" w:pos="8296"/>
        </w:tabs>
        <w:ind w:left="420" w:firstLine="560" w:firstLineChars="200"/>
        <w:rPr>
          <w:rFonts w:ascii="仿宋" w:hAnsi="仿宋" w:eastAsia="仿宋" w:cs="仿宋"/>
          <w:sz w:val="28"/>
        </w:rPr>
      </w:pPr>
      <w:r>
        <w:rPr>
          <w:rFonts w:ascii="仿宋" w:hAnsi="仿宋" w:eastAsia="仿宋" w:cs="仿宋"/>
          <w:sz w:val="28"/>
        </w:rPr>
        <w:t>九、</w:t>
      </w:r>
      <w:r>
        <w:rPr>
          <w:rFonts w:ascii="仿宋" w:hAnsi="仿宋" w:eastAsia="仿宋" w:cs="仿宋"/>
          <w:color w:val="0000FF"/>
          <w:sz w:val="28"/>
          <w:u w:val="single"/>
        </w:rPr>
        <w:t>一般公共预算财政拨款项目支出决算表</w:t>
      </w:r>
    </w:p>
    <w:p>
      <w:pPr>
        <w:tabs>
          <w:tab w:val="right" w:leader="dot" w:pos="8296"/>
        </w:tabs>
        <w:ind w:left="420" w:firstLine="560" w:firstLineChars="200"/>
        <w:rPr>
          <w:rFonts w:ascii="仿宋" w:hAnsi="仿宋" w:eastAsia="仿宋" w:cs="仿宋"/>
          <w:sz w:val="28"/>
        </w:rPr>
      </w:pPr>
      <w:r>
        <w:rPr>
          <w:rFonts w:ascii="仿宋" w:hAnsi="仿宋" w:eastAsia="仿宋" w:cs="仿宋"/>
          <w:sz w:val="28"/>
        </w:rPr>
        <w:t>十、</w:t>
      </w:r>
      <w:r>
        <w:rPr>
          <w:rFonts w:ascii="仿宋" w:hAnsi="仿宋" w:eastAsia="仿宋" w:cs="仿宋"/>
          <w:color w:val="0000FF"/>
          <w:sz w:val="28"/>
          <w:u w:val="single"/>
        </w:rPr>
        <w:t>一般公共预算财政拨款“三公”经费支出决算表</w:t>
      </w:r>
    </w:p>
    <w:p>
      <w:pPr>
        <w:tabs>
          <w:tab w:val="right" w:leader="dot" w:pos="8296"/>
        </w:tabs>
        <w:ind w:left="420" w:firstLine="560" w:firstLineChars="200"/>
        <w:rPr>
          <w:rFonts w:ascii="仿宋" w:hAnsi="仿宋" w:eastAsia="仿宋" w:cs="仿宋"/>
          <w:sz w:val="28"/>
        </w:rPr>
      </w:pPr>
      <w:r>
        <w:rPr>
          <w:rFonts w:ascii="仿宋" w:hAnsi="仿宋" w:eastAsia="仿宋" w:cs="仿宋"/>
          <w:sz w:val="28"/>
        </w:rPr>
        <w:t>十一、</w:t>
      </w:r>
      <w:r>
        <w:rPr>
          <w:rFonts w:ascii="仿宋" w:hAnsi="仿宋" w:eastAsia="仿宋" w:cs="仿宋"/>
          <w:color w:val="0000FF"/>
          <w:sz w:val="28"/>
          <w:u w:val="single"/>
        </w:rPr>
        <w:t>政府性基金预算财政拨款收入支出决算表</w:t>
      </w:r>
    </w:p>
    <w:p>
      <w:pPr>
        <w:tabs>
          <w:tab w:val="right" w:leader="dot" w:pos="8296"/>
        </w:tabs>
        <w:ind w:left="420" w:firstLine="560" w:firstLineChars="200"/>
        <w:rPr>
          <w:rFonts w:ascii="仿宋" w:hAnsi="仿宋" w:eastAsia="仿宋" w:cs="仿宋"/>
          <w:sz w:val="28"/>
        </w:rPr>
      </w:pPr>
      <w:r>
        <w:rPr>
          <w:rFonts w:ascii="仿宋" w:hAnsi="仿宋" w:eastAsia="仿宋" w:cs="仿宋"/>
          <w:sz w:val="28"/>
        </w:rPr>
        <w:t>十二、</w:t>
      </w:r>
      <w:r>
        <w:rPr>
          <w:rFonts w:ascii="仿宋" w:hAnsi="仿宋" w:eastAsia="仿宋" w:cs="仿宋"/>
          <w:color w:val="0000FF"/>
          <w:sz w:val="28"/>
          <w:u w:val="single"/>
        </w:rPr>
        <w:t>政府性基金预算财政拨款“三公”经费支出决算表</w:t>
      </w:r>
    </w:p>
    <w:p>
      <w:pPr>
        <w:tabs>
          <w:tab w:val="right" w:leader="dot" w:pos="8296"/>
        </w:tabs>
        <w:ind w:left="420" w:firstLine="560" w:firstLineChars="200"/>
        <w:rPr>
          <w:rFonts w:ascii="仿宋" w:hAnsi="仿宋" w:eastAsia="仿宋" w:cs="仿宋"/>
          <w:color w:val="0000FF"/>
          <w:sz w:val="28"/>
          <w:u w:val="single"/>
        </w:rPr>
      </w:pPr>
      <w:r>
        <w:rPr>
          <w:rFonts w:ascii="仿宋" w:hAnsi="仿宋" w:eastAsia="仿宋" w:cs="仿宋"/>
          <w:sz w:val="28"/>
        </w:rPr>
        <w:t>十三、</w:t>
      </w:r>
      <w:r>
        <w:rPr>
          <w:rFonts w:ascii="仿宋" w:hAnsi="仿宋" w:eastAsia="仿宋" w:cs="仿宋"/>
          <w:color w:val="0000FF"/>
          <w:sz w:val="28"/>
          <w:u w:val="single"/>
        </w:rPr>
        <w:t>国有资本经营预算支出决算表</w:t>
      </w:r>
    </w:p>
    <w:p>
      <w:pPr>
        <w:ind w:firstLine="1292" w:firstLineChars="404"/>
        <w:rPr>
          <w:rStyle w:val="13"/>
          <w:rFonts w:hint="eastAsia" w:ascii="仿宋" w:hAnsi="仿宋" w:eastAsia="仿宋"/>
          <w:b w:val="0"/>
          <w:bCs w:val="0"/>
          <w:lang w:val="en-US" w:eastAsia="zh-CN"/>
        </w:rPr>
      </w:pPr>
      <w:r>
        <w:rPr>
          <w:rStyle w:val="13"/>
          <w:rFonts w:hint="eastAsia" w:ascii="仿宋" w:hAnsi="仿宋" w:eastAsia="仿宋"/>
          <w:b w:val="0"/>
          <w:bCs w:val="0"/>
          <w:lang w:val="en-US" w:eastAsia="zh-CN"/>
        </w:rPr>
        <w:t>十四、整体支出绩效评价打分表</w:t>
      </w:r>
    </w:p>
    <w:p>
      <w:pPr>
        <w:tabs>
          <w:tab w:val="right" w:leader="dot" w:pos="8296"/>
        </w:tabs>
        <w:ind w:left="420" w:firstLine="560" w:firstLineChars="200"/>
        <w:rPr>
          <w:rFonts w:ascii="仿宋" w:hAnsi="仿宋" w:eastAsia="仿宋" w:cs="仿宋"/>
          <w:color w:val="0000FF"/>
          <w:sz w:val="28"/>
          <w:u w:val="single"/>
        </w:rPr>
      </w:pPr>
    </w:p>
    <w:p>
      <w:pPr>
        <w:ind w:firstLine="480" w:firstLineChars="200"/>
        <w:jc w:val="left"/>
        <w:rPr>
          <w:rFonts w:ascii="仿宋" w:hAnsi="仿宋" w:eastAsia="仿宋" w:cs="仿宋"/>
          <w:color w:val="000000"/>
          <w:sz w:val="24"/>
        </w:rPr>
      </w:pPr>
    </w:p>
    <w:p>
      <w:pPr>
        <w:ind w:firstLine="421" w:firstLineChars="200"/>
        <w:jc w:val="left"/>
        <w:rPr>
          <w:rFonts w:ascii="黑体" w:hAnsi="黑体" w:eastAsia="黑体" w:cs="黑体"/>
          <w:b/>
        </w:rPr>
      </w:pPr>
      <w:r>
        <w:rPr>
          <w:rFonts w:ascii="黑体" w:hAnsi="黑体" w:eastAsia="黑体" w:cs="黑体"/>
          <w:b/>
        </w:rPr>
        <w:t xml:space="preserve"> </w:t>
      </w:r>
    </w:p>
    <w:p>
      <w:pPr>
        <w:ind w:firstLine="880" w:firstLineChars="200"/>
        <w:jc w:val="left"/>
        <w:rPr>
          <w:rFonts w:ascii="黑体" w:hAnsi="黑体" w:eastAsia="黑体" w:cs="黑体"/>
          <w:sz w:val="44"/>
        </w:rPr>
      </w:pPr>
    </w:p>
    <w:p>
      <w:pPr>
        <w:keepNext/>
        <w:keepLines/>
        <w:spacing w:before="340" w:after="330" w:line="578" w:lineRule="auto"/>
        <w:ind w:firstLine="880" w:firstLineChars="200"/>
        <w:jc w:val="center"/>
        <w:rPr>
          <w:rFonts w:ascii="黑体" w:hAnsi="黑体" w:eastAsia="黑体" w:cs="黑体"/>
          <w:b/>
          <w:sz w:val="44"/>
        </w:rPr>
      </w:pPr>
      <w:r>
        <w:rPr>
          <w:rFonts w:ascii="黑体" w:hAnsi="黑体" w:eastAsia="黑体" w:cs="黑体"/>
          <w:sz w:val="44"/>
        </w:rPr>
        <w:t>第一部分 部门概况</w:t>
      </w:r>
    </w:p>
    <w:p>
      <w:pPr>
        <w:ind w:firstLine="640" w:firstLineChars="200"/>
        <w:jc w:val="left"/>
        <w:rPr>
          <w:rFonts w:ascii="黑体" w:hAnsi="黑体" w:eastAsia="黑体" w:cs="黑体"/>
          <w:color w:val="000000"/>
          <w:sz w:val="32"/>
        </w:rPr>
      </w:pPr>
    </w:p>
    <w:p>
      <w:pPr>
        <w:keepNext/>
        <w:keepLines/>
        <w:spacing w:before="260" w:after="260" w:line="416" w:lineRule="auto"/>
        <w:ind w:firstLine="640" w:firstLineChars="200"/>
        <w:rPr>
          <w:rFonts w:ascii="仿宋" w:hAnsi="仿宋" w:eastAsia="仿宋" w:cs="仿宋"/>
          <w:sz w:val="32"/>
        </w:rPr>
      </w:pPr>
      <w:r>
        <w:rPr>
          <w:rFonts w:ascii="黑体" w:hAnsi="黑体" w:eastAsia="黑体" w:cs="黑体"/>
          <w:color w:val="000000"/>
          <w:sz w:val="32"/>
        </w:rPr>
        <w:t>一、基</w:t>
      </w:r>
      <w:r>
        <w:rPr>
          <w:rFonts w:ascii="黑体" w:hAnsi="黑体" w:eastAsia="黑体" w:cs="黑体"/>
          <w:sz w:val="32"/>
        </w:rPr>
        <w:t>本职能及主要工作</w:t>
      </w:r>
    </w:p>
    <w:p>
      <w:pPr>
        <w:spacing w:before="93" w:line="600" w:lineRule="auto"/>
        <w:ind w:firstLine="640" w:firstLineChars="200"/>
        <w:rPr>
          <w:rFonts w:ascii="仿宋" w:hAnsi="仿宋" w:eastAsia="仿宋" w:cs="仿宋"/>
          <w:color w:val="000000"/>
          <w:sz w:val="32"/>
        </w:rPr>
      </w:pPr>
      <w:r>
        <w:rPr>
          <w:rFonts w:ascii="仿宋" w:hAnsi="仿宋" w:eastAsia="仿宋" w:cs="仿宋"/>
          <w:color w:val="000000"/>
          <w:sz w:val="32"/>
        </w:rPr>
        <w:t>（一）主要职能。</w:t>
      </w:r>
    </w:p>
    <w:p>
      <w:pPr>
        <w:spacing w:line="560" w:lineRule="exact"/>
        <w:ind w:firstLine="640" w:firstLineChars="200"/>
        <w:rPr>
          <w:rFonts w:ascii="仿宋" w:hAnsi="仿宋" w:eastAsia="仿宋" w:cs="仿宋"/>
          <w:color w:val="000000"/>
          <w:sz w:val="32"/>
        </w:rPr>
      </w:pPr>
      <w:r>
        <w:rPr>
          <w:rFonts w:hint="eastAsia" w:ascii="仿宋" w:hAnsi="仿宋" w:eastAsia="仿宋" w:cs="仿宋"/>
          <w:color w:val="000000"/>
          <w:sz w:val="32"/>
        </w:rPr>
        <w:t>红原县新华书店作为党的思想宣传重要阵地，是先进文化的基本传播载体，承担着传播主流文化、传承民族文化、提高民族素质的重大使命，承担着为现代化建设提供精神动力、智力支持的重要任务，同时还担负着教材的发行工作，主要负责全县一般书籍、中小学教材的征订发行工作。发挥重要的经济作用，担负着重要的政治职能，提供大量的社会服务，履行文化传播职能。</w:t>
      </w:r>
    </w:p>
    <w:p>
      <w:pPr>
        <w:spacing w:before="93" w:line="600" w:lineRule="auto"/>
        <w:ind w:firstLine="640" w:firstLineChars="200"/>
        <w:rPr>
          <w:rFonts w:ascii="仿宋" w:hAnsi="仿宋" w:eastAsia="仿宋" w:cs="仿宋"/>
          <w:color w:val="000000"/>
          <w:sz w:val="32"/>
        </w:rPr>
      </w:pPr>
      <w:r>
        <w:rPr>
          <w:rFonts w:ascii="仿宋" w:hAnsi="仿宋" w:eastAsia="仿宋" w:cs="仿宋"/>
          <w:color w:val="000000"/>
          <w:sz w:val="32"/>
        </w:rPr>
        <w:t>（二）2018年重点工作完成情况。</w:t>
      </w:r>
    </w:p>
    <w:p>
      <w:pPr>
        <w:spacing w:before="93" w:line="600" w:lineRule="auto"/>
        <w:ind w:firstLine="640" w:firstLineChars="200"/>
        <w:rPr>
          <w:rFonts w:ascii="仿宋" w:hAnsi="仿宋" w:eastAsia="仿宋" w:cs="仿宋"/>
          <w:color w:val="000000"/>
          <w:sz w:val="32"/>
        </w:rPr>
      </w:pPr>
      <w:r>
        <w:rPr>
          <w:rFonts w:hint="eastAsia" w:ascii="仿宋" w:hAnsi="仿宋" w:eastAsia="仿宋" w:cs="仿宋"/>
          <w:color w:val="000000"/>
          <w:sz w:val="32"/>
        </w:rPr>
        <w:t>1、2018年度，我店与县文体广新局共同高度重视党建工作，党建工作显著。</w:t>
      </w:r>
    </w:p>
    <w:p>
      <w:pPr>
        <w:spacing w:before="93" w:line="600" w:lineRule="auto"/>
        <w:ind w:firstLine="640" w:firstLineChars="200"/>
        <w:rPr>
          <w:rFonts w:ascii="仿宋" w:hAnsi="仿宋" w:eastAsia="仿宋" w:cs="仿宋"/>
          <w:color w:val="000000"/>
          <w:sz w:val="32"/>
        </w:rPr>
      </w:pPr>
      <w:r>
        <w:rPr>
          <w:rFonts w:hint="eastAsia" w:ascii="仿宋" w:hAnsi="仿宋" w:eastAsia="仿宋" w:cs="仿宋"/>
          <w:color w:val="000000"/>
          <w:sz w:val="32"/>
        </w:rPr>
        <w:t xml:space="preserve"> 2、2018年度，我店与县文体广新局共同深入推进党委领导与法人治理相结合，制度完善，党组织领导有力，政治核心作用充分发挥。</w:t>
      </w:r>
    </w:p>
    <w:p>
      <w:pPr>
        <w:spacing w:before="93" w:line="600" w:lineRule="auto"/>
        <w:ind w:firstLine="640" w:firstLineChars="200"/>
        <w:rPr>
          <w:rFonts w:ascii="仿宋" w:hAnsi="仿宋" w:eastAsia="仿宋" w:cs="仿宋"/>
          <w:color w:val="000000"/>
          <w:sz w:val="32"/>
        </w:rPr>
      </w:pPr>
      <w:r>
        <w:rPr>
          <w:rFonts w:hint="eastAsia" w:ascii="仿宋" w:hAnsi="仿宋" w:eastAsia="仿宋" w:cs="仿宋"/>
          <w:color w:val="000000"/>
          <w:sz w:val="32"/>
        </w:rPr>
        <w:t xml:space="preserve"> 3、2018年度，我店与县文体广新局共同认真落实党风廉政建设主体责任，未出现重大违规违纪问题。</w:t>
      </w:r>
    </w:p>
    <w:p>
      <w:pPr>
        <w:spacing w:before="93" w:line="600" w:lineRule="auto"/>
        <w:ind w:firstLine="640" w:firstLineChars="200"/>
        <w:rPr>
          <w:rFonts w:ascii="仿宋" w:hAnsi="仿宋" w:eastAsia="仿宋" w:cs="仿宋"/>
          <w:color w:val="000000"/>
          <w:sz w:val="32"/>
        </w:rPr>
      </w:pPr>
      <w:r>
        <w:rPr>
          <w:rFonts w:hint="eastAsia" w:ascii="仿宋" w:hAnsi="仿宋" w:eastAsia="仿宋" w:cs="仿宋"/>
          <w:color w:val="000000"/>
          <w:sz w:val="32"/>
        </w:rPr>
        <w:t xml:space="preserve"> 4、2018年度，我店加强了职工思想教育和文化建设，组织职工职工每周一早上开会学习，对职工进行思想和文化的素质教育，把社会效益放在首位，再紧抓经济效益。</w:t>
      </w:r>
    </w:p>
    <w:p>
      <w:pPr>
        <w:spacing w:before="93" w:line="600" w:lineRule="auto"/>
        <w:ind w:firstLine="640" w:firstLineChars="200"/>
        <w:rPr>
          <w:rFonts w:ascii="仿宋" w:hAnsi="仿宋" w:eastAsia="仿宋" w:cs="仿宋"/>
          <w:color w:val="000000"/>
          <w:sz w:val="32"/>
        </w:rPr>
      </w:pPr>
      <w:r>
        <w:rPr>
          <w:rFonts w:hint="eastAsia" w:ascii="仿宋" w:hAnsi="仿宋" w:eastAsia="仿宋" w:cs="仿宋"/>
          <w:color w:val="000000"/>
          <w:sz w:val="32"/>
        </w:rPr>
        <w:t xml:space="preserve"> 5、我公司产权清晰，房产证和土地证都具备。在县文广新局的帮助和指导下，建立建全了一套适合我店的管理制度。</w:t>
      </w:r>
    </w:p>
    <w:p>
      <w:pPr>
        <w:spacing w:before="93" w:line="600" w:lineRule="auto"/>
        <w:ind w:firstLine="640" w:firstLineChars="200"/>
        <w:rPr>
          <w:rFonts w:ascii="仿宋" w:hAnsi="仿宋" w:eastAsia="仿宋" w:cs="仿宋"/>
          <w:color w:val="000000"/>
          <w:sz w:val="32"/>
        </w:rPr>
      </w:pPr>
      <w:r>
        <w:rPr>
          <w:rFonts w:hint="eastAsia" w:ascii="仿宋" w:hAnsi="仿宋" w:eastAsia="仿宋" w:cs="仿宋"/>
          <w:color w:val="000000"/>
          <w:sz w:val="32"/>
        </w:rPr>
        <w:t>6、我店加强了内设机构，分别设立了门市部、教材科、财务室和经理室。对门市部和教材科分别签订了销售目标责任制，实行销售奖惩制度。</w:t>
      </w:r>
    </w:p>
    <w:p>
      <w:pPr>
        <w:spacing w:before="93" w:line="600" w:lineRule="auto"/>
        <w:ind w:firstLine="640" w:firstLineChars="200"/>
        <w:rPr>
          <w:rFonts w:ascii="仿宋" w:hAnsi="仿宋" w:eastAsia="仿宋" w:cs="仿宋"/>
          <w:color w:val="000000"/>
          <w:sz w:val="32"/>
        </w:rPr>
      </w:pPr>
      <w:r>
        <w:rPr>
          <w:rFonts w:hint="eastAsia" w:ascii="仿宋" w:hAnsi="仿宋" w:eastAsia="仿宋" w:cs="仿宋"/>
          <w:color w:val="000000"/>
          <w:sz w:val="32"/>
        </w:rPr>
        <w:t>7、为进一步贯彻执行中共中央、国务院《关于进一步推进国有企业贯彻落实“三中一大”决策制度的意见》精神，我店坚持依法决策，凡是有重大事项决策，重大安排和大额度资金运作事项，必须通过我店职工共同商量并上报文体广新局领导并征求领导的同意。我店坚持民主决策，按照“集体领导、民主集中、个别酝酿、会议决定”的要求进行决策，保证权力正确行使。</w:t>
      </w:r>
    </w:p>
    <w:p>
      <w:pPr>
        <w:spacing w:before="93" w:line="600" w:lineRule="auto"/>
        <w:ind w:firstLine="640" w:firstLineChars="200"/>
        <w:rPr>
          <w:rFonts w:ascii="仿宋" w:hAnsi="仿宋" w:eastAsia="仿宋" w:cs="仿宋"/>
          <w:color w:val="000000"/>
          <w:sz w:val="32"/>
        </w:rPr>
      </w:pPr>
      <w:r>
        <w:rPr>
          <w:rFonts w:hint="eastAsia" w:ascii="仿宋" w:hAnsi="仿宋" w:eastAsia="仿宋" w:cs="仿宋"/>
          <w:color w:val="000000"/>
          <w:sz w:val="32"/>
        </w:rPr>
        <w:t>8、2018年度，我店建立了安全责任制，大家高度重视防火防盗，全年未出现安全事故。</w:t>
      </w:r>
    </w:p>
    <w:p>
      <w:pPr>
        <w:spacing w:before="93" w:line="600" w:lineRule="auto"/>
        <w:ind w:firstLine="640" w:firstLineChars="200"/>
        <w:rPr>
          <w:rFonts w:ascii="仿宋" w:hAnsi="仿宋" w:eastAsia="仿宋" w:cs="仿宋"/>
          <w:color w:val="000000"/>
          <w:sz w:val="32"/>
        </w:rPr>
      </w:pPr>
      <w:r>
        <w:rPr>
          <w:rFonts w:hint="eastAsia" w:ascii="仿宋" w:hAnsi="仿宋" w:eastAsia="仿宋" w:cs="仿宋"/>
          <w:color w:val="000000"/>
          <w:sz w:val="32"/>
        </w:rPr>
        <w:t>9、2018年度，我店高度重视县委、县宣传部和县组织部要求征订的党和国家重要文献，没有到书店来领取的单位 ，我们还亲自送到单位上去。</w:t>
      </w:r>
    </w:p>
    <w:p>
      <w:pPr>
        <w:spacing w:before="93" w:line="600" w:lineRule="auto"/>
        <w:ind w:firstLine="640" w:firstLineChars="200"/>
        <w:rPr>
          <w:rFonts w:ascii="仿宋" w:hAnsi="仿宋" w:eastAsia="仿宋" w:cs="仿宋"/>
          <w:color w:val="000000"/>
          <w:sz w:val="32"/>
        </w:rPr>
      </w:pPr>
      <w:r>
        <w:rPr>
          <w:rFonts w:hint="eastAsia" w:ascii="仿宋" w:hAnsi="仿宋" w:eastAsia="仿宋" w:cs="仿宋"/>
          <w:color w:val="000000"/>
          <w:sz w:val="32"/>
        </w:rPr>
        <w:t>10、 对重点主题出版物的发行工作，我店高度重视，加强宣传推广，大力开拓市场，尽最大努力扩大发行量。</w:t>
      </w:r>
    </w:p>
    <w:p>
      <w:pPr>
        <w:spacing w:before="93" w:line="600" w:lineRule="auto"/>
        <w:ind w:firstLine="640" w:firstLineChars="200"/>
        <w:rPr>
          <w:rFonts w:ascii="仿宋" w:hAnsi="仿宋" w:eastAsia="仿宋" w:cs="仿宋"/>
          <w:color w:val="000000"/>
          <w:sz w:val="32"/>
        </w:rPr>
      </w:pPr>
      <w:r>
        <w:rPr>
          <w:rFonts w:hint="eastAsia" w:ascii="仿宋" w:hAnsi="仿宋" w:eastAsia="仿宋" w:cs="仿宋"/>
          <w:color w:val="000000"/>
          <w:sz w:val="32"/>
        </w:rPr>
        <w:t>11、对主旋律出版物发行工作，我店也高度重视，精心组织，开展主题活动，采取多种措施，大力开拓市场，有效扩大发行量。</w:t>
      </w:r>
    </w:p>
    <w:p>
      <w:pPr>
        <w:spacing w:before="93" w:line="600" w:lineRule="auto"/>
        <w:ind w:firstLine="640" w:firstLineChars="200"/>
        <w:rPr>
          <w:rFonts w:ascii="仿宋" w:hAnsi="仿宋" w:eastAsia="仿宋" w:cs="仿宋"/>
          <w:color w:val="000000"/>
          <w:sz w:val="32"/>
        </w:rPr>
      </w:pPr>
      <w:r>
        <w:rPr>
          <w:rFonts w:hint="eastAsia" w:ascii="仿宋" w:hAnsi="仿宋" w:eastAsia="仿宋" w:cs="仿宋"/>
          <w:color w:val="000000"/>
          <w:sz w:val="32"/>
        </w:rPr>
        <w:t>12、每次进货，我们都严格把关，强化精品意识，坚持为读者提供高品位的精神文化产品，不断扩大优秀大众读物的发行量。</w:t>
      </w:r>
    </w:p>
    <w:p>
      <w:pPr>
        <w:spacing w:before="93" w:line="600" w:lineRule="auto"/>
        <w:ind w:firstLine="640" w:firstLineChars="200"/>
        <w:rPr>
          <w:rFonts w:ascii="仿宋" w:hAnsi="仿宋" w:eastAsia="仿宋" w:cs="仿宋"/>
          <w:color w:val="000000"/>
          <w:sz w:val="32"/>
        </w:rPr>
      </w:pPr>
      <w:r>
        <w:rPr>
          <w:rFonts w:hint="eastAsia" w:ascii="仿宋" w:hAnsi="仿宋" w:eastAsia="仿宋" w:cs="仿宋"/>
          <w:color w:val="000000"/>
          <w:sz w:val="32"/>
        </w:rPr>
        <w:t>13、我店一直以来守法经营，我店部分职工在县文广新局办理和取得了《文化市场执法证》，严格把好非法出版物进货关，2018年度，我店未出现销售非法出版物等违法违规行为。</w:t>
      </w:r>
    </w:p>
    <w:p>
      <w:pPr>
        <w:spacing w:before="93" w:line="600" w:lineRule="auto"/>
        <w:ind w:firstLine="640" w:firstLineChars="200"/>
        <w:rPr>
          <w:rFonts w:ascii="仿宋" w:hAnsi="仿宋" w:eastAsia="仿宋" w:cs="仿宋"/>
          <w:color w:val="000000"/>
          <w:sz w:val="32"/>
        </w:rPr>
      </w:pPr>
      <w:r>
        <w:rPr>
          <w:rFonts w:hint="eastAsia" w:ascii="仿宋" w:hAnsi="仿宋" w:eastAsia="仿宋" w:cs="仿宋"/>
          <w:color w:val="000000"/>
          <w:sz w:val="32"/>
        </w:rPr>
        <w:t>14、2018年度，我店自觉传播健康向上文化，坚持以图书质量作为标准，发好书，卖好书。</w:t>
      </w:r>
    </w:p>
    <w:p>
      <w:pPr>
        <w:spacing w:before="93" w:line="600" w:lineRule="auto"/>
        <w:ind w:firstLine="640" w:firstLineChars="200"/>
        <w:rPr>
          <w:rFonts w:ascii="仿宋" w:hAnsi="仿宋" w:eastAsia="仿宋" w:cs="仿宋"/>
          <w:color w:val="000000"/>
          <w:sz w:val="32"/>
        </w:rPr>
      </w:pPr>
      <w:r>
        <w:rPr>
          <w:rFonts w:hint="eastAsia" w:ascii="仿宋" w:hAnsi="仿宋" w:eastAsia="仿宋" w:cs="仿宋"/>
          <w:color w:val="000000"/>
          <w:sz w:val="32"/>
        </w:rPr>
        <w:t>15、2018年度，我店加强自律，提供正确市场信息，未从事不正当经营行为。</w:t>
      </w:r>
    </w:p>
    <w:p>
      <w:pPr>
        <w:spacing w:before="93" w:line="600" w:lineRule="auto"/>
        <w:ind w:firstLine="640" w:firstLineChars="200"/>
        <w:rPr>
          <w:rFonts w:ascii="仿宋" w:hAnsi="仿宋" w:eastAsia="仿宋" w:cs="仿宋"/>
          <w:color w:val="000000"/>
          <w:sz w:val="32"/>
        </w:rPr>
      </w:pPr>
      <w:r>
        <w:rPr>
          <w:rFonts w:hint="eastAsia" w:ascii="仿宋" w:hAnsi="仿宋" w:eastAsia="仿宋" w:cs="仿宋"/>
          <w:color w:val="000000"/>
          <w:sz w:val="32"/>
        </w:rPr>
        <w:t>16、2018年度，我店坚持诚信经营，未出现破坏行为秩序、违背职业道德等行为。</w:t>
      </w:r>
    </w:p>
    <w:p>
      <w:pPr>
        <w:spacing w:before="93" w:line="600" w:lineRule="auto"/>
        <w:ind w:firstLine="640" w:firstLineChars="200"/>
        <w:rPr>
          <w:rFonts w:ascii="仿宋" w:hAnsi="仿宋" w:eastAsia="仿宋" w:cs="仿宋"/>
          <w:color w:val="000000"/>
          <w:sz w:val="32"/>
        </w:rPr>
      </w:pPr>
      <w:r>
        <w:rPr>
          <w:rFonts w:hint="eastAsia" w:ascii="仿宋" w:hAnsi="仿宋" w:eastAsia="仿宋" w:cs="仿宋"/>
          <w:color w:val="000000"/>
          <w:sz w:val="32"/>
        </w:rPr>
        <w:t>17、因为红原县城太小，我店没办法增加城市网点数量，但是我们服务态度、服务质量和服务功能在不断强化。</w:t>
      </w:r>
    </w:p>
    <w:p>
      <w:pPr>
        <w:spacing w:before="93" w:line="600" w:lineRule="auto"/>
        <w:ind w:firstLine="640" w:firstLineChars="200"/>
        <w:rPr>
          <w:rFonts w:ascii="仿宋" w:hAnsi="仿宋" w:eastAsia="仿宋" w:cs="仿宋"/>
          <w:color w:val="000000"/>
          <w:sz w:val="32"/>
        </w:rPr>
      </w:pPr>
      <w:r>
        <w:rPr>
          <w:rFonts w:hint="eastAsia" w:ascii="仿宋" w:hAnsi="仿宋" w:eastAsia="仿宋" w:cs="仿宋"/>
          <w:color w:val="000000"/>
          <w:sz w:val="32"/>
        </w:rPr>
        <w:t>18、2018年度，我店达到了县县有新华书店的目标。</w:t>
      </w:r>
    </w:p>
    <w:p>
      <w:pPr>
        <w:spacing w:before="93" w:line="600" w:lineRule="auto"/>
        <w:ind w:firstLine="640" w:firstLineChars="200"/>
        <w:rPr>
          <w:rFonts w:ascii="仿宋" w:hAnsi="仿宋" w:eastAsia="仿宋" w:cs="仿宋"/>
          <w:color w:val="000000"/>
          <w:sz w:val="32"/>
        </w:rPr>
      </w:pPr>
      <w:r>
        <w:rPr>
          <w:rFonts w:hint="eastAsia" w:ascii="仿宋" w:hAnsi="仿宋" w:eastAsia="仿宋" w:cs="仿宋"/>
          <w:color w:val="000000"/>
          <w:sz w:val="32"/>
        </w:rPr>
        <w:t>19、2018年度，在县文广新局的帮助下，我县乡镇网点数量有所增加。</w:t>
      </w:r>
    </w:p>
    <w:p>
      <w:pPr>
        <w:spacing w:before="93" w:line="600" w:lineRule="auto"/>
        <w:ind w:firstLine="640" w:firstLineChars="200"/>
        <w:rPr>
          <w:rFonts w:ascii="仿宋" w:hAnsi="仿宋" w:eastAsia="仿宋" w:cs="仿宋"/>
          <w:color w:val="000000"/>
          <w:sz w:val="32"/>
        </w:rPr>
      </w:pPr>
      <w:r>
        <w:rPr>
          <w:rFonts w:hint="eastAsia" w:ascii="仿宋" w:hAnsi="仿宋" w:eastAsia="仿宋" w:cs="仿宋"/>
          <w:color w:val="000000"/>
          <w:sz w:val="32"/>
        </w:rPr>
        <w:t>20、我店2018年按要求完成了农村流动售书任务。</w:t>
      </w:r>
    </w:p>
    <w:p>
      <w:pPr>
        <w:spacing w:before="93" w:line="600" w:lineRule="auto"/>
        <w:ind w:firstLine="640" w:firstLineChars="200"/>
        <w:rPr>
          <w:rFonts w:ascii="仿宋" w:hAnsi="仿宋" w:eastAsia="仿宋" w:cs="仿宋"/>
          <w:color w:val="000000"/>
          <w:sz w:val="32"/>
        </w:rPr>
      </w:pPr>
      <w:r>
        <w:rPr>
          <w:rFonts w:hint="eastAsia" w:ascii="仿宋" w:hAnsi="仿宋" w:eastAsia="仿宋" w:cs="仿宋"/>
          <w:color w:val="000000"/>
          <w:sz w:val="32"/>
        </w:rPr>
        <w:t>21、2018年度，我店开展群众读书活动12次，优惠展销和流动售书12次，全年营业时间超过了3600小时。</w:t>
      </w:r>
    </w:p>
    <w:p>
      <w:pPr>
        <w:spacing w:before="93" w:line="600" w:lineRule="auto"/>
        <w:ind w:firstLine="640" w:firstLineChars="200"/>
        <w:rPr>
          <w:rFonts w:ascii="仿宋" w:hAnsi="仿宋" w:eastAsia="仿宋" w:cs="仿宋"/>
          <w:color w:val="000000"/>
          <w:sz w:val="32"/>
        </w:rPr>
      </w:pPr>
      <w:r>
        <w:rPr>
          <w:rFonts w:hint="eastAsia" w:ascii="仿宋" w:hAnsi="仿宋" w:eastAsia="仿宋" w:cs="仿宋"/>
          <w:color w:val="000000"/>
          <w:sz w:val="32"/>
        </w:rPr>
        <w:t>22、2018年度，我店按要求完成了中小学教材发行，做到了“课前到书、人手一册”。2018年度，也圆满完成了农家书屋出版物配送等政府采购项目。</w:t>
      </w:r>
    </w:p>
    <w:p>
      <w:pPr>
        <w:spacing w:before="93" w:line="600" w:lineRule="auto"/>
        <w:ind w:firstLine="640" w:firstLineChars="200"/>
        <w:rPr>
          <w:rFonts w:ascii="仿宋" w:hAnsi="仿宋" w:eastAsia="仿宋" w:cs="仿宋"/>
          <w:color w:val="000000"/>
          <w:sz w:val="32"/>
        </w:rPr>
      </w:pPr>
      <w:r>
        <w:rPr>
          <w:rFonts w:hint="eastAsia" w:ascii="仿宋" w:hAnsi="仿宋" w:eastAsia="仿宋" w:cs="仿宋"/>
          <w:color w:val="000000"/>
          <w:sz w:val="32"/>
        </w:rPr>
        <w:t>23、2018年度，我店认真履行新华书店的社会责任，积极响应政府号召，加大公益服务投入，在开展相关公益活动中取得了良好成效。</w:t>
      </w:r>
    </w:p>
    <w:p>
      <w:pPr>
        <w:spacing w:before="93" w:line="600" w:lineRule="auto"/>
        <w:ind w:firstLine="640" w:firstLineChars="200"/>
        <w:rPr>
          <w:rFonts w:ascii="仿宋" w:hAnsi="仿宋" w:eastAsia="仿宋" w:cs="仿宋"/>
          <w:color w:val="000000"/>
          <w:sz w:val="32"/>
        </w:rPr>
      </w:pPr>
      <w:r>
        <w:rPr>
          <w:rFonts w:hint="eastAsia" w:ascii="仿宋" w:hAnsi="仿宋" w:eastAsia="仿宋" w:cs="仿宋"/>
          <w:color w:val="000000"/>
          <w:sz w:val="32"/>
        </w:rPr>
        <w:t>24、2018年度，我店也积极参与红原县爱心捐赠、助学助困等社会公益活动。</w:t>
      </w:r>
    </w:p>
    <w:p>
      <w:pPr>
        <w:spacing w:before="93" w:line="600" w:lineRule="auto"/>
        <w:ind w:firstLine="640" w:firstLineChars="200"/>
        <w:rPr>
          <w:rFonts w:ascii="仿宋" w:hAnsi="仿宋" w:eastAsia="仿宋" w:cs="仿宋"/>
          <w:color w:val="000000"/>
          <w:sz w:val="32"/>
        </w:rPr>
      </w:pPr>
      <w:r>
        <w:rPr>
          <w:rFonts w:hint="eastAsia" w:ascii="仿宋" w:hAnsi="仿宋" w:eastAsia="仿宋" w:cs="仿宋"/>
          <w:color w:val="000000"/>
          <w:sz w:val="32"/>
        </w:rPr>
        <w:t>25、2018年度，图书、课本等出版物销售额的主要指标保持增长。</w:t>
      </w:r>
    </w:p>
    <w:p>
      <w:pPr>
        <w:spacing w:before="93" w:line="600" w:lineRule="auto"/>
        <w:ind w:firstLine="640" w:firstLineChars="200"/>
        <w:rPr>
          <w:rFonts w:ascii="仿宋" w:hAnsi="仿宋" w:eastAsia="仿宋" w:cs="仿宋"/>
          <w:color w:val="000000"/>
          <w:sz w:val="32"/>
        </w:rPr>
      </w:pPr>
      <w:r>
        <w:rPr>
          <w:rFonts w:hint="eastAsia" w:ascii="仿宋" w:hAnsi="仿宋" w:eastAsia="仿宋" w:cs="仿宋"/>
          <w:color w:val="000000"/>
          <w:sz w:val="32"/>
        </w:rPr>
        <w:t>26、2018年度，我店加大进货渠道、提高进货质量和服务质量，取得了一定的经济效益。</w:t>
      </w:r>
    </w:p>
    <w:p>
      <w:pPr>
        <w:spacing w:before="93" w:line="600" w:lineRule="auto"/>
        <w:ind w:firstLine="640" w:firstLineChars="200"/>
        <w:rPr>
          <w:rFonts w:ascii="仿宋" w:hAnsi="仿宋" w:eastAsia="仿宋" w:cs="仿宋"/>
          <w:color w:val="000000"/>
          <w:sz w:val="32"/>
        </w:rPr>
      </w:pPr>
      <w:r>
        <w:rPr>
          <w:rFonts w:hint="eastAsia" w:ascii="仿宋" w:hAnsi="仿宋" w:eastAsia="仿宋" w:cs="仿宋"/>
          <w:color w:val="000000"/>
          <w:sz w:val="32"/>
        </w:rPr>
        <w:t>27、2018年度，，我店充分运用互联网、物联网等新技术，提高管理水平，促进物流智能化，推进了线上线下协调发展。</w:t>
      </w:r>
    </w:p>
    <w:p>
      <w:pPr>
        <w:spacing w:before="93" w:line="600" w:lineRule="auto"/>
        <w:ind w:firstLine="640" w:firstLineChars="200"/>
        <w:rPr>
          <w:rFonts w:ascii="仿宋" w:hAnsi="仿宋" w:eastAsia="仿宋" w:cs="仿宋"/>
          <w:color w:val="000000"/>
          <w:sz w:val="32"/>
        </w:rPr>
      </w:pPr>
      <w:r>
        <w:rPr>
          <w:rFonts w:hint="eastAsia" w:ascii="仿宋" w:hAnsi="仿宋" w:eastAsia="仿宋" w:cs="仿宋"/>
          <w:color w:val="000000"/>
          <w:sz w:val="32"/>
        </w:rPr>
        <w:t>28、因为受地域限制，我店没有办法推进跨地区跨行业跨所有制并购重组或联合。</w:t>
      </w:r>
    </w:p>
    <w:p>
      <w:pPr>
        <w:spacing w:before="93" w:line="600" w:lineRule="auto"/>
        <w:ind w:firstLine="640" w:firstLineChars="200"/>
        <w:rPr>
          <w:rFonts w:ascii="仿宋" w:hAnsi="仿宋" w:eastAsia="仿宋" w:cs="仿宋"/>
          <w:color w:val="000000"/>
          <w:sz w:val="32"/>
        </w:rPr>
      </w:pPr>
      <w:r>
        <w:rPr>
          <w:rFonts w:hint="eastAsia" w:ascii="仿宋" w:hAnsi="仿宋" w:eastAsia="仿宋" w:cs="仿宋"/>
          <w:color w:val="000000"/>
          <w:sz w:val="32"/>
        </w:rPr>
        <w:t>29、因为受地域限制，我店没有办法在境外开办书店。</w:t>
      </w:r>
    </w:p>
    <w:p>
      <w:pPr>
        <w:spacing w:before="93" w:line="600" w:lineRule="auto"/>
        <w:ind w:firstLine="640" w:firstLineChars="200"/>
        <w:rPr>
          <w:rFonts w:ascii="仿宋" w:hAnsi="仿宋" w:eastAsia="仿宋" w:cs="仿宋"/>
          <w:color w:val="000000"/>
          <w:sz w:val="32"/>
        </w:rPr>
      </w:pPr>
      <w:r>
        <w:rPr>
          <w:rFonts w:hint="eastAsia" w:ascii="仿宋" w:hAnsi="仿宋" w:eastAsia="仿宋" w:cs="仿宋"/>
          <w:color w:val="000000"/>
          <w:sz w:val="32"/>
        </w:rPr>
        <w:t>30、2018年度，我店没有受到任何部门的表彰鼓励。</w:t>
      </w:r>
    </w:p>
    <w:p>
      <w:pPr>
        <w:spacing w:before="93" w:line="600" w:lineRule="auto"/>
        <w:ind w:firstLine="640" w:firstLineChars="200"/>
        <w:rPr>
          <w:rFonts w:ascii="仿宋" w:hAnsi="仿宋" w:eastAsia="仿宋" w:cs="仿宋"/>
          <w:color w:val="000000"/>
          <w:sz w:val="32"/>
        </w:rPr>
      </w:pPr>
      <w:r>
        <w:rPr>
          <w:rFonts w:hint="eastAsia" w:ascii="仿宋" w:hAnsi="仿宋" w:eastAsia="仿宋" w:cs="仿宋"/>
          <w:color w:val="000000"/>
          <w:sz w:val="32"/>
        </w:rPr>
        <w:t>31、2018年度，我店得到了出版物发行等同行单位的充分肯定。</w:t>
      </w:r>
    </w:p>
    <w:p>
      <w:pPr>
        <w:spacing w:before="93" w:line="600" w:lineRule="auto"/>
        <w:ind w:firstLine="640" w:firstLineChars="200"/>
        <w:rPr>
          <w:rFonts w:ascii="仿宋" w:hAnsi="仿宋" w:eastAsia="仿宋" w:cs="仿宋"/>
          <w:color w:val="000000"/>
          <w:sz w:val="32"/>
        </w:rPr>
      </w:pPr>
      <w:r>
        <w:rPr>
          <w:rFonts w:hint="eastAsia" w:ascii="仿宋" w:hAnsi="仿宋" w:eastAsia="仿宋" w:cs="仿宋"/>
          <w:color w:val="000000"/>
          <w:sz w:val="32"/>
        </w:rPr>
        <w:t>32、2018年度，我店在红原县具有较强的社会影响力，在读者和群众当中具有较强的社会影响力。</w:t>
      </w:r>
    </w:p>
    <w:p>
      <w:pPr>
        <w:spacing w:before="93" w:line="600" w:lineRule="auto"/>
        <w:ind w:firstLine="640" w:firstLineChars="200"/>
        <w:rPr>
          <w:rFonts w:ascii="仿宋" w:hAnsi="仿宋" w:eastAsia="仿宋" w:cs="仿宋"/>
          <w:color w:val="000000"/>
          <w:sz w:val="32"/>
        </w:rPr>
      </w:pPr>
      <w:r>
        <w:rPr>
          <w:rFonts w:hint="eastAsia" w:ascii="仿宋" w:hAnsi="仿宋" w:eastAsia="仿宋" w:cs="仿宋"/>
          <w:color w:val="000000"/>
          <w:sz w:val="32"/>
        </w:rPr>
        <w:t>2018年度，虽然我们工作中取得了一定成绩，但也存在着一些不足，一:职工的思想素养和知识结构还不能完全适应迅速变化的新形势。二：服务文化建设不够深入，任然在起步当中。通过这次自查自评，我们一定努力提高社会效益和经济效益，不断提高新华书店创新发展能力，加大优秀出版物供给，更好地履行社会责任、服务广大群众，为红原的精神文明建设和物质建设添砖增瓦。</w:t>
      </w:r>
    </w:p>
    <w:p>
      <w:pPr>
        <w:keepNext/>
        <w:keepLines/>
        <w:spacing w:before="260" w:after="260" w:line="416" w:lineRule="auto"/>
        <w:ind w:firstLine="640" w:firstLineChars="200"/>
        <w:rPr>
          <w:rFonts w:ascii="Cambria" w:hAnsi="Cambria" w:eastAsia="Cambria" w:cs="Cambria"/>
          <w:sz w:val="32"/>
        </w:rPr>
      </w:pPr>
      <w:r>
        <w:rPr>
          <w:rFonts w:ascii="黑体" w:hAnsi="黑体" w:eastAsia="黑体" w:cs="黑体"/>
          <w:color w:val="000000"/>
          <w:sz w:val="32"/>
        </w:rPr>
        <w:t>二、机</w:t>
      </w:r>
      <w:r>
        <w:rPr>
          <w:rFonts w:ascii="黑体" w:hAnsi="黑体" w:eastAsia="黑体" w:cs="黑体"/>
          <w:sz w:val="32"/>
        </w:rPr>
        <w:t>构设置</w:t>
      </w:r>
    </w:p>
    <w:p>
      <w:pPr>
        <w:snapToGrid w:val="0"/>
        <w:spacing w:line="520" w:lineRule="exact"/>
        <w:ind w:firstLine="640" w:firstLineChars="200"/>
        <w:rPr>
          <w:rFonts w:ascii="仿宋_GB2312" w:hAnsi="仿宋" w:eastAsia="仿宋_GB2312"/>
          <w:sz w:val="32"/>
          <w:szCs w:val="32"/>
        </w:rPr>
      </w:pPr>
      <w:r>
        <w:rPr>
          <w:rFonts w:hint="eastAsia" w:ascii="仿宋_GB2312" w:hAnsi="仿宋_GB2312" w:eastAsia="仿宋_GB2312" w:cs="仿宋_GB2312"/>
          <w:bCs/>
          <w:sz w:val="32"/>
          <w:szCs w:val="32"/>
        </w:rPr>
        <w:t>我单位为独立核算差额拨款事业单位, 无下设机构。</w:t>
      </w:r>
    </w:p>
    <w:p>
      <w:pPr>
        <w:keepNext/>
        <w:keepLines/>
        <w:spacing w:before="340" w:after="330" w:line="578" w:lineRule="auto"/>
        <w:ind w:right="440" w:firstLine="880" w:firstLineChars="200"/>
        <w:jc w:val="right"/>
        <w:rPr>
          <w:rFonts w:ascii="黑体" w:hAnsi="黑体" w:eastAsia="黑体" w:cs="黑体"/>
          <w:sz w:val="44"/>
        </w:rPr>
      </w:pPr>
      <w:r>
        <w:rPr>
          <w:rFonts w:ascii="黑体" w:hAnsi="黑体" w:eastAsia="黑体" w:cs="黑体"/>
          <w:color w:val="000000"/>
          <w:sz w:val="44"/>
        </w:rPr>
        <w:t>第二部分</w:t>
      </w:r>
      <w:r>
        <w:rPr>
          <w:rFonts w:ascii="黑体" w:hAnsi="黑体" w:eastAsia="黑体" w:cs="黑体"/>
          <w:b/>
          <w:color w:val="000000"/>
          <w:sz w:val="44"/>
        </w:rPr>
        <w:t xml:space="preserve"> </w:t>
      </w:r>
      <w:r>
        <w:rPr>
          <w:rFonts w:ascii="黑体" w:hAnsi="黑体" w:eastAsia="黑体" w:cs="黑体"/>
          <w:sz w:val="44"/>
        </w:rPr>
        <w:t>2018年度部门决算情况明</w:t>
      </w:r>
    </w:p>
    <w:p>
      <w:pPr>
        <w:ind w:firstLine="420" w:firstLineChars="200"/>
        <w:rPr>
          <w:rFonts w:ascii="Times New Roman" w:hAnsi="Times New Roman" w:eastAsia="Times New Roman" w:cs="Times New Roman"/>
        </w:rPr>
      </w:pPr>
    </w:p>
    <w:p>
      <w:pPr>
        <w:numPr>
          <w:ilvl w:val="0"/>
          <w:numId w:val="1"/>
        </w:numPr>
        <w:spacing w:line="600" w:lineRule="auto"/>
        <w:ind w:left="1360" w:firstLine="640" w:firstLineChars="200"/>
        <w:rPr>
          <w:rFonts w:ascii="黑体" w:hAnsi="黑体" w:eastAsia="黑体" w:cs="黑体"/>
          <w:sz w:val="32"/>
        </w:rPr>
      </w:pPr>
      <w:r>
        <w:rPr>
          <w:rFonts w:ascii="黑体" w:hAnsi="黑体" w:eastAsia="黑体" w:cs="黑体"/>
          <w:color w:val="000000"/>
          <w:sz w:val="32"/>
        </w:rPr>
        <w:t>收</w:t>
      </w:r>
      <w:r>
        <w:rPr>
          <w:rFonts w:ascii="黑体" w:hAnsi="黑体" w:eastAsia="黑体" w:cs="黑体"/>
          <w:sz w:val="32"/>
        </w:rPr>
        <w:t>入支出决算总体情况说明</w:t>
      </w:r>
    </w:p>
    <w:p>
      <w:pPr>
        <w:spacing w:line="600" w:lineRule="auto"/>
        <w:ind w:firstLine="640" w:firstLineChars="200"/>
        <w:rPr>
          <w:rFonts w:ascii="仿宋" w:hAnsi="仿宋" w:eastAsia="仿宋" w:cs="仿宋"/>
          <w:color w:val="000000" w:themeColor="text1"/>
          <w:sz w:val="32"/>
        </w:rPr>
      </w:pPr>
      <w:r>
        <w:rPr>
          <w:rFonts w:ascii="仿宋" w:hAnsi="仿宋" w:eastAsia="仿宋" w:cs="仿宋"/>
          <w:color w:val="000000" w:themeColor="text1"/>
          <w:sz w:val="32"/>
        </w:rPr>
        <w:t>2018年度收</w:t>
      </w:r>
      <w:r>
        <w:rPr>
          <w:rFonts w:hint="eastAsia" w:ascii="仿宋" w:hAnsi="仿宋" w:eastAsia="仿宋" w:cs="仿宋"/>
          <w:color w:val="000000" w:themeColor="text1"/>
          <w:sz w:val="32"/>
        </w:rPr>
        <w:t>入</w:t>
      </w:r>
      <w:r>
        <w:rPr>
          <w:rFonts w:ascii="仿宋" w:hAnsi="仿宋" w:eastAsia="仿宋" w:cs="仿宋"/>
          <w:color w:val="000000" w:themeColor="text1"/>
          <w:sz w:val="32"/>
        </w:rPr>
        <w:t>61.75</w:t>
      </w:r>
      <w:r>
        <w:rPr>
          <w:rFonts w:hint="eastAsia" w:ascii="仿宋" w:hAnsi="仿宋" w:eastAsia="仿宋" w:cs="仿宋"/>
          <w:color w:val="000000" w:themeColor="text1"/>
          <w:sz w:val="32"/>
        </w:rPr>
        <w:t>万元，</w:t>
      </w:r>
      <w:r>
        <w:rPr>
          <w:rFonts w:ascii="仿宋" w:hAnsi="仿宋" w:eastAsia="仿宋" w:cs="仿宋"/>
          <w:color w:val="000000" w:themeColor="text1"/>
          <w:sz w:val="32"/>
        </w:rPr>
        <w:t>与2017年相比，</w:t>
      </w:r>
      <w:r>
        <w:rPr>
          <w:rFonts w:hint="eastAsia" w:ascii="仿宋" w:hAnsi="仿宋" w:eastAsia="仿宋" w:cs="仿宋"/>
          <w:color w:val="000000" w:themeColor="text1"/>
          <w:sz w:val="32"/>
        </w:rPr>
        <w:t>减少186.67万元，下降75.02%，</w:t>
      </w:r>
      <w:r>
        <w:rPr>
          <w:rFonts w:ascii="仿宋" w:hAnsi="仿宋" w:eastAsia="仿宋" w:cs="仿宋"/>
          <w:color w:val="000000" w:themeColor="text1"/>
          <w:sz w:val="32"/>
        </w:rPr>
        <w:t>主要变动原因是</w:t>
      </w:r>
      <w:r>
        <w:rPr>
          <w:rFonts w:hint="eastAsia" w:ascii="仿宋" w:hAnsi="仿宋" w:eastAsia="仿宋" w:cs="仿宋"/>
          <w:color w:val="000000" w:themeColor="text1"/>
          <w:sz w:val="32"/>
        </w:rPr>
        <w:t>没有新下发的存量资金。</w:t>
      </w:r>
      <w:r>
        <w:rPr>
          <w:rFonts w:ascii="仿宋" w:hAnsi="仿宋" w:eastAsia="仿宋" w:cs="仿宋"/>
          <w:color w:val="000000" w:themeColor="text1"/>
          <w:sz w:val="32"/>
        </w:rPr>
        <w:t>支</w:t>
      </w:r>
      <w:r>
        <w:rPr>
          <w:rFonts w:hint="eastAsia" w:ascii="仿宋" w:hAnsi="仿宋" w:eastAsia="仿宋" w:cs="仿宋"/>
          <w:color w:val="000000" w:themeColor="text1"/>
          <w:sz w:val="32"/>
        </w:rPr>
        <w:t>出</w:t>
      </w:r>
      <w:r>
        <w:rPr>
          <w:rFonts w:ascii="仿宋" w:hAnsi="仿宋" w:eastAsia="仿宋" w:cs="仿宋"/>
          <w:color w:val="000000" w:themeColor="text1"/>
          <w:sz w:val="32"/>
        </w:rPr>
        <w:t>151.84万元。与2017年相比，增加</w:t>
      </w:r>
      <w:r>
        <w:rPr>
          <w:rFonts w:hint="eastAsia" w:ascii="仿宋" w:hAnsi="仿宋" w:eastAsia="仿宋" w:cs="仿宋"/>
          <w:color w:val="000000" w:themeColor="text1"/>
          <w:sz w:val="32"/>
        </w:rPr>
        <w:t>90.13</w:t>
      </w:r>
      <w:r>
        <w:rPr>
          <w:rFonts w:ascii="仿宋" w:hAnsi="仿宋" w:eastAsia="仿宋" w:cs="仿宋"/>
          <w:color w:val="000000" w:themeColor="text1"/>
          <w:sz w:val="32"/>
        </w:rPr>
        <w:t>万元</w:t>
      </w:r>
      <w:r>
        <w:rPr>
          <w:rFonts w:hint="eastAsia" w:ascii="仿宋" w:hAnsi="仿宋" w:eastAsia="仿宋" w:cs="仿宋"/>
          <w:color w:val="000000" w:themeColor="text1"/>
          <w:sz w:val="32"/>
        </w:rPr>
        <w:t>，增加40.64%</w:t>
      </w:r>
      <w:r>
        <w:rPr>
          <w:rFonts w:ascii="仿宋" w:hAnsi="仿宋" w:eastAsia="仿宋" w:cs="仿宋"/>
          <w:color w:val="000000" w:themeColor="text1"/>
          <w:sz w:val="32"/>
        </w:rPr>
        <w:t>。主要变动原因是</w:t>
      </w:r>
      <w:r>
        <w:rPr>
          <w:rFonts w:hint="eastAsia" w:ascii="仿宋" w:hAnsi="仿宋" w:eastAsia="仿宋" w:cs="仿宋"/>
          <w:color w:val="000000" w:themeColor="text1"/>
          <w:sz w:val="32"/>
        </w:rPr>
        <w:t>各类经费比去年增加。</w:t>
      </w:r>
    </w:p>
    <w:p>
      <w:pPr>
        <w:spacing w:line="600" w:lineRule="auto"/>
        <w:ind w:firstLine="640" w:firstLineChars="200"/>
        <w:rPr>
          <w:rFonts w:ascii="仿宋" w:hAnsi="仿宋" w:eastAsia="仿宋" w:cs="仿宋"/>
          <w:color w:val="000000"/>
          <w:sz w:val="32"/>
        </w:rPr>
      </w:pPr>
      <w:r>
        <w:rPr>
          <w:rFonts w:ascii="仿宋" w:hAnsi="仿宋" w:eastAsia="仿宋" w:cs="仿宋"/>
          <w:color w:val="000000"/>
          <w:sz w:val="32"/>
        </w:rPr>
        <w:t>（图1：收、支决算总计变动情况图）（柱状图）</w:t>
      </w:r>
    </w:p>
    <w:p>
      <w:pPr>
        <w:spacing w:line="600" w:lineRule="auto"/>
        <w:ind w:firstLine="420" w:firstLineChars="200"/>
        <w:jc w:val="left"/>
        <w:rPr>
          <w:rFonts w:ascii="仿宋_GB2312" w:hAnsi="仿宋_GB2312" w:eastAsia="仿宋_GB2312" w:cs="仿宋_GB2312"/>
          <w:color w:val="000000"/>
          <w:sz w:val="32"/>
        </w:rPr>
      </w:pPr>
      <w:r>
        <w:drawing>
          <wp:inline distT="0" distB="0" distL="0" distR="0">
            <wp:extent cx="2752725" cy="1828800"/>
            <wp:effectExtent l="0" t="0" r="0" b="0"/>
            <wp:docPr id="1" name="对象 1"/>
            <wp:cNvGraphicFramePr>
              <a:graphicFrameLocks xmlns:a="http://schemas.openxmlformats.org/drawingml/2006/main" noChangeAspect="true"/>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numPr>
          <w:ilvl w:val="0"/>
          <w:numId w:val="2"/>
        </w:numPr>
        <w:spacing w:line="600" w:lineRule="auto"/>
        <w:ind w:left="1360" w:firstLine="640" w:firstLineChars="200"/>
        <w:rPr>
          <w:rFonts w:ascii="黑体" w:hAnsi="黑体" w:eastAsia="黑体" w:cs="黑体"/>
          <w:sz w:val="32"/>
        </w:rPr>
      </w:pPr>
      <w:r>
        <w:rPr>
          <w:rFonts w:ascii="黑体" w:hAnsi="黑体" w:eastAsia="黑体" w:cs="黑体"/>
          <w:color w:val="000000"/>
          <w:sz w:val="32"/>
        </w:rPr>
        <w:t>收</w:t>
      </w:r>
      <w:r>
        <w:rPr>
          <w:rFonts w:ascii="黑体" w:hAnsi="黑体" w:eastAsia="黑体" w:cs="黑体"/>
          <w:sz w:val="32"/>
        </w:rPr>
        <w:t>入决算情况说明</w:t>
      </w:r>
    </w:p>
    <w:p>
      <w:pPr>
        <w:spacing w:line="600" w:lineRule="auto"/>
        <w:ind w:firstLine="640" w:firstLineChars="200"/>
        <w:rPr>
          <w:rFonts w:ascii="仿宋" w:hAnsi="仿宋" w:eastAsia="仿宋" w:cs="仿宋"/>
          <w:color w:val="000000"/>
          <w:sz w:val="32"/>
        </w:rPr>
      </w:pPr>
      <w:r>
        <w:rPr>
          <w:rFonts w:ascii="仿宋" w:hAnsi="仿宋" w:eastAsia="仿宋" w:cs="仿宋"/>
          <w:color w:val="000000"/>
          <w:sz w:val="32"/>
        </w:rPr>
        <w:t>2018年本年收入合计61.75万元，其中：一般公共预算财政拨款收入60.5万元，占</w:t>
      </w:r>
      <w:r>
        <w:rPr>
          <w:rFonts w:hint="eastAsia" w:ascii="仿宋" w:hAnsi="仿宋" w:eastAsia="仿宋" w:cs="仿宋"/>
          <w:color w:val="000000"/>
          <w:sz w:val="32"/>
        </w:rPr>
        <w:t>97.98</w:t>
      </w:r>
      <w:r>
        <w:rPr>
          <w:rFonts w:ascii="仿宋" w:hAnsi="仿宋" w:eastAsia="仿宋" w:cs="仿宋"/>
          <w:color w:val="000000"/>
          <w:sz w:val="32"/>
        </w:rPr>
        <w:t>%；事业收入1.2万元，占</w:t>
      </w:r>
      <w:r>
        <w:rPr>
          <w:rFonts w:hint="eastAsia" w:ascii="仿宋" w:hAnsi="仿宋" w:eastAsia="仿宋" w:cs="仿宋"/>
          <w:color w:val="000000"/>
          <w:sz w:val="32"/>
        </w:rPr>
        <w:t>1.94</w:t>
      </w:r>
      <w:r>
        <w:rPr>
          <w:rFonts w:ascii="仿宋" w:hAnsi="仿宋" w:eastAsia="仿宋" w:cs="仿宋"/>
          <w:color w:val="000000"/>
          <w:sz w:val="32"/>
        </w:rPr>
        <w:t>%；其他收入0.05万元，占</w:t>
      </w:r>
      <w:r>
        <w:rPr>
          <w:rFonts w:hint="eastAsia" w:ascii="仿宋" w:hAnsi="仿宋" w:eastAsia="仿宋" w:cs="仿宋"/>
          <w:color w:val="000000"/>
          <w:sz w:val="32"/>
        </w:rPr>
        <w:t>0.08</w:t>
      </w:r>
      <w:r>
        <w:rPr>
          <w:rFonts w:ascii="仿宋" w:hAnsi="仿宋" w:eastAsia="仿宋" w:cs="仿宋"/>
          <w:color w:val="000000"/>
          <w:sz w:val="32"/>
        </w:rPr>
        <w:t>%。</w:t>
      </w:r>
    </w:p>
    <w:p>
      <w:pPr>
        <w:spacing w:line="600" w:lineRule="auto"/>
        <w:ind w:firstLine="640" w:firstLineChars="200"/>
        <w:rPr>
          <w:rFonts w:ascii="仿宋" w:hAnsi="仿宋" w:eastAsia="仿宋" w:cs="仿宋"/>
          <w:color w:val="000000"/>
          <w:sz w:val="32"/>
        </w:rPr>
      </w:pPr>
      <w:r>
        <w:rPr>
          <w:rFonts w:ascii="仿宋" w:hAnsi="仿宋" w:eastAsia="仿宋" w:cs="仿宋"/>
          <w:color w:val="000000"/>
          <w:sz w:val="32"/>
        </w:rPr>
        <w:t>（图2：收入决算结构图）（饼状图）</w:t>
      </w:r>
    </w:p>
    <w:p>
      <w:pPr>
        <w:spacing w:line="600" w:lineRule="auto"/>
        <w:ind w:firstLine="420" w:firstLineChars="200"/>
        <w:rPr>
          <w:rFonts w:ascii="仿宋_GB2312" w:hAnsi="仿宋_GB2312" w:eastAsia="仿宋_GB2312" w:cs="仿宋_GB2312"/>
          <w:color w:val="FF0000"/>
          <w:sz w:val="32"/>
        </w:rPr>
      </w:pPr>
      <w:r>
        <w:drawing>
          <wp:inline distT="0" distB="0" distL="0" distR="0">
            <wp:extent cx="2752725" cy="1828800"/>
            <wp:effectExtent l="0" t="0" r="0" b="0"/>
            <wp:docPr id="4" name="对象 4"/>
            <wp:cNvGraphicFramePr>
              <a:graphicFrameLocks xmlns:a="http://schemas.openxmlformats.org/drawingml/2006/main" noChangeAspect="true"/>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numPr>
          <w:ilvl w:val="0"/>
          <w:numId w:val="3"/>
        </w:numPr>
        <w:spacing w:line="600" w:lineRule="auto"/>
        <w:ind w:left="1360" w:firstLine="640" w:firstLineChars="200"/>
        <w:rPr>
          <w:rFonts w:ascii="黑体" w:hAnsi="黑体" w:eastAsia="黑体" w:cs="黑体"/>
          <w:sz w:val="32"/>
        </w:rPr>
      </w:pPr>
      <w:r>
        <w:rPr>
          <w:rFonts w:ascii="黑体" w:hAnsi="黑体" w:eastAsia="黑体" w:cs="黑体"/>
          <w:color w:val="000000"/>
          <w:sz w:val="32"/>
        </w:rPr>
        <w:t>支</w:t>
      </w:r>
      <w:r>
        <w:rPr>
          <w:rFonts w:ascii="黑体" w:hAnsi="黑体" w:eastAsia="黑体" w:cs="黑体"/>
          <w:sz w:val="32"/>
        </w:rPr>
        <w:t>出决算情况说明</w:t>
      </w:r>
    </w:p>
    <w:p>
      <w:pPr>
        <w:spacing w:line="600" w:lineRule="auto"/>
        <w:ind w:firstLine="640" w:firstLineChars="200"/>
        <w:rPr>
          <w:rFonts w:ascii="仿宋" w:hAnsi="仿宋" w:eastAsia="仿宋" w:cs="仿宋"/>
          <w:color w:val="000000"/>
          <w:sz w:val="32"/>
          <w:shd w:val="clear" w:color="auto" w:fill="FFFFFF"/>
        </w:rPr>
      </w:pPr>
      <w:r>
        <w:rPr>
          <w:rFonts w:ascii="仿宋" w:hAnsi="仿宋" w:eastAsia="仿宋" w:cs="仿宋"/>
          <w:color w:val="000000"/>
          <w:sz w:val="32"/>
        </w:rPr>
        <w:t>2018年本年支出合计151.84万元，其中：基本支出61.75万元，占</w:t>
      </w:r>
      <w:r>
        <w:rPr>
          <w:rFonts w:hint="eastAsia" w:ascii="仿宋" w:hAnsi="仿宋" w:eastAsia="仿宋" w:cs="仿宋"/>
          <w:color w:val="000000"/>
          <w:sz w:val="32"/>
        </w:rPr>
        <w:t>40.67</w:t>
      </w:r>
      <w:r>
        <w:rPr>
          <w:rFonts w:ascii="仿宋" w:hAnsi="仿宋" w:eastAsia="仿宋" w:cs="仿宋"/>
          <w:color w:val="000000"/>
          <w:sz w:val="32"/>
        </w:rPr>
        <w:t>%；项目支出90.09万元，占</w:t>
      </w:r>
      <w:r>
        <w:rPr>
          <w:rFonts w:hint="eastAsia" w:ascii="仿宋" w:hAnsi="仿宋" w:eastAsia="仿宋" w:cs="仿宋"/>
          <w:color w:val="000000"/>
          <w:sz w:val="32"/>
        </w:rPr>
        <w:t>59.33</w:t>
      </w:r>
      <w:r>
        <w:rPr>
          <w:rFonts w:ascii="仿宋" w:hAnsi="仿宋" w:eastAsia="仿宋" w:cs="仿宋"/>
          <w:color w:val="000000"/>
          <w:sz w:val="32"/>
        </w:rPr>
        <w:t>%。</w:t>
      </w:r>
    </w:p>
    <w:p>
      <w:pPr>
        <w:spacing w:line="600" w:lineRule="auto"/>
        <w:ind w:firstLine="640" w:firstLineChars="200"/>
        <w:rPr>
          <w:rFonts w:ascii="仿宋" w:hAnsi="仿宋" w:eastAsia="仿宋" w:cs="仿宋"/>
          <w:color w:val="000000"/>
          <w:sz w:val="32"/>
        </w:rPr>
      </w:pPr>
      <w:r>
        <w:rPr>
          <w:rFonts w:ascii="仿宋" w:hAnsi="仿宋" w:eastAsia="仿宋" w:cs="仿宋"/>
          <w:color w:val="000000"/>
          <w:sz w:val="32"/>
        </w:rPr>
        <w:t>（图3：支出决算结构图）（饼状图）</w:t>
      </w:r>
    </w:p>
    <w:p>
      <w:pPr>
        <w:spacing w:line="600" w:lineRule="auto"/>
        <w:ind w:firstLine="420" w:firstLineChars="200"/>
        <w:rPr>
          <w:rFonts w:ascii="仿宋_GB2312" w:hAnsi="仿宋_GB2312" w:eastAsia="仿宋_GB2312" w:cs="仿宋_GB2312"/>
          <w:color w:val="FF0000"/>
          <w:sz w:val="32"/>
        </w:rPr>
      </w:pPr>
      <w:r>
        <w:drawing>
          <wp:inline distT="0" distB="0" distL="0" distR="0">
            <wp:extent cx="2752725" cy="1828800"/>
            <wp:effectExtent l="0" t="0" r="0" b="0"/>
            <wp:docPr id="2" name="对象 1"/>
            <wp:cNvGraphicFramePr>
              <a:graphicFrameLocks xmlns:a="http://schemas.openxmlformats.org/drawingml/2006/main" noChangeAspect="true"/>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spacing w:line="600" w:lineRule="auto"/>
        <w:ind w:firstLine="640" w:firstLineChars="200"/>
        <w:rPr>
          <w:rFonts w:ascii="黑体" w:hAnsi="黑体" w:eastAsia="黑体" w:cs="黑体"/>
          <w:sz w:val="32"/>
        </w:rPr>
      </w:pPr>
      <w:r>
        <w:rPr>
          <w:rFonts w:ascii="黑体" w:hAnsi="黑体" w:eastAsia="黑体" w:cs="黑体"/>
          <w:color w:val="000000"/>
          <w:sz w:val="32"/>
        </w:rPr>
        <w:t>四、财</w:t>
      </w:r>
      <w:r>
        <w:rPr>
          <w:rFonts w:ascii="黑体" w:hAnsi="黑体" w:eastAsia="黑体" w:cs="黑体"/>
          <w:sz w:val="32"/>
        </w:rPr>
        <w:t>政拨款收入支出决算总体情况说明</w:t>
      </w:r>
    </w:p>
    <w:p>
      <w:pPr>
        <w:spacing w:line="600" w:lineRule="auto"/>
        <w:ind w:firstLine="640" w:firstLineChars="200"/>
        <w:rPr>
          <w:rFonts w:ascii="仿宋" w:hAnsi="仿宋" w:eastAsia="仿宋" w:cs="仿宋"/>
          <w:color w:val="000000"/>
          <w:sz w:val="32"/>
        </w:rPr>
      </w:pPr>
      <w:r>
        <w:rPr>
          <w:rFonts w:ascii="仿宋" w:hAnsi="仿宋" w:eastAsia="仿宋" w:cs="仿宋"/>
          <w:color w:val="000000"/>
          <w:sz w:val="32"/>
        </w:rPr>
        <w:t>2018年财政拨款收</w:t>
      </w:r>
      <w:r>
        <w:rPr>
          <w:rFonts w:hint="eastAsia" w:ascii="仿宋" w:hAnsi="仿宋" w:eastAsia="仿宋" w:cs="仿宋"/>
          <w:color w:val="000000"/>
          <w:sz w:val="32"/>
        </w:rPr>
        <w:t>入</w:t>
      </w:r>
      <w:r>
        <w:rPr>
          <w:rFonts w:ascii="仿宋" w:hAnsi="仿宋" w:eastAsia="仿宋" w:cs="仿宋"/>
          <w:color w:val="000000"/>
          <w:sz w:val="32"/>
        </w:rPr>
        <w:t>60.5</w:t>
      </w:r>
      <w:r>
        <w:rPr>
          <w:rFonts w:hint="eastAsia" w:ascii="仿宋" w:hAnsi="仿宋" w:eastAsia="仿宋" w:cs="仿宋"/>
          <w:color w:val="000000"/>
          <w:sz w:val="32"/>
        </w:rPr>
        <w:t>万元，</w:t>
      </w:r>
      <w:r>
        <w:rPr>
          <w:rFonts w:ascii="仿宋" w:hAnsi="仿宋" w:eastAsia="仿宋" w:cs="仿宋"/>
          <w:color w:val="000000"/>
          <w:sz w:val="32"/>
        </w:rPr>
        <w:t>与2017年相比，财政拨款</w:t>
      </w:r>
      <w:r>
        <w:rPr>
          <w:rFonts w:hint="eastAsia" w:ascii="仿宋" w:hAnsi="仿宋" w:eastAsia="仿宋" w:cs="仿宋"/>
          <w:color w:val="000000"/>
          <w:sz w:val="32"/>
        </w:rPr>
        <w:t>减少186.67万元，下降75.52%，</w:t>
      </w:r>
      <w:r>
        <w:rPr>
          <w:rFonts w:ascii="仿宋" w:hAnsi="仿宋" w:eastAsia="仿宋" w:cs="仿宋"/>
          <w:color w:val="000000"/>
          <w:sz w:val="32"/>
        </w:rPr>
        <w:t>主要变动原因是</w:t>
      </w:r>
      <w:r>
        <w:rPr>
          <w:rFonts w:hint="eastAsia" w:ascii="仿宋" w:hAnsi="仿宋" w:eastAsia="仿宋" w:cs="仿宋"/>
          <w:color w:val="000000"/>
          <w:sz w:val="32"/>
        </w:rPr>
        <w:t>没有新下发的存量资金。</w:t>
      </w:r>
      <w:r>
        <w:rPr>
          <w:rFonts w:ascii="仿宋" w:hAnsi="仿宋" w:eastAsia="仿宋" w:cs="仿宋"/>
          <w:color w:val="000000"/>
          <w:sz w:val="32"/>
        </w:rPr>
        <w:t>支</w:t>
      </w:r>
      <w:r>
        <w:rPr>
          <w:rFonts w:hint="eastAsia" w:ascii="仿宋" w:hAnsi="仿宋" w:eastAsia="仿宋" w:cs="仿宋"/>
          <w:color w:val="000000"/>
          <w:sz w:val="32"/>
        </w:rPr>
        <w:t>出</w:t>
      </w:r>
      <w:r>
        <w:rPr>
          <w:rFonts w:ascii="仿宋" w:hAnsi="仿宋" w:eastAsia="仿宋" w:cs="仿宋"/>
          <w:color w:val="000000"/>
          <w:sz w:val="32"/>
        </w:rPr>
        <w:t>150.59万元</w:t>
      </w:r>
      <w:r>
        <w:rPr>
          <w:rFonts w:hint="eastAsia" w:ascii="仿宋" w:hAnsi="仿宋" w:eastAsia="仿宋" w:cs="仿宋"/>
          <w:color w:val="000000"/>
          <w:sz w:val="32"/>
        </w:rPr>
        <w:t>，</w:t>
      </w:r>
      <w:r>
        <w:rPr>
          <w:rFonts w:ascii="仿宋" w:hAnsi="仿宋" w:eastAsia="仿宋" w:cs="仿宋"/>
          <w:color w:val="000000"/>
          <w:sz w:val="32"/>
        </w:rPr>
        <w:t>与2017年相比，支增加</w:t>
      </w:r>
      <w:r>
        <w:rPr>
          <w:rFonts w:hint="eastAsia" w:ascii="仿宋" w:hAnsi="仿宋" w:eastAsia="仿宋" w:cs="仿宋"/>
          <w:color w:val="000000"/>
          <w:sz w:val="32"/>
        </w:rPr>
        <w:t>89.14</w:t>
      </w:r>
      <w:r>
        <w:rPr>
          <w:rFonts w:ascii="仿宋" w:hAnsi="仿宋" w:eastAsia="仿宋" w:cs="仿宋"/>
          <w:color w:val="000000"/>
          <w:sz w:val="32"/>
        </w:rPr>
        <w:t>万元，增长</w:t>
      </w:r>
      <w:r>
        <w:rPr>
          <w:rFonts w:hint="eastAsia" w:ascii="仿宋" w:hAnsi="仿宋" w:eastAsia="仿宋" w:cs="仿宋"/>
          <w:color w:val="000000"/>
          <w:sz w:val="32"/>
        </w:rPr>
        <w:t>40.81</w:t>
      </w:r>
      <w:r>
        <w:rPr>
          <w:rFonts w:ascii="仿宋" w:hAnsi="仿宋" w:eastAsia="仿宋" w:cs="仿宋"/>
          <w:color w:val="000000"/>
          <w:sz w:val="32"/>
        </w:rPr>
        <w:t>%。主要变动原因是</w:t>
      </w:r>
      <w:r>
        <w:rPr>
          <w:rFonts w:hint="eastAsia" w:ascii="仿宋" w:hAnsi="仿宋" w:eastAsia="仿宋" w:cs="仿宋"/>
          <w:color w:val="000000"/>
          <w:sz w:val="32"/>
        </w:rPr>
        <w:t>各类经费比去年增加。</w:t>
      </w:r>
    </w:p>
    <w:p>
      <w:pPr>
        <w:spacing w:line="600" w:lineRule="auto"/>
        <w:ind w:firstLine="640" w:firstLineChars="200"/>
        <w:rPr>
          <w:rFonts w:ascii="仿宋" w:hAnsi="仿宋" w:eastAsia="仿宋" w:cs="仿宋"/>
          <w:color w:val="000000"/>
          <w:sz w:val="32"/>
        </w:rPr>
      </w:pPr>
      <w:r>
        <w:rPr>
          <w:rFonts w:ascii="仿宋" w:hAnsi="仿宋" w:eastAsia="仿宋" w:cs="仿宋"/>
          <w:color w:val="000000"/>
          <w:sz w:val="32"/>
        </w:rPr>
        <w:t>（图4：财政拨款收、支决算总计变动情况）（柱状图）</w:t>
      </w:r>
    </w:p>
    <w:p>
      <w:pPr>
        <w:spacing w:line="600" w:lineRule="auto"/>
        <w:ind w:firstLine="420" w:firstLineChars="200"/>
        <w:rPr>
          <w:rFonts w:ascii="仿宋" w:hAnsi="仿宋" w:eastAsia="仿宋" w:cs="仿宋"/>
          <w:b/>
          <w:color w:val="000000"/>
          <w:sz w:val="32"/>
        </w:rPr>
      </w:pPr>
      <w:r>
        <w:drawing>
          <wp:inline distT="0" distB="0" distL="0" distR="0">
            <wp:extent cx="2752725" cy="1828800"/>
            <wp:effectExtent l="0" t="0" r="0" b="0"/>
            <wp:docPr id="3" name="对象 4"/>
            <wp:cNvGraphicFramePr>
              <a:graphicFrameLocks xmlns:a="http://schemas.openxmlformats.org/drawingml/2006/main" noChangeAspect="true"/>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auto"/>
        <w:ind w:firstLine="640" w:firstLineChars="200"/>
        <w:rPr>
          <w:rFonts w:ascii="黑体" w:hAnsi="黑体" w:eastAsia="黑体" w:cs="黑体"/>
          <w:sz w:val="32"/>
        </w:rPr>
      </w:pPr>
      <w:r>
        <w:rPr>
          <w:rFonts w:ascii="黑体" w:hAnsi="黑体" w:eastAsia="黑体" w:cs="黑体"/>
          <w:color w:val="000000"/>
          <w:sz w:val="32"/>
        </w:rPr>
        <w:t>五、</w:t>
      </w:r>
      <w:r>
        <w:rPr>
          <w:rFonts w:ascii="黑体" w:hAnsi="黑体" w:eastAsia="黑体" w:cs="黑体"/>
          <w:b/>
          <w:color w:val="000000"/>
          <w:sz w:val="32"/>
        </w:rPr>
        <w:t>一</w:t>
      </w:r>
      <w:r>
        <w:rPr>
          <w:rFonts w:ascii="黑体" w:hAnsi="黑体" w:eastAsia="黑体" w:cs="黑体"/>
          <w:sz w:val="32"/>
        </w:rPr>
        <w:t>般公共预算财政拨款支出决算情况说明</w:t>
      </w:r>
    </w:p>
    <w:p>
      <w:pPr>
        <w:spacing w:line="600" w:lineRule="auto"/>
        <w:ind w:firstLine="642" w:firstLineChars="200"/>
        <w:rPr>
          <w:rFonts w:ascii="仿宋" w:hAnsi="仿宋" w:eastAsia="仿宋" w:cs="仿宋"/>
          <w:b/>
          <w:color w:val="000000"/>
          <w:sz w:val="32"/>
        </w:rPr>
      </w:pPr>
      <w:r>
        <w:rPr>
          <w:rFonts w:ascii="仿宋" w:hAnsi="仿宋" w:eastAsia="仿宋" w:cs="仿宋"/>
          <w:b/>
          <w:color w:val="000000"/>
          <w:sz w:val="32"/>
        </w:rPr>
        <w:t>（一）一般公共预算财政拨款支出决算总体情况</w:t>
      </w:r>
    </w:p>
    <w:p>
      <w:pPr>
        <w:spacing w:line="600" w:lineRule="auto"/>
        <w:ind w:firstLine="640" w:firstLineChars="200"/>
        <w:rPr>
          <w:rFonts w:ascii="仿宋" w:hAnsi="仿宋" w:eastAsia="仿宋" w:cs="仿宋"/>
          <w:color w:val="000000"/>
          <w:sz w:val="32"/>
        </w:rPr>
      </w:pPr>
      <w:r>
        <w:rPr>
          <w:rFonts w:ascii="仿宋" w:hAnsi="仿宋" w:eastAsia="仿宋" w:cs="仿宋"/>
          <w:color w:val="000000"/>
          <w:sz w:val="32"/>
        </w:rPr>
        <w:t>2018年一般公共预算财政拨款支出150.59万元，占本年支出合计的</w:t>
      </w:r>
      <w:r>
        <w:rPr>
          <w:rFonts w:hint="eastAsia" w:ascii="仿宋" w:hAnsi="仿宋" w:eastAsia="仿宋" w:cs="仿宋"/>
          <w:color w:val="000000"/>
          <w:sz w:val="32"/>
        </w:rPr>
        <w:t>99.18</w:t>
      </w:r>
      <w:r>
        <w:rPr>
          <w:rFonts w:ascii="仿宋" w:hAnsi="仿宋" w:eastAsia="仿宋" w:cs="仿宋"/>
          <w:color w:val="000000"/>
          <w:sz w:val="32"/>
        </w:rPr>
        <w:t>%。与2017年相比，一般公共预算财政拨款增加</w:t>
      </w:r>
      <w:r>
        <w:rPr>
          <w:rFonts w:hint="eastAsia" w:ascii="仿宋" w:hAnsi="仿宋" w:eastAsia="仿宋" w:cs="仿宋"/>
          <w:color w:val="000000"/>
          <w:sz w:val="32"/>
        </w:rPr>
        <w:t>89.14</w:t>
      </w:r>
      <w:r>
        <w:rPr>
          <w:rFonts w:ascii="仿宋" w:hAnsi="仿宋" w:eastAsia="仿宋" w:cs="仿宋"/>
          <w:color w:val="000000"/>
          <w:sz w:val="32"/>
        </w:rPr>
        <w:t>万元，增长</w:t>
      </w:r>
      <w:r>
        <w:rPr>
          <w:rFonts w:hint="eastAsia" w:ascii="仿宋" w:hAnsi="仿宋" w:eastAsia="仿宋" w:cs="仿宋"/>
          <w:color w:val="000000"/>
          <w:sz w:val="32"/>
        </w:rPr>
        <w:t>40.81</w:t>
      </w:r>
      <w:r>
        <w:rPr>
          <w:rFonts w:ascii="仿宋" w:hAnsi="仿宋" w:eastAsia="仿宋" w:cs="仿宋"/>
          <w:color w:val="000000"/>
          <w:sz w:val="32"/>
        </w:rPr>
        <w:t>%。主要变动原因是</w:t>
      </w:r>
      <w:r>
        <w:rPr>
          <w:rFonts w:hint="eastAsia" w:ascii="仿宋" w:hAnsi="仿宋" w:eastAsia="仿宋" w:cs="仿宋"/>
          <w:color w:val="000000"/>
          <w:sz w:val="32"/>
        </w:rPr>
        <w:t>各类经费支出比上年增加。</w:t>
      </w:r>
    </w:p>
    <w:p>
      <w:pPr>
        <w:spacing w:line="600" w:lineRule="auto"/>
        <w:ind w:firstLine="640" w:firstLineChars="200"/>
        <w:rPr>
          <w:rFonts w:ascii="仿宋" w:hAnsi="仿宋" w:eastAsia="仿宋" w:cs="仿宋"/>
          <w:color w:val="000000"/>
          <w:sz w:val="32"/>
        </w:rPr>
      </w:pPr>
      <w:r>
        <w:rPr>
          <w:rFonts w:ascii="仿宋" w:hAnsi="仿宋" w:eastAsia="仿宋" w:cs="仿宋"/>
          <w:color w:val="000000"/>
          <w:sz w:val="32"/>
        </w:rPr>
        <w:t>（图5：一般公共预算财政拨款支出决算变动情况）（柱状图）</w:t>
      </w:r>
    </w:p>
    <w:p>
      <w:pPr>
        <w:spacing w:line="600" w:lineRule="auto"/>
        <w:ind w:firstLine="420" w:firstLineChars="200"/>
        <w:rPr>
          <w:rFonts w:ascii="仿宋" w:hAnsi="仿宋" w:eastAsia="仿宋" w:cs="仿宋"/>
          <w:color w:val="000000"/>
          <w:sz w:val="32"/>
        </w:rPr>
      </w:pPr>
      <w:r>
        <w:drawing>
          <wp:inline distT="0" distB="0" distL="0" distR="0">
            <wp:extent cx="2752725" cy="1828800"/>
            <wp:effectExtent l="0" t="0" r="0" b="0"/>
            <wp:docPr id="7" name="对象 7"/>
            <wp:cNvGraphicFramePr>
              <a:graphicFrameLocks xmlns:a="http://schemas.openxmlformats.org/drawingml/2006/main" noChangeAspect="true"/>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auto"/>
        <w:ind w:firstLine="642" w:firstLineChars="200"/>
        <w:rPr>
          <w:rFonts w:ascii="仿宋" w:hAnsi="仿宋" w:eastAsia="仿宋" w:cs="仿宋"/>
          <w:b/>
          <w:color w:val="000000"/>
          <w:sz w:val="32"/>
        </w:rPr>
      </w:pPr>
      <w:r>
        <w:rPr>
          <w:rFonts w:ascii="仿宋" w:hAnsi="仿宋" w:eastAsia="仿宋" w:cs="仿宋"/>
          <w:b/>
          <w:color w:val="000000"/>
          <w:sz w:val="32"/>
        </w:rPr>
        <w:t>（二）一般公共预算财政拨款支出决算结构情况</w:t>
      </w:r>
    </w:p>
    <w:p>
      <w:pPr>
        <w:spacing w:line="600" w:lineRule="auto"/>
        <w:ind w:firstLine="640" w:firstLineChars="200"/>
        <w:rPr>
          <w:rFonts w:ascii="仿宋" w:hAnsi="仿宋" w:eastAsia="仿宋" w:cs="仿宋"/>
          <w:color w:val="000000"/>
          <w:sz w:val="32"/>
        </w:rPr>
      </w:pPr>
      <w:r>
        <w:rPr>
          <w:rFonts w:ascii="仿宋" w:hAnsi="仿宋" w:eastAsia="仿宋" w:cs="仿宋"/>
          <w:color w:val="000000"/>
          <w:sz w:val="32"/>
        </w:rPr>
        <w:t>2018年一般公共预算财政拨款支出150.59万元，主要用于以下方面:</w:t>
      </w:r>
      <w:r>
        <w:rPr>
          <w:rFonts w:hint="eastAsia"/>
        </w:rPr>
        <w:t xml:space="preserve"> </w:t>
      </w:r>
      <w:r>
        <w:rPr>
          <w:rFonts w:hint="eastAsia" w:ascii="仿宋" w:hAnsi="仿宋" w:eastAsia="仿宋" w:cs="仿宋"/>
          <w:b/>
          <w:color w:val="000000"/>
          <w:sz w:val="32"/>
        </w:rPr>
        <w:t>文化体育与传媒</w:t>
      </w:r>
      <w:r>
        <w:rPr>
          <w:rFonts w:ascii="仿宋" w:hAnsi="仿宋" w:eastAsia="仿宋" w:cs="仿宋"/>
          <w:b/>
          <w:color w:val="000000"/>
          <w:sz w:val="32"/>
        </w:rPr>
        <w:t>（类）</w:t>
      </w:r>
      <w:r>
        <w:rPr>
          <w:rFonts w:ascii="仿宋" w:hAnsi="仿宋" w:eastAsia="仿宋" w:cs="仿宋"/>
          <w:color w:val="000000"/>
          <w:sz w:val="32"/>
        </w:rPr>
        <w:t>支出129.52万元，占</w:t>
      </w:r>
      <w:r>
        <w:rPr>
          <w:rFonts w:hint="eastAsia" w:ascii="仿宋" w:hAnsi="仿宋" w:eastAsia="仿宋" w:cs="仿宋"/>
          <w:color w:val="000000"/>
          <w:sz w:val="32"/>
        </w:rPr>
        <w:t>86.01</w:t>
      </w:r>
      <w:r>
        <w:rPr>
          <w:rFonts w:ascii="仿宋" w:hAnsi="仿宋" w:eastAsia="仿宋" w:cs="仿宋"/>
          <w:color w:val="000000"/>
          <w:sz w:val="32"/>
        </w:rPr>
        <w:t>%；</w:t>
      </w:r>
      <w:r>
        <w:rPr>
          <w:rFonts w:ascii="仿宋" w:hAnsi="仿宋" w:eastAsia="仿宋" w:cs="仿宋"/>
          <w:b/>
          <w:color w:val="000000"/>
          <w:sz w:val="32"/>
        </w:rPr>
        <w:t>社会保障和就业（类）</w:t>
      </w:r>
      <w:r>
        <w:rPr>
          <w:rFonts w:ascii="仿宋" w:hAnsi="仿宋" w:eastAsia="仿宋" w:cs="仿宋"/>
          <w:color w:val="000000"/>
          <w:sz w:val="32"/>
        </w:rPr>
        <w:t>支出11.57万元，占</w:t>
      </w:r>
      <w:r>
        <w:rPr>
          <w:rFonts w:hint="eastAsia" w:ascii="仿宋" w:hAnsi="仿宋" w:eastAsia="仿宋" w:cs="仿宋"/>
          <w:color w:val="000000"/>
          <w:sz w:val="32"/>
        </w:rPr>
        <w:t>7.68</w:t>
      </w:r>
      <w:r>
        <w:rPr>
          <w:rFonts w:ascii="仿宋" w:hAnsi="仿宋" w:eastAsia="仿宋" w:cs="仿宋"/>
          <w:color w:val="000000"/>
          <w:sz w:val="32"/>
        </w:rPr>
        <w:t>%；医疗卫生支出3.83万元，占</w:t>
      </w:r>
      <w:r>
        <w:rPr>
          <w:rFonts w:hint="eastAsia" w:ascii="仿宋" w:hAnsi="仿宋" w:eastAsia="仿宋" w:cs="仿宋"/>
          <w:color w:val="000000"/>
          <w:sz w:val="32"/>
        </w:rPr>
        <w:t>2.54</w:t>
      </w:r>
      <w:r>
        <w:rPr>
          <w:rFonts w:ascii="仿宋" w:hAnsi="仿宋" w:eastAsia="仿宋" w:cs="仿宋"/>
          <w:color w:val="000000"/>
          <w:sz w:val="32"/>
        </w:rPr>
        <w:t>%；住房保障支出5.67万元，占</w:t>
      </w:r>
      <w:r>
        <w:rPr>
          <w:rFonts w:hint="eastAsia" w:ascii="仿宋" w:hAnsi="仿宋" w:eastAsia="仿宋" w:cs="仿宋"/>
          <w:color w:val="000000"/>
          <w:sz w:val="32"/>
        </w:rPr>
        <w:t>3.77</w:t>
      </w:r>
      <w:r>
        <w:rPr>
          <w:rFonts w:ascii="仿宋" w:hAnsi="仿宋" w:eastAsia="仿宋" w:cs="仿宋"/>
          <w:color w:val="000000"/>
          <w:sz w:val="32"/>
        </w:rPr>
        <w:t>%；。</w:t>
      </w:r>
    </w:p>
    <w:p>
      <w:pPr>
        <w:spacing w:line="600" w:lineRule="auto"/>
        <w:ind w:firstLine="640" w:firstLineChars="200"/>
        <w:rPr>
          <w:rFonts w:ascii="仿宋" w:hAnsi="仿宋" w:eastAsia="仿宋" w:cs="仿宋"/>
          <w:color w:val="000000"/>
          <w:sz w:val="32"/>
        </w:rPr>
      </w:pPr>
      <w:r>
        <w:rPr>
          <w:rFonts w:ascii="仿宋" w:hAnsi="仿宋" w:eastAsia="仿宋" w:cs="仿宋"/>
          <w:color w:val="000000"/>
          <w:sz w:val="32"/>
        </w:rPr>
        <w:t>（图6：一般公共预算财政拨款支出决算结构）（饼状图）</w:t>
      </w:r>
    </w:p>
    <w:p>
      <w:pPr>
        <w:spacing w:line="600" w:lineRule="auto"/>
        <w:ind w:firstLine="420" w:firstLineChars="200"/>
        <w:rPr>
          <w:rFonts w:ascii="仿宋" w:hAnsi="仿宋" w:eastAsia="仿宋" w:cs="仿宋"/>
          <w:color w:val="000000"/>
          <w:sz w:val="32"/>
        </w:rPr>
      </w:pPr>
      <w:r>
        <w:drawing>
          <wp:inline distT="0" distB="0" distL="0" distR="0">
            <wp:extent cx="2752725" cy="1828800"/>
            <wp:effectExtent l="0" t="0" r="0" b="0"/>
            <wp:docPr id="10" name="对象 10"/>
            <wp:cNvGraphicFramePr>
              <a:graphicFrameLocks xmlns:a="http://schemas.openxmlformats.org/drawingml/2006/main" noChangeAspect="true"/>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auto"/>
        <w:ind w:firstLine="642" w:firstLineChars="200"/>
        <w:rPr>
          <w:rFonts w:ascii="仿宋" w:hAnsi="仿宋" w:eastAsia="仿宋" w:cs="仿宋"/>
          <w:b/>
          <w:color w:val="000000"/>
          <w:sz w:val="32"/>
        </w:rPr>
      </w:pPr>
      <w:r>
        <w:rPr>
          <w:rFonts w:ascii="仿宋" w:hAnsi="仿宋" w:eastAsia="仿宋" w:cs="仿宋"/>
          <w:b/>
          <w:color w:val="000000"/>
          <w:sz w:val="32"/>
        </w:rPr>
        <w:t>（三）一般公共预算财政拨款支出决算具体情况</w:t>
      </w:r>
    </w:p>
    <w:p>
      <w:pPr>
        <w:spacing w:line="600" w:lineRule="auto"/>
        <w:ind w:firstLine="642" w:firstLineChars="200"/>
        <w:rPr>
          <w:rFonts w:ascii="仿宋" w:hAnsi="仿宋" w:eastAsia="仿宋" w:cs="仿宋"/>
          <w:color w:val="FF0000"/>
          <w:sz w:val="32"/>
        </w:rPr>
      </w:pPr>
      <w:r>
        <w:rPr>
          <w:rFonts w:ascii="仿宋" w:hAnsi="仿宋" w:eastAsia="仿宋" w:cs="仿宋"/>
          <w:b/>
          <w:color w:val="000000"/>
          <w:sz w:val="32"/>
        </w:rPr>
        <w:t>2018年</w:t>
      </w:r>
      <w:r>
        <w:rPr>
          <w:rFonts w:hint="eastAsia" w:ascii="仿宋" w:hAnsi="仿宋" w:eastAsia="仿宋" w:cs="仿宋"/>
          <w:b/>
          <w:color w:val="000000"/>
          <w:sz w:val="32"/>
        </w:rPr>
        <w:t>一</w:t>
      </w:r>
      <w:r>
        <w:rPr>
          <w:rFonts w:ascii="仿宋" w:hAnsi="仿宋" w:eastAsia="仿宋" w:cs="仿宋"/>
          <w:b/>
          <w:color w:val="000000"/>
          <w:sz w:val="32"/>
        </w:rPr>
        <w:t>般公共预算支出决算数为150.59</w:t>
      </w:r>
      <w:r>
        <w:rPr>
          <w:rFonts w:hint="eastAsia" w:ascii="仿宋" w:hAnsi="仿宋" w:eastAsia="仿宋" w:cs="仿宋"/>
          <w:b/>
          <w:color w:val="000000"/>
          <w:sz w:val="32"/>
        </w:rPr>
        <w:t>万元</w:t>
      </w:r>
      <w:r>
        <w:rPr>
          <w:rFonts w:ascii="仿宋" w:hAnsi="仿宋" w:eastAsia="仿宋" w:cs="仿宋"/>
          <w:color w:val="000000"/>
          <w:sz w:val="32"/>
        </w:rPr>
        <w:t>，</w:t>
      </w:r>
      <w:r>
        <w:rPr>
          <w:rFonts w:ascii="仿宋" w:hAnsi="仿宋" w:eastAsia="仿宋" w:cs="仿宋"/>
          <w:b/>
          <w:color w:val="000000"/>
          <w:sz w:val="32"/>
        </w:rPr>
        <w:t>完成预算</w:t>
      </w:r>
      <w:r>
        <w:rPr>
          <w:rFonts w:hint="eastAsia" w:ascii="仿宋_GB2312" w:hAnsi="仿宋_GB2312" w:cs="仿宋_GB2312"/>
          <w:sz w:val="32"/>
          <w:szCs w:val="32"/>
        </w:rPr>
        <w:t>54.33</w:t>
      </w:r>
      <w:r>
        <w:rPr>
          <w:rFonts w:ascii="仿宋" w:hAnsi="仿宋" w:eastAsia="仿宋" w:cs="仿宋"/>
          <w:b/>
          <w:color w:val="000000"/>
          <w:sz w:val="32"/>
        </w:rPr>
        <w:t>%。其中：</w:t>
      </w:r>
    </w:p>
    <w:p>
      <w:pPr>
        <w:spacing w:line="600" w:lineRule="auto"/>
        <w:ind w:left="643"/>
        <w:rPr>
          <w:rFonts w:ascii="仿宋" w:hAnsi="仿宋" w:eastAsia="仿宋" w:cs="仿宋"/>
          <w:b/>
          <w:color w:val="000000"/>
          <w:sz w:val="32"/>
        </w:rPr>
      </w:pPr>
      <w:r>
        <w:rPr>
          <w:rFonts w:hint="eastAsia" w:ascii="仿宋" w:hAnsi="仿宋" w:eastAsia="仿宋" w:cs="仿宋"/>
          <w:b/>
          <w:color w:val="000000"/>
          <w:sz w:val="32"/>
        </w:rPr>
        <w:t>1.文化体育与传媒</w:t>
      </w:r>
      <w:r>
        <w:rPr>
          <w:rFonts w:ascii="仿宋" w:hAnsi="仿宋" w:eastAsia="仿宋" w:cs="仿宋"/>
          <w:b/>
          <w:color w:val="000000"/>
          <w:sz w:val="32"/>
        </w:rPr>
        <w:t>（类）</w:t>
      </w:r>
    </w:p>
    <w:p>
      <w:pPr>
        <w:spacing w:line="600" w:lineRule="auto"/>
        <w:ind w:firstLine="642" w:firstLineChars="200"/>
        <w:rPr>
          <w:rFonts w:ascii="仿宋" w:hAnsi="仿宋" w:eastAsia="仿宋" w:cs="仿宋"/>
          <w:color w:val="000000"/>
          <w:sz w:val="32"/>
        </w:rPr>
      </w:pPr>
      <w:r>
        <w:rPr>
          <w:rFonts w:hint="eastAsia" w:ascii="仿宋" w:hAnsi="仿宋" w:eastAsia="仿宋" w:cs="仿宋"/>
          <w:b/>
          <w:color w:val="000000"/>
          <w:sz w:val="32"/>
        </w:rPr>
        <w:t>①</w:t>
      </w:r>
      <w:r>
        <w:rPr>
          <w:rFonts w:ascii="仿宋" w:hAnsi="仿宋" w:eastAsia="仿宋" w:cs="仿宋"/>
          <w:b/>
          <w:color w:val="000000"/>
          <w:sz w:val="32"/>
        </w:rPr>
        <w:t>20704</w:t>
      </w:r>
      <w:r>
        <w:rPr>
          <w:rFonts w:hint="eastAsia" w:ascii="仿宋" w:hAnsi="仿宋" w:eastAsia="仿宋" w:cs="仿宋"/>
          <w:b/>
          <w:color w:val="000000"/>
          <w:sz w:val="32"/>
        </w:rPr>
        <w:t>-新闻出版广播影视</w:t>
      </w:r>
      <w:r>
        <w:rPr>
          <w:rFonts w:ascii="仿宋" w:hAnsi="仿宋" w:eastAsia="仿宋" w:cs="仿宋"/>
          <w:b/>
          <w:color w:val="000000"/>
          <w:sz w:val="32"/>
        </w:rPr>
        <w:t>（款）2070408</w:t>
      </w:r>
      <w:r>
        <w:rPr>
          <w:rFonts w:hint="eastAsia" w:ascii="仿宋" w:hAnsi="仿宋" w:eastAsia="仿宋" w:cs="仿宋"/>
          <w:b/>
          <w:color w:val="000000"/>
          <w:sz w:val="32"/>
        </w:rPr>
        <w:t>-出版发行</w:t>
      </w:r>
      <w:r>
        <w:rPr>
          <w:rFonts w:ascii="仿宋" w:hAnsi="仿宋" w:eastAsia="仿宋" w:cs="仿宋"/>
          <w:b/>
          <w:color w:val="000000"/>
          <w:sz w:val="32"/>
        </w:rPr>
        <w:t>（项）:</w:t>
      </w:r>
      <w:r>
        <w:rPr>
          <w:rFonts w:ascii="仿宋" w:hAnsi="仿宋" w:eastAsia="仿宋" w:cs="仿宋"/>
          <w:color w:val="000000"/>
          <w:sz w:val="32"/>
        </w:rPr>
        <w:t xml:space="preserve"> 支出决算为39.43万元，完成预算</w:t>
      </w:r>
      <w:r>
        <w:rPr>
          <w:rFonts w:hint="eastAsia" w:ascii="仿宋" w:hAnsi="仿宋" w:eastAsia="仿宋" w:cs="仿宋"/>
          <w:color w:val="000000"/>
          <w:sz w:val="32"/>
        </w:rPr>
        <w:t>100</w:t>
      </w:r>
      <w:r>
        <w:rPr>
          <w:rFonts w:ascii="仿宋" w:hAnsi="仿宋" w:eastAsia="仿宋" w:cs="仿宋"/>
          <w:color w:val="000000"/>
          <w:sz w:val="32"/>
        </w:rPr>
        <w:t>%。</w:t>
      </w:r>
    </w:p>
    <w:p>
      <w:pPr>
        <w:spacing w:line="600" w:lineRule="auto"/>
        <w:ind w:firstLine="642" w:firstLineChars="200"/>
        <w:rPr>
          <w:rFonts w:ascii="仿宋" w:hAnsi="仿宋" w:eastAsia="仿宋" w:cs="仿宋"/>
          <w:b/>
          <w:color w:val="000000"/>
          <w:sz w:val="32"/>
        </w:rPr>
      </w:pPr>
      <w:r>
        <w:rPr>
          <w:rFonts w:hint="eastAsia" w:ascii="仿宋" w:hAnsi="仿宋" w:eastAsia="仿宋" w:cs="仿宋"/>
          <w:b/>
          <w:color w:val="000000"/>
          <w:sz w:val="32"/>
        </w:rPr>
        <w:t>②</w:t>
      </w:r>
      <w:r>
        <w:rPr>
          <w:rFonts w:ascii="仿宋" w:hAnsi="仿宋" w:eastAsia="仿宋" w:cs="仿宋"/>
          <w:b/>
          <w:color w:val="000000"/>
          <w:sz w:val="32"/>
        </w:rPr>
        <w:t>20799</w:t>
      </w:r>
      <w:r>
        <w:rPr>
          <w:rFonts w:hint="eastAsia" w:ascii="仿宋" w:hAnsi="仿宋" w:eastAsia="仿宋" w:cs="仿宋"/>
          <w:b/>
          <w:color w:val="000000"/>
          <w:sz w:val="32"/>
        </w:rPr>
        <w:t>-其他文化体育与传媒支出</w:t>
      </w:r>
      <w:r>
        <w:rPr>
          <w:rFonts w:ascii="仿宋" w:hAnsi="仿宋" w:eastAsia="仿宋" w:cs="仿宋"/>
          <w:b/>
          <w:color w:val="000000"/>
          <w:sz w:val="32"/>
        </w:rPr>
        <w:t>（款）2079999</w:t>
      </w:r>
      <w:r>
        <w:rPr>
          <w:rFonts w:hint="eastAsia" w:ascii="仿宋" w:hAnsi="仿宋" w:eastAsia="仿宋" w:cs="仿宋"/>
          <w:b/>
          <w:color w:val="000000"/>
          <w:sz w:val="32"/>
        </w:rPr>
        <w:t>-其他文化体育与传媒支出</w:t>
      </w:r>
      <w:r>
        <w:rPr>
          <w:rFonts w:ascii="仿宋" w:hAnsi="仿宋" w:eastAsia="仿宋" w:cs="仿宋"/>
          <w:b/>
          <w:color w:val="000000"/>
          <w:sz w:val="32"/>
        </w:rPr>
        <w:t>（项）:</w:t>
      </w:r>
      <w:r>
        <w:rPr>
          <w:rFonts w:ascii="仿宋" w:hAnsi="仿宋" w:eastAsia="仿宋" w:cs="仿宋"/>
          <w:color w:val="000000"/>
          <w:sz w:val="32"/>
        </w:rPr>
        <w:t xml:space="preserve"> 支出决算为90.09万元，完成预算</w:t>
      </w:r>
      <w:r>
        <w:rPr>
          <w:rFonts w:hint="eastAsia" w:ascii="仿宋_GB2312" w:hAnsi="仿宋_GB2312" w:cs="仿宋_GB2312"/>
          <w:sz w:val="32"/>
          <w:szCs w:val="32"/>
        </w:rPr>
        <w:t>54.33</w:t>
      </w:r>
      <w:r>
        <w:rPr>
          <w:rFonts w:ascii="仿宋" w:hAnsi="仿宋" w:eastAsia="仿宋" w:cs="仿宋"/>
          <w:color w:val="000000"/>
          <w:sz w:val="32"/>
        </w:rPr>
        <w:t>%。决算数小于预算数的主要原因是</w:t>
      </w:r>
      <w:r>
        <w:rPr>
          <w:rFonts w:hint="eastAsia" w:ascii="仿宋" w:hAnsi="仿宋" w:eastAsia="仿宋" w:cs="仿宋"/>
          <w:color w:val="000000"/>
          <w:sz w:val="32"/>
        </w:rPr>
        <w:t>该项目尚未完工</w:t>
      </w:r>
      <w:r>
        <w:rPr>
          <w:rFonts w:ascii="仿宋" w:hAnsi="仿宋" w:eastAsia="仿宋" w:cs="仿宋"/>
          <w:color w:val="000000"/>
          <w:sz w:val="32"/>
        </w:rPr>
        <w:t>。</w:t>
      </w:r>
    </w:p>
    <w:p>
      <w:pPr>
        <w:spacing w:line="600" w:lineRule="auto"/>
        <w:ind w:firstLine="642" w:firstLineChars="200"/>
        <w:rPr>
          <w:rFonts w:ascii="仿宋" w:hAnsi="仿宋" w:eastAsia="仿宋" w:cs="仿宋"/>
          <w:b/>
          <w:color w:val="000000"/>
          <w:sz w:val="32"/>
        </w:rPr>
      </w:pPr>
      <w:r>
        <w:rPr>
          <w:rFonts w:hint="eastAsia" w:ascii="仿宋" w:hAnsi="仿宋" w:eastAsia="仿宋" w:cs="仿宋"/>
          <w:b/>
          <w:color w:val="000000"/>
          <w:sz w:val="32"/>
        </w:rPr>
        <w:t>2</w:t>
      </w:r>
      <w:r>
        <w:rPr>
          <w:rFonts w:ascii="仿宋" w:hAnsi="仿宋" w:eastAsia="仿宋" w:cs="仿宋"/>
          <w:b/>
          <w:color w:val="000000"/>
          <w:sz w:val="32"/>
        </w:rPr>
        <w:t>.</w:t>
      </w:r>
      <w:r>
        <w:rPr>
          <w:rFonts w:hint="eastAsia"/>
        </w:rPr>
        <w:t xml:space="preserve"> </w:t>
      </w:r>
      <w:r>
        <w:rPr>
          <w:rFonts w:hint="eastAsia" w:ascii="仿宋" w:hAnsi="仿宋" w:eastAsia="仿宋" w:cs="仿宋"/>
          <w:b/>
          <w:color w:val="000000"/>
          <w:sz w:val="32"/>
        </w:rPr>
        <w:t>住房保障</w:t>
      </w:r>
      <w:r>
        <w:rPr>
          <w:rFonts w:ascii="仿宋" w:hAnsi="仿宋" w:eastAsia="仿宋" w:cs="仿宋"/>
          <w:b/>
          <w:color w:val="000000"/>
          <w:sz w:val="32"/>
        </w:rPr>
        <w:t>（类）22102</w:t>
      </w:r>
      <w:r>
        <w:rPr>
          <w:rFonts w:hint="eastAsia" w:ascii="仿宋" w:hAnsi="仿宋" w:eastAsia="仿宋" w:cs="仿宋"/>
          <w:b/>
          <w:color w:val="000000"/>
          <w:sz w:val="32"/>
        </w:rPr>
        <w:t>-住房改革支出</w:t>
      </w:r>
      <w:r>
        <w:rPr>
          <w:rFonts w:ascii="仿宋" w:hAnsi="仿宋" w:eastAsia="仿宋" w:cs="仿宋"/>
          <w:b/>
          <w:color w:val="000000"/>
          <w:sz w:val="32"/>
        </w:rPr>
        <w:t>（款）2210201</w:t>
      </w:r>
      <w:r>
        <w:rPr>
          <w:rFonts w:hint="eastAsia" w:ascii="仿宋" w:hAnsi="仿宋" w:eastAsia="仿宋" w:cs="仿宋"/>
          <w:b/>
          <w:color w:val="000000"/>
          <w:sz w:val="32"/>
        </w:rPr>
        <w:t>-住房公积金</w:t>
      </w:r>
      <w:r>
        <w:rPr>
          <w:rFonts w:ascii="仿宋" w:hAnsi="仿宋" w:eastAsia="仿宋" w:cs="仿宋"/>
          <w:b/>
          <w:color w:val="000000"/>
          <w:sz w:val="32"/>
        </w:rPr>
        <w:t>（项）:</w:t>
      </w:r>
      <w:r>
        <w:rPr>
          <w:rFonts w:ascii="仿宋" w:hAnsi="仿宋" w:eastAsia="仿宋" w:cs="仿宋"/>
          <w:color w:val="000000"/>
          <w:sz w:val="32"/>
        </w:rPr>
        <w:t xml:space="preserve"> 支出决算为5.67万元，完成预算</w:t>
      </w:r>
      <w:r>
        <w:rPr>
          <w:rFonts w:hint="eastAsia" w:ascii="仿宋" w:hAnsi="仿宋" w:eastAsia="仿宋" w:cs="仿宋"/>
          <w:color w:val="000000"/>
          <w:sz w:val="32"/>
        </w:rPr>
        <w:t>100</w:t>
      </w:r>
      <w:r>
        <w:rPr>
          <w:rFonts w:ascii="仿宋" w:hAnsi="仿宋" w:eastAsia="仿宋" w:cs="仿宋"/>
          <w:color w:val="000000"/>
          <w:sz w:val="32"/>
        </w:rPr>
        <w:t>%。</w:t>
      </w:r>
    </w:p>
    <w:p>
      <w:pPr>
        <w:spacing w:line="600" w:lineRule="auto"/>
        <w:ind w:firstLine="642" w:firstLineChars="200"/>
        <w:rPr>
          <w:rFonts w:ascii="仿宋" w:hAnsi="仿宋" w:eastAsia="仿宋" w:cs="仿宋"/>
          <w:b/>
          <w:color w:val="000000"/>
          <w:sz w:val="32"/>
        </w:rPr>
      </w:pPr>
      <w:r>
        <w:rPr>
          <w:rFonts w:hint="eastAsia" w:ascii="仿宋" w:hAnsi="仿宋" w:eastAsia="仿宋" w:cs="仿宋"/>
          <w:b/>
          <w:color w:val="000000"/>
          <w:sz w:val="32"/>
        </w:rPr>
        <w:t>3</w:t>
      </w:r>
      <w:r>
        <w:rPr>
          <w:rFonts w:ascii="仿宋" w:hAnsi="仿宋" w:eastAsia="仿宋" w:cs="仿宋"/>
          <w:b/>
          <w:color w:val="000000"/>
          <w:sz w:val="32"/>
        </w:rPr>
        <w:t>.社会保障和就业（类）20805</w:t>
      </w:r>
      <w:r>
        <w:rPr>
          <w:rFonts w:hint="eastAsia" w:ascii="仿宋" w:hAnsi="仿宋" w:eastAsia="仿宋" w:cs="仿宋"/>
          <w:b/>
          <w:color w:val="000000"/>
          <w:sz w:val="32"/>
        </w:rPr>
        <w:t>-行政事业单位离退休</w:t>
      </w:r>
      <w:r>
        <w:rPr>
          <w:rFonts w:ascii="仿宋" w:hAnsi="仿宋" w:eastAsia="仿宋" w:cs="仿宋"/>
          <w:b/>
          <w:color w:val="000000"/>
          <w:sz w:val="32"/>
        </w:rPr>
        <w:t>（款）</w:t>
      </w:r>
    </w:p>
    <w:p>
      <w:pPr>
        <w:spacing w:line="600" w:lineRule="auto"/>
        <w:ind w:firstLine="642" w:firstLineChars="200"/>
        <w:rPr>
          <w:rFonts w:ascii="仿宋" w:hAnsi="仿宋" w:eastAsia="仿宋" w:cs="仿宋"/>
          <w:color w:val="000000"/>
          <w:sz w:val="32"/>
        </w:rPr>
      </w:pPr>
      <w:r>
        <w:rPr>
          <w:rFonts w:hint="eastAsia" w:ascii="仿宋" w:hAnsi="仿宋" w:eastAsia="仿宋" w:cs="仿宋"/>
          <w:b/>
          <w:color w:val="000000"/>
          <w:sz w:val="32"/>
        </w:rPr>
        <w:t>a.</w:t>
      </w:r>
      <w:r>
        <w:t xml:space="preserve"> </w:t>
      </w:r>
      <w:r>
        <w:rPr>
          <w:rFonts w:ascii="仿宋" w:hAnsi="仿宋" w:eastAsia="仿宋" w:cs="仿宋"/>
          <w:b/>
          <w:color w:val="000000"/>
          <w:sz w:val="32"/>
        </w:rPr>
        <w:t>2080505</w:t>
      </w:r>
      <w:r>
        <w:rPr>
          <w:rFonts w:hint="eastAsia" w:ascii="仿宋" w:hAnsi="仿宋" w:eastAsia="仿宋" w:cs="仿宋"/>
          <w:b/>
          <w:color w:val="000000"/>
          <w:sz w:val="32"/>
        </w:rPr>
        <w:t>-机关事业单位基本养老保险缴费支出★</w:t>
      </w:r>
      <w:r>
        <w:rPr>
          <w:rFonts w:ascii="仿宋" w:hAnsi="仿宋" w:eastAsia="仿宋" w:cs="仿宋"/>
          <w:b/>
          <w:color w:val="000000"/>
          <w:sz w:val="32"/>
        </w:rPr>
        <w:t>（项）:</w:t>
      </w:r>
      <w:r>
        <w:rPr>
          <w:rFonts w:ascii="仿宋" w:hAnsi="仿宋" w:eastAsia="仿宋" w:cs="仿宋"/>
          <w:color w:val="000000"/>
          <w:sz w:val="32"/>
        </w:rPr>
        <w:t xml:space="preserve"> 支出决算为8.26万元，完成预算</w:t>
      </w:r>
      <w:r>
        <w:rPr>
          <w:rFonts w:hint="eastAsia" w:ascii="仿宋" w:hAnsi="仿宋" w:eastAsia="仿宋" w:cs="仿宋"/>
          <w:color w:val="000000"/>
          <w:sz w:val="32"/>
        </w:rPr>
        <w:t>100</w:t>
      </w:r>
      <w:r>
        <w:rPr>
          <w:rFonts w:ascii="仿宋" w:hAnsi="仿宋" w:eastAsia="仿宋" w:cs="仿宋"/>
          <w:color w:val="000000"/>
          <w:sz w:val="32"/>
        </w:rPr>
        <w:t>%。</w:t>
      </w:r>
    </w:p>
    <w:p>
      <w:pPr>
        <w:spacing w:line="600" w:lineRule="auto"/>
        <w:ind w:firstLine="642" w:firstLineChars="200"/>
        <w:rPr>
          <w:rFonts w:ascii="仿宋" w:hAnsi="仿宋" w:eastAsia="仿宋" w:cs="仿宋"/>
          <w:b/>
          <w:color w:val="000000"/>
          <w:sz w:val="32"/>
        </w:rPr>
      </w:pPr>
      <w:r>
        <w:rPr>
          <w:rFonts w:hint="eastAsia" w:ascii="仿宋" w:hAnsi="仿宋" w:eastAsia="仿宋" w:cs="仿宋"/>
          <w:b/>
          <w:color w:val="000000"/>
          <w:sz w:val="32"/>
        </w:rPr>
        <w:t>b.</w:t>
      </w:r>
      <w:r>
        <w:t xml:space="preserve"> </w:t>
      </w:r>
      <w:r>
        <w:rPr>
          <w:rFonts w:ascii="仿宋" w:hAnsi="仿宋" w:eastAsia="仿宋" w:cs="仿宋"/>
          <w:b/>
          <w:color w:val="000000"/>
          <w:sz w:val="32"/>
        </w:rPr>
        <w:t>2080506</w:t>
      </w:r>
      <w:r>
        <w:rPr>
          <w:rFonts w:hint="eastAsia" w:ascii="仿宋" w:hAnsi="仿宋" w:eastAsia="仿宋" w:cs="仿宋"/>
          <w:b/>
          <w:color w:val="000000"/>
          <w:sz w:val="32"/>
        </w:rPr>
        <w:t>-机关事业单位职业年金缴费支出★</w:t>
      </w:r>
      <w:r>
        <w:rPr>
          <w:rFonts w:ascii="仿宋" w:hAnsi="仿宋" w:eastAsia="仿宋" w:cs="仿宋"/>
          <w:b/>
          <w:color w:val="000000"/>
          <w:sz w:val="32"/>
        </w:rPr>
        <w:t>（项）:</w:t>
      </w:r>
      <w:r>
        <w:rPr>
          <w:rFonts w:ascii="仿宋" w:hAnsi="仿宋" w:eastAsia="仿宋" w:cs="仿宋"/>
          <w:color w:val="000000"/>
          <w:sz w:val="32"/>
        </w:rPr>
        <w:t xml:space="preserve"> 支出决算为3.31万元，完成预算</w:t>
      </w:r>
      <w:r>
        <w:rPr>
          <w:rFonts w:hint="eastAsia" w:ascii="仿宋" w:hAnsi="仿宋" w:eastAsia="仿宋" w:cs="仿宋"/>
          <w:color w:val="000000"/>
          <w:sz w:val="32"/>
        </w:rPr>
        <w:t>100</w:t>
      </w:r>
      <w:r>
        <w:rPr>
          <w:rFonts w:ascii="仿宋" w:hAnsi="仿宋" w:eastAsia="仿宋" w:cs="仿宋"/>
          <w:color w:val="000000"/>
          <w:sz w:val="32"/>
        </w:rPr>
        <w:t>%。</w:t>
      </w:r>
    </w:p>
    <w:p>
      <w:pPr>
        <w:spacing w:line="600" w:lineRule="auto"/>
        <w:ind w:firstLine="642" w:firstLineChars="200"/>
        <w:rPr>
          <w:rFonts w:ascii="仿宋" w:hAnsi="仿宋" w:eastAsia="仿宋" w:cs="仿宋"/>
          <w:b/>
          <w:color w:val="000000"/>
          <w:sz w:val="32"/>
        </w:rPr>
      </w:pPr>
    </w:p>
    <w:p>
      <w:pPr>
        <w:spacing w:line="600" w:lineRule="auto"/>
        <w:ind w:firstLine="642" w:firstLineChars="200"/>
        <w:rPr>
          <w:rFonts w:ascii="仿宋" w:hAnsi="仿宋" w:eastAsia="仿宋" w:cs="仿宋"/>
          <w:b/>
          <w:color w:val="000000"/>
          <w:sz w:val="32"/>
        </w:rPr>
      </w:pPr>
      <w:r>
        <w:rPr>
          <w:rFonts w:hint="eastAsia" w:ascii="仿宋" w:hAnsi="仿宋" w:eastAsia="仿宋" w:cs="仿宋"/>
          <w:b/>
          <w:color w:val="000000"/>
          <w:sz w:val="32"/>
        </w:rPr>
        <w:t>4</w:t>
      </w:r>
      <w:r>
        <w:rPr>
          <w:rFonts w:ascii="仿宋" w:hAnsi="仿宋" w:eastAsia="仿宋" w:cs="仿宋"/>
          <w:b/>
          <w:color w:val="000000"/>
          <w:sz w:val="32"/>
        </w:rPr>
        <w:t>.医疗卫生与计划生育（类）21011</w:t>
      </w:r>
      <w:r>
        <w:rPr>
          <w:rFonts w:hint="eastAsia" w:ascii="仿宋" w:hAnsi="仿宋" w:eastAsia="仿宋" w:cs="仿宋"/>
          <w:b/>
          <w:color w:val="000000"/>
          <w:sz w:val="32"/>
        </w:rPr>
        <w:t>-行政事业单位医疗★</w:t>
      </w:r>
      <w:r>
        <w:rPr>
          <w:rFonts w:ascii="仿宋" w:hAnsi="仿宋" w:eastAsia="仿宋" w:cs="仿宋"/>
          <w:b/>
          <w:color w:val="000000"/>
          <w:sz w:val="32"/>
        </w:rPr>
        <w:t>（款）</w:t>
      </w:r>
    </w:p>
    <w:p>
      <w:pPr>
        <w:spacing w:line="600" w:lineRule="auto"/>
        <w:ind w:firstLine="642" w:firstLineChars="200"/>
        <w:rPr>
          <w:rFonts w:ascii="仿宋" w:hAnsi="仿宋" w:eastAsia="仿宋" w:cs="仿宋"/>
          <w:color w:val="000000"/>
          <w:sz w:val="32"/>
        </w:rPr>
      </w:pPr>
      <w:r>
        <w:rPr>
          <w:rFonts w:hint="eastAsia" w:ascii="仿宋" w:hAnsi="仿宋" w:eastAsia="仿宋" w:cs="仿宋"/>
          <w:b/>
          <w:color w:val="000000"/>
          <w:sz w:val="32"/>
        </w:rPr>
        <w:t>a.</w:t>
      </w:r>
      <w:r>
        <w:t xml:space="preserve"> </w:t>
      </w:r>
      <w:r>
        <w:rPr>
          <w:rFonts w:ascii="仿宋" w:hAnsi="仿宋" w:eastAsia="仿宋" w:cs="仿宋"/>
          <w:b/>
          <w:color w:val="000000"/>
          <w:sz w:val="32"/>
        </w:rPr>
        <w:t>2101102</w:t>
      </w:r>
      <w:r>
        <w:rPr>
          <w:rFonts w:hint="eastAsia" w:ascii="仿宋" w:hAnsi="仿宋" w:eastAsia="仿宋" w:cs="仿宋"/>
          <w:b/>
          <w:color w:val="000000"/>
          <w:sz w:val="32"/>
        </w:rPr>
        <w:t>-事业单位医疗★</w:t>
      </w:r>
      <w:r>
        <w:rPr>
          <w:rFonts w:ascii="仿宋" w:hAnsi="仿宋" w:eastAsia="仿宋" w:cs="仿宋"/>
          <w:b/>
          <w:color w:val="000000"/>
          <w:sz w:val="32"/>
        </w:rPr>
        <w:t>（项）:</w:t>
      </w:r>
      <w:r>
        <w:rPr>
          <w:rFonts w:ascii="仿宋" w:hAnsi="仿宋" w:eastAsia="仿宋" w:cs="仿宋"/>
          <w:color w:val="000000"/>
          <w:sz w:val="32"/>
        </w:rPr>
        <w:t>支出决算为2.73万元，完成预算</w:t>
      </w:r>
      <w:r>
        <w:rPr>
          <w:rFonts w:hint="eastAsia" w:ascii="仿宋" w:hAnsi="仿宋" w:eastAsia="仿宋" w:cs="仿宋"/>
          <w:color w:val="000000"/>
          <w:sz w:val="32"/>
        </w:rPr>
        <w:t>100</w:t>
      </w:r>
      <w:r>
        <w:rPr>
          <w:rFonts w:ascii="仿宋" w:hAnsi="仿宋" w:eastAsia="仿宋" w:cs="仿宋"/>
          <w:color w:val="000000"/>
          <w:sz w:val="32"/>
        </w:rPr>
        <w:t>%。</w:t>
      </w:r>
    </w:p>
    <w:p>
      <w:pPr>
        <w:spacing w:line="600" w:lineRule="auto"/>
        <w:ind w:firstLine="642" w:firstLineChars="200"/>
        <w:rPr>
          <w:rFonts w:ascii="仿宋" w:hAnsi="仿宋" w:eastAsia="仿宋" w:cs="仿宋"/>
          <w:b/>
          <w:color w:val="000000"/>
          <w:sz w:val="32"/>
        </w:rPr>
      </w:pPr>
      <w:r>
        <w:rPr>
          <w:rFonts w:hint="eastAsia" w:ascii="仿宋" w:hAnsi="仿宋" w:eastAsia="仿宋" w:cs="仿宋"/>
          <w:b/>
          <w:color w:val="000000"/>
          <w:sz w:val="32"/>
        </w:rPr>
        <w:t>b.</w:t>
      </w:r>
      <w:r>
        <w:t xml:space="preserve"> </w:t>
      </w:r>
      <w:r>
        <w:rPr>
          <w:rFonts w:ascii="仿宋" w:hAnsi="仿宋" w:eastAsia="仿宋" w:cs="仿宋"/>
          <w:b/>
          <w:color w:val="000000"/>
          <w:sz w:val="32"/>
        </w:rPr>
        <w:t>2101199</w:t>
      </w:r>
      <w:r>
        <w:rPr>
          <w:rFonts w:hint="eastAsia" w:ascii="仿宋" w:hAnsi="仿宋" w:eastAsia="仿宋" w:cs="仿宋"/>
          <w:b/>
          <w:color w:val="000000"/>
          <w:sz w:val="32"/>
        </w:rPr>
        <w:t>-其他行政事业单位医疗支出★</w:t>
      </w:r>
      <w:r>
        <w:rPr>
          <w:rFonts w:ascii="仿宋" w:hAnsi="仿宋" w:eastAsia="仿宋" w:cs="仿宋"/>
          <w:b/>
          <w:color w:val="000000"/>
          <w:sz w:val="32"/>
        </w:rPr>
        <w:t>（项）:</w:t>
      </w:r>
      <w:r>
        <w:rPr>
          <w:rFonts w:ascii="仿宋" w:hAnsi="仿宋" w:eastAsia="仿宋" w:cs="仿宋"/>
          <w:color w:val="000000"/>
          <w:sz w:val="32"/>
        </w:rPr>
        <w:t>支出决算为1.1万元，完成预算</w:t>
      </w:r>
      <w:r>
        <w:rPr>
          <w:rFonts w:hint="eastAsia" w:ascii="仿宋" w:hAnsi="仿宋" w:eastAsia="仿宋" w:cs="仿宋"/>
          <w:color w:val="000000"/>
          <w:sz w:val="32"/>
        </w:rPr>
        <w:t>100</w:t>
      </w:r>
      <w:r>
        <w:rPr>
          <w:rFonts w:ascii="仿宋" w:hAnsi="仿宋" w:eastAsia="仿宋" w:cs="仿宋"/>
          <w:color w:val="000000"/>
          <w:sz w:val="32"/>
        </w:rPr>
        <w:t>%。</w:t>
      </w:r>
    </w:p>
    <w:p>
      <w:pPr>
        <w:tabs>
          <w:tab w:val="right" w:pos="8306"/>
        </w:tabs>
        <w:spacing w:line="600" w:lineRule="auto"/>
        <w:ind w:firstLine="640" w:firstLineChars="200"/>
        <w:rPr>
          <w:rFonts w:ascii="Cambria" w:hAnsi="Cambria" w:eastAsia="Cambria" w:cs="Cambria"/>
          <w:b/>
          <w:sz w:val="32"/>
        </w:rPr>
      </w:pPr>
      <w:r>
        <w:rPr>
          <w:rFonts w:ascii="黑体" w:hAnsi="黑体" w:eastAsia="黑体" w:cs="黑体"/>
          <w:color w:val="000000"/>
          <w:sz w:val="32"/>
        </w:rPr>
        <w:t>六</w:t>
      </w:r>
      <w:r>
        <w:rPr>
          <w:rFonts w:ascii="黑体" w:hAnsi="黑体" w:eastAsia="黑体" w:cs="黑体"/>
          <w:b/>
          <w:color w:val="000000"/>
          <w:sz w:val="32"/>
        </w:rPr>
        <w:t>、一</w:t>
      </w:r>
      <w:r>
        <w:rPr>
          <w:rFonts w:ascii="黑体" w:hAnsi="黑体" w:eastAsia="黑体" w:cs="黑体"/>
          <w:sz w:val="32"/>
        </w:rPr>
        <w:t>般公共预算财政拨款基本支出决算情况说明</w:t>
      </w:r>
      <w:r>
        <w:rPr>
          <w:rFonts w:ascii="黑体" w:hAnsi="黑体" w:eastAsia="黑体" w:cs="黑体"/>
          <w:sz w:val="32"/>
        </w:rPr>
        <w:tab/>
      </w:r>
    </w:p>
    <w:p>
      <w:pPr>
        <w:spacing w:line="600" w:lineRule="auto"/>
        <w:ind w:firstLine="640" w:firstLineChars="200"/>
        <w:rPr>
          <w:rFonts w:ascii="仿宋" w:hAnsi="仿宋" w:eastAsia="仿宋" w:cs="仿宋"/>
          <w:color w:val="000000"/>
          <w:sz w:val="32"/>
        </w:rPr>
      </w:pPr>
      <w:r>
        <w:rPr>
          <w:rFonts w:ascii="仿宋" w:hAnsi="仿宋" w:eastAsia="仿宋" w:cs="仿宋"/>
          <w:color w:val="000000"/>
          <w:sz w:val="32"/>
        </w:rPr>
        <w:t>2018年一般公共预算财政拨款基本支出</w:t>
      </w:r>
      <w:r>
        <w:rPr>
          <w:rFonts w:hint="eastAsia" w:ascii="仿宋" w:hAnsi="仿宋" w:eastAsia="仿宋" w:cs="仿宋"/>
          <w:color w:val="000000"/>
          <w:sz w:val="32"/>
        </w:rPr>
        <w:t>60.5</w:t>
      </w:r>
      <w:r>
        <w:rPr>
          <w:rFonts w:ascii="仿宋" w:hAnsi="仿宋" w:eastAsia="仿宋" w:cs="仿宋"/>
          <w:color w:val="000000"/>
          <w:sz w:val="32"/>
        </w:rPr>
        <w:t>万元，其中：</w:t>
      </w:r>
    </w:p>
    <w:p>
      <w:pPr>
        <w:spacing w:line="600" w:lineRule="auto"/>
        <w:ind w:firstLine="640" w:firstLineChars="200"/>
        <w:rPr>
          <w:rFonts w:ascii="仿宋" w:hAnsi="仿宋" w:eastAsia="仿宋" w:cs="仿宋"/>
          <w:color w:val="000000"/>
          <w:sz w:val="32"/>
        </w:rPr>
      </w:pPr>
      <w:r>
        <w:rPr>
          <w:rFonts w:ascii="仿宋" w:hAnsi="仿宋" w:eastAsia="仿宋" w:cs="仿宋"/>
          <w:color w:val="000000"/>
          <w:sz w:val="32"/>
        </w:rPr>
        <w:t>人员经费60.5万元，主要包括：基本工资11.85</w:t>
      </w:r>
      <w:r>
        <w:rPr>
          <w:rFonts w:hint="eastAsia" w:ascii="仿宋" w:hAnsi="仿宋" w:eastAsia="仿宋" w:cs="仿宋"/>
          <w:color w:val="000000"/>
          <w:sz w:val="32"/>
        </w:rPr>
        <w:t>万元</w:t>
      </w:r>
      <w:r>
        <w:rPr>
          <w:rFonts w:ascii="仿宋" w:hAnsi="仿宋" w:eastAsia="仿宋" w:cs="仿宋"/>
          <w:color w:val="000000"/>
          <w:sz w:val="32"/>
        </w:rPr>
        <w:t>、津贴补贴15.17</w:t>
      </w:r>
      <w:r>
        <w:rPr>
          <w:rFonts w:hint="eastAsia" w:ascii="仿宋" w:hAnsi="仿宋" w:eastAsia="仿宋" w:cs="仿宋"/>
          <w:color w:val="000000"/>
          <w:sz w:val="32"/>
        </w:rPr>
        <w:t>万元</w:t>
      </w:r>
      <w:r>
        <w:rPr>
          <w:rFonts w:ascii="仿宋" w:hAnsi="仿宋" w:eastAsia="仿宋" w:cs="仿宋"/>
          <w:color w:val="000000"/>
          <w:sz w:val="32"/>
        </w:rPr>
        <w:t>、奖金1.04</w:t>
      </w:r>
      <w:r>
        <w:rPr>
          <w:rFonts w:hint="eastAsia" w:ascii="仿宋" w:hAnsi="仿宋" w:eastAsia="仿宋" w:cs="仿宋"/>
          <w:color w:val="000000"/>
          <w:sz w:val="32"/>
        </w:rPr>
        <w:t>万元</w:t>
      </w:r>
      <w:r>
        <w:rPr>
          <w:rFonts w:ascii="仿宋" w:hAnsi="仿宋" w:eastAsia="仿宋" w:cs="仿宋"/>
          <w:color w:val="000000"/>
          <w:sz w:val="32"/>
        </w:rPr>
        <w:t>、绩效工资9.97</w:t>
      </w:r>
      <w:r>
        <w:rPr>
          <w:rFonts w:hint="eastAsia" w:ascii="仿宋" w:hAnsi="仿宋" w:eastAsia="仿宋" w:cs="仿宋"/>
          <w:color w:val="000000"/>
          <w:sz w:val="32"/>
        </w:rPr>
        <w:t>万元</w:t>
      </w:r>
      <w:r>
        <w:rPr>
          <w:rFonts w:ascii="仿宋" w:hAnsi="仿宋" w:eastAsia="仿宋" w:cs="仿宋"/>
          <w:color w:val="000000"/>
          <w:sz w:val="32"/>
        </w:rPr>
        <w:t>、机关事业单位基本养老保险缴费8.26</w:t>
      </w:r>
      <w:r>
        <w:rPr>
          <w:rFonts w:hint="eastAsia" w:ascii="仿宋" w:hAnsi="仿宋" w:eastAsia="仿宋" w:cs="仿宋"/>
          <w:color w:val="000000"/>
          <w:sz w:val="32"/>
        </w:rPr>
        <w:t>万元</w:t>
      </w:r>
      <w:r>
        <w:rPr>
          <w:rFonts w:ascii="仿宋" w:hAnsi="仿宋" w:eastAsia="仿宋" w:cs="仿宋"/>
          <w:color w:val="000000"/>
          <w:sz w:val="32"/>
        </w:rPr>
        <w:t>、职业年金缴费3.31</w:t>
      </w:r>
      <w:r>
        <w:rPr>
          <w:rFonts w:hint="eastAsia" w:ascii="仿宋" w:hAnsi="仿宋" w:eastAsia="仿宋" w:cs="仿宋"/>
          <w:color w:val="000000"/>
          <w:sz w:val="32"/>
        </w:rPr>
        <w:t>万元</w:t>
      </w:r>
      <w:r>
        <w:rPr>
          <w:rFonts w:ascii="仿宋" w:hAnsi="仿宋" w:eastAsia="仿宋" w:cs="仿宋"/>
          <w:color w:val="000000"/>
          <w:sz w:val="32"/>
        </w:rPr>
        <w:t>、</w:t>
      </w:r>
      <w:r>
        <w:rPr>
          <w:rFonts w:hint="eastAsia" w:ascii="仿宋" w:hAnsi="仿宋" w:eastAsia="仿宋" w:cs="仿宋"/>
          <w:color w:val="000000"/>
          <w:sz w:val="32"/>
        </w:rPr>
        <w:t>职工基本医疗保险</w:t>
      </w:r>
      <w:r>
        <w:rPr>
          <w:rFonts w:ascii="仿宋" w:hAnsi="仿宋" w:eastAsia="仿宋" w:cs="仿宋"/>
          <w:color w:val="000000"/>
          <w:sz w:val="32"/>
        </w:rPr>
        <w:t>2.73</w:t>
      </w:r>
      <w:r>
        <w:rPr>
          <w:rFonts w:hint="eastAsia" w:ascii="仿宋" w:hAnsi="仿宋" w:eastAsia="仿宋" w:cs="仿宋"/>
          <w:color w:val="000000"/>
          <w:sz w:val="32"/>
        </w:rPr>
        <w:t>万元、</w:t>
      </w:r>
      <w:r>
        <w:rPr>
          <w:rFonts w:ascii="仿宋" w:hAnsi="仿宋" w:eastAsia="仿宋" w:cs="仿宋"/>
          <w:color w:val="000000"/>
          <w:sz w:val="32"/>
        </w:rPr>
        <w:t>其他社会保障缴费0.86</w:t>
      </w:r>
      <w:r>
        <w:rPr>
          <w:rFonts w:hint="eastAsia" w:ascii="仿宋" w:hAnsi="仿宋" w:eastAsia="仿宋" w:cs="仿宋"/>
          <w:color w:val="000000"/>
          <w:sz w:val="32"/>
        </w:rPr>
        <w:t>万元</w:t>
      </w:r>
      <w:r>
        <w:rPr>
          <w:rFonts w:ascii="仿宋" w:hAnsi="仿宋" w:eastAsia="仿宋" w:cs="仿宋"/>
          <w:color w:val="000000"/>
          <w:sz w:val="32"/>
        </w:rPr>
        <w:t>、医疗费1.64</w:t>
      </w:r>
      <w:r>
        <w:rPr>
          <w:rFonts w:hint="eastAsia" w:ascii="仿宋" w:hAnsi="仿宋" w:eastAsia="仿宋" w:cs="仿宋"/>
          <w:color w:val="000000"/>
          <w:sz w:val="32"/>
        </w:rPr>
        <w:t>万元</w:t>
      </w:r>
      <w:r>
        <w:rPr>
          <w:rFonts w:ascii="仿宋" w:hAnsi="仿宋" w:eastAsia="仿宋" w:cs="仿宋"/>
          <w:color w:val="000000"/>
          <w:sz w:val="32"/>
        </w:rPr>
        <w:t>、住房公积金5.67</w:t>
      </w:r>
      <w:r>
        <w:rPr>
          <w:rFonts w:hint="eastAsia" w:ascii="仿宋" w:hAnsi="仿宋" w:eastAsia="仿宋" w:cs="仿宋"/>
          <w:color w:val="000000"/>
          <w:sz w:val="32"/>
        </w:rPr>
        <w:t>万元</w:t>
      </w:r>
      <w:r>
        <w:rPr>
          <w:rFonts w:ascii="仿宋" w:hAnsi="仿宋" w:eastAsia="仿宋" w:cs="仿宋"/>
          <w:color w:val="000000"/>
          <w:sz w:val="32"/>
        </w:rPr>
        <w:t>。</w:t>
      </w:r>
    </w:p>
    <w:p>
      <w:pPr>
        <w:spacing w:line="600" w:lineRule="auto"/>
        <w:ind w:firstLine="640" w:firstLineChars="200"/>
        <w:rPr>
          <w:rFonts w:ascii="黑体" w:hAnsi="黑体" w:eastAsia="黑体" w:cs="黑体"/>
          <w:sz w:val="32"/>
        </w:rPr>
      </w:pPr>
      <w:r>
        <w:rPr>
          <w:rFonts w:ascii="黑体" w:hAnsi="黑体" w:eastAsia="黑体" w:cs="黑体"/>
          <w:color w:val="000000"/>
          <w:sz w:val="32"/>
        </w:rPr>
        <w:t>七、</w:t>
      </w:r>
      <w:r>
        <w:rPr>
          <w:rFonts w:ascii="黑体" w:hAnsi="黑体" w:eastAsia="黑体" w:cs="黑体"/>
          <w:b/>
          <w:sz w:val="32"/>
        </w:rPr>
        <w:t>“</w:t>
      </w:r>
      <w:r>
        <w:rPr>
          <w:rFonts w:ascii="黑体" w:hAnsi="黑体" w:eastAsia="黑体" w:cs="黑体"/>
          <w:sz w:val="32"/>
        </w:rPr>
        <w:t>三公”经费财政拨款支出决算情况说明</w:t>
      </w:r>
    </w:p>
    <w:p>
      <w:pPr>
        <w:spacing w:line="600" w:lineRule="auto"/>
        <w:ind w:firstLine="642" w:firstLineChars="200"/>
        <w:rPr>
          <w:rFonts w:ascii="仿宋" w:hAnsi="仿宋" w:eastAsia="仿宋" w:cs="仿宋"/>
          <w:b/>
          <w:color w:val="000000"/>
          <w:sz w:val="32"/>
        </w:rPr>
      </w:pPr>
      <w:r>
        <w:rPr>
          <w:rFonts w:ascii="仿宋" w:hAnsi="仿宋" w:eastAsia="仿宋" w:cs="仿宋"/>
          <w:b/>
          <w:color w:val="000000"/>
          <w:sz w:val="32"/>
        </w:rPr>
        <w:t>（一）“三公”经费财政拨款支出决算总体情况说明</w:t>
      </w:r>
    </w:p>
    <w:p>
      <w:pPr>
        <w:spacing w:line="600" w:lineRule="auto"/>
        <w:ind w:firstLine="640" w:firstLineChars="200"/>
        <w:rPr>
          <w:rFonts w:ascii="仿宋" w:hAnsi="仿宋" w:eastAsia="仿宋" w:cs="仿宋"/>
          <w:color w:val="000000"/>
          <w:sz w:val="32"/>
        </w:rPr>
      </w:pPr>
      <w:r>
        <w:rPr>
          <w:rFonts w:ascii="仿宋" w:hAnsi="仿宋" w:eastAsia="仿宋" w:cs="仿宋"/>
          <w:color w:val="000000"/>
          <w:sz w:val="32"/>
        </w:rPr>
        <w:t>2018年“三公”经费财政拨款支出决算为</w:t>
      </w:r>
      <w:r>
        <w:rPr>
          <w:rFonts w:hint="eastAsia" w:ascii="仿宋" w:hAnsi="仿宋" w:eastAsia="仿宋" w:cs="仿宋"/>
          <w:color w:val="000000"/>
          <w:sz w:val="32"/>
        </w:rPr>
        <w:t>20</w:t>
      </w:r>
      <w:r>
        <w:rPr>
          <w:rFonts w:ascii="仿宋" w:hAnsi="仿宋" w:eastAsia="仿宋" w:cs="仿宋"/>
          <w:color w:val="000000"/>
          <w:sz w:val="32"/>
        </w:rPr>
        <w:t>万元，完成预算</w:t>
      </w:r>
      <w:r>
        <w:rPr>
          <w:rFonts w:hint="eastAsia" w:ascii="仿宋" w:hAnsi="仿宋" w:eastAsia="仿宋" w:cs="仿宋"/>
          <w:color w:val="000000"/>
          <w:sz w:val="32"/>
        </w:rPr>
        <w:t>100</w:t>
      </w:r>
      <w:r>
        <w:rPr>
          <w:rFonts w:ascii="仿宋" w:hAnsi="仿宋" w:eastAsia="仿宋" w:cs="仿宋"/>
          <w:color w:val="000000"/>
          <w:sz w:val="32"/>
        </w:rPr>
        <w:t>%。</w:t>
      </w:r>
    </w:p>
    <w:p>
      <w:pPr>
        <w:spacing w:line="600" w:lineRule="auto"/>
        <w:ind w:firstLine="642" w:firstLineChars="200"/>
        <w:rPr>
          <w:rFonts w:ascii="仿宋" w:hAnsi="仿宋" w:eastAsia="仿宋" w:cs="仿宋"/>
          <w:b/>
          <w:color w:val="000000"/>
          <w:sz w:val="32"/>
        </w:rPr>
      </w:pPr>
      <w:r>
        <w:rPr>
          <w:rFonts w:ascii="仿宋" w:hAnsi="仿宋" w:eastAsia="仿宋" w:cs="仿宋"/>
          <w:b/>
          <w:color w:val="000000"/>
          <w:sz w:val="32"/>
        </w:rPr>
        <w:t>（二）“三公”经费财政拨款支出决算具体情况说明</w:t>
      </w:r>
    </w:p>
    <w:p>
      <w:pPr>
        <w:spacing w:line="600" w:lineRule="auto"/>
        <w:ind w:firstLine="640" w:firstLineChars="200"/>
        <w:rPr>
          <w:rFonts w:ascii="仿宋" w:hAnsi="仿宋" w:eastAsia="仿宋" w:cs="仿宋"/>
          <w:color w:val="000000"/>
          <w:sz w:val="32"/>
        </w:rPr>
      </w:pPr>
      <w:r>
        <w:rPr>
          <w:rFonts w:ascii="仿宋" w:hAnsi="仿宋" w:eastAsia="仿宋" w:cs="仿宋"/>
          <w:color w:val="000000"/>
          <w:sz w:val="32"/>
        </w:rPr>
        <w:t>2018年“三公”经费财政拨款支出决算中，因公出国（境）费支出决算</w:t>
      </w:r>
      <w:r>
        <w:rPr>
          <w:rFonts w:hint="eastAsia" w:ascii="仿宋" w:hAnsi="仿宋" w:eastAsia="仿宋" w:cs="仿宋"/>
          <w:color w:val="000000"/>
          <w:sz w:val="32"/>
        </w:rPr>
        <w:t>0</w:t>
      </w:r>
      <w:r>
        <w:rPr>
          <w:rFonts w:ascii="仿宋" w:hAnsi="仿宋" w:eastAsia="仿宋" w:cs="仿宋"/>
          <w:color w:val="000000"/>
          <w:sz w:val="32"/>
        </w:rPr>
        <w:t>万元，公务用车购置及运行维护费支出决算</w:t>
      </w:r>
      <w:r>
        <w:rPr>
          <w:rFonts w:hint="eastAsia" w:ascii="仿宋" w:hAnsi="仿宋" w:eastAsia="仿宋" w:cs="仿宋"/>
          <w:color w:val="000000"/>
          <w:sz w:val="32"/>
        </w:rPr>
        <w:t>20</w:t>
      </w:r>
      <w:r>
        <w:rPr>
          <w:rFonts w:ascii="仿宋" w:hAnsi="仿宋" w:eastAsia="仿宋" w:cs="仿宋"/>
          <w:color w:val="000000"/>
          <w:sz w:val="32"/>
        </w:rPr>
        <w:t>万元，占</w:t>
      </w:r>
      <w:r>
        <w:rPr>
          <w:rFonts w:hint="eastAsia" w:ascii="仿宋" w:hAnsi="仿宋" w:eastAsia="仿宋" w:cs="仿宋"/>
          <w:color w:val="000000"/>
          <w:sz w:val="32"/>
        </w:rPr>
        <w:t>100</w:t>
      </w:r>
      <w:r>
        <w:rPr>
          <w:rFonts w:ascii="仿宋" w:hAnsi="仿宋" w:eastAsia="仿宋" w:cs="仿宋"/>
          <w:color w:val="000000"/>
          <w:sz w:val="32"/>
        </w:rPr>
        <w:t>%；公务接待费支出决算</w:t>
      </w:r>
      <w:r>
        <w:rPr>
          <w:rFonts w:hint="eastAsia" w:ascii="仿宋" w:hAnsi="仿宋" w:eastAsia="仿宋" w:cs="仿宋"/>
          <w:color w:val="000000"/>
          <w:sz w:val="32"/>
        </w:rPr>
        <w:t>0</w:t>
      </w:r>
      <w:r>
        <w:rPr>
          <w:rFonts w:ascii="仿宋" w:hAnsi="仿宋" w:eastAsia="仿宋" w:cs="仿宋"/>
          <w:color w:val="000000"/>
          <w:sz w:val="32"/>
        </w:rPr>
        <w:t>万元。具体情况如下：</w:t>
      </w:r>
    </w:p>
    <w:p>
      <w:pPr>
        <w:spacing w:line="600" w:lineRule="auto"/>
        <w:ind w:firstLine="640" w:firstLineChars="200"/>
        <w:rPr>
          <w:rFonts w:ascii="仿宋" w:hAnsi="仿宋" w:eastAsia="仿宋" w:cs="仿宋"/>
          <w:color w:val="000000"/>
          <w:sz w:val="32"/>
        </w:rPr>
      </w:pPr>
      <w:r>
        <w:rPr>
          <w:rFonts w:ascii="仿宋" w:hAnsi="仿宋" w:eastAsia="仿宋" w:cs="仿宋"/>
          <w:color w:val="000000"/>
          <w:sz w:val="32"/>
        </w:rPr>
        <w:t>（图8：“三公”经费财政拨款支出结构）（饼状图）</w:t>
      </w:r>
    </w:p>
    <w:p>
      <w:pPr>
        <w:spacing w:line="600" w:lineRule="auto"/>
        <w:ind w:firstLine="420" w:firstLineChars="200"/>
        <w:rPr>
          <w:rFonts w:ascii="仿宋" w:hAnsi="仿宋" w:eastAsia="仿宋" w:cs="仿宋"/>
          <w:color w:val="000000"/>
          <w:sz w:val="32"/>
        </w:rPr>
      </w:pPr>
      <w:r>
        <w:drawing>
          <wp:inline distT="0" distB="0" distL="0" distR="0">
            <wp:extent cx="2743200" cy="1828800"/>
            <wp:effectExtent l="0" t="0" r="0" b="0"/>
            <wp:docPr id="13" name="对象 13"/>
            <wp:cNvGraphicFramePr>
              <a:graphicFrameLocks xmlns:a="http://schemas.openxmlformats.org/drawingml/2006/main" noChangeAspect="true"/>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auto"/>
        <w:ind w:firstLine="642" w:firstLineChars="200"/>
        <w:rPr>
          <w:rFonts w:ascii="仿宋_GB2312" w:hAnsi="仿宋_GB2312" w:eastAsia="仿宋_GB2312" w:cs="仿宋_GB2312"/>
          <w:b/>
          <w:color w:val="000000"/>
          <w:sz w:val="32"/>
        </w:rPr>
      </w:pPr>
      <w:r>
        <w:rPr>
          <w:rFonts w:ascii="仿宋_GB2312" w:hAnsi="仿宋_GB2312" w:eastAsia="仿宋_GB2312" w:cs="仿宋_GB2312"/>
          <w:b/>
          <w:color w:val="000000"/>
          <w:sz w:val="32"/>
        </w:rPr>
        <w:t>1.因公出国（境）经费支出</w:t>
      </w:r>
      <w:r>
        <w:rPr>
          <w:rFonts w:hint="eastAsia" w:ascii="仿宋_GB2312" w:hAnsi="仿宋_GB2312" w:eastAsia="仿宋_GB2312" w:cs="仿宋_GB2312"/>
          <w:color w:val="000000"/>
          <w:sz w:val="32"/>
        </w:rPr>
        <w:t>0</w:t>
      </w:r>
      <w:r>
        <w:rPr>
          <w:rFonts w:ascii="仿宋_GB2312" w:hAnsi="仿宋_GB2312" w:eastAsia="仿宋_GB2312" w:cs="仿宋_GB2312"/>
          <w:color w:val="000000"/>
          <w:sz w:val="32"/>
        </w:rPr>
        <w:t>万元。因公出国（境）支出决算</w:t>
      </w:r>
      <w:r>
        <w:rPr>
          <w:rFonts w:hint="eastAsia" w:ascii="仿宋_GB2312" w:hAnsi="仿宋_GB2312" w:eastAsia="仿宋_GB2312" w:cs="仿宋_GB2312"/>
          <w:color w:val="000000"/>
          <w:sz w:val="32"/>
        </w:rPr>
        <w:t>与</w:t>
      </w:r>
      <w:r>
        <w:rPr>
          <w:rFonts w:ascii="仿宋_GB2312" w:hAnsi="仿宋_GB2312" w:eastAsia="仿宋_GB2312" w:cs="仿宋_GB2312"/>
          <w:color w:val="000000"/>
          <w:sz w:val="32"/>
        </w:rPr>
        <w:t>2017年</w:t>
      </w:r>
      <w:r>
        <w:rPr>
          <w:rFonts w:hint="eastAsia" w:ascii="仿宋_GB2312" w:hAnsi="仿宋_GB2312" w:eastAsia="仿宋_GB2312" w:cs="仿宋_GB2312"/>
          <w:color w:val="000000"/>
          <w:sz w:val="32"/>
        </w:rPr>
        <w:t>持平</w:t>
      </w:r>
      <w:r>
        <w:rPr>
          <w:rFonts w:ascii="仿宋_GB2312" w:hAnsi="仿宋_GB2312" w:eastAsia="仿宋_GB2312" w:cs="仿宋_GB2312"/>
          <w:color w:val="000000"/>
          <w:sz w:val="32"/>
        </w:rPr>
        <w:t>。</w:t>
      </w:r>
    </w:p>
    <w:p>
      <w:pPr>
        <w:spacing w:line="600" w:lineRule="auto"/>
        <w:ind w:firstLine="642" w:firstLineChars="200"/>
        <w:rPr>
          <w:rFonts w:ascii="仿宋_GB2312" w:hAnsi="仿宋_GB2312" w:eastAsia="仿宋_GB2312" w:cs="仿宋_GB2312"/>
          <w:b/>
          <w:color w:val="000000"/>
          <w:sz w:val="32"/>
        </w:rPr>
      </w:pPr>
      <w:r>
        <w:rPr>
          <w:rFonts w:ascii="仿宋_GB2312" w:hAnsi="仿宋_GB2312" w:eastAsia="仿宋_GB2312" w:cs="仿宋_GB2312"/>
          <w:b/>
          <w:color w:val="000000"/>
          <w:sz w:val="32"/>
        </w:rPr>
        <w:t>2.公务用车购置及运行维护费支出</w:t>
      </w:r>
      <w:r>
        <w:rPr>
          <w:rFonts w:hint="eastAsia" w:ascii="仿宋_GB2312" w:hAnsi="仿宋_GB2312" w:eastAsia="仿宋_GB2312" w:cs="仿宋_GB2312"/>
          <w:color w:val="000000"/>
          <w:sz w:val="32"/>
        </w:rPr>
        <w:t>20</w:t>
      </w:r>
      <w:r>
        <w:rPr>
          <w:rFonts w:ascii="仿宋_GB2312" w:hAnsi="仿宋_GB2312" w:eastAsia="仿宋_GB2312" w:cs="仿宋_GB2312"/>
          <w:color w:val="000000"/>
          <w:sz w:val="32"/>
        </w:rPr>
        <w:t>万元,</w:t>
      </w:r>
      <w:r>
        <w:rPr>
          <w:rFonts w:ascii="仿宋" w:hAnsi="仿宋" w:eastAsia="仿宋" w:cs="仿宋"/>
          <w:color w:val="000000"/>
          <w:sz w:val="32"/>
        </w:rPr>
        <w:t>完成预算</w:t>
      </w:r>
      <w:r>
        <w:rPr>
          <w:rFonts w:hint="eastAsia" w:ascii="仿宋" w:hAnsi="仿宋" w:eastAsia="仿宋" w:cs="仿宋"/>
          <w:color w:val="000000"/>
          <w:sz w:val="32"/>
        </w:rPr>
        <w:t>100</w:t>
      </w:r>
      <w:r>
        <w:rPr>
          <w:rFonts w:ascii="仿宋" w:hAnsi="仿宋" w:eastAsia="仿宋" w:cs="仿宋"/>
          <w:color w:val="000000"/>
          <w:sz w:val="32"/>
        </w:rPr>
        <w:t>%。</w:t>
      </w:r>
      <w:r>
        <w:rPr>
          <w:rFonts w:ascii="仿宋_GB2312" w:hAnsi="仿宋_GB2312" w:eastAsia="仿宋_GB2312" w:cs="仿宋_GB2312"/>
          <w:color w:val="000000"/>
          <w:sz w:val="32"/>
        </w:rPr>
        <w:t>公务用车购置及运行维护费支出决算比2017年增加</w:t>
      </w:r>
      <w:r>
        <w:rPr>
          <w:rFonts w:hint="eastAsia" w:ascii="仿宋_GB2312" w:hAnsi="仿宋_GB2312" w:eastAsia="仿宋_GB2312" w:cs="仿宋_GB2312"/>
          <w:color w:val="000000"/>
          <w:sz w:val="32"/>
        </w:rPr>
        <w:t>20</w:t>
      </w:r>
      <w:r>
        <w:rPr>
          <w:rFonts w:ascii="仿宋_GB2312" w:hAnsi="仿宋_GB2312" w:eastAsia="仿宋_GB2312" w:cs="仿宋_GB2312"/>
          <w:color w:val="000000"/>
          <w:sz w:val="32"/>
        </w:rPr>
        <w:t>万元，增长</w:t>
      </w:r>
      <w:r>
        <w:rPr>
          <w:rFonts w:hint="eastAsia" w:ascii="仿宋_GB2312" w:hAnsi="仿宋_GB2312" w:eastAsia="仿宋_GB2312" w:cs="仿宋_GB2312"/>
          <w:color w:val="000000"/>
          <w:sz w:val="32"/>
        </w:rPr>
        <w:t>100</w:t>
      </w:r>
      <w:r>
        <w:rPr>
          <w:rFonts w:ascii="仿宋_GB2312" w:hAnsi="仿宋_GB2312" w:eastAsia="仿宋_GB2312" w:cs="仿宋_GB2312"/>
          <w:color w:val="000000"/>
          <w:sz w:val="32"/>
        </w:rPr>
        <w:t>%。主要原因是</w:t>
      </w:r>
      <w:r>
        <w:rPr>
          <w:rFonts w:hint="eastAsia" w:ascii="仿宋_GB2312" w:hAnsi="仿宋_GB2312" w:eastAsia="仿宋_GB2312" w:cs="仿宋_GB2312"/>
          <w:color w:val="000000"/>
          <w:sz w:val="32"/>
        </w:rPr>
        <w:t>购置公务用车</w:t>
      </w:r>
      <w:r>
        <w:rPr>
          <w:rFonts w:ascii="仿宋_GB2312" w:hAnsi="仿宋_GB2312" w:eastAsia="仿宋_GB2312" w:cs="仿宋_GB2312"/>
          <w:color w:val="000000"/>
          <w:sz w:val="32"/>
        </w:rPr>
        <w:t>。</w:t>
      </w:r>
    </w:p>
    <w:p>
      <w:pPr>
        <w:spacing w:line="600" w:lineRule="auto"/>
        <w:ind w:firstLine="640" w:firstLineChars="200"/>
        <w:rPr>
          <w:rFonts w:ascii="仿宋_GB2312" w:hAnsi="仿宋_GB2312" w:eastAsia="仿宋_GB2312" w:cs="仿宋_GB2312"/>
          <w:b/>
          <w:color w:val="000000"/>
          <w:sz w:val="32"/>
        </w:rPr>
      </w:pPr>
      <w:r>
        <w:rPr>
          <w:rFonts w:ascii="仿宋_GB2312" w:hAnsi="仿宋_GB2312" w:eastAsia="仿宋_GB2312" w:cs="仿宋_GB2312"/>
          <w:color w:val="000000"/>
          <w:sz w:val="32"/>
        </w:rPr>
        <w:t>其中：</w:t>
      </w:r>
      <w:r>
        <w:rPr>
          <w:rFonts w:ascii="仿宋_GB2312" w:hAnsi="仿宋_GB2312" w:eastAsia="仿宋_GB2312" w:cs="仿宋_GB2312"/>
          <w:b/>
          <w:color w:val="000000"/>
          <w:sz w:val="32"/>
        </w:rPr>
        <w:t>公务用车购置支出</w:t>
      </w:r>
      <w:r>
        <w:rPr>
          <w:rFonts w:hint="eastAsia" w:ascii="仿宋_GB2312" w:hAnsi="仿宋_GB2312" w:eastAsia="仿宋_GB2312" w:cs="仿宋_GB2312"/>
          <w:color w:val="000000"/>
          <w:sz w:val="32"/>
        </w:rPr>
        <w:t>20</w:t>
      </w:r>
      <w:r>
        <w:rPr>
          <w:rFonts w:ascii="仿宋_GB2312" w:hAnsi="仿宋_GB2312" w:eastAsia="仿宋_GB2312" w:cs="仿宋_GB2312"/>
          <w:color w:val="000000"/>
          <w:sz w:val="32"/>
        </w:rPr>
        <w:t>万元。全年按规定更新购置公务用车</w:t>
      </w:r>
      <w:r>
        <w:rPr>
          <w:rFonts w:hint="eastAsia" w:ascii="仿宋_GB2312" w:hAnsi="仿宋_GB2312" w:eastAsia="仿宋_GB2312" w:cs="仿宋_GB2312"/>
          <w:color w:val="000000"/>
          <w:sz w:val="32"/>
        </w:rPr>
        <w:t>1</w:t>
      </w:r>
      <w:r>
        <w:rPr>
          <w:rFonts w:ascii="仿宋_GB2312" w:hAnsi="仿宋_GB2312" w:eastAsia="仿宋_GB2312" w:cs="仿宋_GB2312"/>
          <w:color w:val="000000"/>
          <w:sz w:val="32"/>
        </w:rPr>
        <w:t>辆，其中：</w:t>
      </w:r>
      <w:r>
        <w:rPr>
          <w:rFonts w:hint="eastAsia" w:ascii="仿宋_GB2312" w:hAnsi="仿宋_GB2312" w:eastAsia="仿宋_GB2312" w:cs="仿宋_GB2312"/>
          <w:color w:val="000000"/>
          <w:sz w:val="32"/>
        </w:rPr>
        <w:t>其他车型1辆</w:t>
      </w:r>
      <w:r>
        <w:rPr>
          <w:rFonts w:ascii="仿宋_GB2312" w:hAnsi="仿宋_GB2312" w:eastAsia="仿宋_GB2312" w:cs="仿宋_GB2312"/>
          <w:color w:val="000000"/>
          <w:sz w:val="32"/>
        </w:rPr>
        <w:t>、金额</w:t>
      </w:r>
      <w:r>
        <w:rPr>
          <w:rFonts w:hint="eastAsia" w:ascii="仿宋_GB2312" w:hAnsi="仿宋_GB2312" w:eastAsia="仿宋_GB2312" w:cs="仿宋_GB2312"/>
          <w:color w:val="000000"/>
          <w:sz w:val="32"/>
        </w:rPr>
        <w:t>20</w:t>
      </w:r>
      <w:r>
        <w:rPr>
          <w:rFonts w:ascii="仿宋_GB2312" w:hAnsi="仿宋_GB2312" w:eastAsia="仿宋_GB2312" w:cs="仿宋_GB2312"/>
          <w:color w:val="000000"/>
          <w:sz w:val="32"/>
        </w:rPr>
        <w:t>万元，主要用于</w:t>
      </w:r>
      <w:r>
        <w:rPr>
          <w:rFonts w:hint="eastAsia" w:ascii="仿宋_GB2312" w:hAnsi="仿宋_GB2312" w:eastAsia="仿宋_GB2312" w:cs="仿宋_GB2312"/>
          <w:color w:val="000000"/>
          <w:sz w:val="32"/>
        </w:rPr>
        <w:t>应急保障</w:t>
      </w:r>
      <w:r>
        <w:rPr>
          <w:rFonts w:ascii="仿宋_GB2312" w:hAnsi="仿宋_GB2312" w:eastAsia="仿宋_GB2312" w:cs="仿宋_GB2312"/>
          <w:color w:val="000000"/>
          <w:sz w:val="32"/>
        </w:rPr>
        <w:t>。截至2018年12月底，单位共有公务用车</w:t>
      </w:r>
      <w:r>
        <w:rPr>
          <w:rFonts w:hint="eastAsia" w:ascii="仿宋_GB2312" w:hAnsi="仿宋_GB2312" w:eastAsia="仿宋_GB2312" w:cs="仿宋_GB2312"/>
          <w:color w:val="000000"/>
          <w:sz w:val="32"/>
        </w:rPr>
        <w:t>1</w:t>
      </w:r>
      <w:r>
        <w:rPr>
          <w:rFonts w:ascii="仿宋_GB2312" w:hAnsi="仿宋_GB2312" w:eastAsia="仿宋_GB2312" w:cs="仿宋_GB2312"/>
          <w:color w:val="000000"/>
          <w:sz w:val="32"/>
        </w:rPr>
        <w:t>辆，其中：</w:t>
      </w:r>
      <w:r>
        <w:rPr>
          <w:rFonts w:hint="eastAsia" w:ascii="仿宋_GB2312" w:hAnsi="仿宋_GB2312" w:eastAsia="仿宋_GB2312" w:cs="仿宋_GB2312"/>
          <w:color w:val="000000"/>
          <w:sz w:val="32"/>
        </w:rPr>
        <w:t>其他车型1</w:t>
      </w:r>
      <w:r>
        <w:rPr>
          <w:rFonts w:ascii="仿宋_GB2312" w:hAnsi="仿宋_GB2312" w:eastAsia="仿宋_GB2312" w:cs="仿宋_GB2312"/>
          <w:color w:val="000000"/>
          <w:sz w:val="32"/>
        </w:rPr>
        <w:t>辆。</w:t>
      </w:r>
    </w:p>
    <w:p>
      <w:pPr>
        <w:spacing w:line="600" w:lineRule="auto"/>
        <w:ind w:firstLine="642" w:firstLineChars="200"/>
        <w:rPr>
          <w:rFonts w:ascii="仿宋_GB2312" w:hAnsi="仿宋_GB2312" w:eastAsia="仿宋_GB2312" w:cs="仿宋_GB2312"/>
          <w:color w:val="000000"/>
          <w:sz w:val="32"/>
        </w:rPr>
      </w:pPr>
      <w:r>
        <w:rPr>
          <w:rFonts w:ascii="仿宋_GB2312" w:hAnsi="仿宋_GB2312" w:eastAsia="仿宋_GB2312" w:cs="仿宋_GB2312"/>
          <w:b/>
          <w:color w:val="000000"/>
          <w:sz w:val="32"/>
        </w:rPr>
        <w:t>3.公务接待费支出</w:t>
      </w:r>
      <w:r>
        <w:rPr>
          <w:rFonts w:hint="eastAsia" w:ascii="仿宋_GB2312" w:hAnsi="仿宋_GB2312" w:eastAsia="仿宋_GB2312" w:cs="仿宋_GB2312"/>
          <w:color w:val="000000"/>
          <w:sz w:val="32"/>
        </w:rPr>
        <w:t>0</w:t>
      </w:r>
      <w:r>
        <w:rPr>
          <w:rFonts w:ascii="仿宋_GB2312" w:hAnsi="仿宋_GB2312" w:eastAsia="仿宋_GB2312" w:cs="仿宋_GB2312"/>
          <w:color w:val="000000"/>
          <w:sz w:val="32"/>
        </w:rPr>
        <w:t>万元</w:t>
      </w:r>
      <w:r>
        <w:rPr>
          <w:rFonts w:ascii="仿宋" w:hAnsi="仿宋" w:eastAsia="仿宋" w:cs="仿宋"/>
          <w:color w:val="000000"/>
          <w:sz w:val="32"/>
        </w:rPr>
        <w:t>。</w:t>
      </w:r>
      <w:r>
        <w:rPr>
          <w:rFonts w:ascii="仿宋_GB2312" w:hAnsi="仿宋_GB2312" w:eastAsia="仿宋_GB2312" w:cs="仿宋_GB2312"/>
          <w:color w:val="000000"/>
          <w:sz w:val="32"/>
        </w:rPr>
        <w:t>公务接待费支出决算</w:t>
      </w:r>
      <w:r>
        <w:rPr>
          <w:rFonts w:hint="eastAsia" w:ascii="仿宋_GB2312" w:hAnsi="仿宋_GB2312" w:eastAsia="仿宋_GB2312" w:cs="仿宋_GB2312"/>
          <w:color w:val="000000"/>
          <w:sz w:val="32"/>
        </w:rPr>
        <w:t>与</w:t>
      </w:r>
      <w:r>
        <w:rPr>
          <w:rFonts w:ascii="仿宋_GB2312" w:hAnsi="仿宋_GB2312" w:eastAsia="仿宋_GB2312" w:cs="仿宋_GB2312"/>
          <w:color w:val="000000"/>
          <w:sz w:val="32"/>
        </w:rPr>
        <w:t>2017年</w:t>
      </w:r>
      <w:r>
        <w:rPr>
          <w:rFonts w:hint="eastAsia" w:ascii="仿宋_GB2312" w:hAnsi="仿宋_GB2312" w:eastAsia="仿宋_GB2312" w:cs="仿宋_GB2312"/>
          <w:color w:val="000000"/>
          <w:sz w:val="32"/>
        </w:rPr>
        <w:t>持平</w:t>
      </w:r>
      <w:r>
        <w:rPr>
          <w:rFonts w:ascii="仿宋_GB2312" w:hAnsi="仿宋_GB2312" w:eastAsia="仿宋_GB2312" w:cs="仿宋_GB2312"/>
          <w:color w:val="000000"/>
          <w:sz w:val="32"/>
        </w:rPr>
        <w:t>。</w:t>
      </w:r>
    </w:p>
    <w:p>
      <w:pPr>
        <w:spacing w:line="600" w:lineRule="auto"/>
        <w:ind w:firstLine="640" w:firstLineChars="200"/>
        <w:rPr>
          <w:rFonts w:ascii="黑体" w:hAnsi="黑体" w:eastAsia="黑体" w:cs="黑体"/>
          <w:b/>
          <w:sz w:val="32"/>
        </w:rPr>
      </w:pPr>
      <w:r>
        <w:rPr>
          <w:rFonts w:ascii="黑体" w:hAnsi="黑体" w:eastAsia="黑体" w:cs="黑体"/>
          <w:color w:val="000000"/>
          <w:sz w:val="32"/>
        </w:rPr>
        <w:t>八、</w:t>
      </w:r>
      <w:r>
        <w:rPr>
          <w:rFonts w:ascii="黑体" w:hAnsi="黑体" w:eastAsia="黑体" w:cs="黑体"/>
          <w:sz w:val="32"/>
        </w:rPr>
        <w:t>政府性基金预算支出决算情况说明</w:t>
      </w:r>
    </w:p>
    <w:p>
      <w:pPr>
        <w:spacing w:line="600" w:lineRule="auto"/>
        <w:ind w:firstLine="640" w:firstLineChars="200"/>
        <w:rPr>
          <w:rFonts w:ascii="仿宋_GB2312" w:hAnsi="仿宋_GB2312" w:eastAsia="仿宋_GB2312" w:cs="仿宋_GB2312"/>
          <w:color w:val="000000"/>
          <w:sz w:val="32"/>
        </w:rPr>
      </w:pPr>
      <w:r>
        <w:rPr>
          <w:rFonts w:ascii="仿宋_GB2312" w:hAnsi="仿宋_GB2312" w:eastAsia="仿宋_GB2312" w:cs="仿宋_GB2312"/>
          <w:color w:val="000000"/>
          <w:sz w:val="32"/>
        </w:rPr>
        <w:t>2018年政府性基金预算拨款支出</w:t>
      </w:r>
      <w:r>
        <w:rPr>
          <w:rFonts w:hint="eastAsia" w:ascii="仿宋_GB2312" w:hAnsi="仿宋_GB2312" w:eastAsia="仿宋_GB2312" w:cs="仿宋_GB2312"/>
          <w:color w:val="000000"/>
          <w:sz w:val="32"/>
        </w:rPr>
        <w:t>0</w:t>
      </w:r>
      <w:r>
        <w:rPr>
          <w:rFonts w:ascii="仿宋_GB2312" w:hAnsi="仿宋_GB2312" w:eastAsia="仿宋_GB2312" w:cs="仿宋_GB2312"/>
          <w:color w:val="000000"/>
          <w:sz w:val="32"/>
        </w:rPr>
        <w:t>万元。</w:t>
      </w:r>
    </w:p>
    <w:p>
      <w:pPr>
        <w:spacing w:line="600" w:lineRule="auto"/>
        <w:ind w:left="640"/>
        <w:rPr>
          <w:rFonts w:ascii="黑体" w:hAnsi="黑体" w:eastAsia="黑体" w:cs="黑体"/>
          <w:sz w:val="32"/>
        </w:rPr>
      </w:pPr>
      <w:r>
        <w:rPr>
          <w:rFonts w:hint="eastAsia" w:ascii="黑体" w:hAnsi="黑体" w:eastAsia="黑体" w:cs="黑体"/>
          <w:sz w:val="32"/>
        </w:rPr>
        <w:t>九、</w:t>
      </w:r>
      <w:r>
        <w:rPr>
          <w:rFonts w:ascii="黑体" w:hAnsi="黑体" w:eastAsia="黑体" w:cs="黑体"/>
          <w:sz w:val="32"/>
        </w:rPr>
        <w:t>国有资本经营预算支出决算情况说明</w:t>
      </w:r>
    </w:p>
    <w:p>
      <w:pPr>
        <w:spacing w:line="600" w:lineRule="auto"/>
        <w:ind w:firstLine="640" w:firstLineChars="200"/>
        <w:rPr>
          <w:rFonts w:ascii="仿宋_GB2312" w:hAnsi="仿宋_GB2312" w:eastAsia="仿宋_GB2312" w:cs="仿宋_GB2312"/>
          <w:color w:val="000000"/>
          <w:sz w:val="32"/>
        </w:rPr>
      </w:pPr>
      <w:r>
        <w:rPr>
          <w:rFonts w:ascii="仿宋_GB2312" w:hAnsi="仿宋_GB2312" w:eastAsia="仿宋_GB2312" w:cs="仿宋_GB2312"/>
          <w:color w:val="000000"/>
          <w:sz w:val="32"/>
        </w:rPr>
        <w:t>2018年国有资本经营预算拨款支出</w:t>
      </w:r>
      <w:r>
        <w:rPr>
          <w:rFonts w:hint="eastAsia" w:ascii="仿宋_GB2312" w:hAnsi="仿宋_GB2312" w:eastAsia="仿宋_GB2312" w:cs="仿宋_GB2312"/>
          <w:color w:val="000000"/>
          <w:sz w:val="32"/>
        </w:rPr>
        <w:t>0</w:t>
      </w:r>
      <w:r>
        <w:rPr>
          <w:rFonts w:ascii="仿宋_GB2312" w:hAnsi="仿宋_GB2312" w:eastAsia="仿宋_GB2312" w:cs="仿宋_GB2312"/>
          <w:color w:val="000000"/>
          <w:sz w:val="32"/>
        </w:rPr>
        <w:t>万元。</w:t>
      </w:r>
    </w:p>
    <w:p>
      <w:pPr>
        <w:numPr>
          <w:ilvl w:val="0"/>
          <w:numId w:val="4"/>
        </w:numPr>
        <w:spacing w:line="580" w:lineRule="auto"/>
        <w:ind w:firstLine="642" w:firstLineChars="200"/>
        <w:rPr>
          <w:rFonts w:ascii="仿宋" w:hAnsi="仿宋" w:eastAsia="仿宋" w:cs="仿宋"/>
          <w:sz w:val="32"/>
        </w:rPr>
      </w:pPr>
      <w:r>
        <w:rPr>
          <w:rFonts w:ascii="仿宋" w:hAnsi="仿宋" w:eastAsia="仿宋" w:cs="仿宋"/>
          <w:b/>
          <w:sz w:val="32"/>
        </w:rPr>
        <w:t>部门开展绩效评价结果。</w:t>
      </w:r>
    </w:p>
    <w:p>
      <w:pPr>
        <w:spacing w:line="580" w:lineRule="auto"/>
        <w:ind w:firstLine="640" w:firstLineChars="200"/>
        <w:rPr>
          <w:rFonts w:ascii="仿宋_GB2312" w:hAnsi="仿宋_GB2312" w:eastAsia="仿宋_GB2312" w:cs="仿宋_GB2312"/>
          <w:sz w:val="32"/>
        </w:rPr>
      </w:pPr>
      <w:r>
        <w:rPr>
          <w:rFonts w:ascii="仿宋_GB2312" w:hAnsi="仿宋_GB2312" w:eastAsia="仿宋_GB2312" w:cs="仿宋_GB2312"/>
          <w:sz w:val="32"/>
        </w:rPr>
        <w:t>本部门按要求对2018年部门整体支出绩效评价情况开展自评，《</w:t>
      </w:r>
      <w:r>
        <w:rPr>
          <w:rFonts w:hint="eastAsia" w:ascii="仿宋_GB2312" w:hAnsi="仿宋_GB2312" w:eastAsia="仿宋_GB2312" w:cs="仿宋_GB2312"/>
          <w:sz w:val="32"/>
        </w:rPr>
        <w:t>红原县新华书店</w:t>
      </w:r>
      <w:r>
        <w:rPr>
          <w:rFonts w:ascii="仿宋_GB2312" w:hAnsi="仿宋_GB2312" w:eastAsia="仿宋_GB2312" w:cs="仿宋_GB2312"/>
          <w:sz w:val="32"/>
        </w:rPr>
        <w:t>2018年部门整体支出绩效评价报告》见附件。</w:t>
      </w:r>
    </w:p>
    <w:p>
      <w:pPr>
        <w:spacing w:line="600" w:lineRule="auto"/>
        <w:ind w:firstLine="640" w:firstLineChars="200"/>
        <w:rPr>
          <w:rFonts w:ascii="黑体" w:hAnsi="黑体" w:eastAsia="黑体" w:cs="黑体"/>
          <w:b/>
          <w:sz w:val="32"/>
        </w:rPr>
      </w:pPr>
      <w:r>
        <w:rPr>
          <w:rFonts w:ascii="黑体" w:hAnsi="黑体" w:eastAsia="黑体" w:cs="黑体"/>
          <w:color w:val="000000"/>
          <w:sz w:val="32"/>
        </w:rPr>
        <w:t>十</w:t>
      </w:r>
      <w:r>
        <w:rPr>
          <w:rFonts w:ascii="黑体" w:hAnsi="黑体" w:eastAsia="黑体" w:cs="黑体"/>
          <w:b/>
          <w:sz w:val="32"/>
        </w:rPr>
        <w:t>一、</w:t>
      </w:r>
      <w:r>
        <w:rPr>
          <w:rFonts w:ascii="黑体" w:hAnsi="黑体" w:eastAsia="黑体" w:cs="黑体"/>
          <w:sz w:val="32"/>
        </w:rPr>
        <w:t>其他重要事项的情况说明</w:t>
      </w:r>
    </w:p>
    <w:p>
      <w:pPr>
        <w:spacing w:line="600" w:lineRule="auto"/>
        <w:ind w:firstLine="642" w:firstLineChars="200"/>
        <w:rPr>
          <w:rFonts w:ascii="仿宋" w:hAnsi="仿宋" w:eastAsia="仿宋" w:cs="仿宋"/>
          <w:color w:val="000000"/>
          <w:sz w:val="32"/>
        </w:rPr>
      </w:pPr>
      <w:r>
        <w:rPr>
          <w:rFonts w:ascii="仿宋" w:hAnsi="仿宋" w:eastAsia="仿宋" w:cs="仿宋"/>
          <w:b/>
          <w:color w:val="000000"/>
          <w:sz w:val="32"/>
        </w:rPr>
        <w:t>（一）机关运行经费支出情况</w:t>
      </w:r>
    </w:p>
    <w:p>
      <w:pPr>
        <w:spacing w:line="600" w:lineRule="auto"/>
        <w:ind w:firstLine="640" w:firstLineChars="200"/>
        <w:rPr>
          <w:rFonts w:ascii="仿宋_GB2312" w:hAnsi="仿宋_GB2312" w:eastAsia="仿宋_GB2312" w:cs="仿宋_GB2312"/>
          <w:color w:val="000000"/>
          <w:sz w:val="32"/>
        </w:rPr>
      </w:pPr>
      <w:r>
        <w:rPr>
          <w:rFonts w:ascii="仿宋_GB2312" w:hAnsi="仿宋_GB2312" w:eastAsia="仿宋_GB2312" w:cs="仿宋_GB2312"/>
          <w:color w:val="000000"/>
          <w:sz w:val="32"/>
        </w:rPr>
        <w:t>2018年，</w:t>
      </w:r>
      <w:r>
        <w:rPr>
          <w:rFonts w:hint="eastAsia" w:ascii="仿宋_GB2312" w:hAnsi="仿宋_GB2312" w:eastAsia="仿宋_GB2312" w:cs="仿宋_GB2312"/>
          <w:color w:val="000000"/>
          <w:sz w:val="32"/>
        </w:rPr>
        <w:t>红原县新华书店</w:t>
      </w:r>
      <w:r>
        <w:rPr>
          <w:rFonts w:ascii="仿宋_GB2312" w:hAnsi="仿宋_GB2312" w:eastAsia="仿宋_GB2312" w:cs="仿宋_GB2312"/>
          <w:color w:val="000000"/>
          <w:sz w:val="32"/>
        </w:rPr>
        <w:t>机关运行经费支出</w:t>
      </w:r>
      <w:r>
        <w:rPr>
          <w:rFonts w:hint="eastAsia" w:ascii="仿宋_GB2312" w:hAnsi="仿宋_GB2312" w:eastAsia="仿宋_GB2312" w:cs="仿宋_GB2312"/>
          <w:color w:val="000000"/>
          <w:sz w:val="32"/>
        </w:rPr>
        <w:t>0</w:t>
      </w:r>
      <w:r>
        <w:rPr>
          <w:rFonts w:ascii="仿宋_GB2312" w:hAnsi="仿宋_GB2312" w:eastAsia="仿宋_GB2312" w:cs="仿宋_GB2312"/>
          <w:color w:val="000000"/>
          <w:sz w:val="32"/>
        </w:rPr>
        <w:t>万元，</w:t>
      </w:r>
      <w:r>
        <w:rPr>
          <w:rFonts w:hint="eastAsia" w:ascii="仿宋_GB2312" w:hAnsi="仿宋_GB2312" w:eastAsia="仿宋_GB2312" w:cs="仿宋_GB2312"/>
          <w:color w:val="000000"/>
          <w:sz w:val="32"/>
        </w:rPr>
        <w:t>与</w:t>
      </w:r>
      <w:r>
        <w:rPr>
          <w:rFonts w:ascii="仿宋_GB2312" w:hAnsi="仿宋_GB2312" w:eastAsia="仿宋_GB2312" w:cs="仿宋_GB2312"/>
          <w:color w:val="000000"/>
          <w:sz w:val="32"/>
        </w:rPr>
        <w:t>2017年</w:t>
      </w:r>
      <w:r>
        <w:rPr>
          <w:rFonts w:hint="eastAsia" w:ascii="仿宋_GB2312" w:hAnsi="仿宋_GB2312" w:eastAsia="仿宋_GB2312" w:cs="仿宋_GB2312"/>
          <w:color w:val="000000"/>
          <w:sz w:val="32"/>
        </w:rPr>
        <w:t>持平。</w:t>
      </w:r>
    </w:p>
    <w:p>
      <w:pPr>
        <w:spacing w:line="600" w:lineRule="auto"/>
        <w:ind w:firstLine="642" w:firstLineChars="200"/>
        <w:jc w:val="left"/>
        <w:rPr>
          <w:rFonts w:ascii="仿宋" w:hAnsi="仿宋" w:eastAsia="仿宋" w:cs="仿宋"/>
          <w:b/>
          <w:color w:val="000000"/>
          <w:sz w:val="32"/>
        </w:rPr>
      </w:pPr>
      <w:r>
        <w:rPr>
          <w:rFonts w:ascii="仿宋" w:hAnsi="仿宋" w:eastAsia="仿宋" w:cs="仿宋"/>
          <w:b/>
          <w:color w:val="000000"/>
          <w:sz w:val="32"/>
        </w:rPr>
        <w:t>（二）政府采购支出情况</w:t>
      </w:r>
    </w:p>
    <w:p>
      <w:pPr>
        <w:spacing w:line="600" w:lineRule="auto"/>
        <w:ind w:firstLine="640" w:firstLineChars="200"/>
        <w:rPr>
          <w:rFonts w:ascii="仿宋_GB2312" w:hAnsi="仿宋_GB2312" w:eastAsia="仿宋_GB2312" w:cs="仿宋_GB2312"/>
          <w:color w:val="000000"/>
          <w:sz w:val="32"/>
        </w:rPr>
      </w:pPr>
      <w:r>
        <w:rPr>
          <w:rFonts w:ascii="仿宋_GB2312" w:hAnsi="仿宋_GB2312" w:eastAsia="仿宋_GB2312" w:cs="仿宋_GB2312"/>
          <w:color w:val="000000"/>
          <w:sz w:val="32"/>
        </w:rPr>
        <w:t>2018年，</w:t>
      </w:r>
      <w:r>
        <w:rPr>
          <w:rFonts w:hint="eastAsia" w:ascii="仿宋_GB2312" w:hAnsi="仿宋_GB2312" w:eastAsia="仿宋_GB2312" w:cs="仿宋_GB2312"/>
          <w:color w:val="000000"/>
          <w:sz w:val="32"/>
        </w:rPr>
        <w:t>红原县新华书店</w:t>
      </w:r>
      <w:r>
        <w:rPr>
          <w:rFonts w:ascii="仿宋_GB2312" w:hAnsi="仿宋_GB2312" w:eastAsia="仿宋_GB2312" w:cs="仿宋_GB2312"/>
          <w:color w:val="000000"/>
          <w:sz w:val="32"/>
        </w:rPr>
        <w:t>政府采购支出总额</w:t>
      </w:r>
      <w:r>
        <w:rPr>
          <w:rFonts w:hint="eastAsia" w:ascii="仿宋_GB2312" w:hAnsi="仿宋_GB2312" w:eastAsia="仿宋_GB2312" w:cs="仿宋_GB2312"/>
          <w:color w:val="000000"/>
          <w:sz w:val="32"/>
        </w:rPr>
        <w:t>20</w:t>
      </w:r>
      <w:r>
        <w:rPr>
          <w:rFonts w:ascii="仿宋_GB2312" w:hAnsi="仿宋_GB2312" w:eastAsia="仿宋_GB2312" w:cs="仿宋_GB2312"/>
          <w:color w:val="000000"/>
          <w:sz w:val="32"/>
        </w:rPr>
        <w:t>万元，其中：政府采购货物支出</w:t>
      </w:r>
      <w:r>
        <w:rPr>
          <w:rFonts w:hint="eastAsia" w:ascii="仿宋_GB2312" w:hAnsi="仿宋_GB2312" w:eastAsia="仿宋_GB2312" w:cs="仿宋_GB2312"/>
          <w:color w:val="000000"/>
          <w:sz w:val="32"/>
        </w:rPr>
        <w:t>20</w:t>
      </w:r>
      <w:r>
        <w:rPr>
          <w:rFonts w:ascii="仿宋_GB2312" w:hAnsi="仿宋_GB2312" w:eastAsia="仿宋_GB2312" w:cs="仿宋_GB2312"/>
          <w:color w:val="000000"/>
          <w:sz w:val="32"/>
        </w:rPr>
        <w:t>万元。用于</w:t>
      </w:r>
      <w:r>
        <w:rPr>
          <w:rFonts w:hint="eastAsia" w:ascii="仿宋_GB2312" w:hAnsi="仿宋_GB2312" w:eastAsia="仿宋_GB2312" w:cs="仿宋_GB2312"/>
          <w:color w:val="000000"/>
          <w:sz w:val="32"/>
        </w:rPr>
        <w:t>采购公务用车</w:t>
      </w:r>
      <w:r>
        <w:rPr>
          <w:rFonts w:ascii="仿宋_GB2312" w:hAnsi="仿宋_GB2312" w:eastAsia="仿宋_GB2312" w:cs="仿宋_GB2312"/>
          <w:color w:val="000000"/>
          <w:sz w:val="32"/>
        </w:rPr>
        <w:t>。</w:t>
      </w:r>
    </w:p>
    <w:p>
      <w:pPr>
        <w:spacing w:line="600" w:lineRule="auto"/>
        <w:ind w:firstLine="642" w:firstLineChars="200"/>
        <w:jc w:val="left"/>
        <w:rPr>
          <w:rFonts w:ascii="仿宋" w:hAnsi="仿宋" w:eastAsia="仿宋" w:cs="仿宋"/>
          <w:b/>
          <w:color w:val="000000"/>
          <w:sz w:val="32"/>
        </w:rPr>
      </w:pPr>
      <w:r>
        <w:rPr>
          <w:rFonts w:ascii="仿宋" w:hAnsi="仿宋" w:eastAsia="仿宋" w:cs="仿宋"/>
          <w:b/>
          <w:color w:val="000000"/>
          <w:sz w:val="32"/>
        </w:rPr>
        <w:t>（三）国有资产占有使用情况</w:t>
      </w:r>
    </w:p>
    <w:p>
      <w:pPr>
        <w:spacing w:line="600" w:lineRule="auto"/>
        <w:ind w:firstLine="640" w:firstLineChars="200"/>
        <w:jc w:val="left"/>
        <w:rPr>
          <w:rFonts w:ascii="仿宋_GB2312" w:hAnsi="仿宋_GB2312" w:eastAsia="仿宋_GB2312" w:cs="仿宋_GB2312"/>
          <w:color w:val="000000"/>
          <w:sz w:val="32"/>
        </w:rPr>
      </w:pPr>
      <w:r>
        <w:rPr>
          <w:rFonts w:ascii="仿宋_GB2312" w:hAnsi="仿宋_GB2312" w:eastAsia="仿宋_GB2312" w:cs="仿宋_GB2312"/>
          <w:color w:val="000000"/>
          <w:sz w:val="32"/>
        </w:rPr>
        <w:t>截至2018年12月31日，</w:t>
      </w:r>
      <w:r>
        <w:rPr>
          <w:rFonts w:hint="eastAsia" w:ascii="仿宋_GB2312" w:hAnsi="仿宋_GB2312" w:eastAsia="仿宋_GB2312" w:cs="仿宋_GB2312"/>
          <w:color w:val="000000"/>
          <w:sz w:val="32"/>
        </w:rPr>
        <w:t>红原县新华书店</w:t>
      </w:r>
      <w:r>
        <w:rPr>
          <w:rFonts w:ascii="仿宋_GB2312" w:hAnsi="仿宋_GB2312" w:eastAsia="仿宋_GB2312" w:cs="仿宋_GB2312"/>
          <w:color w:val="000000"/>
          <w:sz w:val="32"/>
        </w:rPr>
        <w:t>共有车辆</w:t>
      </w:r>
      <w:r>
        <w:rPr>
          <w:rFonts w:hint="eastAsia" w:ascii="仿宋_GB2312" w:hAnsi="仿宋_GB2312" w:eastAsia="仿宋_GB2312" w:cs="仿宋_GB2312"/>
          <w:color w:val="000000"/>
          <w:sz w:val="32"/>
        </w:rPr>
        <w:t>1</w:t>
      </w:r>
      <w:r>
        <w:rPr>
          <w:rFonts w:ascii="仿宋_GB2312" w:hAnsi="仿宋_GB2312" w:eastAsia="仿宋_GB2312" w:cs="仿宋_GB2312"/>
          <w:color w:val="000000"/>
          <w:sz w:val="32"/>
        </w:rPr>
        <w:t>辆，其中：</w:t>
      </w:r>
      <w:r>
        <w:rPr>
          <w:rFonts w:hint="eastAsia" w:ascii="仿宋_GB2312" w:hAnsi="仿宋_GB2312" w:eastAsia="仿宋_GB2312" w:cs="仿宋_GB2312"/>
          <w:color w:val="000000"/>
          <w:sz w:val="32"/>
        </w:rPr>
        <w:t>应急保障用车1</w:t>
      </w:r>
      <w:r>
        <w:rPr>
          <w:rFonts w:ascii="仿宋_GB2312" w:hAnsi="仿宋_GB2312" w:eastAsia="仿宋_GB2312" w:cs="仿宋_GB2312"/>
          <w:color w:val="000000"/>
          <w:sz w:val="32"/>
        </w:rPr>
        <w:t>辆</w:t>
      </w:r>
      <w:r>
        <w:rPr>
          <w:rFonts w:hint="eastAsia" w:ascii="仿宋_GB2312" w:hAnsi="仿宋_GB2312" w:eastAsia="仿宋_GB2312" w:cs="仿宋_GB2312"/>
          <w:color w:val="000000"/>
          <w:sz w:val="32"/>
        </w:rPr>
        <w:t>，</w:t>
      </w:r>
      <w:r>
        <w:rPr>
          <w:rFonts w:ascii="仿宋_GB2312" w:hAnsi="仿宋_GB2312" w:eastAsia="仿宋_GB2312" w:cs="仿宋_GB2312"/>
          <w:color w:val="000000"/>
          <w:sz w:val="32"/>
        </w:rPr>
        <w:t>单价</w:t>
      </w:r>
      <w:r>
        <w:rPr>
          <w:rFonts w:hint="eastAsia" w:ascii="仿宋_GB2312" w:hAnsi="仿宋_GB2312" w:eastAsia="仿宋_GB2312" w:cs="仿宋_GB2312"/>
          <w:color w:val="000000"/>
          <w:sz w:val="32"/>
        </w:rPr>
        <w:t>20</w:t>
      </w:r>
      <w:r>
        <w:rPr>
          <w:rFonts w:ascii="仿宋_GB2312" w:hAnsi="仿宋_GB2312" w:eastAsia="仿宋_GB2312" w:cs="仿宋_GB2312"/>
          <w:color w:val="000000"/>
          <w:sz w:val="32"/>
        </w:rPr>
        <w:t>万元。</w:t>
      </w:r>
    </w:p>
    <w:p>
      <w:pPr>
        <w:numPr>
          <w:ilvl w:val="0"/>
          <w:numId w:val="5"/>
        </w:numPr>
        <w:spacing w:line="600" w:lineRule="auto"/>
        <w:ind w:firstLine="883" w:firstLineChars="200"/>
        <w:jc w:val="center"/>
        <w:rPr>
          <w:rFonts w:ascii="黑体" w:hAnsi="黑体" w:eastAsia="黑体" w:cs="黑体"/>
          <w:sz w:val="44"/>
        </w:rPr>
      </w:pPr>
      <w:r>
        <w:rPr>
          <w:rFonts w:ascii="黑体" w:hAnsi="黑体" w:eastAsia="黑体" w:cs="黑体"/>
          <w:b/>
          <w:color w:val="000000"/>
          <w:sz w:val="44"/>
        </w:rPr>
        <w:t>名</w:t>
      </w:r>
      <w:r>
        <w:rPr>
          <w:rFonts w:ascii="黑体" w:hAnsi="黑体" w:eastAsia="黑体" w:cs="黑体"/>
          <w:sz w:val="44"/>
        </w:rPr>
        <w:t>词解释</w:t>
      </w:r>
    </w:p>
    <w:p>
      <w:pPr>
        <w:spacing w:line="600" w:lineRule="auto"/>
        <w:ind w:firstLine="883" w:firstLineChars="200"/>
        <w:jc w:val="left"/>
        <w:rPr>
          <w:rFonts w:ascii="宋体" w:hAnsi="宋体" w:eastAsia="宋体" w:cs="宋体"/>
          <w:b/>
          <w:color w:val="000000"/>
          <w:sz w:val="44"/>
        </w:rPr>
      </w:pPr>
    </w:p>
    <w:p>
      <w:pPr>
        <w:pStyle w:val="1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12"/>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12"/>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1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eastAsia="zh-CN"/>
        </w:rPr>
        <w:t>利息收入</w:t>
      </w:r>
      <w:r>
        <w:rPr>
          <w:rFonts w:hint="eastAsia" w:ascii="仿宋_GB2312" w:eastAsia="仿宋_GB2312"/>
          <w:sz w:val="32"/>
          <w:szCs w:val="32"/>
        </w:rPr>
        <w:t>等。</w:t>
      </w:r>
      <w:r>
        <w:rPr>
          <w:rFonts w:ascii="仿宋_GB2312" w:eastAsia="仿宋_GB2312"/>
          <w:sz w:val="32"/>
          <w:szCs w:val="32"/>
        </w:rPr>
        <w:t xml:space="preserve"> </w:t>
      </w:r>
    </w:p>
    <w:p>
      <w:pPr>
        <w:pStyle w:val="12"/>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12"/>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12"/>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12"/>
        <w:spacing w:line="560" w:lineRule="exact"/>
        <w:ind w:firstLine="640" w:firstLineChars="200"/>
        <w:rPr>
          <w:rFonts w:hint="default" w:ascii="仿宋_GB2312" w:eastAsia="仿宋_GB2312"/>
          <w:sz w:val="32"/>
          <w:szCs w:val="32"/>
          <w:lang w:val="en-US" w:eastAsia="zh-CN"/>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600" w:lineRule="auto"/>
        <w:ind w:firstLine="640" w:firstLineChars="200"/>
        <w:rPr>
          <w:rFonts w:hint="eastAsia" w:ascii="仿宋_GB2312" w:hAnsi="仿宋_GB2312" w:eastAsia="仿宋_GB2312" w:cs="仿宋_GB2312"/>
          <w:sz w:val="32"/>
        </w:rPr>
      </w:pPr>
      <w:r>
        <w:rPr>
          <w:rFonts w:hint="eastAsia" w:ascii="仿宋_GB2312" w:hAnsi="仿宋_GB2312" w:eastAsia="仿宋_GB2312" w:cs="仿宋_GB2312"/>
          <w:sz w:val="32"/>
          <w:lang w:val="en-US" w:eastAsia="zh-CN"/>
        </w:rPr>
        <w:t>9</w:t>
      </w:r>
      <w:r>
        <w:rPr>
          <w:rFonts w:ascii="仿宋_GB2312" w:hAnsi="仿宋_GB2312" w:eastAsia="仿宋_GB2312" w:cs="仿宋_GB2312"/>
          <w:sz w:val="32"/>
        </w:rPr>
        <w:t>.社会保障和就业（类）</w:t>
      </w:r>
      <w:r>
        <w:rPr>
          <w:rFonts w:ascii="仿宋" w:hAnsi="仿宋" w:eastAsia="仿宋" w:cs="仿宋"/>
          <w:sz w:val="32"/>
        </w:rPr>
        <w:t>20805</w:t>
      </w:r>
      <w:r>
        <w:rPr>
          <w:rFonts w:hint="eastAsia" w:ascii="仿宋" w:hAnsi="仿宋" w:eastAsia="仿宋" w:cs="仿宋"/>
          <w:sz w:val="32"/>
        </w:rPr>
        <w:t>-行政事业单位离退休</w:t>
      </w:r>
      <w:r>
        <w:rPr>
          <w:rFonts w:ascii="仿宋" w:hAnsi="仿宋" w:eastAsia="仿宋" w:cs="仿宋"/>
          <w:sz w:val="32"/>
        </w:rPr>
        <w:t>（款）</w:t>
      </w:r>
      <w:r>
        <w:t xml:space="preserve"> </w:t>
      </w:r>
      <w:r>
        <w:rPr>
          <w:rFonts w:ascii="仿宋" w:hAnsi="仿宋" w:eastAsia="仿宋" w:cs="仿宋"/>
          <w:sz w:val="32"/>
        </w:rPr>
        <w:t>2080505</w:t>
      </w:r>
      <w:r>
        <w:rPr>
          <w:rFonts w:hint="eastAsia" w:ascii="仿宋" w:hAnsi="仿宋" w:eastAsia="仿宋" w:cs="仿宋"/>
          <w:sz w:val="32"/>
        </w:rPr>
        <w:t>-机关事业单位基本养老保险缴费支出★</w:t>
      </w:r>
      <w:r>
        <w:rPr>
          <w:rFonts w:ascii="仿宋_GB2312" w:hAnsi="仿宋_GB2312" w:eastAsia="仿宋_GB2312" w:cs="仿宋_GB2312"/>
          <w:sz w:val="32"/>
        </w:rPr>
        <w:t>：指</w:t>
      </w:r>
      <w:r>
        <w:rPr>
          <w:rFonts w:hint="eastAsia" w:ascii="仿宋_GB2312" w:hAnsi="仿宋_GB2312" w:eastAsia="仿宋_GB2312" w:cs="仿宋_GB2312"/>
          <w:sz w:val="32"/>
        </w:rPr>
        <w:t>养老保险</w:t>
      </w:r>
      <w:r>
        <w:rPr>
          <w:rFonts w:ascii="仿宋_GB2312" w:hAnsi="仿宋_GB2312" w:eastAsia="仿宋_GB2312" w:cs="仿宋_GB2312"/>
          <w:sz w:val="32"/>
        </w:rPr>
        <w:t>。</w:t>
      </w:r>
    </w:p>
    <w:p>
      <w:pPr>
        <w:spacing w:line="600" w:lineRule="auto"/>
        <w:ind w:firstLine="640" w:firstLineChars="200"/>
        <w:rPr>
          <w:rFonts w:ascii="仿宋" w:hAnsi="仿宋" w:eastAsia="仿宋" w:cs="仿宋"/>
          <w:sz w:val="32"/>
        </w:rPr>
      </w:pPr>
      <w:r>
        <w:rPr>
          <w:rFonts w:hint="eastAsia" w:ascii="仿宋_GB2312" w:hAnsi="仿宋_GB2312" w:eastAsia="仿宋_GB2312" w:cs="仿宋_GB2312"/>
          <w:sz w:val="32"/>
          <w:lang w:val="en-US" w:eastAsia="zh-CN"/>
        </w:rPr>
        <w:t>10.</w:t>
      </w:r>
      <w:r>
        <w:rPr>
          <w:rFonts w:ascii="仿宋_GB2312" w:hAnsi="仿宋_GB2312" w:eastAsia="仿宋_GB2312" w:cs="仿宋_GB2312"/>
          <w:sz w:val="32"/>
        </w:rPr>
        <w:t>社会保障和就业（类）</w:t>
      </w:r>
      <w:r>
        <w:rPr>
          <w:rFonts w:ascii="仿宋" w:hAnsi="仿宋" w:eastAsia="仿宋" w:cs="仿宋"/>
          <w:sz w:val="32"/>
        </w:rPr>
        <w:t>20805</w:t>
      </w:r>
      <w:r>
        <w:rPr>
          <w:rFonts w:hint="eastAsia" w:ascii="仿宋" w:hAnsi="仿宋" w:eastAsia="仿宋" w:cs="仿宋"/>
          <w:sz w:val="32"/>
        </w:rPr>
        <w:t>-行政事业单位离退休</w:t>
      </w:r>
      <w:r>
        <w:rPr>
          <w:rFonts w:ascii="仿宋" w:hAnsi="仿宋" w:eastAsia="仿宋" w:cs="仿宋"/>
          <w:sz w:val="32"/>
        </w:rPr>
        <w:t>（款）</w:t>
      </w:r>
      <w:r>
        <w:t xml:space="preserve"> </w:t>
      </w:r>
      <w:r>
        <w:rPr>
          <w:rFonts w:ascii="仿宋" w:hAnsi="仿宋" w:eastAsia="仿宋" w:cs="仿宋"/>
          <w:sz w:val="32"/>
        </w:rPr>
        <w:t>2080506</w:t>
      </w:r>
      <w:r>
        <w:rPr>
          <w:rFonts w:hint="eastAsia" w:ascii="仿宋" w:hAnsi="仿宋" w:eastAsia="仿宋" w:cs="仿宋"/>
          <w:sz w:val="32"/>
        </w:rPr>
        <w:t>-机关事业单位职业年金缴费支出★</w:t>
      </w:r>
      <w:r>
        <w:rPr>
          <w:rFonts w:ascii="仿宋" w:hAnsi="仿宋" w:eastAsia="仿宋" w:cs="仿宋"/>
          <w:sz w:val="32"/>
        </w:rPr>
        <w:t>（项）:</w:t>
      </w:r>
      <w:r>
        <w:rPr>
          <w:rFonts w:hint="eastAsia" w:ascii="仿宋" w:hAnsi="仿宋" w:eastAsia="仿宋" w:cs="仿宋"/>
          <w:sz w:val="32"/>
        </w:rPr>
        <w:t>是职业年金。</w:t>
      </w:r>
    </w:p>
    <w:p>
      <w:pPr>
        <w:ind w:firstLine="640" w:firstLineChars="200"/>
        <w:rPr>
          <w:rFonts w:ascii="仿宋_GB2312" w:hAnsi="仿宋_GB2312" w:eastAsia="仿宋_GB2312" w:cs="仿宋_GB2312"/>
          <w:sz w:val="32"/>
        </w:rPr>
      </w:pPr>
      <w:r>
        <w:rPr>
          <w:rFonts w:hint="eastAsia" w:ascii="仿宋_GB2312" w:hAnsi="仿宋_GB2312" w:eastAsia="仿宋_GB2312" w:cs="仿宋_GB2312"/>
          <w:sz w:val="32"/>
          <w:lang w:val="en-US" w:eastAsia="zh-CN"/>
        </w:rPr>
        <w:t>11.</w:t>
      </w:r>
      <w:r>
        <w:rPr>
          <w:rFonts w:hint="eastAsia" w:ascii="仿宋" w:hAnsi="仿宋" w:eastAsia="仿宋" w:cs="仿宋"/>
          <w:sz w:val="32"/>
        </w:rPr>
        <w:t>住房保障</w:t>
      </w:r>
      <w:r>
        <w:rPr>
          <w:rFonts w:ascii="仿宋" w:hAnsi="仿宋" w:eastAsia="仿宋" w:cs="仿宋"/>
          <w:sz w:val="32"/>
        </w:rPr>
        <w:t>（类）22102</w:t>
      </w:r>
      <w:r>
        <w:rPr>
          <w:rFonts w:hint="eastAsia" w:ascii="仿宋" w:hAnsi="仿宋" w:eastAsia="仿宋" w:cs="仿宋"/>
          <w:sz w:val="32"/>
        </w:rPr>
        <w:t>-住房改革支出</w:t>
      </w:r>
      <w:r>
        <w:rPr>
          <w:rFonts w:ascii="仿宋" w:hAnsi="仿宋" w:eastAsia="仿宋" w:cs="仿宋"/>
          <w:sz w:val="32"/>
        </w:rPr>
        <w:t>（款）2210201</w:t>
      </w:r>
      <w:r>
        <w:rPr>
          <w:rFonts w:hint="eastAsia" w:ascii="仿宋" w:hAnsi="仿宋" w:eastAsia="仿宋" w:cs="仿宋"/>
          <w:sz w:val="32"/>
        </w:rPr>
        <w:t>-住房公积金</w:t>
      </w:r>
      <w:r>
        <w:rPr>
          <w:rFonts w:ascii="仿宋" w:hAnsi="仿宋" w:eastAsia="仿宋" w:cs="仿宋"/>
          <w:sz w:val="32"/>
        </w:rPr>
        <w:t>（项）</w:t>
      </w:r>
      <w:r>
        <w:rPr>
          <w:rFonts w:ascii="仿宋_GB2312" w:hAnsi="仿宋_GB2312" w:eastAsia="仿宋_GB2312" w:cs="仿宋_GB2312"/>
          <w:sz w:val="32"/>
        </w:rPr>
        <w:t>：指</w:t>
      </w:r>
      <w:r>
        <w:rPr>
          <w:rFonts w:hint="eastAsia" w:ascii="仿宋_GB2312" w:hAnsi="仿宋_GB2312" w:eastAsia="仿宋_GB2312" w:cs="仿宋_GB2312"/>
          <w:sz w:val="32"/>
        </w:rPr>
        <w:t>住房公积金</w:t>
      </w:r>
      <w:r>
        <w:rPr>
          <w:rFonts w:ascii="仿宋_GB2312" w:hAnsi="仿宋_GB2312" w:eastAsia="仿宋_GB2312" w:cs="仿宋_GB2312"/>
          <w:sz w:val="32"/>
        </w:rPr>
        <w:t>。</w:t>
      </w:r>
    </w:p>
    <w:p>
      <w:pPr>
        <w:ind w:firstLine="640" w:firstLineChars="200"/>
        <w:rPr>
          <w:rFonts w:ascii="仿宋_GB2312" w:hAnsi="仿宋_GB2312" w:eastAsia="仿宋_GB2312" w:cs="仿宋_GB2312"/>
          <w:sz w:val="32"/>
        </w:rPr>
      </w:pPr>
      <w:r>
        <w:rPr>
          <w:rFonts w:hint="eastAsia" w:ascii="仿宋_GB2312" w:hAnsi="仿宋_GB2312" w:eastAsia="仿宋_GB2312" w:cs="仿宋_GB2312"/>
          <w:sz w:val="32"/>
          <w:lang w:val="en-US" w:eastAsia="zh-CN"/>
        </w:rPr>
        <w:t>12.</w:t>
      </w:r>
      <w:r>
        <w:rPr>
          <w:rFonts w:ascii="仿宋_GB2312" w:hAnsi="仿宋_GB2312" w:eastAsia="仿宋_GB2312" w:cs="仿宋_GB2312"/>
          <w:sz w:val="32"/>
        </w:rPr>
        <w:t>基本支出：指为保障机构正常运转、完成日常工作任务而发生的人员支出和公用支出。</w:t>
      </w:r>
    </w:p>
    <w:p>
      <w:pPr>
        <w:ind w:firstLine="640" w:firstLineChars="200"/>
        <w:rPr>
          <w:rFonts w:ascii="仿宋_GB2312" w:hAnsi="仿宋_GB2312" w:eastAsia="仿宋_GB2312" w:cs="仿宋_GB2312"/>
          <w:sz w:val="32"/>
        </w:rPr>
      </w:pPr>
      <w:r>
        <w:rPr>
          <w:rFonts w:hint="eastAsia" w:ascii="仿宋_GB2312" w:hAnsi="仿宋_GB2312" w:eastAsia="仿宋_GB2312" w:cs="仿宋_GB2312"/>
          <w:sz w:val="32"/>
          <w:lang w:val="en-US" w:eastAsia="zh-CN"/>
        </w:rPr>
        <w:t>13</w:t>
      </w:r>
      <w:r>
        <w:rPr>
          <w:rFonts w:ascii="仿宋_GB2312" w:hAnsi="仿宋_GB2312" w:eastAsia="仿宋_GB2312" w:cs="仿宋_GB2312"/>
          <w:sz w:val="32"/>
        </w:rPr>
        <w:t xml:space="preserve">.项目支出：指在基本支出之外为完成特定行政任务和事业发展目标所发生的支出。 </w:t>
      </w:r>
    </w:p>
    <w:p>
      <w:pPr>
        <w:ind w:firstLine="640" w:firstLineChars="200"/>
        <w:rPr>
          <w:rFonts w:ascii="仿宋_GB2312" w:hAnsi="仿宋_GB2312" w:eastAsia="仿宋_GB2312" w:cs="仿宋_GB2312"/>
          <w:sz w:val="32"/>
        </w:rPr>
      </w:pPr>
      <w:r>
        <w:rPr>
          <w:rFonts w:hint="eastAsia" w:ascii="仿宋_GB2312" w:hAnsi="仿宋_GB2312" w:eastAsia="仿宋_GB2312" w:cs="仿宋_GB2312"/>
          <w:sz w:val="32"/>
          <w:lang w:val="en-US" w:eastAsia="zh-CN"/>
        </w:rPr>
        <w:t>14</w:t>
      </w:r>
      <w:r>
        <w:rPr>
          <w:rFonts w:ascii="仿宋_GB2312" w:hAnsi="仿宋_GB2312" w:eastAsia="仿宋_GB2312" w:cs="仿宋_GB2312"/>
          <w:sz w:val="32"/>
        </w:rPr>
        <w:t>.经营支出：指事业单位在专业业务活动及其辅助活动之外开展非独立核算经营活动发生的支出。</w:t>
      </w:r>
    </w:p>
    <w:p>
      <w:pPr>
        <w:spacing w:line="560" w:lineRule="auto"/>
        <w:ind w:firstLine="640" w:firstLineChars="200"/>
        <w:jc w:val="left"/>
        <w:rPr>
          <w:rFonts w:ascii="仿宋_GB2312" w:hAnsi="仿宋_GB2312" w:eastAsia="仿宋_GB2312" w:cs="仿宋_GB2312"/>
          <w:sz w:val="32"/>
        </w:rPr>
      </w:pPr>
      <w:r>
        <w:rPr>
          <w:rFonts w:hint="eastAsia" w:ascii="仿宋_GB2312" w:hAnsi="仿宋_GB2312" w:eastAsia="仿宋_GB2312" w:cs="仿宋_GB2312"/>
          <w:sz w:val="32"/>
          <w:lang w:val="en-US" w:eastAsia="zh-CN"/>
        </w:rPr>
        <w:t>15</w:t>
      </w:r>
      <w:r>
        <w:rPr>
          <w:rFonts w:ascii="仿宋_GB2312" w:hAnsi="仿宋_GB2312" w:eastAsia="仿宋_GB2312" w:cs="仿宋_GB2312"/>
          <w:sz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883" w:firstLineChars="200"/>
        <w:rPr>
          <w:rFonts w:ascii="宋体" w:hAnsi="宋体" w:eastAsia="宋体" w:cs="宋体"/>
          <w:b/>
          <w:sz w:val="44"/>
        </w:rPr>
      </w:pPr>
    </w:p>
    <w:p>
      <w:pPr>
        <w:spacing w:line="600" w:lineRule="auto"/>
        <w:ind w:firstLine="880" w:firstLineChars="200"/>
        <w:jc w:val="center"/>
        <w:rPr>
          <w:rFonts w:ascii="黑体" w:hAnsi="黑体" w:eastAsia="黑体" w:cs="黑体"/>
          <w:sz w:val="44"/>
        </w:rPr>
      </w:pPr>
    </w:p>
    <w:p>
      <w:pPr>
        <w:spacing w:line="600" w:lineRule="auto"/>
        <w:ind w:firstLine="880" w:firstLineChars="200"/>
        <w:jc w:val="center"/>
        <w:rPr>
          <w:rFonts w:ascii="黑体" w:hAnsi="黑体" w:eastAsia="黑体" w:cs="黑体"/>
          <w:sz w:val="44"/>
        </w:rPr>
      </w:pPr>
    </w:p>
    <w:p>
      <w:pPr>
        <w:spacing w:line="600" w:lineRule="auto"/>
        <w:rPr>
          <w:rFonts w:ascii="黑体" w:hAnsi="黑体" w:eastAsia="黑体" w:cs="黑体"/>
          <w:color w:val="000000"/>
          <w:sz w:val="44"/>
        </w:rPr>
      </w:pPr>
    </w:p>
    <w:p>
      <w:pPr>
        <w:spacing w:line="600" w:lineRule="auto"/>
        <w:ind w:firstLine="880" w:firstLineChars="200"/>
        <w:jc w:val="center"/>
        <w:rPr>
          <w:rFonts w:ascii="黑体" w:hAnsi="黑体" w:eastAsia="黑体" w:cs="黑体"/>
          <w:sz w:val="44"/>
        </w:rPr>
      </w:pPr>
      <w:r>
        <w:rPr>
          <w:rFonts w:ascii="黑体" w:hAnsi="黑体" w:eastAsia="黑体" w:cs="黑体"/>
          <w:color w:val="000000"/>
          <w:sz w:val="44"/>
        </w:rPr>
        <w:t>第</w:t>
      </w:r>
      <w:r>
        <w:rPr>
          <w:rFonts w:ascii="黑体" w:hAnsi="黑体" w:eastAsia="黑体" w:cs="黑体"/>
          <w:sz w:val="44"/>
        </w:rPr>
        <w:t>四部分 附件</w:t>
      </w:r>
    </w:p>
    <w:p>
      <w:pPr>
        <w:spacing w:line="600" w:lineRule="auto"/>
        <w:ind w:firstLine="880" w:firstLineChars="200"/>
        <w:jc w:val="center"/>
        <w:rPr>
          <w:rFonts w:ascii="Times New Roman" w:hAnsi="Times New Roman" w:eastAsia="Times New Roman" w:cs="Times New Roman"/>
          <w:b/>
          <w:sz w:val="44"/>
        </w:rPr>
      </w:pPr>
    </w:p>
    <w:p>
      <w:pPr>
        <w:keepNext/>
        <w:keepLines/>
        <w:spacing w:before="260" w:after="260" w:line="416" w:lineRule="auto"/>
        <w:ind w:firstLine="640" w:firstLineChars="200"/>
        <w:rPr>
          <w:rFonts w:ascii="仿宋" w:hAnsi="仿宋" w:eastAsia="仿宋" w:cs="仿宋"/>
          <w:sz w:val="32"/>
        </w:rPr>
      </w:pPr>
      <w:r>
        <w:rPr>
          <w:rFonts w:ascii="仿宋" w:hAnsi="仿宋" w:eastAsia="仿宋" w:cs="仿宋"/>
          <w:sz w:val="32"/>
        </w:rPr>
        <w:t>附件1</w:t>
      </w:r>
    </w:p>
    <w:p>
      <w:pPr>
        <w:spacing w:line="480" w:lineRule="auto"/>
        <w:ind w:firstLine="880" w:firstLineChars="200"/>
        <w:jc w:val="center"/>
        <w:rPr>
          <w:rFonts w:ascii="方正小标宋简体" w:hAnsi="方正小标宋简体" w:eastAsia="方正小标宋简体" w:cs="方正小标宋简体"/>
          <w:sz w:val="44"/>
        </w:rPr>
      </w:pPr>
      <w:r>
        <w:rPr>
          <w:rFonts w:hint="eastAsia" w:ascii="方正小标宋简体" w:hAnsi="方正小标宋简体" w:eastAsia="方正小标宋简体" w:cs="方正小标宋简体"/>
          <w:sz w:val="44"/>
        </w:rPr>
        <w:t>红原县新华书店</w:t>
      </w:r>
    </w:p>
    <w:p>
      <w:pPr>
        <w:spacing w:line="480" w:lineRule="auto"/>
        <w:ind w:firstLine="880" w:firstLineChars="200"/>
        <w:jc w:val="center"/>
        <w:rPr>
          <w:rFonts w:ascii="方正小标宋简体" w:hAnsi="方正小标宋简体" w:eastAsia="方正小标宋简体" w:cs="方正小标宋简体"/>
          <w:sz w:val="44"/>
        </w:rPr>
      </w:pPr>
      <w:r>
        <w:rPr>
          <w:rFonts w:ascii="方正小标宋简体" w:hAnsi="方正小标宋简体" w:eastAsia="方正小标宋简体" w:cs="方正小标宋简体"/>
          <w:sz w:val="44"/>
        </w:rPr>
        <w:t>整体支出绩效报告</w:t>
      </w:r>
    </w:p>
    <w:p>
      <w:pPr>
        <w:widowControl/>
        <w:adjustRightInd w:val="0"/>
        <w:snapToGrid w:val="0"/>
        <w:spacing w:line="600" w:lineRule="exact"/>
        <w:ind w:firstLine="720"/>
        <w:jc w:val="left"/>
        <w:rPr>
          <w:rFonts w:ascii="黑体" w:hAnsi="宋体" w:eastAsia="黑体" w:cs="宋体"/>
          <w:color w:val="000000"/>
          <w:kern w:val="0"/>
          <w:sz w:val="32"/>
          <w:szCs w:val="32"/>
          <w:lang w:val="zh-CN"/>
        </w:rPr>
      </w:pPr>
      <w:r>
        <w:rPr>
          <w:rFonts w:hint="eastAsia" w:ascii="黑体" w:hAnsi="宋体" w:eastAsia="黑体" w:cs="宋体"/>
          <w:color w:val="000000"/>
          <w:kern w:val="0"/>
          <w:sz w:val="32"/>
          <w:szCs w:val="32"/>
        </w:rPr>
        <w:t>一、</w:t>
      </w:r>
      <w:r>
        <w:rPr>
          <w:rFonts w:hint="eastAsia" w:ascii="黑体" w:hAnsi="宋体" w:eastAsia="黑体" w:cs="宋体"/>
          <w:color w:val="000000"/>
          <w:kern w:val="0"/>
          <w:sz w:val="32"/>
          <w:szCs w:val="32"/>
          <w:lang w:val="zh-CN"/>
        </w:rPr>
        <w:t>单位概况</w:t>
      </w:r>
    </w:p>
    <w:p>
      <w:pPr>
        <w:widowControl/>
        <w:adjustRightInd w:val="0"/>
        <w:snapToGrid w:val="0"/>
        <w:spacing w:line="600" w:lineRule="exact"/>
        <w:ind w:firstLine="640" w:firstLineChars="200"/>
        <w:jc w:val="left"/>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（一）机构组成。</w:t>
      </w:r>
    </w:p>
    <w:p>
      <w:pPr>
        <w:spacing w:line="560" w:lineRule="exact"/>
        <w:ind w:firstLine="640" w:firstLineChars="200"/>
        <w:rPr>
          <w:rFonts w:ascii="仿宋_GB2312" w:hAnsi="仿宋" w:eastAsia="仿宋_GB2312" w:cs="仿宋"/>
          <w:color w:val="000000"/>
          <w:sz w:val="32"/>
          <w:szCs w:val="32"/>
        </w:rPr>
      </w:pPr>
      <w:r>
        <w:rPr>
          <w:rFonts w:hint="eastAsia" w:ascii="仿宋_GB2312" w:hAnsi="宋体" w:eastAsia="仿宋_GB2312" w:cs="宋体"/>
          <w:color w:val="000000"/>
          <w:kern w:val="0"/>
          <w:sz w:val="32"/>
          <w:szCs w:val="32"/>
          <w:lang w:val="zh-CN"/>
        </w:rPr>
        <w:t>新华书店属于一级预算单位，差额拨款事业单位。</w:t>
      </w:r>
    </w:p>
    <w:p>
      <w:pPr>
        <w:widowControl/>
        <w:adjustRightInd w:val="0"/>
        <w:snapToGrid w:val="0"/>
        <w:spacing w:line="600" w:lineRule="exact"/>
        <w:ind w:firstLine="640" w:firstLineChars="200"/>
        <w:jc w:val="left"/>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（二）机构职能。</w:t>
      </w:r>
    </w:p>
    <w:p>
      <w:pPr>
        <w:spacing w:line="560" w:lineRule="exact"/>
        <w:ind w:firstLine="640" w:firstLineChars="200"/>
        <w:rPr>
          <w:rFonts w:ascii="仿宋_GB2312" w:hAnsi="仿宋" w:eastAsia="仿宋_GB2312" w:cs="宋体"/>
          <w:sz w:val="32"/>
          <w:szCs w:val="32"/>
        </w:rPr>
      </w:pPr>
      <w:r>
        <w:rPr>
          <w:rFonts w:hint="eastAsia" w:ascii="仿宋_GB2312" w:hAnsi="仿宋" w:eastAsia="仿宋_GB2312" w:cs="宋体"/>
          <w:sz w:val="32"/>
          <w:szCs w:val="32"/>
        </w:rPr>
        <w:t>红原县新华书店作为党的思想宣传重要阵地，是先进文化的基本传播载体，承担着传播主流文化、传承民族文化、提高民族素质的重大使命，承担着为现代化建设提供精神动力、智力支持的重要任务，同时还担负着教材的发行工作，主要负责全县一般书籍、中小学教材的征订发行工作。发挥重要的经济作用，担负着重要的政治职能，提供大量的社会服务，履行文化传播职能。</w:t>
      </w:r>
    </w:p>
    <w:p>
      <w:pPr>
        <w:widowControl/>
        <w:adjustRightInd w:val="0"/>
        <w:snapToGrid w:val="0"/>
        <w:spacing w:line="600" w:lineRule="exact"/>
        <w:ind w:firstLine="640" w:firstLineChars="200"/>
        <w:jc w:val="left"/>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（三）人员概况。</w:t>
      </w:r>
    </w:p>
    <w:p>
      <w:pPr>
        <w:spacing w:line="560" w:lineRule="exact"/>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截止2018年底我单位共有</w:t>
      </w:r>
      <w:r>
        <w:rPr>
          <w:rFonts w:hint="eastAsia" w:ascii="仿宋_GB2312" w:hAnsi="仿宋" w:eastAsia="仿宋_GB2312" w:cs="仿宋_GB2312"/>
          <w:bCs/>
          <w:sz w:val="32"/>
          <w:szCs w:val="32"/>
        </w:rPr>
        <w:t>事业编制6个，在</w:t>
      </w:r>
      <w:r>
        <w:rPr>
          <w:rFonts w:hint="eastAsia" w:ascii="仿宋_GB2312" w:hAnsi="仿宋_GB2312" w:eastAsia="仿宋_GB2312" w:cs="仿宋_GB2312"/>
          <w:bCs/>
          <w:sz w:val="32"/>
          <w:szCs w:val="32"/>
        </w:rPr>
        <w:t>职5人，事业编制5人。</w:t>
      </w:r>
    </w:p>
    <w:p>
      <w:pPr>
        <w:widowControl/>
        <w:adjustRightInd w:val="0"/>
        <w:snapToGrid w:val="0"/>
        <w:spacing w:line="600" w:lineRule="exact"/>
        <w:ind w:firstLine="720"/>
        <w:jc w:val="left"/>
        <w:rPr>
          <w:rFonts w:ascii="黑体" w:hAnsi="宋体" w:eastAsia="黑体" w:cs="宋体"/>
          <w:color w:val="000000"/>
          <w:kern w:val="0"/>
          <w:sz w:val="32"/>
          <w:szCs w:val="32"/>
        </w:rPr>
      </w:pPr>
      <w:r>
        <w:rPr>
          <w:rFonts w:hint="eastAsia" w:ascii="黑体" w:hAnsi="宋体" w:eastAsia="黑体" w:cs="宋体"/>
          <w:color w:val="000000"/>
          <w:kern w:val="0"/>
          <w:sz w:val="32"/>
          <w:szCs w:val="32"/>
        </w:rPr>
        <w:t>二、部门财政资金收支情况</w:t>
      </w:r>
    </w:p>
    <w:p>
      <w:pPr>
        <w:spacing w:line="600" w:lineRule="exact"/>
        <w:ind w:firstLine="640" w:firstLineChars="200"/>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（一）部门财政资金收入情况。</w:t>
      </w:r>
    </w:p>
    <w:p>
      <w:pPr>
        <w:spacing w:line="600" w:lineRule="exact"/>
        <w:ind w:firstLine="640" w:firstLineChars="200"/>
        <w:rPr>
          <w:rFonts w:ascii="仿宋_GB2312" w:hAnsi="仿宋" w:eastAsia="仿宋_GB2312" w:cs="仿宋"/>
          <w:color w:val="000000"/>
          <w:sz w:val="32"/>
          <w:szCs w:val="32"/>
        </w:rPr>
      </w:pPr>
      <w:r>
        <w:rPr>
          <w:rFonts w:hint="eastAsia" w:ascii="仿宋_GB2312" w:hAnsi="仿宋" w:eastAsia="仿宋_GB2312" w:cs="仿宋"/>
          <w:color w:val="000000"/>
          <w:sz w:val="32"/>
          <w:szCs w:val="32"/>
        </w:rPr>
        <w:t>2018年总收入2617475.22元，本年收入617475.22元，占总收入23.59%，其中：其中财政拨款收入604959.24元，占本年收入97.97%，事业收入12000元，占本年收入1.94%，其他收入515.98元，占本年收入0.09%，年初结转结余2000000元，占总收入76.41%。2018年底结转结余合计1099121.41元，其中项目支出结转结余1099121.41元，占100%。</w:t>
      </w:r>
    </w:p>
    <w:p>
      <w:pPr>
        <w:spacing w:line="600" w:lineRule="exact"/>
        <w:ind w:firstLine="640" w:firstLineChars="200"/>
        <w:rPr>
          <w:rFonts w:ascii="仿宋_GB2312" w:hAnsi="仿宋_GB2312" w:eastAsia="仿宋_GB2312" w:cs="仿宋_GB2312"/>
          <w:sz w:val="32"/>
          <w:szCs w:val="32"/>
        </w:rPr>
      </w:pPr>
      <w:r>
        <w:rPr>
          <w:rFonts w:hint="eastAsia" w:ascii="仿宋_GB2312" w:hAnsi="仿宋" w:eastAsia="仿宋_GB2312" w:cs="仿宋"/>
          <w:color w:val="000000"/>
          <w:sz w:val="32"/>
          <w:szCs w:val="32"/>
        </w:rPr>
        <w:t>2019我单位收入为1701732.37元</w:t>
      </w:r>
      <w:r>
        <w:rPr>
          <w:rFonts w:hint="eastAsia" w:ascii="仿宋_GB2312" w:hAnsi="仿宋_GB2312" w:eastAsia="仿宋_GB2312" w:cs="仿宋_GB2312"/>
          <w:sz w:val="32"/>
          <w:szCs w:val="32"/>
        </w:rPr>
        <w:t>，其中一般公共预算财政收入602610.96元，项目收入1099121.41元。</w:t>
      </w:r>
    </w:p>
    <w:p>
      <w:pPr>
        <w:widowControl/>
        <w:adjustRightInd w:val="0"/>
        <w:snapToGrid w:val="0"/>
        <w:spacing w:line="600" w:lineRule="exact"/>
        <w:ind w:firstLine="720"/>
        <w:jc w:val="left"/>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（二）部门财政资金支出情况。</w:t>
      </w:r>
    </w:p>
    <w:p>
      <w:pPr>
        <w:spacing w:line="600" w:lineRule="exact"/>
        <w:ind w:left="420" w:leftChars="200"/>
        <w:rPr>
          <w:rFonts w:ascii="楷体" w:hAnsi="楷体" w:eastAsia="楷体" w:cs="楷体"/>
          <w:b/>
          <w:bCs/>
          <w:sz w:val="32"/>
          <w:szCs w:val="32"/>
        </w:rPr>
      </w:pPr>
      <w:r>
        <w:rPr>
          <w:rFonts w:hint="eastAsia" w:ascii="楷体" w:hAnsi="楷体" w:eastAsia="楷体" w:cs="楷体"/>
          <w:b/>
          <w:bCs/>
          <w:sz w:val="32"/>
          <w:szCs w:val="32"/>
        </w:rPr>
        <w:t>（二）部门财政资金支出情况。</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2018一般公共预算财政拨款支出1518353.81元，主要用于以下方面:文化体育与传媒支出1307678.81元，占86.12%；完成预算54.33%，社会保障和就业支出115694.88元，占7.62%；完成预算100%。医疗卫生与计划生育38268.12元，占2.52%；完成预算100%。住房保障支出56712元，占3.74%；完成预算100%。</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2019年1至6月支出为669925.32元，其中：项目支出324000元，信息网络构建支出4500元，工资福利341425.32元</w:t>
      </w:r>
    </w:p>
    <w:p>
      <w:pPr>
        <w:widowControl/>
        <w:adjustRightInd w:val="0"/>
        <w:snapToGrid w:val="0"/>
        <w:spacing w:line="600" w:lineRule="exact"/>
        <w:ind w:firstLine="720"/>
        <w:jc w:val="left"/>
        <w:rPr>
          <w:rFonts w:ascii="黑体" w:hAnsi="宋体" w:eastAsia="黑体" w:cs="宋体"/>
          <w:color w:val="000000"/>
          <w:kern w:val="0"/>
          <w:sz w:val="32"/>
          <w:szCs w:val="32"/>
        </w:rPr>
      </w:pPr>
      <w:r>
        <w:rPr>
          <w:rFonts w:hint="eastAsia" w:ascii="黑体" w:hAnsi="宋体" w:eastAsia="黑体" w:cs="宋体"/>
          <w:color w:val="000000"/>
          <w:kern w:val="0"/>
          <w:sz w:val="32"/>
          <w:szCs w:val="32"/>
        </w:rPr>
        <w:t>三、部门财政支出管理情况</w:t>
      </w:r>
    </w:p>
    <w:p>
      <w:pPr>
        <w:widowControl/>
        <w:adjustRightInd w:val="0"/>
        <w:snapToGrid w:val="0"/>
        <w:spacing w:line="600" w:lineRule="exact"/>
        <w:ind w:firstLine="720"/>
        <w:jc w:val="left"/>
        <w:rPr>
          <w:rFonts w:ascii="楷体" w:hAnsi="楷体" w:eastAsia="楷体" w:cs="宋体"/>
          <w:color w:val="000000"/>
          <w:kern w:val="0"/>
          <w:sz w:val="32"/>
          <w:szCs w:val="32"/>
          <w:lang w:val="zh-CN"/>
        </w:rPr>
      </w:pPr>
      <w:r>
        <w:rPr>
          <w:rFonts w:hint="eastAsia" w:ascii="楷体" w:hAnsi="楷体" w:eastAsia="楷体" w:cs="宋体"/>
          <w:color w:val="000000"/>
          <w:kern w:val="0"/>
          <w:sz w:val="32"/>
          <w:szCs w:val="32"/>
          <w:lang w:val="zh-CN"/>
        </w:rPr>
        <w:t>（一）预算编制情况。</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单位严格按照《预算法》及相关财经法规和政策编制本年度预算，严格控制编报质量，保证所有资金合法合规，严格按照相关规定进行预算编制，中央转移支付资金按照文件要求执行，专项转移支付严格根据分地区分项目进行编制。</w:t>
      </w:r>
    </w:p>
    <w:p>
      <w:pPr>
        <w:widowControl/>
        <w:adjustRightInd w:val="0"/>
        <w:snapToGrid w:val="0"/>
        <w:spacing w:line="600" w:lineRule="exact"/>
        <w:ind w:firstLine="720"/>
        <w:jc w:val="left"/>
        <w:rPr>
          <w:rFonts w:ascii="楷体" w:hAnsi="楷体" w:eastAsia="楷体" w:cs="宋体"/>
          <w:color w:val="000000"/>
          <w:kern w:val="0"/>
          <w:sz w:val="32"/>
          <w:szCs w:val="32"/>
          <w:lang w:val="zh-CN"/>
        </w:rPr>
      </w:pPr>
      <w:r>
        <w:rPr>
          <w:rFonts w:hint="eastAsia" w:ascii="楷体" w:hAnsi="楷体" w:eastAsia="楷体" w:cs="宋体"/>
          <w:color w:val="000000"/>
          <w:kern w:val="0"/>
          <w:sz w:val="32"/>
          <w:szCs w:val="32"/>
          <w:lang w:val="zh-CN"/>
        </w:rPr>
        <w:t>（二）执行管理情况。</w:t>
      </w:r>
      <w:r>
        <w:rPr>
          <w:rFonts w:hint="eastAsia" w:ascii="楷体" w:hAnsi="楷体" w:eastAsia="楷体" w:cs="宋体"/>
          <w:color w:val="000000"/>
          <w:kern w:val="0"/>
          <w:sz w:val="32"/>
          <w:szCs w:val="32"/>
          <w:lang w:val="zh-CN"/>
        </w:rPr>
        <w:tab/>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部门预算执行到位，严格按照预算管理进行支付并做到节能降耗，“三公”经费严格按照年初预算执行。2018年度“三公”经费财政拨款支出决算中，因公出国（境）费支出决算0元，占0%；公务用车购置及运行维护费支出决算200000元，占100%；公务接待费支出决算0元，占0%。</w:t>
      </w:r>
    </w:p>
    <w:p>
      <w:pPr>
        <w:widowControl/>
        <w:adjustRightInd w:val="0"/>
        <w:snapToGrid w:val="0"/>
        <w:spacing w:line="600" w:lineRule="exact"/>
        <w:ind w:firstLine="720"/>
        <w:jc w:val="left"/>
        <w:rPr>
          <w:rFonts w:ascii="楷体" w:hAnsi="楷体" w:eastAsia="楷体" w:cs="宋体"/>
          <w:color w:val="000000"/>
          <w:kern w:val="0"/>
          <w:sz w:val="32"/>
          <w:szCs w:val="32"/>
          <w:lang w:val="zh-CN"/>
        </w:rPr>
      </w:pPr>
      <w:r>
        <w:rPr>
          <w:rFonts w:hint="eastAsia" w:ascii="楷体" w:hAnsi="楷体" w:eastAsia="楷体" w:cs="宋体"/>
          <w:color w:val="000000"/>
          <w:kern w:val="0"/>
          <w:sz w:val="32"/>
          <w:szCs w:val="32"/>
          <w:lang w:val="zh-CN"/>
        </w:rPr>
        <w:t>（三）综合管理情况。</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在财务管理过程中建立健全财务核算制度、严格执行国家相关财经法规，加强了会计基础工作、逐渐规范了财务管理行为。严格按照《新政府会计制度》的规定设置的会计科目，建立了科学有效的会计核算方式，均真实、合法、准确的反映各项收支活动；建立健全了内控制度，加强和完善了经费收支和财务管理，积极配合各级财政部门开展相关经费的考评工作；本单位在资金使用过程中，合理使用各项资金，严格执行各项经费开支范围和标准。对项目资金，确保专款专用；在账务报销过程中贯彻执行国家颁布的有关财务制度，严格按照《会计法》规定以完整、合法的原始凭证及财务报销手续进行报账、核算，做到了手续齐备、内容真实、数据准确、账目清晰，认真及时的填报了各项年度统计报表；在整个财务收支管理中做到了会计核算与财政收支账一致，实现了会计电算化；严格落实《党政机关厉行节约反对浪费条例》的相关规定，进一步规范了“三公经费”的管理并严格控制了“三公经费”的支出。</w:t>
      </w:r>
    </w:p>
    <w:p>
      <w:pPr>
        <w:widowControl/>
        <w:adjustRightInd w:val="0"/>
        <w:snapToGrid w:val="0"/>
        <w:spacing w:line="600" w:lineRule="exact"/>
        <w:ind w:firstLine="720"/>
        <w:jc w:val="left"/>
        <w:rPr>
          <w:rFonts w:ascii="楷体" w:hAnsi="楷体" w:eastAsia="楷体" w:cs="宋体"/>
          <w:color w:val="FF0000"/>
          <w:kern w:val="0"/>
          <w:sz w:val="32"/>
          <w:szCs w:val="32"/>
          <w:lang w:val="zh-CN"/>
        </w:rPr>
      </w:pPr>
      <w:r>
        <w:rPr>
          <w:rFonts w:hint="eastAsia" w:ascii="仿宋" w:hAnsi="仿宋" w:eastAsia="仿宋"/>
          <w:sz w:val="32"/>
          <w:szCs w:val="32"/>
        </w:rPr>
        <w:t>（四）整体绩效。</w:t>
      </w:r>
    </w:p>
    <w:p>
      <w:pPr>
        <w:spacing w:line="560" w:lineRule="exact"/>
        <w:ind w:firstLine="640" w:firstLineChars="200"/>
        <w:rPr>
          <w:rFonts w:ascii="仿宋_GB2312" w:hAnsi="宋体" w:eastAsia="仿宋_GB2312" w:cs="宋体"/>
          <w:color w:val="000000"/>
          <w:kern w:val="0"/>
          <w:sz w:val="32"/>
          <w:lang w:val="zh-CN"/>
        </w:rPr>
      </w:pPr>
      <w:r>
        <w:rPr>
          <w:rFonts w:hint="eastAsia" w:ascii="仿宋" w:hAnsi="仿宋" w:eastAsia="仿宋"/>
          <w:sz w:val="32"/>
          <w:szCs w:val="32"/>
        </w:rPr>
        <w:t>为进一步贯彻执行中共中央、国务院《关于进一步推进国有企业贯彻落实“三中一大”决策制度的意见》精神，我店坚持依法决策，凡是有重大事项决策，重大安排和大额度资金运作事项，必须通过我店职工共同商量并上报文体广新局领导并征求领导的同意。我店坚持民主决策，按照“集体领导、民主集中、个别酝酿、会议决定”的要求进行决策，保证权力正确行使。</w:t>
      </w:r>
      <w:r>
        <w:rPr>
          <w:rFonts w:hint="eastAsia" w:ascii="仿宋_GB2312" w:hAnsi="宋体" w:eastAsia="仿宋_GB2312" w:cs="宋体"/>
          <w:kern w:val="0"/>
          <w:sz w:val="32"/>
          <w:lang w:val="zh-CN"/>
        </w:rPr>
        <w:t>维护少数民</w:t>
      </w:r>
      <w:bookmarkStart w:id="0" w:name="_GoBack"/>
      <w:bookmarkEnd w:id="0"/>
      <w:r>
        <w:rPr>
          <w:rFonts w:hint="eastAsia" w:ascii="仿宋_GB2312" w:hAnsi="宋体" w:eastAsia="仿宋_GB2312" w:cs="宋体"/>
          <w:kern w:val="0"/>
          <w:sz w:val="32"/>
          <w:lang w:val="zh-CN"/>
        </w:rPr>
        <w:t>族地区的社会稳定，提高人民生活水</w:t>
      </w:r>
      <w:r>
        <w:rPr>
          <w:rFonts w:hint="eastAsia" w:ascii="仿宋_GB2312" w:hAnsi="宋体" w:eastAsia="仿宋_GB2312" w:cs="宋体"/>
          <w:color w:val="000000"/>
          <w:kern w:val="0"/>
          <w:sz w:val="32"/>
          <w:lang w:val="zh-CN"/>
        </w:rPr>
        <w:t xml:space="preserve">平，改善人民生活质量等方面有着极其重要的意义，有力促进了社会和谐发展，为全县及乡镇的经济发展作出了应有的贡献。部门整体支出绩效自评得良好。 </w:t>
      </w:r>
    </w:p>
    <w:p>
      <w:pPr>
        <w:widowControl/>
        <w:adjustRightInd w:val="0"/>
        <w:snapToGrid w:val="0"/>
        <w:spacing w:line="600" w:lineRule="exact"/>
        <w:ind w:firstLine="720"/>
        <w:jc w:val="left"/>
        <w:rPr>
          <w:rFonts w:ascii="黑体" w:hAnsi="宋体" w:eastAsia="黑体" w:cs="宋体"/>
          <w:color w:val="000000"/>
          <w:kern w:val="0"/>
          <w:sz w:val="32"/>
          <w:szCs w:val="32"/>
        </w:rPr>
      </w:pPr>
      <w:r>
        <w:rPr>
          <w:rFonts w:hint="eastAsia" w:ascii="黑体" w:hAnsi="宋体" w:eastAsia="黑体" w:cs="宋体"/>
          <w:color w:val="000000"/>
          <w:kern w:val="0"/>
          <w:sz w:val="32"/>
          <w:szCs w:val="32"/>
        </w:rPr>
        <w:t>四、评价结论及建议</w:t>
      </w:r>
    </w:p>
    <w:p>
      <w:pPr>
        <w:widowControl/>
        <w:adjustRightInd w:val="0"/>
        <w:snapToGrid w:val="0"/>
        <w:spacing w:line="600" w:lineRule="exact"/>
        <w:ind w:firstLine="720"/>
        <w:jc w:val="left"/>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（一）评价结论。</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按照预算绩效管理要求，本单位对2018年整体支出开展绩效自评，自评得分97分，部门整体支出绩效为“好”。</w:t>
      </w:r>
    </w:p>
    <w:p>
      <w:pPr>
        <w:widowControl/>
        <w:adjustRightInd w:val="0"/>
        <w:snapToGrid w:val="0"/>
        <w:spacing w:line="600" w:lineRule="exact"/>
        <w:ind w:firstLine="720"/>
        <w:jc w:val="left"/>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（二）存在问题。</w:t>
      </w:r>
    </w:p>
    <w:p>
      <w:pPr>
        <w:widowControl/>
        <w:adjustRightInd w:val="0"/>
        <w:snapToGrid w:val="0"/>
        <w:spacing w:line="600" w:lineRule="exact"/>
        <w:ind w:firstLine="720"/>
        <w:jc w:val="left"/>
        <w:rPr>
          <w:rFonts w:ascii="仿宋_GB2312" w:hAnsi="宋体" w:eastAsia="仿宋_GB2312" w:cs="宋体"/>
          <w:color w:val="000000"/>
          <w:kern w:val="0"/>
          <w:sz w:val="32"/>
          <w:szCs w:val="32"/>
          <w:lang w:val="zh-CN"/>
        </w:rPr>
      </w:pPr>
      <w:r>
        <w:rPr>
          <w:rFonts w:hint="eastAsia" w:ascii="仿宋_GB2312" w:hAnsi="仿宋_GB2312" w:eastAsia="仿宋_GB2312" w:cs="仿宋_GB2312"/>
          <w:sz w:val="32"/>
          <w:szCs w:val="32"/>
        </w:rPr>
        <w:t>对资金管理缺乏时效性和长久监督性。</w:t>
      </w:r>
    </w:p>
    <w:p>
      <w:pPr>
        <w:widowControl/>
        <w:adjustRightInd w:val="0"/>
        <w:snapToGrid w:val="0"/>
        <w:spacing w:line="600" w:lineRule="exact"/>
        <w:ind w:firstLine="720"/>
        <w:jc w:val="left"/>
        <w:rPr>
          <w:rFonts w:ascii="仿宋_GB2312" w:eastAsia="仿宋_GB2312" w:cs="仿宋_GB2312"/>
          <w:sz w:val="32"/>
          <w:szCs w:val="32"/>
        </w:rPr>
      </w:pPr>
      <w:r>
        <w:rPr>
          <w:rFonts w:hint="eastAsia" w:ascii="仿宋_GB2312" w:hAnsi="宋体" w:eastAsia="仿宋_GB2312" w:cs="宋体"/>
          <w:color w:val="000000"/>
          <w:kern w:val="0"/>
          <w:sz w:val="32"/>
          <w:szCs w:val="32"/>
          <w:lang w:val="zh-CN"/>
        </w:rPr>
        <w:t>（三）改进建议。</w:t>
      </w:r>
    </w:p>
    <w:p>
      <w:pPr>
        <w:spacing w:line="600" w:lineRule="exact"/>
        <w:ind w:firstLine="640" w:firstLineChars="200"/>
        <w:rPr>
          <w:rFonts w:ascii="仿宋_GB2312" w:hAnsi="宋体" w:eastAsia="仿宋_GB2312" w:cs="黑体"/>
          <w:sz w:val="32"/>
          <w:szCs w:val="32"/>
        </w:rPr>
      </w:pPr>
      <w:r>
        <w:rPr>
          <w:rFonts w:hint="eastAsia" w:ascii="仿宋_GB2312" w:hAnsi="仿宋_GB2312" w:eastAsia="仿宋_GB2312" w:cs="仿宋_GB2312"/>
          <w:sz w:val="32"/>
          <w:szCs w:val="32"/>
        </w:rPr>
        <w:t>下一步改进措施：针对存在的问题进行经常性的监督和自查。</w:t>
      </w:r>
    </w:p>
    <w:p>
      <w:pPr>
        <w:spacing w:line="600" w:lineRule="auto"/>
        <w:ind w:firstLine="640" w:firstLineChars="200"/>
        <w:jc w:val="center"/>
        <w:rPr>
          <w:rFonts w:ascii="仿宋" w:hAnsi="仿宋" w:eastAsia="仿宋" w:cs="仿宋"/>
          <w:sz w:val="32"/>
        </w:rPr>
      </w:pPr>
    </w:p>
    <w:p>
      <w:pPr>
        <w:spacing w:line="600" w:lineRule="auto"/>
        <w:ind w:firstLine="880" w:firstLineChars="200"/>
        <w:jc w:val="center"/>
        <w:rPr>
          <w:rFonts w:ascii="黑体" w:hAnsi="黑体" w:eastAsia="黑体" w:cs="黑体"/>
          <w:sz w:val="44"/>
        </w:rPr>
      </w:pPr>
      <w:r>
        <w:rPr>
          <w:rFonts w:ascii="黑体" w:hAnsi="黑体" w:eastAsia="黑体" w:cs="黑体"/>
          <w:color w:val="000000"/>
          <w:sz w:val="44"/>
        </w:rPr>
        <w:t>第</w:t>
      </w:r>
      <w:r>
        <w:rPr>
          <w:rFonts w:ascii="黑体" w:hAnsi="黑体" w:eastAsia="黑体" w:cs="黑体"/>
          <w:sz w:val="44"/>
        </w:rPr>
        <w:t>五部分 附表</w:t>
      </w:r>
    </w:p>
    <w:p>
      <w:pPr>
        <w:keepNext/>
        <w:keepLines/>
        <w:numPr>
          <w:ilvl w:val="0"/>
          <w:numId w:val="6"/>
        </w:numPr>
        <w:spacing w:before="260" w:after="260" w:line="416" w:lineRule="auto"/>
        <w:ind w:firstLine="640" w:firstLineChars="200"/>
        <w:rPr>
          <w:rFonts w:ascii="仿宋" w:hAnsi="仿宋" w:eastAsia="仿宋" w:cs="仿宋"/>
          <w:color w:val="000000"/>
          <w:sz w:val="32"/>
        </w:rPr>
      </w:pPr>
      <w:r>
        <w:rPr>
          <w:rFonts w:ascii="仿宋" w:hAnsi="仿宋" w:eastAsia="仿宋" w:cs="仿宋"/>
          <w:color w:val="000000"/>
          <w:sz w:val="32"/>
        </w:rPr>
        <w:t>收入支出决算总表</w:t>
      </w:r>
    </w:p>
    <w:p>
      <w:pPr>
        <w:keepNext/>
        <w:keepLines/>
        <w:spacing w:before="260" w:after="260" w:line="416" w:lineRule="auto"/>
        <w:ind w:firstLine="640" w:firstLineChars="200"/>
        <w:rPr>
          <w:rFonts w:ascii="仿宋" w:hAnsi="仿宋" w:eastAsia="仿宋" w:cs="仿宋"/>
          <w:b/>
          <w:color w:val="000000"/>
          <w:sz w:val="32"/>
        </w:rPr>
      </w:pPr>
      <w:r>
        <w:rPr>
          <w:rFonts w:ascii="仿宋" w:hAnsi="仿宋" w:eastAsia="仿宋" w:cs="仿宋"/>
          <w:color w:val="000000"/>
          <w:sz w:val="32"/>
        </w:rPr>
        <w:t>二、收</w:t>
      </w:r>
      <w:r>
        <w:rPr>
          <w:rFonts w:ascii="仿宋" w:hAnsi="仿宋" w:eastAsia="仿宋" w:cs="仿宋"/>
          <w:sz w:val="32"/>
        </w:rPr>
        <w:t>入总表</w:t>
      </w:r>
    </w:p>
    <w:p>
      <w:pPr>
        <w:keepNext/>
        <w:keepLines/>
        <w:spacing w:before="260" w:after="260" w:line="416" w:lineRule="auto"/>
        <w:ind w:firstLine="640" w:firstLineChars="200"/>
        <w:rPr>
          <w:rFonts w:ascii="仿宋" w:hAnsi="仿宋" w:eastAsia="仿宋" w:cs="仿宋"/>
          <w:b/>
          <w:color w:val="000000"/>
          <w:sz w:val="32"/>
        </w:rPr>
      </w:pPr>
      <w:r>
        <w:rPr>
          <w:rFonts w:ascii="仿宋" w:hAnsi="仿宋" w:eastAsia="仿宋" w:cs="仿宋"/>
          <w:sz w:val="32"/>
        </w:rPr>
        <w:t>三、</w:t>
      </w:r>
      <w:r>
        <w:rPr>
          <w:rFonts w:ascii="仿宋" w:hAnsi="仿宋" w:eastAsia="仿宋" w:cs="仿宋"/>
          <w:color w:val="000000"/>
          <w:sz w:val="32"/>
        </w:rPr>
        <w:t>支</w:t>
      </w:r>
      <w:r>
        <w:rPr>
          <w:rFonts w:ascii="仿宋" w:hAnsi="仿宋" w:eastAsia="仿宋" w:cs="仿宋"/>
          <w:sz w:val="32"/>
        </w:rPr>
        <w:t>出总表</w:t>
      </w:r>
    </w:p>
    <w:p>
      <w:pPr>
        <w:keepNext/>
        <w:keepLines/>
        <w:spacing w:before="260" w:after="260" w:line="416" w:lineRule="auto"/>
        <w:ind w:firstLine="640" w:firstLineChars="200"/>
        <w:rPr>
          <w:rFonts w:ascii="仿宋" w:hAnsi="仿宋" w:eastAsia="仿宋" w:cs="仿宋"/>
          <w:color w:val="000000"/>
          <w:sz w:val="32"/>
        </w:rPr>
      </w:pPr>
      <w:r>
        <w:rPr>
          <w:rFonts w:ascii="仿宋" w:hAnsi="仿宋" w:eastAsia="仿宋" w:cs="仿宋"/>
          <w:sz w:val="32"/>
        </w:rPr>
        <w:t>四、</w:t>
      </w:r>
      <w:r>
        <w:rPr>
          <w:rFonts w:ascii="仿宋" w:hAnsi="仿宋" w:eastAsia="仿宋" w:cs="仿宋"/>
          <w:color w:val="000000"/>
          <w:sz w:val="32"/>
        </w:rPr>
        <w:t>财</w:t>
      </w:r>
      <w:r>
        <w:rPr>
          <w:rFonts w:ascii="仿宋" w:hAnsi="仿宋" w:eastAsia="仿宋" w:cs="仿宋"/>
          <w:sz w:val="32"/>
        </w:rPr>
        <w:t>政拨款收入支出决算总表</w:t>
      </w:r>
    </w:p>
    <w:p>
      <w:pPr>
        <w:keepNext/>
        <w:keepLines/>
        <w:spacing w:before="260" w:after="260" w:line="416" w:lineRule="auto"/>
        <w:ind w:firstLine="640" w:firstLineChars="200"/>
        <w:rPr>
          <w:rFonts w:ascii="仿宋" w:hAnsi="仿宋" w:eastAsia="仿宋" w:cs="仿宋"/>
          <w:b/>
          <w:color w:val="000000"/>
          <w:sz w:val="32"/>
        </w:rPr>
      </w:pPr>
      <w:r>
        <w:rPr>
          <w:rFonts w:ascii="仿宋" w:hAnsi="仿宋" w:eastAsia="仿宋" w:cs="仿宋"/>
          <w:sz w:val="32"/>
        </w:rPr>
        <w:t>五、</w:t>
      </w:r>
      <w:r>
        <w:rPr>
          <w:rFonts w:ascii="仿宋" w:hAnsi="仿宋" w:eastAsia="仿宋" w:cs="仿宋"/>
          <w:color w:val="000000"/>
          <w:sz w:val="32"/>
        </w:rPr>
        <w:t>财</w:t>
      </w:r>
      <w:r>
        <w:rPr>
          <w:rFonts w:ascii="仿宋" w:hAnsi="仿宋" w:eastAsia="仿宋" w:cs="仿宋"/>
          <w:sz w:val="32"/>
        </w:rPr>
        <w:t>政拨款支出决算明细表（政府经济分类科目）</w:t>
      </w:r>
    </w:p>
    <w:p>
      <w:pPr>
        <w:keepNext/>
        <w:keepLines/>
        <w:spacing w:before="260" w:after="260" w:line="416" w:lineRule="auto"/>
        <w:ind w:firstLine="640" w:firstLineChars="200"/>
        <w:rPr>
          <w:rFonts w:ascii="仿宋" w:hAnsi="仿宋" w:eastAsia="仿宋" w:cs="仿宋"/>
          <w:b/>
          <w:color w:val="000000"/>
          <w:sz w:val="32"/>
        </w:rPr>
      </w:pPr>
      <w:r>
        <w:rPr>
          <w:rFonts w:ascii="仿宋" w:hAnsi="仿宋" w:eastAsia="仿宋" w:cs="仿宋"/>
          <w:sz w:val="32"/>
        </w:rPr>
        <w:t>六、</w:t>
      </w:r>
      <w:r>
        <w:rPr>
          <w:rFonts w:ascii="仿宋" w:hAnsi="仿宋" w:eastAsia="仿宋" w:cs="仿宋"/>
          <w:color w:val="000000"/>
          <w:sz w:val="32"/>
        </w:rPr>
        <w:t>一</w:t>
      </w:r>
      <w:r>
        <w:rPr>
          <w:rFonts w:ascii="仿宋" w:hAnsi="仿宋" w:eastAsia="仿宋" w:cs="仿宋"/>
          <w:sz w:val="32"/>
        </w:rPr>
        <w:t>般公共预算财政拨款支出决算表</w:t>
      </w:r>
    </w:p>
    <w:p>
      <w:pPr>
        <w:keepNext/>
        <w:keepLines/>
        <w:spacing w:before="260" w:after="260" w:line="416" w:lineRule="auto"/>
        <w:ind w:firstLine="640" w:firstLineChars="200"/>
        <w:rPr>
          <w:rFonts w:ascii="仿宋" w:hAnsi="仿宋" w:eastAsia="仿宋" w:cs="仿宋"/>
          <w:b/>
          <w:color w:val="000000"/>
          <w:sz w:val="32"/>
        </w:rPr>
      </w:pPr>
      <w:r>
        <w:rPr>
          <w:rFonts w:ascii="仿宋" w:hAnsi="仿宋" w:eastAsia="仿宋" w:cs="仿宋"/>
          <w:sz w:val="32"/>
        </w:rPr>
        <w:t>七、</w:t>
      </w:r>
      <w:r>
        <w:rPr>
          <w:rFonts w:ascii="仿宋" w:hAnsi="仿宋" w:eastAsia="仿宋" w:cs="仿宋"/>
          <w:color w:val="000000"/>
          <w:sz w:val="32"/>
        </w:rPr>
        <w:t>一</w:t>
      </w:r>
      <w:r>
        <w:rPr>
          <w:rFonts w:ascii="仿宋" w:hAnsi="仿宋" w:eastAsia="仿宋" w:cs="仿宋"/>
          <w:sz w:val="32"/>
        </w:rPr>
        <w:t>般公共预算财政拨款支出决算明细表</w:t>
      </w:r>
    </w:p>
    <w:p>
      <w:pPr>
        <w:keepNext/>
        <w:keepLines/>
        <w:spacing w:before="260" w:after="260" w:line="416" w:lineRule="auto"/>
        <w:ind w:firstLine="640" w:firstLineChars="200"/>
        <w:rPr>
          <w:rFonts w:ascii="仿宋" w:hAnsi="仿宋" w:eastAsia="仿宋" w:cs="仿宋"/>
          <w:b/>
          <w:color w:val="000000"/>
          <w:sz w:val="32"/>
        </w:rPr>
      </w:pPr>
      <w:r>
        <w:rPr>
          <w:rFonts w:ascii="仿宋" w:hAnsi="仿宋" w:eastAsia="仿宋" w:cs="仿宋"/>
          <w:sz w:val="32"/>
        </w:rPr>
        <w:t>八、</w:t>
      </w:r>
      <w:r>
        <w:rPr>
          <w:rFonts w:ascii="仿宋" w:hAnsi="仿宋" w:eastAsia="仿宋" w:cs="仿宋"/>
          <w:color w:val="000000"/>
          <w:sz w:val="32"/>
        </w:rPr>
        <w:t>一</w:t>
      </w:r>
      <w:r>
        <w:rPr>
          <w:rFonts w:ascii="仿宋" w:hAnsi="仿宋" w:eastAsia="仿宋" w:cs="仿宋"/>
          <w:sz w:val="32"/>
        </w:rPr>
        <w:t>般公共预算财政拨款基本支出决算表</w:t>
      </w:r>
    </w:p>
    <w:p>
      <w:pPr>
        <w:keepNext/>
        <w:keepLines/>
        <w:spacing w:before="260" w:after="260" w:line="416" w:lineRule="auto"/>
        <w:ind w:firstLine="640" w:firstLineChars="200"/>
        <w:rPr>
          <w:rFonts w:ascii="仿宋" w:hAnsi="仿宋" w:eastAsia="仿宋" w:cs="仿宋"/>
          <w:b/>
          <w:color w:val="000000"/>
          <w:sz w:val="32"/>
        </w:rPr>
      </w:pPr>
      <w:r>
        <w:rPr>
          <w:rFonts w:ascii="仿宋" w:hAnsi="仿宋" w:eastAsia="仿宋" w:cs="仿宋"/>
          <w:sz w:val="32"/>
        </w:rPr>
        <w:t>九、</w:t>
      </w:r>
      <w:r>
        <w:rPr>
          <w:rFonts w:ascii="仿宋" w:hAnsi="仿宋" w:eastAsia="仿宋" w:cs="仿宋"/>
          <w:color w:val="000000"/>
          <w:sz w:val="32"/>
        </w:rPr>
        <w:t>一</w:t>
      </w:r>
      <w:r>
        <w:rPr>
          <w:rFonts w:ascii="仿宋" w:hAnsi="仿宋" w:eastAsia="仿宋" w:cs="仿宋"/>
          <w:sz w:val="32"/>
        </w:rPr>
        <w:t>般公共预算财政拨款项目支出决算表</w:t>
      </w:r>
    </w:p>
    <w:p>
      <w:pPr>
        <w:keepNext/>
        <w:keepLines/>
        <w:spacing w:before="260" w:after="260" w:line="416" w:lineRule="auto"/>
        <w:ind w:firstLine="640" w:firstLineChars="200"/>
        <w:rPr>
          <w:rFonts w:ascii="仿宋" w:hAnsi="仿宋" w:eastAsia="仿宋" w:cs="仿宋"/>
          <w:b/>
          <w:color w:val="000000"/>
          <w:sz w:val="32"/>
        </w:rPr>
      </w:pPr>
      <w:r>
        <w:rPr>
          <w:rFonts w:ascii="仿宋" w:hAnsi="仿宋" w:eastAsia="仿宋" w:cs="仿宋"/>
          <w:sz w:val="32"/>
        </w:rPr>
        <w:t>十、</w:t>
      </w:r>
      <w:r>
        <w:rPr>
          <w:rFonts w:ascii="仿宋" w:hAnsi="仿宋" w:eastAsia="仿宋" w:cs="仿宋"/>
          <w:color w:val="000000"/>
          <w:sz w:val="32"/>
        </w:rPr>
        <w:t>一</w:t>
      </w:r>
      <w:r>
        <w:rPr>
          <w:rFonts w:ascii="仿宋" w:hAnsi="仿宋" w:eastAsia="仿宋" w:cs="仿宋"/>
          <w:sz w:val="32"/>
        </w:rPr>
        <w:t>般公共预算财政拨款“三公”经费支出决算表</w:t>
      </w:r>
    </w:p>
    <w:p>
      <w:pPr>
        <w:keepNext/>
        <w:keepLines/>
        <w:spacing w:before="260" w:after="260" w:line="416" w:lineRule="auto"/>
        <w:ind w:firstLine="640" w:firstLineChars="200"/>
        <w:rPr>
          <w:rFonts w:ascii="仿宋" w:hAnsi="仿宋" w:eastAsia="仿宋" w:cs="仿宋"/>
          <w:b/>
          <w:color w:val="000000"/>
          <w:sz w:val="32"/>
        </w:rPr>
      </w:pPr>
      <w:r>
        <w:rPr>
          <w:rFonts w:ascii="仿宋" w:hAnsi="仿宋" w:eastAsia="仿宋" w:cs="仿宋"/>
          <w:sz w:val="32"/>
        </w:rPr>
        <w:t>十一、</w:t>
      </w:r>
      <w:r>
        <w:rPr>
          <w:rFonts w:ascii="仿宋" w:hAnsi="仿宋" w:eastAsia="仿宋" w:cs="仿宋"/>
          <w:color w:val="000000"/>
          <w:sz w:val="32"/>
        </w:rPr>
        <w:t>政</w:t>
      </w:r>
      <w:r>
        <w:rPr>
          <w:rFonts w:ascii="仿宋" w:hAnsi="仿宋" w:eastAsia="仿宋" w:cs="仿宋"/>
          <w:sz w:val="32"/>
        </w:rPr>
        <w:t>府性基金预算财政拨款收入支出决算表</w:t>
      </w:r>
    </w:p>
    <w:p>
      <w:pPr>
        <w:keepNext/>
        <w:keepLines/>
        <w:spacing w:before="260" w:after="260" w:line="416" w:lineRule="auto"/>
        <w:ind w:firstLine="640" w:firstLineChars="200"/>
        <w:rPr>
          <w:rFonts w:ascii="仿宋" w:hAnsi="仿宋" w:eastAsia="仿宋" w:cs="仿宋"/>
          <w:b/>
          <w:color w:val="000000"/>
          <w:sz w:val="32"/>
        </w:rPr>
      </w:pPr>
      <w:r>
        <w:rPr>
          <w:rFonts w:ascii="仿宋" w:hAnsi="仿宋" w:eastAsia="仿宋" w:cs="仿宋"/>
          <w:sz w:val="32"/>
        </w:rPr>
        <w:t>十二、</w:t>
      </w:r>
      <w:r>
        <w:rPr>
          <w:rFonts w:ascii="仿宋" w:hAnsi="仿宋" w:eastAsia="仿宋" w:cs="仿宋"/>
          <w:color w:val="000000"/>
          <w:sz w:val="32"/>
        </w:rPr>
        <w:t>政</w:t>
      </w:r>
      <w:r>
        <w:rPr>
          <w:rFonts w:ascii="仿宋" w:hAnsi="仿宋" w:eastAsia="仿宋" w:cs="仿宋"/>
          <w:sz w:val="32"/>
        </w:rPr>
        <w:t>府性基金预算财政拨款“三公”经费支出决算表</w:t>
      </w:r>
    </w:p>
    <w:p>
      <w:pPr>
        <w:keepNext/>
        <w:keepLines/>
        <w:spacing w:before="260" w:after="260" w:line="416" w:lineRule="auto"/>
        <w:ind w:firstLine="640" w:firstLineChars="200"/>
        <w:rPr>
          <w:rFonts w:ascii="仿宋" w:hAnsi="仿宋" w:eastAsia="仿宋" w:cs="仿宋"/>
          <w:sz w:val="32"/>
        </w:rPr>
      </w:pPr>
      <w:r>
        <w:rPr>
          <w:rFonts w:ascii="仿宋" w:hAnsi="仿宋" w:eastAsia="仿宋" w:cs="仿宋"/>
          <w:sz w:val="32"/>
        </w:rPr>
        <w:t>十三、</w:t>
      </w:r>
      <w:r>
        <w:rPr>
          <w:rFonts w:ascii="仿宋" w:hAnsi="仿宋" w:eastAsia="仿宋" w:cs="仿宋"/>
          <w:color w:val="000000"/>
          <w:sz w:val="32"/>
        </w:rPr>
        <w:t>国</w:t>
      </w:r>
      <w:r>
        <w:rPr>
          <w:rFonts w:ascii="仿宋" w:hAnsi="仿宋" w:eastAsia="仿宋" w:cs="仿宋"/>
          <w:sz w:val="32"/>
        </w:rPr>
        <w:t>有资本经营预算支出决算表</w:t>
      </w:r>
    </w:p>
    <w:p>
      <w:pPr>
        <w:ind w:firstLine="640"/>
        <w:rPr>
          <w:rStyle w:val="13"/>
          <w:rFonts w:hint="eastAsia" w:ascii="仿宋" w:hAnsi="仿宋" w:eastAsia="仿宋"/>
          <w:b w:val="0"/>
          <w:bCs w:val="0"/>
          <w:lang w:val="en-US" w:eastAsia="zh-CN"/>
        </w:rPr>
      </w:pPr>
      <w:r>
        <w:rPr>
          <w:rStyle w:val="13"/>
          <w:rFonts w:hint="eastAsia" w:ascii="仿宋" w:hAnsi="仿宋" w:eastAsia="仿宋"/>
          <w:b w:val="0"/>
          <w:bCs w:val="0"/>
          <w:lang w:val="en-US" w:eastAsia="zh-CN"/>
        </w:rPr>
        <w:t>十四、整体支出绩效评价打分表</w:t>
      </w:r>
    </w:p>
    <w:p>
      <w:pPr>
        <w:keepNext/>
        <w:keepLines/>
        <w:spacing w:before="260" w:after="260" w:line="416" w:lineRule="auto"/>
        <w:ind w:firstLine="640" w:firstLineChars="200"/>
        <w:rPr>
          <w:rFonts w:ascii="仿宋" w:hAnsi="仿宋" w:eastAsia="仿宋" w:cs="仿宋"/>
          <w:sz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8A3084"/>
    <w:multiLevelType w:val="multilevel"/>
    <w:tmpl w:val="0C8A3084"/>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10177B46"/>
    <w:multiLevelType w:val="multilevel"/>
    <w:tmpl w:val="10177B46"/>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13C75E83"/>
    <w:multiLevelType w:val="multilevel"/>
    <w:tmpl w:val="13C75E83"/>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4CDB3738"/>
    <w:multiLevelType w:val="multilevel"/>
    <w:tmpl w:val="4CDB3738"/>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609755E5"/>
    <w:multiLevelType w:val="multilevel"/>
    <w:tmpl w:val="609755E5"/>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
    <w:nsid w:val="62AD414E"/>
    <w:multiLevelType w:val="multilevel"/>
    <w:tmpl w:val="62AD414E"/>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2"/>
  </w:num>
  <w:num w:numId="2">
    <w:abstractNumId w:val="4"/>
  </w:num>
  <w:num w:numId="3">
    <w:abstractNumId w:val="1"/>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characterSpacingControl w:val="doNotCompress"/>
  <w:compat>
    <w:useFELayout/>
    <w:compatSetting w:name="compatibilityMode" w:uri="http://schemas.microsoft.com/office/word" w:val="12"/>
  </w:compat>
  <w:rsids>
    <w:rsidRoot w:val="00223D74"/>
    <w:rsid w:val="0003146E"/>
    <w:rsid w:val="000368EB"/>
    <w:rsid w:val="00040700"/>
    <w:rsid w:val="000E76E1"/>
    <w:rsid w:val="00117EDA"/>
    <w:rsid w:val="001555F8"/>
    <w:rsid w:val="001C529B"/>
    <w:rsid w:val="002214DF"/>
    <w:rsid w:val="00223D74"/>
    <w:rsid w:val="00266676"/>
    <w:rsid w:val="00280240"/>
    <w:rsid w:val="002F7CB3"/>
    <w:rsid w:val="003463C4"/>
    <w:rsid w:val="003C3733"/>
    <w:rsid w:val="004F5FF6"/>
    <w:rsid w:val="005F6C0B"/>
    <w:rsid w:val="006027C5"/>
    <w:rsid w:val="0061293E"/>
    <w:rsid w:val="006A40DB"/>
    <w:rsid w:val="00714610"/>
    <w:rsid w:val="00722D94"/>
    <w:rsid w:val="007237F8"/>
    <w:rsid w:val="0073519F"/>
    <w:rsid w:val="00790D08"/>
    <w:rsid w:val="0084019C"/>
    <w:rsid w:val="008E18C9"/>
    <w:rsid w:val="009311C5"/>
    <w:rsid w:val="00982A91"/>
    <w:rsid w:val="00A245BC"/>
    <w:rsid w:val="00AF1A93"/>
    <w:rsid w:val="00B3032D"/>
    <w:rsid w:val="00B60C5B"/>
    <w:rsid w:val="00B80E3E"/>
    <w:rsid w:val="00BD0DBB"/>
    <w:rsid w:val="00C02AA3"/>
    <w:rsid w:val="00C109C4"/>
    <w:rsid w:val="00C64DCE"/>
    <w:rsid w:val="00C83761"/>
    <w:rsid w:val="00C93EF9"/>
    <w:rsid w:val="00CD2424"/>
    <w:rsid w:val="00D84695"/>
    <w:rsid w:val="00DA6632"/>
    <w:rsid w:val="00DA67B0"/>
    <w:rsid w:val="00DB2CB3"/>
    <w:rsid w:val="00DF281F"/>
    <w:rsid w:val="00E14A81"/>
    <w:rsid w:val="00E82404"/>
    <w:rsid w:val="00EA5E76"/>
    <w:rsid w:val="00EC331D"/>
    <w:rsid w:val="00FA763F"/>
    <w:rsid w:val="03420EB8"/>
    <w:rsid w:val="19F6605C"/>
    <w:rsid w:val="1F365EF9"/>
    <w:rsid w:val="209A411D"/>
    <w:rsid w:val="27FE77E7"/>
    <w:rsid w:val="3FFC5EE3"/>
    <w:rsid w:val="56E96E47"/>
    <w:rsid w:val="FC7F20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3">
    <w:name w:val="Balloon Text"/>
    <w:basedOn w:val="1"/>
    <w:link w:val="10"/>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semiHidden/>
    <w:qFormat/>
    <w:uiPriority w:val="99"/>
    <w:rPr>
      <w:sz w:val="18"/>
      <w:szCs w:val="18"/>
    </w:rPr>
  </w:style>
  <w:style w:type="character" w:customStyle="1" w:styleId="9">
    <w:name w:val="页脚 Char"/>
    <w:basedOn w:val="7"/>
    <w:link w:val="4"/>
    <w:semiHidden/>
    <w:qFormat/>
    <w:uiPriority w:val="99"/>
    <w:rPr>
      <w:sz w:val="18"/>
      <w:szCs w:val="18"/>
    </w:rPr>
  </w:style>
  <w:style w:type="character" w:customStyle="1" w:styleId="10">
    <w:name w:val="批注框文本 Char"/>
    <w:basedOn w:val="7"/>
    <w:link w:val="3"/>
    <w:semiHidden/>
    <w:qFormat/>
    <w:uiPriority w:val="99"/>
    <w:rPr>
      <w:sz w:val="18"/>
      <w:szCs w:val="18"/>
    </w:rPr>
  </w:style>
  <w:style w:type="paragraph" w:customStyle="1" w:styleId="11">
    <w:name w:val="列出段落1"/>
    <w:basedOn w:val="1"/>
    <w:qFormat/>
    <w:uiPriority w:val="34"/>
    <w:pPr>
      <w:ind w:firstLine="420" w:firstLineChars="200"/>
    </w:pPr>
  </w:style>
  <w:style w:type="paragraph" w:customStyle="1" w:styleId="1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13">
    <w:name w:val="标题 2 Char"/>
    <w:basedOn w:val="7"/>
    <w:link w:val="2"/>
    <w:qFormat/>
    <w:uiPriority w:val="9"/>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6.xml"/><Relationship Id="rId8" Type="http://schemas.openxmlformats.org/officeDocument/2006/relationships/chart" Target="charts/chart5.xml"/><Relationship Id="rId7" Type="http://schemas.openxmlformats.org/officeDocument/2006/relationships/chart" Target="charts/chart4.xml"/><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chart" Target="charts/chart7.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tru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manualLayout>
          <c:layoutTarget val="inner"/>
          <c:xMode val="edge"/>
          <c:yMode val="edge"/>
          <c:x val="0.147482014388489"/>
          <c:y val="0.10989010989011"/>
          <c:w val="0.600719424460432"/>
          <c:h val="0.692307692307693"/>
        </c:manualLayout>
      </c:layout>
      <c:barChart>
        <c:barDir val="col"/>
        <c:grouping val="clustered"/>
        <c:varyColors val="false"/>
        <c:ser>
          <c:idx val="0"/>
          <c:order val="0"/>
          <c:tx>
            <c:strRef>
              <c:f>Sheet1!$A$2</c:f>
              <c:strCache>
                <c:ptCount val="1"/>
                <c:pt idx="0">
                  <c:v>2018年</c:v>
                </c:pt>
              </c:strCache>
            </c:strRef>
          </c:tx>
          <c:spPr>
            <a:solidFill>
              <a:srgbClr val="9999FF"/>
            </a:solidFill>
            <a:ln w="12700">
              <a:solidFill>
                <a:srgbClr val="000000"/>
              </a:solidFill>
              <a:prstDash val="solid"/>
            </a:ln>
          </c:spPr>
          <c:invertIfNegative val="false"/>
          <c:dLbls>
            <c:delete val="true"/>
          </c:dLbls>
          <c:cat>
            <c:strRef>
              <c:f>Sheet1!$B$1:$E$1</c:f>
              <c:strCache>
                <c:ptCount val="2"/>
                <c:pt idx="0">
                  <c:v>收入</c:v>
                </c:pt>
                <c:pt idx="1">
                  <c:v>支出</c:v>
                </c:pt>
              </c:strCache>
            </c:strRef>
          </c:cat>
          <c:val>
            <c:numRef>
              <c:f>Sheet1!$B$2:$E$2</c:f>
              <c:numCache>
                <c:formatCode>General</c:formatCode>
                <c:ptCount val="4"/>
                <c:pt idx="0">
                  <c:v>61.75</c:v>
                </c:pt>
                <c:pt idx="1">
                  <c:v>151.84</c:v>
                </c:pt>
              </c:numCache>
            </c:numRef>
          </c:val>
        </c:ser>
        <c:ser>
          <c:idx val="1"/>
          <c:order val="1"/>
          <c:tx>
            <c:strRef>
              <c:f>Sheet1!$A$3</c:f>
              <c:strCache>
                <c:ptCount val="1"/>
                <c:pt idx="0">
                  <c:v>2017年</c:v>
                </c:pt>
              </c:strCache>
            </c:strRef>
          </c:tx>
          <c:spPr>
            <a:solidFill>
              <a:srgbClr val="993366"/>
            </a:solidFill>
            <a:ln w="12700">
              <a:solidFill>
                <a:srgbClr val="000000"/>
              </a:solidFill>
              <a:prstDash val="solid"/>
            </a:ln>
          </c:spPr>
          <c:invertIfNegative val="false"/>
          <c:dLbls>
            <c:delete val="true"/>
          </c:dLbls>
          <c:cat>
            <c:strRef>
              <c:f>Sheet1!$B$1:$E$1</c:f>
              <c:strCache>
                <c:ptCount val="2"/>
                <c:pt idx="0">
                  <c:v>收入</c:v>
                </c:pt>
                <c:pt idx="1">
                  <c:v>支出</c:v>
                </c:pt>
              </c:strCache>
            </c:strRef>
          </c:cat>
          <c:val>
            <c:numRef>
              <c:f>Sheet1!$B$3:$E$3</c:f>
              <c:numCache>
                <c:formatCode>General</c:formatCode>
                <c:ptCount val="4"/>
                <c:pt idx="0">
                  <c:v>247.17</c:v>
                </c:pt>
                <c:pt idx="1">
                  <c:v>61.7</c:v>
                </c:pt>
              </c:numCache>
            </c:numRef>
          </c:val>
        </c:ser>
        <c:ser>
          <c:idx val="2"/>
          <c:order val="2"/>
          <c:tx>
            <c:strRef>
              <c:f>Sheet1!$A$4</c:f>
              <c:strCache>
                <c:ptCount val="1"/>
                <c:pt idx="0">
                  <c:v/>
                </c:pt>
              </c:strCache>
            </c:strRef>
          </c:tx>
          <c:spPr>
            <a:solidFill>
              <a:srgbClr val="FFFFCC"/>
            </a:solidFill>
            <a:ln w="12700">
              <a:solidFill>
                <a:srgbClr val="000000"/>
              </a:solidFill>
              <a:prstDash val="solid"/>
            </a:ln>
          </c:spPr>
          <c:invertIfNegative val="false"/>
          <c:dLbls>
            <c:delete val="true"/>
          </c:dLbls>
          <c:cat>
            <c:strRef>
              <c:f>Sheet1!$B$1:$E$1</c:f>
              <c:strCache>
                <c:ptCount val="2"/>
                <c:pt idx="0">
                  <c:v>收入</c:v>
                </c:pt>
                <c:pt idx="1">
                  <c:v>支出</c:v>
                </c:pt>
              </c:strCache>
            </c:strRef>
          </c:cat>
          <c:val>
            <c:numRef>
              <c:f>Sheet1!$B$4:$E$4</c:f>
              <c:numCache>
                <c:formatCode>General</c:formatCode>
                <c:ptCount val="4"/>
              </c:numCache>
            </c:numRef>
          </c:val>
        </c:ser>
        <c:dLbls>
          <c:showLegendKey val="false"/>
          <c:showVal val="false"/>
          <c:showCatName val="false"/>
          <c:showSerName val="false"/>
          <c:showPercent val="false"/>
          <c:showBubbleSize val="false"/>
        </c:dLbls>
        <c:gapWidth val="150"/>
        <c:axId val="168845696"/>
        <c:axId val="168847232"/>
      </c:barChart>
      <c:catAx>
        <c:axId val="168845696"/>
        <c:scaling>
          <c:orientation val="minMax"/>
        </c:scaling>
        <c:delete val="false"/>
        <c:axPos val="b"/>
        <c:numFmt formatCode="General" sourceLinked="true"/>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true"/>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68847232"/>
        <c:crosses val="autoZero"/>
        <c:auto val="true"/>
        <c:lblAlgn val="ctr"/>
        <c:lblOffset val="100"/>
        <c:tickLblSkip val="1"/>
        <c:noMultiLvlLbl val="false"/>
      </c:catAx>
      <c:valAx>
        <c:axId val="168847232"/>
        <c:scaling>
          <c:orientation val="minMax"/>
        </c:scaling>
        <c:delete val="false"/>
        <c:axPos val="l"/>
        <c:numFmt formatCode="General" sourceLinked="true"/>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true"/>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68845696"/>
        <c:crosses val="autoZero"/>
        <c:crossBetween val="between"/>
      </c:valAx>
      <c:spPr>
        <a:solidFill>
          <a:srgbClr val="C0C0C0"/>
        </a:solidFill>
        <a:ln w="12700">
          <a:solidFill>
            <a:srgbClr val="808080"/>
          </a:solidFill>
          <a:prstDash val="solid"/>
        </a:ln>
      </c:spPr>
    </c:plotArea>
    <c:legend>
      <c:legendPos val="r"/>
      <c:layout>
        <c:manualLayout>
          <c:xMode val="edge"/>
          <c:yMode val="edge"/>
          <c:x val="0.784172661870503"/>
          <c:y val="0.307692307692308"/>
          <c:w val="0.201438848920863"/>
          <c:h val="0.285714285714286"/>
        </c:manualLayout>
      </c:layout>
      <c:overlay val="false"/>
      <c:spPr>
        <a:noFill/>
        <a:ln w="3175">
          <a:solidFill>
            <a:srgbClr val="000000"/>
          </a:solidFill>
          <a:prstDash val="solid"/>
        </a:ln>
      </c:spPr>
      <c:txPr>
        <a:bodyPr rot="0" spcFirstLastPara="0" vertOverflow="ellipsis" vert="horz" wrap="square" anchor="ctr" anchorCtr="true"/>
        <a:lstStyle/>
        <a:p>
          <a:pPr>
            <a:defRPr lang="zh-CN" sz="82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true"/>
    <c:dispBlanksAs val="gap"/>
    <c:showDLblsOverMax val="false"/>
  </c:chart>
  <c:spPr>
    <a:noFill/>
    <a:ln w="9525" cap="flat" cmpd="sng" algn="ctr">
      <a:noFill/>
      <a:prstDash val="solid"/>
      <a:round/>
    </a:ln>
  </c:spPr>
  <c:txPr>
    <a:bodyPr/>
    <a:lstStyle/>
    <a:p>
      <a:pPr>
        <a:defRPr lang="zh-CN" sz="9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tru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manualLayout>
          <c:layoutTarget val="inner"/>
          <c:xMode val="edge"/>
          <c:yMode val="edge"/>
          <c:x val="0.0755395683453238"/>
          <c:y val="0.115384615384615"/>
          <c:w val="0.507194244604317"/>
          <c:h val="0.774725274725276"/>
        </c:manualLayout>
      </c:layout>
      <c:pieChart>
        <c:varyColors val="true"/>
        <c:ser>
          <c:idx val="0"/>
          <c:order val="0"/>
          <c:tx>
            <c:strRef>
              <c:f>Sheet1!$A$2</c:f>
              <c:strCache>
                <c:ptCount val="1"/>
                <c:pt idx="0">
                  <c:v>2018年收入</c:v>
                </c:pt>
              </c:strCache>
            </c:strRef>
          </c:tx>
          <c:spPr>
            <a:solidFill>
              <a:srgbClr val="9999FF"/>
            </a:solidFill>
            <a:ln w="12700">
              <a:solidFill>
                <a:srgbClr val="000000"/>
              </a:solidFill>
              <a:prstDash val="solid"/>
            </a:ln>
          </c:spPr>
          <c:explosion val="0"/>
          <c:dPt>
            <c:idx val="0"/>
            <c:bubble3D val="false"/>
            <c:spPr>
              <a:solidFill>
                <a:srgbClr val="FFFF99"/>
              </a:solidFill>
              <a:ln w="12700">
                <a:solidFill>
                  <a:srgbClr val="000000"/>
                </a:solidFill>
                <a:prstDash val="solid"/>
              </a:ln>
            </c:spPr>
          </c:dPt>
          <c:dPt>
            <c:idx val="1"/>
            <c:bubble3D val="false"/>
            <c:spPr>
              <a:solidFill>
                <a:srgbClr val="FF00FF"/>
              </a:solidFill>
              <a:ln w="12700">
                <a:solidFill>
                  <a:srgbClr val="000000"/>
                </a:solidFill>
                <a:prstDash val="solid"/>
              </a:ln>
            </c:spPr>
          </c:dPt>
          <c:dPt>
            <c:idx val="2"/>
            <c:bubble3D val="false"/>
            <c:spPr>
              <a:solidFill>
                <a:srgbClr val="660066"/>
              </a:solidFill>
              <a:ln w="12700">
                <a:solidFill>
                  <a:srgbClr val="000000"/>
                </a:solidFill>
                <a:prstDash val="solid"/>
              </a:ln>
            </c:spPr>
          </c:dPt>
          <c:dPt>
            <c:idx val="3"/>
            <c:bubble3D val="false"/>
            <c:spPr>
              <a:solidFill>
                <a:srgbClr val="CCFFFF"/>
              </a:solidFill>
              <a:ln w="12700">
                <a:solidFill>
                  <a:srgbClr val="000000"/>
                </a:solidFill>
                <a:prstDash val="solid"/>
              </a:ln>
            </c:spPr>
          </c:dPt>
          <c:dLbls>
            <c:delete val="true"/>
          </c:dLbls>
          <c:cat>
            <c:strRef>
              <c:f>Sheet1!$B$1:$E$1</c:f>
              <c:strCache>
                <c:ptCount val="3"/>
                <c:pt idx="0">
                  <c:v>一般公共预算财政拨款收入</c:v>
                </c:pt>
                <c:pt idx="1">
                  <c:v>事业收入</c:v>
                </c:pt>
                <c:pt idx="2">
                  <c:v>其他收入</c:v>
                </c:pt>
              </c:strCache>
            </c:strRef>
          </c:cat>
          <c:val>
            <c:numRef>
              <c:f>Sheet1!$B$2:$E$2</c:f>
              <c:numCache>
                <c:formatCode>General</c:formatCode>
                <c:ptCount val="4"/>
                <c:pt idx="0">
                  <c:v>61.75</c:v>
                </c:pt>
                <c:pt idx="1">
                  <c:v>1.2</c:v>
                </c:pt>
                <c:pt idx="2">
                  <c:v>0.05</c:v>
                </c:pt>
              </c:numCache>
            </c:numRef>
          </c:val>
        </c:ser>
        <c:ser>
          <c:idx val="1"/>
          <c:order val="1"/>
          <c:tx>
            <c:strRef>
              <c:f>Sheet1!$A$3</c:f>
              <c:strCache>
                <c:ptCount val="1"/>
                <c:pt idx="0">
                  <c:v/>
                </c:pt>
              </c:strCache>
            </c:strRef>
          </c:tx>
          <c:spPr>
            <a:solidFill>
              <a:srgbClr val="993366"/>
            </a:solidFill>
            <a:ln w="12700">
              <a:solidFill>
                <a:srgbClr val="000000"/>
              </a:solidFill>
              <a:prstDash val="solid"/>
            </a:ln>
          </c:spPr>
          <c:explosion val="0"/>
          <c:dPt>
            <c:idx val="0"/>
            <c:bubble3D val="false"/>
            <c:spPr>
              <a:solidFill>
                <a:srgbClr val="9999FF"/>
              </a:solidFill>
              <a:ln w="12700">
                <a:solidFill>
                  <a:srgbClr val="000000"/>
                </a:solidFill>
                <a:prstDash val="solid"/>
              </a:ln>
            </c:spPr>
          </c:dPt>
          <c:dPt>
            <c:idx val="1"/>
            <c:bubble3D val="false"/>
            <c:spPr>
              <a:solidFill>
                <a:srgbClr val="993366"/>
              </a:solidFill>
              <a:ln w="12700">
                <a:solidFill>
                  <a:srgbClr val="000000"/>
                </a:solidFill>
                <a:prstDash val="solid"/>
              </a:ln>
            </c:spPr>
          </c:dPt>
          <c:dPt>
            <c:idx val="2"/>
            <c:bubble3D val="false"/>
            <c:spPr>
              <a:solidFill>
                <a:srgbClr val="FFFFCC"/>
              </a:solidFill>
              <a:ln w="12700">
                <a:solidFill>
                  <a:srgbClr val="000000"/>
                </a:solidFill>
                <a:prstDash val="solid"/>
              </a:ln>
            </c:spPr>
          </c:dPt>
          <c:dPt>
            <c:idx val="3"/>
            <c:bubble3D val="false"/>
            <c:spPr>
              <a:solidFill>
                <a:srgbClr val="CCFFFF"/>
              </a:solidFill>
              <a:ln w="12700">
                <a:solidFill>
                  <a:srgbClr val="000000"/>
                </a:solidFill>
                <a:prstDash val="solid"/>
              </a:ln>
            </c:spPr>
          </c:dPt>
          <c:dLbls>
            <c:delete val="true"/>
          </c:dLbls>
          <c:cat>
            <c:strRef>
              <c:f>Sheet1!$B$1:$E$1</c:f>
              <c:strCache>
                <c:ptCount val="3"/>
                <c:pt idx="0">
                  <c:v>一般公共预算财政拨款收入</c:v>
                </c:pt>
                <c:pt idx="1">
                  <c:v>事业收入</c:v>
                </c:pt>
                <c:pt idx="2">
                  <c:v>其他收入</c:v>
                </c:pt>
              </c:strCache>
            </c:strRef>
          </c:cat>
          <c:val>
            <c:numRef>
              <c:f>Sheet1!$B$3:$E$3</c:f>
              <c:numCache>
                <c:formatCode>General</c:formatCode>
                <c:ptCount val="4"/>
              </c:numCache>
            </c:numRef>
          </c:val>
        </c:ser>
        <c:ser>
          <c:idx val="2"/>
          <c:order val="2"/>
          <c:tx>
            <c:strRef>
              <c:f>Sheet1!$A$4</c:f>
              <c:strCache>
                <c:ptCount val="1"/>
                <c:pt idx="0">
                  <c:v/>
                </c:pt>
              </c:strCache>
            </c:strRef>
          </c:tx>
          <c:spPr>
            <a:solidFill>
              <a:srgbClr val="FFFFCC"/>
            </a:solidFill>
            <a:ln w="12700">
              <a:solidFill>
                <a:srgbClr val="000000"/>
              </a:solidFill>
              <a:prstDash val="solid"/>
            </a:ln>
          </c:spPr>
          <c:explosion val="0"/>
          <c:dPt>
            <c:idx val="0"/>
            <c:bubble3D val="false"/>
            <c:spPr>
              <a:solidFill>
                <a:srgbClr val="9999FF"/>
              </a:solidFill>
              <a:ln w="12700">
                <a:solidFill>
                  <a:srgbClr val="000000"/>
                </a:solidFill>
                <a:prstDash val="solid"/>
              </a:ln>
            </c:spPr>
          </c:dPt>
          <c:dPt>
            <c:idx val="1"/>
            <c:bubble3D val="false"/>
            <c:spPr>
              <a:solidFill>
                <a:srgbClr val="993366"/>
              </a:solidFill>
              <a:ln w="12700">
                <a:solidFill>
                  <a:srgbClr val="000000"/>
                </a:solidFill>
                <a:prstDash val="solid"/>
              </a:ln>
            </c:spPr>
          </c:dPt>
          <c:dPt>
            <c:idx val="2"/>
            <c:bubble3D val="false"/>
            <c:spPr>
              <a:solidFill>
                <a:srgbClr val="FFFFCC"/>
              </a:solidFill>
              <a:ln w="12700">
                <a:solidFill>
                  <a:srgbClr val="000000"/>
                </a:solidFill>
                <a:prstDash val="solid"/>
              </a:ln>
            </c:spPr>
          </c:dPt>
          <c:dPt>
            <c:idx val="3"/>
            <c:bubble3D val="false"/>
            <c:spPr>
              <a:solidFill>
                <a:srgbClr val="CCFFFF"/>
              </a:solidFill>
              <a:ln w="12700">
                <a:solidFill>
                  <a:srgbClr val="000000"/>
                </a:solidFill>
                <a:prstDash val="solid"/>
              </a:ln>
            </c:spPr>
          </c:dPt>
          <c:dLbls>
            <c:delete val="true"/>
          </c:dLbls>
          <c:cat>
            <c:strRef>
              <c:f>Sheet1!$B$1:$E$1</c:f>
              <c:strCache>
                <c:ptCount val="3"/>
                <c:pt idx="0">
                  <c:v>一般公共预算财政拨款收入</c:v>
                </c:pt>
                <c:pt idx="1">
                  <c:v>事业收入</c:v>
                </c:pt>
                <c:pt idx="2">
                  <c:v>其他收入</c:v>
                </c:pt>
              </c:strCache>
            </c:strRef>
          </c:cat>
          <c:val>
            <c:numRef>
              <c:f>Sheet1!$B$4:$E$4</c:f>
              <c:numCache>
                <c:formatCode>General</c:formatCode>
                <c:ptCount val="4"/>
              </c:numCache>
            </c:numRef>
          </c:val>
        </c:ser>
        <c:dLbls>
          <c:showLegendKey val="false"/>
          <c:showVal val="false"/>
          <c:showCatName val="false"/>
          <c:showSerName val="false"/>
          <c:showPercent val="false"/>
          <c:showBubbleSize val="false"/>
          <c:showLeaderLines val="true"/>
        </c:dLbls>
        <c:firstSliceAng val="0"/>
      </c:pieChart>
      <c:spPr>
        <a:solidFill>
          <a:srgbClr val="C0C0C0"/>
        </a:solidFill>
        <a:ln w="12700">
          <a:solidFill>
            <a:srgbClr val="808080"/>
          </a:solidFill>
          <a:prstDash val="solid"/>
        </a:ln>
      </c:spPr>
    </c:plotArea>
    <c:legend>
      <c:legendPos val="r"/>
      <c:layout>
        <c:manualLayout>
          <c:xMode val="edge"/>
          <c:yMode val="edge"/>
          <c:x val="0.654676258992806"/>
          <c:y val="0.153846153846154"/>
          <c:w val="0.330935251798561"/>
          <c:h val="0.686813186813187"/>
        </c:manualLayout>
      </c:layout>
      <c:overlay val="false"/>
      <c:spPr>
        <a:solidFill>
          <a:srgbClr val="FFFFFF"/>
        </a:solidFill>
        <a:ln w="3175">
          <a:solidFill>
            <a:srgbClr val="000000"/>
          </a:solidFill>
          <a:prstDash val="solid"/>
        </a:ln>
      </c:spPr>
      <c:txPr>
        <a:bodyPr rot="0" spcFirstLastPara="0" vertOverflow="ellipsis" vert="horz" wrap="square" anchor="ctr" anchorCtr="true"/>
        <a:lstStyle/>
        <a:p>
          <a:pPr>
            <a:defRPr lang="zh-CN" sz="82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true"/>
    <c:dispBlanksAs val="zero"/>
    <c:showDLblsOverMax val="false"/>
  </c:chart>
  <c:spPr>
    <a:noFill/>
    <a:ln w="9525" cap="flat" cmpd="sng" algn="ctr">
      <a:noFill/>
      <a:prstDash val="solid"/>
      <a:round/>
    </a:ln>
  </c:spPr>
  <c:txPr>
    <a:bodyPr/>
    <a:lstStyle/>
    <a:p>
      <a:pPr>
        <a:defRPr lang="zh-CN" sz="9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tru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manualLayout>
          <c:layoutTarget val="inner"/>
          <c:xMode val="edge"/>
          <c:yMode val="edge"/>
          <c:x val="0.115107913669065"/>
          <c:y val="0.115384615384615"/>
          <c:w val="0.510791366906475"/>
          <c:h val="0.78021978021978"/>
        </c:manualLayout>
      </c:layout>
      <c:pieChart>
        <c:varyColors val="true"/>
        <c:ser>
          <c:idx val="0"/>
          <c:order val="0"/>
          <c:tx>
            <c:strRef>
              <c:f>Sheet1!$A$2</c:f>
              <c:strCache>
                <c:ptCount val="1"/>
                <c:pt idx="0">
                  <c:v>2018年支出</c:v>
                </c:pt>
              </c:strCache>
            </c:strRef>
          </c:tx>
          <c:spPr>
            <a:solidFill>
              <a:srgbClr val="9999FF"/>
            </a:solidFill>
            <a:ln w="12700">
              <a:solidFill>
                <a:srgbClr val="000000"/>
              </a:solidFill>
              <a:prstDash val="solid"/>
            </a:ln>
          </c:spPr>
          <c:explosion val="0"/>
          <c:dPt>
            <c:idx val="0"/>
            <c:bubble3D val="false"/>
            <c:spPr>
              <a:solidFill>
                <a:srgbClr val="FFFF99"/>
              </a:solidFill>
              <a:ln w="12700">
                <a:solidFill>
                  <a:srgbClr val="000000"/>
                </a:solidFill>
                <a:prstDash val="solid"/>
              </a:ln>
            </c:spPr>
          </c:dPt>
          <c:dPt>
            <c:idx val="1"/>
            <c:bubble3D val="false"/>
            <c:spPr>
              <a:solidFill>
                <a:srgbClr val="FF00FF"/>
              </a:solidFill>
              <a:ln w="12700">
                <a:solidFill>
                  <a:srgbClr val="000000"/>
                </a:solidFill>
                <a:prstDash val="solid"/>
              </a:ln>
            </c:spPr>
          </c:dPt>
          <c:dPt>
            <c:idx val="2"/>
            <c:bubble3D val="false"/>
            <c:spPr>
              <a:solidFill>
                <a:srgbClr val="660066"/>
              </a:solidFill>
              <a:ln w="12700">
                <a:solidFill>
                  <a:srgbClr val="000000"/>
                </a:solidFill>
                <a:prstDash val="solid"/>
              </a:ln>
            </c:spPr>
          </c:dPt>
          <c:dPt>
            <c:idx val="3"/>
            <c:bubble3D val="false"/>
            <c:spPr>
              <a:solidFill>
                <a:srgbClr val="CCFFFF"/>
              </a:solidFill>
              <a:ln w="12700">
                <a:solidFill>
                  <a:srgbClr val="000000"/>
                </a:solidFill>
                <a:prstDash val="solid"/>
              </a:ln>
            </c:spPr>
          </c:dPt>
          <c:dLbls>
            <c:delete val="true"/>
          </c:dLbls>
          <c:cat>
            <c:strRef>
              <c:f>Sheet1!$B$1:$E$1</c:f>
              <c:strCache>
                <c:ptCount val="2"/>
                <c:pt idx="0">
                  <c:v>基本支出</c:v>
                </c:pt>
                <c:pt idx="1">
                  <c:v>项目支出</c:v>
                </c:pt>
              </c:strCache>
            </c:strRef>
          </c:cat>
          <c:val>
            <c:numRef>
              <c:f>Sheet1!$B$2:$E$2</c:f>
              <c:numCache>
                <c:formatCode>General</c:formatCode>
                <c:ptCount val="4"/>
                <c:pt idx="0">
                  <c:v>61.75</c:v>
                </c:pt>
                <c:pt idx="1">
                  <c:v>90.09</c:v>
                </c:pt>
              </c:numCache>
            </c:numRef>
          </c:val>
        </c:ser>
        <c:ser>
          <c:idx val="1"/>
          <c:order val="1"/>
          <c:tx>
            <c:strRef>
              <c:f>Sheet1!$A$3</c:f>
              <c:strCache>
                <c:ptCount val="1"/>
                <c:pt idx="0">
                  <c:v/>
                </c:pt>
              </c:strCache>
            </c:strRef>
          </c:tx>
          <c:spPr>
            <a:solidFill>
              <a:srgbClr val="993366"/>
            </a:solidFill>
            <a:ln w="12700">
              <a:solidFill>
                <a:srgbClr val="000000"/>
              </a:solidFill>
              <a:prstDash val="solid"/>
            </a:ln>
          </c:spPr>
          <c:explosion val="0"/>
          <c:dPt>
            <c:idx val="0"/>
            <c:bubble3D val="false"/>
            <c:spPr>
              <a:solidFill>
                <a:srgbClr val="9999FF"/>
              </a:solidFill>
              <a:ln w="12700">
                <a:solidFill>
                  <a:srgbClr val="000000"/>
                </a:solidFill>
                <a:prstDash val="solid"/>
              </a:ln>
            </c:spPr>
          </c:dPt>
          <c:dPt>
            <c:idx val="1"/>
            <c:bubble3D val="false"/>
            <c:spPr>
              <a:solidFill>
                <a:srgbClr val="993366"/>
              </a:solidFill>
              <a:ln w="12700">
                <a:solidFill>
                  <a:srgbClr val="000000"/>
                </a:solidFill>
                <a:prstDash val="solid"/>
              </a:ln>
            </c:spPr>
          </c:dPt>
          <c:dPt>
            <c:idx val="2"/>
            <c:bubble3D val="false"/>
            <c:spPr>
              <a:solidFill>
                <a:srgbClr val="FFFFCC"/>
              </a:solidFill>
              <a:ln w="12700">
                <a:solidFill>
                  <a:srgbClr val="000000"/>
                </a:solidFill>
                <a:prstDash val="solid"/>
              </a:ln>
            </c:spPr>
          </c:dPt>
          <c:dPt>
            <c:idx val="3"/>
            <c:bubble3D val="false"/>
            <c:spPr>
              <a:solidFill>
                <a:srgbClr val="CCFFFF"/>
              </a:solidFill>
              <a:ln w="12700">
                <a:solidFill>
                  <a:srgbClr val="000000"/>
                </a:solidFill>
                <a:prstDash val="solid"/>
              </a:ln>
            </c:spPr>
          </c:dPt>
          <c:dLbls>
            <c:delete val="true"/>
          </c:dLbls>
          <c:cat>
            <c:strRef>
              <c:f>Sheet1!$B$1:$E$1</c:f>
              <c:strCache>
                <c:ptCount val="2"/>
                <c:pt idx="0">
                  <c:v>基本支出</c:v>
                </c:pt>
                <c:pt idx="1">
                  <c:v>项目支出</c:v>
                </c:pt>
              </c:strCache>
            </c:strRef>
          </c:cat>
          <c:val>
            <c:numRef>
              <c:f>Sheet1!$B$3:$E$3</c:f>
              <c:numCache>
                <c:formatCode>General</c:formatCode>
                <c:ptCount val="4"/>
              </c:numCache>
            </c:numRef>
          </c:val>
        </c:ser>
        <c:ser>
          <c:idx val="2"/>
          <c:order val="2"/>
          <c:tx>
            <c:strRef>
              <c:f>Sheet1!$A$4</c:f>
              <c:strCache>
                <c:ptCount val="1"/>
                <c:pt idx="0">
                  <c:v/>
                </c:pt>
              </c:strCache>
            </c:strRef>
          </c:tx>
          <c:spPr>
            <a:solidFill>
              <a:srgbClr val="FFFFCC"/>
            </a:solidFill>
            <a:ln w="12700">
              <a:solidFill>
                <a:srgbClr val="000000"/>
              </a:solidFill>
              <a:prstDash val="solid"/>
            </a:ln>
          </c:spPr>
          <c:explosion val="0"/>
          <c:dPt>
            <c:idx val="0"/>
            <c:bubble3D val="false"/>
            <c:spPr>
              <a:solidFill>
                <a:srgbClr val="9999FF"/>
              </a:solidFill>
              <a:ln w="12700">
                <a:solidFill>
                  <a:srgbClr val="000000"/>
                </a:solidFill>
                <a:prstDash val="solid"/>
              </a:ln>
            </c:spPr>
          </c:dPt>
          <c:dPt>
            <c:idx val="1"/>
            <c:bubble3D val="false"/>
            <c:spPr>
              <a:solidFill>
                <a:srgbClr val="993366"/>
              </a:solidFill>
              <a:ln w="12700">
                <a:solidFill>
                  <a:srgbClr val="000000"/>
                </a:solidFill>
                <a:prstDash val="solid"/>
              </a:ln>
            </c:spPr>
          </c:dPt>
          <c:dPt>
            <c:idx val="2"/>
            <c:bubble3D val="false"/>
            <c:spPr>
              <a:solidFill>
                <a:srgbClr val="FFFFCC"/>
              </a:solidFill>
              <a:ln w="12700">
                <a:solidFill>
                  <a:srgbClr val="000000"/>
                </a:solidFill>
                <a:prstDash val="solid"/>
              </a:ln>
            </c:spPr>
          </c:dPt>
          <c:dPt>
            <c:idx val="3"/>
            <c:bubble3D val="false"/>
            <c:spPr>
              <a:solidFill>
                <a:srgbClr val="CCFFFF"/>
              </a:solidFill>
              <a:ln w="12700">
                <a:solidFill>
                  <a:srgbClr val="000000"/>
                </a:solidFill>
                <a:prstDash val="solid"/>
              </a:ln>
            </c:spPr>
          </c:dPt>
          <c:dLbls>
            <c:delete val="true"/>
          </c:dLbls>
          <c:cat>
            <c:strRef>
              <c:f>Sheet1!$B$1:$E$1</c:f>
              <c:strCache>
                <c:ptCount val="2"/>
                <c:pt idx="0">
                  <c:v>基本支出</c:v>
                </c:pt>
                <c:pt idx="1">
                  <c:v>项目支出</c:v>
                </c:pt>
              </c:strCache>
            </c:strRef>
          </c:cat>
          <c:val>
            <c:numRef>
              <c:f>Sheet1!$B$4:$E$4</c:f>
              <c:numCache>
                <c:formatCode>General</c:formatCode>
                <c:ptCount val="4"/>
              </c:numCache>
            </c:numRef>
          </c:val>
        </c:ser>
        <c:dLbls>
          <c:showLegendKey val="false"/>
          <c:showVal val="false"/>
          <c:showCatName val="false"/>
          <c:showSerName val="false"/>
          <c:showPercent val="false"/>
          <c:showBubbleSize val="false"/>
          <c:showLeaderLines val="true"/>
        </c:dLbls>
        <c:firstSliceAng val="0"/>
      </c:pieChart>
      <c:spPr>
        <a:solidFill>
          <a:srgbClr val="C0C0C0"/>
        </a:solidFill>
        <a:ln w="12700">
          <a:solidFill>
            <a:srgbClr val="808080"/>
          </a:solidFill>
          <a:prstDash val="solid"/>
        </a:ln>
      </c:spPr>
    </c:plotArea>
    <c:legend>
      <c:legendPos val="r"/>
      <c:layout>
        <c:manualLayout>
          <c:xMode val="edge"/>
          <c:yMode val="edge"/>
          <c:x val="0.741007194244605"/>
          <c:y val="0.313186813186814"/>
          <c:w val="0.244604316546763"/>
          <c:h val="0.37912087912088"/>
        </c:manualLayout>
      </c:layout>
      <c:overlay val="false"/>
      <c:spPr>
        <a:solidFill>
          <a:srgbClr val="FFFFFF"/>
        </a:solidFill>
        <a:ln w="3175">
          <a:solidFill>
            <a:srgbClr val="000000"/>
          </a:solidFill>
          <a:prstDash val="solid"/>
        </a:ln>
      </c:spPr>
      <c:txPr>
        <a:bodyPr rot="0" spcFirstLastPara="0" vertOverflow="ellipsis" vert="horz" wrap="square" anchor="ctr" anchorCtr="true"/>
        <a:lstStyle/>
        <a:p>
          <a:pPr>
            <a:defRPr lang="zh-CN" sz="82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true"/>
    <c:dispBlanksAs val="zero"/>
    <c:showDLblsOverMax val="false"/>
  </c:chart>
  <c:spPr>
    <a:noFill/>
    <a:ln w="9525" cap="flat" cmpd="sng" algn="ctr">
      <a:noFill/>
      <a:prstDash val="solid"/>
      <a:round/>
    </a:ln>
  </c:spPr>
  <c:txPr>
    <a:bodyPr/>
    <a:lstStyle/>
    <a:p>
      <a:pPr>
        <a:defRPr lang="zh-CN" sz="9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tru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manualLayout>
          <c:layoutTarget val="inner"/>
          <c:xMode val="edge"/>
          <c:yMode val="edge"/>
          <c:x val="0.111510791366906"/>
          <c:y val="0.0879120879120879"/>
          <c:w val="0.633093525179857"/>
          <c:h val="0.736263736263737"/>
        </c:manualLayout>
      </c:layout>
      <c:barChart>
        <c:barDir val="col"/>
        <c:grouping val="clustered"/>
        <c:varyColors val="false"/>
        <c:ser>
          <c:idx val="0"/>
          <c:order val="0"/>
          <c:tx>
            <c:strRef>
              <c:f>Sheet1!$A$2</c:f>
              <c:strCache>
                <c:ptCount val="1"/>
                <c:pt idx="0">
                  <c:v>2018年</c:v>
                </c:pt>
              </c:strCache>
            </c:strRef>
          </c:tx>
          <c:spPr>
            <a:solidFill>
              <a:srgbClr val="9999FF"/>
            </a:solidFill>
            <a:ln w="12700">
              <a:solidFill>
                <a:srgbClr val="000000"/>
              </a:solidFill>
              <a:prstDash val="solid"/>
            </a:ln>
          </c:spPr>
          <c:invertIfNegative val="false"/>
          <c:dLbls>
            <c:delete val="true"/>
          </c:dLbls>
          <c:cat>
            <c:strRef>
              <c:f>Sheet1!$B$1:$E$1</c:f>
              <c:strCache>
                <c:ptCount val="2"/>
                <c:pt idx="0">
                  <c:v>收入</c:v>
                </c:pt>
                <c:pt idx="1">
                  <c:v>支出</c:v>
                </c:pt>
              </c:strCache>
            </c:strRef>
          </c:cat>
          <c:val>
            <c:numRef>
              <c:f>Sheet1!$B$2:$E$2</c:f>
              <c:numCache>
                <c:formatCode>General</c:formatCode>
                <c:ptCount val="4"/>
                <c:pt idx="0">
                  <c:v>60.5</c:v>
                </c:pt>
                <c:pt idx="1">
                  <c:v>150.59</c:v>
                </c:pt>
              </c:numCache>
            </c:numRef>
          </c:val>
        </c:ser>
        <c:ser>
          <c:idx val="1"/>
          <c:order val="1"/>
          <c:tx>
            <c:strRef>
              <c:f>Sheet1!$A$3</c:f>
              <c:strCache>
                <c:ptCount val="1"/>
                <c:pt idx="0">
                  <c:v>2017年</c:v>
                </c:pt>
              </c:strCache>
            </c:strRef>
          </c:tx>
          <c:spPr>
            <a:solidFill>
              <a:srgbClr val="993366"/>
            </a:solidFill>
            <a:ln w="12700">
              <a:solidFill>
                <a:srgbClr val="000000"/>
              </a:solidFill>
              <a:prstDash val="solid"/>
            </a:ln>
          </c:spPr>
          <c:invertIfNegative val="false"/>
          <c:dLbls>
            <c:delete val="true"/>
          </c:dLbls>
          <c:cat>
            <c:strRef>
              <c:f>Sheet1!$B$1:$E$1</c:f>
              <c:strCache>
                <c:ptCount val="2"/>
                <c:pt idx="0">
                  <c:v>收入</c:v>
                </c:pt>
                <c:pt idx="1">
                  <c:v>支出</c:v>
                </c:pt>
              </c:strCache>
            </c:strRef>
          </c:cat>
          <c:val>
            <c:numRef>
              <c:f>Sheet1!$B$3:$E$3</c:f>
              <c:numCache>
                <c:formatCode>General</c:formatCode>
                <c:ptCount val="4"/>
                <c:pt idx="0">
                  <c:v>247.17</c:v>
                </c:pt>
                <c:pt idx="1">
                  <c:v>61.45</c:v>
                </c:pt>
              </c:numCache>
            </c:numRef>
          </c:val>
        </c:ser>
        <c:dLbls>
          <c:showLegendKey val="false"/>
          <c:showVal val="false"/>
          <c:showCatName val="false"/>
          <c:showSerName val="false"/>
          <c:showPercent val="false"/>
          <c:showBubbleSize val="false"/>
        </c:dLbls>
        <c:gapWidth val="150"/>
        <c:axId val="117923200"/>
        <c:axId val="117924992"/>
      </c:barChart>
      <c:catAx>
        <c:axId val="117923200"/>
        <c:scaling>
          <c:orientation val="minMax"/>
        </c:scaling>
        <c:delete val="false"/>
        <c:axPos val="b"/>
        <c:numFmt formatCode="General" sourceLinked="true"/>
        <c:majorTickMark val="in"/>
        <c:minorTickMark val="none"/>
        <c:tickLblPos val="low"/>
        <c:spPr>
          <a:ln w="3175" cap="flat" cmpd="sng" algn="ctr">
            <a:solidFill>
              <a:srgbClr val="000000"/>
            </a:solidFill>
            <a:prstDash val="solid"/>
            <a:round/>
          </a:ln>
        </c:spPr>
        <c:txPr>
          <a:bodyPr rot="0" spcFirstLastPara="0" vertOverflow="ellipsis" vert="horz" wrap="square" anchor="ctr" anchorCtr="true"/>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17924992"/>
        <c:crosses val="autoZero"/>
        <c:auto val="true"/>
        <c:lblAlgn val="ctr"/>
        <c:lblOffset val="100"/>
        <c:tickLblSkip val="1"/>
        <c:noMultiLvlLbl val="false"/>
      </c:catAx>
      <c:valAx>
        <c:axId val="117924992"/>
        <c:scaling>
          <c:orientation val="minMax"/>
        </c:scaling>
        <c:delete val="false"/>
        <c:axPos val="l"/>
        <c:majorGridlines>
          <c:spPr>
            <a:ln w="3175" cap="flat" cmpd="sng" algn="ctr">
              <a:solidFill>
                <a:srgbClr val="000000"/>
              </a:solidFill>
              <a:prstDash val="solid"/>
              <a:round/>
            </a:ln>
          </c:spPr>
        </c:majorGridlines>
        <c:numFmt formatCode="General" sourceLinked="true"/>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true"/>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17923200"/>
        <c:crosses val="autoZero"/>
        <c:crossBetween val="between"/>
      </c:valAx>
      <c:spPr>
        <a:solidFill>
          <a:srgbClr val="C0C0C0"/>
        </a:solidFill>
        <a:ln w="12700">
          <a:solidFill>
            <a:srgbClr val="808080"/>
          </a:solidFill>
          <a:prstDash val="solid"/>
        </a:ln>
        <a:effectLst/>
      </c:spPr>
    </c:plotArea>
    <c:legend>
      <c:legendPos val="r"/>
      <c:layout>
        <c:manualLayout>
          <c:xMode val="edge"/>
          <c:yMode val="edge"/>
          <c:x val="0.784172661870503"/>
          <c:y val="0.406593406593407"/>
          <c:w val="0.201438848920863"/>
          <c:h val="0.192307692307692"/>
        </c:manualLayout>
      </c:layout>
      <c:overlay val="false"/>
      <c:spPr>
        <a:noFill/>
        <a:ln w="3175">
          <a:solidFill>
            <a:srgbClr val="000000"/>
          </a:solidFill>
          <a:prstDash val="solid"/>
        </a:ln>
      </c:spPr>
      <c:txPr>
        <a:bodyPr rot="0" spcFirstLastPara="0" vertOverflow="ellipsis" vert="horz" wrap="square" anchor="ctr" anchorCtr="true"/>
        <a:lstStyle/>
        <a:p>
          <a:pPr>
            <a:defRPr lang="zh-CN" sz="82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true"/>
    <c:dispBlanksAs val="gap"/>
    <c:showDLblsOverMax val="false"/>
  </c:chart>
  <c:spPr>
    <a:noFill/>
    <a:ln w="9525" cap="flat" cmpd="sng" algn="ctr">
      <a:noFill/>
      <a:prstDash val="solid"/>
      <a:round/>
    </a:ln>
  </c:spPr>
  <c:txPr>
    <a:bodyPr/>
    <a:lstStyle/>
    <a:p>
      <a:pPr>
        <a:defRPr lang="zh-CN" sz="9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tru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manualLayout>
          <c:layoutTarget val="inner"/>
          <c:xMode val="edge"/>
          <c:yMode val="edge"/>
          <c:x val="0.111510791366906"/>
          <c:y val="0.0879120879120879"/>
          <c:w val="0.633093525179857"/>
          <c:h val="0.736263736263737"/>
        </c:manualLayout>
      </c:layout>
      <c:barChart>
        <c:barDir val="col"/>
        <c:grouping val="clustered"/>
        <c:varyColors val="false"/>
        <c:ser>
          <c:idx val="0"/>
          <c:order val="0"/>
          <c:tx>
            <c:strRef>
              <c:f>Sheet1!$A$2</c:f>
              <c:strCache>
                <c:ptCount val="1"/>
                <c:pt idx="0">
                  <c:v>2018年</c:v>
                </c:pt>
              </c:strCache>
            </c:strRef>
          </c:tx>
          <c:spPr>
            <a:solidFill>
              <a:srgbClr val="9999FF"/>
            </a:solidFill>
            <a:ln w="12700">
              <a:solidFill>
                <a:srgbClr val="000000"/>
              </a:solidFill>
              <a:prstDash val="solid"/>
            </a:ln>
          </c:spPr>
          <c:invertIfNegative val="false"/>
          <c:dLbls>
            <c:delete val="true"/>
          </c:dLbls>
          <c:cat>
            <c:strRef>
              <c:f>Sheet1!$B$1:$E$1</c:f>
              <c:strCache>
                <c:ptCount val="1"/>
                <c:pt idx="0">
                  <c:v>支出</c:v>
                </c:pt>
              </c:strCache>
            </c:strRef>
          </c:cat>
          <c:val>
            <c:numRef>
              <c:f>Sheet1!$B$2:$E$2</c:f>
              <c:numCache>
                <c:formatCode>General</c:formatCode>
                <c:ptCount val="4"/>
                <c:pt idx="0">
                  <c:v>150.59</c:v>
                </c:pt>
              </c:numCache>
            </c:numRef>
          </c:val>
        </c:ser>
        <c:ser>
          <c:idx val="1"/>
          <c:order val="1"/>
          <c:tx>
            <c:strRef>
              <c:f>Sheet1!$A$3</c:f>
              <c:strCache>
                <c:ptCount val="1"/>
                <c:pt idx="0">
                  <c:v>2017年</c:v>
                </c:pt>
              </c:strCache>
            </c:strRef>
          </c:tx>
          <c:spPr>
            <a:solidFill>
              <a:srgbClr val="993366"/>
            </a:solidFill>
            <a:ln w="12700">
              <a:solidFill>
                <a:srgbClr val="000000"/>
              </a:solidFill>
              <a:prstDash val="solid"/>
            </a:ln>
          </c:spPr>
          <c:invertIfNegative val="false"/>
          <c:dLbls>
            <c:delete val="true"/>
          </c:dLbls>
          <c:cat>
            <c:strRef>
              <c:f>Sheet1!$B$1:$E$1</c:f>
              <c:strCache>
                <c:ptCount val="1"/>
                <c:pt idx="0">
                  <c:v>支出</c:v>
                </c:pt>
              </c:strCache>
            </c:strRef>
          </c:cat>
          <c:val>
            <c:numRef>
              <c:f>Sheet1!$B$3:$E$3</c:f>
              <c:numCache>
                <c:formatCode>General</c:formatCode>
                <c:ptCount val="4"/>
                <c:pt idx="0">
                  <c:v>61.45</c:v>
                </c:pt>
              </c:numCache>
            </c:numRef>
          </c:val>
        </c:ser>
        <c:dLbls>
          <c:showLegendKey val="false"/>
          <c:showVal val="false"/>
          <c:showCatName val="false"/>
          <c:showSerName val="false"/>
          <c:showPercent val="false"/>
          <c:showBubbleSize val="false"/>
        </c:dLbls>
        <c:gapWidth val="150"/>
        <c:axId val="117937280"/>
        <c:axId val="117938816"/>
      </c:barChart>
      <c:catAx>
        <c:axId val="117937280"/>
        <c:scaling>
          <c:orientation val="minMax"/>
        </c:scaling>
        <c:delete val="false"/>
        <c:axPos val="b"/>
        <c:numFmt formatCode="General" sourceLinked="true"/>
        <c:majorTickMark val="in"/>
        <c:minorTickMark val="none"/>
        <c:tickLblPos val="low"/>
        <c:spPr>
          <a:ln w="3175" cap="flat" cmpd="sng" algn="ctr">
            <a:solidFill>
              <a:srgbClr val="000000"/>
            </a:solidFill>
            <a:prstDash val="solid"/>
            <a:round/>
          </a:ln>
        </c:spPr>
        <c:txPr>
          <a:bodyPr rot="0" spcFirstLastPara="0" vertOverflow="ellipsis" vert="horz" wrap="square" anchor="ctr" anchorCtr="true"/>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17938816"/>
        <c:crosses val="autoZero"/>
        <c:auto val="true"/>
        <c:lblAlgn val="ctr"/>
        <c:lblOffset val="100"/>
        <c:tickLblSkip val="1"/>
        <c:noMultiLvlLbl val="false"/>
      </c:catAx>
      <c:valAx>
        <c:axId val="117938816"/>
        <c:scaling>
          <c:orientation val="minMax"/>
        </c:scaling>
        <c:delete val="false"/>
        <c:axPos val="l"/>
        <c:majorGridlines>
          <c:spPr>
            <a:ln w="3175" cap="flat" cmpd="sng" algn="ctr">
              <a:solidFill>
                <a:srgbClr val="000000"/>
              </a:solidFill>
              <a:prstDash val="solid"/>
              <a:round/>
            </a:ln>
          </c:spPr>
        </c:majorGridlines>
        <c:numFmt formatCode="General" sourceLinked="true"/>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true"/>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17937280"/>
        <c:crosses val="autoZero"/>
        <c:crossBetween val="between"/>
      </c:valAx>
      <c:spPr>
        <a:solidFill>
          <a:srgbClr val="C0C0C0"/>
        </a:solidFill>
        <a:ln w="12700">
          <a:solidFill>
            <a:srgbClr val="808080"/>
          </a:solidFill>
          <a:prstDash val="solid"/>
        </a:ln>
        <a:effectLst/>
      </c:spPr>
    </c:plotArea>
    <c:legend>
      <c:legendPos val="r"/>
      <c:layout>
        <c:manualLayout>
          <c:xMode val="edge"/>
          <c:yMode val="edge"/>
          <c:x val="0.784172661870503"/>
          <c:y val="0.406593406593407"/>
          <c:w val="0.201438848920863"/>
          <c:h val="0.192307692307692"/>
        </c:manualLayout>
      </c:layout>
      <c:overlay val="false"/>
      <c:spPr>
        <a:noFill/>
        <a:ln w="3175">
          <a:solidFill>
            <a:srgbClr val="000000"/>
          </a:solidFill>
          <a:prstDash val="solid"/>
        </a:ln>
      </c:spPr>
      <c:txPr>
        <a:bodyPr rot="0" spcFirstLastPara="0" vertOverflow="ellipsis" vert="horz" wrap="square" anchor="ctr" anchorCtr="true"/>
        <a:lstStyle/>
        <a:p>
          <a:pPr>
            <a:defRPr lang="zh-CN" sz="82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true"/>
    <c:dispBlanksAs val="gap"/>
    <c:showDLblsOverMax val="false"/>
  </c:chart>
  <c:spPr>
    <a:noFill/>
    <a:ln w="9525" cap="flat" cmpd="sng" algn="ctr">
      <a:noFill/>
      <a:prstDash val="solid"/>
      <a:round/>
    </a:ln>
  </c:spPr>
  <c:txPr>
    <a:bodyPr/>
    <a:lstStyle/>
    <a:p>
      <a:pPr>
        <a:defRPr lang="zh-CN" sz="9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tru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manualLayout>
          <c:layoutTarget val="inner"/>
          <c:xMode val="edge"/>
          <c:yMode val="edge"/>
          <c:x val="0.0755395683453238"/>
          <c:y val="0.115384615384615"/>
          <c:w val="0.507194244604317"/>
          <c:h val="0.774725274725276"/>
        </c:manualLayout>
      </c:layout>
      <c:pieChart>
        <c:varyColors val="true"/>
        <c:ser>
          <c:idx val="0"/>
          <c:order val="0"/>
          <c:tx>
            <c:strRef>
              <c:f>Sheet1!$A$2</c:f>
              <c:strCache>
                <c:ptCount val="1"/>
                <c:pt idx="0">
                  <c:v>一般公共预算财政拨款支出</c:v>
                </c:pt>
              </c:strCache>
            </c:strRef>
          </c:tx>
          <c:spPr>
            <a:solidFill>
              <a:srgbClr val="9999FF"/>
            </a:solidFill>
            <a:ln w="12700">
              <a:solidFill>
                <a:srgbClr val="000000"/>
              </a:solidFill>
              <a:prstDash val="solid"/>
            </a:ln>
          </c:spPr>
          <c:explosion val="0"/>
          <c:dPt>
            <c:idx val="0"/>
            <c:bubble3D val="false"/>
            <c:spPr>
              <a:solidFill>
                <a:srgbClr val="FF0000"/>
              </a:solidFill>
              <a:ln w="12700">
                <a:solidFill>
                  <a:srgbClr val="000000"/>
                </a:solidFill>
                <a:prstDash val="solid"/>
              </a:ln>
            </c:spPr>
          </c:dPt>
          <c:dPt>
            <c:idx val="1"/>
            <c:bubble3D val="false"/>
            <c:spPr>
              <a:solidFill>
                <a:srgbClr val="993366"/>
              </a:solidFill>
              <a:ln w="12700">
                <a:solidFill>
                  <a:srgbClr val="000000"/>
                </a:solidFill>
                <a:prstDash val="solid"/>
              </a:ln>
            </c:spPr>
          </c:dPt>
          <c:dPt>
            <c:idx val="2"/>
            <c:bubble3D val="false"/>
            <c:spPr>
              <a:solidFill>
                <a:srgbClr val="FFFFCC"/>
              </a:solidFill>
              <a:ln w="12700">
                <a:solidFill>
                  <a:srgbClr val="000000"/>
                </a:solidFill>
                <a:prstDash val="solid"/>
              </a:ln>
            </c:spPr>
          </c:dPt>
          <c:dPt>
            <c:idx val="3"/>
            <c:bubble3D val="false"/>
            <c:spPr>
              <a:solidFill>
                <a:srgbClr val="CCFFFF"/>
              </a:solidFill>
              <a:ln w="12700">
                <a:solidFill>
                  <a:srgbClr val="000000"/>
                </a:solidFill>
                <a:prstDash val="solid"/>
              </a:ln>
            </c:spPr>
          </c:dPt>
          <c:dLbls>
            <c:delete val="true"/>
          </c:dLbls>
          <c:cat>
            <c:strRef>
              <c:f>Sheet1!$B$1:$E$1</c:f>
              <c:strCache>
                <c:ptCount val="4"/>
                <c:pt idx="0">
                  <c:v>文化体育与传媒</c:v>
                </c:pt>
                <c:pt idx="1">
                  <c:v>社会保障和就业</c:v>
                </c:pt>
                <c:pt idx="2">
                  <c:v>医疗卫生支出</c:v>
                </c:pt>
                <c:pt idx="3">
                  <c:v>住房保障支出</c:v>
                </c:pt>
              </c:strCache>
            </c:strRef>
          </c:cat>
          <c:val>
            <c:numRef>
              <c:f>Sheet1!$B$2:$E$2</c:f>
              <c:numCache>
                <c:formatCode>General</c:formatCode>
                <c:ptCount val="4"/>
                <c:pt idx="0">
                  <c:v>129.52</c:v>
                </c:pt>
                <c:pt idx="1">
                  <c:v>11.57</c:v>
                </c:pt>
                <c:pt idx="2">
                  <c:v>3.83</c:v>
                </c:pt>
                <c:pt idx="3">
                  <c:v>5.67</c:v>
                </c:pt>
              </c:numCache>
            </c:numRef>
          </c:val>
        </c:ser>
        <c:ser>
          <c:idx val="1"/>
          <c:order val="1"/>
          <c:tx>
            <c:strRef>
              <c:f>Sheet1!$A$3</c:f>
              <c:strCache>
                <c:ptCount val="1"/>
                <c:pt idx="0">
                  <c:v/>
                </c:pt>
              </c:strCache>
            </c:strRef>
          </c:tx>
          <c:spPr>
            <a:solidFill>
              <a:srgbClr val="993366"/>
            </a:solidFill>
            <a:ln w="12700">
              <a:solidFill>
                <a:srgbClr val="000000"/>
              </a:solidFill>
              <a:prstDash val="solid"/>
            </a:ln>
          </c:spPr>
          <c:explosion val="0"/>
          <c:dPt>
            <c:idx val="0"/>
            <c:bubble3D val="false"/>
            <c:spPr>
              <a:solidFill>
                <a:srgbClr val="9999FF"/>
              </a:solidFill>
              <a:ln w="12700">
                <a:solidFill>
                  <a:srgbClr val="000000"/>
                </a:solidFill>
                <a:prstDash val="solid"/>
              </a:ln>
            </c:spPr>
          </c:dPt>
          <c:dPt>
            <c:idx val="1"/>
            <c:bubble3D val="false"/>
            <c:spPr>
              <a:solidFill>
                <a:srgbClr val="993366"/>
              </a:solidFill>
              <a:ln w="12700">
                <a:solidFill>
                  <a:srgbClr val="000000"/>
                </a:solidFill>
                <a:prstDash val="solid"/>
              </a:ln>
            </c:spPr>
          </c:dPt>
          <c:dPt>
            <c:idx val="2"/>
            <c:bubble3D val="false"/>
            <c:spPr>
              <a:solidFill>
                <a:srgbClr val="FFFFCC"/>
              </a:solidFill>
              <a:ln w="12700">
                <a:solidFill>
                  <a:srgbClr val="000000"/>
                </a:solidFill>
                <a:prstDash val="solid"/>
              </a:ln>
            </c:spPr>
          </c:dPt>
          <c:dPt>
            <c:idx val="3"/>
            <c:bubble3D val="false"/>
            <c:spPr>
              <a:solidFill>
                <a:srgbClr val="CCFFFF"/>
              </a:solidFill>
              <a:ln w="12700">
                <a:solidFill>
                  <a:srgbClr val="000000"/>
                </a:solidFill>
                <a:prstDash val="solid"/>
              </a:ln>
            </c:spPr>
          </c:dPt>
          <c:dLbls>
            <c:delete val="true"/>
          </c:dLbls>
          <c:cat>
            <c:strRef>
              <c:f>Sheet1!$B$1:$E$1</c:f>
              <c:strCache>
                <c:ptCount val="4"/>
                <c:pt idx="0">
                  <c:v>文化体育与传媒</c:v>
                </c:pt>
                <c:pt idx="1">
                  <c:v>社会保障和就业</c:v>
                </c:pt>
                <c:pt idx="2">
                  <c:v>医疗卫生支出</c:v>
                </c:pt>
                <c:pt idx="3">
                  <c:v>住房保障支出</c:v>
                </c:pt>
              </c:strCache>
            </c:strRef>
          </c:cat>
          <c:val>
            <c:numRef>
              <c:f>Sheet1!$B$3:$E$3</c:f>
              <c:numCache>
                <c:formatCode>General</c:formatCode>
                <c:ptCount val="4"/>
              </c:numCache>
            </c:numRef>
          </c:val>
        </c:ser>
        <c:dLbls>
          <c:showLegendKey val="false"/>
          <c:showVal val="false"/>
          <c:showCatName val="false"/>
          <c:showSerName val="false"/>
          <c:showPercent val="false"/>
          <c:showBubbleSize val="false"/>
          <c:showLeaderLines val="true"/>
        </c:dLbls>
        <c:firstSliceAng val="0"/>
      </c:pieChart>
      <c:spPr>
        <a:solidFill>
          <a:srgbClr val="C0C0C0"/>
        </a:solidFill>
        <a:ln w="12700">
          <a:solidFill>
            <a:srgbClr val="808080"/>
          </a:solidFill>
          <a:prstDash val="solid"/>
        </a:ln>
      </c:spPr>
    </c:plotArea>
    <c:legend>
      <c:legendPos val="r"/>
      <c:layout>
        <c:manualLayout>
          <c:xMode val="edge"/>
          <c:yMode val="edge"/>
          <c:x val="0.654676258992806"/>
          <c:y val="0.153846153846154"/>
          <c:w val="0.330935251798561"/>
          <c:h val="0.686813186813187"/>
        </c:manualLayout>
      </c:layout>
      <c:overlay val="false"/>
      <c:spPr>
        <a:noFill/>
        <a:ln w="3175">
          <a:solidFill>
            <a:srgbClr val="000000"/>
          </a:solidFill>
          <a:prstDash val="solid"/>
        </a:ln>
      </c:spPr>
      <c:txPr>
        <a:bodyPr rot="0" spcFirstLastPara="0" vertOverflow="ellipsis" vert="horz" wrap="square" anchor="ctr" anchorCtr="true"/>
        <a:lstStyle/>
        <a:p>
          <a:pPr>
            <a:defRPr lang="zh-CN" sz="82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true"/>
    <c:dispBlanksAs val="zero"/>
    <c:showDLblsOverMax val="false"/>
  </c:chart>
  <c:spPr>
    <a:noFill/>
    <a:ln w="9525" cap="flat" cmpd="sng" algn="ctr">
      <a:noFill/>
      <a:prstDash val="solid"/>
      <a:round/>
    </a:ln>
  </c:spPr>
  <c:txPr>
    <a:bodyPr/>
    <a:lstStyle/>
    <a:p>
      <a:pPr>
        <a:defRPr lang="zh-CN" sz="9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tru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manualLayout>
          <c:layoutTarget val="inner"/>
          <c:xMode val="edge"/>
          <c:yMode val="edge"/>
          <c:x val="0.0755395683453238"/>
          <c:y val="0.115384615384615"/>
          <c:w val="0.507194244604317"/>
          <c:h val="0.774725274725276"/>
        </c:manualLayout>
      </c:layout>
      <c:pieChart>
        <c:varyColors val="true"/>
        <c:ser>
          <c:idx val="0"/>
          <c:order val="0"/>
          <c:tx>
            <c:strRef>
              <c:f>Sheet1!$A$2</c:f>
              <c:strCache>
                <c:ptCount val="1"/>
                <c:pt idx="0">
                  <c:v>三公经费</c:v>
                </c:pt>
              </c:strCache>
            </c:strRef>
          </c:tx>
          <c:spPr>
            <a:solidFill>
              <a:srgbClr val="9999FF"/>
            </a:solidFill>
            <a:ln w="12700">
              <a:solidFill>
                <a:srgbClr val="000000"/>
              </a:solidFill>
              <a:prstDash val="solid"/>
            </a:ln>
          </c:spPr>
          <c:explosion val="0"/>
          <c:dPt>
            <c:idx val="0"/>
            <c:bubble3D val="false"/>
            <c:spPr>
              <a:solidFill>
                <a:srgbClr val="FF0000"/>
              </a:solidFill>
              <a:ln w="12700">
                <a:solidFill>
                  <a:srgbClr val="000000"/>
                </a:solidFill>
                <a:prstDash val="solid"/>
              </a:ln>
            </c:spPr>
          </c:dPt>
          <c:dPt>
            <c:idx val="1"/>
            <c:bubble3D val="false"/>
            <c:spPr>
              <a:solidFill>
                <a:srgbClr val="993366"/>
              </a:solidFill>
              <a:ln w="12700">
                <a:solidFill>
                  <a:srgbClr val="000000"/>
                </a:solidFill>
                <a:prstDash val="solid"/>
              </a:ln>
            </c:spPr>
          </c:dPt>
          <c:dPt>
            <c:idx val="2"/>
            <c:bubble3D val="false"/>
            <c:spPr>
              <a:solidFill>
                <a:srgbClr val="FFFFCC"/>
              </a:solidFill>
              <a:ln w="12700">
                <a:solidFill>
                  <a:srgbClr val="000000"/>
                </a:solidFill>
                <a:prstDash val="solid"/>
              </a:ln>
            </c:spPr>
          </c:dPt>
          <c:dPt>
            <c:idx val="3"/>
            <c:bubble3D val="false"/>
            <c:spPr>
              <a:solidFill>
                <a:srgbClr val="CCFFFF"/>
              </a:solidFill>
              <a:ln w="12700">
                <a:solidFill>
                  <a:srgbClr val="000000"/>
                </a:solidFill>
                <a:prstDash val="solid"/>
              </a:ln>
            </c:spPr>
          </c:dPt>
          <c:dLbls>
            <c:delete val="true"/>
          </c:dLbls>
          <c:cat>
            <c:strRef>
              <c:f>Sheet1!$B$1:$E$1</c:f>
              <c:strCache>
                <c:ptCount val="3"/>
                <c:pt idx="0">
                  <c:v>因公出国境</c:v>
                </c:pt>
                <c:pt idx="1">
                  <c:v>公务用车运行维护费</c:v>
                </c:pt>
                <c:pt idx="2">
                  <c:v>公务接待费</c:v>
                </c:pt>
              </c:strCache>
            </c:strRef>
          </c:cat>
          <c:val>
            <c:numRef>
              <c:f>Sheet1!$B$2:$E$2</c:f>
              <c:numCache>
                <c:formatCode>General</c:formatCode>
                <c:ptCount val="4"/>
                <c:pt idx="0">
                  <c:v>0</c:v>
                </c:pt>
                <c:pt idx="1">
                  <c:v>20</c:v>
                </c:pt>
                <c:pt idx="2">
                  <c:v>0</c:v>
                </c:pt>
              </c:numCache>
            </c:numRef>
          </c:val>
        </c:ser>
        <c:ser>
          <c:idx val="1"/>
          <c:order val="1"/>
          <c:tx>
            <c:strRef>
              <c:f>Sheet1!$A$3</c:f>
              <c:strCache>
                <c:ptCount val="1"/>
                <c:pt idx="0">
                  <c:v/>
                </c:pt>
              </c:strCache>
            </c:strRef>
          </c:tx>
          <c:spPr>
            <a:solidFill>
              <a:srgbClr val="993366"/>
            </a:solidFill>
            <a:ln w="12700">
              <a:solidFill>
                <a:srgbClr val="000000"/>
              </a:solidFill>
              <a:prstDash val="solid"/>
            </a:ln>
          </c:spPr>
          <c:explosion val="0"/>
          <c:dPt>
            <c:idx val="0"/>
            <c:bubble3D val="false"/>
            <c:spPr>
              <a:solidFill>
                <a:srgbClr val="9999FF"/>
              </a:solidFill>
              <a:ln w="12700">
                <a:solidFill>
                  <a:srgbClr val="000000"/>
                </a:solidFill>
                <a:prstDash val="solid"/>
              </a:ln>
            </c:spPr>
          </c:dPt>
          <c:dPt>
            <c:idx val="1"/>
            <c:bubble3D val="false"/>
            <c:spPr>
              <a:solidFill>
                <a:srgbClr val="993366"/>
              </a:solidFill>
              <a:ln w="12700">
                <a:solidFill>
                  <a:srgbClr val="000000"/>
                </a:solidFill>
                <a:prstDash val="solid"/>
              </a:ln>
            </c:spPr>
          </c:dPt>
          <c:dPt>
            <c:idx val="2"/>
            <c:bubble3D val="false"/>
            <c:spPr>
              <a:solidFill>
                <a:srgbClr val="FFFFCC"/>
              </a:solidFill>
              <a:ln w="12700">
                <a:solidFill>
                  <a:srgbClr val="000000"/>
                </a:solidFill>
                <a:prstDash val="solid"/>
              </a:ln>
            </c:spPr>
          </c:dPt>
          <c:dPt>
            <c:idx val="3"/>
            <c:bubble3D val="false"/>
            <c:spPr>
              <a:solidFill>
                <a:srgbClr val="CCFFFF"/>
              </a:solidFill>
              <a:ln w="12700">
                <a:solidFill>
                  <a:srgbClr val="000000"/>
                </a:solidFill>
                <a:prstDash val="solid"/>
              </a:ln>
            </c:spPr>
          </c:dPt>
          <c:dLbls>
            <c:delete val="true"/>
          </c:dLbls>
          <c:cat>
            <c:strRef>
              <c:f>Sheet1!$B$1:$E$1</c:f>
              <c:strCache>
                <c:ptCount val="3"/>
                <c:pt idx="0">
                  <c:v>因公出国境</c:v>
                </c:pt>
                <c:pt idx="1">
                  <c:v>公务用车运行维护费</c:v>
                </c:pt>
                <c:pt idx="2">
                  <c:v>公务接待费</c:v>
                </c:pt>
              </c:strCache>
            </c:strRef>
          </c:cat>
          <c:val>
            <c:numRef>
              <c:f>Sheet1!$B$3:$E$3</c:f>
              <c:numCache>
                <c:formatCode>General</c:formatCode>
                <c:ptCount val="4"/>
              </c:numCache>
            </c:numRef>
          </c:val>
        </c:ser>
        <c:dLbls>
          <c:showLegendKey val="false"/>
          <c:showVal val="false"/>
          <c:showCatName val="false"/>
          <c:showSerName val="false"/>
          <c:showPercent val="false"/>
          <c:showBubbleSize val="false"/>
          <c:showLeaderLines val="true"/>
        </c:dLbls>
        <c:firstSliceAng val="0"/>
      </c:pieChart>
      <c:spPr>
        <a:solidFill>
          <a:srgbClr val="C0C0C0"/>
        </a:solidFill>
        <a:ln w="12700">
          <a:solidFill>
            <a:srgbClr val="808080"/>
          </a:solidFill>
          <a:prstDash val="solid"/>
        </a:ln>
      </c:spPr>
    </c:plotArea>
    <c:legend>
      <c:legendPos val="r"/>
      <c:layout>
        <c:manualLayout>
          <c:xMode val="edge"/>
          <c:yMode val="edge"/>
          <c:x val="0.654676258992806"/>
          <c:y val="0.153846153846154"/>
          <c:w val="0.330935251798561"/>
          <c:h val="0.686813186813187"/>
        </c:manualLayout>
      </c:layout>
      <c:overlay val="false"/>
      <c:spPr>
        <a:noFill/>
        <a:ln w="3175">
          <a:solidFill>
            <a:srgbClr val="000000"/>
          </a:solidFill>
          <a:prstDash val="solid"/>
        </a:ln>
      </c:spPr>
      <c:txPr>
        <a:bodyPr rot="0" spcFirstLastPara="0" vertOverflow="ellipsis" vert="horz" wrap="square" anchor="ctr" anchorCtr="true"/>
        <a:lstStyle/>
        <a:p>
          <a:pPr>
            <a:defRPr lang="zh-CN" sz="82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true"/>
    <c:dispBlanksAs val="zero"/>
    <c:showDLblsOverMax val="false"/>
  </c:chart>
  <c:spPr>
    <a:noFill/>
    <a:ln w="9525" cap="flat" cmpd="sng" algn="ctr">
      <a:noFill/>
      <a:prstDash val="solid"/>
      <a:round/>
    </a:ln>
  </c:spPr>
  <c:txPr>
    <a:bodyPr/>
    <a:lstStyle/>
    <a:p>
      <a:pPr>
        <a:defRPr lang="zh-CN" sz="9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false"/>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1190</Words>
  <Characters>6787</Characters>
  <Lines>56</Lines>
  <Paragraphs>15</Paragraphs>
  <TotalTime>0</TotalTime>
  <ScaleCrop>false</ScaleCrop>
  <LinksUpToDate>false</LinksUpToDate>
  <CharactersWithSpaces>7962</CharactersWithSpaces>
  <Application>WPS Office_11.8.2.1111_F1E327BC-269C-435d-A152-05C5408002CA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2019-08-22T09:57:00Z</dcterms:created>
  <dc:creator>Administrator</dc:creator>
  <cp:lastModifiedBy>user</cp:lastModifiedBy>
  <dcterms:modified xsi:type="dcterms:W3CDTF">2022-06-23T16:25:22Z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2052-11.8.2.1111</vt:lpwstr>
  </property>
</Properties>
</file>