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pacing w:line="600" w:lineRule="exact"/>
        <w:jc w:val="center"/>
        <w:outlineLvl w:val="0"/>
        <w:rPr>
          <w:rFonts w:ascii="方正小标宋简体" w:hAnsi="宋体" w:eastAsia="方正小标宋简体"/>
          <w:color w:val="000000"/>
          <w:sz w:val="72"/>
          <w:szCs w:val="72"/>
        </w:rPr>
      </w:pPr>
      <w:bookmarkStart w:id="0" w:name="_Toc15306267"/>
    </w:p>
    <w:p>
      <w:pPr>
        <w:pageBreakBefore w:val="0"/>
        <w:widowControl w:val="0"/>
        <w:kinsoku/>
        <w:wordWrap/>
        <w:overflowPunct/>
        <w:topLinePunct w:val="0"/>
        <w:bidi w:val="0"/>
        <w:spacing w:line="600" w:lineRule="exact"/>
        <w:jc w:val="center"/>
        <w:outlineLvl w:val="0"/>
        <w:rPr>
          <w:rFonts w:ascii="方正小标宋简体" w:hAnsi="宋体" w:eastAsia="方正小标宋简体"/>
          <w:color w:val="000000"/>
          <w:sz w:val="72"/>
          <w:szCs w:val="72"/>
        </w:rPr>
      </w:pPr>
    </w:p>
    <w:p>
      <w:pPr>
        <w:pageBreakBefore w:val="0"/>
        <w:widowControl w:val="0"/>
        <w:kinsoku/>
        <w:wordWrap/>
        <w:overflowPunct/>
        <w:topLinePunct w:val="0"/>
        <w:bidi w:val="0"/>
        <w:spacing w:line="600" w:lineRule="exact"/>
        <w:jc w:val="center"/>
        <w:outlineLvl w:val="0"/>
        <w:rPr>
          <w:rFonts w:ascii="方正小标宋简体" w:hAnsi="宋体" w:eastAsia="方正小标宋简体"/>
          <w:color w:val="000000"/>
          <w:sz w:val="72"/>
          <w:szCs w:val="72"/>
        </w:rPr>
      </w:pPr>
    </w:p>
    <w:p>
      <w:pPr>
        <w:pageBreakBefore w:val="0"/>
        <w:widowControl w:val="0"/>
        <w:kinsoku/>
        <w:wordWrap/>
        <w:overflowPunct/>
        <w:topLinePunct w:val="0"/>
        <w:bidi w:val="0"/>
        <w:spacing w:line="600" w:lineRule="exact"/>
        <w:jc w:val="center"/>
        <w:outlineLvl w:val="0"/>
        <w:rPr>
          <w:rFonts w:ascii="方正小标宋简体" w:hAnsi="宋体" w:eastAsia="方正小标宋简体"/>
          <w:color w:val="000000"/>
          <w:sz w:val="72"/>
          <w:szCs w:val="72"/>
        </w:rPr>
      </w:pPr>
    </w:p>
    <w:p>
      <w:pPr>
        <w:pageBreakBefore w:val="0"/>
        <w:widowControl w:val="0"/>
        <w:kinsoku/>
        <w:wordWrap/>
        <w:overflowPunct/>
        <w:topLinePunct w:val="0"/>
        <w:bidi w:val="0"/>
        <w:adjustRightInd w:val="0"/>
        <w:snapToGrid w:val="0"/>
        <w:spacing w:line="360" w:lineRule="auto"/>
        <w:jc w:val="center"/>
        <w:outlineLvl w:val="0"/>
        <w:rPr>
          <w:rFonts w:hint="eastAsia" w:ascii="方正小标宋简体" w:hAnsi="方正小标宋简体" w:eastAsia="方正小标宋简体" w:cs="方正小标宋简体"/>
          <w:color w:val="000000"/>
          <w:sz w:val="72"/>
          <w:szCs w:val="72"/>
        </w:rPr>
      </w:pPr>
      <w:bookmarkStart w:id="1" w:name="_Toc15396475"/>
      <w:bookmarkStart w:id="2" w:name="_Toc15377193"/>
      <w:bookmarkStart w:id="3" w:name="_Toc15377425"/>
      <w:bookmarkStart w:id="4" w:name="_Toc15378441"/>
      <w:bookmarkStart w:id="5" w:name="_Toc15396597"/>
      <w:r>
        <w:rPr>
          <w:rFonts w:hint="eastAsia" w:ascii="方正小标宋简体" w:hAnsi="方正小标宋简体" w:eastAsia="方正小标宋简体" w:cs="方正小标宋简体"/>
          <w:color w:val="000000"/>
          <w:sz w:val="72"/>
          <w:szCs w:val="72"/>
        </w:rPr>
        <w:t>2019年度</w:t>
      </w:r>
      <w:bookmarkEnd w:id="1"/>
      <w:bookmarkEnd w:id="2"/>
      <w:bookmarkEnd w:id="3"/>
      <w:bookmarkEnd w:id="4"/>
      <w:bookmarkEnd w:id="5"/>
    </w:p>
    <w:p>
      <w:pPr>
        <w:pageBreakBefore w:val="0"/>
        <w:widowControl w:val="0"/>
        <w:kinsoku/>
        <w:wordWrap/>
        <w:overflowPunct/>
        <w:topLinePunct w:val="0"/>
        <w:bidi w:val="0"/>
        <w:adjustRightInd w:val="0"/>
        <w:snapToGrid w:val="0"/>
        <w:spacing w:line="360" w:lineRule="auto"/>
        <w:jc w:val="center"/>
        <w:outlineLvl w:val="0"/>
        <w:rPr>
          <w:rFonts w:hint="eastAsia" w:ascii="方正小标宋简体" w:hAnsi="方正小标宋简体" w:eastAsia="方正小标宋简体" w:cs="方正小标宋简体"/>
          <w:color w:val="000000"/>
          <w:sz w:val="72"/>
          <w:szCs w:val="72"/>
        </w:rPr>
      </w:pPr>
      <w:bookmarkStart w:id="6" w:name="_Toc15377194"/>
      <w:bookmarkStart w:id="7" w:name="_Toc15378442"/>
      <w:bookmarkStart w:id="8" w:name="_Toc15377426"/>
      <w:bookmarkStart w:id="9" w:name="_Toc15396598"/>
      <w:bookmarkStart w:id="10" w:name="_Toc15396476"/>
      <w:r>
        <w:rPr>
          <w:rFonts w:hint="eastAsia" w:ascii="方正小标宋简体" w:hAnsi="方正小标宋简体" w:eastAsia="方正小标宋简体" w:cs="方正小标宋简体"/>
          <w:color w:val="000000"/>
          <w:sz w:val="72"/>
          <w:szCs w:val="72"/>
        </w:rPr>
        <w:t>四川省阿坝州</w:t>
      </w:r>
      <w:r>
        <w:rPr>
          <w:rFonts w:hint="eastAsia" w:ascii="方正小标宋简体" w:hAnsi="方正小标宋简体" w:eastAsia="方正小标宋简体" w:cs="方正小标宋简体"/>
          <w:color w:val="000000"/>
          <w:sz w:val="72"/>
          <w:szCs w:val="72"/>
          <w:lang w:eastAsia="zh-CN"/>
        </w:rPr>
        <w:t>红原县</w:t>
      </w:r>
      <w:bookmarkEnd w:id="0"/>
      <w:bookmarkStart w:id="11" w:name="_Toc15306268"/>
      <w:r>
        <w:rPr>
          <w:rFonts w:hint="eastAsia" w:ascii="方正小标宋简体" w:hAnsi="方正小标宋简体" w:eastAsia="方正小标宋简体" w:cs="方正小标宋简体"/>
          <w:color w:val="000000"/>
          <w:sz w:val="72"/>
          <w:szCs w:val="72"/>
          <w:lang w:val="en-US" w:eastAsia="zh-CN"/>
        </w:rPr>
        <w:t>城乡居民养老保险事业管理局</w:t>
      </w:r>
      <w:r>
        <w:rPr>
          <w:rFonts w:hint="eastAsia" w:ascii="方正小标宋简体" w:hAnsi="方正小标宋简体" w:eastAsia="方正小标宋简体" w:cs="方正小标宋简体"/>
          <w:color w:val="000000"/>
          <w:sz w:val="72"/>
          <w:szCs w:val="72"/>
        </w:rPr>
        <w:t>部门决算</w:t>
      </w:r>
      <w:bookmarkEnd w:id="6"/>
      <w:bookmarkEnd w:id="7"/>
      <w:bookmarkEnd w:id="8"/>
      <w:bookmarkEnd w:id="9"/>
      <w:bookmarkEnd w:id="10"/>
      <w:bookmarkEnd w:id="11"/>
    </w:p>
    <w:p>
      <w:pPr>
        <w:pageBreakBefore w:val="0"/>
        <w:widowControl w:val="0"/>
        <w:kinsoku/>
        <w:wordWrap/>
        <w:overflowPunct/>
        <w:topLinePunct w:val="0"/>
        <w:bidi w:val="0"/>
        <w:jc w:val="center"/>
        <w:rPr>
          <w:rFonts w:ascii="方正小标宋简体" w:hAnsi="宋体" w:eastAsia="方正小标宋简体"/>
          <w:color w:val="000000"/>
          <w:sz w:val="36"/>
          <w:szCs w:val="36"/>
        </w:rPr>
      </w:pPr>
    </w:p>
    <w:p>
      <w:pPr>
        <w:pageBreakBefore w:val="0"/>
        <w:widowControl w:val="0"/>
        <w:kinsoku/>
        <w:wordWrap/>
        <w:overflowPunct/>
        <w:topLinePunct w:val="0"/>
        <w:bidi w:val="0"/>
        <w:rPr>
          <w:rFonts w:ascii="方正小标宋简体" w:hAnsi="宋体" w:eastAsia="方正小标宋简体"/>
          <w:sz w:val="36"/>
          <w:szCs w:val="36"/>
        </w:rPr>
      </w:pPr>
    </w:p>
    <w:p>
      <w:pPr>
        <w:pageBreakBefore w:val="0"/>
        <w:widowControl w:val="0"/>
        <w:kinsoku/>
        <w:wordWrap/>
        <w:overflowPunct/>
        <w:topLinePunct w:val="0"/>
        <w:bidi w:val="0"/>
        <w:rPr>
          <w:rFonts w:ascii="方正小标宋简体" w:hAnsi="宋体" w:eastAsia="方正小标宋简体"/>
          <w:sz w:val="36"/>
          <w:szCs w:val="36"/>
        </w:rPr>
      </w:pPr>
    </w:p>
    <w:p>
      <w:pPr>
        <w:pageBreakBefore w:val="0"/>
        <w:widowControl w:val="0"/>
        <w:kinsoku/>
        <w:wordWrap/>
        <w:overflowPunct/>
        <w:topLinePunct w:val="0"/>
        <w:bidi w:val="0"/>
        <w:rPr>
          <w:rFonts w:ascii="方正小标宋简体" w:hAnsi="宋体" w:eastAsia="方正小标宋简体"/>
          <w:sz w:val="36"/>
          <w:szCs w:val="36"/>
        </w:rPr>
      </w:pPr>
    </w:p>
    <w:p>
      <w:pPr>
        <w:pageBreakBefore w:val="0"/>
        <w:widowControl w:val="0"/>
        <w:kinsoku/>
        <w:wordWrap/>
        <w:overflowPunct/>
        <w:topLinePunct w:val="0"/>
        <w:autoSpaceDE w:val="0"/>
        <w:autoSpaceDN w:val="0"/>
        <w:bidi w:val="0"/>
        <w:adjustRightInd w:val="0"/>
        <w:ind w:firstLine="1280" w:firstLineChars="400"/>
        <w:jc w:val="left"/>
        <w:rPr>
          <w:rFonts w:eastAsia="仿宋_GB2312"/>
          <w:sz w:val="32"/>
          <w:szCs w:val="32"/>
        </w:rPr>
      </w:pPr>
      <w:r>
        <w:rPr>
          <w:rFonts w:hint="eastAsia" w:ascii="仿宋_GB2312" w:hAnsi="Calibri" w:eastAsia="仿宋_GB2312" w:cs="仿宋_GB2312"/>
          <w:sz w:val="32"/>
          <w:szCs w:val="32"/>
        </w:rPr>
        <w:t>保密审查情况：已审查，内容审定</w:t>
      </w:r>
    </w:p>
    <w:p>
      <w:pPr>
        <w:pageBreakBefore w:val="0"/>
        <w:widowControl w:val="0"/>
        <w:kinsoku/>
        <w:wordWrap/>
        <w:overflowPunct/>
        <w:topLinePunct w:val="0"/>
        <w:autoSpaceDE w:val="0"/>
        <w:autoSpaceDN w:val="0"/>
        <w:bidi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pageBreakBefore w:val="0"/>
        <w:widowControl w:val="0"/>
        <w:kinsoku/>
        <w:wordWrap/>
        <w:overflowPunct/>
        <w:topLinePunct w:val="0"/>
        <w:bidi w:val="0"/>
        <w:jc w:val="center"/>
        <w:rPr>
          <w:rFonts w:ascii="方正小标宋简体" w:hAnsi="宋体" w:eastAsia="方正小标宋简体"/>
          <w:sz w:val="36"/>
          <w:szCs w:val="36"/>
        </w:rPr>
      </w:pPr>
    </w:p>
    <w:p>
      <w:pPr>
        <w:pageBreakBefore w:val="0"/>
        <w:widowControl w:val="0"/>
        <w:kinsoku/>
        <w:wordWrap/>
        <w:overflowPunct/>
        <w:topLinePunct w:val="0"/>
        <w:bidi w:val="0"/>
        <w:ind w:firstLine="3840" w:firstLineChars="800"/>
        <w:jc w:val="both"/>
        <w:rPr>
          <w:rFonts w:ascii="黑体" w:hAnsi="黑体" w:eastAsia="黑体"/>
          <w:color w:val="000000"/>
          <w:sz w:val="48"/>
          <w:szCs w:val="48"/>
        </w:rPr>
      </w:pPr>
      <w:r>
        <w:rPr>
          <w:rFonts w:hint="eastAsia" w:ascii="黑体" w:hAnsi="黑体" w:eastAsia="黑体"/>
          <w:color w:val="000000"/>
          <w:sz w:val="48"/>
          <w:szCs w:val="48"/>
        </w:rPr>
        <w:t>目录</w:t>
      </w:r>
    </w:p>
    <w:p>
      <w:pPr>
        <w:pageBreakBefore w:val="0"/>
        <w:widowControl w:val="0"/>
        <w:kinsoku/>
        <w:wordWrap/>
        <w:overflowPunct/>
        <w:topLinePunct w:val="0"/>
        <w:bidi w:val="0"/>
        <w:jc w:val="center"/>
        <w:rPr>
          <w:rFonts w:ascii="黑体" w:hAnsi="黑体" w:eastAsia="黑体" w:cstheme="minorBidi"/>
          <w:sz w:val="28"/>
          <w:szCs w:val="28"/>
        </w:rPr>
      </w:pPr>
    </w:p>
    <w:p>
      <w:pPr>
        <w:pageBreakBefore w:val="0"/>
        <w:widowControl w:val="0"/>
        <w:kinsoku/>
        <w:wordWrap/>
        <w:overflowPunct/>
        <w:topLinePunct w:val="0"/>
        <w:bidi w:val="0"/>
      </w:pPr>
    </w:p>
    <w:p>
      <w:pPr>
        <w:pStyle w:val="10"/>
        <w:pageBreakBefore w:val="0"/>
        <w:widowControl w:val="0"/>
        <w:kinsoku/>
        <w:wordWrap/>
        <w:overflowPunct/>
        <w:topLinePunct w:val="0"/>
        <w:bidi w:val="0"/>
        <w:adjustRightInd w:val="0"/>
        <w:snapToGrid w:val="0"/>
        <w:spacing w:before="0"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rPr>
        <w:t>第一部分 部门概况</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一、基本职能及主要工作</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二、机构设置</w:t>
      </w:r>
    </w:p>
    <w:p>
      <w:pPr>
        <w:pStyle w:val="10"/>
        <w:pageBreakBefore w:val="0"/>
        <w:widowControl w:val="0"/>
        <w:kinsoku/>
        <w:wordWrap/>
        <w:overflowPunct/>
        <w:topLinePunct w:val="0"/>
        <w:bidi w:val="0"/>
        <w:adjustRightInd w:val="0"/>
        <w:snapToGrid w:val="0"/>
        <w:spacing w:before="0"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rPr>
        <w:t>第二部分度部门决算情况说明</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一、收入支出决算总体情况说明</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二、收入决算情况说明</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三、支出决算情况说明</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四、财政拨款收入支出决算总体情况说明</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五、一般公共预算财政拨款支出决算情况说明</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六、一般公共预算财政拨款基本支出决算情况说明</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七、“三公”经费财政拨款支出决算情况说明</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八、政府性基金预算支出决算情况说明</w:t>
      </w:r>
    </w:p>
    <w:p>
      <w:pPr>
        <w:pStyle w:val="11"/>
        <w:pageBreakBefore w:val="0"/>
        <w:widowControl w:val="0"/>
        <w:kinsoku/>
        <w:wordWrap/>
        <w:overflowPunct/>
        <w:topLinePunct w:val="0"/>
        <w:bidi w:val="0"/>
        <w:adjustRightInd w:val="0"/>
        <w:snapToGrid w:val="0"/>
        <w:spacing w:line="440" w:lineRule="exact"/>
        <w:ind w:leftChars="0"/>
        <w:jc w:val="left"/>
        <w:rPr>
          <w:rFonts w:hint="eastAsia" w:ascii="仿宋_GB2312" w:hAnsi="仿宋_GB2312" w:eastAsia="仿宋_GB2312" w:cs="仿宋_GB2312"/>
          <w:sz w:val="24"/>
        </w:rPr>
      </w:pPr>
      <w:r>
        <w:rPr>
          <w:rFonts w:hint="eastAsia" w:ascii="仿宋_GB2312" w:hAnsi="仿宋_GB2312" w:eastAsia="仿宋_GB2312" w:cs="仿宋_GB2312"/>
          <w:sz w:val="24"/>
        </w:rPr>
        <w:t>九、 国有资本经营预算支出决算情况说明</w:t>
      </w:r>
    </w:p>
    <w:p>
      <w:pPr>
        <w:pageBreakBefore w:val="0"/>
        <w:widowControl w:val="0"/>
        <w:kinsoku/>
        <w:wordWrap/>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sz w:val="24"/>
        </w:rPr>
      </w:pPr>
      <w:r>
        <w:rPr>
          <w:rStyle w:val="16"/>
          <w:rFonts w:hint="eastAsia" w:ascii="仿宋_GB2312" w:hAnsi="仿宋_GB2312" w:eastAsia="仿宋_GB2312" w:cs="仿宋_GB2312"/>
          <w:color w:val="000000" w:themeColor="text1"/>
          <w:sz w:val="24"/>
          <w:u w:val="none"/>
        </w:rPr>
        <w:t>十、</w:t>
      </w:r>
      <w:r>
        <w:rPr>
          <w:rFonts w:hint="eastAsia" w:ascii="仿宋_GB2312" w:hAnsi="仿宋_GB2312" w:eastAsia="仿宋_GB2312" w:cs="仿宋_GB2312"/>
          <w:sz w:val="24"/>
        </w:rPr>
        <w:t>其他重要事项的情况说明</w:t>
      </w:r>
      <w:r>
        <w:rPr>
          <w:rFonts w:hint="eastAsia" w:ascii="仿宋_GB2312" w:hAnsi="仿宋_GB2312" w:eastAsia="仿宋_GB2312" w:cs="仿宋_GB2312"/>
          <w:sz w:val="24"/>
        </w:rPr>
        <w:tab/>
      </w:r>
    </w:p>
    <w:p>
      <w:pPr>
        <w:pStyle w:val="10"/>
        <w:pageBreakBefore w:val="0"/>
        <w:widowControl w:val="0"/>
        <w:kinsoku/>
        <w:wordWrap/>
        <w:overflowPunct/>
        <w:topLinePunct w:val="0"/>
        <w:bidi w:val="0"/>
        <w:adjustRightInd w:val="0"/>
        <w:snapToGrid w:val="0"/>
        <w:spacing w:before="0"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rPr>
        <w:t>第三部分 名词解释</w:t>
      </w:r>
    </w:p>
    <w:p>
      <w:pPr>
        <w:pStyle w:val="10"/>
        <w:pageBreakBefore w:val="0"/>
        <w:widowControl w:val="0"/>
        <w:kinsoku/>
        <w:wordWrap/>
        <w:overflowPunct/>
        <w:topLinePunct w:val="0"/>
        <w:bidi w:val="0"/>
        <w:adjustRightInd w:val="0"/>
        <w:snapToGrid w:val="0"/>
        <w:spacing w:before="0"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rPr>
        <w:t>第四部分 附件</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附件1</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附件2</w:t>
      </w:r>
    </w:p>
    <w:p>
      <w:pPr>
        <w:pStyle w:val="10"/>
        <w:pageBreakBefore w:val="0"/>
        <w:widowControl w:val="0"/>
        <w:kinsoku/>
        <w:wordWrap/>
        <w:overflowPunct/>
        <w:topLinePunct w:val="0"/>
        <w:bidi w:val="0"/>
        <w:adjustRightInd w:val="0"/>
        <w:snapToGrid w:val="0"/>
        <w:spacing w:before="0"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rPr>
        <w:t>第五部分 附表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一、收入支出决算总表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二、收入决算表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三、支出决算表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四、财政拨款收入支出决算总表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五、财政拨款支出决算明细表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六、一般公共预算财政拨款支出决算表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七、一般公共预算财政拨款支出决算明细表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八、一般公共预算财政拨款基本支出决算表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九、一般公共预算财政拨款项目支出决算表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十、一般公共预算财政拨款“三公”经费支出决算表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十一、政府性基金预算财政拨款收入支出决算表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十二、政府性基金预算财政拨款“三公”经费支出决算表</w:t>
      </w:r>
    </w:p>
    <w:p>
      <w:pPr>
        <w:pStyle w:val="11"/>
        <w:pageBreakBefore w:val="0"/>
        <w:widowControl w:val="0"/>
        <w:kinsoku/>
        <w:wordWrap/>
        <w:overflowPunct/>
        <w:topLinePunct w:val="0"/>
        <w:bidi w:val="0"/>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十三、国有资本经营预算支出决算表</w:t>
      </w:r>
    </w:p>
    <w:p>
      <w:pPr>
        <w:pageBreakBefore w:val="0"/>
        <w:widowControl w:val="0"/>
        <w:kinsoku/>
        <w:wordWrap/>
        <w:overflowPunct/>
        <w:topLinePunct w:val="0"/>
        <w:bidi w:val="0"/>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pageBreakBefore w:val="0"/>
        <w:widowControl w:val="0"/>
        <w:kinsoku/>
        <w:wordWrap/>
        <w:overflowPunct/>
        <w:topLinePunct w:val="0"/>
        <w:bidi w:val="0"/>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ageBreakBefore w:val="0"/>
        <w:widowControl w:val="0"/>
        <w:kinsoku/>
        <w:wordWrap/>
        <w:overflowPunct/>
        <w:topLinePunct w:val="0"/>
        <w:bidi w:val="0"/>
        <w:jc w:val="left"/>
        <w:rPr>
          <w:rFonts w:ascii="黑体" w:eastAsia="黑体"/>
          <w:color w:val="000000"/>
          <w:sz w:val="32"/>
          <w:szCs w:val="32"/>
        </w:rPr>
      </w:pPr>
    </w:p>
    <w:p>
      <w:pPr>
        <w:pStyle w:val="3"/>
        <w:pageBreakBefore w:val="0"/>
        <w:widowControl w:val="0"/>
        <w:kinsoku/>
        <w:wordWrap/>
        <w:overflowPunct/>
        <w:topLinePunct w:val="0"/>
        <w:bidi w:val="0"/>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pageBreakBefore w:val="0"/>
        <w:widowControl w:val="0"/>
        <w:kinsoku/>
        <w:wordWrap/>
        <w:overflowPunct/>
        <w:topLinePunct w:val="0"/>
        <w:bidi w:val="0"/>
        <w:adjustRightInd w:val="0"/>
        <w:snapToGrid w:val="0"/>
        <w:spacing w:before="93" w:line="560" w:lineRule="exact"/>
        <w:ind w:firstLine="672" w:firstLineChars="210"/>
        <w:rPr>
          <w:rFonts w:hint="eastAsia" w:ascii="仿宋_GB2312" w:hAnsi="仿宋_GB2312" w:eastAsia="仿宋_GB2312" w:cs="仿宋_GB2312"/>
          <w:bCs/>
          <w:sz w:val="32"/>
          <w:szCs w:val="32"/>
          <w:lang w:val="en-US" w:eastAsia="zh-CN"/>
        </w:rPr>
      </w:pPr>
      <w:bookmarkStart w:id="16" w:name="_Toc15377198"/>
      <w:bookmarkStart w:id="17" w:name="_Toc15378445"/>
      <w:r>
        <w:rPr>
          <w:rFonts w:hint="eastAsia" w:ascii="仿宋_GB2312" w:hAnsi="仿宋_GB2312" w:eastAsia="仿宋_GB2312" w:cs="仿宋_GB2312"/>
          <w:bCs/>
          <w:color w:val="000000"/>
          <w:sz w:val="32"/>
          <w:szCs w:val="32"/>
        </w:rPr>
        <w:t>（一）主要职能。</w:t>
      </w:r>
      <w:r>
        <w:rPr>
          <w:rFonts w:hint="eastAsia" w:ascii="仿宋_GB2312" w:hAnsi="仿宋_GB2312" w:eastAsia="仿宋_GB2312" w:cs="仿宋_GB2312"/>
          <w:sz w:val="32"/>
          <w:szCs w:val="32"/>
        </w:rPr>
        <w:t>主要承担红原县辖区内城乡居民养老保险工作的开展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2"/>
          <w:szCs w:val="32"/>
        </w:rPr>
        <w:t>认真贯彻执行城乡居民养老保险方面的</w:t>
      </w:r>
      <w:r>
        <w:rPr>
          <w:rFonts w:hint="eastAsia" w:ascii="仿宋_GB2312" w:hAnsi="仿宋_GB2312" w:eastAsia="仿宋_GB2312" w:cs="仿宋_GB2312"/>
          <w:bCs/>
          <w:sz w:val="32"/>
          <w:szCs w:val="32"/>
          <w:lang w:eastAsia="zh-CN"/>
        </w:rPr>
        <w:t>各项</w:t>
      </w:r>
      <w:r>
        <w:rPr>
          <w:rFonts w:hint="eastAsia" w:ascii="仿宋_GB2312" w:hAnsi="仿宋_GB2312" w:eastAsia="仿宋_GB2312" w:cs="仿宋_GB2312"/>
          <w:bCs/>
          <w:sz w:val="32"/>
          <w:szCs w:val="32"/>
        </w:rPr>
        <w:t>政策、法律、法规，全面发展城乡居民养老保险事业，加快社会保障体系的建设，由政府及社会集中建立基金，保障参保人员在年老丧失劳动力的情况下能够</w:t>
      </w:r>
      <w:r>
        <w:rPr>
          <w:rFonts w:hint="eastAsia" w:ascii="仿宋_GB2312" w:hAnsi="仿宋_GB2312" w:eastAsia="仿宋_GB2312" w:cs="仿宋_GB2312"/>
          <w:bCs/>
          <w:sz w:val="32"/>
          <w:szCs w:val="32"/>
          <w:lang w:val="en-US" w:eastAsia="zh-CN"/>
        </w:rPr>
        <w:t>足额</w:t>
      </w:r>
      <w:r>
        <w:rPr>
          <w:rFonts w:hint="eastAsia" w:ascii="仿宋_GB2312" w:hAnsi="仿宋_GB2312" w:eastAsia="仿宋_GB2312" w:cs="仿宋_GB2312"/>
          <w:bCs/>
          <w:sz w:val="32"/>
          <w:szCs w:val="32"/>
        </w:rPr>
        <w:t>领取养老保险。</w:t>
      </w:r>
    </w:p>
    <w:bookmarkEnd w:id="16"/>
    <w:bookmarkEnd w:id="17"/>
    <w:p>
      <w:pPr>
        <w:pStyle w:val="5"/>
        <w:pageBreakBefore w:val="0"/>
        <w:widowControl w:val="0"/>
        <w:kinsoku/>
        <w:wordWrap/>
        <w:overflowPunct/>
        <w:topLinePunct w:val="0"/>
        <w:bidi w:val="0"/>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bookmarkStart w:id="18" w:name="_Toc15378446"/>
      <w:bookmarkStart w:id="19" w:name="_Toc15377199"/>
      <w:r>
        <w:rPr>
          <w:rFonts w:hint="eastAsia" w:ascii="仿宋_GB2312" w:hAnsi="仿宋_GB2312" w:eastAsia="仿宋_GB2312" w:cs="仿宋_GB2312"/>
          <w:bCs/>
          <w:color w:val="000000"/>
          <w:sz w:val="32"/>
          <w:szCs w:val="32"/>
        </w:rPr>
        <w:t>（二）2019年重点工作完成情况。</w:t>
      </w:r>
      <w:bookmarkEnd w:id="18"/>
      <w:bookmarkEnd w:id="19"/>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负责宣传和贯彻执行城乡居民养老保险有关政策。2、负责对城乡居民养老保险业务的指导、人员培训和检查考核。3、</w:t>
      </w:r>
      <w:r>
        <w:rPr>
          <w:rFonts w:hint="eastAsia" w:ascii="仿宋_GB2312" w:hAnsi="仿宋_GB2312" w:eastAsia="仿宋_GB2312" w:cs="仿宋_GB2312"/>
          <w:bCs/>
          <w:sz w:val="32"/>
          <w:szCs w:val="32"/>
          <w:lang w:eastAsia="zh-CN"/>
        </w:rPr>
        <w:t>协同税务部门</w:t>
      </w:r>
      <w:r>
        <w:rPr>
          <w:rFonts w:hint="eastAsia" w:ascii="仿宋_GB2312" w:hAnsi="仿宋_GB2312" w:eastAsia="仿宋_GB2312" w:cs="仿宋_GB2312"/>
          <w:bCs/>
          <w:sz w:val="32"/>
          <w:szCs w:val="32"/>
        </w:rPr>
        <w:t>负责保险费的征收和转存。4、负责建立个人账户，办理保险关系转移、退保等手续。</w:t>
      </w:r>
      <w:r>
        <w:rPr>
          <w:rFonts w:hint="eastAsia" w:ascii="仿宋_GB2312" w:hAnsi="仿宋_GB2312" w:eastAsia="仿宋_GB2312" w:cs="仿宋_GB2312"/>
          <w:bCs/>
          <w:sz w:val="32"/>
          <w:szCs w:val="32"/>
          <w:lang w:val="en-US" w:eastAsia="zh-CN"/>
        </w:rPr>
        <w:t>5、负责为参保符合领取待遇的人员发放养老保险金。</w:t>
      </w:r>
      <w:r>
        <w:rPr>
          <w:rFonts w:hint="eastAsia" w:ascii="仿宋_GB2312" w:hAnsi="仿宋_GB2312" w:eastAsia="仿宋_GB2312" w:cs="仿宋_GB2312"/>
          <w:bCs/>
          <w:sz w:val="32"/>
          <w:szCs w:val="32"/>
        </w:rPr>
        <w:t>5、负责档案管理和统计工作。6、完成上级交办的其他工作</w:t>
      </w:r>
    </w:p>
    <w:p>
      <w:pPr>
        <w:pStyle w:val="3"/>
        <w:pageBreakBefore w:val="0"/>
        <w:widowControl w:val="0"/>
        <w:kinsoku/>
        <w:wordWrap/>
        <w:overflowPunct/>
        <w:topLinePunct w:val="0"/>
        <w:bidi w:val="0"/>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pageBreakBefore w:val="0"/>
        <w:widowControl w:val="0"/>
        <w:kinsoku/>
        <w:wordWrap/>
        <w:overflowPunct/>
        <w:topLinePunct w:val="0"/>
        <w:bidi w:val="0"/>
        <w:ind w:firstLine="800" w:firstLineChars="250"/>
        <w:rPr>
          <w:rFonts w:ascii="仿宋" w:hAnsi="仿宋" w:eastAsia="仿宋"/>
          <w:sz w:val="32"/>
          <w:szCs w:val="32"/>
        </w:rPr>
      </w:pPr>
      <w:r>
        <w:rPr>
          <w:rFonts w:hint="eastAsia" w:ascii="仿宋_GB2312" w:hAnsi="仿宋_GB2312" w:eastAsia="仿宋_GB2312" w:cs="仿宋_GB2312"/>
          <w:bCs/>
          <w:kern w:val="2"/>
          <w:sz w:val="32"/>
          <w:szCs w:val="32"/>
          <w:lang w:val="en-US" w:eastAsia="zh-CN" w:bidi="ar-SA"/>
        </w:rPr>
        <w:t>红原县城乡居民养老保险事业管理局</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5"/>
        <w:pageBreakBefore w:val="0"/>
        <w:widowControl w:val="0"/>
        <w:kinsoku/>
        <w:wordWrap/>
        <w:overflowPunct/>
        <w:topLinePunct w:val="0"/>
        <w:bidi w:val="0"/>
        <w:adjustRightInd w:val="0"/>
        <w:snapToGrid w:val="0"/>
        <w:spacing w:before="93" w:line="600" w:lineRule="exact"/>
        <w:ind w:firstLine="672" w:firstLineChars="21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纳入</w:t>
      </w:r>
      <w:r>
        <w:rPr>
          <w:rFonts w:hint="eastAsia" w:ascii="仿宋_GB2312" w:hAnsi="仿宋_GB2312" w:eastAsia="仿宋_GB2312" w:cs="仿宋_GB2312"/>
          <w:bCs/>
          <w:kern w:val="2"/>
          <w:sz w:val="32"/>
          <w:szCs w:val="32"/>
          <w:lang w:val="en-US" w:eastAsia="zh-CN" w:bidi="ar-SA"/>
        </w:rPr>
        <w:t>红原县城乡居民养老保险事业管理局</w:t>
      </w:r>
      <w:r>
        <w:rPr>
          <w:rFonts w:hint="eastAsia" w:ascii="仿宋_GB2312" w:hAnsi="仿宋_GB2312" w:eastAsia="仿宋_GB2312" w:cs="仿宋_GB2312"/>
          <w:color w:val="000000"/>
          <w:sz w:val="32"/>
          <w:szCs w:val="32"/>
        </w:rPr>
        <w:t>2019年度部门决算编制范围的二级预算单位</w:t>
      </w:r>
      <w:r>
        <w:rPr>
          <w:rFonts w:hint="eastAsia" w:ascii="仿宋_GB2312" w:hAnsi="仿宋_GB2312" w:eastAsia="仿宋_GB2312" w:cs="仿宋_GB2312"/>
          <w:color w:val="000000"/>
          <w:sz w:val="32"/>
          <w:szCs w:val="32"/>
          <w:lang w:val="en-US" w:eastAsia="zh-CN"/>
        </w:rPr>
        <w:t>0个。</w:t>
      </w:r>
    </w:p>
    <w:p>
      <w:pPr>
        <w:pageBreakBefore w:val="0"/>
        <w:widowControl w:val="0"/>
        <w:kinsoku/>
        <w:wordWrap/>
        <w:overflowPunct/>
        <w:topLinePunct w:val="0"/>
        <w:bidi w:val="0"/>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pageBreakBefore w:val="0"/>
        <w:widowControl w:val="0"/>
        <w:kinsoku/>
        <w:wordWrap/>
        <w:overflowPunct/>
        <w:topLinePunct w:val="0"/>
        <w:bidi w:val="0"/>
        <w:ind w:right="440"/>
        <w:jc w:val="right"/>
        <w:rPr>
          <w:rStyle w:val="25"/>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Pr>
        <w:pageBreakBefore w:val="0"/>
        <w:widowControl w:val="0"/>
        <w:kinsoku/>
        <w:wordWrap/>
        <w:overflowPunct/>
        <w:topLinePunct w:val="0"/>
        <w:bidi w:val="0"/>
      </w:pPr>
    </w:p>
    <w:p>
      <w:pPr>
        <w:pStyle w:val="24"/>
        <w:pageBreakBefore w:val="0"/>
        <w:widowControl w:val="0"/>
        <w:numPr>
          <w:ilvl w:val="0"/>
          <w:numId w:val="1"/>
        </w:numPr>
        <w:kinsoku/>
        <w:wordWrap/>
        <w:overflowPunct/>
        <w:topLinePunct w:val="0"/>
        <w:bidi w:val="0"/>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pageBreakBefore w:val="0"/>
        <w:widowControl w:val="0"/>
        <w:kinsoku/>
        <w:wordWrap/>
        <w:overflowPunct/>
        <w:topLinePunct w:val="0"/>
        <w:bidi w:val="0"/>
        <w:snapToGrid w:val="0"/>
        <w:spacing w:line="52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2019年</w:t>
      </w:r>
      <w:r>
        <w:rPr>
          <w:rFonts w:hint="eastAsia" w:ascii="仿宋_GB2312" w:hAnsi="仿宋" w:eastAsia="仿宋_GB2312"/>
          <w:sz w:val="32"/>
          <w:szCs w:val="32"/>
          <w:lang w:eastAsia="zh-CN"/>
        </w:rPr>
        <w:t>度</w:t>
      </w:r>
      <w:r>
        <w:rPr>
          <w:rFonts w:hint="eastAsia" w:ascii="仿宋_GB2312" w:hAnsi="仿宋" w:eastAsia="仿宋_GB2312"/>
          <w:sz w:val="32"/>
          <w:szCs w:val="32"/>
        </w:rPr>
        <w:t>收入176.38万元，支出176.38万元，2018年收入144.98万元，支出144.98万元。2019年比2018年多支出31.4万元，原因一是2019年收入支出包含了12.96万元项目资金（阿州财社</w:t>
      </w:r>
      <w:r>
        <w:rPr>
          <w:rFonts w:hint="eastAsia" w:ascii="仿宋_GB2312" w:hAnsi="仿宋" w:eastAsia="仿宋_GB2312"/>
          <w:sz w:val="32"/>
          <w:szCs w:val="32"/>
          <w:lang w:eastAsia="zh-CN"/>
        </w:rPr>
        <w:t>〔</w:t>
      </w:r>
      <w:r>
        <w:rPr>
          <w:rFonts w:hint="eastAsia" w:ascii="仿宋_GB2312" w:hAnsi="仿宋" w:eastAsia="仿宋_GB2312"/>
          <w:sz w:val="32"/>
          <w:szCs w:val="32"/>
        </w:rPr>
        <w:t>2019</w:t>
      </w:r>
      <w:r>
        <w:rPr>
          <w:rFonts w:hint="eastAsia" w:ascii="仿宋_GB2312" w:hAnsi="仿宋" w:eastAsia="仿宋_GB2312"/>
          <w:sz w:val="32"/>
          <w:szCs w:val="32"/>
          <w:lang w:eastAsia="zh-CN"/>
        </w:rPr>
        <w:t>〕</w:t>
      </w:r>
      <w:r>
        <w:rPr>
          <w:rFonts w:hint="eastAsia" w:ascii="仿宋_GB2312" w:hAnsi="仿宋" w:eastAsia="仿宋_GB2312"/>
          <w:sz w:val="32"/>
          <w:szCs w:val="32"/>
        </w:rPr>
        <w:t>43号困难群众代缴资金）；二是</w:t>
      </w:r>
      <w:r>
        <w:rPr>
          <w:rFonts w:hint="eastAsia" w:ascii="仿宋_GB2312" w:hAnsi="仿宋" w:eastAsia="仿宋_GB2312"/>
          <w:sz w:val="32"/>
          <w:szCs w:val="32"/>
          <w:lang w:val="en-US" w:eastAsia="zh-CN"/>
        </w:rPr>
        <w:t>2018年9月新增2人，</w:t>
      </w:r>
      <w:r>
        <w:rPr>
          <w:rFonts w:hint="eastAsia" w:ascii="仿宋_GB2312" w:hAnsi="仿宋" w:eastAsia="仿宋_GB2312"/>
          <w:sz w:val="32"/>
          <w:szCs w:val="32"/>
        </w:rPr>
        <w:t>2019年</w:t>
      </w:r>
      <w:r>
        <w:rPr>
          <w:rFonts w:hint="eastAsia" w:ascii="仿宋_GB2312" w:hAnsi="仿宋" w:eastAsia="仿宋_GB2312"/>
          <w:sz w:val="32"/>
          <w:szCs w:val="32"/>
          <w:lang w:eastAsia="zh-CN"/>
        </w:rPr>
        <w:t>全年实有人数为</w:t>
      </w:r>
      <w:r>
        <w:rPr>
          <w:rFonts w:hint="eastAsia" w:ascii="仿宋_GB2312" w:hAnsi="仿宋" w:eastAsia="仿宋_GB2312"/>
          <w:sz w:val="32"/>
          <w:szCs w:val="32"/>
          <w:lang w:val="en-US" w:eastAsia="zh-CN"/>
        </w:rPr>
        <w:t>10人，</w:t>
      </w:r>
      <w:r>
        <w:rPr>
          <w:rFonts w:hint="eastAsia" w:ascii="仿宋_GB2312" w:hAnsi="仿宋" w:eastAsia="仿宋_GB2312"/>
          <w:sz w:val="32"/>
          <w:szCs w:val="32"/>
        </w:rPr>
        <w:t>工资福利</w:t>
      </w:r>
      <w:r>
        <w:rPr>
          <w:rFonts w:hint="eastAsia" w:ascii="仿宋_GB2312" w:hAnsi="仿宋" w:eastAsia="仿宋_GB2312"/>
          <w:sz w:val="32"/>
          <w:szCs w:val="32"/>
          <w:lang w:eastAsia="zh-CN"/>
        </w:rPr>
        <w:t>支出</w:t>
      </w:r>
      <w:r>
        <w:rPr>
          <w:rFonts w:hint="eastAsia" w:ascii="仿宋_GB2312" w:hAnsi="仿宋" w:eastAsia="仿宋_GB2312"/>
          <w:sz w:val="32"/>
          <w:szCs w:val="32"/>
        </w:rPr>
        <w:t>比2018年多</w:t>
      </w:r>
      <w:r>
        <w:rPr>
          <w:rFonts w:hint="eastAsia" w:ascii="仿宋_GB2312" w:hAnsi="仿宋" w:eastAsia="仿宋_GB2312"/>
          <w:sz w:val="32"/>
          <w:szCs w:val="32"/>
          <w:lang w:eastAsia="zh-CN"/>
        </w:rPr>
        <w:t>。</w:t>
      </w:r>
    </w:p>
    <w:p>
      <w:pPr>
        <w:pageBreakBefore w:val="0"/>
        <w:widowControl w:val="0"/>
        <w:kinsoku/>
        <w:wordWrap/>
        <w:overflowPunct/>
        <w:topLinePunct w:val="0"/>
        <w:bidi w:val="0"/>
        <w:spacing w:line="600" w:lineRule="exact"/>
        <w:rPr>
          <w:rFonts w:ascii="仿宋" w:hAnsi="仿宋" w:eastAsia="仿宋"/>
          <w:color w:val="000000"/>
          <w:sz w:val="32"/>
          <w:szCs w:val="32"/>
        </w:rPr>
      </w:pPr>
    </w:p>
    <w:p>
      <w:pPr>
        <w:pageBreakBefore w:val="0"/>
        <w:widowControl w:val="0"/>
        <w:kinsoku/>
        <w:wordWrap/>
        <w:overflowPunct/>
        <w:topLinePunct w:val="0"/>
        <w:bidi w:val="0"/>
        <w:spacing w:line="240" w:lineRule="auto"/>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065" cy="2755265"/>
            <wp:effectExtent l="0" t="0" r="6985" b="698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4584065" cy="2755265"/>
                    </a:xfrm>
                    <a:prstGeom prst="rect">
                      <a:avLst/>
                    </a:prstGeom>
                  </pic:spPr>
                </pic:pic>
              </a:graphicData>
            </a:graphic>
          </wp:inline>
        </w:drawing>
      </w:r>
    </w:p>
    <w:p>
      <w:pPr>
        <w:pageBreakBefore w:val="0"/>
        <w:widowControl w:val="0"/>
        <w:kinsoku/>
        <w:wordWrap/>
        <w:overflowPunct/>
        <w:topLinePunct w:val="0"/>
        <w:bidi w:val="0"/>
        <w:spacing w:line="600" w:lineRule="exact"/>
        <w:ind w:firstLine="1280" w:firstLineChars="4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themeColor="text1"/>
          <w:sz w:val="32"/>
          <w:szCs w:val="32"/>
        </w:rPr>
        <w:t>（图1：收、支决算总计变动情况图）</w:t>
      </w:r>
    </w:p>
    <w:p>
      <w:pPr>
        <w:pStyle w:val="24"/>
        <w:pageBreakBefore w:val="0"/>
        <w:widowControl w:val="0"/>
        <w:numPr>
          <w:ilvl w:val="0"/>
          <w:numId w:val="1"/>
        </w:numPr>
        <w:kinsoku/>
        <w:wordWrap/>
        <w:overflowPunct/>
        <w:topLinePunct w:val="0"/>
        <w:bidi w:val="0"/>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pageBreakBefore w:val="0"/>
        <w:widowControl w:val="0"/>
        <w:kinsoku/>
        <w:wordWrap/>
        <w:overflowPunct/>
        <w:topLinePunct w:val="0"/>
        <w:bidi w:val="0"/>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2019年本年收入合计176.38万元，其中：一般公共预算财政拨款收入176.38万元，占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rPr>
        <w:t>上级补助收</w:t>
      </w:r>
      <w:r>
        <w:rPr>
          <w:rFonts w:hint="eastAsia" w:ascii="仿宋_GB2312" w:hAnsi="仿宋_GB2312" w:eastAsia="仿宋_GB2312" w:cs="仿宋_GB2312"/>
          <w:color w:val="000000" w:themeColor="text1"/>
          <w:sz w:val="32"/>
          <w:szCs w:val="32"/>
          <w:lang w:eastAsia="zh-CN"/>
        </w:rPr>
        <w:t>入</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pPr>
        <w:pageBreakBefore w:val="0"/>
        <w:widowControl w:val="0"/>
        <w:kinsoku/>
        <w:wordWrap/>
        <w:overflowPunct/>
        <w:topLinePunct w:val="0"/>
        <w:bidi w:val="0"/>
        <w:spacing w:line="240" w:lineRule="auto"/>
        <w:ind w:firstLine="640" w:firstLineChars="200"/>
        <w:outlineLvl w:val="1"/>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065" cy="2755265"/>
            <wp:effectExtent l="0" t="0" r="6985" b="6985"/>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7"/>
                    <a:stretch>
                      <a:fillRect/>
                    </a:stretch>
                  </pic:blipFill>
                  <pic:spPr>
                    <a:xfrm>
                      <a:off x="0" y="0"/>
                      <a:ext cx="4584065" cy="2755265"/>
                    </a:xfrm>
                    <a:prstGeom prst="rect">
                      <a:avLst/>
                    </a:prstGeom>
                  </pic:spPr>
                </pic:pic>
              </a:graphicData>
            </a:graphic>
          </wp:inline>
        </w:drawing>
      </w:r>
    </w:p>
    <w:p>
      <w:pPr>
        <w:pageBreakBefore w:val="0"/>
        <w:widowControl w:val="0"/>
        <w:kinsoku/>
        <w:wordWrap/>
        <w:overflowPunct/>
        <w:topLinePunct w:val="0"/>
        <w:bidi w:val="0"/>
        <w:spacing w:line="600" w:lineRule="exact"/>
        <w:ind w:firstLine="2240" w:firstLineChars="7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w:t>
      </w:r>
    </w:p>
    <w:p>
      <w:pPr>
        <w:pStyle w:val="24"/>
        <w:pageBreakBefore w:val="0"/>
        <w:widowControl w:val="0"/>
        <w:numPr>
          <w:ilvl w:val="0"/>
          <w:numId w:val="0"/>
        </w:numPr>
        <w:kinsoku/>
        <w:wordWrap/>
        <w:overflowPunct/>
        <w:topLinePunct w:val="0"/>
        <w:bidi w:val="0"/>
        <w:spacing w:line="600" w:lineRule="exact"/>
        <w:ind w:firstLine="640" w:firstLineChars="20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pageBreakBefore w:val="0"/>
        <w:widowControl w:val="0"/>
        <w:kinsoku/>
        <w:wordWrap/>
        <w:overflowPunct/>
        <w:topLinePunct w:val="0"/>
        <w:bidi w:val="0"/>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2019年本年支出合计176.38万元，其中：基本支出</w:t>
      </w:r>
      <w:r>
        <w:rPr>
          <w:rFonts w:hint="eastAsia" w:ascii="仿宋_GB2312" w:hAnsi="仿宋_GB2312" w:eastAsia="仿宋_GB2312" w:cs="仿宋_GB2312"/>
          <w:color w:val="000000"/>
          <w:sz w:val="32"/>
          <w:szCs w:val="32"/>
          <w:lang w:val="en-US" w:eastAsia="zh-CN"/>
        </w:rPr>
        <w:t>163.42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93</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12.96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pPr>
        <w:pageBreakBefore w:val="0"/>
        <w:widowControl w:val="0"/>
        <w:kinsoku/>
        <w:wordWrap/>
        <w:overflowPunct/>
        <w:topLinePunct w:val="0"/>
        <w:bidi w:val="0"/>
        <w:spacing w:line="240" w:lineRule="auto"/>
        <w:ind w:firstLine="640" w:firstLineChars="200"/>
        <w:outlineLvl w:val="1"/>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065" cy="2755265"/>
            <wp:effectExtent l="0" t="0" r="6985" b="6985"/>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8"/>
                    <a:stretch>
                      <a:fillRect/>
                    </a:stretch>
                  </pic:blipFill>
                  <pic:spPr>
                    <a:xfrm>
                      <a:off x="0" y="0"/>
                      <a:ext cx="4584065" cy="2755265"/>
                    </a:xfrm>
                    <a:prstGeom prst="rect">
                      <a:avLst/>
                    </a:prstGeom>
                  </pic:spPr>
                </pic:pic>
              </a:graphicData>
            </a:graphic>
          </wp:inline>
        </w:drawing>
      </w:r>
    </w:p>
    <w:p>
      <w:pPr>
        <w:pageBreakBefore w:val="0"/>
        <w:widowControl w:val="0"/>
        <w:kinsoku/>
        <w:wordWrap/>
        <w:overflowPunct/>
        <w:topLinePunct w:val="0"/>
        <w:bidi w:val="0"/>
        <w:spacing w:line="600" w:lineRule="exact"/>
        <w:ind w:firstLine="2240" w:firstLineChars="7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（图3：支出决算结构图）</w:t>
      </w:r>
    </w:p>
    <w:p>
      <w:pPr>
        <w:pageBreakBefore w:val="0"/>
        <w:widowControl w:val="0"/>
        <w:kinsoku/>
        <w:wordWrap/>
        <w:overflowPunct/>
        <w:topLinePunct w:val="0"/>
        <w:bidi w:val="0"/>
        <w:spacing w:line="600" w:lineRule="exact"/>
        <w:ind w:firstLine="640" w:firstLineChars="200"/>
        <w:outlineLvl w:val="1"/>
        <w:rPr>
          <w:rStyle w:val="26"/>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pageBreakBefore w:val="0"/>
        <w:widowControl w:val="0"/>
        <w:kinsoku/>
        <w:wordWrap/>
        <w:overflowPunct/>
        <w:topLinePunct w:val="0"/>
        <w:bidi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2019年财政拨款收</w:t>
      </w:r>
      <w:r>
        <w:rPr>
          <w:rFonts w:hint="eastAsia" w:ascii="仿宋_GB2312" w:hAnsi="仿宋_GB2312" w:eastAsia="仿宋_GB2312" w:cs="仿宋_GB2312"/>
          <w:color w:val="000000"/>
          <w:sz w:val="32"/>
          <w:szCs w:val="32"/>
          <w:lang w:eastAsia="zh-CN"/>
        </w:rPr>
        <w:t>入总计</w:t>
      </w:r>
      <w:r>
        <w:rPr>
          <w:rFonts w:hint="eastAsia" w:ascii="仿宋_GB2312" w:hAnsi="仿宋_GB2312" w:eastAsia="仿宋_GB2312" w:cs="仿宋_GB2312"/>
          <w:color w:val="000000"/>
          <w:sz w:val="32"/>
          <w:szCs w:val="32"/>
          <w:lang w:val="en-US" w:eastAsia="zh-CN"/>
        </w:rPr>
        <w:t>176.38万元，</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val="en-US" w:eastAsia="zh-CN"/>
        </w:rPr>
        <w:t>176.38</w:t>
      </w:r>
      <w:r>
        <w:rPr>
          <w:rFonts w:hint="eastAsia" w:ascii="仿宋_GB2312" w:hAnsi="仿宋_GB2312" w:eastAsia="仿宋_GB2312" w:cs="仿宋_GB2312"/>
          <w:color w:val="000000"/>
          <w:sz w:val="32"/>
          <w:szCs w:val="32"/>
        </w:rPr>
        <w:t>万元。与2018年相比，财政拨款收、支总计各增加</w:t>
      </w:r>
      <w:r>
        <w:rPr>
          <w:rFonts w:hint="eastAsia" w:ascii="仿宋_GB2312" w:hAnsi="仿宋_GB2312" w:eastAsia="仿宋_GB2312" w:cs="仿宋_GB2312"/>
          <w:color w:val="000000"/>
          <w:sz w:val="32"/>
          <w:szCs w:val="32"/>
          <w:lang w:val="en-US" w:eastAsia="zh-CN"/>
        </w:rPr>
        <w:t>31.4</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21.6</w:t>
      </w:r>
      <w:r>
        <w:rPr>
          <w:rFonts w:hint="eastAsia" w:ascii="仿宋_GB2312" w:hAnsi="仿宋_GB2312" w:eastAsia="仿宋_GB2312" w:cs="仿宋_GB2312"/>
          <w:color w:val="000000"/>
          <w:sz w:val="32"/>
          <w:szCs w:val="32"/>
        </w:rPr>
        <w:t>%。主要变动</w:t>
      </w:r>
      <w:r>
        <w:rPr>
          <w:rFonts w:hint="eastAsia" w:ascii="仿宋_GB2312" w:hAnsi="仿宋_GB2312" w:eastAsia="仿宋_GB2312" w:cs="仿宋_GB2312"/>
          <w:sz w:val="32"/>
          <w:szCs w:val="32"/>
        </w:rPr>
        <w:t>原因一是2019年收入支出包含了12.96万元项目资金（阿州财社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43号困难群众代缴资金）；二是</w:t>
      </w:r>
      <w:r>
        <w:rPr>
          <w:rFonts w:hint="eastAsia" w:ascii="仿宋_GB2312" w:hAnsi="仿宋_GB2312" w:eastAsia="仿宋_GB2312" w:cs="仿宋_GB2312"/>
          <w:sz w:val="32"/>
          <w:szCs w:val="32"/>
          <w:lang w:val="en-US" w:eastAsia="zh-CN"/>
        </w:rPr>
        <w:t>2018年9月新增2人，</w:t>
      </w: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eastAsia="zh-CN"/>
        </w:rPr>
        <w:t>全年实有人数为</w:t>
      </w:r>
      <w:r>
        <w:rPr>
          <w:rFonts w:hint="eastAsia" w:ascii="仿宋_GB2312" w:hAnsi="仿宋_GB2312" w:eastAsia="仿宋_GB2312" w:cs="仿宋_GB2312"/>
          <w:sz w:val="32"/>
          <w:szCs w:val="32"/>
          <w:lang w:val="en-US" w:eastAsia="zh-CN"/>
        </w:rPr>
        <w:t>10人，</w:t>
      </w:r>
      <w:r>
        <w:rPr>
          <w:rFonts w:hint="eastAsia" w:ascii="仿宋_GB2312" w:hAnsi="仿宋_GB2312" w:eastAsia="仿宋_GB2312" w:cs="仿宋_GB2312"/>
          <w:sz w:val="32"/>
          <w:szCs w:val="32"/>
        </w:rPr>
        <w:t>工资福利支出比2018年多。</w:t>
      </w:r>
    </w:p>
    <w:p>
      <w:pPr>
        <w:pageBreakBefore w:val="0"/>
        <w:widowControl w:val="0"/>
        <w:kinsoku/>
        <w:wordWrap/>
        <w:overflowPunct/>
        <w:topLinePunct w:val="0"/>
        <w:bidi w:val="0"/>
        <w:spacing w:line="240" w:lineRule="auto"/>
        <w:ind w:firstLine="640"/>
        <w:rPr>
          <w:rFonts w:hint="eastAsia" w:ascii="仿宋_GB2312" w:hAnsi="仿宋" w:eastAsia="仿宋_GB2312"/>
          <w:sz w:val="32"/>
          <w:szCs w:val="32"/>
          <w:lang w:eastAsia="zh-CN"/>
        </w:rPr>
      </w:pPr>
      <w:r>
        <w:rPr>
          <w:rFonts w:hint="eastAsia" w:ascii="仿宋_GB2312" w:hAnsi="仿宋" w:eastAsia="仿宋_GB2312"/>
          <w:sz w:val="32"/>
          <w:szCs w:val="32"/>
          <w:lang w:eastAsia="zh-CN"/>
        </w:rPr>
        <w:drawing>
          <wp:inline distT="0" distB="0" distL="114300" distR="114300">
            <wp:extent cx="4584065" cy="2755265"/>
            <wp:effectExtent l="0" t="0" r="6985" b="6985"/>
            <wp:docPr id="4" name="图片 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4"/>
                    <pic:cNvPicPr>
                      <a:picLocks noChangeAspect="1"/>
                    </pic:cNvPicPr>
                  </pic:nvPicPr>
                  <pic:blipFill>
                    <a:blip r:embed="rId9"/>
                    <a:stretch>
                      <a:fillRect/>
                    </a:stretch>
                  </pic:blipFill>
                  <pic:spPr>
                    <a:xfrm>
                      <a:off x="0" y="0"/>
                      <a:ext cx="4584065" cy="2755265"/>
                    </a:xfrm>
                    <a:prstGeom prst="rect">
                      <a:avLst/>
                    </a:prstGeom>
                  </pic:spPr>
                </pic:pic>
              </a:graphicData>
            </a:graphic>
          </wp:inline>
        </w:drawing>
      </w:r>
    </w:p>
    <w:p>
      <w:pPr>
        <w:pageBreakBefore w:val="0"/>
        <w:widowControl w:val="0"/>
        <w:kinsoku/>
        <w:wordWrap/>
        <w:overflowPunct/>
        <w:topLinePunct w:val="0"/>
        <w:bidi w:val="0"/>
        <w:spacing w:line="600" w:lineRule="exact"/>
        <w:ind w:firstLine="1280" w:firstLineChars="4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（图4：财政拨款收、支决算总计变动情况）</w:t>
      </w:r>
    </w:p>
    <w:p>
      <w:pPr>
        <w:pageBreakBefore w:val="0"/>
        <w:widowControl w:val="0"/>
        <w:kinsoku/>
        <w:wordWrap/>
        <w:overflowPunct/>
        <w:topLinePunct w:val="0"/>
        <w:bidi w:val="0"/>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pageBreakBefore w:val="0"/>
        <w:widowControl w:val="0"/>
        <w:kinsoku/>
        <w:wordWrap/>
        <w:overflowPunct/>
        <w:topLinePunct w:val="0"/>
        <w:bidi w:val="0"/>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pageBreakBefore w:val="0"/>
        <w:widowControl w:val="0"/>
        <w:kinsoku/>
        <w:wordWrap/>
        <w:overflowPunct/>
        <w:topLinePunct w:val="0"/>
        <w:bidi w:val="0"/>
        <w:spacing w:line="600" w:lineRule="exact"/>
        <w:ind w:firstLine="640" w:firstLineChars="200"/>
        <w:rPr>
          <w:rFonts w:hint="eastAsia" w:ascii="仿宋_GB2312" w:hAnsi="仿宋" w:eastAsia="仿宋_GB2312"/>
          <w:sz w:val="32"/>
          <w:szCs w:val="32"/>
        </w:rPr>
      </w:pPr>
      <w:r>
        <w:rPr>
          <w:rFonts w:hint="eastAsia" w:ascii="仿宋_GB2312" w:hAnsi="仿宋_GB2312" w:eastAsia="仿宋_GB2312" w:cs="仿宋_GB2312"/>
          <w:color w:val="000000"/>
          <w:sz w:val="32"/>
          <w:szCs w:val="32"/>
        </w:rPr>
        <w:t>2019年一般公共预算财政拨款支出</w:t>
      </w:r>
      <w:r>
        <w:rPr>
          <w:rFonts w:hint="eastAsia" w:ascii="仿宋_GB2312" w:hAnsi="仿宋_GB2312" w:eastAsia="仿宋_GB2312" w:cs="仿宋_GB2312"/>
          <w:color w:val="000000"/>
          <w:sz w:val="32"/>
          <w:szCs w:val="32"/>
          <w:lang w:val="en-US" w:eastAsia="zh-CN"/>
        </w:rPr>
        <w:t>176.38</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%。与2018年相比，一般公共预算财政拨款增加</w:t>
      </w:r>
      <w:r>
        <w:rPr>
          <w:rFonts w:hint="eastAsia" w:ascii="仿宋_GB2312" w:hAnsi="仿宋_GB2312" w:eastAsia="仿宋_GB2312" w:cs="仿宋_GB2312"/>
          <w:color w:val="000000"/>
          <w:sz w:val="32"/>
          <w:szCs w:val="32"/>
          <w:lang w:val="en-US" w:eastAsia="zh-CN"/>
        </w:rPr>
        <w:t>31.4</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21.6</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sz w:val="32"/>
          <w:szCs w:val="32"/>
        </w:rPr>
        <w:t>一是2019年收入支出包含了12.96万元项目资金（阿州财社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43号困难群众代缴资金）；二是</w:t>
      </w:r>
      <w:r>
        <w:rPr>
          <w:rFonts w:hint="eastAsia" w:ascii="仿宋_GB2312" w:hAnsi="仿宋_GB2312" w:eastAsia="仿宋_GB2312" w:cs="仿宋_GB2312"/>
          <w:sz w:val="32"/>
          <w:szCs w:val="32"/>
          <w:lang w:val="en-US" w:eastAsia="zh-CN"/>
        </w:rPr>
        <w:t>2018年9月新增2人，</w:t>
      </w:r>
      <w:r>
        <w:rPr>
          <w:rFonts w:hint="eastAsia" w:ascii="仿宋_GB2312" w:hAnsi="仿宋_GB2312" w:eastAsia="仿宋_GB2312" w:cs="仿宋_GB2312"/>
          <w:sz w:val="32"/>
          <w:szCs w:val="32"/>
        </w:rPr>
        <w:t>2019年</w:t>
      </w:r>
      <w:r>
        <w:rPr>
          <w:rFonts w:hint="eastAsia" w:ascii="仿宋_GB2312" w:hAnsi="仿宋" w:eastAsia="仿宋_GB2312"/>
          <w:sz w:val="32"/>
          <w:szCs w:val="32"/>
          <w:lang w:eastAsia="zh-CN"/>
        </w:rPr>
        <w:t>全年实有人数为</w:t>
      </w:r>
      <w:r>
        <w:rPr>
          <w:rFonts w:hint="eastAsia" w:ascii="仿宋_GB2312" w:hAnsi="仿宋" w:eastAsia="仿宋_GB2312"/>
          <w:sz w:val="32"/>
          <w:szCs w:val="32"/>
          <w:lang w:val="en-US" w:eastAsia="zh-CN"/>
        </w:rPr>
        <w:t>10人，</w:t>
      </w:r>
      <w:r>
        <w:rPr>
          <w:rFonts w:hint="eastAsia" w:ascii="仿宋_GB2312" w:hAnsi="仿宋" w:eastAsia="仿宋_GB2312"/>
          <w:sz w:val="32"/>
          <w:szCs w:val="32"/>
        </w:rPr>
        <w:t>工资福利支出比2018年多。</w:t>
      </w:r>
    </w:p>
    <w:p>
      <w:pPr>
        <w:pageBreakBefore w:val="0"/>
        <w:widowControl w:val="0"/>
        <w:kinsoku/>
        <w:wordWrap/>
        <w:overflowPunct/>
        <w:topLinePunct w:val="0"/>
        <w:bidi w:val="0"/>
        <w:spacing w:line="240" w:lineRule="auto"/>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drawing>
          <wp:inline distT="0" distB="0" distL="114300" distR="114300">
            <wp:extent cx="5083810" cy="3870960"/>
            <wp:effectExtent l="0" t="0" r="6350" b="0"/>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0"/>
                    <a:stretch>
                      <a:fillRect/>
                    </a:stretch>
                  </pic:blipFill>
                  <pic:spPr>
                    <a:xfrm>
                      <a:off x="0" y="0"/>
                      <a:ext cx="5083810" cy="3870960"/>
                    </a:xfrm>
                    <a:prstGeom prst="rect">
                      <a:avLst/>
                    </a:prstGeom>
                  </pic:spPr>
                </pic:pic>
              </a:graphicData>
            </a:graphic>
          </wp:inline>
        </w:drawing>
      </w:r>
    </w:p>
    <w:p>
      <w:pPr>
        <w:pageBreakBefore w:val="0"/>
        <w:widowControl w:val="0"/>
        <w:kinsoku/>
        <w:wordWrap/>
        <w:overflowPunct/>
        <w:topLinePunct w:val="0"/>
        <w:bidi w:val="0"/>
        <w:spacing w:line="600" w:lineRule="exact"/>
        <w:ind w:firstLine="960" w:firstLineChars="3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（图5：一般公共预算财政拨款支出决算变动情况）</w:t>
      </w:r>
    </w:p>
    <w:p>
      <w:pPr>
        <w:pageBreakBefore w:val="0"/>
        <w:widowControl w:val="0"/>
        <w:kinsoku/>
        <w:wordWrap/>
        <w:overflowPunct/>
        <w:topLinePunct w:val="0"/>
        <w:bidi w:val="0"/>
        <w:spacing w:line="600" w:lineRule="exact"/>
        <w:ind w:firstLine="643" w:firstLineChars="200"/>
        <w:outlineLvl w:val="2"/>
        <w:rPr>
          <w:rFonts w:hint="eastAsia" w:ascii="仿宋_GB2312" w:hAnsi="仿宋_GB2312" w:eastAsia="仿宋_GB2312" w:cs="仿宋_GB2312"/>
          <w:b/>
          <w:color w:val="000000"/>
          <w:sz w:val="32"/>
          <w:szCs w:val="32"/>
        </w:rPr>
      </w:pPr>
      <w:bookmarkStart w:id="35" w:name="_Toc15377211"/>
      <w:r>
        <w:rPr>
          <w:rFonts w:hint="eastAsia" w:ascii="仿宋_GB2312" w:hAnsi="仿宋_GB2312" w:eastAsia="仿宋_GB2312" w:cs="仿宋_GB2312"/>
          <w:b/>
          <w:color w:val="000000"/>
          <w:sz w:val="32"/>
          <w:szCs w:val="32"/>
        </w:rPr>
        <w:t>（二）一般公共预算财政拨款支出决算结构情况</w:t>
      </w:r>
      <w:bookmarkEnd w:id="35"/>
    </w:p>
    <w:p>
      <w:pPr>
        <w:pageBreakBefore w:val="0"/>
        <w:widowControl w:val="0"/>
        <w:kinsoku/>
        <w:wordWrap/>
        <w:overflowPunct/>
        <w:topLinePunct w:val="0"/>
        <w:bidi w:val="0"/>
        <w:spacing w:line="600" w:lineRule="exact"/>
        <w:ind w:firstLine="640" w:firstLineChars="200"/>
        <w:rPr>
          <w:rFonts w:hint="eastAsia" w:ascii="仿宋" w:hAnsi="仿宋" w:eastAsia="仿宋"/>
          <w:color w:val="000000" w:themeColor="text1"/>
          <w:sz w:val="32"/>
          <w:szCs w:val="32"/>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rPr>
        <w:t>政拨款支出</w:t>
      </w:r>
      <w:r>
        <w:rPr>
          <w:rFonts w:hint="eastAsia" w:ascii="仿宋_GB2312" w:hAnsi="仿宋_GB2312" w:eastAsia="仿宋_GB2312" w:cs="仿宋_GB2312"/>
          <w:color w:val="000000" w:themeColor="text1"/>
          <w:sz w:val="32"/>
          <w:szCs w:val="32"/>
          <w:lang w:val="en-US" w:eastAsia="zh-CN"/>
        </w:rPr>
        <w:t>176.38</w:t>
      </w:r>
      <w:r>
        <w:rPr>
          <w:rFonts w:hint="eastAsia" w:ascii="仿宋_GB2312" w:hAnsi="仿宋_GB2312" w:eastAsia="仿宋_GB2312" w:cs="仿宋_GB2312"/>
          <w:color w:val="000000" w:themeColor="text1"/>
          <w:sz w:val="32"/>
          <w:szCs w:val="32"/>
        </w:rPr>
        <w:t>万元，主要用于以下方面:</w:t>
      </w:r>
      <w:r>
        <w:rPr>
          <w:rFonts w:hint="eastAsia" w:ascii="仿宋_GB2312" w:hAnsi="仿宋_GB2312" w:eastAsia="仿宋_GB2312" w:cs="仿宋_GB2312"/>
          <w:b/>
          <w:color w:val="000000" w:themeColor="text1"/>
          <w:sz w:val="32"/>
          <w:szCs w:val="32"/>
        </w:rPr>
        <w:t>一般公共服务（</w:t>
      </w:r>
      <w:r>
        <w:rPr>
          <w:rFonts w:hint="eastAsia" w:ascii="仿宋_GB2312" w:hAnsi="仿宋_GB2312" w:eastAsia="仿宋_GB2312" w:cs="仿宋_GB2312"/>
          <w:b/>
          <w:color w:val="000000" w:themeColor="text1"/>
          <w:sz w:val="32"/>
          <w:szCs w:val="32"/>
          <w:lang w:val="en-US" w:eastAsia="zh-CN"/>
        </w:rPr>
        <w:t>201</w:t>
      </w:r>
      <w:r>
        <w:rPr>
          <w:rFonts w:hint="eastAsia" w:ascii="仿宋_GB2312" w:hAnsi="仿宋_GB2312" w:eastAsia="仿宋_GB2312" w:cs="仿宋_GB2312"/>
          <w:b/>
          <w:color w:val="000000" w:themeColor="text1"/>
          <w:sz w:val="32"/>
          <w:szCs w:val="32"/>
        </w:rPr>
        <w:t>）</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color w:val="000000" w:themeColor="text1"/>
          <w:sz w:val="32"/>
          <w:szCs w:val="32"/>
        </w:rPr>
        <w:t>教育支出（</w:t>
      </w:r>
      <w:r>
        <w:rPr>
          <w:rFonts w:hint="eastAsia" w:ascii="仿宋_GB2312" w:hAnsi="仿宋_GB2312" w:eastAsia="仿宋_GB2312" w:cs="仿宋_GB2312"/>
          <w:b/>
          <w:color w:val="000000" w:themeColor="text1"/>
          <w:sz w:val="32"/>
          <w:szCs w:val="32"/>
          <w:lang w:val="en-US" w:eastAsia="zh-CN"/>
        </w:rPr>
        <w:t>205</w:t>
      </w:r>
      <w:r>
        <w:rPr>
          <w:rFonts w:hint="eastAsia" w:ascii="仿宋_GB2312" w:hAnsi="仿宋_GB2312" w:eastAsia="仿宋_GB2312" w:cs="仿宋_GB2312"/>
          <w:b/>
          <w:color w:val="000000" w:themeColor="text1"/>
          <w:sz w:val="32"/>
          <w:szCs w:val="32"/>
        </w:rPr>
        <w:t>）</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color w:val="000000" w:themeColor="text1"/>
          <w:sz w:val="32"/>
          <w:szCs w:val="32"/>
        </w:rPr>
        <w:t>科学技术（</w:t>
      </w:r>
      <w:r>
        <w:rPr>
          <w:rFonts w:hint="eastAsia" w:ascii="仿宋_GB2312" w:hAnsi="仿宋_GB2312" w:eastAsia="仿宋_GB2312" w:cs="仿宋_GB2312"/>
          <w:b/>
          <w:color w:val="000000" w:themeColor="text1"/>
          <w:sz w:val="32"/>
          <w:szCs w:val="32"/>
          <w:lang w:val="en-US" w:eastAsia="zh-CN"/>
        </w:rPr>
        <w:t>206</w:t>
      </w:r>
      <w:r>
        <w:rPr>
          <w:rFonts w:hint="eastAsia" w:ascii="仿宋_GB2312" w:hAnsi="仿宋_GB2312" w:eastAsia="仿宋_GB2312" w:cs="仿宋_GB2312"/>
          <w:b/>
          <w:color w:val="000000" w:themeColor="text1"/>
          <w:sz w:val="32"/>
          <w:szCs w:val="32"/>
        </w:rPr>
        <w:t>）</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rPr>
        <w:t>文化旅游体育与传媒（</w:t>
      </w:r>
      <w:r>
        <w:rPr>
          <w:rFonts w:hint="eastAsia" w:ascii="仿宋_GB2312" w:hAnsi="仿宋_GB2312" w:eastAsia="仿宋_GB2312" w:cs="仿宋_GB2312"/>
          <w:b/>
          <w:bCs/>
          <w:color w:val="000000" w:themeColor="text1"/>
          <w:sz w:val="32"/>
          <w:szCs w:val="32"/>
          <w:lang w:val="en-US" w:eastAsia="zh-CN"/>
        </w:rPr>
        <w:t>207</w:t>
      </w:r>
      <w:r>
        <w:rPr>
          <w:rFonts w:hint="eastAsia" w:ascii="仿宋_GB2312" w:hAnsi="仿宋_GB2312" w:eastAsia="仿宋_GB2312" w:cs="仿宋_GB2312"/>
          <w:b/>
          <w:bCs/>
          <w:color w:val="000000" w:themeColor="text1"/>
          <w:sz w:val="32"/>
          <w:szCs w:val="32"/>
        </w:rPr>
        <w:t>）支出</w:t>
      </w:r>
      <w:r>
        <w:rPr>
          <w:rFonts w:hint="eastAsia" w:ascii="仿宋_GB2312" w:hAnsi="仿宋_GB2312" w:eastAsia="仿宋_GB2312" w:cs="仿宋_GB2312"/>
          <w:b/>
          <w:bCs/>
          <w:color w:val="000000" w:themeColor="text1"/>
          <w:sz w:val="32"/>
          <w:szCs w:val="32"/>
          <w:lang w:val="en-US" w:eastAsia="zh-CN"/>
        </w:rPr>
        <w:t>0</w:t>
      </w:r>
      <w:r>
        <w:rPr>
          <w:rFonts w:hint="eastAsia" w:ascii="仿宋_GB2312" w:hAnsi="仿宋_GB2312" w:eastAsia="仿宋_GB2312" w:cs="仿宋_GB2312"/>
          <w:b/>
          <w:bCs/>
          <w:color w:val="000000" w:themeColor="text1"/>
          <w:sz w:val="32"/>
          <w:szCs w:val="32"/>
        </w:rPr>
        <w:t>万元，占</w:t>
      </w:r>
      <w:r>
        <w:rPr>
          <w:rFonts w:hint="eastAsia" w:ascii="仿宋_GB2312" w:hAnsi="仿宋_GB2312" w:eastAsia="仿宋_GB2312" w:cs="仿宋_GB2312"/>
          <w:b/>
          <w:bCs/>
          <w:color w:val="000000" w:themeColor="text1"/>
          <w:sz w:val="32"/>
          <w:szCs w:val="32"/>
          <w:lang w:val="en-US" w:eastAsia="zh-CN"/>
        </w:rPr>
        <w:t>0</w:t>
      </w:r>
      <w:r>
        <w:rPr>
          <w:rFonts w:hint="eastAsia" w:ascii="仿宋_GB2312" w:hAnsi="仿宋_GB2312" w:eastAsia="仿宋_GB2312" w:cs="仿宋_GB2312"/>
          <w:b/>
          <w:bCs/>
          <w:color w:val="000000" w:themeColor="text1"/>
          <w:sz w:val="32"/>
          <w:szCs w:val="32"/>
        </w:rPr>
        <w:t>%</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color w:val="000000" w:themeColor="text1"/>
          <w:sz w:val="32"/>
          <w:szCs w:val="32"/>
        </w:rPr>
        <w:t>社会保障和就业（</w:t>
      </w:r>
      <w:r>
        <w:rPr>
          <w:rFonts w:hint="eastAsia" w:ascii="仿宋_GB2312" w:hAnsi="仿宋_GB2312" w:eastAsia="仿宋_GB2312" w:cs="仿宋_GB2312"/>
          <w:b/>
          <w:color w:val="000000" w:themeColor="text1"/>
          <w:sz w:val="32"/>
          <w:szCs w:val="32"/>
          <w:lang w:val="en-US" w:eastAsia="zh-CN"/>
        </w:rPr>
        <w:t>208</w:t>
      </w:r>
      <w:r>
        <w:rPr>
          <w:rFonts w:hint="eastAsia" w:ascii="仿宋_GB2312" w:hAnsi="仿宋_GB2312" w:eastAsia="仿宋_GB2312" w:cs="仿宋_GB2312"/>
          <w:b/>
          <w:color w:val="000000" w:themeColor="text1"/>
          <w:sz w:val="32"/>
          <w:szCs w:val="32"/>
        </w:rPr>
        <w:t>）</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141.86</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80.4</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rPr>
        <w:t>卫生健康支出</w:t>
      </w:r>
      <w:r>
        <w:rPr>
          <w:rFonts w:hint="eastAsia" w:ascii="仿宋_GB2312" w:hAnsi="仿宋_GB2312" w:eastAsia="仿宋_GB2312" w:cs="仿宋_GB2312"/>
          <w:b/>
          <w:bCs/>
          <w:color w:val="000000" w:themeColor="text1"/>
          <w:sz w:val="32"/>
          <w:szCs w:val="32"/>
          <w:lang w:val="en-US" w:eastAsia="zh-CN"/>
        </w:rPr>
        <w:t>(210)9.04</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5.1</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rPr>
        <w:t>住房保障</w:t>
      </w:r>
      <w:r>
        <w:rPr>
          <w:rFonts w:hint="eastAsia" w:ascii="仿宋_GB2312" w:hAnsi="仿宋_GB2312" w:eastAsia="仿宋_GB2312" w:cs="仿宋_GB2312"/>
          <w:b/>
          <w:bCs/>
          <w:color w:val="000000" w:themeColor="text1"/>
          <w:sz w:val="32"/>
          <w:szCs w:val="32"/>
          <w:lang w:val="en-US" w:eastAsia="zh-CN"/>
        </w:rPr>
        <w:t>(221)</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12.52</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7.1</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lang w:val="en-US" w:eastAsia="zh-CN"/>
        </w:rPr>
        <w:t>农林水(213)</w:t>
      </w:r>
      <w:r>
        <w:rPr>
          <w:rFonts w:hint="eastAsia" w:ascii="仿宋_GB2312" w:hAnsi="仿宋_GB2312" w:eastAsia="仿宋_GB2312" w:cs="仿宋_GB2312"/>
          <w:color w:val="000000" w:themeColor="text1"/>
          <w:sz w:val="32"/>
          <w:szCs w:val="32"/>
          <w:lang w:val="en-US" w:eastAsia="zh-CN"/>
        </w:rPr>
        <w:t>支出12.96万元，占7.4%</w:t>
      </w:r>
      <w:r>
        <w:rPr>
          <w:rFonts w:hint="eastAsia" w:ascii="仿宋_GB2312" w:hAnsi="仿宋_GB2312" w:eastAsia="仿宋_GB2312" w:cs="仿宋_GB2312"/>
          <w:color w:val="000000" w:themeColor="text1"/>
          <w:sz w:val="32"/>
          <w:szCs w:val="32"/>
        </w:rPr>
        <w:t>。</w:t>
      </w:r>
    </w:p>
    <w:p>
      <w:pPr>
        <w:pageBreakBefore w:val="0"/>
        <w:widowControl w:val="0"/>
        <w:kinsoku/>
        <w:wordWrap/>
        <w:overflowPunct/>
        <w:topLinePunct w:val="0"/>
        <w:bidi w:val="0"/>
        <w:spacing w:line="240" w:lineRule="auto"/>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inline distT="0" distB="0" distL="114300" distR="114300">
            <wp:extent cx="4584065" cy="2755265"/>
            <wp:effectExtent l="0" t="0" r="3175" b="3175"/>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11"/>
                    <a:stretch>
                      <a:fillRect/>
                    </a:stretch>
                  </pic:blipFill>
                  <pic:spPr>
                    <a:xfrm>
                      <a:off x="0" y="0"/>
                      <a:ext cx="4584065" cy="2755265"/>
                    </a:xfrm>
                    <a:prstGeom prst="rect">
                      <a:avLst/>
                    </a:prstGeom>
                  </pic:spPr>
                </pic:pic>
              </a:graphicData>
            </a:graphic>
          </wp:inline>
        </w:drawing>
      </w:r>
    </w:p>
    <w:p>
      <w:pPr>
        <w:pageBreakBefore w:val="0"/>
        <w:widowControl w:val="0"/>
        <w:kinsoku/>
        <w:wordWrap/>
        <w:overflowPunct/>
        <w:topLinePunct w:val="0"/>
        <w:bidi w:val="0"/>
        <w:spacing w:line="600" w:lineRule="exact"/>
        <w:ind w:firstLine="640" w:firstLineChars="200"/>
        <w:rPr>
          <w:rFonts w:hint="eastAsia" w:ascii="仿宋" w:hAnsi="仿宋" w:eastAsia="仿宋"/>
          <w:color w:val="000000" w:themeColor="text1"/>
          <w:sz w:val="32"/>
          <w:szCs w:val="32"/>
        </w:rPr>
      </w:pPr>
    </w:p>
    <w:p>
      <w:pPr>
        <w:pageBreakBefore w:val="0"/>
        <w:widowControl w:val="0"/>
        <w:kinsoku/>
        <w:wordWrap/>
        <w:overflowPunct/>
        <w:topLinePunct w:val="0"/>
        <w:bidi w:val="0"/>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w:t>
      </w:r>
    </w:p>
    <w:p>
      <w:pPr>
        <w:pageBreakBefore w:val="0"/>
        <w:widowControl w:val="0"/>
        <w:kinsoku/>
        <w:wordWrap/>
        <w:overflowPunct/>
        <w:topLinePunct w:val="0"/>
        <w:bidi w:val="0"/>
        <w:spacing w:line="600" w:lineRule="exact"/>
        <w:ind w:firstLine="643" w:firstLineChars="200"/>
        <w:outlineLvl w:val="2"/>
        <w:rPr>
          <w:rFonts w:hint="eastAsia" w:ascii="仿宋_GB2312" w:hAnsi="仿宋_GB2312" w:eastAsia="仿宋_GB2312" w:cs="仿宋_GB2312"/>
          <w:b/>
          <w:color w:val="000000"/>
          <w:sz w:val="32"/>
          <w:szCs w:val="32"/>
        </w:rPr>
      </w:pPr>
      <w:bookmarkStart w:id="36" w:name="_Toc15377212"/>
      <w:r>
        <w:rPr>
          <w:rFonts w:hint="eastAsia" w:ascii="仿宋_GB2312" w:hAnsi="仿宋_GB2312" w:eastAsia="仿宋_GB2312" w:cs="仿宋_GB2312"/>
          <w:b/>
          <w:color w:val="000000"/>
          <w:sz w:val="32"/>
          <w:szCs w:val="32"/>
        </w:rPr>
        <w:t>（三）一般公共预算财政拨款支出决算具体情况</w:t>
      </w:r>
      <w:bookmarkEnd w:id="36"/>
    </w:p>
    <w:p>
      <w:pPr>
        <w:pageBreakBefore w:val="0"/>
        <w:widowControl w:val="0"/>
        <w:kinsoku/>
        <w:wordWrap/>
        <w:overflowPunct/>
        <w:topLinePunct w:val="0"/>
        <w:bidi w:val="0"/>
        <w:spacing w:line="600" w:lineRule="exact"/>
        <w:ind w:firstLine="640" w:firstLineChars="200"/>
        <w:outlineLvl w:val="2"/>
        <w:rPr>
          <w:rFonts w:hint="eastAsia" w:ascii="仿宋_GB2312" w:hAnsi="仿宋_GB2312" w:eastAsia="仿宋_GB2312" w:cs="仿宋_GB2312"/>
          <w:b w:val="0"/>
          <w:bCs/>
          <w:color w:val="FF0000"/>
          <w:sz w:val="32"/>
          <w:szCs w:val="32"/>
        </w:rPr>
      </w:pPr>
      <w:bookmarkStart w:id="37" w:name="_Toc15377213"/>
      <w:bookmarkStart w:id="38" w:name="_Toc15378460"/>
      <w:bookmarkStart w:id="39" w:name="_Toc15377444"/>
      <w:r>
        <w:rPr>
          <w:rFonts w:hint="eastAsia" w:ascii="仿宋_GB2312" w:hAnsi="仿宋_GB2312" w:eastAsia="仿宋_GB2312" w:cs="仿宋_GB2312"/>
          <w:b w:val="0"/>
          <w:bCs/>
          <w:color w:val="000000" w:themeColor="text1"/>
          <w:sz w:val="32"/>
          <w:szCs w:val="32"/>
        </w:rPr>
        <w:t>2019年</w:t>
      </w:r>
      <w:r>
        <w:rPr>
          <w:rFonts w:hint="eastAsia" w:ascii="仿宋_GB2312" w:hAnsi="仿宋_GB2312" w:eastAsia="仿宋_GB2312" w:cs="仿宋_GB2312"/>
          <w:b w:val="0"/>
          <w:bCs/>
          <w:color w:val="000000" w:themeColor="text1"/>
          <w:sz w:val="32"/>
          <w:szCs w:val="32"/>
          <w:lang w:val="en-US" w:eastAsia="zh-CN"/>
        </w:rPr>
        <w:t>一</w:t>
      </w:r>
      <w:r>
        <w:rPr>
          <w:rFonts w:hint="eastAsia" w:ascii="仿宋_GB2312" w:hAnsi="仿宋_GB2312" w:eastAsia="仿宋_GB2312" w:cs="仿宋_GB2312"/>
          <w:b w:val="0"/>
          <w:bCs/>
          <w:color w:val="000000" w:themeColor="text1"/>
          <w:sz w:val="32"/>
          <w:szCs w:val="32"/>
        </w:rPr>
        <w:t>般公共预算支出决算数为</w:t>
      </w:r>
      <w:r>
        <w:rPr>
          <w:rFonts w:hint="eastAsia" w:ascii="仿宋_GB2312" w:hAnsi="仿宋_GB2312" w:eastAsia="仿宋_GB2312" w:cs="仿宋_GB2312"/>
          <w:b w:val="0"/>
          <w:bCs/>
          <w:color w:val="000000" w:themeColor="text1"/>
          <w:sz w:val="32"/>
          <w:szCs w:val="32"/>
          <w:lang w:val="en-US" w:eastAsia="zh-CN"/>
        </w:rPr>
        <w:t>176.38万元</w:t>
      </w:r>
      <w:r>
        <w:rPr>
          <w:rFonts w:hint="eastAsia" w:ascii="仿宋_GB2312" w:hAnsi="仿宋_GB2312" w:eastAsia="仿宋_GB2312" w:cs="仿宋_GB2312"/>
          <w:b w:val="0"/>
          <w:bCs/>
          <w:color w:val="000000" w:themeColor="text1"/>
          <w:sz w:val="32"/>
          <w:szCs w:val="32"/>
        </w:rPr>
        <w:t>，</w:t>
      </w:r>
      <w:r>
        <w:rPr>
          <w:rStyle w:val="15"/>
          <w:rFonts w:hint="eastAsia" w:ascii="仿宋_GB2312" w:hAnsi="仿宋_GB2312" w:eastAsia="仿宋_GB2312" w:cs="仿宋_GB2312"/>
          <w:b w:val="0"/>
          <w:bCs/>
          <w:color w:val="000000" w:themeColor="text1"/>
          <w:sz w:val="32"/>
          <w:szCs w:val="32"/>
        </w:rPr>
        <w:t>完成</w:t>
      </w:r>
      <w:r>
        <w:rPr>
          <w:rStyle w:val="15"/>
          <w:rFonts w:hint="eastAsia" w:ascii="仿宋_GB2312" w:hAnsi="仿宋_GB2312" w:eastAsia="仿宋_GB2312" w:cs="仿宋_GB2312"/>
          <w:b w:val="0"/>
          <w:bCs/>
          <w:color w:val="000000"/>
          <w:sz w:val="32"/>
          <w:szCs w:val="32"/>
        </w:rPr>
        <w:t>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%。其中：</w:t>
      </w:r>
      <w:bookmarkEnd w:id="37"/>
      <w:bookmarkEnd w:id="38"/>
      <w:bookmarkEnd w:id="39"/>
    </w:p>
    <w:p>
      <w:pPr>
        <w:pageBreakBefore w:val="0"/>
        <w:widowControl w:val="0"/>
        <w:kinsoku/>
        <w:wordWrap/>
        <w:overflowPunct/>
        <w:topLinePunct w:val="0"/>
        <w:bidi w:val="0"/>
        <w:spacing w:line="600" w:lineRule="exact"/>
        <w:ind w:firstLine="640" w:firstLineChars="200"/>
        <w:rPr>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val="0"/>
          <w:color w:val="000000"/>
          <w:sz w:val="32"/>
          <w:szCs w:val="32"/>
          <w:lang w:val="en-US" w:eastAsia="zh-CN"/>
        </w:rPr>
        <w:t>1</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val="en-US" w:eastAsia="zh-CN"/>
        </w:rPr>
        <w:t>科目</w:t>
      </w:r>
      <w:r>
        <w:rPr>
          <w:rStyle w:val="15"/>
          <w:rFonts w:hint="eastAsia" w:ascii="仿宋_GB2312" w:hAnsi="仿宋_GB2312" w:eastAsia="仿宋_GB2312" w:cs="仿宋_GB2312"/>
          <w:b w:val="0"/>
          <w:bCs w:val="0"/>
          <w:color w:val="000000"/>
          <w:sz w:val="32"/>
          <w:szCs w:val="32"/>
        </w:rPr>
        <w:t>2080109</w:t>
      </w:r>
      <w:r>
        <w:rPr>
          <w:rStyle w:val="15"/>
          <w:rFonts w:hint="eastAsia" w:ascii="仿宋_GB2312" w:hAnsi="仿宋_GB2312" w:eastAsia="仿宋_GB2312" w:cs="仿宋_GB2312"/>
          <w:b w:val="0"/>
          <w:bCs w:val="0"/>
          <w:color w:val="000000"/>
          <w:sz w:val="32"/>
          <w:szCs w:val="32"/>
          <w:lang w:val="en-US" w:eastAsia="zh-CN"/>
        </w:rPr>
        <w:t>社会保险经办机构</w:t>
      </w:r>
      <w:r>
        <w:rPr>
          <w:rStyle w:val="15"/>
          <w:rFonts w:hint="eastAsia" w:ascii="仿宋_GB2312" w:hAnsi="仿宋_GB2312" w:eastAsia="仿宋_GB2312" w:cs="仿宋_GB2312"/>
          <w:b w:val="0"/>
          <w:bCs w:val="0"/>
          <w:color w:val="000000"/>
          <w:sz w:val="32"/>
          <w:szCs w:val="32"/>
        </w:rPr>
        <w:t>支出决算为</w:t>
      </w:r>
      <w:r>
        <w:rPr>
          <w:rStyle w:val="15"/>
          <w:rFonts w:hint="eastAsia" w:ascii="仿宋_GB2312" w:hAnsi="仿宋_GB2312" w:eastAsia="仿宋_GB2312" w:cs="仿宋_GB2312"/>
          <w:b w:val="0"/>
          <w:bCs w:val="0"/>
          <w:color w:val="000000"/>
          <w:sz w:val="32"/>
          <w:szCs w:val="32"/>
          <w:lang w:val="en-US" w:eastAsia="zh-CN"/>
        </w:rPr>
        <w:t>120.81万元； 科目2080505机关事业单位基本养老保险缴费支出</w:t>
      </w:r>
      <w:r>
        <w:rPr>
          <w:rStyle w:val="15"/>
          <w:rFonts w:hint="eastAsia" w:ascii="仿宋_GB2312" w:hAnsi="仿宋_GB2312" w:eastAsia="仿宋_GB2312" w:cs="仿宋_GB2312"/>
          <w:b w:val="0"/>
          <w:bCs w:val="0"/>
          <w:color w:val="000000"/>
          <w:sz w:val="32"/>
          <w:szCs w:val="32"/>
        </w:rPr>
        <w:t>支出决算为</w:t>
      </w:r>
      <w:r>
        <w:rPr>
          <w:rStyle w:val="15"/>
          <w:rFonts w:hint="eastAsia" w:ascii="仿宋_GB2312" w:hAnsi="仿宋_GB2312" w:eastAsia="仿宋_GB2312" w:cs="仿宋_GB2312"/>
          <w:b w:val="0"/>
          <w:bCs w:val="0"/>
          <w:color w:val="000000"/>
          <w:sz w:val="32"/>
          <w:szCs w:val="32"/>
          <w:lang w:val="en-US" w:eastAsia="zh-CN"/>
        </w:rPr>
        <w:t>14.4万元；科目2080506</w:t>
      </w:r>
      <w:r>
        <w:rPr>
          <w:rStyle w:val="15"/>
          <w:rFonts w:hint="eastAsia" w:ascii="仿宋_GB2312" w:hAnsi="仿宋_GB2312" w:eastAsia="仿宋_GB2312" w:cs="仿宋_GB2312"/>
          <w:b w:val="0"/>
          <w:bCs w:val="0"/>
          <w:color w:val="000000"/>
          <w:sz w:val="32"/>
          <w:szCs w:val="32"/>
        </w:rPr>
        <w:t>机关事业单位职业年金缴费支出支出决算为</w:t>
      </w:r>
      <w:r>
        <w:rPr>
          <w:rStyle w:val="15"/>
          <w:rFonts w:hint="eastAsia" w:ascii="仿宋_GB2312" w:hAnsi="仿宋_GB2312" w:eastAsia="仿宋_GB2312" w:cs="仿宋_GB2312"/>
          <w:b w:val="0"/>
          <w:bCs w:val="0"/>
          <w:color w:val="000000"/>
          <w:sz w:val="32"/>
          <w:szCs w:val="32"/>
          <w:lang w:val="en-US" w:eastAsia="zh-CN"/>
        </w:rPr>
        <w:t>6.65万元，</w:t>
      </w:r>
      <w:r>
        <w:rPr>
          <w:rStyle w:val="15"/>
          <w:rFonts w:hint="eastAsia" w:ascii="仿宋_GB2312" w:hAnsi="仿宋_GB2312" w:eastAsia="仿宋_GB2312" w:cs="仿宋_GB2312"/>
          <w:b w:val="0"/>
          <w:bCs w:val="0"/>
          <w:color w:val="000000"/>
          <w:sz w:val="32"/>
          <w:szCs w:val="32"/>
        </w:rPr>
        <w:t>完成预算</w:t>
      </w:r>
      <w:r>
        <w:rPr>
          <w:rStyle w:val="15"/>
          <w:rFonts w:hint="eastAsia" w:ascii="仿宋_GB2312" w:hAnsi="仿宋_GB2312" w:eastAsia="仿宋_GB2312" w:cs="仿宋_GB2312"/>
          <w:b w:val="0"/>
          <w:bCs w:val="0"/>
          <w:color w:val="000000"/>
          <w:sz w:val="32"/>
          <w:szCs w:val="32"/>
          <w:lang w:val="en-US" w:eastAsia="zh-CN"/>
        </w:rPr>
        <w:t>100</w:t>
      </w:r>
      <w:r>
        <w:rPr>
          <w:rStyle w:val="15"/>
          <w:rFonts w:hint="eastAsia" w:ascii="仿宋_GB2312" w:hAnsi="仿宋_GB2312" w:eastAsia="仿宋_GB2312" w:cs="仿宋_GB2312"/>
          <w:b w:val="0"/>
          <w:bCs w:val="0"/>
          <w:color w:val="000000"/>
          <w:sz w:val="32"/>
          <w:szCs w:val="32"/>
        </w:rPr>
        <w:t>%，决算数等于预算数。</w:t>
      </w:r>
    </w:p>
    <w:p>
      <w:pPr>
        <w:pageBreakBefore w:val="0"/>
        <w:widowControl w:val="0"/>
        <w:kinsoku/>
        <w:wordWrap/>
        <w:overflowPunct/>
        <w:topLinePunct w:val="0"/>
        <w:bidi w:val="0"/>
        <w:spacing w:line="600" w:lineRule="exact"/>
        <w:ind w:firstLine="640" w:firstLineChars="200"/>
        <w:rPr>
          <w:rStyle w:val="15"/>
          <w:rFonts w:hint="eastAsia" w:ascii="仿宋_GB2312" w:hAnsi="仿宋_GB2312" w:eastAsia="仿宋_GB2312" w:cs="仿宋_GB2312"/>
          <w:b w:val="0"/>
          <w:bCs w:val="0"/>
          <w:color w:val="000000"/>
          <w:sz w:val="32"/>
          <w:szCs w:val="32"/>
          <w:lang w:eastAsia="zh-CN"/>
        </w:rPr>
      </w:pPr>
      <w:r>
        <w:rPr>
          <w:rStyle w:val="15"/>
          <w:rFonts w:hint="eastAsia" w:ascii="仿宋_GB2312" w:hAnsi="仿宋_GB2312" w:eastAsia="仿宋_GB2312" w:cs="仿宋_GB2312"/>
          <w:b w:val="0"/>
          <w:bCs w:val="0"/>
          <w:color w:val="000000"/>
          <w:sz w:val="32"/>
          <w:szCs w:val="32"/>
          <w:lang w:val="en-US" w:eastAsia="zh-CN"/>
        </w:rPr>
        <w:t>2</w:t>
      </w:r>
      <w:r>
        <w:rPr>
          <w:rStyle w:val="15"/>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themeColor="text1"/>
          <w:sz w:val="32"/>
          <w:szCs w:val="32"/>
        </w:rPr>
        <w:t>卫生健康</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科目</w:t>
      </w:r>
      <w:r>
        <w:rPr>
          <w:rFonts w:hint="eastAsia" w:ascii="仿宋_GB2312" w:hAnsi="仿宋_GB2312" w:eastAsia="仿宋_GB2312" w:cs="仿宋_GB2312"/>
          <w:b w:val="0"/>
          <w:bCs w:val="0"/>
          <w:color w:val="000000" w:themeColor="text1"/>
          <w:sz w:val="32"/>
          <w:szCs w:val="32"/>
        </w:rPr>
        <w:t>2101102</w:t>
      </w:r>
      <w:r>
        <w:rPr>
          <w:rFonts w:hint="eastAsia" w:ascii="仿宋_GB2312" w:hAnsi="仿宋_GB2312" w:eastAsia="仿宋_GB2312" w:cs="仿宋_GB2312"/>
          <w:b w:val="0"/>
          <w:bCs w:val="0"/>
          <w:color w:val="000000" w:themeColor="text1"/>
          <w:sz w:val="32"/>
          <w:szCs w:val="32"/>
          <w:lang w:val="en-US" w:eastAsia="zh-CN"/>
        </w:rPr>
        <w:t>事业单位医疗</w:t>
      </w:r>
      <w:r>
        <w:rPr>
          <w:rStyle w:val="15"/>
          <w:rFonts w:hint="eastAsia" w:ascii="仿宋_GB2312" w:hAnsi="仿宋_GB2312" w:eastAsia="仿宋_GB2312" w:cs="仿宋_GB2312"/>
          <w:b w:val="0"/>
          <w:bCs w:val="0"/>
          <w:color w:val="000000"/>
          <w:sz w:val="32"/>
          <w:szCs w:val="32"/>
        </w:rPr>
        <w:t>支出决算为</w:t>
      </w:r>
      <w:r>
        <w:rPr>
          <w:rFonts w:hint="eastAsia" w:ascii="仿宋_GB2312" w:hAnsi="仿宋_GB2312" w:eastAsia="仿宋_GB2312" w:cs="仿宋_GB2312"/>
          <w:b w:val="0"/>
          <w:bCs w:val="0"/>
          <w:color w:val="000000" w:themeColor="text1"/>
          <w:sz w:val="32"/>
          <w:szCs w:val="32"/>
          <w:lang w:val="en-US" w:eastAsia="zh-CN"/>
        </w:rPr>
        <w:t>7.57万元；</w:t>
      </w:r>
      <w:r>
        <w:rPr>
          <w:rStyle w:val="15"/>
          <w:rFonts w:hint="eastAsia" w:ascii="仿宋_GB2312" w:hAnsi="仿宋_GB2312" w:eastAsia="仿宋_GB2312" w:cs="仿宋_GB2312"/>
          <w:b w:val="0"/>
          <w:bCs w:val="0"/>
          <w:color w:val="000000"/>
          <w:sz w:val="32"/>
          <w:szCs w:val="32"/>
          <w:lang w:val="en-US" w:eastAsia="zh-CN"/>
        </w:rPr>
        <w:t>科目</w:t>
      </w:r>
      <w:r>
        <w:rPr>
          <w:rStyle w:val="15"/>
          <w:rFonts w:hint="eastAsia" w:ascii="仿宋_GB2312" w:hAnsi="仿宋_GB2312" w:eastAsia="仿宋_GB2312" w:cs="仿宋_GB2312"/>
          <w:b w:val="0"/>
          <w:bCs w:val="0"/>
          <w:color w:val="000000"/>
          <w:sz w:val="32"/>
          <w:szCs w:val="32"/>
        </w:rPr>
        <w:t>2101199其他行政事业单位医疗支出支出决算为</w:t>
      </w:r>
      <w:r>
        <w:rPr>
          <w:rStyle w:val="15"/>
          <w:rFonts w:hint="eastAsia" w:ascii="仿宋_GB2312" w:hAnsi="仿宋_GB2312" w:eastAsia="仿宋_GB2312" w:cs="仿宋_GB2312"/>
          <w:b w:val="0"/>
          <w:bCs w:val="0"/>
          <w:color w:val="000000"/>
          <w:sz w:val="32"/>
          <w:szCs w:val="32"/>
          <w:lang w:val="en-US" w:eastAsia="zh-CN"/>
        </w:rPr>
        <w:t>1.47万元</w:t>
      </w:r>
      <w:r>
        <w:rPr>
          <w:rStyle w:val="15"/>
          <w:rFonts w:hint="eastAsia" w:ascii="仿宋_GB2312" w:hAnsi="仿宋_GB2312" w:eastAsia="仿宋_GB2312" w:cs="仿宋_GB2312"/>
          <w:b w:val="0"/>
          <w:bCs w:val="0"/>
          <w:color w:val="000000"/>
          <w:sz w:val="32"/>
          <w:szCs w:val="32"/>
        </w:rPr>
        <w:t>，完成预算</w:t>
      </w:r>
      <w:r>
        <w:rPr>
          <w:rStyle w:val="15"/>
          <w:rFonts w:hint="eastAsia" w:ascii="仿宋_GB2312" w:hAnsi="仿宋_GB2312" w:eastAsia="仿宋_GB2312" w:cs="仿宋_GB2312"/>
          <w:b w:val="0"/>
          <w:bCs w:val="0"/>
          <w:color w:val="000000"/>
          <w:sz w:val="32"/>
          <w:szCs w:val="32"/>
          <w:lang w:val="en-US" w:eastAsia="zh-CN"/>
        </w:rPr>
        <w:t>100</w:t>
      </w:r>
      <w:r>
        <w:rPr>
          <w:rStyle w:val="15"/>
          <w:rFonts w:hint="eastAsia" w:ascii="仿宋_GB2312" w:hAnsi="仿宋_GB2312" w:eastAsia="仿宋_GB2312" w:cs="仿宋_GB2312"/>
          <w:b w:val="0"/>
          <w:bCs w:val="0"/>
          <w:color w:val="000000"/>
          <w:sz w:val="32"/>
          <w:szCs w:val="32"/>
        </w:rPr>
        <w:t>%，决算数等于预算数</w:t>
      </w:r>
      <w:r>
        <w:rPr>
          <w:rStyle w:val="15"/>
          <w:rFonts w:hint="eastAsia" w:ascii="仿宋_GB2312" w:hAnsi="仿宋_GB2312" w:eastAsia="仿宋_GB2312" w:cs="仿宋_GB2312"/>
          <w:b w:val="0"/>
          <w:bCs w:val="0"/>
          <w:color w:val="000000"/>
          <w:sz w:val="32"/>
          <w:szCs w:val="32"/>
          <w:lang w:eastAsia="zh-CN"/>
        </w:rPr>
        <w:t>。</w:t>
      </w:r>
    </w:p>
    <w:p>
      <w:pPr>
        <w:pageBreakBefore w:val="0"/>
        <w:widowControl w:val="0"/>
        <w:kinsoku/>
        <w:wordWrap/>
        <w:overflowPunct/>
        <w:topLinePunct w:val="0"/>
        <w:bidi w:val="0"/>
        <w:spacing w:line="600" w:lineRule="exact"/>
        <w:ind w:firstLine="640" w:firstLineChars="200"/>
        <w:rPr>
          <w:rStyle w:val="15"/>
          <w:rFonts w:hint="eastAsia" w:ascii="仿宋_GB2312" w:hAnsi="仿宋_GB2312" w:eastAsia="仿宋_GB2312" w:cs="仿宋_GB2312"/>
          <w:b w:val="0"/>
          <w:bCs w:val="0"/>
          <w:color w:val="000000"/>
          <w:sz w:val="32"/>
          <w:szCs w:val="32"/>
          <w:lang w:val="en-US" w:eastAsia="zh-CN"/>
        </w:rPr>
      </w:pPr>
      <w:r>
        <w:rPr>
          <w:rStyle w:val="15"/>
          <w:rFonts w:hint="eastAsia" w:ascii="仿宋_GB2312" w:hAnsi="仿宋_GB2312" w:eastAsia="仿宋_GB2312" w:cs="仿宋_GB2312"/>
          <w:b w:val="0"/>
          <w:bCs w:val="0"/>
          <w:color w:val="000000"/>
          <w:sz w:val="32"/>
          <w:szCs w:val="32"/>
          <w:lang w:val="en-US" w:eastAsia="zh-CN"/>
        </w:rPr>
        <w:t>3.农林水：科目2130506社会发展</w:t>
      </w:r>
      <w:r>
        <w:rPr>
          <w:rStyle w:val="15"/>
          <w:rFonts w:hint="eastAsia" w:ascii="仿宋_GB2312" w:hAnsi="仿宋_GB2312" w:eastAsia="仿宋_GB2312" w:cs="仿宋_GB2312"/>
          <w:b w:val="0"/>
          <w:bCs w:val="0"/>
          <w:color w:val="000000"/>
          <w:sz w:val="32"/>
          <w:szCs w:val="32"/>
        </w:rPr>
        <w:t>支出决算为</w:t>
      </w:r>
      <w:r>
        <w:rPr>
          <w:rStyle w:val="15"/>
          <w:rFonts w:hint="eastAsia" w:ascii="仿宋_GB2312" w:hAnsi="仿宋_GB2312" w:eastAsia="仿宋_GB2312" w:cs="仿宋_GB2312"/>
          <w:b w:val="0"/>
          <w:bCs w:val="0"/>
          <w:color w:val="000000"/>
          <w:sz w:val="32"/>
          <w:szCs w:val="32"/>
          <w:lang w:val="en-US" w:eastAsia="zh-CN"/>
        </w:rPr>
        <w:t>12.96万元，</w:t>
      </w:r>
      <w:r>
        <w:rPr>
          <w:rStyle w:val="15"/>
          <w:rFonts w:hint="eastAsia" w:ascii="仿宋_GB2312" w:hAnsi="仿宋_GB2312" w:eastAsia="仿宋_GB2312" w:cs="仿宋_GB2312"/>
          <w:b w:val="0"/>
          <w:bCs w:val="0"/>
          <w:color w:val="000000"/>
          <w:sz w:val="32"/>
          <w:szCs w:val="32"/>
        </w:rPr>
        <w:t>完成预算</w:t>
      </w:r>
      <w:r>
        <w:rPr>
          <w:rStyle w:val="15"/>
          <w:rFonts w:hint="eastAsia" w:ascii="仿宋_GB2312" w:hAnsi="仿宋_GB2312" w:eastAsia="仿宋_GB2312" w:cs="仿宋_GB2312"/>
          <w:b w:val="0"/>
          <w:bCs w:val="0"/>
          <w:color w:val="000000"/>
          <w:sz w:val="32"/>
          <w:szCs w:val="32"/>
          <w:lang w:val="en-US" w:eastAsia="zh-CN"/>
        </w:rPr>
        <w:t>100</w:t>
      </w:r>
      <w:r>
        <w:rPr>
          <w:rStyle w:val="15"/>
          <w:rFonts w:hint="eastAsia" w:ascii="仿宋_GB2312" w:hAnsi="仿宋_GB2312" w:eastAsia="仿宋_GB2312" w:cs="仿宋_GB2312"/>
          <w:b w:val="0"/>
          <w:bCs w:val="0"/>
          <w:color w:val="000000"/>
          <w:sz w:val="32"/>
          <w:szCs w:val="32"/>
        </w:rPr>
        <w:t>%，决算数等于预算数</w:t>
      </w:r>
      <w:r>
        <w:rPr>
          <w:rStyle w:val="15"/>
          <w:rFonts w:hint="eastAsia" w:ascii="仿宋_GB2312" w:hAnsi="仿宋_GB2312" w:eastAsia="仿宋_GB2312" w:cs="仿宋_GB2312"/>
          <w:b w:val="0"/>
          <w:bCs w:val="0"/>
          <w:color w:val="000000"/>
          <w:sz w:val="32"/>
          <w:szCs w:val="32"/>
          <w:lang w:eastAsia="zh-CN"/>
        </w:rPr>
        <w:t>。</w:t>
      </w:r>
    </w:p>
    <w:p>
      <w:pPr>
        <w:pageBreakBefore w:val="0"/>
        <w:widowControl w:val="0"/>
        <w:kinsoku/>
        <w:wordWrap/>
        <w:overflowPunct/>
        <w:topLinePunct w:val="0"/>
        <w:bidi w:val="0"/>
        <w:spacing w:line="600" w:lineRule="exact"/>
        <w:ind w:firstLine="640" w:firstLineChars="200"/>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b w:val="0"/>
          <w:bCs w:val="0"/>
          <w:color w:val="000000"/>
          <w:sz w:val="32"/>
          <w:szCs w:val="32"/>
          <w:lang w:val="en-US" w:eastAsia="zh-CN"/>
        </w:rPr>
        <w:t>4.住房保障支出：科目</w:t>
      </w:r>
      <w:r>
        <w:rPr>
          <w:rStyle w:val="15"/>
          <w:rFonts w:hint="eastAsia" w:ascii="仿宋_GB2312" w:hAnsi="仿宋_GB2312" w:eastAsia="仿宋_GB2312" w:cs="仿宋_GB2312"/>
          <w:b w:val="0"/>
          <w:bCs w:val="0"/>
          <w:color w:val="000000"/>
          <w:sz w:val="32"/>
          <w:szCs w:val="32"/>
        </w:rPr>
        <w:t>2210201</w:t>
      </w:r>
      <w:r>
        <w:rPr>
          <w:rStyle w:val="15"/>
          <w:rFonts w:hint="eastAsia" w:ascii="仿宋_GB2312" w:hAnsi="仿宋_GB2312" w:eastAsia="仿宋_GB2312" w:cs="仿宋_GB2312"/>
          <w:b w:val="0"/>
          <w:bCs w:val="0"/>
          <w:color w:val="000000"/>
          <w:sz w:val="32"/>
          <w:szCs w:val="32"/>
          <w:lang w:val="en-US" w:eastAsia="zh-CN"/>
        </w:rPr>
        <w:t>住房公积金</w:t>
      </w:r>
      <w:r>
        <w:rPr>
          <w:rStyle w:val="15"/>
          <w:rFonts w:hint="eastAsia" w:ascii="仿宋_GB2312" w:hAnsi="仿宋_GB2312" w:eastAsia="仿宋_GB2312" w:cs="仿宋_GB2312"/>
          <w:b w:val="0"/>
          <w:bCs w:val="0"/>
          <w:color w:val="000000"/>
          <w:sz w:val="32"/>
          <w:szCs w:val="32"/>
        </w:rPr>
        <w:t>支出决算为</w:t>
      </w:r>
      <w:r>
        <w:rPr>
          <w:rStyle w:val="15"/>
          <w:rFonts w:hint="eastAsia" w:ascii="仿宋_GB2312" w:hAnsi="仿宋_GB2312" w:eastAsia="仿宋_GB2312" w:cs="仿宋_GB2312"/>
          <w:b w:val="0"/>
          <w:bCs w:val="0"/>
          <w:color w:val="000000"/>
          <w:sz w:val="32"/>
          <w:szCs w:val="32"/>
          <w:lang w:val="en-US" w:eastAsia="zh-CN"/>
        </w:rPr>
        <w:t>12.52</w:t>
      </w:r>
      <w:r>
        <w:rPr>
          <w:rStyle w:val="15"/>
          <w:rFonts w:hint="eastAsia" w:ascii="仿宋_GB2312" w:hAnsi="仿宋_GB2312" w:eastAsia="仿宋_GB2312" w:cs="仿宋_GB2312"/>
          <w:b w:val="0"/>
          <w:bCs w:val="0"/>
          <w:color w:val="000000"/>
          <w:sz w:val="32"/>
          <w:szCs w:val="32"/>
        </w:rPr>
        <w:t>万元，完成预算</w:t>
      </w:r>
      <w:r>
        <w:rPr>
          <w:rStyle w:val="15"/>
          <w:rFonts w:hint="eastAsia" w:ascii="仿宋_GB2312" w:hAnsi="仿宋_GB2312" w:eastAsia="仿宋_GB2312" w:cs="仿宋_GB2312"/>
          <w:b w:val="0"/>
          <w:bCs w:val="0"/>
          <w:color w:val="000000"/>
          <w:sz w:val="32"/>
          <w:szCs w:val="32"/>
          <w:lang w:val="en-US" w:eastAsia="zh-CN"/>
        </w:rPr>
        <w:t>100</w:t>
      </w:r>
      <w:r>
        <w:rPr>
          <w:rStyle w:val="15"/>
          <w:rFonts w:hint="eastAsia" w:ascii="仿宋_GB2312" w:hAnsi="仿宋_GB2312" w:eastAsia="仿宋_GB2312" w:cs="仿宋_GB2312"/>
          <w:b w:val="0"/>
          <w:bCs w:val="0"/>
          <w:color w:val="000000"/>
          <w:sz w:val="32"/>
          <w:szCs w:val="32"/>
        </w:rPr>
        <w:t>%，决算数等于预算数</w:t>
      </w:r>
      <w:r>
        <w:rPr>
          <w:rStyle w:val="15"/>
          <w:rFonts w:hint="eastAsia" w:ascii="仿宋_GB2312" w:hAnsi="仿宋_GB2312" w:eastAsia="仿宋_GB2312" w:cs="仿宋_GB2312"/>
          <w:b w:val="0"/>
          <w:bCs/>
          <w:color w:val="000000"/>
          <w:sz w:val="32"/>
          <w:szCs w:val="32"/>
          <w:lang w:eastAsia="zh-CN"/>
        </w:rPr>
        <w:t>。</w:t>
      </w:r>
    </w:p>
    <w:p>
      <w:pPr>
        <w:pageBreakBefore w:val="0"/>
        <w:widowControl w:val="0"/>
        <w:tabs>
          <w:tab w:val="right" w:pos="8306"/>
        </w:tabs>
        <w:kinsoku/>
        <w:wordWrap/>
        <w:overflowPunct/>
        <w:topLinePunct w:val="0"/>
        <w:bidi w:val="0"/>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pageBreakBefore w:val="0"/>
        <w:widowControl w:val="0"/>
        <w:kinsoku/>
        <w:wordWrap/>
        <w:overflowPunct/>
        <w:topLinePunct w:val="0"/>
        <w:bidi w:val="0"/>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w:t>
      </w:r>
      <w:r>
        <w:rPr>
          <w:rFonts w:hint="eastAsia" w:ascii="仿宋_GB2312" w:hAnsi="仿宋_GB2312" w:eastAsia="仿宋_GB2312" w:cs="仿宋_GB2312"/>
          <w:color w:val="000000"/>
          <w:sz w:val="32"/>
          <w:szCs w:val="32"/>
          <w:lang w:val="en-US" w:eastAsia="zh-CN"/>
        </w:rPr>
        <w:t>163.42</w:t>
      </w:r>
      <w:r>
        <w:rPr>
          <w:rFonts w:hint="eastAsia" w:ascii="仿宋_GB2312" w:hAnsi="仿宋_GB2312" w:eastAsia="仿宋_GB2312" w:cs="仿宋_GB2312"/>
          <w:color w:val="000000"/>
          <w:sz w:val="32"/>
          <w:szCs w:val="32"/>
        </w:rPr>
        <w:t>万元，其中：</w:t>
      </w:r>
    </w:p>
    <w:p>
      <w:pPr>
        <w:pageBreakBefore w:val="0"/>
        <w:widowControl w:val="0"/>
        <w:kinsoku/>
        <w:wordWrap/>
        <w:overflowPunct/>
        <w:topLinePunct w:val="0"/>
        <w:bidi w:val="0"/>
        <w:spacing w:line="600" w:lineRule="exact"/>
        <w:ind w:firstLine="645"/>
        <w:rPr>
          <w:rFonts w:ascii="仿宋" w:hAnsi="仿宋" w:eastAsia="仿宋"/>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151.90</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29.21</w:t>
      </w:r>
      <w:r>
        <w:rPr>
          <w:rFonts w:hint="eastAsia" w:ascii="仿宋_GB2312" w:hAnsi="仿宋_GB2312" w:eastAsia="仿宋_GB2312" w:cs="仿宋_GB2312"/>
          <w:color w:val="000000"/>
          <w:sz w:val="32"/>
          <w:szCs w:val="32"/>
        </w:rPr>
        <w:t>万元、津贴补贴</w:t>
      </w:r>
      <w:r>
        <w:rPr>
          <w:rFonts w:hint="eastAsia" w:ascii="仿宋_GB2312" w:hAnsi="仿宋_GB2312" w:eastAsia="仿宋_GB2312" w:cs="仿宋_GB2312"/>
          <w:color w:val="000000"/>
          <w:sz w:val="32"/>
          <w:szCs w:val="32"/>
          <w:lang w:val="en-US" w:eastAsia="zh-CN"/>
        </w:rPr>
        <w:t>39.33</w:t>
      </w:r>
      <w:r>
        <w:rPr>
          <w:rFonts w:hint="eastAsia" w:ascii="仿宋_GB2312" w:hAnsi="仿宋_GB2312" w:eastAsia="仿宋_GB2312" w:cs="仿宋_GB2312"/>
          <w:color w:val="000000"/>
          <w:sz w:val="32"/>
          <w:szCs w:val="32"/>
        </w:rPr>
        <w:t>万元、奖金</w:t>
      </w:r>
      <w:r>
        <w:rPr>
          <w:rFonts w:hint="eastAsia" w:ascii="仿宋_GB2312" w:hAnsi="仿宋_GB2312" w:eastAsia="仿宋_GB2312" w:cs="仿宋_GB2312"/>
          <w:color w:val="000000"/>
          <w:sz w:val="32"/>
          <w:szCs w:val="32"/>
          <w:lang w:val="en-US" w:eastAsia="zh-CN"/>
        </w:rPr>
        <w:t>21.87</w:t>
      </w:r>
      <w:r>
        <w:rPr>
          <w:rFonts w:hint="eastAsia" w:ascii="仿宋_GB2312" w:hAnsi="仿宋_GB2312" w:eastAsia="仿宋_GB2312" w:cs="仿宋_GB2312"/>
          <w:color w:val="000000"/>
          <w:sz w:val="32"/>
          <w:szCs w:val="32"/>
        </w:rPr>
        <w:t>万元、绩效工资</w:t>
      </w:r>
      <w:r>
        <w:rPr>
          <w:rFonts w:hint="eastAsia" w:ascii="仿宋_GB2312" w:hAnsi="仿宋_GB2312" w:eastAsia="仿宋_GB2312" w:cs="仿宋_GB2312"/>
          <w:color w:val="000000"/>
          <w:sz w:val="32"/>
          <w:szCs w:val="32"/>
          <w:lang w:val="en-US" w:eastAsia="zh-CN"/>
        </w:rPr>
        <w:t>16.97</w:t>
      </w:r>
      <w:r>
        <w:rPr>
          <w:rFonts w:hint="eastAsia" w:ascii="仿宋_GB2312" w:hAnsi="仿宋_GB2312" w:eastAsia="仿宋_GB2312" w:cs="仿宋_GB2312"/>
          <w:color w:val="000000"/>
          <w:sz w:val="32"/>
          <w:szCs w:val="32"/>
        </w:rPr>
        <w:t>万元、机关事业单位基本养老保险缴费</w:t>
      </w:r>
      <w:r>
        <w:rPr>
          <w:rFonts w:hint="eastAsia" w:ascii="仿宋_GB2312" w:hAnsi="仿宋_GB2312" w:eastAsia="仿宋_GB2312" w:cs="仿宋_GB2312"/>
          <w:color w:val="000000"/>
          <w:sz w:val="32"/>
          <w:szCs w:val="32"/>
          <w:lang w:val="en-US" w:eastAsia="zh-CN"/>
        </w:rPr>
        <w:t>14.40</w:t>
      </w:r>
      <w:r>
        <w:rPr>
          <w:rFonts w:hint="eastAsia" w:ascii="仿宋_GB2312" w:hAnsi="仿宋_GB2312" w:eastAsia="仿宋_GB2312" w:cs="仿宋_GB2312"/>
          <w:color w:val="000000"/>
          <w:sz w:val="32"/>
          <w:szCs w:val="32"/>
        </w:rPr>
        <w:t>万元、职业年金缴费</w:t>
      </w:r>
      <w:r>
        <w:rPr>
          <w:rFonts w:hint="eastAsia" w:ascii="仿宋_GB2312" w:hAnsi="仿宋_GB2312" w:eastAsia="仿宋_GB2312" w:cs="仿宋_GB2312"/>
          <w:color w:val="000000"/>
          <w:sz w:val="32"/>
          <w:szCs w:val="32"/>
          <w:lang w:val="en-US" w:eastAsia="zh-CN"/>
        </w:rPr>
        <w:t>6.65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职工基本医疗保险7.57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1.12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公务员</w:t>
      </w:r>
      <w:r>
        <w:rPr>
          <w:rFonts w:hint="eastAsia" w:ascii="仿宋_GB2312" w:hAnsi="仿宋_GB2312" w:eastAsia="仿宋_GB2312" w:cs="仿宋_GB2312"/>
          <w:color w:val="000000"/>
          <w:sz w:val="32"/>
          <w:szCs w:val="32"/>
        </w:rPr>
        <w:t>医疗费补助</w:t>
      </w:r>
      <w:r>
        <w:rPr>
          <w:rFonts w:hint="eastAsia" w:ascii="仿宋_GB2312" w:hAnsi="仿宋_GB2312" w:eastAsia="仿宋_GB2312" w:cs="仿宋_GB2312"/>
          <w:color w:val="000000"/>
          <w:sz w:val="32"/>
          <w:szCs w:val="32"/>
          <w:lang w:val="en-US" w:eastAsia="zh-CN"/>
        </w:rPr>
        <w:t>1.47</w:t>
      </w:r>
      <w:r>
        <w:rPr>
          <w:rFonts w:hint="eastAsia" w:ascii="仿宋_GB2312" w:hAnsi="仿宋_GB2312" w:eastAsia="仿宋_GB2312" w:cs="仿宋_GB2312"/>
          <w:color w:val="000000"/>
          <w:sz w:val="32"/>
          <w:szCs w:val="32"/>
        </w:rPr>
        <w:t>万元、奖励金</w:t>
      </w:r>
      <w:r>
        <w:rPr>
          <w:rFonts w:hint="eastAsia" w:ascii="仿宋_GB2312" w:hAnsi="仿宋_GB2312" w:eastAsia="仿宋_GB2312" w:cs="仿宋_GB2312"/>
          <w:color w:val="000000"/>
          <w:sz w:val="32"/>
          <w:szCs w:val="32"/>
          <w:lang w:val="en-US" w:eastAsia="zh-CN"/>
        </w:rPr>
        <w:t>0.01</w:t>
      </w:r>
      <w:r>
        <w:rPr>
          <w:rFonts w:hint="eastAsia" w:ascii="仿宋_GB2312" w:hAnsi="仿宋_GB2312" w:eastAsia="仿宋_GB2312" w:cs="仿宋_GB2312"/>
          <w:color w:val="000000"/>
          <w:sz w:val="32"/>
          <w:szCs w:val="32"/>
        </w:rPr>
        <w:t>万元、住房公积金</w:t>
      </w:r>
      <w:r>
        <w:rPr>
          <w:rFonts w:hint="eastAsia" w:ascii="仿宋_GB2312" w:hAnsi="仿宋_GB2312" w:eastAsia="仿宋_GB2312" w:cs="仿宋_GB2312"/>
          <w:color w:val="000000"/>
          <w:sz w:val="32"/>
          <w:szCs w:val="32"/>
          <w:lang w:val="en-US" w:eastAsia="zh-CN"/>
        </w:rPr>
        <w:t>12.52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11.52</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5.64万元</w:t>
      </w:r>
      <w:r>
        <w:rPr>
          <w:rFonts w:hint="eastAsia" w:ascii="仿宋_GB2312" w:hAnsi="仿宋_GB2312" w:eastAsia="仿宋_GB2312" w:cs="仿宋_GB2312"/>
          <w:color w:val="000000"/>
          <w:sz w:val="32"/>
          <w:szCs w:val="32"/>
        </w:rPr>
        <w:t>、印刷费</w:t>
      </w:r>
      <w:r>
        <w:rPr>
          <w:rFonts w:hint="eastAsia" w:ascii="仿宋_GB2312" w:hAnsi="仿宋_GB2312" w:eastAsia="仿宋_GB2312" w:cs="仿宋_GB2312"/>
          <w:color w:val="000000"/>
          <w:sz w:val="32"/>
          <w:szCs w:val="32"/>
          <w:lang w:val="en-US" w:eastAsia="zh-CN"/>
        </w:rPr>
        <w:t>0.77万元</w:t>
      </w:r>
      <w:r>
        <w:rPr>
          <w:rFonts w:hint="eastAsia" w:ascii="仿宋_GB2312" w:hAnsi="仿宋_GB2312" w:eastAsia="仿宋_GB2312" w:cs="仿宋_GB2312"/>
          <w:color w:val="000000"/>
          <w:sz w:val="32"/>
          <w:szCs w:val="32"/>
        </w:rPr>
        <w:t>、手续费</w:t>
      </w:r>
      <w:r>
        <w:rPr>
          <w:rFonts w:hint="eastAsia" w:ascii="仿宋_GB2312" w:hAnsi="仿宋_GB2312" w:eastAsia="仿宋_GB2312" w:cs="仿宋_GB2312"/>
          <w:color w:val="000000"/>
          <w:sz w:val="32"/>
          <w:szCs w:val="32"/>
          <w:lang w:val="en-US" w:eastAsia="zh-CN"/>
        </w:rPr>
        <w:t>0.1万元</w:t>
      </w:r>
      <w:r>
        <w:rPr>
          <w:rFonts w:hint="eastAsia" w:ascii="仿宋_GB2312" w:hAnsi="仿宋_GB2312" w:eastAsia="仿宋_GB2312" w:cs="仿宋_GB2312"/>
          <w:color w:val="000000"/>
          <w:sz w:val="32"/>
          <w:szCs w:val="32"/>
        </w:rPr>
        <w:t>、水费</w:t>
      </w:r>
      <w:r>
        <w:rPr>
          <w:rFonts w:hint="eastAsia" w:ascii="仿宋_GB2312" w:hAnsi="仿宋_GB2312" w:eastAsia="仿宋_GB2312" w:cs="仿宋_GB2312"/>
          <w:color w:val="000000"/>
          <w:sz w:val="32"/>
          <w:szCs w:val="32"/>
          <w:lang w:val="en-US" w:eastAsia="zh-CN"/>
        </w:rPr>
        <w:t>0.75万元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0.8万元</w:t>
      </w:r>
      <w:r>
        <w:rPr>
          <w:rFonts w:hint="eastAsia" w:ascii="仿宋_GB2312" w:hAnsi="仿宋_GB2312" w:eastAsia="仿宋_GB2312" w:cs="仿宋_GB2312"/>
          <w:color w:val="000000"/>
          <w:sz w:val="32"/>
          <w:szCs w:val="32"/>
        </w:rPr>
        <w:t>、邮电费</w:t>
      </w:r>
      <w:r>
        <w:rPr>
          <w:rFonts w:hint="eastAsia" w:ascii="仿宋_GB2312" w:hAnsi="仿宋_GB2312" w:eastAsia="仿宋_GB2312" w:cs="仿宋_GB2312"/>
          <w:color w:val="000000"/>
          <w:sz w:val="32"/>
          <w:szCs w:val="32"/>
          <w:lang w:val="en-US" w:eastAsia="zh-CN"/>
        </w:rPr>
        <w:t>0.3万元</w:t>
      </w:r>
      <w:r>
        <w:rPr>
          <w:rFonts w:hint="eastAsia" w:ascii="仿宋_GB2312" w:hAnsi="仿宋_GB2312" w:eastAsia="仿宋_GB2312" w:cs="仿宋_GB2312"/>
          <w:color w:val="000000"/>
          <w:sz w:val="32"/>
          <w:szCs w:val="32"/>
        </w:rPr>
        <w:t>、差旅费</w:t>
      </w:r>
      <w:r>
        <w:rPr>
          <w:rFonts w:hint="eastAsia" w:ascii="仿宋_GB2312" w:hAnsi="仿宋_GB2312" w:eastAsia="仿宋_GB2312" w:cs="仿宋_GB2312"/>
          <w:color w:val="000000"/>
          <w:sz w:val="32"/>
          <w:szCs w:val="32"/>
          <w:lang w:val="en-US" w:eastAsia="zh-CN"/>
        </w:rPr>
        <w:t>2.44万元</w:t>
      </w:r>
      <w:r>
        <w:rPr>
          <w:rFonts w:hint="eastAsia" w:ascii="仿宋_GB2312" w:hAnsi="仿宋_GB2312" w:eastAsia="仿宋_GB2312" w:cs="仿宋_GB2312"/>
          <w:color w:val="000000"/>
          <w:sz w:val="32"/>
          <w:szCs w:val="32"/>
        </w:rPr>
        <w:t>、会议费</w:t>
      </w:r>
      <w:r>
        <w:rPr>
          <w:rFonts w:hint="eastAsia" w:ascii="仿宋_GB2312" w:hAnsi="仿宋_GB2312" w:eastAsia="仿宋_GB2312" w:cs="仿宋_GB2312"/>
          <w:color w:val="000000"/>
          <w:sz w:val="32"/>
          <w:szCs w:val="32"/>
          <w:lang w:val="en-US" w:eastAsia="zh-CN"/>
        </w:rPr>
        <w:t>0.3万元</w:t>
      </w:r>
      <w:r>
        <w:rPr>
          <w:rFonts w:hint="eastAsia" w:ascii="仿宋_GB2312" w:hAnsi="仿宋_GB2312" w:eastAsia="仿宋_GB2312" w:cs="仿宋_GB2312"/>
          <w:color w:val="000000"/>
          <w:sz w:val="32"/>
          <w:szCs w:val="32"/>
        </w:rPr>
        <w:t>、公务接待费</w:t>
      </w:r>
      <w:r>
        <w:rPr>
          <w:rFonts w:hint="eastAsia" w:ascii="仿宋_GB2312" w:hAnsi="仿宋_GB2312" w:eastAsia="仿宋_GB2312" w:cs="仿宋_GB2312"/>
          <w:color w:val="000000"/>
          <w:sz w:val="32"/>
          <w:szCs w:val="32"/>
          <w:lang w:val="en-US" w:eastAsia="zh-CN"/>
        </w:rPr>
        <w:t>0.11万元</w:t>
      </w:r>
      <w:r>
        <w:rPr>
          <w:rFonts w:hint="eastAsia" w:ascii="仿宋_GB2312" w:hAnsi="仿宋_GB2312" w:eastAsia="仿宋_GB2312" w:cs="仿宋_GB2312"/>
          <w:color w:val="000000"/>
          <w:sz w:val="32"/>
          <w:szCs w:val="32"/>
        </w:rPr>
        <w:t>。</w:t>
      </w:r>
    </w:p>
    <w:p>
      <w:pPr>
        <w:pageBreakBefore w:val="0"/>
        <w:widowControl w:val="0"/>
        <w:kinsoku/>
        <w:wordWrap/>
        <w:overflowPunct/>
        <w:topLinePunct w:val="0"/>
        <w:bidi w:val="0"/>
        <w:spacing w:line="600" w:lineRule="exact"/>
        <w:ind w:firstLine="640"/>
        <w:outlineLvl w:val="1"/>
        <w:rPr>
          <w:rStyle w:val="26"/>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pageBreakBefore w:val="0"/>
        <w:widowControl w:val="0"/>
        <w:kinsoku/>
        <w:wordWrap/>
        <w:overflowPunct/>
        <w:topLinePunct w:val="0"/>
        <w:bidi w:val="0"/>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pageBreakBefore w:val="0"/>
        <w:widowControl w:val="0"/>
        <w:kinsoku/>
        <w:wordWrap/>
        <w:overflowPunct/>
        <w:topLinePunct w:val="0"/>
        <w:bidi w:val="0"/>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2019年“三公”经费财政拨款支出决算为</w:t>
      </w:r>
      <w:r>
        <w:rPr>
          <w:rFonts w:hint="eastAsia" w:ascii="仿宋_GB2312" w:hAnsi="仿宋_GB2312" w:eastAsia="仿宋_GB2312" w:cs="仿宋_GB2312"/>
          <w:color w:val="000000"/>
          <w:sz w:val="32"/>
          <w:szCs w:val="32"/>
          <w:lang w:val="en-US" w:eastAsia="zh-CN"/>
        </w:rPr>
        <w:t>0.11</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%，决算数与预算数持平。</w:t>
      </w:r>
    </w:p>
    <w:p>
      <w:pPr>
        <w:pageBreakBefore w:val="0"/>
        <w:widowControl w:val="0"/>
        <w:kinsoku/>
        <w:wordWrap/>
        <w:overflowPunct/>
        <w:topLinePunct w:val="0"/>
        <w:bidi w:val="0"/>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pageBreakBefore w:val="0"/>
        <w:widowControl w:val="0"/>
        <w:kinsoku/>
        <w:wordWrap/>
        <w:overflowPunct/>
        <w:topLinePunct w:val="0"/>
        <w:bidi w:val="0"/>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0.11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%。具体情况如下：</w:t>
      </w:r>
    </w:p>
    <w:p>
      <w:pPr>
        <w:pageBreakBefore w:val="0"/>
        <w:widowControl w:val="0"/>
        <w:kinsoku/>
        <w:wordWrap/>
        <w:overflowPunct/>
        <w:topLinePunct w:val="0"/>
        <w:bidi w:val="0"/>
        <w:spacing w:line="240" w:lineRule="auto"/>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065" cy="2755265"/>
            <wp:effectExtent l="0" t="0" r="3175" b="3175"/>
            <wp:docPr id="8" name="图片 8"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3"/>
                    <pic:cNvPicPr>
                      <a:picLocks noChangeAspect="1"/>
                    </pic:cNvPicPr>
                  </pic:nvPicPr>
                  <pic:blipFill>
                    <a:blip r:embed="rId12"/>
                    <a:stretch>
                      <a:fillRect/>
                    </a:stretch>
                  </pic:blipFill>
                  <pic:spPr>
                    <a:xfrm>
                      <a:off x="0" y="0"/>
                      <a:ext cx="4584065" cy="2755265"/>
                    </a:xfrm>
                    <a:prstGeom prst="rect">
                      <a:avLst/>
                    </a:prstGeom>
                  </pic:spPr>
                </pic:pic>
              </a:graphicData>
            </a:graphic>
          </wp:inline>
        </w:drawing>
      </w:r>
    </w:p>
    <w:p>
      <w:pPr>
        <w:pageBreakBefore w:val="0"/>
        <w:widowControl w:val="0"/>
        <w:kinsoku/>
        <w:wordWrap/>
        <w:overflowPunct/>
        <w:topLinePunct w:val="0"/>
        <w:bidi w:val="0"/>
        <w:spacing w:line="600" w:lineRule="exact"/>
        <w:ind w:firstLine="1609" w:firstLineChars="503"/>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w:t>
      </w:r>
    </w:p>
    <w:p>
      <w:pPr>
        <w:pageBreakBefore w:val="0"/>
        <w:widowControl w:val="0"/>
        <w:kinsoku/>
        <w:wordWrap/>
        <w:overflowPunct/>
        <w:topLinePunct w:val="0"/>
        <w:bidi w:val="0"/>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val="en-US"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一样。</w:t>
      </w:r>
    </w:p>
    <w:p>
      <w:pPr>
        <w:pageBreakBefore w:val="0"/>
        <w:widowControl w:val="0"/>
        <w:kinsoku/>
        <w:wordWrap/>
        <w:overflowPunct/>
        <w:topLinePunct w:val="0"/>
        <w:bidi w:val="0"/>
        <w:spacing w:line="600" w:lineRule="exact"/>
        <w:ind w:firstLine="643" w:firstLineChars="200"/>
        <w:rPr>
          <w:rFonts w:hint="eastAsia"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val="en-US"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一样。</w:t>
      </w:r>
    </w:p>
    <w:p>
      <w:pPr>
        <w:pageBreakBefore w:val="0"/>
        <w:widowControl w:val="0"/>
        <w:kinsoku/>
        <w:wordWrap/>
        <w:overflowPunct/>
        <w:topLinePunct w:val="0"/>
        <w:bidi w:val="0"/>
        <w:spacing w:line="600" w:lineRule="exact"/>
        <w:ind w:firstLine="640" w:firstLineChars="200"/>
        <w:rPr>
          <w:rFonts w:hint="default" w:ascii="仿宋_GB2312" w:eastAsia="仿宋_GB2312"/>
          <w:color w:val="000000"/>
          <w:sz w:val="32"/>
          <w:szCs w:val="32"/>
          <w:lang w:val="en-US"/>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0辆。</w:t>
      </w:r>
    </w:p>
    <w:p>
      <w:pPr>
        <w:pageBreakBefore w:val="0"/>
        <w:widowControl w:val="0"/>
        <w:kinsoku/>
        <w:wordWrap/>
        <w:overflowPunct/>
        <w:topLinePunct w:val="0"/>
        <w:bidi w:val="0"/>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widowControl w:val="0"/>
        <w:kinsoku/>
        <w:wordWrap/>
        <w:overflowPunct/>
        <w:topLinePunct w:val="0"/>
        <w:bidi w:val="0"/>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0.11</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基本持平。</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0.11</w:t>
      </w:r>
      <w:r>
        <w:rPr>
          <w:rFonts w:hint="eastAsia" w:ascii="仿宋_GB2312" w:eastAsia="仿宋_GB2312"/>
          <w:color w:val="000000"/>
          <w:sz w:val="32"/>
          <w:szCs w:val="32"/>
        </w:rPr>
        <w:t>万元，主要用于开展业务活动开支的用餐费等。</w:t>
      </w:r>
    </w:p>
    <w:p>
      <w:pPr>
        <w:pageBreakBefore w:val="0"/>
        <w:widowControl w:val="0"/>
        <w:kinsoku/>
        <w:wordWrap/>
        <w:overflowPunct/>
        <w:topLinePunct w:val="0"/>
        <w:bidi w:val="0"/>
        <w:spacing w:line="600" w:lineRule="exact"/>
        <w:ind w:firstLine="640" w:firstLineChars="200"/>
        <w:outlineLvl w:val="1"/>
        <w:rPr>
          <w:rStyle w:val="26"/>
          <w:rFonts w:ascii="黑体" w:hAnsi="黑体" w:eastAsia="黑体"/>
        </w:rPr>
      </w:pPr>
      <w:bookmarkStart w:id="46" w:name="_Toc15396610"/>
      <w:bookmarkStart w:id="47" w:name="_Toc15377218"/>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pageBreakBefore w:val="0"/>
        <w:widowControl w:val="0"/>
        <w:kinsoku/>
        <w:wordWrap/>
        <w:overflowPunct/>
        <w:topLinePunct w:val="0"/>
        <w:bidi w:val="0"/>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numPr>
          <w:ilvl w:val="0"/>
          <w:numId w:val="0"/>
        </w:numPr>
        <w:kinsoku/>
        <w:wordWrap/>
        <w:overflowPunct/>
        <w:topLinePunct w:val="0"/>
        <w:bidi w:val="0"/>
        <w:spacing w:line="600" w:lineRule="exact"/>
        <w:ind w:firstLine="640" w:firstLineChars="20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lang w:eastAsia="zh-CN"/>
        </w:rPr>
        <w:t>九、</w:t>
      </w:r>
      <w:r>
        <w:rPr>
          <w:rStyle w:val="26"/>
          <w:rFonts w:hint="eastAsia" w:ascii="黑体" w:hAnsi="黑体" w:eastAsia="黑体"/>
          <w:b w:val="0"/>
        </w:rPr>
        <w:t>国有资本经营预算支出决算情况说明</w:t>
      </w:r>
      <w:bookmarkEnd w:id="48"/>
      <w:bookmarkEnd w:id="49"/>
    </w:p>
    <w:p>
      <w:pPr>
        <w:pageBreakBefore w:val="0"/>
        <w:widowControl w:val="0"/>
        <w:kinsoku/>
        <w:wordWrap/>
        <w:overflowPunct/>
        <w:topLinePunct w:val="0"/>
        <w:bidi w:val="0"/>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600" w:lineRule="exact"/>
        <w:ind w:firstLine="640" w:firstLineChars="20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pageBreakBefore w:val="0"/>
        <w:widowControl w:val="0"/>
        <w:kinsoku/>
        <w:wordWrap/>
        <w:overflowPunct/>
        <w:topLinePunct w:val="0"/>
        <w:bidi w:val="0"/>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pageBreakBefore w:val="0"/>
        <w:widowControl w:val="0"/>
        <w:kinsoku/>
        <w:wordWrap/>
        <w:overflowPunct/>
        <w:topLinePunct w:val="0"/>
        <w:bidi w:val="0"/>
        <w:spacing w:line="600" w:lineRule="exact"/>
        <w:ind w:firstLine="640" w:firstLineChars="200"/>
        <w:rPr>
          <w:rFonts w:ascii="仿宋_GB2312" w:eastAsia="仿宋_GB2312"/>
          <w:color w:val="000000" w:themeColor="text1"/>
          <w:sz w:val="32"/>
          <w:szCs w:val="32"/>
        </w:rPr>
      </w:pPr>
      <w:r>
        <w:rPr>
          <w:rFonts w:hint="eastAsia" w:ascii="仿宋_GB2312" w:eastAsia="仿宋_GB2312"/>
          <w:color w:val="000000"/>
          <w:sz w:val="32"/>
          <w:szCs w:val="32"/>
          <w:lang w:eastAsia="zh-CN"/>
        </w:rPr>
        <w:t>我单位为事业单位，无</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pageBreakBefore w:val="0"/>
        <w:widowControl w:val="0"/>
        <w:kinsoku/>
        <w:wordWrap/>
        <w:overflowPunct/>
        <w:topLinePunct w:val="0"/>
        <w:bidi w:val="0"/>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无采购业务发生。</w:t>
      </w:r>
    </w:p>
    <w:p>
      <w:pPr>
        <w:pageBreakBefore w:val="0"/>
        <w:widowControl w:val="0"/>
        <w:numPr>
          <w:ilvl w:val="0"/>
          <w:numId w:val="2"/>
        </w:numPr>
        <w:kinsoku/>
        <w:wordWrap/>
        <w:overflowPunct/>
        <w:topLinePunct w:val="0"/>
        <w:autoSpaceDE w:val="0"/>
        <w:autoSpaceDN w:val="0"/>
        <w:bidi w:val="0"/>
        <w:adjustRightInd w:val="0"/>
        <w:spacing w:line="600" w:lineRule="exact"/>
        <w:ind w:firstLine="643" w:firstLineChars="200"/>
        <w:jc w:val="left"/>
        <w:outlineLvl w:val="2"/>
        <w:rPr>
          <w:rFonts w:hint="eastAsia" w:ascii="仿宋" w:hAnsi="仿宋" w:eastAsia="仿宋"/>
          <w:b/>
          <w:color w:val="000000"/>
          <w:sz w:val="32"/>
          <w:szCs w:val="32"/>
        </w:rPr>
      </w:pPr>
      <w:bookmarkStart w:id="54" w:name="_Toc15377224"/>
      <w:r>
        <w:rPr>
          <w:rFonts w:hint="eastAsia" w:ascii="仿宋" w:hAnsi="仿宋" w:eastAsia="仿宋"/>
          <w:b/>
          <w:color w:val="000000"/>
          <w:sz w:val="32"/>
          <w:szCs w:val="32"/>
        </w:rPr>
        <w:t>国有资产占有使用情况</w:t>
      </w:r>
      <w:bookmarkEnd w:id="54"/>
    </w:p>
    <w:p>
      <w:pPr>
        <w:pageBreakBefore w:val="0"/>
        <w:widowControl w:val="0"/>
        <w:numPr>
          <w:ilvl w:val="0"/>
          <w:numId w:val="0"/>
        </w:numPr>
        <w:kinsoku/>
        <w:wordWrap/>
        <w:overflowPunct/>
        <w:topLinePunct w:val="0"/>
        <w:autoSpaceDE w:val="0"/>
        <w:autoSpaceDN w:val="0"/>
        <w:bidi w:val="0"/>
        <w:adjustRightInd w:val="0"/>
        <w:spacing w:line="600" w:lineRule="exact"/>
        <w:jc w:val="left"/>
        <w:outlineLvl w:val="2"/>
        <w:rPr>
          <w:rFonts w:hint="default"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 xml:space="preserve">    </w:t>
      </w:r>
      <w:r>
        <w:rPr>
          <w:rFonts w:hint="eastAsia" w:ascii="仿宋" w:hAnsi="仿宋" w:eastAsia="仿宋"/>
          <w:b w:val="0"/>
          <w:bCs/>
          <w:color w:val="000000"/>
          <w:sz w:val="32"/>
          <w:szCs w:val="32"/>
          <w:lang w:val="en-US" w:eastAsia="zh-CN"/>
        </w:rPr>
        <w:t>我单位无公务车辆。</w:t>
      </w:r>
    </w:p>
    <w:p>
      <w:pPr>
        <w:pageBreakBefore w:val="0"/>
        <w:widowControl w:val="0"/>
        <w:kinsoku/>
        <w:wordWrap/>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ageBreakBefore w:val="0"/>
        <w:widowControl w:val="0"/>
        <w:kinsoku/>
        <w:wordWrap/>
        <w:overflowPunct/>
        <w:topLinePunct w:val="0"/>
        <w:bidi w:val="0"/>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自评</w:t>
      </w:r>
      <w:r>
        <w:rPr>
          <w:rFonts w:hint="eastAsia" w:ascii="仿宋_GB2312" w:hAnsi="仿宋_GB2312" w:eastAsia="仿宋_GB2312" w:cs="仿宋_GB2312"/>
          <w:sz w:val="32"/>
          <w:szCs w:val="32"/>
          <w:lang w:val="en-US" w:eastAsia="zh-CN"/>
        </w:rPr>
        <w:t>98分，存在的问题：一是财务人员的业务指导不够；二是人员调动所需经费预算不足，导致中途追加预算。下一步改进措施：一是加大对财务人员的培训，多提供对财务的学习机会。建立长效机制，严格财务管理，加强财务监督，加强事业单位会计制度的学习；二是加强管理，增强预算编制的准确性和全面性，提高整体支出绩效成果。</w:t>
      </w:r>
    </w:p>
    <w:p>
      <w:pPr>
        <w:pageBreakBefore w:val="0"/>
        <w:widowControl w:val="0"/>
        <w:kinsoku/>
        <w:wordWrap/>
        <w:overflowPunct/>
        <w:topLinePunct w:val="0"/>
        <w:bidi w:val="0"/>
        <w:snapToGrid w:val="0"/>
        <w:spacing w:line="520" w:lineRule="exact"/>
        <w:ind w:firstLine="643" w:firstLineChars="200"/>
        <w:rPr>
          <w:rFonts w:hint="eastAsia" w:ascii="仿宋_GB2312" w:hAnsi="仿宋" w:eastAsia="仿宋_GB2312"/>
          <w:sz w:val="32"/>
          <w:szCs w:val="32"/>
        </w:rPr>
      </w:pPr>
      <w:r>
        <w:rPr>
          <w:rFonts w:hint="eastAsia" w:ascii="楷体_GB2312" w:hAnsi="楷体_GB2312" w:eastAsia="楷体_GB2312" w:cs="楷体_GB2312"/>
          <w:b/>
          <w:bCs/>
          <w:sz w:val="32"/>
          <w:szCs w:val="32"/>
        </w:rPr>
        <w:t>1.项目绩效目标完成情况</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的科目</w:t>
      </w:r>
      <w:r>
        <w:rPr>
          <w:rFonts w:hint="eastAsia" w:ascii="仿宋_GB2312" w:hAnsi="仿宋_GB2312" w:eastAsia="仿宋_GB2312" w:cs="仿宋_GB2312"/>
          <w:sz w:val="32"/>
          <w:szCs w:val="32"/>
          <w:lang w:val="en-US" w:eastAsia="zh-CN"/>
        </w:rPr>
        <w:t>2130506社会发展</w:t>
      </w:r>
      <w:r>
        <w:rPr>
          <w:rFonts w:hint="eastAsia" w:ascii="仿宋_GB2312" w:hAnsi="仿宋" w:eastAsia="仿宋_GB2312"/>
          <w:sz w:val="32"/>
          <w:szCs w:val="32"/>
        </w:rPr>
        <w:t>12.96万元的项目资金，根据阿州财社</w:t>
      </w:r>
      <w:r>
        <w:rPr>
          <w:rFonts w:hint="eastAsia" w:ascii="仿宋_GB2312" w:hAnsi="仿宋" w:eastAsia="仿宋_GB2312"/>
          <w:sz w:val="32"/>
          <w:szCs w:val="32"/>
          <w:lang w:eastAsia="zh-CN"/>
        </w:rPr>
        <w:t>〔</w:t>
      </w:r>
      <w:r>
        <w:rPr>
          <w:rFonts w:hint="eastAsia" w:ascii="仿宋_GB2312" w:hAnsi="仿宋" w:eastAsia="仿宋_GB2312"/>
          <w:sz w:val="32"/>
          <w:szCs w:val="32"/>
        </w:rPr>
        <w:t>2019</w:t>
      </w:r>
      <w:r>
        <w:rPr>
          <w:rFonts w:hint="eastAsia" w:ascii="仿宋_GB2312" w:hAnsi="仿宋" w:eastAsia="仿宋_GB2312"/>
          <w:sz w:val="32"/>
          <w:szCs w:val="32"/>
          <w:lang w:eastAsia="zh-CN"/>
        </w:rPr>
        <w:t>〕</w:t>
      </w:r>
      <w:r>
        <w:rPr>
          <w:rFonts w:hint="eastAsia" w:ascii="仿宋_GB2312" w:hAnsi="仿宋" w:eastAsia="仿宋_GB2312"/>
          <w:sz w:val="32"/>
          <w:szCs w:val="32"/>
        </w:rPr>
        <w:t>43号文件主要用于困难群众代缴城乡居民养老保险基金。今年我单位结合上年末结余共计为2974人完成代缴工作。</w:t>
      </w:r>
    </w:p>
    <w:p>
      <w:pPr>
        <w:pageBreakBefore w:val="0"/>
        <w:widowControl w:val="0"/>
        <w:kinsoku/>
        <w:wordWrap/>
        <w:overflowPunct/>
        <w:topLinePunct w:val="0"/>
        <w:bidi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困难群众代缴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12.96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12.96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确保了</w:t>
      </w:r>
      <w:r>
        <w:rPr>
          <w:rFonts w:hint="eastAsia" w:ascii="仿宋_GB2312" w:hAnsi="仿宋_GB2312" w:eastAsia="仿宋_GB2312" w:cs="仿宋_GB2312"/>
          <w:sz w:val="32"/>
          <w:szCs w:val="32"/>
          <w:lang w:val="en-US" w:eastAsia="zh-CN"/>
        </w:rPr>
        <w:t>2974人正常参保缴费，为养老提供了一份保障。</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困难群众代缴</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红原县城乡居民养老保险事业管理局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129600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129600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129600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129600</w:t>
            </w:r>
          </w:p>
        </w:tc>
      </w:tr>
      <w:tr>
        <w:tblPrEx>
          <w:tblCellMar>
            <w:top w:w="0" w:type="dxa"/>
            <w:left w:w="0" w:type="dxa"/>
            <w:bottom w:w="0" w:type="dxa"/>
            <w:right w:w="0" w:type="dxa"/>
          </w:tblCellMar>
        </w:tblPrEx>
        <w:trPr>
          <w:trHeight w:val="129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预计</w:t>
            </w:r>
            <w:r>
              <w:rPr>
                <w:rFonts w:hint="eastAsia" w:ascii="宋体" w:hAnsi="宋体" w:cs="宋体"/>
                <w:color w:val="000000"/>
                <w:sz w:val="24"/>
                <w:lang w:val="en-US" w:eastAsia="zh-CN"/>
              </w:rPr>
              <w:t>2019年符合代缴的困难群众全部纳入代缴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2019年共计为困难群众2974人代缴297400元（包含了上年结余的代缴资金）。</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66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全县符合困难群众代缴人员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2974人</w:t>
            </w:r>
          </w:p>
        </w:tc>
      </w:tr>
      <w:tr>
        <w:tblPrEx>
          <w:tblCellMar>
            <w:top w:w="0" w:type="dxa"/>
            <w:left w:w="0" w:type="dxa"/>
            <w:bottom w:w="0" w:type="dxa"/>
            <w:right w:w="0" w:type="dxa"/>
          </w:tblCellMar>
        </w:tblPrEx>
        <w:trPr>
          <w:trHeight w:val="89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53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val="0"/>
              <w:kinsoku/>
              <w:wordWrap/>
              <w:overflowPunct/>
              <w:topLinePunct w:val="0"/>
              <w:bidi w:val="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bl>
    <w:p>
      <w:pPr>
        <w:pageBreakBefore w:val="0"/>
        <w:widowControl w:val="0"/>
        <w:kinsoku/>
        <w:wordWrap/>
        <w:overflowPunct/>
        <w:topLinePunct w:val="0"/>
        <w:bidi w:val="0"/>
        <w:spacing w:line="580" w:lineRule="exact"/>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2.部门绩效评价结果。</w:t>
      </w:r>
    </w:p>
    <w:p>
      <w:pPr>
        <w:pageBreakBefore w:val="0"/>
        <w:widowControl w:val="0"/>
        <w:kinsoku/>
        <w:wordWrap/>
        <w:overflowPunct/>
        <w:topLinePunct w:val="0"/>
        <w:bidi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红原县城乡居民养老保险事业管理局</w:t>
      </w:r>
      <w:r>
        <w:rPr>
          <w:rFonts w:hint="eastAsia" w:ascii="仿宋_GB2312" w:hAnsi="仿宋_GB2312" w:eastAsia="仿宋_GB2312" w:cs="仿宋_GB2312"/>
          <w:sz w:val="32"/>
          <w:szCs w:val="32"/>
        </w:rPr>
        <w:t>2019年部门整体支出绩效评价报告》见附件（附件1）。</w:t>
      </w:r>
    </w:p>
    <w:p>
      <w:pPr>
        <w:pageBreakBefore w:val="0"/>
        <w:widowControl w:val="0"/>
        <w:kinsoku/>
        <w:wordWrap/>
        <w:overflowPunct/>
        <w:topLinePunct w:val="0"/>
        <w:bidi w:val="0"/>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专项资金</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城乡居民养老保险</w:t>
      </w:r>
      <w:r>
        <w:rPr>
          <w:rFonts w:hint="eastAsia" w:ascii="仿宋_GB2312" w:hAnsi="仿宋_GB2312" w:eastAsia="仿宋_GB2312" w:cs="仿宋_GB2312"/>
          <w:sz w:val="32"/>
          <w:szCs w:val="32"/>
        </w:rPr>
        <w:t>项目2019年绩效评价报告》见附件（附件2）。</w:t>
      </w:r>
    </w:p>
    <w:p>
      <w:pPr>
        <w:pageBreakBefore w:val="0"/>
        <w:widowControl w:val="0"/>
        <w:kinsoku/>
        <w:wordWrap/>
        <w:overflowPunct/>
        <w:topLinePunct w:val="0"/>
        <w:bidi w:val="0"/>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widowControl w:val="0"/>
        <w:numPr>
          <w:ilvl w:val="0"/>
          <w:numId w:val="3"/>
        </w:numPr>
        <w:kinsoku/>
        <w:wordWrap/>
        <w:overflowPunct/>
        <w:topLinePunct w:val="0"/>
        <w:bidi w:val="0"/>
        <w:spacing w:line="600" w:lineRule="exact"/>
        <w:ind w:firstLine="660"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pPr>
        <w:pageBreakBefore w:val="0"/>
        <w:widowControl w:val="0"/>
        <w:kinsoku/>
        <w:wordWrap/>
        <w:overflowPunct/>
        <w:topLinePunct w:val="0"/>
        <w:bidi w:val="0"/>
        <w:spacing w:line="600" w:lineRule="exact"/>
        <w:jc w:val="left"/>
        <w:rPr>
          <w:rFonts w:ascii="宋体"/>
          <w:b/>
          <w:color w:val="000000"/>
          <w:sz w:val="44"/>
          <w:szCs w:val="44"/>
        </w:rPr>
      </w:pPr>
    </w:p>
    <w:p>
      <w:pPr>
        <w:pStyle w:val="23"/>
        <w:pageBreakBefore w:val="0"/>
        <w:widowControl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pageBreakBefore w:val="0"/>
        <w:widowControl w:val="0"/>
        <w:kinsoku/>
        <w:wordWrap/>
        <w:overflowPunct/>
        <w:topLinePunct w:val="0"/>
        <w:bidi w:val="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pageBreakBefore w:val="0"/>
        <w:widowControl w:val="0"/>
        <w:kinsoku/>
        <w:wordWrap/>
        <w:overflowPunct/>
        <w:topLinePunct w:val="0"/>
        <w:bidi w:val="0"/>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pageBreakBefore w:val="0"/>
        <w:widowControl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3"/>
        <w:pageBreakBefore w:val="0"/>
        <w:widowControl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pageBreakBefore w:val="0"/>
        <w:widowControl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pageBreakBefore w:val="0"/>
        <w:widowControl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pageBreakBefore w:val="0"/>
        <w:widowControl w:val="0"/>
        <w:kinsoku/>
        <w:wordWrap/>
        <w:overflowPunct/>
        <w:topLinePunct w:val="0"/>
        <w:bidi w:val="0"/>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ageBreakBefore w:val="0"/>
        <w:widowControl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23"/>
        <w:pageBreakBefore w:val="0"/>
        <w:widowControl w:val="0"/>
        <w:kinsoku/>
        <w:wordWrap/>
        <w:overflowPunct/>
        <w:topLinePunct w:val="0"/>
        <w:bidi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pageBreakBefore w:val="0"/>
        <w:widowControl w:val="0"/>
        <w:kinsoku/>
        <w:wordWrap/>
        <w:overflowPunct/>
        <w:topLinePunct w:val="0"/>
        <w:bidi w:val="0"/>
        <w:spacing w:line="560" w:lineRule="exact"/>
        <w:ind w:firstLine="640" w:firstLineChars="200"/>
        <w:rPr>
          <w:rFonts w:hint="eastAsia" w:ascii="仿宋_GB2312" w:eastAsia="仿宋"/>
          <w:sz w:val="32"/>
          <w:szCs w:val="32"/>
          <w:lang w:val="en-US" w:eastAsia="zh-CN"/>
        </w:rPr>
      </w:pPr>
      <w:r>
        <w:rPr>
          <w:rFonts w:hint="eastAsia" w:ascii="仿宋_GB2312" w:eastAsia="仿宋_GB2312"/>
          <w:sz w:val="32"/>
          <w:szCs w:val="32"/>
          <w:lang w:val="en-US" w:eastAsia="zh-CN"/>
        </w:rPr>
        <w:t>11.</w:t>
      </w:r>
      <w:r>
        <w:rPr>
          <w:rStyle w:val="15"/>
          <w:rFonts w:hint="eastAsia" w:ascii="仿宋" w:hAnsi="仿宋" w:eastAsia="仿宋"/>
          <w:b w:val="0"/>
          <w:bCs/>
          <w:color w:val="000000"/>
          <w:sz w:val="32"/>
          <w:szCs w:val="32"/>
          <w:lang w:val="en-US" w:eastAsia="zh-CN"/>
        </w:rPr>
        <w:t>农林水：科目2130506社会发展</w:t>
      </w:r>
      <w:r>
        <w:rPr>
          <w:rStyle w:val="15"/>
          <w:rFonts w:hint="eastAsia" w:ascii="仿宋" w:hAnsi="仿宋" w:eastAsia="仿宋"/>
          <w:b w:val="0"/>
          <w:bCs/>
          <w:color w:val="000000"/>
          <w:sz w:val="32"/>
          <w:szCs w:val="32"/>
        </w:rPr>
        <w:t>支出</w:t>
      </w:r>
      <w:r>
        <w:rPr>
          <w:rStyle w:val="15"/>
          <w:rFonts w:hint="eastAsia" w:hAnsi="仿宋"/>
          <w:b w:val="0"/>
          <w:bCs/>
          <w:color w:val="000000"/>
          <w:sz w:val="32"/>
          <w:szCs w:val="32"/>
          <w:lang w:eastAsia="zh-CN"/>
        </w:rPr>
        <w:t>是项目支出困难群众代缴资金。</w:t>
      </w:r>
    </w:p>
    <w:p>
      <w:pPr>
        <w:pageBreakBefore w:val="0"/>
        <w:widowControl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2080109</w:t>
      </w:r>
      <w:r>
        <w:rPr>
          <w:rFonts w:hint="eastAsia" w:ascii="仿宋_GB2312" w:eastAsia="仿宋_GB2312"/>
          <w:color w:val="000000"/>
          <w:sz w:val="32"/>
          <w:szCs w:val="32"/>
        </w:rPr>
        <w:t>社会保险经办机构</w:t>
      </w:r>
      <w:r>
        <w:rPr>
          <w:rFonts w:hint="eastAsia" w:ascii="仿宋_GB2312" w:eastAsia="仿宋_GB2312"/>
          <w:color w:val="000000"/>
          <w:sz w:val="32"/>
          <w:szCs w:val="32"/>
          <w:lang w:eastAsia="zh-CN"/>
        </w:rPr>
        <w:t>是指单位开展业务的经费及职工工资；</w:t>
      </w:r>
      <w:r>
        <w:rPr>
          <w:rFonts w:hint="eastAsia" w:ascii="仿宋_GB2312" w:eastAsia="仿宋_GB2312"/>
          <w:color w:val="000000"/>
          <w:sz w:val="32"/>
          <w:szCs w:val="32"/>
        </w:rPr>
        <w:t>2080505 机关事业单位基本养老保险缴费支出</w:t>
      </w:r>
      <w:r>
        <w:rPr>
          <w:rFonts w:hint="eastAsia" w:ascii="仿宋_GB2312" w:eastAsia="仿宋_GB2312"/>
          <w:color w:val="000000"/>
          <w:sz w:val="32"/>
          <w:szCs w:val="32"/>
          <w:lang w:eastAsia="zh-CN"/>
        </w:rPr>
        <w:t>是指缴纳单位职工的养老保险；</w:t>
      </w:r>
      <w:r>
        <w:rPr>
          <w:rFonts w:hint="eastAsia" w:ascii="仿宋_GB2312" w:eastAsia="仿宋_GB2312"/>
          <w:color w:val="000000"/>
          <w:sz w:val="32"/>
          <w:szCs w:val="32"/>
        </w:rPr>
        <w:t>208050</w:t>
      </w:r>
      <w:r>
        <w:rPr>
          <w:rFonts w:hint="eastAsia" w:ascii="仿宋_GB2312" w:eastAsia="仿宋_GB2312"/>
          <w:color w:val="000000"/>
          <w:sz w:val="32"/>
          <w:szCs w:val="32"/>
          <w:lang w:val="en-US" w:eastAsia="zh-CN"/>
        </w:rPr>
        <w:t>6机关事业单位职业年金缴费支出是指缴纳单位职工的职业年金。</w:t>
      </w:r>
    </w:p>
    <w:p>
      <w:pPr>
        <w:pageBreakBefore w:val="0"/>
        <w:widowControl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eastAsia="zh-CN"/>
        </w:rPr>
        <w:t>：</w:t>
      </w:r>
      <w:r>
        <w:rPr>
          <w:rFonts w:hint="eastAsia" w:ascii="仿宋_GB2312" w:eastAsia="仿宋_GB2312"/>
          <w:color w:val="000000"/>
          <w:sz w:val="32"/>
          <w:szCs w:val="32"/>
        </w:rPr>
        <w:t>2101102事业单位医疗</w:t>
      </w:r>
      <w:r>
        <w:rPr>
          <w:rFonts w:hint="eastAsia" w:ascii="仿宋_GB2312" w:eastAsia="仿宋_GB2312"/>
          <w:color w:val="000000"/>
          <w:sz w:val="32"/>
          <w:szCs w:val="32"/>
          <w:lang w:eastAsia="zh-CN"/>
        </w:rPr>
        <w:t>是指职工医疗保险；2101199其他行政事业单位医疗支出</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单位职工公务员医疗补助</w:t>
      </w:r>
      <w:r>
        <w:rPr>
          <w:rFonts w:hint="eastAsia" w:ascii="仿宋_GB2312" w:eastAsia="仿宋_GB2312"/>
          <w:color w:val="000000"/>
          <w:sz w:val="32"/>
          <w:szCs w:val="32"/>
        </w:rPr>
        <w:t>。</w:t>
      </w:r>
    </w:p>
    <w:p>
      <w:pPr>
        <w:pageBreakBefore w:val="0"/>
        <w:widowControl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rPr>
        <w:t>2210201</w:t>
      </w:r>
      <w:r>
        <w:rPr>
          <w:rFonts w:hint="eastAsia" w:ascii="仿宋_GB2312" w:eastAsia="仿宋_GB2312"/>
          <w:color w:val="000000"/>
          <w:sz w:val="32"/>
          <w:szCs w:val="32"/>
          <w:lang w:eastAsia="zh-CN"/>
        </w:rPr>
        <w:t>住房公积金是指缴纳单位职工住房公积金。</w:t>
      </w:r>
    </w:p>
    <w:p>
      <w:pPr>
        <w:pStyle w:val="23"/>
        <w:pageBreakBefore w:val="0"/>
        <w:widowControl w:val="0"/>
        <w:kinsoku/>
        <w:wordWrap/>
        <w:overflowPunct/>
        <w:topLinePunct w:val="0"/>
        <w:bidi w:val="0"/>
        <w:spacing w:line="560" w:lineRule="exact"/>
        <w:ind w:firstLine="640" w:firstLineChars="200"/>
        <w:rPr>
          <w:rFonts w:ascii="仿宋_GB2312" w:eastAsia="仿宋_GB2312" w:cs="黑体"/>
          <w:sz w:val="32"/>
          <w:szCs w:val="32"/>
        </w:rPr>
      </w:pPr>
    </w:p>
    <w:p>
      <w:pPr>
        <w:pageBreakBefore w:val="0"/>
        <w:widowControl w:val="0"/>
        <w:kinsoku/>
        <w:wordWrap/>
        <w:overflowPunct/>
        <w:topLinePunct w:val="0"/>
        <w:bidi w:val="0"/>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pageBreakBefore w:val="0"/>
        <w:widowControl w:val="0"/>
        <w:kinsoku/>
        <w:wordWrap/>
        <w:overflowPunct/>
        <w:topLinePunct w:val="0"/>
        <w:bidi w:val="0"/>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pageBreakBefore w:val="0"/>
        <w:widowControl w:val="0"/>
        <w:kinsoku/>
        <w:wordWrap/>
        <w:overflowPunct/>
        <w:topLinePunct w:val="0"/>
        <w:bidi w:val="0"/>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pacing w:beforeAutospacing="0" w:afterAutospacing="0" w:line="576" w:lineRule="exact"/>
        <w:jc w:val="center"/>
        <w:textAlignment w:val="auto"/>
        <w:rPr>
          <w:rFonts w:hint="eastAsia" w:ascii="方正小标宋简体" w:eastAsia="方正小标宋简体"/>
          <w:color w:val="000000"/>
          <w:sz w:val="44"/>
          <w:szCs w:val="44"/>
          <w:lang w:eastAsia="zh-CN"/>
        </w:rPr>
      </w:pPr>
      <w:r>
        <w:rPr>
          <w:rFonts w:hint="eastAsia" w:ascii="方正小标宋简体" w:eastAsia="方正小标宋简体"/>
          <w:color w:val="000000"/>
          <w:sz w:val="44"/>
          <w:szCs w:val="44"/>
        </w:rPr>
        <w:t>红原县</w:t>
      </w:r>
      <w:r>
        <w:rPr>
          <w:rFonts w:hint="eastAsia" w:ascii="方正小标宋简体" w:eastAsia="方正小标宋简体"/>
          <w:color w:val="000000"/>
          <w:sz w:val="44"/>
          <w:szCs w:val="44"/>
          <w:lang w:eastAsia="zh-CN"/>
        </w:rPr>
        <w:t>城乡居民养老保险事业管理局</w:t>
      </w:r>
    </w:p>
    <w:p>
      <w:pPr>
        <w:pageBreakBefore w:val="0"/>
        <w:widowControl w:val="0"/>
        <w:kinsoku/>
        <w:wordWrap/>
        <w:overflowPunct/>
        <w:topLinePunct w:val="0"/>
        <w:bidi w:val="0"/>
        <w:adjustRightInd w:val="0"/>
        <w:snapToGrid w:val="0"/>
        <w:spacing w:line="580" w:lineRule="exact"/>
        <w:ind w:firstLine="880" w:firstLineChars="200"/>
        <w:contextualSpacing/>
        <w:jc w:val="left"/>
        <w:rPr>
          <w:rFonts w:ascii="黑体" w:hAnsi="宋体" w:eastAsia="黑体" w:cs="宋体"/>
          <w:color w:val="000000"/>
          <w:kern w:val="0"/>
          <w:sz w:val="24"/>
          <w:szCs w:val="32"/>
          <w:shd w:val="clear" w:color="auto" w:fill="FFFFFF"/>
        </w:rPr>
      </w:pPr>
      <w:r>
        <w:rPr>
          <w:rFonts w:hint="eastAsia" w:ascii="方正小标宋简体" w:eastAsia="方正小标宋简体"/>
          <w:color w:val="000000"/>
          <w:sz w:val="44"/>
          <w:szCs w:val="44"/>
          <w:lang w:val="en-US" w:eastAsia="zh-CN"/>
        </w:rPr>
        <w:t>2019</w:t>
      </w:r>
      <w:r>
        <w:rPr>
          <w:rFonts w:hint="eastAsia" w:ascii="方正小标宋简体" w:eastAsia="方正小标宋简体"/>
          <w:color w:val="000000"/>
          <w:sz w:val="44"/>
          <w:szCs w:val="44"/>
        </w:rPr>
        <w:t>年度部门</w:t>
      </w:r>
      <w:r>
        <w:rPr>
          <w:rFonts w:hint="eastAsia" w:ascii="方正小标宋简体" w:eastAsia="方正小标宋简体"/>
          <w:color w:val="000000"/>
          <w:sz w:val="44"/>
          <w:szCs w:val="44"/>
          <w:lang w:eastAsia="zh-CN"/>
        </w:rPr>
        <w:t>整体支出绩效</w:t>
      </w:r>
      <w:r>
        <w:rPr>
          <w:rFonts w:hint="eastAsia" w:ascii="方正小标宋简体" w:eastAsia="方正小标宋简体"/>
          <w:color w:val="000000"/>
          <w:sz w:val="44"/>
          <w:szCs w:val="44"/>
        </w:rPr>
        <w:t>报告</w:t>
      </w:r>
    </w:p>
    <w:p>
      <w:pPr>
        <w:pageBreakBefore w:val="0"/>
        <w:widowControl w:val="0"/>
        <w:kinsoku/>
        <w:wordWrap/>
        <w:overflowPunct/>
        <w:topLinePunct w:val="0"/>
        <w:bidi w:val="0"/>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p>
    <w:p>
      <w:pPr>
        <w:pageBreakBefore w:val="0"/>
        <w:widowControl w:val="0"/>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宋体" w:eastAsia="仿宋_GB2312" w:cs="宋体"/>
          <w:color w:val="000000"/>
          <w:kern w:val="0"/>
          <w:sz w:val="32"/>
          <w:szCs w:val="32"/>
          <w:shd w:val="clear" w:color="auto" w:fill="FFFFFF"/>
          <w:lang w:val="zh-CN"/>
        </w:rPr>
        <w:t>（一）机构组成。</w:t>
      </w:r>
      <w:r>
        <w:rPr>
          <w:rFonts w:hint="eastAsia" w:ascii="仿宋_GB2312" w:hAnsi="仿宋_GB2312" w:eastAsia="仿宋_GB2312" w:cs="仿宋_GB2312"/>
          <w:color w:val="000000"/>
          <w:sz w:val="32"/>
          <w:szCs w:val="32"/>
        </w:rPr>
        <w:t>红原县</w:t>
      </w:r>
      <w:r>
        <w:rPr>
          <w:rFonts w:hint="eastAsia" w:ascii="仿宋_GB2312" w:hAnsi="仿宋_GB2312" w:eastAsia="仿宋_GB2312" w:cs="仿宋_GB2312"/>
          <w:color w:val="000000"/>
          <w:sz w:val="32"/>
          <w:szCs w:val="32"/>
          <w:lang w:eastAsia="zh-CN"/>
        </w:rPr>
        <w:t>城乡居民养老保险事业管理局</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eastAsia="zh-CN"/>
        </w:rPr>
        <w:t>红原县</w:t>
      </w:r>
      <w:r>
        <w:rPr>
          <w:rFonts w:hint="eastAsia" w:ascii="仿宋_GB2312" w:hAnsi="仿宋_GB2312" w:cs="仿宋_GB2312"/>
          <w:color w:val="000000"/>
          <w:sz w:val="32"/>
          <w:szCs w:val="32"/>
          <w:lang w:eastAsia="zh-CN"/>
        </w:rPr>
        <w:t>人力资源和社会保障</w:t>
      </w:r>
      <w:r>
        <w:rPr>
          <w:rFonts w:hint="eastAsia" w:ascii="仿宋_GB2312" w:hAnsi="仿宋_GB2312" w:eastAsia="仿宋_GB2312" w:cs="仿宋_GB2312"/>
          <w:color w:val="000000"/>
          <w:sz w:val="32"/>
          <w:szCs w:val="32"/>
          <w:lang w:eastAsia="zh-CN"/>
        </w:rPr>
        <w:t>局下属的二级单位，是</w:t>
      </w:r>
      <w:r>
        <w:rPr>
          <w:rFonts w:hint="eastAsia" w:ascii="仿宋_GB2312" w:hAnsi="仿宋_GB2312" w:eastAsia="仿宋_GB2312" w:cs="仿宋_GB2312"/>
          <w:color w:val="000000"/>
          <w:sz w:val="32"/>
          <w:szCs w:val="32"/>
        </w:rPr>
        <w:t>全额拨款的事业单位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其中内设机构</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个</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办公室、统筹计划股、退休管理股、审计稽核股、财务股。</w:t>
      </w:r>
    </w:p>
    <w:p>
      <w:pPr>
        <w:pageBreakBefore w:val="0"/>
        <w:widowControl w:val="0"/>
        <w:kinsoku/>
        <w:wordWrap/>
        <w:overflowPunct/>
        <w:topLinePunct w:val="0"/>
        <w:bidi w:val="0"/>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r>
        <w:rPr>
          <w:rFonts w:hint="eastAsia" w:ascii="仿宋_GB2312" w:hAnsi="仿宋_GB2312" w:eastAsia="仿宋_GB2312" w:cs="仿宋_GB2312"/>
          <w:color w:val="000000"/>
          <w:sz w:val="32"/>
          <w:szCs w:val="32"/>
          <w:lang w:eastAsia="zh-CN"/>
        </w:rPr>
        <w:t>我局</w:t>
      </w:r>
      <w:r>
        <w:rPr>
          <w:rFonts w:hint="eastAsia" w:ascii="仿宋_GB2312" w:hAnsi="仿宋_GB2312" w:eastAsia="仿宋_GB2312" w:cs="仿宋_GB2312"/>
          <w:color w:val="000000"/>
          <w:sz w:val="32"/>
          <w:szCs w:val="32"/>
        </w:rPr>
        <w:t>属</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级预算单位，</w:t>
      </w:r>
      <w:r>
        <w:rPr>
          <w:rFonts w:hint="eastAsia" w:ascii="仿宋_GB2312" w:hAnsi="仿宋_GB2312" w:eastAsia="仿宋_GB2312" w:cs="仿宋_GB2312"/>
          <w:color w:val="000000"/>
          <w:sz w:val="32"/>
          <w:szCs w:val="32"/>
          <w:lang w:eastAsia="zh-CN"/>
        </w:rPr>
        <w:t>主要</w:t>
      </w:r>
      <w:r>
        <w:rPr>
          <w:rFonts w:hint="eastAsia" w:ascii="仿宋_GB2312" w:hAnsi="仿宋_GB2312" w:eastAsia="仿宋_GB2312" w:cs="仿宋_GB2312"/>
          <w:color w:val="000000"/>
          <w:sz w:val="32"/>
          <w:szCs w:val="32"/>
          <w:lang w:val="en-US" w:eastAsia="zh-CN"/>
        </w:rPr>
        <w:t>贯彻落实城乡居民养老保险方面的政策、法律、法规，全面发展城乡居民养老保险事业，加快社会保障体系的建设，保障劳动者在年老丧失劳动能力的情况下能够获得国家和社会补偿。</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宋体" w:eastAsia="仿宋_GB2312" w:cs="宋体"/>
          <w:color w:val="000000"/>
          <w:kern w:val="0"/>
          <w:sz w:val="32"/>
          <w:szCs w:val="32"/>
          <w:shd w:val="clear" w:color="auto" w:fill="FFFFFF"/>
          <w:lang w:val="zh-CN"/>
        </w:rPr>
        <w:t>（三）人员概况。</w:t>
      </w:r>
      <w:r>
        <w:rPr>
          <w:rFonts w:hint="eastAsia" w:ascii="仿宋_GB2312" w:hAnsi="仿宋_GB2312" w:eastAsia="仿宋_GB2312" w:cs="仿宋_GB2312"/>
          <w:color w:val="000000"/>
          <w:sz w:val="32"/>
          <w:szCs w:val="32"/>
        </w:rPr>
        <w:t>本单位年末编制人数</w:t>
      </w:r>
      <w:r>
        <w:rPr>
          <w:rFonts w:hint="eastAsia" w:ascii="仿宋_GB2312" w:hAnsi="仿宋_GB2312" w:cs="仿宋_GB2312"/>
          <w:color w:val="000000"/>
          <w:sz w:val="32"/>
          <w:szCs w:val="32"/>
          <w:lang w:val="en-US" w:eastAsia="zh-CN"/>
        </w:rPr>
        <w:t>10</w:t>
      </w:r>
      <w:r>
        <w:rPr>
          <w:rFonts w:hint="eastAsia" w:ascii="仿宋_GB2312" w:hAnsi="仿宋_GB2312" w:eastAsia="仿宋_GB2312" w:cs="仿宋_GB2312"/>
          <w:color w:val="000000"/>
          <w:sz w:val="32"/>
          <w:szCs w:val="32"/>
        </w:rPr>
        <w:t>人，全部为事业编制；实有人数</w:t>
      </w:r>
      <w:r>
        <w:rPr>
          <w:rFonts w:hint="eastAsia" w:ascii="仿宋_GB2312" w:hAnsi="仿宋_GB2312" w:cs="仿宋_GB2312"/>
          <w:color w:val="000000"/>
          <w:sz w:val="32"/>
          <w:szCs w:val="32"/>
          <w:lang w:val="en-US" w:eastAsia="zh-CN"/>
        </w:rPr>
        <w:t>10</w:t>
      </w:r>
      <w:r>
        <w:rPr>
          <w:rFonts w:hint="eastAsia" w:ascii="仿宋_GB2312" w:hAnsi="仿宋_GB2312" w:eastAsia="仿宋_GB2312" w:cs="仿宋_GB2312"/>
          <w:color w:val="000000"/>
          <w:sz w:val="32"/>
          <w:szCs w:val="32"/>
        </w:rPr>
        <w:t>人，其中：</w:t>
      </w:r>
      <w:r>
        <w:rPr>
          <w:rFonts w:hint="eastAsia" w:ascii="仿宋_GB2312" w:hAnsi="仿宋_GB2312" w:cs="仿宋_GB2312"/>
          <w:color w:val="000000"/>
          <w:sz w:val="32"/>
          <w:szCs w:val="32"/>
          <w:lang w:eastAsia="zh-CN"/>
        </w:rPr>
        <w:t>管理八级</w:t>
      </w:r>
      <w:r>
        <w:rPr>
          <w:rFonts w:hint="eastAsia" w:ascii="仿宋_GB2312" w:hAnsi="仿宋_GB2312" w:cs="仿宋_GB2312"/>
          <w:color w:val="000000"/>
          <w:sz w:val="32"/>
          <w:szCs w:val="32"/>
          <w:lang w:val="en-US" w:eastAsia="zh-CN"/>
        </w:rPr>
        <w:t>1人，享受管理八级1人，</w:t>
      </w:r>
      <w:r>
        <w:rPr>
          <w:rFonts w:hint="eastAsia" w:ascii="仿宋_GB2312" w:hAnsi="仿宋_GB2312" w:eastAsia="仿宋_GB2312" w:cs="仿宋_GB2312"/>
          <w:color w:val="000000"/>
          <w:sz w:val="32"/>
          <w:szCs w:val="32"/>
        </w:rPr>
        <w:t>管理</w:t>
      </w:r>
      <w:r>
        <w:rPr>
          <w:rFonts w:hint="eastAsia" w:ascii="仿宋_GB2312" w:hAnsi="仿宋_GB2312" w:cs="仿宋_GB2312"/>
          <w:color w:val="000000"/>
          <w:sz w:val="32"/>
          <w:szCs w:val="32"/>
          <w:lang w:eastAsia="zh-CN"/>
        </w:rPr>
        <w:t>九级</w:t>
      </w:r>
      <w:r>
        <w:rPr>
          <w:rFonts w:hint="eastAsia" w:ascii="仿宋_GB2312" w:hAnsi="仿宋_GB2312" w:cs="仿宋_GB2312"/>
          <w:color w:val="000000"/>
          <w:sz w:val="32"/>
          <w:szCs w:val="32"/>
          <w:lang w:val="en-US" w:eastAsia="zh-CN"/>
        </w:rPr>
        <w:t>4</w:t>
      </w:r>
      <w:r>
        <w:rPr>
          <w:rFonts w:hint="eastAsia" w:ascii="仿宋_GB2312" w:hAnsi="仿宋_GB2312" w:eastAsia="仿宋_GB2312" w:cs="仿宋_GB2312"/>
          <w:color w:val="000000"/>
          <w:sz w:val="32"/>
          <w:szCs w:val="32"/>
        </w:rPr>
        <w:t>人</w:t>
      </w:r>
      <w:r>
        <w:rPr>
          <w:rFonts w:hint="eastAsia" w:ascii="仿宋_GB2312" w:hAnsi="仿宋_GB2312" w:cs="仿宋_GB2312"/>
          <w:color w:val="000000"/>
          <w:sz w:val="32"/>
          <w:szCs w:val="32"/>
          <w:lang w:eastAsia="zh-CN"/>
        </w:rPr>
        <w:t>，管理十级</w:t>
      </w:r>
      <w:r>
        <w:rPr>
          <w:rFonts w:hint="eastAsia" w:ascii="仿宋_GB2312" w:hAnsi="仿宋_GB2312" w:cs="仿宋_GB2312"/>
          <w:color w:val="000000"/>
          <w:sz w:val="32"/>
          <w:szCs w:val="32"/>
          <w:lang w:val="en-US" w:eastAsia="zh-CN"/>
        </w:rPr>
        <w:t>3人，</w:t>
      </w:r>
      <w:r>
        <w:rPr>
          <w:rFonts w:hint="eastAsia" w:ascii="仿宋_GB2312" w:hAnsi="仿宋_GB2312" w:eastAsia="仿宋_GB2312" w:cs="仿宋_GB2312"/>
          <w:color w:val="000000"/>
          <w:sz w:val="32"/>
          <w:szCs w:val="32"/>
        </w:rPr>
        <w:t>专业技术人员</w:t>
      </w:r>
      <w:r>
        <w:rPr>
          <w:rFonts w:hint="eastAsia" w:ascii="仿宋_GB2312" w:hAnsi="仿宋_GB2312" w:cs="仿宋_GB2312"/>
          <w:color w:val="000000"/>
          <w:sz w:val="32"/>
          <w:szCs w:val="32"/>
          <w:lang w:val="en-US" w:eastAsia="zh-CN"/>
        </w:rPr>
        <w:t>1</w:t>
      </w:r>
      <w:r>
        <w:rPr>
          <w:rFonts w:hint="eastAsia" w:ascii="仿宋_GB2312" w:hAnsi="仿宋_GB2312" w:eastAsia="仿宋_GB2312" w:cs="仿宋_GB2312"/>
          <w:color w:val="000000"/>
          <w:sz w:val="32"/>
          <w:szCs w:val="32"/>
        </w:rPr>
        <w:t>人</w:t>
      </w:r>
      <w:r>
        <w:rPr>
          <w:rFonts w:hint="eastAsia" w:ascii="仿宋_GB2312" w:hAnsi="仿宋_GB2312" w:cs="仿宋_GB2312"/>
          <w:color w:val="000000"/>
          <w:sz w:val="32"/>
          <w:szCs w:val="32"/>
          <w:lang w:eastAsia="zh-CN"/>
        </w:rPr>
        <w:t>。</w:t>
      </w:r>
    </w:p>
    <w:p>
      <w:pPr>
        <w:pageBreakBefore w:val="0"/>
        <w:widowControl w:val="0"/>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ageBreakBefore w:val="0"/>
        <w:widowControl w:val="0"/>
        <w:kinsoku/>
        <w:wordWrap/>
        <w:overflowPunct/>
        <w:topLinePunct w:val="0"/>
        <w:bidi w:val="0"/>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color w:val="000000"/>
          <w:kern w:val="0"/>
          <w:sz w:val="32"/>
          <w:szCs w:val="32"/>
          <w:shd w:val="clear" w:color="auto" w:fill="FFFFFF"/>
          <w:lang w:val="zh-CN"/>
        </w:rPr>
        <w:t>（一）部门财政资金收入情况。</w:t>
      </w:r>
      <w:r>
        <w:rPr>
          <w:rFonts w:hint="eastAsia" w:ascii="仿宋_GB2312" w:hAnsi="仿宋_GB2312" w:eastAsia="仿宋_GB2312" w:cs="仿宋_GB2312"/>
          <w:color w:val="000000"/>
          <w:sz w:val="32"/>
          <w:szCs w:val="32"/>
        </w:rPr>
        <w:t>2019年本年收入合计176.38万元，其中：一般公共预算财政拨款收入176.38万元，占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rPr>
        <w:t>上级补助收</w:t>
      </w:r>
      <w:r>
        <w:rPr>
          <w:rFonts w:hint="eastAsia" w:ascii="仿宋_GB2312" w:hAnsi="仿宋_GB2312" w:eastAsia="仿宋_GB2312" w:cs="仿宋_GB2312"/>
          <w:color w:val="000000" w:themeColor="text1"/>
          <w:sz w:val="32"/>
          <w:szCs w:val="32"/>
          <w:lang w:eastAsia="zh-CN"/>
        </w:rPr>
        <w:t>入</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pageBreakBefore w:val="0"/>
        <w:widowControl w:val="0"/>
        <w:kinsoku/>
        <w:wordWrap/>
        <w:overflowPunct/>
        <w:topLinePunct w:val="0"/>
        <w:bidi w:val="0"/>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lang w:val="zh-CN"/>
        </w:rPr>
        <w:t>（二）部门财政资金支出情况。</w:t>
      </w:r>
      <w:r>
        <w:rPr>
          <w:rFonts w:hint="eastAsia" w:ascii="仿宋_GB2312" w:hAnsi="仿宋_GB2312" w:eastAsia="仿宋_GB2312" w:cs="仿宋_GB2312"/>
          <w:color w:val="000000"/>
          <w:sz w:val="32"/>
          <w:szCs w:val="32"/>
        </w:rPr>
        <w:t>2019年本年支出合计176.38万元，其中：基本支出</w:t>
      </w:r>
      <w:r>
        <w:rPr>
          <w:rFonts w:hint="eastAsia" w:ascii="仿宋_GB2312" w:hAnsi="仿宋_GB2312" w:eastAsia="仿宋_GB2312" w:cs="仿宋_GB2312"/>
          <w:color w:val="000000"/>
          <w:sz w:val="32"/>
          <w:szCs w:val="32"/>
          <w:lang w:val="en-US" w:eastAsia="zh-CN"/>
        </w:rPr>
        <w:t>163.42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93</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12.96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pPr>
        <w:pageBreakBefore w:val="0"/>
        <w:widowControl w:val="0"/>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ageBreakBefore w:val="0"/>
        <w:widowControl w:val="0"/>
        <w:kinsoku/>
        <w:wordWrap/>
        <w:overflowPunct/>
        <w:topLinePunct w:val="0"/>
        <w:bidi w:val="0"/>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24"/>
          <w:lang w:val="zh-CN" w:eastAsia="zh-CN" w:bidi="ar"/>
        </w:rPr>
        <w:t>（一）部门预算管理。</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jc w:val="left"/>
        <w:textAlignment w:val="auto"/>
        <w:rPr>
          <w:rFonts w:hint="eastAsia" w:ascii="仿宋_GB2312" w:hAnsi="仿宋_GB2312" w:eastAsia="仿宋_GB2312" w:cs="仿宋_GB2312"/>
          <w:b w:val="0"/>
          <w:bCs w:val="0"/>
          <w:color w:val="000000"/>
          <w:kern w:val="0"/>
          <w:sz w:val="32"/>
          <w:szCs w:val="32"/>
          <w:lang w:val="zh-CN" w:eastAsia="zh-CN"/>
        </w:rPr>
      </w:pPr>
      <w:r>
        <w:rPr>
          <w:rFonts w:hint="eastAsia" w:ascii="仿宋_GB2312" w:hAnsi="仿宋_GB2312" w:eastAsia="仿宋_GB2312" w:cs="仿宋_GB2312"/>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zh-CN" w:eastAsia="zh-CN" w:bidi="ar"/>
        </w:rPr>
        <w:t>预算编制情况。</w:t>
      </w:r>
    </w:p>
    <w:p>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76" w:lineRule="exact"/>
        <w:ind w:right="0" w:firstLine="640" w:firstLineChars="200"/>
        <w:textAlignment w:val="auto"/>
        <w:rPr>
          <w:rFonts w:hint="eastAsia" w:ascii="仿宋_GB2312" w:hAnsi="仿宋_GB2312" w:eastAsia="仿宋_GB2312" w:cs="仿宋_GB2312"/>
          <w:b w:val="0"/>
          <w:bCs w:val="0"/>
          <w:i w:val="0"/>
          <w:caps w:val="0"/>
          <w:color w:val="000000"/>
          <w:spacing w:val="0"/>
          <w:sz w:val="32"/>
          <w:szCs w:val="32"/>
        </w:rPr>
      </w:pPr>
      <w:r>
        <w:rPr>
          <w:rFonts w:hint="eastAsia" w:ascii="仿宋_GB2312" w:hAnsi="仿宋_GB2312" w:eastAsia="仿宋_GB2312" w:cs="仿宋_GB2312"/>
          <w:b w:val="0"/>
          <w:bCs w:val="0"/>
          <w:i w:val="0"/>
          <w:caps w:val="0"/>
          <w:color w:val="000000"/>
          <w:spacing w:val="0"/>
          <w:sz w:val="32"/>
          <w:szCs w:val="32"/>
          <w:shd w:val="clear" w:color="auto" w:fill="FFFFFF"/>
        </w:rPr>
        <w:t>根据《中华人民共和国预算法》及</w:t>
      </w:r>
      <w:r>
        <w:rPr>
          <w:rFonts w:hint="eastAsia" w:ascii="仿宋_GB2312" w:hAnsi="仿宋_GB2312" w:eastAsia="仿宋_GB2312" w:cs="仿宋_GB2312"/>
          <w:b w:val="0"/>
          <w:bCs w:val="0"/>
          <w:i w:val="0"/>
          <w:caps w:val="0"/>
          <w:color w:val="000000"/>
          <w:spacing w:val="0"/>
          <w:sz w:val="32"/>
          <w:szCs w:val="32"/>
          <w:shd w:val="clear" w:color="auto" w:fill="FFFFFF"/>
          <w:lang w:eastAsia="zh-CN"/>
        </w:rPr>
        <w:t>红原县</w:t>
      </w:r>
      <w:r>
        <w:rPr>
          <w:rFonts w:hint="eastAsia" w:ascii="仿宋_GB2312" w:hAnsi="仿宋_GB2312" w:eastAsia="仿宋_GB2312" w:cs="仿宋_GB2312"/>
          <w:b w:val="0"/>
          <w:bCs w:val="0"/>
          <w:i w:val="0"/>
          <w:caps w:val="0"/>
          <w:color w:val="000000"/>
          <w:spacing w:val="0"/>
          <w:sz w:val="32"/>
          <w:szCs w:val="32"/>
          <w:shd w:val="clear" w:color="auto" w:fill="FFFFFF"/>
        </w:rPr>
        <w:t>财政局印发的《关于</w:t>
      </w:r>
      <w:r>
        <w:rPr>
          <w:rFonts w:hint="eastAsia" w:ascii="仿宋_GB2312" w:hAnsi="仿宋_GB2312" w:eastAsia="仿宋_GB2312" w:cs="仿宋_GB2312"/>
          <w:b w:val="0"/>
          <w:bCs w:val="0"/>
          <w:i w:val="0"/>
          <w:caps w:val="0"/>
          <w:color w:val="000000"/>
          <w:spacing w:val="0"/>
          <w:sz w:val="32"/>
          <w:szCs w:val="32"/>
          <w:shd w:val="clear" w:color="auto" w:fill="FFFFFF"/>
          <w:lang w:eastAsia="zh-CN"/>
        </w:rPr>
        <w:t>下达</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2019年</w:t>
      </w:r>
      <w:r>
        <w:rPr>
          <w:rFonts w:hint="eastAsia" w:ascii="仿宋_GB2312" w:hAnsi="仿宋_GB2312" w:eastAsia="仿宋_GB2312" w:cs="仿宋_GB2312"/>
          <w:b w:val="0"/>
          <w:bCs w:val="0"/>
          <w:i w:val="0"/>
          <w:caps w:val="0"/>
          <w:color w:val="000000"/>
          <w:spacing w:val="0"/>
          <w:sz w:val="32"/>
          <w:szCs w:val="32"/>
          <w:shd w:val="clear" w:color="auto" w:fill="FFFFFF"/>
        </w:rPr>
        <w:t>部门预算的通知》要求，结合本单位实际，按照增收节支、厉行节约、绩效优化的原则，严控“三公”经费管理，从严从紧编制预算。细化支出预算编制，推进预算信息公开，深化预算绩效管理，提高资金使用效益。</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仿宋_GB2312" w:hAnsi="仿宋_GB2312" w:eastAsia="仿宋_GB2312" w:cs="仿宋_GB2312"/>
          <w:b w:val="0"/>
          <w:bCs w:val="0"/>
          <w:color w:val="000000"/>
          <w:sz w:val="32"/>
          <w:szCs w:val="32"/>
          <w:shd w:val="clear" w:color="auto" w:fill="FFFFFF"/>
        </w:rPr>
      </w:pPr>
      <w:r>
        <w:rPr>
          <w:rFonts w:hint="eastAsia" w:ascii="仿宋_GB2312" w:hAnsi="仿宋_GB2312" w:eastAsia="仿宋_GB2312" w:cs="仿宋_GB2312"/>
          <w:b w:val="0"/>
          <w:bCs w:val="0"/>
          <w:color w:val="000000"/>
          <w:sz w:val="32"/>
          <w:szCs w:val="32"/>
          <w:shd w:val="clear" w:color="auto" w:fill="FFFFFF"/>
        </w:rPr>
        <w:t>预算编制工作严格遵循合法性、真实性、完整性、重点性、绩效性，及时清理，准确反映结余结转资金，严格执行结余结转资金的管理规定。按规定及时公示了部门预算。</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仿宋_GB2312" w:hAnsi="仿宋_GB2312" w:eastAsia="仿宋_GB2312" w:cs="仿宋_GB2312"/>
          <w:b w:val="0"/>
          <w:bCs w:val="0"/>
          <w:color w:val="000000"/>
          <w:sz w:val="32"/>
          <w:szCs w:val="32"/>
          <w:shd w:val="clear" w:color="auto" w:fill="FFFFFF"/>
        </w:rPr>
      </w:pPr>
      <w:r>
        <w:rPr>
          <w:rFonts w:hint="eastAsia" w:ascii="仿宋_GB2312" w:hAnsi="仿宋_GB2312" w:eastAsia="仿宋_GB2312" w:cs="仿宋_GB2312"/>
          <w:b w:val="0"/>
          <w:bCs w:val="0"/>
          <w:color w:val="000000"/>
          <w:sz w:val="32"/>
          <w:szCs w:val="32"/>
          <w:shd w:val="clear" w:color="auto" w:fill="FFFFFF"/>
        </w:rPr>
        <w:t>决算编审工作中严格按照“真实、准确、完整、及时”的要求，正确理解和掌握决算报表的口径和相关指标，部门决算报表的内容涵盖单位的全部收支，做到了数据真实，计算准确，内容完整。按规定及时公示了部门决算。</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仿宋_GB2312" w:hAnsi="仿宋_GB2312" w:eastAsia="仿宋_GB2312" w:cs="仿宋_GB2312"/>
          <w:b w:val="0"/>
          <w:bCs w:val="0"/>
          <w:color w:val="000000"/>
          <w:kern w:val="0"/>
          <w:sz w:val="32"/>
          <w:szCs w:val="32"/>
          <w:lang w:val="zh-CN" w:eastAsia="zh-CN"/>
        </w:rPr>
      </w:pPr>
      <w:r>
        <w:rPr>
          <w:rFonts w:hint="eastAsia" w:ascii="仿宋_GB2312" w:hAnsi="仿宋_GB2312" w:eastAsia="仿宋_GB2312" w:cs="仿宋_GB2312"/>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zh-CN" w:eastAsia="zh-CN" w:bidi="ar"/>
        </w:rPr>
        <w:t>执行管理情况。</w:t>
      </w:r>
      <w:r>
        <w:rPr>
          <w:rFonts w:hint="eastAsia" w:ascii="仿宋_GB2312" w:hAnsi="仿宋_GB2312" w:eastAsia="仿宋_GB2312" w:cs="仿宋_GB2312"/>
          <w:b w:val="0"/>
          <w:bCs w:val="0"/>
          <w:color w:val="000000"/>
          <w:kern w:val="0"/>
          <w:sz w:val="32"/>
          <w:szCs w:val="32"/>
          <w:lang w:val="zh-CN" w:eastAsia="zh-CN" w:bidi="ar"/>
        </w:rPr>
        <w:tab/>
      </w:r>
    </w:p>
    <w:p>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76" w:lineRule="exact"/>
        <w:ind w:right="0" w:firstLine="640" w:firstLineChars="200"/>
        <w:textAlignment w:val="auto"/>
        <w:rPr>
          <w:rFonts w:hint="eastAsia" w:ascii="仿宋_GB2312" w:hAnsi="仿宋_GB2312" w:eastAsia="仿宋_GB2312" w:cs="仿宋_GB2312"/>
          <w:b w:val="0"/>
          <w:bCs w:val="0"/>
          <w:i w:val="0"/>
          <w:caps w:val="0"/>
          <w:color w:val="000000"/>
          <w:spacing w:val="0"/>
          <w:sz w:val="32"/>
          <w:szCs w:val="32"/>
          <w:lang w:val="en-US" w:eastAsia="zh-CN"/>
        </w:rPr>
      </w:pPr>
      <w:r>
        <w:rPr>
          <w:rFonts w:hint="eastAsia" w:ascii="仿宋_GB2312" w:hAnsi="仿宋_GB2312" w:eastAsia="仿宋_GB2312" w:cs="仿宋_GB2312"/>
          <w:b w:val="0"/>
          <w:bCs w:val="0"/>
          <w:i w:val="0"/>
          <w:caps w:val="0"/>
          <w:color w:val="000000"/>
          <w:spacing w:val="0"/>
          <w:sz w:val="32"/>
          <w:szCs w:val="32"/>
          <w:shd w:val="clear" w:color="auto" w:fill="FFFFFF"/>
        </w:rPr>
        <w:t>本着少花钱、多办事、办好事、遵循有预算才支出的原则，201</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9</w:t>
      </w:r>
      <w:r>
        <w:rPr>
          <w:rFonts w:hint="eastAsia" w:ascii="仿宋_GB2312" w:hAnsi="仿宋_GB2312" w:eastAsia="仿宋_GB2312" w:cs="仿宋_GB2312"/>
          <w:b w:val="0"/>
          <w:bCs w:val="0"/>
          <w:i w:val="0"/>
          <w:caps w:val="0"/>
          <w:color w:val="000000"/>
          <w:spacing w:val="0"/>
          <w:sz w:val="32"/>
          <w:szCs w:val="32"/>
          <w:shd w:val="clear" w:color="auto" w:fill="FFFFFF"/>
        </w:rPr>
        <w:t>年财政预算支出（除财政应返还额度）全面落实到位，均按规定的用途支</w:t>
      </w:r>
      <w:r>
        <w:rPr>
          <w:rFonts w:hint="eastAsia" w:ascii="仿宋_GB2312" w:hAnsi="仿宋_GB2312" w:eastAsia="仿宋_GB2312" w:cs="仿宋_GB2312"/>
          <w:b w:val="0"/>
          <w:bCs w:val="0"/>
          <w:i w:val="0"/>
          <w:caps w:val="0"/>
          <w:color w:val="000000"/>
          <w:spacing w:val="0"/>
          <w:sz w:val="32"/>
          <w:szCs w:val="32"/>
          <w:shd w:val="clear" w:color="auto" w:fill="FFFFFF"/>
          <w:lang w:eastAsia="zh-CN"/>
        </w:rPr>
        <w:t>付。</w:t>
      </w:r>
    </w:p>
    <w:p>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76" w:lineRule="exact"/>
        <w:ind w:left="0" w:right="0" w:firstLine="645"/>
        <w:textAlignment w:val="auto"/>
        <w:rPr>
          <w:rFonts w:hint="eastAsia" w:ascii="仿宋_GB2312" w:hAnsi="仿宋_GB2312" w:eastAsia="仿宋_GB2312" w:cs="仿宋_GB2312"/>
          <w:b w:val="0"/>
          <w:bCs w:val="0"/>
          <w:i w:val="0"/>
          <w:caps w:val="0"/>
          <w:color w:val="000000"/>
          <w:spacing w:val="0"/>
          <w:sz w:val="32"/>
          <w:szCs w:val="32"/>
        </w:rPr>
      </w:pPr>
      <w:r>
        <w:rPr>
          <w:rFonts w:hint="eastAsia" w:ascii="仿宋_GB2312" w:hAnsi="仿宋_GB2312" w:eastAsia="仿宋_GB2312" w:cs="仿宋_GB2312"/>
          <w:b w:val="0"/>
          <w:bCs w:val="0"/>
          <w:i w:val="0"/>
          <w:caps w:val="0"/>
          <w:color w:val="000000"/>
          <w:spacing w:val="0"/>
          <w:sz w:val="32"/>
          <w:szCs w:val="32"/>
          <w:shd w:val="clear" w:color="auto" w:fill="FFFFFF"/>
        </w:rPr>
        <w:t>基本支出，是用于保障本单位正常运转的日常支出，包括基本工资、津贴补贴等人员经费以及办公费、印刷费、水电费、办公设备购置等日常公用经费。</w:t>
      </w:r>
    </w:p>
    <w:p>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76" w:lineRule="exact"/>
        <w:ind w:right="0" w:firstLine="640" w:firstLineChars="200"/>
        <w:textAlignment w:val="auto"/>
        <w:rPr>
          <w:rFonts w:hint="eastAsia" w:ascii="仿宋_GB2312" w:hAnsi="仿宋_GB2312" w:eastAsia="仿宋_GB2312" w:cs="仿宋_GB2312"/>
          <w:b w:val="0"/>
          <w:bCs w:val="0"/>
          <w:i w:val="0"/>
          <w:caps w:val="0"/>
          <w:color w:val="000000"/>
          <w:spacing w:val="0"/>
          <w:sz w:val="32"/>
          <w:szCs w:val="32"/>
          <w:shd w:val="clear" w:color="auto" w:fill="FFFFFF"/>
        </w:rPr>
      </w:pPr>
      <w:r>
        <w:rPr>
          <w:rFonts w:hint="eastAsia" w:ascii="仿宋_GB2312" w:hAnsi="仿宋_GB2312" w:eastAsia="仿宋_GB2312" w:cs="仿宋_GB2312"/>
          <w:b w:val="0"/>
          <w:bCs w:val="0"/>
          <w:i w:val="0"/>
          <w:caps w:val="0"/>
          <w:color w:val="000000"/>
          <w:spacing w:val="0"/>
          <w:sz w:val="32"/>
          <w:szCs w:val="32"/>
          <w:shd w:val="clear" w:color="auto" w:fill="FFFFFF"/>
          <w:lang w:eastAsia="zh-CN"/>
        </w:rPr>
        <w:t>我单位</w:t>
      </w:r>
      <w:r>
        <w:rPr>
          <w:rFonts w:hint="eastAsia" w:ascii="仿宋_GB2312" w:hAnsi="仿宋_GB2312" w:eastAsia="仿宋_GB2312" w:cs="仿宋_GB2312"/>
          <w:b w:val="0"/>
          <w:bCs w:val="0"/>
          <w:i w:val="0"/>
          <w:caps w:val="0"/>
          <w:color w:val="000000"/>
          <w:spacing w:val="0"/>
          <w:sz w:val="32"/>
          <w:szCs w:val="32"/>
          <w:shd w:val="clear" w:color="auto" w:fill="FFFFFF"/>
        </w:rPr>
        <w:t>201</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9</w:t>
      </w:r>
      <w:r>
        <w:rPr>
          <w:rFonts w:hint="eastAsia" w:ascii="仿宋_GB2312" w:hAnsi="仿宋_GB2312" w:eastAsia="仿宋_GB2312" w:cs="仿宋_GB2312"/>
          <w:b w:val="0"/>
          <w:bCs w:val="0"/>
          <w:i w:val="0"/>
          <w:caps w:val="0"/>
          <w:color w:val="000000"/>
          <w:spacing w:val="0"/>
          <w:sz w:val="32"/>
          <w:szCs w:val="32"/>
          <w:shd w:val="clear" w:color="auto" w:fill="FFFFFF"/>
        </w:rPr>
        <w:t>年未发生公务出国（境）费用，</w:t>
      </w:r>
      <w:r>
        <w:rPr>
          <w:rFonts w:hint="eastAsia" w:ascii="仿宋_GB2312" w:hAnsi="仿宋_GB2312" w:eastAsia="仿宋_GB2312" w:cs="仿宋_GB2312"/>
          <w:b w:val="0"/>
          <w:bCs w:val="0"/>
          <w:i w:val="0"/>
          <w:caps w:val="0"/>
          <w:color w:val="000000"/>
          <w:spacing w:val="0"/>
          <w:sz w:val="32"/>
          <w:szCs w:val="32"/>
          <w:shd w:val="clear" w:color="auto" w:fill="FFFFFF"/>
          <w:lang w:eastAsia="zh-CN"/>
        </w:rPr>
        <w:t>我单位</w:t>
      </w:r>
      <w:r>
        <w:rPr>
          <w:rFonts w:hint="eastAsia" w:ascii="仿宋_GB2312" w:hAnsi="仿宋_GB2312" w:eastAsia="仿宋_GB2312" w:cs="仿宋_GB2312"/>
          <w:b w:val="0"/>
          <w:bCs w:val="0"/>
          <w:i w:val="0"/>
          <w:caps w:val="0"/>
          <w:color w:val="000000"/>
          <w:spacing w:val="0"/>
          <w:sz w:val="32"/>
          <w:szCs w:val="32"/>
          <w:shd w:val="clear" w:color="auto" w:fill="FFFFFF"/>
        </w:rPr>
        <w:t>严格执行中央“八项规定”，“三公”经费呈现出逐年递减趋势，无违规乱发钱物情况，不存在超标准报销公务接待费、因公出国经费、会议费、培训费、差旅费等情况。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b w:val="0"/>
          <w:bCs w:val="0"/>
          <w:color w:val="000000"/>
          <w:kern w:val="0"/>
          <w:sz w:val="32"/>
          <w:szCs w:val="32"/>
          <w:lang w:val="zh-CN" w:eastAsia="zh-CN"/>
        </w:rPr>
      </w:pPr>
      <w:r>
        <w:rPr>
          <w:rFonts w:hint="eastAsia" w:ascii="仿宋_GB2312" w:hAnsi="仿宋_GB2312" w:eastAsia="仿宋_GB2312" w:cs="仿宋_GB2312"/>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zh-CN" w:eastAsia="zh-CN" w:bidi="ar"/>
        </w:rPr>
        <w:t>综合管理情况。</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76" w:lineRule="exact"/>
        <w:ind w:right="0" w:rightChars="0"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eastAsia="zh-CN"/>
        </w:rPr>
        <w:t>建立建全内部控制</w:t>
      </w:r>
      <w:r>
        <w:rPr>
          <w:rFonts w:hint="eastAsia" w:ascii="仿宋_GB2312" w:hAnsi="仿宋_GB2312" w:eastAsia="仿宋_GB2312" w:cs="仿宋_GB2312"/>
          <w:b w:val="0"/>
          <w:bCs w:val="0"/>
          <w:color w:val="000000"/>
          <w:sz w:val="32"/>
          <w:szCs w:val="32"/>
        </w:rPr>
        <w:t>制度：我</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76" w:lineRule="exact"/>
        <w:ind w:right="0" w:rightChars="0"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 xml:space="preserve">资金使用合规性：资金支出符合国家财经法规和财务管理制度规定以及有关专项资金管理办法的规定；资金拨付有完整的审批程序和手续；符合部门预算批复的用途；资金使用无截留、挤占、挪用、虚列支出等情况。 </w:t>
      </w:r>
    </w:p>
    <w:p>
      <w:pPr>
        <w:pStyle w:val="12"/>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right="0"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预算信息公开：</w:t>
      </w:r>
      <w:r>
        <w:rPr>
          <w:rFonts w:hint="eastAsia" w:ascii="仿宋_GB2312" w:hAnsi="仿宋_GB2312" w:eastAsia="仿宋_GB2312" w:cs="仿宋_GB2312"/>
          <w:b w:val="0"/>
          <w:bCs w:val="0"/>
          <w:color w:val="000000"/>
          <w:sz w:val="32"/>
          <w:szCs w:val="32"/>
          <w:lang w:eastAsia="zh-CN"/>
        </w:rPr>
        <w:t>我单位</w:t>
      </w:r>
      <w:r>
        <w:rPr>
          <w:rFonts w:hint="eastAsia" w:ascii="仿宋_GB2312" w:hAnsi="仿宋_GB2312" w:eastAsia="仿宋_GB2312" w:cs="仿宋_GB2312"/>
          <w:b w:val="0"/>
          <w:bCs w:val="0"/>
          <w:color w:val="000000"/>
          <w:sz w:val="32"/>
          <w:szCs w:val="32"/>
        </w:rPr>
        <w:t xml:space="preserve">按规定内容公开预决算信息；按规定时限公开预决算信息；基础数据信息和会计信息资料真实；基础数据信息和会计信息资料完整；基础数据信息和汇集信息资料准确。 </w:t>
      </w:r>
    </w:p>
    <w:p>
      <w:pPr>
        <w:pStyle w:val="12"/>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right="0" w:firstLine="640" w:firstLineChars="200"/>
        <w:textAlignment w:val="auto"/>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财务信息完善性：经核对</w:t>
      </w:r>
      <w:r>
        <w:rPr>
          <w:rFonts w:hint="eastAsia" w:ascii="仿宋_GB2312" w:hAnsi="仿宋_GB2312" w:eastAsia="仿宋_GB2312" w:cs="仿宋_GB2312"/>
          <w:b w:val="0"/>
          <w:bCs w:val="0"/>
          <w:color w:val="000000"/>
          <w:sz w:val="32"/>
          <w:szCs w:val="32"/>
          <w:lang w:eastAsia="zh-CN"/>
        </w:rPr>
        <w:t>我单位</w:t>
      </w: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年度总账、明细账、决算报表，其结果账账、账表相符；财务信息资料真实、完整、准确</w:t>
      </w:r>
      <w:r>
        <w:rPr>
          <w:rFonts w:hint="eastAsia" w:ascii="仿宋_GB2312" w:hAnsi="仿宋_GB2312" w:eastAsia="仿宋_GB2312" w:cs="仿宋_GB2312"/>
          <w:b w:val="0"/>
          <w:bCs w:val="0"/>
          <w:color w:val="000000"/>
          <w:sz w:val="32"/>
          <w:szCs w:val="32"/>
          <w:lang w:eastAsia="zh-CN"/>
        </w:rPr>
        <w:t>。</w:t>
      </w:r>
    </w:p>
    <w:p>
      <w:pPr>
        <w:pageBreakBefore w:val="0"/>
        <w:widowControl w:val="0"/>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_GB2312" w:hAnsi="楷体_GB2312" w:eastAsia="楷体_GB2312" w:cs="楷体_GB2312"/>
          <w:b/>
          <w:bCs/>
          <w:color w:val="000000"/>
          <w:kern w:val="0"/>
          <w:sz w:val="32"/>
          <w:szCs w:val="24"/>
          <w:lang w:val="zh-CN" w:eastAsia="zh-CN" w:bidi="ar"/>
        </w:rPr>
      </w:pPr>
      <w:r>
        <w:rPr>
          <w:rFonts w:hint="eastAsia" w:ascii="楷体_GB2312" w:hAnsi="楷体_GB2312" w:eastAsia="楷体_GB2312" w:cs="楷体_GB2312"/>
          <w:b/>
          <w:bCs/>
          <w:color w:val="000000"/>
          <w:kern w:val="0"/>
          <w:sz w:val="32"/>
          <w:szCs w:val="24"/>
          <w:lang w:val="zh-CN" w:eastAsia="zh-CN" w:bidi="ar"/>
        </w:rPr>
        <w:t>（一）评价结论。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仿宋_GB2312" w:hAnsi="仿宋_GB2312" w:eastAsia="仿宋_GB2312" w:cs="仿宋_GB2312"/>
          <w:color w:val="000000"/>
          <w:kern w:val="0"/>
          <w:sz w:val="32"/>
          <w:szCs w:val="24"/>
          <w:lang w:val="en-US" w:eastAsia="zh-CN" w:bidi="ar"/>
        </w:rPr>
      </w:pPr>
      <w:r>
        <w:rPr>
          <w:rFonts w:hint="eastAsia" w:ascii="仿宋_GB2312" w:hAnsi="仿宋_GB2312" w:eastAsia="仿宋_GB2312" w:cs="仿宋_GB2312"/>
          <w:color w:val="000000"/>
          <w:kern w:val="0"/>
          <w:sz w:val="32"/>
          <w:szCs w:val="24"/>
          <w:lang w:val="en-US" w:eastAsia="zh-CN" w:bidi="ar"/>
        </w:rPr>
        <w:t>根据《2019年红原县部门支出绩效评价指标体系》评分98分，部门整体支出绩效为“好”。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_GB2312" w:hAnsi="楷体_GB2312" w:eastAsia="楷体_GB2312" w:cs="楷体_GB2312"/>
          <w:b/>
          <w:bCs/>
          <w:color w:val="000000"/>
          <w:kern w:val="0"/>
          <w:sz w:val="32"/>
          <w:szCs w:val="24"/>
          <w:lang w:val="zh-CN" w:eastAsia="zh-CN" w:bidi="ar"/>
        </w:rPr>
      </w:pPr>
      <w:r>
        <w:rPr>
          <w:rFonts w:hint="eastAsia" w:ascii="楷体_GB2312" w:hAnsi="楷体_GB2312" w:eastAsia="楷体_GB2312" w:cs="楷体_GB2312"/>
          <w:b/>
          <w:bCs/>
          <w:color w:val="000000"/>
          <w:kern w:val="0"/>
          <w:sz w:val="32"/>
          <w:szCs w:val="24"/>
          <w:lang w:val="zh-CN" w:eastAsia="zh-CN" w:bidi="ar"/>
        </w:rPr>
        <w:t>（二）存在问题。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仿宋_GB2312" w:hAnsi="仿宋_GB2312" w:eastAsia="仿宋_GB2312" w:cs="仿宋_GB2312"/>
          <w:color w:val="000000"/>
          <w:kern w:val="0"/>
          <w:sz w:val="32"/>
          <w:szCs w:val="24"/>
          <w:lang w:val="en-US" w:eastAsia="zh-CN" w:bidi="ar"/>
        </w:rPr>
      </w:pPr>
      <w:r>
        <w:rPr>
          <w:rFonts w:hint="eastAsia" w:ascii="仿宋_GB2312" w:hAnsi="仿宋_GB2312" w:eastAsia="仿宋_GB2312" w:cs="仿宋_GB2312"/>
          <w:color w:val="000000"/>
          <w:kern w:val="0"/>
          <w:sz w:val="32"/>
          <w:szCs w:val="24"/>
          <w:lang w:val="en-US" w:eastAsia="zh-CN" w:bidi="ar"/>
        </w:rPr>
        <w:t>一是对财务人员的业务指导不够。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仿宋_GB2312" w:hAnsi="仿宋_GB2312" w:eastAsia="仿宋_GB2312" w:cs="仿宋_GB2312"/>
          <w:color w:val="000000"/>
          <w:kern w:val="0"/>
          <w:sz w:val="32"/>
          <w:szCs w:val="24"/>
          <w:lang w:val="en-US" w:eastAsia="zh-CN" w:bidi="ar"/>
        </w:rPr>
      </w:pPr>
      <w:r>
        <w:rPr>
          <w:rFonts w:hint="eastAsia" w:ascii="仿宋_GB2312" w:hAnsi="仿宋_GB2312" w:eastAsia="仿宋_GB2312" w:cs="仿宋_GB2312"/>
          <w:color w:val="000000"/>
          <w:kern w:val="0"/>
          <w:sz w:val="32"/>
          <w:szCs w:val="24"/>
          <w:lang w:val="en-US" w:eastAsia="zh-CN" w:bidi="ar"/>
        </w:rPr>
        <w:t>二是人员调动所需经费预算不足，导致中途追加预算。</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_GB2312" w:hAnsi="楷体_GB2312" w:eastAsia="楷体_GB2312" w:cs="楷体_GB2312"/>
          <w:b/>
          <w:bCs/>
          <w:color w:val="000000"/>
          <w:kern w:val="0"/>
          <w:sz w:val="32"/>
          <w:szCs w:val="24"/>
          <w:lang w:val="zh-CN" w:eastAsia="zh-CN" w:bidi="ar"/>
        </w:rPr>
      </w:pPr>
      <w:r>
        <w:rPr>
          <w:rFonts w:hint="eastAsia" w:ascii="楷体_GB2312" w:hAnsi="楷体_GB2312" w:eastAsia="楷体_GB2312" w:cs="楷体_GB2312"/>
          <w:b/>
          <w:bCs/>
          <w:color w:val="000000"/>
          <w:kern w:val="0"/>
          <w:sz w:val="32"/>
          <w:szCs w:val="24"/>
          <w:lang w:val="zh-CN" w:eastAsia="zh-CN" w:bidi="ar"/>
        </w:rPr>
        <w:t>（三）改进建议。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仿宋_GB2312" w:hAnsi="仿宋_GB2312" w:eastAsia="仿宋_GB2312" w:cs="仿宋_GB2312"/>
          <w:color w:val="000000"/>
          <w:kern w:val="0"/>
          <w:sz w:val="32"/>
          <w:szCs w:val="24"/>
          <w:lang w:val="en-US" w:eastAsia="zh-CN" w:bidi="ar"/>
        </w:rPr>
      </w:pPr>
      <w:r>
        <w:rPr>
          <w:rFonts w:hint="eastAsia" w:ascii="仿宋_GB2312" w:hAnsi="仿宋_GB2312" w:eastAsia="仿宋_GB2312" w:cs="仿宋_GB2312"/>
          <w:color w:val="000000"/>
          <w:kern w:val="0"/>
          <w:sz w:val="32"/>
          <w:szCs w:val="24"/>
          <w:lang w:val="en-US" w:eastAsia="zh-CN" w:bidi="ar"/>
        </w:rPr>
        <w:t>一是加大对财务人员的培训，多提供对财务的学习机会。建立长效机制，严格财务管理，加强财务监督，坚持厉行节约，控制“三公经费”支出，严格杜绝现金交易。加强事业单位会计制度的学习。</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仿宋_GB2312" w:hAnsi="仿宋_GB2312" w:eastAsia="仿宋_GB2312" w:cs="仿宋_GB2312"/>
          <w:color w:val="000000"/>
          <w:kern w:val="0"/>
          <w:sz w:val="32"/>
          <w:szCs w:val="24"/>
          <w:lang w:val="en-US" w:eastAsia="zh-CN" w:bidi="ar"/>
        </w:rPr>
      </w:pPr>
      <w:r>
        <w:rPr>
          <w:rFonts w:hint="eastAsia" w:ascii="仿宋_GB2312" w:hAnsi="仿宋_GB2312" w:eastAsia="仿宋_GB2312" w:cs="仿宋_GB2312"/>
          <w:color w:val="000000"/>
          <w:kern w:val="0"/>
          <w:sz w:val="32"/>
          <w:szCs w:val="24"/>
          <w:lang w:val="en-US" w:eastAsia="zh-CN" w:bidi="ar"/>
        </w:rPr>
        <w:t>二是加强管理，增强预算编制的准确性和全面性，提高整体支出绩效成果。</w:t>
      </w:r>
    </w:p>
    <w:p>
      <w:pPr>
        <w:pageBreakBefore w:val="0"/>
        <w:widowControl w:val="0"/>
        <w:kinsoku/>
        <w:wordWrap/>
        <w:overflowPunct/>
        <w:topLinePunct w:val="0"/>
        <w:bidi w:val="0"/>
        <w:spacing w:line="580" w:lineRule="exact"/>
        <w:ind w:firstLine="640" w:firstLineChars="200"/>
        <w:rPr>
          <w:rFonts w:ascii="仿宋_GB2312" w:hAnsi="仿宋_GB2312" w:eastAsia="仿宋_GB2312" w:cs="仿宋_GB2312"/>
          <w:sz w:val="32"/>
          <w:szCs w:val="32"/>
        </w:rPr>
      </w:pPr>
    </w:p>
    <w:p>
      <w:pPr>
        <w:pageBreakBefore w:val="0"/>
        <w:widowControl w:val="0"/>
        <w:kinsoku/>
        <w:wordWrap/>
        <w:overflowPunct/>
        <w:topLinePunct w:val="0"/>
        <w:bidi w:val="0"/>
        <w:spacing w:line="580" w:lineRule="exact"/>
        <w:ind w:firstLine="640" w:firstLineChars="200"/>
        <w:rPr>
          <w:rFonts w:ascii="仿宋_GB2312" w:hAnsi="仿宋_GB2312" w:eastAsia="仿宋_GB2312" w:cs="仿宋_GB2312"/>
          <w:sz w:val="32"/>
          <w:szCs w:val="32"/>
        </w:rPr>
      </w:pPr>
    </w:p>
    <w:p>
      <w:pPr>
        <w:pageBreakBefore w:val="0"/>
        <w:widowControl w:val="0"/>
        <w:kinsoku/>
        <w:wordWrap/>
        <w:overflowPunct/>
        <w:topLinePunct w:val="0"/>
        <w:bidi w:val="0"/>
        <w:spacing w:line="580" w:lineRule="exact"/>
        <w:rPr>
          <w:rFonts w:hint="eastAsia" w:ascii="黑体" w:hAnsi="黑体" w:eastAsia="黑体" w:cs="黑体"/>
          <w:sz w:val="32"/>
          <w:szCs w:val="32"/>
        </w:rPr>
      </w:pPr>
    </w:p>
    <w:p>
      <w:pPr>
        <w:pageBreakBefore w:val="0"/>
        <w:widowControl w:val="0"/>
        <w:kinsoku/>
        <w:wordWrap/>
        <w:overflowPunct/>
        <w:topLinePunct w:val="0"/>
        <w:bidi w:val="0"/>
        <w:spacing w:line="580" w:lineRule="exact"/>
        <w:rPr>
          <w:rFonts w:hint="eastAsia" w:ascii="黑体" w:hAnsi="黑体" w:eastAsia="黑体" w:cs="黑体"/>
          <w:sz w:val="32"/>
          <w:szCs w:val="32"/>
        </w:rPr>
      </w:pPr>
    </w:p>
    <w:p>
      <w:pPr>
        <w:pageBreakBefore w:val="0"/>
        <w:widowControl w:val="0"/>
        <w:kinsoku/>
        <w:wordWrap/>
        <w:overflowPunct/>
        <w:topLinePunct w:val="0"/>
        <w:bidi w:val="0"/>
        <w:spacing w:line="580" w:lineRule="exact"/>
        <w:rPr>
          <w:rFonts w:hint="eastAsia" w:ascii="黑体" w:hAnsi="黑体" w:eastAsia="黑体" w:cs="黑体"/>
          <w:sz w:val="32"/>
          <w:szCs w:val="32"/>
        </w:rPr>
      </w:pPr>
    </w:p>
    <w:p>
      <w:pPr>
        <w:pageBreakBefore w:val="0"/>
        <w:widowControl w:val="0"/>
        <w:kinsoku/>
        <w:wordWrap/>
        <w:overflowPunct/>
        <w:topLinePunct w:val="0"/>
        <w:bidi w:val="0"/>
        <w:spacing w:line="580" w:lineRule="exact"/>
        <w:rPr>
          <w:rFonts w:hint="eastAsia" w:ascii="黑体" w:hAnsi="黑体" w:eastAsia="黑体" w:cs="黑体"/>
          <w:sz w:val="32"/>
          <w:szCs w:val="32"/>
        </w:rPr>
      </w:pPr>
    </w:p>
    <w:p>
      <w:pPr>
        <w:pageBreakBefore w:val="0"/>
        <w:widowControl w:val="0"/>
        <w:kinsoku/>
        <w:wordWrap/>
        <w:overflowPunct/>
        <w:topLinePunct w:val="0"/>
        <w:bidi w:val="0"/>
        <w:spacing w:line="580" w:lineRule="exact"/>
        <w:rPr>
          <w:rFonts w:hint="eastAsia" w:ascii="黑体" w:hAnsi="黑体" w:eastAsia="黑体" w:cs="黑体"/>
          <w:sz w:val="32"/>
          <w:szCs w:val="32"/>
        </w:rPr>
      </w:pPr>
    </w:p>
    <w:p>
      <w:pPr>
        <w:pageBreakBefore w:val="0"/>
        <w:widowControl w:val="0"/>
        <w:kinsoku/>
        <w:wordWrap/>
        <w:overflowPunct/>
        <w:topLinePunct w:val="0"/>
        <w:bidi w:val="0"/>
        <w:spacing w:line="580" w:lineRule="exact"/>
        <w:rPr>
          <w:rFonts w:hint="eastAsia" w:ascii="黑体" w:hAnsi="黑体" w:eastAsia="黑体" w:cs="黑体"/>
          <w:sz w:val="32"/>
          <w:szCs w:val="32"/>
        </w:rPr>
      </w:pPr>
    </w:p>
    <w:p>
      <w:pPr>
        <w:pageBreakBefore w:val="0"/>
        <w:widowControl w:val="0"/>
        <w:kinsoku/>
        <w:wordWrap/>
        <w:overflowPunct/>
        <w:topLinePunct w:val="0"/>
        <w:bidi w:val="0"/>
        <w:spacing w:line="580" w:lineRule="exact"/>
        <w:rPr>
          <w:rFonts w:hint="eastAsia" w:ascii="黑体" w:hAnsi="黑体" w:eastAsia="黑体" w:cs="黑体"/>
          <w:sz w:val="32"/>
          <w:szCs w:val="32"/>
        </w:rPr>
      </w:pPr>
    </w:p>
    <w:p>
      <w:pPr>
        <w:pageBreakBefore w:val="0"/>
        <w:widowControl w:val="0"/>
        <w:kinsoku/>
        <w:wordWrap/>
        <w:overflowPunct/>
        <w:topLinePunct w:val="0"/>
        <w:bidi w:val="0"/>
        <w:spacing w:line="580" w:lineRule="exact"/>
        <w:rPr>
          <w:rFonts w:hint="eastAsia" w:ascii="黑体" w:hAnsi="黑体" w:eastAsia="黑体" w:cs="黑体"/>
          <w:sz w:val="32"/>
          <w:szCs w:val="32"/>
        </w:rPr>
      </w:pPr>
    </w:p>
    <w:p>
      <w:pPr>
        <w:pageBreakBefore w:val="0"/>
        <w:widowControl w:val="0"/>
        <w:kinsoku/>
        <w:wordWrap/>
        <w:overflowPunct/>
        <w:topLinePunct w:val="0"/>
        <w:bidi w:val="0"/>
        <w:spacing w:line="580" w:lineRule="exact"/>
        <w:rPr>
          <w:rFonts w:hint="eastAsia" w:ascii="黑体" w:hAnsi="黑体" w:eastAsia="黑体" w:cs="黑体"/>
          <w:sz w:val="32"/>
          <w:szCs w:val="32"/>
        </w:rPr>
      </w:pPr>
    </w:p>
    <w:p>
      <w:pPr>
        <w:pageBreakBefore w:val="0"/>
        <w:widowControl w:val="0"/>
        <w:kinsoku/>
        <w:wordWrap/>
        <w:overflowPunct/>
        <w:topLinePunct w:val="0"/>
        <w:bidi w:val="0"/>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pageBreakBefore w:val="0"/>
        <w:widowControl w:val="0"/>
        <w:kinsoku/>
        <w:wordWrap/>
        <w:overflowPunct/>
        <w:topLinePunct w:val="0"/>
        <w:bidi w:val="0"/>
        <w:spacing w:line="58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w w:val="105"/>
          <w:sz w:val="44"/>
          <w:szCs w:val="44"/>
        </w:rPr>
      </w:pPr>
      <w:r>
        <w:rPr>
          <w:rFonts w:hint="eastAsia" w:ascii="方正小标宋简体" w:hAnsi="方正小标宋简体" w:eastAsia="方正小标宋简体" w:cs="方正小标宋简体"/>
          <w:w w:val="105"/>
          <w:sz w:val="44"/>
          <w:szCs w:val="44"/>
        </w:rPr>
        <w:t>红原县城乡居民养老保险事业管理局</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w w:val="105"/>
          <w:sz w:val="44"/>
          <w:szCs w:val="44"/>
        </w:rPr>
      </w:pPr>
      <w:r>
        <w:rPr>
          <w:rFonts w:hint="eastAsia" w:ascii="方正小标宋简体" w:hAnsi="方正小标宋简体" w:eastAsia="方正小标宋简体" w:cs="方正小标宋简体"/>
          <w:w w:val="105"/>
          <w:sz w:val="44"/>
          <w:szCs w:val="44"/>
        </w:rPr>
        <w:t>关于2019年城乡居民养老保险项目支出绩效</w:t>
      </w:r>
      <w:r>
        <w:rPr>
          <w:rFonts w:hint="eastAsia" w:ascii="方正小标宋简体" w:hAnsi="方正小标宋简体" w:eastAsia="方正小标宋简体" w:cs="方正小标宋简体"/>
          <w:w w:val="105"/>
          <w:sz w:val="44"/>
          <w:szCs w:val="44"/>
          <w:lang w:eastAsia="zh-CN"/>
        </w:rPr>
        <w:t>评价</w:t>
      </w:r>
      <w:r>
        <w:rPr>
          <w:rFonts w:hint="eastAsia" w:ascii="方正小标宋简体" w:hAnsi="方正小标宋简体" w:eastAsia="方正小标宋简体" w:cs="方正小标宋简体"/>
          <w:w w:val="105"/>
          <w:sz w:val="44"/>
          <w:szCs w:val="44"/>
        </w:rPr>
        <w:t>报告</w:t>
      </w:r>
    </w:p>
    <w:p>
      <w:pPr>
        <w:pageBreakBefore w:val="0"/>
        <w:widowControl w:val="0"/>
        <w:kinsoku/>
        <w:wordWrap/>
        <w:overflowPunct/>
        <w:topLinePunct w:val="0"/>
        <w:bidi w:val="0"/>
        <w:spacing w:line="600" w:lineRule="exact"/>
        <w:rPr>
          <w:rFonts w:ascii="宋体" w:hAnsi="宋体"/>
          <w:sz w:val="32"/>
          <w:szCs w:val="32"/>
          <w:lang w:val="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rPr>
      </w:pPr>
      <w:r>
        <w:rPr>
          <w:rFonts w:hint="eastAsia" w:ascii="仿宋_GB2312" w:hAnsi="仿宋_GB2312" w:eastAsia="仿宋_GB2312" w:cs="仿宋_GB2312"/>
          <w:sz w:val="32"/>
          <w:szCs w:val="32"/>
        </w:rPr>
        <w:t>根据《红原县财政局关于做好2020年财政支出绩效评价工作的通知》（红财发〔2020〕345号）文件精神，我局对2019年度城乡居民养老保险专项资金项目开展了支出绩效自评，内容如下：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一、项目概况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居民养老保险是国家根据《社会保险法》规定建立的以保障参保城乡居民老年基本生活为目标的基本养老保险制度之一。此项惠民政策实行个人缴费和政府补贴相结合，社会统筹和个人账户相结合，基本原则是“保基本、广覆盖、有弹性、可持续”。</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（一）项目资金申报及批复情况。</w:t>
      </w:r>
      <w:r>
        <w:rPr>
          <w:rFonts w:hint="eastAsia" w:ascii="仿宋_GB2312" w:hAnsi="仿宋_GB2312" w:eastAsia="仿宋_GB2312" w:cs="仿宋_GB2312"/>
          <w:sz w:val="32"/>
          <w:szCs w:val="32"/>
        </w:rPr>
        <w:t xml:space="preserve"> 城乡居民养老保险每年通过基金预算来进行项目资金申报。综合考虑上年度基金预算执行情况、本年度经济社会发展水平预测、政策变化以及当地实际情况等因素，按上级部门统一的报表系统、时间和要求编制基金预算草案，并对审核指标出现异常的情况进行详细说明。编制好的年度基金预算草案,由本级人力资源社会保障部门审核汇总，递交财政部门审核后，按规定报本级人民政府和人民代表大会审批，本级部门审核完成后再层层报送上级财政部门和人力资源社会保障部门。基金预算不得随意调整，遇特殊情况需调整基金预算时,统筹地区经办机构要及时编制预算调整方案,经人力资源社会保障部门审核汇总,财政部门审核后,按规定报本级人民政府和人民代表大会常务委员会审批,并报上级财政部门和人力资源社会保障部门。资金申报流程结束后，根据审核结果再由财政部门将项目资金层层下拨到下级财政部门，最后拨入项目实施单位。</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（二）项目绩效目标。</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、项目主要内容：</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1</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城乡居民养老保险财政补贴由基础养老金补贴和个人缴费补贴构成，即根据参保缴费人员的参保缴费档次给予相应的参保缴费补贴和对待遇领取人员的养老金组成部分基础养老金给予全额补贴。</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2</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根据《四川省人力资源和社会保障厅关于贯彻落实加快实现贫困人员城乡居民基本养老保险应保尽保的通知》（川人社办发〔2018〕201号）文件精神，根据川人社办发〔2017〕984号的要求，对缴费年龄段内建档立卡未标注脱贫的贫困人口、低保对象、特困人员等困难群体的城乡居民基本养老保险按最低档次进行政府代 缴。</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计划实现的具体绩效目标：2019年缴费人员年末数7191人，养老金领取人员年末数3430人，困难群体人员年末数3206人，对符合文件要求的上述人员给予相应缴费补贴和基础养老金补贴，对上述困难人员给予政府代缴，争取落实好此项惠民政策，争取做好应保尽保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（三）项目资金申报相符性。</w:t>
      </w:r>
      <w:r>
        <w:rPr>
          <w:rFonts w:hint="eastAsia" w:ascii="仿宋_GB2312" w:hAnsi="仿宋_GB2312" w:eastAsia="仿宋_GB2312" w:cs="仿宋_GB2312"/>
          <w:sz w:val="32"/>
          <w:szCs w:val="32"/>
        </w:rPr>
        <w:t>2019年申报了城乡居民养老保险项目，到位项目资金完全用于参保人员。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二、项目实施及管理情况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1、资金到位。2019年项目资金实际到位405.09万元（州本级及以上），其中 2019年基础养老金补助到位367.60万元，个人缴费补助到位24.53万元，政府代缴资金12.96万元（文件：阿州财社〔2019〕23号，阿州财社〔2019〕43号，阿州财社〔2019〕105号）。2019年基础养老金支出大于基础养老金财政补贴，原因是财政补贴是按照上年人数进行核算，涉及结算抵扣情况，资金到位金额跟计划一致，到位率百分之百，到位时间分别是2019年3月、5月、12月，确保了在本年度内到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资金使用。2019年总支出452.20万元，其中基础养老金支出422.70万元，个人账户支出27.54万元，转移支出1.96万元。养老金待遇支出按照要求在每月20日前足额发放，支付金额经退管按标准核算，稽核复核签字，领导签章，再由财政审核拨款，出纳最后发放。政府代缴资金32.06万元，2019年为3206人进行政府代缴，代缴资金已划入财政专户。</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红原县城乡居民养老保险事业管理局下设5个股室分别为：办公室、统筹计划股、财务股、退管股、稽核股，事业编制10名，目前在岗人员10名。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城乡居民养老保险基金财务会计制度和各项业务管理规章制度，将城乡居民养老保险基金纳入社会保障基金财政专户，严格实行收支两条线管理，单独记账，收支均由金融机构代收代付，基金征缴职能划转税务部门，国库月末转存入财政专户，收入户目前主要收入为转移收入、利息收入、死亡追缴，月末清零。待遇发放按照城乡居民养老保险制度规定的项目和标准核算支出、发放，先向财政局申请拨款划入支出户，再从支出户统一发放到待遇领取人指定卡号，无资金拨付不足额、不及时的情况。基金款项专款专用，单位及个人均未挤占挪用、虚报冒领，每年按时对待遇领取人员进行生存验证，对重复领取待遇人员进行了清理并追回养老金。对参保登记、待遇核定环节进行严格审查核对，待遇领取人员的资料也是逐级审核，确保资料的准确、真实性。基金结余转存定期，实现保值增值。基金的申请、分配、拨付、管理过程严格按照基金监管的相关制度，接受财政、审计部门和社会监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、项目绩效情况</w:t>
      </w:r>
      <w:r>
        <w:rPr>
          <w:rFonts w:hint="eastAsia" w:ascii="黑体" w:hAnsi="黑体" w:eastAsia="黑体" w:cs="黑体"/>
          <w:sz w:val="32"/>
          <w:szCs w:val="32"/>
        </w:rPr>
        <w:tab/>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（一）项目完成情况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在上级主管部门的指导下，在各有关部门的积极配合下，我局认真履行工作职能，合理运用项目资金，2019年参保人员年末数13180人，缴费人员年末数7191人，养老金领取人员年末数3430人，困难群体人员年末数3206人，高质量高时效完成2019年目标任务</w:t>
      </w:r>
      <w:bookmarkStart w:id="73" w:name="_GoBack"/>
      <w:bookmarkEnd w:id="73"/>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（二）项目效益情况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是决战决胜脱贫攻坚的关键之年，面对新形势、新困难，居保在脱贫攻坚方面下足真功夫，信息比对，应保尽保，为3206人困难群体进行政府代缴，虽然每人代缴金额仅一百元，但却为困难群体人员的后半生加了份保险。2019年为7191参保缴费人员计入相应缴费补贴，计入的缴费补贴有助于提高领取待遇标准，2019年为3430人发放待遇452.2万元，人均达到养老金每月每人百元以上。城乡居民养老保险项目资金使牧民群众感受到了国家的惠民政策，加大了基本民生保障力度，助力了脱贫攻坚，为全面建成小康社会贡献了一定力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四、问题及建议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（一）存在的问题。</w:t>
      </w:r>
      <w:r>
        <w:rPr>
          <w:rFonts w:hint="eastAsia" w:ascii="仿宋_GB2312" w:hAnsi="仿宋_GB2312" w:eastAsia="仿宋_GB2312" w:cs="仿宋_GB2312"/>
          <w:sz w:val="32"/>
          <w:szCs w:val="32"/>
        </w:rPr>
        <w:t>硬件设施有待提高，与社保、公安、民政等相关部门关联性较弱，增加了死亡冒领等风险。</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（二）相关建议。</w:t>
      </w:r>
      <w:r>
        <w:rPr>
          <w:rFonts w:hint="eastAsia" w:ascii="仿宋_GB2312" w:hAnsi="仿宋_GB2312" w:eastAsia="仿宋_GB2312" w:cs="仿宋_GB2312"/>
          <w:sz w:val="32"/>
          <w:szCs w:val="32"/>
        </w:rPr>
        <w:t>应加大宣传力度、提高保障标准、完善激励机制、扩大基金投资渠道，更好的实现全体人民“老有所养”的目标。</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outlineLvl w:val="9"/>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outlineLvl w:val="9"/>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outlineLvl w:val="9"/>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cs="仿宋_GB2312"/>
          <w:lang w:val="en-US" w:eastAsia="zh-CN"/>
        </w:rPr>
        <w:t xml:space="preserve">     </w:t>
      </w:r>
    </w:p>
    <w:p>
      <w:pPr>
        <w:pageBreakBefore w:val="0"/>
        <w:widowControl w:val="0"/>
        <w:kinsoku/>
        <w:wordWrap/>
        <w:overflowPunct/>
        <w:topLinePunct w:val="0"/>
        <w:bidi w:val="0"/>
        <w:jc w:val="left"/>
        <w:rPr>
          <w:rStyle w:val="25"/>
          <w:rFonts w:ascii="黑体" w:hAnsi="黑体" w:eastAsia="黑体"/>
          <w:b w:val="0"/>
        </w:rPr>
      </w:pPr>
    </w:p>
    <w:p>
      <w:pPr>
        <w:pageBreakBefore w:val="0"/>
        <w:widowControl w:val="0"/>
        <w:kinsoku/>
        <w:wordWrap/>
        <w:overflowPunct/>
        <w:topLinePunct w:val="0"/>
        <w:bidi w:val="0"/>
        <w:jc w:val="left"/>
        <w:rPr>
          <w:rStyle w:val="25"/>
          <w:rFonts w:ascii="黑体" w:hAnsi="黑体" w:eastAsia="黑体"/>
          <w:b w:val="0"/>
        </w:rPr>
      </w:pPr>
      <w:r>
        <w:rPr>
          <w:rStyle w:val="25"/>
          <w:rFonts w:ascii="黑体" w:hAnsi="黑体" w:eastAsia="黑体"/>
          <w:b w:val="0"/>
        </w:rPr>
        <w:br w:type="page"/>
      </w:r>
    </w:p>
    <w:p>
      <w:pPr>
        <w:pageBreakBefore w:val="0"/>
        <w:widowControl w:val="0"/>
        <w:kinsoku/>
        <w:wordWrap/>
        <w:overflowPunct/>
        <w:topLinePunct w:val="0"/>
        <w:bidi w:val="0"/>
        <w:spacing w:line="600" w:lineRule="exact"/>
        <w:jc w:val="center"/>
        <w:outlineLvl w:val="0"/>
        <w:rPr>
          <w:rStyle w:val="25"/>
          <w:rFonts w:ascii="黑体" w:hAnsi="黑体" w:eastAsia="黑体"/>
          <w:b w:val="0"/>
        </w:rPr>
      </w:pPr>
    </w:p>
    <w:p>
      <w:pPr>
        <w:pageBreakBefore w:val="0"/>
        <w:widowControl w:val="0"/>
        <w:kinsoku/>
        <w:wordWrap/>
        <w:overflowPunct/>
        <w:topLinePunct w:val="0"/>
        <w:bidi w:val="0"/>
        <w:spacing w:line="600"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59"/>
    </w:p>
    <w:p>
      <w:pPr>
        <w:pageBreakBefore w:val="0"/>
        <w:widowControl w:val="0"/>
        <w:kinsoku/>
        <w:wordWrap/>
        <w:overflowPunct/>
        <w:topLinePunct w:val="0"/>
        <w:bidi w:val="0"/>
        <w:spacing w:line="600" w:lineRule="exact"/>
        <w:jc w:val="center"/>
        <w:outlineLvl w:val="0"/>
        <w:rPr>
          <w:rFonts w:ascii="仿宋" w:hAnsi="仿宋" w:eastAsia="仿宋"/>
          <w:b/>
          <w:color w:val="000000"/>
          <w:sz w:val="44"/>
          <w:szCs w:val="44"/>
        </w:rPr>
      </w:pPr>
    </w:p>
    <w:p>
      <w:pPr>
        <w:pStyle w:val="3"/>
        <w:pageBreakBefore w:val="0"/>
        <w:widowControl w:val="0"/>
        <w:kinsoku/>
        <w:wordWrap/>
        <w:overflowPunct/>
        <w:topLinePunct w:val="0"/>
        <w:bidi w:val="0"/>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pPr>
        <w:pStyle w:val="3"/>
        <w:pageBreakBefore w:val="0"/>
        <w:widowControl w:val="0"/>
        <w:kinsoku/>
        <w:wordWrap/>
        <w:overflowPunct/>
        <w:topLinePunct w:val="0"/>
        <w:bidi w:val="0"/>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61"/>
    </w:p>
    <w:p>
      <w:pPr>
        <w:pStyle w:val="3"/>
        <w:pageBreakBefore w:val="0"/>
        <w:widowControl w:val="0"/>
        <w:kinsoku/>
        <w:wordWrap/>
        <w:overflowPunct/>
        <w:topLinePunct w:val="0"/>
        <w:bidi w:val="0"/>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62"/>
    </w:p>
    <w:p>
      <w:pPr>
        <w:pStyle w:val="3"/>
        <w:pageBreakBefore w:val="0"/>
        <w:widowControl w:val="0"/>
        <w:kinsoku/>
        <w:wordWrap/>
        <w:overflowPunct/>
        <w:topLinePunct w:val="0"/>
        <w:bidi w:val="0"/>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pPr>
        <w:pStyle w:val="3"/>
        <w:pageBreakBefore w:val="0"/>
        <w:widowControl w:val="0"/>
        <w:kinsoku/>
        <w:wordWrap/>
        <w:overflowPunct/>
        <w:topLinePunct w:val="0"/>
        <w:bidi w:val="0"/>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4"/>
      <w:bookmarkStart w:id="65" w:name="_Toc15396624"/>
    </w:p>
    <w:p>
      <w:pPr>
        <w:pStyle w:val="3"/>
        <w:pageBreakBefore w:val="0"/>
        <w:widowControl w:val="0"/>
        <w:kinsoku/>
        <w:wordWrap/>
        <w:overflowPunct/>
        <w:topLinePunct w:val="0"/>
        <w:bidi w:val="0"/>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pPr>
        <w:pStyle w:val="3"/>
        <w:pageBreakBefore w:val="0"/>
        <w:widowControl w:val="0"/>
        <w:kinsoku/>
        <w:wordWrap/>
        <w:overflowPunct/>
        <w:topLinePunct w:val="0"/>
        <w:bidi w:val="0"/>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pPr>
        <w:pStyle w:val="3"/>
        <w:pageBreakBefore w:val="0"/>
        <w:widowControl w:val="0"/>
        <w:kinsoku/>
        <w:wordWrap/>
        <w:overflowPunct/>
        <w:topLinePunct w:val="0"/>
        <w:bidi w:val="0"/>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pPr>
        <w:pStyle w:val="3"/>
        <w:pageBreakBefore w:val="0"/>
        <w:widowControl w:val="0"/>
        <w:kinsoku/>
        <w:wordWrap/>
        <w:overflowPunct/>
        <w:topLinePunct w:val="0"/>
        <w:bidi w:val="0"/>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pPr>
        <w:pStyle w:val="3"/>
        <w:pageBreakBefore w:val="0"/>
        <w:widowControl w:val="0"/>
        <w:kinsoku/>
        <w:wordWrap/>
        <w:overflowPunct/>
        <w:topLinePunct w:val="0"/>
        <w:bidi w:val="0"/>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pPr>
        <w:pStyle w:val="3"/>
        <w:pageBreakBefore w:val="0"/>
        <w:widowControl w:val="0"/>
        <w:kinsoku/>
        <w:wordWrap/>
        <w:overflowPunct/>
        <w:topLinePunct w:val="0"/>
        <w:bidi w:val="0"/>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pPr>
        <w:pStyle w:val="3"/>
        <w:pageBreakBefore w:val="0"/>
        <w:widowControl w:val="0"/>
        <w:kinsoku/>
        <w:wordWrap/>
        <w:overflowPunct/>
        <w:topLinePunct w:val="0"/>
        <w:bidi w:val="0"/>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pPr>
        <w:pStyle w:val="3"/>
        <w:pageBreakBefore w:val="0"/>
        <w:widowControl w:val="0"/>
        <w:kinsoku/>
        <w:wordWrap/>
        <w:overflowPunct/>
        <w:topLinePunct w:val="0"/>
        <w:bidi w:val="0"/>
        <w:rPr>
          <w:rFonts w:ascii="仿宋" w:hAnsi="仿宋" w:eastAsia="仿宋"/>
          <w:color w:val="000000" w:themeColor="text1"/>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w:pict>
        <v:shape id="_x0000_s2049" o:spid="_x0000_s2049"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sdt>
                <w:sdtPr>
                  <w:id w:val="-1994781956"/>
                </w:sdtPr>
                <w:sdtContent>
                  <w:p>
                    <w:pPr>
                      <w:pStyle w:val="8"/>
                      <w:jc w:val="cente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PAGE   \* MERGEFORMAT</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2</w:t>
                    </w:r>
                    <w:r>
                      <w:rPr>
                        <w:rFonts w:hint="eastAsia" w:asciiTheme="majorEastAsia" w:hAnsiTheme="majorEastAsia" w:eastAsiaTheme="majorEastAsia" w:cstheme="majorEastAsia"/>
                        <w:sz w:val="28"/>
                        <w:szCs w:val="28"/>
                      </w:rPr>
                      <w:fldChar w:fldCharType="end"/>
                    </w:r>
                  </w:p>
                </w:sdtContent>
              </w:sdt>
              <w:p/>
            </w:txbxContent>
          </v:textbox>
        </v:shape>
      </w:pic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141B5F49"/>
    <w:multiLevelType w:val="singleLevel"/>
    <w:tmpl w:val="141B5F49"/>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765DF"/>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4C0866"/>
    <w:rsid w:val="019C795F"/>
    <w:rsid w:val="028C6E77"/>
    <w:rsid w:val="040046A5"/>
    <w:rsid w:val="057B586E"/>
    <w:rsid w:val="05905633"/>
    <w:rsid w:val="05BC3A42"/>
    <w:rsid w:val="05DF3CF6"/>
    <w:rsid w:val="06993424"/>
    <w:rsid w:val="06CA5DAE"/>
    <w:rsid w:val="0734724C"/>
    <w:rsid w:val="07514AB1"/>
    <w:rsid w:val="07667EDF"/>
    <w:rsid w:val="078B2342"/>
    <w:rsid w:val="084D5CCE"/>
    <w:rsid w:val="0A4E7EDB"/>
    <w:rsid w:val="0C9810E8"/>
    <w:rsid w:val="0D7C2546"/>
    <w:rsid w:val="0E5406C0"/>
    <w:rsid w:val="0EA316D7"/>
    <w:rsid w:val="0EFC298F"/>
    <w:rsid w:val="0F246481"/>
    <w:rsid w:val="0F554D95"/>
    <w:rsid w:val="0FDD080D"/>
    <w:rsid w:val="0FF00CB1"/>
    <w:rsid w:val="10B02C93"/>
    <w:rsid w:val="10C055FF"/>
    <w:rsid w:val="10D50A76"/>
    <w:rsid w:val="11BC1693"/>
    <w:rsid w:val="12342017"/>
    <w:rsid w:val="12EB26FE"/>
    <w:rsid w:val="133B7437"/>
    <w:rsid w:val="13B42FD8"/>
    <w:rsid w:val="13FB0383"/>
    <w:rsid w:val="145A6294"/>
    <w:rsid w:val="15D76CDA"/>
    <w:rsid w:val="16BB723D"/>
    <w:rsid w:val="17786F1D"/>
    <w:rsid w:val="18595249"/>
    <w:rsid w:val="185E1EBA"/>
    <w:rsid w:val="186E0026"/>
    <w:rsid w:val="1A03280B"/>
    <w:rsid w:val="1A455D40"/>
    <w:rsid w:val="1AA35AF3"/>
    <w:rsid w:val="1ADA7E84"/>
    <w:rsid w:val="1BC84EB1"/>
    <w:rsid w:val="1C4E008F"/>
    <w:rsid w:val="1DF93BD7"/>
    <w:rsid w:val="1E390493"/>
    <w:rsid w:val="1E704940"/>
    <w:rsid w:val="1F435459"/>
    <w:rsid w:val="1FEF67F6"/>
    <w:rsid w:val="20E337CE"/>
    <w:rsid w:val="240371BF"/>
    <w:rsid w:val="245631C6"/>
    <w:rsid w:val="24CA2D3E"/>
    <w:rsid w:val="2519727B"/>
    <w:rsid w:val="25381361"/>
    <w:rsid w:val="25647F8D"/>
    <w:rsid w:val="258813A8"/>
    <w:rsid w:val="258D45FB"/>
    <w:rsid w:val="25A24FEF"/>
    <w:rsid w:val="2666732F"/>
    <w:rsid w:val="26C878D2"/>
    <w:rsid w:val="277E1C2D"/>
    <w:rsid w:val="278D7F49"/>
    <w:rsid w:val="27CF4183"/>
    <w:rsid w:val="28293881"/>
    <w:rsid w:val="284F5EF1"/>
    <w:rsid w:val="28701554"/>
    <w:rsid w:val="288142BA"/>
    <w:rsid w:val="29286802"/>
    <w:rsid w:val="29BC2772"/>
    <w:rsid w:val="29FD04D3"/>
    <w:rsid w:val="2B142BB0"/>
    <w:rsid w:val="2B6C50EE"/>
    <w:rsid w:val="2C0C1ABD"/>
    <w:rsid w:val="2C173ED1"/>
    <w:rsid w:val="2C2979EE"/>
    <w:rsid w:val="2D8172F8"/>
    <w:rsid w:val="2E2F3AE4"/>
    <w:rsid w:val="2ECA638C"/>
    <w:rsid w:val="2EF6206D"/>
    <w:rsid w:val="2FF26A25"/>
    <w:rsid w:val="30A6149E"/>
    <w:rsid w:val="319F7F4E"/>
    <w:rsid w:val="31A3057D"/>
    <w:rsid w:val="32437CED"/>
    <w:rsid w:val="32603AD4"/>
    <w:rsid w:val="32D431CF"/>
    <w:rsid w:val="337C2C73"/>
    <w:rsid w:val="34031236"/>
    <w:rsid w:val="34265984"/>
    <w:rsid w:val="36D45EB9"/>
    <w:rsid w:val="37476657"/>
    <w:rsid w:val="37F63287"/>
    <w:rsid w:val="38093002"/>
    <w:rsid w:val="38A328EC"/>
    <w:rsid w:val="3964100C"/>
    <w:rsid w:val="3998682C"/>
    <w:rsid w:val="3AC24097"/>
    <w:rsid w:val="3C8236C7"/>
    <w:rsid w:val="3CB50BE4"/>
    <w:rsid w:val="3DF754F0"/>
    <w:rsid w:val="3E00686D"/>
    <w:rsid w:val="3E145C81"/>
    <w:rsid w:val="3F247241"/>
    <w:rsid w:val="414473F9"/>
    <w:rsid w:val="416A4811"/>
    <w:rsid w:val="42085092"/>
    <w:rsid w:val="441C59E9"/>
    <w:rsid w:val="44EC6C87"/>
    <w:rsid w:val="452B7E67"/>
    <w:rsid w:val="45536D0D"/>
    <w:rsid w:val="46677BDF"/>
    <w:rsid w:val="46D476FF"/>
    <w:rsid w:val="46D85EC7"/>
    <w:rsid w:val="46DD4C8A"/>
    <w:rsid w:val="47385418"/>
    <w:rsid w:val="4798626E"/>
    <w:rsid w:val="480043D5"/>
    <w:rsid w:val="48C31BBD"/>
    <w:rsid w:val="48F667A7"/>
    <w:rsid w:val="49F44184"/>
    <w:rsid w:val="4AA0491A"/>
    <w:rsid w:val="4AEA47B6"/>
    <w:rsid w:val="4B1931D8"/>
    <w:rsid w:val="4BD95926"/>
    <w:rsid w:val="4C13248F"/>
    <w:rsid w:val="4CC76747"/>
    <w:rsid w:val="4DFC49C2"/>
    <w:rsid w:val="4E564953"/>
    <w:rsid w:val="4E617114"/>
    <w:rsid w:val="4EC30231"/>
    <w:rsid w:val="4ECE2238"/>
    <w:rsid w:val="4F8560B6"/>
    <w:rsid w:val="4FE368A2"/>
    <w:rsid w:val="4FE60DC6"/>
    <w:rsid w:val="506610CD"/>
    <w:rsid w:val="50C544F0"/>
    <w:rsid w:val="51886465"/>
    <w:rsid w:val="51980B27"/>
    <w:rsid w:val="52446EA8"/>
    <w:rsid w:val="527F05B2"/>
    <w:rsid w:val="53056C71"/>
    <w:rsid w:val="537E3572"/>
    <w:rsid w:val="545A7B79"/>
    <w:rsid w:val="546F4E3D"/>
    <w:rsid w:val="5697378D"/>
    <w:rsid w:val="57520BDF"/>
    <w:rsid w:val="57A70DE1"/>
    <w:rsid w:val="57E91DB1"/>
    <w:rsid w:val="58B910B1"/>
    <w:rsid w:val="592C4372"/>
    <w:rsid w:val="598D342B"/>
    <w:rsid w:val="5A9C268B"/>
    <w:rsid w:val="5BA55B3D"/>
    <w:rsid w:val="5C8148D3"/>
    <w:rsid w:val="5D3B3BAB"/>
    <w:rsid w:val="5D88450F"/>
    <w:rsid w:val="5D9243A3"/>
    <w:rsid w:val="5E35178F"/>
    <w:rsid w:val="5E704B8A"/>
    <w:rsid w:val="5ED54F8C"/>
    <w:rsid w:val="5F402F13"/>
    <w:rsid w:val="5FC947CC"/>
    <w:rsid w:val="60F210C8"/>
    <w:rsid w:val="61AF054F"/>
    <w:rsid w:val="61DB3480"/>
    <w:rsid w:val="63196091"/>
    <w:rsid w:val="63646086"/>
    <w:rsid w:val="63DD40CF"/>
    <w:rsid w:val="64223FF8"/>
    <w:rsid w:val="646A3310"/>
    <w:rsid w:val="671E275C"/>
    <w:rsid w:val="674C633A"/>
    <w:rsid w:val="68771586"/>
    <w:rsid w:val="69C35EA1"/>
    <w:rsid w:val="6A6B42EC"/>
    <w:rsid w:val="6B603212"/>
    <w:rsid w:val="6C3C5AA0"/>
    <w:rsid w:val="6EAD4C21"/>
    <w:rsid w:val="70EF1FC0"/>
    <w:rsid w:val="711C6EBE"/>
    <w:rsid w:val="7140613F"/>
    <w:rsid w:val="717C666D"/>
    <w:rsid w:val="72734D90"/>
    <w:rsid w:val="734209EB"/>
    <w:rsid w:val="73CB46FC"/>
    <w:rsid w:val="74D41D85"/>
    <w:rsid w:val="76024994"/>
    <w:rsid w:val="775A05C0"/>
    <w:rsid w:val="78A304B7"/>
    <w:rsid w:val="79EA7208"/>
    <w:rsid w:val="7A8475A0"/>
    <w:rsid w:val="7B2509BF"/>
    <w:rsid w:val="7B372C20"/>
    <w:rsid w:val="7C7D5B50"/>
    <w:rsid w:val="7DD937AB"/>
    <w:rsid w:val="7E3F1912"/>
    <w:rsid w:val="7E522307"/>
    <w:rsid w:val="7EA256A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8</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2020-10-19T07:43:41Z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