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425"/>
      <w:bookmarkStart w:id="3" w:name="_Toc15396475"/>
      <w:bookmarkStart w:id="4" w:name="_Toc15377193"/>
      <w:bookmarkStart w:id="5" w:name="_Toc15396597"/>
      <w:r>
        <w:rPr>
          <w:rFonts w:hint="eastAsia" w:ascii="方正小标宋简体" w:hAnsi="宋体" w:eastAsia="方正小标宋简体"/>
          <w:color w:val="000000"/>
          <w:sz w:val="72"/>
          <w:szCs w:val="72"/>
          <w:lang w:eastAsia="zh-CN"/>
        </w:rPr>
        <w:t>2018年度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96476"/>
      <w:bookmarkStart w:id="8" w:name="_Toc15378442"/>
      <w:bookmarkStart w:id="9" w:name="_Toc15396598"/>
      <w:bookmarkStart w:id="10" w:name="_Toc15377194"/>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lang w:eastAsia="zh-CN"/>
        </w:rPr>
        <w:t>阿坝州红原县城乡居民养老保险事业管理局</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6"/>
          <w:rFonts w:hint="eastAsia"/>
        </w:rPr>
        <w:t>第一部分</w:t>
      </w:r>
      <w:r>
        <w:rPr>
          <w:rStyle w:val="16"/>
        </w:rPr>
        <w:t xml:space="preserve"> </w:t>
      </w:r>
      <w:r>
        <w:rPr>
          <w:rStyle w:val="16"/>
          <w:rFonts w:hint="eastAsia"/>
        </w:rPr>
        <w:t>部门概况</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fldChar w:fldCharType="end"/>
      </w:r>
    </w:p>
    <w:p>
      <w:pPr>
        <w:pStyle w:val="10"/>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w:t>
      </w:r>
      <w:r>
        <w:rPr>
          <w:rStyle w:val="16"/>
          <w:bCs/>
          <w:kern w:val="44"/>
        </w:rPr>
        <w:t xml:space="preserve"> </w:t>
      </w:r>
      <w:r>
        <w:rPr>
          <w:rStyle w:val="16"/>
          <w:rFonts w:hint="eastAsia"/>
          <w:bCs/>
          <w:kern w:val="44"/>
        </w:rPr>
        <w:t>附件</w:t>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"_Toc15396617" </w:instrText>
      </w:r>
      <w:r>
        <w:fldChar w:fldCharType="separate"/>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center"/>
        <w:rPr>
          <w:rStyle w:val="26"/>
          <w:rFonts w:hint="eastAsia" w:ascii="黑体" w:hAnsi="黑体" w:eastAsia="黑体"/>
          <w:b w:val="0"/>
          <w:bCs w:val="0"/>
        </w:rPr>
      </w:pPr>
      <w:bookmarkStart w:id="12" w:name="_Toc15377196"/>
      <w:bookmarkStart w:id="13" w:name="_Toc15396599"/>
    </w:p>
    <w:p>
      <w:pPr>
        <w:widowControl/>
        <w:jc w:val="center"/>
        <w:rPr>
          <w:rStyle w:val="26"/>
          <w:rFonts w:hint="eastAsia" w:ascii="黑体" w:hAnsi="黑体" w:eastAsia="黑体"/>
          <w:b w:val="0"/>
          <w:bCs w:val="0"/>
          <w:lang w:val="en-US" w:eastAsia="zh-CN"/>
        </w:rPr>
      </w:pPr>
      <w:r>
        <w:rPr>
          <w:rStyle w:val="26"/>
          <w:rFonts w:hint="eastAsia" w:ascii="黑体" w:hAnsi="黑体" w:eastAsia="黑体"/>
          <w:b w:val="0"/>
          <w:bCs w:val="0"/>
        </w:rPr>
        <w:t>第一部分 部门概况</w:t>
      </w:r>
      <w:bookmarkEnd w:id="12"/>
      <w:bookmarkEnd w:id="13"/>
    </w:p>
    <w:p>
      <w:pPr>
        <w:pStyle w:val="3"/>
        <w:numPr>
          <w:ilvl w:val="0"/>
          <w:numId w:val="1"/>
        </w:numPr>
        <w:ind w:firstLine="320" w:firstLineChars="100"/>
        <w:rPr>
          <w:rStyle w:val="27"/>
          <w:rFonts w:hint="eastAsia" w:ascii="黑体" w:hAnsi="黑体" w:eastAsia="黑体"/>
          <w:b w:val="0"/>
          <w:bCs w:val="0"/>
        </w:rPr>
      </w:pPr>
      <w:bookmarkStart w:id="14" w:name="_Toc15377197"/>
      <w:bookmarkStart w:id="15" w:name="_Toc15396600"/>
      <w:r>
        <w:rPr>
          <w:rFonts w:hint="eastAsia" w:ascii="黑体" w:hAnsi="黑体" w:eastAsia="黑体"/>
          <w:b w:val="0"/>
          <w:color w:val="000000"/>
        </w:rPr>
        <w:t>基</w:t>
      </w:r>
      <w:r>
        <w:rPr>
          <w:rStyle w:val="27"/>
          <w:rFonts w:hint="eastAsia" w:ascii="黑体" w:hAnsi="黑体" w:eastAsia="黑体"/>
          <w:b w:val="0"/>
          <w:bCs w:val="0"/>
        </w:rPr>
        <w:t>本职能及主要工作</w:t>
      </w:r>
      <w:bookmarkEnd w:id="14"/>
      <w:bookmarkEnd w:id="15"/>
      <w:bookmarkStart w:id="16" w:name="_Toc15377198"/>
      <w:bookmarkStart w:id="17" w:name="_Toc15378445"/>
    </w:p>
    <w:p>
      <w:pPr>
        <w:pStyle w:val="3"/>
        <w:numPr>
          <w:ilvl w:val="0"/>
          <w:numId w:val="0"/>
        </w:numPr>
        <w:ind w:firstLine="321" w:firstLineChars="100"/>
        <w:rPr>
          <w:rFonts w:hint="eastAsia" w:ascii="仿宋" w:hAnsi="仿宋" w:eastAsia="仿宋"/>
          <w:bCs/>
          <w:color w:val="000000"/>
          <w:sz w:val="32"/>
          <w:szCs w:val="32"/>
        </w:rPr>
      </w:pPr>
      <w:r>
        <w:rPr>
          <w:rFonts w:hint="eastAsia" w:ascii="仿宋" w:hAnsi="仿宋" w:eastAsia="仿宋"/>
          <w:bCs/>
          <w:color w:val="000000"/>
          <w:sz w:val="32"/>
          <w:szCs w:val="32"/>
          <w:lang w:eastAsia="zh-CN"/>
        </w:rPr>
        <w:t>（</w:t>
      </w:r>
      <w:r>
        <w:rPr>
          <w:rFonts w:hint="eastAsia" w:ascii="仿宋" w:hAnsi="仿宋" w:eastAsia="仿宋"/>
          <w:bCs/>
          <w:color w:val="000000"/>
          <w:sz w:val="32"/>
          <w:szCs w:val="32"/>
        </w:rPr>
        <w:t>一</w:t>
      </w:r>
      <w:r>
        <w:rPr>
          <w:rFonts w:hint="eastAsia" w:ascii="仿宋" w:hAnsi="仿宋" w:eastAsia="仿宋"/>
          <w:bCs/>
          <w:color w:val="000000"/>
          <w:sz w:val="32"/>
          <w:szCs w:val="32"/>
          <w:lang w:eastAsia="zh-CN"/>
        </w:rPr>
        <w:t>）</w:t>
      </w:r>
      <w:r>
        <w:rPr>
          <w:rFonts w:hint="eastAsia" w:ascii="仿宋" w:hAnsi="仿宋" w:eastAsia="仿宋"/>
          <w:bCs/>
          <w:color w:val="000000"/>
          <w:sz w:val="32"/>
          <w:szCs w:val="32"/>
        </w:rPr>
        <w:t>主要职能。</w:t>
      </w:r>
    </w:p>
    <w:p>
      <w:pPr>
        <w:pStyle w:val="3"/>
        <w:numPr>
          <w:ilvl w:val="0"/>
          <w:numId w:val="0"/>
        </w:num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红原县城乡居民养老保险事业管理局是隶属于红原县人力资源和社会保障局的副科级单位，主要承担红原县辖区内城乡居民养老保险工作的开展。本单位为独立核算全额拨款事业单位，下设5个股室分别为：办公室、统筹计划股、财务股、退管股、稽核股。</w:t>
      </w:r>
      <w:bookmarkEnd w:id="16"/>
      <w:bookmarkEnd w:id="17"/>
      <w:bookmarkStart w:id="18" w:name="_Toc15377199"/>
      <w:bookmarkStart w:id="19" w:name="_Toc15378446"/>
    </w:p>
    <w:p>
      <w:pPr>
        <w:pStyle w:val="3"/>
        <w:numPr>
          <w:ilvl w:val="0"/>
          <w:numId w:val="0"/>
        </w:numPr>
        <w:ind w:firstLine="321" w:firstLineChars="100"/>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（二）2018年重点工作完成情况。</w:t>
      </w:r>
      <w:bookmarkEnd w:id="18"/>
      <w:bookmarkEnd w:id="19"/>
    </w:p>
    <w:p>
      <w:pPr>
        <w:pStyle w:val="3"/>
        <w:numPr>
          <w:ilvl w:val="0"/>
          <w:numId w:val="0"/>
        </w:numPr>
        <w:ind w:firstLine="640" w:firstLineChars="200"/>
        <w:rPr>
          <w:rFonts w:hint="eastAsia" w:ascii="仿宋_GB2312" w:hAnsi="仿宋_GB2312" w:eastAsia="仿宋_GB2312" w:cs="仿宋_GB2312"/>
          <w:b w:val="0"/>
          <w:bCs w:val="0"/>
          <w:sz w:val="32"/>
          <w:szCs w:val="32"/>
          <w:lang w:val="en-US" w:eastAsia="zh-CN"/>
        </w:rPr>
      </w:pPr>
      <w:bookmarkStart w:id="20" w:name="_Toc15396601"/>
      <w:bookmarkStart w:id="21" w:name="_Toc15377200"/>
      <w:r>
        <w:rPr>
          <w:rFonts w:hint="eastAsia" w:ascii="仿宋_GB2312" w:hAnsi="仿宋_GB2312" w:eastAsia="仿宋_GB2312" w:cs="仿宋_GB2312"/>
          <w:b w:val="0"/>
          <w:bCs w:val="0"/>
          <w:sz w:val="32"/>
          <w:szCs w:val="32"/>
          <w:lang w:val="en-US" w:eastAsia="zh-CN"/>
        </w:rPr>
        <w:t>2018年我县城乡居保参保人数12404人，完成州定目标任务的102.25%；累计征收养老金143万元；领取待遇人数3289人,累计发放养老金397万元。全县死亡冒领和重复领取养老金107人，20.49万余元，我局通过加强政策宣传及入户追保，截止目前，已追回87人冒领和重复领取养老金14.8万余元。认真落实精准扶贫要求，及时与相关部门配合，完成我县贫困人口2018年政府代缴养老保险工作。经核实，实际符合政府代缴总人数3人,代缴金额30.07万元。</w:t>
      </w:r>
    </w:p>
    <w:p>
      <w:pPr>
        <w:pStyle w:val="5"/>
        <w:keepNext w:val="0"/>
        <w:keepLines w:val="0"/>
        <w:pageBreakBefore w:val="0"/>
        <w:numPr>
          <w:ilvl w:val="0"/>
          <w:numId w:val="0"/>
        </w:numPr>
        <w:kinsoku/>
        <w:wordWrap/>
        <w:overflowPunct/>
        <w:topLinePunct w:val="0"/>
        <w:bidi w:val="0"/>
        <w:adjustRightInd w:val="0"/>
        <w:snapToGrid w:val="0"/>
        <w:spacing w:line="560" w:lineRule="exact"/>
        <w:ind w:right="0" w:rightChars="0" w:firstLine="300" w:firstLineChars="100"/>
        <w:textAlignment w:val="auto"/>
        <w:outlineLvl w:val="9"/>
        <w:rPr>
          <w:rFonts w:hint="eastAsia" w:ascii="黑体" w:hAnsi="黑体" w:eastAsia="黑体"/>
          <w:b w:val="0"/>
          <w:color w:val="000000"/>
        </w:rPr>
      </w:pPr>
      <w:r>
        <w:rPr>
          <w:rFonts w:hint="eastAsia" w:ascii="黑体" w:hAnsi="黑体" w:eastAsia="黑体"/>
          <w:b w:val="0"/>
          <w:color w:val="000000"/>
          <w:lang w:eastAsia="zh-CN"/>
        </w:rPr>
        <w:t>二、</w:t>
      </w:r>
      <w:r>
        <w:rPr>
          <w:rFonts w:hint="eastAsia" w:ascii="黑体" w:hAnsi="黑体" w:eastAsia="黑体"/>
          <w:b w:val="0"/>
          <w:color w:val="000000"/>
        </w:rPr>
        <w:t>机构设置</w:t>
      </w:r>
      <w:bookmarkEnd w:id="20"/>
      <w:bookmarkEnd w:id="21"/>
    </w:p>
    <w:p>
      <w:pPr>
        <w:pStyle w:val="3"/>
        <w:numPr>
          <w:ilvl w:val="0"/>
          <w:numId w:val="0"/>
        </w:numPr>
        <w:ind w:firstLine="640" w:firstLineChars="200"/>
        <w:rPr>
          <w:rFonts w:hint="default" w:eastAsia="宋体"/>
          <w:lang w:val="en-US" w:eastAsia="zh-CN"/>
        </w:rPr>
      </w:pPr>
      <w:r>
        <w:rPr>
          <w:rFonts w:hint="eastAsia" w:ascii="仿宋_GB2312" w:hAnsi="仿宋_GB2312" w:eastAsia="仿宋_GB2312" w:cs="仿宋_GB2312"/>
          <w:b w:val="0"/>
          <w:bCs w:val="0"/>
          <w:sz w:val="32"/>
          <w:szCs w:val="32"/>
        </w:rPr>
        <w:t>我单位为独立核算全额拨款事业单位，</w:t>
      </w:r>
      <w:r>
        <w:rPr>
          <w:rFonts w:hint="eastAsia" w:ascii="仿宋_GB2312" w:hAnsi="仿宋_GB2312" w:eastAsia="仿宋_GB2312" w:cs="仿宋_GB2312"/>
          <w:b w:val="0"/>
          <w:bCs w:val="0"/>
          <w:sz w:val="32"/>
          <w:szCs w:val="32"/>
          <w:lang w:eastAsia="zh-CN"/>
        </w:rPr>
        <w:t>下设</w:t>
      </w:r>
      <w:r>
        <w:rPr>
          <w:rFonts w:hint="eastAsia" w:ascii="仿宋_GB2312" w:hAnsi="仿宋_GB2312" w:eastAsia="仿宋_GB2312" w:cs="仿宋_GB2312"/>
          <w:b w:val="0"/>
          <w:bCs w:val="0"/>
          <w:sz w:val="32"/>
          <w:szCs w:val="32"/>
          <w:lang w:val="en-US" w:eastAsia="zh-CN"/>
        </w:rPr>
        <w:t>1个机构。</w:t>
      </w:r>
      <w:r>
        <w:rPr>
          <w:rFonts w:hint="eastAsia" w:ascii="仿宋_GB2312" w:hAnsi="仿宋_GB2312" w:eastAsia="仿宋_GB2312" w:cs="仿宋_GB2312"/>
          <w:b w:val="0"/>
          <w:bCs w:val="0"/>
          <w:sz w:val="32"/>
          <w:szCs w:val="32"/>
        </w:rPr>
        <w:t>截止201</w:t>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年底我单位共有编制</w:t>
      </w: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sz w:val="32"/>
          <w:szCs w:val="32"/>
        </w:rPr>
        <w:t>个，其中公务员编制</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个，行政工勤编制</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个，事业编制</w:t>
      </w: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sz w:val="32"/>
          <w:szCs w:val="32"/>
        </w:rPr>
        <w:t>个，在职</w:t>
      </w: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sz w:val="32"/>
          <w:szCs w:val="32"/>
        </w:rPr>
        <w:t>人，其中参公</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人，公务员</w:t>
      </w:r>
      <w:r>
        <w:rPr>
          <w:rFonts w:hint="eastAsia" w:ascii="仿宋_GB2312" w:hAnsi="仿宋_GB2312" w:eastAsia="仿宋_GB2312" w:cs="仿宋_GB2312"/>
          <w:b w:val="0"/>
          <w:bCs w:val="0"/>
          <w:sz w:val="32"/>
          <w:szCs w:val="32"/>
          <w:lang w:val="en-US" w:eastAsia="zh-CN"/>
        </w:rPr>
        <w:t>0</w:t>
      </w:r>
      <w:r>
        <w:rPr>
          <w:rFonts w:hint="eastAsia" w:ascii="仿宋_GB2312" w:hAnsi="仿宋_GB2312" w:eastAsia="仿宋_GB2312" w:cs="仿宋_GB2312"/>
          <w:b w:val="0"/>
          <w:bCs w:val="0"/>
          <w:sz w:val="32"/>
          <w:szCs w:val="32"/>
        </w:rPr>
        <w:t>人，事业编制</w:t>
      </w: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sz w:val="32"/>
          <w:szCs w:val="32"/>
        </w:rPr>
        <w:t>人。</w:t>
      </w:r>
    </w:p>
    <w:p>
      <w:pPr>
        <w:pStyle w:val="2"/>
        <w:ind w:right="440"/>
        <w:jc w:val="right"/>
        <w:rPr>
          <w:rStyle w:val="26"/>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2018年度部门决算情况说明</w:t>
      </w:r>
      <w:bookmarkEnd w:id="22"/>
      <w:bookmarkEnd w:id="23"/>
    </w:p>
    <w:p>
      <w:pPr>
        <w:pStyle w:val="25"/>
        <w:numPr>
          <w:ilvl w:val="0"/>
          <w:numId w:val="2"/>
        </w:numPr>
        <w:spacing w:line="600" w:lineRule="exact"/>
        <w:ind w:firstLineChars="0"/>
        <w:outlineLvl w:val="1"/>
        <w:rPr>
          <w:rStyle w:val="27"/>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drawing>
          <wp:anchor distT="0" distB="0" distL="114300" distR="114300" simplePos="0" relativeHeight="251658240" behindDoc="0" locked="0" layoutInCell="1" allowOverlap="1">
            <wp:simplePos x="0" y="0"/>
            <wp:positionH relativeFrom="column">
              <wp:posOffset>20320</wp:posOffset>
            </wp:positionH>
            <wp:positionV relativeFrom="paragraph">
              <wp:posOffset>1581150</wp:posOffset>
            </wp:positionV>
            <wp:extent cx="5080000" cy="3810000"/>
            <wp:effectExtent l="4445" t="4445" r="20955" b="1460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我局</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szCs w:val="32"/>
          <w:lang w:val="en-US" w:eastAsia="zh-CN"/>
        </w:rPr>
        <w:t>144.98万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同比去年增加</w:t>
      </w:r>
      <w:r>
        <w:rPr>
          <w:rFonts w:hint="eastAsia" w:ascii="仿宋_GB2312" w:hAnsi="仿宋_GB2312" w:eastAsia="仿宋_GB2312" w:cs="仿宋_GB2312"/>
          <w:color w:val="000000"/>
          <w:sz w:val="32"/>
          <w:szCs w:val="32"/>
          <w:lang w:val="en-US" w:eastAsia="zh-CN"/>
        </w:rPr>
        <w:t>20.98万元，增加原因是由于人员增加，工作变动。</w:t>
      </w:r>
      <w:r>
        <w:rPr>
          <w:rFonts w:hint="eastAsia" w:ascii="仿宋_GB2312" w:hAnsi="仿宋_GB2312" w:eastAsia="仿宋_GB2312" w:cs="仿宋_GB2312"/>
          <w:color w:val="000000"/>
          <w:sz w:val="32"/>
          <w:szCs w:val="32"/>
          <w:lang w:eastAsia="zh-CN"/>
        </w:rPr>
        <w:t>我局</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szCs w:val="32"/>
          <w:lang w:val="en-US" w:eastAsia="zh-CN"/>
        </w:rPr>
        <w:t>144.98万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同比去年增加</w:t>
      </w:r>
      <w:r>
        <w:rPr>
          <w:rFonts w:hint="eastAsia" w:ascii="仿宋_GB2312" w:hAnsi="仿宋_GB2312" w:eastAsia="仿宋_GB2312" w:cs="仿宋_GB2312"/>
          <w:color w:val="000000"/>
          <w:sz w:val="32"/>
          <w:szCs w:val="32"/>
          <w:lang w:val="en-US" w:eastAsia="zh-CN"/>
        </w:rPr>
        <w:t>20.73万元，增加原因是由于人员增加，工作变动。</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5"/>
        <w:numPr>
          <w:ilvl w:val="0"/>
          <w:numId w:val="2"/>
        </w:numPr>
        <w:spacing w:line="600" w:lineRule="exact"/>
        <w:ind w:firstLineChars="0"/>
        <w:outlineLvl w:val="1"/>
        <w:rPr>
          <w:rStyle w:val="27"/>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27"/>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50165</wp:posOffset>
            </wp:positionH>
            <wp:positionV relativeFrom="paragraph">
              <wp:posOffset>2501265</wp:posOffset>
            </wp:positionV>
            <wp:extent cx="5080000" cy="3810000"/>
            <wp:effectExtent l="4445" t="4445" r="20955" b="1460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144.98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144.98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pStyle w:val="25"/>
        <w:numPr>
          <w:ilvl w:val="0"/>
          <w:numId w:val="2"/>
        </w:numPr>
        <w:spacing w:line="600" w:lineRule="exact"/>
        <w:ind w:firstLineChars="0"/>
        <w:outlineLvl w:val="1"/>
        <w:rPr>
          <w:rStyle w:val="27"/>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144.98</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144.98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118745</wp:posOffset>
            </wp:positionH>
            <wp:positionV relativeFrom="paragraph">
              <wp:posOffset>377190</wp:posOffset>
            </wp:positionV>
            <wp:extent cx="5080000" cy="3566160"/>
            <wp:effectExtent l="4445" t="4445" r="20955" b="1079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outlineLvl w:val="1"/>
        <w:rPr>
          <w:rStyle w:val="27"/>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0"/>
      <w:bookmarkEnd w:id="31"/>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2018</w:t>
      </w:r>
      <w:r>
        <w:rPr>
          <w:rFonts w:hint="eastAsia" w:ascii="仿宋_GB2312" w:hAnsi="仿宋_GB2312" w:eastAsia="仿宋_GB2312" w:cs="仿宋_GB2312"/>
          <w:color w:val="000000"/>
          <w:sz w:val="32"/>
          <w:szCs w:val="32"/>
        </w:rPr>
        <w:t>年度财政拨款收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总计</w:t>
      </w:r>
      <w:r>
        <w:rPr>
          <w:rFonts w:hint="eastAsia" w:ascii="仿宋_GB2312" w:hAnsi="仿宋_GB2312" w:eastAsia="仿宋_GB2312" w:cs="仿宋_GB2312"/>
          <w:color w:val="000000"/>
          <w:sz w:val="32"/>
          <w:szCs w:val="32"/>
          <w:lang w:val="en-US" w:eastAsia="zh-CN"/>
        </w:rPr>
        <w:t>144.98万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占总收入</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与</w:t>
      </w:r>
      <w:r>
        <w:rPr>
          <w:rFonts w:hint="eastAsia" w:ascii="仿宋_GB2312" w:hAnsi="仿宋_GB2312" w:eastAsia="仿宋_GB2312" w:cs="仿宋_GB2312"/>
          <w:color w:val="000000"/>
          <w:sz w:val="32"/>
          <w:szCs w:val="32"/>
          <w:lang w:eastAsia="zh-CN"/>
        </w:rPr>
        <w:t>2017</w:t>
      </w:r>
      <w:r>
        <w:rPr>
          <w:rFonts w:hint="eastAsia" w:ascii="仿宋_GB2312" w:hAnsi="仿宋_GB2312" w:eastAsia="仿宋_GB2312" w:cs="仿宋_GB2312"/>
          <w:color w:val="000000"/>
          <w:sz w:val="32"/>
          <w:szCs w:val="32"/>
        </w:rPr>
        <w:t>年相比</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20.98万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，增长</w:t>
      </w:r>
      <w:r>
        <w:rPr>
          <w:rFonts w:hint="eastAsia" w:ascii="仿宋_GB2312" w:hAnsi="仿宋_GB2312" w:eastAsia="仿宋_GB2312" w:cs="仿宋_GB2312"/>
          <w:color w:val="000000"/>
          <w:sz w:val="32"/>
          <w:szCs w:val="32"/>
          <w:lang w:val="en-US" w:eastAsia="zh-CN"/>
        </w:rPr>
        <w:t>14.47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，增长原因是</w:t>
      </w:r>
      <w:r>
        <w:rPr>
          <w:rFonts w:hint="eastAsia" w:ascii="仿宋_GB2312" w:hAnsi="仿宋_GB2312" w:eastAsia="仿宋_GB2312" w:cs="仿宋_GB2312"/>
          <w:color w:val="000000"/>
          <w:sz w:val="32"/>
          <w:szCs w:val="32"/>
          <w:lang w:val="en-US" w:eastAsia="zh-CN"/>
        </w:rPr>
        <w:t>由于人员增加，工作变动。</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2018</w:t>
      </w:r>
      <w:r>
        <w:rPr>
          <w:rFonts w:hint="eastAsia" w:ascii="仿宋_GB2312" w:hAnsi="仿宋_GB2312" w:eastAsia="仿宋_GB2312" w:cs="仿宋_GB2312"/>
          <w:color w:val="000000"/>
          <w:sz w:val="32"/>
          <w:szCs w:val="32"/>
        </w:rPr>
        <w:t>年度财政拨款</w:t>
      </w:r>
      <w:r>
        <w:rPr>
          <w:rFonts w:hint="eastAsia" w:ascii="仿宋_GB2312" w:hAnsi="仿宋_GB2312" w:eastAsia="仿宋_GB2312" w:cs="仿宋_GB2312"/>
          <w:color w:val="000000"/>
          <w:sz w:val="32"/>
          <w:szCs w:val="32"/>
          <w:lang w:eastAsia="zh-CN"/>
        </w:rPr>
        <w:t>支出</w:t>
      </w:r>
      <w:r>
        <w:rPr>
          <w:rFonts w:hint="eastAsia" w:ascii="仿宋_GB2312" w:hAnsi="仿宋_GB2312" w:eastAsia="仿宋_GB2312" w:cs="仿宋_GB2312"/>
          <w:color w:val="000000"/>
          <w:sz w:val="32"/>
          <w:szCs w:val="32"/>
        </w:rPr>
        <w:t>总计</w:t>
      </w:r>
      <w:r>
        <w:rPr>
          <w:rFonts w:hint="eastAsia" w:ascii="仿宋_GB2312" w:hAnsi="仿宋_GB2312" w:eastAsia="仿宋_GB2312" w:cs="仿宋_GB2312"/>
          <w:color w:val="000000"/>
          <w:sz w:val="32"/>
          <w:szCs w:val="32"/>
          <w:lang w:val="en-US" w:eastAsia="zh-CN"/>
        </w:rPr>
        <w:t>144.98万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占总支出</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与</w:t>
      </w:r>
      <w:r>
        <w:rPr>
          <w:rFonts w:hint="eastAsia" w:ascii="仿宋_GB2312" w:hAnsi="仿宋_GB2312" w:eastAsia="仿宋_GB2312" w:cs="仿宋_GB2312"/>
          <w:color w:val="000000"/>
          <w:sz w:val="32"/>
          <w:szCs w:val="32"/>
          <w:lang w:eastAsia="zh-CN"/>
        </w:rPr>
        <w:t>2017</w:t>
      </w:r>
      <w:r>
        <w:rPr>
          <w:rFonts w:hint="eastAsia" w:ascii="仿宋_GB2312" w:hAnsi="仿宋_GB2312" w:eastAsia="仿宋_GB2312" w:cs="仿宋_GB2312"/>
          <w:color w:val="000000"/>
          <w:sz w:val="32"/>
          <w:szCs w:val="32"/>
        </w:rPr>
        <w:t>年相比，</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20.73万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，增长</w:t>
      </w:r>
      <w:r>
        <w:rPr>
          <w:rFonts w:hint="eastAsia" w:ascii="仿宋_GB2312" w:hAnsi="仿宋_GB2312" w:eastAsia="仿宋_GB2312" w:cs="仿宋_GB2312"/>
          <w:color w:val="000000"/>
          <w:sz w:val="32"/>
          <w:szCs w:val="32"/>
          <w:lang w:val="en-US" w:eastAsia="zh-CN"/>
        </w:rPr>
        <w:t>14.30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。增长原因是</w:t>
      </w:r>
      <w:r>
        <w:rPr>
          <w:rFonts w:hint="eastAsia" w:ascii="仿宋_GB2312" w:hAnsi="仿宋_GB2312" w:eastAsia="仿宋_GB2312" w:cs="仿宋_GB2312"/>
          <w:color w:val="000000"/>
          <w:sz w:val="32"/>
          <w:szCs w:val="32"/>
          <w:lang w:val="en-US" w:eastAsia="zh-CN"/>
        </w:rPr>
        <w:t>由于人员增加，工作变动。</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1312" behindDoc="0" locked="0" layoutInCell="1" allowOverlap="1">
            <wp:simplePos x="0" y="0"/>
            <wp:positionH relativeFrom="column">
              <wp:posOffset>213360</wp:posOffset>
            </wp:positionH>
            <wp:positionV relativeFrom="paragraph">
              <wp:posOffset>-154305</wp:posOffset>
            </wp:positionV>
            <wp:extent cx="5080000" cy="3810000"/>
            <wp:effectExtent l="4445" t="4445" r="20955" b="1460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outlineLvl w:val="1"/>
        <w:rPr>
          <w:rStyle w:val="27"/>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144.98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20.73</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14.30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lang w:val="en-US" w:eastAsia="zh-CN"/>
        </w:rPr>
        <w:t>由于人员增加，工作变动</w:t>
      </w:r>
    </w:p>
    <w:p>
      <w:pP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br w:type="page"/>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rPr>
        <w:t>一般公共预算财政拨款支出</w:t>
      </w:r>
      <w:r>
        <w:rPr>
          <w:rFonts w:hint="eastAsia" w:ascii="仿宋_GB2312" w:hAnsi="仿宋_GB2312" w:eastAsia="仿宋_GB2312" w:cs="仿宋_GB2312"/>
          <w:color w:val="000000"/>
          <w:sz w:val="32"/>
          <w:szCs w:val="32"/>
          <w:lang w:val="en-US" w:eastAsia="zh-CN"/>
        </w:rPr>
        <w:drawing>
          <wp:anchor distT="0" distB="0" distL="114300" distR="114300" simplePos="0" relativeHeight="251662336" behindDoc="0" locked="0" layoutInCell="1" allowOverlap="1">
            <wp:simplePos x="0" y="0"/>
            <wp:positionH relativeFrom="column">
              <wp:posOffset>45720</wp:posOffset>
            </wp:positionH>
            <wp:positionV relativeFrom="paragraph">
              <wp:posOffset>-59690</wp:posOffset>
            </wp:positionV>
            <wp:extent cx="5080000" cy="3810000"/>
            <wp:effectExtent l="4445" t="4445" r="20955" b="1460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144.98</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129.64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89</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w:t>
      </w:r>
      <w:r>
        <w:rPr>
          <w:rFonts w:hint="eastAsia" w:ascii="仿宋" w:hAnsi="仿宋" w:eastAsia="仿宋"/>
          <w:color w:val="000000" w:themeColor="text1"/>
          <w:sz w:val="32"/>
          <w:szCs w:val="32"/>
          <w:lang w:val="en-US" w:eastAsia="zh-CN"/>
          <w14:textFill>
            <w14:solidFill>
              <w14:schemeClr w14:val="tx1"/>
            </w14:solidFill>
          </w14:textFill>
        </w:rPr>
        <w:t>5.97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9.37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br w:type="page"/>
      </w:r>
    </w:p>
    <w:p>
      <w:pPr>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14:textFill>
            <w14:solidFill>
              <w14:schemeClr w14:val="tx1"/>
            </w14:solidFill>
          </w14:textFill>
        </w:rPr>
        <w:t>2018年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144.98万元</w:t>
      </w:r>
      <w:r>
        <w:rPr>
          <w:rFonts w:hint="eastAsia" w:ascii="仿宋" w:hAnsi="仿宋" w:eastAsia="仿宋"/>
          <w:color w:val="000000" w:themeColor="text1"/>
          <w:sz w:val="32"/>
          <w:szCs w:val="32"/>
          <w14:textFill>
            <w14:solidFill>
              <w14:schemeClr w14:val="tx1"/>
            </w14:solidFill>
          </w14:textFill>
        </w:rPr>
        <w:t>，</w:t>
      </w:r>
      <w:r>
        <w:rPr>
          <w:rStyle w:val="14"/>
          <w:rFonts w:hint="eastAsia" w:ascii="仿宋" w:hAnsi="仿宋" w:eastAsia="仿宋"/>
          <w:bCs/>
          <w:color w:val="000000" w:themeColor="text1"/>
          <w:sz w:val="32"/>
          <w:szCs w:val="32"/>
          <w14:textFill>
            <w14:solidFill>
              <w14:schemeClr w14:val="tx1"/>
            </w14:solidFill>
          </w14:textFill>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138</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7"/>
      <w:bookmarkEnd w:id="38"/>
      <w:bookmarkEnd w:id="39"/>
    </w:p>
    <w:p>
      <w:pPr>
        <w:numPr>
          <w:ilvl w:val="0"/>
          <w:numId w:val="3"/>
        </w:numPr>
        <w:spacing w:line="600" w:lineRule="exact"/>
        <w:ind w:firstLine="643" w:firstLineChars="200"/>
        <w:rPr>
          <w:rStyle w:val="14"/>
          <w:rFonts w:hint="eastAsia" w:ascii="仿宋" w:hAnsi="仿宋" w:eastAsia="仿宋"/>
          <w:b w:val="0"/>
          <w:bCs/>
          <w:color w:val="000000"/>
          <w:sz w:val="32"/>
          <w:szCs w:val="32"/>
          <w:lang w:eastAsia="zh-CN"/>
        </w:rPr>
      </w:pPr>
      <w:r>
        <w:rPr>
          <w:rStyle w:val="14"/>
          <w:rFonts w:hint="eastAsia" w:ascii="仿宋" w:hAnsi="仿宋" w:eastAsia="仿宋"/>
          <w:bCs/>
          <w:color w:val="000000"/>
          <w:sz w:val="32"/>
          <w:szCs w:val="32"/>
        </w:rPr>
        <w:t>社会保障和就业（类）</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129.64</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等于</w:t>
      </w:r>
      <w:r>
        <w:rPr>
          <w:rStyle w:val="14"/>
          <w:rFonts w:hint="eastAsia" w:ascii="仿宋" w:hAnsi="仿宋" w:eastAsia="仿宋"/>
          <w:b w:val="0"/>
          <w:bCs/>
          <w:color w:val="000000"/>
          <w:sz w:val="32"/>
          <w:szCs w:val="32"/>
        </w:rPr>
        <w:t>预算数主要</w:t>
      </w:r>
      <w:r>
        <w:rPr>
          <w:rStyle w:val="14"/>
          <w:rFonts w:hint="eastAsia" w:ascii="仿宋" w:hAnsi="仿宋" w:eastAsia="仿宋"/>
          <w:b w:val="0"/>
          <w:bCs/>
          <w:color w:val="000000"/>
          <w:sz w:val="32"/>
          <w:szCs w:val="32"/>
          <w:lang w:eastAsia="zh-CN"/>
        </w:rPr>
        <w:t>用于职工基本养老保险费支出、职业年金缴费支出、日常公用经费支出。</w:t>
      </w:r>
    </w:p>
    <w:p>
      <w:pPr>
        <w:numPr>
          <w:ilvl w:val="0"/>
          <w:numId w:val="0"/>
        </w:numPr>
        <w:spacing w:line="600" w:lineRule="exact"/>
        <w:rPr>
          <w:rStyle w:val="14"/>
          <w:rFonts w:hint="eastAsia" w:ascii="仿宋" w:hAnsi="仿宋" w:eastAsia="仿宋"/>
          <w:b w:val="0"/>
          <w:bCs/>
          <w:color w:val="000000"/>
          <w:sz w:val="32"/>
          <w:szCs w:val="32"/>
          <w:lang w:val="en-US" w:eastAsia="zh-CN"/>
        </w:rPr>
      </w:pPr>
      <w:r>
        <w:rPr>
          <w:rStyle w:val="14"/>
          <w:rFonts w:hint="eastAsia" w:ascii="仿宋" w:hAnsi="仿宋" w:eastAsia="仿宋"/>
          <w:b/>
          <w:bCs w:val="0"/>
          <w:color w:val="000000"/>
          <w:sz w:val="32"/>
          <w:szCs w:val="32"/>
          <w:lang w:eastAsia="zh-CN"/>
        </w:rPr>
        <w:t>其中</w:t>
      </w:r>
      <w:r>
        <w:rPr>
          <w:rStyle w:val="14"/>
          <w:rFonts w:hint="eastAsia" w:ascii="仿宋" w:hAnsi="仿宋" w:eastAsia="仿宋"/>
          <w:b w:val="0"/>
          <w:bCs/>
          <w:color w:val="000000"/>
          <w:sz w:val="32"/>
          <w:szCs w:val="32"/>
          <w:lang w:eastAsia="zh-CN"/>
        </w:rPr>
        <w:t>：</w:t>
      </w:r>
      <w:r>
        <w:rPr>
          <w:rStyle w:val="14"/>
          <w:rFonts w:hint="eastAsia" w:ascii="仿宋" w:hAnsi="仿宋" w:eastAsia="仿宋"/>
          <w:b w:val="0"/>
          <w:bCs/>
          <w:color w:val="000000"/>
          <w:sz w:val="32"/>
          <w:szCs w:val="32"/>
          <w:lang w:val="en-US" w:eastAsia="zh-CN"/>
        </w:rPr>
        <w:t>2080109-社会保险经办机构支出109.38万元，该支出主要用于日常公用经费。</w:t>
      </w:r>
    </w:p>
    <w:p>
      <w:pPr>
        <w:numPr>
          <w:ilvl w:val="0"/>
          <w:numId w:val="0"/>
        </w:numPr>
        <w:spacing w:line="600" w:lineRule="exact"/>
        <w:ind w:firstLine="960" w:firstLineChars="300"/>
        <w:rPr>
          <w:rStyle w:val="14"/>
          <w:rFonts w:hint="eastAsia" w:ascii="仿宋" w:hAnsi="仿宋" w:eastAsia="仿宋"/>
          <w:b w:val="0"/>
          <w:bCs/>
          <w:color w:val="000000"/>
          <w:sz w:val="32"/>
          <w:szCs w:val="32"/>
          <w:lang w:eastAsia="zh-CN"/>
        </w:rPr>
      </w:pPr>
      <w:r>
        <w:rPr>
          <w:rStyle w:val="14"/>
          <w:rFonts w:hint="eastAsia" w:ascii="仿宋" w:hAnsi="仿宋" w:eastAsia="仿宋"/>
          <w:b w:val="0"/>
          <w:bCs/>
          <w:color w:val="000000"/>
          <w:sz w:val="32"/>
          <w:szCs w:val="32"/>
          <w:lang w:val="en-US" w:eastAsia="zh-CN"/>
        </w:rPr>
        <w:t>2080505-机关事业单位基本养老保险缴费支出14.47万元，该支出主要用于缴纳</w:t>
      </w:r>
      <w:r>
        <w:rPr>
          <w:rStyle w:val="14"/>
          <w:rFonts w:hint="eastAsia" w:ascii="仿宋" w:hAnsi="仿宋" w:eastAsia="仿宋"/>
          <w:b w:val="0"/>
          <w:bCs/>
          <w:color w:val="000000"/>
          <w:sz w:val="32"/>
          <w:szCs w:val="32"/>
          <w:lang w:eastAsia="zh-CN"/>
        </w:rPr>
        <w:t>职工基本养老保险费。</w:t>
      </w:r>
    </w:p>
    <w:p>
      <w:pPr>
        <w:numPr>
          <w:ilvl w:val="0"/>
          <w:numId w:val="0"/>
        </w:numPr>
        <w:spacing w:line="600" w:lineRule="exact"/>
        <w:ind w:firstLine="960" w:firstLineChars="300"/>
        <w:rPr>
          <w:rStyle w:val="14"/>
          <w:rFonts w:hint="default" w:ascii="仿宋" w:hAnsi="仿宋" w:eastAsia="仿宋"/>
          <w:b w:val="0"/>
          <w:bCs/>
          <w:color w:val="000000"/>
          <w:sz w:val="32"/>
          <w:szCs w:val="32"/>
          <w:lang w:val="en-US" w:eastAsia="zh-CN"/>
        </w:rPr>
      </w:pPr>
      <w:r>
        <w:rPr>
          <w:rStyle w:val="14"/>
          <w:rFonts w:hint="eastAsia" w:ascii="仿宋" w:hAnsi="仿宋" w:eastAsia="仿宋"/>
          <w:b w:val="0"/>
          <w:bCs/>
          <w:color w:val="000000"/>
          <w:sz w:val="32"/>
          <w:szCs w:val="32"/>
          <w:lang w:val="en-US" w:eastAsia="zh-CN"/>
        </w:rPr>
        <w:t>2080506-机关事业单位</w:t>
      </w:r>
      <w:r>
        <w:rPr>
          <w:rStyle w:val="14"/>
          <w:rFonts w:hint="eastAsia" w:ascii="仿宋" w:hAnsi="仿宋" w:eastAsia="仿宋"/>
          <w:b w:val="0"/>
          <w:bCs/>
          <w:color w:val="000000"/>
          <w:sz w:val="32"/>
          <w:szCs w:val="32"/>
          <w:lang w:eastAsia="zh-CN"/>
        </w:rPr>
        <w:t>职业年金缴费支出</w:t>
      </w:r>
      <w:r>
        <w:rPr>
          <w:rStyle w:val="14"/>
          <w:rFonts w:hint="eastAsia" w:ascii="仿宋" w:hAnsi="仿宋" w:eastAsia="仿宋"/>
          <w:b w:val="0"/>
          <w:bCs/>
          <w:color w:val="000000"/>
          <w:sz w:val="32"/>
          <w:szCs w:val="32"/>
          <w:lang w:val="en-US" w:eastAsia="zh-CN"/>
        </w:rPr>
        <w:t>5.79万元，该支出主要用于缴纳</w:t>
      </w:r>
      <w:r>
        <w:rPr>
          <w:rStyle w:val="14"/>
          <w:rFonts w:hint="eastAsia" w:ascii="仿宋" w:hAnsi="仿宋" w:eastAsia="仿宋"/>
          <w:b w:val="0"/>
          <w:bCs/>
          <w:color w:val="000000"/>
          <w:sz w:val="32"/>
          <w:szCs w:val="32"/>
          <w:lang w:eastAsia="zh-CN"/>
        </w:rPr>
        <w:t>职工职业年金。</w:t>
      </w:r>
    </w:p>
    <w:p>
      <w:pPr>
        <w:numPr>
          <w:ilvl w:val="0"/>
          <w:numId w:val="3"/>
        </w:numPr>
        <w:spacing w:line="600" w:lineRule="exact"/>
        <w:ind w:left="0" w:leftChars="0" w:firstLine="643" w:firstLineChars="200"/>
        <w:rPr>
          <w:rStyle w:val="14"/>
          <w:rFonts w:hint="eastAsia" w:ascii="仿宋" w:hAnsi="仿宋" w:eastAsia="仿宋"/>
          <w:b w:val="0"/>
          <w:bCs/>
          <w:color w:val="000000"/>
          <w:sz w:val="32"/>
          <w:szCs w:val="32"/>
          <w:lang w:eastAsia="zh-CN"/>
        </w:rPr>
      </w:pPr>
      <w:r>
        <w:rPr>
          <w:rStyle w:val="14"/>
          <w:rFonts w:hint="eastAsia" w:ascii="仿宋" w:hAnsi="仿宋" w:eastAsia="仿宋"/>
          <w:bCs/>
          <w:color w:val="000000"/>
          <w:sz w:val="32"/>
          <w:szCs w:val="32"/>
        </w:rPr>
        <w:t>医疗卫生与计划生育（类）</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5.97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等</w:t>
      </w:r>
      <w:r>
        <w:rPr>
          <w:rStyle w:val="14"/>
          <w:rFonts w:hint="eastAsia" w:ascii="仿宋" w:hAnsi="仿宋" w:eastAsia="仿宋"/>
          <w:b w:val="0"/>
          <w:bCs/>
          <w:color w:val="000000"/>
          <w:sz w:val="32"/>
          <w:szCs w:val="32"/>
        </w:rPr>
        <w:t>于预算数主要</w:t>
      </w:r>
      <w:r>
        <w:rPr>
          <w:rStyle w:val="14"/>
          <w:rFonts w:hint="eastAsia" w:ascii="仿宋" w:hAnsi="仿宋" w:eastAsia="仿宋"/>
          <w:b w:val="0"/>
          <w:bCs/>
          <w:color w:val="000000"/>
          <w:sz w:val="32"/>
          <w:szCs w:val="32"/>
          <w:lang w:eastAsia="zh-CN"/>
        </w:rPr>
        <w:t>用于职工</w:t>
      </w:r>
      <w:r>
        <w:rPr>
          <w:rStyle w:val="14"/>
          <w:rFonts w:hint="eastAsia" w:ascii="仿宋" w:hAnsi="仿宋" w:eastAsia="仿宋"/>
          <w:b w:val="0"/>
          <w:bCs/>
          <w:color w:val="000000"/>
          <w:sz w:val="32"/>
          <w:szCs w:val="32"/>
          <w:lang w:val="en-US" w:eastAsia="zh-CN"/>
        </w:rPr>
        <w:t>基本医疗保险费</w:t>
      </w:r>
      <w:r>
        <w:rPr>
          <w:rStyle w:val="14"/>
          <w:rFonts w:hint="eastAsia" w:ascii="仿宋" w:hAnsi="仿宋" w:eastAsia="仿宋"/>
          <w:b w:val="0"/>
          <w:bCs/>
          <w:color w:val="000000"/>
          <w:sz w:val="32"/>
          <w:szCs w:val="32"/>
          <w:lang w:eastAsia="zh-CN"/>
        </w:rPr>
        <w:t>支出。</w:t>
      </w:r>
    </w:p>
    <w:p>
      <w:pPr>
        <w:numPr>
          <w:ilvl w:val="0"/>
          <w:numId w:val="0"/>
        </w:numPr>
        <w:spacing w:line="600" w:lineRule="exact"/>
        <w:rPr>
          <w:rStyle w:val="14"/>
          <w:rFonts w:hint="eastAsia" w:ascii="仿宋" w:hAnsi="仿宋" w:eastAsia="仿宋"/>
          <w:b w:val="0"/>
          <w:bCs/>
          <w:color w:val="000000"/>
          <w:sz w:val="32"/>
          <w:szCs w:val="32"/>
          <w:lang w:val="en-US" w:eastAsia="zh-CN"/>
        </w:rPr>
      </w:pPr>
      <w:r>
        <w:rPr>
          <w:rStyle w:val="14"/>
          <w:rFonts w:hint="eastAsia" w:ascii="仿宋" w:hAnsi="仿宋" w:eastAsia="仿宋"/>
          <w:b/>
          <w:bCs w:val="0"/>
          <w:color w:val="000000"/>
          <w:sz w:val="32"/>
          <w:szCs w:val="32"/>
          <w:lang w:eastAsia="zh-CN"/>
        </w:rPr>
        <w:t>其中</w:t>
      </w:r>
      <w:r>
        <w:rPr>
          <w:rStyle w:val="14"/>
          <w:rFonts w:hint="eastAsia" w:ascii="仿宋" w:hAnsi="仿宋" w:eastAsia="仿宋"/>
          <w:b w:val="0"/>
          <w:bCs/>
          <w:color w:val="000000"/>
          <w:sz w:val="32"/>
          <w:szCs w:val="32"/>
          <w:lang w:eastAsia="zh-CN"/>
        </w:rPr>
        <w:t>：</w:t>
      </w:r>
      <w:r>
        <w:rPr>
          <w:rStyle w:val="14"/>
          <w:rFonts w:hint="eastAsia" w:ascii="仿宋" w:hAnsi="仿宋" w:eastAsia="仿宋"/>
          <w:b w:val="0"/>
          <w:bCs/>
          <w:color w:val="000000"/>
          <w:sz w:val="32"/>
          <w:szCs w:val="32"/>
          <w:lang w:val="en-US" w:eastAsia="zh-CN"/>
        </w:rPr>
        <w:t>2101102-事业单位医疗支出4.79万元，该支出主要用于缴纳职工基本医疗保险。</w:t>
      </w:r>
    </w:p>
    <w:p>
      <w:pPr>
        <w:numPr>
          <w:ilvl w:val="0"/>
          <w:numId w:val="0"/>
        </w:numPr>
        <w:spacing w:line="600" w:lineRule="exact"/>
        <w:ind w:firstLine="960" w:firstLineChars="300"/>
        <w:jc w:val="left"/>
        <w:rPr>
          <w:rStyle w:val="14"/>
          <w:rFonts w:hint="eastAsia" w:ascii="仿宋" w:hAnsi="仿宋" w:eastAsia="仿宋"/>
          <w:b w:val="0"/>
          <w:bCs/>
          <w:color w:val="000000"/>
          <w:sz w:val="32"/>
          <w:szCs w:val="32"/>
          <w:lang w:val="en-US" w:eastAsia="zh-CN"/>
        </w:rPr>
      </w:pPr>
      <w:r>
        <w:rPr>
          <w:rStyle w:val="14"/>
          <w:rFonts w:hint="eastAsia" w:ascii="仿宋" w:hAnsi="仿宋" w:eastAsia="仿宋"/>
          <w:b w:val="0"/>
          <w:bCs/>
          <w:color w:val="000000"/>
          <w:sz w:val="32"/>
          <w:szCs w:val="32"/>
          <w:lang w:val="en-US" w:eastAsia="zh-CN"/>
        </w:rPr>
        <w:t>2101199-其他行政事业单位医疗支出1.18万元，该支出主要用于缴纳职工基本医疗保险。</w:t>
      </w:r>
    </w:p>
    <w:p>
      <w:pPr>
        <w:numPr>
          <w:ilvl w:val="0"/>
          <w:numId w:val="3"/>
        </w:numPr>
        <w:spacing w:line="600" w:lineRule="exact"/>
        <w:ind w:left="0" w:leftChars="0" w:firstLine="643" w:firstLineChars="200"/>
        <w:rPr>
          <w:rStyle w:val="14"/>
          <w:rFonts w:hint="eastAsia" w:ascii="仿宋" w:hAnsi="仿宋" w:eastAsia="仿宋"/>
          <w:b w:val="0"/>
          <w:bCs/>
          <w:color w:val="000000"/>
          <w:sz w:val="32"/>
          <w:szCs w:val="32"/>
          <w:lang w:eastAsia="zh-CN"/>
        </w:rPr>
      </w:pPr>
      <w:r>
        <w:rPr>
          <w:rStyle w:val="14"/>
          <w:rFonts w:hint="eastAsia" w:ascii="仿宋" w:hAnsi="仿宋" w:eastAsia="仿宋"/>
          <w:bCs/>
          <w:color w:val="000000"/>
          <w:sz w:val="32"/>
          <w:szCs w:val="32"/>
          <w:lang w:val="en-US" w:eastAsia="zh-CN"/>
        </w:rPr>
        <w:t>住房保障（类）：</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9.37</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w:t>
      </w:r>
      <w:r>
        <w:rPr>
          <w:rStyle w:val="14"/>
          <w:rFonts w:hint="eastAsia" w:ascii="仿宋" w:hAnsi="仿宋" w:eastAsia="仿宋"/>
          <w:b w:val="0"/>
          <w:bCs/>
          <w:color w:val="000000"/>
          <w:sz w:val="32"/>
          <w:szCs w:val="32"/>
          <w:lang w:eastAsia="zh-CN"/>
        </w:rPr>
        <w:t>等</w:t>
      </w:r>
      <w:r>
        <w:rPr>
          <w:rStyle w:val="14"/>
          <w:rFonts w:hint="eastAsia" w:ascii="仿宋" w:hAnsi="仿宋" w:eastAsia="仿宋"/>
          <w:b w:val="0"/>
          <w:bCs/>
          <w:color w:val="000000"/>
          <w:sz w:val="32"/>
          <w:szCs w:val="32"/>
        </w:rPr>
        <w:t>于预算数的主要</w:t>
      </w:r>
      <w:r>
        <w:rPr>
          <w:rStyle w:val="14"/>
          <w:rFonts w:hint="eastAsia" w:ascii="仿宋" w:hAnsi="仿宋" w:eastAsia="仿宋"/>
          <w:b w:val="0"/>
          <w:bCs/>
          <w:color w:val="000000"/>
          <w:sz w:val="32"/>
          <w:szCs w:val="32"/>
          <w:lang w:eastAsia="zh-CN"/>
        </w:rPr>
        <w:t>用于职工的住房公积金支出。</w:t>
      </w:r>
    </w:p>
    <w:p>
      <w:pPr>
        <w:numPr>
          <w:ilvl w:val="0"/>
          <w:numId w:val="0"/>
        </w:numPr>
        <w:spacing w:line="600" w:lineRule="exact"/>
        <w:rPr>
          <w:rStyle w:val="14"/>
          <w:rFonts w:hint="default" w:ascii="仿宋" w:hAnsi="仿宋" w:eastAsia="仿宋"/>
          <w:b w:val="0"/>
          <w:bCs/>
          <w:color w:val="000000"/>
          <w:sz w:val="32"/>
          <w:szCs w:val="32"/>
          <w:lang w:val="en-US" w:eastAsia="zh-CN"/>
        </w:rPr>
      </w:pPr>
      <w:r>
        <w:rPr>
          <w:rStyle w:val="14"/>
          <w:rFonts w:hint="eastAsia" w:ascii="仿宋" w:hAnsi="仿宋" w:eastAsia="仿宋"/>
          <w:b/>
          <w:bCs w:val="0"/>
          <w:color w:val="000000"/>
          <w:sz w:val="32"/>
          <w:szCs w:val="32"/>
          <w:lang w:eastAsia="zh-CN"/>
        </w:rPr>
        <w:t>其中</w:t>
      </w:r>
      <w:r>
        <w:rPr>
          <w:rStyle w:val="14"/>
          <w:rFonts w:hint="eastAsia" w:ascii="仿宋" w:hAnsi="仿宋" w:eastAsia="仿宋"/>
          <w:b w:val="0"/>
          <w:bCs/>
          <w:color w:val="000000"/>
          <w:sz w:val="32"/>
          <w:szCs w:val="32"/>
          <w:lang w:eastAsia="zh-CN"/>
        </w:rPr>
        <w:t>：</w:t>
      </w:r>
      <w:r>
        <w:rPr>
          <w:rStyle w:val="14"/>
          <w:rFonts w:hint="eastAsia" w:ascii="仿宋" w:hAnsi="仿宋" w:eastAsia="仿宋"/>
          <w:b w:val="0"/>
          <w:bCs/>
          <w:color w:val="000000"/>
          <w:sz w:val="32"/>
          <w:szCs w:val="32"/>
          <w:lang w:val="en-US" w:eastAsia="zh-CN"/>
        </w:rPr>
        <w:t>2210201-住房公积金支出9.37万元，该支出主要用于缴纳职工住房公积金。</w:t>
      </w:r>
    </w:p>
    <w:p>
      <w:pPr>
        <w:tabs>
          <w:tab w:val="right" w:pos="8306"/>
        </w:tabs>
        <w:spacing w:line="600" w:lineRule="exact"/>
        <w:ind w:firstLine="640"/>
        <w:outlineLvl w:val="1"/>
        <w:rPr>
          <w:rStyle w:val="27"/>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144.98</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137.36</w:t>
      </w:r>
      <w:r>
        <w:rPr>
          <w:rFonts w:hint="eastAsia" w:ascii="仿宋" w:hAnsi="仿宋" w:eastAsia="仿宋"/>
          <w:color w:val="000000"/>
          <w:sz w:val="32"/>
          <w:szCs w:val="32"/>
        </w:rPr>
        <w:t>万元，主要包括：基本工资、津贴补贴、奖金、</w:t>
      </w:r>
      <w:r>
        <w:rPr>
          <w:rFonts w:hint="eastAsia" w:ascii="仿宋" w:hAnsi="仿宋" w:eastAsia="仿宋"/>
          <w:color w:val="000000"/>
          <w:sz w:val="32"/>
          <w:szCs w:val="32"/>
          <w:lang w:eastAsia="zh-CN"/>
        </w:rPr>
        <w:t>伙食补助费、</w:t>
      </w:r>
      <w:r>
        <w:rPr>
          <w:rFonts w:hint="eastAsia" w:ascii="仿宋" w:hAnsi="仿宋" w:eastAsia="仿宋"/>
          <w:color w:val="000000"/>
          <w:sz w:val="32"/>
          <w:szCs w:val="32"/>
        </w:rPr>
        <w:t>绩效工资、机关事业单位基本养老保险缴费、职业年金缴费、</w:t>
      </w:r>
      <w:r>
        <w:rPr>
          <w:rFonts w:hint="eastAsia" w:ascii="仿宋" w:hAnsi="仿宋" w:eastAsia="仿宋"/>
          <w:color w:val="000000"/>
          <w:sz w:val="32"/>
          <w:szCs w:val="32"/>
          <w:lang w:eastAsia="zh-CN"/>
        </w:rPr>
        <w:t>职工基本医疗保险缴费、</w:t>
      </w:r>
      <w:r>
        <w:rPr>
          <w:rFonts w:hint="eastAsia" w:ascii="仿宋" w:hAnsi="仿宋" w:eastAsia="仿宋"/>
          <w:color w:val="000000"/>
          <w:sz w:val="32"/>
          <w:szCs w:val="32"/>
        </w:rPr>
        <w:t>其他社会保障缴费、住房公积金</w:t>
      </w:r>
      <w:r>
        <w:rPr>
          <w:rFonts w:hint="eastAsia" w:ascii="仿宋" w:hAnsi="仿宋" w:eastAsia="仿宋"/>
          <w:color w:val="000000"/>
          <w:sz w:val="32"/>
          <w:szCs w:val="32"/>
          <w:lang w:eastAsia="zh-CN"/>
        </w:rPr>
        <w:t>、</w:t>
      </w:r>
      <w:r>
        <w:rPr>
          <w:rFonts w:hint="eastAsia" w:ascii="仿宋" w:hAnsi="仿宋" w:eastAsia="仿宋"/>
          <w:color w:val="000000"/>
          <w:sz w:val="32"/>
          <w:szCs w:val="32"/>
        </w:rPr>
        <w:t>医疗费、</w:t>
      </w:r>
      <w:r>
        <w:rPr>
          <w:rFonts w:hint="eastAsia" w:ascii="仿宋" w:hAnsi="仿宋" w:eastAsia="仿宋"/>
          <w:color w:val="000000"/>
          <w:sz w:val="32"/>
          <w:szCs w:val="32"/>
          <w:lang w:eastAsia="zh-CN"/>
        </w:rPr>
        <w:t>对个人和家庭的补助、</w:t>
      </w:r>
      <w:r>
        <w:rPr>
          <w:rFonts w:hint="eastAsia" w:ascii="仿宋" w:hAnsi="仿宋" w:eastAsia="仿宋"/>
          <w:color w:val="000000"/>
          <w:sz w:val="32"/>
          <w:szCs w:val="32"/>
        </w:rPr>
        <w:t>奖励金等。</w:t>
      </w:r>
      <w:r>
        <w:rPr>
          <w:rFonts w:hint="eastAsia"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7.62</w:t>
      </w:r>
      <w:r>
        <w:rPr>
          <w:rFonts w:hint="eastAsia" w:ascii="仿宋" w:hAnsi="仿宋" w:eastAsia="仿宋"/>
          <w:color w:val="000000"/>
          <w:sz w:val="32"/>
          <w:szCs w:val="32"/>
        </w:rPr>
        <w:t>万元，主要包括：办公费、印刷费、水费、电费、邮电费</w:t>
      </w:r>
      <w:r>
        <w:rPr>
          <w:rFonts w:hint="eastAsia" w:ascii="仿宋" w:hAnsi="仿宋" w:eastAsia="仿宋"/>
          <w:color w:val="000000"/>
          <w:sz w:val="32"/>
          <w:szCs w:val="32"/>
          <w:lang w:eastAsia="zh-CN"/>
        </w:rPr>
        <w:t>、</w:t>
      </w:r>
      <w:r>
        <w:rPr>
          <w:rFonts w:hint="eastAsia" w:ascii="仿宋" w:hAnsi="仿宋" w:eastAsia="仿宋"/>
          <w:color w:val="000000"/>
          <w:sz w:val="32"/>
          <w:szCs w:val="32"/>
        </w:rPr>
        <w:t>差旅费、培训费、公务接待费等。</w:t>
      </w:r>
    </w:p>
    <w:p>
      <w:pPr>
        <w:spacing w:line="600" w:lineRule="exact"/>
        <w:ind w:firstLine="640"/>
        <w:outlineLvl w:val="1"/>
        <w:rPr>
          <w:rStyle w:val="27"/>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w:t>
      </w:r>
      <w:r>
        <w:rPr>
          <w:rFonts w:hint="eastAsia" w:ascii="仿宋" w:hAnsi="仿宋" w:eastAsia="仿宋"/>
          <w:color w:val="000000"/>
          <w:sz w:val="32"/>
          <w:szCs w:val="32"/>
          <w:lang w:val="en-US" w:eastAsia="zh-CN"/>
        </w:rPr>
        <w:t>0.1</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，决算数与预算数持平的主要原因是</w:t>
      </w:r>
      <w:r>
        <w:rPr>
          <w:rFonts w:hint="eastAsia" w:ascii="仿宋_GB2312" w:hAnsi="仿宋_GB2312" w:eastAsia="仿宋_GB2312" w:cs="仿宋_GB2312"/>
          <w:color w:val="000000"/>
          <w:sz w:val="32"/>
          <w:szCs w:val="32"/>
          <w:lang w:eastAsia="zh-CN"/>
        </w:rPr>
        <w:t>减少支出，励行节约</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3360" behindDoc="0" locked="0" layoutInCell="1" allowOverlap="1">
            <wp:simplePos x="0" y="0"/>
            <wp:positionH relativeFrom="column">
              <wp:posOffset>97790</wp:posOffset>
            </wp:positionH>
            <wp:positionV relativeFrom="paragraph">
              <wp:posOffset>95250</wp:posOffset>
            </wp:positionV>
            <wp:extent cx="5080000" cy="3810000"/>
            <wp:effectExtent l="4445" t="4445" r="20955" b="1460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000000"/>
          <w:sz w:val="32"/>
          <w:szCs w:val="32"/>
        </w:rPr>
        <w:t>（图8：“三公”经费财政拨款支出结构）（饼状图）</w:t>
      </w:r>
    </w:p>
    <w:p>
      <w:pPr>
        <w:numPr>
          <w:ilvl w:val="0"/>
          <w:numId w:val="4"/>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numPr>
          <w:ilvl w:val="0"/>
          <w:numId w:val="0"/>
        </w:num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 w:hAnsi="仿宋" w:eastAsia="仿宋"/>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7年减少</w:t>
      </w:r>
      <w:r>
        <w:rPr>
          <w:rFonts w:hint="eastAsia" w:ascii="仿宋_GB2312" w:eastAsia="仿宋_GB2312"/>
          <w:color w:val="000000"/>
          <w:sz w:val="32"/>
          <w:szCs w:val="32"/>
          <w:lang w:val="en-US" w:eastAsia="zh-CN"/>
        </w:rPr>
        <w:t>0.03</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hAnsi="仿宋_GB2312" w:eastAsia="仿宋_GB2312" w:cs="仿宋_GB2312"/>
          <w:color w:val="000000"/>
          <w:sz w:val="32"/>
          <w:szCs w:val="32"/>
          <w:lang w:eastAsia="zh-CN"/>
        </w:rPr>
        <w:t>减少支出，励行节约</w:t>
      </w:r>
      <w:r>
        <w:rPr>
          <w:rFonts w:hint="eastAsia" w:ascii="仿宋" w:hAnsi="仿宋" w:eastAsia="仿宋"/>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检查工作。</w:t>
      </w:r>
    </w:p>
    <w:p>
      <w:pPr>
        <w:spacing w:line="600" w:lineRule="exact"/>
        <w:ind w:firstLine="640"/>
        <w:outlineLvl w:val="1"/>
        <w:rPr>
          <w:rStyle w:val="27"/>
          <w:rFonts w:ascii="黑体" w:hAnsi="黑体" w:eastAsia="黑体"/>
        </w:rPr>
      </w:pPr>
      <w:bookmarkStart w:id="46" w:name="_Toc15377218"/>
      <w:bookmarkStart w:id="47" w:name="_Toc15396610"/>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5"/>
        </w:numPr>
        <w:spacing w:line="600" w:lineRule="exact"/>
        <w:ind w:firstLine="640"/>
        <w:outlineLvl w:val="1"/>
        <w:rPr>
          <w:rStyle w:val="27"/>
          <w:rFonts w:ascii="黑体" w:hAnsi="黑体" w:eastAsia="黑体"/>
          <w:b w:val="0"/>
        </w:rPr>
      </w:pPr>
      <w:bookmarkStart w:id="48" w:name="_Toc15377219"/>
      <w:bookmarkStart w:id="49" w:name="_Toc15396611"/>
      <w:r>
        <w:rPr>
          <w:rStyle w:val="27"/>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5"/>
        <w:numPr>
          <w:ilvl w:val="0"/>
          <w:numId w:val="6"/>
        </w:numPr>
        <w:spacing w:line="580" w:lineRule="exact"/>
        <w:ind w:firstLineChars="0"/>
        <w:rPr>
          <w:rStyle w:val="27"/>
          <w:rFonts w:ascii="黑体" w:hAnsi="黑体" w:eastAsia="黑体"/>
          <w:b w:val="0"/>
        </w:rPr>
      </w:pPr>
      <w:r>
        <w:rPr>
          <w:rStyle w:val="27"/>
          <w:rFonts w:hint="eastAsia" w:ascii="黑体" w:hAnsi="黑体" w:eastAsia="黑体"/>
          <w:b w:val="0"/>
        </w:rPr>
        <w:t>预算绩效情况说明</w:t>
      </w:r>
    </w:p>
    <w:p>
      <w:pPr>
        <w:numPr>
          <w:ilvl w:val="0"/>
          <w:numId w:val="7"/>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w:t>
      </w:r>
      <w:r>
        <w:rPr>
          <w:rFonts w:hint="eastAsia" w:ascii="仿宋_GB2312" w:hAnsi="仿宋_GB2312" w:eastAsia="仿宋_GB2312" w:cs="仿宋_GB2312"/>
          <w:sz w:val="32"/>
          <w:szCs w:val="32"/>
          <w:lang w:eastAsia="zh-CN"/>
        </w:rPr>
        <w:t>自评</w:t>
      </w:r>
      <w:r>
        <w:rPr>
          <w:rFonts w:hint="eastAsia" w:ascii="仿宋_GB2312" w:hAnsi="仿宋_GB2312" w:eastAsia="仿宋_GB2312" w:cs="仿宋_GB2312"/>
          <w:sz w:val="32"/>
          <w:szCs w:val="32"/>
          <w:lang w:val="en-US" w:eastAsia="zh-CN"/>
        </w:rPr>
        <w:t>98分，存在的问题：一是财务人员的业务指导不够；二是人员调动所需经费预算不足，导致中途追加预算。下一步改进措施：一是加大对财务人员的培训，多提供对财务的学习机会。建立长效机制，严格财务管理，加强财务监督，坚持厉行节约，控制“三公经费”支出，严格杜绝现金交易。加强事业单位会计制度的学习；二是加强管理，增强预算编制的准确性和全面性，提高整体支出绩效成果。</w:t>
      </w:r>
    </w:p>
    <w:p>
      <w:pPr>
        <w:numPr>
          <w:ilvl w:val="0"/>
          <w:numId w:val="7"/>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项目绩效目标完成情况。</w:t>
      </w:r>
    </w:p>
    <w:p>
      <w:pPr>
        <w:numPr>
          <w:ilvl w:val="0"/>
          <w:numId w:val="0"/>
        </w:numPr>
        <w:spacing w:line="580"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lang w:val="en-US" w:eastAsia="zh-CN"/>
        </w:rPr>
        <w:t>2018年本单位无自行开展的和绩效评价要求开展的项目</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rPr>
        <w:t xml:space="preserve">   </w:t>
      </w: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eastAsia="zh-CN"/>
        </w:rPr>
        <w:t>红原县城乡居民养老保险事业管理局</w:t>
      </w:r>
      <w:r>
        <w:rPr>
          <w:rFonts w:hint="eastAsia" w:ascii="仿宋_GB2312" w:hAnsi="仿宋_GB2312" w:eastAsia="仿宋_GB2312" w:cs="仿宋_GB2312"/>
          <w:sz w:val="32"/>
          <w:szCs w:val="32"/>
        </w:rPr>
        <w:t>2018年部门整体支出绩效评价报告》见附件。</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7"/>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7"/>
          <w:rFonts w:hint="eastAsia" w:ascii="黑体" w:hAnsi="黑体" w:eastAsia="黑体"/>
        </w:rPr>
        <w:t>一、</w:t>
      </w:r>
      <w:r>
        <w:rPr>
          <w:rStyle w:val="27"/>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我局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万元，与</w:t>
      </w:r>
      <w:r>
        <w:rPr>
          <w:rFonts w:ascii="仿宋_GB2312" w:eastAsia="仿宋_GB2312"/>
          <w:color w:val="000000"/>
          <w:sz w:val="32"/>
          <w:szCs w:val="32"/>
        </w:rPr>
        <w:t>201</w:t>
      </w:r>
      <w:r>
        <w:rPr>
          <w:rFonts w:hint="eastAsia" w:ascii="仿宋_GB2312" w:eastAsia="仿宋_GB2312"/>
          <w:color w:val="000000"/>
          <w:sz w:val="32"/>
          <w:szCs w:val="32"/>
        </w:rPr>
        <w:t>7年决算数持平</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我单位为事业单位。</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我局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hint="default" w:ascii="仿宋_GB2312" w:eastAsia="仿宋_GB2312"/>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其他固定资产为</w:t>
      </w:r>
      <w:r>
        <w:rPr>
          <w:rFonts w:hint="eastAsia" w:ascii="仿宋_GB2312" w:eastAsia="仿宋_GB2312"/>
          <w:color w:val="000000"/>
          <w:sz w:val="32"/>
          <w:szCs w:val="32"/>
          <w:lang w:val="en-US" w:eastAsia="zh-CN"/>
        </w:rPr>
        <w:t>9.67万元。</w:t>
      </w:r>
    </w:p>
    <w:p>
      <w:pPr>
        <w:numPr>
          <w:ilvl w:val="0"/>
          <w:numId w:val="8"/>
        </w:numPr>
        <w:spacing w:line="600" w:lineRule="exact"/>
        <w:ind w:firstLine="663" w:firstLineChars="150"/>
        <w:jc w:val="center"/>
        <w:outlineLvl w:val="0"/>
        <w:rPr>
          <w:rStyle w:val="26"/>
          <w:rFonts w:ascii="黑体" w:hAnsi="黑体" w:eastAsia="黑体"/>
          <w:b w:val="0"/>
        </w:rPr>
      </w:pPr>
      <w:bookmarkStart w:id="55" w:name="_Toc15396613"/>
      <w:bookmarkStart w:id="56" w:name="_Toc15377225"/>
      <w:r>
        <w:rPr>
          <w:rFonts w:hint="eastAsia" w:ascii="黑体" w:hAnsi="黑体" w:eastAsia="黑体"/>
          <w:b/>
          <w:color w:val="000000"/>
          <w:sz w:val="44"/>
          <w:szCs w:val="44"/>
        </w:rPr>
        <w:t>名</w:t>
      </w:r>
      <w:r>
        <w:rPr>
          <w:rStyle w:val="26"/>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社会保障和就业</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2080109</w:t>
      </w:r>
      <w:r>
        <w:rPr>
          <w:rFonts w:hint="eastAsia" w:ascii="仿宋_GB2312" w:eastAsia="仿宋_GB2312"/>
          <w:color w:val="000000"/>
          <w:sz w:val="32"/>
          <w:szCs w:val="32"/>
        </w:rPr>
        <w:t>社会保险经办机构</w:t>
      </w:r>
      <w:r>
        <w:rPr>
          <w:rFonts w:hint="eastAsia" w:ascii="仿宋_GB2312" w:eastAsia="仿宋_GB2312"/>
          <w:color w:val="000000"/>
          <w:sz w:val="32"/>
          <w:szCs w:val="32"/>
          <w:lang w:eastAsia="zh-CN"/>
        </w:rPr>
        <w:t>是指单位开展业务的经费及职工工资；</w:t>
      </w:r>
      <w:r>
        <w:rPr>
          <w:rFonts w:hint="eastAsia" w:ascii="仿宋_GB2312" w:eastAsia="仿宋_GB2312"/>
          <w:color w:val="000000"/>
          <w:sz w:val="32"/>
          <w:szCs w:val="32"/>
        </w:rPr>
        <w:t>2080505 机关事业单位基本养老保险缴费支出</w:t>
      </w:r>
      <w:r>
        <w:rPr>
          <w:rFonts w:hint="eastAsia" w:ascii="仿宋_GB2312" w:eastAsia="仿宋_GB2312"/>
          <w:color w:val="000000"/>
          <w:sz w:val="32"/>
          <w:szCs w:val="32"/>
          <w:lang w:eastAsia="zh-CN"/>
        </w:rPr>
        <w:t>是指缴纳单位职工的养老保险；</w:t>
      </w:r>
      <w:r>
        <w:rPr>
          <w:rFonts w:hint="eastAsia" w:ascii="仿宋_GB2312" w:eastAsia="仿宋_GB2312"/>
          <w:color w:val="000000"/>
          <w:sz w:val="32"/>
          <w:szCs w:val="32"/>
        </w:rPr>
        <w:t>208050</w:t>
      </w:r>
      <w:r>
        <w:rPr>
          <w:rFonts w:hint="eastAsia" w:ascii="仿宋_GB2312" w:eastAsia="仿宋_GB2312"/>
          <w:color w:val="000000"/>
          <w:sz w:val="32"/>
          <w:szCs w:val="32"/>
          <w:lang w:val="en-US" w:eastAsia="zh-CN"/>
        </w:rPr>
        <w:t>6机关事业单位职业年金缴费支出是指缴纳单位职工的职业年金。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医疗卫生与计划生育</w:t>
      </w:r>
      <w:r>
        <w:rPr>
          <w:rFonts w:hint="eastAsia" w:ascii="仿宋_GB2312" w:eastAsia="仿宋_GB2312"/>
          <w:color w:val="000000"/>
          <w:sz w:val="32"/>
          <w:szCs w:val="32"/>
          <w:lang w:eastAsia="zh-CN"/>
        </w:rPr>
        <w:t>：</w:t>
      </w:r>
      <w:r>
        <w:rPr>
          <w:rFonts w:hint="eastAsia" w:ascii="仿宋_GB2312" w:eastAsia="仿宋_GB2312"/>
          <w:color w:val="000000"/>
          <w:sz w:val="32"/>
          <w:szCs w:val="32"/>
        </w:rPr>
        <w:t>2101102事业单位医疗</w:t>
      </w:r>
      <w:r>
        <w:rPr>
          <w:rFonts w:hint="eastAsia" w:ascii="仿宋_GB2312" w:eastAsia="仿宋_GB2312"/>
          <w:color w:val="000000"/>
          <w:sz w:val="32"/>
          <w:szCs w:val="32"/>
          <w:lang w:eastAsia="zh-CN"/>
        </w:rPr>
        <w:t>是指职工医疗保险；2101199其他行政事业单位医疗支出</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单位职工公务员医疗补助</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住房保障</w:t>
      </w:r>
      <w:r>
        <w:rPr>
          <w:rFonts w:hint="eastAsia" w:ascii="仿宋_GB2312" w:eastAsia="仿宋_GB2312"/>
          <w:color w:val="000000"/>
          <w:sz w:val="32"/>
          <w:szCs w:val="32"/>
          <w:lang w:eastAsia="zh-CN"/>
        </w:rPr>
        <w:t>：</w:t>
      </w:r>
      <w:r>
        <w:rPr>
          <w:rFonts w:hint="eastAsia" w:ascii="仿宋_GB2312" w:eastAsia="仿宋_GB2312"/>
          <w:color w:val="000000"/>
          <w:sz w:val="32"/>
          <w:szCs w:val="32"/>
        </w:rPr>
        <w:t>2210201</w:t>
      </w:r>
      <w:r>
        <w:rPr>
          <w:rFonts w:hint="eastAsia" w:ascii="仿宋_GB2312" w:eastAsia="仿宋_GB2312"/>
          <w:color w:val="000000"/>
          <w:sz w:val="32"/>
          <w:szCs w:val="32"/>
          <w:lang w:eastAsia="zh-CN"/>
        </w:rPr>
        <w:t>住房公积金是指缴纳单位职工住房公积金。</w:t>
      </w:r>
    </w:p>
    <w:p>
      <w:pPr>
        <w:spacing w:line="600" w:lineRule="exact"/>
        <w:jc w:val="center"/>
        <w:outlineLvl w:val="0"/>
        <w:rPr>
          <w:rFonts w:hint="eastAsia" w:ascii="黑体" w:hAnsi="黑体" w:eastAsia="黑体"/>
          <w:color w:val="000000"/>
          <w:sz w:val="44"/>
          <w:szCs w:val="44"/>
        </w:rPr>
      </w:pPr>
      <w:bookmarkStart w:id="57" w:name="_Toc15396614"/>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四部分 附件</w:t>
      </w:r>
      <w:bookmarkEnd w:id="57"/>
    </w:p>
    <w:p>
      <w:pPr>
        <w:spacing w:line="600" w:lineRule="exact"/>
        <w:jc w:val="center"/>
        <w:outlineLvl w:val="0"/>
        <w:rPr>
          <w:rStyle w:val="26"/>
        </w:rPr>
      </w:pPr>
    </w:p>
    <w:p>
      <w:pPr>
        <w:keepNext w:val="0"/>
        <w:keepLines w:val="0"/>
        <w:pageBreakBefore w:val="0"/>
        <w:kinsoku/>
        <w:wordWrap/>
        <w:overflowPunct/>
        <w:topLinePunct w:val="0"/>
        <w:autoSpaceDE/>
        <w:autoSpaceDN/>
        <w:bidi w:val="0"/>
        <w:adjustRightInd/>
        <w:spacing w:beforeAutospacing="0" w:afterAutospacing="0" w:line="576" w:lineRule="exact"/>
        <w:jc w:val="center"/>
        <w:textAlignment w:val="auto"/>
        <w:rPr>
          <w:rFonts w:hint="eastAsia" w:ascii="方正小标宋简体" w:eastAsia="方正小标宋简体"/>
          <w:color w:val="000000"/>
          <w:sz w:val="44"/>
          <w:szCs w:val="44"/>
          <w:lang w:eastAsia="zh-CN"/>
        </w:rPr>
      </w:pPr>
      <w:r>
        <w:rPr>
          <w:rFonts w:hint="eastAsia" w:ascii="方正小标宋简体" w:eastAsia="方正小标宋简体"/>
          <w:color w:val="000000"/>
          <w:sz w:val="44"/>
          <w:szCs w:val="44"/>
        </w:rPr>
        <w:t>红原县</w:t>
      </w:r>
      <w:r>
        <w:rPr>
          <w:rFonts w:hint="eastAsia" w:ascii="方正小标宋简体" w:eastAsia="方正小标宋简体"/>
          <w:color w:val="000000"/>
          <w:sz w:val="44"/>
          <w:szCs w:val="44"/>
          <w:lang w:eastAsia="zh-CN"/>
        </w:rPr>
        <w:t>城乡居民养老保险事业管理局</w:t>
      </w:r>
    </w:p>
    <w:p>
      <w:pPr>
        <w:keepNext w:val="0"/>
        <w:keepLines w:val="0"/>
        <w:pageBreakBefore w:val="0"/>
        <w:kinsoku/>
        <w:wordWrap/>
        <w:overflowPunct/>
        <w:topLinePunct w:val="0"/>
        <w:autoSpaceDE/>
        <w:autoSpaceDN/>
        <w:bidi w:val="0"/>
        <w:adjustRightInd/>
        <w:spacing w:beforeAutospacing="0" w:afterAutospacing="0" w:line="576" w:lineRule="exact"/>
        <w:jc w:val="center"/>
        <w:textAlignment w:val="auto"/>
        <w:rPr>
          <w:rFonts w:hint="eastAsia" w:ascii="方正小标宋简体" w:eastAsia="方正小标宋简体"/>
          <w:color w:val="000000"/>
          <w:sz w:val="44"/>
          <w:szCs w:val="44"/>
        </w:rPr>
      </w:pPr>
      <w:r>
        <w:rPr>
          <w:rFonts w:hint="eastAsia" w:ascii="方正小标宋简体" w:eastAsia="方正小标宋简体"/>
          <w:color w:val="000000"/>
          <w:sz w:val="44"/>
          <w:szCs w:val="44"/>
          <w:lang w:val="en-US" w:eastAsia="zh-CN"/>
        </w:rPr>
        <w:t>2018</w:t>
      </w:r>
      <w:r>
        <w:rPr>
          <w:rFonts w:hint="eastAsia" w:ascii="方正小标宋简体" w:eastAsia="方正小标宋简体"/>
          <w:color w:val="000000"/>
          <w:sz w:val="44"/>
          <w:szCs w:val="44"/>
        </w:rPr>
        <w:t>年度部门</w:t>
      </w:r>
      <w:r>
        <w:rPr>
          <w:rFonts w:hint="eastAsia" w:ascii="方正小标宋简体" w:eastAsia="方正小标宋简体"/>
          <w:color w:val="000000"/>
          <w:sz w:val="44"/>
          <w:szCs w:val="44"/>
          <w:lang w:eastAsia="zh-CN"/>
        </w:rPr>
        <w:t>整体支出绩效</w:t>
      </w:r>
      <w:r>
        <w:rPr>
          <w:rFonts w:hint="eastAsia" w:ascii="方正小标宋简体" w:eastAsia="方正小标宋简体"/>
          <w:color w:val="000000"/>
          <w:sz w:val="44"/>
          <w:szCs w:val="44"/>
        </w:rPr>
        <w:t>报告</w:t>
      </w:r>
    </w:p>
    <w:p>
      <w:pPr>
        <w:keepNext w:val="0"/>
        <w:keepLines w:val="0"/>
        <w:pageBreakBefore w:val="0"/>
        <w:kinsoku/>
        <w:wordWrap/>
        <w:overflowPunct/>
        <w:topLinePunct w:val="0"/>
        <w:autoSpaceDE/>
        <w:autoSpaceDN/>
        <w:bidi w:val="0"/>
        <w:adjustRightInd/>
        <w:snapToGrid w:val="0"/>
        <w:spacing w:beforeAutospacing="0" w:afterAutospacing="0" w:line="576" w:lineRule="exact"/>
        <w:ind w:firstLine="320" w:firstLineChars="100"/>
        <w:textAlignment w:val="auto"/>
        <w:rPr>
          <w:rFonts w:hint="eastAsia" w:ascii="黑体" w:hAnsi="黑体" w:eastAsia="黑体" w:cs="黑体"/>
          <w:bCs/>
          <w:color w:val="000000"/>
          <w:sz w:val="32"/>
          <w:szCs w:val="32"/>
        </w:rPr>
      </w:pP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left"/>
        <w:textAlignment w:val="auto"/>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黑体" w:eastAsia="黑体" w:cs="黑体"/>
          <w:bCs/>
          <w:color w:val="000000"/>
          <w:sz w:val="32"/>
          <w:szCs w:val="32"/>
        </w:rPr>
        <w:t>单位基本情况</w:t>
      </w:r>
    </w:p>
    <w:p>
      <w:pPr>
        <w:keepNext w:val="0"/>
        <w:keepLines w:val="0"/>
        <w:pageBreakBefore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cs="仿宋_GB2312"/>
          <w:color w:val="000000"/>
          <w:sz w:val="32"/>
          <w:szCs w:val="32"/>
          <w:lang w:val="en-US" w:eastAsia="zh-CN"/>
        </w:rPr>
        <w:t>、</w:t>
      </w:r>
      <w:r>
        <w:rPr>
          <w:rFonts w:hint="eastAsia" w:ascii="仿宋_GB2312" w:hAnsi="仿宋_GB2312" w:eastAsia="仿宋_GB2312" w:cs="仿宋_GB2312"/>
          <w:color w:val="000000"/>
          <w:sz w:val="32"/>
          <w:szCs w:val="32"/>
        </w:rPr>
        <w:t>红原县</w:t>
      </w:r>
      <w:r>
        <w:rPr>
          <w:rFonts w:hint="eastAsia" w:ascii="仿宋_GB2312" w:hAnsi="仿宋_GB2312" w:eastAsia="仿宋_GB2312" w:cs="仿宋_GB2312"/>
          <w:color w:val="000000"/>
          <w:sz w:val="32"/>
          <w:szCs w:val="32"/>
          <w:lang w:eastAsia="zh-CN"/>
        </w:rPr>
        <w:t>城乡居民养老保险事业管理局</w:t>
      </w:r>
      <w:r>
        <w:rPr>
          <w:rFonts w:hint="eastAsia"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eastAsia="zh-CN"/>
        </w:rPr>
        <w:t>红原县</w:t>
      </w:r>
      <w:r>
        <w:rPr>
          <w:rFonts w:hint="eastAsia" w:ascii="仿宋_GB2312" w:hAnsi="仿宋_GB2312" w:cs="仿宋_GB2312"/>
          <w:color w:val="000000"/>
          <w:sz w:val="32"/>
          <w:szCs w:val="32"/>
          <w:lang w:eastAsia="zh-CN"/>
        </w:rPr>
        <w:t>人力资源和社会保障</w:t>
      </w:r>
      <w:r>
        <w:rPr>
          <w:rFonts w:hint="eastAsia" w:ascii="仿宋_GB2312" w:hAnsi="仿宋_GB2312" w:eastAsia="仿宋_GB2312" w:cs="仿宋_GB2312"/>
          <w:color w:val="000000"/>
          <w:sz w:val="32"/>
          <w:szCs w:val="32"/>
          <w:lang w:eastAsia="zh-CN"/>
        </w:rPr>
        <w:t>局下属的二级单位，是</w:t>
      </w:r>
      <w:r>
        <w:rPr>
          <w:rFonts w:hint="eastAsia" w:ascii="仿宋_GB2312" w:hAnsi="仿宋_GB2312" w:eastAsia="仿宋_GB2312" w:cs="仿宋_GB2312"/>
          <w:color w:val="000000"/>
          <w:sz w:val="32"/>
          <w:szCs w:val="32"/>
        </w:rPr>
        <w:t>全额拨款的事业单位.</w:t>
      </w:r>
    </w:p>
    <w:p>
      <w:pPr>
        <w:keepNext w:val="0"/>
        <w:keepLines w:val="0"/>
        <w:pageBreakBefore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cs="仿宋_GB2312"/>
          <w:color w:val="000000"/>
          <w:sz w:val="32"/>
          <w:szCs w:val="32"/>
          <w:lang w:val="en-US" w:eastAsia="zh-CN"/>
        </w:rPr>
        <w:t>、</w:t>
      </w:r>
      <w:r>
        <w:rPr>
          <w:rFonts w:hint="eastAsia" w:ascii="仿宋_GB2312" w:hAnsi="仿宋_GB2312" w:eastAsia="仿宋_GB2312" w:cs="仿宋_GB2312"/>
          <w:color w:val="000000"/>
          <w:sz w:val="32"/>
          <w:szCs w:val="32"/>
        </w:rPr>
        <w:t>本单位年末编制人数</w:t>
      </w:r>
      <w:r>
        <w:rPr>
          <w:rFonts w:hint="eastAsia" w:ascii="仿宋_GB2312" w:hAnsi="仿宋_GB2312" w:cs="仿宋_GB2312"/>
          <w:color w:val="000000"/>
          <w:sz w:val="32"/>
          <w:szCs w:val="32"/>
          <w:lang w:val="en-US" w:eastAsia="zh-CN"/>
        </w:rPr>
        <w:t>10</w:t>
      </w:r>
      <w:r>
        <w:rPr>
          <w:rFonts w:hint="eastAsia" w:ascii="仿宋_GB2312" w:hAnsi="仿宋_GB2312" w:eastAsia="仿宋_GB2312" w:cs="仿宋_GB2312"/>
          <w:color w:val="000000"/>
          <w:sz w:val="32"/>
          <w:szCs w:val="32"/>
        </w:rPr>
        <w:t>人，全部为事业编制；实有人数</w:t>
      </w:r>
      <w:r>
        <w:rPr>
          <w:rFonts w:hint="eastAsia" w:ascii="仿宋_GB2312" w:hAnsi="仿宋_GB2312" w:cs="仿宋_GB2312"/>
          <w:color w:val="000000"/>
          <w:sz w:val="32"/>
          <w:szCs w:val="32"/>
          <w:lang w:val="en-US" w:eastAsia="zh-CN"/>
        </w:rPr>
        <w:t>10</w:t>
      </w:r>
      <w:r>
        <w:rPr>
          <w:rFonts w:hint="eastAsia" w:ascii="仿宋_GB2312" w:hAnsi="仿宋_GB2312" w:eastAsia="仿宋_GB2312" w:cs="仿宋_GB2312"/>
          <w:color w:val="000000"/>
          <w:sz w:val="32"/>
          <w:szCs w:val="32"/>
        </w:rPr>
        <w:t>人，其中：</w:t>
      </w:r>
      <w:r>
        <w:rPr>
          <w:rFonts w:hint="eastAsia" w:ascii="仿宋_GB2312" w:hAnsi="仿宋_GB2312" w:cs="仿宋_GB2312"/>
          <w:color w:val="000000"/>
          <w:sz w:val="32"/>
          <w:szCs w:val="32"/>
          <w:lang w:eastAsia="zh-CN"/>
        </w:rPr>
        <w:t>管理八级</w:t>
      </w:r>
      <w:r>
        <w:rPr>
          <w:rFonts w:hint="eastAsia" w:ascii="仿宋_GB2312" w:hAnsi="仿宋_GB2312" w:cs="仿宋_GB2312"/>
          <w:color w:val="000000"/>
          <w:sz w:val="32"/>
          <w:szCs w:val="32"/>
          <w:lang w:val="en-US" w:eastAsia="zh-CN"/>
        </w:rPr>
        <w:t>1人，享受管理八级1人，</w:t>
      </w:r>
      <w:r>
        <w:rPr>
          <w:rFonts w:hint="eastAsia" w:ascii="仿宋_GB2312" w:hAnsi="仿宋_GB2312" w:eastAsia="仿宋_GB2312" w:cs="仿宋_GB2312"/>
          <w:color w:val="000000"/>
          <w:sz w:val="32"/>
          <w:szCs w:val="32"/>
        </w:rPr>
        <w:t>管理</w:t>
      </w:r>
      <w:r>
        <w:rPr>
          <w:rFonts w:hint="eastAsia" w:ascii="仿宋_GB2312" w:hAnsi="仿宋_GB2312" w:cs="仿宋_GB2312"/>
          <w:color w:val="000000"/>
          <w:sz w:val="32"/>
          <w:szCs w:val="32"/>
          <w:lang w:eastAsia="zh-CN"/>
        </w:rPr>
        <w:t>九级</w:t>
      </w:r>
      <w:r>
        <w:rPr>
          <w:rFonts w:hint="eastAsia" w:ascii="仿宋_GB2312" w:hAnsi="仿宋_GB2312" w:cs="仿宋_GB2312"/>
          <w:color w:val="000000"/>
          <w:sz w:val="32"/>
          <w:szCs w:val="32"/>
          <w:lang w:val="en-US" w:eastAsia="zh-CN"/>
        </w:rPr>
        <w:t>3</w:t>
      </w:r>
      <w:r>
        <w:rPr>
          <w:rFonts w:hint="eastAsia" w:ascii="仿宋_GB2312" w:hAnsi="仿宋_GB2312" w:eastAsia="仿宋_GB2312" w:cs="仿宋_GB2312"/>
          <w:color w:val="000000"/>
          <w:sz w:val="32"/>
          <w:szCs w:val="32"/>
        </w:rPr>
        <w:t>人</w:t>
      </w:r>
      <w:r>
        <w:rPr>
          <w:rFonts w:hint="eastAsia" w:ascii="仿宋_GB2312" w:hAnsi="仿宋_GB2312" w:cs="仿宋_GB2312"/>
          <w:color w:val="000000"/>
          <w:sz w:val="32"/>
          <w:szCs w:val="32"/>
          <w:lang w:eastAsia="zh-CN"/>
        </w:rPr>
        <w:t>，管理十级</w:t>
      </w:r>
      <w:r>
        <w:rPr>
          <w:rFonts w:hint="eastAsia" w:ascii="仿宋_GB2312" w:hAnsi="仿宋_GB2312" w:cs="仿宋_GB2312"/>
          <w:color w:val="000000"/>
          <w:sz w:val="32"/>
          <w:szCs w:val="32"/>
          <w:lang w:val="en-US" w:eastAsia="zh-CN"/>
        </w:rPr>
        <w:t>2人，</w:t>
      </w:r>
      <w:r>
        <w:rPr>
          <w:rFonts w:hint="eastAsia" w:ascii="仿宋_GB2312" w:hAnsi="仿宋_GB2312" w:eastAsia="仿宋_GB2312" w:cs="仿宋_GB2312"/>
          <w:color w:val="000000"/>
          <w:sz w:val="32"/>
          <w:szCs w:val="32"/>
        </w:rPr>
        <w:t>专业技术人员</w:t>
      </w:r>
      <w:r>
        <w:rPr>
          <w:rFonts w:hint="eastAsia" w:ascii="仿宋_GB2312" w:hAnsi="仿宋_GB2312" w:cs="仿宋_GB2312"/>
          <w:color w:val="000000"/>
          <w:sz w:val="32"/>
          <w:szCs w:val="32"/>
          <w:lang w:val="en-US" w:eastAsia="zh-CN"/>
        </w:rPr>
        <w:t>1</w:t>
      </w:r>
      <w:r>
        <w:rPr>
          <w:rFonts w:hint="eastAsia" w:ascii="仿宋_GB2312" w:hAnsi="仿宋_GB2312" w:eastAsia="仿宋_GB2312" w:cs="仿宋_GB2312"/>
          <w:color w:val="000000"/>
          <w:sz w:val="32"/>
          <w:szCs w:val="32"/>
        </w:rPr>
        <w:t>人</w:t>
      </w:r>
      <w:r>
        <w:rPr>
          <w:rFonts w:hint="eastAsia" w:ascii="仿宋_GB2312" w:hAnsi="仿宋_GB2312" w:cs="仿宋_GB2312"/>
          <w:color w:val="000000"/>
          <w:sz w:val="32"/>
          <w:szCs w:val="32"/>
          <w:lang w:eastAsia="zh-CN"/>
        </w:rPr>
        <w:t>，见习期</w:t>
      </w:r>
      <w:r>
        <w:rPr>
          <w:rFonts w:hint="eastAsia" w:ascii="仿宋_GB2312" w:hAnsi="仿宋_GB2312" w:cs="仿宋_GB2312"/>
          <w:color w:val="000000"/>
          <w:sz w:val="32"/>
          <w:szCs w:val="32"/>
          <w:lang w:val="en-US" w:eastAsia="zh-CN"/>
        </w:rPr>
        <w:t>2人</w:t>
      </w:r>
      <w:r>
        <w:rPr>
          <w:rFonts w:hint="eastAsia" w:ascii="仿宋_GB2312" w:hAnsi="仿宋_GB2312" w:cs="仿宋_GB2312"/>
          <w:color w:val="000000"/>
          <w:sz w:val="32"/>
          <w:szCs w:val="32"/>
          <w:lang w:eastAsia="zh-CN"/>
        </w:rPr>
        <w:t>。</w:t>
      </w:r>
    </w:p>
    <w:p>
      <w:pPr>
        <w:keepNext w:val="0"/>
        <w:keepLines w:val="0"/>
        <w:pageBreakBefore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cs="仿宋_GB2312"/>
          <w:color w:val="000000"/>
          <w:sz w:val="32"/>
          <w:szCs w:val="32"/>
          <w:lang w:val="en-US" w:eastAsia="zh-CN"/>
        </w:rPr>
        <w:t>、</w:t>
      </w:r>
      <w:r>
        <w:rPr>
          <w:rFonts w:hint="eastAsia" w:ascii="仿宋_GB2312" w:hAnsi="仿宋_GB2312" w:eastAsia="仿宋_GB2312" w:cs="仿宋_GB2312"/>
          <w:color w:val="000000"/>
          <w:sz w:val="32"/>
          <w:szCs w:val="32"/>
        </w:rPr>
        <w:t>本单位年末一般公共预算财政拨款（补助）开支本年人数</w:t>
      </w:r>
      <w:r>
        <w:rPr>
          <w:rFonts w:hint="eastAsia" w:ascii="仿宋_GB2312" w:hAnsi="仿宋_GB2312" w:cs="仿宋_GB2312"/>
          <w:color w:val="000000"/>
          <w:sz w:val="32"/>
          <w:szCs w:val="32"/>
          <w:lang w:val="en-US" w:eastAsia="zh-CN"/>
        </w:rPr>
        <w:t>10</w:t>
      </w:r>
      <w:r>
        <w:rPr>
          <w:rFonts w:hint="eastAsia" w:ascii="仿宋_GB2312" w:hAnsi="仿宋_GB2312" w:eastAsia="仿宋_GB2312" w:cs="仿宋_GB2312"/>
          <w:color w:val="000000"/>
          <w:sz w:val="32"/>
          <w:szCs w:val="32"/>
        </w:rPr>
        <w:t>人。</w:t>
      </w:r>
    </w:p>
    <w:p>
      <w:pPr>
        <w:keepNext w:val="0"/>
        <w:keepLines w:val="0"/>
        <w:pageBreakBefore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4、机构职能,</w:t>
      </w:r>
      <w:r>
        <w:rPr>
          <w:rFonts w:hint="eastAsia" w:ascii="仿宋_GB2312" w:hAnsi="仿宋_GB2312" w:eastAsia="仿宋_GB2312" w:cs="仿宋_GB2312"/>
          <w:color w:val="000000"/>
          <w:sz w:val="32"/>
          <w:szCs w:val="32"/>
          <w:lang w:eastAsia="zh-CN"/>
        </w:rPr>
        <w:t>我局</w:t>
      </w:r>
      <w:r>
        <w:rPr>
          <w:rFonts w:hint="eastAsia" w:ascii="仿宋_GB2312" w:hAnsi="仿宋_GB2312" w:eastAsia="仿宋_GB2312" w:cs="仿宋_GB2312"/>
          <w:color w:val="000000"/>
          <w:sz w:val="32"/>
          <w:szCs w:val="32"/>
        </w:rPr>
        <w:t>属</w:t>
      </w:r>
      <w:r>
        <w:rPr>
          <w:rFonts w:hint="eastAsia" w:ascii="仿宋_GB2312" w:hAnsi="仿宋_GB2312" w:eastAsia="仿宋_GB2312" w:cs="仿宋_GB2312"/>
          <w:color w:val="000000"/>
          <w:sz w:val="32"/>
          <w:szCs w:val="32"/>
          <w:lang w:eastAsia="zh-CN"/>
        </w:rPr>
        <w:t>一</w:t>
      </w:r>
      <w:r>
        <w:rPr>
          <w:rFonts w:hint="eastAsia" w:ascii="仿宋_GB2312" w:hAnsi="仿宋_GB2312" w:eastAsia="仿宋_GB2312" w:cs="仿宋_GB2312"/>
          <w:color w:val="000000"/>
          <w:sz w:val="32"/>
          <w:szCs w:val="32"/>
        </w:rPr>
        <w:t>级预算单位</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个，其中内设机构</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个</w:t>
      </w:r>
      <w:r>
        <w:rPr>
          <w:rFonts w:hint="eastAsia" w:ascii="仿宋_GB2312" w:hAnsi="仿宋_GB2312" w:eastAsia="仿宋_GB2312" w:cs="仿宋_GB2312"/>
          <w:color w:val="000000"/>
          <w:sz w:val="32"/>
          <w:szCs w:val="32"/>
          <w:lang w:eastAsia="zh-CN"/>
        </w:rPr>
        <w:t>。我局成立于</w:t>
      </w:r>
      <w:r>
        <w:rPr>
          <w:rFonts w:hint="eastAsia" w:ascii="仿宋_GB2312" w:hAnsi="仿宋_GB2312" w:eastAsia="仿宋_GB2312" w:cs="仿宋_GB2312"/>
          <w:color w:val="000000"/>
          <w:sz w:val="32"/>
          <w:szCs w:val="32"/>
          <w:lang w:val="en-US" w:eastAsia="zh-CN"/>
        </w:rPr>
        <w:t>2010年，2012年7月更名为城乡居民养老保险事业管理局。下设办公室、统筹计划股、退休管理股、审计稽核股、财务股。贯彻落实新型农村社会养老保险方面的政策、法律、法规，全面发展新型农村养老保险事业，加快社会保障体系的建设，由社会集中建立基金，保障劳动者在年老丧失劳动能力的情况下能够获得国家和社会补偿。</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right="0" w:firstLine="640" w:firstLineChars="200"/>
        <w:jc w:val="left"/>
        <w:textAlignment w:val="auto"/>
        <w:rPr>
          <w:rFonts w:hint="eastAsia" w:ascii="黑体" w:hAnsi="宋体" w:eastAsia="黑体" w:cs="宋体"/>
          <w:color w:val="000000"/>
          <w:kern w:val="0"/>
          <w:sz w:val="32"/>
          <w:szCs w:val="24"/>
          <w:lang w:val="en-US" w:eastAsia="zh-CN" w:bidi="ar"/>
        </w:rPr>
      </w:pPr>
      <w:r>
        <w:rPr>
          <w:rFonts w:hint="eastAsia" w:ascii="黑体" w:hAnsi="宋体" w:eastAsia="黑体" w:cs="宋体"/>
          <w:color w:val="000000"/>
          <w:kern w:val="0"/>
          <w:sz w:val="32"/>
          <w:szCs w:val="24"/>
          <w:lang w:val="en-US" w:eastAsia="zh-CN" w:bidi="ar"/>
        </w:rPr>
        <w:t>二、部门财政资金收支情况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left"/>
        <w:textAlignment w:val="auto"/>
        <w:rPr>
          <w:rFonts w:hint="eastAsia" w:ascii="楷体" w:hAnsi="楷体" w:eastAsia="楷体" w:cs="楷体"/>
          <w:b/>
          <w:bCs/>
          <w:color w:val="000000"/>
          <w:kern w:val="0"/>
          <w:sz w:val="32"/>
          <w:szCs w:val="24"/>
          <w:lang w:val="zh-CN" w:eastAsia="zh-CN" w:bidi="ar"/>
        </w:rPr>
      </w:pPr>
      <w:r>
        <w:rPr>
          <w:rFonts w:hint="eastAsia" w:ascii="楷体" w:hAnsi="楷体" w:eastAsia="楷体" w:cs="楷体"/>
          <w:b/>
          <w:bCs/>
          <w:color w:val="000000"/>
          <w:kern w:val="0"/>
          <w:sz w:val="32"/>
          <w:szCs w:val="24"/>
          <w:lang w:val="zh-CN" w:eastAsia="zh-CN" w:bidi="ar"/>
        </w:rPr>
        <w:t>（一）部门财政资金收入情况。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本单位2018年总收入</w:t>
      </w:r>
      <w:r>
        <w:rPr>
          <w:rFonts w:hint="eastAsia" w:ascii="仿宋_GB2312" w:hAnsi="仿宋_GB2312" w:cs="仿宋_GB2312"/>
          <w:sz w:val="32"/>
          <w:szCs w:val="32"/>
          <w:lang w:val="en-US" w:eastAsia="zh-CN"/>
        </w:rPr>
        <w:t>1,449,755.27</w:t>
      </w:r>
      <w:r>
        <w:rPr>
          <w:rFonts w:hint="eastAsia" w:ascii="仿宋_GB2312" w:hAnsi="仿宋_GB2312" w:eastAsia="仿宋_GB2312" w:cs="仿宋_GB2312"/>
          <w:sz w:val="32"/>
          <w:szCs w:val="32"/>
        </w:rPr>
        <w:t>元</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财政拨款收入1,</w:t>
      </w:r>
      <w:r>
        <w:rPr>
          <w:rFonts w:hint="eastAsia" w:ascii="仿宋_GB2312" w:hAnsi="仿宋_GB2312" w:cs="仿宋_GB2312"/>
          <w:sz w:val="32"/>
          <w:szCs w:val="32"/>
          <w:lang w:val="en-US" w:eastAsia="zh-CN"/>
        </w:rPr>
        <w:t>449</w:t>
      </w:r>
      <w:r>
        <w:rPr>
          <w:rFonts w:hint="eastAsia" w:ascii="仿宋_GB2312" w:hAnsi="仿宋_GB2312" w:eastAsia="仿宋_GB2312" w:cs="仿宋_GB2312"/>
          <w:sz w:val="32"/>
          <w:szCs w:val="32"/>
        </w:rPr>
        <w:t>,</w:t>
      </w:r>
      <w:r>
        <w:rPr>
          <w:rFonts w:hint="eastAsia" w:ascii="仿宋_GB2312" w:hAnsi="仿宋_GB2312" w:cs="仿宋_GB2312"/>
          <w:sz w:val="32"/>
          <w:szCs w:val="32"/>
          <w:lang w:val="en-US" w:eastAsia="zh-CN"/>
        </w:rPr>
        <w:t>750.33</w:t>
      </w:r>
      <w:r>
        <w:rPr>
          <w:rFonts w:hint="eastAsia" w:ascii="仿宋_GB2312" w:hAnsi="仿宋_GB2312" w:eastAsia="仿宋_GB2312" w:cs="仿宋_GB2312"/>
          <w:sz w:val="32"/>
          <w:szCs w:val="32"/>
        </w:rPr>
        <w:t>元</w:t>
      </w:r>
      <w:r>
        <w:rPr>
          <w:rFonts w:hint="eastAsia" w:ascii="仿宋_GB2312" w:hAnsi="仿宋_GB2312" w:cs="仿宋_GB2312"/>
          <w:sz w:val="32"/>
          <w:szCs w:val="32"/>
          <w:lang w:eastAsia="zh-CN"/>
        </w:rPr>
        <w:t>，其他</w:t>
      </w:r>
      <w:r>
        <w:rPr>
          <w:rFonts w:hint="eastAsia" w:ascii="仿宋_GB2312" w:hAnsi="仿宋_GB2312" w:eastAsia="仿宋_GB2312" w:cs="仿宋_GB2312"/>
          <w:sz w:val="32"/>
          <w:szCs w:val="32"/>
          <w:lang w:eastAsia="zh-CN"/>
        </w:rPr>
        <w:t>收入</w:t>
      </w:r>
      <w:r>
        <w:rPr>
          <w:rFonts w:hint="eastAsia" w:ascii="仿宋_GB2312" w:hAnsi="仿宋_GB2312" w:cs="仿宋_GB2312"/>
          <w:sz w:val="32"/>
          <w:szCs w:val="32"/>
          <w:lang w:val="en-US" w:eastAsia="zh-CN"/>
        </w:rPr>
        <w:t>4.94</w:t>
      </w:r>
      <w:r>
        <w:rPr>
          <w:rFonts w:hint="eastAsia" w:ascii="仿宋_GB2312" w:hAnsi="仿宋_GB2312" w:eastAsia="仿宋_GB2312" w:cs="仿宋_GB2312"/>
          <w:sz w:val="32"/>
          <w:szCs w:val="32"/>
          <w:lang w:val="en-US" w:eastAsia="zh-CN"/>
        </w:rPr>
        <w:t>元</w:t>
      </w:r>
      <w:r>
        <w:rPr>
          <w:rFonts w:hint="eastAsia" w:ascii="仿宋_GB2312" w:hAnsi="仿宋_GB2312" w:cs="仿宋_GB2312"/>
          <w:sz w:val="32"/>
          <w:szCs w:val="32"/>
          <w:lang w:val="en-US"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cs="仿宋_GB2312"/>
          <w:sz w:val="32"/>
          <w:szCs w:val="32"/>
          <w:lang w:val="en-US" w:eastAsia="zh-CN"/>
        </w:rPr>
      </w:pPr>
      <w:r>
        <w:rPr>
          <w:rFonts w:hint="eastAsia" w:ascii="仿宋_GB2312" w:hAnsi="仿宋_GB2312" w:eastAsia="仿宋_GB2312" w:cs="仿宋_GB2312"/>
          <w:sz w:val="32"/>
          <w:szCs w:val="32"/>
          <w:lang w:val="en-US" w:eastAsia="zh-CN"/>
        </w:rPr>
        <w:t>2019年</w:t>
      </w:r>
      <w:r>
        <w:rPr>
          <w:rFonts w:hint="eastAsia" w:ascii="仿宋_GB2312" w:hAnsi="仿宋_GB2312" w:cs="仿宋_GB2312"/>
          <w:sz w:val="32"/>
          <w:szCs w:val="32"/>
          <w:lang w:val="en-US" w:eastAsia="zh-CN"/>
        </w:rPr>
        <w:t>共计</w:t>
      </w:r>
      <w:r>
        <w:rPr>
          <w:rFonts w:hint="eastAsia" w:ascii="仿宋_GB2312" w:hAnsi="仿宋_GB2312" w:eastAsia="仿宋_GB2312" w:cs="仿宋_GB2312"/>
          <w:sz w:val="32"/>
          <w:szCs w:val="32"/>
          <w:lang w:val="en-US" w:eastAsia="zh-CN"/>
        </w:rPr>
        <w:t>总收入</w:t>
      </w:r>
      <w:r>
        <w:rPr>
          <w:rFonts w:hint="eastAsia" w:ascii="仿宋_GB2312" w:hAnsi="仿宋_GB2312" w:cs="仿宋_GB2312"/>
          <w:sz w:val="32"/>
          <w:szCs w:val="32"/>
          <w:lang w:val="en-US" w:eastAsia="zh-CN"/>
        </w:rPr>
        <w:t xml:space="preserve">1844487.11 </w:t>
      </w:r>
      <w:r>
        <w:rPr>
          <w:rFonts w:hint="eastAsia" w:ascii="仿宋_GB2312" w:hAnsi="仿宋_GB2312" w:eastAsia="仿宋_GB2312" w:cs="仿宋_GB2312"/>
          <w:sz w:val="32"/>
          <w:szCs w:val="32"/>
          <w:lang w:val="en-US" w:eastAsia="zh-CN"/>
        </w:rPr>
        <w:t>元，其中财政补助收入</w:t>
      </w:r>
      <w:r>
        <w:rPr>
          <w:rFonts w:hint="eastAsia" w:ascii="仿宋_GB2312" w:hAnsi="仿宋_GB2312" w:cs="仿宋_GB2312"/>
          <w:sz w:val="32"/>
          <w:szCs w:val="32"/>
          <w:lang w:val="en-US" w:eastAsia="zh-CN"/>
        </w:rPr>
        <w:t xml:space="preserve">1844487.11 </w:t>
      </w:r>
      <w:r>
        <w:rPr>
          <w:rFonts w:hint="eastAsia" w:ascii="仿宋_GB2312" w:hAnsi="仿宋_GB2312" w:eastAsia="仿宋_GB2312" w:cs="仿宋_GB2312"/>
          <w:sz w:val="32"/>
          <w:szCs w:val="32"/>
          <w:lang w:val="en-US" w:eastAsia="zh-CN"/>
        </w:rPr>
        <w:t>元</w:t>
      </w:r>
      <w:r>
        <w:rPr>
          <w:rFonts w:hint="eastAsia" w:ascii="仿宋_GB2312" w:hAnsi="仿宋_GB2312" w:cs="仿宋_GB2312"/>
          <w:sz w:val="32"/>
          <w:szCs w:val="32"/>
          <w:lang w:val="en-US" w:eastAsia="zh-CN"/>
        </w:rPr>
        <w:t>。</w:t>
      </w:r>
    </w:p>
    <w:p>
      <w:pPr>
        <w:keepNext w:val="0"/>
        <w:keepLines w:val="0"/>
        <w:pageBreakBefore w:val="0"/>
        <w:kinsoku/>
        <w:wordWrap/>
        <w:overflowPunct/>
        <w:topLinePunct w:val="0"/>
        <w:autoSpaceDE/>
        <w:autoSpaceDN/>
        <w:bidi w:val="0"/>
        <w:spacing w:line="576" w:lineRule="exact"/>
        <w:ind w:firstLine="643" w:firstLineChars="200"/>
        <w:textAlignment w:val="auto"/>
        <w:rPr>
          <w:rFonts w:hint="eastAsia" w:ascii="楷体" w:hAnsi="楷体" w:eastAsia="楷体" w:cs="楷体"/>
          <w:b/>
          <w:bCs/>
          <w:color w:val="000000"/>
          <w:kern w:val="0"/>
          <w:sz w:val="32"/>
          <w:szCs w:val="24"/>
          <w:lang w:val="zh-CN" w:eastAsia="zh-CN" w:bidi="ar"/>
        </w:rPr>
      </w:pPr>
      <w:r>
        <w:rPr>
          <w:rFonts w:hint="eastAsia" w:ascii="楷体" w:hAnsi="楷体" w:eastAsia="楷体" w:cs="楷体"/>
          <w:b/>
          <w:bCs/>
          <w:color w:val="000000"/>
          <w:kern w:val="0"/>
          <w:sz w:val="32"/>
          <w:szCs w:val="24"/>
          <w:lang w:val="en-US" w:eastAsia="zh-CN" w:bidi="ar"/>
        </w:rPr>
        <w:t>（二）</w:t>
      </w:r>
      <w:r>
        <w:rPr>
          <w:rFonts w:hint="eastAsia" w:ascii="楷体" w:hAnsi="楷体" w:eastAsia="楷体" w:cs="楷体"/>
          <w:b/>
          <w:bCs/>
          <w:color w:val="000000"/>
          <w:kern w:val="0"/>
          <w:sz w:val="32"/>
          <w:szCs w:val="24"/>
          <w:lang w:val="zh-CN" w:eastAsia="zh-CN" w:bidi="ar"/>
        </w:rPr>
        <w:t>部门财政资金支出情况。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rPr>
        <w:t>本单位2018年总</w:t>
      </w:r>
      <w:r>
        <w:rPr>
          <w:rFonts w:hint="eastAsia" w:ascii="仿宋_GB2312" w:hAnsi="仿宋_GB2312" w:cs="仿宋_GB2312"/>
          <w:sz w:val="32"/>
          <w:szCs w:val="32"/>
          <w:lang w:eastAsia="zh-CN"/>
        </w:rPr>
        <w:t>支出</w:t>
      </w:r>
      <w:r>
        <w:rPr>
          <w:rFonts w:hint="eastAsia" w:ascii="仿宋_GB2312" w:hAnsi="仿宋_GB2312" w:cs="仿宋_GB2312"/>
          <w:sz w:val="32"/>
          <w:szCs w:val="32"/>
          <w:lang w:val="en-US" w:eastAsia="zh-CN"/>
        </w:rPr>
        <w:t>1,449,750.33</w:t>
      </w:r>
      <w:r>
        <w:rPr>
          <w:rFonts w:hint="eastAsia" w:ascii="仿宋_GB2312" w:hAnsi="仿宋_GB2312" w:eastAsia="仿宋_GB2312" w:cs="仿宋_GB2312"/>
          <w:sz w:val="32"/>
          <w:szCs w:val="32"/>
        </w:rPr>
        <w:t>元</w:t>
      </w:r>
      <w:r>
        <w:rPr>
          <w:rFonts w:hint="eastAsia" w:ascii="仿宋_GB2312" w:hAnsi="仿宋_GB2312" w:cs="仿宋_GB2312"/>
          <w:sz w:val="32"/>
          <w:szCs w:val="32"/>
          <w:lang w:eastAsia="zh-CN"/>
        </w:rPr>
        <w:t>。其中：</w:t>
      </w:r>
      <w:r>
        <w:rPr>
          <w:rFonts w:hint="eastAsia" w:ascii="仿宋_GB2312" w:hAnsi="仿宋_GB2312" w:eastAsia="仿宋_GB2312" w:cs="仿宋_GB2312"/>
          <w:sz w:val="32"/>
          <w:szCs w:val="32"/>
        </w:rPr>
        <w:t>工资福利</w:t>
      </w:r>
      <w:r>
        <w:rPr>
          <w:rFonts w:hint="eastAsia" w:ascii="仿宋_GB2312" w:hAnsi="仿宋_GB2312" w:cs="仿宋_GB2312"/>
          <w:sz w:val="32"/>
          <w:szCs w:val="32"/>
          <w:lang w:eastAsia="zh-CN"/>
        </w:rPr>
        <w:t>支出</w:t>
      </w:r>
      <w:r>
        <w:rPr>
          <w:rFonts w:hint="eastAsia" w:ascii="仿宋_GB2312" w:hAnsi="仿宋_GB2312" w:cs="仿宋_GB2312"/>
          <w:sz w:val="32"/>
          <w:szCs w:val="32"/>
          <w:lang w:val="en-US" w:eastAsia="zh-CN"/>
        </w:rPr>
        <w:t>1,373,478.32</w:t>
      </w:r>
      <w:r>
        <w:rPr>
          <w:rFonts w:hint="eastAsia" w:ascii="仿宋_GB2312" w:hAnsi="仿宋_GB2312" w:eastAsia="仿宋_GB2312" w:cs="仿宋_GB2312"/>
          <w:sz w:val="32"/>
          <w:szCs w:val="32"/>
        </w:rPr>
        <w:t>元</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lang w:val="en-US" w:eastAsia="zh-CN"/>
        </w:rPr>
        <w:t>商品和服务支出</w:t>
      </w:r>
      <w:r>
        <w:rPr>
          <w:rFonts w:hint="eastAsia" w:ascii="仿宋_GB2312" w:hAnsi="仿宋_GB2312" w:cs="仿宋_GB2312"/>
          <w:sz w:val="32"/>
          <w:szCs w:val="32"/>
          <w:lang w:val="en-US" w:eastAsia="zh-CN"/>
        </w:rPr>
        <w:t>76,140.01元，对个人和家庭的补助支出132元。</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2019年1-6月总</w:t>
      </w:r>
      <w:r>
        <w:rPr>
          <w:rFonts w:hint="eastAsia" w:ascii="仿宋_GB2312" w:hAnsi="仿宋_GB2312" w:cs="仿宋_GB2312"/>
          <w:sz w:val="32"/>
          <w:szCs w:val="32"/>
          <w:lang w:val="en-US" w:eastAsia="zh-CN"/>
        </w:rPr>
        <w:t>支出430537.89</w:t>
      </w:r>
      <w:r>
        <w:rPr>
          <w:rFonts w:hint="eastAsia" w:ascii="仿宋_GB2312" w:hAnsi="仿宋_GB2312" w:eastAsia="仿宋_GB2312" w:cs="仿宋_GB2312"/>
          <w:sz w:val="32"/>
          <w:szCs w:val="32"/>
          <w:lang w:val="en-US" w:eastAsia="zh-CN"/>
        </w:rPr>
        <w:t>元</w:t>
      </w:r>
      <w:r>
        <w:rPr>
          <w:rFonts w:hint="eastAsia" w:ascii="仿宋_GB2312" w:hAnsi="仿宋_GB2312" w:cs="仿宋_GB2312"/>
          <w:sz w:val="32"/>
          <w:szCs w:val="32"/>
          <w:lang w:val="en-US" w:eastAsia="zh-CN"/>
        </w:rPr>
        <w:t>。其中：</w:t>
      </w:r>
      <w:r>
        <w:rPr>
          <w:rFonts w:hint="eastAsia" w:ascii="仿宋_GB2312" w:hAnsi="仿宋_GB2312" w:eastAsia="仿宋_GB2312" w:cs="仿宋_GB2312"/>
          <w:sz w:val="32"/>
          <w:szCs w:val="32"/>
          <w:lang w:val="en-US" w:eastAsia="zh-CN"/>
        </w:rPr>
        <w:t>工资福利</w:t>
      </w:r>
      <w:r>
        <w:rPr>
          <w:rFonts w:hint="eastAsia" w:ascii="仿宋_GB2312" w:hAnsi="仿宋_GB2312" w:cs="仿宋_GB2312"/>
          <w:sz w:val="32"/>
          <w:szCs w:val="32"/>
          <w:lang w:val="en-US" w:eastAsia="zh-CN"/>
        </w:rPr>
        <w:t>支出411325.89</w:t>
      </w:r>
      <w:r>
        <w:rPr>
          <w:rFonts w:hint="eastAsia" w:ascii="仿宋_GB2312" w:hAnsi="仿宋_GB2312" w:eastAsia="仿宋_GB2312" w:cs="仿宋_GB2312"/>
          <w:sz w:val="32"/>
          <w:szCs w:val="32"/>
          <w:lang w:val="en-US" w:eastAsia="zh-CN"/>
        </w:rPr>
        <w:t>元，商品和服务支出</w:t>
      </w:r>
      <w:r>
        <w:rPr>
          <w:rFonts w:hint="eastAsia" w:ascii="仿宋_GB2312" w:hAnsi="仿宋_GB2312" w:cs="仿宋_GB2312"/>
          <w:sz w:val="32"/>
          <w:szCs w:val="32"/>
          <w:lang w:val="en-US" w:eastAsia="zh-CN"/>
        </w:rPr>
        <w:t>15132</w:t>
      </w:r>
      <w:r>
        <w:rPr>
          <w:rFonts w:hint="eastAsia" w:ascii="仿宋_GB2312" w:hAnsi="仿宋_GB2312" w:eastAsia="仿宋_GB2312" w:cs="仿宋_GB2312"/>
          <w:sz w:val="32"/>
          <w:szCs w:val="32"/>
          <w:lang w:val="en-US" w:eastAsia="zh-CN"/>
        </w:rPr>
        <w:t>元</w:t>
      </w:r>
      <w:r>
        <w:rPr>
          <w:rFonts w:hint="eastAsia" w:ascii="仿宋_GB2312" w:hAnsi="仿宋_GB2312" w:cs="仿宋_GB2312"/>
          <w:sz w:val="32"/>
          <w:szCs w:val="32"/>
          <w:lang w:val="en-US" w:eastAsia="zh-CN"/>
        </w:rPr>
        <w:t>，其他资本性支出4080元。</w:t>
      </w:r>
    </w:p>
    <w:p>
      <w:pPr>
        <w:keepNext w:val="0"/>
        <w:keepLines w:val="0"/>
        <w:pageBreakBefore w:val="0"/>
        <w:widowControl/>
        <w:numPr>
          <w:ilvl w:val="0"/>
          <w:numId w:val="9"/>
        </w:numPr>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黑体" w:hAnsi="宋体" w:eastAsia="黑体" w:cs="宋体"/>
          <w:color w:val="000000"/>
          <w:kern w:val="0"/>
          <w:sz w:val="32"/>
          <w:szCs w:val="24"/>
          <w:lang w:val="en-US" w:eastAsia="zh-CN" w:bidi="ar"/>
        </w:rPr>
      </w:pPr>
      <w:r>
        <w:rPr>
          <w:rFonts w:hint="eastAsia" w:ascii="黑体" w:hAnsi="宋体" w:eastAsia="黑体" w:cs="宋体"/>
          <w:color w:val="000000"/>
          <w:kern w:val="0"/>
          <w:sz w:val="32"/>
          <w:szCs w:val="24"/>
          <w:lang w:val="en-US" w:eastAsia="zh-CN" w:bidi="ar"/>
        </w:rPr>
        <w:t>部门财政支出管理情况</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left="720" w:leftChars="0" w:right="0" w:rightChars="0"/>
        <w:jc w:val="left"/>
        <w:textAlignment w:val="auto"/>
        <w:rPr>
          <w:rFonts w:hint="eastAsia" w:ascii="楷体" w:hAnsi="楷体" w:eastAsia="楷体" w:cs="楷体"/>
          <w:b/>
          <w:bCs/>
          <w:color w:val="000000"/>
          <w:kern w:val="0"/>
          <w:lang w:val="zh-CN" w:eastAsia="zh-CN"/>
        </w:rPr>
      </w:pPr>
      <w:r>
        <w:rPr>
          <w:rFonts w:hint="eastAsia" w:ascii="楷体" w:hAnsi="楷体" w:eastAsia="楷体" w:cs="楷体"/>
          <w:b/>
          <w:bCs/>
          <w:color w:val="000000"/>
          <w:kern w:val="0"/>
          <w:sz w:val="32"/>
          <w:szCs w:val="24"/>
          <w:lang w:val="zh-CN" w:eastAsia="zh-CN" w:bidi="ar"/>
        </w:rPr>
        <w:t>（一）预算编制情况。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76" w:lineRule="exact"/>
        <w:ind w:right="0" w:firstLine="640" w:firstLineChars="200"/>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shd w:val="clear" w:color="auto" w:fill="FFFFFF"/>
        </w:rPr>
        <w:t>根据《中华人民共和国预算法》及</w:t>
      </w:r>
      <w:r>
        <w:rPr>
          <w:rFonts w:hint="eastAsia" w:ascii="仿宋_GB2312" w:hAnsi="仿宋_GB2312" w:eastAsia="仿宋_GB2312" w:cs="仿宋_GB2312"/>
          <w:b w:val="0"/>
          <w:i w:val="0"/>
          <w:caps w:val="0"/>
          <w:color w:val="000000"/>
          <w:spacing w:val="0"/>
          <w:sz w:val="32"/>
          <w:szCs w:val="32"/>
          <w:shd w:val="clear" w:color="auto" w:fill="FFFFFF"/>
          <w:lang w:eastAsia="zh-CN"/>
        </w:rPr>
        <w:t>红原县</w:t>
      </w:r>
      <w:r>
        <w:rPr>
          <w:rFonts w:hint="eastAsia" w:ascii="仿宋_GB2312" w:hAnsi="仿宋_GB2312" w:eastAsia="仿宋_GB2312" w:cs="仿宋_GB2312"/>
          <w:b w:val="0"/>
          <w:i w:val="0"/>
          <w:caps w:val="0"/>
          <w:color w:val="000000"/>
          <w:spacing w:val="0"/>
          <w:sz w:val="32"/>
          <w:szCs w:val="32"/>
          <w:shd w:val="clear" w:color="auto" w:fill="FFFFFF"/>
        </w:rPr>
        <w:t>财政局印发的《关于</w:t>
      </w:r>
      <w:r>
        <w:rPr>
          <w:rFonts w:hint="eastAsia" w:ascii="仿宋_GB2312" w:hAnsi="仿宋_GB2312" w:eastAsia="仿宋_GB2312" w:cs="仿宋_GB2312"/>
          <w:b w:val="0"/>
          <w:i w:val="0"/>
          <w:caps w:val="0"/>
          <w:color w:val="000000"/>
          <w:spacing w:val="0"/>
          <w:sz w:val="32"/>
          <w:szCs w:val="32"/>
          <w:shd w:val="clear" w:color="auto" w:fill="FFFFFF"/>
          <w:lang w:eastAsia="zh-CN"/>
        </w:rPr>
        <w:t>下达</w:t>
      </w:r>
      <w:r>
        <w:rPr>
          <w:rFonts w:hint="eastAsia" w:ascii="仿宋_GB2312" w:hAnsi="仿宋_GB2312" w:eastAsia="仿宋_GB2312" w:cs="仿宋_GB2312"/>
          <w:b w:val="0"/>
          <w:i w:val="0"/>
          <w:caps w:val="0"/>
          <w:color w:val="000000"/>
          <w:spacing w:val="0"/>
          <w:sz w:val="32"/>
          <w:szCs w:val="32"/>
          <w:shd w:val="clear" w:color="auto" w:fill="FFFFFF"/>
          <w:lang w:val="en-US" w:eastAsia="zh-CN"/>
        </w:rPr>
        <w:t>2018年</w:t>
      </w:r>
      <w:r>
        <w:rPr>
          <w:rFonts w:hint="eastAsia" w:ascii="仿宋_GB2312" w:hAnsi="仿宋_GB2312" w:eastAsia="仿宋_GB2312" w:cs="仿宋_GB2312"/>
          <w:b w:val="0"/>
          <w:i w:val="0"/>
          <w:caps w:val="0"/>
          <w:color w:val="000000"/>
          <w:spacing w:val="0"/>
          <w:sz w:val="32"/>
          <w:szCs w:val="32"/>
          <w:shd w:val="clear" w:color="auto" w:fill="FFFFFF"/>
        </w:rPr>
        <w:t>部门预算的通知》要求，结合本单位实际，按照增收节支、厉行节约、绩效优化的原则，严控“三公”经费管理，从严从紧编制预算。细化支出预算编制，推进预算信息公开，深化预算绩效管理，提高资金使用效益。</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楷体" w:hAnsi="楷体" w:eastAsia="楷体" w:cs="宋体"/>
          <w:color w:val="000000"/>
          <w:kern w:val="0"/>
          <w:lang w:val="zh-CN" w:eastAsia="zh-CN"/>
        </w:rPr>
      </w:pPr>
      <w:r>
        <w:rPr>
          <w:rFonts w:hint="eastAsia" w:ascii="仿宋_GB2312" w:hAnsi="仿宋_GB2312" w:eastAsia="仿宋_GB2312" w:cs="仿宋_GB2312"/>
          <w:color w:val="000000"/>
          <w:sz w:val="32"/>
          <w:szCs w:val="32"/>
          <w:shd w:val="clear" w:color="auto" w:fill="FFFFFF"/>
        </w:rPr>
        <w:t>预算编制工作严格遵循合法性、真实性、完整性、重点性、绩效性，及时清理，准确反映结余结转资金，严格执行结余结转资金的管理规定。按规定及时公示了部门预算。</w:t>
      </w:r>
      <w:r>
        <w:rPr>
          <w:rFonts w:hint="eastAsia" w:ascii="仿宋_GB2312" w:hAnsi="仿宋_GB2312" w:eastAsia="仿宋_GB2312" w:cs="仿宋_GB2312"/>
          <w:color w:val="000000"/>
          <w:sz w:val="32"/>
          <w:szCs w:val="32"/>
        </w:rPr>
        <w:br w:type="textWrapping"/>
      </w:r>
      <w:r>
        <w:rPr>
          <w:rFonts w:hint="eastAsia" w:ascii="华文仿宋" w:hAnsi="华文仿宋" w:eastAsia="华文仿宋"/>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rPr>
        <w:t>　决算编审工作中严格按照“真实、准确、完整、及时”的要求，正确理解和掌握决算报表的口径和相关指标，部门决算报表的内容涵盖单位的全部收支，做到了数据真实，计算准确，内容完整。按规定及时公示了部门决算。</w:t>
      </w:r>
      <w:r>
        <w:rPr>
          <w:rFonts w:hint="eastAsia" w:ascii="仿宋_GB2312" w:hAnsi="仿宋_GB2312" w:eastAsia="仿宋_GB2312" w:cs="仿宋_GB2312"/>
          <w:color w:val="000000"/>
          <w:sz w:val="32"/>
          <w:szCs w:val="32"/>
        </w:rPr>
        <w:br w:type="textWrapping"/>
      </w:r>
      <w:r>
        <w:rPr>
          <w:rFonts w:hint="eastAsia" w:ascii="仿宋_GB2312" w:hAnsi="仿宋_GB2312" w:cs="仿宋_GB2312"/>
          <w:color w:val="000000"/>
          <w:sz w:val="32"/>
          <w:szCs w:val="32"/>
          <w:lang w:val="en-US" w:eastAsia="zh-CN"/>
        </w:rPr>
        <w:t xml:space="preserve">  </w:t>
      </w:r>
      <w:r>
        <w:rPr>
          <w:rFonts w:hint="eastAsia" w:ascii="楷体" w:hAnsi="楷体" w:eastAsia="楷体" w:cs="楷体"/>
          <w:b/>
          <w:bCs/>
          <w:color w:val="000000"/>
          <w:kern w:val="0"/>
          <w:sz w:val="32"/>
          <w:szCs w:val="24"/>
          <w:lang w:val="zh-CN" w:eastAsia="zh-CN" w:bidi="ar"/>
        </w:rPr>
        <w:t>（二）执行管理情况。</w:t>
      </w:r>
      <w:r>
        <w:rPr>
          <w:rFonts w:hint="eastAsia" w:ascii="楷体" w:hAnsi="楷体" w:eastAsia="楷体" w:cs="楷体"/>
          <w:b/>
          <w:bCs/>
          <w:color w:val="000000"/>
          <w:kern w:val="0"/>
          <w:sz w:val="32"/>
          <w:szCs w:val="24"/>
          <w:lang w:val="zh-CN" w:eastAsia="zh-CN" w:bidi="ar"/>
        </w:rPr>
        <w:tab/>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76" w:lineRule="exact"/>
        <w:ind w:right="0" w:firstLine="640" w:firstLineChars="200"/>
        <w:textAlignment w:val="auto"/>
        <w:rPr>
          <w:rFonts w:hint="eastAsia" w:ascii="宋体" w:hAnsi="宋体" w:eastAsia="宋体" w:cs="宋体"/>
          <w:b w:val="0"/>
          <w:i w:val="0"/>
          <w:caps w:val="0"/>
          <w:color w:val="000000"/>
          <w:spacing w:val="0"/>
          <w:sz w:val="32"/>
          <w:szCs w:val="32"/>
        </w:rPr>
      </w:pPr>
      <w:r>
        <w:rPr>
          <w:rFonts w:hint="eastAsia" w:ascii="仿宋_GB2312" w:hAnsi="宋体" w:eastAsia="仿宋_GB2312" w:cs="仿宋_GB2312"/>
          <w:b w:val="0"/>
          <w:i w:val="0"/>
          <w:caps w:val="0"/>
          <w:color w:val="000000"/>
          <w:spacing w:val="0"/>
          <w:sz w:val="32"/>
          <w:szCs w:val="32"/>
          <w:shd w:val="clear" w:color="auto" w:fill="FFFFFF"/>
        </w:rPr>
        <w:t>本着少花钱、多办事、办好事、遵循有预算才支出的原则，201</w:t>
      </w:r>
      <w:r>
        <w:rPr>
          <w:rFonts w:hint="eastAsia" w:ascii="仿宋_GB2312" w:eastAsia="仿宋_GB2312" w:cs="仿宋_GB2312"/>
          <w:b w:val="0"/>
          <w:i w:val="0"/>
          <w:caps w:val="0"/>
          <w:color w:val="000000"/>
          <w:spacing w:val="0"/>
          <w:sz w:val="32"/>
          <w:szCs w:val="32"/>
          <w:shd w:val="clear" w:color="auto" w:fill="FFFFFF"/>
          <w:lang w:val="en-US" w:eastAsia="zh-CN"/>
        </w:rPr>
        <w:t>8</w:t>
      </w:r>
      <w:r>
        <w:rPr>
          <w:rFonts w:hint="eastAsia" w:ascii="仿宋_GB2312" w:hAnsi="宋体" w:eastAsia="仿宋_GB2312" w:cs="仿宋_GB2312"/>
          <w:b w:val="0"/>
          <w:i w:val="0"/>
          <w:caps w:val="0"/>
          <w:color w:val="000000"/>
          <w:spacing w:val="0"/>
          <w:sz w:val="32"/>
          <w:szCs w:val="32"/>
          <w:shd w:val="clear" w:color="auto" w:fill="FFFFFF"/>
        </w:rPr>
        <w:t>年财政预算支出（除财政应返还额度）全面落实到位，均按规定的用途支付</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76" w:lineRule="exact"/>
        <w:ind w:left="0" w:right="0" w:firstLine="645"/>
        <w:textAlignment w:val="auto"/>
        <w:rPr>
          <w:rFonts w:hint="eastAsia" w:ascii="宋体" w:hAnsi="宋体" w:eastAsia="宋体" w:cs="宋体"/>
          <w:b w:val="0"/>
          <w:i w:val="0"/>
          <w:caps w:val="0"/>
          <w:color w:val="000000"/>
          <w:spacing w:val="0"/>
          <w:sz w:val="32"/>
          <w:szCs w:val="32"/>
        </w:rPr>
      </w:pPr>
      <w:r>
        <w:rPr>
          <w:rFonts w:ascii="仿宋_GB2312" w:hAnsi="宋体" w:eastAsia="仿宋_GB2312" w:cs="仿宋_GB2312"/>
          <w:b w:val="0"/>
          <w:i w:val="0"/>
          <w:caps w:val="0"/>
          <w:color w:val="000000"/>
          <w:spacing w:val="0"/>
          <w:sz w:val="32"/>
          <w:szCs w:val="32"/>
          <w:shd w:val="clear" w:color="auto" w:fill="FFFFFF"/>
        </w:rPr>
        <w:t>基本支出，是用于保障本单位正常运转的日常支出，包括基本工资、津贴补贴等人员经费以及办公费、印刷费、水电费、办公设备购置等日常公用经费。</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76" w:lineRule="exact"/>
        <w:ind w:right="0" w:firstLine="640" w:firstLineChars="200"/>
        <w:textAlignment w:val="auto"/>
        <w:rPr>
          <w:rFonts w:hint="eastAsia" w:ascii="仿宋_GB2312" w:hAnsi="宋体" w:eastAsia="仿宋_GB2312" w:cs="仿宋_GB2312"/>
          <w:b w:val="0"/>
          <w:i w:val="0"/>
          <w:caps w:val="0"/>
          <w:color w:val="000000"/>
          <w:spacing w:val="0"/>
          <w:sz w:val="32"/>
          <w:szCs w:val="32"/>
          <w:shd w:val="clear" w:color="auto" w:fill="FFFFFF"/>
        </w:rPr>
      </w:pPr>
      <w:r>
        <w:rPr>
          <w:rFonts w:hint="eastAsia" w:ascii="仿宋_GB2312" w:eastAsia="仿宋_GB2312" w:cs="仿宋_GB2312"/>
          <w:b w:val="0"/>
          <w:i w:val="0"/>
          <w:caps w:val="0"/>
          <w:color w:val="000000"/>
          <w:spacing w:val="0"/>
          <w:sz w:val="32"/>
          <w:szCs w:val="32"/>
          <w:shd w:val="clear" w:color="auto" w:fill="FFFFFF"/>
          <w:lang w:eastAsia="zh-CN"/>
        </w:rPr>
        <w:t>我单位</w:t>
      </w:r>
      <w:r>
        <w:rPr>
          <w:rFonts w:hint="eastAsia" w:ascii="仿宋_GB2312" w:hAnsi="宋体" w:eastAsia="仿宋_GB2312" w:cs="仿宋_GB2312"/>
          <w:b w:val="0"/>
          <w:i w:val="0"/>
          <w:caps w:val="0"/>
          <w:color w:val="000000"/>
          <w:spacing w:val="0"/>
          <w:sz w:val="32"/>
          <w:szCs w:val="32"/>
          <w:shd w:val="clear" w:color="auto" w:fill="FFFFFF"/>
        </w:rPr>
        <w:t>201</w:t>
      </w:r>
      <w:r>
        <w:rPr>
          <w:rFonts w:hint="eastAsia" w:ascii="仿宋_GB2312" w:eastAsia="仿宋_GB2312" w:cs="仿宋_GB2312"/>
          <w:b w:val="0"/>
          <w:i w:val="0"/>
          <w:caps w:val="0"/>
          <w:color w:val="000000"/>
          <w:spacing w:val="0"/>
          <w:sz w:val="32"/>
          <w:szCs w:val="32"/>
          <w:shd w:val="clear" w:color="auto" w:fill="FFFFFF"/>
          <w:lang w:val="en-US" w:eastAsia="zh-CN"/>
        </w:rPr>
        <w:t>8</w:t>
      </w:r>
      <w:r>
        <w:rPr>
          <w:rFonts w:hint="eastAsia" w:ascii="仿宋_GB2312" w:hAnsi="宋体" w:eastAsia="仿宋_GB2312" w:cs="仿宋_GB2312"/>
          <w:b w:val="0"/>
          <w:i w:val="0"/>
          <w:caps w:val="0"/>
          <w:color w:val="000000"/>
          <w:spacing w:val="0"/>
          <w:sz w:val="32"/>
          <w:szCs w:val="32"/>
          <w:shd w:val="clear" w:color="auto" w:fill="FFFFFF"/>
        </w:rPr>
        <w:t>年未发生公务出国（境）费用，</w:t>
      </w:r>
      <w:r>
        <w:rPr>
          <w:rFonts w:hint="eastAsia" w:ascii="仿宋_GB2312" w:eastAsia="仿宋_GB2312" w:cs="仿宋_GB2312"/>
          <w:b w:val="0"/>
          <w:i w:val="0"/>
          <w:caps w:val="0"/>
          <w:color w:val="000000"/>
          <w:spacing w:val="0"/>
          <w:sz w:val="32"/>
          <w:szCs w:val="32"/>
          <w:shd w:val="clear" w:color="auto" w:fill="FFFFFF"/>
          <w:lang w:eastAsia="zh-CN"/>
        </w:rPr>
        <w:t>我单位</w:t>
      </w:r>
      <w:r>
        <w:rPr>
          <w:rFonts w:hint="eastAsia" w:ascii="仿宋_GB2312" w:hAnsi="宋体" w:eastAsia="仿宋_GB2312" w:cs="仿宋_GB2312"/>
          <w:b w:val="0"/>
          <w:i w:val="0"/>
          <w:caps w:val="0"/>
          <w:color w:val="000000"/>
          <w:spacing w:val="0"/>
          <w:sz w:val="32"/>
          <w:szCs w:val="32"/>
          <w:shd w:val="clear" w:color="auto" w:fill="FFFFFF"/>
        </w:rPr>
        <w:t>严格执行中央“八项规定”，“三公”经费呈现出逐年递减趋势，无违规乱发钱物情况，不存在超标准报销公务接待费、因公出国经费、会议费、培训费、差旅费等情况。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right="0" w:firstLine="643" w:firstLineChars="200"/>
        <w:jc w:val="left"/>
        <w:textAlignment w:val="auto"/>
        <w:rPr>
          <w:rFonts w:hint="eastAsia" w:ascii="楷体" w:hAnsi="楷体" w:eastAsia="楷体" w:cs="楷体"/>
          <w:b/>
          <w:bCs/>
          <w:color w:val="000000"/>
          <w:kern w:val="0"/>
          <w:lang w:val="zh-CN" w:eastAsia="zh-CN"/>
        </w:rPr>
      </w:pPr>
      <w:r>
        <w:rPr>
          <w:rFonts w:hint="eastAsia" w:ascii="楷体" w:hAnsi="楷体" w:eastAsia="楷体" w:cs="楷体"/>
          <w:b/>
          <w:bCs/>
          <w:color w:val="000000"/>
          <w:kern w:val="0"/>
          <w:sz w:val="32"/>
          <w:szCs w:val="24"/>
          <w:lang w:val="zh-CN" w:eastAsia="zh-CN" w:bidi="ar"/>
        </w:rPr>
        <w:t>（三）综合管理情况。</w:t>
      </w:r>
    </w:p>
    <w:p>
      <w:pPr>
        <w:pStyle w:val="12"/>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76" w:lineRule="exact"/>
        <w:ind w:right="0" w:righ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建立建全内部控制</w:t>
      </w:r>
      <w:r>
        <w:rPr>
          <w:rFonts w:hint="eastAsia" w:ascii="仿宋_GB2312" w:hAnsi="仿宋_GB2312" w:eastAsia="仿宋_GB2312" w:cs="仿宋_GB2312"/>
          <w:color w:val="000000"/>
          <w:sz w:val="32"/>
          <w:szCs w:val="32"/>
        </w:rPr>
        <w:t>制度：我</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加强和规范内部控制，提高内部管理水平和风险防范能力，杜绝违法违纪行为，推进廉政建设，维护社会公众利益，根据《中华人民共和国会计法》、《中华人民共和国预算法》、《行政事业单位内部控制规范》(试行)和其他有关法律法规。</w:t>
      </w:r>
    </w:p>
    <w:p>
      <w:pPr>
        <w:pStyle w:val="12"/>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76" w:lineRule="exact"/>
        <w:ind w:right="0" w:righ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cs="仿宋_GB2312"/>
          <w:color w:val="000000"/>
          <w:sz w:val="32"/>
          <w:szCs w:val="32"/>
          <w:lang w:val="en-US" w:eastAsia="zh-CN"/>
        </w:rPr>
        <w:t>、</w:t>
      </w:r>
      <w:r>
        <w:rPr>
          <w:rFonts w:hint="eastAsia" w:ascii="仿宋_GB2312" w:hAnsi="仿宋_GB2312" w:eastAsia="仿宋_GB2312" w:cs="仿宋_GB2312"/>
          <w:color w:val="000000"/>
          <w:sz w:val="32"/>
          <w:szCs w:val="32"/>
        </w:rPr>
        <w:t xml:space="preserve">资金使用合规性：资金支出符合国家财经法规和财务管理制度规定以及有关专项资金管理办法的规定；资金拨付有完整的审批程序和手续；符合部门预算批复的用途；资金使用无截留、挤占、挪用、虚列支出等情况。 </w:t>
      </w:r>
    </w:p>
    <w:p>
      <w:pPr>
        <w:pStyle w:val="12"/>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rPr>
        <w:t>预算信息公开：</w:t>
      </w:r>
      <w:r>
        <w:rPr>
          <w:rFonts w:hint="eastAsia" w:ascii="仿宋_GB2312" w:hAnsi="仿宋_GB2312" w:eastAsia="仿宋_GB2312" w:cs="仿宋_GB2312"/>
          <w:color w:val="000000"/>
          <w:sz w:val="32"/>
          <w:szCs w:val="32"/>
          <w:lang w:eastAsia="zh-CN"/>
        </w:rPr>
        <w:t>我单位</w:t>
      </w:r>
      <w:r>
        <w:rPr>
          <w:rFonts w:hint="eastAsia" w:ascii="仿宋_GB2312" w:hAnsi="仿宋_GB2312" w:eastAsia="仿宋_GB2312" w:cs="仿宋_GB2312"/>
          <w:color w:val="000000"/>
          <w:sz w:val="32"/>
          <w:szCs w:val="32"/>
        </w:rPr>
        <w:t xml:space="preserve">按规定内容公开预决算信息；按规定时限公开预决算信息；基础数据信息和会计信息资料真实；基础数据信息和会计信息资料完整；基础数据信息和汇集信息资料准确。 </w:t>
      </w:r>
    </w:p>
    <w:p>
      <w:pPr>
        <w:pStyle w:val="12"/>
        <w:keepNext w:val="0"/>
        <w:keepLines w:val="0"/>
        <w:pageBreakBefore w:val="0"/>
        <w:widowControl/>
        <w:suppressLineNumbers w:val="0"/>
        <w:kinsoku/>
        <w:wordWrap/>
        <w:overflowPunct/>
        <w:topLinePunct w:val="0"/>
        <w:autoSpaceDE/>
        <w:autoSpaceDN/>
        <w:bidi w:val="0"/>
        <w:adjustRightInd/>
        <w:spacing w:before="0" w:beforeAutospacing="0" w:after="0" w:afterAutospacing="0" w:line="576" w:lineRule="exact"/>
        <w:ind w:left="0" w:right="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4</w:t>
      </w:r>
      <w:r>
        <w:rPr>
          <w:rFonts w:hint="eastAsia" w:ascii="仿宋_GB2312" w:hAnsi="仿宋_GB2312" w:cs="仿宋_GB2312"/>
          <w:color w:val="000000"/>
          <w:sz w:val="32"/>
          <w:szCs w:val="32"/>
          <w:lang w:eastAsia="zh-CN"/>
        </w:rPr>
        <w:t>、</w:t>
      </w:r>
      <w:r>
        <w:rPr>
          <w:rFonts w:hint="eastAsia" w:ascii="仿宋_GB2312" w:hAnsi="仿宋_GB2312" w:eastAsia="仿宋_GB2312" w:cs="仿宋_GB2312"/>
          <w:color w:val="000000"/>
          <w:sz w:val="32"/>
          <w:szCs w:val="32"/>
        </w:rPr>
        <w:t>财务信息完善性：经核对</w:t>
      </w:r>
      <w:r>
        <w:rPr>
          <w:rFonts w:hint="eastAsia" w:ascii="仿宋_GB2312" w:hAnsi="仿宋_GB2312" w:eastAsia="仿宋_GB2312" w:cs="仿宋_GB2312"/>
          <w:color w:val="000000"/>
          <w:sz w:val="32"/>
          <w:szCs w:val="32"/>
          <w:lang w:eastAsia="zh-CN"/>
        </w:rPr>
        <w:t>我单位</w:t>
      </w: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年度总账、明细账、决算报表，其结果账账、账表相符；财务信息资料真实、完整、准确</w:t>
      </w:r>
      <w:r>
        <w:rPr>
          <w:rFonts w:hint="eastAsia" w:ascii="仿宋_GB2312" w:hAnsi="仿宋_GB2312" w:eastAsia="仿宋_GB2312" w:cs="仿宋_GB2312"/>
          <w:color w:val="000000"/>
          <w:sz w:val="32"/>
          <w:szCs w:val="32"/>
          <w:lang w:eastAsia="zh-CN"/>
        </w:rPr>
        <w:t>。</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楷体" w:hAnsi="楷体" w:eastAsia="楷体" w:cs="宋体"/>
          <w:b/>
          <w:bCs/>
          <w:color w:val="000000"/>
          <w:kern w:val="0"/>
          <w:sz w:val="32"/>
          <w:szCs w:val="24"/>
          <w:lang w:val="zh-CN" w:eastAsia="zh-CN" w:bidi="ar"/>
        </w:rPr>
      </w:pPr>
      <w:r>
        <w:rPr>
          <w:rFonts w:hint="eastAsia" w:ascii="楷体" w:hAnsi="楷体" w:eastAsia="楷体" w:cs="宋体"/>
          <w:b/>
          <w:bCs/>
          <w:color w:val="000000"/>
          <w:kern w:val="0"/>
          <w:sz w:val="32"/>
          <w:szCs w:val="24"/>
          <w:lang w:val="zh-CN" w:eastAsia="zh-CN" w:bidi="ar"/>
        </w:rPr>
        <w:t>（四）整体绩效。</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楷体" w:hAnsi="楷体" w:eastAsia="楷体" w:cs="宋体"/>
          <w:color w:val="000000"/>
          <w:kern w:val="0"/>
          <w:sz w:val="32"/>
          <w:szCs w:val="24"/>
          <w:lang w:val="zh-CN" w:eastAsia="zh-CN" w:bidi="ar"/>
        </w:rPr>
      </w:pPr>
      <w:r>
        <w:rPr>
          <w:rFonts w:hint="eastAsia" w:ascii="楷体" w:hAnsi="楷体" w:eastAsia="楷体" w:cs="宋体"/>
          <w:color w:val="000000"/>
          <w:kern w:val="0"/>
          <w:sz w:val="32"/>
          <w:szCs w:val="24"/>
          <w:lang w:val="zh-CN" w:eastAsia="zh-CN" w:bidi="ar"/>
        </w:rPr>
        <w:t>保障当年工作正常开展，及时拨付兑现当月公用经费，按时发放工资，充分发挥协调、参谋助手作用。综合能力进一步提升，效能进一步发挥，各项工作有力有序有效推进，整体绩效较好。加强预算资金管理制度建设，不断修订和完善相关财务管理制度，重视财务管理制度的执行与监督，使资金财务管理制度管理有章可循。加强行政单位会计制度和预算法学习培训，规范预算收支管理，严格按进度执行预算，增强预算的约束力和严肃性。</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四、评价结论及建议</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楷体" w:hAnsi="楷体" w:eastAsia="楷体" w:cs="楷体"/>
          <w:b/>
          <w:bCs/>
          <w:color w:val="000000"/>
          <w:kern w:val="0"/>
          <w:sz w:val="32"/>
          <w:szCs w:val="24"/>
          <w:lang w:val="zh-CN" w:eastAsia="zh-CN" w:bidi="ar"/>
        </w:rPr>
      </w:pPr>
      <w:r>
        <w:rPr>
          <w:rFonts w:hint="eastAsia" w:ascii="楷体" w:hAnsi="楷体" w:eastAsia="楷体" w:cs="楷体"/>
          <w:b/>
          <w:bCs/>
          <w:color w:val="000000"/>
          <w:kern w:val="0"/>
          <w:sz w:val="32"/>
          <w:szCs w:val="24"/>
          <w:lang w:val="zh-CN" w:eastAsia="zh-CN" w:bidi="ar"/>
        </w:rPr>
        <w:t>（一）评价结论。</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楷体" w:hAnsi="楷体" w:eastAsia="楷体" w:cs="宋体"/>
          <w:color w:val="000000"/>
          <w:kern w:val="0"/>
          <w:sz w:val="32"/>
          <w:szCs w:val="24"/>
          <w:lang w:val="en-US" w:eastAsia="zh-CN" w:bidi="ar"/>
        </w:rPr>
      </w:pPr>
      <w:r>
        <w:rPr>
          <w:rFonts w:hint="eastAsia" w:ascii="楷体" w:hAnsi="楷体" w:eastAsia="楷体" w:cs="宋体"/>
          <w:color w:val="000000"/>
          <w:kern w:val="0"/>
          <w:sz w:val="32"/>
          <w:szCs w:val="24"/>
          <w:lang w:val="en-US" w:eastAsia="zh-CN" w:bidi="ar"/>
        </w:rPr>
        <w:t>根据《2019年红原县部门支出绩效评价指标体系》评分98分，部门整体支出绩效为“好”。</w:t>
      </w:r>
      <w:bookmarkStart w:id="70" w:name="_GoBack"/>
      <w:bookmarkEnd w:id="70"/>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3" w:firstLineChars="200"/>
        <w:jc w:val="left"/>
        <w:textAlignment w:val="auto"/>
        <w:rPr>
          <w:rFonts w:hint="eastAsia" w:ascii="楷体" w:hAnsi="楷体" w:eastAsia="楷体" w:cs="楷体"/>
          <w:b/>
          <w:bCs/>
          <w:color w:val="000000"/>
          <w:kern w:val="0"/>
          <w:sz w:val="32"/>
          <w:szCs w:val="24"/>
          <w:lang w:val="zh-CN" w:eastAsia="zh-CN" w:bidi="ar"/>
        </w:rPr>
      </w:pPr>
      <w:r>
        <w:rPr>
          <w:rFonts w:hint="eastAsia" w:ascii="楷体" w:hAnsi="楷体" w:eastAsia="楷体" w:cs="楷体"/>
          <w:b/>
          <w:bCs/>
          <w:color w:val="000000"/>
          <w:kern w:val="0"/>
          <w:sz w:val="32"/>
          <w:szCs w:val="24"/>
          <w:lang w:val="zh-CN" w:eastAsia="zh-CN" w:bidi="ar"/>
        </w:rPr>
        <w:t>（二）存在问题。</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楷体" w:hAnsi="楷体" w:eastAsia="楷体" w:cs="宋体"/>
          <w:color w:val="000000"/>
          <w:kern w:val="0"/>
          <w:sz w:val="32"/>
          <w:szCs w:val="24"/>
          <w:lang w:val="en-US" w:eastAsia="zh-CN" w:bidi="ar"/>
        </w:rPr>
      </w:pPr>
      <w:r>
        <w:rPr>
          <w:rFonts w:hint="eastAsia" w:ascii="楷体" w:hAnsi="楷体" w:eastAsia="楷体" w:cs="宋体"/>
          <w:color w:val="000000"/>
          <w:kern w:val="0"/>
          <w:sz w:val="32"/>
          <w:szCs w:val="24"/>
          <w:lang w:val="en-US" w:eastAsia="zh-CN" w:bidi="ar"/>
        </w:rPr>
        <w:t>一是对财务人员的业务指导不够。</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楷体" w:hAnsi="楷体" w:eastAsia="楷体" w:cs="宋体"/>
          <w:color w:val="000000"/>
          <w:kern w:val="0"/>
          <w:sz w:val="32"/>
          <w:szCs w:val="24"/>
          <w:lang w:val="en-US" w:eastAsia="zh-CN" w:bidi="ar"/>
        </w:rPr>
      </w:pPr>
      <w:r>
        <w:rPr>
          <w:rFonts w:hint="eastAsia" w:ascii="楷体" w:hAnsi="楷体" w:eastAsia="楷体" w:cs="宋体"/>
          <w:color w:val="000000"/>
          <w:kern w:val="0"/>
          <w:sz w:val="32"/>
          <w:szCs w:val="24"/>
          <w:lang w:val="en-US" w:eastAsia="zh-CN" w:bidi="ar"/>
        </w:rPr>
        <w:t>二是人员调动所需经费预算不足，导致中途追加预算。</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exact"/>
        <w:ind w:right="0" w:rightChars="0" w:firstLine="643" w:firstLineChars="200"/>
        <w:jc w:val="left"/>
        <w:textAlignment w:val="auto"/>
        <w:rPr>
          <w:rFonts w:hint="eastAsia" w:ascii="楷体" w:hAnsi="楷体" w:eastAsia="楷体" w:cs="楷体"/>
          <w:b/>
          <w:bCs/>
          <w:color w:val="000000"/>
          <w:kern w:val="0"/>
          <w:sz w:val="32"/>
          <w:szCs w:val="24"/>
          <w:lang w:val="zh-CN" w:eastAsia="zh-CN" w:bidi="ar"/>
        </w:rPr>
      </w:pPr>
      <w:r>
        <w:rPr>
          <w:rFonts w:hint="eastAsia" w:ascii="楷体" w:hAnsi="楷体" w:eastAsia="楷体" w:cs="楷体"/>
          <w:b/>
          <w:bCs/>
          <w:color w:val="000000"/>
          <w:kern w:val="0"/>
          <w:sz w:val="32"/>
          <w:szCs w:val="24"/>
          <w:lang w:val="zh-CN" w:eastAsia="zh-CN" w:bidi="ar"/>
        </w:rPr>
        <w:t>（三）改进建议。</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楷体" w:hAnsi="楷体" w:eastAsia="楷体" w:cs="宋体"/>
          <w:color w:val="000000"/>
          <w:kern w:val="0"/>
          <w:sz w:val="32"/>
          <w:szCs w:val="24"/>
          <w:lang w:val="en-US" w:eastAsia="zh-CN" w:bidi="ar"/>
        </w:rPr>
      </w:pPr>
      <w:r>
        <w:rPr>
          <w:rFonts w:hint="eastAsia" w:ascii="楷体" w:hAnsi="楷体" w:eastAsia="楷体" w:cs="宋体"/>
          <w:color w:val="000000"/>
          <w:kern w:val="0"/>
          <w:sz w:val="32"/>
          <w:szCs w:val="24"/>
          <w:lang w:val="en-US" w:eastAsia="zh-CN" w:bidi="ar"/>
        </w:rPr>
        <w:t>一是加大对财务人员的培训，多提供对财务的学习机会。建立长效机制，严格财务管理，加强财务监督，坚持厉行节约，控制“三公经费”支出，严格杜绝现金交易。加强事业单位会计制度的学习。</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楷体" w:hAnsi="楷体" w:eastAsia="楷体" w:cs="宋体"/>
          <w:color w:val="000000"/>
          <w:kern w:val="0"/>
          <w:sz w:val="32"/>
          <w:szCs w:val="24"/>
          <w:lang w:val="en-US" w:eastAsia="zh-CN" w:bidi="ar"/>
        </w:rPr>
      </w:pPr>
      <w:r>
        <w:rPr>
          <w:rFonts w:hint="eastAsia" w:ascii="楷体" w:hAnsi="楷体" w:eastAsia="楷体" w:cs="宋体"/>
          <w:color w:val="000000"/>
          <w:kern w:val="0"/>
          <w:sz w:val="32"/>
          <w:szCs w:val="24"/>
          <w:lang w:val="en-US" w:eastAsia="zh-CN" w:bidi="ar"/>
        </w:rPr>
        <w:t>二是加强管理，增强预算编制的准确性和全面性，提高整体支出绩效成果</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楷体" w:hAnsi="楷体" w:eastAsia="楷体" w:cs="宋体"/>
          <w:color w:val="000000"/>
          <w:kern w:val="0"/>
          <w:sz w:val="32"/>
          <w:szCs w:val="24"/>
          <w:lang w:val="en-US" w:eastAsia="zh-CN" w:bidi="ar"/>
        </w:rPr>
      </w:pP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楷体" w:hAnsi="楷体" w:eastAsia="楷体" w:cs="宋体"/>
          <w:color w:val="000000"/>
          <w:kern w:val="0"/>
          <w:sz w:val="32"/>
          <w:szCs w:val="24"/>
          <w:lang w:val="en-US" w:eastAsia="zh-CN" w:bidi="ar"/>
        </w:rPr>
      </w:pP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right="0" w:firstLine="2200" w:firstLineChars="500"/>
        <w:jc w:val="both"/>
        <w:textAlignment w:val="auto"/>
        <w:rPr>
          <w:rStyle w:val="26"/>
          <w:rFonts w:hint="eastAsia"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五部分 附表</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2824" w:firstLineChars="642"/>
        <w:jc w:val="both"/>
        <w:textAlignment w:val="auto"/>
        <w:rPr>
          <w:rStyle w:val="26"/>
          <w:rFonts w:hint="eastAsia" w:ascii="黑体" w:hAnsi="黑体" w:eastAsia="黑体"/>
          <w:b w:val="0"/>
        </w:rPr>
      </w:pPr>
    </w:p>
    <w:p>
      <w:pPr>
        <w:pStyle w:val="3"/>
        <w:numPr>
          <w:ilvl w:val="0"/>
          <w:numId w:val="10"/>
        </w:numPr>
        <w:rPr>
          <w:rFonts w:hint="eastAsia" w:ascii="仿宋" w:hAnsi="仿宋" w:eastAsia="仿宋"/>
          <w:b w:val="0"/>
          <w:color w:val="000000"/>
        </w:rPr>
      </w:pPr>
      <w:bookmarkStart w:id="58" w:name="_Toc15396620"/>
      <w:r>
        <w:rPr>
          <w:rFonts w:hint="eastAsia" w:ascii="仿宋" w:hAnsi="仿宋" w:eastAsia="仿宋"/>
          <w:b w:val="0"/>
          <w:color w:val="000000"/>
        </w:rPr>
        <w:t>收入支出决算总表</w:t>
      </w:r>
    </w:p>
    <w:p>
      <w:pPr>
        <w:pStyle w:val="3"/>
        <w:numPr>
          <w:ilvl w:val="0"/>
          <w:numId w:val="0"/>
        </w:numPr>
        <w:rPr>
          <w:rFonts w:ascii="仿宋" w:hAnsi="仿宋" w:eastAsia="仿宋"/>
          <w:color w:val="000000"/>
        </w:rPr>
      </w:pPr>
      <w:r>
        <w:rPr>
          <w:rFonts w:hint="eastAsia" w:ascii="仿宋" w:hAnsi="仿宋" w:eastAsia="仿宋"/>
          <w:b w:val="0"/>
          <w:color w:val="000000"/>
        </w:rPr>
        <w:t>二、收</w:t>
      </w:r>
      <w:r>
        <w:rPr>
          <w:rStyle w:val="27"/>
          <w:rFonts w:hint="eastAsia" w:ascii="仿宋" w:hAnsi="仿宋" w:eastAsia="仿宋"/>
          <w:b w:val="0"/>
          <w:bCs w:val="0"/>
        </w:rPr>
        <w:t>入总表</w:t>
      </w:r>
      <w:bookmarkEnd w:id="58"/>
    </w:p>
    <w:p>
      <w:pPr>
        <w:pStyle w:val="3"/>
        <w:rPr>
          <w:rFonts w:ascii="仿宋" w:hAnsi="仿宋" w:eastAsia="仿宋"/>
          <w:color w:val="000000"/>
        </w:rPr>
      </w:pPr>
      <w:bookmarkStart w:id="59"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59"/>
    </w:p>
    <w:p>
      <w:pPr>
        <w:pStyle w:val="3"/>
        <w:rPr>
          <w:rFonts w:ascii="仿宋" w:hAnsi="仿宋" w:eastAsia="仿宋"/>
          <w:b w:val="0"/>
          <w:color w:val="000000"/>
        </w:rPr>
      </w:pPr>
      <w:bookmarkStart w:id="60"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0"/>
    </w:p>
    <w:p>
      <w:pPr>
        <w:pStyle w:val="3"/>
        <w:rPr>
          <w:rFonts w:ascii="仿宋" w:hAnsi="仿宋" w:eastAsia="仿宋"/>
          <w:color w:val="000000"/>
        </w:rPr>
      </w:pPr>
      <w:bookmarkStart w:id="61"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61"/>
    </w:p>
    <w:p>
      <w:pPr>
        <w:pStyle w:val="3"/>
        <w:rPr>
          <w:rFonts w:ascii="仿宋" w:hAnsi="仿宋" w:eastAsia="仿宋"/>
          <w:color w:val="000000"/>
        </w:rPr>
      </w:pPr>
      <w:bookmarkStart w:id="62"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2"/>
    </w:p>
    <w:p>
      <w:pPr>
        <w:pStyle w:val="3"/>
        <w:rPr>
          <w:rFonts w:ascii="仿宋" w:hAnsi="仿宋" w:eastAsia="仿宋"/>
          <w:color w:val="000000"/>
        </w:rPr>
      </w:pPr>
      <w:bookmarkStart w:id="63"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3"/>
    </w:p>
    <w:p>
      <w:pPr>
        <w:pStyle w:val="3"/>
        <w:rPr>
          <w:rFonts w:ascii="仿宋" w:hAnsi="仿宋" w:eastAsia="仿宋"/>
          <w:color w:val="000000"/>
        </w:rPr>
      </w:pPr>
      <w:bookmarkStart w:id="64"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4"/>
    </w:p>
    <w:p>
      <w:pPr>
        <w:pStyle w:val="3"/>
        <w:rPr>
          <w:rFonts w:ascii="仿宋" w:hAnsi="仿宋" w:eastAsia="仿宋"/>
          <w:color w:val="000000"/>
        </w:rPr>
      </w:pPr>
      <w:bookmarkStart w:id="65"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5"/>
    </w:p>
    <w:p>
      <w:pPr>
        <w:pStyle w:val="3"/>
        <w:rPr>
          <w:rFonts w:ascii="仿宋" w:hAnsi="仿宋" w:eastAsia="仿宋"/>
          <w:color w:val="000000"/>
        </w:rPr>
      </w:pPr>
      <w:bookmarkStart w:id="66"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6"/>
    </w:p>
    <w:p>
      <w:pPr>
        <w:pStyle w:val="3"/>
        <w:rPr>
          <w:rFonts w:ascii="仿宋" w:hAnsi="仿宋" w:eastAsia="仿宋"/>
          <w:color w:val="000000"/>
        </w:rPr>
      </w:pPr>
      <w:bookmarkStart w:id="67"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67"/>
    </w:p>
    <w:p>
      <w:pPr>
        <w:pStyle w:val="3"/>
        <w:rPr>
          <w:rFonts w:ascii="仿宋" w:hAnsi="仿宋" w:eastAsia="仿宋"/>
          <w:color w:val="000000"/>
        </w:rPr>
      </w:pPr>
      <w:bookmarkStart w:id="68"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68"/>
    </w:p>
    <w:p>
      <w:pPr>
        <w:pStyle w:val="3"/>
        <w:rPr>
          <w:rFonts w:ascii="仿宋" w:hAnsi="仿宋" w:eastAsia="仿宋"/>
          <w:color w:val="000000" w:themeColor="text1"/>
          <w14:textFill>
            <w14:solidFill>
              <w14:schemeClr w14:val="tx1"/>
            </w14:solidFill>
          </w14:textFill>
        </w:rPr>
      </w:pPr>
      <w:bookmarkStart w:id="69"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69"/>
    </w:p>
    <w:p>
      <w:pPr>
        <w:keepNext w:val="0"/>
        <w:keepLines w:val="0"/>
        <w:pageBreakBefore w:val="0"/>
        <w:widowControl w:val="0"/>
        <w:suppressLineNumbers w:val="0"/>
        <w:kinsoku/>
        <w:wordWrap/>
        <w:overflowPunct/>
        <w:topLinePunct w:val="0"/>
        <w:autoSpaceDE/>
        <w:autoSpaceDN/>
        <w:bidi w:val="0"/>
        <w:spacing w:before="0" w:beforeAutospacing="0" w:after="0" w:afterAutospacing="0" w:line="576" w:lineRule="exact"/>
        <w:ind w:left="0" w:right="0"/>
        <w:jc w:val="both"/>
        <w:textAlignment w:val="auto"/>
        <w:rPr>
          <w:rFonts w:hint="eastAsia" w:ascii="黑体" w:hAnsi="宋体" w:eastAsia="黑体" w:cs="黑体"/>
          <w:sz w:val="30"/>
          <w:szCs w:val="30"/>
          <w:lang w:val="en-US"/>
        </w:rPr>
      </w:pPr>
    </w:p>
    <w:p>
      <w:pPr>
        <w:keepNext w:val="0"/>
        <w:keepLines w:val="0"/>
        <w:pageBreakBefore w:val="0"/>
        <w:widowControl w:val="0"/>
        <w:suppressLineNumbers w:val="0"/>
        <w:kinsoku/>
        <w:wordWrap/>
        <w:overflowPunct/>
        <w:topLinePunct w:val="0"/>
        <w:autoSpaceDE/>
        <w:autoSpaceDN/>
        <w:bidi w:val="0"/>
        <w:spacing w:before="0" w:beforeAutospacing="0" w:after="0" w:afterAutospacing="0" w:line="576" w:lineRule="exact"/>
        <w:ind w:left="0" w:right="0"/>
        <w:jc w:val="both"/>
        <w:textAlignment w:val="auto"/>
        <w:rPr>
          <w:rFonts w:hint="eastAsia" w:ascii="黑体" w:hAnsi="宋体" w:eastAsia="黑体" w:cs="黑体"/>
          <w:sz w:val="30"/>
          <w:szCs w:val="30"/>
          <w:lang w:val="en-US"/>
        </w:rPr>
      </w:pPr>
    </w:p>
    <w:p>
      <w:pPr>
        <w:widowControl/>
        <w:jc w:val="left"/>
        <w:rPr>
          <w:rFonts w:ascii="仿宋" w:hAnsi="仿宋" w:eastAsia="仿宋"/>
          <w:color w:val="000000" w:themeColor="text1"/>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003" w:usb1="288F0000" w:usb2="00000006" w:usb3="00000000" w:csb0="00040001" w:csb1="00000000"/>
  </w:font>
  <w:font w:name="Arial">
    <w:panose1 w:val="020B0604020202020204"/>
    <w:charset w:val="00"/>
    <w:family w:val="auto"/>
    <w:pitch w:val="default"/>
    <w:sig w:usb0="E0002AFF" w:usb1="C0007843" w:usb2="00000009" w:usb3="00000000" w:csb0="400001FF" w:csb1="FFFF0000"/>
  </w:font>
  <w:font w:name="??">
    <w:altName w:val="Times New Roman"/>
    <w:panose1 w:val="00000000000000000000"/>
    <w:charset w:val="00"/>
    <w:family w:val="roman"/>
    <w:pitch w:val="default"/>
    <w:sig w:usb0="00000000" w:usb1="00000000" w:usb2="00000000" w:usb3="00000000" w:csb0="00000001" w:csb1="00000000"/>
  </w:font>
  <w:font w:name="Book Antiqua">
    <w:altName w:val="Segoe Print"/>
    <w:panose1 w:val="02040602050305030304"/>
    <w:charset w:val="00"/>
    <w:family w:val="auto"/>
    <w:pitch w:val="default"/>
    <w:sig w:usb0="00000000" w:usb1="00000000" w:usb2="00000000" w:usb3="00000000" w:csb0="2000009F" w:csb1="DFD70000"/>
  </w:font>
  <w:font w:name="华文中宋">
    <w:altName w:val="宋体"/>
    <w:panose1 w:val="02010600040101010101"/>
    <w:charset w:val="86"/>
    <w:family w:val="auto"/>
    <w:pitch w:val="default"/>
    <w:sig w:usb0="00000000" w:usb1="00000000" w:usb2="00000000" w:usb3="00000000" w:csb0="0004009F" w:csb1="DFD70000"/>
  </w:font>
  <w:font w:name="华文新魏">
    <w:altName w:val="宋体"/>
    <w:panose1 w:val="02010800040101010101"/>
    <w:charset w:val="86"/>
    <w:family w:val="auto"/>
    <w:pitch w:val="default"/>
    <w:sig w:usb0="00000000" w:usb1="0000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03EF21"/>
    <w:multiLevelType w:val="singleLevel"/>
    <w:tmpl w:val="8C03EF21"/>
    <w:lvl w:ilvl="0" w:tentative="0">
      <w:start w:val="1"/>
      <w:numFmt w:val="decimal"/>
      <w:lvlText w:val="%1."/>
      <w:lvlJc w:val="left"/>
      <w:pPr>
        <w:tabs>
          <w:tab w:val="left" w:pos="312"/>
        </w:tabs>
      </w:pPr>
    </w:lvl>
  </w:abstractNum>
  <w:abstractNum w:abstractNumId="1">
    <w:nsid w:val="8E309179"/>
    <w:multiLevelType w:val="singleLevel"/>
    <w:tmpl w:val="8E309179"/>
    <w:lvl w:ilvl="0" w:tentative="0">
      <w:start w:val="1"/>
      <w:numFmt w:val="decimal"/>
      <w:lvlText w:val="%1."/>
      <w:lvlJc w:val="left"/>
      <w:pPr>
        <w:tabs>
          <w:tab w:val="left" w:pos="312"/>
        </w:tabs>
      </w:pPr>
    </w:lvl>
  </w:abstractNum>
  <w:abstractNum w:abstractNumId="2">
    <w:nsid w:val="A5A36B06"/>
    <w:multiLevelType w:val="singleLevel"/>
    <w:tmpl w:val="A5A36B06"/>
    <w:lvl w:ilvl="0" w:tentative="0">
      <w:start w:val="3"/>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6">
    <w:nsid w:val="0D94CAFF"/>
    <w:multiLevelType w:val="singleLevel"/>
    <w:tmpl w:val="0D94CAFF"/>
    <w:lvl w:ilvl="0" w:tentative="0">
      <w:start w:val="1"/>
      <w:numFmt w:val="chineseCounting"/>
      <w:suff w:val="nothing"/>
      <w:lvlText w:val="%1、"/>
      <w:lvlJc w:val="left"/>
      <w:rPr>
        <w:rFonts w:hint="eastAsia"/>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9">
    <w:nsid w:val="5D5382B5"/>
    <w:multiLevelType w:val="singleLevel"/>
    <w:tmpl w:val="5D5382B5"/>
    <w:lvl w:ilvl="0" w:tentative="0">
      <w:start w:val="1"/>
      <w:numFmt w:val="chineseCounting"/>
      <w:suff w:val="nothing"/>
      <w:lvlText w:val="%1、"/>
      <w:lvlJc w:val="left"/>
    </w:lvl>
  </w:abstractNum>
  <w:num w:numId="1">
    <w:abstractNumId w:val="6"/>
  </w:num>
  <w:num w:numId="2">
    <w:abstractNumId w:val="7"/>
  </w:num>
  <w:num w:numId="3">
    <w:abstractNumId w:val="1"/>
  </w:num>
  <w:num w:numId="4">
    <w:abstractNumId w:val="0"/>
  </w:num>
  <w:num w:numId="5">
    <w:abstractNumId w:val="3"/>
  </w:num>
  <w:num w:numId="6">
    <w:abstractNumId w:val="8"/>
  </w:num>
  <w:num w:numId="7">
    <w:abstractNumId w:val="5"/>
  </w:num>
  <w:num w:numId="8">
    <w:abstractNumId w:val="4"/>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05BFB"/>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86247"/>
    <w:rsid w:val="00FA23E8"/>
    <w:rsid w:val="00FD3CC1"/>
    <w:rsid w:val="00FF1E02"/>
    <w:rsid w:val="00FF30B4"/>
    <w:rsid w:val="01341522"/>
    <w:rsid w:val="025B0805"/>
    <w:rsid w:val="02C552AD"/>
    <w:rsid w:val="02E44DFF"/>
    <w:rsid w:val="0461590B"/>
    <w:rsid w:val="04925DB0"/>
    <w:rsid w:val="04AF55DB"/>
    <w:rsid w:val="0534457B"/>
    <w:rsid w:val="05505E1B"/>
    <w:rsid w:val="057C307D"/>
    <w:rsid w:val="0589198A"/>
    <w:rsid w:val="05BE1392"/>
    <w:rsid w:val="064778CC"/>
    <w:rsid w:val="066A7CDC"/>
    <w:rsid w:val="06775E7A"/>
    <w:rsid w:val="068D1989"/>
    <w:rsid w:val="06971D1B"/>
    <w:rsid w:val="06CE5839"/>
    <w:rsid w:val="07706610"/>
    <w:rsid w:val="0858709B"/>
    <w:rsid w:val="0944573D"/>
    <w:rsid w:val="0A8F5081"/>
    <w:rsid w:val="0C3758A1"/>
    <w:rsid w:val="0C3A2178"/>
    <w:rsid w:val="0CFE7857"/>
    <w:rsid w:val="0ED62A80"/>
    <w:rsid w:val="0F344942"/>
    <w:rsid w:val="10063952"/>
    <w:rsid w:val="10C055FF"/>
    <w:rsid w:val="10F529AD"/>
    <w:rsid w:val="114B47DC"/>
    <w:rsid w:val="114D735B"/>
    <w:rsid w:val="11B85769"/>
    <w:rsid w:val="122205FC"/>
    <w:rsid w:val="131661B3"/>
    <w:rsid w:val="13671EF0"/>
    <w:rsid w:val="13B40681"/>
    <w:rsid w:val="13D3698B"/>
    <w:rsid w:val="14701925"/>
    <w:rsid w:val="15E647F0"/>
    <w:rsid w:val="162A01BD"/>
    <w:rsid w:val="165B49A0"/>
    <w:rsid w:val="16BB723D"/>
    <w:rsid w:val="17111A88"/>
    <w:rsid w:val="17D739C5"/>
    <w:rsid w:val="18CB455D"/>
    <w:rsid w:val="195F0741"/>
    <w:rsid w:val="19C01A56"/>
    <w:rsid w:val="1A01541A"/>
    <w:rsid w:val="1A567538"/>
    <w:rsid w:val="1AF66F49"/>
    <w:rsid w:val="1B0C55B2"/>
    <w:rsid w:val="1B4B287D"/>
    <w:rsid w:val="1BC37DB9"/>
    <w:rsid w:val="1BD47C9F"/>
    <w:rsid w:val="1C0B6242"/>
    <w:rsid w:val="1CBB21C5"/>
    <w:rsid w:val="1D1654C5"/>
    <w:rsid w:val="1E0F73FA"/>
    <w:rsid w:val="1E735C22"/>
    <w:rsid w:val="1E867EF9"/>
    <w:rsid w:val="2026250A"/>
    <w:rsid w:val="21D23D4A"/>
    <w:rsid w:val="21F975AD"/>
    <w:rsid w:val="236A11AA"/>
    <w:rsid w:val="23761F19"/>
    <w:rsid w:val="240371BF"/>
    <w:rsid w:val="241878C9"/>
    <w:rsid w:val="244E0250"/>
    <w:rsid w:val="25B46BBD"/>
    <w:rsid w:val="25D22644"/>
    <w:rsid w:val="263E007C"/>
    <w:rsid w:val="27BD2D08"/>
    <w:rsid w:val="288374E4"/>
    <w:rsid w:val="29122B4E"/>
    <w:rsid w:val="29A038DF"/>
    <w:rsid w:val="29F17354"/>
    <w:rsid w:val="29FD04D3"/>
    <w:rsid w:val="2A1639A0"/>
    <w:rsid w:val="2BB81EC1"/>
    <w:rsid w:val="2BBB1B48"/>
    <w:rsid w:val="2BC62EC2"/>
    <w:rsid w:val="2C164335"/>
    <w:rsid w:val="2D2C2E49"/>
    <w:rsid w:val="2D597A25"/>
    <w:rsid w:val="2E171E75"/>
    <w:rsid w:val="2EC61653"/>
    <w:rsid w:val="2F007457"/>
    <w:rsid w:val="2F675102"/>
    <w:rsid w:val="309C048D"/>
    <w:rsid w:val="319F7F4E"/>
    <w:rsid w:val="3293693C"/>
    <w:rsid w:val="34073B8F"/>
    <w:rsid w:val="34D05852"/>
    <w:rsid w:val="34D64B9C"/>
    <w:rsid w:val="35313EE3"/>
    <w:rsid w:val="353D30B5"/>
    <w:rsid w:val="353F62D6"/>
    <w:rsid w:val="354E2CC7"/>
    <w:rsid w:val="35824089"/>
    <w:rsid w:val="367F7F05"/>
    <w:rsid w:val="372B6DFC"/>
    <w:rsid w:val="37960DBF"/>
    <w:rsid w:val="38080931"/>
    <w:rsid w:val="387B29CA"/>
    <w:rsid w:val="38BB63F1"/>
    <w:rsid w:val="39487687"/>
    <w:rsid w:val="3A8306EF"/>
    <w:rsid w:val="3B604011"/>
    <w:rsid w:val="3C9E3D78"/>
    <w:rsid w:val="3D8F34FC"/>
    <w:rsid w:val="3EA0160E"/>
    <w:rsid w:val="3F3E4FCC"/>
    <w:rsid w:val="40415E00"/>
    <w:rsid w:val="41872BBD"/>
    <w:rsid w:val="42562299"/>
    <w:rsid w:val="425E432E"/>
    <w:rsid w:val="42CE75F0"/>
    <w:rsid w:val="434279C2"/>
    <w:rsid w:val="4422796F"/>
    <w:rsid w:val="44FD023E"/>
    <w:rsid w:val="4521712F"/>
    <w:rsid w:val="452F36BF"/>
    <w:rsid w:val="453E098F"/>
    <w:rsid w:val="462B409B"/>
    <w:rsid w:val="467A3E69"/>
    <w:rsid w:val="46971DB7"/>
    <w:rsid w:val="46F73DC1"/>
    <w:rsid w:val="47842B0B"/>
    <w:rsid w:val="49304F8E"/>
    <w:rsid w:val="49E70D32"/>
    <w:rsid w:val="4A9E2777"/>
    <w:rsid w:val="4AD65FC0"/>
    <w:rsid w:val="4AF51745"/>
    <w:rsid w:val="4B255512"/>
    <w:rsid w:val="4BCE6EE2"/>
    <w:rsid w:val="4DCB41D5"/>
    <w:rsid w:val="4F3D3BF3"/>
    <w:rsid w:val="4F695594"/>
    <w:rsid w:val="520F20DE"/>
    <w:rsid w:val="52804E37"/>
    <w:rsid w:val="53B5150C"/>
    <w:rsid w:val="542468E5"/>
    <w:rsid w:val="543C36E7"/>
    <w:rsid w:val="55840135"/>
    <w:rsid w:val="564E09F2"/>
    <w:rsid w:val="572508C5"/>
    <w:rsid w:val="59160C6E"/>
    <w:rsid w:val="5A084504"/>
    <w:rsid w:val="5A7B14D3"/>
    <w:rsid w:val="5B31510B"/>
    <w:rsid w:val="5C2B58A0"/>
    <w:rsid w:val="5ECB40F6"/>
    <w:rsid w:val="5ECD42F7"/>
    <w:rsid w:val="5EEE7C5E"/>
    <w:rsid w:val="5EF27AAD"/>
    <w:rsid w:val="5F18022B"/>
    <w:rsid w:val="5F756986"/>
    <w:rsid w:val="5F9D5144"/>
    <w:rsid w:val="60284DD8"/>
    <w:rsid w:val="614935A1"/>
    <w:rsid w:val="61E74045"/>
    <w:rsid w:val="61F1330D"/>
    <w:rsid w:val="6281131D"/>
    <w:rsid w:val="633647A9"/>
    <w:rsid w:val="635D187B"/>
    <w:rsid w:val="6366249D"/>
    <w:rsid w:val="649927D9"/>
    <w:rsid w:val="649C31C8"/>
    <w:rsid w:val="6604718D"/>
    <w:rsid w:val="66126D0C"/>
    <w:rsid w:val="667E3A7A"/>
    <w:rsid w:val="667F43D2"/>
    <w:rsid w:val="66FC395B"/>
    <w:rsid w:val="67187C0E"/>
    <w:rsid w:val="695E7C74"/>
    <w:rsid w:val="6978042A"/>
    <w:rsid w:val="698E1EE4"/>
    <w:rsid w:val="69932BBD"/>
    <w:rsid w:val="69B7693F"/>
    <w:rsid w:val="6AFC50B8"/>
    <w:rsid w:val="6B2E1644"/>
    <w:rsid w:val="6B7F3207"/>
    <w:rsid w:val="6BA22E10"/>
    <w:rsid w:val="6C28076F"/>
    <w:rsid w:val="6C9F6CEA"/>
    <w:rsid w:val="6D02054C"/>
    <w:rsid w:val="6DDF4580"/>
    <w:rsid w:val="6E564982"/>
    <w:rsid w:val="6E7D22F4"/>
    <w:rsid w:val="6F0F104E"/>
    <w:rsid w:val="6F0F6071"/>
    <w:rsid w:val="70817539"/>
    <w:rsid w:val="718C4D49"/>
    <w:rsid w:val="71DA77BF"/>
    <w:rsid w:val="731C2CA8"/>
    <w:rsid w:val="73EA2C5D"/>
    <w:rsid w:val="73FD1E19"/>
    <w:rsid w:val="75282356"/>
    <w:rsid w:val="75A6733C"/>
    <w:rsid w:val="761B4705"/>
    <w:rsid w:val="76640FE0"/>
    <w:rsid w:val="76916E48"/>
    <w:rsid w:val="76B13189"/>
    <w:rsid w:val="76BF62C2"/>
    <w:rsid w:val="774B6604"/>
    <w:rsid w:val="78BA3A6F"/>
    <w:rsid w:val="79A918DF"/>
    <w:rsid w:val="7AEA2D35"/>
    <w:rsid w:val="7B14278E"/>
    <w:rsid w:val="7B205A10"/>
    <w:rsid w:val="7BBA084A"/>
    <w:rsid w:val="7BFF0FD7"/>
    <w:rsid w:val="7C197D0A"/>
    <w:rsid w:val="7CA81E66"/>
    <w:rsid w:val="7CD5261D"/>
    <w:rsid w:val="7DB146BC"/>
    <w:rsid w:val="7DC309A4"/>
    <w:rsid w:val="7DF924C6"/>
    <w:rsid w:val="7E282EB3"/>
    <w:rsid w:val="7E342662"/>
    <w:rsid w:val="7F007494"/>
    <w:rsid w:val="7F9373C7"/>
    <w:rsid w:val="7FE22A30"/>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7">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9"/>
    <w:unhideWhenUsed/>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4">
    <w:name w:val="Strong"/>
    <w:basedOn w:val="13"/>
    <w:qFormat/>
    <w:uiPriority w:val="99"/>
    <w:rPr>
      <w:b/>
    </w:rPr>
  </w:style>
  <w:style w:type="character" w:styleId="15">
    <w:name w:val="page number"/>
    <w:basedOn w:val="13"/>
    <w:qFormat/>
    <w:uiPriority w:val="0"/>
  </w:style>
  <w:style w:type="character" w:styleId="16">
    <w:name w:val="Hyperlink"/>
    <w:basedOn w:val="13"/>
    <w:unhideWhenUsed/>
    <w:qFormat/>
    <w:uiPriority w:val="99"/>
    <w:rPr>
      <w:color w:val="0000FF" w:themeColor="hyperlink"/>
      <w:u w:val="single"/>
      <w14:textFill>
        <w14:solidFill>
          <w14:schemeClr w14:val="hlink"/>
        </w14:solidFill>
      </w14:textFill>
    </w:rPr>
  </w:style>
  <w:style w:type="character" w:customStyle="1" w:styleId="18">
    <w:name w:val="Header Char"/>
    <w:basedOn w:val="13"/>
    <w:semiHidden/>
    <w:qFormat/>
    <w:uiPriority w:val="99"/>
    <w:rPr>
      <w:rFonts w:ascii="Times New Roman" w:hAnsi="Times New Roman"/>
      <w:sz w:val="18"/>
      <w:szCs w:val="18"/>
    </w:rPr>
  </w:style>
  <w:style w:type="character" w:customStyle="1" w:styleId="19">
    <w:name w:val="页眉 Char"/>
    <w:link w:val="9"/>
    <w:semiHidden/>
    <w:qFormat/>
    <w:locked/>
    <w:uiPriority w:val="99"/>
    <w:rPr>
      <w:sz w:val="18"/>
    </w:rPr>
  </w:style>
  <w:style w:type="character" w:customStyle="1" w:styleId="20">
    <w:name w:val="Footer Char"/>
    <w:basedOn w:val="13"/>
    <w:semiHidden/>
    <w:qFormat/>
    <w:uiPriority w:val="99"/>
    <w:rPr>
      <w:rFonts w:ascii="Times New Roman" w:hAnsi="Times New Roman"/>
      <w:sz w:val="18"/>
      <w:szCs w:val="18"/>
    </w:rPr>
  </w:style>
  <w:style w:type="character" w:customStyle="1" w:styleId="21">
    <w:name w:val="页脚 Char"/>
    <w:link w:val="8"/>
    <w:qFormat/>
    <w:locked/>
    <w:uiPriority w:val="99"/>
    <w:rPr>
      <w:sz w:val="18"/>
    </w:rPr>
  </w:style>
  <w:style w:type="character" w:customStyle="1" w:styleId="22">
    <w:name w:val="Body Text Char"/>
    <w:basedOn w:val="13"/>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5">
    <w:name w:val="List Paragraph"/>
    <w:basedOn w:val="1"/>
    <w:qFormat/>
    <w:uiPriority w:val="34"/>
    <w:pPr>
      <w:ind w:firstLine="420" w:firstLineChars="200"/>
    </w:pPr>
  </w:style>
  <w:style w:type="character" w:customStyle="1" w:styleId="26">
    <w:name w:val="标题 1 Char"/>
    <w:basedOn w:val="13"/>
    <w:link w:val="2"/>
    <w:qFormat/>
    <w:uiPriority w:val="9"/>
    <w:rPr>
      <w:rFonts w:ascii="Times New Roman" w:hAnsi="Times New Roman"/>
      <w:b/>
      <w:bCs/>
      <w:kern w:val="44"/>
      <w:sz w:val="44"/>
      <w:szCs w:val="44"/>
    </w:rPr>
  </w:style>
  <w:style w:type="character" w:customStyle="1" w:styleId="27">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8">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3"/>
    <w:link w:val="7"/>
    <w:semiHidden/>
    <w:qFormat/>
    <w:uiPriority w:val="99"/>
    <w:rPr>
      <w:rFonts w:ascii="Times New Roman" w:hAnsi="Times New Roman"/>
      <w:kern w:val="2"/>
      <w:sz w:val="18"/>
      <w:szCs w:val="18"/>
    </w:rPr>
  </w:style>
  <w:style w:type="character" w:customStyle="1" w:styleId="30">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4" Type="http://schemas.microsoft.com/office/2011/relationships/chartColorStyle" Target="colors6.xml"/><Relationship Id="rId3" Type="http://schemas.microsoft.com/office/2011/relationships/chartStyle" Target="style6.xml"/><Relationship Id="rId2" Type="http://schemas.openxmlformats.org/officeDocument/2006/relationships/themeOverride" Target="../theme/themeOverride3.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2.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4" Type="http://schemas.microsoft.com/office/2011/relationships/chartColorStyle" Target="colors7.xml"/><Relationship Id="rId3" Type="http://schemas.microsoft.com/office/2011/relationships/chartStyle" Target="style7.xml"/><Relationship Id="rId2" Type="http://schemas.openxmlformats.org/officeDocument/2006/relationships/themeOverride" Target="../theme/themeOverride4.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收入（万元）</c:v>
                </c:pt>
              </c:strCache>
            </c:strRef>
          </c:tx>
          <c:spPr>
            <a:solidFill>
              <a:schemeClr val="accent1"/>
            </a:solidFill>
            <a:ln>
              <a:noFill/>
            </a:ln>
            <a:effectLst/>
          </c:spPr>
          <c:invertIfNegative val="0"/>
          <c:dLbls>
            <c:delete val="1"/>
          </c:dLbls>
          <c:cat>
            <c:strRef>
              <c:f>Sheet1!$A$2:$A$5</c:f>
              <c:strCache>
                <c:ptCount val="4"/>
                <c:pt idx="0">
                  <c:v>2017年</c:v>
                </c:pt>
                <c:pt idx="1">
                  <c:v>2018年</c:v>
                </c:pt>
              </c:strCache>
            </c:strRef>
          </c:cat>
          <c:val>
            <c:numRef>
              <c:f>Sheet1!$B$2:$B$5</c:f>
              <c:numCache>
                <c:formatCode>General</c:formatCode>
                <c:ptCount val="4"/>
                <c:pt idx="0">
                  <c:v>124</c:v>
                </c:pt>
                <c:pt idx="1">
                  <c:v>144.98</c:v>
                </c:pt>
              </c:numCache>
            </c:numRef>
          </c:val>
        </c:ser>
        <c:ser>
          <c:idx val="1"/>
          <c:order val="1"/>
          <c:tx>
            <c:strRef>
              <c:f>Sheet1!$C$1</c:f>
              <c:strCache>
                <c:ptCount val="1"/>
                <c:pt idx="0">
                  <c:v>支出（万元）</c:v>
                </c:pt>
              </c:strCache>
            </c:strRef>
          </c:tx>
          <c:spPr>
            <a:solidFill>
              <a:schemeClr val="accent2"/>
            </a:solidFill>
            <a:ln>
              <a:noFill/>
            </a:ln>
            <a:effectLst/>
          </c:spPr>
          <c:invertIfNegative val="0"/>
          <c:dLbls>
            <c:delete val="1"/>
          </c:dLbls>
          <c:cat>
            <c:strRef>
              <c:f>Sheet1!$A$2:$A$5</c:f>
              <c:strCache>
                <c:ptCount val="4"/>
                <c:pt idx="0">
                  <c:v>2017年</c:v>
                </c:pt>
                <c:pt idx="1">
                  <c:v>2018年</c:v>
                </c:pt>
              </c:strCache>
            </c:strRef>
          </c:cat>
          <c:val>
            <c:numRef>
              <c:f>Sheet1!$C$2:$C$5</c:f>
              <c:numCache>
                <c:formatCode>General</c:formatCode>
                <c:ptCount val="4"/>
                <c:pt idx="0">
                  <c:v>124.23</c:v>
                </c:pt>
                <c:pt idx="1">
                  <c:v>144.98</c:v>
                </c:pt>
              </c:numCache>
            </c:numRef>
          </c:val>
        </c:ser>
        <c:dLbls>
          <c:showLegendKey val="0"/>
          <c:showVal val="0"/>
          <c:showCatName val="0"/>
          <c:showSerName val="0"/>
          <c:showPercent val="0"/>
          <c:showBubbleSize val="0"/>
        </c:dLbls>
        <c:gapWidth val="219"/>
        <c:overlap val="-27"/>
        <c:axId val="788337572"/>
        <c:axId val="761754688"/>
      </c:barChart>
      <c:catAx>
        <c:axId val="78833757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1754688"/>
        <c:crosses val="autoZero"/>
        <c:auto val="1"/>
        <c:lblAlgn val="ctr"/>
        <c:lblOffset val="100"/>
        <c:noMultiLvlLbl val="0"/>
      </c:catAx>
      <c:valAx>
        <c:axId val="761754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833757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rgbClr val="3A6D70"/>
                </a:solidFill>
                <a:latin typeface="微软雅黑" panose="020B0503020204020204" charset="-122"/>
                <a:ea typeface="微软雅黑" panose="020B0503020204020204" charset="-122"/>
                <a:cs typeface="+mn-cs"/>
              </a:defRPr>
            </a:pPr>
            <a:r>
              <a:rPr lang="en-US" altLang="zh-CN"/>
              <a:t>2017</a:t>
            </a:r>
            <a:r>
              <a:rPr altLang="en-US"/>
              <a:t>年</a:t>
            </a:r>
            <a:r>
              <a:rPr lang="en-US" altLang="zh-CN"/>
              <a:t>-2018</a:t>
            </a:r>
            <a:r>
              <a:rPr altLang="en-US"/>
              <a:t>年</a:t>
            </a:r>
            <a:r>
              <a:t>收入决算</a:t>
            </a:r>
          </a:p>
        </c:rich>
      </c:tx>
      <c:layout/>
      <c:overlay val="0"/>
      <c:spPr>
        <a:noFill/>
        <a:ln>
          <a:noFill/>
        </a:ln>
        <a:effectLst/>
      </c:spPr>
    </c:title>
    <c:autoTitleDeleted val="0"/>
    <c:plotArea>
      <c:layout>
        <c:manualLayout>
          <c:layoutTarget val="inner"/>
          <c:xMode val="edge"/>
          <c:yMode val="edge"/>
          <c:x val="0.295332708740591"/>
          <c:y val="0.178610753655793"/>
          <c:w val="0.426443689574079"/>
          <c:h val="0.71973539140022"/>
        </c:manualLayout>
      </c:layout>
      <c:pieChart>
        <c:varyColors val="1"/>
        <c:ser>
          <c:idx val="0"/>
          <c:order val="0"/>
          <c:tx>
            <c:strRef>
              <c:f>Sheet1!$B$1</c:f>
              <c:strCache>
                <c:ptCount val="1"/>
                <c:pt idx="0">
                  <c:v>收入（万元）</c:v>
                </c:pt>
              </c:strCache>
            </c:strRef>
          </c:tx>
          <c:spPr>
            <a:solidFill>
              <a:srgbClr val="DFAD58"/>
            </a:solidFill>
            <a:effectLst/>
          </c:spPr>
          <c:explosion val="0"/>
          <c:dPt>
            <c:idx val="0"/>
            <c:bubble3D val="0"/>
            <c:spPr>
              <a:solidFill>
                <a:srgbClr val="3A6D70"/>
              </a:solidFill>
              <a:ln>
                <a:noFill/>
              </a:ln>
              <a:effectLst/>
            </c:spPr>
          </c:dPt>
          <c:dPt>
            <c:idx val="1"/>
            <c:bubble3D val="0"/>
            <c:spPr>
              <a:solidFill>
                <a:srgbClr val="DFAD58"/>
              </a:solidFill>
              <a:ln>
                <a:noFill/>
              </a:ln>
              <a:effectLst/>
            </c:spPr>
          </c:dPt>
          <c:dPt>
            <c:idx val="2"/>
            <c:bubble3D val="0"/>
            <c:spPr>
              <a:solidFill>
                <a:srgbClr val="DFAD58"/>
              </a:solidFill>
              <a:ln>
                <a:noFill/>
              </a:ln>
              <a:effectLst/>
            </c:spPr>
          </c:dPt>
          <c:dPt>
            <c:idx val="3"/>
            <c:bubble3D val="0"/>
            <c:spPr>
              <a:solidFill>
                <a:srgbClr val="DFAD58"/>
              </a:solidFill>
              <a:ln>
                <a:noFill/>
              </a:ln>
              <a:effectLst/>
            </c:spPr>
          </c:dPt>
          <c:dLbls>
            <c:dLbl>
              <c:idx val="0"/>
              <c:layout>
                <c:manualLayout>
                  <c:x val="0.280759532807892"/>
                  <c:y val="0.048516273710668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mn-cs"/>
                  </a:defRPr>
                </a:pPr>
              </a:p>
            </c:txPr>
            <c:dLblPos val="ctr"/>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国有资本经营预算财政拨款收入</c:v>
                </c:pt>
                <c:pt idx="3">
                  <c:v>事业收入</c:v>
                </c:pt>
              </c:strCache>
            </c:strRef>
          </c:cat>
          <c:val>
            <c:numRef>
              <c:f>Sheet1!$B$2:$B$5</c:f>
              <c:numCache>
                <c:formatCode>General</c:formatCode>
                <c:ptCount val="4"/>
                <c:pt idx="0">
                  <c:v>144.98</c:v>
                </c:pt>
                <c:pt idx="1">
                  <c:v>0</c:v>
                </c:pt>
                <c:pt idx="2">
                  <c:v>0</c:v>
                </c:pt>
                <c:pt idx="3">
                  <c:v>0</c:v>
                </c:pt>
              </c:numCache>
            </c:numRef>
          </c:val>
        </c:ser>
        <c:ser>
          <c:idx val="1"/>
          <c:order val="1"/>
          <c:tx>
            <c:strRef>
              <c:f>Sheet1!$C$1</c:f>
              <c:strCache>
                <c:ptCount val="1"/>
                <c:pt idx="0">
                  <c:v/>
                </c:pt>
              </c:strCache>
            </c:strRef>
          </c:tx>
          <c:spPr/>
          <c:explosion val="0"/>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国有资本经营预算财政拨款收入</c:v>
                </c:pt>
                <c:pt idx="3">
                  <c:v>事业收入</c:v>
                </c:pt>
              </c:strCache>
            </c:strRef>
          </c:cat>
          <c:val>
            <c:numRef>
              <c:f>Sheet1!$C$2:$C$5</c:f>
              <c:numCache>
                <c:formatCode>General</c:formatCode>
                <c:ptCount val="4"/>
              </c:numCache>
            </c:numRef>
          </c:val>
        </c:ser>
        <c:ser>
          <c:idx val="2"/>
          <c:order val="2"/>
          <c:tx>
            <c:strRef>
              <c:f>Sheet1!$D$1</c:f>
              <c:strCache>
                <c:ptCount val="1"/>
                <c:pt idx="0">
                  <c:v/>
                </c:pt>
              </c:strCache>
            </c:strRef>
          </c:tx>
          <c:spPr/>
          <c:explosion val="0"/>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国有资本经营预算财政拨款收入</c:v>
                </c:pt>
                <c:pt idx="3">
                  <c:v>事业收入</c:v>
                </c:pt>
              </c:strCache>
            </c:strRef>
          </c:cat>
          <c:val>
            <c:numRef>
              <c:f>Sheet1!$D$2:$D$5</c:f>
              <c:numCache>
                <c:formatCode>General</c:formatCode>
                <c:ptCount val="4"/>
              </c:numCache>
            </c:numRef>
          </c:val>
        </c:ser>
        <c:dLbls>
          <c:showLegendKey val="0"/>
          <c:showVal val="0"/>
          <c:showCatName val="0"/>
          <c:showSerName val="0"/>
          <c:showPercent val="1"/>
          <c:showBubbleSize val="0"/>
          <c:showLeaderLines val="0"/>
        </c:dLbls>
        <c:firstSliceAng val="94"/>
      </c:pieChart>
      <c:spPr>
        <a:noFill/>
        <a:ln>
          <a:noFill/>
        </a:ln>
        <a:effectLst/>
      </c:spPr>
    </c:plotArea>
    <c:legend>
      <c:legendPos val="r"/>
      <c:legendEntry>
        <c:idx val="0"/>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Entry>
      <c:legendEntry>
        <c:idx val="1"/>
        <c:delete val="1"/>
      </c:legendEntry>
      <c:legendEntry>
        <c:idx val="2"/>
        <c:delete val="1"/>
      </c:legendEntry>
      <c:legendEntry>
        <c:idx val="3"/>
        <c:delete val="1"/>
      </c:legendEntry>
      <c:layout>
        <c:manualLayout>
          <c:xMode val="edge"/>
          <c:yMode val="edge"/>
          <c:x val="0.071875"/>
          <c:y val="0.846"/>
          <c:w val="0.825125"/>
          <c:h val="0.149"/>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
    <c:plotVisOnly val="1"/>
    <c:dispBlanksAs val="gap"/>
    <c:showDLblsOverMax val="0"/>
  </c:chart>
  <c:spPr>
    <a:solidFill>
      <a:srgbClr val="EBF1EC"/>
    </a:solidFill>
    <a:ln w="9525" cap="flat" cmpd="sng" algn="ctr">
      <a:solidFill>
        <a:schemeClr val="bg1">
          <a:lumMod val="95000"/>
        </a:schemeClr>
      </a:solidFill>
      <a:round/>
    </a:ln>
    <a:effectLst/>
  </c:spPr>
  <c:txPr>
    <a:bodyPr/>
    <a:lstStyle/>
    <a:p>
      <a:pPr>
        <a:defRPr lang="zh-CN" b="0">
          <a:solidFill>
            <a:schemeClr val="tx2">
              <a:lumMod val="60000"/>
              <a:lumOff val="40000"/>
            </a:schemeClr>
          </a:solidFill>
          <a:latin typeface="微软雅黑" panose="020B0503020204020204" charset="-122"/>
          <a:ea typeface="微软雅黑" panose="020B0503020204020204"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9463107870434"/>
          <c:y val="0.196869466956484"/>
          <c:w val="0.43336817350405"/>
          <c:h val="0.731261022927689"/>
        </c:manualLayout>
      </c:layout>
      <c:pieChart>
        <c:varyColors val="1"/>
        <c:ser>
          <c:idx val="1"/>
          <c:order val="0"/>
          <c:tx>
            <c:strRef>
              <c:f>Sheet1!$B$1</c:f>
              <c:strCache>
                <c:ptCount val="1"/>
                <c:pt idx="0">
                  <c:v>支出（万元）</c:v>
                </c:pt>
              </c:strCache>
            </c:strRef>
          </c:tx>
          <c:spPr>
            <a:solidFill>
              <a:srgbClr val="F79646"/>
            </a:solidFill>
            <a:effectLst/>
          </c:spPr>
          <c:explosion val="0"/>
          <c:dPt>
            <c:idx val="0"/>
            <c:bubble3D val="0"/>
            <c:spPr>
              <a:solidFill>
                <a:srgbClr val="F79646"/>
              </a:solidFill>
              <a:ln>
                <a:noFill/>
              </a:ln>
              <a:effectLst/>
            </c:spPr>
          </c:dPt>
          <c:dPt>
            <c:idx val="1"/>
            <c:bubble3D val="0"/>
            <c:spPr>
              <a:solidFill>
                <a:srgbClr val="F79646"/>
              </a:solidFill>
              <a:ln>
                <a:noFill/>
              </a:ln>
              <a:effectLst/>
            </c:spPr>
          </c:dPt>
          <c:dPt>
            <c:idx val="2"/>
            <c:bubble3D val="0"/>
            <c:spPr>
              <a:solidFill>
                <a:srgbClr val="F79646"/>
              </a:solidFill>
              <a:ln>
                <a:noFill/>
              </a:ln>
              <a:effectLst/>
            </c:spPr>
          </c:dPt>
          <c:dPt>
            <c:idx val="3"/>
            <c:bubble3D val="0"/>
            <c:spPr>
              <a:solidFill>
                <a:srgbClr val="F79646"/>
              </a:solidFill>
              <a:ln>
                <a:noFill/>
              </a:ln>
              <a:effectLst/>
            </c:spPr>
          </c:dPt>
          <c:dLbls>
            <c:dLbl>
              <c:idx val="0"/>
              <c:layout>
                <c:manualLayout>
                  <c:x val="0.132126010097174"/>
                  <c:y val="0.270351908846091"/>
                </c:manualLayout>
              </c:layout>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mn-cs"/>
                  </a:defRPr>
                </a:pPr>
              </a:p>
            </c:txPr>
            <c:dLblPos val="inEnd"/>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strCache>
            </c:strRef>
          </c:cat>
          <c:val>
            <c:numRef>
              <c:f>Sheet1!$B$2:$B$5</c:f>
              <c:numCache>
                <c:formatCode>General</c:formatCode>
                <c:ptCount val="4"/>
                <c:pt idx="0">
                  <c:v>144.98</c:v>
                </c:pt>
              </c:numCache>
            </c:numRef>
          </c:val>
        </c:ser>
        <c:ser>
          <c:idx val="0"/>
          <c:order val="1"/>
          <c:tx>
            <c:strRef>
              <c:f>Sheet1!$C$1</c:f>
              <c:strCache>
                <c:ptCount val="1"/>
                <c:pt idx="0">
                  <c:v/>
                </c:pt>
              </c:strCache>
            </c:strRef>
          </c:tx>
          <c:spPr/>
          <c:explosion val="0"/>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6E85A2"/>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strCache>
            </c:strRef>
          </c:cat>
          <c:val>
            <c:numRef>
              <c:f>Sheet1!$C$2:$C$5</c:f>
              <c:numCache>
                <c:formatCode>General</c:formatCode>
                <c:ptCount val="4"/>
              </c:numCache>
            </c:numRef>
          </c:val>
        </c:ser>
        <c:ser>
          <c:idx val="2"/>
          <c:order val="2"/>
          <c:tx>
            <c:strRef>
              <c:f>Sheet1!$D$1</c:f>
              <c:strCache>
                <c:ptCount val="1"/>
                <c:pt idx="0">
                  <c:v/>
                </c:pt>
              </c:strCache>
            </c:strRef>
          </c:tx>
          <c:spPr/>
          <c:explosion val="0"/>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Pt>
            <c:idx val="3"/>
            <c:bubble3D val="0"/>
            <c:spPr>
              <a:solidFill>
                <a:schemeClr val="accent4"/>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6E85A2"/>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strCache>
            </c:strRef>
          </c:cat>
          <c:val>
            <c:numRef>
              <c:f>Sheet1!$D$2:$D$5</c:f>
              <c:numCache>
                <c:formatCode>General</c:formatCode>
                <c:ptCount val="4"/>
              </c:numCache>
            </c:numRef>
          </c:val>
        </c:ser>
        <c:dLbls>
          <c:showLegendKey val="0"/>
          <c:showVal val="0"/>
          <c:showCatName val="0"/>
          <c:showSerName val="0"/>
          <c:showPercent val="1"/>
          <c:showBubbleSize val="0"/>
          <c:showLeaderLines val="0"/>
        </c:dLbls>
        <c:firstSliceAng val="152"/>
      </c:pieChart>
      <c:spPr>
        <a:noFill/>
        <a:ln>
          <a:noFill/>
        </a:ln>
        <a:effectLst/>
      </c:spPr>
    </c:plotArea>
    <c:legend>
      <c:legendPos val="r"/>
      <c:legendEntry>
        <c:idx val="1"/>
        <c:delete val="1"/>
      </c:legendEntry>
      <c:legendEntry>
        <c:idx val="2"/>
        <c:delete val="1"/>
      </c:legendEntry>
      <c:legendEntry>
        <c:idx val="3"/>
        <c:delete val="1"/>
      </c:legendEntry>
      <c:layout>
        <c:manualLayout>
          <c:xMode val="edge"/>
          <c:yMode val="edge"/>
          <c:x val="0.3975"/>
          <c:y val="0.897833333333333"/>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rgbClr val="6E85A2"/>
              </a:solidFill>
              <a:latin typeface="微软雅黑" panose="020B0503020204020204" charset="-122"/>
              <a:ea typeface="微软雅黑" panose="020B0503020204020204" charset="-122"/>
              <a:cs typeface="+mn-cs"/>
            </a:defRPr>
          </a:pPr>
        </a:p>
      </c:txPr>
    </c:legend>
    <c:plotVisOnly val="1"/>
    <c:dispBlanksAs val="gap"/>
    <c:showDLblsOverMax val="0"/>
  </c:chart>
  <c:spPr>
    <a:solidFill>
      <a:schemeClr val="bg1"/>
    </a:solidFill>
    <a:ln w="9525" cap="flat" cmpd="sng" algn="ctr">
      <a:solidFill>
        <a:schemeClr val="bg1">
          <a:lumMod val="85000"/>
        </a:schemeClr>
      </a:solidFill>
      <a:round/>
    </a:ln>
    <a:effectLst/>
  </c:spPr>
  <c:txPr>
    <a:bodyPr/>
    <a:lstStyle/>
    <a:p>
      <a:pPr>
        <a:defRPr lang="zh-CN" b="0">
          <a:solidFill>
            <a:srgbClr val="6E85A2"/>
          </a:solidFill>
          <a:latin typeface="微软雅黑" panose="020B0503020204020204" charset="-122"/>
          <a:ea typeface="微软雅黑" panose="020B0503020204020204"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收入（万元）</c:v>
                </c:pt>
              </c:strCache>
            </c:strRef>
          </c:tx>
          <c:spPr>
            <a:solidFill>
              <a:schemeClr val="accent1"/>
            </a:solidFill>
            <a:ln>
              <a:noFill/>
            </a:ln>
            <a:effectLst/>
          </c:spPr>
          <c:invertIfNegative val="0"/>
          <c:dLbls>
            <c:delete val="1"/>
          </c:dLbls>
          <c:cat>
            <c:strRef>
              <c:f>Sheet1!$A$2:$A$5</c:f>
              <c:strCache>
                <c:ptCount val="4"/>
                <c:pt idx="0">
                  <c:v>2017年</c:v>
                </c:pt>
                <c:pt idx="1">
                  <c:v>2018年</c:v>
                </c:pt>
              </c:strCache>
            </c:strRef>
          </c:cat>
          <c:val>
            <c:numRef>
              <c:f>Sheet1!$B$2:$B$5</c:f>
              <c:numCache>
                <c:formatCode>General</c:formatCode>
                <c:ptCount val="4"/>
                <c:pt idx="0">
                  <c:v>124</c:v>
                </c:pt>
                <c:pt idx="1">
                  <c:v>144.98</c:v>
                </c:pt>
              </c:numCache>
            </c:numRef>
          </c:val>
        </c:ser>
        <c:ser>
          <c:idx val="1"/>
          <c:order val="1"/>
          <c:tx>
            <c:strRef>
              <c:f>Sheet1!$C$1</c:f>
              <c:strCache>
                <c:ptCount val="1"/>
                <c:pt idx="0">
                  <c:v>支出(万元）</c:v>
                </c:pt>
              </c:strCache>
            </c:strRef>
          </c:tx>
          <c:spPr>
            <a:solidFill>
              <a:schemeClr val="accent2"/>
            </a:solidFill>
            <a:ln>
              <a:noFill/>
            </a:ln>
            <a:effectLst/>
          </c:spPr>
          <c:invertIfNegative val="0"/>
          <c:dLbls>
            <c:delete val="1"/>
          </c:dLbls>
          <c:cat>
            <c:strRef>
              <c:f>Sheet1!$A$2:$A$5</c:f>
              <c:strCache>
                <c:ptCount val="4"/>
                <c:pt idx="0">
                  <c:v>2017年</c:v>
                </c:pt>
                <c:pt idx="1">
                  <c:v>2018年</c:v>
                </c:pt>
              </c:strCache>
            </c:strRef>
          </c:cat>
          <c:val>
            <c:numRef>
              <c:f>Sheet1!$C$2:$C$5</c:f>
              <c:numCache>
                <c:formatCode>General</c:formatCode>
                <c:ptCount val="4"/>
                <c:pt idx="0">
                  <c:v>124.25</c:v>
                </c:pt>
                <c:pt idx="1">
                  <c:v>144.98</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2017年</c:v>
                </c:pt>
                <c:pt idx="1">
                  <c:v>2018年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910361910"/>
        <c:axId val="786475158"/>
      </c:barChart>
      <c:catAx>
        <c:axId val="91036191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6475158"/>
        <c:crosses val="autoZero"/>
        <c:auto val="1"/>
        <c:lblAlgn val="ctr"/>
        <c:lblOffset val="100"/>
        <c:noMultiLvlLbl val="0"/>
      </c:catAx>
      <c:valAx>
        <c:axId val="78647515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036191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支出（万元）</c:v>
                </c:pt>
              </c:strCache>
            </c:strRef>
          </c:tx>
          <c:spPr>
            <a:solidFill>
              <a:schemeClr val="accent1"/>
            </a:solidFill>
            <a:ln>
              <a:noFill/>
            </a:ln>
            <a:effectLst/>
          </c:spPr>
          <c:invertIfNegative val="0"/>
          <c:dLbls>
            <c:delete val="1"/>
          </c:dLbls>
          <c:cat>
            <c:strRef>
              <c:f>Sheet1!$A$2:$A$5</c:f>
              <c:strCache>
                <c:ptCount val="4"/>
                <c:pt idx="0">
                  <c:v>2017年</c:v>
                </c:pt>
                <c:pt idx="1">
                  <c:v>2018年</c:v>
                </c:pt>
              </c:strCache>
            </c:strRef>
          </c:cat>
          <c:val>
            <c:numRef>
              <c:f>Sheet1!$B$2:$B$5</c:f>
              <c:numCache>
                <c:formatCode>General</c:formatCode>
                <c:ptCount val="4"/>
                <c:pt idx="0">
                  <c:v>124.25</c:v>
                </c:pt>
                <c:pt idx="1">
                  <c:v>144.98</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2017年</c:v>
                </c:pt>
                <c:pt idx="1">
                  <c:v>2018年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2017年</c:v>
                </c:pt>
                <c:pt idx="1">
                  <c:v>2018年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773303959"/>
        <c:axId val="308363356"/>
      </c:barChart>
      <c:catAx>
        <c:axId val="77330395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8363356"/>
        <c:crosses val="autoZero"/>
        <c:auto val="1"/>
        <c:lblAlgn val="ctr"/>
        <c:lblOffset val="100"/>
        <c:noMultiLvlLbl val="0"/>
      </c:catAx>
      <c:valAx>
        <c:axId val="3083633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3303959"/>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rgbClr val="3A6D70"/>
                </a:solidFill>
                <a:latin typeface="微软雅黑" panose="020B0503020204020204" charset="-122"/>
                <a:ea typeface="微软雅黑" panose="020B0503020204020204" charset="-122"/>
                <a:cs typeface="+mn-cs"/>
              </a:defRPr>
            </a:pPr>
            <a:r>
              <a:t>一般公共预算财款拨款支出</a:t>
            </a:r>
          </a:p>
        </c:rich>
      </c:tx>
      <c:layout/>
      <c:overlay val="0"/>
      <c:spPr>
        <a:noFill/>
        <a:ln>
          <a:noFill/>
        </a:ln>
        <a:effectLst/>
      </c:spPr>
    </c:title>
    <c:autoTitleDeleted val="0"/>
    <c:plotArea>
      <c:layout>
        <c:manualLayout>
          <c:layoutTarget val="inner"/>
          <c:xMode val="edge"/>
          <c:yMode val="edge"/>
          <c:x val="0.295332708740591"/>
          <c:y val="0.178610753655793"/>
          <c:w val="0.426443689574079"/>
          <c:h val="0.71973539140022"/>
        </c:manualLayout>
      </c:layout>
      <c:pieChart>
        <c:varyColors val="1"/>
        <c:ser>
          <c:idx val="0"/>
          <c:order val="0"/>
          <c:tx>
            <c:strRef>
              <c:f>Sheet1!$B$1</c:f>
              <c:strCache>
                <c:ptCount val="1"/>
                <c:pt idx="0">
                  <c:v>支出（万元）</c:v>
                </c:pt>
              </c:strCache>
            </c:strRef>
          </c:tx>
          <c:spPr>
            <a:solidFill>
              <a:srgbClr val="DFAD58"/>
            </a:solidFill>
            <a:effectLst/>
          </c:spPr>
          <c:explosion val="0"/>
          <c:dPt>
            <c:idx val="0"/>
            <c:bubble3D val="0"/>
            <c:spPr>
              <a:solidFill>
                <a:srgbClr val="4BACC6">
                  <a:lumMod val="60000"/>
                  <a:lumOff val="40000"/>
                </a:srgbClr>
              </a:solidFill>
              <a:ln>
                <a:noFill/>
              </a:ln>
              <a:effectLst/>
            </c:spPr>
          </c:dPt>
          <c:dPt>
            <c:idx val="1"/>
            <c:bubble3D val="0"/>
            <c:spPr>
              <a:solidFill>
                <a:srgbClr val="DFAD58"/>
              </a:solidFill>
              <a:ln>
                <a:noFill/>
              </a:ln>
              <a:effectLst/>
            </c:spPr>
          </c:dPt>
          <c:dPt>
            <c:idx val="2"/>
            <c:bubble3D val="0"/>
            <c:spPr>
              <a:solidFill>
                <a:srgbClr val="C0504D">
                  <a:lumMod val="60000"/>
                  <a:lumOff val="40000"/>
                </a:srgbClr>
              </a:solidFill>
              <a:ln>
                <a:noFill/>
              </a:ln>
              <a:effectLst/>
            </c:spPr>
          </c:dPt>
          <c:dPt>
            <c:idx val="3"/>
            <c:bubble3D val="0"/>
            <c:spPr>
              <a:solidFill>
                <a:srgbClr val="DFAD58"/>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mn-cs"/>
                  </a:defRPr>
                </a:pPr>
              </a:p>
            </c:txPr>
            <c:dLblPos val="ctr"/>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社会保障和就业（类）支出</c:v>
                </c:pt>
                <c:pt idx="1">
                  <c:v>医疗卫生支出</c:v>
                </c:pt>
                <c:pt idx="2">
                  <c:v>住房保障支出</c:v>
                </c:pt>
              </c:strCache>
            </c:strRef>
          </c:cat>
          <c:val>
            <c:numRef>
              <c:f>Sheet1!$B$2:$B$5</c:f>
              <c:numCache>
                <c:formatCode>General</c:formatCode>
                <c:ptCount val="4"/>
                <c:pt idx="0">
                  <c:v>129.64</c:v>
                </c:pt>
                <c:pt idx="1">
                  <c:v>5.97</c:v>
                </c:pt>
                <c:pt idx="2">
                  <c:v>9.37</c:v>
                </c:pt>
              </c:numCache>
            </c:numRef>
          </c:val>
        </c:ser>
        <c:ser>
          <c:idx val="1"/>
          <c:order val="1"/>
          <c:tx>
            <c:strRef>
              <c:f>Sheet1!#REF!</c:f>
              <c:strCache>
                <c:ptCount val="1"/>
                <c:pt idx="0">
                  <c:v/>
                </c:pt>
              </c:strCache>
            </c:strRef>
          </c:tx>
          <c:spPr/>
          <c:explosion val="0"/>
          <c:dPt>
            <c:idx val="0"/>
            <c:bubble3D val="0"/>
            <c:spPr>
              <a:solidFill>
                <a:schemeClr val="accent1"/>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社会保障和就业（类）支出</c:v>
                </c:pt>
                <c:pt idx="1">
                  <c:v>医疗卫生支出</c:v>
                </c:pt>
                <c:pt idx="2">
                  <c:v>住房保障支出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c:explosion val="0"/>
          <c:dPt>
            <c:idx val="0"/>
            <c:bubble3D val="0"/>
            <c:spPr>
              <a:solidFill>
                <a:schemeClr val="accent1"/>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社会保障和就业（类）支出</c:v>
                </c:pt>
                <c:pt idx="1">
                  <c:v>医疗卫生支出</c:v>
                </c:pt>
                <c:pt idx="2">
                  <c:v>住房保障支出</c:v>
                </c:pt>
              </c:strCache>
            </c:strRef>
          </c:cat>
          <c:val>
            <c:numRef>
              <c:f>Sheet1!#REF!</c:f>
              <c:numCache>
                <c:formatCode>General</c:formatCode>
                <c:ptCount val="1"/>
                <c:pt idx="0">
                  <c:v>1</c:v>
                </c:pt>
              </c:numCache>
            </c:numRef>
          </c:val>
        </c:ser>
        <c:dLbls>
          <c:showLegendKey val="0"/>
          <c:showVal val="0"/>
          <c:showCatName val="0"/>
          <c:showSerName val="0"/>
          <c:showPercent val="1"/>
          <c:showBubbleSize val="0"/>
          <c:showLeaderLines val="0"/>
        </c:dLbls>
        <c:firstSliceAng val="94"/>
      </c:pieChart>
      <c:spPr>
        <a:noFill/>
        <a:ln>
          <a:noFill/>
        </a:ln>
        <a:effectLst/>
      </c:spPr>
    </c:plotArea>
    <c:legend>
      <c:legendPos val="r"/>
      <c:legendEntry>
        <c:idx val="0"/>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Entry>
      <c:legendEntry>
        <c:idx val="1"/>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Entry>
      <c:legendEntry>
        <c:idx val="3"/>
        <c:delete val="1"/>
      </c:legendEntry>
      <c:layout>
        <c:manualLayout>
          <c:xMode val="edge"/>
          <c:yMode val="edge"/>
          <c:x val="0.1345"/>
          <c:y val="0.872833333333333"/>
          <c:w val="0.792875"/>
          <c:h val="0.122166666666667"/>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
    <c:plotVisOnly val="1"/>
    <c:dispBlanksAs val="gap"/>
    <c:showDLblsOverMax val="0"/>
  </c:chart>
  <c:spPr>
    <a:solidFill>
      <a:srgbClr val="EBF1EC"/>
    </a:solidFill>
    <a:ln w="9525" cap="flat" cmpd="sng" algn="ctr">
      <a:solidFill>
        <a:schemeClr val="bg1">
          <a:lumMod val="95000"/>
        </a:schemeClr>
      </a:solidFill>
      <a:round/>
    </a:ln>
    <a:effectLst/>
  </c:spPr>
  <c:txPr>
    <a:bodyPr/>
    <a:lstStyle/>
    <a:p>
      <a:pPr>
        <a:defRPr lang="zh-CN" b="0">
          <a:solidFill>
            <a:schemeClr val="tx2">
              <a:lumMod val="60000"/>
              <a:lumOff val="40000"/>
            </a:schemeClr>
          </a:solidFill>
          <a:latin typeface="微软雅黑" panose="020B0503020204020204" charset="-122"/>
          <a:ea typeface="微软雅黑" panose="020B0503020204020204"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spc="0" baseline="0">
                <a:solidFill>
                  <a:srgbClr val="3A6D70"/>
                </a:solidFill>
                <a:latin typeface="微软雅黑" panose="020B0503020204020204" charset="-122"/>
                <a:ea typeface="微软雅黑" panose="020B0503020204020204" charset="-122"/>
                <a:cs typeface="+mn-cs"/>
              </a:defRPr>
            </a:pPr>
            <a:r>
              <a:rPr lang="en-US" altLang="zh-CN"/>
              <a:t>“</a:t>
            </a:r>
            <a:r>
              <a:rPr altLang="en-US"/>
              <a:t>三公</a:t>
            </a:r>
            <a:r>
              <a:rPr lang="en-US" altLang="zh-CN"/>
              <a:t>”</a:t>
            </a:r>
            <a:r>
              <a:rPr altLang="en-US"/>
              <a:t>经费财政拨款支出</a:t>
            </a:r>
            <a:endParaRPr altLang="en-US"/>
          </a:p>
        </c:rich>
      </c:tx>
      <c:layout/>
      <c:overlay val="0"/>
      <c:spPr>
        <a:noFill/>
        <a:ln>
          <a:noFill/>
        </a:ln>
        <a:effectLst/>
      </c:spPr>
    </c:title>
    <c:autoTitleDeleted val="0"/>
    <c:plotArea>
      <c:layout>
        <c:manualLayout>
          <c:layoutTarget val="inner"/>
          <c:xMode val="edge"/>
          <c:yMode val="edge"/>
          <c:x val="0.295332708740591"/>
          <c:y val="0.178610753655793"/>
          <c:w val="0.426443689574079"/>
          <c:h val="0.71973539140022"/>
        </c:manualLayout>
      </c:layout>
      <c:pieChart>
        <c:varyColors val="1"/>
        <c:ser>
          <c:idx val="0"/>
          <c:order val="0"/>
          <c:tx>
            <c:strRef>
              <c:f>Sheet1!$B$1</c:f>
              <c:strCache>
                <c:ptCount val="1"/>
                <c:pt idx="0">
                  <c:v>支出（万元）</c:v>
                </c:pt>
              </c:strCache>
            </c:strRef>
          </c:tx>
          <c:spPr>
            <a:solidFill>
              <a:srgbClr val="DFAD58"/>
            </a:solidFill>
            <a:effectLst/>
          </c:spPr>
          <c:explosion val="0"/>
          <c:dPt>
            <c:idx val="0"/>
            <c:bubble3D val="0"/>
            <c:spPr>
              <a:solidFill>
                <a:srgbClr val="F79646">
                  <a:lumMod val="60000"/>
                  <a:lumOff val="40000"/>
                </a:srgbClr>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latin typeface="微软雅黑" panose="020B0503020204020204" charset="-122"/>
                    <a:ea typeface="微软雅黑" panose="020B0503020204020204" charset="-122"/>
                    <a:cs typeface="+mn-cs"/>
                  </a:defRPr>
                </a:pPr>
              </a:p>
            </c:txPr>
            <c:dLblPos val="ctr"/>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公务接待费支出</c:v>
                </c:pt>
              </c:strCache>
            </c:strRef>
          </c:cat>
          <c:val>
            <c:numRef>
              <c:f>Sheet1!$B$2</c:f>
              <c:numCache>
                <c:formatCode>General</c:formatCode>
                <c:ptCount val="1"/>
                <c:pt idx="0">
                  <c:v>0.1</c:v>
                </c:pt>
              </c:numCache>
            </c:numRef>
          </c:val>
        </c:ser>
        <c:ser>
          <c:idx val="1"/>
          <c:order val="1"/>
          <c:tx>
            <c:strRef>
              <c:f>Sheet1!#REF!</c:f>
              <c:strCache>
                <c:ptCount val="1"/>
                <c:pt idx="0">
                  <c:v/>
                </c:pt>
              </c:strCache>
            </c:strRef>
          </c:tx>
          <c:spPr/>
          <c:explosion val="0"/>
          <c:dPt>
            <c:idx val="0"/>
            <c:bubble3D val="0"/>
            <c:spPr>
              <a:solidFill>
                <a:schemeClr val="accent1"/>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公务接待费支出</c:v>
                </c:pt>
              </c:strCache>
            </c:strRef>
          </c:cat>
          <c:val>
            <c:numRef>
              <c:f>Sheet1!#REF!</c:f>
              <c:numCache>
                <c:formatCode>General</c:formatCode>
                <c:ptCount val="1"/>
                <c:pt idx="0">
                  <c:v>1</c:v>
                </c:pt>
              </c:numCache>
            </c:numRef>
          </c:val>
        </c:ser>
        <c:ser>
          <c:idx val="2"/>
          <c:order val="2"/>
          <c:tx>
            <c:strRef>
              <c:f>Sheet1!#REF!</c:f>
              <c:strCache>
                <c:ptCount val="1"/>
                <c:pt idx="0">
                  <c:v/>
                </c:pt>
              </c:strCache>
            </c:strRef>
          </c:tx>
          <c:spPr/>
          <c:explosion val="0"/>
          <c:dPt>
            <c:idx val="0"/>
            <c:bubble3D val="0"/>
            <c:spPr>
              <a:solidFill>
                <a:schemeClr val="accent1"/>
              </a:solidFill>
              <a:ln>
                <a:no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c:f>
              <c:strCache>
                <c:ptCount val="1"/>
                <c:pt idx="0">
                  <c:v>公务接待费支出</c:v>
                </c:pt>
              </c:strCache>
            </c:strRef>
          </c:cat>
          <c:val>
            <c:numRef>
              <c:f>Sheet1!#REF!</c:f>
              <c:numCache>
                <c:formatCode>General</c:formatCode>
                <c:ptCount val="1"/>
                <c:pt idx="0">
                  <c:v>1</c:v>
                </c:pt>
              </c:numCache>
            </c:numRef>
          </c:val>
        </c:ser>
        <c:dLbls>
          <c:showLegendKey val="0"/>
          <c:showVal val="0"/>
          <c:showCatName val="0"/>
          <c:showSerName val="0"/>
          <c:showPercent val="1"/>
          <c:showBubbleSize val="0"/>
          <c:showLeaderLines val="0"/>
        </c:dLbls>
        <c:firstSliceAng val="94"/>
      </c:pieChart>
      <c:spPr>
        <a:noFill/>
        <a:ln>
          <a:noFill/>
        </a:ln>
        <a:effectLst/>
      </c:spPr>
    </c:plotArea>
    <c:legend>
      <c:legendPos val="r"/>
      <c:legendEntry>
        <c:idx val="0"/>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Entry>
      <c:layout>
        <c:manualLayout>
          <c:xMode val="edge"/>
          <c:yMode val="edge"/>
          <c:x val="0.4305"/>
          <c:y val="0.88225"/>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2">
                  <a:lumMod val="60000"/>
                  <a:lumOff val="40000"/>
                </a:schemeClr>
              </a:solidFill>
              <a:latin typeface="微软雅黑" panose="020B0503020204020204" charset="-122"/>
              <a:ea typeface="微软雅黑" panose="020B0503020204020204" charset="-122"/>
              <a:cs typeface="+mn-cs"/>
            </a:defRPr>
          </a:pPr>
        </a:p>
      </c:txPr>
    </c:legend>
    <c:plotVisOnly val="1"/>
    <c:dispBlanksAs val="gap"/>
    <c:showDLblsOverMax val="0"/>
  </c:chart>
  <c:spPr>
    <a:solidFill>
      <a:srgbClr val="EBF1EC"/>
    </a:solidFill>
    <a:ln w="9525" cap="flat" cmpd="sng" algn="ctr">
      <a:solidFill>
        <a:schemeClr val="bg1">
          <a:lumMod val="95000"/>
        </a:schemeClr>
      </a:solidFill>
      <a:round/>
    </a:ln>
    <a:effectLst/>
  </c:spPr>
  <c:txPr>
    <a:bodyPr/>
    <a:lstStyle/>
    <a:p>
      <a:pPr>
        <a:defRPr lang="zh-CN" b="0">
          <a:solidFill>
            <a:schemeClr val="tx2">
              <a:lumMod val="60000"/>
              <a:lumOff val="40000"/>
            </a:schemeClr>
          </a:solidFill>
          <a:latin typeface="微软雅黑" panose="020B0503020204020204" charset="-122"/>
          <a:ea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ScaleCrop>false</ScaleCrop>
  <LinksUpToDate>false</LinksUpToDate>
  <CharactersWithSpaces>9641</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LENOVO</cp:lastModifiedBy>
  <cp:lastPrinted>2019-08-01T00:48:00Z</cp:lastPrinted>
  <dcterms:modified xsi:type="dcterms:W3CDTF">2019-09-06T12:04:39Z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