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C8313">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红原县红十字会</w:t>
      </w:r>
    </w:p>
    <w:p w14:paraId="2180B248">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default"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0B1EE971">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3267308E">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3F97437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1F02B876">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76776F71">
      <w:pPr>
        <w:pStyle w:val="3"/>
        <w:pageBreakBefore w:val="0"/>
        <w:widowControl w:val="0"/>
        <w:spacing w:line="580" w:lineRule="exact"/>
        <w:ind w:left="0" w:right="0" w:firstLine="640"/>
        <w:jc w:val="both"/>
        <w:rPr>
          <w:rFonts w:hint="eastAsia"/>
          <w:bCs/>
          <w:sz w:val="32"/>
          <w:szCs w:val="32"/>
          <w:lang w:val="en-US" w:eastAsia="zh-CN"/>
        </w:rPr>
      </w:pPr>
      <w:r>
        <w:rPr>
          <w:rFonts w:hint="eastAsia"/>
          <w:bCs/>
          <w:sz w:val="32"/>
          <w:szCs w:val="32"/>
          <w:lang w:val="en-US" w:eastAsia="zh-CN"/>
        </w:rPr>
        <w:t>（一）传播国际红十字运动知识和国际人道主义，宣传、执行《中华人民共和国红十字会法》和《中华人民共和国红十字会法实施办法》等法律、法规，遵循《中国红十字会章程》，依法建会、治会、兴会。</w:t>
      </w:r>
    </w:p>
    <w:p w14:paraId="2D18E4F9">
      <w:pPr>
        <w:pStyle w:val="3"/>
        <w:pageBreakBefore w:val="0"/>
        <w:widowControl w:val="0"/>
        <w:spacing w:line="580" w:lineRule="exact"/>
        <w:ind w:left="0" w:right="0" w:firstLine="640"/>
        <w:jc w:val="both"/>
        <w:rPr>
          <w:rFonts w:hint="eastAsia"/>
          <w:bCs/>
          <w:sz w:val="32"/>
          <w:szCs w:val="32"/>
          <w:lang w:val="en-US" w:eastAsia="zh-CN"/>
        </w:rPr>
      </w:pPr>
      <w:r>
        <w:rPr>
          <w:rFonts w:hint="eastAsia"/>
          <w:bCs/>
          <w:sz w:val="32"/>
          <w:szCs w:val="32"/>
          <w:lang w:val="en-US" w:eastAsia="zh-CN"/>
        </w:rPr>
        <w:t>（二）开展备灾救灾工作，兴建和管理备灾救灾设施，在自然灾害和突发事件中开展对受害者的救助和救护。</w:t>
      </w:r>
    </w:p>
    <w:p w14:paraId="385C38B1">
      <w:pPr>
        <w:pStyle w:val="3"/>
        <w:pageBreakBefore w:val="0"/>
        <w:widowControl w:val="0"/>
        <w:spacing w:line="580" w:lineRule="exact"/>
        <w:ind w:left="0" w:right="0" w:firstLine="640"/>
        <w:jc w:val="both"/>
        <w:rPr>
          <w:rFonts w:hint="eastAsia"/>
          <w:bCs/>
          <w:sz w:val="32"/>
          <w:szCs w:val="32"/>
          <w:lang w:val="en-US" w:eastAsia="zh-CN"/>
        </w:rPr>
      </w:pPr>
      <w:r>
        <w:rPr>
          <w:rFonts w:hint="eastAsia"/>
          <w:bCs/>
          <w:sz w:val="32"/>
          <w:szCs w:val="32"/>
          <w:lang w:val="en-US" w:eastAsia="zh-CN"/>
        </w:rPr>
        <w:t>（三）开展人道领域的社会公益服务活动和卫生救护、卫生防病知识的宣传、开展学术交流、组织社会捐助，进行初级卫生救护培训，组织群众参加现场救护，推动无偿献血和非血缘关系骨髓移植工作。</w:t>
      </w:r>
    </w:p>
    <w:p w14:paraId="762EB96C">
      <w:pPr>
        <w:pStyle w:val="3"/>
        <w:keepNext w:val="0"/>
        <w:keepLines w:val="0"/>
        <w:pageBreakBefore w:val="0"/>
        <w:widowControl w:val="0"/>
        <w:spacing w:line="580" w:lineRule="exact"/>
        <w:ind w:left="0" w:right="0" w:firstLine="640"/>
        <w:jc w:val="both"/>
      </w:pPr>
      <w:r>
        <w:rPr>
          <w:rFonts w:hint="eastAsia"/>
          <w:bCs/>
          <w:sz w:val="32"/>
          <w:szCs w:val="32"/>
          <w:lang w:val="en-US" w:eastAsia="zh-CN"/>
        </w:rPr>
        <w:t>（四）加强与兄弟市、县红十字会及国际红十字组织友好往来，开展人道领域的合作与交流，争取援助</w:t>
      </w:r>
      <w:r>
        <w:rPr>
          <w:rFonts w:hint="eastAsia"/>
          <w:bCs/>
          <w:sz w:val="32"/>
          <w:szCs w:val="32"/>
          <w:lang w:eastAsia="zh-CN"/>
        </w:rPr>
        <w:t>。</w:t>
      </w:r>
    </w:p>
    <w:p w14:paraId="7DE10D8C">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bookmarkStart w:id="0" w:name="_GoBack"/>
      <w:bookmarkEnd w:id="0"/>
      <w:r>
        <w:rPr>
          <w:rFonts w:hint="eastAsia" w:ascii="楷体_GB2312" w:hAnsi="楷体_GB2312" w:eastAsia="楷体_GB2312" w:cs="楷体_GB2312"/>
          <w:b/>
          <w:bCs w:val="0"/>
          <w:sz w:val="32"/>
          <w:szCs w:val="32"/>
          <w:lang w:eastAsia="zh-CN"/>
        </w:rPr>
        <w:t>（二）202</w:t>
      </w:r>
      <w:r>
        <w:rPr>
          <w:rFonts w:hint="default"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14:paraId="18C0B8C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b w:val="0"/>
          <w:sz w:val="32"/>
          <w:szCs w:val="32"/>
          <w:lang w:val="en-US" w:eastAsia="zh-CN" w:bidi="ar-SA"/>
        </w:rPr>
      </w:pPr>
      <w:r>
        <w:rPr>
          <w:rFonts w:hint="eastAsia" w:ascii="楷体_GB2312" w:hAnsi="楷体_GB2312" w:eastAsia="楷体_GB2312" w:cs="楷体_GB2312"/>
          <w:b/>
          <w:bCs/>
          <w:color w:val="000000"/>
          <w:kern w:val="0"/>
          <w:sz w:val="32"/>
          <w:szCs w:val="32"/>
          <w:u w:val="none" w:color="000000"/>
          <w:vertAlign w:val="baseline"/>
          <w:lang w:val="en-US" w:eastAsia="zh-CN" w:bidi="ar-SA"/>
        </w:rPr>
        <w:t>1、强化党建引领。</w:t>
      </w:r>
      <w:r>
        <w:rPr>
          <w:rFonts w:hint="eastAsia" w:ascii="仿宋_GB2312" w:hAnsi="仿宋_GB2312" w:eastAsia="仿宋_GB2312" w:cs="仿宋_GB2312"/>
          <w:b w:val="0"/>
          <w:sz w:val="32"/>
          <w:szCs w:val="32"/>
          <w:lang w:val="en-US" w:eastAsia="zh-CN" w:bidi="ar-SA"/>
        </w:rPr>
        <w:t>继续围绕县委、政府中心工作，助推群众工作“石榴籽”工程，坚持“双联双进”入户入寺常态化开展和“爱心爸妈”送温暖等活动。</w:t>
      </w:r>
    </w:p>
    <w:p w14:paraId="4A9BAA3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_GB2312" w:eastAsia="仿宋_GB2312" w:cs="仿宋_GB2312"/>
          <w:b w:val="0"/>
          <w:color w:val="1F1F1F"/>
          <w:spacing w:val="0"/>
          <w:sz w:val="32"/>
          <w:szCs w:val="32"/>
          <w:shd w:val="clear" w:color="auto" w:fill="FFFFFF"/>
          <w:lang w:val="en-US" w:eastAsia="zh-CN" w:bidi="ar-SA"/>
        </w:rPr>
      </w:pPr>
      <w:r>
        <w:rPr>
          <w:rFonts w:hint="eastAsia" w:ascii="楷体_GB2312" w:hAnsi="楷体_GB2312" w:eastAsia="楷体_GB2312" w:cs="楷体_GB2312"/>
          <w:b/>
          <w:bCs/>
          <w:color w:val="000000"/>
          <w:kern w:val="0"/>
          <w:sz w:val="32"/>
          <w:szCs w:val="32"/>
          <w:u w:val="none" w:color="000000"/>
          <w:vertAlign w:val="baseline"/>
          <w:lang w:val="en-US" w:eastAsia="zh-CN" w:bidi="ar-SA"/>
        </w:rPr>
        <w:t>2、提升救援实战能力。</w:t>
      </w:r>
      <w:r>
        <w:rPr>
          <w:rFonts w:hint="eastAsia" w:ascii="仿宋_GB2312" w:hAnsi="仿宋_GB2312" w:eastAsia="仿宋_GB2312" w:cs="仿宋_GB2312"/>
          <w:b w:val="0"/>
          <w:color w:val="1F1F1F"/>
          <w:spacing w:val="0"/>
          <w:sz w:val="32"/>
          <w:szCs w:val="32"/>
          <w:shd w:val="clear" w:color="auto" w:fill="FFFFFF"/>
          <w:lang w:val="en-US" w:eastAsia="zh-CN" w:bidi="ar-SA"/>
        </w:rPr>
        <w:t>新建一支高原救援队“马背救护队”，积极演练，切实提升人民群众自救互救能力。</w:t>
      </w:r>
    </w:p>
    <w:p w14:paraId="18E4BA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_GB2312" w:eastAsia="仿宋_GB2312" w:cs="仿宋_GB2312"/>
          <w:color w:val="1F1F1F"/>
          <w:spacing w:val="0"/>
          <w:sz w:val="32"/>
          <w:szCs w:val="32"/>
          <w:shd w:val="clear" w:color="auto" w:fill="FFFFFF"/>
          <w:lang w:bidi="ar-SA"/>
        </w:rPr>
      </w:pPr>
      <w:r>
        <w:rPr>
          <w:rFonts w:hint="eastAsia" w:ascii="楷体_GB2312" w:hAnsi="楷体_GB2312" w:eastAsia="楷体_GB2312" w:cs="楷体_GB2312"/>
          <w:b/>
          <w:bCs/>
          <w:color w:val="000000"/>
          <w:kern w:val="0"/>
          <w:sz w:val="32"/>
          <w:szCs w:val="32"/>
          <w:u w:val="none" w:color="000000"/>
          <w:vertAlign w:val="baseline"/>
          <w:lang w:val="en-US" w:eastAsia="zh-CN" w:bidi="ar-SA"/>
        </w:rPr>
        <w:t>3、创新资源动员机制。</w:t>
      </w:r>
      <w:r>
        <w:rPr>
          <w:rFonts w:hint="eastAsia" w:ascii="仿宋_GB2312" w:hAnsi="仿宋_GB2312" w:eastAsia="仿宋_GB2312" w:cs="仿宋_GB2312"/>
          <w:color w:val="1F1F1F"/>
          <w:spacing w:val="0"/>
          <w:sz w:val="32"/>
          <w:szCs w:val="32"/>
          <w:shd w:val="clear" w:color="auto" w:fill="FFFFFF"/>
          <w:lang w:bidi="ar-SA"/>
        </w:rPr>
        <w:t>联合民政、教育、</w:t>
      </w:r>
      <w:r>
        <w:rPr>
          <w:rFonts w:hint="eastAsia" w:ascii="仿宋_GB2312" w:hAnsi="仿宋_GB2312" w:eastAsia="仿宋_GB2312" w:cs="仿宋_GB2312"/>
          <w:color w:val="1F1F1F"/>
          <w:spacing w:val="0"/>
          <w:sz w:val="32"/>
          <w:szCs w:val="32"/>
          <w:shd w:val="clear" w:color="auto" w:fill="FFFFFF"/>
          <w:lang w:val="en-US" w:eastAsia="zh-CN" w:bidi="ar-SA"/>
        </w:rPr>
        <w:t>卫健</w:t>
      </w:r>
      <w:r>
        <w:rPr>
          <w:rFonts w:hint="eastAsia" w:ascii="仿宋_GB2312" w:hAnsi="仿宋_GB2312" w:eastAsia="仿宋_GB2312" w:cs="仿宋_GB2312"/>
          <w:color w:val="1F1F1F"/>
          <w:spacing w:val="0"/>
          <w:sz w:val="32"/>
          <w:szCs w:val="32"/>
          <w:shd w:val="clear" w:color="auto" w:fill="FFFFFF"/>
          <w:lang w:bidi="ar-SA"/>
        </w:rPr>
        <w:t>等部门建立信息共享机制，精准定位帮扶对象。积极对接爱心人士、爱心企业，推进</w:t>
      </w:r>
      <w:r>
        <w:rPr>
          <w:rFonts w:hint="eastAsia" w:ascii="仿宋_GB2312" w:hAnsi="仿宋_GB2312" w:eastAsia="仿宋_GB2312" w:cs="仿宋_GB2312"/>
          <w:color w:val="1F1F1F"/>
          <w:spacing w:val="0"/>
          <w:sz w:val="32"/>
          <w:szCs w:val="32"/>
          <w:shd w:val="clear" w:color="auto" w:fill="FFFFFF"/>
          <w:lang w:val="en-US" w:eastAsia="zh-CN" w:bidi="ar-SA"/>
        </w:rPr>
        <w:t>人道</w:t>
      </w:r>
      <w:r>
        <w:rPr>
          <w:rFonts w:hint="eastAsia" w:ascii="仿宋_GB2312" w:hAnsi="仿宋_GB2312" w:eastAsia="仿宋_GB2312" w:cs="仿宋_GB2312"/>
          <w:color w:val="1F1F1F"/>
          <w:spacing w:val="0"/>
          <w:sz w:val="32"/>
          <w:szCs w:val="32"/>
          <w:shd w:val="clear" w:color="auto" w:fill="FFFFFF"/>
          <w:lang w:bidi="ar-SA"/>
        </w:rPr>
        <w:t>筹资工作，汇聚更多人道资源，拓宽筹资范围，提升筹资能力</w:t>
      </w:r>
      <w:r>
        <w:rPr>
          <w:rFonts w:hint="eastAsia" w:ascii="仿宋_GB2312" w:hAnsi="仿宋_GB2312" w:eastAsia="仿宋_GB2312" w:cs="仿宋_GB2312"/>
          <w:color w:val="1F1F1F"/>
          <w:spacing w:val="0"/>
          <w:sz w:val="32"/>
          <w:szCs w:val="32"/>
          <w:shd w:val="clear" w:color="auto" w:fill="FFFFFF"/>
          <w:lang w:eastAsia="zh-CN" w:bidi="ar-SA"/>
        </w:rPr>
        <w:t>，</w:t>
      </w:r>
      <w:r>
        <w:rPr>
          <w:rFonts w:hint="eastAsia" w:ascii="仿宋_GB2312" w:hAnsi="仿宋_GB2312" w:eastAsia="仿宋_GB2312" w:cs="仿宋_GB2312"/>
          <w:color w:val="1F1F1F"/>
          <w:spacing w:val="0"/>
          <w:sz w:val="32"/>
          <w:szCs w:val="32"/>
          <w:shd w:val="clear" w:color="auto" w:fill="FFFFFF"/>
          <w:lang w:val="en-US" w:eastAsia="zh-CN" w:bidi="ar-SA"/>
        </w:rPr>
        <w:t>扩大困难群众帮扶覆盖面</w:t>
      </w:r>
      <w:r>
        <w:rPr>
          <w:rFonts w:hint="eastAsia" w:ascii="仿宋_GB2312" w:hAnsi="仿宋_GB2312" w:eastAsia="仿宋_GB2312" w:cs="仿宋_GB2312"/>
          <w:color w:val="1F1F1F"/>
          <w:spacing w:val="0"/>
          <w:sz w:val="32"/>
          <w:szCs w:val="32"/>
          <w:shd w:val="clear" w:color="auto" w:fill="FFFFFF"/>
          <w:lang w:bidi="ar-SA"/>
        </w:rPr>
        <w:t>。</w:t>
      </w:r>
    </w:p>
    <w:p w14:paraId="387C77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1F1F1F"/>
          <w:spacing w:val="0"/>
          <w:sz w:val="32"/>
          <w:szCs w:val="32"/>
          <w:shd w:val="clear" w:color="auto" w:fill="FFFFFF"/>
          <w:lang w:val="en-US" w:eastAsia="zh-CN" w:bidi="ar-SA"/>
        </w:rPr>
      </w:pPr>
      <w:r>
        <w:rPr>
          <w:rFonts w:hint="eastAsia" w:ascii="楷体_GB2312" w:hAnsi="楷体_GB2312" w:eastAsia="楷体_GB2312" w:cs="楷体_GB2312"/>
          <w:b/>
          <w:bCs/>
          <w:color w:val="000000"/>
          <w:kern w:val="0"/>
          <w:sz w:val="32"/>
          <w:szCs w:val="32"/>
          <w:u w:val="none" w:color="000000"/>
          <w:vertAlign w:val="baseline"/>
          <w:lang w:val="en-US" w:eastAsia="zh-CN" w:bidi="ar-SA"/>
        </w:rPr>
        <w:t>4、加强日常培训工作。</w:t>
      </w:r>
      <w:r>
        <w:rPr>
          <w:rFonts w:hint="eastAsia" w:ascii="仿宋_GB2312" w:hAnsi="仿宋_GB2312" w:eastAsia="仿宋_GB2312" w:cs="仿宋_GB2312"/>
          <w:color w:val="1F1F1F"/>
          <w:spacing w:val="0"/>
          <w:sz w:val="32"/>
          <w:szCs w:val="32"/>
          <w:shd w:val="clear" w:color="auto" w:fill="FFFFFF"/>
          <w:lang w:val="en-US" w:eastAsia="zh-CN" w:bidi="ar-SA"/>
        </w:rPr>
        <w:t>全面开展救护员培训、普及培训以及生命体验馆体验工作。</w:t>
      </w:r>
      <w:r>
        <w:rPr>
          <w:rFonts w:hint="eastAsia" w:ascii="仿宋_GB2312" w:hAnsi="仿宋_GB2312" w:eastAsia="仿宋_GB2312" w:cs="Times New Roman"/>
          <w:sz w:val="32"/>
          <w:lang w:bidi="ar-SA"/>
        </w:rPr>
        <w:t>以“救护员培训+普及教育+沉浸式体验”构建全民应急能力提升体系</w:t>
      </w:r>
      <w:r>
        <w:rPr>
          <w:rFonts w:hint="eastAsia" w:ascii="仿宋_GB2312" w:hAnsi="仿宋_GB2312" w:eastAsia="仿宋_GB2312" w:cs="Times New Roman"/>
          <w:sz w:val="32"/>
          <w:lang w:eastAsia="zh-CN" w:bidi="ar-SA"/>
        </w:rPr>
        <w:t>，</w:t>
      </w:r>
      <w:r>
        <w:rPr>
          <w:rFonts w:hint="eastAsia" w:ascii="仿宋_GB2312" w:hAnsi="仿宋_GB2312" w:eastAsia="仿宋_GB2312" w:cs="Times New Roman"/>
          <w:sz w:val="32"/>
          <w:lang w:val="en-US" w:eastAsia="zh-CN" w:bidi="ar-SA"/>
        </w:rPr>
        <w:t>计划开展救护员专题培训2期、普及培训12场、生命体验馆体验500人次</w:t>
      </w:r>
      <w:r>
        <w:rPr>
          <w:rFonts w:hint="eastAsia" w:ascii="仿宋_GB2312" w:hAnsi="仿宋_GB2312" w:eastAsia="仿宋_GB2312" w:cs="Times New Roman"/>
          <w:sz w:val="32"/>
          <w:lang w:bidi="ar-SA"/>
        </w:rPr>
        <w:t>。</w:t>
      </w:r>
    </w:p>
    <w:p w14:paraId="0109C5A1">
      <w:pPr>
        <w:ind w:firstLine="643" w:firstLineChars="200"/>
        <w:rPr>
          <w:rFonts w:hint="eastAsia" w:ascii="Times New Roman" w:hAnsi="Times New Roman" w:eastAsia="方正仿宋_GBK" w:cs="Times New Roman"/>
          <w:sz w:val="32"/>
          <w:szCs w:val="32"/>
          <w:lang w:eastAsia="zh-CN"/>
        </w:rPr>
      </w:pPr>
      <w:r>
        <w:rPr>
          <w:rFonts w:hint="eastAsia" w:ascii="楷体_GB2312" w:hAnsi="楷体_GB2312" w:eastAsia="楷体_GB2312" w:cs="楷体_GB2312"/>
          <w:b/>
          <w:bCs/>
          <w:color w:val="000000"/>
          <w:kern w:val="0"/>
          <w:sz w:val="32"/>
          <w:szCs w:val="32"/>
          <w:u w:val="none" w:color="000000"/>
          <w:vertAlign w:val="baseline"/>
          <w:lang w:val="en-US" w:eastAsia="zh-CN" w:bidi="ar-SA"/>
        </w:rPr>
        <w:t>5、抓牢基层队伍建设。</w:t>
      </w:r>
      <w:r>
        <w:rPr>
          <w:rFonts w:hint="eastAsia" w:ascii="仿宋_GB2312" w:hAnsi="仿宋_GB2312" w:eastAsia="仿宋_GB2312" w:cs="仿宋_GB2312"/>
          <w:color w:val="1F1F1F"/>
          <w:spacing w:val="0"/>
          <w:sz w:val="32"/>
          <w:szCs w:val="32"/>
          <w:shd w:val="clear" w:color="auto" w:fill="FFFFFF"/>
          <w:lang w:val="en-US" w:eastAsia="zh-CN" w:bidi="ar-SA"/>
        </w:rPr>
        <w:t>在各项培训工作开展的同时，新建基层组织4个，发展会员、志愿者100名</w:t>
      </w:r>
      <w:r>
        <w:rPr>
          <w:rFonts w:hint="eastAsia" w:ascii="Times New Roman" w:hAnsi="Times New Roman" w:eastAsia="方正仿宋_GBK" w:cs="Times New Roman"/>
          <w:sz w:val="32"/>
          <w:szCs w:val="32"/>
          <w:lang w:eastAsia="zh-CN"/>
        </w:rPr>
        <w:t>。</w:t>
      </w:r>
    </w:p>
    <w:p w14:paraId="251B0B9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77266F79">
      <w:pPr>
        <w:pStyle w:val="7"/>
        <w:keepNext w:val="0"/>
        <w:keepLines w:val="0"/>
        <w:widowControl/>
        <w:suppressLineNumbers w:val="0"/>
        <w:ind w:firstLine="640" w:firstLineChars="200"/>
        <w:rPr>
          <w:rFonts w:hint="eastAsia" w:ascii="仿宋_GB2312" w:eastAsia="仿宋_GB2312" w:cs="仿宋_GB2312"/>
          <w:i w:val="0"/>
          <w:caps w:val="0"/>
          <w:color w:val="000000"/>
          <w:spacing w:val="0"/>
          <w:sz w:val="30"/>
          <w:szCs w:val="30"/>
        </w:rPr>
      </w:pPr>
      <w:r>
        <w:rPr>
          <w:rFonts w:hint="eastAsia" w:ascii="仿宋_GB2312" w:eastAsia="仿宋_GB2312" w:cs="仿宋_GB2312"/>
          <w:i w:val="0"/>
          <w:caps w:val="0"/>
          <w:color w:val="000000"/>
          <w:spacing w:val="0"/>
          <w:sz w:val="32"/>
          <w:szCs w:val="32"/>
          <w:lang w:eastAsia="zh-CN"/>
        </w:rPr>
        <w:t>本部门</w:t>
      </w:r>
      <w:r>
        <w:rPr>
          <w:rFonts w:hint="eastAsia" w:ascii="仿宋_GB2312" w:eastAsia="仿宋_GB2312" w:cs="仿宋_GB2312"/>
          <w:i w:val="0"/>
          <w:caps w:val="0"/>
          <w:color w:val="000000"/>
          <w:spacing w:val="0"/>
          <w:sz w:val="32"/>
          <w:szCs w:val="32"/>
        </w:rPr>
        <w:t>下设单位</w:t>
      </w:r>
      <w:r>
        <w:rPr>
          <w:rFonts w:hint="eastAsia" w:ascii="仿宋_GB2312" w:eastAsia="仿宋_GB2312" w:cs="仿宋_GB2312"/>
          <w:i w:val="0"/>
          <w:caps w:val="0"/>
          <w:color w:val="000000"/>
          <w:spacing w:val="0"/>
          <w:sz w:val="32"/>
          <w:szCs w:val="32"/>
          <w:lang w:val="en-US" w:eastAsia="zh-CN"/>
        </w:rPr>
        <w:t>0</w:t>
      </w:r>
      <w:r>
        <w:rPr>
          <w:rFonts w:hint="eastAsia" w:ascii="仿宋_GB2312" w:eastAsia="仿宋_GB2312" w:cs="仿宋_GB2312"/>
          <w:i w:val="0"/>
          <w:caps w:val="0"/>
          <w:color w:val="000000"/>
          <w:spacing w:val="0"/>
          <w:sz w:val="32"/>
          <w:szCs w:val="32"/>
        </w:rPr>
        <w:t>个，参照公务员法管理的事业单位</w:t>
      </w:r>
      <w:r>
        <w:rPr>
          <w:rFonts w:hint="eastAsia" w:ascii="仿宋_GB2312" w:eastAsia="仿宋_GB2312" w:cs="仿宋_GB2312"/>
          <w:i w:val="0"/>
          <w:caps w:val="0"/>
          <w:color w:val="000000"/>
          <w:spacing w:val="0"/>
          <w:sz w:val="32"/>
          <w:szCs w:val="32"/>
          <w:lang w:val="en-US" w:eastAsia="zh-CN"/>
        </w:rPr>
        <w:t>0</w:t>
      </w:r>
      <w:r>
        <w:rPr>
          <w:rFonts w:hint="eastAsia" w:ascii="仿宋_GB2312" w:eastAsia="仿宋_GB2312" w:cs="仿宋_GB2312"/>
          <w:i w:val="0"/>
          <w:caps w:val="0"/>
          <w:color w:val="000000"/>
          <w:spacing w:val="0"/>
          <w:sz w:val="32"/>
          <w:szCs w:val="32"/>
        </w:rPr>
        <w:t>个，其他事业单位</w:t>
      </w:r>
      <w:r>
        <w:rPr>
          <w:rFonts w:hint="eastAsia" w:ascii="仿宋_GB2312" w:eastAsia="仿宋_GB2312" w:cs="仿宋_GB2312"/>
          <w:i w:val="0"/>
          <w:caps w:val="0"/>
          <w:color w:val="000000"/>
          <w:spacing w:val="0"/>
          <w:sz w:val="32"/>
          <w:szCs w:val="32"/>
          <w:lang w:val="en-US" w:eastAsia="zh-CN"/>
        </w:rPr>
        <w:t>0</w:t>
      </w:r>
      <w:r>
        <w:rPr>
          <w:rFonts w:hint="eastAsia" w:ascii="仿宋_GB2312" w:eastAsia="仿宋_GB2312" w:cs="仿宋_GB2312"/>
          <w:i w:val="0"/>
          <w:caps w:val="0"/>
          <w:color w:val="000000"/>
          <w:spacing w:val="0"/>
          <w:sz w:val="32"/>
          <w:szCs w:val="32"/>
        </w:rPr>
        <w:t>个。</w:t>
      </w:r>
    </w:p>
    <w:p w14:paraId="7F2357C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45A311B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default" w:ascii="仿宋_GB2312" w:eastAsia="仿宋_GB2312"/>
          <w:sz w:val="32"/>
          <w:szCs w:val="32"/>
          <w:lang w:val="en-US" w:eastAsia="zh-CN"/>
        </w:rPr>
        <w:t>6</w:t>
      </w:r>
      <w:r>
        <w:rPr>
          <w:rFonts w:hint="eastAsia" w:ascii="仿宋_GB2312" w:eastAsia="仿宋_GB2312"/>
          <w:sz w:val="32"/>
          <w:szCs w:val="32"/>
          <w:lang w:eastAsia="zh-CN"/>
        </w:rPr>
        <w:t>年本单位</w:t>
      </w:r>
      <w:r>
        <w:rPr>
          <w:rFonts w:hint="eastAsia" w:ascii="仿宋_GB2312" w:eastAsia="仿宋_GB2312"/>
          <w:sz w:val="32"/>
          <w:szCs w:val="32"/>
        </w:rPr>
        <w:t>收入预算总额为</w:t>
      </w:r>
      <w:r>
        <w:rPr>
          <w:rFonts w:hint="eastAsia" w:ascii="仿宋_GB2312" w:eastAsia="仿宋_GB2312"/>
          <w:sz w:val="32"/>
          <w:szCs w:val="32"/>
          <w:lang w:val="en-US" w:eastAsia="zh-CN"/>
        </w:rPr>
        <w:t>165.73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165.73</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165.73</w:t>
      </w:r>
      <w:r>
        <w:rPr>
          <w:rFonts w:hint="eastAsia" w:ascii="仿宋_GB2312" w:eastAsia="仿宋_GB2312"/>
          <w:sz w:val="32"/>
          <w:szCs w:val="32"/>
        </w:rPr>
        <w:t>万元，其中：社会保障和就业</w:t>
      </w:r>
      <w:r>
        <w:rPr>
          <w:rFonts w:hint="eastAsia" w:ascii="仿宋_GB2312" w:eastAsia="仿宋_GB2312"/>
          <w:sz w:val="32"/>
          <w:szCs w:val="32"/>
          <w:lang w:val="en-US" w:eastAsia="zh-CN"/>
        </w:rPr>
        <w:t>144.91</w:t>
      </w:r>
      <w:r>
        <w:rPr>
          <w:rFonts w:hint="eastAsia" w:ascii="仿宋_GB2312" w:eastAsia="仿宋_GB2312"/>
          <w:sz w:val="32"/>
          <w:szCs w:val="32"/>
        </w:rPr>
        <w:t>万元，卫生</w:t>
      </w:r>
      <w:r>
        <w:rPr>
          <w:rFonts w:hint="eastAsia" w:ascii="仿宋_GB2312" w:eastAsia="仿宋_GB2312"/>
          <w:sz w:val="32"/>
          <w:szCs w:val="32"/>
          <w:lang w:eastAsia="zh-CN"/>
        </w:rPr>
        <w:t>健康</w:t>
      </w:r>
      <w:r>
        <w:rPr>
          <w:rFonts w:hint="eastAsia" w:ascii="仿宋_GB2312" w:eastAsia="仿宋_GB2312"/>
          <w:sz w:val="32"/>
          <w:szCs w:val="32"/>
          <w:lang w:val="en-US" w:eastAsia="zh-CN"/>
        </w:rPr>
        <w:t>7.58</w:t>
      </w:r>
      <w:r>
        <w:rPr>
          <w:rFonts w:hint="eastAsia" w:ascii="仿宋_GB2312" w:eastAsia="仿宋_GB2312"/>
          <w:sz w:val="32"/>
          <w:szCs w:val="32"/>
        </w:rPr>
        <w:t>万元，住房保障支出</w:t>
      </w:r>
      <w:r>
        <w:rPr>
          <w:rFonts w:hint="eastAsia" w:ascii="仿宋_GB2312" w:eastAsia="仿宋_GB2312"/>
          <w:sz w:val="32"/>
          <w:szCs w:val="32"/>
          <w:lang w:val="en-US" w:eastAsia="zh-CN"/>
        </w:rPr>
        <w:t>11.61</w:t>
      </w:r>
      <w:r>
        <w:rPr>
          <w:rFonts w:hint="eastAsia" w:ascii="仿宋_GB2312" w:eastAsia="仿宋_GB2312"/>
          <w:sz w:val="32"/>
          <w:szCs w:val="32"/>
        </w:rPr>
        <w:t>万元</w:t>
      </w:r>
      <w:r>
        <w:rPr>
          <w:rFonts w:hint="eastAsia" w:ascii="仿宋_GB2312" w:eastAsia="仿宋_GB2312"/>
          <w:sz w:val="32"/>
          <w:szCs w:val="32"/>
          <w:lang w:eastAsia="zh-CN"/>
        </w:rPr>
        <w:t>，其他支出</w:t>
      </w:r>
      <w:r>
        <w:rPr>
          <w:rFonts w:hint="eastAsia" w:ascii="仿宋_GB2312" w:eastAsia="仿宋_GB2312"/>
          <w:sz w:val="32"/>
          <w:szCs w:val="32"/>
          <w:lang w:val="en-US" w:eastAsia="zh-CN"/>
        </w:rPr>
        <w:t>1.63万元</w:t>
      </w:r>
      <w:r>
        <w:rPr>
          <w:rFonts w:hint="eastAsia" w:ascii="仿宋_GB2312" w:eastAsia="仿宋_GB2312"/>
          <w:sz w:val="32"/>
          <w:szCs w:val="32"/>
        </w:rPr>
        <w:t>。</w:t>
      </w:r>
    </w:p>
    <w:p w14:paraId="640D7D97">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6962A0A4">
      <w:pPr>
        <w:keepNext w:val="0"/>
        <w:keepLines w:val="0"/>
        <w:widowControl/>
        <w:suppressLineNumbers w:val="0"/>
        <w:wordWrap/>
        <w:bidi w:val="0"/>
        <w:spacing w:before="0" w:beforeAutospacing="0" w:after="0" w:afterAutospacing="0" w:line="560" w:lineRule="atLeast"/>
        <w:ind w:left="0" w:right="0" w:firstLine="0"/>
        <w:jc w:val="both"/>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hAnsi="Calibri" w:eastAsia="仿宋_GB2312" w:cs="仿宋_GB2312"/>
          <w:i w:val="0"/>
          <w:caps w:val="0"/>
          <w:color w:val="000000"/>
          <w:spacing w:val="0"/>
          <w:kern w:val="0"/>
          <w:sz w:val="32"/>
          <w:szCs w:val="32"/>
          <w:lang w:val="en-US" w:eastAsia="zh-CN" w:bidi="ar"/>
        </w:rPr>
        <w:t>本单位预算安排支出主要用于保障该部门机构正常运转、完成日常工作任务以及承担机构编制事业发展相关工作。 </w:t>
      </w:r>
    </w:p>
    <w:p w14:paraId="06395159">
      <w:pPr>
        <w:keepNext w:val="0"/>
        <w:keepLines w:val="0"/>
        <w:widowControl/>
        <w:suppressLineNumbers w:val="0"/>
        <w:wordWrap/>
        <w:bidi w:val="0"/>
        <w:spacing w:before="0" w:beforeAutospacing="0" w:after="0" w:afterAutospacing="0" w:line="560" w:lineRule="atLeast"/>
        <w:ind w:left="0" w:right="0" w:firstLine="640"/>
        <w:jc w:val="left"/>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165.73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139.31万元，机关运行经费13.79万元，项目支出11.00万元，上年结转1.63万元。其中：</w:t>
      </w:r>
      <w:r>
        <w:rPr>
          <w:rFonts w:hint="eastAsia" w:ascii="仿宋_GB2312" w:hAnsi="Calibri" w:eastAsia="仿宋_GB2312" w:cs="仿宋_GB2312"/>
          <w:i w:val="0"/>
          <w:caps w:val="0"/>
          <w:color w:val="000000"/>
          <w:spacing w:val="0"/>
          <w:kern w:val="0"/>
          <w:sz w:val="32"/>
          <w:szCs w:val="32"/>
          <w:lang w:val="en-US" w:eastAsia="zh-CN" w:bidi="ar"/>
        </w:rPr>
        <w:t>办公费2.89万元，差旅费2.00万元，工会经费1.07万元，公务用车运行维护费2.62万元，邮电费1.00万元，其他商品和服务支出4.04万元，医疗费补助0.16；红原县红十字会事业发展经费6.00万元，红原县红十字会大病救助5.00万元。</w:t>
      </w:r>
    </w:p>
    <w:p w14:paraId="7F66803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0CB21DC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（一）社会保障和就业</w:t>
      </w:r>
      <w:r>
        <w:rPr>
          <w:rFonts w:hint="eastAsia" w:ascii="仿宋_GB2312" w:eastAsia="仿宋_GB2312"/>
          <w:sz w:val="32"/>
          <w:szCs w:val="32"/>
          <w:lang w:val="en-US" w:eastAsia="zh-CN"/>
        </w:rPr>
        <w:t>144.91</w:t>
      </w:r>
      <w:r>
        <w:rPr>
          <w:rFonts w:hint="eastAsia" w:ascii="仿宋_GB2312" w:eastAsia="仿宋_GB2312"/>
          <w:sz w:val="32"/>
          <w:szCs w:val="32"/>
          <w:lang w:eastAsia="zh-CN"/>
        </w:rPr>
        <w:t>万元</w:t>
      </w:r>
      <w:r>
        <w:rPr>
          <w:rFonts w:hint="eastAsia" w:ascii="仿宋_GB2312" w:eastAsia="仿宋_GB2312"/>
          <w:sz w:val="32"/>
          <w:szCs w:val="32"/>
        </w:rPr>
        <w:t>，主要用于机关单位人员工资、日常运转以及为完成特定行政工作任务和事业发展目标而安排的年度项目支出</w:t>
      </w:r>
      <w:r>
        <w:rPr>
          <w:rFonts w:hint="eastAsia" w:ascii="仿宋_GB2312" w:eastAsia="仿宋_GB2312"/>
          <w:sz w:val="32"/>
          <w:szCs w:val="32"/>
          <w:lang w:eastAsia="zh-CN"/>
        </w:rPr>
        <w:t>及</w:t>
      </w:r>
      <w:r>
        <w:rPr>
          <w:rFonts w:hint="eastAsia" w:ascii="仿宋_GB2312" w:eastAsia="仿宋_GB2312"/>
          <w:sz w:val="32"/>
          <w:szCs w:val="32"/>
        </w:rPr>
        <w:t>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6B579C5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7.58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285F48C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11.61</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7BFC82B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（五）</w:t>
      </w:r>
      <w:r>
        <w:rPr>
          <w:rFonts w:hint="eastAsia" w:ascii="仿宋_GB2312" w:eastAsia="仿宋_GB2312"/>
          <w:sz w:val="32"/>
          <w:szCs w:val="32"/>
          <w:lang w:eastAsia="zh-CN"/>
        </w:rPr>
        <w:t>其他支出</w:t>
      </w:r>
      <w:r>
        <w:rPr>
          <w:rFonts w:hint="eastAsia" w:ascii="仿宋_GB2312" w:eastAsia="仿宋_GB2312"/>
          <w:sz w:val="32"/>
          <w:szCs w:val="32"/>
          <w:lang w:val="en-US" w:eastAsia="zh-CN"/>
        </w:rPr>
        <w:t>1.63万元，用于博爱家园结转资金。</w:t>
      </w:r>
    </w:p>
    <w:p w14:paraId="25343E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05E6EF4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165.73万元较上年度预算131.37万元增加了27.687%，其中基本行政运行经费预算144.91万元，占全部总预算的87.44%，较上年116.33万元减少了24.57%，原因为项目增加；专项业务工作经费预算11.00万元，占总预算的6.64%，较上年预算0万元遇上年预算增加。</w:t>
      </w:r>
    </w:p>
    <w:p w14:paraId="7CDA2CB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752151A6">
      <w:pPr>
        <w:keepNext w:val="0"/>
        <w:keepLines w:val="0"/>
        <w:widowControl/>
        <w:suppressLineNumbers w:val="0"/>
        <w:wordWrap/>
        <w:bidi w:val="0"/>
        <w:spacing w:before="0" w:beforeAutospacing="0" w:after="0" w:afterAutospacing="0" w:line="560" w:lineRule="atLeast"/>
        <w:ind w:left="0" w:right="0" w:firstLine="640"/>
        <w:jc w:val="both"/>
        <w:rPr>
          <w:rFonts w:hint="default" w:ascii="仿宋_GB2312" w:hAnsi="Calibri" w:eastAsia="仿宋_GB2312" w:cs="仿宋_GB2312"/>
          <w:i w:val="0"/>
          <w:caps w:val="0"/>
          <w:color w:val="000000"/>
          <w:spacing w:val="0"/>
          <w:kern w:val="0"/>
          <w:sz w:val="32"/>
          <w:szCs w:val="32"/>
          <w:lang w:val="en-US" w:eastAsia="zh-CN" w:bidi="ar"/>
        </w:rPr>
      </w:pPr>
      <w:r>
        <w:rPr>
          <w:rFonts w:hint="default" w:ascii="仿宋_GB2312" w:hAnsi="Calibri" w:eastAsia="仿宋_GB2312" w:cs="仿宋_GB2312"/>
          <w:i w:val="0"/>
          <w:caps w:val="0"/>
          <w:color w:val="000000"/>
          <w:spacing w:val="0"/>
          <w:kern w:val="0"/>
          <w:sz w:val="32"/>
          <w:szCs w:val="32"/>
          <w:lang w:val="en-US" w:eastAsia="zh-CN" w:bidi="ar"/>
        </w:rPr>
        <w:t>本年度三公经费预算安排支出为2.</w:t>
      </w:r>
      <w:r>
        <w:rPr>
          <w:rFonts w:hint="eastAsia" w:ascii="仿宋_GB2312" w:hAnsi="Calibri" w:eastAsia="仿宋_GB2312" w:cs="仿宋_GB2312"/>
          <w:i w:val="0"/>
          <w:caps w:val="0"/>
          <w:color w:val="000000"/>
          <w:spacing w:val="0"/>
          <w:kern w:val="0"/>
          <w:sz w:val="32"/>
          <w:szCs w:val="32"/>
          <w:lang w:val="en-US" w:eastAsia="zh-CN" w:bidi="ar"/>
        </w:rPr>
        <w:t>6</w:t>
      </w:r>
      <w:r>
        <w:rPr>
          <w:rFonts w:hint="default" w:ascii="仿宋_GB2312" w:hAnsi="Calibri" w:eastAsia="仿宋_GB2312" w:cs="仿宋_GB2312"/>
          <w:i w:val="0"/>
          <w:caps w:val="0"/>
          <w:color w:val="000000"/>
          <w:spacing w:val="0"/>
          <w:kern w:val="0"/>
          <w:sz w:val="32"/>
          <w:szCs w:val="32"/>
          <w:lang w:val="en-US" w:eastAsia="zh-CN" w:bidi="ar"/>
        </w:rPr>
        <w:t>2万元，其中：出国费0万元，与上年持平，主要原因为未安排因公出国；公车购置费0元，与上年持平；公务用车维护费支出2.62万元，较上年度预算2.62万元持平；二是将有关股室的工作有机地结合起来，减少不必要的资源浪费。公务接待费0</w:t>
      </w:r>
      <w:r>
        <w:rPr>
          <w:rFonts w:hint="eastAsia" w:ascii="仿宋_GB2312" w:hAnsi="Calibri" w:eastAsia="仿宋_GB2312" w:cs="仿宋_GB2312"/>
          <w:i w:val="0"/>
          <w:caps w:val="0"/>
          <w:color w:val="000000"/>
          <w:spacing w:val="0"/>
          <w:kern w:val="0"/>
          <w:sz w:val="32"/>
          <w:szCs w:val="32"/>
          <w:lang w:val="en-US" w:eastAsia="zh-CN" w:bidi="ar"/>
        </w:rPr>
        <w:t>.00</w:t>
      </w:r>
      <w:r>
        <w:rPr>
          <w:rFonts w:hint="default" w:ascii="仿宋_GB2312" w:hAnsi="Calibri" w:eastAsia="仿宋_GB2312" w:cs="仿宋_GB2312"/>
          <w:i w:val="0"/>
          <w:caps w:val="0"/>
          <w:color w:val="000000"/>
          <w:spacing w:val="0"/>
          <w:kern w:val="0"/>
          <w:sz w:val="32"/>
          <w:szCs w:val="32"/>
          <w:lang w:val="en-US" w:eastAsia="zh-CN" w:bidi="ar"/>
        </w:rPr>
        <w:t>万元，与上年持平，本年度我们将严格执行“八项规定、六项禁令”，结合本年度工作需要，减少不必要的开支。</w:t>
      </w:r>
    </w:p>
    <w:p w14:paraId="23EC33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30A6530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hAnsi="Calibri" w:eastAsia="仿宋_GB2312" w:cs="仿宋_GB2312"/>
          <w:i w:val="0"/>
          <w:caps w:val="0"/>
          <w:color w:val="000000"/>
          <w:spacing w:val="0"/>
          <w:kern w:val="0"/>
          <w:sz w:val="32"/>
          <w:szCs w:val="32"/>
          <w:lang w:val="en-US" w:eastAsia="zh-CN" w:bidi="ar"/>
        </w:rPr>
        <w:t>2026年没有使用政府性基金预算拨款安排的支出</w:t>
      </w:r>
      <w:r>
        <w:rPr>
          <w:rFonts w:hint="eastAsia" w:ascii="仿宋_GB2312" w:eastAsia="仿宋_GB2312"/>
          <w:sz w:val="32"/>
          <w:szCs w:val="32"/>
        </w:rPr>
        <w:t>。</w:t>
      </w:r>
    </w:p>
    <w:p w14:paraId="6CFC73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2A6E869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hAnsi="Calibri" w:eastAsia="仿宋_GB2312" w:cs="仿宋_GB2312"/>
          <w:i w:val="0"/>
          <w:caps w:val="0"/>
          <w:color w:val="000000"/>
          <w:spacing w:val="0"/>
          <w:kern w:val="0"/>
          <w:sz w:val="32"/>
          <w:szCs w:val="32"/>
          <w:lang w:val="en-US" w:eastAsia="zh-CN" w:bidi="ar"/>
        </w:rPr>
        <w:t>2026年没有使用国有资本经营预算拨款安排的支出</w:t>
      </w:r>
      <w:r>
        <w:rPr>
          <w:rFonts w:hint="eastAsia" w:ascii="仿宋_GB2312" w:eastAsia="仿宋_GB2312"/>
          <w:sz w:val="32"/>
          <w:szCs w:val="32"/>
          <w:lang w:val="en-US" w:eastAsia="zh-CN"/>
        </w:rPr>
        <w:t>。</w:t>
      </w:r>
    </w:p>
    <w:p w14:paraId="0C39FF1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6DD1ED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02AB996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14:paraId="42545C8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21982ED2">
      <w:pPr>
        <w:keepNext w:val="0"/>
        <w:keepLines w:val="0"/>
        <w:widowControl/>
        <w:suppressLineNumbers w:val="0"/>
        <w:wordWrap/>
        <w:bidi w:val="0"/>
        <w:spacing w:before="0" w:beforeAutospacing="0" w:after="0" w:afterAutospacing="0" w:line="560" w:lineRule="atLeast"/>
        <w:ind w:left="0" w:right="0" w:firstLine="640"/>
        <w:jc w:val="both"/>
        <w:rPr>
          <w:rFonts w:hint="default" w:ascii="仿宋_GB2312" w:hAnsi="Calibri" w:eastAsia="仿宋_GB2312" w:cs="仿宋_GB2312"/>
          <w:i w:val="0"/>
          <w:caps w:val="0"/>
          <w:color w:val="000000"/>
          <w:spacing w:val="0"/>
          <w:kern w:val="0"/>
          <w:sz w:val="32"/>
          <w:szCs w:val="32"/>
          <w:lang w:val="en-US" w:eastAsia="zh-CN" w:bidi="ar"/>
        </w:rPr>
      </w:pPr>
      <w:r>
        <w:rPr>
          <w:rFonts w:hint="default" w:ascii="仿宋_GB2312" w:hAnsi="Calibri" w:eastAsia="仿宋_GB2312" w:cs="仿宋_GB2312"/>
          <w:i w:val="0"/>
          <w:caps w:val="0"/>
          <w:color w:val="000000"/>
          <w:spacing w:val="0"/>
          <w:kern w:val="0"/>
          <w:sz w:val="32"/>
          <w:szCs w:val="32"/>
          <w:lang w:val="en-US" w:eastAsia="zh-CN" w:bidi="ar"/>
        </w:rPr>
        <w:t>截止202</w:t>
      </w:r>
      <w:r>
        <w:rPr>
          <w:rFonts w:hint="eastAsia" w:ascii="仿宋_GB2312" w:hAnsi="Calibri" w:eastAsia="仿宋_GB2312" w:cs="仿宋_GB2312"/>
          <w:i w:val="0"/>
          <w:caps w:val="0"/>
          <w:color w:val="000000"/>
          <w:spacing w:val="0"/>
          <w:kern w:val="0"/>
          <w:sz w:val="32"/>
          <w:szCs w:val="32"/>
          <w:lang w:val="en-US" w:eastAsia="zh-CN" w:bidi="ar"/>
        </w:rPr>
        <w:t>5</w:t>
      </w:r>
      <w:r>
        <w:rPr>
          <w:rFonts w:hint="default" w:ascii="仿宋_GB2312" w:hAnsi="Calibri" w:eastAsia="仿宋_GB2312" w:cs="仿宋_GB2312"/>
          <w:i w:val="0"/>
          <w:caps w:val="0"/>
          <w:color w:val="000000"/>
          <w:spacing w:val="0"/>
          <w:kern w:val="0"/>
          <w:sz w:val="32"/>
          <w:szCs w:val="32"/>
          <w:lang w:val="en-US" w:eastAsia="zh-CN" w:bidi="ar"/>
        </w:rPr>
        <w:t>年底，实际共有固定资产</w:t>
      </w:r>
      <w:r>
        <w:rPr>
          <w:rFonts w:hint="eastAsia" w:ascii="仿宋_GB2312" w:hAnsi="Calibri" w:eastAsia="仿宋_GB2312" w:cs="仿宋_GB2312"/>
          <w:i w:val="0"/>
          <w:caps w:val="0"/>
          <w:color w:val="000000"/>
          <w:spacing w:val="0"/>
          <w:kern w:val="0"/>
          <w:sz w:val="32"/>
          <w:szCs w:val="32"/>
          <w:lang w:val="en-US" w:eastAsia="zh-CN" w:bidi="ar"/>
        </w:rPr>
        <w:t>原</w:t>
      </w:r>
      <w:r>
        <w:rPr>
          <w:rFonts w:hint="default" w:ascii="仿宋_GB2312" w:hAnsi="Calibri" w:eastAsia="仿宋_GB2312" w:cs="仿宋_GB2312"/>
          <w:i w:val="0"/>
          <w:caps w:val="0"/>
          <w:color w:val="000000"/>
          <w:spacing w:val="0"/>
          <w:kern w:val="0"/>
          <w:sz w:val="32"/>
          <w:szCs w:val="32"/>
          <w:lang w:val="en-US" w:eastAsia="zh-CN" w:bidi="ar"/>
        </w:rPr>
        <w:t>值</w:t>
      </w:r>
      <w:r>
        <w:rPr>
          <w:rFonts w:hint="eastAsia" w:ascii="仿宋_GB2312" w:hAnsi="Calibri" w:eastAsia="仿宋_GB2312" w:cs="仿宋_GB2312"/>
          <w:i w:val="0"/>
          <w:caps w:val="0"/>
          <w:color w:val="000000"/>
          <w:spacing w:val="0"/>
          <w:kern w:val="0"/>
          <w:sz w:val="32"/>
          <w:szCs w:val="32"/>
          <w:lang w:val="en-US" w:eastAsia="zh-CN" w:bidi="ar"/>
        </w:rPr>
        <w:t>101.93</w:t>
      </w:r>
      <w:r>
        <w:rPr>
          <w:rFonts w:hint="default" w:ascii="仿宋_GB2312" w:hAnsi="Calibri" w:eastAsia="仿宋_GB2312" w:cs="仿宋_GB2312"/>
          <w:i w:val="0"/>
          <w:caps w:val="0"/>
          <w:color w:val="000000"/>
          <w:spacing w:val="0"/>
          <w:kern w:val="0"/>
          <w:sz w:val="32"/>
          <w:szCs w:val="32"/>
          <w:lang w:val="en-US" w:eastAsia="zh-CN" w:bidi="ar"/>
        </w:rPr>
        <w:t>万元：其中：公务用车</w:t>
      </w:r>
      <w:r>
        <w:rPr>
          <w:rFonts w:hint="eastAsia" w:ascii="仿宋_GB2312" w:hAnsi="Calibri" w:eastAsia="仿宋_GB2312" w:cs="仿宋_GB2312"/>
          <w:i w:val="0"/>
          <w:caps w:val="0"/>
          <w:color w:val="000000"/>
          <w:spacing w:val="0"/>
          <w:kern w:val="0"/>
          <w:sz w:val="32"/>
          <w:szCs w:val="32"/>
          <w:lang w:val="en-US" w:eastAsia="zh-CN" w:bidi="ar"/>
        </w:rPr>
        <w:t>11.93</w:t>
      </w:r>
      <w:r>
        <w:rPr>
          <w:rFonts w:hint="default" w:ascii="仿宋_GB2312" w:hAnsi="Calibri" w:eastAsia="仿宋_GB2312" w:cs="仿宋_GB2312"/>
          <w:i w:val="0"/>
          <w:caps w:val="0"/>
          <w:color w:val="000000"/>
          <w:spacing w:val="0"/>
          <w:kern w:val="0"/>
          <w:sz w:val="32"/>
          <w:szCs w:val="32"/>
          <w:lang w:val="en-US" w:eastAsia="zh-CN" w:bidi="ar"/>
        </w:rPr>
        <w:t>万元；电脑及其他办公设备</w:t>
      </w:r>
      <w:r>
        <w:rPr>
          <w:rFonts w:hint="eastAsia" w:ascii="仿宋_GB2312" w:hAnsi="Calibri" w:eastAsia="仿宋_GB2312" w:cs="仿宋_GB2312"/>
          <w:i w:val="0"/>
          <w:caps w:val="0"/>
          <w:color w:val="000000"/>
          <w:spacing w:val="0"/>
          <w:kern w:val="0"/>
          <w:sz w:val="32"/>
          <w:szCs w:val="32"/>
          <w:lang w:val="en-US" w:eastAsia="zh-CN" w:bidi="ar"/>
        </w:rPr>
        <w:t>90</w:t>
      </w:r>
      <w:r>
        <w:rPr>
          <w:rFonts w:hint="default" w:ascii="仿宋_GB2312" w:hAnsi="Calibri" w:eastAsia="仿宋_GB2312" w:cs="仿宋_GB2312"/>
          <w:i w:val="0"/>
          <w:caps w:val="0"/>
          <w:color w:val="000000"/>
          <w:spacing w:val="0"/>
          <w:kern w:val="0"/>
          <w:sz w:val="32"/>
          <w:szCs w:val="32"/>
          <w:lang w:val="en-US" w:eastAsia="zh-CN" w:bidi="ar"/>
        </w:rPr>
        <w:t>万元。</w:t>
      </w:r>
    </w:p>
    <w:p w14:paraId="0A5353A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3943AA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14:paraId="7DF70137">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70EC902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5E9DDC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337D15C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5CF2EB3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4A04918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50C4935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5C5F1CF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247F7C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042250D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024383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1EE9C2D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5BD7578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3021DE4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53BD0B1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59FBCB2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14:paraId="5158D05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D7037FD"/>
    <w:rsid w:val="14DF3EBD"/>
    <w:rsid w:val="153002F5"/>
    <w:rsid w:val="194B2BBE"/>
    <w:rsid w:val="19C1402F"/>
    <w:rsid w:val="1B850E0D"/>
    <w:rsid w:val="1D9E0CBF"/>
    <w:rsid w:val="1FC3A16D"/>
    <w:rsid w:val="21D46671"/>
    <w:rsid w:val="24D7626E"/>
    <w:rsid w:val="2A5D19A7"/>
    <w:rsid w:val="2DCC64A9"/>
    <w:rsid w:val="2E55003F"/>
    <w:rsid w:val="33272C00"/>
    <w:rsid w:val="35ADB5FE"/>
    <w:rsid w:val="37FBE223"/>
    <w:rsid w:val="39094892"/>
    <w:rsid w:val="3B0A5326"/>
    <w:rsid w:val="3D7FF7C5"/>
    <w:rsid w:val="59CF4EA6"/>
    <w:rsid w:val="5F77EF34"/>
    <w:rsid w:val="5F78432A"/>
    <w:rsid w:val="5FBF9692"/>
    <w:rsid w:val="5FDD4934"/>
    <w:rsid w:val="5FE5B031"/>
    <w:rsid w:val="61FB5F19"/>
    <w:rsid w:val="62D33F71"/>
    <w:rsid w:val="7B3FE4B5"/>
    <w:rsid w:val="7E75F043"/>
    <w:rsid w:val="7E7DAFA3"/>
    <w:rsid w:val="7FAE0880"/>
    <w:rsid w:val="BFB78AF3"/>
    <w:rsid w:val="DF6FE783"/>
    <w:rsid w:val="E7F731A2"/>
    <w:rsid w:val="EBFF832A"/>
    <w:rsid w:val="EFF173DD"/>
    <w:rsid w:val="F7FDC598"/>
    <w:rsid w:val="FBBE0DFD"/>
    <w:rsid w:val="FEFD9768"/>
    <w:rsid w:val="FF7F5666"/>
    <w:rsid w:val="FFFF15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hint="default" w:ascii="Arial" w:hAnsi="Arial" w:eastAsia="黑体" w:cs="Times New Roman"/>
      <w:b/>
      <w:sz w:val="24"/>
      <w:szCs w:val="28"/>
      <w:lang w:val="en-US" w:eastAsia="zh-CN" w:bidi="ar-SA"/>
    </w:rPr>
  </w:style>
  <w:style w:type="paragraph" w:styleId="3">
    <w:name w:val="Body Text"/>
    <w:basedOn w:val="1"/>
    <w:next w:val="1"/>
    <w:qFormat/>
    <w:uiPriority w:val="0"/>
    <w:pPr>
      <w:spacing w:before="93" w:beforeLines="30"/>
    </w:pPr>
    <w:rPr>
      <w:rFonts w:ascii="仿宋_GB2312" w:eastAsia="仿宋_GB2312"/>
      <w:sz w:val="30"/>
    </w:rPr>
  </w:style>
  <w:style w:type="paragraph" w:styleId="4">
    <w:name w:val="Body Text Indent"/>
    <w:basedOn w:val="1"/>
    <w:next w:val="5"/>
    <w:qFormat/>
    <w:uiPriority w:val="0"/>
    <w:pPr>
      <w:spacing w:line="560" w:lineRule="atLeast"/>
      <w:ind w:firstLine="640" w:firstLineChars="200"/>
    </w:pPr>
    <w:rPr>
      <w:rFonts w:ascii="仿宋_GB2312" w:eastAsia="仿宋_GB2312"/>
      <w:sz w:val="32"/>
    </w:rPr>
  </w:style>
  <w:style w:type="paragraph" w:styleId="5">
    <w:name w:val="Body Text First Indent 2"/>
    <w:basedOn w:val="4"/>
    <w:qFormat/>
    <w:uiPriority w:val="0"/>
    <w:pPr>
      <w:ind w:firstLine="420"/>
    </w:pPr>
  </w:style>
  <w:style w:type="paragraph" w:styleId="6">
    <w:name w:val="table of figures"/>
    <w:basedOn w:val="1"/>
    <w:next w:val="1"/>
    <w:unhideWhenUsed/>
    <w:qFormat/>
    <w:uiPriority w:val="99"/>
    <w:pPr>
      <w:ind w:leftChars="200" w:hanging="200" w:hanging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普通(网站)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1">
    <w:name w:val="15"/>
    <w:basedOn w:val="9"/>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2025-05-28T13:07:00Z</dcterms:created>
  <dc:creator>投资股-李仕昂</dc:creator>
  <cp:lastModifiedBy>user</cp:lastModifiedBy>
  <dcterms:modified xsi:type="dcterms:W3CDTF">2026-02-06T16:09:04Z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3AB8FE4C6DEB8EA8C29C85691D7E8245_43</vt:lpwstr>
  </property>
</Properties>
</file>