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3FAC5FD">
      <w:pPr>
        <w:spacing w:line="600" w:lineRule="exact"/>
        <w:jc w:val="center"/>
        <w:outlineLvl w:val="0"/>
        <w:rPr>
          <w:rFonts w:ascii="方正小标宋简体" w:hAnsi="宋体" w:eastAsia="方正小标宋简体"/>
          <w:sz w:val="72"/>
          <w:szCs w:val="72"/>
        </w:rPr>
      </w:pPr>
      <w:bookmarkStart w:id="0" w:name="_Toc15378441"/>
      <w:bookmarkStart w:id="1" w:name="_Toc15377193"/>
      <w:bookmarkStart w:id="2" w:name="_Toc15396475"/>
      <w:bookmarkStart w:id="3" w:name="_Toc15377425"/>
      <w:bookmarkStart w:id="4" w:name="_Toc15396597"/>
      <w:bookmarkStart w:id="5" w:name="_Toc15306267"/>
    </w:p>
    <w:p w14:paraId="2E811BD4">
      <w:pPr>
        <w:pStyle w:val="14"/>
        <w:spacing w:before="93"/>
      </w:pPr>
    </w:p>
    <w:p w14:paraId="7AE0EDB2">
      <w:pPr>
        <w:spacing w:line="600" w:lineRule="exact"/>
        <w:jc w:val="center"/>
        <w:outlineLvl w:val="0"/>
        <w:rPr>
          <w:rFonts w:ascii="方正小标宋简体" w:hAnsi="宋体" w:eastAsia="方正小标宋简体"/>
          <w:sz w:val="72"/>
          <w:szCs w:val="72"/>
        </w:rPr>
      </w:pPr>
    </w:p>
    <w:p w14:paraId="67A841D7">
      <w:pPr>
        <w:spacing w:line="600" w:lineRule="exact"/>
        <w:jc w:val="center"/>
        <w:outlineLvl w:val="0"/>
        <w:rPr>
          <w:rFonts w:ascii="方正小标宋简体" w:hAnsi="宋体" w:eastAsia="方正小标宋简体"/>
          <w:sz w:val="72"/>
          <w:szCs w:val="72"/>
        </w:rPr>
      </w:pPr>
    </w:p>
    <w:p w14:paraId="5F831DC6">
      <w:pPr>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w:t>
      </w:r>
      <w:r>
        <w:rPr>
          <w:rFonts w:hint="eastAsia" w:ascii="方正小标宋简体" w:hAnsi="方正小标宋简体" w:eastAsia="方正小标宋简体" w:cs="方正小标宋简体"/>
          <w:sz w:val="72"/>
          <w:szCs w:val="72"/>
          <w:lang w:val="en-US" w:eastAsia="zh-CN"/>
        </w:rPr>
        <w:t>4</w:t>
      </w:r>
      <w:r>
        <w:rPr>
          <w:rFonts w:hint="eastAsia" w:ascii="方正小标宋简体" w:hAnsi="方正小标宋简体" w:eastAsia="方正小标宋简体" w:cs="方正小标宋简体"/>
          <w:sz w:val="72"/>
          <w:szCs w:val="72"/>
        </w:rPr>
        <w:t>年度</w:t>
      </w:r>
      <w:bookmarkEnd w:id="0"/>
      <w:bookmarkEnd w:id="1"/>
      <w:bookmarkEnd w:id="2"/>
      <w:bookmarkEnd w:id="3"/>
      <w:bookmarkEnd w:id="4"/>
    </w:p>
    <w:p w14:paraId="4EE11A15">
      <w:pPr>
        <w:spacing w:line="360" w:lineRule="auto"/>
        <w:jc w:val="center"/>
        <w:outlineLvl w:val="0"/>
        <w:rPr>
          <w:rFonts w:ascii="方正小标宋简体" w:hAnsi="方正小标宋简体" w:eastAsia="方正小标宋简体" w:cs="方正小标宋简体"/>
          <w:sz w:val="72"/>
          <w:szCs w:val="72"/>
        </w:rPr>
      </w:pPr>
      <w:bookmarkStart w:id="6" w:name="_Toc15396598"/>
      <w:bookmarkStart w:id="7" w:name="_Toc15396476"/>
      <w:bookmarkStart w:id="8" w:name="_Toc15377426"/>
      <w:bookmarkStart w:id="9" w:name="_Toc15378442"/>
      <w:bookmarkStart w:id="10" w:name="_Toc15377194"/>
      <w:r>
        <w:rPr>
          <w:rFonts w:hint="eastAsia" w:ascii="方正小标宋简体" w:hAnsi="方正小标宋简体" w:eastAsia="方正小标宋简体" w:cs="方正小标宋简体"/>
          <w:sz w:val="72"/>
          <w:szCs w:val="72"/>
        </w:rPr>
        <w:t>四川省</w:t>
      </w:r>
      <w:bookmarkEnd w:id="5"/>
      <w:bookmarkStart w:id="11" w:name="_Toc15306268"/>
      <w:r>
        <w:rPr>
          <w:rFonts w:hint="eastAsia" w:ascii="方正小标宋简体" w:hAnsi="方正小标宋简体" w:eastAsia="方正小标宋简体" w:cs="方正小标宋简体"/>
          <w:sz w:val="72"/>
          <w:szCs w:val="72"/>
          <w:lang w:eastAsia="zh-CN"/>
        </w:rPr>
        <w:t>阿坝州红原县红十字会</w:t>
      </w:r>
      <w:r>
        <w:rPr>
          <w:rFonts w:hint="eastAsia" w:ascii="方正小标宋简体" w:hAnsi="方正小标宋简体" w:eastAsia="方正小标宋简体" w:cs="方正小标宋简体"/>
          <w:sz w:val="72"/>
          <w:szCs w:val="72"/>
        </w:rPr>
        <w:t>部门决算</w:t>
      </w:r>
      <w:bookmarkEnd w:id="6"/>
      <w:bookmarkEnd w:id="7"/>
      <w:bookmarkEnd w:id="8"/>
      <w:bookmarkEnd w:id="9"/>
      <w:bookmarkEnd w:id="10"/>
      <w:bookmarkEnd w:id="11"/>
    </w:p>
    <w:p w14:paraId="1177F78C">
      <w:pPr>
        <w:widowControl/>
        <w:jc w:val="center"/>
        <w:rPr>
          <w:rFonts w:ascii="黑体" w:hAnsi="黑体" w:eastAsia="黑体"/>
          <w:sz w:val="48"/>
          <w:szCs w:val="48"/>
        </w:rPr>
      </w:pPr>
      <w:r>
        <w:rPr>
          <w:rFonts w:ascii="方正小标宋简体" w:hAnsi="宋体" w:eastAsia="方正小标宋简体"/>
          <w:sz w:val="36"/>
          <w:szCs w:val="36"/>
        </w:rPr>
        <w:br w:type="page" w:clear="all"/>
      </w:r>
      <w:r>
        <w:rPr>
          <w:rFonts w:hint="eastAsia" w:ascii="黑体" w:hAnsi="黑体" w:eastAsia="黑体"/>
          <w:sz w:val="48"/>
          <w:szCs w:val="48"/>
        </w:rPr>
        <w:t>目录</w:t>
      </w:r>
    </w:p>
    <w:p w14:paraId="0BC7FFBF">
      <w:pPr>
        <w:widowControl/>
        <w:jc w:val="center"/>
        <w:rPr>
          <w:rFonts w:ascii="黑体" w:hAnsi="黑体" w:eastAsia="黑体" w:cstheme="minorBidi"/>
          <w:sz w:val="28"/>
          <w:szCs w:val="28"/>
        </w:rPr>
      </w:pPr>
    </w:p>
    <w:p w14:paraId="2DCA5DFD">
      <w:pPr>
        <w:pStyle w:val="23"/>
      </w:pPr>
      <w:r>
        <w:rPr>
          <w:rFonts w:hint="eastAsia"/>
        </w:rPr>
        <w:t>公开时间：202</w:t>
      </w:r>
      <w:r>
        <w:rPr>
          <w:rFonts w:hint="eastAsia"/>
          <w:lang w:val="en-US" w:eastAsia="zh-CN"/>
        </w:rPr>
        <w:t>5</w:t>
      </w:r>
      <w:r>
        <w:rPr>
          <w:rFonts w:hint="eastAsia"/>
        </w:rPr>
        <w:t>年</w:t>
      </w:r>
      <w:r>
        <w:rPr>
          <w:rFonts w:hint="eastAsia"/>
          <w:lang w:val="en-US" w:eastAsia="zh-CN"/>
        </w:rPr>
        <w:t>9</w:t>
      </w:r>
      <w:r>
        <w:rPr>
          <w:rFonts w:hint="eastAsia"/>
        </w:rPr>
        <w:t>月</w:t>
      </w:r>
      <w:r>
        <w:rPr>
          <w:rFonts w:hint="eastAsia"/>
          <w:lang w:val="en-US" w:eastAsia="zh-CN"/>
        </w:rPr>
        <w:t>23</w:t>
      </w:r>
      <w:r>
        <w:rPr>
          <w:rFonts w:hint="eastAsia"/>
        </w:rPr>
        <w:t>日</w:t>
      </w:r>
    </w:p>
    <w:p w14:paraId="0D19726C"/>
    <w:p w14:paraId="4B0ECA67">
      <w:pPr>
        <w:pStyle w:val="23"/>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14:paraId="066EDE6A">
      <w:pPr>
        <w:pStyle w:val="29"/>
        <w:spacing w:line="440" w:lineRule="exact"/>
        <w:jc w:val="left"/>
        <w:rPr>
          <w:rFonts w:ascii="仿宋" w:hAnsi="仿宋" w:eastAsia="仿宋"/>
          <w:sz w:val="24"/>
        </w:rPr>
      </w:pPr>
      <w:r>
        <w:rPr>
          <w:rFonts w:hint="eastAsia"/>
          <w:sz w:val="24"/>
        </w:rPr>
        <w:t>一、部门职责</w:t>
      </w:r>
    </w:p>
    <w:p w14:paraId="5774B767">
      <w:pPr>
        <w:pStyle w:val="29"/>
        <w:spacing w:line="440" w:lineRule="exact"/>
        <w:jc w:val="left"/>
        <w:rPr>
          <w:rFonts w:ascii="仿宋" w:hAnsi="仿宋" w:eastAsia="仿宋" w:cstheme="minorBidi"/>
          <w:sz w:val="24"/>
        </w:rPr>
      </w:pPr>
      <w:r>
        <w:rPr>
          <w:rFonts w:hint="eastAsia"/>
          <w:sz w:val="24"/>
        </w:rPr>
        <w:t>二、机构设置</w:t>
      </w:r>
    </w:p>
    <w:p w14:paraId="3069CC72">
      <w:pPr>
        <w:pStyle w:val="23"/>
        <w:spacing w:before="0" w:line="440" w:lineRule="exact"/>
        <w:jc w:val="left"/>
        <w:rPr>
          <w:sz w:val="24"/>
          <w:szCs w:val="24"/>
        </w:rPr>
      </w:pPr>
      <w:r>
        <w:rPr>
          <w:rFonts w:hint="eastAsia"/>
          <w:sz w:val="24"/>
        </w:rPr>
        <w:t>第二部分 202</w:t>
      </w:r>
      <w:r>
        <w:rPr>
          <w:rFonts w:hint="eastAsia"/>
          <w:sz w:val="24"/>
          <w:lang w:val="en-US" w:eastAsia="zh-CN"/>
        </w:rPr>
        <w:t>4</w:t>
      </w:r>
      <w:r>
        <w:rPr>
          <w:rFonts w:hint="eastAsia"/>
          <w:sz w:val="24"/>
        </w:rPr>
        <w:t>年度部门决算情况说明</w:t>
      </w:r>
    </w:p>
    <w:p w14:paraId="28A30787">
      <w:pPr>
        <w:pStyle w:val="29"/>
        <w:spacing w:line="440" w:lineRule="exact"/>
        <w:jc w:val="left"/>
        <w:rPr>
          <w:rFonts w:ascii="仿宋" w:hAnsi="仿宋" w:eastAsia="仿宋" w:cstheme="minorBidi"/>
          <w:sz w:val="24"/>
        </w:rPr>
      </w:pPr>
      <w:r>
        <w:rPr>
          <w:rFonts w:hint="eastAsia"/>
          <w:sz w:val="24"/>
        </w:rPr>
        <w:t>一、收入支出决算总体情况说明</w:t>
      </w:r>
    </w:p>
    <w:p w14:paraId="0C60C6BA">
      <w:pPr>
        <w:pStyle w:val="29"/>
        <w:spacing w:line="440" w:lineRule="exact"/>
        <w:jc w:val="left"/>
        <w:rPr>
          <w:rFonts w:ascii="仿宋" w:hAnsi="仿宋" w:eastAsia="仿宋" w:cstheme="minorBidi"/>
          <w:sz w:val="24"/>
        </w:rPr>
      </w:pPr>
      <w:r>
        <w:rPr>
          <w:rFonts w:hint="eastAsia"/>
          <w:sz w:val="24"/>
        </w:rPr>
        <w:t>二、收入决算情况说明</w:t>
      </w:r>
    </w:p>
    <w:p w14:paraId="36FC7B0D">
      <w:pPr>
        <w:pStyle w:val="29"/>
        <w:spacing w:line="440" w:lineRule="exact"/>
        <w:jc w:val="left"/>
        <w:rPr>
          <w:rFonts w:ascii="仿宋" w:hAnsi="仿宋" w:eastAsia="仿宋" w:cstheme="minorBidi"/>
          <w:sz w:val="24"/>
        </w:rPr>
      </w:pPr>
      <w:r>
        <w:rPr>
          <w:rFonts w:hint="eastAsia"/>
          <w:sz w:val="24"/>
        </w:rPr>
        <w:t>三、支出决算情况说明</w:t>
      </w:r>
    </w:p>
    <w:p w14:paraId="555095DC">
      <w:pPr>
        <w:pStyle w:val="29"/>
        <w:spacing w:line="440" w:lineRule="exact"/>
        <w:jc w:val="left"/>
        <w:rPr>
          <w:rFonts w:ascii="仿宋" w:hAnsi="仿宋" w:eastAsia="仿宋" w:cstheme="minorBidi"/>
          <w:sz w:val="24"/>
        </w:rPr>
      </w:pPr>
      <w:r>
        <w:rPr>
          <w:rFonts w:hint="eastAsia"/>
          <w:sz w:val="24"/>
        </w:rPr>
        <w:t>四、财政拨款收入支出决算总体情况说明</w:t>
      </w:r>
    </w:p>
    <w:p w14:paraId="2E44EF9C">
      <w:pPr>
        <w:pStyle w:val="29"/>
        <w:spacing w:line="440" w:lineRule="exact"/>
        <w:jc w:val="left"/>
        <w:rPr>
          <w:rFonts w:ascii="仿宋" w:hAnsi="仿宋" w:eastAsia="仿宋" w:cstheme="minorBidi"/>
          <w:sz w:val="24"/>
        </w:rPr>
      </w:pPr>
      <w:r>
        <w:rPr>
          <w:rFonts w:hint="eastAsia"/>
          <w:sz w:val="24"/>
        </w:rPr>
        <w:t>五、一般公共预算财政拨款支出决算情况说明</w:t>
      </w:r>
    </w:p>
    <w:p w14:paraId="1FEDFF29">
      <w:pPr>
        <w:pStyle w:val="29"/>
        <w:spacing w:line="440" w:lineRule="exact"/>
        <w:jc w:val="left"/>
        <w:rPr>
          <w:rFonts w:ascii="仿宋" w:hAnsi="仿宋" w:eastAsia="仿宋" w:cstheme="minorBidi"/>
          <w:sz w:val="24"/>
        </w:rPr>
      </w:pPr>
      <w:r>
        <w:rPr>
          <w:rFonts w:hint="eastAsia"/>
          <w:sz w:val="24"/>
        </w:rPr>
        <w:t>六、一般公共预算财政拨款基本支出决算情况说明</w:t>
      </w:r>
    </w:p>
    <w:p w14:paraId="33EC05BD">
      <w:pPr>
        <w:pStyle w:val="29"/>
        <w:spacing w:line="440" w:lineRule="exact"/>
        <w:jc w:val="left"/>
        <w:rPr>
          <w:rFonts w:ascii="仿宋" w:hAnsi="仿宋" w:eastAsia="仿宋" w:cstheme="minorBidi"/>
          <w:sz w:val="24"/>
        </w:rPr>
      </w:pPr>
      <w:r>
        <w:rPr>
          <w:rFonts w:hint="eastAsia"/>
          <w:sz w:val="24"/>
        </w:rPr>
        <w:t>七、财政拨款“三公”经费支出决算情况说明</w:t>
      </w:r>
    </w:p>
    <w:p w14:paraId="2828D72D">
      <w:pPr>
        <w:pStyle w:val="29"/>
        <w:spacing w:line="440" w:lineRule="exact"/>
        <w:jc w:val="left"/>
        <w:rPr>
          <w:rFonts w:ascii="仿宋" w:hAnsi="仿宋" w:eastAsia="仿宋" w:cstheme="minorBidi"/>
          <w:sz w:val="24"/>
        </w:rPr>
      </w:pPr>
      <w:r>
        <w:rPr>
          <w:rFonts w:hint="eastAsia"/>
          <w:sz w:val="24"/>
        </w:rPr>
        <w:t>八、政府性基金预算支出决算情况说明</w:t>
      </w:r>
    </w:p>
    <w:p w14:paraId="5C9FC29D">
      <w:pPr>
        <w:pStyle w:val="29"/>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九、国有资本经营预算支出决算情况说明</w:t>
      </w:r>
    </w:p>
    <w:p w14:paraId="53E4C827">
      <w:pPr>
        <w:spacing w:line="440" w:lineRule="exact"/>
        <w:ind w:firstLine="420"/>
        <w:jc w:val="left"/>
        <w:rPr>
          <w:rFonts w:asciiTheme="minorEastAsia" w:hAnsiTheme="minorEastAsia" w:eastAsiaTheme="minorEastAsia" w:cstheme="minorEastAsia"/>
          <w:sz w:val="24"/>
        </w:rPr>
      </w:pPr>
      <w:r>
        <w:rPr>
          <w:rStyle w:val="39"/>
          <w:rFonts w:hint="eastAsia" w:asciiTheme="minorEastAsia" w:hAnsiTheme="minorEastAsia" w:eastAsiaTheme="minorEastAsia" w:cstheme="minorEastAsia"/>
          <w:color w:val="auto"/>
          <w:sz w:val="24"/>
          <w:u w:val="none"/>
        </w:rPr>
        <w:t>十、</w:t>
      </w:r>
      <w:r>
        <w:rPr>
          <w:rFonts w:hint="eastAsia" w:asciiTheme="minorEastAsia" w:hAnsiTheme="minorEastAsia" w:eastAsiaTheme="minorEastAsia" w:cstheme="minorEastAsia"/>
          <w:sz w:val="24"/>
        </w:rPr>
        <w:t>其他重要事项的情况说明</w:t>
      </w:r>
      <w:r>
        <w:rPr>
          <w:rFonts w:hint="eastAsia" w:asciiTheme="minorEastAsia" w:hAnsiTheme="minorEastAsia" w:eastAsiaTheme="minorEastAsia" w:cstheme="minorEastAsia"/>
          <w:sz w:val="24"/>
        </w:rPr>
        <w:tab/>
      </w:r>
    </w:p>
    <w:p w14:paraId="7B84D21A">
      <w:pPr>
        <w:pStyle w:val="23"/>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14:paraId="0634AAC9">
      <w:pPr>
        <w:pStyle w:val="23"/>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14:paraId="7BD641A1">
      <w:pPr>
        <w:pStyle w:val="23"/>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14:paraId="0CC61174">
      <w:pPr>
        <w:pStyle w:val="29"/>
        <w:spacing w:line="440" w:lineRule="exact"/>
        <w:jc w:val="left"/>
        <w:rPr>
          <w:sz w:val="24"/>
        </w:rPr>
      </w:pPr>
      <w:r>
        <w:rPr>
          <w:rFonts w:hint="eastAsia"/>
          <w:sz w:val="24"/>
        </w:rPr>
        <w:t>一、收入支出决算总表</w:t>
      </w:r>
    </w:p>
    <w:p w14:paraId="600B14EF">
      <w:pPr>
        <w:pStyle w:val="29"/>
        <w:spacing w:line="440" w:lineRule="exact"/>
        <w:jc w:val="left"/>
        <w:rPr>
          <w:sz w:val="24"/>
        </w:rPr>
      </w:pPr>
      <w:r>
        <w:rPr>
          <w:rFonts w:hint="eastAsia"/>
          <w:sz w:val="24"/>
        </w:rPr>
        <w:t>二、收入决算表</w:t>
      </w:r>
    </w:p>
    <w:p w14:paraId="24D85101">
      <w:pPr>
        <w:pStyle w:val="29"/>
        <w:spacing w:line="440" w:lineRule="exact"/>
        <w:jc w:val="left"/>
        <w:rPr>
          <w:sz w:val="24"/>
        </w:rPr>
      </w:pPr>
      <w:r>
        <w:rPr>
          <w:rFonts w:hint="eastAsia"/>
          <w:sz w:val="24"/>
        </w:rPr>
        <w:t>三、支出决算表</w:t>
      </w:r>
    </w:p>
    <w:p w14:paraId="1CA149C5">
      <w:pPr>
        <w:pStyle w:val="29"/>
        <w:spacing w:line="440" w:lineRule="exact"/>
        <w:jc w:val="left"/>
        <w:rPr>
          <w:sz w:val="24"/>
        </w:rPr>
      </w:pPr>
      <w:r>
        <w:rPr>
          <w:rFonts w:hint="eastAsia"/>
          <w:sz w:val="24"/>
        </w:rPr>
        <w:t>四、财政拨款收入支出决算总表</w:t>
      </w:r>
    </w:p>
    <w:p w14:paraId="3BFAA34F">
      <w:pPr>
        <w:pStyle w:val="29"/>
        <w:spacing w:line="440" w:lineRule="exact"/>
        <w:jc w:val="left"/>
        <w:rPr>
          <w:sz w:val="24"/>
        </w:rPr>
      </w:pPr>
      <w:r>
        <w:rPr>
          <w:rFonts w:hint="eastAsia"/>
          <w:sz w:val="24"/>
        </w:rPr>
        <w:t>五、财政拨款支出决算明细表</w:t>
      </w:r>
    </w:p>
    <w:p w14:paraId="490E566F">
      <w:pPr>
        <w:pStyle w:val="29"/>
        <w:spacing w:line="440" w:lineRule="exact"/>
        <w:jc w:val="left"/>
        <w:rPr>
          <w:sz w:val="24"/>
        </w:rPr>
      </w:pPr>
      <w:r>
        <w:rPr>
          <w:rFonts w:hint="eastAsia"/>
          <w:sz w:val="24"/>
        </w:rPr>
        <w:t>六、一般公共预算财政拨款支出决算表</w:t>
      </w:r>
    </w:p>
    <w:p w14:paraId="5FF50722">
      <w:pPr>
        <w:pStyle w:val="29"/>
        <w:spacing w:line="440" w:lineRule="exact"/>
        <w:jc w:val="left"/>
        <w:rPr>
          <w:sz w:val="24"/>
        </w:rPr>
      </w:pPr>
      <w:r>
        <w:rPr>
          <w:rFonts w:hint="eastAsia"/>
          <w:sz w:val="24"/>
        </w:rPr>
        <w:t>七、一般公共预算财政拨款支出决算明细表</w:t>
      </w:r>
    </w:p>
    <w:p w14:paraId="77FB5011">
      <w:pPr>
        <w:pStyle w:val="29"/>
        <w:spacing w:line="440" w:lineRule="exact"/>
        <w:jc w:val="left"/>
        <w:rPr>
          <w:sz w:val="24"/>
        </w:rPr>
      </w:pPr>
      <w:r>
        <w:rPr>
          <w:rFonts w:hint="eastAsia"/>
          <w:sz w:val="24"/>
        </w:rPr>
        <w:t>八、一般公共预算财政拨款基本支出决算明细表</w:t>
      </w:r>
    </w:p>
    <w:p w14:paraId="2A243CA3">
      <w:pPr>
        <w:pStyle w:val="29"/>
        <w:spacing w:line="440" w:lineRule="exact"/>
        <w:jc w:val="left"/>
        <w:rPr>
          <w:sz w:val="24"/>
        </w:rPr>
      </w:pPr>
      <w:r>
        <w:rPr>
          <w:rFonts w:hint="eastAsia"/>
          <w:sz w:val="24"/>
        </w:rPr>
        <w:t>九、一般公共预算财政拨款项目支出决算表</w:t>
      </w:r>
    </w:p>
    <w:p w14:paraId="5BAAB3B7">
      <w:pPr>
        <w:pStyle w:val="29"/>
        <w:spacing w:line="440" w:lineRule="exact"/>
        <w:jc w:val="left"/>
        <w:rPr>
          <w:sz w:val="24"/>
        </w:rPr>
      </w:pPr>
      <w:r>
        <w:rPr>
          <w:rFonts w:hint="eastAsia"/>
          <w:sz w:val="24"/>
        </w:rPr>
        <w:t>十、政府性基金预算财政拨款收入支出决算表</w:t>
      </w:r>
    </w:p>
    <w:p w14:paraId="78613C3B">
      <w:pPr>
        <w:pStyle w:val="29"/>
        <w:spacing w:line="440" w:lineRule="exact"/>
        <w:jc w:val="left"/>
        <w:rPr>
          <w:sz w:val="24"/>
        </w:rPr>
      </w:pPr>
      <w:r>
        <w:rPr>
          <w:rFonts w:hint="eastAsia"/>
          <w:sz w:val="24"/>
        </w:rPr>
        <w:t>十一、国有资本经营预算财政拨款收入支出决算表</w:t>
      </w:r>
    </w:p>
    <w:p w14:paraId="3E78A33D">
      <w:pPr>
        <w:pStyle w:val="29"/>
        <w:spacing w:line="440" w:lineRule="exact"/>
        <w:jc w:val="left"/>
        <w:rPr>
          <w:sz w:val="24"/>
        </w:rPr>
      </w:pPr>
      <w:r>
        <w:rPr>
          <w:rFonts w:hint="eastAsia"/>
          <w:sz w:val="24"/>
        </w:rPr>
        <w:t>十二、国有资本经营预算财政拨款支出决算表</w:t>
      </w:r>
    </w:p>
    <w:p w14:paraId="2AD77818">
      <w:pPr>
        <w:pStyle w:val="29"/>
        <w:spacing w:line="440" w:lineRule="exact"/>
        <w:jc w:val="left"/>
        <w:rPr>
          <w:rFonts w:asciiTheme="minorEastAsia" w:hAnsiTheme="minorEastAsia" w:eastAsiaTheme="minorEastAsia" w:cstheme="minorEastAsia"/>
          <w:sz w:val="24"/>
        </w:rPr>
      </w:pPr>
      <w:r>
        <w:rPr>
          <w:rFonts w:hint="eastAsia"/>
          <w:sz w:val="24"/>
        </w:rPr>
        <w:t>十三、财政拨款“三公”经费支出决算表</w:t>
      </w:r>
    </w:p>
    <w:p w14:paraId="4232750B">
      <w:pPr>
        <w:widowControl/>
        <w:spacing w:line="440" w:lineRule="exact"/>
        <w:ind w:firstLine="1320"/>
        <w:jc w:val="left"/>
        <w:rPr>
          <w:rFonts w:ascii="仿宋" w:hAnsi="仿宋" w:eastAsia="仿宋"/>
          <w:sz w:val="24"/>
        </w:r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14:paraId="348DED52">
      <w:pPr>
        <w:widowControl/>
        <w:spacing w:line="440" w:lineRule="exact"/>
        <w:jc w:val="left"/>
        <w:rPr>
          <w:rFonts w:ascii="仿宋" w:hAnsi="仿宋" w:eastAsia="仿宋"/>
          <w:bCs/>
          <w:sz w:val="24"/>
        </w:rPr>
      </w:pPr>
      <w:bookmarkStart w:id="12" w:name="_Toc15377196"/>
      <w:bookmarkStart w:id="13" w:name="_Toc15396599"/>
      <w:r>
        <w:rPr>
          <w:rFonts w:ascii="仿宋" w:hAnsi="仿宋" w:eastAsia="仿宋"/>
          <w:b/>
          <w:sz w:val="24"/>
        </w:rPr>
        <w:br w:type="page" w:clear="all"/>
      </w:r>
    </w:p>
    <w:p w14:paraId="2A2B3447">
      <w:pPr>
        <w:pStyle w:val="3"/>
        <w:pageBreakBefore w:val="0"/>
        <w:widowControl w:val="0"/>
        <w:spacing w:before="0" w:after="0" w:line="580" w:lineRule="exact"/>
        <w:ind w:left="0" w:right="0" w:firstLine="880"/>
        <w:jc w:val="both"/>
        <w:rPr>
          <w:rFonts w:ascii="黑体" w:eastAsia="黑体"/>
          <w:sz w:val="32"/>
          <w:szCs w:val="32"/>
        </w:rPr>
      </w:pPr>
      <w:r>
        <w:rPr>
          <w:rFonts w:hint="eastAsia" w:ascii="黑体" w:hAnsi="黑体" w:eastAsia="黑体"/>
          <w:b w:val="0"/>
        </w:rPr>
        <w:t xml:space="preserve">第一部分 </w:t>
      </w:r>
      <w:r>
        <w:rPr>
          <w:rStyle w:val="194"/>
          <w:rFonts w:hint="eastAsia" w:ascii="黑体" w:hAnsi="黑体" w:eastAsia="黑体"/>
          <w:b w:val="0"/>
          <w:bCs w:val="0"/>
        </w:rPr>
        <w:t>部门概况</w:t>
      </w:r>
      <w:bookmarkEnd w:id="12"/>
      <w:bookmarkEnd w:id="13"/>
    </w:p>
    <w:p w14:paraId="7CC26183">
      <w:pPr>
        <w:pStyle w:val="14"/>
        <w:keepNext w:val="0"/>
        <w:keepLines w:val="0"/>
        <w:pageBreakBefore w:val="0"/>
        <w:widowControl w:val="0"/>
        <w:spacing w:line="580" w:lineRule="exact"/>
        <w:ind w:left="0" w:right="0" w:firstLine="643"/>
        <w:jc w:val="both"/>
        <w:rPr>
          <w:rFonts w:hint="eastAsia" w:ascii="楷体_GB2312" w:hAnsi="楷体_GB2312" w:eastAsia="楷体_GB2312" w:cs="楷体_GB2312"/>
          <w:b/>
          <w:bCs/>
          <w:sz w:val="32"/>
          <w:szCs w:val="32"/>
          <w:lang w:eastAsia="zh-CN"/>
        </w:rPr>
      </w:pPr>
      <w:r>
        <w:rPr>
          <w:rFonts w:hint="eastAsia" w:ascii="黑体" w:hAnsi="黑体" w:eastAsia="黑体"/>
          <w:b/>
          <w:bCs/>
          <w:sz w:val="32"/>
          <w:szCs w:val="32"/>
          <w:lang w:eastAsia="zh-CN"/>
        </w:rPr>
        <w:t>一、</w:t>
      </w:r>
      <w:r>
        <w:rPr>
          <w:rFonts w:hint="eastAsia" w:ascii="黑体" w:hAnsi="黑体" w:eastAsia="黑体"/>
          <w:b/>
          <w:bCs/>
          <w:sz w:val="32"/>
          <w:szCs w:val="32"/>
        </w:rPr>
        <w:t>部门职责</w:t>
      </w:r>
    </w:p>
    <w:p w14:paraId="76776F71">
      <w:pPr>
        <w:pStyle w:val="14"/>
        <w:pageBreakBefore w:val="0"/>
        <w:widowControl w:val="0"/>
        <w:spacing w:line="580" w:lineRule="exact"/>
        <w:ind w:left="0" w:right="0" w:firstLine="640"/>
        <w:jc w:val="both"/>
        <w:rPr>
          <w:rFonts w:hint="eastAsia"/>
          <w:bCs/>
          <w:sz w:val="32"/>
          <w:szCs w:val="32"/>
          <w:lang w:val="en-US" w:eastAsia="zh-CN"/>
        </w:rPr>
      </w:pPr>
      <w:r>
        <w:rPr>
          <w:rFonts w:hint="eastAsia"/>
          <w:bCs/>
          <w:sz w:val="32"/>
          <w:szCs w:val="32"/>
          <w:lang w:val="en-US" w:eastAsia="zh-CN"/>
        </w:rPr>
        <w:t>（一）传播国际红十字运动知识和国际人道主义，宣传、执行《中华人民共和国红十字会法》和《中华人民共和国红十字会法实施办法》等法律、法规，遵循《中国红十字会章程》，依法建会、治会、兴会。</w:t>
      </w:r>
    </w:p>
    <w:p w14:paraId="2D18E4F9">
      <w:pPr>
        <w:pStyle w:val="14"/>
        <w:pageBreakBefore w:val="0"/>
        <w:widowControl w:val="0"/>
        <w:spacing w:line="580" w:lineRule="exact"/>
        <w:ind w:left="0" w:right="0" w:firstLine="640"/>
        <w:jc w:val="both"/>
        <w:rPr>
          <w:rFonts w:hint="eastAsia"/>
          <w:bCs/>
          <w:sz w:val="32"/>
          <w:szCs w:val="32"/>
          <w:lang w:val="en-US" w:eastAsia="zh-CN"/>
        </w:rPr>
      </w:pPr>
      <w:r>
        <w:rPr>
          <w:rFonts w:hint="eastAsia"/>
          <w:bCs/>
          <w:sz w:val="32"/>
          <w:szCs w:val="32"/>
          <w:lang w:val="en-US" w:eastAsia="zh-CN"/>
        </w:rPr>
        <w:t>（二）开展备灾救灾工作，兴建和管理备灾救灾设施，在自然灾害和突发事件中开展对受害者的救助和救护。</w:t>
      </w:r>
    </w:p>
    <w:p w14:paraId="385C38B1">
      <w:pPr>
        <w:pStyle w:val="14"/>
        <w:pageBreakBefore w:val="0"/>
        <w:widowControl w:val="0"/>
        <w:spacing w:line="580" w:lineRule="exact"/>
        <w:ind w:left="0" w:right="0" w:firstLine="640"/>
        <w:jc w:val="both"/>
        <w:rPr>
          <w:rFonts w:hint="eastAsia"/>
          <w:bCs/>
          <w:sz w:val="32"/>
          <w:szCs w:val="32"/>
          <w:lang w:val="en-US" w:eastAsia="zh-CN"/>
        </w:rPr>
      </w:pPr>
      <w:r>
        <w:rPr>
          <w:rFonts w:hint="eastAsia"/>
          <w:bCs/>
          <w:sz w:val="32"/>
          <w:szCs w:val="32"/>
          <w:lang w:val="en-US" w:eastAsia="zh-CN"/>
        </w:rPr>
        <w:t>（三）开展人道领域的社会公益服务活动和卫生救护、卫生防病知识的宣传、开展学术交流、组织社会捐助，进行初级卫生救护培训，组织群众参加现场救护，推动无偿献血和非血缘关系骨髓移植工作。</w:t>
      </w:r>
    </w:p>
    <w:p w14:paraId="762EB96C">
      <w:pPr>
        <w:pStyle w:val="14"/>
        <w:keepNext w:val="0"/>
        <w:keepLines w:val="0"/>
        <w:pageBreakBefore w:val="0"/>
        <w:widowControl w:val="0"/>
        <w:spacing w:line="580" w:lineRule="exact"/>
        <w:ind w:left="0" w:right="0" w:firstLine="640"/>
        <w:jc w:val="both"/>
      </w:pPr>
      <w:r>
        <w:rPr>
          <w:rFonts w:hint="eastAsia"/>
          <w:bCs/>
          <w:sz w:val="32"/>
          <w:szCs w:val="32"/>
          <w:lang w:val="en-US" w:eastAsia="zh-CN"/>
        </w:rPr>
        <w:t>（四）加强与兄弟市、县红十字会及国际红十字组织友好往来，开展人道领域的合作与交流，争取援助</w:t>
      </w:r>
      <w:r>
        <w:rPr>
          <w:rFonts w:hint="eastAsia"/>
          <w:bCs/>
          <w:sz w:val="32"/>
          <w:szCs w:val="32"/>
          <w:lang w:eastAsia="zh-CN"/>
        </w:rPr>
        <w:t>。</w:t>
      </w:r>
    </w:p>
    <w:p w14:paraId="734B010D">
      <w:pPr>
        <w:pStyle w:val="4"/>
        <w:pageBreakBefore w:val="0"/>
        <w:widowControl w:val="0"/>
        <w:spacing w:before="0" w:after="0" w:line="580" w:lineRule="exact"/>
        <w:ind w:left="0" w:right="0" w:firstLine="643"/>
        <w:jc w:val="both"/>
        <w:rPr>
          <w:rStyle w:val="195"/>
          <w:b/>
          <w:bCs w:val="0"/>
        </w:rPr>
      </w:pPr>
      <w:bookmarkStart w:id="14" w:name="_Toc15396601"/>
      <w:bookmarkStart w:id="15" w:name="_Toc15377200"/>
      <w:r>
        <w:rPr>
          <w:rFonts w:hint="eastAsia" w:ascii="黑体" w:eastAsia="黑体"/>
          <w:b/>
          <w:bCs w:val="0"/>
        </w:rPr>
        <w:t>二、</w:t>
      </w:r>
      <w:r>
        <w:rPr>
          <w:rFonts w:hint="eastAsia" w:ascii="黑体" w:hAnsi="黑体" w:eastAsia="黑体"/>
          <w:b/>
          <w:bCs w:val="0"/>
        </w:rPr>
        <w:t>机</w:t>
      </w:r>
      <w:r>
        <w:rPr>
          <w:rStyle w:val="195"/>
          <w:rFonts w:hint="eastAsia" w:ascii="黑体" w:hAnsi="黑体" w:eastAsia="黑体"/>
          <w:b/>
          <w:bCs w:val="0"/>
        </w:rPr>
        <w:t>构设置</w:t>
      </w:r>
      <w:bookmarkEnd w:id="14"/>
      <w:bookmarkEnd w:id="15"/>
    </w:p>
    <w:p w14:paraId="5B61C2F9">
      <w:pPr>
        <w:pStyle w:val="14"/>
        <w:keepNext w:val="0"/>
        <w:keepLines w:val="0"/>
        <w:pageBreakBefore w:val="0"/>
        <w:widowControl w:val="0"/>
        <w:spacing w:line="580" w:lineRule="exact"/>
        <w:ind w:left="0" w:right="0" w:firstLine="640"/>
        <w:jc w:val="both"/>
        <w:rPr>
          <w:rFonts w:hint="eastAsia"/>
          <w:sz w:val="32"/>
          <w:szCs w:val="32"/>
        </w:rPr>
      </w:pPr>
      <w:r>
        <w:rPr>
          <w:rFonts w:hint="eastAsia" w:ascii="仿宋_GB2312" w:hAnsi="仿宋_GB2312" w:eastAsia="仿宋_GB2312" w:cs="仿宋_GB2312"/>
          <w:sz w:val="32"/>
          <w:szCs w:val="32"/>
        </w:rPr>
        <w:t>红原县红十字会本级下属二级预算单位</w:t>
      </w:r>
      <w:r>
        <w:rPr>
          <w:rFonts w:hint="eastAsia" w:hAnsi="仿宋_GB2312" w:cs="仿宋_GB2312"/>
          <w:sz w:val="32"/>
          <w:szCs w:val="32"/>
          <w:lang w:val="en-US" w:eastAsia="zh-CN"/>
        </w:rPr>
        <w:t>0</w:t>
      </w:r>
      <w:r>
        <w:rPr>
          <w:rFonts w:hint="eastAsia" w:ascii="仿宋_GB2312" w:hAnsi="仿宋_GB2312" w:eastAsia="仿宋_GB2312" w:cs="仿宋_GB2312"/>
          <w:sz w:val="32"/>
          <w:szCs w:val="32"/>
        </w:rPr>
        <w:t>个</w:t>
      </w:r>
      <w:r>
        <w:rPr>
          <w:rFonts w:hint="eastAsia" w:hAnsi="仿宋_GB2312" w:cs="仿宋_GB2312"/>
          <w:sz w:val="32"/>
          <w:szCs w:val="32"/>
          <w:lang w:eastAsia="zh-CN"/>
        </w:rPr>
        <w:t>。</w:t>
      </w:r>
      <w:r>
        <w:rPr>
          <w:rFonts w:hint="eastAsia" w:ascii="仿宋_GB2312" w:hAnsi="仿宋_GB2312" w:eastAsia="仿宋_GB2312" w:cs="仿宋_GB2312"/>
          <w:sz w:val="32"/>
          <w:szCs w:val="32"/>
          <w:shd w:val="clear" w:color="auto" w:fill="FFFFFF"/>
        </w:rPr>
        <w:t>红原县红十字会为独立核算全额拨款</w:t>
      </w:r>
      <w:r>
        <w:rPr>
          <w:rFonts w:hint="eastAsia" w:ascii="仿宋_GB2312" w:hAnsi="仿宋_GB2312" w:eastAsia="仿宋_GB2312" w:cs="仿宋_GB2312"/>
          <w:sz w:val="32"/>
          <w:szCs w:val="32"/>
        </w:rPr>
        <w:t>行政单位</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val="en-US" w:eastAsia="zh-CN"/>
        </w:rPr>
        <w:t>下设2个内设机构（办公室和综合股</w:t>
      </w:r>
      <w:r>
        <w:rPr>
          <w:rFonts w:hint="eastAsia" w:hAnsi="仿宋_GB2312" w:cs="仿宋_GB2312"/>
          <w:sz w:val="32"/>
          <w:szCs w:val="32"/>
          <w:shd w:val="clear" w:color="auto" w:fill="FFFFFF"/>
          <w:lang w:val="en-US" w:eastAsia="zh-CN"/>
        </w:rPr>
        <w:t>），</w:t>
      </w:r>
      <w:r>
        <w:rPr>
          <w:rFonts w:hint="eastAsia" w:ascii="仿宋_GB2312" w:eastAsia="仿宋_GB2312" w:hAnsiTheme="minorHAnsi" w:cstheme="minorBidi"/>
          <w:bCs/>
          <w:sz w:val="32"/>
          <w:szCs w:val="32"/>
          <w:lang w:val="en-US" w:eastAsia="zh-CN" w:bidi="ar-SA"/>
        </w:rPr>
        <w:t>截止20</w:t>
      </w:r>
      <w:r>
        <w:rPr>
          <w:rFonts w:hint="eastAsia" w:cstheme="minorBidi"/>
          <w:bCs/>
          <w:sz w:val="32"/>
          <w:szCs w:val="32"/>
          <w:lang w:val="en-US" w:eastAsia="zh-CN" w:bidi="ar-SA"/>
        </w:rPr>
        <w:t>24</w:t>
      </w:r>
      <w:r>
        <w:rPr>
          <w:rFonts w:hint="eastAsia" w:ascii="仿宋_GB2312" w:eastAsia="仿宋_GB2312" w:hAnsiTheme="minorHAnsi" w:cstheme="minorBidi"/>
          <w:bCs/>
          <w:sz w:val="32"/>
          <w:szCs w:val="32"/>
          <w:lang w:val="en-US" w:eastAsia="zh-CN" w:bidi="ar-SA"/>
        </w:rPr>
        <w:t>年底我单位共有编制</w:t>
      </w:r>
      <w:r>
        <w:rPr>
          <w:rFonts w:hint="eastAsia" w:cstheme="minorBidi"/>
          <w:bCs/>
          <w:sz w:val="32"/>
          <w:szCs w:val="32"/>
          <w:lang w:val="en-US" w:eastAsia="zh-CN" w:bidi="ar-SA"/>
        </w:rPr>
        <w:t>5</w:t>
      </w:r>
      <w:r>
        <w:rPr>
          <w:rFonts w:hint="eastAsia" w:ascii="仿宋_GB2312" w:eastAsia="仿宋_GB2312" w:hAnsiTheme="minorHAnsi" w:cstheme="minorBidi"/>
          <w:bCs/>
          <w:sz w:val="32"/>
          <w:szCs w:val="32"/>
          <w:lang w:val="en-US" w:eastAsia="zh-CN" w:bidi="ar-SA"/>
        </w:rPr>
        <w:t>个，其中</w:t>
      </w:r>
      <w:r>
        <w:rPr>
          <w:rFonts w:hint="eastAsia" w:ascii="仿宋_GB2312" w:eastAsia="仿宋_GB2312" w:cstheme="minorBidi"/>
          <w:bCs/>
          <w:sz w:val="32"/>
          <w:szCs w:val="32"/>
          <w:lang w:val="en-US" w:eastAsia="zh-CN" w:bidi="ar-SA"/>
        </w:rPr>
        <w:t>参公</w:t>
      </w:r>
      <w:r>
        <w:rPr>
          <w:rFonts w:hint="eastAsia" w:ascii="仿宋_GB2312" w:eastAsia="仿宋_GB2312" w:hAnsiTheme="minorHAnsi" w:cstheme="minorBidi"/>
          <w:bCs/>
          <w:sz w:val="32"/>
          <w:szCs w:val="32"/>
          <w:lang w:val="en-US" w:eastAsia="zh-CN" w:bidi="ar-SA"/>
        </w:rPr>
        <w:t>编制</w:t>
      </w:r>
      <w:r>
        <w:rPr>
          <w:rFonts w:hint="eastAsia" w:cstheme="minorBidi"/>
          <w:bCs/>
          <w:sz w:val="32"/>
          <w:szCs w:val="32"/>
          <w:lang w:val="en-US" w:eastAsia="zh-CN" w:bidi="ar-SA"/>
        </w:rPr>
        <w:t>5</w:t>
      </w:r>
      <w:r>
        <w:rPr>
          <w:rFonts w:hint="eastAsia" w:ascii="仿宋_GB2312" w:eastAsia="仿宋_GB2312" w:hAnsiTheme="minorHAnsi" w:cstheme="minorBidi"/>
          <w:bCs/>
          <w:sz w:val="32"/>
          <w:szCs w:val="32"/>
          <w:lang w:val="en-US" w:eastAsia="zh-CN" w:bidi="ar-SA"/>
        </w:rPr>
        <w:t>个</w:t>
      </w:r>
      <w:r>
        <w:rPr>
          <w:rFonts w:hint="eastAsia" w:ascii="仿宋_GB2312" w:eastAsia="仿宋_GB2312" w:cstheme="minorBidi"/>
          <w:bCs/>
          <w:sz w:val="32"/>
          <w:szCs w:val="32"/>
          <w:lang w:val="en-US" w:eastAsia="zh-CN" w:bidi="ar-SA"/>
        </w:rPr>
        <w:t>。</w:t>
      </w:r>
      <w:r>
        <w:rPr>
          <w:rFonts w:hint="eastAsia" w:ascii="仿宋_GB2312" w:eastAsia="仿宋_GB2312" w:hAnsiTheme="minorHAnsi" w:cstheme="minorBidi"/>
          <w:bCs/>
          <w:sz w:val="32"/>
          <w:szCs w:val="32"/>
          <w:lang w:val="en-US" w:eastAsia="zh-CN" w:bidi="ar-SA"/>
        </w:rPr>
        <w:t>在职</w:t>
      </w:r>
      <w:r>
        <w:rPr>
          <w:rFonts w:hint="eastAsia" w:cstheme="minorBidi"/>
          <w:bCs/>
          <w:sz w:val="32"/>
          <w:szCs w:val="32"/>
          <w:lang w:val="en-US" w:eastAsia="zh-CN" w:bidi="ar-SA"/>
        </w:rPr>
        <w:t>4</w:t>
      </w:r>
      <w:r>
        <w:rPr>
          <w:rFonts w:hint="eastAsia" w:ascii="仿宋_GB2312" w:eastAsia="仿宋_GB2312" w:hAnsiTheme="minorHAnsi" w:cstheme="minorBidi"/>
          <w:bCs/>
          <w:sz w:val="32"/>
          <w:szCs w:val="32"/>
          <w:lang w:val="en-US" w:eastAsia="zh-CN" w:bidi="ar-SA"/>
        </w:rPr>
        <w:t>人，其</w:t>
      </w:r>
      <w:r>
        <w:rPr>
          <w:rFonts w:hint="eastAsia" w:ascii="仿宋_GB2312" w:eastAsia="仿宋_GB2312" w:cstheme="minorBidi"/>
          <w:bCs/>
          <w:sz w:val="32"/>
          <w:szCs w:val="32"/>
          <w:lang w:val="en-US" w:eastAsia="zh-CN" w:bidi="ar-SA"/>
        </w:rPr>
        <w:t>中公务员</w:t>
      </w:r>
      <w:r>
        <w:rPr>
          <w:rFonts w:hint="eastAsia" w:cstheme="minorBidi"/>
          <w:bCs/>
          <w:sz w:val="32"/>
          <w:szCs w:val="32"/>
          <w:lang w:val="en-US" w:eastAsia="zh-CN" w:bidi="ar-SA"/>
        </w:rPr>
        <w:t>4</w:t>
      </w:r>
      <w:r>
        <w:rPr>
          <w:rFonts w:hint="eastAsia" w:ascii="仿宋_GB2312" w:eastAsia="仿宋_GB2312" w:hAnsiTheme="minorHAnsi" w:cstheme="minorBidi"/>
          <w:bCs/>
          <w:sz w:val="32"/>
          <w:szCs w:val="32"/>
          <w:lang w:val="en-US" w:eastAsia="zh-CN" w:bidi="ar-SA"/>
        </w:rPr>
        <w:t>人</w:t>
      </w:r>
      <w:r>
        <w:rPr>
          <w:rFonts w:hint="eastAsia" w:hAnsiTheme="minorHAnsi" w:cstheme="minorBidi"/>
          <w:bCs/>
          <w:sz w:val="32"/>
          <w:szCs w:val="32"/>
          <w:lang w:val="en-US" w:eastAsia="zh-CN" w:bidi="ar-SA"/>
        </w:rPr>
        <w:t>，空编1个。</w:t>
      </w:r>
    </w:p>
    <w:p w14:paraId="704B7660">
      <w:pPr>
        <w:pageBreakBefore w:val="0"/>
        <w:widowControl w:val="0"/>
        <w:spacing w:line="580" w:lineRule="exact"/>
        <w:ind w:left="0" w:right="0" w:firstLine="640"/>
        <w:jc w:val="both"/>
        <w:rPr>
          <w:rFonts w:hint="eastAsia" w:ascii="仿宋_GB2312" w:hAnsi="仿宋_GB2312" w:eastAsia="仿宋_GB2312" w:cs="仿宋_GB2312"/>
          <w:sz w:val="32"/>
          <w:szCs w:val="32"/>
        </w:rPr>
      </w:pPr>
    </w:p>
    <w:p w14:paraId="59DCFA09">
      <w:pPr>
        <w:pStyle w:val="3"/>
        <w:pageBreakBefore w:val="0"/>
        <w:widowControl w:val="0"/>
        <w:spacing w:before="0" w:after="0" w:line="580" w:lineRule="exact"/>
        <w:ind w:left="0" w:right="0" w:firstLine="880"/>
        <w:jc w:val="both"/>
        <w:rPr>
          <w:rFonts w:hint="eastAsia" w:ascii="黑体" w:hAnsi="黑体" w:eastAsia="黑体"/>
          <w:b w:val="0"/>
        </w:rPr>
      </w:pPr>
      <w:bookmarkStart w:id="16" w:name="_Toc15396602"/>
      <w:bookmarkStart w:id="17" w:name="_Toc15377204"/>
    </w:p>
    <w:p w14:paraId="640DA112">
      <w:pPr>
        <w:pStyle w:val="3"/>
        <w:pageBreakBefore w:val="0"/>
        <w:widowControl w:val="0"/>
        <w:spacing w:before="0" w:after="0" w:line="580" w:lineRule="exact"/>
        <w:ind w:right="0"/>
        <w:jc w:val="both"/>
        <w:rPr>
          <w:rFonts w:hint="eastAsia" w:ascii="黑体" w:hAnsi="黑体" w:eastAsia="黑体"/>
          <w:b w:val="0"/>
        </w:rPr>
      </w:pPr>
    </w:p>
    <w:p w14:paraId="42DDF13A">
      <w:pPr>
        <w:rPr>
          <w:rFonts w:hint="eastAsia" w:ascii="黑体" w:hAnsi="黑体" w:eastAsia="黑体"/>
          <w:b w:val="0"/>
        </w:rPr>
      </w:pPr>
    </w:p>
    <w:p w14:paraId="1D808779">
      <w:pPr>
        <w:rPr>
          <w:rFonts w:hint="eastAsia" w:ascii="黑体" w:hAnsi="黑体" w:eastAsia="黑体"/>
          <w:b w:val="0"/>
        </w:rPr>
      </w:pPr>
    </w:p>
    <w:p w14:paraId="75E4F8C3">
      <w:pPr>
        <w:pStyle w:val="3"/>
        <w:pageBreakBefore w:val="0"/>
        <w:widowControl w:val="0"/>
        <w:spacing w:before="0" w:after="0" w:line="580" w:lineRule="exact"/>
        <w:ind w:right="0"/>
        <w:jc w:val="center"/>
        <w:rPr>
          <w:rStyle w:val="194"/>
          <w:rFonts w:ascii="黑体" w:hAnsi="黑体" w:eastAsia="黑体"/>
          <w:b w:val="0"/>
          <w:bCs/>
        </w:rPr>
      </w:pPr>
      <w:r>
        <w:rPr>
          <w:rFonts w:hint="eastAsia" w:ascii="黑体" w:hAnsi="黑体" w:eastAsia="黑体"/>
          <w:b w:val="0"/>
        </w:rPr>
        <w:t>第二部分 202</w:t>
      </w:r>
      <w:r>
        <w:rPr>
          <w:rFonts w:hint="eastAsia" w:ascii="黑体" w:hAnsi="黑体" w:eastAsia="黑体"/>
          <w:b w:val="0"/>
          <w:lang w:val="en-US" w:eastAsia="zh-CN"/>
        </w:rPr>
        <w:t>4</w:t>
      </w:r>
      <w:r>
        <w:rPr>
          <w:rFonts w:hint="eastAsia" w:ascii="黑体" w:hAnsi="黑体" w:eastAsia="黑体"/>
          <w:b w:val="0"/>
        </w:rPr>
        <w:t>年度</w:t>
      </w:r>
      <w:r>
        <w:rPr>
          <w:rStyle w:val="194"/>
          <w:rFonts w:hint="eastAsia" w:ascii="黑体" w:hAnsi="黑体" w:eastAsia="黑体"/>
          <w:b w:val="0"/>
          <w:bCs/>
        </w:rPr>
        <w:t>部门决算情况说明</w:t>
      </w:r>
      <w:bookmarkEnd w:id="16"/>
      <w:bookmarkEnd w:id="17"/>
    </w:p>
    <w:p w14:paraId="6944C4BE">
      <w:pPr>
        <w:pageBreakBefore w:val="0"/>
        <w:widowControl w:val="0"/>
        <w:spacing w:line="580" w:lineRule="exact"/>
        <w:ind w:left="0" w:right="0" w:firstLine="420"/>
        <w:jc w:val="both"/>
      </w:pPr>
    </w:p>
    <w:p w14:paraId="5F2D4FB8">
      <w:pPr>
        <w:pStyle w:val="193"/>
        <w:pageBreakBefore w:val="0"/>
        <w:widowControl w:val="0"/>
        <w:numPr>
          <w:ilvl w:val="0"/>
          <w:numId w:val="1"/>
        </w:numPr>
        <w:spacing w:line="580" w:lineRule="exact"/>
        <w:ind w:left="0" w:right="0" w:firstLine="640"/>
        <w:jc w:val="both"/>
        <w:outlineLvl w:val="1"/>
        <w:rPr>
          <w:rStyle w:val="195"/>
          <w:rFonts w:ascii="黑体" w:hAnsi="黑体" w:eastAsia="黑体"/>
          <w:b/>
          <w:bCs/>
        </w:rPr>
      </w:pPr>
      <w:bookmarkStart w:id="18" w:name="_Toc15396603"/>
      <w:bookmarkStart w:id="19" w:name="_Toc15377205"/>
      <w:r>
        <w:rPr>
          <w:rFonts w:hint="eastAsia" w:ascii="黑体" w:hAnsi="黑体" w:eastAsia="黑体"/>
          <w:b/>
          <w:bCs/>
          <w:sz w:val="32"/>
          <w:szCs w:val="32"/>
        </w:rPr>
        <w:t>收</w:t>
      </w:r>
      <w:r>
        <w:rPr>
          <w:rStyle w:val="195"/>
          <w:rFonts w:hint="eastAsia" w:ascii="黑体" w:hAnsi="黑体" w:eastAsia="黑体"/>
          <w:b/>
          <w:bCs/>
        </w:rPr>
        <w:t>入支出决算总体情况说明</w:t>
      </w:r>
      <w:bookmarkEnd w:id="18"/>
      <w:bookmarkEnd w:id="19"/>
    </w:p>
    <w:p w14:paraId="75F5D625">
      <w:pPr>
        <w:pageBreakBefore w:val="0"/>
        <w:widowControl w:val="0"/>
        <w:spacing w:line="580" w:lineRule="exact"/>
        <w:ind w:left="0" w:right="0" w:firstLine="640"/>
        <w:jc w:val="both"/>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年度收、支总计均为</w:t>
      </w:r>
      <w:r>
        <w:rPr>
          <w:rFonts w:hint="eastAsia" w:eastAsia="仿宋"/>
          <w:sz w:val="32"/>
          <w:szCs w:val="32"/>
          <w:lang w:val="en-US" w:eastAsia="zh-CN"/>
        </w:rPr>
        <w:t>138.43</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年度相比，收、支总计减少</w:t>
      </w:r>
      <w:r>
        <w:rPr>
          <w:rFonts w:hint="eastAsia" w:ascii="仿宋" w:hAnsi="仿宋" w:eastAsia="仿宋"/>
          <w:sz w:val="32"/>
          <w:szCs w:val="32"/>
          <w:lang w:val="en-US" w:eastAsia="zh-CN"/>
        </w:rPr>
        <w:t>43.49</w:t>
      </w:r>
      <w:r>
        <w:rPr>
          <w:rFonts w:hint="eastAsia" w:ascii="仿宋" w:hAnsi="仿宋" w:eastAsia="仿宋"/>
          <w:sz w:val="32"/>
          <w:szCs w:val="32"/>
        </w:rPr>
        <w:t>万元，下降</w:t>
      </w:r>
      <w:r>
        <w:rPr>
          <w:rFonts w:hint="eastAsia" w:ascii="仿宋" w:hAnsi="仿宋" w:eastAsia="仿宋"/>
          <w:sz w:val="32"/>
          <w:szCs w:val="32"/>
          <w:lang w:val="en-US" w:eastAsia="zh-CN"/>
        </w:rPr>
        <w:t>24</w:t>
      </w:r>
      <w:r>
        <w:rPr>
          <w:rFonts w:ascii="仿宋" w:hAnsi="仿宋" w:eastAsia="仿宋"/>
          <w:sz w:val="32"/>
          <w:szCs w:val="32"/>
        </w:rPr>
        <w:t>%</w:t>
      </w:r>
      <w:r>
        <w:rPr>
          <w:rFonts w:hint="eastAsia" w:ascii="仿宋" w:hAnsi="仿宋" w:eastAsia="仿宋"/>
          <w:sz w:val="32"/>
          <w:szCs w:val="32"/>
        </w:rPr>
        <w:t>。主要变动</w:t>
      </w:r>
      <w:r>
        <w:rPr>
          <w:rFonts w:hint="eastAsia" w:ascii="仿宋" w:hAnsi="仿宋" w:eastAsia="仿宋"/>
          <w:sz w:val="32"/>
          <w:szCs w:val="32"/>
          <w:lang w:eastAsia="zh-CN"/>
        </w:rPr>
        <w:t>缩减开支，减少浪费</w:t>
      </w:r>
      <w:r>
        <w:rPr>
          <w:rFonts w:hint="eastAsia" w:ascii="仿宋" w:hAnsi="仿宋" w:eastAsia="仿宋"/>
          <w:sz w:val="32"/>
          <w:szCs w:val="32"/>
        </w:rPr>
        <w:t>。</w:t>
      </w:r>
    </w:p>
    <w:p w14:paraId="1E67861D">
      <w:pPr>
        <w:pageBreakBefore w:val="0"/>
        <w:widowControl w:val="0"/>
        <w:spacing w:line="580" w:lineRule="exact"/>
        <w:ind w:left="0" w:right="0" w:firstLine="640"/>
        <w:jc w:val="both"/>
        <w:rPr>
          <w:rFonts w:hint="eastAsia" w:ascii="仿宋" w:hAnsi="仿宋" w:eastAsia="仿宋"/>
          <w:sz w:val="32"/>
          <w:szCs w:val="32"/>
          <w:lang w:eastAsia="zh-CN"/>
        </w:rPr>
      </w:pPr>
    </w:p>
    <w:p w14:paraId="0BCAE646">
      <w:pPr>
        <w:pageBreakBefore w:val="0"/>
        <w:widowControl w:val="0"/>
        <w:spacing w:line="580" w:lineRule="exact"/>
        <w:ind w:left="0" w:right="0" w:firstLine="420"/>
        <w:jc w:val="both"/>
        <w:rPr>
          <w:rFonts w:hint="eastAsia" w:ascii="仿宋" w:hAnsi="仿宋" w:eastAsia="仿宋"/>
          <w:sz w:val="32"/>
          <w:szCs w:val="32"/>
          <w:lang w:eastAsia="zh-CN"/>
        </w:rPr>
      </w:pPr>
      <w:r>
        <w:drawing>
          <wp:anchor distT="0" distB="0" distL="114300" distR="114300" simplePos="0" relativeHeight="251659264" behindDoc="0" locked="0" layoutInCell="1" allowOverlap="1">
            <wp:simplePos x="0" y="0"/>
            <wp:positionH relativeFrom="column">
              <wp:posOffset>149225</wp:posOffset>
            </wp:positionH>
            <wp:positionV relativeFrom="paragraph">
              <wp:posOffset>142875</wp:posOffset>
            </wp:positionV>
            <wp:extent cx="4866640" cy="2581275"/>
            <wp:effectExtent l="6350" t="6350" r="22860" b="22225"/>
            <wp:wrapSquare wrapText="bothSides"/>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76BA8744">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14:paraId="49B869B4">
      <w:pPr>
        <w:pageBreakBefore w:val="0"/>
        <w:widowControl w:val="0"/>
        <w:spacing w:line="580" w:lineRule="exact"/>
        <w:ind w:left="0" w:right="0" w:firstLine="640"/>
        <w:jc w:val="both"/>
        <w:rPr>
          <w:rFonts w:ascii="仿宋_GB2312" w:eastAsia="仿宋_GB2312"/>
          <w:sz w:val="32"/>
          <w:szCs w:val="32"/>
        </w:rPr>
      </w:pPr>
    </w:p>
    <w:p w14:paraId="14E96F2C">
      <w:pPr>
        <w:pStyle w:val="193"/>
        <w:pageBreakBefore w:val="0"/>
        <w:widowControl w:val="0"/>
        <w:numPr>
          <w:ilvl w:val="0"/>
          <w:numId w:val="1"/>
        </w:numPr>
        <w:spacing w:line="580" w:lineRule="exact"/>
        <w:ind w:left="0" w:right="0" w:firstLine="640"/>
        <w:jc w:val="both"/>
        <w:outlineLvl w:val="1"/>
        <w:rPr>
          <w:rStyle w:val="195"/>
          <w:rFonts w:ascii="黑体" w:hAnsi="黑体" w:eastAsia="黑体"/>
          <w:b/>
          <w:bCs/>
        </w:rPr>
      </w:pPr>
      <w:bookmarkStart w:id="20" w:name="_Toc15396604"/>
      <w:bookmarkStart w:id="21" w:name="_Toc15377206"/>
      <w:r>
        <w:rPr>
          <w:rFonts w:hint="eastAsia" w:ascii="黑体" w:hAnsi="黑体" w:eastAsia="黑体"/>
          <w:b/>
          <w:bCs/>
          <w:sz w:val="32"/>
          <w:szCs w:val="32"/>
        </w:rPr>
        <w:t>收</w:t>
      </w:r>
      <w:r>
        <w:rPr>
          <w:rStyle w:val="195"/>
          <w:rFonts w:hint="eastAsia" w:ascii="黑体" w:hAnsi="黑体" w:eastAsia="黑体"/>
          <w:b/>
          <w:bCs/>
        </w:rPr>
        <w:t>入决算情况说明</w:t>
      </w:r>
      <w:bookmarkEnd w:id="20"/>
      <w:bookmarkEnd w:id="21"/>
    </w:p>
    <w:p w14:paraId="624D632C">
      <w:pPr>
        <w:pageBreakBefore w:val="0"/>
        <w:widowControl w:val="0"/>
        <w:spacing w:line="580" w:lineRule="exact"/>
        <w:ind w:left="0" w:right="0" w:firstLine="640"/>
        <w:jc w:val="both"/>
        <w:outlineLvl w:val="1"/>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年度本年收入合计</w:t>
      </w:r>
      <w:r>
        <w:rPr>
          <w:rFonts w:hint="eastAsia" w:eastAsia="仿宋"/>
          <w:sz w:val="32"/>
          <w:szCs w:val="32"/>
          <w:lang w:val="en-US" w:eastAsia="zh-CN"/>
        </w:rPr>
        <w:t>138.43</w:t>
      </w:r>
      <w:r>
        <w:rPr>
          <w:rFonts w:hint="eastAsia" w:ascii="仿宋" w:hAnsi="仿宋" w:eastAsia="仿宋"/>
          <w:sz w:val="32"/>
          <w:szCs w:val="32"/>
        </w:rPr>
        <w:t>万元，其中：一般公共预算财政拨款收入</w:t>
      </w:r>
      <w:r>
        <w:rPr>
          <w:rFonts w:hint="eastAsia" w:eastAsia="仿宋"/>
          <w:sz w:val="32"/>
          <w:szCs w:val="32"/>
          <w:lang w:val="en-US" w:eastAsia="zh-CN"/>
        </w:rPr>
        <w:t>138.43</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w:t>
      </w:r>
    </w:p>
    <w:p w14:paraId="64B8300F">
      <w:pPr>
        <w:pageBreakBefore w:val="0"/>
        <w:widowControl w:val="0"/>
        <w:spacing w:line="580" w:lineRule="exact"/>
        <w:ind w:left="0" w:right="0" w:firstLine="643"/>
        <w:jc w:val="both"/>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，仅罗列本部门涉及的收入。</w:t>
      </w:r>
      <w:r>
        <w:rPr>
          <w:rFonts w:ascii="仿宋" w:hAnsi="仿宋" w:eastAsia="仿宋"/>
          <w:b/>
          <w:sz w:val="32"/>
          <w:szCs w:val="32"/>
        </w:rPr>
        <w:t>）</w:t>
      </w:r>
    </w:p>
    <w:p w14:paraId="2489FFA2">
      <w:pPr>
        <w:pageBreakBefore w:val="0"/>
        <w:widowControl w:val="0"/>
        <w:spacing w:line="580" w:lineRule="exact"/>
        <w:ind w:left="0" w:right="0" w:firstLine="640"/>
        <w:jc w:val="both"/>
        <w:outlineLvl w:val="1"/>
        <w:rPr>
          <w:rFonts w:ascii="仿宋" w:hAnsi="仿宋" w:eastAsia="仿宋"/>
          <w:sz w:val="32"/>
          <w:szCs w:val="32"/>
        </w:rPr>
      </w:pPr>
    </w:p>
    <w:p w14:paraId="3AD6D91B">
      <w:pPr>
        <w:pageBreakBefore w:val="0"/>
        <w:widowControl w:val="0"/>
        <w:spacing w:line="580" w:lineRule="exact"/>
        <w:ind w:left="0" w:right="0" w:firstLine="1050" w:firstLineChars="500"/>
        <w:jc w:val="both"/>
        <w:rPr>
          <w:rFonts w:ascii="仿宋" w:hAnsi="仿宋" w:eastAsia="仿宋"/>
          <w:sz w:val="32"/>
          <w:szCs w:val="32"/>
        </w:rPr>
      </w:pPr>
      <w:r>
        <w:drawing>
          <wp:anchor distT="0" distB="0" distL="114300" distR="114300" simplePos="0" relativeHeight="251660288" behindDoc="0" locked="0" layoutInCell="1" allowOverlap="1">
            <wp:simplePos x="0" y="0"/>
            <wp:positionH relativeFrom="column">
              <wp:posOffset>111125</wp:posOffset>
            </wp:positionH>
            <wp:positionV relativeFrom="paragraph">
              <wp:posOffset>-219075</wp:posOffset>
            </wp:positionV>
            <wp:extent cx="5152390" cy="2772410"/>
            <wp:effectExtent l="6350" t="6350" r="22860" b="21590"/>
            <wp:wrapSquare wrapText="bothSides"/>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sz w:val="32"/>
          <w:szCs w:val="32"/>
        </w:rPr>
        <w:t>（图2：收入决算结构图）（饼状图）</w:t>
      </w:r>
    </w:p>
    <w:p w14:paraId="23B35036">
      <w:pPr>
        <w:pageBreakBefore w:val="0"/>
        <w:widowControl w:val="0"/>
        <w:spacing w:line="580" w:lineRule="exact"/>
        <w:ind w:left="0" w:right="0" w:firstLine="640"/>
        <w:jc w:val="both"/>
        <w:rPr>
          <w:rFonts w:ascii="仿宋_GB2312" w:eastAsia="仿宋_GB2312"/>
          <w:b/>
          <w:bCs/>
          <w:sz w:val="32"/>
          <w:szCs w:val="32"/>
        </w:rPr>
      </w:pPr>
    </w:p>
    <w:p w14:paraId="739CEDC4">
      <w:pPr>
        <w:pStyle w:val="193"/>
        <w:pageBreakBefore w:val="0"/>
        <w:widowControl w:val="0"/>
        <w:numPr>
          <w:ilvl w:val="0"/>
          <w:numId w:val="1"/>
        </w:numPr>
        <w:spacing w:line="580" w:lineRule="exact"/>
        <w:ind w:left="0" w:right="0" w:firstLine="640"/>
        <w:jc w:val="both"/>
        <w:outlineLvl w:val="1"/>
        <w:rPr>
          <w:rStyle w:val="195"/>
          <w:rFonts w:ascii="黑体" w:hAnsi="黑体" w:eastAsia="黑体"/>
          <w:b/>
          <w:bCs/>
        </w:rPr>
      </w:pPr>
      <w:bookmarkStart w:id="22" w:name="_Toc15377207"/>
      <w:bookmarkStart w:id="23" w:name="_Toc15396605"/>
      <w:r>
        <w:rPr>
          <w:rFonts w:hint="eastAsia" w:ascii="黑体" w:hAnsi="黑体" w:eastAsia="黑体"/>
          <w:b/>
          <w:bCs/>
          <w:sz w:val="32"/>
          <w:szCs w:val="32"/>
        </w:rPr>
        <w:t>支</w:t>
      </w:r>
      <w:r>
        <w:rPr>
          <w:rStyle w:val="195"/>
          <w:rFonts w:hint="eastAsia" w:ascii="黑体" w:hAnsi="黑体" w:eastAsia="黑体"/>
          <w:b/>
          <w:bCs/>
        </w:rPr>
        <w:t>出决算情况说明</w:t>
      </w:r>
      <w:bookmarkEnd w:id="22"/>
      <w:bookmarkEnd w:id="23"/>
    </w:p>
    <w:p w14:paraId="2093E02B">
      <w:pPr>
        <w:pageBreakBefore w:val="0"/>
        <w:widowControl w:val="0"/>
        <w:spacing w:line="580" w:lineRule="exact"/>
        <w:ind w:left="0" w:right="0" w:firstLine="640"/>
        <w:jc w:val="both"/>
        <w:outlineLvl w:val="1"/>
        <w:rPr>
          <w:rFonts w:hint="eastAsia" w:ascii="仿宋" w:hAnsi="仿宋" w:eastAsia="仿宋" w:cs="Times New Roman"/>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年度本年支出合计</w:t>
      </w:r>
      <w:r>
        <w:rPr>
          <w:rFonts w:hint="eastAsia" w:eastAsia="仿宋"/>
          <w:sz w:val="32"/>
          <w:szCs w:val="32"/>
          <w:lang w:val="en-US" w:eastAsia="zh-CN"/>
        </w:rPr>
        <w:t>138.43</w:t>
      </w:r>
      <w:r>
        <w:rPr>
          <w:rFonts w:hint="eastAsia" w:ascii="仿宋" w:hAnsi="仿宋" w:eastAsia="仿宋"/>
          <w:sz w:val="32"/>
          <w:szCs w:val="32"/>
        </w:rPr>
        <w:t>万元</w:t>
      </w:r>
      <w:r>
        <w:rPr>
          <w:rFonts w:hint="eastAsia" w:ascii="仿宋" w:hAnsi="仿宋" w:eastAsia="仿宋" w:cs="Times New Roman"/>
          <w:sz w:val="32"/>
          <w:szCs w:val="32"/>
        </w:rPr>
        <w:t>，其中：基本支出为121.36万元，占总支出的88%；项目支出为17.07万元，占总支出的12%。</w:t>
      </w:r>
    </w:p>
    <w:p w14:paraId="120B4CF4">
      <w:pPr>
        <w:pageBreakBefore w:val="0"/>
        <w:widowControl w:val="0"/>
        <w:spacing w:line="580" w:lineRule="exact"/>
        <w:ind w:left="0" w:right="0" w:firstLine="643"/>
        <w:jc w:val="both"/>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表，仅罗列本部门涉及的支出。）</w:t>
      </w:r>
    </w:p>
    <w:p w14:paraId="12EB18F6">
      <w:pPr>
        <w:pageBreakBefore w:val="0"/>
        <w:widowControl w:val="0"/>
        <w:spacing w:line="580" w:lineRule="exact"/>
        <w:ind w:left="0" w:right="0" w:firstLine="640"/>
        <w:jc w:val="both"/>
        <w:rPr>
          <w:rFonts w:ascii="仿宋" w:hAnsi="仿宋" w:eastAsia="仿宋"/>
          <w:sz w:val="32"/>
          <w:szCs w:val="32"/>
          <w:shd w:val="pct10" w:color="auto" w:fill="FFFFFF"/>
        </w:rPr>
      </w:pPr>
    </w:p>
    <w:p w14:paraId="5D1FB5D7">
      <w:pPr>
        <w:pageBreakBefore w:val="0"/>
        <w:widowControl w:val="0"/>
        <w:spacing w:line="580" w:lineRule="exact"/>
        <w:ind w:left="0" w:right="0" w:firstLine="420"/>
        <w:jc w:val="both"/>
        <w:rPr>
          <w:rFonts w:ascii="仿宋" w:hAnsi="仿宋" w:eastAsia="仿宋"/>
          <w:sz w:val="32"/>
          <w:szCs w:val="32"/>
        </w:rPr>
      </w:pPr>
      <w:r>
        <w:drawing>
          <wp:anchor distT="0" distB="0" distL="114300" distR="114300" simplePos="0" relativeHeight="251661312" behindDoc="0" locked="0" layoutInCell="1" allowOverlap="1">
            <wp:simplePos x="0" y="0"/>
            <wp:positionH relativeFrom="column">
              <wp:posOffset>63500</wp:posOffset>
            </wp:positionH>
            <wp:positionV relativeFrom="paragraph">
              <wp:posOffset>-1362710</wp:posOffset>
            </wp:positionV>
            <wp:extent cx="4988560" cy="3303270"/>
            <wp:effectExtent l="6350" t="6350" r="15240" b="2413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sz w:val="32"/>
          <w:szCs w:val="32"/>
        </w:rPr>
        <w:t>（图3：支出决算结构图）（饼状图）</w:t>
      </w:r>
    </w:p>
    <w:p w14:paraId="0A46DEAB">
      <w:pPr>
        <w:pageBreakBefore w:val="0"/>
        <w:widowControl w:val="0"/>
        <w:spacing w:line="580" w:lineRule="exact"/>
        <w:ind w:left="0" w:right="0" w:firstLine="640"/>
        <w:jc w:val="both"/>
        <w:rPr>
          <w:rFonts w:ascii="仿宋_GB2312" w:eastAsia="仿宋_GB2312"/>
          <w:sz w:val="32"/>
          <w:szCs w:val="32"/>
        </w:rPr>
      </w:pPr>
    </w:p>
    <w:p w14:paraId="4C75D529">
      <w:pPr>
        <w:pageBreakBefore w:val="0"/>
        <w:widowControl w:val="0"/>
        <w:spacing w:line="580" w:lineRule="exact"/>
        <w:ind w:left="0" w:right="0" w:firstLine="640"/>
        <w:jc w:val="both"/>
        <w:outlineLvl w:val="1"/>
        <w:rPr>
          <w:rStyle w:val="195"/>
          <w:rFonts w:ascii="黑体" w:hAnsi="黑体" w:eastAsia="黑体"/>
          <w:b/>
          <w:bCs/>
        </w:rPr>
      </w:pPr>
      <w:bookmarkStart w:id="24" w:name="_Toc15377208"/>
      <w:bookmarkStart w:id="25" w:name="_Toc15396606"/>
      <w:r>
        <w:rPr>
          <w:rFonts w:hint="eastAsia" w:ascii="黑体" w:hAnsi="黑体" w:eastAsia="黑体"/>
          <w:b/>
          <w:bCs/>
          <w:sz w:val="32"/>
          <w:szCs w:val="32"/>
        </w:rPr>
        <w:t>四、财</w:t>
      </w:r>
      <w:r>
        <w:rPr>
          <w:rStyle w:val="195"/>
          <w:rFonts w:hint="eastAsia" w:ascii="黑体" w:hAnsi="黑体" w:eastAsia="黑体"/>
          <w:b/>
          <w:bCs/>
        </w:rPr>
        <w:t>政拨款收入支出决算总体情况说明</w:t>
      </w:r>
      <w:bookmarkEnd w:id="24"/>
      <w:bookmarkEnd w:id="25"/>
    </w:p>
    <w:p w14:paraId="2A3D1E10">
      <w:pPr>
        <w:pageBreakBefore w:val="0"/>
        <w:widowControl w:val="0"/>
        <w:spacing w:line="580" w:lineRule="exact"/>
        <w:ind w:left="0" w:right="0" w:firstLine="640"/>
        <w:jc w:val="both"/>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年度财政拨款收、支总计均为</w:t>
      </w:r>
      <w:r>
        <w:rPr>
          <w:rFonts w:hint="eastAsia" w:eastAsia="仿宋"/>
          <w:sz w:val="32"/>
          <w:szCs w:val="32"/>
          <w:lang w:val="en-US" w:eastAsia="zh-CN"/>
        </w:rPr>
        <w:t>138.43</w:t>
      </w:r>
      <w:r>
        <w:rPr>
          <w:rFonts w:hint="eastAsia" w:ascii="仿宋" w:hAnsi="仿宋" w:eastAsia="仿宋"/>
          <w:sz w:val="32"/>
          <w:szCs w:val="32"/>
        </w:rPr>
        <w:t>万元。与202</w:t>
      </w:r>
      <w:r>
        <w:rPr>
          <w:rFonts w:hint="eastAsia" w:ascii="仿宋" w:hAnsi="仿宋" w:eastAsia="仿宋"/>
          <w:sz w:val="32"/>
          <w:szCs w:val="32"/>
          <w:lang w:val="en-US" w:eastAsia="zh-CN"/>
        </w:rPr>
        <w:t>3</w:t>
      </w:r>
      <w:r>
        <w:rPr>
          <w:rFonts w:hint="eastAsia" w:ascii="仿宋" w:hAnsi="仿宋" w:eastAsia="仿宋"/>
          <w:sz w:val="32"/>
          <w:szCs w:val="32"/>
        </w:rPr>
        <w:t>年度相比，收、支总计减少</w:t>
      </w:r>
      <w:r>
        <w:rPr>
          <w:rFonts w:hint="eastAsia" w:ascii="仿宋" w:hAnsi="仿宋" w:eastAsia="仿宋"/>
          <w:sz w:val="32"/>
          <w:szCs w:val="32"/>
          <w:lang w:val="en-US" w:eastAsia="zh-CN"/>
        </w:rPr>
        <w:t>43.49</w:t>
      </w:r>
      <w:r>
        <w:rPr>
          <w:rFonts w:hint="eastAsia" w:ascii="仿宋" w:hAnsi="仿宋" w:eastAsia="仿宋"/>
          <w:sz w:val="32"/>
          <w:szCs w:val="32"/>
        </w:rPr>
        <w:t>万元，下降</w:t>
      </w:r>
      <w:r>
        <w:rPr>
          <w:rFonts w:hint="eastAsia" w:ascii="仿宋" w:hAnsi="仿宋" w:eastAsia="仿宋"/>
          <w:sz w:val="32"/>
          <w:szCs w:val="32"/>
          <w:lang w:val="en-US" w:eastAsia="zh-CN"/>
        </w:rPr>
        <w:t>24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缩减开支，减少浪费</w:t>
      </w:r>
      <w:r>
        <w:rPr>
          <w:rFonts w:hint="eastAsia" w:ascii="仿宋" w:hAnsi="仿宋" w:eastAsia="仿宋"/>
          <w:sz w:val="32"/>
          <w:szCs w:val="32"/>
        </w:rPr>
        <w:t>。</w:t>
      </w:r>
    </w:p>
    <w:p w14:paraId="79F57280">
      <w:pPr>
        <w:pageBreakBefore w:val="0"/>
        <w:widowControl w:val="0"/>
        <w:spacing w:line="580" w:lineRule="exact"/>
        <w:ind w:left="0" w:right="0" w:firstLine="643"/>
        <w:jc w:val="both"/>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14:paraId="0A459C4A">
      <w:pPr>
        <w:pageBreakBefore w:val="0"/>
        <w:widowControl w:val="0"/>
        <w:spacing w:line="580" w:lineRule="exact"/>
        <w:ind w:left="0" w:right="0" w:firstLine="420"/>
        <w:jc w:val="both"/>
        <w:rPr>
          <w:rFonts w:hint="eastAsia"/>
        </w:rPr>
      </w:pPr>
      <w:r>
        <w:rPr>
          <w:rFonts w:hint="eastAsia"/>
        </w:rPr>
        <w:t>181.92</w:t>
      </w:r>
    </w:p>
    <w:p w14:paraId="2C17E96F">
      <w:pPr>
        <w:pageBreakBefore w:val="0"/>
        <w:widowControl w:val="0"/>
        <w:spacing w:line="580" w:lineRule="exact"/>
        <w:ind w:left="0" w:right="0" w:firstLine="420"/>
        <w:jc w:val="both"/>
        <w:rPr>
          <w:rFonts w:ascii="仿宋" w:hAnsi="仿宋" w:eastAsia="仿宋"/>
          <w:sz w:val="32"/>
          <w:szCs w:val="32"/>
        </w:rPr>
      </w:pPr>
      <w:r>
        <w:drawing>
          <wp:anchor distT="0" distB="0" distL="114300" distR="114300" simplePos="0" relativeHeight="251662336" behindDoc="0" locked="0" layoutInCell="1" allowOverlap="1">
            <wp:simplePos x="0" y="0"/>
            <wp:positionH relativeFrom="column">
              <wp:posOffset>196850</wp:posOffset>
            </wp:positionH>
            <wp:positionV relativeFrom="paragraph">
              <wp:posOffset>218440</wp:posOffset>
            </wp:positionV>
            <wp:extent cx="4866640" cy="2581275"/>
            <wp:effectExtent l="6350" t="6350" r="22860" b="22225"/>
            <wp:wrapSquare wrapText="bothSides"/>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766BC83D">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（图4：财政拨款收、支决算总计变动情况）（柱状图）</w:t>
      </w:r>
    </w:p>
    <w:p w14:paraId="0E170C5D">
      <w:pPr>
        <w:pageBreakBefore w:val="0"/>
        <w:widowControl w:val="0"/>
        <w:spacing w:line="580" w:lineRule="exact"/>
        <w:ind w:left="0" w:right="0" w:firstLine="643"/>
        <w:jc w:val="both"/>
        <w:rPr>
          <w:rFonts w:ascii="仿宋" w:hAnsi="仿宋" w:eastAsia="仿宋"/>
          <w:b/>
          <w:sz w:val="32"/>
          <w:szCs w:val="32"/>
        </w:rPr>
      </w:pPr>
    </w:p>
    <w:p w14:paraId="69A686C7">
      <w:pPr>
        <w:pageBreakBefore w:val="0"/>
        <w:widowControl w:val="0"/>
        <w:spacing w:line="580" w:lineRule="exact"/>
        <w:ind w:left="0" w:right="0" w:firstLine="640"/>
        <w:jc w:val="both"/>
        <w:outlineLvl w:val="1"/>
        <w:rPr>
          <w:rStyle w:val="195"/>
          <w:rFonts w:ascii="黑体" w:hAnsi="黑体" w:eastAsia="黑体"/>
          <w:b/>
          <w:bCs/>
        </w:rPr>
      </w:pPr>
      <w:bookmarkStart w:id="26" w:name="_Toc15396607"/>
      <w:bookmarkStart w:id="27" w:name="_Toc15377209"/>
      <w:r>
        <w:rPr>
          <w:rFonts w:hint="eastAsia" w:ascii="黑体" w:hAnsi="黑体" w:eastAsia="黑体"/>
          <w:b/>
          <w:bCs/>
          <w:sz w:val="32"/>
          <w:szCs w:val="32"/>
        </w:rPr>
        <w:t>五、一</w:t>
      </w:r>
      <w:r>
        <w:rPr>
          <w:rStyle w:val="195"/>
          <w:rFonts w:hint="eastAsia" w:ascii="黑体" w:hAnsi="黑体" w:eastAsia="黑体"/>
          <w:b/>
          <w:bCs/>
        </w:rPr>
        <w:t>般公共预算财政拨款支出决算情况说明</w:t>
      </w:r>
      <w:bookmarkEnd w:id="26"/>
      <w:bookmarkEnd w:id="27"/>
    </w:p>
    <w:p w14:paraId="7AFA4008">
      <w:pPr>
        <w:pageBreakBefore w:val="0"/>
        <w:widowControl w:val="0"/>
        <w:spacing w:line="580" w:lineRule="exact"/>
        <w:ind w:left="0" w:right="0" w:firstLine="643"/>
        <w:jc w:val="both"/>
        <w:outlineLvl w:val="2"/>
        <w:rPr>
          <w:rFonts w:ascii="仿宋" w:hAnsi="仿宋" w:eastAsia="仿宋"/>
          <w:b/>
          <w:sz w:val="32"/>
          <w:szCs w:val="32"/>
        </w:rPr>
      </w:pPr>
      <w:bookmarkStart w:id="28" w:name="_Toc15377210"/>
      <w:r>
        <w:rPr>
          <w:rFonts w:hint="eastAsia" w:ascii="仿宋" w:hAnsi="仿宋" w:eastAsia="仿宋"/>
          <w:b/>
          <w:sz w:val="32"/>
          <w:szCs w:val="32"/>
        </w:rPr>
        <w:t>（一）一般公共预算财政拨款支出决算总体情况</w:t>
      </w:r>
      <w:bookmarkEnd w:id="28"/>
    </w:p>
    <w:p w14:paraId="4C08FDB6">
      <w:pPr>
        <w:pageBreakBefore w:val="0"/>
        <w:widowControl w:val="0"/>
        <w:spacing w:line="580" w:lineRule="exact"/>
        <w:ind w:left="0" w:right="0" w:firstLine="420"/>
        <w:jc w:val="both"/>
        <w:rPr>
          <w:rFonts w:hint="eastAsia" w:ascii="仿宋" w:hAnsi="仿宋" w:eastAsia="仿宋"/>
          <w:sz w:val="32"/>
          <w:szCs w:val="32"/>
        </w:rPr>
      </w:pPr>
      <w:r>
        <w:drawing>
          <wp:anchor distT="0" distB="0" distL="114300" distR="114300" simplePos="0" relativeHeight="251663360" behindDoc="1" locked="0" layoutInCell="1" allowOverlap="1">
            <wp:simplePos x="0" y="0"/>
            <wp:positionH relativeFrom="column">
              <wp:posOffset>254000</wp:posOffset>
            </wp:positionH>
            <wp:positionV relativeFrom="paragraph">
              <wp:posOffset>1758315</wp:posOffset>
            </wp:positionV>
            <wp:extent cx="5408930" cy="2315210"/>
            <wp:effectExtent l="6350" t="6350" r="13970" b="21590"/>
            <wp:wrapThrough wrapText="bothSides">
              <wp:wrapPolygon>
                <wp:start x="-25" y="-59"/>
                <wp:lineTo x="-25" y="21446"/>
                <wp:lineTo x="21580" y="21446"/>
                <wp:lineTo x="21580" y="-59"/>
                <wp:lineTo x="-25" y="-59"/>
              </wp:wrapPolygon>
            </wp:wrapThrough>
            <wp:docPr id="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eastAsia="仿宋"/>
          <w:sz w:val="32"/>
          <w:szCs w:val="32"/>
          <w:lang w:val="en-US" w:eastAsia="zh-CN"/>
        </w:rPr>
        <w:t>138.43</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年度相比，收、支总计减少</w:t>
      </w:r>
      <w:r>
        <w:rPr>
          <w:rFonts w:hint="eastAsia" w:ascii="仿宋" w:hAnsi="仿宋" w:eastAsia="仿宋"/>
          <w:sz w:val="32"/>
          <w:szCs w:val="32"/>
          <w:lang w:val="en-US" w:eastAsia="zh-CN"/>
        </w:rPr>
        <w:t>43.49</w:t>
      </w:r>
      <w:r>
        <w:rPr>
          <w:rFonts w:hint="eastAsia" w:ascii="仿宋" w:hAnsi="仿宋" w:eastAsia="仿宋"/>
          <w:sz w:val="32"/>
          <w:szCs w:val="32"/>
        </w:rPr>
        <w:t>万元，下降</w:t>
      </w:r>
      <w:r>
        <w:rPr>
          <w:rFonts w:hint="eastAsia" w:ascii="仿宋" w:hAnsi="仿宋" w:eastAsia="仿宋"/>
          <w:sz w:val="32"/>
          <w:szCs w:val="32"/>
          <w:lang w:val="en-US" w:eastAsia="zh-CN"/>
        </w:rPr>
        <w:t>24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缩减开支，减少浪费</w:t>
      </w:r>
      <w:r>
        <w:rPr>
          <w:rFonts w:hint="eastAsia" w:ascii="仿宋" w:hAnsi="仿宋" w:eastAsia="仿宋"/>
          <w:sz w:val="32"/>
          <w:szCs w:val="32"/>
        </w:rPr>
        <w:t>。</w:t>
      </w:r>
    </w:p>
    <w:p w14:paraId="5E82533B">
      <w:pPr>
        <w:pageBreakBefore w:val="0"/>
        <w:widowControl w:val="0"/>
        <w:spacing w:line="580" w:lineRule="exact"/>
        <w:ind w:left="0" w:right="0" w:firstLine="640"/>
        <w:jc w:val="both"/>
        <w:rPr>
          <w:rFonts w:ascii="仿宋" w:hAnsi="仿宋" w:eastAsia="仿宋"/>
          <w:sz w:val="32"/>
          <w:szCs w:val="32"/>
        </w:rPr>
      </w:pPr>
    </w:p>
    <w:p w14:paraId="308A60B6">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（图5：一般公共预算财政拨款支出决算变动情况）（柱状图）</w:t>
      </w:r>
    </w:p>
    <w:p w14:paraId="69CA1A79">
      <w:pPr>
        <w:pageBreakBefore w:val="0"/>
        <w:widowControl w:val="0"/>
        <w:spacing w:line="580" w:lineRule="exact"/>
        <w:ind w:left="0" w:right="0" w:firstLine="640"/>
        <w:jc w:val="both"/>
        <w:rPr>
          <w:rFonts w:ascii="仿宋" w:hAnsi="仿宋" w:eastAsia="仿宋"/>
          <w:sz w:val="32"/>
          <w:szCs w:val="32"/>
        </w:rPr>
      </w:pPr>
    </w:p>
    <w:p w14:paraId="33CB6887">
      <w:pPr>
        <w:pageBreakBefore w:val="0"/>
        <w:widowControl w:val="0"/>
        <w:spacing w:line="580" w:lineRule="exact"/>
        <w:ind w:left="0" w:right="0" w:firstLine="643"/>
        <w:jc w:val="both"/>
        <w:outlineLvl w:val="2"/>
        <w:rPr>
          <w:rFonts w:ascii="仿宋" w:hAnsi="仿宋" w:eastAsia="仿宋"/>
          <w:b/>
          <w:sz w:val="32"/>
          <w:szCs w:val="32"/>
        </w:rPr>
      </w:pPr>
      <w:bookmarkStart w:id="29" w:name="_Toc15377211"/>
      <w:r>
        <w:rPr>
          <w:rFonts w:hint="eastAsia" w:ascii="仿宋" w:hAnsi="仿宋" w:eastAsia="仿宋"/>
          <w:b/>
          <w:sz w:val="32"/>
          <w:szCs w:val="32"/>
        </w:rPr>
        <w:t>（二）一般公共预算财政拨款支出决算结构情况</w:t>
      </w:r>
      <w:bookmarkEnd w:id="29"/>
    </w:p>
    <w:p w14:paraId="1A606F0B">
      <w:pPr>
        <w:pageBreakBefore w:val="0"/>
        <w:widowControl w:val="0"/>
        <w:spacing w:line="580" w:lineRule="exact"/>
        <w:ind w:left="0" w:right="0" w:firstLine="640"/>
        <w:jc w:val="both"/>
        <w:rPr>
          <w:rFonts w:hint="eastAsia" w:ascii="仿宋" w:hAnsi="仿宋" w:eastAsia="仿宋" w:cs="Times New Roman"/>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eastAsia="仿宋"/>
          <w:sz w:val="32"/>
          <w:szCs w:val="32"/>
          <w:lang w:val="en-US" w:eastAsia="zh-CN"/>
        </w:rPr>
        <w:t>138.43</w:t>
      </w:r>
      <w:r>
        <w:rPr>
          <w:rFonts w:hint="eastAsia" w:ascii="仿宋" w:hAnsi="仿宋" w:eastAsia="仿宋"/>
          <w:sz w:val="32"/>
          <w:szCs w:val="32"/>
        </w:rPr>
        <w:t>万元，主要用于以下方面</w:t>
      </w:r>
      <w:r>
        <w:rPr>
          <w:rFonts w:hint="eastAsia" w:ascii="仿宋" w:hAnsi="仿宋" w:eastAsia="仿宋" w:cs="Times New Roman"/>
          <w:sz w:val="32"/>
          <w:szCs w:val="32"/>
        </w:rPr>
        <w:t>:社会保障和就业支出为122.89万元，占比89%；卫生健康支出为6.65万元，占比5%；住房保障支出为8.89万元，占比6%；</w:t>
      </w:r>
    </w:p>
    <w:p w14:paraId="67F4579D">
      <w:pPr>
        <w:pageBreakBefore w:val="0"/>
        <w:widowControl w:val="0"/>
        <w:spacing w:line="580" w:lineRule="exact"/>
        <w:ind w:left="0" w:right="0" w:firstLine="643"/>
        <w:jc w:val="both"/>
        <w:rPr>
          <w:rFonts w:ascii="仿宋" w:hAnsi="仿宋" w:eastAsia="仿宋"/>
          <w:b/>
          <w:sz w:val="32"/>
          <w:szCs w:val="32"/>
        </w:rPr>
      </w:pPr>
      <w:r>
        <w:rPr>
          <w:rFonts w:hint="eastAsia" w:ascii="仿宋" w:hAnsi="仿宋" w:eastAsia="仿宋"/>
          <w:b/>
          <w:sz w:val="32"/>
          <w:szCs w:val="32"/>
        </w:rPr>
        <w:t>（注：数据来源于财决01-1表，仅罗列本部门涉及的全部功能分类科目，至类级。）</w:t>
      </w:r>
    </w:p>
    <w:p w14:paraId="16925F3D">
      <w:pPr>
        <w:pageBreakBefore w:val="0"/>
        <w:widowControl w:val="0"/>
        <w:spacing w:line="580" w:lineRule="exact"/>
        <w:ind w:left="0" w:right="0" w:firstLine="420"/>
        <w:jc w:val="both"/>
        <w:rPr>
          <w:rFonts w:ascii="仿宋" w:hAnsi="仿宋" w:eastAsia="仿宋"/>
          <w:sz w:val="32"/>
          <w:szCs w:val="32"/>
        </w:rPr>
      </w:pPr>
      <w:r>
        <w:drawing>
          <wp:anchor distT="0" distB="0" distL="114300" distR="114300" simplePos="0" relativeHeight="251664384" behindDoc="0" locked="0" layoutInCell="1" allowOverlap="1">
            <wp:simplePos x="0" y="0"/>
            <wp:positionH relativeFrom="column">
              <wp:posOffset>-60325</wp:posOffset>
            </wp:positionH>
            <wp:positionV relativeFrom="paragraph">
              <wp:posOffset>355600</wp:posOffset>
            </wp:positionV>
            <wp:extent cx="5516245" cy="3050540"/>
            <wp:effectExtent l="6350" t="6350" r="20955" b="10160"/>
            <wp:wrapSquare wrapText="bothSides"/>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2278F5B7">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（图6：一般公共预算财政拨款支出决算结构）（饼状图）</w:t>
      </w:r>
    </w:p>
    <w:p w14:paraId="4113CBE6">
      <w:pPr>
        <w:pageBreakBefore w:val="0"/>
        <w:widowControl w:val="0"/>
        <w:spacing w:line="580" w:lineRule="exact"/>
        <w:ind w:left="0" w:right="0" w:firstLine="640"/>
        <w:jc w:val="both"/>
        <w:rPr>
          <w:rFonts w:ascii="仿宋" w:hAnsi="仿宋" w:eastAsia="仿宋"/>
          <w:sz w:val="32"/>
          <w:szCs w:val="32"/>
        </w:rPr>
      </w:pPr>
    </w:p>
    <w:p w14:paraId="18F2B8F8">
      <w:pPr>
        <w:pageBreakBefore w:val="0"/>
        <w:widowControl w:val="0"/>
        <w:spacing w:line="580" w:lineRule="exact"/>
        <w:ind w:left="0" w:right="0" w:firstLine="643"/>
        <w:jc w:val="both"/>
        <w:outlineLvl w:val="2"/>
        <w:rPr>
          <w:rFonts w:ascii="仿宋" w:hAnsi="仿宋" w:eastAsia="仿宋"/>
          <w:b/>
          <w:sz w:val="32"/>
          <w:szCs w:val="32"/>
        </w:rPr>
      </w:pPr>
      <w:bookmarkStart w:id="30" w:name="_Toc15377212"/>
      <w:r>
        <w:rPr>
          <w:rFonts w:hint="eastAsia" w:ascii="仿宋" w:hAnsi="仿宋" w:eastAsia="仿宋"/>
          <w:b/>
          <w:sz w:val="32"/>
          <w:szCs w:val="32"/>
        </w:rPr>
        <w:t>（三）一般公共预算财政拨款支出决算具体情况</w:t>
      </w:r>
      <w:bookmarkEnd w:id="30"/>
    </w:p>
    <w:p w14:paraId="0D350E9C">
      <w:pPr>
        <w:keepNext w:val="0"/>
        <w:keepLines w:val="0"/>
        <w:pageBreakBefore w:val="0"/>
        <w:widowControl w:val="0"/>
        <w:spacing w:afterAutospacing="0" w:line="580" w:lineRule="exact"/>
        <w:ind w:left="0" w:right="0" w:firstLine="643"/>
        <w:jc w:val="both"/>
        <w:outlineLvl w:val="2"/>
        <w:rPr>
          <w:rFonts w:ascii="仿宋" w:hAnsi="仿宋" w:eastAsia="仿宋"/>
          <w:sz w:val="32"/>
          <w:szCs w:val="32"/>
        </w:rPr>
      </w:pPr>
      <w:bookmarkStart w:id="31" w:name="_Toc15377213"/>
      <w:bookmarkStart w:id="32" w:name="_Toc15377444"/>
      <w:bookmarkStart w:id="33" w:name="_Toc15378460"/>
      <w:r>
        <w:rPr>
          <w:rFonts w:hint="eastAsia" w:ascii="仿宋" w:hAnsi="仿宋" w:eastAsia="仿宋"/>
          <w:b/>
          <w:sz w:val="32"/>
          <w:szCs w:val="32"/>
        </w:rPr>
        <w:t>202</w:t>
      </w:r>
      <w:r>
        <w:rPr>
          <w:rFonts w:hint="eastAsia" w:ascii="仿宋" w:hAnsi="仿宋" w:eastAsia="仿宋"/>
          <w:b/>
          <w:sz w:val="32"/>
          <w:szCs w:val="32"/>
          <w:lang w:val="en-US" w:eastAsia="zh-CN"/>
        </w:rPr>
        <w:t>4</w:t>
      </w:r>
      <w:r>
        <w:rPr>
          <w:rFonts w:hint="eastAsia" w:ascii="仿宋" w:hAnsi="仿宋" w:eastAsia="仿宋"/>
          <w:b/>
          <w:sz w:val="32"/>
          <w:szCs w:val="32"/>
        </w:rPr>
        <w:t>年度一般公共预算支出决算数为</w:t>
      </w:r>
      <w:r>
        <w:rPr>
          <w:rFonts w:hint="eastAsia" w:eastAsia="仿宋"/>
          <w:sz w:val="32"/>
          <w:szCs w:val="32"/>
          <w:lang w:val="en-US" w:eastAsia="zh-CN"/>
        </w:rPr>
        <w:t>138.43万元</w:t>
      </w:r>
      <w:r>
        <w:rPr>
          <w:rFonts w:hint="eastAsia" w:ascii="仿宋" w:hAnsi="仿宋" w:eastAsia="仿宋"/>
          <w:sz w:val="32"/>
          <w:szCs w:val="32"/>
        </w:rPr>
        <w:t>，</w:t>
      </w:r>
      <w:r>
        <w:rPr>
          <w:rStyle w:val="37"/>
          <w:rFonts w:hint="eastAsia" w:ascii="仿宋" w:hAnsi="仿宋" w:eastAsia="仿宋"/>
          <w:bCs/>
          <w:sz w:val="32"/>
          <w:szCs w:val="32"/>
        </w:rPr>
        <w:t>完成预算</w:t>
      </w:r>
      <w:r>
        <w:rPr>
          <w:rStyle w:val="37"/>
          <w:rFonts w:hint="eastAsia" w:ascii="仿宋" w:hAnsi="仿宋" w:eastAsia="仿宋"/>
          <w:bCs/>
          <w:sz w:val="32"/>
          <w:szCs w:val="32"/>
          <w:lang w:val="en-US" w:eastAsia="zh-CN"/>
        </w:rPr>
        <w:t>100</w:t>
      </w:r>
      <w:r>
        <w:rPr>
          <w:rStyle w:val="37"/>
          <w:rFonts w:ascii="仿宋" w:hAnsi="仿宋" w:eastAsia="仿宋"/>
          <w:bCs/>
          <w:sz w:val="32"/>
          <w:szCs w:val="32"/>
        </w:rPr>
        <w:t>%</w:t>
      </w:r>
      <w:r>
        <w:rPr>
          <w:rStyle w:val="37"/>
          <w:rFonts w:hint="eastAsia" w:ascii="仿宋" w:hAnsi="仿宋" w:eastAsia="仿宋"/>
          <w:bCs/>
          <w:sz w:val="32"/>
          <w:szCs w:val="32"/>
        </w:rPr>
        <w:t>。其中：</w:t>
      </w:r>
      <w:bookmarkEnd w:id="31"/>
      <w:bookmarkEnd w:id="32"/>
      <w:bookmarkEnd w:id="33"/>
    </w:p>
    <w:p w14:paraId="37CC2100">
      <w:pPr>
        <w:pStyle w:val="31"/>
        <w:keepNext w:val="0"/>
        <w:keepLines w:val="0"/>
        <w:pageBreakBefore w:val="0"/>
        <w:widowControl/>
        <w:numPr>
          <w:ilvl w:val="0"/>
          <w:numId w:val="2"/>
        </w:numPr>
        <w:suppressLineNumbers w:val="0"/>
        <w:spacing w:before="0" w:beforeAutospacing="0" w:afterAutospacing="0" w:line="580" w:lineRule="exact"/>
        <w:ind w:left="0" w:right="0" w:firstLine="640"/>
        <w:jc w:val="both"/>
        <w:rPr>
          <w:rStyle w:val="37"/>
          <w:rFonts w:hint="eastAsia" w:ascii="仿宋_GB2312" w:hAnsi="仿宋_GB2312" w:eastAsia="仿宋_GB2312" w:cs="仿宋_GB2312"/>
          <w:b w:val="0"/>
          <w:bCs/>
          <w:sz w:val="32"/>
          <w:szCs w:val="32"/>
          <w:shd w:val="clear" w:color="auto" w:fill="FFFFFF"/>
          <w:lang w:val="en-US" w:eastAsia="zh-CN"/>
        </w:rPr>
      </w:pPr>
      <w:r>
        <w:rPr>
          <w:rStyle w:val="37"/>
          <w:rFonts w:hint="eastAsia" w:ascii="仿宋_GB2312" w:hAnsi="仿宋_GB2312" w:eastAsia="仿宋_GB2312" w:cs="仿宋_GB2312"/>
          <w:b w:val="0"/>
          <w:bCs/>
          <w:sz w:val="32"/>
          <w:szCs w:val="32"/>
          <w:shd w:val="clear" w:color="auto" w:fill="FFFFFF"/>
          <w:lang w:val="en-US" w:eastAsia="zh-CN"/>
        </w:rPr>
        <w:t>社会保障和就业支出208（类）行政事业单位养老支出05（款）机关事业单位基本养老保险缴费支出05（项）和208（类）05（款）机关事业单位职业年金缴费支出06（项）；社会保障和就业支出208（类）红十字事业16（款）行政运行01（项）和208（类）红十字事业16（款）一般行政管理事务02（项）和208（类）红十字事业16（款）其他红十字事业支出99（项）；208（类）特困人员救助供养21（款）城市特困人员救助供养支出01（项）：支出决算为122.89万元，完成预算100%。</w:t>
      </w:r>
    </w:p>
    <w:p w14:paraId="463F7F7D">
      <w:pPr>
        <w:pStyle w:val="31"/>
        <w:keepNext w:val="0"/>
        <w:keepLines w:val="0"/>
        <w:pageBreakBefore w:val="0"/>
        <w:widowControl/>
        <w:numPr>
          <w:ilvl w:val="0"/>
          <w:numId w:val="0"/>
        </w:numPr>
        <w:suppressLineNumbers w:val="0"/>
        <w:spacing w:before="0" w:beforeAutospacing="0" w:afterAutospacing="0" w:line="580" w:lineRule="exact"/>
        <w:ind w:right="0" w:firstLine="640"/>
        <w:jc w:val="both"/>
        <w:rPr>
          <w:rStyle w:val="37"/>
          <w:rFonts w:hint="eastAsia" w:ascii="仿宋_GB2312" w:hAnsi="仿宋_GB2312" w:eastAsia="仿宋_GB2312" w:cs="仿宋_GB2312"/>
          <w:b w:val="0"/>
          <w:bCs/>
          <w:sz w:val="32"/>
          <w:szCs w:val="32"/>
          <w:shd w:val="clear" w:color="auto" w:fill="FFFFFF"/>
          <w:lang w:val="en-US" w:eastAsia="zh-CN"/>
        </w:rPr>
      </w:pPr>
      <w:r>
        <w:rPr>
          <w:rStyle w:val="37"/>
          <w:rFonts w:hint="eastAsia" w:ascii="仿宋_GB2312" w:hAnsi="仿宋_GB2312" w:eastAsia="仿宋_GB2312" w:cs="仿宋_GB2312"/>
          <w:b w:val="0"/>
          <w:bCs/>
          <w:sz w:val="32"/>
          <w:szCs w:val="32"/>
          <w:shd w:val="clear" w:color="auto" w:fill="FFFFFF"/>
          <w:lang w:val="en-US" w:eastAsia="zh-CN"/>
        </w:rPr>
        <w:t>2.卫生健康支出210（类）行政事业单位医疗11（款）行政单位医疗01（项）和210（类）行政事业单位医疗11（款）公务员医疗补助03（项）：支出决算为6.65万元，完成预算100%。</w:t>
      </w:r>
    </w:p>
    <w:p w14:paraId="765E5281">
      <w:pPr>
        <w:pStyle w:val="31"/>
        <w:keepNext w:val="0"/>
        <w:keepLines w:val="0"/>
        <w:pageBreakBefore w:val="0"/>
        <w:widowControl/>
        <w:suppressLineNumbers w:val="0"/>
        <w:spacing w:before="0" w:beforeAutospacing="0" w:afterAutospacing="0" w:line="580" w:lineRule="exact"/>
        <w:ind w:left="0" w:firstLine="640"/>
        <w:jc w:val="both"/>
        <w:rPr>
          <w:rFonts w:hint="eastAsia" w:ascii="仿宋_GB2312" w:hAnsi="仿宋_GB2312" w:eastAsia="仿宋_GB2312" w:cs="仿宋_GB2312"/>
          <w:b/>
          <w:sz w:val="32"/>
          <w:szCs w:val="32"/>
        </w:rPr>
      </w:pPr>
      <w:r>
        <w:rPr>
          <w:rStyle w:val="37"/>
          <w:rFonts w:hint="eastAsia" w:ascii="仿宋_GB2312" w:hAnsi="仿宋_GB2312" w:eastAsia="仿宋_GB2312" w:cs="仿宋_GB2312"/>
          <w:b w:val="0"/>
          <w:bCs/>
          <w:sz w:val="32"/>
          <w:szCs w:val="32"/>
          <w:shd w:val="clear" w:color="auto" w:fill="FFFFFF"/>
          <w:lang w:val="en-US" w:eastAsia="zh-CN"/>
        </w:rPr>
        <w:t>3.住房保障支出221（类）住房改革支出02（款）住房公积金01（项）:支出决算为8.89万元，完成预算100%。</w:t>
      </w:r>
    </w:p>
    <w:p w14:paraId="42B36E49">
      <w:pPr>
        <w:pageBreakBefore w:val="0"/>
        <w:widowControl w:val="0"/>
        <w:tabs>
          <w:tab w:val="right" w:pos="8306"/>
        </w:tabs>
        <w:spacing w:line="580" w:lineRule="exact"/>
        <w:ind w:left="0" w:right="0" w:firstLine="640"/>
        <w:jc w:val="both"/>
        <w:outlineLvl w:val="1"/>
        <w:rPr>
          <w:rStyle w:val="195"/>
        </w:rPr>
      </w:pPr>
      <w:bookmarkStart w:id="34" w:name="_Toc15396608"/>
      <w:bookmarkStart w:id="35"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195"/>
          <w:rFonts w:hint="eastAsia" w:ascii="黑体" w:hAnsi="黑体" w:eastAsia="黑体"/>
          <w:b w:val="0"/>
        </w:rPr>
        <w:t>般公共预算财政拨款基本支出决算情况说明</w:t>
      </w:r>
      <w:bookmarkEnd w:id="34"/>
      <w:bookmarkEnd w:id="35"/>
      <w:r>
        <w:rPr>
          <w:rStyle w:val="195"/>
          <w:rFonts w:ascii="黑体" w:hAnsi="黑体" w:eastAsia="黑体"/>
          <w:b w:val="0"/>
        </w:rPr>
        <w:tab/>
      </w:r>
    </w:p>
    <w:p w14:paraId="1205010F">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年度一般公共预算财政拨款基本支出</w:t>
      </w:r>
      <w:r>
        <w:rPr>
          <w:rFonts w:hint="eastAsia" w:eastAsia="仿宋"/>
          <w:sz w:val="32"/>
          <w:szCs w:val="32"/>
          <w:lang w:val="en-US" w:eastAsia="zh-CN"/>
        </w:rPr>
        <w:t>138.43</w:t>
      </w:r>
      <w:r>
        <w:rPr>
          <w:rFonts w:hint="eastAsia" w:ascii="仿宋" w:hAnsi="仿宋" w:eastAsia="仿宋"/>
          <w:sz w:val="32"/>
          <w:szCs w:val="32"/>
        </w:rPr>
        <w:t>万元，其中：</w:t>
      </w:r>
    </w:p>
    <w:p w14:paraId="36148189">
      <w:pPr>
        <w:pageBreakBefore w:val="0"/>
        <w:widowControl w:val="0"/>
        <w:spacing w:line="580" w:lineRule="exact"/>
        <w:ind w:left="0" w:right="0" w:firstLine="640"/>
        <w:jc w:val="left"/>
        <w:rPr>
          <w:rFonts w:ascii="仿宋" w:hAnsi="仿宋" w:eastAsia="仿宋"/>
          <w:sz w:val="32"/>
          <w:szCs w:val="32"/>
        </w:rPr>
      </w:pPr>
      <w:r>
        <w:rPr>
          <w:rFonts w:hint="eastAsia" w:ascii="仿宋_GB2312" w:hAnsi="仿宋_GB2312" w:eastAsia="仿宋_GB2312" w:cs="仿宋_GB2312"/>
          <w:sz w:val="32"/>
          <w:szCs w:val="32"/>
        </w:rPr>
        <w:t>人员经费1</w:t>
      </w:r>
      <w:r>
        <w:rPr>
          <w:rFonts w:hint="eastAsia" w:ascii="仿宋_GB2312" w:hAnsi="仿宋_GB2312" w:eastAsia="仿宋_GB2312" w:cs="仿宋_GB2312"/>
          <w:sz w:val="32"/>
          <w:szCs w:val="32"/>
          <w:lang w:val="en-US" w:eastAsia="zh-CN"/>
        </w:rPr>
        <w:t>13.39</w:t>
      </w:r>
      <w:r>
        <w:rPr>
          <w:rFonts w:hint="eastAsia" w:ascii="仿宋_GB2312" w:hAnsi="仿宋_GB2312" w:eastAsia="仿宋_GB2312" w:cs="仿宋_GB2312"/>
          <w:sz w:val="32"/>
          <w:szCs w:val="32"/>
        </w:rPr>
        <w:t>万元，</w:t>
      </w:r>
      <w:r>
        <w:rPr>
          <w:rFonts w:hint="eastAsia" w:ascii="仿宋" w:hAnsi="仿宋" w:eastAsia="仿宋"/>
          <w:sz w:val="32"/>
          <w:szCs w:val="32"/>
        </w:rPr>
        <w:t>主要包括：基本工资、津贴补贴、奖金、伙食补助费、绩效工资、机关事业单位基本养老保险缴费、职业年金缴费、其他社会保障缴费、其他工资福利支出、离休费、退休费、抚恤金、生活补助、医疗费补助、奖励金、住房公积金、</w:t>
      </w:r>
      <w:r>
        <w:rPr>
          <w:rFonts w:hint="eastAsia" w:ascii="仿宋" w:hAnsi="仿宋" w:eastAsia="仿宋"/>
          <w:sz w:val="32"/>
          <w:szCs w:val="32"/>
          <w:lang w:eastAsia="zh-CN"/>
        </w:rPr>
        <w:t>其</w:t>
      </w:r>
      <w:r>
        <w:rPr>
          <w:rFonts w:hint="eastAsia" w:ascii="仿宋" w:hAnsi="仿宋" w:eastAsia="仿宋"/>
          <w:sz w:val="32"/>
          <w:szCs w:val="32"/>
        </w:rPr>
        <w:t>他对个人和家庭的补助支出等。</w:t>
      </w:r>
      <w:r>
        <w:rPr>
          <w:rFonts w:hint="eastAsia" w:ascii="仿宋" w:hAnsi="仿宋" w:eastAsia="仿宋"/>
          <w:sz w:val="32"/>
          <w:szCs w:val="32"/>
        </w:rPr>
        <w:br w:type="textWrapping"/>
      </w:r>
      <w:r>
        <w:rPr>
          <w:rFonts w:hint="eastAsia" w:ascii="仿宋" w:hAnsi="仿宋" w:eastAsia="仿宋"/>
          <w:sz w:val="32"/>
          <w:szCs w:val="32"/>
        </w:rPr>
        <w:t>　　公用经费</w:t>
      </w:r>
      <w:r>
        <w:rPr>
          <w:rFonts w:hint="eastAsia" w:eastAsia="仿宋"/>
          <w:sz w:val="32"/>
          <w:szCs w:val="32"/>
          <w:lang w:val="en-US" w:eastAsia="zh-CN"/>
        </w:rPr>
        <w:t>7.97</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53078CFD">
      <w:pPr>
        <w:pageBreakBefore w:val="0"/>
        <w:widowControl w:val="0"/>
        <w:spacing w:line="580" w:lineRule="exact"/>
        <w:ind w:left="0" w:right="0" w:firstLine="643"/>
        <w:jc w:val="both"/>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7表和财决08-1表，仅罗列本部门实际支出涉及的经济分类科目。）</w:t>
      </w:r>
    </w:p>
    <w:p w14:paraId="211A18EE">
      <w:pPr>
        <w:pageBreakBefore w:val="0"/>
        <w:widowControl w:val="0"/>
        <w:spacing w:line="580" w:lineRule="exact"/>
        <w:ind w:left="0" w:right="0" w:firstLine="640"/>
        <w:jc w:val="both"/>
        <w:outlineLvl w:val="1"/>
        <w:rPr>
          <w:rStyle w:val="195"/>
          <w:rFonts w:ascii="黑体" w:hAnsi="黑体" w:eastAsia="黑体"/>
          <w:b w:val="0"/>
        </w:rPr>
      </w:pPr>
      <w:bookmarkStart w:id="36" w:name="_Toc15377215"/>
      <w:bookmarkStart w:id="37" w:name="_Toc15396609"/>
      <w:r>
        <w:rPr>
          <w:rFonts w:hint="eastAsia" w:ascii="黑体" w:eastAsia="黑体"/>
          <w:sz w:val="32"/>
          <w:szCs w:val="32"/>
        </w:rPr>
        <w:t>七、</w:t>
      </w:r>
      <w:r>
        <w:rPr>
          <w:rStyle w:val="195"/>
          <w:rFonts w:hint="eastAsia" w:ascii="黑体" w:hAnsi="黑体" w:eastAsia="黑体"/>
          <w:b w:val="0"/>
        </w:rPr>
        <w:t>财政拨款</w:t>
      </w:r>
      <w:r>
        <w:rPr>
          <w:rStyle w:val="195"/>
          <w:rFonts w:hint="eastAsia" w:ascii="黑体" w:hAnsi="黑体" w:eastAsia="黑体"/>
        </w:rPr>
        <w:t>“</w:t>
      </w:r>
      <w:r>
        <w:rPr>
          <w:rStyle w:val="195"/>
          <w:rFonts w:hint="eastAsia" w:ascii="黑体" w:hAnsi="黑体" w:eastAsia="黑体"/>
          <w:b w:val="0"/>
        </w:rPr>
        <w:t>三公”经费支出决算情况说明</w:t>
      </w:r>
      <w:bookmarkEnd w:id="36"/>
      <w:bookmarkEnd w:id="37"/>
    </w:p>
    <w:p w14:paraId="5CD9A8FE">
      <w:pPr>
        <w:pageBreakBefore w:val="0"/>
        <w:widowControl w:val="0"/>
        <w:spacing w:line="580" w:lineRule="exact"/>
        <w:ind w:left="0" w:right="0" w:firstLine="643"/>
        <w:jc w:val="both"/>
        <w:outlineLvl w:val="2"/>
        <w:rPr>
          <w:rFonts w:ascii="仿宋" w:hAnsi="仿宋" w:eastAsia="仿宋"/>
          <w:b/>
          <w:sz w:val="32"/>
          <w:szCs w:val="32"/>
        </w:rPr>
      </w:pPr>
      <w:bookmarkStart w:id="38" w:name="_Toc15377216"/>
      <w:r>
        <w:rPr>
          <w:rFonts w:hint="eastAsia" w:ascii="仿宋" w:hAnsi="仿宋" w:eastAsia="仿宋"/>
          <w:b/>
          <w:sz w:val="32"/>
          <w:szCs w:val="32"/>
        </w:rPr>
        <w:t>（一）“三公”经费财政拨款支出决算总体情况说明</w:t>
      </w:r>
      <w:bookmarkEnd w:id="38"/>
    </w:p>
    <w:p w14:paraId="153BA5C9">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年度“三公”经费财政拨款支出决算为</w:t>
      </w:r>
      <w:r>
        <w:rPr>
          <w:rFonts w:hint="eastAsia" w:eastAsia="仿宋"/>
          <w:sz w:val="32"/>
          <w:szCs w:val="32"/>
          <w:lang w:val="en-US" w:eastAsia="zh-CN"/>
        </w:rPr>
        <w:t>2.62</w:t>
      </w:r>
      <w:r>
        <w:rPr>
          <w:rFonts w:hint="eastAsia" w:ascii="仿宋" w:hAnsi="仿宋" w:eastAsia="仿宋"/>
          <w:sz w:val="32"/>
          <w:szCs w:val="32"/>
        </w:rPr>
        <w:t>万元，完成预算</w:t>
      </w:r>
      <w:r>
        <w:rPr>
          <w:rFonts w:hint="eastAsia" w:eastAsia="仿宋"/>
          <w:sz w:val="32"/>
          <w:szCs w:val="32"/>
          <w:lang w:val="en-US" w:eastAsia="zh-CN"/>
        </w:rPr>
        <w:t>83.7</w:t>
      </w:r>
      <w:r>
        <w:rPr>
          <w:rFonts w:ascii="仿宋" w:hAnsi="仿宋" w:eastAsia="仿宋"/>
          <w:sz w:val="32"/>
          <w:szCs w:val="32"/>
        </w:rPr>
        <w:t>%</w:t>
      </w:r>
      <w:r>
        <w:rPr>
          <w:rFonts w:hint="eastAsia" w:ascii="仿宋" w:hAnsi="仿宋" w:eastAsia="仿宋"/>
          <w:sz w:val="32"/>
          <w:szCs w:val="32"/>
        </w:rPr>
        <w:t>，较上年度</w:t>
      </w:r>
      <w:r>
        <w:rPr>
          <w:rFonts w:hint="eastAsia" w:ascii="仿宋" w:hAnsi="仿宋" w:eastAsia="仿宋"/>
          <w:sz w:val="32"/>
          <w:szCs w:val="32"/>
          <w:lang w:eastAsia="zh-CN"/>
        </w:rPr>
        <w:t>减少</w:t>
      </w:r>
      <w:r>
        <w:rPr>
          <w:rFonts w:hint="eastAsia" w:ascii="仿宋" w:hAnsi="仿宋" w:eastAsia="仿宋"/>
          <w:sz w:val="32"/>
          <w:szCs w:val="32"/>
          <w:lang w:val="en-US" w:eastAsia="zh-CN"/>
        </w:rPr>
        <w:t>0.08</w:t>
      </w:r>
      <w:r>
        <w:rPr>
          <w:rFonts w:hint="eastAsia" w:ascii="仿宋" w:hAnsi="仿宋" w:eastAsia="仿宋"/>
          <w:sz w:val="32"/>
          <w:szCs w:val="32"/>
        </w:rPr>
        <w:t>万元。</w:t>
      </w:r>
    </w:p>
    <w:p w14:paraId="4BA3083A">
      <w:pPr>
        <w:pageBreakBefore w:val="0"/>
        <w:widowControl w:val="0"/>
        <w:spacing w:line="580" w:lineRule="exact"/>
        <w:ind w:left="0" w:right="0" w:firstLine="643"/>
        <w:jc w:val="both"/>
        <w:rPr>
          <w:rFonts w:ascii="仿宋" w:hAnsi="仿宋" w:eastAsia="仿宋"/>
          <w:b/>
          <w:sz w:val="32"/>
          <w:szCs w:val="32"/>
        </w:rPr>
      </w:pPr>
      <w:r>
        <w:rPr>
          <w:rFonts w:hint="eastAsia" w:ascii="仿宋" w:hAnsi="仿宋" w:eastAsia="仿宋"/>
          <w:b/>
          <w:sz w:val="32"/>
          <w:szCs w:val="32"/>
        </w:rPr>
        <w:t>（注：上述“预算”口径为全年预算数，包括一般公共预算和政府性基金预算财政拨款支出决算情况。）</w:t>
      </w:r>
    </w:p>
    <w:p w14:paraId="69D581D1">
      <w:pPr>
        <w:pageBreakBefore w:val="0"/>
        <w:widowControl w:val="0"/>
        <w:spacing w:line="580" w:lineRule="exact"/>
        <w:ind w:left="0" w:right="0" w:firstLine="643"/>
        <w:jc w:val="both"/>
        <w:outlineLvl w:val="2"/>
        <w:rPr>
          <w:rFonts w:ascii="仿宋" w:hAnsi="仿宋" w:eastAsia="仿宋"/>
          <w:b/>
          <w:sz w:val="32"/>
          <w:szCs w:val="32"/>
        </w:rPr>
      </w:pPr>
      <w:bookmarkStart w:id="39" w:name="_Toc15377217"/>
      <w:r>
        <w:rPr>
          <w:rFonts w:hint="eastAsia" w:ascii="仿宋" w:hAnsi="仿宋" w:eastAsia="仿宋"/>
          <w:b/>
          <w:sz w:val="32"/>
          <w:szCs w:val="32"/>
        </w:rPr>
        <w:t>（二）“三公”经费财政拨款支出决算具体情况说明</w:t>
      </w:r>
      <w:bookmarkEnd w:id="39"/>
    </w:p>
    <w:p w14:paraId="5A639A92">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2.62</w:t>
      </w:r>
      <w:r>
        <w:rPr>
          <w:rFonts w:hint="eastAsia" w:ascii="仿宋" w:hAnsi="仿宋" w:eastAsia="仿宋"/>
          <w:sz w:val="32"/>
          <w:szCs w:val="32"/>
        </w:rPr>
        <w:t>万元，占</w:t>
      </w:r>
      <w:r>
        <w:rPr>
          <w:rFonts w:hint="eastAsia"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；公务接待费支出决算</w:t>
      </w:r>
      <w:r>
        <w:rPr>
          <w:rFonts w:hint="eastAsia" w:eastAsia="仿宋"/>
          <w:sz w:val="32"/>
          <w:szCs w:val="32"/>
          <w:lang w:val="en-US" w:eastAsia="zh-CN"/>
        </w:rPr>
        <w:t>0</w:t>
      </w:r>
      <w:r>
        <w:rPr>
          <w:rFonts w:hint="eastAsia" w:ascii="仿宋" w:hAnsi="仿宋" w:eastAsia="仿宋"/>
          <w:sz w:val="32"/>
          <w:szCs w:val="32"/>
        </w:rPr>
        <w:t>万元，占</w:t>
      </w:r>
      <w:r>
        <w:rPr>
          <w:rFonts w:hint="eastAsia"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。具体情况如下：</w:t>
      </w:r>
    </w:p>
    <w:p w14:paraId="0D4EB1D5">
      <w:pPr>
        <w:pageBreakBefore w:val="0"/>
        <w:widowControl w:val="0"/>
        <w:spacing w:line="580" w:lineRule="exact"/>
        <w:ind w:left="0" w:right="0" w:firstLine="420"/>
        <w:jc w:val="both"/>
        <w:rPr>
          <w:rFonts w:hint="eastAsia" w:ascii="仿宋" w:hAnsi="仿宋" w:eastAsia="仿宋"/>
          <w:sz w:val="32"/>
          <w:szCs w:val="32"/>
        </w:rPr>
      </w:pPr>
      <w:r>
        <w:drawing>
          <wp:anchor distT="0" distB="0" distL="114300" distR="114300" simplePos="0" relativeHeight="251665408" behindDoc="1" locked="0" layoutInCell="1" allowOverlap="1">
            <wp:simplePos x="0" y="0"/>
            <wp:positionH relativeFrom="column">
              <wp:posOffset>250190</wp:posOffset>
            </wp:positionH>
            <wp:positionV relativeFrom="paragraph">
              <wp:posOffset>114935</wp:posOffset>
            </wp:positionV>
            <wp:extent cx="4933950" cy="2562860"/>
            <wp:effectExtent l="6350" t="6350" r="12700" b="21590"/>
            <wp:wrapThrough wrapText="bothSides">
              <wp:wrapPolygon>
                <wp:start x="-28" y="-54"/>
                <wp:lineTo x="-28" y="21461"/>
                <wp:lineTo x="21572" y="21461"/>
                <wp:lineTo x="21572" y="-54"/>
                <wp:lineTo x="-28" y="-54"/>
              </wp:wrapPolygon>
            </wp:wrapThrough>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BA763F0">
      <w:pPr>
        <w:pageBreakBefore w:val="0"/>
        <w:widowControl w:val="0"/>
        <w:spacing w:line="580" w:lineRule="exact"/>
        <w:ind w:left="0" w:right="0" w:firstLine="640"/>
        <w:jc w:val="both"/>
        <w:rPr>
          <w:rFonts w:hint="eastAsia" w:ascii="仿宋" w:hAnsi="仿宋" w:eastAsia="仿宋"/>
          <w:sz w:val="32"/>
          <w:szCs w:val="32"/>
        </w:rPr>
      </w:pPr>
      <w:r>
        <w:rPr>
          <w:rFonts w:hint="eastAsia" w:ascii="仿宋" w:hAnsi="仿宋" w:eastAsia="仿宋"/>
          <w:sz w:val="32"/>
          <w:szCs w:val="32"/>
        </w:rPr>
        <w:t>（图7：“三公”经费财政拨款支出结构）（饼状图）</w:t>
      </w:r>
    </w:p>
    <w:p w14:paraId="721C1118">
      <w:pPr>
        <w:pStyle w:val="33"/>
      </w:pPr>
    </w:p>
    <w:p w14:paraId="481ED437">
      <w:pPr>
        <w:pageBreakBefore w:val="0"/>
        <w:widowControl w:val="0"/>
        <w:spacing w:line="580" w:lineRule="exact"/>
        <w:ind w:left="0" w:right="0" w:firstLine="643"/>
        <w:jc w:val="both"/>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37"/>
          <w:rFonts w:hint="eastAsia" w:ascii="仿宋" w:hAnsi="仿宋" w:eastAsia="仿宋"/>
          <w:b w:val="0"/>
          <w:bCs/>
          <w:sz w:val="32"/>
          <w:szCs w:val="32"/>
        </w:rPr>
        <w:t>完成预算</w:t>
      </w:r>
      <w:r>
        <w:rPr>
          <w:sz w:val="32"/>
          <w:szCs w:val="32"/>
        </w:rPr>
        <w:t>0</w:t>
      </w:r>
      <w:r>
        <w:rPr>
          <w:rStyle w:val="37"/>
          <w:rFonts w:ascii="仿宋" w:hAnsi="仿宋" w:eastAsia="仿宋"/>
          <w:b w:val="0"/>
          <w:bCs/>
          <w:sz w:val="32"/>
          <w:szCs w:val="32"/>
        </w:rPr>
        <w:t>%</w:t>
      </w:r>
      <w:r>
        <w:rPr>
          <w:rStyle w:val="37"/>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w:t>
      </w:r>
    </w:p>
    <w:p w14:paraId="111FB613">
      <w:pPr>
        <w:pageBreakBefore w:val="0"/>
        <w:widowControl w:val="0"/>
        <w:spacing w:line="580" w:lineRule="exact"/>
        <w:ind w:left="0" w:right="0" w:firstLine="643"/>
        <w:jc w:val="both"/>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2.62</w:t>
      </w:r>
      <w:r>
        <w:rPr>
          <w:rFonts w:hint="eastAsia" w:ascii="仿宋_GB2312" w:eastAsia="仿宋_GB2312"/>
          <w:sz w:val="32"/>
          <w:szCs w:val="32"/>
        </w:rPr>
        <w:t>万元,</w:t>
      </w:r>
      <w:r>
        <w:rPr>
          <w:rStyle w:val="37"/>
          <w:rFonts w:hint="eastAsia" w:ascii="仿宋" w:hAnsi="仿宋" w:eastAsia="仿宋"/>
          <w:b w:val="0"/>
          <w:bCs/>
          <w:sz w:val="32"/>
          <w:szCs w:val="32"/>
        </w:rPr>
        <w:t>完成预算</w:t>
      </w:r>
      <w:r>
        <w:rPr>
          <w:sz w:val="32"/>
          <w:szCs w:val="32"/>
        </w:rPr>
        <w:t>100</w:t>
      </w:r>
      <w:r>
        <w:rPr>
          <w:rStyle w:val="37"/>
          <w:rFonts w:ascii="仿宋" w:hAnsi="仿宋" w:eastAsia="仿宋"/>
          <w:b w:val="0"/>
          <w:bCs/>
          <w:sz w:val="32"/>
          <w:szCs w:val="32"/>
        </w:rPr>
        <w:t>%</w:t>
      </w:r>
      <w:r>
        <w:rPr>
          <w:rStyle w:val="37"/>
          <w:rFonts w:hint="eastAsia" w:ascii="仿宋" w:hAnsi="仿宋" w:eastAsia="仿宋"/>
          <w:b w:val="0"/>
          <w:bCs/>
          <w:sz w:val="32"/>
          <w:szCs w:val="32"/>
        </w:rPr>
        <w:t>。</w:t>
      </w:r>
      <w:r>
        <w:rPr>
          <w:rFonts w:hint="eastAsia" w:ascii="仿宋_GB2312" w:eastAsia="仿宋_GB2312"/>
          <w:sz w:val="32"/>
          <w:szCs w:val="32"/>
        </w:rPr>
        <w:t>公务用车购置及运行维护费支出决算</w:t>
      </w:r>
      <w:r>
        <w:rPr>
          <w:rFonts w:hint="eastAsia" w:ascii="仿宋_GB2312" w:eastAsia="仿宋_GB2312"/>
          <w:sz w:val="32"/>
          <w:szCs w:val="32"/>
          <w:lang w:val="en-US" w:eastAsia="zh-CN"/>
        </w:rPr>
        <w:t>与</w:t>
      </w:r>
      <w:r>
        <w:rPr>
          <w:rFonts w:hint="eastAsia" w:ascii="仿宋_GB2312" w:eastAsia="仿宋_GB2312"/>
          <w:sz w:val="32"/>
          <w:szCs w:val="32"/>
        </w:rPr>
        <w:t>2022年度增</w:t>
      </w:r>
      <w:r>
        <w:rPr>
          <w:rFonts w:hint="eastAsia" w:ascii="仿宋_GB2312" w:eastAsia="仿宋_GB2312"/>
          <w:sz w:val="32"/>
          <w:szCs w:val="32"/>
          <w:lang w:val="en-US" w:eastAsia="zh-CN"/>
        </w:rPr>
        <w:t>一致</w:t>
      </w:r>
      <w:r>
        <w:rPr>
          <w:rFonts w:hint="eastAsia" w:ascii="仿宋_GB2312" w:eastAsia="仿宋_GB2312"/>
          <w:sz w:val="32"/>
          <w:szCs w:val="32"/>
        </w:rPr>
        <w:t>。</w:t>
      </w:r>
    </w:p>
    <w:p w14:paraId="54EDDBA9">
      <w:pPr>
        <w:pageBreakBefore w:val="0"/>
        <w:widowControl w:val="0"/>
        <w:spacing w:line="580" w:lineRule="exact"/>
        <w:ind w:left="0" w:right="0" w:firstLine="640"/>
        <w:jc w:val="both"/>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w:t>
      </w:r>
    </w:p>
    <w:p w14:paraId="4AE69531">
      <w:pPr>
        <w:pageBreakBefore w:val="0"/>
        <w:widowControl w:val="0"/>
        <w:spacing w:line="580" w:lineRule="exact"/>
        <w:ind w:left="0" w:right="0" w:firstLine="643"/>
        <w:jc w:val="both"/>
        <w:rPr>
          <w:rFonts w:ascii="仿宋_GB2312" w:eastAsia="仿宋_GB2312"/>
          <w:sz w:val="32"/>
          <w:szCs w:val="32"/>
        </w:rPr>
      </w:pPr>
      <w:r>
        <w:rPr>
          <w:rFonts w:hint="eastAsia" w:ascii="仿宋_GB2312" w:eastAsia="仿宋_GB2312"/>
          <w:b/>
          <w:sz w:val="32"/>
          <w:szCs w:val="32"/>
        </w:rPr>
        <w:t>公务用车运行维护费支出</w:t>
      </w:r>
      <w:r>
        <w:rPr>
          <w:sz w:val="32"/>
          <w:szCs w:val="32"/>
        </w:rPr>
        <w:t>2.62</w:t>
      </w:r>
      <w:r>
        <w:rPr>
          <w:rFonts w:hint="eastAsia" w:ascii="仿宋_GB2312" w:eastAsia="仿宋_GB2312"/>
          <w:sz w:val="32"/>
          <w:szCs w:val="32"/>
        </w:rPr>
        <w:t>万元。主要用于</w:t>
      </w:r>
      <w:r>
        <w:rPr>
          <w:rFonts w:hint="eastAsia" w:ascii="仿宋_GB2312" w:eastAsia="仿宋_GB2312"/>
          <w:sz w:val="32"/>
          <w:szCs w:val="32"/>
          <w:lang w:val="en-US" w:eastAsia="zh-CN"/>
        </w:rPr>
        <w:t>开展日常工作</w:t>
      </w:r>
      <w:r>
        <w:rPr>
          <w:rFonts w:hint="eastAsia" w:ascii="仿宋_GB2312" w:eastAsia="仿宋_GB2312"/>
          <w:sz w:val="32"/>
          <w:szCs w:val="32"/>
        </w:rPr>
        <w:t>等所需的公务用车燃料费、维修费、过路过桥费、保险费等支出。</w:t>
      </w:r>
    </w:p>
    <w:p w14:paraId="4ED72959">
      <w:pPr>
        <w:pageBreakBefore w:val="0"/>
        <w:widowControl w:val="0"/>
        <w:spacing w:line="580" w:lineRule="exact"/>
        <w:ind w:left="0" w:right="0" w:firstLine="643"/>
        <w:jc w:val="both"/>
        <w:rPr>
          <w:rFonts w:hint="default" w:ascii="仿宋_GB2312" w:eastAsia="仿宋_GB2312"/>
          <w:sz w:val="32"/>
          <w:szCs w:val="32"/>
          <w:lang w:val="en-US" w:eastAsia="zh-CN"/>
        </w:rPr>
      </w:pPr>
      <w:r>
        <w:rPr>
          <w:rFonts w:ascii="仿宋_GB2312" w:eastAsia="仿宋_GB2312"/>
          <w:b/>
          <w:sz w:val="32"/>
          <w:szCs w:val="32"/>
        </w:rPr>
        <w:t>3.</w:t>
      </w:r>
      <w:r>
        <w:rPr>
          <w:rFonts w:hint="eastAsia" w:ascii="仿宋_GB2312" w:eastAsia="仿宋_GB2312"/>
          <w:b/>
          <w:sz w:val="32"/>
          <w:szCs w:val="32"/>
        </w:rPr>
        <w:t>公务接待费支出</w:t>
      </w:r>
      <w:r>
        <w:rPr>
          <w:rFonts w:hint="eastAsia" w:eastAsia="仿宋_GB2312"/>
          <w:sz w:val="32"/>
          <w:szCs w:val="32"/>
          <w:lang w:val="en-US" w:eastAsia="zh-CN"/>
        </w:rPr>
        <w:t>0</w:t>
      </w:r>
      <w:r>
        <w:rPr>
          <w:rFonts w:hint="eastAsia" w:ascii="仿宋_GB2312" w:eastAsia="仿宋_GB2312"/>
          <w:sz w:val="32"/>
          <w:szCs w:val="32"/>
        </w:rPr>
        <w:t>万元，</w:t>
      </w:r>
      <w:r>
        <w:rPr>
          <w:rStyle w:val="37"/>
          <w:rFonts w:hint="eastAsia" w:ascii="仿宋" w:hAnsi="仿宋" w:eastAsia="仿宋"/>
          <w:b w:val="0"/>
          <w:bCs/>
          <w:sz w:val="32"/>
          <w:szCs w:val="32"/>
        </w:rPr>
        <w:t>完成预算</w:t>
      </w:r>
      <w:r>
        <w:rPr>
          <w:sz w:val="32"/>
          <w:szCs w:val="32"/>
        </w:rPr>
        <w:t>100%</w:t>
      </w:r>
      <w:r>
        <w:rPr>
          <w:rStyle w:val="37"/>
          <w:rFonts w:hint="eastAsia" w:ascii="仿宋" w:hAnsi="仿宋" w:eastAsia="仿宋"/>
          <w:b w:val="0"/>
          <w:bCs/>
          <w:sz w:val="32"/>
          <w:szCs w:val="32"/>
        </w:rPr>
        <w:t>。</w:t>
      </w:r>
      <w:r>
        <w:rPr>
          <w:rFonts w:hint="eastAsia" w:ascii="仿宋_GB2312" w:eastAsia="仿宋_GB2312"/>
          <w:sz w:val="32"/>
          <w:szCs w:val="32"/>
        </w:rPr>
        <w:t>公务接待费支出决算比202</w:t>
      </w:r>
      <w:r>
        <w:rPr>
          <w:rFonts w:hint="eastAsia" w:ascii="仿宋_GB2312" w:eastAsia="仿宋_GB2312"/>
          <w:sz w:val="32"/>
          <w:szCs w:val="32"/>
          <w:lang w:val="en-US" w:eastAsia="zh-CN"/>
        </w:rPr>
        <w:t>3</w:t>
      </w:r>
      <w:r>
        <w:rPr>
          <w:rFonts w:hint="eastAsia" w:ascii="仿宋_GB2312" w:eastAsia="仿宋_GB2312"/>
          <w:sz w:val="32"/>
          <w:szCs w:val="32"/>
        </w:rPr>
        <w:t>年度减少</w:t>
      </w:r>
      <w:r>
        <w:rPr>
          <w:rFonts w:hint="eastAsia" w:ascii="仿宋_GB2312" w:eastAsia="仿宋_GB2312"/>
          <w:sz w:val="32"/>
          <w:szCs w:val="32"/>
          <w:lang w:val="en-US" w:eastAsia="zh-CN"/>
        </w:rPr>
        <w:t>0.08</w:t>
      </w:r>
      <w:r>
        <w:rPr>
          <w:rFonts w:hint="eastAsia" w:ascii="仿宋_GB2312" w:eastAsia="仿宋_GB2312"/>
          <w:sz w:val="32"/>
          <w:szCs w:val="32"/>
        </w:rPr>
        <w:t>万元</w:t>
      </w:r>
      <w:r>
        <w:rPr>
          <w:rFonts w:hint="eastAsia" w:ascii="仿宋_GB2312" w:eastAsia="仿宋_GB2312"/>
          <w:sz w:val="32"/>
          <w:szCs w:val="32"/>
          <w:lang w:val="en-US" w:eastAsia="zh-CN"/>
        </w:rPr>
        <w:t>。</w:t>
      </w:r>
    </w:p>
    <w:p w14:paraId="101669A9">
      <w:pPr>
        <w:pageBreakBefore w:val="0"/>
        <w:widowControl w:val="0"/>
        <w:spacing w:line="580" w:lineRule="exact"/>
        <w:ind w:left="0" w:right="0" w:firstLine="643"/>
        <w:jc w:val="both"/>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0</w:t>
      </w:r>
      <w:r>
        <w:rPr>
          <w:rFonts w:hint="eastAsia" w:ascii="仿宋_GB2312" w:eastAsia="仿宋_GB2312"/>
          <w:sz w:val="32"/>
          <w:szCs w:val="32"/>
        </w:rPr>
        <w:t>万元。</w:t>
      </w:r>
    </w:p>
    <w:p w14:paraId="5B595570">
      <w:pPr>
        <w:pageBreakBefore w:val="0"/>
        <w:widowControl w:val="0"/>
        <w:spacing w:line="580" w:lineRule="exact"/>
        <w:ind w:left="0" w:right="0" w:firstLine="643"/>
        <w:jc w:val="both"/>
        <w:rPr>
          <w:rFonts w:ascii="黑体" w:eastAsia="黑体"/>
          <w:sz w:val="32"/>
          <w:szCs w:val="32"/>
        </w:rPr>
      </w:pP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w:t>
      </w:r>
      <w:bookmarkStart w:id="40" w:name="_Toc15377218"/>
      <w:bookmarkStart w:id="41" w:name="_Toc15396610"/>
    </w:p>
    <w:p w14:paraId="6DABEC3D">
      <w:pPr>
        <w:pageBreakBefore w:val="0"/>
        <w:widowControl w:val="0"/>
        <w:spacing w:line="580" w:lineRule="exact"/>
        <w:ind w:left="0" w:right="0" w:firstLine="640"/>
        <w:jc w:val="both"/>
        <w:outlineLvl w:val="1"/>
        <w:rPr>
          <w:rStyle w:val="195"/>
          <w:rFonts w:ascii="黑体" w:hAnsi="黑体" w:eastAsia="黑体"/>
        </w:rPr>
      </w:pPr>
      <w:r>
        <w:rPr>
          <w:rFonts w:hint="eastAsia" w:ascii="黑体" w:eastAsia="黑体"/>
          <w:sz w:val="32"/>
          <w:szCs w:val="32"/>
        </w:rPr>
        <w:t>八、</w:t>
      </w:r>
      <w:r>
        <w:rPr>
          <w:rStyle w:val="195"/>
          <w:rFonts w:hint="eastAsia" w:ascii="黑体" w:hAnsi="黑体" w:eastAsia="黑体"/>
          <w:b w:val="0"/>
        </w:rPr>
        <w:t>政府性基金预算支出决算情况说明</w:t>
      </w:r>
      <w:bookmarkEnd w:id="40"/>
      <w:bookmarkEnd w:id="41"/>
    </w:p>
    <w:p w14:paraId="309C1B62">
      <w:pPr>
        <w:pageBreakBefore w:val="0"/>
        <w:widowControl w:val="0"/>
        <w:spacing w:line="580" w:lineRule="exact"/>
        <w:ind w:left="0" w:right="0" w:firstLine="640"/>
        <w:jc w:val="both"/>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年度政府性基金预算财政拨款支出</w:t>
      </w:r>
      <w:r>
        <w:rPr>
          <w:sz w:val="32"/>
          <w:szCs w:val="32"/>
        </w:rPr>
        <w:t>0</w:t>
      </w:r>
      <w:r>
        <w:rPr>
          <w:rFonts w:hint="eastAsia" w:ascii="仿宋_GB2312" w:eastAsia="仿宋_GB2312"/>
          <w:sz w:val="32"/>
          <w:szCs w:val="32"/>
        </w:rPr>
        <w:t>万元。</w:t>
      </w:r>
    </w:p>
    <w:p w14:paraId="68A53645">
      <w:pPr>
        <w:pageBreakBefore w:val="0"/>
        <w:widowControl w:val="0"/>
        <w:numPr>
          <w:ilvl w:val="0"/>
          <w:numId w:val="3"/>
        </w:numPr>
        <w:spacing w:line="580" w:lineRule="exact"/>
        <w:ind w:left="0" w:right="0" w:firstLine="640"/>
        <w:jc w:val="both"/>
        <w:outlineLvl w:val="1"/>
        <w:rPr>
          <w:rStyle w:val="195"/>
          <w:rFonts w:ascii="黑体" w:hAnsi="黑体" w:eastAsia="黑体"/>
          <w:b w:val="0"/>
        </w:rPr>
      </w:pPr>
      <w:bookmarkStart w:id="42" w:name="_Toc15377219"/>
      <w:bookmarkStart w:id="43" w:name="_Toc15396611"/>
      <w:r>
        <w:rPr>
          <w:rStyle w:val="195"/>
          <w:rFonts w:hint="eastAsia" w:ascii="黑体" w:hAnsi="黑体" w:eastAsia="黑体"/>
          <w:b w:val="0"/>
        </w:rPr>
        <w:t>国有资本经营预算支出决算情况说明</w:t>
      </w:r>
      <w:bookmarkEnd w:id="42"/>
      <w:bookmarkEnd w:id="43"/>
    </w:p>
    <w:p w14:paraId="29593395">
      <w:pPr>
        <w:pageBreakBefore w:val="0"/>
        <w:widowControl w:val="0"/>
        <w:spacing w:line="580" w:lineRule="exact"/>
        <w:ind w:left="0" w:right="0" w:firstLine="640"/>
        <w:jc w:val="both"/>
        <w:rPr>
          <w:rFonts w:ascii="方正小标宋简体" w:hAnsi="方正小标宋简体" w:eastAsia="方正小标宋简体" w:cs="方正小标宋简体"/>
          <w:sz w:val="44"/>
          <w:szCs w:val="44"/>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年度国有资本经营预算财政拨款支出</w:t>
      </w:r>
      <w:r>
        <w:rPr>
          <w:sz w:val="32"/>
          <w:szCs w:val="32"/>
        </w:rPr>
        <w:t>0</w:t>
      </w:r>
      <w:r>
        <w:rPr>
          <w:rFonts w:hint="eastAsia" w:ascii="仿宋_GB2312" w:eastAsia="仿宋_GB2312"/>
          <w:sz w:val="32"/>
          <w:szCs w:val="32"/>
        </w:rPr>
        <w:t>万元。</w:t>
      </w:r>
    </w:p>
    <w:p w14:paraId="1CF888C6">
      <w:pPr>
        <w:pageBreakBefore w:val="0"/>
        <w:widowControl w:val="0"/>
        <w:numPr>
          <w:ilvl w:val="0"/>
          <w:numId w:val="3"/>
        </w:numPr>
        <w:spacing w:line="580" w:lineRule="exact"/>
        <w:ind w:left="0" w:right="0" w:firstLine="640"/>
        <w:jc w:val="both"/>
        <w:outlineLvl w:val="1"/>
        <w:rPr>
          <w:rStyle w:val="195"/>
          <w:rFonts w:ascii="黑体" w:hAnsi="黑体" w:eastAsia="黑体"/>
          <w:b w:val="0"/>
        </w:rPr>
      </w:pPr>
      <w:bookmarkStart w:id="44" w:name="_Toc15377221"/>
      <w:bookmarkStart w:id="45" w:name="_Toc15396612"/>
      <w:r>
        <w:rPr>
          <w:rStyle w:val="195"/>
          <w:rFonts w:hint="eastAsia" w:ascii="黑体" w:hAnsi="黑体" w:eastAsia="黑体"/>
          <w:b w:val="0"/>
        </w:rPr>
        <w:t>其他重要事项的情况说明</w:t>
      </w:r>
      <w:bookmarkEnd w:id="44"/>
      <w:bookmarkEnd w:id="45"/>
    </w:p>
    <w:p w14:paraId="61A172D1">
      <w:pPr>
        <w:pageBreakBefore w:val="0"/>
        <w:widowControl w:val="0"/>
        <w:spacing w:line="580" w:lineRule="exact"/>
        <w:ind w:left="0" w:right="0" w:firstLine="643"/>
        <w:jc w:val="both"/>
        <w:outlineLvl w:val="2"/>
        <w:rPr>
          <w:rFonts w:ascii="仿宋" w:hAnsi="仿宋" w:eastAsia="仿宋"/>
          <w:sz w:val="32"/>
          <w:szCs w:val="32"/>
        </w:rPr>
      </w:pPr>
      <w:bookmarkStart w:id="46" w:name="_Toc15377222"/>
      <w:r>
        <w:rPr>
          <w:rFonts w:hint="eastAsia" w:ascii="仿宋" w:hAnsi="仿宋" w:eastAsia="仿宋"/>
          <w:b/>
          <w:sz w:val="32"/>
          <w:szCs w:val="32"/>
        </w:rPr>
        <w:t>（一）机关运行经费支出情况</w:t>
      </w:r>
      <w:bookmarkEnd w:id="46"/>
    </w:p>
    <w:p w14:paraId="283772EC">
      <w:pPr>
        <w:pageBreakBefore w:val="0"/>
        <w:widowControl w:val="0"/>
        <w:spacing w:line="580" w:lineRule="exact"/>
        <w:ind w:left="0" w:right="0" w:firstLine="640"/>
        <w:jc w:val="both"/>
        <w:rPr>
          <w:rFonts w:hint="eastAsia" w:ascii="仿宋_GB2312" w:eastAsia="仿宋_GB2312"/>
          <w:sz w:val="32"/>
          <w:szCs w:val="32"/>
          <w:lang w:val="en-US" w:eastAsia="zh-CN"/>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年度，红原县红十字会本级</w:t>
      </w:r>
      <w:r>
        <w:rPr>
          <w:rFonts w:hint="eastAsia" w:ascii="仿宋_GB2312" w:eastAsia="仿宋_GB2312"/>
          <w:sz w:val="32"/>
          <w:szCs w:val="32"/>
        </w:rPr>
        <w:t>机关运行经费支出</w:t>
      </w:r>
      <w:r>
        <w:rPr>
          <w:rFonts w:hint="eastAsia" w:ascii="仿宋_GB2312" w:eastAsia="仿宋_GB2312"/>
          <w:sz w:val="32"/>
          <w:szCs w:val="32"/>
          <w:lang w:val="en-US" w:eastAsia="zh-CN"/>
        </w:rPr>
        <w:t>7.97</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年度减少</w:t>
      </w:r>
      <w:r>
        <w:rPr>
          <w:rFonts w:hint="eastAsia" w:ascii="仿宋_GB2312" w:eastAsia="仿宋_GB2312"/>
          <w:sz w:val="32"/>
          <w:szCs w:val="32"/>
          <w:lang w:val="en-US" w:eastAsia="zh-CN"/>
        </w:rPr>
        <w:t>1.71</w:t>
      </w:r>
      <w:r>
        <w:rPr>
          <w:rFonts w:hint="eastAsia" w:ascii="仿宋_GB2312" w:eastAsia="仿宋_GB2312"/>
          <w:sz w:val="32"/>
          <w:szCs w:val="32"/>
        </w:rPr>
        <w:t>万元。主要原因是</w:t>
      </w:r>
      <w:r>
        <w:rPr>
          <w:rFonts w:hint="eastAsia" w:ascii="仿宋_GB2312" w:eastAsia="仿宋_GB2312"/>
          <w:sz w:val="32"/>
          <w:szCs w:val="32"/>
          <w:lang w:val="en-US" w:eastAsia="zh-CN"/>
        </w:rPr>
        <w:t>减少开支。</w:t>
      </w:r>
    </w:p>
    <w:p w14:paraId="05822600">
      <w:pPr>
        <w:pageBreakBefore w:val="0"/>
        <w:widowControl w:val="0"/>
        <w:spacing w:line="580" w:lineRule="exact"/>
        <w:ind w:left="0" w:right="0" w:firstLine="640"/>
        <w:jc w:val="both"/>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637BDBE3">
      <w:pPr>
        <w:pageBreakBefore w:val="0"/>
        <w:widowControl w:val="0"/>
        <w:spacing w:line="580" w:lineRule="exact"/>
        <w:ind w:left="0" w:right="0" w:firstLine="643"/>
        <w:jc w:val="both"/>
        <w:outlineLvl w:val="2"/>
        <w:rPr>
          <w:rFonts w:ascii="仿宋" w:hAnsi="仿宋" w:eastAsia="仿宋"/>
          <w:b/>
          <w:sz w:val="32"/>
          <w:szCs w:val="32"/>
        </w:rPr>
      </w:pPr>
      <w:bookmarkStart w:id="47" w:name="_Toc15377223"/>
      <w:r>
        <w:rPr>
          <w:rFonts w:hint="eastAsia" w:ascii="仿宋" w:hAnsi="仿宋" w:eastAsia="仿宋"/>
          <w:b/>
          <w:sz w:val="32"/>
          <w:szCs w:val="32"/>
        </w:rPr>
        <w:t>（二）政府采购支出情况</w:t>
      </w:r>
      <w:bookmarkEnd w:id="47"/>
    </w:p>
    <w:p w14:paraId="682469C1">
      <w:pPr>
        <w:pageBreakBefore w:val="0"/>
        <w:widowControl w:val="0"/>
        <w:spacing w:line="580" w:lineRule="exact"/>
        <w:ind w:left="0" w:right="0" w:firstLine="640"/>
        <w:jc w:val="both"/>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红原县红十字会本级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0C3AA388">
      <w:pPr>
        <w:pageBreakBefore w:val="0"/>
        <w:widowControl w:val="0"/>
        <w:spacing w:line="580" w:lineRule="exact"/>
        <w:ind w:left="0" w:right="0" w:firstLine="643"/>
        <w:jc w:val="both"/>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48FC9B13">
      <w:pPr>
        <w:pageBreakBefore w:val="0"/>
        <w:widowControl w:val="0"/>
        <w:spacing w:line="580" w:lineRule="exact"/>
        <w:ind w:left="0" w:right="0" w:firstLine="643"/>
        <w:jc w:val="both"/>
        <w:outlineLvl w:val="2"/>
        <w:rPr>
          <w:rFonts w:ascii="仿宋" w:hAnsi="仿宋" w:eastAsia="仿宋"/>
          <w:b/>
          <w:sz w:val="32"/>
          <w:szCs w:val="32"/>
        </w:rPr>
      </w:pPr>
      <w:bookmarkStart w:id="48" w:name="_Toc15377224"/>
      <w:r>
        <w:rPr>
          <w:rFonts w:hint="eastAsia" w:ascii="仿宋" w:hAnsi="仿宋" w:eastAsia="仿宋"/>
          <w:b/>
          <w:sz w:val="32"/>
          <w:szCs w:val="32"/>
        </w:rPr>
        <w:t>（三）国有资产占有使用情况</w:t>
      </w:r>
      <w:bookmarkEnd w:id="48"/>
    </w:p>
    <w:p w14:paraId="0DBA4750">
      <w:pPr>
        <w:pageBreakBefore w:val="0"/>
        <w:widowControl w:val="0"/>
        <w:spacing w:line="580" w:lineRule="exact"/>
        <w:ind w:left="0" w:right="0" w:firstLine="640"/>
        <w:jc w:val="both"/>
        <w:rPr>
          <w:rFonts w:ascii="仿宋_GB2312" w:eastAsia="仿宋_GB2312"/>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红原县红十字会本级</w:t>
      </w:r>
      <w:r>
        <w:rPr>
          <w:rFonts w:hint="eastAsia" w:ascii="仿宋_GB2312" w:eastAsia="仿宋_GB2312"/>
          <w:sz w:val="32"/>
          <w:szCs w:val="32"/>
        </w:rPr>
        <w:t>共有车辆</w:t>
      </w:r>
      <w:r>
        <w:rPr>
          <w:rFonts w:ascii="仿宋_GB2312" w:eastAsia="仿宋_GB2312"/>
          <w:sz w:val="32"/>
          <w:szCs w:val="32"/>
        </w:rPr>
        <w:t>1</w:t>
      </w:r>
      <w:r>
        <w:rPr>
          <w:rFonts w:hint="eastAsia" w:ascii="仿宋_GB2312" w:eastAsia="仿宋_GB2312"/>
          <w:sz w:val="32"/>
          <w:szCs w:val="32"/>
        </w:rPr>
        <w:t>辆，其中：其他用车</w:t>
      </w:r>
      <w:r>
        <w:rPr>
          <w:rFonts w:hint="eastAsia" w:ascii="仿宋_GB2312" w:eastAsia="仿宋_GB2312"/>
          <w:sz w:val="32"/>
          <w:szCs w:val="32"/>
          <w:lang w:val="en-US" w:eastAsia="zh-CN"/>
        </w:rPr>
        <w:t>1</w:t>
      </w:r>
      <w:r>
        <w:rPr>
          <w:rFonts w:hint="eastAsia" w:ascii="仿宋_GB2312" w:eastAsia="仿宋_GB2312"/>
          <w:sz w:val="32"/>
          <w:szCs w:val="32"/>
        </w:rPr>
        <w:t>辆，主要是用于</w:t>
      </w:r>
      <w:r>
        <w:rPr>
          <w:rFonts w:hint="eastAsia" w:ascii="仿宋_GB2312" w:eastAsia="仿宋_GB2312"/>
          <w:sz w:val="32"/>
          <w:szCs w:val="32"/>
          <w:lang w:val="en-US" w:eastAsia="zh-CN"/>
        </w:rPr>
        <w:t>开展日常工作</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14:paraId="7559D61A">
      <w:pPr>
        <w:pageBreakBefore w:val="0"/>
        <w:widowControl w:val="0"/>
        <w:spacing w:line="580" w:lineRule="exact"/>
        <w:ind w:left="0" w:right="0" w:firstLine="643"/>
        <w:jc w:val="both"/>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表，按部门决算报表填报数据罗列车辆情况。）</w:t>
      </w:r>
    </w:p>
    <w:p w14:paraId="503916D7">
      <w:pPr>
        <w:pageBreakBefore w:val="0"/>
        <w:widowControl w:val="0"/>
        <w:spacing w:line="580" w:lineRule="exact"/>
        <w:ind w:left="0" w:right="0" w:firstLine="640"/>
        <w:jc w:val="both"/>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（四）预算绩效管理情况</w:t>
      </w:r>
    </w:p>
    <w:p w14:paraId="62DD1D32">
      <w:pPr>
        <w:pageBreakBefore w:val="0"/>
        <w:widowControl w:val="0"/>
        <w:spacing w:line="580" w:lineRule="exact"/>
        <w:ind w:left="0" w:right="0" w:firstLine="640"/>
        <w:jc w:val="both"/>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根据预算绩效管理要求，本部门在202</w:t>
      </w:r>
      <w:r>
        <w:rPr>
          <w:rFonts w:hint="eastAsia" w:ascii="仿宋_GB2312" w:hAnsi="Times New Roman" w:eastAsia="仿宋_GB2312" w:cs="Times New Roman"/>
          <w:sz w:val="32"/>
          <w:szCs w:val="32"/>
          <w:lang w:val="en-US" w:eastAsia="zh-CN"/>
        </w:rPr>
        <w:t>4</w:t>
      </w:r>
      <w:r>
        <w:rPr>
          <w:rFonts w:hint="eastAsia" w:ascii="仿宋_GB2312" w:hAnsi="Times New Roman" w:eastAsia="仿宋_GB2312" w:cs="Times New Roman"/>
          <w:sz w:val="32"/>
          <w:szCs w:val="32"/>
        </w:rPr>
        <w:t>年度预算编制阶段，组织对</w:t>
      </w:r>
      <w:r>
        <w:rPr>
          <w:rFonts w:hint="eastAsia" w:ascii="仿宋_GB2312" w:hAnsi="Times New Roman" w:eastAsia="仿宋_GB2312" w:cs="Times New Roman"/>
          <w:sz w:val="32"/>
          <w:szCs w:val="32"/>
          <w:lang w:val="en-US" w:eastAsia="zh-CN"/>
        </w:rPr>
        <w:t>本单位大病救助</w:t>
      </w:r>
      <w:r>
        <w:rPr>
          <w:rFonts w:hint="eastAsia" w:ascii="仿宋_GB2312" w:hAnsi="Times New Roman" w:eastAsia="仿宋_GB2312" w:cs="Times New Roman"/>
          <w:sz w:val="32"/>
          <w:szCs w:val="32"/>
        </w:rPr>
        <w:t>项目开展了预算事前绩效评估，年终执行完毕后，对</w:t>
      </w:r>
      <w:r>
        <w:rPr>
          <w:rFonts w:hint="eastAsia" w:ascii="仿宋_GB2312" w:hAnsi="Times New Roman" w:eastAsia="仿宋_GB2312" w:cs="Times New Roman"/>
          <w:sz w:val="32"/>
          <w:szCs w:val="32"/>
          <w:lang w:val="en-US" w:eastAsia="zh-CN"/>
        </w:rPr>
        <w:t>大病救助</w:t>
      </w:r>
      <w:r>
        <w:rPr>
          <w:rFonts w:hint="eastAsia" w:ascii="仿宋_GB2312" w:hAnsi="Times New Roman" w:eastAsia="仿宋_GB2312" w:cs="Times New Roman"/>
          <w:sz w:val="32"/>
          <w:szCs w:val="32"/>
        </w:rPr>
        <w:t>项目开展了绩效自评。同时，本部门对202</w:t>
      </w: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rPr>
        <w:t>年部门整体开展绩效自评，《202</w:t>
      </w: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rPr>
        <w:t>年</w:t>
      </w:r>
      <w:r>
        <w:rPr>
          <w:rFonts w:hint="eastAsia" w:ascii="仿宋_GB2312" w:hAnsi="Times New Roman" w:eastAsia="仿宋_GB2312" w:cs="Times New Roman"/>
          <w:sz w:val="32"/>
          <w:szCs w:val="32"/>
          <w:lang w:val="en-US" w:eastAsia="zh-CN"/>
        </w:rPr>
        <w:t>红十字会</w:t>
      </w:r>
      <w:r>
        <w:rPr>
          <w:rFonts w:hint="eastAsia" w:ascii="仿宋_GB2312" w:hAnsi="Times New Roman" w:eastAsia="仿宋_GB2312" w:cs="Times New Roman"/>
          <w:sz w:val="32"/>
          <w:szCs w:val="32"/>
        </w:rPr>
        <w:t>部门整体绩效评价报告》见附件（第四部分）。</w:t>
      </w:r>
    </w:p>
    <w:p w14:paraId="62D4C89F">
      <w:pPr>
        <w:pageBreakBefore w:val="0"/>
        <w:widowControl w:val="0"/>
        <w:spacing w:line="580" w:lineRule="exact"/>
        <w:ind w:left="0" w:right="0" w:firstLine="640"/>
        <w:jc w:val="both"/>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本部门在</w:t>
      </w:r>
      <w:r>
        <w:rPr>
          <w:rFonts w:hint="eastAsia" w:ascii="仿宋_GB2312" w:hAnsi="Times New Roman" w:eastAsia="仿宋_GB2312" w:cs="Times New Roman"/>
          <w:sz w:val="32"/>
          <w:szCs w:val="32"/>
          <w:lang w:val="en-US" w:eastAsia="zh-CN"/>
        </w:rPr>
        <w:t>2024</w:t>
      </w:r>
      <w:r>
        <w:rPr>
          <w:rFonts w:hint="eastAsia" w:ascii="仿宋_GB2312" w:hAnsi="Times New Roman" w:eastAsia="仿宋_GB2312" w:cs="Times New Roman"/>
          <w:sz w:val="32"/>
          <w:szCs w:val="32"/>
        </w:rPr>
        <w:t>年度部门决算中反映“</w:t>
      </w:r>
      <w:r>
        <w:rPr>
          <w:rFonts w:hint="eastAsia" w:ascii="仿宋_GB2312" w:hAnsi="Times New Roman" w:eastAsia="仿宋_GB2312" w:cs="Times New Roman"/>
          <w:sz w:val="32"/>
          <w:szCs w:val="32"/>
          <w:lang w:val="en-US" w:eastAsia="zh-CN"/>
        </w:rPr>
        <w:t>大病救助金</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val="en-US" w:eastAsia="zh-CN"/>
        </w:rPr>
        <w:t>共计5万元的1</w:t>
      </w:r>
      <w:r>
        <w:rPr>
          <w:rFonts w:hint="eastAsia" w:ascii="仿宋_GB2312" w:hAnsi="Times New Roman" w:eastAsia="仿宋_GB2312" w:cs="Times New Roman"/>
          <w:sz w:val="32"/>
          <w:szCs w:val="32"/>
        </w:rPr>
        <w:t>个项目绩效目标实际完成情况。</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大病救助金</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项目绩效目标完成情况综述。项目全年预算数</w:t>
      </w:r>
      <w:r>
        <w:rPr>
          <w:rFonts w:hint="eastAsia" w:ascii="仿宋_GB2312" w:hAnsi="Times New Roman" w:eastAsia="仿宋_GB2312" w:cs="Times New Roman"/>
          <w:sz w:val="32"/>
          <w:szCs w:val="32"/>
          <w:lang w:val="en-US" w:eastAsia="zh-CN"/>
        </w:rPr>
        <w:t>5</w:t>
      </w:r>
      <w:r>
        <w:rPr>
          <w:rFonts w:hint="eastAsia" w:ascii="仿宋_GB2312" w:hAnsi="Times New Roman" w:eastAsia="仿宋_GB2312" w:cs="Times New Roman"/>
          <w:sz w:val="32"/>
          <w:szCs w:val="32"/>
        </w:rPr>
        <w:t>万元，执行数为</w:t>
      </w:r>
      <w:r>
        <w:rPr>
          <w:rFonts w:hint="eastAsia" w:ascii="仿宋_GB2312" w:hAnsi="Times New Roman" w:eastAsia="仿宋_GB2312" w:cs="Times New Roman"/>
          <w:sz w:val="32"/>
          <w:szCs w:val="32"/>
          <w:lang w:val="en-US" w:eastAsia="zh-CN"/>
        </w:rPr>
        <w:t>5</w:t>
      </w:r>
      <w:r>
        <w:rPr>
          <w:rFonts w:hint="eastAsia" w:ascii="仿宋_GB2312" w:hAnsi="Times New Roman" w:eastAsia="仿宋_GB2312" w:cs="Times New Roman"/>
          <w:sz w:val="32"/>
          <w:szCs w:val="32"/>
        </w:rPr>
        <w:t>万元，完成预算的</w:t>
      </w:r>
      <w:r>
        <w:rPr>
          <w:rFonts w:hint="eastAsia" w:ascii="仿宋_GB2312" w:hAnsi="Times New Roman" w:eastAsia="仿宋_GB2312" w:cs="Times New Roman"/>
          <w:sz w:val="32"/>
          <w:szCs w:val="32"/>
          <w:lang w:val="en-US" w:eastAsia="zh-CN"/>
        </w:rPr>
        <w:t>100</w:t>
      </w:r>
      <w:r>
        <w:rPr>
          <w:rFonts w:hint="eastAsia" w:ascii="仿宋_GB2312" w:hAnsi="Times New Roman" w:eastAsia="仿宋_GB2312" w:cs="Times New Roman"/>
          <w:sz w:val="32"/>
          <w:szCs w:val="32"/>
        </w:rPr>
        <w:t>%。</w:t>
      </w:r>
    </w:p>
    <w:tbl>
      <w:tblPr>
        <w:tblStyle w:val="34"/>
        <w:tblW w:w="833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Layout w:type="fixed"/>
        <w:tblCellMar>
          <w:top w:w="0" w:type="dxa"/>
          <w:left w:w="0" w:type="dxa"/>
          <w:bottom w:w="0" w:type="dxa"/>
          <w:right w:w="0" w:type="dxa"/>
        </w:tblCellMar>
      </w:tblPr>
      <w:tblGrid>
        <w:gridCol w:w="693"/>
        <w:gridCol w:w="874"/>
        <w:gridCol w:w="857"/>
        <w:gridCol w:w="1969"/>
        <w:gridCol w:w="1969"/>
        <w:gridCol w:w="1969"/>
      </w:tblGrid>
      <w:tr w14:paraId="34527A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0" w:type="dxa"/>
            <w:bottom w:w="0" w:type="dxa"/>
            <w:right w:w="0" w:type="dxa"/>
          </w:tblCellMar>
        </w:tblPrEx>
        <w:trPr>
          <w:jc w:val="center"/>
        </w:trPr>
        <w:tc>
          <w:tcPr>
            <w:tcW w:w="8331"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14:paraId="49616DFF">
            <w:pPr>
              <w:pStyle w:val="201"/>
              <w:keepNext w:val="0"/>
              <w:keepLines w:val="0"/>
              <w:widowControl/>
              <w:suppressLineNumbers w:val="0"/>
              <w:jc w:val="left"/>
              <w:rPr>
                <w:rFonts w:hint="eastAsia" w:ascii="宋体" w:eastAsia="宋体" w:cs="宋体"/>
                <w:sz w:val="24"/>
                <w:szCs w:val="24"/>
              </w:rPr>
            </w:pPr>
            <w:r>
              <w:rPr>
                <w:rStyle w:val="203"/>
                <w:rFonts w:hint="eastAsia" w:ascii="宋体" w:eastAsia="宋体" w:cs="宋体"/>
                <w:b/>
                <w:bCs w:val="0"/>
                <w:sz w:val="24"/>
                <w:szCs w:val="24"/>
              </w:rPr>
              <w:t xml:space="preserve">项目绩效目标完成情况表 </w:t>
            </w:r>
            <w:r>
              <w:rPr>
                <w:rFonts w:hint="eastAsia" w:ascii="宋体" w:eastAsia="宋体" w:cs="宋体"/>
                <w:sz w:val="24"/>
                <w:szCs w:val="24"/>
              </w:rPr>
              <w:t>(202</w:t>
            </w:r>
            <w:r>
              <w:rPr>
                <w:rFonts w:hint="eastAsia" w:cs="宋体"/>
                <w:sz w:val="24"/>
                <w:szCs w:val="24"/>
                <w:lang w:val="en-US" w:eastAsia="zh-CN"/>
              </w:rPr>
              <w:t>4</w:t>
            </w:r>
            <w:r>
              <w:rPr>
                <w:rFonts w:hint="eastAsia" w:ascii="宋体" w:eastAsia="宋体" w:cs="宋体"/>
                <w:sz w:val="24"/>
                <w:szCs w:val="24"/>
              </w:rPr>
              <w:t>年度)</w:t>
            </w:r>
          </w:p>
        </w:tc>
      </w:tr>
      <w:tr w14:paraId="6AA8E7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2424"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14:paraId="029D518F">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项目名称</w:t>
            </w:r>
          </w:p>
        </w:tc>
        <w:tc>
          <w:tcPr>
            <w:tcW w:w="5907"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14:paraId="35C75180">
            <w:pPr>
              <w:keepNext w:val="0"/>
              <w:keepLines w:val="0"/>
              <w:widowControl/>
              <w:suppressLineNumbers w:val="0"/>
              <w:jc w:val="left"/>
              <w:rPr>
                <w:rFonts w:hint="eastAsia" w:ascii="宋体" w:eastAsia="宋体" w:cs="宋体"/>
                <w:sz w:val="24"/>
                <w:szCs w:val="24"/>
                <w:lang w:val="en-US" w:eastAsia="zh-CN"/>
              </w:rPr>
            </w:pPr>
            <w:r>
              <w:rPr>
                <w:rFonts w:hint="eastAsia" w:ascii="宋体" w:eastAsia="宋体" w:cs="宋体"/>
                <w:sz w:val="24"/>
                <w:szCs w:val="24"/>
              </w:rPr>
              <w:t> </w:t>
            </w:r>
            <w:r>
              <w:rPr>
                <w:rFonts w:hint="eastAsia" w:cs="宋体"/>
                <w:sz w:val="24"/>
                <w:szCs w:val="24"/>
                <w:lang w:val="en-US" w:eastAsia="zh-CN"/>
              </w:rPr>
              <w:t>大病救助金</w:t>
            </w:r>
          </w:p>
        </w:tc>
      </w:tr>
      <w:tr w14:paraId="1CB9E4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2424"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14:paraId="2C02F13D">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预算单位</w:t>
            </w:r>
          </w:p>
        </w:tc>
        <w:tc>
          <w:tcPr>
            <w:tcW w:w="5907"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14:paraId="708EF52C">
            <w:pPr>
              <w:keepNext w:val="0"/>
              <w:keepLines w:val="0"/>
              <w:widowControl/>
              <w:suppressLineNumbers w:val="0"/>
              <w:jc w:val="left"/>
              <w:rPr>
                <w:rFonts w:hint="eastAsia" w:ascii="宋体" w:eastAsia="宋体" w:cs="宋体"/>
                <w:sz w:val="24"/>
                <w:szCs w:val="24"/>
                <w:lang w:val="en-US" w:eastAsia="zh-CN"/>
              </w:rPr>
            </w:pPr>
            <w:r>
              <w:rPr>
                <w:rFonts w:hint="eastAsia" w:ascii="宋体" w:eastAsia="宋体" w:cs="宋体"/>
                <w:sz w:val="24"/>
                <w:szCs w:val="24"/>
              </w:rPr>
              <w:t> </w:t>
            </w:r>
            <w:r>
              <w:rPr>
                <w:rFonts w:hint="eastAsia" w:cs="宋体"/>
                <w:sz w:val="24"/>
                <w:szCs w:val="24"/>
                <w:lang w:val="en-US" w:eastAsia="zh-CN"/>
              </w:rPr>
              <w:t>红原县红十字会</w:t>
            </w:r>
          </w:p>
        </w:tc>
      </w:tr>
      <w:tr w14:paraId="0D877B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470" w:hRule="atLeast"/>
          <w:jc w:val="center"/>
        </w:trPr>
        <w:tc>
          <w:tcPr>
            <w:tcW w:w="693"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139373D">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预算执行情况(万元)</w:t>
            </w:r>
          </w:p>
        </w:tc>
        <w:tc>
          <w:tcPr>
            <w:tcW w:w="173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7DAFE491">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预算数:</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C8AC45A">
            <w:pPr>
              <w:keepNext w:val="0"/>
              <w:keepLines w:val="0"/>
              <w:widowControl/>
              <w:suppressLineNumbers w:val="0"/>
              <w:jc w:val="left"/>
              <w:rPr>
                <w:rFonts w:ascii="宋体" w:eastAsia="宋体" w:cs="宋体"/>
                <w:sz w:val="24"/>
                <w:szCs w:val="24"/>
                <w:lang w:val="en-US" w:eastAsia="zh-CN"/>
              </w:rPr>
            </w:pPr>
            <w:r>
              <w:rPr>
                <w:rFonts w:hint="eastAsia" w:ascii="宋体" w:eastAsia="宋体" w:cs="宋体"/>
                <w:sz w:val="24"/>
                <w:szCs w:val="24"/>
              </w:rPr>
              <w:t> </w:t>
            </w:r>
            <w:r>
              <w:rPr>
                <w:rFonts w:hint="eastAsia" w:cs="宋体"/>
                <w:sz w:val="24"/>
                <w:szCs w:val="24"/>
                <w:lang w:val="en-US" w:eastAsia="zh-CN"/>
              </w:rPr>
              <w:t>5万元</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C1847AD">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执行数:</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B3FE9A5">
            <w:pPr>
              <w:keepNext w:val="0"/>
              <w:keepLines w:val="0"/>
              <w:widowControl/>
              <w:suppressLineNumbers w:val="0"/>
              <w:jc w:val="left"/>
              <w:rPr>
                <w:rFonts w:ascii="宋体" w:eastAsia="宋体" w:cs="宋体"/>
                <w:sz w:val="24"/>
                <w:szCs w:val="24"/>
                <w:lang w:val="en-US" w:eastAsia="zh-CN"/>
              </w:rPr>
            </w:pPr>
            <w:r>
              <w:rPr>
                <w:rFonts w:hint="eastAsia" w:ascii="宋体" w:eastAsia="宋体" w:cs="宋体"/>
                <w:sz w:val="24"/>
                <w:szCs w:val="24"/>
              </w:rPr>
              <w:t> </w:t>
            </w:r>
            <w:r>
              <w:rPr>
                <w:rFonts w:hint="eastAsia" w:cs="宋体"/>
                <w:sz w:val="24"/>
                <w:szCs w:val="24"/>
                <w:lang w:val="en-US" w:eastAsia="zh-CN"/>
              </w:rPr>
              <w:t>5万元</w:t>
            </w:r>
          </w:p>
        </w:tc>
      </w:tr>
      <w:tr w14:paraId="3E4240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693"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D5AA093">
            <w:pPr>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 </w:t>
            </w:r>
          </w:p>
        </w:tc>
        <w:tc>
          <w:tcPr>
            <w:tcW w:w="173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7AE1DB41">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其中-财政拨款:</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3B70443">
            <w:pPr>
              <w:keepNext w:val="0"/>
              <w:keepLines w:val="0"/>
              <w:widowControl/>
              <w:suppressLineNumbers w:val="0"/>
              <w:jc w:val="left"/>
              <w:rPr>
                <w:rFonts w:ascii="宋体" w:eastAsia="宋体" w:cs="宋体"/>
                <w:sz w:val="24"/>
                <w:szCs w:val="24"/>
                <w:lang w:val="en-US" w:eastAsia="zh-CN"/>
              </w:rPr>
            </w:pPr>
            <w:r>
              <w:rPr>
                <w:rFonts w:hint="eastAsia" w:ascii="宋体" w:eastAsia="宋体" w:cs="宋体"/>
                <w:sz w:val="24"/>
                <w:szCs w:val="24"/>
              </w:rPr>
              <w:t> </w:t>
            </w:r>
            <w:r>
              <w:rPr>
                <w:rFonts w:hint="eastAsia" w:cs="宋体"/>
                <w:sz w:val="24"/>
                <w:szCs w:val="24"/>
                <w:lang w:val="en-US" w:eastAsia="zh-CN"/>
              </w:rPr>
              <w:t>5万元</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0843846">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其中-财政拨款:</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9CDBB64">
            <w:pPr>
              <w:keepNext w:val="0"/>
              <w:keepLines w:val="0"/>
              <w:widowControl/>
              <w:suppressLineNumbers w:val="0"/>
              <w:jc w:val="left"/>
              <w:rPr>
                <w:rFonts w:ascii="宋体" w:eastAsia="宋体" w:cs="宋体"/>
                <w:sz w:val="24"/>
                <w:szCs w:val="24"/>
                <w:lang w:val="en-US" w:eastAsia="zh-CN"/>
              </w:rPr>
            </w:pPr>
            <w:r>
              <w:rPr>
                <w:rFonts w:hint="eastAsia" w:ascii="宋体" w:eastAsia="宋体" w:cs="宋体"/>
                <w:sz w:val="24"/>
                <w:szCs w:val="24"/>
              </w:rPr>
              <w:t> </w:t>
            </w:r>
            <w:r>
              <w:rPr>
                <w:rFonts w:hint="eastAsia" w:cs="宋体"/>
                <w:sz w:val="24"/>
                <w:szCs w:val="24"/>
                <w:lang w:val="en-US" w:eastAsia="zh-CN"/>
              </w:rPr>
              <w:t>5万元</w:t>
            </w:r>
          </w:p>
        </w:tc>
      </w:tr>
      <w:tr w14:paraId="02D6DD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693"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B15F584">
            <w:pPr>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 </w:t>
            </w:r>
          </w:p>
        </w:tc>
        <w:tc>
          <w:tcPr>
            <w:tcW w:w="173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02EF6903">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其它资金:</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F3F422F">
            <w:pPr>
              <w:keepNext w:val="0"/>
              <w:keepLines w:val="0"/>
              <w:widowControl/>
              <w:suppressLineNumbers w:val="0"/>
              <w:jc w:val="left"/>
              <w:rPr>
                <w:rFonts w:hint="eastAsia" w:ascii="宋体" w:eastAsia="宋体" w:cs="宋体"/>
                <w:sz w:val="24"/>
                <w:szCs w:val="24"/>
                <w:lang w:val="en-US" w:eastAsia="zh-CN"/>
              </w:rPr>
            </w:pPr>
            <w:r>
              <w:rPr>
                <w:rFonts w:hint="eastAsia" w:ascii="宋体" w:eastAsia="宋体" w:cs="宋体"/>
                <w:sz w:val="24"/>
                <w:szCs w:val="24"/>
              </w:rPr>
              <w:t> </w:t>
            </w:r>
            <w:r>
              <w:rPr>
                <w:rFonts w:hint="eastAsia" w:cs="宋体"/>
                <w:sz w:val="24"/>
                <w:szCs w:val="24"/>
                <w:lang w:val="en-US" w:eastAsia="zh-CN"/>
              </w:rPr>
              <w:t>0</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D7A2094">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其它资金:</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BEE6CB5">
            <w:pPr>
              <w:keepNext w:val="0"/>
              <w:keepLines w:val="0"/>
              <w:widowControl/>
              <w:suppressLineNumbers w:val="0"/>
              <w:jc w:val="left"/>
              <w:rPr>
                <w:rFonts w:hint="eastAsia" w:ascii="宋体" w:eastAsia="宋体" w:cs="宋体"/>
                <w:sz w:val="24"/>
                <w:szCs w:val="24"/>
                <w:lang w:val="en-US" w:eastAsia="zh-CN"/>
              </w:rPr>
            </w:pPr>
            <w:r>
              <w:rPr>
                <w:rFonts w:hint="eastAsia" w:ascii="宋体" w:eastAsia="宋体" w:cs="宋体"/>
                <w:sz w:val="24"/>
                <w:szCs w:val="24"/>
              </w:rPr>
              <w:t> </w:t>
            </w:r>
            <w:r>
              <w:rPr>
                <w:rFonts w:hint="eastAsia" w:cs="宋体"/>
                <w:sz w:val="24"/>
                <w:szCs w:val="24"/>
                <w:lang w:val="en-US" w:eastAsia="zh-CN"/>
              </w:rPr>
              <w:t>0</w:t>
            </w:r>
          </w:p>
        </w:tc>
      </w:tr>
      <w:tr w14:paraId="7937FA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693"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60B45D7">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年度目标完成情况</w:t>
            </w:r>
          </w:p>
        </w:tc>
        <w:tc>
          <w:tcPr>
            <w:tcW w:w="3700"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14:paraId="6DC9CA39">
            <w:pPr>
              <w:pStyle w:val="201"/>
              <w:keepNext w:val="0"/>
              <w:keepLines w:val="0"/>
              <w:widowControl/>
              <w:suppressLineNumbers w:val="0"/>
              <w:jc w:val="left"/>
              <w:rPr>
                <w:rFonts w:hint="eastAsia" w:ascii="宋体" w:eastAsia="宋体" w:cs="宋体"/>
                <w:sz w:val="24"/>
                <w:szCs w:val="24"/>
                <w:lang w:val="en-US" w:eastAsia="zh-CN"/>
              </w:rPr>
            </w:pPr>
            <w:r>
              <w:rPr>
                <w:rFonts w:hint="eastAsia" w:ascii="宋体" w:eastAsia="宋体" w:cs="宋体"/>
                <w:sz w:val="24"/>
                <w:szCs w:val="24"/>
              </w:rPr>
              <w:t>预期目标</w:t>
            </w:r>
            <w:r>
              <w:rPr>
                <w:rFonts w:hint="eastAsia" w:cs="宋体"/>
                <w:sz w:val="24"/>
                <w:szCs w:val="24"/>
                <w:lang w:val="en-US" w:eastAsia="zh-CN"/>
              </w:rPr>
              <w:t xml:space="preserve"> </w:t>
            </w:r>
            <w:r>
              <w:rPr>
                <w:rFonts w:hint="eastAsia" w:ascii="宋体" w:cs="宋体"/>
                <w:color w:val="000000"/>
                <w:sz w:val="24"/>
                <w:lang w:val="en-US" w:eastAsia="zh-CN"/>
              </w:rPr>
              <w:t>将</w:t>
            </w:r>
            <w:r>
              <w:rPr>
                <w:rFonts w:hint="eastAsia" w:cs="宋体"/>
                <w:color w:val="000000"/>
                <w:sz w:val="24"/>
                <w:lang w:val="en-US" w:eastAsia="zh-CN"/>
              </w:rPr>
              <w:t>5</w:t>
            </w:r>
            <w:r>
              <w:rPr>
                <w:rFonts w:hint="eastAsia" w:ascii="宋体" w:cs="宋体"/>
                <w:color w:val="000000"/>
                <w:sz w:val="24"/>
                <w:lang w:val="en-US" w:eastAsia="zh-CN"/>
              </w:rPr>
              <w:t>万元大病救助金送到需要救助的贫困大病患者手中，解决他们部分经济困难。</w:t>
            </w:r>
          </w:p>
        </w:tc>
        <w:tc>
          <w:tcPr>
            <w:tcW w:w="393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0274D646">
            <w:pPr>
              <w:pStyle w:val="201"/>
              <w:keepNext w:val="0"/>
              <w:keepLines w:val="0"/>
              <w:widowControl/>
              <w:suppressLineNumbers w:val="0"/>
              <w:jc w:val="left"/>
              <w:rPr>
                <w:rFonts w:ascii="宋体" w:eastAsia="宋体" w:cs="宋体"/>
                <w:sz w:val="24"/>
                <w:szCs w:val="24"/>
                <w:lang w:val="en-US" w:eastAsia="zh-CN"/>
              </w:rPr>
            </w:pPr>
            <w:r>
              <w:rPr>
                <w:rFonts w:hint="eastAsia" w:ascii="宋体" w:eastAsia="宋体" w:cs="宋体"/>
                <w:sz w:val="24"/>
                <w:szCs w:val="24"/>
              </w:rPr>
              <w:t>实际完成目标</w:t>
            </w:r>
            <w:r>
              <w:rPr>
                <w:rFonts w:hint="eastAsia" w:cs="宋体"/>
                <w:sz w:val="24"/>
                <w:szCs w:val="24"/>
                <w:lang w:val="en-US" w:eastAsia="zh-CN"/>
              </w:rPr>
              <w:t xml:space="preserve"> </w:t>
            </w:r>
            <w:r>
              <w:rPr>
                <w:rFonts w:hint="eastAsia" w:ascii="宋体" w:cs="宋体"/>
                <w:color w:val="000000"/>
                <w:sz w:val="24"/>
                <w:lang w:val="en-US" w:eastAsia="zh-CN"/>
              </w:rPr>
              <w:t>将</w:t>
            </w:r>
            <w:r>
              <w:rPr>
                <w:rFonts w:hint="eastAsia" w:cs="宋体"/>
                <w:color w:val="000000"/>
                <w:sz w:val="24"/>
                <w:lang w:val="en-US" w:eastAsia="zh-CN"/>
              </w:rPr>
              <w:t>5</w:t>
            </w:r>
            <w:r>
              <w:rPr>
                <w:rFonts w:hint="eastAsia" w:ascii="宋体" w:cs="宋体"/>
                <w:color w:val="000000"/>
                <w:sz w:val="24"/>
                <w:lang w:val="en-US" w:eastAsia="zh-CN"/>
              </w:rPr>
              <w:t>万元大病救助金发放给筛选出来的贫困大病患者手中，解决他们存在的部分经济困难</w:t>
            </w:r>
            <w:r>
              <w:rPr>
                <w:rFonts w:hint="eastAsia" w:cs="宋体"/>
                <w:sz w:val="24"/>
                <w:szCs w:val="24"/>
                <w:lang w:val="en-US" w:eastAsia="zh-CN"/>
              </w:rPr>
              <w:t>。</w:t>
            </w:r>
          </w:p>
        </w:tc>
      </w:tr>
      <w:tr w14:paraId="320A6E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693"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61A1379">
            <w:pPr>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 </w:t>
            </w:r>
          </w:p>
        </w:tc>
        <w:tc>
          <w:tcPr>
            <w:tcW w:w="3700"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14:paraId="3EC95927">
            <w:pPr>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 </w:t>
            </w:r>
          </w:p>
        </w:tc>
        <w:tc>
          <w:tcPr>
            <w:tcW w:w="393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7C48E262">
            <w:pPr>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 </w:t>
            </w:r>
          </w:p>
        </w:tc>
      </w:tr>
      <w:tr w14:paraId="344E48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693"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14:paraId="408591E4">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绩效指标完成情况</w:t>
            </w:r>
          </w:p>
          <w:p w14:paraId="7304DFDA">
            <w:pPr>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 </w:t>
            </w:r>
          </w:p>
          <w:p w14:paraId="002498DD">
            <w:pPr>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 </w:t>
            </w:r>
          </w:p>
          <w:p w14:paraId="6149B342">
            <w:pPr>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 </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01D69C8">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一级指标</w:t>
            </w:r>
          </w:p>
        </w:tc>
        <w:tc>
          <w:tcPr>
            <w:tcW w:w="85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91228B5">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二级指标</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2EAAA6E">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三级指标</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23C57E8">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预期指标值(包含数字及文字描述)</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EFFF436">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实际完成指标值(包含数字及文字描述)</w:t>
            </w:r>
          </w:p>
        </w:tc>
      </w:tr>
      <w:tr w14:paraId="0876A2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693"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14:paraId="0BB42B60"/>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74C6DD0">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项目完成指标</w:t>
            </w:r>
          </w:p>
        </w:tc>
        <w:tc>
          <w:tcPr>
            <w:tcW w:w="85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04A2F91">
            <w:pPr>
              <w:keepNext w:val="0"/>
              <w:keepLines w:val="0"/>
              <w:widowControl/>
              <w:suppressLineNumbers w:val="0"/>
              <w:jc w:val="left"/>
              <w:rPr>
                <w:rFonts w:ascii="宋体" w:eastAsia="宋体" w:cs="宋体"/>
                <w:sz w:val="24"/>
                <w:szCs w:val="24"/>
                <w:lang w:val="en-US" w:eastAsia="zh-CN"/>
              </w:rPr>
            </w:pPr>
            <w:r>
              <w:rPr>
                <w:rFonts w:hint="eastAsia" w:ascii="宋体" w:eastAsia="宋体" w:cs="宋体"/>
                <w:sz w:val="24"/>
                <w:szCs w:val="24"/>
              </w:rPr>
              <w:t> </w:t>
            </w:r>
            <w:r>
              <w:rPr>
                <w:rFonts w:hint="eastAsia" w:cs="宋体"/>
                <w:sz w:val="22"/>
                <w:szCs w:val="22"/>
                <w:lang w:val="en-US" w:eastAsia="zh-CN"/>
              </w:rPr>
              <w:t>5</w:t>
            </w:r>
            <w:r>
              <w:rPr>
                <w:rFonts w:hint="eastAsia" w:ascii="宋体" w:eastAsia="宋体" w:cs="宋体"/>
                <w:sz w:val="22"/>
                <w:szCs w:val="22"/>
                <w:lang w:val="en-US" w:eastAsia="zh-CN"/>
              </w:rPr>
              <w:t>万元</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757D49E">
            <w:pPr>
              <w:keepNext w:val="0"/>
              <w:keepLines w:val="0"/>
              <w:widowControl/>
              <w:suppressLineNumbers w:val="0"/>
              <w:jc w:val="left"/>
              <w:rPr>
                <w:rFonts w:ascii="宋体" w:eastAsia="宋体" w:cs="宋体"/>
                <w:sz w:val="24"/>
                <w:szCs w:val="24"/>
                <w:lang w:val="en-US" w:eastAsia="zh-CN"/>
              </w:rPr>
            </w:pPr>
            <w:r>
              <w:rPr>
                <w:rFonts w:hint="eastAsia" w:ascii="宋体" w:eastAsia="宋体" w:cs="宋体"/>
                <w:sz w:val="24"/>
                <w:szCs w:val="24"/>
              </w:rPr>
              <w:t> </w:t>
            </w:r>
            <w:r>
              <w:rPr>
                <w:rFonts w:hint="eastAsia" w:ascii="宋体" w:eastAsia="宋体" w:cs="宋体"/>
                <w:sz w:val="24"/>
                <w:szCs w:val="24"/>
                <w:lang w:val="en-US" w:eastAsia="zh-CN"/>
              </w:rPr>
              <w:t>=</w:t>
            </w:r>
            <w:r>
              <w:rPr>
                <w:rFonts w:hint="eastAsia" w:cs="宋体"/>
                <w:sz w:val="24"/>
                <w:szCs w:val="24"/>
                <w:lang w:val="en-US" w:eastAsia="zh-CN"/>
              </w:rPr>
              <w:t>5</w:t>
            </w:r>
            <w:r>
              <w:rPr>
                <w:rFonts w:hint="eastAsia" w:ascii="宋体" w:eastAsia="宋体" w:cs="宋体"/>
                <w:sz w:val="24"/>
                <w:szCs w:val="24"/>
                <w:lang w:val="en-US" w:eastAsia="zh-CN"/>
              </w:rPr>
              <w:t>万元</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ED9336A">
            <w:pPr>
              <w:keepNext w:val="0"/>
              <w:keepLines w:val="0"/>
              <w:widowControl/>
              <w:suppressLineNumbers w:val="0"/>
              <w:jc w:val="left"/>
              <w:rPr>
                <w:rFonts w:ascii="宋体" w:eastAsia="宋体" w:cs="宋体"/>
                <w:sz w:val="24"/>
                <w:szCs w:val="24"/>
                <w:lang w:val="en-US" w:eastAsia="zh-CN"/>
              </w:rPr>
            </w:pPr>
            <w:r>
              <w:rPr>
                <w:rFonts w:hint="eastAsia" w:ascii="宋体" w:eastAsia="宋体" w:cs="宋体"/>
                <w:sz w:val="24"/>
                <w:szCs w:val="24"/>
              </w:rPr>
              <w:t> </w:t>
            </w:r>
            <w:r>
              <w:rPr>
                <w:rFonts w:hint="eastAsia" w:cs="宋体"/>
                <w:sz w:val="24"/>
                <w:szCs w:val="24"/>
                <w:lang w:val="en-US" w:eastAsia="zh-CN"/>
              </w:rPr>
              <w:t>5万元全部发放</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87F208F">
            <w:pPr>
              <w:keepNext w:val="0"/>
              <w:keepLines w:val="0"/>
              <w:widowControl/>
              <w:suppressLineNumbers w:val="0"/>
              <w:jc w:val="left"/>
              <w:rPr>
                <w:rFonts w:ascii="宋体" w:eastAsia="宋体" w:cs="宋体"/>
                <w:sz w:val="24"/>
                <w:szCs w:val="24"/>
                <w:lang w:val="en-US" w:eastAsia="zh-CN"/>
              </w:rPr>
            </w:pPr>
            <w:r>
              <w:rPr>
                <w:rFonts w:hint="eastAsia" w:ascii="宋体" w:eastAsia="宋体" w:cs="宋体"/>
                <w:sz w:val="24"/>
                <w:szCs w:val="24"/>
              </w:rPr>
              <w:t> </w:t>
            </w:r>
            <w:r>
              <w:rPr>
                <w:rFonts w:hint="eastAsia" w:cs="宋体"/>
                <w:sz w:val="24"/>
                <w:szCs w:val="24"/>
                <w:lang w:val="en-US" w:eastAsia="zh-CN"/>
              </w:rPr>
              <w:t>5万元发放完毕</w:t>
            </w:r>
          </w:p>
        </w:tc>
      </w:tr>
      <w:tr w14:paraId="27113E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693"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14:paraId="4262F087"/>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82076B7">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效益指标</w:t>
            </w:r>
          </w:p>
        </w:tc>
        <w:tc>
          <w:tcPr>
            <w:tcW w:w="85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F9FE939">
            <w:pPr>
              <w:keepNext w:val="0"/>
              <w:keepLines w:val="0"/>
              <w:widowControl/>
              <w:suppressLineNumbers w:val="0"/>
              <w:jc w:val="left"/>
              <w:rPr>
                <w:rFonts w:hint="eastAsia" w:ascii="宋体" w:eastAsia="宋体" w:cs="宋体"/>
                <w:sz w:val="24"/>
                <w:szCs w:val="24"/>
                <w:lang w:val="en-US" w:eastAsia="zh-CN"/>
              </w:rPr>
            </w:pPr>
            <w:r>
              <w:rPr>
                <w:rFonts w:hint="eastAsia" w:ascii="宋体" w:eastAsia="宋体" w:cs="宋体"/>
                <w:sz w:val="24"/>
                <w:szCs w:val="24"/>
              </w:rPr>
              <w:t> </w:t>
            </w:r>
            <w:r>
              <w:rPr>
                <w:rFonts w:hint="eastAsia" w:cs="宋体"/>
                <w:sz w:val="24"/>
                <w:szCs w:val="24"/>
                <w:lang w:val="en-US" w:eastAsia="zh-CN"/>
              </w:rPr>
              <w:t>助困</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1888A16">
            <w:pPr>
              <w:keepNext w:val="0"/>
              <w:keepLines w:val="0"/>
              <w:widowControl/>
              <w:suppressLineNumbers w:val="0"/>
              <w:jc w:val="left"/>
              <w:rPr>
                <w:rFonts w:hint="eastAsia" w:ascii="宋体" w:eastAsia="宋体" w:cs="宋体"/>
                <w:sz w:val="24"/>
                <w:szCs w:val="24"/>
                <w:lang w:val="en-US" w:eastAsia="zh-CN"/>
              </w:rPr>
            </w:pPr>
            <w:r>
              <w:rPr>
                <w:rFonts w:hint="eastAsia" w:ascii="宋体" w:eastAsia="宋体" w:cs="宋体"/>
                <w:sz w:val="24"/>
                <w:szCs w:val="24"/>
              </w:rPr>
              <w:t> </w:t>
            </w:r>
            <w:r>
              <w:rPr>
                <w:rFonts w:hint="eastAsia" w:cs="宋体"/>
                <w:sz w:val="24"/>
                <w:szCs w:val="24"/>
                <w:lang w:val="en-US" w:eastAsia="zh-CN"/>
              </w:rPr>
              <w:t>帮助贫困大病患者</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F9323A7">
            <w:pPr>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 </w:t>
            </w:r>
            <w:r>
              <w:rPr>
                <w:rFonts w:hint="eastAsia" w:cs="宋体"/>
                <w:color w:val="000000"/>
                <w:sz w:val="24"/>
                <w:lang w:val="en-US" w:eastAsia="zh-CN"/>
              </w:rPr>
              <w:t>5</w:t>
            </w:r>
            <w:r>
              <w:rPr>
                <w:rFonts w:hint="eastAsia" w:ascii="宋体" w:cs="宋体"/>
                <w:color w:val="000000"/>
                <w:sz w:val="24"/>
                <w:lang w:val="en-US" w:eastAsia="zh-CN"/>
              </w:rPr>
              <w:t>万元大病救助金能够解决贫困大病患者部分困难</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4FC577F">
            <w:pPr>
              <w:keepNext w:val="0"/>
              <w:keepLines w:val="0"/>
              <w:widowControl/>
              <w:suppressLineNumbers w:val="0"/>
              <w:jc w:val="left"/>
              <w:rPr>
                <w:rFonts w:ascii="宋体" w:eastAsia="宋体" w:cs="宋体"/>
                <w:sz w:val="24"/>
                <w:szCs w:val="24"/>
                <w:lang w:val="en-US" w:eastAsia="zh-CN"/>
              </w:rPr>
            </w:pPr>
            <w:r>
              <w:rPr>
                <w:rFonts w:hint="eastAsia" w:ascii="宋体" w:eastAsia="宋体" w:cs="宋体"/>
                <w:sz w:val="24"/>
                <w:szCs w:val="24"/>
              </w:rPr>
              <w:t> </w:t>
            </w:r>
            <w:r>
              <w:rPr>
                <w:rFonts w:hint="eastAsia" w:cs="宋体"/>
                <w:sz w:val="24"/>
                <w:szCs w:val="24"/>
                <w:lang w:val="en-US" w:eastAsia="zh-CN"/>
              </w:rPr>
              <w:t>5</w:t>
            </w:r>
            <w:r>
              <w:rPr>
                <w:rFonts w:hint="eastAsia" w:ascii="宋体" w:cs="宋体"/>
                <w:color w:val="000000"/>
                <w:sz w:val="24"/>
                <w:lang w:val="en-US" w:eastAsia="zh-CN"/>
              </w:rPr>
              <w:t>万元大病救助金已解决贫困大病患者部分困难</w:t>
            </w:r>
          </w:p>
        </w:tc>
      </w:tr>
      <w:tr w14:paraId="59FF6C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693"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14:paraId="47164274"/>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0019B76">
            <w:pPr>
              <w:pStyle w:val="201"/>
              <w:keepNext w:val="0"/>
              <w:keepLines w:val="0"/>
              <w:widowControl/>
              <w:suppressLineNumbers w:val="0"/>
              <w:jc w:val="left"/>
              <w:rPr>
                <w:rFonts w:hint="eastAsia" w:ascii="宋体" w:eastAsia="宋体" w:cs="宋体"/>
                <w:sz w:val="24"/>
                <w:szCs w:val="24"/>
              </w:rPr>
            </w:pPr>
            <w:r>
              <w:rPr>
                <w:rFonts w:hint="eastAsia" w:ascii="宋体" w:eastAsia="宋体" w:cs="宋体"/>
                <w:sz w:val="24"/>
                <w:szCs w:val="24"/>
              </w:rPr>
              <w:t>满意度指标</w:t>
            </w:r>
          </w:p>
        </w:tc>
        <w:tc>
          <w:tcPr>
            <w:tcW w:w="85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1F0B455">
            <w:pPr>
              <w:keepNext w:val="0"/>
              <w:keepLines w:val="0"/>
              <w:widowControl/>
              <w:suppressLineNumbers w:val="0"/>
              <w:jc w:val="left"/>
              <w:rPr>
                <w:rFonts w:hint="eastAsia" w:ascii="宋体" w:eastAsia="宋体" w:cs="宋体"/>
                <w:sz w:val="24"/>
                <w:szCs w:val="24"/>
                <w:lang w:val="en-US" w:eastAsia="zh-CN"/>
              </w:rPr>
            </w:pPr>
            <w:r>
              <w:rPr>
                <w:rFonts w:hint="eastAsia" w:ascii="宋体" w:eastAsia="宋体" w:cs="宋体"/>
                <w:sz w:val="24"/>
                <w:szCs w:val="24"/>
              </w:rPr>
              <w:t> </w:t>
            </w:r>
            <w:r>
              <w:rPr>
                <w:rFonts w:hint="eastAsia" w:cs="宋体"/>
                <w:sz w:val="24"/>
                <w:szCs w:val="24"/>
                <w:lang w:val="en-US" w:eastAsia="zh-CN"/>
              </w:rPr>
              <w:t>满意</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8A11C2B">
            <w:pPr>
              <w:keepNext w:val="0"/>
              <w:keepLines w:val="0"/>
              <w:widowControl/>
              <w:suppressLineNumbers w:val="0"/>
              <w:jc w:val="left"/>
              <w:rPr>
                <w:rFonts w:hint="eastAsia" w:ascii="宋体" w:eastAsia="宋体" w:cs="宋体"/>
                <w:sz w:val="24"/>
                <w:szCs w:val="24"/>
                <w:lang w:val="en-US" w:eastAsia="zh-CN"/>
              </w:rPr>
            </w:pPr>
            <w:r>
              <w:rPr>
                <w:rFonts w:hint="eastAsia" w:ascii="宋体" w:eastAsia="宋体" w:cs="宋体"/>
                <w:sz w:val="24"/>
                <w:szCs w:val="24"/>
              </w:rPr>
              <w:t> </w:t>
            </w:r>
            <w:r>
              <w:rPr>
                <w:rFonts w:hint="eastAsia" w:cs="宋体"/>
                <w:sz w:val="24"/>
                <w:szCs w:val="24"/>
                <w:lang w:val="en-US" w:eastAsia="zh-CN"/>
              </w:rPr>
              <w:t>满意</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D332D08">
            <w:pPr>
              <w:keepNext w:val="0"/>
              <w:keepLines w:val="0"/>
              <w:widowControl/>
              <w:suppressLineNumbers w:val="0"/>
              <w:jc w:val="left"/>
              <w:rPr>
                <w:rFonts w:ascii="宋体" w:eastAsia="宋体" w:cs="宋体"/>
                <w:sz w:val="24"/>
                <w:szCs w:val="24"/>
                <w:lang w:val="en-US" w:eastAsia="zh-CN"/>
              </w:rPr>
            </w:pPr>
            <w:r>
              <w:rPr>
                <w:rFonts w:hint="eastAsia" w:ascii="宋体" w:eastAsia="宋体" w:cs="宋体"/>
                <w:sz w:val="24"/>
                <w:szCs w:val="24"/>
              </w:rPr>
              <w:t> </w:t>
            </w:r>
            <w:r>
              <w:rPr>
                <w:rFonts w:hint="eastAsia" w:cs="宋体"/>
                <w:sz w:val="24"/>
                <w:szCs w:val="24"/>
                <w:lang w:val="en-US" w:eastAsia="zh-CN"/>
              </w:rPr>
              <w:t>满意</w:t>
            </w:r>
          </w:p>
        </w:tc>
        <w:tc>
          <w:tcPr>
            <w:tcW w:w="1969"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9288670">
            <w:pPr>
              <w:keepNext w:val="0"/>
              <w:keepLines w:val="0"/>
              <w:widowControl/>
              <w:suppressLineNumbers w:val="0"/>
              <w:jc w:val="left"/>
              <w:rPr>
                <w:rFonts w:hint="eastAsia" w:ascii="宋体" w:eastAsia="宋体" w:cs="宋体"/>
                <w:sz w:val="24"/>
                <w:szCs w:val="24"/>
                <w:lang w:val="en-US" w:eastAsia="zh-CN"/>
              </w:rPr>
            </w:pPr>
            <w:r>
              <w:rPr>
                <w:rFonts w:hint="eastAsia" w:ascii="宋体" w:eastAsia="宋体" w:cs="宋体"/>
                <w:sz w:val="24"/>
                <w:szCs w:val="24"/>
              </w:rPr>
              <w:t> </w:t>
            </w:r>
            <w:r>
              <w:rPr>
                <w:rFonts w:hint="eastAsia" w:ascii="宋体" w:eastAsia="宋体" w:cs="宋体"/>
                <w:sz w:val="24"/>
                <w:szCs w:val="24"/>
                <w:lang w:val="en-US" w:eastAsia="zh-CN"/>
              </w:rPr>
              <w:t>满意</w:t>
            </w:r>
          </w:p>
        </w:tc>
      </w:tr>
    </w:tbl>
    <w:p w14:paraId="5049CF26">
      <w:pPr>
        <w:pStyle w:val="31"/>
        <w:keepNext w:val="0"/>
        <w:keepLines w:val="0"/>
        <w:widowControl/>
        <w:suppressLineNumbers w:val="0"/>
        <w:spacing w:before="0" w:beforeAutospacing="0"/>
        <w:ind w:left="0"/>
        <w:jc w:val="both"/>
        <w:outlineLvl w:val="0"/>
        <w:rPr>
          <w:rStyle w:val="37"/>
          <w:sz w:val="39"/>
          <w:szCs w:val="39"/>
          <w:shd w:val="clear" w:color="auto" w:fill="FFFFFF"/>
        </w:rPr>
      </w:pPr>
    </w:p>
    <w:p w14:paraId="36B66371">
      <w:pPr>
        <w:pStyle w:val="3"/>
        <w:pageBreakBefore w:val="0"/>
        <w:widowControl w:val="0"/>
        <w:spacing w:before="0" w:after="0" w:line="580" w:lineRule="exact"/>
        <w:ind w:left="0" w:right="0" w:firstLine="883"/>
        <w:jc w:val="both"/>
      </w:pPr>
      <w:r>
        <w:rPr>
          <w:rFonts w:hint="eastAsia"/>
        </w:rPr>
        <w:t>第三部分 名词解释</w:t>
      </w:r>
    </w:p>
    <w:p w14:paraId="729FA7D1">
      <w:pPr>
        <w:pageBreakBefore w:val="0"/>
        <w:widowControl w:val="0"/>
        <w:spacing w:line="580" w:lineRule="exact"/>
        <w:ind w:left="0" w:right="0" w:firstLine="420"/>
        <w:jc w:val="both"/>
      </w:pPr>
    </w:p>
    <w:p w14:paraId="148DDBE9">
      <w:pPr>
        <w:pStyle w:val="31"/>
        <w:keepNext w:val="0"/>
        <w:keepLines w:val="0"/>
        <w:pageBreakBefore w:val="0"/>
        <w:widowControl/>
        <w:suppressLineNumbers w:val="0"/>
        <w:spacing w:before="0" w:beforeAutospacing="0" w:afterAutospacing="0" w:line="580" w:lineRule="exact"/>
        <w:ind w:left="0" w:firstLine="640"/>
        <w:jc w:val="left"/>
        <w:outlineLvl w:val="1"/>
        <w:rPr>
          <w:rFonts w:hint="eastAsia" w:ascii="仿宋_GB2312" w:hAnsi="仿宋_GB2312" w:eastAsia="仿宋_GB2312" w:cs="仿宋_GB2312"/>
          <w:sz w:val="32"/>
          <w:szCs w:val="32"/>
        </w:rPr>
      </w:pPr>
      <w:bookmarkStart w:id="49" w:name="_Toc3201"/>
      <w:bookmarkStart w:id="50" w:name="_Toc8407"/>
      <w:r>
        <w:rPr>
          <w:rFonts w:hint="eastAsia" w:ascii="仿宋_GB2312" w:hAnsi="仿宋_GB2312" w:eastAsia="仿宋_GB2312" w:cs="仿宋_GB2312"/>
          <w:sz w:val="32"/>
          <w:szCs w:val="32"/>
          <w:shd w:val="clear" w:color="auto" w:fill="FFFFFF"/>
        </w:rPr>
        <w:t>1.财政拨款收入：指单位从同级财政部门取得的财政预算资金。</w:t>
      </w:r>
      <w:bookmarkEnd w:id="49"/>
      <w:bookmarkEnd w:id="50"/>
    </w:p>
    <w:p w14:paraId="0902047E">
      <w:pPr>
        <w:pStyle w:val="31"/>
        <w:keepNext w:val="0"/>
        <w:keepLines w:val="0"/>
        <w:pageBreakBefore w:val="0"/>
        <w:widowControl/>
        <w:suppressLineNumbers w:val="0"/>
        <w:spacing w:before="0" w:beforeAutospacing="0" w:afterAutospacing="0" w:line="580" w:lineRule="exact"/>
        <w:ind w:left="0" w:firstLine="640"/>
        <w:jc w:val="lef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2.事业收入：指事业单位开展专业业务活动及辅助活动取得的收入。</w:t>
      </w:r>
    </w:p>
    <w:p w14:paraId="3D3021C4">
      <w:pPr>
        <w:pStyle w:val="31"/>
        <w:keepNext w:val="0"/>
        <w:keepLines w:val="0"/>
        <w:pageBreakBefore w:val="0"/>
        <w:widowControl/>
        <w:suppressLineNumbers w:val="0"/>
        <w:spacing w:before="0" w:beforeAutospacing="0" w:afterAutospacing="0" w:line="580" w:lineRule="exact"/>
        <w:ind w:left="0"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3.经营收入：指事业单位在专业业务活动及其辅助活动之外开展非独立核算经营活动取得的收入。如二级预算单位经营收入情况等。</w:t>
      </w:r>
    </w:p>
    <w:p w14:paraId="124704CD">
      <w:pPr>
        <w:pStyle w:val="31"/>
        <w:keepNext w:val="0"/>
        <w:keepLines w:val="0"/>
        <w:pageBreakBefore w:val="0"/>
        <w:widowControl/>
        <w:suppressLineNumbers w:val="0"/>
        <w:spacing w:before="0" w:beforeAutospacing="0" w:afterAutospacing="0" w:line="580" w:lineRule="exact"/>
        <w:ind w:left="0"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4.其他收入：指单位取得的除上述</w:t>
      </w:r>
      <w:r>
        <w:rPr>
          <w:rFonts w:hint="eastAsia" w:ascii="仿宋_GB2312" w:hAnsi="仿宋_GB2312" w:eastAsia="仿宋_GB2312" w:cs="仿宋_GB2312"/>
          <w:color w:val="auto"/>
          <w:sz w:val="32"/>
          <w:szCs w:val="32"/>
          <w:shd w:val="clear" w:color="auto" w:fill="FFFFFF"/>
          <w:lang w:val="en-US" w:eastAsia="zh-CN"/>
        </w:rPr>
        <w:t>“财政拨款收入”、“事业收入”、“事业单位经营收入”等</w:t>
      </w:r>
      <w:r>
        <w:rPr>
          <w:rFonts w:hint="eastAsia" w:ascii="仿宋_GB2312" w:hAnsi="仿宋_GB2312" w:eastAsia="仿宋_GB2312" w:cs="仿宋_GB2312"/>
          <w:sz w:val="32"/>
          <w:szCs w:val="32"/>
          <w:shd w:val="clear" w:color="auto" w:fill="FFFFFF"/>
        </w:rPr>
        <w:t>以外的各项收入。主要是</w:t>
      </w:r>
      <w:r>
        <w:rPr>
          <w:rFonts w:hint="eastAsia" w:ascii="仿宋_GB2312" w:hAnsi="仿宋_GB2312" w:eastAsia="仿宋_GB2312" w:cs="仿宋_GB2312"/>
          <w:color w:val="auto"/>
          <w:sz w:val="32"/>
          <w:szCs w:val="32"/>
          <w:shd w:val="clear" w:color="auto" w:fill="FFFFFF"/>
          <w:lang w:val="en-US" w:eastAsia="zh-CN"/>
        </w:rPr>
        <w:t>所属行政事业单位按规定动用的售房收入、存款利息收入等</w:t>
      </w:r>
      <w:r>
        <w:rPr>
          <w:rFonts w:hint="eastAsia" w:ascii="仿宋_GB2312" w:hAnsi="仿宋_GB2312" w:eastAsia="仿宋_GB2312" w:cs="仿宋_GB2312"/>
          <w:sz w:val="32"/>
          <w:szCs w:val="32"/>
          <w:shd w:val="clear" w:color="auto" w:fill="FFFFFF"/>
        </w:rPr>
        <w:t>。</w:t>
      </w:r>
    </w:p>
    <w:p w14:paraId="0912C1D5">
      <w:pPr>
        <w:pStyle w:val="31"/>
        <w:keepNext w:val="0"/>
        <w:keepLines w:val="0"/>
        <w:pageBreakBefore w:val="0"/>
        <w:widowControl/>
        <w:suppressLineNumbers w:val="0"/>
        <w:spacing w:before="0" w:beforeAutospacing="0" w:afterAutospacing="0" w:line="580" w:lineRule="exact"/>
        <w:ind w:left="0"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5.使用非财政拨款结余：指事业单位使用以前年度积累的非财政拨款结余弥补当年收支差额的金额。</w:t>
      </w:r>
    </w:p>
    <w:p w14:paraId="44378602">
      <w:pPr>
        <w:pStyle w:val="31"/>
        <w:keepNext w:val="0"/>
        <w:keepLines w:val="0"/>
        <w:pageBreakBefore w:val="0"/>
        <w:widowControl/>
        <w:suppressLineNumbers w:val="0"/>
        <w:spacing w:before="0" w:beforeAutospacing="0" w:afterAutospacing="0" w:line="580" w:lineRule="exact"/>
        <w:ind w:left="0"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6.年初结转和结余：指以前年度尚未完成、结转到本年按有关规定继续使用的资金。</w:t>
      </w:r>
    </w:p>
    <w:p w14:paraId="32B1D96D">
      <w:pPr>
        <w:pStyle w:val="31"/>
        <w:keepNext w:val="0"/>
        <w:keepLines w:val="0"/>
        <w:pageBreakBefore w:val="0"/>
        <w:widowControl/>
        <w:suppressLineNumbers w:val="0"/>
        <w:spacing w:before="0" w:beforeAutospacing="0" w:afterAutospacing="0" w:line="580" w:lineRule="exact"/>
        <w:ind w:left="0"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7.结余分配：指事业单位按照会计制度规定缴纳的所得税、提取的专用结余以及转入非财政拨款结余的金额等。</w:t>
      </w:r>
    </w:p>
    <w:p w14:paraId="36832186">
      <w:pPr>
        <w:pStyle w:val="31"/>
        <w:keepNext w:val="0"/>
        <w:keepLines w:val="0"/>
        <w:pageBreakBefore w:val="0"/>
        <w:widowControl/>
        <w:suppressLineNumbers w:val="0"/>
        <w:spacing w:before="0" w:beforeAutospacing="0" w:afterAutospacing="0" w:line="580" w:lineRule="exact"/>
        <w:ind w:left="0" w:firstLine="640"/>
        <w:jc w:val="lef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8</w:t>
      </w:r>
      <w:r>
        <w:rPr>
          <w:rFonts w:hint="eastAsia" w:ascii="仿宋_GB2312" w:hAnsi="仿宋_GB2312" w:eastAsia="仿宋_GB2312" w:cs="仿宋_GB2312"/>
          <w:sz w:val="32"/>
          <w:szCs w:val="32"/>
          <w:shd w:val="clear" w:color="auto" w:fill="FFFFFF"/>
          <w:lang w:val="en-US" w:eastAsia="zh-CN"/>
        </w:rPr>
        <w:t>.</w:t>
      </w:r>
      <w:r>
        <w:rPr>
          <w:rFonts w:hint="eastAsia" w:ascii="仿宋_GB2312" w:hAnsi="仿宋_GB2312" w:eastAsia="仿宋_GB2312" w:cs="仿宋_GB2312"/>
          <w:sz w:val="32"/>
          <w:szCs w:val="32"/>
          <w:shd w:val="clear" w:color="auto" w:fill="FFFFFF"/>
        </w:rPr>
        <w:t>年末结转和结余：指单位按有关规定结转到下年或以后年度继续使用的资金。</w:t>
      </w:r>
    </w:p>
    <w:p w14:paraId="76B4C098">
      <w:pPr>
        <w:pStyle w:val="31"/>
        <w:keepNext w:val="0"/>
        <w:keepLines w:val="0"/>
        <w:pageBreakBefore w:val="0"/>
        <w:widowControl/>
        <w:suppressLineNumbers w:val="0"/>
        <w:spacing w:before="0" w:beforeAutospacing="0" w:afterAutospacing="0" w:line="580" w:lineRule="exact"/>
        <w:ind w:left="0" w:firstLine="640"/>
        <w:jc w:val="left"/>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9.社会保障和就业支出-行政事业单位离退休-机关事业单位基本养老保险缴费（2080505），该支出主要用于支付职工养老保险金；机关事业单位职业年金缴费（2080506），该支出主要用于支付职工职业年金。社会保障和就业支出-红十字事业-行政运行（2081601），该支出主要用于支付职工工资、退休费以及公务运行费；其他红十字事业支出（2081699），该支出主要用于大病救助金项目。</w:t>
      </w:r>
    </w:p>
    <w:p w14:paraId="032A6355">
      <w:pPr>
        <w:pStyle w:val="31"/>
        <w:keepNext w:val="0"/>
        <w:keepLines w:val="0"/>
        <w:pageBreakBefore w:val="0"/>
        <w:widowControl/>
        <w:suppressLineNumbers w:val="0"/>
        <w:spacing w:before="0" w:beforeAutospacing="0" w:afterAutospacing="0" w:line="580" w:lineRule="exact"/>
        <w:ind w:left="0" w:firstLine="640"/>
        <w:jc w:val="left"/>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10.医疗卫生与计划生育支出-行政事业单位医疗行政单位医疗（2101101），该支出用于财政部门集中安排的行政单位基本医疗保险缴费经费；公务员医疗补助（2101103）该支出用于职工医疗保险金。</w:t>
      </w:r>
    </w:p>
    <w:p w14:paraId="53AC6A01">
      <w:pPr>
        <w:pStyle w:val="31"/>
        <w:keepNext w:val="0"/>
        <w:keepLines w:val="0"/>
        <w:pageBreakBefore w:val="0"/>
        <w:widowControl/>
        <w:suppressLineNumbers w:val="0"/>
        <w:spacing w:before="0" w:beforeAutospacing="0" w:afterAutospacing="0" w:line="580" w:lineRule="exact"/>
        <w:ind w:left="0" w:firstLine="640"/>
        <w:jc w:val="left"/>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11.住房保障支出-住房改革支出-住房公积金：指行政事业单位按人力资源和社会保障部、财政部规定的基本工资和津贴补贴以及规定比例为职工缴纳的住房公积金。</w:t>
      </w:r>
    </w:p>
    <w:p w14:paraId="2E7F9A56">
      <w:pPr>
        <w:pStyle w:val="31"/>
        <w:keepNext w:val="0"/>
        <w:keepLines w:val="0"/>
        <w:pageBreakBefore w:val="0"/>
        <w:widowControl/>
        <w:suppressLineNumbers w:val="0"/>
        <w:spacing w:before="0" w:beforeAutospacing="0" w:afterAutospacing="0" w:line="580" w:lineRule="exact"/>
        <w:ind w:left="0" w:firstLine="640"/>
        <w:jc w:val="left"/>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12.基本支出：指为保障机构正常运转、完成日常工作任务而发生的人员支出和公用支出。</w:t>
      </w:r>
    </w:p>
    <w:p w14:paraId="23671E93">
      <w:pPr>
        <w:keepNext w:val="0"/>
        <w:keepLines w:val="0"/>
        <w:pageBreakBefore w:val="0"/>
        <w:spacing w:afterAutospacing="0" w:line="580" w:lineRule="exact"/>
        <w:ind w:firstLine="640"/>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 xml:space="preserve">13.项目支出：指在基本支出之外为完成特定行政任务和事业发展目标所发生的支出。 </w:t>
      </w:r>
    </w:p>
    <w:p w14:paraId="07FDA3AE">
      <w:pPr>
        <w:keepNext w:val="0"/>
        <w:keepLines w:val="0"/>
        <w:pageBreakBefore w:val="0"/>
        <w:spacing w:afterAutospacing="0" w:line="580" w:lineRule="exact"/>
        <w:ind w:firstLine="640"/>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14.经营支出：指事业单位在专业业务活动及其辅助活动之外开展非独立核算经营活动发生的支出。</w:t>
      </w:r>
    </w:p>
    <w:p w14:paraId="46D9983B">
      <w:pPr>
        <w:pStyle w:val="192"/>
        <w:keepNext w:val="0"/>
        <w:keepLines w:val="0"/>
        <w:pageBreakBefore w:val="0"/>
        <w:spacing w:afterAutospacing="0" w:line="580" w:lineRule="exact"/>
        <w:ind w:firstLine="640"/>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15.“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2C534A8">
      <w:pPr>
        <w:pStyle w:val="192"/>
        <w:keepNext w:val="0"/>
        <w:keepLines w:val="0"/>
        <w:pageBreakBefore w:val="0"/>
        <w:spacing w:afterAutospacing="0" w:line="580" w:lineRule="exact"/>
        <w:ind w:firstLine="640"/>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B1C8C13">
      <w:pPr>
        <w:keepNext w:val="0"/>
        <w:keepLines w:val="0"/>
        <w:pageBreakBefore w:val="0"/>
        <w:widowControl w:val="0"/>
        <w:spacing w:line="580" w:lineRule="exact"/>
        <w:ind w:left="0" w:right="0" w:firstLine="643"/>
        <w:jc w:val="both"/>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br w:type="page" w:clear="all"/>
      </w:r>
    </w:p>
    <w:p w14:paraId="7C2256CB">
      <w:pPr>
        <w:pStyle w:val="3"/>
        <w:pageBreakBefore w:val="0"/>
        <w:widowControl w:val="0"/>
        <w:spacing w:before="0" w:after="0" w:line="580" w:lineRule="exact"/>
        <w:ind w:left="0" w:right="0" w:firstLine="880"/>
        <w:jc w:val="both"/>
        <w:rPr>
          <w:rFonts w:ascii="黑体" w:hAnsi="黑体" w:eastAsia="黑体"/>
          <w:b w:val="0"/>
        </w:rPr>
      </w:pPr>
      <w:r>
        <w:rPr>
          <w:rFonts w:hint="eastAsia" w:ascii="黑体" w:hAnsi="黑体" w:eastAsia="黑体"/>
          <w:b w:val="0"/>
        </w:rPr>
        <w:t>第四部分 附件</w:t>
      </w:r>
    </w:p>
    <w:p w14:paraId="159A842C">
      <w:pPr>
        <w:pageBreakBefore w:val="0"/>
        <w:widowControl w:val="0"/>
        <w:spacing w:line="580" w:lineRule="exact"/>
        <w:ind w:left="0" w:right="0" w:firstLine="420"/>
        <w:jc w:val="both"/>
      </w:pPr>
    </w:p>
    <w:p w14:paraId="6143DEF6">
      <w:pPr>
        <w:pageBreakBefore w:val="0"/>
        <w:widowControl w:val="0"/>
        <w:spacing w:line="580" w:lineRule="exact"/>
        <w:ind w:left="0" w:right="0" w:firstLine="640"/>
        <w:jc w:val="both"/>
        <w:rPr>
          <w:rFonts w:ascii="黑体" w:hAnsi="黑体" w:eastAsia="黑体"/>
          <w:sz w:val="32"/>
          <w:szCs w:val="32"/>
        </w:rPr>
      </w:pPr>
      <w:r>
        <w:rPr>
          <w:rFonts w:hint="eastAsia" w:ascii="黑体" w:hAnsi="黑体" w:eastAsia="黑体"/>
          <w:sz w:val="32"/>
          <w:szCs w:val="32"/>
        </w:rPr>
        <w:t>附件1</w:t>
      </w:r>
    </w:p>
    <w:p w14:paraId="6B04A560">
      <w:pPr>
        <w:pageBreakBefore w:val="0"/>
        <w:widowControl w:val="0"/>
        <w:spacing w:line="580" w:lineRule="exact"/>
        <w:ind w:left="0" w:right="0" w:firstLine="880"/>
        <w:jc w:val="both"/>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部门预算绩效评价报告</w:t>
      </w:r>
    </w:p>
    <w:p w14:paraId="21F84304">
      <w:pPr>
        <w:keepNext w:val="0"/>
        <w:keepLines w:val="0"/>
        <w:pageBreakBefore w:val="0"/>
        <w:widowControl w:val="0"/>
        <w:spacing w:afterAutospacing="0" w:line="580" w:lineRule="exact"/>
        <w:ind w:left="0" w:right="0" w:firstLine="420"/>
        <w:jc w:val="both"/>
        <w:rPr>
          <w:rFonts w:hint="eastAsia" w:ascii="仿宋_GB2312" w:hAnsi="仿宋_GB2312" w:eastAsia="仿宋_GB2312" w:cs="仿宋_GB2312"/>
        </w:rPr>
      </w:pPr>
    </w:p>
    <w:p w14:paraId="48C51AD6">
      <w:pPr>
        <w:widowControl/>
        <w:adjustRightInd w:val="0"/>
        <w:snapToGrid w:val="0"/>
        <w:spacing w:line="580" w:lineRule="exact"/>
        <w:ind w:firstLine="643" w:firstLineChars="200"/>
        <w:contextualSpacing/>
        <w:rPr>
          <w:b/>
          <w:bCs/>
          <w:sz w:val="32"/>
          <w:szCs w:val="32"/>
        </w:rPr>
      </w:pPr>
      <w:r>
        <w:rPr>
          <w:rFonts w:hint="eastAsia" w:eastAsia="黑体"/>
          <w:b/>
          <w:bCs/>
          <w:color w:val="000000"/>
          <w:kern w:val="0"/>
          <w:sz w:val="32"/>
          <w:szCs w:val="32"/>
          <w:shd w:val="clear" w:color="auto" w:fill="FFFFFF"/>
          <w:lang w:val="zh-CN"/>
        </w:rPr>
        <w:t>一、</w:t>
      </w:r>
      <w:r>
        <w:rPr>
          <w:rFonts w:eastAsia="黑体"/>
          <w:b/>
          <w:bCs/>
          <w:color w:val="000000"/>
          <w:kern w:val="0"/>
          <w:sz w:val="32"/>
          <w:szCs w:val="32"/>
          <w:shd w:val="clear" w:color="auto" w:fill="FFFFFF"/>
          <w:lang w:val="zh-CN"/>
        </w:rPr>
        <w:t>部门（单位）基本情况</w:t>
      </w:r>
    </w:p>
    <w:p w14:paraId="0F78BCF0">
      <w:pPr>
        <w:widowControl/>
        <w:adjustRightInd w:val="0"/>
        <w:snapToGrid w:val="0"/>
        <w:spacing w:line="580" w:lineRule="exact"/>
        <w:ind w:firstLine="643" w:firstLineChars="200"/>
        <w:contextualSpacing/>
        <w:rPr>
          <w:rFonts w:hint="eastAsia" w:ascii="仿宋_GB2312" w:hAnsi="仿宋_GB2312" w:eastAsia="仿宋_GB2312" w:cs="仿宋_GB2312"/>
          <w:sz w:val="32"/>
          <w:szCs w:val="32"/>
        </w:rPr>
      </w:pPr>
      <w:r>
        <w:rPr>
          <w:rFonts w:hint="eastAsia" w:eastAsia="楷体_GB2312"/>
          <w:b/>
          <w:bCs/>
          <w:color w:val="000000"/>
          <w:kern w:val="0"/>
          <w:sz w:val="32"/>
          <w:szCs w:val="32"/>
          <w:shd w:val="clear" w:color="auto" w:fill="FFFFFF"/>
          <w:lang w:val="zh-CN"/>
        </w:rPr>
        <w:t>（一）</w:t>
      </w:r>
      <w:r>
        <w:rPr>
          <w:rFonts w:eastAsia="楷体_GB2312"/>
          <w:b/>
          <w:bCs/>
          <w:color w:val="000000"/>
          <w:kern w:val="0"/>
          <w:sz w:val="32"/>
          <w:szCs w:val="32"/>
          <w:shd w:val="clear" w:color="auto" w:fill="FFFFFF"/>
          <w:lang w:val="zh-CN"/>
        </w:rPr>
        <w:t>机构组成。</w:t>
      </w:r>
      <w:r>
        <w:rPr>
          <w:rFonts w:hint="eastAsia" w:ascii="仿宋_GB2312" w:hAnsi="仿宋_GB2312" w:eastAsia="仿宋_GB2312" w:cs="仿宋_GB2312"/>
          <w:bCs/>
          <w:sz w:val="32"/>
          <w:szCs w:val="32"/>
        </w:rPr>
        <w:t>县红十字会</w:t>
      </w:r>
      <w:r>
        <w:rPr>
          <w:rFonts w:hint="eastAsia" w:ascii="仿宋_GB2312" w:hAnsi="仿宋_GB2312" w:eastAsia="仿宋_GB2312" w:cs="仿宋_GB2312"/>
          <w:sz w:val="32"/>
          <w:szCs w:val="32"/>
        </w:rPr>
        <w:t>内设综合股、办公室。</w:t>
      </w:r>
      <w:r>
        <w:rPr>
          <w:rFonts w:hint="eastAsia" w:ascii="仿宋_GB2312" w:hAnsi="仿宋_GB2312" w:eastAsia="仿宋_GB2312" w:cs="仿宋_GB2312"/>
          <w:bCs/>
          <w:sz w:val="32"/>
          <w:szCs w:val="32"/>
        </w:rPr>
        <w:t>下属二级预算单位0个。</w:t>
      </w:r>
    </w:p>
    <w:p w14:paraId="6BE2B83D">
      <w:pPr>
        <w:pStyle w:val="14"/>
        <w:adjustRightInd w:val="0"/>
        <w:snapToGrid w:val="0"/>
        <w:spacing w:after="0" w:line="580" w:lineRule="exact"/>
        <w:ind w:firstLine="675" w:firstLineChars="210"/>
        <w:rPr>
          <w:rFonts w:hint="eastAsia" w:ascii="Times New Roman" w:hAnsi="Times New Roman" w:eastAsia="楷体_GB2312" w:cs="Times New Roman"/>
          <w:b/>
          <w:bCs/>
          <w:color w:val="000000"/>
          <w:kern w:val="0"/>
          <w:sz w:val="32"/>
          <w:szCs w:val="32"/>
          <w:shd w:val="clear" w:color="auto" w:fill="FFFFFF"/>
          <w:lang w:val="zh-CN" w:eastAsia="zh-CN" w:bidi="ar-SA"/>
        </w:rPr>
      </w:pPr>
      <w:r>
        <w:rPr>
          <w:rFonts w:hint="eastAsia" w:ascii="Times New Roman" w:hAnsi="Times New Roman" w:eastAsia="楷体_GB2312" w:cs="Times New Roman"/>
          <w:b/>
          <w:bCs/>
          <w:color w:val="000000"/>
          <w:kern w:val="0"/>
          <w:sz w:val="32"/>
          <w:szCs w:val="32"/>
          <w:shd w:val="clear" w:color="auto" w:fill="FFFFFF"/>
          <w:lang w:val="zh-CN" w:eastAsia="zh-CN" w:bidi="ar-SA"/>
        </w:rPr>
        <w:t>（二）机构职能。</w:t>
      </w:r>
    </w:p>
    <w:p w14:paraId="02C0437E">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1.播国际红十字运动知识和国际人道主义，宣传、执行《中华人民共和国红十字会法》和《中华人民共和国红十字会法实施办法》等法律、法规，遵循《中国红十字会章程》，依法建会、治会、兴会。</w:t>
      </w:r>
    </w:p>
    <w:p w14:paraId="17F43937">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2.开展备灾救灾工作，兴建和管理备灾救灾设施，在自然灾害和突发事件中开展对受害者的救助和救护。</w:t>
      </w:r>
    </w:p>
    <w:p w14:paraId="1389487B">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3.开展人道领域的社会公益服务活动和卫生救护、卫生防病知识的宣传、开展学术交流、组织社会捐助，进行初级卫生救护培训，组织群众参加现场救护，推动无偿献血和非血缘关系骨髓移植工作。</w:t>
      </w:r>
    </w:p>
    <w:p w14:paraId="2830B72B">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zh-CN" w:eastAsia="zh-CN" w:bidi="ar-SA"/>
        </w:rPr>
      </w:pPr>
      <w:r>
        <w:rPr>
          <w:rFonts w:hint="eastAsia" w:ascii="仿宋_GB2312" w:hAnsi="仿宋_GB2312" w:eastAsia="仿宋_GB2312" w:cs="仿宋_GB2312"/>
          <w:bCs/>
          <w:sz w:val="32"/>
          <w:szCs w:val="32"/>
          <w:lang w:val="en-US" w:eastAsia="zh-CN" w:bidi="ar-SA"/>
        </w:rPr>
        <w:t>4.加强与兄弟市、县红十字会及国际红十字组织友好往来，开展人道领域的合作与交流，争取援助。</w:t>
      </w:r>
    </w:p>
    <w:p w14:paraId="38F393E5">
      <w:pPr>
        <w:pStyle w:val="14"/>
        <w:adjustRightInd w:val="0"/>
        <w:snapToGrid w:val="0"/>
        <w:spacing w:after="0" w:line="580" w:lineRule="exact"/>
        <w:ind w:firstLine="675" w:firstLineChars="210"/>
        <w:rPr>
          <w:rFonts w:hint="eastAsia" w:ascii="仿宋_GB2312" w:hAnsi="仿宋_GB2312" w:eastAsia="仿宋_GB2312" w:cs="仿宋_GB2312"/>
          <w:bCs/>
          <w:sz w:val="32"/>
          <w:szCs w:val="32"/>
          <w:lang w:val="en-US" w:eastAsia="zh-CN" w:bidi="ar-SA"/>
        </w:rPr>
      </w:pPr>
      <w:r>
        <w:rPr>
          <w:rFonts w:hint="eastAsia" w:ascii="Times New Roman" w:hAnsi="Times New Roman" w:eastAsia="楷体_GB2312" w:cs="Times New Roman"/>
          <w:b/>
          <w:bCs/>
          <w:color w:val="000000"/>
          <w:kern w:val="0"/>
          <w:sz w:val="32"/>
          <w:szCs w:val="32"/>
          <w:shd w:val="clear" w:color="auto" w:fill="FFFFFF"/>
          <w:lang w:val="zh-CN" w:eastAsia="zh-CN" w:bidi="ar-SA"/>
        </w:rPr>
        <w:t>（</w:t>
      </w:r>
      <w:r>
        <w:rPr>
          <w:rFonts w:hint="eastAsia" w:ascii="Times New Roman" w:hAnsi="Times New Roman" w:eastAsia="楷体_GB2312" w:cs="Times New Roman"/>
          <w:b/>
          <w:bCs/>
          <w:color w:val="000000"/>
          <w:kern w:val="0"/>
          <w:sz w:val="32"/>
          <w:szCs w:val="32"/>
          <w:shd w:val="clear" w:color="auto" w:fill="FFFFFF"/>
          <w:lang w:val="zh-CN" w:eastAsia="zh-CN" w:bidi="ar-SA"/>
        </w:rPr>
        <w:t>三）人员概况</w:t>
      </w:r>
      <w:r>
        <w:rPr>
          <w:rFonts w:hint="eastAsia" w:ascii="仿宋_GB2312"/>
          <w:b/>
          <w:bCs/>
          <w:color w:val="000000"/>
          <w:kern w:val="0"/>
          <w:szCs w:val="32"/>
          <w:shd w:val="clear" w:color="auto" w:fill="FFFFFF"/>
          <w:lang w:val="zh-CN"/>
        </w:rPr>
        <w:t>。</w:t>
      </w:r>
      <w:r>
        <w:rPr>
          <w:rFonts w:hint="eastAsia" w:ascii="仿宋_GB2312" w:hAnsi="仿宋_GB2312" w:eastAsia="仿宋_GB2312" w:cs="仿宋_GB2312"/>
          <w:bCs/>
          <w:sz w:val="32"/>
          <w:szCs w:val="32"/>
          <w:lang w:val="en-US" w:eastAsia="zh-CN" w:bidi="ar-SA"/>
        </w:rPr>
        <w:t>截至202</w:t>
      </w:r>
      <w:r>
        <w:rPr>
          <w:rFonts w:hint="eastAsia" w:hAnsi="仿宋_GB2312" w:cs="仿宋_GB2312"/>
          <w:bCs/>
          <w:sz w:val="32"/>
          <w:szCs w:val="32"/>
          <w:lang w:val="en-US" w:eastAsia="zh-CN" w:bidi="ar-SA"/>
        </w:rPr>
        <w:t>4</w:t>
      </w:r>
      <w:r>
        <w:rPr>
          <w:rFonts w:hint="eastAsia" w:ascii="仿宋_GB2312" w:hAnsi="仿宋_GB2312" w:eastAsia="仿宋_GB2312" w:cs="仿宋_GB2312"/>
          <w:bCs/>
          <w:sz w:val="32"/>
          <w:szCs w:val="32"/>
          <w:lang w:val="en-US" w:eastAsia="zh-CN" w:bidi="ar-SA"/>
        </w:rPr>
        <w:t>年末，我单位共有编制5个，其中参公编制5个。在职4人，其中公务员4人。</w:t>
      </w:r>
    </w:p>
    <w:p w14:paraId="4A21FCB0">
      <w:pPr>
        <w:widowControl/>
        <w:adjustRightInd w:val="0"/>
        <w:snapToGrid w:val="0"/>
        <w:spacing w:line="580" w:lineRule="exact"/>
        <w:ind w:firstLine="643" w:firstLineChars="200"/>
        <w:contextualSpacing/>
        <w:rPr>
          <w:rFonts w:eastAsia="黑体"/>
          <w:b/>
          <w:bCs/>
          <w:color w:val="000000"/>
          <w:kern w:val="0"/>
          <w:sz w:val="32"/>
          <w:szCs w:val="32"/>
          <w:shd w:val="clear" w:color="auto" w:fill="FFFFFF"/>
        </w:rPr>
      </w:pPr>
      <w:r>
        <w:rPr>
          <w:rFonts w:eastAsia="黑体"/>
          <w:b/>
          <w:bCs/>
          <w:color w:val="000000"/>
          <w:kern w:val="0"/>
          <w:sz w:val="32"/>
          <w:szCs w:val="32"/>
          <w:shd w:val="clear" w:color="auto" w:fill="FFFFFF"/>
        </w:rPr>
        <w:t>二、部门资金收支情况</w:t>
      </w:r>
    </w:p>
    <w:p w14:paraId="3294E5EF">
      <w:pPr>
        <w:widowControl/>
        <w:adjustRightInd w:val="0"/>
        <w:snapToGrid w:val="0"/>
        <w:spacing w:line="580" w:lineRule="exact"/>
        <w:ind w:firstLine="643" w:firstLineChars="200"/>
        <w:contextualSpacing/>
        <w:rPr>
          <w:rFonts w:hint="eastAsia" w:ascii="Times New Roman" w:hAnsi="Times New Roman" w:eastAsia="楷体_GB2312" w:cs="Times New Roman"/>
          <w:b/>
          <w:bCs/>
          <w:color w:val="000000"/>
          <w:kern w:val="0"/>
          <w:sz w:val="32"/>
          <w:szCs w:val="32"/>
          <w:shd w:val="clear" w:color="auto" w:fill="FFFFFF"/>
          <w:lang w:val="zh-CN" w:eastAsia="zh-CN" w:bidi="ar-SA"/>
        </w:rPr>
      </w:pPr>
      <w:r>
        <w:rPr>
          <w:rFonts w:hint="eastAsia" w:ascii="Times New Roman" w:hAnsi="Times New Roman" w:eastAsia="楷体_GB2312" w:cs="Times New Roman"/>
          <w:b/>
          <w:bCs/>
          <w:color w:val="000000"/>
          <w:kern w:val="0"/>
          <w:sz w:val="32"/>
          <w:szCs w:val="32"/>
          <w:shd w:val="clear" w:color="auto" w:fill="FFFFFF"/>
          <w:lang w:val="zh-CN" w:eastAsia="zh-CN" w:bidi="ar-SA"/>
        </w:rPr>
        <w:t>（一）收入情况。</w:t>
      </w:r>
    </w:p>
    <w:p w14:paraId="58E24996">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2024年年初预算收入情况：2024年红原县红十字会收入预算总额为121.03万元，其中：当年财政拨款收入121.03万元。相应安排支出预算121.03万元，其中：社会保障和就业支出107.06万元，卫生健康支出5.63万元，住房保障支出8.33万元。</w:t>
      </w:r>
    </w:p>
    <w:p w14:paraId="286E46EA">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2024年决算报表收入情况：2024年收入全年预算数为138.42万元，收入决算数为138.42万元。与年初预算差异为17.39万元。产生差异原因：为职务职级晋升，五险一金有所上调。</w:t>
      </w:r>
    </w:p>
    <w:p w14:paraId="65AEC537">
      <w:pPr>
        <w:widowControl/>
        <w:adjustRightInd w:val="0"/>
        <w:snapToGrid w:val="0"/>
        <w:spacing w:line="580" w:lineRule="exact"/>
        <w:ind w:firstLine="643" w:firstLineChars="200"/>
        <w:contextualSpacing/>
        <w:rPr>
          <w:rFonts w:hint="eastAsia" w:ascii="Times New Roman" w:hAnsi="Times New Roman" w:eastAsia="楷体_GB2312" w:cs="Times New Roman"/>
          <w:b/>
          <w:bCs/>
          <w:color w:val="000000"/>
          <w:kern w:val="0"/>
          <w:sz w:val="32"/>
          <w:szCs w:val="32"/>
          <w:shd w:val="clear" w:color="auto" w:fill="FFFFFF"/>
          <w:lang w:val="zh-CN" w:eastAsia="zh-CN" w:bidi="ar-SA"/>
        </w:rPr>
      </w:pPr>
      <w:r>
        <w:rPr>
          <w:rFonts w:hint="eastAsia" w:eastAsia="楷体_GB2312" w:cs="Times New Roman"/>
          <w:b/>
          <w:bCs/>
          <w:color w:val="000000"/>
          <w:kern w:val="0"/>
          <w:sz w:val="32"/>
          <w:szCs w:val="32"/>
          <w:shd w:val="clear" w:color="auto" w:fill="FFFFFF"/>
          <w:lang w:val="zh-CN" w:eastAsia="zh-CN" w:bidi="ar-SA"/>
        </w:rPr>
        <w:t>（二）</w:t>
      </w:r>
      <w:r>
        <w:rPr>
          <w:rFonts w:hint="eastAsia" w:ascii="Times New Roman" w:hAnsi="Times New Roman" w:eastAsia="楷体_GB2312" w:cs="Times New Roman"/>
          <w:b/>
          <w:bCs/>
          <w:color w:val="000000"/>
          <w:kern w:val="0"/>
          <w:sz w:val="32"/>
          <w:szCs w:val="32"/>
          <w:shd w:val="clear" w:color="auto" w:fill="FFFFFF"/>
          <w:lang w:val="zh-CN" w:eastAsia="zh-CN" w:bidi="ar-SA"/>
        </w:rPr>
        <w:t>支出情况。</w:t>
      </w:r>
    </w:p>
    <w:p w14:paraId="364436E8">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2024年年初预算支出情况：基本支出110.03万元。其中人员经费支出101.98万元，机关运行经费8.05万元，其中：办公费2.19万元，电费0.2万元，邮电费0.08万元，差旅费2.1万元，工会经费0.78万元，公务接待费0.08万元，公务用车运行维护费2.62万元。</w:t>
      </w:r>
    </w:p>
    <w:p w14:paraId="349E1AB9">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2024年决算报表支出情况：2024年总支出为138.42万元，其中：基本支出为121.36万元，占总支出的88%；项目支出为17.07万元，占总支出的12%。</w:t>
      </w:r>
    </w:p>
    <w:p w14:paraId="743FDE16">
      <w:pPr>
        <w:widowControl/>
        <w:adjustRightInd w:val="0"/>
        <w:snapToGrid w:val="0"/>
        <w:spacing w:line="580" w:lineRule="exact"/>
        <w:ind w:firstLine="643" w:firstLineChars="200"/>
        <w:contextualSpacing/>
        <w:rPr>
          <w:rFonts w:hint="eastAsia" w:eastAsia="楷体_GB2312" w:cs="Times New Roman"/>
          <w:b/>
          <w:bCs/>
          <w:color w:val="000000"/>
          <w:kern w:val="0"/>
          <w:sz w:val="32"/>
          <w:szCs w:val="32"/>
          <w:shd w:val="clear" w:color="auto" w:fill="FFFFFF"/>
          <w:lang w:val="zh-CN" w:eastAsia="zh-CN" w:bidi="ar-SA"/>
        </w:rPr>
      </w:pPr>
      <w:r>
        <w:rPr>
          <w:rFonts w:hint="eastAsia" w:eastAsia="楷体_GB2312" w:cs="Times New Roman"/>
          <w:b/>
          <w:bCs/>
          <w:color w:val="000000"/>
          <w:kern w:val="0"/>
          <w:sz w:val="32"/>
          <w:szCs w:val="32"/>
          <w:shd w:val="clear" w:color="auto" w:fill="FFFFFF"/>
          <w:lang w:val="zh-CN" w:eastAsia="zh-CN" w:bidi="ar-SA"/>
        </w:rPr>
        <w:t>（三）结余分配和结转结余情况。</w:t>
      </w:r>
    </w:p>
    <w:p w14:paraId="702D00E3">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zh-CN" w:eastAsia="zh-CN" w:bidi="ar-SA"/>
        </w:rPr>
      </w:pPr>
      <w:r>
        <w:rPr>
          <w:rFonts w:hint="eastAsia" w:ascii="仿宋_GB2312" w:hAnsi="仿宋_GB2312" w:eastAsia="仿宋_GB2312" w:cs="仿宋_GB2312"/>
          <w:bCs/>
          <w:sz w:val="32"/>
          <w:szCs w:val="32"/>
          <w:lang w:val="en-US" w:eastAsia="zh-CN" w:bidi="ar-SA"/>
        </w:rPr>
        <w:t>2024年决算报表结转结余情况。1．根据报表项目分财政拨款结转结余和非财政拨款结转结余分析年末结转结余总体情况。按照资金来源、资金性质分析，分别分析基本支出、项目支出结转和结余情况，特别是项目经费结转和结余情况。年末无结转和结余。2.消化结转和结余的对策。年末无结转和结余。</w:t>
      </w:r>
    </w:p>
    <w:p w14:paraId="13EAB3DB">
      <w:pPr>
        <w:widowControl/>
        <w:adjustRightInd w:val="0"/>
        <w:snapToGrid w:val="0"/>
        <w:spacing w:line="580" w:lineRule="exact"/>
        <w:ind w:firstLine="643" w:firstLineChars="200"/>
        <w:contextualSpacing/>
        <w:rPr>
          <w:rFonts w:eastAsia="黑体"/>
          <w:b/>
          <w:bCs/>
          <w:color w:val="000000"/>
          <w:kern w:val="0"/>
          <w:sz w:val="32"/>
          <w:szCs w:val="32"/>
          <w:shd w:val="clear" w:color="auto" w:fill="FFFFFF"/>
        </w:rPr>
      </w:pPr>
      <w:r>
        <w:rPr>
          <w:rFonts w:eastAsia="黑体"/>
          <w:b/>
          <w:bCs/>
          <w:color w:val="000000"/>
          <w:kern w:val="0"/>
          <w:sz w:val="32"/>
          <w:szCs w:val="32"/>
          <w:shd w:val="clear" w:color="auto" w:fill="FFFFFF"/>
        </w:rPr>
        <w:t>三、部门预算绩效分析</w:t>
      </w:r>
    </w:p>
    <w:p w14:paraId="0FA42C79">
      <w:pPr>
        <w:adjustRightInd w:val="0"/>
        <w:snapToGrid w:val="0"/>
        <w:spacing w:line="580" w:lineRule="exact"/>
        <w:ind w:firstLine="643" w:firstLineChars="200"/>
        <w:contextualSpacing/>
        <w:rPr>
          <w:rFonts w:hint="eastAsia" w:ascii="楷体" w:hAnsi="楷体" w:eastAsia="楷体" w:cs="楷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（一）部门预算总体绩效分析。</w:t>
      </w:r>
    </w:p>
    <w:p w14:paraId="144E2AB2">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zh-CN" w:eastAsia="zh-CN" w:bidi="ar-SA"/>
        </w:rPr>
      </w:pPr>
      <w:r>
        <w:rPr>
          <w:rFonts w:hint="eastAsia" w:ascii="仿宋_GB2312" w:hAnsi="仿宋_GB2312" w:eastAsia="仿宋_GB2312" w:cs="仿宋_GB2312"/>
          <w:bCs/>
          <w:sz w:val="32"/>
          <w:szCs w:val="32"/>
          <w:lang w:val="en-US" w:eastAsia="zh-CN" w:bidi="ar-SA"/>
        </w:rPr>
        <w:t>1.</w:t>
      </w:r>
      <w:r>
        <w:rPr>
          <w:rFonts w:hint="eastAsia" w:ascii="仿宋_GB2312" w:hAnsi="仿宋_GB2312" w:eastAsia="仿宋_GB2312" w:cs="仿宋_GB2312"/>
          <w:bCs/>
          <w:sz w:val="32"/>
          <w:szCs w:val="32"/>
          <w:lang w:val="zh-CN" w:eastAsia="zh-CN" w:bidi="ar-SA"/>
        </w:rPr>
        <w:t>履职效能。</w:t>
      </w:r>
    </w:p>
    <w:p w14:paraId="597FDA8D">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一是负责应急救护培训工作。有力推进全县应急救护培训工作重点任务，开展应急救护急救员培训2-3期，培训不少于114人次，应急救护普及培训不少于2000人次，生命教育体验馆接待体验不少于400人次。</w:t>
      </w:r>
    </w:p>
    <w:p w14:paraId="65EE40FE">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二是负责基层红十字组织建设及宣传工作。发展会员（团体）不少于40名（个），发展自愿者不少于30人，发展基层红十字组织不少于4个。深入学习宣传贯彻落实《四川红十字条例》，积极开展“三献三救”、“防灾减灾”、5.8世界红十字日、5.12防震减灾日、宣传动员，进乡村、进社区、进机关、进寺庙、进校园，开展彩票公益金白血病、天使阳光基金先心病项目宣传和筛查，及时上报患儿资料。</w:t>
      </w:r>
    </w:p>
    <w:p w14:paraId="38FF0A24">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en-US" w:eastAsia="zh-CN" w:bidi="ar-SA"/>
        </w:rPr>
      </w:pPr>
      <w:bookmarkStart w:id="51" w:name="OLE_LINK1"/>
      <w:r>
        <w:rPr>
          <w:rFonts w:hint="eastAsia" w:ascii="仿宋_GB2312" w:hAnsi="仿宋_GB2312" w:eastAsia="仿宋_GB2312" w:cs="仿宋_GB2312"/>
          <w:bCs/>
          <w:sz w:val="32"/>
          <w:szCs w:val="32"/>
          <w:lang w:val="en-US" w:eastAsia="zh-CN" w:bidi="ar-SA"/>
        </w:rPr>
        <w:t>三是负责红十字志愿服务工作</w:t>
      </w:r>
      <w:bookmarkEnd w:id="51"/>
      <w:r>
        <w:rPr>
          <w:rFonts w:hint="eastAsia" w:ascii="仿宋_GB2312" w:hAnsi="仿宋_GB2312" w:eastAsia="仿宋_GB2312" w:cs="仿宋_GB2312"/>
          <w:bCs/>
          <w:sz w:val="32"/>
          <w:szCs w:val="32"/>
          <w:lang w:val="en-US" w:eastAsia="zh-CN" w:bidi="ar-SA"/>
        </w:rPr>
        <w:t>。每月至少组织开展1次志愿服务活动，保证志愿服务质量，保障志愿服务工作档案齐全，及时录入志愿服务平台，</w:t>
      </w:r>
    </w:p>
    <w:p w14:paraId="13EE8F2B">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四是开展博爱送万家活动。结合“两联一进”工作走访慰问大病患者、孤寡老人、留守儿童、贫困学生家庭等弱势群体。</w:t>
      </w:r>
    </w:p>
    <w:p w14:paraId="1A67AB6F">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五是完成县委、县政府交办的其他工作。</w:t>
      </w:r>
    </w:p>
    <w:p w14:paraId="7BFA23FD">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zh-CN" w:eastAsia="zh-CN" w:bidi="ar-SA"/>
        </w:rPr>
      </w:pPr>
      <w:r>
        <w:rPr>
          <w:rFonts w:hint="eastAsia" w:ascii="仿宋_GB2312" w:hAnsi="仿宋_GB2312" w:eastAsia="仿宋_GB2312" w:cs="仿宋_GB2312"/>
          <w:bCs/>
          <w:sz w:val="32"/>
          <w:szCs w:val="32"/>
          <w:lang w:val="en-US" w:eastAsia="zh-CN" w:bidi="ar-SA"/>
        </w:rPr>
        <w:t>2.</w:t>
      </w:r>
      <w:r>
        <w:rPr>
          <w:rFonts w:hint="eastAsia" w:ascii="仿宋_GB2312" w:hAnsi="仿宋_GB2312" w:eastAsia="仿宋_GB2312" w:cs="仿宋_GB2312"/>
          <w:bCs/>
          <w:sz w:val="32"/>
          <w:szCs w:val="32"/>
          <w:lang w:val="zh-CN" w:eastAsia="zh-CN" w:bidi="ar-SA"/>
        </w:rPr>
        <w:t>预算管理。</w:t>
      </w:r>
      <w:r>
        <w:rPr>
          <w:rFonts w:hint="eastAsia" w:ascii="仿宋_GB2312" w:hAnsi="仿宋_GB2312" w:eastAsia="仿宋_GB2312" w:cs="仿宋_GB2312"/>
          <w:bCs/>
          <w:sz w:val="32"/>
          <w:szCs w:val="32"/>
          <w:lang w:val="en-US" w:eastAsia="zh-CN" w:bidi="ar-SA"/>
        </w:rPr>
        <w:t>我单位</w:t>
      </w:r>
      <w:r>
        <w:rPr>
          <w:rFonts w:hint="eastAsia" w:ascii="仿宋_GB2312" w:hAnsi="仿宋_GB2312" w:eastAsia="仿宋_GB2312" w:cs="仿宋_GB2312"/>
          <w:bCs/>
          <w:sz w:val="32"/>
          <w:szCs w:val="32"/>
          <w:lang w:val="zh-CN" w:eastAsia="zh-CN" w:bidi="ar-SA"/>
        </w:rPr>
        <w:t>预算编制质量</w:t>
      </w:r>
      <w:r>
        <w:rPr>
          <w:rFonts w:hint="eastAsia" w:ascii="仿宋_GB2312" w:hAnsi="仿宋_GB2312" w:eastAsia="仿宋_GB2312" w:cs="仿宋_GB2312"/>
          <w:bCs/>
          <w:sz w:val="32"/>
          <w:szCs w:val="32"/>
          <w:lang w:val="en-US" w:eastAsia="zh-CN" w:bidi="ar-SA"/>
        </w:rPr>
        <w:t>合规合理</w:t>
      </w:r>
      <w:r>
        <w:rPr>
          <w:rFonts w:hint="eastAsia" w:ascii="仿宋_GB2312" w:hAnsi="仿宋_GB2312" w:eastAsia="仿宋_GB2312" w:cs="仿宋_GB2312"/>
          <w:bCs/>
          <w:sz w:val="32"/>
          <w:szCs w:val="32"/>
          <w:lang w:val="zh-CN" w:eastAsia="zh-CN" w:bidi="ar-SA"/>
        </w:rPr>
        <w:t>、单位收入统筹、支出执行进度</w:t>
      </w:r>
      <w:r>
        <w:rPr>
          <w:rFonts w:hint="eastAsia" w:ascii="仿宋_GB2312" w:hAnsi="仿宋_GB2312" w:eastAsia="仿宋_GB2312" w:cs="仿宋_GB2312"/>
          <w:bCs/>
          <w:sz w:val="32"/>
          <w:szCs w:val="32"/>
          <w:lang w:val="en-US" w:eastAsia="zh-CN" w:bidi="ar-SA"/>
        </w:rPr>
        <w:t>快</w:t>
      </w:r>
      <w:r>
        <w:rPr>
          <w:rFonts w:hint="eastAsia" w:ascii="仿宋_GB2312" w:hAnsi="仿宋_GB2312" w:eastAsia="仿宋_GB2312" w:cs="仿宋_GB2312"/>
          <w:bCs/>
          <w:sz w:val="32"/>
          <w:szCs w:val="32"/>
          <w:lang w:val="zh-CN" w:eastAsia="zh-CN" w:bidi="ar-SA"/>
        </w:rPr>
        <w:t>、预算年终</w:t>
      </w:r>
      <w:r>
        <w:rPr>
          <w:rFonts w:hint="eastAsia" w:ascii="仿宋_GB2312" w:hAnsi="仿宋_GB2312" w:eastAsia="仿宋_GB2312" w:cs="仿宋_GB2312"/>
          <w:bCs/>
          <w:sz w:val="32"/>
          <w:szCs w:val="32"/>
          <w:lang w:val="en-US" w:eastAsia="zh-CN" w:bidi="ar-SA"/>
        </w:rPr>
        <w:t>无</w:t>
      </w:r>
      <w:r>
        <w:rPr>
          <w:rFonts w:hint="eastAsia" w:ascii="仿宋_GB2312" w:hAnsi="仿宋_GB2312" w:eastAsia="仿宋_GB2312" w:cs="仿宋_GB2312"/>
          <w:bCs/>
          <w:sz w:val="32"/>
          <w:szCs w:val="32"/>
          <w:lang w:val="zh-CN" w:eastAsia="zh-CN" w:bidi="ar-SA"/>
        </w:rPr>
        <w:t>结余、严控一般性支出。</w:t>
      </w:r>
      <w:r>
        <w:rPr>
          <w:rFonts w:hint="eastAsia" w:ascii="仿宋_GB2312" w:hAnsi="仿宋_GB2312" w:eastAsia="仿宋_GB2312" w:cs="仿宋_GB2312"/>
          <w:bCs/>
          <w:sz w:val="32"/>
          <w:szCs w:val="32"/>
          <w:lang w:val="en-US" w:eastAsia="zh-CN" w:bidi="ar-SA"/>
        </w:rPr>
        <w:t>严格按照要求，按时、准确做好财务预决算公开工作。</w:t>
      </w:r>
    </w:p>
    <w:p w14:paraId="56A0021D">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zh-CN" w:eastAsia="zh-CN" w:bidi="ar-SA"/>
        </w:rPr>
      </w:pPr>
      <w:r>
        <w:rPr>
          <w:rFonts w:hint="eastAsia" w:ascii="仿宋_GB2312" w:hAnsi="仿宋_GB2312" w:eastAsia="仿宋_GB2312" w:cs="仿宋_GB2312"/>
          <w:bCs/>
          <w:sz w:val="32"/>
          <w:szCs w:val="32"/>
          <w:lang w:val="en-US" w:eastAsia="zh-CN" w:bidi="ar-SA"/>
        </w:rPr>
        <w:t>3.</w:t>
      </w:r>
      <w:r>
        <w:rPr>
          <w:rFonts w:hint="eastAsia" w:ascii="仿宋_GB2312" w:hAnsi="仿宋_GB2312" w:eastAsia="仿宋_GB2312" w:cs="仿宋_GB2312"/>
          <w:bCs/>
          <w:sz w:val="32"/>
          <w:szCs w:val="32"/>
          <w:lang w:val="zh-CN" w:eastAsia="zh-CN" w:bidi="ar-SA"/>
        </w:rPr>
        <w:t>财务管理。</w:t>
      </w:r>
      <w:r>
        <w:rPr>
          <w:rFonts w:hint="eastAsia" w:ascii="仿宋_GB2312" w:hAnsi="仿宋_GB2312" w:eastAsia="仿宋_GB2312" w:cs="仿宋_GB2312"/>
          <w:bCs/>
          <w:sz w:val="32"/>
          <w:szCs w:val="32"/>
          <w:lang w:val="en-US" w:eastAsia="zh-CN" w:bidi="ar-SA"/>
        </w:rPr>
        <w:t>我单位</w:t>
      </w:r>
      <w:r>
        <w:rPr>
          <w:rFonts w:hint="eastAsia" w:ascii="仿宋_GB2312" w:hAnsi="仿宋_GB2312" w:eastAsia="仿宋_GB2312" w:cs="仿宋_GB2312"/>
          <w:bCs/>
          <w:sz w:val="32"/>
          <w:szCs w:val="32"/>
          <w:lang w:val="zh-CN" w:eastAsia="zh-CN" w:bidi="ar-SA"/>
        </w:rPr>
        <w:t>财务管理制度</w:t>
      </w:r>
      <w:r>
        <w:rPr>
          <w:rFonts w:hint="eastAsia" w:ascii="仿宋_GB2312" w:hAnsi="仿宋_GB2312" w:eastAsia="仿宋_GB2312" w:cs="仿宋_GB2312"/>
          <w:bCs/>
          <w:sz w:val="32"/>
          <w:szCs w:val="32"/>
          <w:lang w:val="en-US" w:eastAsia="zh-CN" w:bidi="ar-SA"/>
        </w:rPr>
        <w:t>健全</w:t>
      </w:r>
      <w:r>
        <w:rPr>
          <w:rFonts w:hint="eastAsia" w:ascii="仿宋_GB2312" w:hAnsi="仿宋_GB2312" w:eastAsia="仿宋_GB2312" w:cs="仿宋_GB2312"/>
          <w:bCs/>
          <w:sz w:val="32"/>
          <w:szCs w:val="32"/>
          <w:lang w:val="zh-CN" w:eastAsia="zh-CN" w:bidi="ar-SA"/>
        </w:rPr>
        <w:t>、财务岗位设置</w:t>
      </w:r>
      <w:r>
        <w:rPr>
          <w:rFonts w:hint="eastAsia" w:ascii="仿宋_GB2312" w:hAnsi="仿宋_GB2312" w:eastAsia="仿宋_GB2312" w:cs="仿宋_GB2312"/>
          <w:bCs/>
          <w:sz w:val="32"/>
          <w:szCs w:val="32"/>
          <w:lang w:val="en-US" w:eastAsia="zh-CN" w:bidi="ar-SA"/>
        </w:rPr>
        <w:t>合理（会计、出纳）</w:t>
      </w:r>
      <w:r>
        <w:rPr>
          <w:rFonts w:hint="eastAsia" w:ascii="仿宋_GB2312" w:hAnsi="仿宋_GB2312" w:eastAsia="仿宋_GB2312" w:cs="仿宋_GB2312"/>
          <w:bCs/>
          <w:sz w:val="32"/>
          <w:szCs w:val="32"/>
          <w:lang w:val="zh-CN" w:eastAsia="zh-CN" w:bidi="ar-SA"/>
        </w:rPr>
        <w:t>、资金使用规范。</w:t>
      </w:r>
      <w:r>
        <w:rPr>
          <w:rFonts w:hint="eastAsia" w:ascii="仿宋_GB2312" w:hAnsi="仿宋_GB2312" w:eastAsia="仿宋_GB2312" w:cs="仿宋_GB2312"/>
          <w:bCs/>
          <w:sz w:val="32"/>
          <w:szCs w:val="32"/>
          <w:lang w:val="en-US" w:eastAsia="zh-CN" w:bidi="ar-SA"/>
        </w:rPr>
        <w:t>严格财务管理，本着厉行节约的原则，严格执行中央八项规定，在各项公务开支方面，严格报销审核程序。严格按照县委、县政府、县财政局相关规定，执行预（决）算公开。</w:t>
      </w:r>
    </w:p>
    <w:p w14:paraId="37857D9A">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zh-CN" w:eastAsia="zh-CN" w:bidi="ar-SA"/>
        </w:rPr>
      </w:pPr>
      <w:r>
        <w:rPr>
          <w:rFonts w:hint="eastAsia" w:ascii="仿宋_GB2312" w:hAnsi="仿宋_GB2312" w:eastAsia="仿宋_GB2312" w:cs="仿宋_GB2312"/>
          <w:bCs/>
          <w:sz w:val="32"/>
          <w:szCs w:val="32"/>
          <w:lang w:val="en-US" w:eastAsia="zh-CN" w:bidi="ar-SA"/>
        </w:rPr>
        <w:t>4.</w:t>
      </w:r>
      <w:r>
        <w:rPr>
          <w:rFonts w:hint="eastAsia" w:ascii="仿宋_GB2312" w:hAnsi="仿宋_GB2312" w:eastAsia="仿宋_GB2312" w:cs="仿宋_GB2312"/>
          <w:bCs/>
          <w:sz w:val="32"/>
          <w:szCs w:val="32"/>
          <w:lang w:val="zh-CN" w:eastAsia="zh-CN" w:bidi="ar-SA"/>
        </w:rPr>
        <w:t>资产管理。</w:t>
      </w:r>
      <w:r>
        <w:rPr>
          <w:rFonts w:hint="eastAsia" w:ascii="仿宋_GB2312" w:hAnsi="仿宋_GB2312" w:eastAsia="仿宋_GB2312" w:cs="仿宋_GB2312"/>
          <w:bCs/>
          <w:sz w:val="32"/>
          <w:szCs w:val="32"/>
          <w:lang w:val="en-US" w:eastAsia="zh-CN" w:bidi="ar-SA"/>
        </w:rPr>
        <w:t>严格资产管理制度，</w:t>
      </w:r>
      <w:r>
        <w:rPr>
          <w:rFonts w:hint="eastAsia" w:ascii="仿宋_GB2312" w:hAnsi="仿宋_GB2312" w:eastAsia="仿宋_GB2312" w:cs="仿宋_GB2312"/>
          <w:bCs/>
          <w:sz w:val="32"/>
          <w:szCs w:val="32"/>
          <w:lang w:val="zh-CN" w:eastAsia="zh-CN" w:bidi="ar-SA"/>
        </w:rPr>
        <w:t>资产利用率</w:t>
      </w:r>
      <w:r>
        <w:rPr>
          <w:rFonts w:hint="eastAsia" w:ascii="仿宋_GB2312" w:hAnsi="仿宋_GB2312" w:eastAsia="仿宋_GB2312" w:cs="仿宋_GB2312"/>
          <w:bCs/>
          <w:sz w:val="32"/>
          <w:szCs w:val="32"/>
          <w:lang w:val="en-US" w:eastAsia="zh-CN" w:bidi="ar-SA"/>
        </w:rPr>
        <w:t>100%</w:t>
      </w:r>
      <w:r>
        <w:rPr>
          <w:rFonts w:hint="eastAsia" w:ascii="仿宋_GB2312" w:hAnsi="仿宋_GB2312" w:eastAsia="仿宋_GB2312" w:cs="仿宋_GB2312"/>
          <w:bCs/>
          <w:sz w:val="32"/>
          <w:szCs w:val="32"/>
          <w:lang w:val="zh-CN" w:eastAsia="zh-CN" w:bidi="ar-SA"/>
        </w:rPr>
        <w:t>。</w:t>
      </w:r>
    </w:p>
    <w:p w14:paraId="0FEA30A8">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5.</w:t>
      </w:r>
      <w:r>
        <w:rPr>
          <w:rFonts w:hint="eastAsia" w:ascii="仿宋_GB2312" w:hAnsi="仿宋_GB2312" w:eastAsia="仿宋_GB2312" w:cs="仿宋_GB2312"/>
          <w:bCs/>
          <w:sz w:val="32"/>
          <w:szCs w:val="32"/>
          <w:lang w:val="zh-CN" w:eastAsia="zh-CN" w:bidi="ar-SA"/>
        </w:rPr>
        <w:t>采购管理。</w:t>
      </w:r>
      <w:r>
        <w:rPr>
          <w:rFonts w:hint="eastAsia" w:ascii="仿宋_GB2312" w:hAnsi="仿宋_GB2312" w:eastAsia="仿宋_GB2312" w:cs="仿宋_GB2312"/>
          <w:bCs/>
          <w:sz w:val="32"/>
          <w:szCs w:val="32"/>
          <w:lang w:val="en-US" w:eastAsia="zh-CN" w:bidi="ar-SA"/>
        </w:rPr>
        <w:t>严格采购管理制度，采购渠道：政府采购，</w:t>
      </w:r>
      <w:r>
        <w:rPr>
          <w:rFonts w:hint="eastAsia" w:ascii="仿宋_GB2312" w:hAnsi="仿宋_GB2312" w:eastAsia="仿宋_GB2312" w:cs="仿宋_GB2312"/>
          <w:bCs/>
          <w:sz w:val="32"/>
          <w:szCs w:val="32"/>
          <w:lang w:val="zh-CN" w:eastAsia="zh-CN" w:bidi="ar-SA"/>
        </w:rPr>
        <w:t>采购执行率</w:t>
      </w:r>
      <w:r>
        <w:rPr>
          <w:rFonts w:hint="eastAsia" w:ascii="仿宋_GB2312" w:hAnsi="仿宋_GB2312" w:eastAsia="仿宋_GB2312" w:cs="仿宋_GB2312"/>
          <w:bCs/>
          <w:sz w:val="32"/>
          <w:szCs w:val="32"/>
          <w:lang w:val="en-US" w:eastAsia="zh-CN" w:bidi="ar-SA"/>
        </w:rPr>
        <w:t>100%</w:t>
      </w:r>
    </w:p>
    <w:p w14:paraId="684A30D9">
      <w:pPr>
        <w:snapToGrid w:val="0"/>
        <w:spacing w:line="580" w:lineRule="exact"/>
        <w:ind w:firstLine="643" w:firstLineChars="200"/>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（二）部门预算项目绩效分析。</w:t>
      </w:r>
    </w:p>
    <w:p w14:paraId="149A712C">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1.概述项目绩效目标完成情况。</w:t>
      </w:r>
    </w:p>
    <w:p w14:paraId="6F4465DB">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本年度计划开展的项目工作，已如期开展，并已完成财务结算。</w:t>
      </w:r>
    </w:p>
    <w:p w14:paraId="1A7FDAB1">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2.概述本单位整体支出绩效目标实现情况。</w:t>
      </w:r>
    </w:p>
    <w:p w14:paraId="3F909929">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县红十字会按照县财政的要求，认真总结经验，及时上报相关的用款计划，分季度上报相应计划，待财政审核通过后，严格按计划执行，各季度执行情况良好。</w:t>
      </w:r>
    </w:p>
    <w:p w14:paraId="574DD81C">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zh-CN" w:eastAsia="zh-CN" w:bidi="ar-SA"/>
        </w:rPr>
      </w:pPr>
      <w:r>
        <w:rPr>
          <w:rFonts w:hint="eastAsia" w:ascii="仿宋_GB2312" w:hAnsi="仿宋_GB2312" w:eastAsia="仿宋_GB2312" w:cs="仿宋_GB2312"/>
          <w:bCs/>
          <w:sz w:val="32"/>
          <w:szCs w:val="32"/>
          <w:lang w:val="en-US" w:eastAsia="zh-CN" w:bidi="ar-SA"/>
        </w:rPr>
        <w:t>常年项目绩效分析。</w:t>
      </w:r>
      <w:r>
        <w:rPr>
          <w:rFonts w:hint="eastAsia" w:ascii="仿宋_GB2312" w:hAnsi="仿宋_GB2312" w:eastAsia="仿宋_GB2312" w:cs="仿宋_GB2312"/>
          <w:bCs/>
          <w:sz w:val="32"/>
          <w:szCs w:val="32"/>
          <w:lang w:val="zh-CN" w:eastAsia="zh-CN" w:bidi="ar-SA"/>
        </w:rPr>
        <w:t>该类项目总数</w:t>
      </w:r>
      <w:r>
        <w:rPr>
          <w:rFonts w:hint="eastAsia" w:ascii="仿宋_GB2312" w:hAnsi="仿宋_GB2312" w:eastAsia="仿宋_GB2312" w:cs="仿宋_GB2312"/>
          <w:bCs/>
          <w:sz w:val="32"/>
          <w:szCs w:val="32"/>
          <w:lang w:val="en-US" w:eastAsia="zh-CN" w:bidi="ar-SA"/>
        </w:rPr>
        <w:t>35</w:t>
      </w:r>
      <w:r>
        <w:rPr>
          <w:rFonts w:hint="eastAsia" w:ascii="仿宋_GB2312" w:hAnsi="仿宋_GB2312" w:eastAsia="仿宋_GB2312" w:cs="仿宋_GB2312"/>
          <w:bCs/>
          <w:sz w:val="32"/>
          <w:szCs w:val="32"/>
          <w:lang w:val="zh-CN" w:eastAsia="zh-CN" w:bidi="ar-SA"/>
        </w:rPr>
        <w:t>个，涉及预算总金额</w:t>
      </w:r>
      <w:r>
        <w:rPr>
          <w:rFonts w:hint="eastAsia" w:ascii="仿宋_GB2312" w:hAnsi="仿宋_GB2312" w:eastAsia="仿宋_GB2312" w:cs="仿宋_GB2312"/>
          <w:bCs/>
          <w:sz w:val="32"/>
          <w:szCs w:val="32"/>
          <w:lang w:val="en-US" w:eastAsia="zh-CN" w:bidi="ar-SA"/>
        </w:rPr>
        <w:t>133.79</w:t>
      </w:r>
      <w:r>
        <w:rPr>
          <w:rFonts w:hint="eastAsia" w:ascii="仿宋_GB2312" w:hAnsi="仿宋_GB2312" w:eastAsia="仿宋_GB2312" w:cs="仿宋_GB2312"/>
          <w:bCs/>
          <w:sz w:val="32"/>
          <w:szCs w:val="32"/>
          <w:lang w:val="zh-CN" w:eastAsia="zh-CN" w:bidi="ar-SA"/>
        </w:rPr>
        <w:t>万元，1—1</w:t>
      </w:r>
      <w:r>
        <w:rPr>
          <w:rFonts w:hint="eastAsia" w:ascii="仿宋_GB2312" w:hAnsi="仿宋_GB2312" w:eastAsia="仿宋_GB2312" w:cs="仿宋_GB2312"/>
          <w:bCs/>
          <w:sz w:val="32"/>
          <w:szCs w:val="32"/>
          <w:lang w:val="en-US" w:eastAsia="zh-CN" w:bidi="ar-SA"/>
        </w:rPr>
        <w:t>2</w:t>
      </w:r>
      <w:r>
        <w:rPr>
          <w:rFonts w:hint="eastAsia" w:ascii="仿宋_GB2312" w:hAnsi="仿宋_GB2312" w:eastAsia="仿宋_GB2312" w:cs="仿宋_GB2312"/>
          <w:bCs/>
          <w:sz w:val="32"/>
          <w:szCs w:val="32"/>
          <w:lang w:val="zh-CN" w:eastAsia="zh-CN" w:bidi="ar-SA"/>
        </w:rPr>
        <w:t>月预算执行总体进度为</w:t>
      </w:r>
      <w:r>
        <w:rPr>
          <w:rFonts w:hint="eastAsia" w:ascii="仿宋_GB2312" w:hAnsi="仿宋_GB2312" w:eastAsia="仿宋_GB2312" w:cs="仿宋_GB2312"/>
          <w:bCs/>
          <w:sz w:val="32"/>
          <w:szCs w:val="32"/>
          <w:lang w:val="en-US" w:eastAsia="zh-CN" w:bidi="ar-SA"/>
        </w:rPr>
        <w:t>100</w:t>
      </w:r>
      <w:r>
        <w:rPr>
          <w:rFonts w:hint="eastAsia" w:ascii="仿宋_GB2312" w:hAnsi="仿宋_GB2312" w:eastAsia="仿宋_GB2312" w:cs="仿宋_GB2312"/>
          <w:bCs/>
          <w:sz w:val="32"/>
          <w:szCs w:val="32"/>
          <w:lang w:val="zh-CN" w:eastAsia="zh-CN" w:bidi="ar-SA"/>
        </w:rPr>
        <w:t>%。</w:t>
      </w:r>
    </w:p>
    <w:p w14:paraId="52AA9872">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zh-CN" w:eastAsia="zh-CN" w:bidi="ar-SA"/>
        </w:rPr>
      </w:pPr>
      <w:r>
        <w:rPr>
          <w:rFonts w:hint="eastAsia" w:ascii="仿宋_GB2312" w:hAnsi="仿宋_GB2312" w:eastAsia="仿宋_GB2312" w:cs="仿宋_GB2312"/>
          <w:bCs/>
          <w:sz w:val="32"/>
          <w:szCs w:val="32"/>
          <w:lang w:val="en-US" w:eastAsia="zh-CN" w:bidi="ar-SA"/>
        </w:rPr>
        <w:t>阶段（一次性）项目绩效分析。</w:t>
      </w:r>
      <w:r>
        <w:rPr>
          <w:rFonts w:hint="eastAsia" w:ascii="仿宋_GB2312" w:hAnsi="仿宋_GB2312" w:eastAsia="仿宋_GB2312" w:cs="仿宋_GB2312"/>
          <w:bCs/>
          <w:sz w:val="32"/>
          <w:szCs w:val="32"/>
          <w:lang w:val="zh-CN" w:eastAsia="zh-CN" w:bidi="ar-SA"/>
        </w:rPr>
        <w:t>该类项目总数</w:t>
      </w:r>
      <w:r>
        <w:rPr>
          <w:rFonts w:hint="eastAsia" w:ascii="仿宋_GB2312" w:hAnsi="仿宋_GB2312" w:eastAsia="仿宋_GB2312" w:cs="仿宋_GB2312"/>
          <w:bCs/>
          <w:sz w:val="32"/>
          <w:szCs w:val="32"/>
          <w:lang w:val="en-US" w:eastAsia="zh-CN" w:bidi="ar-SA"/>
        </w:rPr>
        <w:t>2</w:t>
      </w:r>
      <w:r>
        <w:rPr>
          <w:rFonts w:hint="eastAsia" w:ascii="仿宋_GB2312" w:hAnsi="仿宋_GB2312" w:eastAsia="仿宋_GB2312" w:cs="仿宋_GB2312"/>
          <w:bCs/>
          <w:sz w:val="32"/>
          <w:szCs w:val="32"/>
          <w:lang w:val="zh-CN" w:eastAsia="zh-CN" w:bidi="ar-SA"/>
        </w:rPr>
        <w:t>个，涉及预算总金额</w:t>
      </w:r>
      <w:r>
        <w:rPr>
          <w:rFonts w:hint="eastAsia" w:ascii="仿宋_GB2312" w:hAnsi="仿宋_GB2312" w:eastAsia="仿宋_GB2312" w:cs="仿宋_GB2312"/>
          <w:bCs/>
          <w:sz w:val="32"/>
          <w:szCs w:val="32"/>
          <w:lang w:val="en-US" w:eastAsia="zh-CN" w:bidi="ar-SA"/>
        </w:rPr>
        <w:t>4.63</w:t>
      </w:r>
      <w:r>
        <w:rPr>
          <w:rFonts w:hint="eastAsia" w:ascii="仿宋_GB2312" w:hAnsi="仿宋_GB2312" w:eastAsia="仿宋_GB2312" w:cs="仿宋_GB2312"/>
          <w:bCs/>
          <w:sz w:val="32"/>
          <w:szCs w:val="32"/>
          <w:lang w:val="zh-CN" w:eastAsia="zh-CN" w:bidi="ar-SA"/>
        </w:rPr>
        <w:t>万元，1—1</w:t>
      </w:r>
      <w:r>
        <w:rPr>
          <w:rFonts w:hint="eastAsia" w:ascii="仿宋_GB2312" w:hAnsi="仿宋_GB2312" w:eastAsia="仿宋_GB2312" w:cs="仿宋_GB2312"/>
          <w:bCs/>
          <w:sz w:val="32"/>
          <w:szCs w:val="32"/>
          <w:lang w:val="en-US" w:eastAsia="zh-CN" w:bidi="ar-SA"/>
        </w:rPr>
        <w:t>2</w:t>
      </w:r>
      <w:r>
        <w:rPr>
          <w:rFonts w:hint="eastAsia" w:ascii="仿宋_GB2312" w:hAnsi="仿宋_GB2312" w:eastAsia="仿宋_GB2312" w:cs="仿宋_GB2312"/>
          <w:bCs/>
          <w:sz w:val="32"/>
          <w:szCs w:val="32"/>
          <w:lang w:val="zh-CN" w:eastAsia="zh-CN" w:bidi="ar-SA"/>
        </w:rPr>
        <w:t>月预算执行总体进度为</w:t>
      </w:r>
      <w:bookmarkStart w:id="52" w:name="_GoBack"/>
      <w:bookmarkEnd w:id="52"/>
      <w:r>
        <w:rPr>
          <w:rFonts w:hint="eastAsia" w:ascii="仿宋_GB2312" w:hAnsi="仿宋_GB2312" w:eastAsia="仿宋_GB2312" w:cs="仿宋_GB2312"/>
          <w:bCs/>
          <w:sz w:val="32"/>
          <w:szCs w:val="32"/>
          <w:lang w:val="en-US" w:eastAsia="zh-CN" w:bidi="ar-SA"/>
        </w:rPr>
        <w:t>100</w:t>
      </w:r>
      <w:r>
        <w:rPr>
          <w:rFonts w:hint="eastAsia" w:ascii="仿宋_GB2312" w:hAnsi="仿宋_GB2312" w:eastAsia="仿宋_GB2312" w:cs="仿宋_GB2312"/>
          <w:bCs/>
          <w:sz w:val="32"/>
          <w:szCs w:val="32"/>
          <w:lang w:val="zh-CN" w:eastAsia="zh-CN" w:bidi="ar-SA"/>
        </w:rPr>
        <w:t>%。</w:t>
      </w:r>
    </w:p>
    <w:p w14:paraId="603DFCD5">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zh-CN" w:eastAsia="zh-CN" w:bidi="ar-SA"/>
        </w:rPr>
      </w:pPr>
      <w:r>
        <w:rPr>
          <w:rFonts w:hint="eastAsia" w:ascii="仿宋_GB2312" w:hAnsi="仿宋_GB2312" w:eastAsia="仿宋_GB2312" w:cs="仿宋_GB2312"/>
          <w:bCs/>
          <w:sz w:val="32"/>
          <w:szCs w:val="32"/>
          <w:lang w:val="en-US" w:eastAsia="zh-CN" w:bidi="ar-SA"/>
        </w:rPr>
        <w:t>1.</w:t>
      </w:r>
      <w:r>
        <w:rPr>
          <w:rFonts w:hint="eastAsia" w:ascii="仿宋_GB2312" w:hAnsi="仿宋_GB2312" w:eastAsia="仿宋_GB2312" w:cs="仿宋_GB2312"/>
          <w:bCs/>
          <w:sz w:val="32"/>
          <w:szCs w:val="32"/>
          <w:lang w:val="zh-CN" w:eastAsia="zh-CN" w:bidi="ar-SA"/>
        </w:rPr>
        <w:t>项目决策。</w:t>
      </w:r>
      <w:r>
        <w:rPr>
          <w:rFonts w:hint="eastAsia" w:ascii="仿宋_GB2312" w:hAnsi="仿宋_GB2312" w:eastAsia="仿宋_GB2312" w:cs="仿宋_GB2312"/>
          <w:bCs/>
          <w:sz w:val="32"/>
          <w:szCs w:val="32"/>
          <w:lang w:val="en-US" w:eastAsia="zh-CN" w:bidi="ar-SA"/>
        </w:rPr>
        <w:t>严格按照</w:t>
      </w:r>
      <w:r>
        <w:rPr>
          <w:rFonts w:hint="eastAsia" w:ascii="仿宋_GB2312" w:hAnsi="仿宋_GB2312" w:eastAsia="仿宋_GB2312" w:cs="仿宋_GB2312"/>
          <w:bCs/>
          <w:sz w:val="32"/>
          <w:szCs w:val="32"/>
          <w:lang w:val="zh-CN" w:eastAsia="zh-CN" w:bidi="ar-SA"/>
        </w:rPr>
        <w:t>决策程序、目标设置、项目入库</w:t>
      </w:r>
      <w:r>
        <w:rPr>
          <w:rFonts w:hint="eastAsia" w:ascii="仿宋_GB2312" w:hAnsi="仿宋_GB2312" w:eastAsia="仿宋_GB2312" w:cs="仿宋_GB2312"/>
          <w:bCs/>
          <w:sz w:val="32"/>
          <w:szCs w:val="32"/>
          <w:lang w:val="en-US" w:eastAsia="zh-CN" w:bidi="ar-SA"/>
        </w:rPr>
        <w:t>要求，开展工作</w:t>
      </w:r>
      <w:r>
        <w:rPr>
          <w:rFonts w:hint="eastAsia" w:ascii="仿宋_GB2312" w:hAnsi="仿宋_GB2312" w:eastAsia="仿宋_GB2312" w:cs="仿宋_GB2312"/>
          <w:bCs/>
          <w:sz w:val="32"/>
          <w:szCs w:val="32"/>
          <w:lang w:val="zh-CN" w:eastAsia="zh-CN" w:bidi="ar-SA"/>
        </w:rPr>
        <w:t>。</w:t>
      </w:r>
    </w:p>
    <w:p w14:paraId="506D7260">
      <w:pPr>
        <w:pStyle w:val="14"/>
        <w:adjustRightInd w:val="0"/>
        <w:snapToGrid w:val="0"/>
        <w:spacing w:after="0" w:line="580" w:lineRule="exact"/>
        <w:ind w:firstLine="672" w:firstLineChars="210"/>
        <w:rPr>
          <w:rFonts w:hint="eastAsia" w:ascii="仿宋_GB2312" w:hAnsi="仿宋_GB2312" w:eastAsia="仿宋_GB2312" w:cs="仿宋_GB2312"/>
          <w:bCs/>
          <w:sz w:val="32"/>
          <w:szCs w:val="32"/>
          <w:lang w:val="zh-CN" w:eastAsia="zh-CN" w:bidi="ar-SA"/>
        </w:rPr>
      </w:pPr>
      <w:r>
        <w:rPr>
          <w:rFonts w:hint="eastAsia" w:ascii="仿宋_GB2312" w:hAnsi="仿宋_GB2312" w:eastAsia="仿宋_GB2312" w:cs="仿宋_GB2312"/>
          <w:bCs/>
          <w:sz w:val="32"/>
          <w:szCs w:val="32"/>
          <w:lang w:val="en-US" w:eastAsia="zh-CN" w:bidi="ar-SA"/>
        </w:rPr>
        <w:t>2.项目执行</w:t>
      </w:r>
      <w:r>
        <w:rPr>
          <w:rFonts w:hint="eastAsia" w:ascii="仿宋_GB2312" w:hAnsi="仿宋_GB2312" w:eastAsia="仿宋_GB2312" w:cs="仿宋_GB2312"/>
          <w:bCs/>
          <w:sz w:val="32"/>
          <w:szCs w:val="32"/>
          <w:lang w:val="zh-CN" w:eastAsia="zh-CN" w:bidi="ar-SA"/>
        </w:rPr>
        <w:t>。</w:t>
      </w:r>
      <w:r>
        <w:rPr>
          <w:rFonts w:hint="eastAsia" w:ascii="仿宋_GB2312" w:hAnsi="仿宋_GB2312" w:eastAsia="仿宋_GB2312" w:cs="仿宋_GB2312"/>
          <w:bCs/>
          <w:sz w:val="32"/>
          <w:szCs w:val="32"/>
          <w:lang w:val="en-US" w:eastAsia="zh-CN" w:bidi="ar-SA"/>
        </w:rPr>
        <w:t>执行率100%</w:t>
      </w:r>
      <w:r>
        <w:rPr>
          <w:rFonts w:hint="eastAsia" w:ascii="仿宋_GB2312" w:hAnsi="仿宋_GB2312" w:eastAsia="仿宋_GB2312" w:cs="仿宋_GB2312"/>
          <w:bCs/>
          <w:sz w:val="32"/>
          <w:szCs w:val="32"/>
          <w:lang w:val="zh-CN" w:eastAsia="zh-CN" w:bidi="ar-SA"/>
        </w:rPr>
        <w:t>。</w:t>
      </w:r>
    </w:p>
    <w:p w14:paraId="0807DB16">
      <w:pPr>
        <w:pStyle w:val="14"/>
        <w:adjustRightInd w:val="0"/>
        <w:snapToGrid w:val="0"/>
        <w:spacing w:after="0" w:line="580" w:lineRule="exact"/>
        <w:ind w:firstLine="672" w:firstLineChars="210"/>
        <w:rPr>
          <w:rFonts w:ascii="楷体_GB2312" w:hAnsi="楷体_GB2312" w:eastAsia="楷体_GB2312" w:cs="楷体_GB2312"/>
          <w:color w:val="000000"/>
          <w:kern w:val="0"/>
          <w:szCs w:val="32"/>
          <w:shd w:val="clear" w:color="auto" w:fill="FFFFFF"/>
          <w:lang w:val="zh-CN"/>
        </w:rPr>
      </w:pPr>
      <w:r>
        <w:rPr>
          <w:rFonts w:hint="eastAsia" w:ascii="仿宋_GB2312" w:hAnsi="仿宋_GB2312" w:eastAsia="仿宋_GB2312" w:cs="仿宋_GB2312"/>
          <w:bCs/>
          <w:sz w:val="32"/>
          <w:szCs w:val="32"/>
          <w:lang w:val="en-US" w:eastAsia="zh-CN" w:bidi="ar-SA"/>
        </w:rPr>
        <w:t>3.</w:t>
      </w:r>
      <w:r>
        <w:rPr>
          <w:rFonts w:hint="eastAsia" w:ascii="仿宋_GB2312" w:hAnsi="仿宋_GB2312" w:eastAsia="仿宋_GB2312" w:cs="仿宋_GB2312"/>
          <w:bCs/>
          <w:sz w:val="32"/>
          <w:szCs w:val="32"/>
          <w:lang w:val="zh-CN" w:eastAsia="zh-CN" w:bidi="ar-SA"/>
        </w:rPr>
        <w:t>目标实现。</w:t>
      </w:r>
      <w:r>
        <w:rPr>
          <w:rFonts w:hint="eastAsia" w:ascii="仿宋_GB2312" w:hAnsi="仿宋_GB2312" w:eastAsia="仿宋_GB2312" w:cs="仿宋_GB2312"/>
          <w:bCs/>
          <w:sz w:val="32"/>
          <w:szCs w:val="32"/>
          <w:lang w:val="en-US" w:eastAsia="zh-CN" w:bidi="ar-SA"/>
        </w:rPr>
        <w:t>及时足额发放工资、及时足额缴纳养老保险、职业年金、公积金等</w:t>
      </w:r>
      <w:r>
        <w:rPr>
          <w:rFonts w:hint="eastAsia" w:ascii="仿宋_GB2312" w:hAnsi="仿宋_GB2312" w:eastAsia="仿宋_GB2312" w:cs="仿宋_GB2312"/>
          <w:bCs/>
          <w:sz w:val="32"/>
          <w:szCs w:val="32"/>
          <w:lang w:val="zh-CN" w:eastAsia="zh-CN" w:bidi="ar-SA"/>
        </w:rPr>
        <w:t>。</w:t>
      </w:r>
    </w:p>
    <w:p w14:paraId="041619C1">
      <w:pPr>
        <w:widowControl/>
        <w:adjustRightInd w:val="0"/>
        <w:snapToGrid w:val="0"/>
        <w:spacing w:line="580" w:lineRule="exact"/>
        <w:ind w:firstLine="643" w:firstLineChars="200"/>
        <w:contextualSpacing/>
        <w:rPr>
          <w:rFonts w:hint="eastAsia" w:ascii="仿宋_GB2312" w:hAnsi="仿宋_GB2312" w:eastAsia="仿宋_GB2312" w:cs="仿宋_GB2312"/>
          <w:bCs/>
          <w:sz w:val="32"/>
          <w:szCs w:val="32"/>
          <w:lang w:val="en-US" w:eastAsia="zh-CN" w:bidi="ar-SA"/>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）重点领域绩效分析。</w:t>
      </w:r>
      <w:r>
        <w:rPr>
          <w:rFonts w:hint="eastAsia" w:ascii="仿宋_GB2312" w:hAnsi="仿宋_GB2312" w:eastAsia="仿宋_GB2312" w:cs="仿宋_GB2312"/>
          <w:bCs/>
          <w:sz w:val="32"/>
          <w:szCs w:val="32"/>
          <w:lang w:val="en-US" w:eastAsia="zh-CN" w:bidi="ar-SA"/>
        </w:rPr>
        <w:t>无</w:t>
      </w:r>
    </w:p>
    <w:p w14:paraId="389509CF">
      <w:pPr>
        <w:widowControl/>
        <w:adjustRightInd w:val="0"/>
        <w:snapToGrid w:val="0"/>
        <w:spacing w:line="580" w:lineRule="exact"/>
        <w:ind w:firstLine="643" w:firstLineChars="200"/>
        <w:contextualSpacing/>
        <w:rPr>
          <w:rFonts w:hint="eastAsia" w:ascii="仿宋_GB2312" w:hAnsi="仿宋_GB2312" w:eastAsia="仿宋_GB2312" w:cs="仿宋_GB2312"/>
          <w:bCs/>
          <w:sz w:val="32"/>
          <w:szCs w:val="32"/>
          <w:lang w:val="en-US" w:eastAsia="zh-CN" w:bidi="ar-SA"/>
        </w:rPr>
      </w:pPr>
      <w:r>
        <w:rPr>
          <w:rFonts w:eastAsia="楷体_GB2312"/>
          <w:b/>
          <w:bCs/>
          <w:color w:val="000000"/>
          <w:kern w:val="0"/>
          <w:sz w:val="32"/>
          <w:szCs w:val="32"/>
          <w:shd w:val="clear" w:color="auto" w:fill="FFFFFF"/>
          <w:lang w:val="zh-CN"/>
        </w:rPr>
        <w:t>（四）绩效结果应用情况</w:t>
      </w:r>
      <w:r>
        <w:rPr>
          <w:rFonts w:hint="eastAsia" w:eastAsia="楷体_GB2312"/>
          <w:b/>
          <w:bCs/>
          <w:color w:val="000000"/>
          <w:kern w:val="0"/>
          <w:sz w:val="32"/>
          <w:szCs w:val="32"/>
          <w:shd w:val="clear" w:color="auto" w:fill="FFFFFF"/>
          <w:lang w:val="zh-CN"/>
        </w:rPr>
        <w:t>。</w:t>
      </w:r>
      <w:r>
        <w:rPr>
          <w:rFonts w:hint="eastAsia" w:ascii="仿宋_GB2312" w:hAnsi="仿宋_GB2312" w:eastAsia="仿宋_GB2312" w:cs="仿宋_GB2312"/>
          <w:bCs/>
          <w:sz w:val="32"/>
          <w:szCs w:val="32"/>
          <w:lang w:val="en-US" w:eastAsia="zh-CN" w:bidi="ar-SA"/>
        </w:rPr>
        <w:t>本年度预算总额138.42万元，预算执行率为100%，整体执行情况良好。总体满意度达到100%。资金使用的合法性、合规性、规范性。</w:t>
      </w:r>
    </w:p>
    <w:p w14:paraId="254E5D2E">
      <w:pPr>
        <w:widowControl/>
        <w:adjustRightInd w:val="0"/>
        <w:snapToGrid w:val="0"/>
        <w:spacing w:line="580" w:lineRule="exact"/>
        <w:ind w:firstLine="640" w:firstLineChars="200"/>
        <w:contextualSpacing/>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四、评价结论及建议</w:t>
      </w:r>
    </w:p>
    <w:p w14:paraId="2566A3A8">
      <w:pPr>
        <w:widowControl/>
        <w:adjustRightInd w:val="0"/>
        <w:snapToGrid w:val="0"/>
        <w:spacing w:line="580" w:lineRule="exact"/>
        <w:ind w:firstLine="643" w:firstLineChars="200"/>
        <w:contextualSpacing/>
        <w:rPr>
          <w:rFonts w:hint="eastAsia" w:ascii="仿宋_GB2312" w:hAnsi="仿宋_GB2312" w:eastAsia="仿宋_GB2312" w:cs="仿宋_GB2312"/>
          <w:bCs/>
          <w:sz w:val="32"/>
          <w:szCs w:val="32"/>
          <w:lang w:val="en-US" w:eastAsia="zh-CN" w:bidi="ar-SA"/>
        </w:rPr>
      </w:pPr>
      <w:r>
        <w:rPr>
          <w:rFonts w:eastAsia="楷体_GB2312"/>
          <w:b/>
          <w:bCs/>
          <w:color w:val="000000"/>
          <w:kern w:val="0"/>
          <w:sz w:val="32"/>
          <w:szCs w:val="32"/>
          <w:shd w:val="clear" w:color="auto" w:fill="FFFFFF"/>
          <w:lang w:val="zh-CN"/>
        </w:rPr>
        <w:t>（一）评价结论。</w:t>
      </w:r>
      <w:r>
        <w:rPr>
          <w:rFonts w:hint="eastAsia" w:ascii="仿宋_GB2312" w:hAnsi="仿宋_GB2312" w:eastAsia="仿宋_GB2312" w:cs="仿宋_GB2312"/>
          <w:bCs/>
          <w:sz w:val="32"/>
          <w:szCs w:val="32"/>
          <w:lang w:val="en-US" w:eastAsia="zh-CN" w:bidi="ar-SA"/>
        </w:rPr>
        <w:t>自评得分87分。</w:t>
      </w:r>
    </w:p>
    <w:p w14:paraId="50D27CE3">
      <w:pPr>
        <w:widowControl/>
        <w:adjustRightInd w:val="0"/>
        <w:snapToGrid w:val="0"/>
        <w:spacing w:line="580" w:lineRule="exact"/>
        <w:ind w:firstLine="643" w:firstLineChars="200"/>
        <w:contextualSpacing/>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（二）存在问题。</w:t>
      </w:r>
    </w:p>
    <w:p w14:paraId="1F8A32E8">
      <w:pPr>
        <w:spacing w:line="580" w:lineRule="exact"/>
        <w:rPr>
          <w:rFonts w:hint="eastAsia" w:ascii="仿宋_GB2312" w:hAnsi="仿宋_GB2312" w:eastAsia="仿宋_GB2312" w:cs="仿宋_GB2312"/>
          <w:bCs/>
          <w:sz w:val="32"/>
          <w:szCs w:val="32"/>
          <w:lang w:val="en-US" w:eastAsia="zh-CN" w:bidi="ar-SA"/>
        </w:rPr>
      </w:pPr>
      <w:r>
        <w:rPr>
          <w:rFonts w:hint="eastAsia"/>
        </w:rPr>
        <w:t xml:space="preserve">   </w:t>
      </w:r>
      <w:r>
        <w:rPr>
          <w:rFonts w:hint="eastAsia" w:ascii="仿宋_GB2312" w:hAnsi="仿宋_GB2312" w:eastAsia="仿宋_GB2312" w:cs="仿宋_GB2312"/>
          <w:bCs/>
          <w:sz w:val="32"/>
          <w:szCs w:val="32"/>
          <w:lang w:val="en-US" w:eastAsia="zh-CN" w:bidi="ar-SA"/>
        </w:rPr>
        <w:t xml:space="preserve"> 个别项目进展缓慢，影响绩效目标实现。改进措施：加强项目管理，优化资源配置，制定详细的时间表和支付计划。</w:t>
      </w:r>
    </w:p>
    <w:p w14:paraId="727A23E9">
      <w:pPr>
        <w:spacing w:line="580" w:lineRule="exact"/>
        <w:ind w:firstLine="643" w:firstLineChars="200"/>
        <w:rPr>
          <w:rFonts w:hint="eastAsia" w:ascii="仿宋_GB2312" w:hAnsi="仿宋_GB2312" w:eastAsia="仿宋_GB2312" w:cs="仿宋_GB2312"/>
          <w:bCs/>
          <w:sz w:val="32"/>
          <w:szCs w:val="32"/>
          <w:lang w:val="en-US" w:eastAsia="zh-CN" w:bidi="ar-SA"/>
        </w:rPr>
      </w:pPr>
      <w:r>
        <w:rPr>
          <w:rFonts w:eastAsia="楷体_GB2312"/>
          <w:b/>
          <w:bCs/>
          <w:color w:val="000000"/>
          <w:kern w:val="0"/>
          <w:sz w:val="32"/>
          <w:szCs w:val="32"/>
          <w:shd w:val="clear" w:color="auto" w:fill="FFFFFF"/>
          <w:lang w:val="zh-CN"/>
        </w:rPr>
        <w:t>（三）改进建议。</w:t>
      </w:r>
      <w:r>
        <w:rPr>
          <w:rFonts w:hint="eastAsia" w:ascii="仿宋_GB2312" w:hAnsi="仿宋_GB2312" w:eastAsia="仿宋_GB2312" w:cs="仿宋_GB2312"/>
          <w:bCs/>
          <w:sz w:val="32"/>
          <w:szCs w:val="32"/>
          <w:lang w:val="en-US" w:eastAsia="zh-CN" w:bidi="ar-SA"/>
        </w:rPr>
        <w:t>综上所述，本部门在过去一年的预算绩效管理工作中取得了一定的成绩，但也存在一些不足。未来，我们将继续深化预算绩效改革，加强预算执行的监督与管理，提高资金使用效益，确保各项预算目标顺利实现。同时，我们将积极借鉴其他单位先进经验，不断完善预算绩效评价体系，推动红十会工作再上新台阶。</w:t>
      </w:r>
    </w:p>
    <w:p w14:paraId="2ED8AFD5">
      <w:pPr>
        <w:spacing w:line="580" w:lineRule="exact"/>
        <w:rPr>
          <w:rFonts w:hint="eastAsia" w:ascii="仿宋_GB2312" w:hAnsi="仿宋_GB2312" w:eastAsia="仿宋_GB2312" w:cs="仿宋_GB2312"/>
          <w:bCs/>
          <w:sz w:val="32"/>
          <w:szCs w:val="32"/>
          <w:lang w:val="zh-CN" w:eastAsia="zh-CN" w:bidi="ar-SA"/>
        </w:rPr>
      </w:pPr>
    </w:p>
    <w:p w14:paraId="704F17E0">
      <w:pPr>
        <w:pStyle w:val="3"/>
        <w:pageBreakBefore w:val="0"/>
        <w:widowControl w:val="0"/>
        <w:spacing w:before="0" w:after="0" w:line="580" w:lineRule="exact"/>
        <w:ind w:left="0" w:right="0" w:firstLine="883"/>
        <w:jc w:val="both"/>
        <w:rPr>
          <w:rFonts w:ascii="黑体" w:hAnsi="黑体" w:eastAsia="黑体"/>
        </w:rPr>
      </w:pPr>
      <w:r>
        <w:rPr>
          <w:rFonts w:hint="eastAsia" w:ascii="黑体" w:hAnsi="黑体" w:eastAsia="黑体"/>
        </w:rPr>
        <w:t>第五部分 附表</w:t>
      </w:r>
    </w:p>
    <w:p w14:paraId="0C000EEA">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一、收入支出决算总表</w:t>
      </w:r>
    </w:p>
    <w:p w14:paraId="6C256FCA">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二、收入决算表</w:t>
      </w:r>
    </w:p>
    <w:p w14:paraId="7A711A62">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三、支出决算表</w:t>
      </w:r>
    </w:p>
    <w:p w14:paraId="025E7CAE">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四、财政拨款收入支出决算总表</w:t>
      </w:r>
    </w:p>
    <w:p w14:paraId="2F525DA5">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五、财政拨款支出决算明细表</w:t>
      </w:r>
    </w:p>
    <w:p w14:paraId="5962E4EF">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六、一般公共预算财政拨款支出决算表</w:t>
      </w:r>
    </w:p>
    <w:p w14:paraId="202BDBB1">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七、一般公共预算财政拨款支出决算明细表</w:t>
      </w:r>
    </w:p>
    <w:p w14:paraId="3DA44157">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八、一般公共预算财政拨款基本支出决算表</w:t>
      </w:r>
    </w:p>
    <w:p w14:paraId="46CB9B65">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九、一般公共预算财政拨款项目支出决算表</w:t>
      </w:r>
    </w:p>
    <w:p w14:paraId="004A6024">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十、政府性基金预算财政拨款收入支出决算表</w:t>
      </w:r>
    </w:p>
    <w:p w14:paraId="13CC7BF1">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十一、国有资本经营预算财政拨款收入支出决算表</w:t>
      </w:r>
    </w:p>
    <w:p w14:paraId="4D3C4F9B">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十二、国有资本经营预算财政拨款支出决算表</w:t>
      </w:r>
    </w:p>
    <w:p w14:paraId="5E5BD50E">
      <w:pPr>
        <w:pageBreakBefore w:val="0"/>
        <w:widowControl w:val="0"/>
        <w:spacing w:line="580" w:lineRule="exact"/>
        <w:ind w:left="0" w:right="0" w:firstLine="640"/>
        <w:jc w:val="both"/>
        <w:rPr>
          <w:rFonts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orient="landscape"/>
      <w:pgMar w:top="1440" w:right="1800" w:bottom="1440" w:left="1800" w:header="851" w:footer="992" w:gutter="0"/>
      <w:pgNumType w:start="1"/>
      <w:cols w:space="425"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B0604020202020204"/>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Vijaya"/>
    <w:panose1 w:val="020B0604020202020204"/>
    <w:charset w:val="00"/>
    <w:family w:val="auto"/>
    <w:pitch w:val="default"/>
    <w:sig w:usb0="00000000" w:usb1="00000000" w:usb2="00000000" w:usb3="00000000" w:csb0="00000000" w:csb1="00000000"/>
  </w:font>
  <w:font w:name="Vijaya">
    <w:panose1 w:val="020B0604020202020204"/>
    <w:charset w:val="00"/>
    <w:family w:val="auto"/>
    <w:pitch w:val="default"/>
    <w:sig w:usb0="00100003"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altName w:val="微软雅黑"/>
    <w:panose1 w:val="00000000000000000000"/>
    <w:charset w:val="86"/>
    <w:family w:val="auto"/>
    <w:pitch w:val="default"/>
    <w:sig w:usb0="00000000" w:usb1="00000000" w:usb2="00000000" w:usb3="00000000" w:csb0="00040000" w:csb1="00000000"/>
  </w:font>
  <w:font w:name="方正楷体_GBK">
    <w:altName w:val="微软雅黑"/>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274B77B6">
        <w:pPr>
          <w:pStyle w:val="21"/>
          <w:jc w:val="center"/>
        </w:pPr>
        <w:r>
          <w:fldChar w:fldCharType="begin"/>
        </w:r>
        <w:r>
          <w:instrText xml:space="preserve">PAGE   \* MERGEFORMAT</w:instrText>
        </w:r>
        <w:r>
          <w:fldChar w:fldCharType="separate"/>
        </w:r>
        <w:r>
          <w:rPr>
            <w:lang w:val="zh-CN"/>
          </w:rPr>
          <w:t>23</w:t>
        </w:r>
        <w:r>
          <w:fldChar w:fldCharType="end"/>
        </w:r>
      </w:p>
    </w:sdtContent>
  </w:sdt>
  <w:p w14:paraId="447F0E91">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F4A2D">
    <w:pPr>
      <w:pStyle w:val="22"/>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suff w:val="space"/>
      <w:lvlText w:val="%1."/>
      <w:lvlJc w:val="left"/>
      <w:pPr>
        <w:tabs>
          <w:tab w:val="left" w:pos="312"/>
        </w:tabs>
      </w:p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1">
    <w:nsid w:val="0053208E"/>
    <w:multiLevelType w:val="multilevel"/>
    <w:tmpl w:val="0053208E"/>
    <w:lvl w:ilvl="0" w:tentative="0">
      <w:start w:val="1"/>
      <w:numFmt w:val="japaneseCounting"/>
      <w:suff w:val="space"/>
      <w:lvlText w:val="%1、"/>
      <w:lvlJc w:val="left"/>
      <w:pPr>
        <w:ind w:left="1360" w:hanging="720"/>
      </w:pPr>
      <w:rPr>
        <w:rFonts w:hint="default"/>
        <w:b w:val="0"/>
      </w:rPr>
    </w:lvl>
    <w:lvl w:ilvl="1" w:tentative="0">
      <w:start w:val="1"/>
      <w:numFmt w:val="lowerLetter"/>
      <w:suff w:val="space"/>
      <w:lvlText w:val="%2)"/>
      <w:lvlJc w:val="left"/>
      <w:pPr>
        <w:ind w:left="1480" w:hanging="420"/>
      </w:pPr>
    </w:lvl>
    <w:lvl w:ilvl="2" w:tentative="0">
      <w:start w:val="1"/>
      <w:numFmt w:val="lowerRoman"/>
      <w:suff w:val="space"/>
      <w:lvlText w:val="%3."/>
      <w:lvlJc w:val="right"/>
      <w:pPr>
        <w:ind w:left="1900" w:hanging="420"/>
      </w:pPr>
    </w:lvl>
    <w:lvl w:ilvl="3" w:tentative="0">
      <w:start w:val="1"/>
      <w:numFmt w:val="decimal"/>
      <w:suff w:val="space"/>
      <w:lvlText w:val="%4."/>
      <w:lvlJc w:val="left"/>
      <w:pPr>
        <w:ind w:left="2320" w:hanging="420"/>
      </w:pPr>
    </w:lvl>
    <w:lvl w:ilvl="4" w:tentative="0">
      <w:start w:val="1"/>
      <w:numFmt w:val="lowerLetter"/>
      <w:suff w:val="space"/>
      <w:lvlText w:val="%5)"/>
      <w:lvlJc w:val="left"/>
      <w:pPr>
        <w:ind w:left="2740" w:hanging="420"/>
      </w:pPr>
    </w:lvl>
    <w:lvl w:ilvl="5" w:tentative="0">
      <w:start w:val="1"/>
      <w:numFmt w:val="lowerRoman"/>
      <w:suff w:val="space"/>
      <w:lvlText w:val="%6."/>
      <w:lvlJc w:val="right"/>
      <w:pPr>
        <w:ind w:left="3160" w:hanging="420"/>
      </w:pPr>
    </w:lvl>
    <w:lvl w:ilvl="6" w:tentative="0">
      <w:start w:val="1"/>
      <w:numFmt w:val="decimal"/>
      <w:suff w:val="space"/>
      <w:lvlText w:val="%7."/>
      <w:lvlJc w:val="left"/>
      <w:pPr>
        <w:ind w:left="3580" w:hanging="420"/>
      </w:pPr>
    </w:lvl>
    <w:lvl w:ilvl="7" w:tentative="0">
      <w:start w:val="1"/>
      <w:numFmt w:val="lowerLetter"/>
      <w:suff w:val="space"/>
      <w:lvlText w:val="%8)"/>
      <w:lvlJc w:val="left"/>
      <w:pPr>
        <w:ind w:left="4000" w:hanging="420"/>
      </w:pPr>
    </w:lvl>
    <w:lvl w:ilvl="8" w:tentative="0">
      <w:start w:val="1"/>
      <w:numFmt w:val="lowerRoman"/>
      <w:suff w:val="space"/>
      <w:lvlText w:val="%9."/>
      <w:lvlJc w:val="right"/>
      <w:pPr>
        <w:ind w:left="4420" w:hanging="420"/>
      </w:pPr>
    </w:lvl>
  </w:abstractNum>
  <w:abstractNum w:abstractNumId="2">
    <w:nsid w:val="59ADCABA"/>
    <w:multiLevelType w:val="multilevel"/>
    <w:tmpl w:val="59ADCABA"/>
    <w:lvl w:ilvl="0" w:tentative="0">
      <w:start w:val="9"/>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documentProtection w:enforcement="0"/>
  <w:defaultTabStop w:val="420"/>
  <w:characterSpacingControl w:val="doNotCompress"/>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8146E"/>
    <w:rsid w:val="357E5085"/>
    <w:rsid w:val="729B30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link w:val="194"/>
    <w:qFormat/>
    <w:uiPriority w:val="9"/>
    <w:pPr>
      <w:keepNext/>
      <w:keepLines/>
      <w:spacing w:before="340" w:after="330" w:line="578" w:lineRule="auto"/>
      <w:outlineLvl w:val="0"/>
    </w:pPr>
    <w:rPr>
      <w:b/>
      <w:bCs/>
      <w:sz w:val="44"/>
      <w:szCs w:val="44"/>
    </w:rPr>
  </w:style>
  <w:style w:type="paragraph" w:styleId="4">
    <w:name w:val="heading 2"/>
    <w:basedOn w:val="1"/>
    <w:next w:val="1"/>
    <w:link w:val="19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98"/>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44"/>
    <w:unhideWhenUsed/>
    <w:qFormat/>
    <w:uiPriority w:val="9"/>
    <w:pPr>
      <w:keepNext/>
      <w:keepLines/>
      <w:spacing w:before="320" w:after="200"/>
      <w:outlineLvl w:val="3"/>
    </w:pPr>
    <w:rPr>
      <w:rFonts w:ascii="等线" w:hAnsi="等线" w:eastAsia="等线" w:cs="等线"/>
      <w:b/>
      <w:bCs/>
      <w:sz w:val="26"/>
      <w:szCs w:val="26"/>
    </w:rPr>
  </w:style>
  <w:style w:type="paragraph" w:styleId="7">
    <w:name w:val="heading 5"/>
    <w:basedOn w:val="1"/>
    <w:next w:val="1"/>
    <w:link w:val="45"/>
    <w:unhideWhenUsed/>
    <w:qFormat/>
    <w:uiPriority w:val="9"/>
    <w:pPr>
      <w:keepNext/>
      <w:keepLines/>
      <w:spacing w:before="320" w:after="200"/>
      <w:outlineLvl w:val="4"/>
    </w:pPr>
    <w:rPr>
      <w:rFonts w:ascii="等线" w:hAnsi="等线" w:eastAsia="等线" w:cs="等线"/>
      <w:b/>
      <w:bCs/>
      <w:sz w:val="24"/>
      <w:szCs w:val="24"/>
    </w:rPr>
  </w:style>
  <w:style w:type="paragraph" w:styleId="8">
    <w:name w:val="heading 6"/>
    <w:basedOn w:val="1"/>
    <w:next w:val="1"/>
    <w:link w:val="46"/>
    <w:unhideWhenUsed/>
    <w:qFormat/>
    <w:uiPriority w:val="9"/>
    <w:pPr>
      <w:keepNext/>
      <w:keepLines/>
      <w:spacing w:before="320" w:after="200"/>
      <w:outlineLvl w:val="5"/>
    </w:pPr>
    <w:rPr>
      <w:rFonts w:ascii="等线" w:hAnsi="等线" w:eastAsia="等线" w:cs="等线"/>
      <w:b/>
      <w:bCs/>
      <w:sz w:val="22"/>
      <w:szCs w:val="22"/>
    </w:rPr>
  </w:style>
  <w:style w:type="paragraph" w:styleId="9">
    <w:name w:val="heading 7"/>
    <w:basedOn w:val="1"/>
    <w:next w:val="1"/>
    <w:link w:val="47"/>
    <w:unhideWhenUsed/>
    <w:qFormat/>
    <w:uiPriority w:val="9"/>
    <w:pPr>
      <w:keepNext/>
      <w:keepLines/>
      <w:spacing w:before="320" w:after="200"/>
      <w:outlineLvl w:val="6"/>
    </w:pPr>
    <w:rPr>
      <w:rFonts w:ascii="等线" w:hAnsi="等线" w:eastAsia="等线" w:cs="等线"/>
      <w:b/>
      <w:bCs/>
      <w:i/>
      <w:iCs/>
      <w:sz w:val="22"/>
      <w:szCs w:val="22"/>
    </w:rPr>
  </w:style>
  <w:style w:type="paragraph" w:styleId="10">
    <w:name w:val="heading 8"/>
    <w:basedOn w:val="1"/>
    <w:next w:val="1"/>
    <w:link w:val="48"/>
    <w:unhideWhenUsed/>
    <w:qFormat/>
    <w:uiPriority w:val="9"/>
    <w:pPr>
      <w:keepNext/>
      <w:keepLines/>
      <w:spacing w:before="320" w:after="200"/>
      <w:outlineLvl w:val="7"/>
    </w:pPr>
    <w:rPr>
      <w:rFonts w:ascii="等线" w:hAnsi="等线" w:eastAsia="等线" w:cs="等线"/>
      <w:i/>
      <w:iCs/>
      <w:sz w:val="22"/>
      <w:szCs w:val="22"/>
    </w:rPr>
  </w:style>
  <w:style w:type="paragraph" w:styleId="11">
    <w:name w:val="heading 9"/>
    <w:basedOn w:val="1"/>
    <w:next w:val="1"/>
    <w:link w:val="49"/>
    <w:unhideWhenUsed/>
    <w:qFormat/>
    <w:uiPriority w:val="9"/>
    <w:pPr>
      <w:keepNext/>
      <w:keepLines/>
      <w:spacing w:before="320" w:after="200"/>
      <w:outlineLvl w:val="8"/>
    </w:pPr>
    <w:rPr>
      <w:rFonts w:ascii="等线" w:hAnsi="等线" w:eastAsia="等线" w:cs="等线"/>
      <w:i/>
      <w:iCs/>
      <w:sz w:val="21"/>
      <w:szCs w:val="21"/>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2">
    <w:name w:val="标题 5（有编号）（绿盟科技）"/>
    <w:next w:val="1"/>
    <w:qFormat/>
    <w:uiPriority w:val="99"/>
    <w:pPr>
      <w:keepNext/>
      <w:keepLines/>
      <w:widowControl w:val="0"/>
      <w:spacing w:before="280" w:after="156" w:line="377" w:lineRule="auto"/>
      <w:outlineLvl w:val="4"/>
    </w:pPr>
    <w:rPr>
      <w:rFonts w:hint="default" w:ascii="Arial" w:hAnsi="Arial" w:eastAsia="黑体" w:cs="Times New Roman"/>
      <w:b/>
      <w:sz w:val="24"/>
      <w:szCs w:val="28"/>
      <w:lang w:val="en-US" w:eastAsia="zh-CN" w:bidi="ar-SA"/>
    </w:rPr>
  </w:style>
  <w:style w:type="paragraph" w:styleId="12">
    <w:name w:val="toc 7"/>
    <w:basedOn w:val="1"/>
    <w:next w:val="1"/>
    <w:unhideWhenUsed/>
    <w:qFormat/>
    <w:uiPriority w:val="39"/>
    <w:pPr>
      <w:spacing w:after="57"/>
      <w:ind w:left="1701" w:right="0" w:firstLine="0"/>
    </w:pPr>
  </w:style>
  <w:style w:type="paragraph" w:styleId="13">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4">
    <w:name w:val="Body Text"/>
    <w:basedOn w:val="1"/>
    <w:next w:val="1"/>
    <w:link w:val="191"/>
    <w:qFormat/>
    <w:uiPriority w:val="99"/>
    <w:rPr>
      <w:rFonts w:ascii="仿宋_GB2312" w:eastAsia="仿宋_GB2312"/>
      <w:sz w:val="30"/>
    </w:rPr>
  </w:style>
  <w:style w:type="paragraph" w:styleId="15">
    <w:name w:val="Body Text Indent"/>
    <w:basedOn w:val="1"/>
    <w:qFormat/>
    <w:uiPriority w:val="0"/>
    <w:pPr>
      <w:spacing w:after="120"/>
      <w:ind w:left="200"/>
    </w:pPr>
    <w:rPr>
      <w:rFonts w:ascii="仿宋_GB2312"/>
      <w:szCs w:val="32"/>
    </w:rPr>
  </w:style>
  <w:style w:type="paragraph" w:styleId="16">
    <w:name w:val="toc 5"/>
    <w:basedOn w:val="1"/>
    <w:next w:val="1"/>
    <w:unhideWhenUsed/>
    <w:qFormat/>
    <w:uiPriority w:val="39"/>
    <w:pPr>
      <w:spacing w:after="57"/>
      <w:ind w:left="1134" w:right="0" w:firstLine="0"/>
    </w:pPr>
  </w:style>
  <w:style w:type="paragraph" w:styleId="17">
    <w:name w:val="toc 3"/>
    <w:basedOn w:val="1"/>
    <w:next w:val="1"/>
    <w:unhideWhenUsed/>
    <w:qFormat/>
    <w:uiPriority w:val="39"/>
    <w:pPr>
      <w:tabs>
        <w:tab w:val="right" w:leader="dot" w:pos="8296"/>
      </w:tabs>
      <w:ind w:left="840"/>
    </w:pPr>
  </w:style>
  <w:style w:type="paragraph" w:styleId="18">
    <w:name w:val="toc 8"/>
    <w:basedOn w:val="1"/>
    <w:next w:val="1"/>
    <w:unhideWhenUsed/>
    <w:qFormat/>
    <w:uiPriority w:val="39"/>
    <w:pPr>
      <w:spacing w:after="57"/>
      <w:ind w:left="1984" w:right="0" w:firstLine="0"/>
    </w:pPr>
  </w:style>
  <w:style w:type="paragraph" w:styleId="19">
    <w:name w:val="endnote text"/>
    <w:basedOn w:val="1"/>
    <w:link w:val="184"/>
    <w:semiHidden/>
    <w:unhideWhenUsed/>
    <w:qFormat/>
    <w:uiPriority w:val="99"/>
    <w:pPr>
      <w:spacing w:after="0" w:line="240" w:lineRule="auto"/>
    </w:pPr>
    <w:rPr>
      <w:sz w:val="20"/>
    </w:rPr>
  </w:style>
  <w:style w:type="paragraph" w:styleId="20">
    <w:name w:val="Balloon Text"/>
    <w:basedOn w:val="1"/>
    <w:link w:val="197"/>
    <w:semiHidden/>
    <w:unhideWhenUsed/>
    <w:qFormat/>
    <w:uiPriority w:val="99"/>
    <w:rPr>
      <w:sz w:val="18"/>
      <w:szCs w:val="18"/>
    </w:rPr>
  </w:style>
  <w:style w:type="paragraph" w:styleId="21">
    <w:name w:val="footer"/>
    <w:basedOn w:val="1"/>
    <w:link w:val="189"/>
    <w:qFormat/>
    <w:uiPriority w:val="99"/>
    <w:pPr>
      <w:tabs>
        <w:tab w:val="center" w:pos="4153"/>
        <w:tab w:val="right" w:pos="8306"/>
      </w:tabs>
      <w:jc w:val="left"/>
    </w:pPr>
    <w:rPr>
      <w:rFonts w:ascii="Calibri" w:hAnsi="Calibri"/>
      <w:sz w:val="18"/>
      <w:szCs w:val="18"/>
    </w:rPr>
  </w:style>
  <w:style w:type="paragraph" w:styleId="22">
    <w:name w:val="header"/>
    <w:basedOn w:val="1"/>
    <w:link w:val="187"/>
    <w:semiHidden/>
    <w:qFormat/>
    <w:uiPriority w:val="99"/>
    <w:pPr>
      <w:pBdr>
        <w:bottom w:val="single" w:color="000000" w:sz="6" w:space="1"/>
      </w:pBdr>
      <w:tabs>
        <w:tab w:val="center" w:pos="4153"/>
        <w:tab w:val="right" w:pos="8306"/>
      </w:tabs>
      <w:jc w:val="center"/>
    </w:pPr>
    <w:rPr>
      <w:rFonts w:ascii="Calibri" w:hAnsi="Calibri"/>
      <w:sz w:val="18"/>
      <w:szCs w:val="18"/>
    </w:rPr>
  </w:style>
  <w:style w:type="paragraph" w:styleId="2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24">
    <w:name w:val="toc 4"/>
    <w:basedOn w:val="1"/>
    <w:next w:val="1"/>
    <w:unhideWhenUsed/>
    <w:qFormat/>
    <w:uiPriority w:val="39"/>
    <w:pPr>
      <w:spacing w:after="57"/>
      <w:ind w:left="850" w:right="0" w:firstLine="0"/>
    </w:pPr>
  </w:style>
  <w:style w:type="paragraph" w:styleId="25">
    <w:name w:val="Subtitle"/>
    <w:basedOn w:val="1"/>
    <w:next w:val="1"/>
    <w:link w:val="52"/>
    <w:qFormat/>
    <w:uiPriority w:val="11"/>
    <w:pPr>
      <w:spacing w:before="200" w:after="200"/>
    </w:pPr>
    <w:rPr>
      <w:sz w:val="24"/>
      <w:szCs w:val="24"/>
    </w:rPr>
  </w:style>
  <w:style w:type="paragraph" w:styleId="26">
    <w:name w:val="footnote text"/>
    <w:basedOn w:val="1"/>
    <w:link w:val="183"/>
    <w:semiHidden/>
    <w:unhideWhenUsed/>
    <w:qFormat/>
    <w:uiPriority w:val="99"/>
    <w:pPr>
      <w:spacing w:after="40" w:line="240" w:lineRule="auto"/>
    </w:pPr>
    <w:rPr>
      <w:sz w:val="18"/>
    </w:rPr>
  </w:style>
  <w:style w:type="paragraph" w:styleId="27">
    <w:name w:val="toc 6"/>
    <w:basedOn w:val="1"/>
    <w:next w:val="1"/>
    <w:unhideWhenUsed/>
    <w:qFormat/>
    <w:uiPriority w:val="39"/>
    <w:pPr>
      <w:spacing w:after="57"/>
      <w:ind w:left="1417" w:right="0" w:firstLine="0"/>
    </w:pPr>
  </w:style>
  <w:style w:type="paragraph" w:styleId="28">
    <w:name w:val="table of figures"/>
    <w:basedOn w:val="1"/>
    <w:next w:val="1"/>
    <w:unhideWhenUsed/>
    <w:qFormat/>
    <w:uiPriority w:val="99"/>
    <w:pPr>
      <w:spacing w:after="0" w:afterAutospacing="0"/>
    </w:pPr>
  </w:style>
  <w:style w:type="paragraph" w:styleId="29">
    <w:name w:val="toc 2"/>
    <w:basedOn w:val="1"/>
    <w:next w:val="1"/>
    <w:unhideWhenUsed/>
    <w:qFormat/>
    <w:uiPriority w:val="39"/>
    <w:pPr>
      <w:tabs>
        <w:tab w:val="right" w:leader="dot" w:pos="8296"/>
      </w:tabs>
      <w:ind w:left="420"/>
    </w:pPr>
  </w:style>
  <w:style w:type="paragraph" w:styleId="30">
    <w:name w:val="toc 9"/>
    <w:basedOn w:val="1"/>
    <w:next w:val="1"/>
    <w:unhideWhenUsed/>
    <w:qFormat/>
    <w:uiPriority w:val="39"/>
    <w:pPr>
      <w:spacing w:after="57"/>
      <w:ind w:left="2268" w:right="0" w:firstLine="0"/>
    </w:pPr>
  </w:style>
  <w:style w:type="paragraph" w:styleId="31">
    <w:name w:val="Normal (Web)"/>
    <w:basedOn w:val="1"/>
    <w:qFormat/>
    <w:uiPriority w:val="0"/>
    <w:pPr>
      <w:spacing w:before="0" w:beforeAutospacing="1" w:after="0" w:afterAutospacing="1"/>
      <w:ind w:left="0" w:right="0"/>
      <w:jc w:val="left"/>
    </w:pPr>
    <w:rPr>
      <w:rFonts w:ascii="宋体" w:eastAsia="宋体" w:cs="宋体"/>
      <w:sz w:val="24"/>
      <w:szCs w:val="24"/>
      <w:lang w:val="en-US" w:eastAsia="zh-CN"/>
    </w:rPr>
  </w:style>
  <w:style w:type="paragraph" w:styleId="32">
    <w:name w:val="Title"/>
    <w:basedOn w:val="1"/>
    <w:next w:val="1"/>
    <w:link w:val="51"/>
    <w:qFormat/>
    <w:uiPriority w:val="10"/>
    <w:pPr>
      <w:spacing w:before="300" w:after="200"/>
      <w:contextualSpacing/>
    </w:pPr>
    <w:rPr>
      <w:sz w:val="48"/>
      <w:szCs w:val="48"/>
    </w:rPr>
  </w:style>
  <w:style w:type="paragraph" w:styleId="33">
    <w:name w:val="Body Text First Indent 2"/>
    <w:basedOn w:val="15"/>
    <w:unhideWhenUsed/>
    <w:qFormat/>
    <w:uiPriority w:val="99"/>
    <w:pPr>
      <w:ind w:firstLine="420"/>
    </w:pPr>
  </w:style>
  <w:style w:type="table" w:styleId="35">
    <w:name w:val="Table Grid"/>
    <w:basedOn w:val="34"/>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7">
    <w:name w:val="Strong"/>
    <w:basedOn w:val="36"/>
    <w:qFormat/>
    <w:uiPriority w:val="99"/>
    <w:rPr>
      <w:b/>
    </w:rPr>
  </w:style>
  <w:style w:type="character" w:styleId="38">
    <w:name w:val="endnote reference"/>
    <w:basedOn w:val="36"/>
    <w:semiHidden/>
    <w:unhideWhenUsed/>
    <w:qFormat/>
    <w:uiPriority w:val="99"/>
    <w:rPr>
      <w:vertAlign w:val="superscript"/>
    </w:rPr>
  </w:style>
  <w:style w:type="character" w:styleId="39">
    <w:name w:val="Hyperlink"/>
    <w:basedOn w:val="36"/>
    <w:unhideWhenUsed/>
    <w:qFormat/>
    <w:uiPriority w:val="99"/>
    <w:rPr>
      <w:color w:val="0000FF" w:themeColor="hyperlink"/>
      <w:u w:val="single"/>
      <w14:textFill>
        <w14:solidFill>
          <w14:schemeClr w14:val="hlink"/>
        </w14:solidFill>
      </w14:textFill>
    </w:rPr>
  </w:style>
  <w:style w:type="character" w:styleId="40">
    <w:name w:val="footnote reference"/>
    <w:basedOn w:val="36"/>
    <w:unhideWhenUsed/>
    <w:qFormat/>
    <w:uiPriority w:val="99"/>
    <w:rPr>
      <w:vertAlign w:val="superscript"/>
    </w:rPr>
  </w:style>
  <w:style w:type="character" w:customStyle="1" w:styleId="41">
    <w:name w:val="Heading 1 Char"/>
    <w:basedOn w:val="36"/>
    <w:qFormat/>
    <w:uiPriority w:val="9"/>
    <w:rPr>
      <w:rFonts w:ascii="等线" w:hAnsi="等线" w:eastAsia="等线" w:cs="等线"/>
      <w:sz w:val="40"/>
      <w:szCs w:val="40"/>
    </w:rPr>
  </w:style>
  <w:style w:type="character" w:customStyle="1" w:styleId="42">
    <w:name w:val="Heading 2 Char"/>
    <w:basedOn w:val="36"/>
    <w:qFormat/>
    <w:uiPriority w:val="9"/>
    <w:rPr>
      <w:rFonts w:ascii="等线" w:hAnsi="等线" w:eastAsia="等线" w:cs="等线"/>
      <w:sz w:val="34"/>
    </w:rPr>
  </w:style>
  <w:style w:type="character" w:customStyle="1" w:styleId="43">
    <w:name w:val="Heading 3 Char"/>
    <w:basedOn w:val="36"/>
    <w:qFormat/>
    <w:uiPriority w:val="9"/>
    <w:rPr>
      <w:rFonts w:ascii="等线" w:hAnsi="等线" w:eastAsia="等线" w:cs="等线"/>
      <w:sz w:val="30"/>
      <w:szCs w:val="30"/>
    </w:rPr>
  </w:style>
  <w:style w:type="character" w:customStyle="1" w:styleId="44">
    <w:name w:val="Heading 4 Char"/>
    <w:basedOn w:val="36"/>
    <w:link w:val="6"/>
    <w:qFormat/>
    <w:uiPriority w:val="9"/>
    <w:rPr>
      <w:rFonts w:ascii="等线" w:hAnsi="等线" w:eastAsia="等线" w:cs="等线"/>
      <w:b/>
      <w:bCs/>
      <w:sz w:val="26"/>
      <w:szCs w:val="26"/>
    </w:rPr>
  </w:style>
  <w:style w:type="character" w:customStyle="1" w:styleId="45">
    <w:name w:val="Heading 5 Char"/>
    <w:basedOn w:val="36"/>
    <w:link w:val="7"/>
    <w:qFormat/>
    <w:uiPriority w:val="9"/>
    <w:rPr>
      <w:rFonts w:ascii="等线" w:hAnsi="等线" w:eastAsia="等线" w:cs="等线"/>
      <w:b/>
      <w:bCs/>
      <w:sz w:val="24"/>
      <w:szCs w:val="24"/>
    </w:rPr>
  </w:style>
  <w:style w:type="character" w:customStyle="1" w:styleId="46">
    <w:name w:val="Heading 6 Char"/>
    <w:basedOn w:val="36"/>
    <w:link w:val="8"/>
    <w:qFormat/>
    <w:uiPriority w:val="9"/>
    <w:rPr>
      <w:rFonts w:ascii="等线" w:hAnsi="等线" w:eastAsia="等线" w:cs="等线"/>
      <w:b/>
      <w:bCs/>
      <w:sz w:val="22"/>
      <w:szCs w:val="22"/>
    </w:rPr>
  </w:style>
  <w:style w:type="character" w:customStyle="1" w:styleId="47">
    <w:name w:val="Heading 7 Char"/>
    <w:basedOn w:val="36"/>
    <w:link w:val="9"/>
    <w:qFormat/>
    <w:uiPriority w:val="9"/>
    <w:rPr>
      <w:rFonts w:ascii="等线" w:hAnsi="等线" w:eastAsia="等线" w:cs="等线"/>
      <w:b/>
      <w:bCs/>
      <w:i/>
      <w:iCs/>
      <w:sz w:val="22"/>
      <w:szCs w:val="22"/>
    </w:rPr>
  </w:style>
  <w:style w:type="character" w:customStyle="1" w:styleId="48">
    <w:name w:val="Heading 8 Char"/>
    <w:basedOn w:val="36"/>
    <w:link w:val="10"/>
    <w:qFormat/>
    <w:uiPriority w:val="9"/>
    <w:rPr>
      <w:rFonts w:ascii="等线" w:hAnsi="等线" w:eastAsia="等线" w:cs="等线"/>
      <w:i/>
      <w:iCs/>
      <w:sz w:val="22"/>
      <w:szCs w:val="22"/>
    </w:rPr>
  </w:style>
  <w:style w:type="character" w:customStyle="1" w:styleId="49">
    <w:name w:val="Heading 9 Char"/>
    <w:basedOn w:val="36"/>
    <w:link w:val="11"/>
    <w:qFormat/>
    <w:uiPriority w:val="9"/>
    <w:rPr>
      <w:rFonts w:ascii="等线" w:hAnsi="等线" w:eastAsia="等线" w:cs="等线"/>
      <w:i/>
      <w:iCs/>
      <w:sz w:val="21"/>
      <w:szCs w:val="21"/>
    </w:rPr>
  </w:style>
  <w:style w:type="paragraph" w:styleId="50">
    <w:name w:val="No Spacing"/>
    <w:qFormat/>
    <w:uiPriority w:val="1"/>
    <w:pPr>
      <w:spacing w:before="0" w:after="0" w:line="240" w:lineRule="auto"/>
    </w:pPr>
    <w:rPr>
      <w:rFonts w:hint="default" w:asciiTheme="minorHAnsi" w:hAnsiTheme="minorHAnsi" w:eastAsiaTheme="minorEastAsia" w:cstheme="minorBidi"/>
    </w:rPr>
  </w:style>
  <w:style w:type="character" w:customStyle="1" w:styleId="51">
    <w:name w:val="Title Char"/>
    <w:basedOn w:val="36"/>
    <w:link w:val="32"/>
    <w:qFormat/>
    <w:uiPriority w:val="10"/>
    <w:rPr>
      <w:sz w:val="48"/>
      <w:szCs w:val="48"/>
    </w:rPr>
  </w:style>
  <w:style w:type="character" w:customStyle="1" w:styleId="52">
    <w:name w:val="Subtitle Char"/>
    <w:basedOn w:val="36"/>
    <w:link w:val="25"/>
    <w:qFormat/>
    <w:uiPriority w:val="11"/>
    <w:rPr>
      <w:sz w:val="24"/>
      <w:szCs w:val="24"/>
    </w:rPr>
  </w:style>
  <w:style w:type="paragraph" w:styleId="53">
    <w:name w:val="Quote"/>
    <w:basedOn w:val="1"/>
    <w:next w:val="1"/>
    <w:link w:val="54"/>
    <w:qFormat/>
    <w:uiPriority w:val="29"/>
    <w:pPr>
      <w:ind w:left="720" w:right="720"/>
    </w:pPr>
    <w:rPr>
      <w:i/>
    </w:rPr>
  </w:style>
  <w:style w:type="character" w:customStyle="1" w:styleId="54">
    <w:name w:val="Quote Char"/>
    <w:link w:val="53"/>
    <w:qFormat/>
    <w:uiPriority w:val="29"/>
    <w:rPr>
      <w:i/>
    </w:rPr>
  </w:style>
  <w:style w:type="paragraph" w:styleId="55">
    <w:name w:val="Intense Quote"/>
    <w:basedOn w:val="1"/>
    <w:next w:val="1"/>
    <w:link w:val="56"/>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6">
    <w:name w:val="Intense Quote Char"/>
    <w:link w:val="55"/>
    <w:qFormat/>
    <w:uiPriority w:val="30"/>
    <w:rPr>
      <w:i/>
    </w:rPr>
  </w:style>
  <w:style w:type="character" w:customStyle="1" w:styleId="57">
    <w:name w:val="Caption Char"/>
    <w:qFormat/>
    <w:uiPriority w:val="99"/>
  </w:style>
  <w:style w:type="table" w:customStyle="1" w:styleId="58">
    <w:name w:val="Table Grid Light"/>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9">
    <w:name w:val="Plain Table 1"/>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0">
    <w:name w:val="Plain Table 2"/>
    <w:basedOn w:val="34"/>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61">
    <w:name w:val="Plain Table 3"/>
    <w:basedOn w:val="34"/>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2">
    <w:name w:val="Plain Table 4"/>
    <w:basedOn w:val="3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3">
    <w:name w:val="Plain Table 5"/>
    <w:basedOn w:val="34"/>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4">
    <w:name w:val="Grid Table 1 Light"/>
    <w:basedOn w:val="34"/>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5">
    <w:name w:val="Grid Table 1 Light - Accent 1"/>
    <w:basedOn w:val="34"/>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6">
    <w:name w:val="Grid Table 1 Light - Accent 2"/>
    <w:basedOn w:val="34"/>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7">
    <w:name w:val="Grid Table 1 Light - Accent 3"/>
    <w:basedOn w:val="34"/>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8">
    <w:name w:val="Grid Table 1 Light - Accent 4"/>
    <w:basedOn w:val="3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9">
    <w:name w:val="Grid Table 1 Light - Accent 5"/>
    <w:basedOn w:val="34"/>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70">
    <w:name w:val="Grid Table 1 Light - Accent 6"/>
    <w:basedOn w:val="34"/>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71">
    <w:name w:val="Grid Table 2"/>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2">
    <w:name w:val="Grid Table 2 - Accent 1"/>
    <w:basedOn w:val="34"/>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73">
    <w:name w:val="Grid Table 2 - Accent 2"/>
    <w:basedOn w:val="34"/>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4">
    <w:name w:val="Grid Table 2 - Accent 3"/>
    <w:basedOn w:val="34"/>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5">
    <w:name w:val="Grid Table 2 - Accent 4"/>
    <w:basedOn w:val="3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6">
    <w:name w:val="Grid Table 2 - Accent 5"/>
    <w:basedOn w:val="34"/>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7">
    <w:name w:val="Grid Table 2 - Accent 6"/>
    <w:basedOn w:val="34"/>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8">
    <w:name w:val="Grid Table 3"/>
    <w:basedOn w:val="34"/>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9">
    <w:name w:val="Grid Table 3 - Accent 1"/>
    <w:basedOn w:val="34"/>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80">
    <w:name w:val="Grid Table 3 - Accent 2"/>
    <w:basedOn w:val="34"/>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1">
    <w:name w:val="Grid Table 3 - Accent 3"/>
    <w:basedOn w:val="34"/>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2">
    <w:name w:val="Grid Table 3 - Accent 4"/>
    <w:basedOn w:val="3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3">
    <w:name w:val="Grid Table 3 - Accent 5"/>
    <w:basedOn w:val="34"/>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4">
    <w:name w:val="Grid Table 3 - Accent 6"/>
    <w:basedOn w:val="34"/>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5">
    <w:name w:val="Grid Table 4"/>
    <w:basedOn w:val="34"/>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6">
    <w:name w:val="Grid Table 4 - Accent 1"/>
    <w:basedOn w:val="34"/>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87">
    <w:name w:val="Grid Table 4 - Accent 2"/>
    <w:basedOn w:val="34"/>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8">
    <w:name w:val="Grid Table 4 - Accent 3"/>
    <w:basedOn w:val="34"/>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9">
    <w:name w:val="Grid Table 4 - Accent 4"/>
    <w:basedOn w:val="34"/>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90">
    <w:name w:val="Grid Table 4 - Accent 5"/>
    <w:basedOn w:val="34"/>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1">
    <w:name w:val="Grid Table 4 - Accent 6"/>
    <w:basedOn w:val="34"/>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2">
    <w:name w:val="Grid Table 5 Dark"/>
    <w:basedOn w:val="3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93">
    <w:name w:val="Grid Table 5 Dark- Accent 1"/>
    <w:basedOn w:val="3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94">
    <w:name w:val="Grid Table 5 Dark - Accent 2"/>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95">
    <w:name w:val="Grid Table 5 Dark - Accent 3"/>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96">
    <w:name w:val="Grid Table 5 Dark- Accent 4"/>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97">
    <w:name w:val="Grid Table 5 Dark - Accent 5"/>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98">
    <w:name w:val="Grid Table 5 Dark - Accent 6"/>
    <w:basedOn w:val="3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99">
    <w:name w:val="Grid Table 6 Colorful"/>
    <w:basedOn w:val="34"/>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0">
    <w:name w:val="Grid Table 6 Colorful - Accent 1"/>
    <w:basedOn w:val="34"/>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1">
    <w:name w:val="Grid Table 6 Colorful - Accent 2"/>
    <w:basedOn w:val="34"/>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2">
    <w:name w:val="Grid Table 6 Colorful - Accent 3"/>
    <w:basedOn w:val="34"/>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3">
    <w:name w:val="Grid Table 6 Colorful - Accent 4"/>
    <w:basedOn w:val="3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4">
    <w:name w:val="Grid Table 6 Colorful - Accent 5"/>
    <w:basedOn w:val="34"/>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5">
    <w:name w:val="Grid Table 6 Colorful - Accent 6"/>
    <w:basedOn w:val="34"/>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6">
    <w:name w:val="Grid Table 7 Colorful"/>
    <w:basedOn w:val="34"/>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7">
    <w:name w:val="Grid Table 7 Colorful - Accent 1"/>
    <w:basedOn w:val="34"/>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8">
    <w:name w:val="Grid Table 7 Colorful - Accent 2"/>
    <w:basedOn w:val="34"/>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9">
    <w:name w:val="Grid Table 7 Colorful - Accent 3"/>
    <w:basedOn w:val="34"/>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0">
    <w:name w:val="Grid Table 7 Colorful - Accent 4"/>
    <w:basedOn w:val="34"/>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1">
    <w:name w:val="Grid Table 7 Colorful - Accent 5"/>
    <w:basedOn w:val="34"/>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2">
    <w:name w:val="Grid Table 7 Colorful - Accent 6"/>
    <w:basedOn w:val="34"/>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13">
    <w:name w:val="List Table 1 Light"/>
    <w:basedOn w:val="34"/>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4">
    <w:name w:val="List Table 1 Light - Accent 1"/>
    <w:basedOn w:val="34"/>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5">
    <w:name w:val="List Table 1 Light - Accent 2"/>
    <w:basedOn w:val="34"/>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6">
    <w:name w:val="List Table 1 Light - Accent 3"/>
    <w:basedOn w:val="34"/>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7">
    <w:name w:val="List Table 1 Light - Accent 4"/>
    <w:basedOn w:val="34"/>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8">
    <w:name w:val="List Table 1 Light - Accent 5"/>
    <w:basedOn w:val="34"/>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9">
    <w:name w:val="List Table 1 Light - Accent 6"/>
    <w:basedOn w:val="34"/>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0">
    <w:name w:val="List Table 2"/>
    <w:basedOn w:val="34"/>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1">
    <w:name w:val="List Table 2 - Accent 1"/>
    <w:basedOn w:val="34"/>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2">
    <w:name w:val="List Table 2 - Accent 2"/>
    <w:basedOn w:val="34"/>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3">
    <w:name w:val="List Table 2 - Accent 3"/>
    <w:basedOn w:val="34"/>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4">
    <w:name w:val="List Table 2 - Accent 4"/>
    <w:basedOn w:val="3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5">
    <w:name w:val="List Table 2 - Accent 5"/>
    <w:basedOn w:val="34"/>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6">
    <w:name w:val="List Table 2 - Accent 6"/>
    <w:basedOn w:val="34"/>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7">
    <w:name w:val="List Table 3"/>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8">
    <w:name w:val="List Table 3 - Accent 1"/>
    <w:basedOn w:val="34"/>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9">
    <w:name w:val="List Table 3 - Accent 2"/>
    <w:basedOn w:val="34"/>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30">
    <w:name w:val="List Table 3 - Accent 3"/>
    <w:basedOn w:val="34"/>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31">
    <w:name w:val="List Table 3 - Accent 4"/>
    <w:basedOn w:val="3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32">
    <w:name w:val="List Table 3 - Accent 5"/>
    <w:basedOn w:val="34"/>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33">
    <w:name w:val="List Table 3 - Accent 6"/>
    <w:basedOn w:val="34"/>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34">
    <w:name w:val="List Table 4"/>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5">
    <w:name w:val="List Table 4 - Accent 1"/>
    <w:basedOn w:val="34"/>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36">
    <w:name w:val="List Table 4 - Accent 2"/>
    <w:basedOn w:val="34"/>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37">
    <w:name w:val="List Table 4 - Accent 3"/>
    <w:basedOn w:val="34"/>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8">
    <w:name w:val="List Table 4 - Accent 4"/>
    <w:basedOn w:val="34"/>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39">
    <w:name w:val="List Table 4 - Accent 5"/>
    <w:basedOn w:val="34"/>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40">
    <w:name w:val="List Table 4 - Accent 6"/>
    <w:basedOn w:val="34"/>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41">
    <w:name w:val="List Table 5 Dark"/>
    <w:basedOn w:val="34"/>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42">
    <w:name w:val="List Table 5 Dark - Accent 1"/>
    <w:basedOn w:val="34"/>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43">
    <w:name w:val="List Table 5 Dark - Accent 2"/>
    <w:basedOn w:val="34"/>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44">
    <w:name w:val="List Table 5 Dark - Accent 3"/>
    <w:basedOn w:val="34"/>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45">
    <w:name w:val="List Table 5 Dark - Accent 4"/>
    <w:basedOn w:val="3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46">
    <w:name w:val="List Table 5 Dark - Accent 5"/>
    <w:basedOn w:val="34"/>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47">
    <w:name w:val="List Table 5 Dark - Accent 6"/>
    <w:basedOn w:val="34"/>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48">
    <w:name w:val="List Table 6 Colorful"/>
    <w:basedOn w:val="34"/>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9">
    <w:name w:val="List Table 6 Colorful - Accent 1"/>
    <w:basedOn w:val="34"/>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0">
    <w:name w:val="List Table 6 Colorful - Accent 2"/>
    <w:basedOn w:val="34"/>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1">
    <w:name w:val="List Table 6 Colorful - Accent 3"/>
    <w:basedOn w:val="34"/>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2">
    <w:name w:val="List Table 6 Colorful - Accent 4"/>
    <w:basedOn w:val="3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3">
    <w:name w:val="List Table 6 Colorful - Accent 5"/>
    <w:basedOn w:val="34"/>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4">
    <w:name w:val="List Table 6 Colorful - Accent 6"/>
    <w:basedOn w:val="34"/>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5">
    <w:name w:val="List Table 7 Colorful"/>
    <w:basedOn w:val="34"/>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6">
    <w:name w:val="List Table 7 Colorful - Accent 1"/>
    <w:basedOn w:val="34"/>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7">
    <w:name w:val="List Table 7 Colorful - Accent 2"/>
    <w:basedOn w:val="34"/>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8">
    <w:name w:val="List Table 7 Colorful - Accent 3"/>
    <w:basedOn w:val="34"/>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9">
    <w:name w:val="List Table 7 Colorful - Accent 4"/>
    <w:basedOn w:val="3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0">
    <w:name w:val="List Table 7 Colorful - Accent 5"/>
    <w:basedOn w:val="34"/>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1">
    <w:name w:val="List Table 7 Colorful - Accent 6"/>
    <w:basedOn w:val="34"/>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2">
    <w:name w:val="Lined - Accent"/>
    <w:basedOn w:val="34"/>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3">
    <w:name w:val="Lined - Accent 1"/>
    <w:basedOn w:val="34"/>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64">
    <w:name w:val="Lined - Accent 2"/>
    <w:basedOn w:val="34"/>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65">
    <w:name w:val="Lined - Accent 3"/>
    <w:basedOn w:val="34"/>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66">
    <w:name w:val="Lined - Accent 4"/>
    <w:basedOn w:val="3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67">
    <w:name w:val="Lined - Accent 5"/>
    <w:basedOn w:val="34"/>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68">
    <w:name w:val="Lined - Accent 6"/>
    <w:basedOn w:val="34"/>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69">
    <w:name w:val="Bordered &amp; Lined - Accent"/>
    <w:basedOn w:val="34"/>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70">
    <w:name w:val="Bordered &amp; Lined - Accent 1"/>
    <w:basedOn w:val="34"/>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71">
    <w:name w:val="Bordered &amp; Lined - Accent 2"/>
    <w:basedOn w:val="34"/>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72">
    <w:name w:val="Bordered &amp; Lined - Accent 3"/>
    <w:basedOn w:val="34"/>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73">
    <w:name w:val="Bordered &amp; Lined - Accent 4"/>
    <w:basedOn w:val="3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74">
    <w:name w:val="Bordered &amp; Lined - Accent 5"/>
    <w:basedOn w:val="34"/>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75">
    <w:name w:val="Bordered &amp; Lined - Accent 6"/>
    <w:basedOn w:val="34"/>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76">
    <w:name w:val="Bordered"/>
    <w:basedOn w:val="34"/>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7">
    <w:name w:val="Bordered - Accent 1"/>
    <w:basedOn w:val="34"/>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8">
    <w:name w:val="Bordered - Accent 2"/>
    <w:basedOn w:val="34"/>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9">
    <w:name w:val="Bordered - Accent 3"/>
    <w:basedOn w:val="34"/>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80">
    <w:name w:val="Bordered - Accent 4"/>
    <w:basedOn w:val="3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81">
    <w:name w:val="Bordered - Accent 5"/>
    <w:basedOn w:val="34"/>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82">
    <w:name w:val="Bordered - Accent 6"/>
    <w:basedOn w:val="34"/>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83">
    <w:name w:val="Footnote Text Char"/>
    <w:link w:val="26"/>
    <w:qFormat/>
    <w:uiPriority w:val="99"/>
    <w:rPr>
      <w:sz w:val="18"/>
    </w:rPr>
  </w:style>
  <w:style w:type="character" w:customStyle="1" w:styleId="184">
    <w:name w:val="Endnote Text Char"/>
    <w:link w:val="19"/>
    <w:qFormat/>
    <w:uiPriority w:val="99"/>
    <w:rPr>
      <w:sz w:val="20"/>
    </w:rPr>
  </w:style>
  <w:style w:type="paragraph" w:customStyle="1" w:styleId="185">
    <w:name w:val="TOC Heading"/>
    <w:unhideWhenUsed/>
    <w:qFormat/>
    <w:uiPriority w:val="39"/>
    <w:rPr>
      <w:rFonts w:hint="default" w:asciiTheme="minorHAnsi" w:hAnsiTheme="minorHAnsi" w:eastAsiaTheme="minorEastAsia" w:cstheme="minorBidi"/>
    </w:rPr>
  </w:style>
  <w:style w:type="character" w:customStyle="1" w:styleId="186">
    <w:name w:val="Header Char"/>
    <w:basedOn w:val="36"/>
    <w:semiHidden/>
    <w:qFormat/>
    <w:uiPriority w:val="99"/>
    <w:rPr>
      <w:rFonts w:ascii="Times New Roman" w:hAnsi="Times New Roman"/>
      <w:sz w:val="18"/>
      <w:szCs w:val="18"/>
    </w:rPr>
  </w:style>
  <w:style w:type="character" w:customStyle="1" w:styleId="187">
    <w:name w:val="页眉 字符"/>
    <w:link w:val="22"/>
    <w:semiHidden/>
    <w:qFormat/>
    <w:uiPriority w:val="99"/>
    <w:rPr>
      <w:sz w:val="18"/>
    </w:rPr>
  </w:style>
  <w:style w:type="character" w:customStyle="1" w:styleId="188">
    <w:name w:val="Footer Char"/>
    <w:basedOn w:val="36"/>
    <w:semiHidden/>
    <w:qFormat/>
    <w:uiPriority w:val="99"/>
    <w:rPr>
      <w:rFonts w:ascii="Times New Roman" w:hAnsi="Times New Roman"/>
      <w:sz w:val="18"/>
      <w:szCs w:val="18"/>
    </w:rPr>
  </w:style>
  <w:style w:type="character" w:customStyle="1" w:styleId="189">
    <w:name w:val="页脚 字符"/>
    <w:link w:val="21"/>
    <w:qFormat/>
    <w:uiPriority w:val="99"/>
    <w:rPr>
      <w:sz w:val="18"/>
    </w:rPr>
  </w:style>
  <w:style w:type="character" w:customStyle="1" w:styleId="190">
    <w:name w:val="Body Text Char"/>
    <w:basedOn w:val="36"/>
    <w:semiHidden/>
    <w:qFormat/>
    <w:uiPriority w:val="99"/>
    <w:rPr>
      <w:rFonts w:ascii="Times New Roman" w:hAnsi="Times New Roman"/>
      <w:szCs w:val="24"/>
    </w:rPr>
  </w:style>
  <w:style w:type="character" w:customStyle="1" w:styleId="191">
    <w:name w:val="正文文本 字符"/>
    <w:link w:val="14"/>
    <w:qFormat/>
    <w:uiPriority w:val="99"/>
    <w:rPr>
      <w:rFonts w:ascii="仿宋_GB2312" w:hAnsi="Times New Roman" w:eastAsia="仿宋_GB2312"/>
      <w:sz w:val="24"/>
    </w:rPr>
  </w:style>
  <w:style w:type="paragraph" w:customStyle="1" w:styleId="192">
    <w:name w:val="Default"/>
    <w:qFormat/>
    <w:uiPriority w:val="99"/>
    <w:pPr>
      <w:widowControl w:val="0"/>
    </w:pPr>
    <w:rPr>
      <w:rFonts w:hint="default" w:ascii="仿宋" w:hAnsi="Calibri" w:eastAsia="仿宋" w:cs="仿宋"/>
      <w:color w:val="000000"/>
      <w:sz w:val="24"/>
      <w:szCs w:val="24"/>
      <w:lang w:val="en-US" w:eastAsia="zh-CN" w:bidi="ar-SA"/>
    </w:rPr>
  </w:style>
  <w:style w:type="paragraph" w:styleId="193">
    <w:name w:val="List Paragraph"/>
    <w:basedOn w:val="1"/>
    <w:qFormat/>
    <w:uiPriority w:val="34"/>
    <w:pPr>
      <w:ind w:firstLine="420"/>
    </w:pPr>
  </w:style>
  <w:style w:type="character" w:customStyle="1" w:styleId="194">
    <w:name w:val="标题 1 字符"/>
    <w:basedOn w:val="36"/>
    <w:link w:val="3"/>
    <w:qFormat/>
    <w:uiPriority w:val="9"/>
    <w:rPr>
      <w:rFonts w:ascii="Times New Roman" w:hAnsi="Times New Roman"/>
      <w:b/>
      <w:bCs/>
      <w:sz w:val="44"/>
      <w:szCs w:val="44"/>
    </w:rPr>
  </w:style>
  <w:style w:type="character" w:customStyle="1" w:styleId="195">
    <w:name w:val="标题 2 字符"/>
    <w:basedOn w:val="36"/>
    <w:link w:val="4"/>
    <w:qFormat/>
    <w:uiPriority w:val="9"/>
    <w:rPr>
      <w:rFonts w:asciiTheme="majorHAnsi" w:hAnsiTheme="majorHAnsi" w:eastAsiaTheme="majorEastAsia" w:cstheme="majorBidi"/>
      <w:b/>
      <w:bCs/>
      <w:sz w:val="32"/>
      <w:szCs w:val="32"/>
    </w:rPr>
  </w:style>
  <w:style w:type="paragraph" w:customStyle="1" w:styleId="196">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sz w:val="28"/>
      <w:szCs w:val="28"/>
    </w:rPr>
  </w:style>
  <w:style w:type="character" w:customStyle="1" w:styleId="197">
    <w:name w:val="批注框文本 字符"/>
    <w:basedOn w:val="36"/>
    <w:link w:val="20"/>
    <w:semiHidden/>
    <w:qFormat/>
    <w:uiPriority w:val="99"/>
    <w:rPr>
      <w:rFonts w:ascii="Times New Roman" w:hAnsi="Times New Roman"/>
      <w:sz w:val="18"/>
      <w:szCs w:val="18"/>
    </w:rPr>
  </w:style>
  <w:style w:type="character" w:customStyle="1" w:styleId="198">
    <w:name w:val="标题 3 字符"/>
    <w:basedOn w:val="36"/>
    <w:link w:val="5"/>
    <w:qFormat/>
    <w:uiPriority w:val="9"/>
    <w:rPr>
      <w:rFonts w:ascii="Times New Roman" w:hAnsi="Times New Roman"/>
      <w:b/>
      <w:bCs/>
      <w:sz w:val="32"/>
      <w:szCs w:val="32"/>
    </w:rPr>
  </w:style>
  <w:style w:type="paragraph" w:customStyle="1" w:styleId="199">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sz w:val="28"/>
      <w:szCs w:val="28"/>
    </w:rPr>
  </w:style>
  <w:style w:type="paragraph" w:customStyle="1" w:styleId="200">
    <w:name w:val="四号正文"/>
    <w:basedOn w:val="1"/>
    <w:qFormat/>
    <w:uiPriority w:val="0"/>
    <w:pPr>
      <w:spacing w:line="360" w:lineRule="auto"/>
    </w:pPr>
    <w:rPr>
      <w:rFonts w:ascii="??" w:hAnsi="??"/>
      <w:color w:val="000000"/>
      <w:sz w:val="28"/>
      <w:szCs w:val="21"/>
      <w:lang w:val="zh-CN"/>
    </w:rPr>
  </w:style>
  <w:style w:type="paragraph" w:customStyle="1" w:styleId="201">
    <w:name w:val="普通(网站) Char"/>
    <w:basedOn w:val="1"/>
    <w:next w:val="202"/>
    <w:qFormat/>
    <w:uiPriority w:val="0"/>
    <w:pPr>
      <w:spacing w:before="0" w:beforeAutospacing="1" w:after="0" w:afterAutospacing="1"/>
      <w:ind w:left="0" w:right="0"/>
      <w:jc w:val="left"/>
    </w:pPr>
    <w:rPr>
      <w:rFonts w:ascii="宋体" w:eastAsia="宋体" w:cs="宋体"/>
      <w:sz w:val="24"/>
      <w:szCs w:val="24"/>
      <w:lang w:val="en-US" w:eastAsia="zh-CN"/>
    </w:rPr>
  </w:style>
  <w:style w:type="paragraph" w:customStyle="1" w:styleId="202">
    <w:name w:val="WPSOffice手动目录 2"/>
    <w:next w:val="22"/>
    <w:qFormat/>
    <w:uiPriority w:val="0"/>
    <w:pPr>
      <w:ind w:left="200"/>
    </w:pPr>
    <w:rPr>
      <w:rFonts w:hint="default" w:ascii="Times New Roman" w:hAnsi="Times New Roman" w:eastAsia="宋体" w:cs="Times New Roman"/>
      <w:sz w:val="20"/>
      <w:szCs w:val="20"/>
      <w:lang w:val="en-US" w:eastAsia="zh-CN" w:bidi="ar-SA"/>
    </w:rPr>
  </w:style>
  <w:style w:type="character" w:customStyle="1" w:styleId="203">
    <w:name w:val="15"/>
    <w:qFormat/>
    <w:uiPriority w:val="0"/>
    <w:rPr>
      <w:rFonts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t>红原县红十字会202</a:t>
            </a:r>
            <a:r>
              <a:rPr lang="en-US" altLang="zh-CN"/>
              <a:t>4</a:t>
            </a:r>
            <a:r>
              <a:t>年与202</a:t>
            </a:r>
            <a:r>
              <a:rPr lang="en-US" altLang="zh-CN"/>
              <a:t>3</a:t>
            </a:r>
            <a:r>
              <a:t>年年度收支对比</a:t>
            </a:r>
            <a:endParaRPr sz="1400" b="0" i="0" u="none" strike="noStrike">
              <a:solidFill>
                <a:srgbClr val="595959"/>
              </a:solidFill>
              <a:latin typeface="Times New Roman" panose="02020603050405020304"/>
              <a:ea typeface="宋体" panose="02010600030101010101" charset="-122"/>
              <a:cs typeface="Arial" panose="020B0604020202020204" pitchFamily="2"/>
            </a:endParaRPr>
          </a:p>
        </c:rich>
      </c:tx>
      <c:layout>
        <c:manualLayout>
          <c:xMode val="edge"/>
          <c:yMode val="edge"/>
          <c:x val="0.0965553131524008"/>
          <c:y val="0.0108240344403444"/>
        </c:manualLayout>
      </c:layout>
      <c:overlay val="0"/>
    </c:title>
    <c:autoTitleDeleted val="0"/>
    <c:plotArea>
      <c:layout/>
      <c:barChart>
        <c:barDir val="col"/>
        <c:grouping val="clustered"/>
        <c:varyColors val="0"/>
        <c:ser>
          <c:idx val="0"/>
          <c:order val="0"/>
          <c:tx>
            <c:strRef>
              <c:f>[图形.xls]Sheet1!$B$6</c:f>
              <c:strCache>
                <c:ptCount val="1"/>
                <c:pt idx="0">
                  <c:v>2022</c:v>
                </c:pt>
              </c:strCache>
            </c:strRef>
          </c:tx>
          <c:spPr>
            <a:gradFill>
              <a:gsLst>
                <a:gs pos="0">
                  <a:srgbClr val="000082"/>
                </a:gs>
                <a:gs pos="30000">
                  <a:srgbClr val="66008F"/>
                </a:gs>
                <a:gs pos="64999">
                  <a:srgbClr val="BA0066"/>
                </a:gs>
                <a:gs pos="89999">
                  <a:srgbClr val="FF0000"/>
                </a:gs>
                <a:gs pos="100000">
                  <a:srgbClr val="FF8200"/>
                </a:gs>
              </a:gsLst>
              <a:lin ang="5400000" scaled="1"/>
            </a:gradFill>
            <a:ln w="12700">
              <a:noFill/>
            </a:ln>
          </c:spPr>
          <c:invertIfNegative val="0"/>
          <c:dLbls>
            <c:dLbl>
              <c:idx val="0"/>
              <c:layout>
                <c:manualLayout>
                  <c:x val="0.00182672233820459"/>
                  <c:y val="-0.003444034440344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t>138.43</a:t>
                    </a:r>
                    <a:endParaRPr lang="en-US"/>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181.92</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[图形.xls]Sheet1!$C$5:$D$5</c:f>
              <c:strCache>
                <c:ptCount val="2"/>
                <c:pt idx="0">
                  <c:v>决算收入</c:v>
                </c:pt>
                <c:pt idx="1">
                  <c:v>决算支出</c:v>
                </c:pt>
              </c:strCache>
            </c:strRef>
          </c:cat>
          <c:val>
            <c:numRef>
              <c:f>[图形.xls]Sheet1!$C$6:$D$6</c:f>
              <c:numCache>
                <c:formatCode>General</c:formatCode>
                <c:ptCount val="2"/>
                <c:pt idx="0">
                  <c:v>212.54</c:v>
                </c:pt>
                <c:pt idx="1">
                  <c:v>212.54</c:v>
                </c:pt>
              </c:numCache>
            </c:numRef>
          </c:val>
        </c:ser>
        <c:dLbls>
          <c:showLegendKey val="0"/>
          <c:showVal val="0"/>
          <c:showCatName val="0"/>
          <c:showSerName val="0"/>
          <c:showPercent val="0"/>
          <c:showBubbleSize val="0"/>
        </c:dLbls>
        <c:gapWidth val="219"/>
        <c:overlap val="-27"/>
        <c:axId val="449268628"/>
        <c:axId val="462140030"/>
      </c:barChart>
      <c:catAx>
        <c:axId val="449268628"/>
        <c:scaling>
          <c:orientation val="minMax"/>
        </c:scaling>
        <c:delete val="0"/>
        <c:axPos val="b"/>
        <c:majorTickMark val="none"/>
        <c:minorTickMark val="none"/>
        <c:tickLblPos val="nextTo"/>
        <c:spPr>
          <a:ln w="12700" cap="flat" cmpd="sng" algn="ctr">
            <a:solidFill>
              <a:srgbClr val="D8D8D8"/>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462140030"/>
        <c:crosses val="autoZero"/>
        <c:auto val="1"/>
        <c:lblAlgn val="ctr"/>
        <c:lblOffset val="100"/>
        <c:noMultiLvlLbl val="0"/>
      </c:catAx>
      <c:valAx>
        <c:axId val="462140030"/>
        <c:scaling>
          <c:orientation val="minMax"/>
        </c:scaling>
        <c:delete val="0"/>
        <c:axPos val="l"/>
        <c:majorGridlines>
          <c:spPr>
            <a:ln w="12700" cap="flat" cmpd="sng" algn="ctr">
              <a:solidFill>
                <a:srgbClr val="D8D8D8"/>
              </a:solidFill>
              <a:prstDash val="solid"/>
              <a:round/>
            </a:ln>
          </c:spPr>
        </c:majorGridlines>
        <c:numFmt formatCode="General" sourceLinked="1"/>
        <c:majorTickMark val="none"/>
        <c:minorTickMark val="none"/>
        <c:tickLblPos val="nextTo"/>
        <c:spPr>
          <a:ln w="12700"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449268628"/>
        <c:crosses val="autoZero"/>
        <c:crossBetween val="between"/>
      </c:valAx>
      <c:spPr>
        <a:noFill/>
        <a:ln w="12700">
          <a:noFill/>
        </a:ln>
      </c:spPr>
    </c:plotArea>
    <c:plotVisOnly val="1"/>
    <c:dispBlanksAs val="gap"/>
    <c:showDLblsOverMax val="0"/>
    <c:extLst>
      <c:ext uri="{0b15fc19-7d7d-44ad-8c2d-2c3a37ce22c3}">
        <chartProps xmlns="https://web.wps.cn/et/2018/main" chartId="{cd8f03fa-63f1-4862-8b2e-d24d8af6ab64}"/>
      </c:ext>
    </c:extLst>
  </c:chart>
  <c:spPr>
    <a:solidFill>
      <a:srgbClr val="FFFFFF"/>
    </a:solidFill>
    <a:ln w="12700" cap="flat" cmpd="sng" algn="ctr">
      <a:solidFill>
        <a:srgbClr val="D8D8D8"/>
      </a:solidFill>
      <a:prstDash val="solid"/>
      <a:round/>
    </a:ln>
  </c:spPr>
  <c:txPr>
    <a:bodyPr rot="0" wrap="square" anchor="ctr" anchorCtr="1"/>
    <a:lstStyle/>
    <a:p>
      <a:pPr>
        <a:defRPr lang="zh-CN" sz="900" b="0" i="0" u="none" strike="noStrike">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t>红原县红十字会202</a:t>
            </a:r>
            <a:r>
              <a:rPr lang="en-US" altLang="zh-CN"/>
              <a:t>4</a:t>
            </a:r>
            <a:r>
              <a:t>年本年收入合计</a:t>
            </a:r>
            <a:endParaRPr sz="1400" b="0" i="0" u="none" strike="noStrike">
              <a:solidFill>
                <a:srgbClr val="595959"/>
              </a:solidFill>
              <a:latin typeface="Times New Roman" panose="02020603050405020304"/>
              <a:ea typeface="宋体" panose="02010600030101010101" charset="-122"/>
              <a:cs typeface="Arial" panose="020B0604020202020204" pitchFamily="2"/>
            </a:endParaRPr>
          </a:p>
        </c:rich>
      </c:tx>
      <c:layout/>
      <c:overlay val="0"/>
    </c:title>
    <c:autoTitleDeleted val="0"/>
    <c:plotArea>
      <c:layout/>
      <c:pieChart>
        <c:varyColors val="1"/>
        <c:ser>
          <c:idx val="0"/>
          <c:order val="0"/>
          <c:tx>
            <c:strRef>
              <c:f>[图形.xls]Sheet1!$C$23</c:f>
              <c:strCache>
                <c:ptCount val="1"/>
                <c:pt idx="0">
                  <c:v>占比</c:v>
                </c:pt>
              </c:strCache>
            </c:strRef>
          </c:tx>
          <c:spPr>
            <a:solidFill>
              <a:schemeClr val="accent3"/>
            </a:solidFill>
            <a:ln w="25400">
              <a:solidFill>
                <a:srgbClr val="FFFFFF"/>
              </a:solidFill>
              <a:prstDash val="solid"/>
            </a:ln>
          </c:spPr>
          <c:explosion val="0"/>
          <c:dPt>
            <c:idx val="0"/>
            <c:bubble3D val="0"/>
            <c:explosion val="0"/>
            <c:spPr>
              <a:solidFill>
                <a:schemeClr val="accent3"/>
              </a:solidFill>
              <a:ln w="25400">
                <a:solidFill>
                  <a:srgbClr val="FFFFFF"/>
                </a:solidFill>
                <a:prstDash val="solid"/>
              </a:ln>
            </c:spPr>
          </c:dPt>
          <c:dPt>
            <c:idx val="1"/>
            <c:bubble3D val="0"/>
            <c:explosion val="0"/>
            <c:spPr>
              <a:solidFill>
                <a:schemeClr val="accent3"/>
              </a:solidFill>
              <a:ln w="25400">
                <a:solidFill>
                  <a:srgbClr val="FFFFFF"/>
                </a:solidFill>
                <a:prstDash val="solid"/>
              </a:ln>
            </c:spPr>
          </c:dPt>
          <c:dPt>
            <c:idx val="2"/>
            <c:bubble3D val="0"/>
            <c:explosion val="0"/>
            <c:spPr>
              <a:solidFill>
                <a:schemeClr val="accent3"/>
              </a:solidFill>
              <a:ln w="25400">
                <a:solidFill>
                  <a:srgbClr val="FFFFFF"/>
                </a:solidFill>
                <a:prstDash val="solid"/>
              </a:ln>
            </c:spPr>
          </c:dPt>
          <c:dPt>
            <c:idx val="3"/>
            <c:bubble3D val="0"/>
            <c:explosion val="0"/>
            <c:spPr>
              <a:solidFill>
                <a:schemeClr val="accent3"/>
              </a:solidFill>
              <a:ln w="25400">
                <a:solidFill>
                  <a:srgbClr val="FFFFFF"/>
                </a:solidFill>
                <a:prstDash val="solid"/>
              </a:ln>
            </c:spPr>
          </c:dPt>
          <c:dPt>
            <c:idx val="4"/>
            <c:bubble3D val="0"/>
            <c:explosion val="0"/>
            <c:spPr>
              <a:solidFill>
                <a:schemeClr val="accent3"/>
              </a:solidFill>
              <a:ln w="25400">
                <a:solidFill>
                  <a:srgbClr val="FFFFFF"/>
                </a:solidFill>
                <a:prstDash val="solid"/>
              </a:ln>
            </c:spPr>
          </c:dPt>
          <c:dPt>
            <c:idx val="5"/>
            <c:bubble3D val="0"/>
            <c:explosion val="0"/>
            <c:spPr>
              <a:solidFill>
                <a:schemeClr val="accent3"/>
              </a:solidFill>
              <a:ln w="25400">
                <a:solidFill>
                  <a:srgbClr val="FFFFFF"/>
                </a:solidFill>
                <a:prstDash val="solid"/>
              </a:ln>
            </c:spPr>
          </c:dPt>
          <c:dPt>
            <c:idx val="6"/>
            <c:bubble3D val="0"/>
            <c:explosion val="0"/>
            <c:spPr>
              <a:solidFill>
                <a:schemeClr val="accent3"/>
              </a:solidFill>
              <a:ln w="25400">
                <a:solidFill>
                  <a:srgbClr val="FFFFFF"/>
                </a:solidFill>
                <a:prstDash val="solid"/>
              </a:ln>
            </c:spPr>
          </c:dPt>
          <c:dPt>
            <c:idx val="7"/>
            <c:bubble3D val="0"/>
            <c:explosion val="0"/>
            <c:spPr>
              <a:solidFill>
                <a:schemeClr val="accent3"/>
              </a:solidFill>
              <a:ln w="25400">
                <a:solidFill>
                  <a:srgbClr val="FFFFFF"/>
                </a:solidFill>
                <a:prstDash val="solid"/>
              </a:ln>
            </c:spPr>
          </c:dPt>
          <c:dLbls>
            <c:dLbl>
              <c:idx val="0"/>
              <c:layout>
                <c:manualLayout>
                  <c:x val="0.01294"/>
                  <c:y val="-0.08703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t>138.43</a:t>
                    </a:r>
                    <a:endParaRPr lang="en-US"/>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7"/>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[图形.xls]Sheet1!$B$24:$B$31</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[图形.xls]Sheet1!$C$24:$C$31</c:f>
              <c:numCache>
                <c:formatCode>General</c:formatCode>
                <c:ptCount val="8"/>
                <c:pt idx="0">
                  <c:v>100</c:v>
                </c:pt>
                <c:pt idx="1">
                  <c:v>0</c:v>
                </c:pt>
                <c:pt idx="2">
                  <c:v>0</c:v>
                </c:pt>
                <c:pt idx="3">
                  <c:v>0</c:v>
                </c:pt>
                <c:pt idx="4">
                  <c:v>0</c:v>
                </c:pt>
                <c:pt idx="5">
                  <c:v>0</c:v>
                </c:pt>
                <c:pt idx="6">
                  <c:v>0</c:v>
                </c:pt>
                <c:pt idx="7">
                  <c:v>0</c:v>
                </c:pt>
              </c:numCache>
            </c:numRef>
          </c:val>
        </c:ser>
        <c:dLbls>
          <c:showLegendKey val="0"/>
          <c:showVal val="0"/>
          <c:showCatName val="0"/>
          <c:showSerName val="0"/>
          <c:showPercent val="0"/>
          <c:showBubbleSize val="0"/>
          <c:showLeaderLines val="1"/>
        </c:dLbls>
        <c:firstSliceAng val="0"/>
      </c:pieChart>
      <c:spPr>
        <a:noFill/>
        <a:ln w="12700">
          <a:noFill/>
        </a:ln>
      </c:spPr>
    </c:plotArea>
    <c:legend>
      <c:legendPos val="b"/>
      <c:layout>
        <c:manualLayout>
          <c:xMode val="edge"/>
          <c:yMode val="edge"/>
          <c:x val="0.114993"/>
          <c:y val="0.657654"/>
          <c:w val="0.786"/>
          <c:h val="0.3355"/>
        </c:manualLayout>
      </c:layout>
      <c:overlay val="0"/>
      <c:spPr>
        <a:noFill/>
        <a:ln w="12700">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zero"/>
    <c:showDLblsOverMax val="0"/>
    <c:extLst>
      <c:ext uri="{0b15fc19-7d7d-44ad-8c2d-2c3a37ce22c3}">
        <chartProps xmlns="https://web.wps.cn/et/2018/main" chartId="{b3b1cf2a-c41b-42e0-be4f-fd5a717720a8}"/>
      </c:ext>
    </c:extLst>
  </c:chart>
  <c:spPr>
    <a:solidFill>
      <a:srgbClr val="FFFFFF"/>
    </a:solidFill>
    <a:ln w="12700" cap="flat" cmpd="sng" algn="ctr">
      <a:solidFill>
        <a:srgbClr val="D8D8D8"/>
      </a:solidFill>
      <a:prstDash val="solid"/>
      <a:round/>
    </a:ln>
  </c:spPr>
  <c:txPr>
    <a:bodyPr rot="0" wrap="square" anchor="ctr" anchorCtr="1"/>
    <a:lstStyle/>
    <a:p>
      <a:pPr>
        <a:defRPr lang="zh-CN" sz="900" b="0" i="0" u="none" strike="noStrike">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t>红原县红十字会202</a:t>
            </a:r>
            <a:r>
              <a:rPr lang="en-US" altLang="zh-CN"/>
              <a:t>4</a:t>
            </a:r>
            <a:r>
              <a:t>年本年支出合计</a:t>
            </a:r>
            <a:endParaRPr sz="1400" b="0" i="0" u="none" strike="noStrike">
              <a:solidFill>
                <a:srgbClr val="595959"/>
              </a:solidFill>
              <a:latin typeface="Times New Roman" panose="02020603050405020304"/>
              <a:ea typeface="宋体" panose="02010600030101010101" charset="-122"/>
              <a:cs typeface="Arial" panose="020B0604020202020204" pitchFamily="2"/>
            </a:endParaRPr>
          </a:p>
        </c:rich>
      </c:tx>
      <c:layout/>
      <c:overlay val="0"/>
    </c:title>
    <c:autoTitleDeleted val="0"/>
    <c:plotArea>
      <c:layout/>
      <c:pieChart>
        <c:varyColors val="1"/>
        <c:ser>
          <c:idx val="0"/>
          <c:order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solidFill>
              <a:prstDash val="solid"/>
            </a:ln>
          </c:spPr>
          <c:explosion val="0"/>
          <c:dPt>
            <c:idx val="0"/>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solidFill>
                <a:prstDash val="solid"/>
              </a:ln>
            </c:spPr>
          </c:dPt>
          <c:dPt>
            <c:idx val="1"/>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solidFill>
                <a:prstDash val="solid"/>
              </a:ln>
            </c:spPr>
          </c:dPt>
          <c:dPt>
            <c:idx val="2"/>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solidFill>
                <a:prstDash val="solid"/>
              </a:ln>
            </c:spPr>
          </c:dPt>
          <c:dPt>
            <c:idx val="3"/>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solidFill>
                <a:prstDash val="solid"/>
              </a:ln>
            </c:spPr>
          </c:dPt>
          <c:dPt>
            <c:idx val="4"/>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solidFill>
                <a:prstDash val="solid"/>
              </a:ln>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t>121.36</a:t>
                    </a:r>
                    <a:endParaRPr lang="en-US"/>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delete val="1"/>
            </c:dLbl>
            <c:dLbl>
              <c:idx val="4"/>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[图形.xls]Sheet1!$M$4:$M$8</c:f>
              <c:strCache>
                <c:ptCount val="5"/>
                <c:pt idx="0">
                  <c:v>基本支出</c:v>
                </c:pt>
                <c:pt idx="1">
                  <c:v>项目支出</c:v>
                </c:pt>
                <c:pt idx="2">
                  <c:v>上缴上级支出</c:v>
                </c:pt>
                <c:pt idx="3">
                  <c:v>经营支出</c:v>
                </c:pt>
                <c:pt idx="4">
                  <c:v>对附属单位补助支出</c:v>
                </c:pt>
              </c:strCache>
            </c:strRef>
          </c:cat>
          <c:val>
            <c:numRef>
              <c:f>[图形.xls]Sheet1!$N$4:$N$8</c:f>
              <c:numCache>
                <c:formatCode>General</c:formatCode>
                <c:ptCount val="5"/>
                <c:pt idx="0">
                  <c:v>151.47</c:v>
                </c:pt>
                <c:pt idx="1">
                  <c:v>61.07</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w="12700">
          <a:noFill/>
        </a:ln>
      </c:spPr>
    </c:plotArea>
    <c:legend>
      <c:legendPos val="b"/>
      <c:layout>
        <c:manualLayout>
          <c:xMode val="edge"/>
          <c:yMode val="edge"/>
          <c:x val="0.069816"/>
          <c:y val="0.867983"/>
          <c:w val="0.8255"/>
          <c:h val="0.12625"/>
        </c:manualLayout>
      </c:layout>
      <c:overlay val="0"/>
      <c:spPr>
        <a:noFill/>
        <a:ln w="12700">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zero"/>
    <c:showDLblsOverMax val="0"/>
    <c:extLst>
      <c:ext uri="{0b15fc19-7d7d-44ad-8c2d-2c3a37ce22c3}">
        <chartProps xmlns="https://web.wps.cn/et/2018/main" chartId="{9bf89147-b823-4af2-aa70-cebecdb2fe4b}"/>
      </c:ext>
    </c:extLst>
  </c:chart>
  <c:spPr>
    <a:solidFill>
      <a:srgbClr val="FFFFFF"/>
    </a:solidFill>
    <a:ln w="12700" cap="flat" cmpd="sng" algn="ctr">
      <a:solidFill>
        <a:srgbClr val="D8D8D8"/>
      </a:solidFill>
      <a:prstDash val="solid"/>
      <a:round/>
    </a:ln>
  </c:spPr>
  <c:txPr>
    <a:bodyPr rot="0" wrap="square" anchor="ctr" anchorCtr="1"/>
    <a:lstStyle/>
    <a:p>
      <a:pPr>
        <a:defRPr lang="zh-CN" sz="900" b="0" i="0" u="none" strike="noStrike">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t>红原县红十字会202</a:t>
            </a:r>
            <a:r>
              <a:rPr lang="en-US" altLang="zh-CN"/>
              <a:t>4</a:t>
            </a:r>
            <a:r>
              <a:t>年与202</a:t>
            </a:r>
            <a:r>
              <a:rPr lang="en-US" altLang="zh-CN"/>
              <a:t>3</a:t>
            </a:r>
            <a:r>
              <a:t>年年度收支对比</a:t>
            </a:r>
            <a:endParaRPr sz="1400" b="0" i="0" u="none" strike="noStrike">
              <a:solidFill>
                <a:srgbClr val="595959"/>
              </a:solidFill>
              <a:latin typeface="Times New Roman" panose="02020603050405020304"/>
              <a:ea typeface="宋体" panose="02010600030101010101" charset="-122"/>
              <a:cs typeface="Arial" panose="020B0604020202020204" pitchFamily="2"/>
            </a:endParaRPr>
          </a:p>
        </c:rich>
      </c:tx>
      <c:layout>
        <c:manualLayout>
          <c:xMode val="edge"/>
          <c:yMode val="edge"/>
          <c:x val="0.100078277661795"/>
          <c:y val="0.00738007380073801"/>
        </c:manualLayout>
      </c:layout>
      <c:overlay val="0"/>
    </c:title>
    <c:autoTitleDeleted val="0"/>
    <c:plotArea>
      <c:layout>
        <c:manualLayout>
          <c:layoutTarget val="inner"/>
          <c:xMode val="edge"/>
          <c:yMode val="edge"/>
          <c:x val="0.094676"/>
          <c:y val="0.204674"/>
          <c:w val="0.901409"/>
          <c:h val="0.694071"/>
        </c:manualLayout>
      </c:layout>
      <c:barChart>
        <c:barDir val="col"/>
        <c:grouping val="clustered"/>
        <c:varyColors val="0"/>
        <c:ser>
          <c:idx val="0"/>
          <c:order val="0"/>
          <c:tx>
            <c:strRef>
              <c:f>[图形.xls]Sheet1!$B$6</c:f>
              <c:strCache>
                <c:ptCount val="1"/>
                <c:pt idx="0">
                  <c:v>2022</c:v>
                </c:pt>
              </c:strCache>
            </c:strRef>
          </c:tx>
          <c:spPr>
            <a:gradFill>
              <a:gsLst>
                <a:gs pos="0">
                  <a:srgbClr val="000082"/>
                </a:gs>
                <a:gs pos="30000">
                  <a:srgbClr val="66008F"/>
                </a:gs>
                <a:gs pos="64999">
                  <a:srgbClr val="BA0066"/>
                </a:gs>
                <a:gs pos="89999">
                  <a:srgbClr val="FF0000"/>
                </a:gs>
                <a:gs pos="100000">
                  <a:srgbClr val="FF8200"/>
                </a:gs>
              </a:gsLst>
              <a:lin ang="5400000" scaled="1"/>
            </a:gradFill>
            <a:ln w="12700">
              <a:noFill/>
            </a:ln>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t>138.43</a:t>
                    </a:r>
                    <a:endParaRPr lang="en-US"/>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181.92</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[图形.xls]Sheet1!$C$5:$D$5</c:f>
              <c:strCache>
                <c:ptCount val="2"/>
                <c:pt idx="0">
                  <c:v>决算收入</c:v>
                </c:pt>
                <c:pt idx="1">
                  <c:v>决算支出</c:v>
                </c:pt>
              </c:strCache>
            </c:strRef>
          </c:cat>
          <c:val>
            <c:numRef>
              <c:f>[图形.xls]Sheet1!$C$6:$D$6</c:f>
              <c:numCache>
                <c:formatCode>General</c:formatCode>
                <c:ptCount val="2"/>
                <c:pt idx="0">
                  <c:v>212.54</c:v>
                </c:pt>
                <c:pt idx="1">
                  <c:v>212.54</c:v>
                </c:pt>
              </c:numCache>
            </c:numRef>
          </c:val>
        </c:ser>
        <c:dLbls>
          <c:showLegendKey val="0"/>
          <c:showVal val="0"/>
          <c:showCatName val="0"/>
          <c:showSerName val="0"/>
          <c:showPercent val="0"/>
          <c:showBubbleSize val="0"/>
        </c:dLbls>
        <c:gapWidth val="219"/>
        <c:overlap val="-27"/>
        <c:axId val="449268628"/>
        <c:axId val="462140030"/>
      </c:barChart>
      <c:catAx>
        <c:axId val="449268628"/>
        <c:scaling>
          <c:orientation val="minMax"/>
        </c:scaling>
        <c:delete val="0"/>
        <c:axPos val="b"/>
        <c:majorTickMark val="none"/>
        <c:minorTickMark val="none"/>
        <c:tickLblPos val="nextTo"/>
        <c:spPr>
          <a:ln w="12700" cap="flat" cmpd="sng" algn="ctr">
            <a:solidFill>
              <a:srgbClr val="D8D8D8"/>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462140030"/>
        <c:crosses val="autoZero"/>
        <c:auto val="1"/>
        <c:lblAlgn val="ctr"/>
        <c:lblOffset val="100"/>
        <c:noMultiLvlLbl val="0"/>
      </c:catAx>
      <c:valAx>
        <c:axId val="462140030"/>
        <c:scaling>
          <c:orientation val="minMax"/>
        </c:scaling>
        <c:delete val="0"/>
        <c:axPos val="l"/>
        <c:majorGridlines>
          <c:spPr>
            <a:ln w="12700" cap="flat" cmpd="sng" algn="ctr">
              <a:solidFill>
                <a:srgbClr val="D8D8D8"/>
              </a:solidFill>
              <a:prstDash val="solid"/>
              <a:round/>
            </a:ln>
          </c:spPr>
        </c:majorGridlines>
        <c:numFmt formatCode="General" sourceLinked="1"/>
        <c:majorTickMark val="none"/>
        <c:minorTickMark val="none"/>
        <c:tickLblPos val="nextTo"/>
        <c:spPr>
          <a:ln w="12700"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449268628"/>
        <c:crosses val="autoZero"/>
        <c:crossBetween val="between"/>
      </c:valAx>
      <c:spPr>
        <a:noFill/>
        <a:ln w="12700">
          <a:noFill/>
        </a:ln>
      </c:spPr>
    </c:plotArea>
    <c:plotVisOnly val="1"/>
    <c:dispBlanksAs val="gap"/>
    <c:showDLblsOverMax val="0"/>
    <c:extLst>
      <c:ext uri="{0b15fc19-7d7d-44ad-8c2d-2c3a37ce22c3}">
        <chartProps xmlns="https://web.wps.cn/et/2018/main" chartId="{0aa32fef-2f24-44e6-9f93-2d785b35be55}"/>
      </c:ext>
    </c:extLst>
  </c:chart>
  <c:spPr>
    <a:solidFill>
      <a:srgbClr val="FFFFFF"/>
    </a:solidFill>
    <a:ln w="12700" cap="flat" cmpd="sng" algn="ctr">
      <a:solidFill>
        <a:srgbClr val="D8D8D8"/>
      </a:solidFill>
      <a:prstDash val="solid"/>
      <a:round/>
    </a:ln>
  </c:spPr>
  <c:txPr>
    <a:bodyPr rot="0" wrap="square" anchor="ctr" anchorCtr="1"/>
    <a:lstStyle/>
    <a:p>
      <a:pPr>
        <a:defRPr lang="zh-CN" sz="900" b="0" i="0" u="none" strike="noStrike">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t>红原县红十字会202</a:t>
            </a:r>
            <a:r>
              <a:rPr lang="en-US" altLang="zh-CN"/>
              <a:t>4</a:t>
            </a:r>
            <a:r>
              <a:t>年与202</a:t>
            </a:r>
            <a:r>
              <a:rPr lang="en-US" altLang="zh-CN"/>
              <a:t>3</a:t>
            </a:r>
            <a:r>
              <a:t>年一般公共预算财政拨款支出对比</a:t>
            </a:r>
            <a:endParaRPr sz="1400" b="0" i="0" u="none" strike="noStrike">
              <a:solidFill>
                <a:srgbClr val="595959"/>
              </a:solidFill>
              <a:latin typeface="Times New Roman" panose="02020603050405020304"/>
              <a:ea typeface="宋体" panose="02010600030101010101" charset="-122"/>
              <a:cs typeface="Arial" panose="020B0604020202020204" pitchFamily="2"/>
            </a:endParaRPr>
          </a:p>
        </c:rich>
      </c:tx>
      <c:layout>
        <c:manualLayout>
          <c:x val="0.0225"/>
          <c:y val="0.00675"/>
        </c:manualLayout>
      </c:layout>
      <c:overlay val="0"/>
    </c:title>
    <c:autoTitleDeleted val="0"/>
    <c:plotArea>
      <c:layout>
        <c:manualLayout>
          <c:layoutTarget val="inner"/>
          <c:xMode val="edge"/>
          <c:yMode val="edge"/>
          <c:x val="0.088259"/>
          <c:y val="0.279995"/>
          <c:w val="0.83625"/>
          <c:h val="0.603"/>
        </c:manualLayout>
      </c:layout>
      <c:barChart>
        <c:barDir val="col"/>
        <c:grouping val="clustered"/>
        <c:varyColors val="0"/>
        <c:ser>
          <c:idx val="0"/>
          <c:order val="0"/>
          <c:tx>
            <c:strRef>
              <c:f>[图形.xls]Sheet1!$B$36</c:f>
              <c:strCache>
                <c:ptCount val="1"/>
                <c:pt idx="0">
                  <c:v>2021</c:v>
                </c:pt>
              </c:strCache>
            </c:strRef>
          </c:tx>
          <c:spPr>
            <a:gradFill>
              <a:gsLst>
                <a:gs pos="0">
                  <a:srgbClr val="000082"/>
                </a:gs>
                <a:gs pos="30000">
                  <a:srgbClr val="66008F"/>
                </a:gs>
                <a:gs pos="64999">
                  <a:srgbClr val="BA0066"/>
                </a:gs>
                <a:gs pos="89999">
                  <a:srgbClr val="FF0000"/>
                </a:gs>
                <a:gs pos="100000">
                  <a:srgbClr val="FF8200"/>
                </a:gs>
              </a:gsLst>
              <a:lin ang="5400000" scaled="1"/>
            </a:gradFill>
            <a:ln w="12700">
              <a:noFill/>
            </a:ln>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t>1</a:t>
                    </a:r>
                    <a:r>
                      <a:rPr lang="en-US"/>
                      <a:t>38.43</a:t>
                    </a:r>
                    <a:endParaRPr lang="en-US"/>
                  </a:p>
                </c:rich>
              </c:tx>
              <c:numFmt formatCode="General" sourceLinked="1"/>
              <c:spPr>
                <a:noFill/>
                <a:ln w="127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w="127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[图形.xls]Sheet1!$C$35:$D$35</c:f>
              <c:strCache>
                <c:ptCount val="2"/>
                <c:pt idx="0">
                  <c:v>决算支出</c:v>
                </c:pt>
              </c:strCache>
            </c:strRef>
          </c:cat>
          <c:val>
            <c:numRef>
              <c:f>[图形.xls]Sheet1!$C$36:$D$36</c:f>
              <c:numCache>
                <c:formatCode>General</c:formatCode>
                <c:ptCount val="2"/>
                <c:pt idx="0">
                  <c:v>131.15</c:v>
                </c:pt>
              </c:numCache>
            </c:numRef>
          </c:val>
        </c:ser>
        <c:ser>
          <c:idx val="1"/>
          <c:order val="1"/>
          <c:tx>
            <c:strRef>
              <c:f>[图形.xls]Sheet1!$B$37</c:f>
              <c:strCache>
                <c:ptCount val="1"/>
                <c:pt idx="0">
                  <c:v>2022</c:v>
                </c:pt>
              </c:strCache>
            </c:strRef>
          </c:tx>
          <c:spPr>
            <a:gradFill>
              <a:gsLst>
                <a:gs pos="0">
                  <a:srgbClr val="000082"/>
                </a:gs>
                <a:gs pos="30000">
                  <a:srgbClr val="66008F"/>
                </a:gs>
                <a:gs pos="64999">
                  <a:srgbClr val="BA0066"/>
                </a:gs>
                <a:gs pos="89999">
                  <a:srgbClr val="FF0000"/>
                </a:gs>
                <a:gs pos="100000">
                  <a:srgbClr val="FF8200"/>
                </a:gs>
              </a:gsLst>
              <a:lin ang="5400000" scaled="1"/>
            </a:gradFill>
            <a:ln w="12700">
              <a:noFill/>
            </a:ln>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181.92</a:t>
                    </a:r>
                    <a:endParaRPr lang="en-US" altLang="zh-CN"/>
                  </a:p>
                </c:rich>
              </c:tx>
              <c:numFmt formatCode="General" sourceLinked="1"/>
              <c:spPr>
                <a:noFill/>
                <a:ln w="127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w="127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[图形.xls]Sheet1!$C$35:$D$35</c:f>
              <c:strCache>
                <c:ptCount val="2"/>
                <c:pt idx="0">
                  <c:v>决算支出</c:v>
                </c:pt>
              </c:strCache>
            </c:strRef>
          </c:cat>
          <c:val>
            <c:numRef>
              <c:f>[图形.xls]Sheet1!$C$37:$D$37</c:f>
              <c:numCache>
                <c:formatCode>General</c:formatCode>
                <c:ptCount val="2"/>
                <c:pt idx="0">
                  <c:v>212.54</c:v>
                </c:pt>
              </c:numCache>
            </c:numRef>
          </c:val>
        </c:ser>
        <c:dLbls>
          <c:showLegendKey val="0"/>
          <c:showVal val="0"/>
          <c:showCatName val="0"/>
          <c:showSerName val="0"/>
          <c:showPercent val="0"/>
          <c:showBubbleSize val="0"/>
        </c:dLbls>
        <c:gapWidth val="219"/>
        <c:overlap val="-27"/>
        <c:axId val="595001048"/>
        <c:axId val="965212002"/>
      </c:barChart>
      <c:catAx>
        <c:axId val="595001048"/>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965212002"/>
        <c:crosses val="autoZero"/>
        <c:auto val="1"/>
        <c:lblAlgn val="ctr"/>
        <c:lblOffset val="100"/>
        <c:noMultiLvlLbl val="0"/>
      </c:catAx>
      <c:valAx>
        <c:axId val="965212002"/>
        <c:scaling>
          <c:orientation val="minMax"/>
        </c:scaling>
        <c:delete val="0"/>
        <c:axPos val="l"/>
        <c:majorGridlines>
          <c:spPr>
            <a:ln w="12700" cap="flat" cmpd="sng" algn="ctr">
              <a:solidFill>
                <a:srgbClr val="D8D8D8"/>
              </a:solidFill>
              <a:prstDash val="solid"/>
              <a:round/>
            </a:ln>
          </c:spPr>
        </c:majorGridlines>
        <c:numFmt formatCode="General" sourceLinked="1"/>
        <c:majorTickMark val="none"/>
        <c:minorTickMark val="none"/>
        <c:tickLblPos val="nextTo"/>
        <c:spPr>
          <a:ln w="12700"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595001048"/>
        <c:crosses val="autoZero"/>
        <c:crossBetween val="between"/>
      </c:valAx>
      <c:spPr>
        <a:noFill/>
        <a:ln w="12700">
          <a:noFill/>
        </a:ln>
      </c:spPr>
    </c:plotArea>
    <c:plotVisOnly val="1"/>
    <c:dispBlanksAs val="gap"/>
    <c:showDLblsOverMax val="0"/>
    <c:extLst>
      <c:ext uri="{0b15fc19-7d7d-44ad-8c2d-2c3a37ce22c3}">
        <chartProps xmlns="https://web.wps.cn/et/2018/main" chartId="{c9624ca4-c6aa-4c45-86cc-9df3a1531664}"/>
      </c:ext>
    </c:extLst>
  </c:chart>
  <c:spPr>
    <a:solidFill>
      <a:srgbClr val="FFFFFF"/>
    </a:solidFill>
    <a:ln w="12700" cap="flat" cmpd="sng" algn="ctr">
      <a:solidFill>
        <a:srgbClr val="D8D8D8"/>
      </a:solidFill>
      <a:prstDash val="solid"/>
      <a:round/>
    </a:ln>
  </c:spPr>
  <c:txPr>
    <a:bodyPr rot="0" wrap="square" anchor="ctr" anchorCtr="1"/>
    <a:lstStyle/>
    <a:p>
      <a:pPr>
        <a:defRPr lang="zh-CN" sz="900" b="0" i="0" u="none" strike="noStrike">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5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t>一般公共预算财政拨款支出决算结构</a:t>
            </a:r>
            <a:endParaRPr sz="1500" b="0" i="0" u="none" strike="noStrike">
              <a:solidFill>
                <a:srgbClr val="595959"/>
              </a:solidFill>
              <a:latin typeface="Times New Roman" panose="02020603050405020304"/>
              <a:ea typeface="宋体" panose="02010600030101010101" charset="-122"/>
              <a:cs typeface="Arial" panose="020B0604020202020204" pitchFamily="2"/>
            </a:endParaRPr>
          </a:p>
        </c:rich>
      </c:tx>
      <c:layout>
        <c:manualLayout>
          <c:xMode val="edge"/>
          <c:yMode val="edge"/>
          <c:x val="0.219005"/>
          <c:y val="0.006245"/>
        </c:manualLayout>
      </c:layout>
      <c:overlay val="0"/>
    </c:title>
    <c:autoTitleDeleted val="0"/>
    <c:plotArea>
      <c:layout>
        <c:manualLayout>
          <c:layoutTarget val="inner"/>
          <c:xMode val="edge"/>
          <c:yMode val="edge"/>
          <c:x val="0.4155"/>
          <c:y val="0.162"/>
          <c:w val="0.16675"/>
          <c:h val="0.233"/>
        </c:manualLayout>
      </c:layout>
      <c:pieChart>
        <c:varyColors val="1"/>
        <c:ser>
          <c:idx val="0"/>
          <c:order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solidFill>
              <a:prstDash val="solid"/>
            </a:ln>
          </c:spPr>
          <c:explosion val="0"/>
          <c:dPt>
            <c:idx val="0"/>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solidFill>
                <a:prstDash val="solid"/>
              </a:ln>
            </c:spPr>
          </c:dPt>
          <c:dPt>
            <c:idx val="1"/>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solidFill>
                <a:prstDash val="solid"/>
              </a:ln>
            </c:spPr>
          </c:dPt>
          <c:dPt>
            <c:idx val="2"/>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solidFill>
                <a:prstDash val="solid"/>
              </a:ln>
            </c:spPr>
          </c:dPt>
          <c:dPt>
            <c:idx val="3"/>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solidFill>
                <a:prstDash val="solid"/>
              </a:ln>
            </c:spPr>
          </c:dPt>
          <c:dPt>
            <c:idx val="4"/>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solidFill>
                <a:prstDash val="solid"/>
              </a:ln>
            </c:spPr>
          </c:dPt>
          <c:dPt>
            <c:idx val="5"/>
            <c:bubble3D val="0"/>
            <c:explosion val="0"/>
            <c:spPr>
              <a:solidFill>
                <a:srgbClr val="70AD47"/>
              </a:solidFill>
              <a:ln w="25400">
                <a:solidFill>
                  <a:srgbClr val="FFFFFF"/>
                </a:solidFill>
                <a:prstDash val="solid"/>
              </a:ln>
            </c:spPr>
          </c:dPt>
          <c:dPt>
            <c:idx val="6"/>
            <c:bubble3D val="0"/>
            <c:explosion val="0"/>
            <c:spPr>
              <a:solidFill>
                <a:srgbClr val="255E91"/>
              </a:solidFill>
              <a:ln w="25400">
                <a:solidFill>
                  <a:srgbClr val="FFFFFF"/>
                </a:solidFill>
                <a:prstDash val="solid"/>
              </a:ln>
            </c:spPr>
          </c:dPt>
          <c:dPt>
            <c:idx val="7"/>
            <c:bubble3D val="0"/>
            <c:explosion val="0"/>
            <c:spPr>
              <a:solidFill>
                <a:srgbClr val="9E480E"/>
              </a:solidFill>
              <a:ln w="25400">
                <a:solidFill>
                  <a:srgbClr val="FFFFFF"/>
                </a:solidFill>
                <a:prstDash val="solid"/>
              </a:ln>
            </c:spPr>
          </c:dPt>
          <c:dPt>
            <c:idx val="8"/>
            <c:bubble3D val="0"/>
            <c:explosion val="0"/>
            <c:spPr>
              <a:solidFill>
                <a:srgbClr val="636363"/>
              </a:solidFill>
              <a:ln w="25400">
                <a:solidFill>
                  <a:srgbClr val="FFFFFF"/>
                </a:solidFill>
                <a:prstDash val="solid"/>
              </a:ln>
            </c:spPr>
          </c:dPt>
          <c:dPt>
            <c:idx val="9"/>
            <c:bubble3D val="0"/>
            <c:explosion val="0"/>
            <c:spPr>
              <a:solidFill>
                <a:srgbClr val="997300"/>
              </a:solidFill>
              <a:ln w="25400">
                <a:solidFill>
                  <a:srgbClr val="FFFFFF"/>
                </a:solidFill>
                <a:prstDash val="solid"/>
              </a:ln>
            </c:spPr>
          </c:dPt>
          <c:dPt>
            <c:idx val="10"/>
            <c:bubble3D val="0"/>
            <c:explosion val="0"/>
            <c:spPr>
              <a:solidFill>
                <a:srgbClr val="264478"/>
              </a:solidFill>
              <a:ln w="25400">
                <a:solidFill>
                  <a:srgbClr val="FFFFFF"/>
                </a:solidFill>
                <a:prstDash val="solid"/>
              </a:ln>
            </c:spPr>
          </c:dPt>
          <c:dPt>
            <c:idx val="11"/>
            <c:bubble3D val="0"/>
            <c:explosion val="0"/>
            <c:spPr>
              <a:solidFill>
                <a:srgbClr val="43682B"/>
              </a:solidFill>
              <a:ln w="25400">
                <a:solidFill>
                  <a:srgbClr val="FFFFFF"/>
                </a:solidFill>
                <a:prstDash val="solid"/>
              </a:ln>
            </c:spPr>
          </c:dPt>
          <c:dPt>
            <c:idx val="12"/>
            <c:bubble3D val="0"/>
            <c:explosion val="0"/>
            <c:spPr>
              <a:solidFill>
                <a:srgbClr val="7CAFDD"/>
              </a:solidFill>
              <a:ln w="25400">
                <a:solidFill>
                  <a:srgbClr val="FFFFFF"/>
                </a:solidFill>
                <a:prstDash val="solid"/>
              </a:ln>
            </c:spPr>
          </c:dPt>
          <c:dPt>
            <c:idx val="13"/>
            <c:bubble3D val="0"/>
            <c:explosion val="0"/>
            <c:spPr>
              <a:solidFill>
                <a:srgbClr val="F1975A"/>
              </a:solidFill>
              <a:ln w="25400">
                <a:solidFill>
                  <a:srgbClr val="FFFFFF"/>
                </a:solidFill>
                <a:prstDash val="solid"/>
              </a:ln>
            </c:spPr>
          </c:dPt>
          <c:dPt>
            <c:idx val="14"/>
            <c:bubble3D val="0"/>
            <c:explosion val="0"/>
            <c:spPr>
              <a:solidFill>
                <a:srgbClr val="B7B7B7"/>
              </a:solidFill>
              <a:ln w="25400">
                <a:solidFill>
                  <a:srgbClr val="FFFFFF"/>
                </a:solidFill>
                <a:prstDash val="solid"/>
              </a:ln>
            </c:spPr>
          </c:dPt>
          <c:dPt>
            <c:idx val="15"/>
            <c:bubble3D val="0"/>
            <c:explosion val="0"/>
            <c:spPr>
              <a:solidFill>
                <a:srgbClr val="FFCD33"/>
              </a:solidFill>
              <a:ln w="25400">
                <a:solidFill>
                  <a:srgbClr val="FFFFFF"/>
                </a:solidFill>
                <a:prstDash val="solid"/>
              </a:ln>
            </c:spPr>
          </c:dPt>
          <c:dPt>
            <c:idx val="16"/>
            <c:bubble3D val="0"/>
            <c:explosion val="0"/>
            <c:spPr>
              <a:solidFill>
                <a:srgbClr val="698ED0"/>
              </a:solidFill>
              <a:ln w="25400">
                <a:solidFill>
                  <a:srgbClr val="FFFFFF"/>
                </a:solidFill>
                <a:prstDash val="solid"/>
              </a:ln>
            </c:spPr>
          </c:dPt>
          <c:dPt>
            <c:idx val="17"/>
            <c:bubble3D val="0"/>
            <c:explosion val="0"/>
            <c:spPr>
              <a:solidFill>
                <a:srgbClr val="8CC168"/>
              </a:solidFill>
              <a:ln w="25400">
                <a:solidFill>
                  <a:srgbClr val="FFFFFF"/>
                </a:solidFill>
                <a:prstDash val="solid"/>
              </a:ln>
            </c:spPr>
          </c:dPt>
          <c:dPt>
            <c:idx val="18"/>
            <c:bubble3D val="0"/>
            <c:explosion val="0"/>
            <c:spPr>
              <a:solidFill>
                <a:srgbClr val="327DC2"/>
              </a:solidFill>
              <a:ln w="25400">
                <a:solidFill>
                  <a:srgbClr val="FFFFFF"/>
                </a:solidFill>
                <a:prstDash val="solid"/>
              </a:ln>
            </c:spPr>
          </c:dPt>
          <c:dPt>
            <c:idx val="19"/>
            <c:bubble3D val="0"/>
            <c:explosion val="0"/>
            <c:spPr>
              <a:solidFill>
                <a:srgbClr val="D26012"/>
              </a:solidFill>
              <a:ln w="25400">
                <a:solidFill>
                  <a:srgbClr val="FFFFFF"/>
                </a:solidFill>
                <a:prstDash val="solid"/>
              </a:ln>
            </c:spPr>
          </c:dPt>
          <c:dPt>
            <c:idx val="20"/>
            <c:bubble3D val="0"/>
            <c:explosion val="0"/>
            <c:spPr>
              <a:solidFill>
                <a:srgbClr val="848484"/>
              </a:solidFill>
              <a:ln w="25400">
                <a:solidFill>
                  <a:srgbClr val="FFFFFF"/>
                </a:solidFill>
                <a:prstDash val="solid"/>
              </a:ln>
            </c:spPr>
          </c:dPt>
          <c:dPt>
            <c:idx val="21"/>
            <c:bubble3D val="0"/>
            <c:explosion val="0"/>
            <c:spPr>
              <a:solidFill>
                <a:srgbClr val="CC9A00"/>
              </a:solidFill>
              <a:ln w="25400">
                <a:solidFill>
                  <a:srgbClr val="FFFFFF"/>
                </a:solidFill>
                <a:prstDash val="solid"/>
              </a:ln>
            </c:spPr>
          </c:dPt>
          <c:dPt>
            <c:idx val="22"/>
            <c:bubble3D val="0"/>
            <c:explosion val="0"/>
            <c:spPr>
              <a:solidFill>
                <a:srgbClr val="335AA1"/>
              </a:solidFill>
              <a:ln w="25400">
                <a:solidFill>
                  <a:srgbClr val="FFFFFF"/>
                </a:solidFill>
                <a:prstDash val="solid"/>
              </a:ln>
            </c:spPr>
          </c:dPt>
          <c:dPt>
            <c:idx val="23"/>
            <c:bubble3D val="0"/>
            <c:explosion val="0"/>
            <c:spPr>
              <a:solidFill>
                <a:srgbClr val="5A8A39"/>
              </a:solidFill>
              <a:ln w="25400">
                <a:solidFill>
                  <a:srgbClr val="FFFFFF"/>
                </a:solidFill>
                <a:prstDash val="solid"/>
              </a:ln>
            </c:spPr>
          </c:dPt>
          <c:dLbls>
            <c:dLbl>
              <c:idx val="5"/>
              <c:delete val="1"/>
            </c:dLbl>
            <c:dLbl>
              <c:idx val="6"/>
              <c:delete val="1"/>
            </c:dLbl>
            <c:dLbl>
              <c:idx val="7"/>
              <c:delete val="1"/>
            </c:dLbl>
            <c:dLbl>
              <c:idx val="8"/>
              <c:delete val="1"/>
            </c:dLbl>
            <c:dLbl>
              <c:idx val="9"/>
              <c:delete val="1"/>
            </c:dLbl>
            <c:dLbl>
              <c:idx val="10"/>
              <c:layout>
                <c:manualLayout>
                  <c:x val="0.007928"/>
                  <c:y val="-0.00322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t>122.89</a:t>
                    </a:r>
                    <a:endParaRPr lang="en-US"/>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1"/>
              <c:delete val="1"/>
            </c:dLbl>
            <c:dLbl>
              <c:idx val="12"/>
              <c:delete val="1"/>
            </c:dLbl>
            <c:dLbl>
              <c:idx val="13"/>
              <c:delete val="1"/>
            </c:dLbl>
            <c:dLbl>
              <c:idx val="14"/>
              <c:delete val="1"/>
            </c:dLbl>
            <c:dLbl>
              <c:idx val="15"/>
              <c:delete val="1"/>
            </c:dLbl>
            <c:dLbl>
              <c:idx val="16"/>
              <c:delete val="1"/>
            </c:dLbl>
            <c:dLbl>
              <c:idx val="17"/>
              <c:delete val="1"/>
            </c:dLbl>
            <c:dLbl>
              <c:idx val="18"/>
              <c:layout>
                <c:manualLayout>
                  <c:x val="-0.06179"/>
                  <c:y val="0.09807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rgbClr val="3F3F3F"/>
                        </a:solidFill>
                        <a:latin typeface="Times New Roman" panose="02020603050405020304"/>
                        <a:ea typeface="宋体" panose="02010600030101010101" charset="-122"/>
                        <a:cs typeface="Arial" panose="020B0604020202020204" pitchFamily="2"/>
                      </a:defRPr>
                    </a:pPr>
                    <a:r>
                      <a:rPr lang="en-US"/>
                      <a:t>6.65</a:t>
                    </a:r>
                    <a:endParaRPr lang="en-US"/>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eparator>, </c:separator>
              <c:extLst>
                <c:ext xmlns:c15="http://schemas.microsoft.com/office/drawing/2012/chart" uri="{CE6537A1-D6FC-4f65-9D91-7224C49458BB}">
                  <c15:layout/>
                </c:ext>
              </c:extLst>
            </c:dLbl>
            <c:dLbl>
              <c:idx val="19"/>
              <c:delete val="1"/>
            </c:dLbl>
            <c:dLbl>
              <c:idx val="20"/>
              <c:delete val="1"/>
            </c:dLbl>
            <c:dLbl>
              <c:idx val="21"/>
              <c:layout>
                <c:manualLayout>
                  <c:x val="0.063889"/>
                  <c:y val="0.02810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t>8.89</a:t>
                    </a:r>
                    <a:endParaRPr lang="en-US"/>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2"/>
              <c:delete val="1"/>
            </c:dLbl>
            <c:dLbl>
              <c:idx val="2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[图形.xls]Sheet1!$M$38:$M$61</c:f>
              <c:strCache>
                <c:ptCount val="24"/>
                <c:pt idx="0">
                  <c:v>一般公共服务</c:v>
                </c:pt>
                <c:pt idx="1">
                  <c:v>公共安全支出</c:v>
                </c:pt>
                <c:pt idx="2">
                  <c:v>文化旅游体育与传媒</c:v>
                </c:pt>
                <c:pt idx="3">
                  <c:v>节能环保支出</c:v>
                </c:pt>
                <c:pt idx="4">
                  <c:v>交通运输支出</c:v>
                </c:pt>
                <c:pt idx="5">
                  <c:v>金融支出</c:v>
                </c:pt>
                <c:pt idx="6">
                  <c:v>住房保障支出</c:v>
                </c:pt>
                <c:pt idx="7">
                  <c:v>灾害防治及应急管理支出</c:v>
                </c:pt>
                <c:pt idx="8">
                  <c:v>外交支出</c:v>
                </c:pt>
                <c:pt idx="9">
                  <c:v>教育支出</c:v>
                </c:pt>
                <c:pt idx="10">
                  <c:v>社会保障和就业</c:v>
                </c:pt>
                <c:pt idx="11">
                  <c:v>城乡社区支出</c:v>
                </c:pt>
                <c:pt idx="12">
                  <c:v>资源勘探信息等支出</c:v>
                </c:pt>
                <c:pt idx="13">
                  <c:v>援助其他地区支出</c:v>
                </c:pt>
                <c:pt idx="14">
                  <c:v>粮油物资储备支出</c:v>
                </c:pt>
                <c:pt idx="15">
                  <c:v>其他支出</c:v>
                </c:pt>
                <c:pt idx="16">
                  <c:v>国防支出</c:v>
                </c:pt>
                <c:pt idx="17">
                  <c:v>科学支出</c:v>
                </c:pt>
                <c:pt idx="18">
                  <c:v>卫生健康支出</c:v>
                </c:pt>
                <c:pt idx="19">
                  <c:v>农林水支出</c:v>
                </c:pt>
                <c:pt idx="20">
                  <c:v>商业服务业等支出</c:v>
                </c:pt>
                <c:pt idx="21">
                  <c:v>自然资源海洋气象等支出</c:v>
                </c:pt>
              </c:strCache>
            </c:strRef>
          </c:cat>
          <c:val>
            <c:numRef>
              <c:f>[图形.xls]Sheet1!$N$38:$N$61</c:f>
              <c:numCache>
                <c:formatCode>General</c:formatCode>
                <c:ptCount val="24"/>
                <c:pt idx="0">
                  <c:v>0</c:v>
                </c:pt>
                <c:pt idx="1">
                  <c:v>0</c:v>
                </c:pt>
                <c:pt idx="2">
                  <c:v>0</c:v>
                </c:pt>
                <c:pt idx="3">
                  <c:v>0</c:v>
                </c:pt>
                <c:pt idx="4">
                  <c:v>0</c:v>
                </c:pt>
                <c:pt idx="5">
                  <c:v>0</c:v>
                </c:pt>
                <c:pt idx="6">
                  <c:v>9.85</c:v>
                </c:pt>
                <c:pt idx="7">
                  <c:v>0</c:v>
                </c:pt>
                <c:pt idx="8">
                  <c:v>0</c:v>
                </c:pt>
                <c:pt idx="9">
                  <c:v>0</c:v>
                </c:pt>
                <c:pt idx="10">
                  <c:v>195.09</c:v>
                </c:pt>
                <c:pt idx="11">
                  <c:v>0</c:v>
                </c:pt>
                <c:pt idx="12">
                  <c:v>0</c:v>
                </c:pt>
                <c:pt idx="13">
                  <c:v>0</c:v>
                </c:pt>
                <c:pt idx="14">
                  <c:v>0</c:v>
                </c:pt>
                <c:pt idx="15">
                  <c:v>0</c:v>
                </c:pt>
                <c:pt idx="16">
                  <c:v>0</c:v>
                </c:pt>
                <c:pt idx="17">
                  <c:v>0</c:v>
                </c:pt>
                <c:pt idx="18">
                  <c:v>7.59</c:v>
                </c:pt>
                <c:pt idx="19">
                  <c:v>0</c:v>
                </c:pt>
                <c:pt idx="20">
                  <c:v>0</c:v>
                </c:pt>
                <c:pt idx="21">
                  <c:v>0</c:v>
                </c:pt>
              </c:numCache>
            </c:numRef>
          </c:val>
        </c:ser>
        <c:dLbls>
          <c:showLegendKey val="0"/>
          <c:showVal val="0"/>
          <c:showCatName val="0"/>
          <c:showSerName val="0"/>
          <c:showPercent val="0"/>
          <c:showBubbleSize val="0"/>
          <c:showLeaderLines val="1"/>
        </c:dLbls>
        <c:firstSliceAng val="0"/>
      </c:pieChart>
      <c:spPr>
        <a:noFill/>
        <a:ln w="12700">
          <a:noFill/>
        </a:ln>
      </c:spPr>
    </c:plotArea>
    <c:legend>
      <c:legendPos val="r"/>
      <c:layout>
        <c:manualLayout>
          <c:xMode val="edge"/>
          <c:yMode val="edge"/>
          <c:x val="0.098221"/>
          <c:y val="0.497755"/>
          <c:w val="0.82725"/>
          <c:h val="0.496"/>
        </c:manualLayout>
      </c:layout>
      <c:overlay val="0"/>
      <c:spPr>
        <a:noFill/>
        <a:ln w="12700">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zero"/>
    <c:showDLblsOverMax val="0"/>
    <c:extLst>
      <c:ext uri="{0b15fc19-7d7d-44ad-8c2d-2c3a37ce22c3}">
        <chartProps xmlns="https://web.wps.cn/et/2018/main" chartId="{1d94fbe2-6c05-4e72-8df7-9f94d90e5391}"/>
      </c:ext>
    </c:extLst>
  </c:chart>
  <c:spPr>
    <a:solidFill>
      <a:srgbClr val="FFFFFF"/>
    </a:solidFill>
    <a:ln w="12700" cap="flat" cmpd="sng" algn="ctr">
      <a:solidFill>
        <a:srgbClr val="D8D8D8"/>
      </a:solidFill>
      <a:prstDash val="solid"/>
      <a:round/>
    </a:ln>
  </c:spPr>
  <c:txPr>
    <a:bodyPr rot="0" wrap="square" anchor="ctr" anchorCtr="1"/>
    <a:lstStyle/>
    <a:p>
      <a:pPr>
        <a:defRPr lang="zh-CN" sz="900" b="0" i="0" u="none" strike="noStrike">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sz="1400" b="0" i="0" u="none" strike="noStrike">
                <a:solidFill>
                  <a:srgbClr val="595959"/>
                </a:solidFill>
                <a:latin typeface="宋体" panose="02010600030101010101" charset="-122"/>
                <a:ea typeface="宋体" panose="02010600030101010101" charset="-122"/>
                <a:cs typeface="宋体" panose="02010600030101010101" charset="-122"/>
              </a:rPr>
              <a:t>红原县红十字会202</a:t>
            </a:r>
            <a:r>
              <a:rPr lang="en-US" altLang="zh-CN" sz="1400" b="0" i="0" u="none" strike="noStrike">
                <a:solidFill>
                  <a:srgbClr val="595959"/>
                </a:solidFill>
                <a:latin typeface="宋体" panose="02010600030101010101" charset="-122"/>
                <a:ea typeface="宋体" panose="02010600030101010101" charset="-122"/>
                <a:cs typeface="宋体" panose="02010600030101010101" charset="-122"/>
              </a:rPr>
              <a:t>4</a:t>
            </a:r>
            <a:r>
              <a:rPr sz="1400" b="0" i="0" u="none" strike="noStrike">
                <a:solidFill>
                  <a:srgbClr val="595959"/>
                </a:solidFill>
                <a:latin typeface="宋体" panose="02010600030101010101" charset="-122"/>
                <a:ea typeface="宋体" panose="02010600030101010101" charset="-122"/>
                <a:cs typeface="宋体" panose="02010600030101010101" charset="-122"/>
              </a:rPr>
              <a:t>年“三公”经费财政拨款支出结构</a:t>
            </a:r>
            <a:endParaRPr sz="1200" b="0" i="0" u="none" strike="noStrike">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114414"/>
          <c:y val="0.02552"/>
        </c:manualLayout>
      </c:layout>
      <c:overlay val="0"/>
    </c:title>
    <c:autoTitleDeleted val="0"/>
    <c:plotArea>
      <c:layout>
        <c:manualLayout>
          <c:layoutTarget val="inner"/>
          <c:xMode val="edge"/>
          <c:yMode val="edge"/>
          <c:x val="0.354"/>
          <c:y val="0.3005"/>
          <c:w val="0.2915"/>
          <c:h val="0.4405"/>
        </c:manualLayout>
      </c:layout>
      <c:pieChart>
        <c:varyColors val="1"/>
        <c:ser>
          <c:idx val="0"/>
          <c:order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solidFill>
              <a:prstDash val="solid"/>
            </a:ln>
          </c:spPr>
          <c:explosion val="0"/>
          <c:dPt>
            <c:idx val="0"/>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solidFill>
                <a:prstDash val="solid"/>
              </a:ln>
            </c:spPr>
          </c:dPt>
          <c:dPt>
            <c:idx val="1"/>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solidFill>
                <a:prstDash val="solid"/>
              </a:ln>
            </c:spPr>
          </c:dPt>
          <c:dPt>
            <c:idx val="2"/>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solidFill>
                <a:prstDash val="solid"/>
              </a:ln>
            </c:spPr>
          </c:dPt>
          <c:dLbls>
            <c:dLbl>
              <c:idx val="1"/>
              <c:layout>
                <c:manualLayout>
                  <c:x val="0.00167266280659597"/>
                  <c:y val="-0.086471316984876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t>2.62</a:t>
                    </a:r>
                    <a:endParaRPr lang="en-US"/>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[图形.xls]Sheet1!$B$49:$B$51</c:f>
              <c:strCache>
                <c:ptCount val="3"/>
                <c:pt idx="0">
                  <c:v>因公出国（境）费</c:v>
                </c:pt>
                <c:pt idx="1">
                  <c:v>公务用车购置及运行维护费</c:v>
                </c:pt>
                <c:pt idx="2">
                  <c:v>公务接待费</c:v>
                </c:pt>
              </c:strCache>
            </c:strRef>
          </c:cat>
          <c:val>
            <c:numRef>
              <c:f>[图形.xls]Sheet1!$C$49:$C$51</c:f>
              <c:numCache>
                <c:formatCode>General</c:formatCode>
                <c:ptCount val="3"/>
                <c:pt idx="0">
                  <c:v>0</c:v>
                </c:pt>
                <c:pt idx="1">
                  <c:v>2.61</c:v>
                </c:pt>
                <c:pt idx="2">
                  <c:v>0</c:v>
                </c:pt>
              </c:numCache>
            </c:numRef>
          </c:val>
        </c:ser>
        <c:dLbls>
          <c:showLegendKey val="0"/>
          <c:showVal val="0"/>
          <c:showCatName val="0"/>
          <c:showSerName val="0"/>
          <c:showPercent val="0"/>
          <c:showBubbleSize val="0"/>
          <c:showLeaderLines val="1"/>
        </c:dLbls>
        <c:firstSliceAng val="0"/>
      </c:pieChart>
      <c:spPr>
        <a:noFill/>
        <a:ln w="12700">
          <a:noFill/>
        </a:ln>
      </c:spPr>
    </c:plotArea>
    <c:legend>
      <c:legendPos val="r"/>
      <c:layout>
        <c:manualLayout>
          <c:xMode val="edge"/>
          <c:yMode val="edge"/>
          <c:x val="0.09775"/>
          <c:y val="0.8505"/>
          <c:w val="0.83235"/>
          <c:h val="0.117278"/>
        </c:manualLayout>
      </c:layout>
      <c:overlay val="0"/>
      <c:spPr>
        <a:noFill/>
        <a:ln w="12700">
          <a:noFill/>
        </a:ln>
      </c:spPr>
      <c:txPr>
        <a:bodyPr rot="0" spcFirstLastPara="0" vertOverflow="ellipsis" vert="horz" wrap="square" anchor="ctr" anchorCtr="1"/>
        <a:lstStyle/>
        <a:p>
          <a:pPr>
            <a:defRPr lang="zh-CN" sz="10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zero"/>
    <c:showDLblsOverMax val="0"/>
    <c:extLst>
      <c:ext uri="{0b15fc19-7d7d-44ad-8c2d-2c3a37ce22c3}">
        <chartProps xmlns="https://web.wps.cn/et/2018/main" chartId="{93ab913c-741f-411b-9d36-5a2779695904}"/>
      </c:ext>
    </c:extLst>
  </c:chart>
  <c:spPr>
    <a:solidFill>
      <a:srgbClr val="FFFFFF"/>
    </a:solidFill>
    <a:ln w="12700" cap="flat" cmpd="sng" algn="ctr">
      <a:solidFill>
        <a:srgbClr val="D8D8D8"/>
      </a:solidFill>
      <a:prstDash val="solid"/>
      <a:round/>
    </a:ln>
  </c:spPr>
  <c:txPr>
    <a:bodyPr rot="0" wrap="square" anchor="ctr" anchorCtr="1"/>
    <a:lstStyle/>
    <a:p>
      <a:pPr>
        <a:defRPr lang="zh-CN" sz="900" b="0" i="0" u="none" strike="noStrike">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766</Words>
  <Characters>776</Characters>
  <TotalTime>8</TotalTime>
  <ScaleCrop>false</ScaleCrop>
  <LinksUpToDate>false</LinksUpToDate>
  <CharactersWithSpaces>783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谢</cp:lastModifiedBy>
  <dcterms:modified xsi:type="dcterms:W3CDTF">2025-09-23T03:47:59Z</dcterms:modified>
  <dc:title>四川省***</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5601D895A9B446A2AB628362097394F8_13</vt:lpwstr>
  </property>
  <property fmtid="{D5CDD505-2E9C-101B-9397-08002B2CF9AE}" pid="4" name="KSOTemplateDocerSaveRecord">
    <vt:lpwstr>eyJoZGlkIjoiMjQ0N2FiMTA2M2NkM2JmZjhmMDE0YzU5ZTA0OGNmNGMiLCJ1c2VySWQiOiI1ODAzNzUzNDUifQ==</vt:lpwstr>
  </property>
</Properties>
</file>