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3482AC">
      <w:pPr>
        <w:spacing w:line="600" w:lineRule="exact"/>
        <w:jc w:val="center"/>
        <w:outlineLvl w:val="0"/>
        <w:rPr>
          <w:rFonts w:ascii="方正小标宋简体" w:hAnsi="宋体" w:eastAsia="方正小标宋简体"/>
          <w:sz w:val="72"/>
          <w:szCs w:val="72"/>
        </w:rPr>
      </w:pPr>
      <w:bookmarkStart w:id="0" w:name="_Toc15378441"/>
      <w:bookmarkStart w:id="1" w:name="_Toc15396597"/>
      <w:bookmarkStart w:id="2" w:name="_Toc15396475"/>
      <w:bookmarkStart w:id="3" w:name="_Toc15377425"/>
      <w:bookmarkStart w:id="4" w:name="_Toc15377193"/>
      <w:bookmarkStart w:id="5" w:name="_Toc15306267"/>
    </w:p>
    <w:p w14:paraId="6BDE240E">
      <w:pPr>
        <w:pStyle w:val="5"/>
        <w:spacing w:before="93"/>
      </w:pPr>
    </w:p>
    <w:p w14:paraId="59BCF469">
      <w:pPr>
        <w:spacing w:line="600" w:lineRule="exact"/>
        <w:jc w:val="center"/>
        <w:outlineLvl w:val="0"/>
        <w:rPr>
          <w:rFonts w:ascii="方正小标宋简体" w:hAnsi="宋体" w:eastAsia="方正小标宋简体"/>
          <w:sz w:val="72"/>
          <w:szCs w:val="72"/>
        </w:rPr>
      </w:pPr>
    </w:p>
    <w:p w14:paraId="7AEADE13">
      <w:pPr>
        <w:spacing w:line="600" w:lineRule="exact"/>
        <w:jc w:val="center"/>
        <w:outlineLvl w:val="0"/>
        <w:rPr>
          <w:rFonts w:ascii="方正小标宋简体" w:hAnsi="宋体" w:eastAsia="方正小标宋简体"/>
          <w:sz w:val="72"/>
          <w:szCs w:val="72"/>
        </w:rPr>
      </w:pPr>
    </w:p>
    <w:p w14:paraId="435E0B20">
      <w:pPr>
        <w:adjustRightInd w:val="0"/>
        <w:snapToGrid w:val="0"/>
        <w:spacing w:line="360" w:lineRule="auto"/>
        <w:jc w:val="center"/>
        <w:outlineLvl w:val="0"/>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2023年度</w:t>
      </w:r>
      <w:bookmarkEnd w:id="0"/>
      <w:bookmarkEnd w:id="1"/>
      <w:bookmarkEnd w:id="2"/>
      <w:bookmarkEnd w:id="3"/>
      <w:bookmarkEnd w:id="4"/>
    </w:p>
    <w:p w14:paraId="34CB09EB">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15377426"/>
      <w:bookmarkStart w:id="7" w:name="_Toc15396476"/>
      <w:bookmarkStart w:id="8" w:name="_Toc15377194"/>
      <w:bookmarkStart w:id="9" w:name="_Toc15396598"/>
      <w:bookmarkStart w:id="10" w:name="_Toc15378442"/>
      <w:r>
        <w:rPr>
          <w:rFonts w:hint="eastAsia" w:ascii="方正小标宋简体" w:hAnsi="方正小标宋简体" w:eastAsia="方正小标宋简体" w:cs="方正小标宋简体"/>
          <w:sz w:val="72"/>
          <w:szCs w:val="72"/>
        </w:rPr>
        <w:t>四川省</w:t>
      </w:r>
      <w:bookmarkEnd w:id="5"/>
      <w:bookmarkStart w:id="11" w:name="_Toc15306268"/>
      <w:r>
        <w:rPr>
          <w:rFonts w:hint="eastAsia" w:ascii="方正小标宋简体" w:hAnsi="方正小标宋简体" w:eastAsia="方正小标宋简体" w:cs="方正小标宋简体"/>
          <w:sz w:val="72"/>
          <w:szCs w:val="72"/>
          <w:lang w:eastAsia="zh-CN"/>
        </w:rPr>
        <w:t>阿坝州红原县红十字会</w:t>
      </w:r>
      <w:r>
        <w:rPr>
          <w:rFonts w:hint="eastAsia" w:ascii="方正小标宋简体" w:hAnsi="方正小标宋简体" w:eastAsia="方正小标宋简体" w:cs="方正小标宋简体"/>
          <w:sz w:val="72"/>
          <w:szCs w:val="72"/>
        </w:rPr>
        <w:t>部门决算</w:t>
      </w:r>
      <w:bookmarkEnd w:id="6"/>
      <w:bookmarkEnd w:id="7"/>
      <w:bookmarkEnd w:id="8"/>
      <w:bookmarkEnd w:id="9"/>
      <w:bookmarkEnd w:id="10"/>
      <w:bookmarkEnd w:id="11"/>
    </w:p>
    <w:p w14:paraId="14D906F1">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14:paraId="00B30518">
      <w:pPr>
        <w:widowControl/>
        <w:jc w:val="center"/>
        <w:rPr>
          <w:rFonts w:ascii="黑体" w:hAnsi="黑体" w:eastAsia="黑体" w:cstheme="minorBidi"/>
          <w:sz w:val="28"/>
          <w:szCs w:val="28"/>
        </w:rPr>
      </w:pPr>
    </w:p>
    <w:p w14:paraId="4912C946">
      <w:pPr>
        <w:pStyle w:val="11"/>
      </w:pPr>
      <w:r>
        <w:rPr>
          <w:rFonts w:hint="eastAsia"/>
        </w:rPr>
        <w:t>公开时间：202</w:t>
      </w:r>
      <w:r>
        <w:rPr>
          <w:rFonts w:hint="eastAsia"/>
          <w:lang w:val="en-US" w:eastAsia="zh-CN"/>
        </w:rPr>
        <w:t>4</w:t>
      </w:r>
      <w:r>
        <w:rPr>
          <w:rFonts w:hint="eastAsia"/>
        </w:rPr>
        <w:t>年</w:t>
      </w:r>
      <w:r>
        <w:rPr>
          <w:rFonts w:hint="eastAsia"/>
          <w:lang w:val="en-US" w:eastAsia="zh-CN"/>
        </w:rPr>
        <w:t>11</w:t>
      </w:r>
      <w:r>
        <w:rPr>
          <w:rFonts w:hint="eastAsia"/>
        </w:rPr>
        <w:t>月</w:t>
      </w:r>
      <w:r>
        <w:rPr>
          <w:rFonts w:hint="eastAsia"/>
          <w:lang w:val="en-US" w:eastAsia="zh-CN"/>
        </w:rPr>
        <w:t>18</w:t>
      </w:r>
      <w:r>
        <w:rPr>
          <w:rFonts w:hint="eastAsia"/>
        </w:rPr>
        <w:t>日</w:t>
      </w:r>
    </w:p>
    <w:p w14:paraId="3BCA2605"/>
    <w:p w14:paraId="2D073B27">
      <w:pPr>
        <w:pStyle w:val="11"/>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p>
    <w:p w14:paraId="501A4C25">
      <w:pPr>
        <w:pStyle w:val="12"/>
        <w:adjustRightInd w:val="0"/>
        <w:snapToGrid w:val="0"/>
        <w:spacing w:line="440" w:lineRule="exact"/>
        <w:jc w:val="left"/>
        <w:rPr>
          <w:rFonts w:ascii="仿宋" w:hAnsi="仿宋" w:eastAsia="仿宋"/>
          <w:sz w:val="24"/>
        </w:rPr>
      </w:pPr>
      <w:r>
        <w:rPr>
          <w:rFonts w:hint="eastAsia"/>
          <w:sz w:val="24"/>
        </w:rPr>
        <w:t>一、部门职责</w:t>
      </w:r>
    </w:p>
    <w:p w14:paraId="5297A89B">
      <w:pPr>
        <w:pStyle w:val="12"/>
        <w:adjustRightInd w:val="0"/>
        <w:snapToGrid w:val="0"/>
        <w:spacing w:line="440" w:lineRule="exact"/>
        <w:jc w:val="left"/>
        <w:rPr>
          <w:rFonts w:ascii="仿宋" w:hAnsi="仿宋" w:eastAsia="仿宋" w:cstheme="minorBidi"/>
          <w:sz w:val="24"/>
        </w:rPr>
      </w:pPr>
      <w:r>
        <w:rPr>
          <w:rFonts w:hint="eastAsia"/>
          <w:sz w:val="24"/>
        </w:rPr>
        <w:t>二、机构设置</w:t>
      </w:r>
    </w:p>
    <w:p w14:paraId="0D4D1C8D">
      <w:pPr>
        <w:pStyle w:val="11"/>
        <w:adjustRightInd w:val="0"/>
        <w:snapToGrid w:val="0"/>
        <w:spacing w:before="0" w:line="440" w:lineRule="exact"/>
        <w:jc w:val="left"/>
        <w:rPr>
          <w:sz w:val="24"/>
          <w:szCs w:val="24"/>
        </w:rPr>
      </w:pPr>
      <w:r>
        <w:rPr>
          <w:rFonts w:hint="eastAsia"/>
          <w:sz w:val="24"/>
        </w:rPr>
        <w:t>第二部分 2023年度部门决算情况说明</w:t>
      </w:r>
    </w:p>
    <w:p w14:paraId="416A5D56">
      <w:pPr>
        <w:pStyle w:val="12"/>
        <w:adjustRightInd w:val="0"/>
        <w:snapToGrid w:val="0"/>
        <w:spacing w:line="440" w:lineRule="exact"/>
        <w:jc w:val="left"/>
        <w:rPr>
          <w:rFonts w:ascii="仿宋" w:hAnsi="仿宋" w:eastAsia="仿宋" w:cstheme="minorBidi"/>
          <w:sz w:val="24"/>
        </w:rPr>
      </w:pPr>
      <w:r>
        <w:rPr>
          <w:rFonts w:hint="eastAsia"/>
          <w:sz w:val="24"/>
        </w:rPr>
        <w:t>一、收入支出决算总体情况说明</w:t>
      </w:r>
    </w:p>
    <w:p w14:paraId="54BE4D16">
      <w:pPr>
        <w:pStyle w:val="12"/>
        <w:adjustRightInd w:val="0"/>
        <w:snapToGrid w:val="0"/>
        <w:spacing w:line="440" w:lineRule="exact"/>
        <w:jc w:val="left"/>
        <w:rPr>
          <w:rFonts w:ascii="仿宋" w:hAnsi="仿宋" w:eastAsia="仿宋" w:cstheme="minorBidi"/>
          <w:sz w:val="24"/>
        </w:rPr>
      </w:pPr>
      <w:r>
        <w:rPr>
          <w:rFonts w:hint="eastAsia"/>
          <w:sz w:val="24"/>
        </w:rPr>
        <w:t>二、收入决算情况说明</w:t>
      </w:r>
    </w:p>
    <w:p w14:paraId="3825FBDF">
      <w:pPr>
        <w:pStyle w:val="12"/>
        <w:adjustRightInd w:val="0"/>
        <w:snapToGrid w:val="0"/>
        <w:spacing w:line="440" w:lineRule="exact"/>
        <w:jc w:val="left"/>
        <w:rPr>
          <w:rFonts w:ascii="仿宋" w:hAnsi="仿宋" w:eastAsia="仿宋" w:cstheme="minorBidi"/>
          <w:sz w:val="24"/>
        </w:rPr>
      </w:pPr>
      <w:r>
        <w:rPr>
          <w:rFonts w:hint="eastAsia"/>
          <w:sz w:val="24"/>
        </w:rPr>
        <w:t>三、支出决算情况说明</w:t>
      </w:r>
    </w:p>
    <w:p w14:paraId="5213C360">
      <w:pPr>
        <w:pStyle w:val="12"/>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p>
    <w:p w14:paraId="6176943D">
      <w:pPr>
        <w:pStyle w:val="12"/>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p>
    <w:p w14:paraId="7BF47E44">
      <w:pPr>
        <w:pStyle w:val="12"/>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p>
    <w:p w14:paraId="6736BB8E">
      <w:pPr>
        <w:pStyle w:val="12"/>
        <w:adjustRightInd w:val="0"/>
        <w:snapToGrid w:val="0"/>
        <w:spacing w:line="440" w:lineRule="exact"/>
        <w:jc w:val="left"/>
        <w:rPr>
          <w:rFonts w:ascii="仿宋" w:hAnsi="仿宋" w:eastAsia="仿宋" w:cstheme="minorBidi"/>
          <w:sz w:val="24"/>
        </w:rPr>
      </w:pPr>
      <w:r>
        <w:rPr>
          <w:rFonts w:hint="eastAsia"/>
          <w:sz w:val="24"/>
        </w:rPr>
        <w:t>七、财政拨款“三公”经费支出决算情况说明</w:t>
      </w:r>
    </w:p>
    <w:p w14:paraId="5B33E3F7">
      <w:pPr>
        <w:pStyle w:val="12"/>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p>
    <w:p w14:paraId="02D91ACC">
      <w:pPr>
        <w:pStyle w:val="12"/>
        <w:adjustRightInd w:val="0"/>
        <w:snapToGrid w:val="0"/>
        <w:spacing w:line="440" w:lineRule="exact"/>
        <w:ind w:left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九、国有资本经营预算支出决算情况说明</w:t>
      </w:r>
    </w:p>
    <w:p w14:paraId="6E2E70E1">
      <w:pPr>
        <w:adjustRightInd w:val="0"/>
        <w:snapToGrid w:val="0"/>
        <w:spacing w:line="440" w:lineRule="exact"/>
        <w:ind w:firstLine="420" w:firstLineChars="175"/>
        <w:jc w:val="left"/>
        <w:rPr>
          <w:rFonts w:asciiTheme="minorEastAsia" w:hAnsiTheme="minorEastAsia" w:eastAsiaTheme="minorEastAsia" w:cstheme="minorEastAsia"/>
          <w:sz w:val="24"/>
        </w:rPr>
      </w:pPr>
      <w:r>
        <w:rPr>
          <w:rStyle w:val="18"/>
          <w:rFonts w:hint="eastAsia" w:asciiTheme="minorEastAsia" w:hAnsiTheme="minorEastAsia" w:eastAsiaTheme="minorEastAsia" w:cstheme="minorEastAsia"/>
          <w:color w:val="auto"/>
          <w:sz w:val="24"/>
          <w:u w:val="none"/>
        </w:rPr>
        <w:t>十、</w:t>
      </w:r>
      <w:r>
        <w:rPr>
          <w:rFonts w:hint="eastAsia" w:asciiTheme="minorEastAsia" w:hAnsiTheme="minorEastAsia" w:eastAsiaTheme="minorEastAsia" w:cstheme="minorEastAsia"/>
          <w:sz w:val="24"/>
        </w:rPr>
        <w:t>其他重要事项的情况说明</w:t>
      </w:r>
      <w:r>
        <w:rPr>
          <w:rFonts w:hint="eastAsia" w:asciiTheme="minorEastAsia" w:hAnsiTheme="minorEastAsia" w:eastAsiaTheme="minorEastAsia" w:cstheme="minorEastAsia"/>
          <w:sz w:val="24"/>
        </w:rPr>
        <w:tab/>
      </w:r>
    </w:p>
    <w:p w14:paraId="2D38AC20">
      <w:pPr>
        <w:pStyle w:val="11"/>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p>
    <w:p w14:paraId="3378C100">
      <w:pPr>
        <w:pStyle w:val="11"/>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p>
    <w:p w14:paraId="09F0C6AF">
      <w:pPr>
        <w:pStyle w:val="11"/>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p>
    <w:p w14:paraId="3315EC02">
      <w:pPr>
        <w:pStyle w:val="12"/>
        <w:adjustRightInd w:val="0"/>
        <w:snapToGrid w:val="0"/>
        <w:spacing w:line="440" w:lineRule="exact"/>
        <w:jc w:val="left"/>
        <w:rPr>
          <w:sz w:val="24"/>
        </w:rPr>
      </w:pPr>
      <w:r>
        <w:rPr>
          <w:rFonts w:hint="eastAsia"/>
          <w:sz w:val="24"/>
        </w:rPr>
        <w:t>一、收入支出决算总表</w:t>
      </w:r>
    </w:p>
    <w:p w14:paraId="1D9BFE4E">
      <w:pPr>
        <w:pStyle w:val="12"/>
        <w:adjustRightInd w:val="0"/>
        <w:snapToGrid w:val="0"/>
        <w:spacing w:line="440" w:lineRule="exact"/>
        <w:jc w:val="left"/>
        <w:rPr>
          <w:sz w:val="24"/>
        </w:rPr>
      </w:pPr>
      <w:r>
        <w:rPr>
          <w:rFonts w:hint="eastAsia"/>
          <w:sz w:val="24"/>
        </w:rPr>
        <w:t>二、收入决算表</w:t>
      </w:r>
    </w:p>
    <w:p w14:paraId="45E97F69">
      <w:pPr>
        <w:pStyle w:val="12"/>
        <w:adjustRightInd w:val="0"/>
        <w:snapToGrid w:val="0"/>
        <w:spacing w:line="440" w:lineRule="exact"/>
        <w:jc w:val="left"/>
        <w:rPr>
          <w:sz w:val="24"/>
        </w:rPr>
      </w:pPr>
      <w:r>
        <w:rPr>
          <w:rFonts w:hint="eastAsia"/>
          <w:sz w:val="24"/>
        </w:rPr>
        <w:t>三、支出决算表</w:t>
      </w:r>
    </w:p>
    <w:p w14:paraId="0738ACAF">
      <w:pPr>
        <w:pStyle w:val="12"/>
        <w:adjustRightInd w:val="0"/>
        <w:snapToGrid w:val="0"/>
        <w:spacing w:line="440" w:lineRule="exact"/>
        <w:jc w:val="left"/>
        <w:rPr>
          <w:sz w:val="24"/>
        </w:rPr>
      </w:pPr>
      <w:r>
        <w:rPr>
          <w:rFonts w:hint="eastAsia"/>
          <w:sz w:val="24"/>
        </w:rPr>
        <w:t>四、财政拨款收入支出决算总表</w:t>
      </w:r>
    </w:p>
    <w:p w14:paraId="26FFCA5E">
      <w:pPr>
        <w:pStyle w:val="12"/>
        <w:adjustRightInd w:val="0"/>
        <w:snapToGrid w:val="0"/>
        <w:spacing w:line="440" w:lineRule="exact"/>
        <w:jc w:val="left"/>
        <w:rPr>
          <w:sz w:val="24"/>
        </w:rPr>
      </w:pPr>
      <w:r>
        <w:rPr>
          <w:rFonts w:hint="eastAsia"/>
          <w:sz w:val="24"/>
        </w:rPr>
        <w:t>五、财政拨款支出决算明细表</w:t>
      </w:r>
    </w:p>
    <w:p w14:paraId="4BB99A64">
      <w:pPr>
        <w:pStyle w:val="12"/>
        <w:adjustRightInd w:val="0"/>
        <w:snapToGrid w:val="0"/>
        <w:spacing w:line="440" w:lineRule="exact"/>
        <w:jc w:val="left"/>
        <w:rPr>
          <w:sz w:val="24"/>
        </w:rPr>
      </w:pPr>
      <w:r>
        <w:rPr>
          <w:rFonts w:hint="eastAsia"/>
          <w:sz w:val="24"/>
        </w:rPr>
        <w:t>六、一般公共预算财政拨款支出决算表</w:t>
      </w:r>
    </w:p>
    <w:p w14:paraId="4491753E">
      <w:pPr>
        <w:pStyle w:val="12"/>
        <w:adjustRightInd w:val="0"/>
        <w:snapToGrid w:val="0"/>
        <w:spacing w:line="440" w:lineRule="exact"/>
        <w:jc w:val="left"/>
        <w:rPr>
          <w:sz w:val="24"/>
        </w:rPr>
      </w:pPr>
      <w:r>
        <w:rPr>
          <w:rFonts w:hint="eastAsia"/>
          <w:sz w:val="24"/>
        </w:rPr>
        <w:t>七、一般公共预算财政拨款支出决算明细表</w:t>
      </w:r>
    </w:p>
    <w:p w14:paraId="7EB96673">
      <w:pPr>
        <w:pStyle w:val="12"/>
        <w:adjustRightInd w:val="0"/>
        <w:snapToGrid w:val="0"/>
        <w:spacing w:line="440" w:lineRule="exact"/>
        <w:jc w:val="left"/>
        <w:rPr>
          <w:sz w:val="24"/>
        </w:rPr>
      </w:pPr>
      <w:r>
        <w:rPr>
          <w:rFonts w:hint="eastAsia"/>
          <w:sz w:val="24"/>
        </w:rPr>
        <w:t>八、一般公共预算财政拨款基本支出决算明细表</w:t>
      </w:r>
    </w:p>
    <w:p w14:paraId="5760A16A">
      <w:pPr>
        <w:pStyle w:val="12"/>
        <w:adjustRightInd w:val="0"/>
        <w:snapToGrid w:val="0"/>
        <w:spacing w:line="440" w:lineRule="exact"/>
        <w:jc w:val="left"/>
        <w:rPr>
          <w:sz w:val="24"/>
        </w:rPr>
      </w:pPr>
      <w:r>
        <w:rPr>
          <w:rFonts w:hint="eastAsia"/>
          <w:sz w:val="24"/>
        </w:rPr>
        <w:t>九、一般公共预算财政拨款项目支出决算表</w:t>
      </w:r>
    </w:p>
    <w:p w14:paraId="06C9803F">
      <w:pPr>
        <w:pStyle w:val="12"/>
        <w:adjustRightInd w:val="0"/>
        <w:snapToGrid w:val="0"/>
        <w:spacing w:line="440" w:lineRule="exact"/>
        <w:jc w:val="left"/>
        <w:rPr>
          <w:sz w:val="24"/>
        </w:rPr>
      </w:pPr>
      <w:r>
        <w:rPr>
          <w:rFonts w:hint="eastAsia"/>
          <w:sz w:val="24"/>
        </w:rPr>
        <w:t>十、政府性基金预算财政拨款收入支出决算表</w:t>
      </w:r>
    </w:p>
    <w:p w14:paraId="79B6DC89">
      <w:pPr>
        <w:pStyle w:val="12"/>
        <w:adjustRightInd w:val="0"/>
        <w:snapToGrid w:val="0"/>
        <w:spacing w:line="440" w:lineRule="exact"/>
        <w:jc w:val="left"/>
        <w:rPr>
          <w:sz w:val="24"/>
        </w:rPr>
      </w:pPr>
      <w:r>
        <w:rPr>
          <w:rFonts w:hint="eastAsia"/>
          <w:sz w:val="24"/>
        </w:rPr>
        <w:t>十一、国有资本经营预算财政拨款收入支出决算表</w:t>
      </w:r>
    </w:p>
    <w:p w14:paraId="06C90298">
      <w:pPr>
        <w:pStyle w:val="12"/>
        <w:adjustRightInd w:val="0"/>
        <w:snapToGrid w:val="0"/>
        <w:spacing w:line="440" w:lineRule="exact"/>
        <w:jc w:val="left"/>
        <w:rPr>
          <w:sz w:val="24"/>
        </w:rPr>
      </w:pPr>
      <w:r>
        <w:rPr>
          <w:rFonts w:hint="eastAsia"/>
          <w:sz w:val="24"/>
        </w:rPr>
        <w:t>十二、国有资本经营预算财政拨款支出决算表</w:t>
      </w:r>
    </w:p>
    <w:p w14:paraId="1DEE9E66">
      <w:pPr>
        <w:pStyle w:val="12"/>
        <w:adjustRightInd w:val="0"/>
        <w:snapToGrid w:val="0"/>
        <w:spacing w:line="440" w:lineRule="exact"/>
        <w:jc w:val="left"/>
        <w:rPr>
          <w:rFonts w:asciiTheme="minorEastAsia" w:hAnsiTheme="minorEastAsia" w:eastAsiaTheme="minorEastAsia" w:cstheme="minorEastAsia"/>
          <w:sz w:val="24"/>
        </w:rPr>
      </w:pPr>
      <w:r>
        <w:rPr>
          <w:rFonts w:hint="eastAsia"/>
          <w:sz w:val="24"/>
        </w:rPr>
        <w:t>十三、财政拨款“三公”经费支出决算表</w:t>
      </w:r>
    </w:p>
    <w:p w14:paraId="32647AD0">
      <w:pPr>
        <w:widowControl/>
        <w:adjustRightInd w:val="0"/>
        <w:snapToGrid w:val="0"/>
        <w:spacing w:line="440" w:lineRule="exact"/>
        <w:ind w:firstLine="1320" w:firstLineChars="550"/>
        <w:jc w:val="left"/>
        <w:rPr>
          <w:rFonts w:ascii="仿宋" w:hAnsi="仿宋" w:eastAsia="仿宋"/>
          <w:sz w:val="24"/>
        </w:rPr>
      </w:pPr>
      <w:r>
        <w:rPr>
          <w:rFonts w:ascii="仿宋" w:hAnsi="仿宋" w:eastAsia="仿宋"/>
          <w:sz w:val="24"/>
        </w:rPr>
        <w:t>(注：</w:t>
      </w:r>
      <w:r>
        <w:rPr>
          <w:rFonts w:hint="eastAsia" w:ascii="仿宋" w:hAnsi="仿宋" w:eastAsia="仿宋"/>
          <w:sz w:val="24"/>
        </w:rPr>
        <w:t>请部门根据实际注明页码</w:t>
      </w:r>
      <w:r>
        <w:rPr>
          <w:rFonts w:ascii="仿宋" w:hAnsi="仿宋" w:eastAsia="仿宋"/>
          <w:sz w:val="24"/>
        </w:rPr>
        <w:t>)</w:t>
      </w:r>
    </w:p>
    <w:p w14:paraId="5F196B39">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14:paraId="3ADBE502">
      <w:pPr>
        <w:pStyle w:val="2"/>
        <w:pageBreakBefore w:val="0"/>
        <w:widowControl w:val="0"/>
        <w:kinsoku/>
        <w:wordWrap/>
        <w:overflowPunct/>
        <w:topLinePunct w:val="0"/>
        <w:bidi w:val="0"/>
        <w:spacing w:before="0" w:after="0" w:line="580" w:lineRule="exact"/>
        <w:ind w:left="0" w:right="0" w:firstLine="880" w:firstLineChars="200"/>
        <w:jc w:val="both"/>
        <w:textAlignment w:val="auto"/>
        <w:rPr>
          <w:rFonts w:ascii="黑体" w:eastAsia="黑体"/>
          <w:sz w:val="32"/>
          <w:szCs w:val="32"/>
        </w:rPr>
      </w:pPr>
      <w:r>
        <w:rPr>
          <w:rFonts w:hint="eastAsia" w:ascii="黑体" w:hAnsi="黑体" w:eastAsia="黑体"/>
          <w:b w:val="0"/>
        </w:rPr>
        <w:t xml:space="preserve">第一部分 </w:t>
      </w:r>
      <w:r>
        <w:rPr>
          <w:rStyle w:val="28"/>
          <w:rFonts w:hint="eastAsia" w:ascii="黑体" w:hAnsi="黑体" w:eastAsia="黑体"/>
          <w:b w:val="0"/>
          <w:bCs w:val="0"/>
        </w:rPr>
        <w:t>部门概况</w:t>
      </w:r>
      <w:bookmarkEnd w:id="12"/>
      <w:bookmarkEnd w:id="13"/>
    </w:p>
    <w:p w14:paraId="18CCE37B">
      <w:pPr>
        <w:pStyle w:val="5"/>
        <w:keepNext w:val="0"/>
        <w:keepLines w:val="0"/>
        <w:pageBreakBefore w:val="0"/>
        <w:widowControl w:val="0"/>
        <w:kinsoku/>
        <w:wordWrap/>
        <w:overflowPunct/>
        <w:topLinePunct w:val="0"/>
        <w:autoSpaceDE/>
        <w:autoSpaceDN/>
        <w:bidi w:val="0"/>
        <w:adjustRightInd w:val="0"/>
        <w:snapToGrid w:val="0"/>
        <w:spacing w:beforeLines="0" w:line="580" w:lineRule="exact"/>
        <w:ind w:left="0" w:right="0" w:firstLine="643" w:firstLineChars="200"/>
        <w:jc w:val="both"/>
        <w:textAlignment w:val="auto"/>
        <w:rPr>
          <w:rFonts w:hint="eastAsia" w:ascii="楷体_GB2312" w:hAnsi="楷体_GB2312" w:eastAsia="楷体_GB2312" w:cs="楷体_GB2312"/>
          <w:b/>
          <w:bCs/>
          <w:sz w:val="32"/>
          <w:szCs w:val="32"/>
          <w:lang w:eastAsia="zh-CN"/>
        </w:rPr>
      </w:pPr>
      <w:r>
        <w:rPr>
          <w:rFonts w:hint="eastAsia" w:ascii="黑体" w:hAnsi="黑体" w:eastAsia="黑体"/>
          <w:b/>
          <w:bCs/>
          <w:sz w:val="32"/>
          <w:szCs w:val="32"/>
          <w:lang w:eastAsia="zh-CN"/>
        </w:rPr>
        <w:t>一、</w:t>
      </w:r>
      <w:r>
        <w:rPr>
          <w:rFonts w:hint="eastAsia" w:ascii="黑体" w:hAnsi="黑体" w:eastAsia="黑体"/>
          <w:b/>
          <w:bCs/>
          <w:sz w:val="32"/>
          <w:szCs w:val="32"/>
        </w:rPr>
        <w:t>部门职责</w:t>
      </w:r>
    </w:p>
    <w:p w14:paraId="6A6423C8">
      <w:pPr>
        <w:pStyle w:val="5"/>
        <w:pageBreakBefore w:val="0"/>
        <w:widowControl w:val="0"/>
        <w:kinsoku/>
        <w:wordWrap/>
        <w:overflowPunct/>
        <w:topLinePunct w:val="0"/>
        <w:bidi w:val="0"/>
        <w:adjustRightInd w:val="0"/>
        <w:snapToGrid w:val="0"/>
        <w:spacing w:beforeLines="0" w:line="580" w:lineRule="exact"/>
        <w:ind w:left="0" w:right="0" w:firstLine="640" w:firstLineChars="200"/>
        <w:jc w:val="both"/>
        <w:textAlignment w:val="auto"/>
        <w:rPr>
          <w:rFonts w:hint="eastAsia"/>
          <w:bCs/>
          <w:sz w:val="32"/>
          <w:szCs w:val="32"/>
          <w:lang w:val="en-US" w:eastAsia="zh-CN"/>
        </w:rPr>
      </w:pPr>
      <w:r>
        <w:rPr>
          <w:rFonts w:hint="eastAsia"/>
          <w:bCs/>
          <w:sz w:val="32"/>
          <w:szCs w:val="32"/>
          <w:lang w:val="en-US" w:eastAsia="zh-CN"/>
        </w:rPr>
        <w:t>（一）传播国际红十字运动知识和国际人道主义，宣传、执行《中华人民共和国红十字会法》和《中华人民共和国红十字会法实施办法》等法律、法规，遵循《中国红十字会章程》，依法建会、治会、兴会。</w:t>
      </w:r>
    </w:p>
    <w:p w14:paraId="71F9DA52">
      <w:pPr>
        <w:pStyle w:val="5"/>
        <w:pageBreakBefore w:val="0"/>
        <w:widowControl w:val="0"/>
        <w:kinsoku/>
        <w:wordWrap/>
        <w:overflowPunct/>
        <w:topLinePunct w:val="0"/>
        <w:bidi w:val="0"/>
        <w:adjustRightInd w:val="0"/>
        <w:snapToGrid w:val="0"/>
        <w:spacing w:beforeLines="0" w:line="580" w:lineRule="exact"/>
        <w:ind w:left="0" w:right="0" w:firstLine="640" w:firstLineChars="200"/>
        <w:jc w:val="both"/>
        <w:textAlignment w:val="auto"/>
        <w:rPr>
          <w:rFonts w:hint="eastAsia"/>
          <w:bCs/>
          <w:sz w:val="32"/>
          <w:szCs w:val="32"/>
          <w:lang w:val="en-US" w:eastAsia="zh-CN"/>
        </w:rPr>
      </w:pPr>
      <w:r>
        <w:rPr>
          <w:rFonts w:hint="eastAsia"/>
          <w:bCs/>
          <w:sz w:val="32"/>
          <w:szCs w:val="32"/>
          <w:lang w:val="en-US" w:eastAsia="zh-CN"/>
        </w:rPr>
        <w:t>（二）开展备灾救灾工作，兴建和管理备灾救灾设施，在自然灾害和突发事件中开展对受害者的救助和救护。</w:t>
      </w:r>
    </w:p>
    <w:p w14:paraId="28192C6D">
      <w:pPr>
        <w:pStyle w:val="5"/>
        <w:pageBreakBefore w:val="0"/>
        <w:widowControl w:val="0"/>
        <w:kinsoku/>
        <w:wordWrap/>
        <w:overflowPunct/>
        <w:topLinePunct w:val="0"/>
        <w:bidi w:val="0"/>
        <w:adjustRightInd w:val="0"/>
        <w:snapToGrid w:val="0"/>
        <w:spacing w:beforeLines="0" w:line="580" w:lineRule="exact"/>
        <w:ind w:left="0" w:right="0" w:firstLine="640" w:firstLineChars="200"/>
        <w:jc w:val="both"/>
        <w:textAlignment w:val="auto"/>
        <w:rPr>
          <w:rFonts w:hint="eastAsia"/>
          <w:bCs/>
          <w:sz w:val="32"/>
          <w:szCs w:val="32"/>
          <w:lang w:val="en-US" w:eastAsia="zh-CN"/>
        </w:rPr>
      </w:pPr>
      <w:r>
        <w:rPr>
          <w:rFonts w:hint="eastAsia"/>
          <w:bCs/>
          <w:sz w:val="32"/>
          <w:szCs w:val="32"/>
          <w:lang w:val="en-US" w:eastAsia="zh-CN"/>
        </w:rPr>
        <w:t>（三）开展人道领域的社会公益服务活动和卫生救护、卫生防病知识的宣传、开展学术交流、组织社会捐助，进行初级卫生救护培训，组织群众参加现场救护，推动无偿献血和非血缘关系骨髓移植工作。</w:t>
      </w:r>
    </w:p>
    <w:p w14:paraId="68AA5D7A">
      <w:pPr>
        <w:pStyle w:val="5"/>
        <w:keepNext w:val="0"/>
        <w:keepLines w:val="0"/>
        <w:pageBreakBefore w:val="0"/>
        <w:widowControl w:val="0"/>
        <w:kinsoku/>
        <w:wordWrap/>
        <w:overflowPunct/>
        <w:topLinePunct w:val="0"/>
        <w:autoSpaceDE/>
        <w:autoSpaceDN/>
        <w:bidi w:val="0"/>
        <w:adjustRightInd w:val="0"/>
        <w:snapToGrid w:val="0"/>
        <w:spacing w:beforeLines="0" w:line="580" w:lineRule="exact"/>
        <w:ind w:left="0" w:leftChars="0" w:right="0" w:rightChars="0" w:firstLine="640" w:firstLineChars="200"/>
        <w:jc w:val="both"/>
        <w:textAlignment w:val="auto"/>
      </w:pPr>
      <w:r>
        <w:rPr>
          <w:rFonts w:hint="eastAsia"/>
          <w:bCs/>
          <w:sz w:val="32"/>
          <w:szCs w:val="32"/>
          <w:lang w:val="en-US" w:eastAsia="zh-CN"/>
        </w:rPr>
        <w:t>（四）加强与兄弟市、县红十字会及国际红十字组织友好往来，开展人道领域的合作与交流，争取援助</w:t>
      </w:r>
      <w:r>
        <w:rPr>
          <w:rFonts w:hint="eastAsia"/>
          <w:bCs/>
          <w:sz w:val="32"/>
          <w:szCs w:val="32"/>
          <w:lang w:eastAsia="zh-CN"/>
        </w:rPr>
        <w:t>。</w:t>
      </w:r>
    </w:p>
    <w:p w14:paraId="1F4D9A3A">
      <w:pPr>
        <w:pStyle w:val="3"/>
        <w:pageBreakBefore w:val="0"/>
        <w:widowControl w:val="0"/>
        <w:kinsoku/>
        <w:wordWrap/>
        <w:overflowPunct/>
        <w:topLinePunct w:val="0"/>
        <w:bidi w:val="0"/>
        <w:spacing w:before="0" w:after="0" w:line="580" w:lineRule="exact"/>
        <w:ind w:left="0" w:right="0" w:firstLine="643" w:firstLineChars="200"/>
        <w:jc w:val="both"/>
        <w:textAlignment w:val="auto"/>
        <w:rPr>
          <w:rStyle w:val="29"/>
          <w:b/>
          <w:bCs w:val="0"/>
        </w:rPr>
      </w:pPr>
      <w:bookmarkStart w:id="14" w:name="_Toc15396601"/>
      <w:bookmarkStart w:id="15" w:name="_Toc15377200"/>
      <w:r>
        <w:rPr>
          <w:rFonts w:hint="eastAsia" w:ascii="黑体" w:eastAsia="黑体"/>
          <w:b/>
          <w:bCs w:val="0"/>
        </w:rPr>
        <w:t>二、</w:t>
      </w:r>
      <w:r>
        <w:rPr>
          <w:rFonts w:hint="eastAsia" w:ascii="黑体" w:hAnsi="黑体" w:eastAsia="黑体"/>
          <w:b/>
          <w:bCs w:val="0"/>
        </w:rPr>
        <w:t>机</w:t>
      </w:r>
      <w:r>
        <w:rPr>
          <w:rStyle w:val="29"/>
          <w:rFonts w:hint="eastAsia" w:ascii="黑体" w:hAnsi="黑体" w:eastAsia="黑体"/>
          <w:b/>
          <w:bCs w:val="0"/>
        </w:rPr>
        <w:t>构设置</w:t>
      </w:r>
      <w:bookmarkEnd w:id="14"/>
      <w:bookmarkEnd w:id="15"/>
    </w:p>
    <w:p w14:paraId="1360084B">
      <w:pPr>
        <w:pStyle w:val="5"/>
        <w:keepNext w:val="0"/>
        <w:keepLines w:val="0"/>
        <w:pageBreakBefore w:val="0"/>
        <w:widowControl w:val="0"/>
        <w:kinsoku/>
        <w:wordWrap/>
        <w:overflowPunct/>
        <w:topLinePunct w:val="0"/>
        <w:autoSpaceDE/>
        <w:autoSpaceDN/>
        <w:bidi w:val="0"/>
        <w:adjustRightInd w:val="0"/>
        <w:snapToGrid w:val="0"/>
        <w:spacing w:beforeLines="0" w:line="580" w:lineRule="exact"/>
        <w:ind w:left="0" w:leftChars="0" w:right="0" w:rightChars="0" w:firstLine="640" w:firstLineChars="200"/>
        <w:jc w:val="both"/>
        <w:textAlignment w:val="auto"/>
        <w:rPr>
          <w:rFonts w:hint="eastAsia"/>
          <w:sz w:val="32"/>
          <w:szCs w:val="32"/>
        </w:rPr>
      </w:pPr>
      <w:r>
        <w:rPr>
          <w:rFonts w:hint="eastAsia" w:ascii="仿宋_GB2312" w:hAnsi="仿宋_GB2312" w:eastAsia="仿宋_GB2312" w:cs="仿宋_GB2312"/>
          <w:sz w:val="32"/>
          <w:szCs w:val="32"/>
        </w:rPr>
        <w:t>红原县红十字会本级下属二级预算单位</w:t>
      </w:r>
      <w:r>
        <w:rPr>
          <w:rFonts w:hint="eastAsia" w:hAnsi="仿宋_GB2312" w:cs="仿宋_GB2312"/>
          <w:sz w:val="32"/>
          <w:szCs w:val="32"/>
          <w:lang w:val="en-US" w:eastAsia="zh-CN"/>
        </w:rPr>
        <w:t>0</w:t>
      </w:r>
      <w:r>
        <w:rPr>
          <w:rFonts w:hint="eastAsia" w:ascii="仿宋_GB2312" w:hAnsi="仿宋_GB2312" w:eastAsia="仿宋_GB2312" w:cs="仿宋_GB2312"/>
          <w:sz w:val="32"/>
          <w:szCs w:val="32"/>
        </w:rPr>
        <w:t>个</w:t>
      </w:r>
      <w:r>
        <w:rPr>
          <w:rFonts w:hint="eastAsia" w:hAnsi="仿宋_GB2312" w:cs="仿宋_GB2312"/>
          <w:sz w:val="32"/>
          <w:szCs w:val="32"/>
          <w:lang w:eastAsia="zh-CN"/>
        </w:rPr>
        <w:t>。</w:t>
      </w:r>
      <w:r>
        <w:rPr>
          <w:rFonts w:hint="eastAsia" w:ascii="仿宋_GB2312" w:hAnsi="仿宋_GB2312" w:eastAsia="仿宋_GB2312" w:cs="仿宋_GB2312"/>
          <w:kern w:val="0"/>
          <w:sz w:val="32"/>
          <w:szCs w:val="32"/>
          <w:shd w:val="clear" w:color="auto" w:fill="FFFFFF"/>
        </w:rPr>
        <w:t>红原县红十字会为独立核算全额拨款</w:t>
      </w:r>
      <w:r>
        <w:rPr>
          <w:rFonts w:hint="eastAsia" w:ascii="仿宋_GB2312" w:hAnsi="仿宋_GB2312" w:eastAsia="仿宋_GB2312" w:cs="仿宋_GB2312"/>
          <w:sz w:val="32"/>
          <w:szCs w:val="32"/>
        </w:rPr>
        <w:t>行政单位</w:t>
      </w: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kern w:val="0"/>
          <w:sz w:val="32"/>
          <w:szCs w:val="32"/>
          <w:shd w:val="clear" w:color="auto" w:fill="FFFFFF"/>
          <w:lang w:val="en-US" w:eastAsia="zh-CN"/>
        </w:rPr>
        <w:t>下设2个内设机构（办公室和综合股</w:t>
      </w:r>
      <w:r>
        <w:rPr>
          <w:rFonts w:hint="eastAsia" w:hAnsi="仿宋_GB2312" w:cs="仿宋_GB2312"/>
          <w:kern w:val="0"/>
          <w:sz w:val="32"/>
          <w:szCs w:val="32"/>
          <w:shd w:val="clear" w:color="auto" w:fill="FFFFFF"/>
          <w:lang w:val="en-US" w:eastAsia="zh-CN"/>
        </w:rPr>
        <w:t>），</w:t>
      </w:r>
      <w:r>
        <w:rPr>
          <w:rFonts w:hint="eastAsia" w:ascii="仿宋_GB2312" w:eastAsia="仿宋_GB2312" w:hAnsiTheme="minorHAnsi" w:cstheme="minorBidi"/>
          <w:bCs/>
          <w:kern w:val="2"/>
          <w:sz w:val="32"/>
          <w:szCs w:val="32"/>
          <w:lang w:val="en-US" w:eastAsia="zh-CN" w:bidi="ar-SA"/>
        </w:rPr>
        <w:t>截止20</w:t>
      </w:r>
      <w:r>
        <w:rPr>
          <w:rFonts w:hint="eastAsia" w:cstheme="minorBidi"/>
          <w:bCs/>
          <w:kern w:val="2"/>
          <w:sz w:val="32"/>
          <w:szCs w:val="32"/>
          <w:lang w:val="en-US" w:eastAsia="zh-CN" w:bidi="ar-SA"/>
        </w:rPr>
        <w:t>23</w:t>
      </w:r>
      <w:r>
        <w:rPr>
          <w:rFonts w:hint="eastAsia" w:ascii="仿宋_GB2312" w:eastAsia="仿宋_GB2312" w:hAnsiTheme="minorHAnsi" w:cstheme="minorBidi"/>
          <w:bCs/>
          <w:kern w:val="2"/>
          <w:sz w:val="32"/>
          <w:szCs w:val="32"/>
          <w:lang w:val="en-US" w:eastAsia="zh-CN" w:bidi="ar-SA"/>
        </w:rPr>
        <w:t>年</w:t>
      </w:r>
      <w:bookmarkStart w:id="51" w:name="_GoBack"/>
      <w:bookmarkEnd w:id="51"/>
      <w:r>
        <w:rPr>
          <w:rFonts w:hint="eastAsia" w:ascii="仿宋_GB2312" w:eastAsia="仿宋_GB2312" w:hAnsiTheme="minorHAnsi" w:cstheme="minorBidi"/>
          <w:bCs/>
          <w:kern w:val="2"/>
          <w:sz w:val="32"/>
          <w:szCs w:val="32"/>
          <w:lang w:val="en-US" w:eastAsia="zh-CN" w:bidi="ar-SA"/>
        </w:rPr>
        <w:t>底我单位共有编制</w:t>
      </w:r>
      <w:r>
        <w:rPr>
          <w:rFonts w:hint="eastAsia" w:cstheme="minorBidi"/>
          <w:bCs/>
          <w:kern w:val="2"/>
          <w:sz w:val="32"/>
          <w:szCs w:val="32"/>
          <w:lang w:val="en-US" w:eastAsia="zh-CN" w:bidi="ar-SA"/>
        </w:rPr>
        <w:t>5</w:t>
      </w:r>
      <w:r>
        <w:rPr>
          <w:rFonts w:hint="eastAsia" w:ascii="仿宋_GB2312" w:eastAsia="仿宋_GB2312" w:hAnsiTheme="minorHAnsi" w:cstheme="minorBidi"/>
          <w:bCs/>
          <w:kern w:val="2"/>
          <w:sz w:val="32"/>
          <w:szCs w:val="32"/>
          <w:lang w:val="en-US" w:eastAsia="zh-CN" w:bidi="ar-SA"/>
        </w:rPr>
        <w:t>个，其中</w:t>
      </w:r>
      <w:r>
        <w:rPr>
          <w:rFonts w:hint="eastAsia" w:ascii="仿宋_GB2312" w:eastAsia="仿宋_GB2312" w:cstheme="minorBidi"/>
          <w:bCs/>
          <w:kern w:val="2"/>
          <w:sz w:val="32"/>
          <w:szCs w:val="32"/>
          <w:lang w:val="en-US" w:eastAsia="zh-CN" w:bidi="ar-SA"/>
        </w:rPr>
        <w:t>参公</w:t>
      </w:r>
      <w:r>
        <w:rPr>
          <w:rFonts w:hint="eastAsia" w:ascii="仿宋_GB2312" w:eastAsia="仿宋_GB2312" w:hAnsiTheme="minorHAnsi" w:cstheme="minorBidi"/>
          <w:bCs/>
          <w:kern w:val="2"/>
          <w:sz w:val="32"/>
          <w:szCs w:val="32"/>
          <w:lang w:val="en-US" w:eastAsia="zh-CN" w:bidi="ar-SA"/>
        </w:rPr>
        <w:t>编制</w:t>
      </w:r>
      <w:r>
        <w:rPr>
          <w:rFonts w:hint="eastAsia" w:cstheme="minorBidi"/>
          <w:bCs/>
          <w:kern w:val="2"/>
          <w:sz w:val="32"/>
          <w:szCs w:val="32"/>
          <w:lang w:val="en-US" w:eastAsia="zh-CN" w:bidi="ar-SA"/>
        </w:rPr>
        <w:t>5</w:t>
      </w:r>
      <w:r>
        <w:rPr>
          <w:rFonts w:hint="eastAsia" w:ascii="仿宋_GB2312" w:eastAsia="仿宋_GB2312" w:hAnsiTheme="minorHAnsi" w:cstheme="minorBidi"/>
          <w:bCs/>
          <w:kern w:val="2"/>
          <w:sz w:val="32"/>
          <w:szCs w:val="32"/>
          <w:lang w:val="en-US" w:eastAsia="zh-CN" w:bidi="ar-SA"/>
        </w:rPr>
        <w:t>个</w:t>
      </w:r>
      <w:r>
        <w:rPr>
          <w:rFonts w:hint="eastAsia" w:ascii="仿宋_GB2312" w:eastAsia="仿宋_GB2312" w:cstheme="minorBidi"/>
          <w:bCs/>
          <w:kern w:val="2"/>
          <w:sz w:val="32"/>
          <w:szCs w:val="32"/>
          <w:lang w:val="en-US" w:eastAsia="zh-CN" w:bidi="ar-SA"/>
        </w:rPr>
        <w:t>。</w:t>
      </w:r>
      <w:r>
        <w:rPr>
          <w:rFonts w:hint="eastAsia" w:ascii="仿宋_GB2312" w:eastAsia="仿宋_GB2312" w:hAnsiTheme="minorHAnsi" w:cstheme="minorBidi"/>
          <w:bCs/>
          <w:kern w:val="2"/>
          <w:sz w:val="32"/>
          <w:szCs w:val="32"/>
          <w:lang w:val="en-US" w:eastAsia="zh-CN" w:bidi="ar-SA"/>
        </w:rPr>
        <w:t>在职</w:t>
      </w:r>
      <w:r>
        <w:rPr>
          <w:rFonts w:hint="eastAsia" w:cstheme="minorBidi"/>
          <w:bCs/>
          <w:kern w:val="2"/>
          <w:sz w:val="32"/>
          <w:szCs w:val="32"/>
          <w:lang w:val="en-US" w:eastAsia="zh-CN" w:bidi="ar-SA"/>
        </w:rPr>
        <w:t>4</w:t>
      </w:r>
      <w:r>
        <w:rPr>
          <w:rFonts w:hint="eastAsia" w:ascii="仿宋_GB2312" w:eastAsia="仿宋_GB2312" w:hAnsiTheme="minorHAnsi" w:cstheme="minorBidi"/>
          <w:bCs/>
          <w:kern w:val="2"/>
          <w:sz w:val="32"/>
          <w:szCs w:val="32"/>
          <w:lang w:val="en-US" w:eastAsia="zh-CN" w:bidi="ar-SA"/>
        </w:rPr>
        <w:t>人，其</w:t>
      </w:r>
      <w:r>
        <w:rPr>
          <w:rFonts w:hint="eastAsia" w:ascii="仿宋_GB2312" w:eastAsia="仿宋_GB2312" w:cstheme="minorBidi"/>
          <w:bCs/>
          <w:kern w:val="2"/>
          <w:sz w:val="32"/>
          <w:szCs w:val="32"/>
          <w:lang w:val="en-US" w:eastAsia="zh-CN" w:bidi="ar-SA"/>
        </w:rPr>
        <w:t>中公务员</w:t>
      </w:r>
      <w:r>
        <w:rPr>
          <w:rFonts w:hint="eastAsia" w:cstheme="minorBidi"/>
          <w:bCs/>
          <w:kern w:val="2"/>
          <w:sz w:val="32"/>
          <w:szCs w:val="32"/>
          <w:lang w:val="en-US" w:eastAsia="zh-CN" w:bidi="ar-SA"/>
        </w:rPr>
        <w:t>4</w:t>
      </w:r>
      <w:r>
        <w:rPr>
          <w:rFonts w:hint="eastAsia" w:ascii="仿宋_GB2312" w:eastAsia="仿宋_GB2312" w:hAnsiTheme="minorHAnsi" w:cstheme="minorBidi"/>
          <w:bCs/>
          <w:kern w:val="2"/>
          <w:sz w:val="32"/>
          <w:szCs w:val="32"/>
          <w:lang w:val="en-US" w:eastAsia="zh-CN" w:bidi="ar-SA"/>
        </w:rPr>
        <w:t>人</w:t>
      </w:r>
      <w:r>
        <w:rPr>
          <w:rFonts w:hint="eastAsia" w:hAnsiTheme="minorHAnsi" w:cstheme="minorBidi"/>
          <w:bCs/>
          <w:kern w:val="2"/>
          <w:sz w:val="32"/>
          <w:szCs w:val="32"/>
          <w:lang w:val="en-US" w:eastAsia="zh-CN" w:bidi="ar-SA"/>
        </w:rPr>
        <w:t>，空编1个。</w:t>
      </w:r>
    </w:p>
    <w:p w14:paraId="18095A9F">
      <w:pPr>
        <w:pageBreakBefore w:val="0"/>
        <w:widowControl w:val="0"/>
        <w:kinsoku/>
        <w:wordWrap/>
        <w:overflowPunct/>
        <w:topLinePunct w:val="0"/>
        <w:bidi w:val="0"/>
        <w:spacing w:line="580" w:lineRule="exact"/>
        <w:ind w:left="0" w:right="0" w:firstLine="640" w:firstLineChars="200"/>
        <w:jc w:val="both"/>
        <w:textAlignment w:val="auto"/>
        <w:rPr>
          <w:rFonts w:hint="eastAsia" w:ascii="仿宋_GB2312" w:hAnsi="仿宋_GB2312" w:eastAsia="仿宋_GB2312" w:cs="仿宋_GB2312"/>
          <w:sz w:val="32"/>
          <w:szCs w:val="32"/>
        </w:rPr>
      </w:pPr>
    </w:p>
    <w:p w14:paraId="35FA3BA3">
      <w:pPr>
        <w:pStyle w:val="2"/>
        <w:pageBreakBefore w:val="0"/>
        <w:widowControl w:val="0"/>
        <w:kinsoku/>
        <w:wordWrap/>
        <w:overflowPunct/>
        <w:topLinePunct w:val="0"/>
        <w:bidi w:val="0"/>
        <w:spacing w:before="0" w:after="0" w:line="580" w:lineRule="exact"/>
        <w:ind w:left="0" w:right="0" w:firstLine="880" w:firstLineChars="200"/>
        <w:jc w:val="both"/>
        <w:textAlignment w:val="auto"/>
        <w:rPr>
          <w:rFonts w:hint="eastAsia" w:ascii="黑体" w:hAnsi="黑体" w:eastAsia="黑体"/>
          <w:b w:val="0"/>
        </w:rPr>
      </w:pPr>
      <w:bookmarkStart w:id="16" w:name="_Toc15396602"/>
      <w:bookmarkStart w:id="17" w:name="_Toc15377204"/>
    </w:p>
    <w:p w14:paraId="587DA765">
      <w:pPr>
        <w:pStyle w:val="2"/>
        <w:pageBreakBefore w:val="0"/>
        <w:widowControl w:val="0"/>
        <w:kinsoku/>
        <w:wordWrap/>
        <w:overflowPunct/>
        <w:topLinePunct w:val="0"/>
        <w:bidi w:val="0"/>
        <w:spacing w:before="0" w:after="0" w:line="580" w:lineRule="exact"/>
        <w:ind w:right="0"/>
        <w:jc w:val="both"/>
        <w:textAlignment w:val="auto"/>
        <w:rPr>
          <w:rFonts w:hint="eastAsia" w:ascii="黑体" w:hAnsi="黑体" w:eastAsia="黑体"/>
          <w:b w:val="0"/>
        </w:rPr>
      </w:pPr>
    </w:p>
    <w:p w14:paraId="73C7C968">
      <w:pPr>
        <w:rPr>
          <w:rFonts w:hint="eastAsia" w:ascii="黑体" w:hAnsi="黑体" w:eastAsia="黑体"/>
          <w:b w:val="0"/>
        </w:rPr>
      </w:pPr>
    </w:p>
    <w:p w14:paraId="3F501153">
      <w:pPr>
        <w:rPr>
          <w:rFonts w:hint="eastAsia" w:ascii="黑体" w:hAnsi="黑体" w:eastAsia="黑体"/>
          <w:b w:val="0"/>
        </w:rPr>
      </w:pPr>
    </w:p>
    <w:p w14:paraId="0862D58B">
      <w:pPr>
        <w:pStyle w:val="2"/>
        <w:pageBreakBefore w:val="0"/>
        <w:widowControl w:val="0"/>
        <w:kinsoku/>
        <w:wordWrap/>
        <w:overflowPunct/>
        <w:topLinePunct w:val="0"/>
        <w:bidi w:val="0"/>
        <w:spacing w:before="0" w:after="0" w:line="580" w:lineRule="exact"/>
        <w:ind w:right="0"/>
        <w:jc w:val="center"/>
        <w:textAlignment w:val="auto"/>
        <w:rPr>
          <w:rStyle w:val="28"/>
          <w:rFonts w:ascii="黑体" w:hAnsi="黑体" w:eastAsia="黑体"/>
          <w:b w:val="0"/>
          <w:bCs/>
        </w:rPr>
      </w:pPr>
      <w:r>
        <w:rPr>
          <w:rFonts w:hint="eastAsia" w:ascii="黑体" w:hAnsi="黑体" w:eastAsia="黑体"/>
          <w:b w:val="0"/>
        </w:rPr>
        <w:t>第二部分 2023年度</w:t>
      </w:r>
      <w:r>
        <w:rPr>
          <w:rStyle w:val="28"/>
          <w:rFonts w:hint="eastAsia" w:ascii="黑体" w:hAnsi="黑体" w:eastAsia="黑体"/>
          <w:b w:val="0"/>
          <w:bCs/>
        </w:rPr>
        <w:t>部门决算情况说明</w:t>
      </w:r>
      <w:bookmarkEnd w:id="16"/>
      <w:bookmarkEnd w:id="17"/>
    </w:p>
    <w:p w14:paraId="387E2298">
      <w:pPr>
        <w:pageBreakBefore w:val="0"/>
        <w:widowControl w:val="0"/>
        <w:kinsoku/>
        <w:wordWrap/>
        <w:overflowPunct/>
        <w:topLinePunct w:val="0"/>
        <w:bidi w:val="0"/>
        <w:spacing w:line="580" w:lineRule="exact"/>
        <w:ind w:left="0" w:right="0" w:firstLine="420" w:firstLineChars="200"/>
        <w:jc w:val="both"/>
        <w:textAlignment w:val="auto"/>
      </w:pPr>
    </w:p>
    <w:p w14:paraId="33E79688">
      <w:pPr>
        <w:pStyle w:val="27"/>
        <w:pageBreakBefore w:val="0"/>
        <w:widowControl w:val="0"/>
        <w:numPr>
          <w:ilvl w:val="0"/>
          <w:numId w:val="1"/>
        </w:numPr>
        <w:kinsoku/>
        <w:wordWrap/>
        <w:overflowPunct/>
        <w:topLinePunct w:val="0"/>
        <w:bidi w:val="0"/>
        <w:spacing w:line="580" w:lineRule="exact"/>
        <w:ind w:left="0" w:right="0" w:firstLine="640" w:firstLineChars="200"/>
        <w:jc w:val="both"/>
        <w:textAlignment w:val="auto"/>
        <w:outlineLvl w:val="1"/>
        <w:rPr>
          <w:rStyle w:val="29"/>
          <w:rFonts w:ascii="黑体" w:hAnsi="黑体" w:eastAsia="黑体"/>
          <w:b w:val="0"/>
        </w:rPr>
      </w:pPr>
      <w:bookmarkStart w:id="18" w:name="_Toc15396603"/>
      <w:bookmarkStart w:id="19" w:name="_Toc15377205"/>
      <w:r>
        <w:rPr>
          <w:rFonts w:hint="eastAsia" w:ascii="黑体" w:hAnsi="黑体" w:eastAsia="黑体"/>
          <w:sz w:val="32"/>
          <w:szCs w:val="32"/>
        </w:rPr>
        <w:t>收</w:t>
      </w:r>
      <w:r>
        <w:rPr>
          <w:rStyle w:val="29"/>
          <w:rFonts w:hint="eastAsia" w:ascii="黑体" w:hAnsi="黑体" w:eastAsia="黑体"/>
          <w:b w:val="0"/>
        </w:rPr>
        <w:t>入支出决算总体情况说明</w:t>
      </w:r>
      <w:bookmarkEnd w:id="18"/>
      <w:bookmarkEnd w:id="19"/>
    </w:p>
    <w:p w14:paraId="626EE076">
      <w:pPr>
        <w:pageBreakBefore w:val="0"/>
        <w:widowControl w:val="0"/>
        <w:kinsoku/>
        <w:wordWrap/>
        <w:overflowPunct/>
        <w:topLinePunct w:val="0"/>
        <w:bidi w:val="0"/>
        <w:spacing w:line="580" w:lineRule="exact"/>
        <w:ind w:left="0" w:right="0" w:firstLine="640" w:firstLineChars="200"/>
        <w:jc w:val="both"/>
        <w:textAlignment w:val="auto"/>
        <w:rPr>
          <w:rFonts w:hint="eastAsia" w:ascii="仿宋" w:hAnsi="仿宋" w:eastAsia="仿宋"/>
          <w:sz w:val="32"/>
          <w:szCs w:val="32"/>
        </w:rPr>
      </w:pPr>
      <w:r>
        <w:rPr>
          <w:rFonts w:hint="eastAsia" w:ascii="仿宋" w:hAnsi="仿宋" w:eastAsia="仿宋"/>
          <w:sz w:val="32"/>
          <w:szCs w:val="32"/>
        </w:rPr>
        <w:t>2023年度收、支总计均为</w:t>
      </w:r>
      <w:r>
        <w:rPr>
          <w:rFonts w:hint="eastAsia"/>
          <w:sz w:val="32"/>
          <w:szCs w:val="32"/>
        </w:rPr>
        <w:t>181.92</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与2022年度相比，收、支总计减少</w:t>
      </w:r>
      <w:r>
        <w:rPr>
          <w:rFonts w:hint="eastAsia" w:ascii="仿宋" w:hAnsi="仿宋" w:eastAsia="仿宋"/>
          <w:sz w:val="32"/>
          <w:szCs w:val="32"/>
          <w:lang w:val="en-US" w:eastAsia="zh-CN"/>
        </w:rPr>
        <w:t>30.62</w:t>
      </w:r>
      <w:r>
        <w:rPr>
          <w:rFonts w:hint="eastAsia" w:ascii="仿宋" w:hAnsi="仿宋" w:eastAsia="仿宋"/>
          <w:sz w:val="32"/>
          <w:szCs w:val="32"/>
        </w:rPr>
        <w:t>万元，下降</w:t>
      </w:r>
      <w:r>
        <w:rPr>
          <w:rFonts w:hint="eastAsia" w:ascii="仿宋" w:hAnsi="仿宋" w:eastAsia="仿宋"/>
          <w:sz w:val="32"/>
          <w:szCs w:val="32"/>
          <w:lang w:val="en-US" w:eastAsia="zh-CN"/>
        </w:rPr>
        <w:t>14.5</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人员调动减少</w:t>
      </w:r>
      <w:r>
        <w:rPr>
          <w:rFonts w:hint="eastAsia" w:ascii="仿宋" w:hAnsi="仿宋" w:eastAsia="仿宋"/>
          <w:sz w:val="32"/>
          <w:szCs w:val="32"/>
        </w:rPr>
        <w:t>。</w:t>
      </w:r>
    </w:p>
    <w:p w14:paraId="5E585E95">
      <w:pPr>
        <w:pageBreakBefore w:val="0"/>
        <w:widowControl w:val="0"/>
        <w:kinsoku/>
        <w:wordWrap/>
        <w:overflowPunct/>
        <w:topLinePunct w:val="0"/>
        <w:bidi w:val="0"/>
        <w:spacing w:line="580" w:lineRule="exact"/>
        <w:ind w:left="0" w:right="0" w:firstLine="640" w:firstLineChars="200"/>
        <w:jc w:val="both"/>
        <w:textAlignment w:val="auto"/>
        <w:rPr>
          <w:rFonts w:hint="eastAsia" w:ascii="仿宋" w:hAnsi="仿宋" w:eastAsia="仿宋"/>
          <w:sz w:val="32"/>
          <w:szCs w:val="32"/>
          <w:lang w:eastAsia="zh-CN"/>
        </w:rPr>
      </w:pPr>
    </w:p>
    <w:p w14:paraId="4EC1B167">
      <w:pPr>
        <w:pageBreakBefore w:val="0"/>
        <w:widowControl w:val="0"/>
        <w:kinsoku/>
        <w:wordWrap/>
        <w:overflowPunct/>
        <w:topLinePunct w:val="0"/>
        <w:bidi w:val="0"/>
        <w:spacing w:line="580" w:lineRule="exact"/>
        <w:ind w:left="0" w:right="0" w:firstLine="420" w:firstLineChars="200"/>
        <w:jc w:val="both"/>
        <w:textAlignment w:val="auto"/>
        <w:rPr>
          <w:rFonts w:hint="eastAsia" w:ascii="仿宋" w:hAnsi="仿宋" w:eastAsia="仿宋"/>
          <w:sz w:val="32"/>
          <w:szCs w:val="32"/>
          <w:lang w:eastAsia="zh-CN"/>
        </w:rPr>
      </w:pPr>
      <w:r>
        <w:drawing>
          <wp:anchor distT="0" distB="0" distL="114300" distR="114300" simplePos="0" relativeHeight="251659264" behindDoc="0" locked="0" layoutInCell="1" allowOverlap="1">
            <wp:simplePos x="0" y="0"/>
            <wp:positionH relativeFrom="column">
              <wp:posOffset>149225</wp:posOffset>
            </wp:positionH>
            <wp:positionV relativeFrom="paragraph">
              <wp:posOffset>142875</wp:posOffset>
            </wp:positionV>
            <wp:extent cx="4866640" cy="2581275"/>
            <wp:effectExtent l="6350" t="6350" r="22860" b="22225"/>
            <wp:wrapSquare wrapText="bothSides"/>
            <wp:docPr id="102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60D31DC5">
      <w:pPr>
        <w:pageBreakBefore w:val="0"/>
        <w:widowControl w:val="0"/>
        <w:kinsoku/>
        <w:wordWrap/>
        <w:overflowPunct/>
        <w:topLinePunct w:val="0"/>
        <w:bidi w:val="0"/>
        <w:spacing w:line="580" w:lineRule="exact"/>
        <w:ind w:left="0" w:right="0" w:firstLine="640" w:firstLineChars="200"/>
        <w:jc w:val="both"/>
        <w:textAlignment w:val="auto"/>
        <w:rPr>
          <w:rFonts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14:paraId="0F297037">
      <w:pPr>
        <w:pageBreakBefore w:val="0"/>
        <w:widowControl w:val="0"/>
        <w:kinsoku/>
        <w:wordWrap/>
        <w:overflowPunct/>
        <w:topLinePunct w:val="0"/>
        <w:bidi w:val="0"/>
        <w:spacing w:line="580" w:lineRule="exact"/>
        <w:ind w:left="0" w:right="0" w:firstLine="640" w:firstLineChars="200"/>
        <w:jc w:val="both"/>
        <w:textAlignment w:val="auto"/>
        <w:rPr>
          <w:rFonts w:ascii="仿宋_GB2312" w:eastAsia="仿宋_GB2312"/>
          <w:sz w:val="32"/>
          <w:szCs w:val="32"/>
        </w:rPr>
      </w:pPr>
    </w:p>
    <w:p w14:paraId="1A65136D">
      <w:pPr>
        <w:pStyle w:val="27"/>
        <w:pageBreakBefore w:val="0"/>
        <w:widowControl w:val="0"/>
        <w:numPr>
          <w:ilvl w:val="0"/>
          <w:numId w:val="1"/>
        </w:numPr>
        <w:kinsoku/>
        <w:wordWrap/>
        <w:overflowPunct/>
        <w:topLinePunct w:val="0"/>
        <w:bidi w:val="0"/>
        <w:spacing w:line="580" w:lineRule="exact"/>
        <w:ind w:left="0" w:right="0" w:firstLine="640" w:firstLineChars="200"/>
        <w:jc w:val="both"/>
        <w:textAlignment w:val="auto"/>
        <w:outlineLvl w:val="1"/>
        <w:rPr>
          <w:rStyle w:val="29"/>
          <w:rFonts w:ascii="黑体" w:hAnsi="黑体" w:eastAsia="黑体"/>
          <w:b w:val="0"/>
        </w:rPr>
      </w:pPr>
      <w:bookmarkStart w:id="20" w:name="_Toc15396604"/>
      <w:bookmarkStart w:id="21" w:name="_Toc15377206"/>
      <w:r>
        <w:rPr>
          <w:rFonts w:hint="eastAsia" w:ascii="黑体" w:hAnsi="黑体" w:eastAsia="黑体"/>
          <w:sz w:val="32"/>
          <w:szCs w:val="32"/>
        </w:rPr>
        <w:t>收</w:t>
      </w:r>
      <w:r>
        <w:rPr>
          <w:rStyle w:val="29"/>
          <w:rFonts w:hint="eastAsia" w:ascii="黑体" w:hAnsi="黑体" w:eastAsia="黑体"/>
          <w:b w:val="0"/>
        </w:rPr>
        <w:t>入决算情况说明</w:t>
      </w:r>
      <w:bookmarkEnd w:id="20"/>
      <w:bookmarkEnd w:id="21"/>
    </w:p>
    <w:p w14:paraId="7F90255B">
      <w:pPr>
        <w:pageBreakBefore w:val="0"/>
        <w:widowControl w:val="0"/>
        <w:kinsoku/>
        <w:wordWrap/>
        <w:overflowPunct/>
        <w:topLinePunct w:val="0"/>
        <w:bidi w:val="0"/>
        <w:spacing w:line="580" w:lineRule="exact"/>
        <w:ind w:left="0" w:right="0" w:firstLine="640" w:firstLineChars="200"/>
        <w:jc w:val="both"/>
        <w:textAlignment w:val="auto"/>
        <w:outlineLvl w:val="1"/>
        <w:rPr>
          <w:rFonts w:ascii="仿宋" w:hAnsi="仿宋" w:eastAsia="仿宋"/>
          <w:sz w:val="32"/>
          <w:szCs w:val="32"/>
        </w:rPr>
      </w:pPr>
      <w:r>
        <w:rPr>
          <w:rFonts w:hint="eastAsia" w:ascii="仿宋" w:hAnsi="仿宋" w:eastAsia="仿宋"/>
          <w:sz w:val="32"/>
          <w:szCs w:val="32"/>
        </w:rPr>
        <w:t>2023年度本年收入合计</w:t>
      </w:r>
      <w:r>
        <w:rPr>
          <w:sz w:val="32"/>
          <w:szCs w:val="32"/>
        </w:rPr>
        <w:t>181.92</w:t>
      </w:r>
      <w:r>
        <w:rPr>
          <w:rFonts w:hint="eastAsia" w:ascii="仿宋" w:hAnsi="仿宋" w:eastAsia="仿宋"/>
          <w:sz w:val="32"/>
          <w:szCs w:val="32"/>
        </w:rPr>
        <w:t>万元，其中：一般公共预算财政拨款收入</w:t>
      </w:r>
      <w:r>
        <w:rPr>
          <w:sz w:val="32"/>
          <w:szCs w:val="32"/>
        </w:rPr>
        <w:t>181.92</w:t>
      </w:r>
      <w:r>
        <w:rPr>
          <w:rFonts w:hint="eastAsia" w:ascii="仿宋" w:hAnsi="仿宋" w:eastAsia="仿宋"/>
          <w:sz w:val="32"/>
          <w:szCs w:val="32"/>
        </w:rPr>
        <w:t>万元，占</w:t>
      </w:r>
      <w:r>
        <w:rPr>
          <w:sz w:val="32"/>
          <w:szCs w:val="32"/>
        </w:rPr>
        <w:t>100</w:t>
      </w:r>
      <w:r>
        <w:rPr>
          <w:rFonts w:ascii="仿宋" w:hAnsi="仿宋" w:eastAsia="仿宋"/>
          <w:sz w:val="32"/>
          <w:szCs w:val="32"/>
        </w:rPr>
        <w:t>%</w:t>
      </w:r>
      <w:r>
        <w:rPr>
          <w:rFonts w:hint="eastAsia" w:ascii="仿宋" w:hAnsi="仿宋" w:eastAsia="仿宋"/>
          <w:sz w:val="32"/>
          <w:szCs w:val="32"/>
        </w:rPr>
        <w:t>；政府性基金预算财政拨款收入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；上级补助收入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；事业收入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；附属单位上缴收入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；其他收入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14:paraId="34E29E2D">
      <w:pPr>
        <w:pageBreakBefore w:val="0"/>
        <w:widowControl w:val="0"/>
        <w:kinsoku/>
        <w:wordWrap/>
        <w:overflowPunct/>
        <w:topLinePunct w:val="0"/>
        <w:bidi w:val="0"/>
        <w:spacing w:line="580" w:lineRule="exact"/>
        <w:ind w:left="0" w:right="0" w:firstLine="643" w:firstLineChars="200"/>
        <w:jc w:val="both"/>
        <w:textAlignment w:val="auto"/>
        <w:outlineLvl w:val="1"/>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01表</w:t>
      </w:r>
      <w:r>
        <w:rPr>
          <w:rFonts w:hint="eastAsia" w:ascii="仿宋" w:hAnsi="仿宋" w:eastAsia="仿宋"/>
          <w:b/>
          <w:sz w:val="32"/>
          <w:szCs w:val="32"/>
        </w:rPr>
        <w:t>，仅罗列本部门涉及的收入。</w:t>
      </w:r>
      <w:r>
        <w:rPr>
          <w:rFonts w:ascii="仿宋" w:hAnsi="仿宋" w:eastAsia="仿宋"/>
          <w:b/>
          <w:sz w:val="32"/>
          <w:szCs w:val="32"/>
        </w:rPr>
        <w:t>）</w:t>
      </w:r>
    </w:p>
    <w:p w14:paraId="5C76EF2D">
      <w:pPr>
        <w:pageBreakBefore w:val="0"/>
        <w:widowControl w:val="0"/>
        <w:kinsoku/>
        <w:wordWrap/>
        <w:overflowPunct/>
        <w:topLinePunct w:val="0"/>
        <w:bidi w:val="0"/>
        <w:spacing w:line="580" w:lineRule="exact"/>
        <w:ind w:left="0" w:right="0" w:firstLine="640" w:firstLineChars="200"/>
        <w:jc w:val="both"/>
        <w:textAlignment w:val="auto"/>
        <w:outlineLvl w:val="1"/>
        <w:rPr>
          <w:rFonts w:ascii="仿宋" w:hAnsi="仿宋" w:eastAsia="仿宋"/>
          <w:sz w:val="32"/>
          <w:szCs w:val="32"/>
        </w:rPr>
      </w:pPr>
    </w:p>
    <w:p w14:paraId="492D20C9">
      <w:pPr>
        <w:pageBreakBefore w:val="0"/>
        <w:widowControl w:val="0"/>
        <w:kinsoku/>
        <w:wordWrap/>
        <w:overflowPunct/>
        <w:topLinePunct w:val="0"/>
        <w:bidi w:val="0"/>
        <w:spacing w:line="580" w:lineRule="exact"/>
        <w:ind w:left="0" w:right="0" w:firstLine="420" w:firstLineChars="200"/>
        <w:jc w:val="both"/>
        <w:textAlignment w:val="auto"/>
        <w:rPr>
          <w:rFonts w:ascii="仿宋" w:hAnsi="仿宋" w:eastAsia="仿宋"/>
          <w:sz w:val="32"/>
          <w:szCs w:val="32"/>
        </w:rPr>
      </w:pPr>
      <w:r>
        <w:drawing>
          <wp:anchor distT="0" distB="0" distL="114300" distR="114300" simplePos="0" relativeHeight="251660288" behindDoc="0" locked="0" layoutInCell="1" allowOverlap="1">
            <wp:simplePos x="0" y="0"/>
            <wp:positionH relativeFrom="column">
              <wp:posOffset>111125</wp:posOffset>
            </wp:positionH>
            <wp:positionV relativeFrom="paragraph">
              <wp:posOffset>-219075</wp:posOffset>
            </wp:positionV>
            <wp:extent cx="5152390" cy="2772410"/>
            <wp:effectExtent l="6350" t="6350" r="22860" b="21590"/>
            <wp:wrapSquare wrapText="bothSides"/>
            <wp:docPr id="102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sz w:val="32"/>
          <w:szCs w:val="32"/>
        </w:rPr>
        <w:t>（图2：收入决算结构图）（饼状图）</w:t>
      </w:r>
    </w:p>
    <w:p w14:paraId="2F90A104">
      <w:pPr>
        <w:pageBreakBefore w:val="0"/>
        <w:widowControl w:val="0"/>
        <w:kinsoku/>
        <w:wordWrap/>
        <w:overflowPunct/>
        <w:topLinePunct w:val="0"/>
        <w:bidi w:val="0"/>
        <w:spacing w:line="580" w:lineRule="exact"/>
        <w:ind w:left="0" w:right="0" w:firstLine="640" w:firstLineChars="200"/>
        <w:jc w:val="both"/>
        <w:textAlignment w:val="auto"/>
        <w:rPr>
          <w:rFonts w:ascii="仿宋_GB2312" w:eastAsia="仿宋_GB2312"/>
          <w:sz w:val="32"/>
          <w:szCs w:val="32"/>
        </w:rPr>
      </w:pPr>
    </w:p>
    <w:p w14:paraId="43040E98">
      <w:pPr>
        <w:pStyle w:val="27"/>
        <w:pageBreakBefore w:val="0"/>
        <w:widowControl w:val="0"/>
        <w:numPr>
          <w:ilvl w:val="0"/>
          <w:numId w:val="1"/>
        </w:numPr>
        <w:kinsoku/>
        <w:wordWrap/>
        <w:overflowPunct/>
        <w:topLinePunct w:val="0"/>
        <w:bidi w:val="0"/>
        <w:spacing w:line="580" w:lineRule="exact"/>
        <w:ind w:left="0" w:right="0" w:firstLine="640" w:firstLineChars="200"/>
        <w:jc w:val="both"/>
        <w:textAlignment w:val="auto"/>
        <w:outlineLvl w:val="1"/>
        <w:rPr>
          <w:rStyle w:val="29"/>
          <w:rFonts w:ascii="黑体" w:hAnsi="黑体" w:eastAsia="黑体"/>
          <w:b w:val="0"/>
        </w:rPr>
      </w:pPr>
      <w:bookmarkStart w:id="22" w:name="_Toc15377207"/>
      <w:bookmarkStart w:id="23" w:name="_Toc15396605"/>
      <w:r>
        <w:rPr>
          <w:rFonts w:hint="eastAsia" w:ascii="黑体" w:hAnsi="黑体" w:eastAsia="黑体"/>
          <w:sz w:val="32"/>
          <w:szCs w:val="32"/>
        </w:rPr>
        <w:t>支</w:t>
      </w:r>
      <w:r>
        <w:rPr>
          <w:rStyle w:val="29"/>
          <w:rFonts w:hint="eastAsia" w:ascii="黑体" w:hAnsi="黑体" w:eastAsia="黑体"/>
          <w:b w:val="0"/>
        </w:rPr>
        <w:t>出决算情况说明</w:t>
      </w:r>
      <w:bookmarkEnd w:id="22"/>
      <w:bookmarkEnd w:id="23"/>
    </w:p>
    <w:p w14:paraId="4AD4361C">
      <w:pPr>
        <w:pageBreakBefore w:val="0"/>
        <w:widowControl w:val="0"/>
        <w:kinsoku/>
        <w:wordWrap/>
        <w:overflowPunct/>
        <w:topLinePunct w:val="0"/>
        <w:bidi w:val="0"/>
        <w:spacing w:line="580" w:lineRule="exact"/>
        <w:ind w:left="0" w:right="0" w:firstLine="640" w:firstLineChars="200"/>
        <w:jc w:val="both"/>
        <w:textAlignment w:val="auto"/>
        <w:outlineLvl w:val="1"/>
        <w:rPr>
          <w:rFonts w:ascii="仿宋" w:hAnsi="仿宋" w:eastAsia="仿宋"/>
          <w:sz w:val="32"/>
          <w:szCs w:val="32"/>
        </w:rPr>
      </w:pPr>
      <w:r>
        <w:rPr>
          <w:rFonts w:hint="eastAsia" w:ascii="仿宋" w:hAnsi="仿宋" w:eastAsia="仿宋"/>
          <w:sz w:val="32"/>
          <w:szCs w:val="32"/>
        </w:rPr>
        <w:t>2023年度本年支出合计</w:t>
      </w:r>
      <w:r>
        <w:rPr>
          <w:sz w:val="32"/>
          <w:szCs w:val="32"/>
        </w:rPr>
        <w:t>181.92</w:t>
      </w:r>
      <w:r>
        <w:rPr>
          <w:rFonts w:hint="eastAsia" w:ascii="仿宋" w:hAnsi="仿宋" w:eastAsia="仿宋"/>
          <w:sz w:val="32"/>
          <w:szCs w:val="32"/>
        </w:rPr>
        <w:t>万元，其中：基本支出</w:t>
      </w:r>
      <w:r>
        <w:rPr>
          <w:sz w:val="32"/>
          <w:szCs w:val="32"/>
        </w:rPr>
        <w:t>166.83</w:t>
      </w:r>
      <w:r>
        <w:rPr>
          <w:rFonts w:hint="eastAsia" w:ascii="仿宋" w:hAnsi="仿宋" w:eastAsia="仿宋"/>
          <w:sz w:val="32"/>
          <w:szCs w:val="32"/>
        </w:rPr>
        <w:t>万元，占</w:t>
      </w:r>
      <w:r>
        <w:rPr>
          <w:sz w:val="32"/>
          <w:szCs w:val="32"/>
        </w:rPr>
        <w:t>91.7</w:t>
      </w:r>
      <w:r>
        <w:rPr>
          <w:rFonts w:ascii="仿宋" w:hAnsi="仿宋" w:eastAsia="仿宋"/>
          <w:sz w:val="32"/>
          <w:szCs w:val="32"/>
        </w:rPr>
        <w:t>%</w:t>
      </w:r>
      <w:r>
        <w:rPr>
          <w:rFonts w:hint="eastAsia" w:ascii="仿宋" w:hAnsi="仿宋" w:eastAsia="仿宋"/>
          <w:sz w:val="32"/>
          <w:szCs w:val="32"/>
        </w:rPr>
        <w:t>；项目支出</w:t>
      </w:r>
      <w:r>
        <w:rPr>
          <w:sz w:val="32"/>
          <w:szCs w:val="32"/>
        </w:rPr>
        <w:t>15.1</w:t>
      </w:r>
      <w:r>
        <w:rPr>
          <w:rFonts w:hint="eastAsia" w:ascii="仿宋" w:hAnsi="仿宋" w:eastAsia="仿宋"/>
          <w:sz w:val="32"/>
          <w:szCs w:val="32"/>
        </w:rPr>
        <w:t>万元，占</w:t>
      </w:r>
      <w:r>
        <w:rPr>
          <w:sz w:val="32"/>
          <w:szCs w:val="32"/>
        </w:rPr>
        <w:t>8.29</w:t>
      </w:r>
      <w:r>
        <w:rPr>
          <w:rFonts w:ascii="仿宋" w:hAnsi="仿宋" w:eastAsia="仿宋"/>
          <w:sz w:val="32"/>
          <w:szCs w:val="32"/>
        </w:rPr>
        <w:t>%</w:t>
      </w:r>
      <w:r>
        <w:rPr>
          <w:rFonts w:hint="eastAsia" w:ascii="仿宋" w:hAnsi="仿宋" w:eastAsia="仿宋"/>
          <w:sz w:val="32"/>
          <w:szCs w:val="32"/>
        </w:rPr>
        <w:t>；上缴上级支出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；对附属单位补助支出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14:paraId="2BB97114">
      <w:pPr>
        <w:pageBreakBefore w:val="0"/>
        <w:widowControl w:val="0"/>
        <w:kinsoku/>
        <w:wordWrap/>
        <w:overflowPunct/>
        <w:topLinePunct w:val="0"/>
        <w:bidi w:val="0"/>
        <w:spacing w:line="580" w:lineRule="exact"/>
        <w:ind w:left="0" w:right="0" w:firstLine="643" w:firstLineChars="200"/>
        <w:jc w:val="both"/>
        <w:textAlignment w:val="auto"/>
        <w:outlineLvl w:val="1"/>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04</w:t>
      </w:r>
      <w:r>
        <w:rPr>
          <w:rFonts w:hint="eastAsia" w:ascii="仿宋" w:hAnsi="仿宋" w:eastAsia="仿宋"/>
          <w:b/>
          <w:sz w:val="32"/>
          <w:szCs w:val="32"/>
        </w:rPr>
        <w:t>表，仅罗列本部门涉及的支出。）</w:t>
      </w:r>
    </w:p>
    <w:p w14:paraId="6D8B2CA1">
      <w:pPr>
        <w:pageBreakBefore w:val="0"/>
        <w:widowControl w:val="0"/>
        <w:kinsoku/>
        <w:wordWrap/>
        <w:overflowPunct/>
        <w:topLinePunct w:val="0"/>
        <w:bidi w:val="0"/>
        <w:spacing w:line="580" w:lineRule="exact"/>
        <w:ind w:left="0" w:right="0" w:firstLine="640" w:firstLineChars="200"/>
        <w:jc w:val="both"/>
        <w:textAlignment w:val="auto"/>
        <w:rPr>
          <w:rFonts w:ascii="仿宋" w:hAnsi="仿宋" w:eastAsia="仿宋"/>
          <w:sz w:val="32"/>
          <w:szCs w:val="32"/>
          <w:shd w:val="pct10" w:color="auto" w:fill="FFFFFF"/>
        </w:rPr>
      </w:pPr>
    </w:p>
    <w:p w14:paraId="34CF2F27">
      <w:pPr>
        <w:pageBreakBefore w:val="0"/>
        <w:widowControl w:val="0"/>
        <w:kinsoku/>
        <w:wordWrap/>
        <w:overflowPunct/>
        <w:topLinePunct w:val="0"/>
        <w:bidi w:val="0"/>
        <w:spacing w:line="580" w:lineRule="exact"/>
        <w:ind w:left="0" w:right="0" w:firstLine="420" w:firstLineChars="200"/>
        <w:jc w:val="both"/>
        <w:textAlignment w:val="auto"/>
        <w:rPr>
          <w:rFonts w:ascii="仿宋" w:hAnsi="仿宋" w:eastAsia="仿宋"/>
          <w:sz w:val="32"/>
          <w:szCs w:val="32"/>
        </w:rPr>
      </w:pPr>
      <w:r>
        <w:drawing>
          <wp:anchor distT="0" distB="0" distL="114300" distR="114300" simplePos="0" relativeHeight="251661312" behindDoc="0" locked="0" layoutInCell="1" allowOverlap="1">
            <wp:simplePos x="0" y="0"/>
            <wp:positionH relativeFrom="column">
              <wp:posOffset>63500</wp:posOffset>
            </wp:positionH>
            <wp:positionV relativeFrom="paragraph">
              <wp:posOffset>-1362710</wp:posOffset>
            </wp:positionV>
            <wp:extent cx="4988560" cy="3303270"/>
            <wp:effectExtent l="6350" t="6350" r="15240" b="24130"/>
            <wp:wrapSquare wrapText="bothSides"/>
            <wp:docPr id="102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sz w:val="32"/>
          <w:szCs w:val="32"/>
        </w:rPr>
        <w:t>（图3：支出决算结构图）（饼状图）</w:t>
      </w:r>
    </w:p>
    <w:p w14:paraId="586D8BA5">
      <w:pPr>
        <w:pageBreakBefore w:val="0"/>
        <w:widowControl w:val="0"/>
        <w:kinsoku/>
        <w:wordWrap/>
        <w:overflowPunct/>
        <w:topLinePunct w:val="0"/>
        <w:bidi w:val="0"/>
        <w:spacing w:line="580" w:lineRule="exact"/>
        <w:ind w:left="0" w:right="0" w:firstLine="640" w:firstLineChars="200"/>
        <w:jc w:val="both"/>
        <w:textAlignment w:val="auto"/>
        <w:rPr>
          <w:rFonts w:ascii="仿宋_GB2312" w:eastAsia="仿宋_GB2312"/>
          <w:sz w:val="32"/>
          <w:szCs w:val="32"/>
        </w:rPr>
      </w:pPr>
    </w:p>
    <w:p w14:paraId="4C5EF73A">
      <w:pPr>
        <w:pageBreakBefore w:val="0"/>
        <w:widowControl w:val="0"/>
        <w:kinsoku/>
        <w:wordWrap/>
        <w:overflowPunct/>
        <w:topLinePunct w:val="0"/>
        <w:bidi w:val="0"/>
        <w:spacing w:line="580" w:lineRule="exact"/>
        <w:ind w:left="0" w:right="0" w:firstLine="640" w:firstLineChars="200"/>
        <w:jc w:val="both"/>
        <w:textAlignment w:val="auto"/>
        <w:outlineLvl w:val="1"/>
        <w:rPr>
          <w:rStyle w:val="29"/>
          <w:rFonts w:ascii="黑体" w:hAnsi="黑体" w:eastAsia="黑体"/>
          <w:b w:val="0"/>
        </w:rPr>
      </w:pPr>
      <w:bookmarkStart w:id="24" w:name="_Toc15377208"/>
      <w:bookmarkStart w:id="25" w:name="_Toc15396606"/>
      <w:r>
        <w:rPr>
          <w:rFonts w:hint="eastAsia" w:ascii="黑体" w:hAnsi="黑体" w:eastAsia="黑体"/>
          <w:sz w:val="32"/>
          <w:szCs w:val="32"/>
        </w:rPr>
        <w:t>四、财</w:t>
      </w:r>
      <w:r>
        <w:rPr>
          <w:rStyle w:val="29"/>
          <w:rFonts w:hint="eastAsia" w:ascii="黑体" w:hAnsi="黑体" w:eastAsia="黑体"/>
          <w:b w:val="0"/>
        </w:rPr>
        <w:t>政拨款收入支出决算总体情况说明</w:t>
      </w:r>
      <w:bookmarkEnd w:id="24"/>
      <w:bookmarkEnd w:id="25"/>
    </w:p>
    <w:p w14:paraId="15BD721C">
      <w:pPr>
        <w:pageBreakBefore w:val="0"/>
        <w:widowControl w:val="0"/>
        <w:kinsoku/>
        <w:wordWrap/>
        <w:overflowPunct/>
        <w:topLinePunct w:val="0"/>
        <w:bidi w:val="0"/>
        <w:spacing w:line="580" w:lineRule="exact"/>
        <w:ind w:left="0" w:right="0" w:firstLine="640" w:firstLineChars="200"/>
        <w:jc w:val="both"/>
        <w:textAlignment w:val="auto"/>
        <w:rPr>
          <w:rFonts w:hint="eastAsia" w:ascii="仿宋" w:hAnsi="仿宋" w:eastAsia="仿宋"/>
          <w:sz w:val="32"/>
          <w:szCs w:val="32"/>
        </w:rPr>
      </w:pPr>
      <w:r>
        <w:rPr>
          <w:rFonts w:hint="eastAsia" w:ascii="仿宋" w:hAnsi="仿宋" w:eastAsia="仿宋"/>
          <w:sz w:val="32"/>
          <w:szCs w:val="32"/>
        </w:rPr>
        <w:t>2023年度财政拨款收、支总计均为</w:t>
      </w:r>
      <w:r>
        <w:rPr>
          <w:sz w:val="32"/>
          <w:szCs w:val="32"/>
        </w:rPr>
        <w:t>181.92</w:t>
      </w:r>
      <w:r>
        <w:rPr>
          <w:rFonts w:hint="eastAsia" w:ascii="仿宋" w:hAnsi="仿宋" w:eastAsia="仿宋"/>
          <w:sz w:val="32"/>
          <w:szCs w:val="32"/>
        </w:rPr>
        <w:t>万元。与2022年度相比，收、支总计减少</w:t>
      </w:r>
      <w:r>
        <w:rPr>
          <w:rFonts w:hint="eastAsia" w:ascii="仿宋" w:hAnsi="仿宋" w:eastAsia="仿宋"/>
          <w:sz w:val="32"/>
          <w:szCs w:val="32"/>
          <w:lang w:val="en-US" w:eastAsia="zh-CN"/>
        </w:rPr>
        <w:t>30.62</w:t>
      </w:r>
      <w:r>
        <w:rPr>
          <w:rFonts w:hint="eastAsia" w:ascii="仿宋" w:hAnsi="仿宋" w:eastAsia="仿宋"/>
          <w:sz w:val="32"/>
          <w:szCs w:val="32"/>
        </w:rPr>
        <w:t>万元，下降</w:t>
      </w:r>
      <w:r>
        <w:rPr>
          <w:rFonts w:hint="eastAsia" w:ascii="仿宋" w:hAnsi="仿宋" w:eastAsia="仿宋"/>
          <w:sz w:val="32"/>
          <w:szCs w:val="32"/>
          <w:lang w:val="en-US" w:eastAsia="zh-CN"/>
        </w:rPr>
        <w:t>14.5</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人员调动减少</w:t>
      </w:r>
      <w:r>
        <w:rPr>
          <w:rFonts w:hint="eastAsia" w:ascii="仿宋" w:hAnsi="仿宋" w:eastAsia="仿宋"/>
          <w:sz w:val="32"/>
          <w:szCs w:val="32"/>
        </w:rPr>
        <w:t>。</w:t>
      </w:r>
    </w:p>
    <w:p w14:paraId="1CE43520">
      <w:pPr>
        <w:pageBreakBefore w:val="0"/>
        <w:widowControl w:val="0"/>
        <w:kinsoku/>
        <w:wordWrap/>
        <w:overflowPunct/>
        <w:topLinePunct w:val="0"/>
        <w:bidi w:val="0"/>
        <w:spacing w:line="580" w:lineRule="exact"/>
        <w:ind w:left="0" w:right="0" w:firstLine="643" w:firstLineChars="200"/>
        <w:jc w:val="both"/>
        <w:textAlignment w:val="auto"/>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01-1</w:t>
      </w:r>
      <w:r>
        <w:rPr>
          <w:rFonts w:hint="eastAsia" w:ascii="仿宋" w:hAnsi="仿宋" w:eastAsia="仿宋"/>
          <w:b/>
          <w:sz w:val="32"/>
          <w:szCs w:val="32"/>
        </w:rPr>
        <w:t>表</w:t>
      </w:r>
      <w:r>
        <w:rPr>
          <w:rFonts w:ascii="仿宋" w:hAnsi="仿宋" w:eastAsia="仿宋"/>
          <w:b/>
          <w:sz w:val="32"/>
          <w:szCs w:val="32"/>
        </w:rPr>
        <w:t>）</w:t>
      </w:r>
    </w:p>
    <w:p w14:paraId="3510C701">
      <w:pPr>
        <w:pageBreakBefore w:val="0"/>
        <w:widowControl w:val="0"/>
        <w:kinsoku/>
        <w:wordWrap/>
        <w:overflowPunct/>
        <w:topLinePunct w:val="0"/>
        <w:bidi w:val="0"/>
        <w:spacing w:line="580" w:lineRule="exact"/>
        <w:ind w:left="0" w:right="0" w:firstLine="420" w:firstLineChars="200"/>
        <w:jc w:val="both"/>
        <w:textAlignment w:val="auto"/>
        <w:rPr>
          <w:rFonts w:ascii="仿宋" w:hAnsi="仿宋" w:eastAsia="仿宋"/>
          <w:sz w:val="32"/>
          <w:szCs w:val="32"/>
        </w:rPr>
      </w:pPr>
      <w:r>
        <w:drawing>
          <wp:anchor distT="0" distB="0" distL="114300" distR="114300" simplePos="0" relativeHeight="251662336" behindDoc="0" locked="0" layoutInCell="1" allowOverlap="1">
            <wp:simplePos x="0" y="0"/>
            <wp:positionH relativeFrom="column">
              <wp:posOffset>196850</wp:posOffset>
            </wp:positionH>
            <wp:positionV relativeFrom="paragraph">
              <wp:posOffset>218440</wp:posOffset>
            </wp:positionV>
            <wp:extent cx="4866640" cy="2581275"/>
            <wp:effectExtent l="6350" t="6350" r="22860" b="22225"/>
            <wp:wrapSquare wrapText="bothSides"/>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3E23864A">
      <w:pPr>
        <w:pageBreakBefore w:val="0"/>
        <w:widowControl w:val="0"/>
        <w:kinsoku/>
        <w:wordWrap/>
        <w:overflowPunct/>
        <w:topLinePunct w:val="0"/>
        <w:bidi w:val="0"/>
        <w:spacing w:line="580" w:lineRule="exact"/>
        <w:ind w:left="0" w:right="0" w:firstLine="640" w:firstLineChars="200"/>
        <w:jc w:val="both"/>
        <w:textAlignment w:val="auto"/>
        <w:rPr>
          <w:rFonts w:ascii="仿宋" w:hAnsi="仿宋" w:eastAsia="仿宋"/>
          <w:sz w:val="32"/>
          <w:szCs w:val="32"/>
        </w:rPr>
      </w:pPr>
      <w:r>
        <w:rPr>
          <w:rFonts w:hint="eastAsia" w:ascii="仿宋" w:hAnsi="仿宋" w:eastAsia="仿宋"/>
          <w:sz w:val="32"/>
          <w:szCs w:val="32"/>
        </w:rPr>
        <w:t>（图4：财政拨款收、支决算总计变动情况）（柱状图）</w:t>
      </w:r>
    </w:p>
    <w:p w14:paraId="536DA14B">
      <w:pPr>
        <w:pageBreakBefore w:val="0"/>
        <w:widowControl w:val="0"/>
        <w:kinsoku/>
        <w:wordWrap/>
        <w:overflowPunct/>
        <w:topLinePunct w:val="0"/>
        <w:bidi w:val="0"/>
        <w:spacing w:line="580" w:lineRule="exact"/>
        <w:ind w:left="0" w:right="0" w:firstLine="643" w:firstLineChars="200"/>
        <w:jc w:val="both"/>
        <w:textAlignment w:val="auto"/>
        <w:rPr>
          <w:rFonts w:ascii="仿宋" w:hAnsi="仿宋" w:eastAsia="仿宋"/>
          <w:b/>
          <w:sz w:val="32"/>
          <w:szCs w:val="32"/>
        </w:rPr>
      </w:pPr>
    </w:p>
    <w:p w14:paraId="033706E9">
      <w:pPr>
        <w:pageBreakBefore w:val="0"/>
        <w:widowControl w:val="0"/>
        <w:kinsoku/>
        <w:wordWrap/>
        <w:overflowPunct/>
        <w:topLinePunct w:val="0"/>
        <w:bidi w:val="0"/>
        <w:spacing w:line="580" w:lineRule="exact"/>
        <w:ind w:left="0" w:right="0" w:firstLine="640" w:firstLineChars="200"/>
        <w:jc w:val="both"/>
        <w:textAlignment w:val="auto"/>
        <w:outlineLvl w:val="1"/>
        <w:rPr>
          <w:rStyle w:val="29"/>
          <w:rFonts w:ascii="黑体" w:hAnsi="黑体" w:eastAsia="黑体"/>
          <w:b w:val="0"/>
        </w:rPr>
      </w:pPr>
      <w:bookmarkStart w:id="26" w:name="_Toc15377209"/>
      <w:bookmarkStart w:id="27" w:name="_Toc15396607"/>
      <w:r>
        <w:rPr>
          <w:rFonts w:hint="eastAsia" w:ascii="黑体" w:hAnsi="黑体" w:eastAsia="黑体"/>
          <w:sz w:val="32"/>
          <w:szCs w:val="32"/>
        </w:rPr>
        <w:t>五、</w:t>
      </w:r>
      <w:r>
        <w:rPr>
          <w:rFonts w:hint="eastAsia" w:ascii="黑体" w:hAnsi="黑体" w:eastAsia="黑体"/>
          <w:b/>
          <w:sz w:val="32"/>
          <w:szCs w:val="32"/>
        </w:rPr>
        <w:t>一</w:t>
      </w:r>
      <w:r>
        <w:rPr>
          <w:rStyle w:val="29"/>
          <w:rFonts w:hint="eastAsia" w:ascii="黑体" w:hAnsi="黑体" w:eastAsia="黑体"/>
          <w:b w:val="0"/>
        </w:rPr>
        <w:t>般公共预算财政拨款支出决算情况说明</w:t>
      </w:r>
      <w:bookmarkEnd w:id="26"/>
      <w:bookmarkEnd w:id="27"/>
    </w:p>
    <w:p w14:paraId="6FF6B986">
      <w:pPr>
        <w:pageBreakBefore w:val="0"/>
        <w:widowControl w:val="0"/>
        <w:kinsoku/>
        <w:wordWrap/>
        <w:overflowPunct/>
        <w:topLinePunct w:val="0"/>
        <w:bidi w:val="0"/>
        <w:spacing w:line="580" w:lineRule="exact"/>
        <w:ind w:left="0" w:right="0" w:firstLine="643" w:firstLineChars="200"/>
        <w:jc w:val="both"/>
        <w:textAlignment w:val="auto"/>
        <w:outlineLvl w:val="2"/>
        <w:rPr>
          <w:rFonts w:ascii="仿宋" w:hAnsi="仿宋" w:eastAsia="仿宋"/>
          <w:b/>
          <w:sz w:val="32"/>
          <w:szCs w:val="32"/>
        </w:rPr>
      </w:pPr>
      <w:bookmarkStart w:id="28" w:name="_Toc15377210"/>
      <w:r>
        <w:rPr>
          <w:rFonts w:hint="eastAsia" w:ascii="仿宋" w:hAnsi="仿宋" w:eastAsia="仿宋"/>
          <w:b/>
          <w:sz w:val="32"/>
          <w:szCs w:val="32"/>
        </w:rPr>
        <w:t>（一）一般公共预算财政拨款支出决算总体情况</w:t>
      </w:r>
      <w:bookmarkEnd w:id="28"/>
    </w:p>
    <w:p w14:paraId="56DA03D3">
      <w:pPr>
        <w:pageBreakBefore w:val="0"/>
        <w:widowControl w:val="0"/>
        <w:kinsoku/>
        <w:wordWrap/>
        <w:overflowPunct/>
        <w:topLinePunct w:val="0"/>
        <w:bidi w:val="0"/>
        <w:spacing w:line="580" w:lineRule="exact"/>
        <w:ind w:left="0" w:right="0" w:firstLine="420" w:firstLineChars="200"/>
        <w:jc w:val="both"/>
        <w:textAlignment w:val="auto"/>
        <w:rPr>
          <w:rFonts w:hint="eastAsia" w:ascii="仿宋" w:hAnsi="仿宋" w:eastAsia="仿宋"/>
          <w:sz w:val="32"/>
          <w:szCs w:val="32"/>
        </w:rPr>
      </w:pPr>
      <w:r>
        <w:drawing>
          <wp:anchor distT="0" distB="0" distL="114300" distR="114300" simplePos="0" relativeHeight="251663360" behindDoc="1" locked="0" layoutInCell="1" allowOverlap="1">
            <wp:simplePos x="0" y="0"/>
            <wp:positionH relativeFrom="column">
              <wp:posOffset>254000</wp:posOffset>
            </wp:positionH>
            <wp:positionV relativeFrom="paragraph">
              <wp:posOffset>1758315</wp:posOffset>
            </wp:positionV>
            <wp:extent cx="5408930" cy="2315210"/>
            <wp:effectExtent l="6350" t="6350" r="13970" b="21590"/>
            <wp:wrapThrough wrapText="bothSides">
              <wp:wrapPolygon>
                <wp:start x="-25" y="-59"/>
                <wp:lineTo x="-25" y="21446"/>
                <wp:lineTo x="21580" y="21446"/>
                <wp:lineTo x="21580" y="-59"/>
                <wp:lineTo x="-25" y="-59"/>
              </wp:wrapPolygon>
            </wp:wrapThrough>
            <wp:docPr id="1031"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sz w:val="32"/>
          <w:szCs w:val="32"/>
        </w:rPr>
        <w:t>2023年度一般公共预算财政拨款支出</w:t>
      </w:r>
      <w:r>
        <w:rPr>
          <w:sz w:val="32"/>
          <w:szCs w:val="32"/>
        </w:rPr>
        <w:t>181.92</w:t>
      </w:r>
      <w:r>
        <w:rPr>
          <w:rFonts w:hint="eastAsia" w:ascii="仿宋" w:hAnsi="仿宋" w:eastAsia="仿宋"/>
          <w:sz w:val="32"/>
          <w:szCs w:val="32"/>
        </w:rPr>
        <w:t>万元，占本年支出合计的</w:t>
      </w:r>
      <w:r>
        <w:rPr>
          <w:sz w:val="32"/>
          <w:szCs w:val="32"/>
        </w:rPr>
        <w:t>100</w:t>
      </w:r>
      <w:r>
        <w:rPr>
          <w:rFonts w:ascii="仿宋" w:hAnsi="仿宋" w:eastAsia="仿宋"/>
          <w:sz w:val="32"/>
          <w:szCs w:val="32"/>
        </w:rPr>
        <w:t>%</w:t>
      </w:r>
      <w:r>
        <w:rPr>
          <w:rFonts w:hint="eastAsia" w:ascii="仿宋" w:hAnsi="仿宋" w:eastAsia="仿宋"/>
          <w:sz w:val="32"/>
          <w:szCs w:val="32"/>
        </w:rPr>
        <w:t>。与2022年度相比，收、支总计减少</w:t>
      </w:r>
      <w:r>
        <w:rPr>
          <w:rFonts w:hint="eastAsia" w:ascii="仿宋" w:hAnsi="仿宋" w:eastAsia="仿宋"/>
          <w:sz w:val="32"/>
          <w:szCs w:val="32"/>
          <w:lang w:val="en-US" w:eastAsia="zh-CN"/>
        </w:rPr>
        <w:t>30.62</w:t>
      </w:r>
      <w:r>
        <w:rPr>
          <w:rFonts w:hint="eastAsia" w:ascii="仿宋" w:hAnsi="仿宋" w:eastAsia="仿宋"/>
          <w:sz w:val="32"/>
          <w:szCs w:val="32"/>
        </w:rPr>
        <w:t>万元，下降</w:t>
      </w:r>
      <w:r>
        <w:rPr>
          <w:rFonts w:hint="eastAsia" w:ascii="仿宋" w:hAnsi="仿宋" w:eastAsia="仿宋"/>
          <w:sz w:val="32"/>
          <w:szCs w:val="32"/>
          <w:lang w:val="en-US" w:eastAsia="zh-CN"/>
        </w:rPr>
        <w:t>14.5</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人员调动减少</w:t>
      </w:r>
      <w:r>
        <w:rPr>
          <w:rFonts w:hint="eastAsia" w:ascii="仿宋" w:hAnsi="仿宋" w:eastAsia="仿宋"/>
          <w:sz w:val="32"/>
          <w:szCs w:val="32"/>
        </w:rPr>
        <w:t>。</w:t>
      </w:r>
    </w:p>
    <w:p w14:paraId="59FAA73A">
      <w:pPr>
        <w:pageBreakBefore w:val="0"/>
        <w:widowControl w:val="0"/>
        <w:kinsoku/>
        <w:wordWrap/>
        <w:overflowPunct/>
        <w:topLinePunct w:val="0"/>
        <w:bidi w:val="0"/>
        <w:spacing w:line="580" w:lineRule="exact"/>
        <w:ind w:left="0" w:right="0" w:firstLine="640" w:firstLineChars="200"/>
        <w:jc w:val="both"/>
        <w:textAlignment w:val="auto"/>
        <w:rPr>
          <w:rFonts w:ascii="仿宋" w:hAnsi="仿宋" w:eastAsia="仿宋"/>
          <w:sz w:val="32"/>
          <w:szCs w:val="32"/>
        </w:rPr>
      </w:pPr>
    </w:p>
    <w:p w14:paraId="12ACCE64">
      <w:pPr>
        <w:pageBreakBefore w:val="0"/>
        <w:widowControl w:val="0"/>
        <w:kinsoku/>
        <w:wordWrap/>
        <w:overflowPunct/>
        <w:topLinePunct w:val="0"/>
        <w:bidi w:val="0"/>
        <w:spacing w:line="580" w:lineRule="exact"/>
        <w:ind w:left="0" w:right="0" w:firstLine="640" w:firstLineChars="200"/>
        <w:jc w:val="both"/>
        <w:textAlignment w:val="auto"/>
        <w:rPr>
          <w:rFonts w:ascii="仿宋" w:hAnsi="仿宋" w:eastAsia="仿宋"/>
          <w:sz w:val="32"/>
          <w:szCs w:val="32"/>
        </w:rPr>
      </w:pPr>
      <w:r>
        <w:rPr>
          <w:rFonts w:hint="eastAsia" w:ascii="仿宋" w:hAnsi="仿宋" w:eastAsia="仿宋"/>
          <w:sz w:val="32"/>
          <w:szCs w:val="32"/>
        </w:rPr>
        <w:t>（图5：一般公共预算财政拨款支出决算变动情况）（柱状图）</w:t>
      </w:r>
    </w:p>
    <w:p w14:paraId="28325D77">
      <w:pPr>
        <w:pageBreakBefore w:val="0"/>
        <w:widowControl w:val="0"/>
        <w:kinsoku/>
        <w:wordWrap/>
        <w:overflowPunct/>
        <w:topLinePunct w:val="0"/>
        <w:bidi w:val="0"/>
        <w:spacing w:line="580" w:lineRule="exact"/>
        <w:ind w:left="0" w:right="0" w:firstLine="640" w:firstLineChars="200"/>
        <w:jc w:val="both"/>
        <w:textAlignment w:val="auto"/>
        <w:rPr>
          <w:rFonts w:ascii="仿宋" w:hAnsi="仿宋" w:eastAsia="仿宋"/>
          <w:sz w:val="32"/>
          <w:szCs w:val="32"/>
        </w:rPr>
      </w:pPr>
    </w:p>
    <w:p w14:paraId="3FCC7028">
      <w:pPr>
        <w:pageBreakBefore w:val="0"/>
        <w:widowControl w:val="0"/>
        <w:kinsoku/>
        <w:wordWrap/>
        <w:overflowPunct/>
        <w:topLinePunct w:val="0"/>
        <w:bidi w:val="0"/>
        <w:spacing w:line="580" w:lineRule="exact"/>
        <w:ind w:left="0" w:right="0" w:firstLine="643" w:firstLineChars="200"/>
        <w:jc w:val="both"/>
        <w:textAlignment w:val="auto"/>
        <w:outlineLvl w:val="2"/>
        <w:rPr>
          <w:rFonts w:ascii="仿宋" w:hAnsi="仿宋" w:eastAsia="仿宋"/>
          <w:b/>
          <w:sz w:val="32"/>
          <w:szCs w:val="32"/>
        </w:rPr>
      </w:pPr>
      <w:bookmarkStart w:id="29" w:name="_Toc15377211"/>
      <w:r>
        <w:rPr>
          <w:rFonts w:hint="eastAsia" w:ascii="仿宋" w:hAnsi="仿宋" w:eastAsia="仿宋"/>
          <w:b/>
          <w:sz w:val="32"/>
          <w:szCs w:val="32"/>
        </w:rPr>
        <w:t>（二）一般公共预算财政拨款支出决算结构情况</w:t>
      </w:r>
      <w:bookmarkEnd w:id="29"/>
    </w:p>
    <w:p w14:paraId="2F6CABC4">
      <w:pPr>
        <w:pageBreakBefore w:val="0"/>
        <w:widowControl w:val="0"/>
        <w:kinsoku/>
        <w:wordWrap/>
        <w:overflowPunct/>
        <w:topLinePunct w:val="0"/>
        <w:bidi w:val="0"/>
        <w:spacing w:line="580" w:lineRule="exact"/>
        <w:ind w:left="0" w:right="0" w:firstLine="640" w:firstLineChars="200"/>
        <w:jc w:val="both"/>
        <w:textAlignment w:val="auto"/>
        <w:rPr>
          <w:rFonts w:ascii="仿宋" w:hAnsi="仿宋" w:eastAsia="仿宋"/>
          <w:sz w:val="32"/>
          <w:szCs w:val="32"/>
        </w:rPr>
      </w:pPr>
      <w:r>
        <w:rPr>
          <w:rFonts w:hint="eastAsia" w:ascii="仿宋" w:hAnsi="仿宋" w:eastAsia="仿宋"/>
          <w:sz w:val="32"/>
          <w:szCs w:val="32"/>
        </w:rPr>
        <w:t>2023年度一般公共预算财政拨款支出</w:t>
      </w:r>
      <w:r>
        <w:rPr>
          <w:sz w:val="32"/>
          <w:szCs w:val="32"/>
        </w:rPr>
        <w:t>181.92</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教育支出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科学技术</w:t>
      </w:r>
      <w:r>
        <w:rPr>
          <w:rFonts w:hint="eastAsia" w:ascii="仿宋" w:hAnsi="仿宋" w:eastAsia="仿宋"/>
          <w:b/>
          <w:bCs/>
          <w:sz w:val="32"/>
          <w:szCs w:val="32"/>
        </w:rPr>
        <w:t>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文化旅游体育与传媒支出</w:t>
      </w:r>
      <w:r>
        <w:rPr>
          <w:rFonts w:hint="eastAsia" w:ascii="仿宋" w:hAnsi="仿宋" w:eastAsia="仿宋"/>
          <w:b/>
          <w:bCs/>
          <w:sz w:val="32"/>
          <w:szCs w:val="32"/>
          <w:lang w:val="en-US" w:eastAsia="zh-CN"/>
        </w:rPr>
        <w:t>0</w:t>
      </w:r>
      <w:r>
        <w:rPr>
          <w:rFonts w:hint="eastAsia" w:ascii="仿宋" w:hAnsi="仿宋" w:eastAsia="仿宋"/>
          <w:b/>
          <w:bCs/>
          <w:sz w:val="32"/>
          <w:szCs w:val="32"/>
        </w:rPr>
        <w:t>万元，占</w:t>
      </w:r>
      <w:r>
        <w:rPr>
          <w:rFonts w:hint="eastAsia" w:ascii="仿宋" w:hAnsi="仿宋" w:eastAsia="仿宋"/>
          <w:b/>
          <w:bCs/>
          <w:sz w:val="32"/>
          <w:szCs w:val="32"/>
          <w:lang w:val="en-US" w:eastAsia="zh-CN"/>
        </w:rPr>
        <w:t>0</w:t>
      </w:r>
      <w:r>
        <w:rPr>
          <w:rFonts w:ascii="仿宋" w:hAnsi="仿宋" w:eastAsia="仿宋"/>
          <w:b/>
          <w:bCs/>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lang w:val="en-US" w:eastAsia="zh-CN"/>
        </w:rPr>
        <w:t>166.35</w:t>
      </w:r>
      <w:r>
        <w:rPr>
          <w:rFonts w:hint="eastAsia" w:ascii="仿宋" w:hAnsi="仿宋" w:eastAsia="仿宋"/>
          <w:sz w:val="32"/>
          <w:szCs w:val="32"/>
        </w:rPr>
        <w:t>万元，占</w:t>
      </w:r>
      <w:r>
        <w:rPr>
          <w:rFonts w:hint="eastAsia" w:ascii="仿宋" w:hAnsi="仿宋" w:eastAsia="仿宋"/>
          <w:sz w:val="32"/>
          <w:szCs w:val="32"/>
          <w:lang w:val="en-US" w:eastAsia="zh-CN"/>
        </w:rPr>
        <w:t>91</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6.97</w:t>
      </w:r>
      <w:r>
        <w:rPr>
          <w:rFonts w:hint="eastAsia" w:ascii="仿宋" w:hAnsi="仿宋" w:eastAsia="仿宋"/>
          <w:sz w:val="32"/>
          <w:szCs w:val="32"/>
        </w:rPr>
        <w:t>万元，占</w:t>
      </w:r>
      <w:r>
        <w:rPr>
          <w:rFonts w:hint="eastAsia" w:ascii="仿宋" w:hAnsi="仿宋" w:eastAsia="仿宋"/>
          <w:sz w:val="32"/>
          <w:szCs w:val="32"/>
          <w:lang w:val="en-US" w:eastAsia="zh-CN"/>
        </w:rPr>
        <w:t>4</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lang w:val="en-US" w:eastAsia="zh-CN"/>
        </w:rPr>
        <w:t>8.61</w:t>
      </w:r>
      <w:r>
        <w:rPr>
          <w:rFonts w:hint="eastAsia" w:ascii="仿宋" w:hAnsi="仿宋" w:eastAsia="仿宋"/>
          <w:sz w:val="32"/>
          <w:szCs w:val="32"/>
        </w:rPr>
        <w:t>万元，占</w:t>
      </w:r>
      <w:r>
        <w:rPr>
          <w:rFonts w:hint="eastAsia" w:ascii="仿宋" w:hAnsi="仿宋" w:eastAsia="仿宋"/>
          <w:sz w:val="32"/>
          <w:szCs w:val="32"/>
          <w:lang w:val="en-US" w:eastAsia="zh-CN"/>
        </w:rPr>
        <w:t>5</w:t>
      </w:r>
      <w:r>
        <w:rPr>
          <w:rFonts w:ascii="仿宋" w:hAnsi="仿宋" w:eastAsia="仿宋"/>
          <w:sz w:val="32"/>
          <w:szCs w:val="32"/>
        </w:rPr>
        <w:t>%</w:t>
      </w:r>
      <w:r>
        <w:rPr>
          <w:rFonts w:hint="eastAsia" w:ascii="仿宋" w:hAnsi="仿宋" w:eastAsia="仿宋"/>
          <w:sz w:val="32"/>
          <w:szCs w:val="32"/>
        </w:rPr>
        <w:t>。</w:t>
      </w:r>
    </w:p>
    <w:p w14:paraId="39A6BBEE">
      <w:pPr>
        <w:pageBreakBefore w:val="0"/>
        <w:widowControl w:val="0"/>
        <w:kinsoku/>
        <w:wordWrap/>
        <w:overflowPunct/>
        <w:topLinePunct w:val="0"/>
        <w:bidi w:val="0"/>
        <w:spacing w:line="580" w:lineRule="exact"/>
        <w:ind w:left="0" w:right="0" w:firstLine="643" w:firstLineChars="200"/>
        <w:jc w:val="both"/>
        <w:textAlignment w:val="auto"/>
        <w:rPr>
          <w:rFonts w:ascii="仿宋" w:hAnsi="仿宋" w:eastAsia="仿宋"/>
          <w:b/>
          <w:sz w:val="32"/>
          <w:szCs w:val="32"/>
        </w:rPr>
      </w:pPr>
      <w:r>
        <w:rPr>
          <w:rFonts w:hint="eastAsia" w:ascii="仿宋" w:hAnsi="仿宋" w:eastAsia="仿宋"/>
          <w:b/>
          <w:sz w:val="32"/>
          <w:szCs w:val="32"/>
        </w:rPr>
        <w:t>（注：数据来源于财决01-1表，仅罗列本部门涉及的全部功能分类科目，至类级。）</w:t>
      </w:r>
    </w:p>
    <w:p w14:paraId="0F6BB440">
      <w:pPr>
        <w:pageBreakBefore w:val="0"/>
        <w:widowControl w:val="0"/>
        <w:kinsoku/>
        <w:wordWrap/>
        <w:overflowPunct/>
        <w:topLinePunct w:val="0"/>
        <w:bidi w:val="0"/>
        <w:spacing w:line="580" w:lineRule="exact"/>
        <w:ind w:left="0" w:right="0" w:firstLine="420" w:firstLineChars="200"/>
        <w:jc w:val="both"/>
        <w:textAlignment w:val="auto"/>
        <w:rPr>
          <w:rFonts w:ascii="仿宋" w:hAnsi="仿宋" w:eastAsia="仿宋"/>
          <w:sz w:val="32"/>
          <w:szCs w:val="32"/>
        </w:rPr>
      </w:pPr>
      <w:r>
        <w:drawing>
          <wp:anchor distT="0" distB="0" distL="114300" distR="114300" simplePos="0" relativeHeight="251664384" behindDoc="0" locked="0" layoutInCell="1" allowOverlap="1">
            <wp:simplePos x="0" y="0"/>
            <wp:positionH relativeFrom="column">
              <wp:posOffset>-60325</wp:posOffset>
            </wp:positionH>
            <wp:positionV relativeFrom="paragraph">
              <wp:posOffset>355600</wp:posOffset>
            </wp:positionV>
            <wp:extent cx="5516245" cy="3050540"/>
            <wp:effectExtent l="6350" t="6350" r="20955" b="10160"/>
            <wp:wrapSquare wrapText="bothSides"/>
            <wp:docPr id="102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2C7B8121">
      <w:pPr>
        <w:pageBreakBefore w:val="0"/>
        <w:widowControl w:val="0"/>
        <w:kinsoku/>
        <w:wordWrap/>
        <w:overflowPunct/>
        <w:topLinePunct w:val="0"/>
        <w:bidi w:val="0"/>
        <w:spacing w:line="580" w:lineRule="exact"/>
        <w:ind w:left="0" w:right="0" w:firstLine="640" w:firstLineChars="200"/>
        <w:jc w:val="both"/>
        <w:textAlignment w:val="auto"/>
        <w:rPr>
          <w:rFonts w:ascii="仿宋" w:hAnsi="仿宋" w:eastAsia="仿宋"/>
          <w:sz w:val="32"/>
          <w:szCs w:val="32"/>
        </w:rPr>
      </w:pPr>
      <w:r>
        <w:rPr>
          <w:rFonts w:hint="eastAsia" w:ascii="仿宋" w:hAnsi="仿宋" w:eastAsia="仿宋"/>
          <w:sz w:val="32"/>
          <w:szCs w:val="32"/>
        </w:rPr>
        <w:t>（图6：一般公共预算财政拨款支出决算结构）（饼状图）</w:t>
      </w:r>
    </w:p>
    <w:p w14:paraId="4D0D653A">
      <w:pPr>
        <w:pageBreakBefore w:val="0"/>
        <w:widowControl w:val="0"/>
        <w:kinsoku/>
        <w:wordWrap/>
        <w:overflowPunct/>
        <w:topLinePunct w:val="0"/>
        <w:bidi w:val="0"/>
        <w:spacing w:line="580" w:lineRule="exact"/>
        <w:ind w:left="0" w:right="0" w:firstLine="640" w:firstLineChars="200"/>
        <w:jc w:val="both"/>
        <w:textAlignment w:val="auto"/>
        <w:rPr>
          <w:rFonts w:ascii="仿宋" w:hAnsi="仿宋" w:eastAsia="仿宋"/>
          <w:sz w:val="32"/>
          <w:szCs w:val="32"/>
        </w:rPr>
      </w:pPr>
    </w:p>
    <w:p w14:paraId="7B30CE39">
      <w:pPr>
        <w:pageBreakBefore w:val="0"/>
        <w:widowControl w:val="0"/>
        <w:kinsoku/>
        <w:wordWrap/>
        <w:overflowPunct/>
        <w:topLinePunct w:val="0"/>
        <w:bidi w:val="0"/>
        <w:spacing w:line="580" w:lineRule="exact"/>
        <w:ind w:left="0" w:right="0" w:firstLine="643" w:firstLineChars="200"/>
        <w:jc w:val="both"/>
        <w:textAlignment w:val="auto"/>
        <w:outlineLvl w:val="2"/>
        <w:rPr>
          <w:rFonts w:ascii="仿宋" w:hAnsi="仿宋" w:eastAsia="仿宋"/>
          <w:b/>
          <w:sz w:val="32"/>
          <w:szCs w:val="32"/>
        </w:rPr>
      </w:pPr>
      <w:bookmarkStart w:id="30" w:name="_Toc15377212"/>
      <w:r>
        <w:rPr>
          <w:rFonts w:hint="eastAsia" w:ascii="仿宋" w:hAnsi="仿宋" w:eastAsia="仿宋"/>
          <w:b/>
          <w:sz w:val="32"/>
          <w:szCs w:val="32"/>
        </w:rPr>
        <w:t>（三）一般公共预算财政拨款支出决算具体情况</w:t>
      </w:r>
      <w:bookmarkEnd w:id="30"/>
    </w:p>
    <w:p w14:paraId="56019A43">
      <w:pPr>
        <w:keepNext w:val="0"/>
        <w:keepLines w:val="0"/>
        <w:pageBreakBefore w:val="0"/>
        <w:widowControl w:val="0"/>
        <w:kinsoku/>
        <w:wordWrap/>
        <w:overflowPunct/>
        <w:topLinePunct w:val="0"/>
        <w:autoSpaceDE/>
        <w:autoSpaceDN/>
        <w:bidi w:val="0"/>
        <w:adjustRightInd/>
        <w:snapToGrid/>
        <w:spacing w:afterAutospacing="0" w:line="580" w:lineRule="exact"/>
        <w:ind w:left="0" w:right="0" w:firstLine="643" w:firstLineChars="200"/>
        <w:jc w:val="both"/>
        <w:textAlignment w:val="auto"/>
        <w:outlineLvl w:val="2"/>
        <w:rPr>
          <w:rFonts w:ascii="仿宋" w:hAnsi="仿宋" w:eastAsia="仿宋"/>
          <w:sz w:val="32"/>
          <w:szCs w:val="32"/>
        </w:rPr>
      </w:pPr>
      <w:bookmarkStart w:id="31" w:name="_Toc15378460"/>
      <w:bookmarkStart w:id="32" w:name="_Toc15377444"/>
      <w:bookmarkStart w:id="33" w:name="_Toc15377213"/>
      <w:r>
        <w:rPr>
          <w:rFonts w:hint="eastAsia" w:ascii="仿宋" w:hAnsi="仿宋" w:eastAsia="仿宋"/>
          <w:b/>
          <w:sz w:val="32"/>
          <w:szCs w:val="32"/>
        </w:rPr>
        <w:t>2023年度一般公共预算支出决算数为</w:t>
      </w:r>
      <w:r>
        <w:rPr>
          <w:sz w:val="32"/>
          <w:szCs w:val="32"/>
        </w:rPr>
        <w:t>181.92</w:t>
      </w:r>
      <w:r>
        <w:rPr>
          <w:rFonts w:hint="eastAsia" w:ascii="仿宋" w:hAnsi="仿宋" w:eastAsia="仿宋"/>
          <w:sz w:val="32"/>
          <w:szCs w:val="32"/>
        </w:rPr>
        <w:t>，</w:t>
      </w:r>
      <w:r>
        <w:rPr>
          <w:rStyle w:val="17"/>
          <w:rFonts w:hint="eastAsia" w:ascii="仿宋" w:hAnsi="仿宋" w:eastAsia="仿宋"/>
          <w:bCs/>
          <w:sz w:val="32"/>
          <w:szCs w:val="32"/>
        </w:rPr>
        <w:t>完成预算</w:t>
      </w:r>
      <w:r>
        <w:rPr>
          <w:rStyle w:val="17"/>
          <w:rFonts w:hint="eastAsia" w:ascii="仿宋" w:hAnsi="仿宋" w:eastAsia="仿宋"/>
          <w:bCs/>
          <w:sz w:val="32"/>
          <w:szCs w:val="32"/>
          <w:lang w:val="en-US" w:eastAsia="zh-CN"/>
        </w:rPr>
        <w:t>100</w:t>
      </w:r>
      <w:r>
        <w:rPr>
          <w:rStyle w:val="17"/>
          <w:rFonts w:ascii="仿宋" w:hAnsi="仿宋" w:eastAsia="仿宋"/>
          <w:bCs/>
          <w:sz w:val="32"/>
          <w:szCs w:val="32"/>
        </w:rPr>
        <w:t>%</w:t>
      </w:r>
      <w:r>
        <w:rPr>
          <w:rStyle w:val="17"/>
          <w:rFonts w:hint="eastAsia" w:ascii="仿宋" w:hAnsi="仿宋" w:eastAsia="仿宋"/>
          <w:bCs/>
          <w:sz w:val="32"/>
          <w:szCs w:val="32"/>
        </w:rPr>
        <w:t>。其中：</w:t>
      </w:r>
      <w:bookmarkEnd w:id="31"/>
      <w:bookmarkEnd w:id="32"/>
      <w:bookmarkEnd w:id="33"/>
    </w:p>
    <w:p w14:paraId="1534D31A">
      <w:pPr>
        <w:pStyle w:val="13"/>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Autospacing="0" w:line="580" w:lineRule="exact"/>
        <w:ind w:left="0" w:leftChars="0" w:right="0" w:rightChars="0" w:firstLine="640" w:firstLineChars="200"/>
        <w:jc w:val="both"/>
        <w:textAlignment w:val="auto"/>
        <w:rPr>
          <w:rStyle w:val="17"/>
          <w:rFonts w:hint="eastAsia" w:ascii="仿宋_GB2312" w:hAnsi="仿宋_GB2312" w:eastAsia="仿宋_GB2312" w:cs="仿宋_GB2312"/>
          <w:b w:val="0"/>
          <w:bCs/>
          <w:kern w:val="0"/>
          <w:sz w:val="32"/>
          <w:szCs w:val="32"/>
          <w:shd w:val="clear" w:color="auto" w:fill="FFFFFF"/>
          <w:lang w:val="en-US" w:eastAsia="zh-CN"/>
        </w:rPr>
      </w:pPr>
      <w:r>
        <w:rPr>
          <w:rStyle w:val="17"/>
          <w:rFonts w:hint="eastAsia" w:ascii="仿宋_GB2312" w:hAnsi="仿宋_GB2312" w:eastAsia="仿宋_GB2312" w:cs="仿宋_GB2312"/>
          <w:b w:val="0"/>
          <w:bCs/>
          <w:kern w:val="0"/>
          <w:sz w:val="32"/>
          <w:szCs w:val="32"/>
          <w:shd w:val="clear" w:color="auto" w:fill="FFFFFF"/>
          <w:lang w:val="en-US" w:eastAsia="zh-CN"/>
        </w:rPr>
        <w:t>社会保障和就业支出208（类）行政事业单位养老支出05（款）机关事业单位基本养老保险缴费支出05（项）和208（类）05（款）机关事业单位职业年金缴费支出06（项）；社会保障和就业支出208（类）红十字事业16（款）行政运行01（项）和208（类）红十字事业16（款）一般行政管理事务02（项）和208（类）红十字事业16（款）其他红十字事业支出99（项）；208（类）特困人员救助供养21（款）城市特困人员救助供养支出01（项）：支出决算为166.35万元，完成预算100%。</w:t>
      </w:r>
    </w:p>
    <w:p w14:paraId="501ECF24">
      <w:pPr>
        <w:pStyle w:val="1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580" w:lineRule="exact"/>
        <w:ind w:right="0" w:rightChars="0" w:firstLine="640" w:firstLineChars="200"/>
        <w:jc w:val="both"/>
        <w:textAlignment w:val="auto"/>
        <w:rPr>
          <w:rStyle w:val="17"/>
          <w:rFonts w:hint="eastAsia" w:ascii="仿宋_GB2312" w:hAnsi="仿宋_GB2312" w:eastAsia="仿宋_GB2312" w:cs="仿宋_GB2312"/>
          <w:b w:val="0"/>
          <w:bCs/>
          <w:kern w:val="0"/>
          <w:sz w:val="32"/>
          <w:szCs w:val="32"/>
          <w:shd w:val="clear" w:color="auto" w:fill="FFFFFF"/>
          <w:lang w:val="en-US" w:eastAsia="zh-CN"/>
        </w:rPr>
      </w:pPr>
      <w:r>
        <w:rPr>
          <w:rStyle w:val="17"/>
          <w:rFonts w:hint="eastAsia" w:ascii="仿宋_GB2312" w:hAnsi="仿宋_GB2312" w:eastAsia="仿宋_GB2312" w:cs="仿宋_GB2312"/>
          <w:b w:val="0"/>
          <w:bCs/>
          <w:kern w:val="0"/>
          <w:sz w:val="32"/>
          <w:szCs w:val="32"/>
          <w:shd w:val="clear" w:color="auto" w:fill="FFFFFF"/>
          <w:lang w:val="en-US" w:eastAsia="zh-CN"/>
        </w:rPr>
        <w:t>2.卫生健康支出210（类）行政事业单位医疗11（款）行政单位医疗01（项）和210（类）行政事业单位医疗11（款）公务员医疗补助03（项）：支出决算为6.97万元，完成预算100%。</w:t>
      </w:r>
    </w:p>
    <w:p w14:paraId="2FA18D6E">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80" w:lineRule="exact"/>
        <w:ind w:left="0" w:firstLine="640" w:firstLineChars="200"/>
        <w:jc w:val="both"/>
        <w:textAlignment w:val="auto"/>
        <w:rPr>
          <w:rFonts w:hint="eastAsia" w:ascii="仿宋_GB2312" w:hAnsi="仿宋_GB2312" w:eastAsia="仿宋_GB2312" w:cs="仿宋_GB2312"/>
          <w:b/>
          <w:sz w:val="32"/>
          <w:szCs w:val="32"/>
        </w:rPr>
      </w:pPr>
      <w:r>
        <w:rPr>
          <w:rStyle w:val="17"/>
          <w:rFonts w:hint="eastAsia" w:ascii="仿宋_GB2312" w:hAnsi="仿宋_GB2312" w:eastAsia="仿宋_GB2312" w:cs="仿宋_GB2312"/>
          <w:b w:val="0"/>
          <w:bCs/>
          <w:kern w:val="0"/>
          <w:sz w:val="32"/>
          <w:szCs w:val="32"/>
          <w:shd w:val="clear" w:color="auto" w:fill="FFFFFF"/>
          <w:lang w:val="en-US" w:eastAsia="zh-CN"/>
        </w:rPr>
        <w:t>3.住房保障支出221（类）住房改革支出02（款）住房公积金01（项）:支出决算为8.61万元，完成预算100%。</w:t>
      </w:r>
    </w:p>
    <w:p w14:paraId="46D89073">
      <w:pPr>
        <w:pageBreakBefore w:val="0"/>
        <w:widowControl w:val="0"/>
        <w:tabs>
          <w:tab w:val="right" w:pos="8306"/>
        </w:tabs>
        <w:kinsoku/>
        <w:wordWrap/>
        <w:overflowPunct/>
        <w:topLinePunct w:val="0"/>
        <w:bidi w:val="0"/>
        <w:spacing w:line="580" w:lineRule="exact"/>
        <w:ind w:left="0" w:right="0" w:firstLine="640" w:firstLineChars="200"/>
        <w:jc w:val="both"/>
        <w:textAlignment w:val="auto"/>
        <w:outlineLvl w:val="1"/>
        <w:rPr>
          <w:rStyle w:val="29"/>
        </w:rPr>
      </w:pPr>
      <w:bookmarkStart w:id="34" w:name="_Toc15396608"/>
      <w:bookmarkStart w:id="35" w:name="_Toc1537721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9"/>
          <w:rFonts w:hint="eastAsia" w:ascii="黑体" w:hAnsi="黑体" w:eastAsia="黑体"/>
          <w:b w:val="0"/>
        </w:rPr>
        <w:t>般公共预算财政拨款基本支出决算情况说明</w:t>
      </w:r>
      <w:bookmarkEnd w:id="34"/>
      <w:bookmarkEnd w:id="35"/>
      <w:r>
        <w:rPr>
          <w:rStyle w:val="29"/>
          <w:rFonts w:ascii="黑体" w:hAnsi="黑体" w:eastAsia="黑体"/>
          <w:b w:val="0"/>
        </w:rPr>
        <w:tab/>
      </w:r>
    </w:p>
    <w:p w14:paraId="2AC0A0AA">
      <w:pPr>
        <w:pageBreakBefore w:val="0"/>
        <w:widowControl w:val="0"/>
        <w:kinsoku/>
        <w:wordWrap/>
        <w:overflowPunct/>
        <w:topLinePunct w:val="0"/>
        <w:bidi w:val="0"/>
        <w:spacing w:line="580" w:lineRule="exact"/>
        <w:ind w:left="0" w:right="0" w:firstLine="640" w:firstLineChars="200"/>
        <w:jc w:val="both"/>
        <w:textAlignment w:val="auto"/>
        <w:rPr>
          <w:rFonts w:ascii="仿宋" w:hAnsi="仿宋" w:eastAsia="仿宋"/>
          <w:sz w:val="32"/>
          <w:szCs w:val="32"/>
        </w:rPr>
      </w:pPr>
      <w:r>
        <w:rPr>
          <w:rFonts w:hint="eastAsia" w:ascii="仿宋" w:hAnsi="仿宋" w:eastAsia="仿宋"/>
          <w:sz w:val="32"/>
          <w:szCs w:val="32"/>
        </w:rPr>
        <w:t>2023年度一般公共预算财政拨款基本支出</w:t>
      </w:r>
      <w:r>
        <w:rPr>
          <w:sz w:val="32"/>
          <w:szCs w:val="32"/>
        </w:rPr>
        <w:t>166.83</w:t>
      </w:r>
      <w:r>
        <w:rPr>
          <w:rFonts w:hint="eastAsia" w:ascii="仿宋" w:hAnsi="仿宋" w:eastAsia="仿宋"/>
          <w:sz w:val="32"/>
          <w:szCs w:val="32"/>
        </w:rPr>
        <w:t>万元，其中：</w:t>
      </w:r>
    </w:p>
    <w:p w14:paraId="6426F1B5">
      <w:pPr>
        <w:pageBreakBefore w:val="0"/>
        <w:widowControl w:val="0"/>
        <w:kinsoku/>
        <w:wordWrap/>
        <w:overflowPunct/>
        <w:topLinePunct w:val="0"/>
        <w:bidi w:val="0"/>
        <w:spacing w:line="580" w:lineRule="exact"/>
        <w:ind w:left="0" w:right="0" w:firstLine="640" w:firstLineChars="200"/>
        <w:jc w:val="both"/>
        <w:textAlignment w:val="auto"/>
        <w:rPr>
          <w:rFonts w:ascii="仿宋" w:hAnsi="仿宋" w:eastAsia="仿宋"/>
          <w:sz w:val="32"/>
          <w:szCs w:val="32"/>
        </w:rPr>
      </w:pPr>
      <w:r>
        <w:rPr>
          <w:rFonts w:hint="eastAsia" w:ascii="仿宋" w:hAnsi="仿宋" w:eastAsia="仿宋"/>
          <w:sz w:val="32"/>
          <w:szCs w:val="32"/>
        </w:rPr>
        <w:t>人员经费</w:t>
      </w:r>
      <w:r>
        <w:rPr>
          <w:sz w:val="32"/>
          <w:szCs w:val="32"/>
        </w:rPr>
        <w:t>157.15</w:t>
      </w:r>
      <w:r>
        <w:rPr>
          <w:rFonts w:hint="eastAsia" w:ascii="仿宋" w:hAns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sz w:val="32"/>
          <w:szCs w:val="32"/>
        </w:rPr>
        <w:br w:type="textWrapping"/>
      </w:r>
      <w:r>
        <w:rPr>
          <w:rFonts w:hint="eastAsia" w:ascii="仿宋" w:hAnsi="仿宋" w:eastAsia="仿宋"/>
          <w:sz w:val="32"/>
          <w:szCs w:val="32"/>
        </w:rPr>
        <w:t>　　公用经费</w:t>
      </w:r>
      <w:r>
        <w:rPr>
          <w:sz w:val="32"/>
          <w:szCs w:val="32"/>
        </w:rPr>
        <w:t>9.68</w:t>
      </w:r>
      <w:r>
        <w:rPr>
          <w:rFonts w:hint="eastAsia" w:ascii="仿宋" w:hAns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3ACC535F">
      <w:pPr>
        <w:pageBreakBefore w:val="0"/>
        <w:widowControl w:val="0"/>
        <w:kinsoku/>
        <w:wordWrap/>
        <w:overflowPunct/>
        <w:topLinePunct w:val="0"/>
        <w:bidi w:val="0"/>
        <w:spacing w:line="580" w:lineRule="exact"/>
        <w:ind w:left="0" w:right="0" w:firstLine="643" w:firstLineChars="200"/>
        <w:jc w:val="both"/>
        <w:textAlignment w:val="auto"/>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w:t>
      </w:r>
      <w:r>
        <w:rPr>
          <w:rFonts w:hint="eastAsia" w:ascii="仿宋" w:hAnsi="仿宋" w:eastAsia="仿宋"/>
          <w:b/>
          <w:sz w:val="32"/>
          <w:szCs w:val="32"/>
        </w:rPr>
        <w:t>7表和财决08-1表，仅罗列本部门实际支出涉及的经济分类科目。）</w:t>
      </w:r>
    </w:p>
    <w:p w14:paraId="719A0A00">
      <w:pPr>
        <w:pageBreakBefore w:val="0"/>
        <w:widowControl w:val="0"/>
        <w:kinsoku/>
        <w:wordWrap/>
        <w:overflowPunct/>
        <w:topLinePunct w:val="0"/>
        <w:bidi w:val="0"/>
        <w:spacing w:line="580" w:lineRule="exact"/>
        <w:ind w:left="0" w:right="0" w:firstLine="640" w:firstLineChars="200"/>
        <w:jc w:val="both"/>
        <w:textAlignment w:val="auto"/>
        <w:outlineLvl w:val="1"/>
        <w:rPr>
          <w:rStyle w:val="29"/>
          <w:rFonts w:ascii="黑体" w:hAnsi="黑体" w:eastAsia="黑体"/>
          <w:b w:val="0"/>
        </w:rPr>
      </w:pPr>
      <w:bookmarkStart w:id="36" w:name="_Toc15396609"/>
      <w:bookmarkStart w:id="37" w:name="_Toc15377215"/>
      <w:r>
        <w:rPr>
          <w:rFonts w:hint="eastAsia" w:ascii="黑体" w:eastAsia="黑体"/>
          <w:sz w:val="32"/>
          <w:szCs w:val="32"/>
        </w:rPr>
        <w:t>七、</w:t>
      </w:r>
      <w:r>
        <w:rPr>
          <w:rStyle w:val="29"/>
          <w:rFonts w:hint="eastAsia" w:ascii="黑体" w:hAnsi="黑体" w:eastAsia="黑体"/>
          <w:b w:val="0"/>
        </w:rPr>
        <w:t>财政拨款</w:t>
      </w:r>
      <w:r>
        <w:rPr>
          <w:rStyle w:val="29"/>
          <w:rFonts w:hint="eastAsia" w:ascii="黑体" w:hAnsi="黑体" w:eastAsia="黑体"/>
        </w:rPr>
        <w:t>“</w:t>
      </w:r>
      <w:r>
        <w:rPr>
          <w:rStyle w:val="29"/>
          <w:rFonts w:hint="eastAsia" w:ascii="黑体" w:hAnsi="黑体" w:eastAsia="黑体"/>
          <w:b w:val="0"/>
        </w:rPr>
        <w:t>三公”经费支出决算情况说明</w:t>
      </w:r>
      <w:bookmarkEnd w:id="36"/>
      <w:bookmarkEnd w:id="37"/>
    </w:p>
    <w:p w14:paraId="25AB6712">
      <w:pPr>
        <w:pageBreakBefore w:val="0"/>
        <w:widowControl w:val="0"/>
        <w:kinsoku/>
        <w:wordWrap/>
        <w:overflowPunct/>
        <w:topLinePunct w:val="0"/>
        <w:bidi w:val="0"/>
        <w:spacing w:line="580" w:lineRule="exact"/>
        <w:ind w:left="0" w:right="0" w:firstLine="643" w:firstLineChars="200"/>
        <w:jc w:val="both"/>
        <w:textAlignment w:val="auto"/>
        <w:outlineLvl w:val="2"/>
        <w:rPr>
          <w:rFonts w:ascii="仿宋" w:hAnsi="仿宋" w:eastAsia="仿宋"/>
          <w:b/>
          <w:sz w:val="32"/>
          <w:szCs w:val="32"/>
        </w:rPr>
      </w:pPr>
      <w:bookmarkStart w:id="38" w:name="_Toc15377216"/>
      <w:r>
        <w:rPr>
          <w:rFonts w:hint="eastAsia" w:ascii="仿宋" w:hAnsi="仿宋" w:eastAsia="仿宋"/>
          <w:b/>
          <w:sz w:val="32"/>
          <w:szCs w:val="32"/>
        </w:rPr>
        <w:t>（一）“三公”经费财政拨款支出决算总体情况说明</w:t>
      </w:r>
      <w:bookmarkEnd w:id="38"/>
    </w:p>
    <w:p w14:paraId="2C46EAB4">
      <w:pPr>
        <w:pageBreakBefore w:val="0"/>
        <w:widowControl w:val="0"/>
        <w:kinsoku/>
        <w:wordWrap/>
        <w:overflowPunct/>
        <w:topLinePunct w:val="0"/>
        <w:bidi w:val="0"/>
        <w:spacing w:line="580" w:lineRule="exact"/>
        <w:ind w:left="0" w:right="0" w:firstLine="640" w:firstLineChars="200"/>
        <w:jc w:val="both"/>
        <w:textAlignment w:val="auto"/>
        <w:rPr>
          <w:rFonts w:ascii="仿宋" w:hAnsi="仿宋" w:eastAsia="仿宋"/>
          <w:sz w:val="32"/>
          <w:szCs w:val="32"/>
        </w:rPr>
      </w:pPr>
      <w:r>
        <w:rPr>
          <w:rFonts w:hint="eastAsia" w:ascii="仿宋" w:hAnsi="仿宋" w:eastAsia="仿宋"/>
          <w:sz w:val="32"/>
          <w:szCs w:val="32"/>
        </w:rPr>
        <w:t>2023年度“三公”经费财政拨款支出决算为</w:t>
      </w:r>
      <w:r>
        <w:rPr>
          <w:sz w:val="32"/>
          <w:szCs w:val="32"/>
        </w:rPr>
        <w:t>2.7</w:t>
      </w:r>
      <w:r>
        <w:rPr>
          <w:rFonts w:hint="eastAsia" w:ascii="仿宋" w:hAnsi="仿宋" w:eastAsia="仿宋"/>
          <w:sz w:val="32"/>
          <w:szCs w:val="32"/>
        </w:rPr>
        <w:t>万元，完成预算</w:t>
      </w:r>
      <w:r>
        <w:rPr>
          <w:sz w:val="32"/>
          <w:szCs w:val="32"/>
        </w:rPr>
        <w:t>100</w:t>
      </w:r>
      <w:r>
        <w:rPr>
          <w:rFonts w:ascii="仿宋" w:hAnsi="仿宋" w:eastAsia="仿宋"/>
          <w:sz w:val="32"/>
          <w:szCs w:val="32"/>
        </w:rPr>
        <w:t>%</w:t>
      </w:r>
      <w:r>
        <w:rPr>
          <w:rFonts w:hint="eastAsia" w:ascii="仿宋" w:hAnsi="仿宋" w:eastAsia="仿宋"/>
          <w:sz w:val="32"/>
          <w:szCs w:val="32"/>
        </w:rPr>
        <w:t>，较上年度增加</w:t>
      </w:r>
      <w:r>
        <w:rPr>
          <w:rFonts w:hint="eastAsia" w:ascii="仿宋" w:hAnsi="仿宋" w:eastAsia="仿宋"/>
          <w:sz w:val="32"/>
          <w:szCs w:val="32"/>
          <w:lang w:val="en-US" w:eastAsia="zh-CN"/>
        </w:rPr>
        <w:t>0.09</w:t>
      </w:r>
      <w:r>
        <w:rPr>
          <w:rFonts w:hint="eastAsia" w:ascii="仿宋" w:hAnsi="仿宋" w:eastAsia="仿宋"/>
          <w:sz w:val="32"/>
          <w:szCs w:val="32"/>
        </w:rPr>
        <w:t>万元，增长</w:t>
      </w:r>
      <w:r>
        <w:rPr>
          <w:rFonts w:hint="eastAsia" w:ascii="仿宋" w:hAnsi="仿宋" w:eastAsia="仿宋"/>
          <w:sz w:val="32"/>
          <w:szCs w:val="32"/>
          <w:lang w:val="en-US" w:eastAsia="zh-CN"/>
        </w:rPr>
        <w:t>3</w:t>
      </w:r>
      <w:r>
        <w:rPr>
          <w:rFonts w:hint="eastAsia" w:ascii="仿宋" w:hAnsi="仿宋" w:eastAsia="仿宋"/>
          <w:sz w:val="32"/>
          <w:szCs w:val="32"/>
        </w:rPr>
        <w:t>%。决算数预算数</w:t>
      </w:r>
      <w:r>
        <w:rPr>
          <w:rFonts w:hint="eastAsia" w:ascii="仿宋" w:hAnsi="仿宋" w:eastAsia="仿宋"/>
          <w:sz w:val="32"/>
          <w:szCs w:val="32"/>
          <w:lang w:val="en-US" w:eastAsia="zh-CN"/>
        </w:rPr>
        <w:t>持平</w:t>
      </w:r>
      <w:r>
        <w:rPr>
          <w:rFonts w:hint="eastAsia" w:ascii="仿宋" w:hAnsi="仿宋" w:eastAsia="仿宋"/>
          <w:sz w:val="32"/>
          <w:szCs w:val="32"/>
        </w:rPr>
        <w:t>。</w:t>
      </w:r>
    </w:p>
    <w:p w14:paraId="6164DDC1">
      <w:pPr>
        <w:pageBreakBefore w:val="0"/>
        <w:widowControl w:val="0"/>
        <w:kinsoku/>
        <w:wordWrap/>
        <w:overflowPunct/>
        <w:topLinePunct w:val="0"/>
        <w:bidi w:val="0"/>
        <w:spacing w:line="580" w:lineRule="exact"/>
        <w:ind w:left="0" w:right="0" w:firstLine="643" w:firstLineChars="200"/>
        <w:jc w:val="both"/>
        <w:textAlignment w:val="auto"/>
        <w:rPr>
          <w:rFonts w:ascii="仿宋" w:hAnsi="仿宋" w:eastAsia="仿宋"/>
          <w:b/>
          <w:sz w:val="32"/>
          <w:szCs w:val="32"/>
        </w:rPr>
      </w:pPr>
      <w:r>
        <w:rPr>
          <w:rFonts w:hint="eastAsia" w:ascii="仿宋" w:hAnsi="仿宋" w:eastAsia="仿宋"/>
          <w:b/>
          <w:sz w:val="32"/>
          <w:szCs w:val="32"/>
        </w:rPr>
        <w:t>（注：上述“预算”口径为全年预算数，包括一般公共预算和政府性基金预算财政拨款支出决算情况。）</w:t>
      </w:r>
    </w:p>
    <w:p w14:paraId="3AD5744E">
      <w:pPr>
        <w:pageBreakBefore w:val="0"/>
        <w:widowControl w:val="0"/>
        <w:kinsoku/>
        <w:wordWrap/>
        <w:overflowPunct/>
        <w:topLinePunct w:val="0"/>
        <w:bidi w:val="0"/>
        <w:spacing w:line="580" w:lineRule="exact"/>
        <w:ind w:left="0" w:right="0" w:firstLine="643" w:firstLineChars="200"/>
        <w:jc w:val="both"/>
        <w:textAlignment w:val="auto"/>
        <w:outlineLvl w:val="2"/>
        <w:rPr>
          <w:rFonts w:ascii="仿宋" w:hAnsi="仿宋" w:eastAsia="仿宋"/>
          <w:b/>
          <w:sz w:val="32"/>
          <w:szCs w:val="32"/>
        </w:rPr>
      </w:pPr>
      <w:bookmarkStart w:id="39" w:name="_Toc15377217"/>
      <w:r>
        <w:rPr>
          <w:rFonts w:hint="eastAsia" w:ascii="仿宋" w:hAnsi="仿宋" w:eastAsia="仿宋"/>
          <w:b/>
          <w:sz w:val="32"/>
          <w:szCs w:val="32"/>
        </w:rPr>
        <w:t>（二）“三公”经费财政拨款支出决算具体情况说明</w:t>
      </w:r>
      <w:bookmarkEnd w:id="39"/>
    </w:p>
    <w:p w14:paraId="6DB80749">
      <w:pPr>
        <w:pageBreakBefore w:val="0"/>
        <w:widowControl w:val="0"/>
        <w:kinsoku/>
        <w:wordWrap/>
        <w:overflowPunct/>
        <w:topLinePunct w:val="0"/>
        <w:bidi w:val="0"/>
        <w:spacing w:line="580" w:lineRule="exact"/>
        <w:ind w:left="0" w:right="0" w:firstLine="640" w:firstLineChars="200"/>
        <w:jc w:val="both"/>
        <w:textAlignment w:val="auto"/>
        <w:rPr>
          <w:rFonts w:ascii="仿宋" w:hAnsi="仿宋" w:eastAsia="仿宋"/>
          <w:sz w:val="32"/>
          <w:szCs w:val="32"/>
        </w:rPr>
      </w:pPr>
      <w:r>
        <w:rPr>
          <w:rFonts w:hint="eastAsia" w:ascii="仿宋" w:hAnsi="仿宋" w:eastAsia="仿宋"/>
          <w:sz w:val="32"/>
          <w:szCs w:val="32"/>
        </w:rPr>
        <w:t>2023年度“三公”经费财政拨款支出决算中，因公出国（境）费支出决算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sz w:val="32"/>
          <w:szCs w:val="32"/>
        </w:rPr>
        <w:t>2.62</w:t>
      </w:r>
      <w:r>
        <w:rPr>
          <w:rFonts w:hint="eastAsia" w:ascii="仿宋" w:hAnsi="仿宋" w:eastAsia="仿宋"/>
          <w:sz w:val="32"/>
          <w:szCs w:val="32"/>
        </w:rPr>
        <w:t>万元，占</w:t>
      </w:r>
      <w:r>
        <w:rPr>
          <w:sz w:val="32"/>
          <w:szCs w:val="32"/>
        </w:rPr>
        <w:t>97.18</w:t>
      </w:r>
      <w:r>
        <w:rPr>
          <w:rFonts w:ascii="仿宋" w:hAnsi="仿宋" w:eastAsia="仿宋"/>
          <w:sz w:val="32"/>
          <w:szCs w:val="32"/>
        </w:rPr>
        <w:t>%</w:t>
      </w:r>
      <w:r>
        <w:rPr>
          <w:rFonts w:hint="eastAsia" w:ascii="仿宋" w:hAnsi="仿宋" w:eastAsia="仿宋"/>
          <w:sz w:val="32"/>
          <w:szCs w:val="32"/>
        </w:rPr>
        <w:t>；公务接待费支出决算</w:t>
      </w:r>
      <w:r>
        <w:rPr>
          <w:sz w:val="32"/>
          <w:szCs w:val="32"/>
        </w:rPr>
        <w:t>0.08</w:t>
      </w:r>
      <w:r>
        <w:rPr>
          <w:rFonts w:hint="eastAsia" w:ascii="仿宋" w:hAnsi="仿宋" w:eastAsia="仿宋"/>
          <w:sz w:val="32"/>
          <w:szCs w:val="32"/>
        </w:rPr>
        <w:t>万元，占</w:t>
      </w:r>
      <w:r>
        <w:rPr>
          <w:sz w:val="32"/>
          <w:szCs w:val="32"/>
        </w:rPr>
        <w:t>2.81</w:t>
      </w:r>
      <w:r>
        <w:rPr>
          <w:rFonts w:ascii="仿宋" w:hAnsi="仿宋" w:eastAsia="仿宋"/>
          <w:sz w:val="32"/>
          <w:szCs w:val="32"/>
        </w:rPr>
        <w:t>%</w:t>
      </w:r>
      <w:r>
        <w:rPr>
          <w:rFonts w:hint="eastAsia" w:ascii="仿宋" w:hAnsi="仿宋" w:eastAsia="仿宋"/>
          <w:sz w:val="32"/>
          <w:szCs w:val="32"/>
        </w:rPr>
        <w:t>。具体情况如下：</w:t>
      </w:r>
    </w:p>
    <w:p w14:paraId="7FF30E4B">
      <w:pPr>
        <w:pageBreakBefore w:val="0"/>
        <w:widowControl w:val="0"/>
        <w:kinsoku/>
        <w:wordWrap/>
        <w:overflowPunct/>
        <w:topLinePunct w:val="0"/>
        <w:bidi w:val="0"/>
        <w:spacing w:line="580" w:lineRule="exact"/>
        <w:ind w:left="0" w:right="0" w:firstLine="420" w:firstLineChars="200"/>
        <w:jc w:val="both"/>
        <w:textAlignment w:val="auto"/>
        <w:rPr>
          <w:rFonts w:hint="eastAsia" w:ascii="仿宋" w:hAnsi="仿宋" w:eastAsia="仿宋"/>
          <w:sz w:val="32"/>
          <w:szCs w:val="32"/>
        </w:rPr>
      </w:pPr>
      <w:r>
        <w:drawing>
          <wp:anchor distT="0" distB="0" distL="114300" distR="114300" simplePos="0" relativeHeight="251665408" behindDoc="1" locked="0" layoutInCell="1" allowOverlap="1">
            <wp:simplePos x="0" y="0"/>
            <wp:positionH relativeFrom="column">
              <wp:posOffset>250190</wp:posOffset>
            </wp:positionH>
            <wp:positionV relativeFrom="paragraph">
              <wp:posOffset>114935</wp:posOffset>
            </wp:positionV>
            <wp:extent cx="4933950" cy="2562860"/>
            <wp:effectExtent l="6350" t="6350" r="12700" b="21590"/>
            <wp:wrapThrough wrapText="bothSides">
              <wp:wrapPolygon>
                <wp:start x="-28" y="-54"/>
                <wp:lineTo x="-28" y="21461"/>
                <wp:lineTo x="21572" y="21461"/>
                <wp:lineTo x="21572" y="-54"/>
                <wp:lineTo x="-28" y="-54"/>
              </wp:wrapPolygon>
            </wp:wrapThrough>
            <wp:docPr id="103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18F595EF">
      <w:pPr>
        <w:pageBreakBefore w:val="0"/>
        <w:widowControl w:val="0"/>
        <w:kinsoku/>
        <w:wordWrap/>
        <w:overflowPunct/>
        <w:topLinePunct w:val="0"/>
        <w:bidi w:val="0"/>
        <w:spacing w:line="580" w:lineRule="exact"/>
        <w:ind w:left="0" w:right="0" w:firstLine="640" w:firstLineChars="200"/>
        <w:jc w:val="both"/>
        <w:textAlignment w:val="auto"/>
        <w:rPr>
          <w:rFonts w:hint="eastAsia" w:ascii="仿宋" w:hAnsi="仿宋" w:eastAsia="仿宋"/>
          <w:sz w:val="32"/>
          <w:szCs w:val="32"/>
        </w:rPr>
      </w:pPr>
      <w:r>
        <w:rPr>
          <w:rFonts w:hint="eastAsia" w:ascii="仿宋" w:hAnsi="仿宋" w:eastAsia="仿宋"/>
          <w:sz w:val="32"/>
          <w:szCs w:val="32"/>
        </w:rPr>
        <w:t>（图7：“三公”经费财政拨款支出结构）（饼状图）</w:t>
      </w:r>
    </w:p>
    <w:p w14:paraId="5ED8161B">
      <w:pPr>
        <w:pStyle w:val="14"/>
      </w:pPr>
    </w:p>
    <w:p w14:paraId="5CF4920E">
      <w:pPr>
        <w:pageBreakBefore w:val="0"/>
        <w:widowControl w:val="0"/>
        <w:kinsoku/>
        <w:wordWrap/>
        <w:overflowPunct/>
        <w:topLinePunct w:val="0"/>
        <w:bidi w:val="0"/>
        <w:spacing w:line="580" w:lineRule="exact"/>
        <w:ind w:left="0" w:right="0" w:firstLine="643" w:firstLineChars="200"/>
        <w:jc w:val="both"/>
        <w:textAlignment w:val="auto"/>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sz w:val="32"/>
          <w:szCs w:val="32"/>
        </w:rPr>
        <w:t>0</w:t>
      </w:r>
      <w:r>
        <w:rPr>
          <w:rStyle w:val="17"/>
          <w:rFonts w:ascii="仿宋" w:hAnsi="仿宋" w:eastAsia="仿宋"/>
          <w:b w:val="0"/>
          <w:bCs/>
          <w:sz w:val="32"/>
          <w:szCs w:val="32"/>
        </w:rPr>
        <w:t>%</w:t>
      </w:r>
      <w:r>
        <w:rPr>
          <w:rStyle w:val="17"/>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w:t>
      </w:r>
    </w:p>
    <w:p w14:paraId="12842D1A">
      <w:pPr>
        <w:pageBreakBefore w:val="0"/>
        <w:widowControl w:val="0"/>
        <w:kinsoku/>
        <w:wordWrap/>
        <w:overflowPunct/>
        <w:topLinePunct w:val="0"/>
        <w:bidi w:val="0"/>
        <w:spacing w:line="580" w:lineRule="exact"/>
        <w:ind w:left="0" w:right="0" w:firstLine="643" w:firstLineChars="200"/>
        <w:jc w:val="both"/>
        <w:textAlignment w:val="auto"/>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sz w:val="32"/>
          <w:szCs w:val="32"/>
        </w:rPr>
        <w:t>2.62</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sz w:val="32"/>
          <w:szCs w:val="32"/>
        </w:rPr>
        <w:t>100</w:t>
      </w:r>
      <w:r>
        <w:rPr>
          <w:rStyle w:val="17"/>
          <w:rFonts w:ascii="仿宋" w:hAnsi="仿宋" w:eastAsia="仿宋"/>
          <w:b w:val="0"/>
          <w:bCs/>
          <w:sz w:val="32"/>
          <w:szCs w:val="32"/>
        </w:rPr>
        <w:t>%</w:t>
      </w:r>
      <w:r>
        <w:rPr>
          <w:rStyle w:val="17"/>
          <w:rFonts w:hint="eastAsia" w:ascii="仿宋" w:hAnsi="仿宋" w:eastAsia="仿宋"/>
          <w:b w:val="0"/>
          <w:bCs/>
          <w:sz w:val="32"/>
          <w:szCs w:val="32"/>
        </w:rPr>
        <w:t>。</w:t>
      </w:r>
      <w:r>
        <w:rPr>
          <w:rFonts w:hint="eastAsia" w:ascii="仿宋_GB2312" w:eastAsia="仿宋_GB2312"/>
          <w:sz w:val="32"/>
          <w:szCs w:val="32"/>
        </w:rPr>
        <w:t>公务用车购置及运行维护费支出决算</w:t>
      </w:r>
      <w:r>
        <w:rPr>
          <w:rFonts w:hint="eastAsia" w:ascii="仿宋_GB2312" w:eastAsia="仿宋_GB2312"/>
          <w:sz w:val="32"/>
          <w:szCs w:val="32"/>
          <w:lang w:val="en-US" w:eastAsia="zh-CN"/>
        </w:rPr>
        <w:t>与</w:t>
      </w:r>
      <w:r>
        <w:rPr>
          <w:rFonts w:hint="eastAsia" w:ascii="仿宋_GB2312" w:eastAsia="仿宋_GB2312"/>
          <w:sz w:val="32"/>
          <w:szCs w:val="32"/>
        </w:rPr>
        <w:t>2022年度增</w:t>
      </w:r>
      <w:r>
        <w:rPr>
          <w:rFonts w:hint="eastAsia" w:ascii="仿宋_GB2312" w:eastAsia="仿宋_GB2312"/>
          <w:sz w:val="32"/>
          <w:szCs w:val="32"/>
          <w:lang w:val="en-US" w:eastAsia="zh-CN"/>
        </w:rPr>
        <w:t>一致</w:t>
      </w:r>
      <w:r>
        <w:rPr>
          <w:rFonts w:hint="eastAsia" w:ascii="仿宋_GB2312" w:eastAsia="仿宋_GB2312"/>
          <w:sz w:val="32"/>
          <w:szCs w:val="32"/>
        </w:rPr>
        <w:t>。</w:t>
      </w:r>
    </w:p>
    <w:p w14:paraId="3822BEF0">
      <w:pPr>
        <w:pageBreakBefore w:val="0"/>
        <w:widowControl w:val="0"/>
        <w:kinsoku/>
        <w:wordWrap/>
        <w:overflowPunct/>
        <w:topLinePunct w:val="0"/>
        <w:bidi w:val="0"/>
        <w:spacing w:line="580" w:lineRule="exact"/>
        <w:ind w:left="0" w:right="0" w:firstLine="640" w:firstLineChars="200"/>
        <w:jc w:val="both"/>
        <w:textAlignment w:val="auto"/>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w:t>
      </w:r>
    </w:p>
    <w:p w14:paraId="4858ED27">
      <w:pPr>
        <w:pageBreakBefore w:val="0"/>
        <w:widowControl w:val="0"/>
        <w:kinsoku/>
        <w:wordWrap/>
        <w:overflowPunct/>
        <w:topLinePunct w:val="0"/>
        <w:bidi w:val="0"/>
        <w:spacing w:line="580" w:lineRule="exact"/>
        <w:ind w:left="0" w:right="0" w:firstLine="643" w:firstLineChars="200"/>
        <w:jc w:val="both"/>
        <w:textAlignment w:val="auto"/>
        <w:rPr>
          <w:rFonts w:ascii="仿宋_GB2312" w:eastAsia="仿宋_GB2312"/>
          <w:sz w:val="32"/>
          <w:szCs w:val="32"/>
        </w:rPr>
      </w:pPr>
      <w:r>
        <w:rPr>
          <w:rFonts w:hint="eastAsia" w:ascii="仿宋_GB2312" w:eastAsia="仿宋_GB2312"/>
          <w:b/>
          <w:sz w:val="32"/>
          <w:szCs w:val="32"/>
        </w:rPr>
        <w:t>公务用车运行维护费支出</w:t>
      </w:r>
      <w:r>
        <w:rPr>
          <w:sz w:val="32"/>
          <w:szCs w:val="32"/>
        </w:rPr>
        <w:t>2.62</w:t>
      </w:r>
      <w:r>
        <w:rPr>
          <w:rFonts w:hint="eastAsia" w:ascii="仿宋_GB2312" w:eastAsia="仿宋_GB2312"/>
          <w:sz w:val="32"/>
          <w:szCs w:val="32"/>
        </w:rPr>
        <w:t>万元。主要用于</w:t>
      </w:r>
      <w:r>
        <w:rPr>
          <w:rFonts w:hint="eastAsia" w:ascii="仿宋_GB2312" w:eastAsia="仿宋_GB2312"/>
          <w:sz w:val="32"/>
          <w:szCs w:val="32"/>
          <w:lang w:val="en-US" w:eastAsia="zh-CN"/>
        </w:rPr>
        <w:t>开展日常工作</w:t>
      </w:r>
      <w:r>
        <w:rPr>
          <w:rFonts w:hint="eastAsia" w:ascii="仿宋_GB2312" w:eastAsia="仿宋_GB2312"/>
          <w:sz w:val="32"/>
          <w:szCs w:val="32"/>
        </w:rPr>
        <w:t>等所需的公务用车燃料费、维修费、过路过桥费、保险费等支出。</w:t>
      </w:r>
    </w:p>
    <w:p w14:paraId="47A4596D">
      <w:pPr>
        <w:pageBreakBefore w:val="0"/>
        <w:widowControl w:val="0"/>
        <w:kinsoku/>
        <w:wordWrap/>
        <w:overflowPunct/>
        <w:topLinePunct w:val="0"/>
        <w:bidi w:val="0"/>
        <w:spacing w:line="580" w:lineRule="exact"/>
        <w:ind w:left="0" w:right="0" w:firstLine="643" w:firstLineChars="200"/>
        <w:jc w:val="both"/>
        <w:textAlignment w:val="auto"/>
        <w:rPr>
          <w:rFonts w:hint="default" w:ascii="仿宋_GB2312" w:eastAsia="仿宋_GB2312"/>
          <w:sz w:val="32"/>
          <w:szCs w:val="32"/>
          <w:lang w:val="en-US" w:eastAsia="zh-CN"/>
        </w:rPr>
      </w:pPr>
      <w:r>
        <w:rPr>
          <w:rFonts w:ascii="仿宋_GB2312" w:eastAsia="仿宋_GB2312"/>
          <w:b/>
          <w:sz w:val="32"/>
          <w:szCs w:val="32"/>
        </w:rPr>
        <w:t>3.</w:t>
      </w:r>
      <w:r>
        <w:rPr>
          <w:rFonts w:hint="eastAsia" w:ascii="仿宋_GB2312" w:eastAsia="仿宋_GB2312"/>
          <w:b/>
          <w:sz w:val="32"/>
          <w:szCs w:val="32"/>
        </w:rPr>
        <w:t>公务接待费支出</w:t>
      </w:r>
      <w:r>
        <w:rPr>
          <w:sz w:val="32"/>
          <w:szCs w:val="32"/>
        </w:rPr>
        <w:t>0.08</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sz w:val="32"/>
          <w:szCs w:val="32"/>
        </w:rPr>
        <w:t>100%</w:t>
      </w:r>
      <w:r>
        <w:rPr>
          <w:rStyle w:val="17"/>
          <w:rFonts w:hint="eastAsia" w:ascii="仿宋" w:hAnsi="仿宋" w:eastAsia="仿宋"/>
          <w:b w:val="0"/>
          <w:bCs/>
          <w:sz w:val="32"/>
          <w:szCs w:val="32"/>
        </w:rPr>
        <w:t>。</w:t>
      </w:r>
      <w:r>
        <w:rPr>
          <w:rFonts w:hint="eastAsia" w:ascii="仿宋_GB2312" w:eastAsia="仿宋_GB2312"/>
          <w:sz w:val="32"/>
          <w:szCs w:val="32"/>
        </w:rPr>
        <w:t>公务接待费支出决算比2022年度减少</w:t>
      </w:r>
      <w:r>
        <w:rPr>
          <w:rFonts w:hint="eastAsia" w:ascii="仿宋_GB2312" w:eastAsia="仿宋_GB2312"/>
          <w:sz w:val="32"/>
          <w:szCs w:val="32"/>
          <w:lang w:val="en-US" w:eastAsia="zh-CN"/>
        </w:rPr>
        <w:t>0.016</w:t>
      </w:r>
      <w:r>
        <w:rPr>
          <w:rFonts w:hint="eastAsia" w:ascii="仿宋_GB2312" w:eastAsia="仿宋_GB2312"/>
          <w:sz w:val="32"/>
          <w:szCs w:val="32"/>
        </w:rPr>
        <w:t>万元，下降</w:t>
      </w: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人员减少。</w:t>
      </w:r>
    </w:p>
    <w:p w14:paraId="45AEFB45">
      <w:pPr>
        <w:pageBreakBefore w:val="0"/>
        <w:widowControl w:val="0"/>
        <w:kinsoku/>
        <w:wordWrap/>
        <w:overflowPunct/>
        <w:topLinePunct w:val="0"/>
        <w:bidi w:val="0"/>
        <w:spacing w:line="580" w:lineRule="exact"/>
        <w:ind w:left="0" w:right="0" w:firstLine="643" w:firstLineChars="200"/>
        <w:jc w:val="both"/>
        <w:textAlignment w:val="auto"/>
        <w:rPr>
          <w:rFonts w:ascii="仿宋_GB2312" w:eastAsia="仿宋_GB2312"/>
          <w:sz w:val="32"/>
          <w:szCs w:val="32"/>
        </w:rPr>
      </w:pPr>
      <w:r>
        <w:rPr>
          <w:rFonts w:hint="eastAsia" w:ascii="仿宋" w:hAnsi="仿宋" w:eastAsia="仿宋"/>
          <w:b/>
          <w:sz w:val="32"/>
          <w:szCs w:val="32"/>
        </w:rPr>
        <w:t>国内公务接待支出</w:t>
      </w:r>
      <w:r>
        <w:rPr>
          <w:rFonts w:hint="eastAsia" w:ascii="仿宋" w:hAnsi="仿宋" w:eastAsia="仿宋"/>
          <w:b/>
          <w:sz w:val="32"/>
          <w:szCs w:val="32"/>
          <w:lang w:val="en-US" w:eastAsia="zh-CN"/>
        </w:rPr>
        <w:t>0</w:t>
      </w:r>
      <w:r>
        <w:rPr>
          <w:rFonts w:hint="eastAsia" w:ascii="仿宋_GB2312" w:eastAsia="仿宋_GB2312"/>
          <w:sz w:val="32"/>
          <w:szCs w:val="32"/>
        </w:rPr>
        <w:t>万元。</w:t>
      </w:r>
    </w:p>
    <w:p w14:paraId="54E8AE29">
      <w:pPr>
        <w:pageBreakBefore w:val="0"/>
        <w:widowControl w:val="0"/>
        <w:kinsoku/>
        <w:wordWrap/>
        <w:overflowPunct/>
        <w:topLinePunct w:val="0"/>
        <w:bidi w:val="0"/>
        <w:spacing w:line="580" w:lineRule="exact"/>
        <w:ind w:left="0" w:right="0" w:firstLine="643" w:firstLineChars="200"/>
        <w:jc w:val="both"/>
        <w:textAlignment w:val="auto"/>
        <w:rPr>
          <w:rFonts w:ascii="黑体" w:eastAsia="黑体"/>
          <w:sz w:val="32"/>
          <w:szCs w:val="32"/>
        </w:rPr>
      </w:pPr>
      <w:r>
        <w:rPr>
          <w:rFonts w:hint="eastAsia" w:ascii="仿宋" w:hAnsi="仿宋" w:eastAsia="仿宋"/>
          <w:b/>
          <w:sz w:val="32"/>
          <w:szCs w:val="32"/>
        </w:rPr>
        <w:t>外事接待支出</w:t>
      </w:r>
      <w:r>
        <w:rPr>
          <w:rFonts w:hint="eastAsia" w:ascii="仿宋" w:hAnsi="仿宋" w:eastAsia="仿宋"/>
          <w:b/>
          <w:sz w:val="32"/>
          <w:szCs w:val="32"/>
          <w:lang w:val="en-US" w:eastAsia="zh-CN"/>
        </w:rPr>
        <w:t>0</w:t>
      </w:r>
      <w:r>
        <w:rPr>
          <w:rFonts w:hint="eastAsia" w:ascii="仿宋_GB2312" w:eastAsia="仿宋_GB2312"/>
          <w:sz w:val="32"/>
          <w:szCs w:val="32"/>
        </w:rPr>
        <w:t>万元。</w:t>
      </w:r>
      <w:bookmarkStart w:id="40" w:name="_Toc15377218"/>
      <w:bookmarkStart w:id="41" w:name="_Toc15396610"/>
    </w:p>
    <w:p w14:paraId="482711E9">
      <w:pPr>
        <w:pageBreakBefore w:val="0"/>
        <w:widowControl w:val="0"/>
        <w:kinsoku/>
        <w:wordWrap/>
        <w:overflowPunct/>
        <w:topLinePunct w:val="0"/>
        <w:bidi w:val="0"/>
        <w:spacing w:line="580" w:lineRule="exact"/>
        <w:ind w:left="0" w:right="0" w:firstLine="640" w:firstLineChars="200"/>
        <w:jc w:val="both"/>
        <w:textAlignment w:val="auto"/>
        <w:outlineLvl w:val="1"/>
        <w:rPr>
          <w:rStyle w:val="29"/>
          <w:rFonts w:ascii="黑体" w:hAnsi="黑体" w:eastAsia="黑体"/>
        </w:rPr>
      </w:pPr>
      <w:r>
        <w:rPr>
          <w:rFonts w:hint="eastAsia" w:ascii="黑体" w:eastAsia="黑体"/>
          <w:sz w:val="32"/>
          <w:szCs w:val="32"/>
        </w:rPr>
        <w:t>八、</w:t>
      </w:r>
      <w:r>
        <w:rPr>
          <w:rStyle w:val="29"/>
          <w:rFonts w:hint="eastAsia" w:ascii="黑体" w:hAnsi="黑体" w:eastAsia="黑体"/>
          <w:b w:val="0"/>
        </w:rPr>
        <w:t>政府性基金预算支出决算情况说明</w:t>
      </w:r>
      <w:bookmarkEnd w:id="40"/>
      <w:bookmarkEnd w:id="41"/>
    </w:p>
    <w:p w14:paraId="79C29E16">
      <w:pPr>
        <w:pageBreakBefore w:val="0"/>
        <w:widowControl w:val="0"/>
        <w:kinsoku/>
        <w:wordWrap/>
        <w:overflowPunct/>
        <w:topLinePunct w:val="0"/>
        <w:bidi w:val="0"/>
        <w:spacing w:line="580" w:lineRule="exact"/>
        <w:ind w:left="0" w:right="0" w:firstLine="640" w:firstLineChars="200"/>
        <w:jc w:val="both"/>
        <w:textAlignment w:val="auto"/>
        <w:rPr>
          <w:rFonts w:ascii="仿宋_GB2312" w:eastAsia="仿宋_GB2312"/>
          <w:sz w:val="32"/>
          <w:szCs w:val="32"/>
        </w:rPr>
      </w:pPr>
      <w:r>
        <w:rPr>
          <w:rFonts w:hint="eastAsia" w:ascii="仿宋_GB2312" w:eastAsia="仿宋_GB2312"/>
          <w:sz w:val="32"/>
          <w:szCs w:val="32"/>
        </w:rPr>
        <w:t>2023年度政府性基金预算财政拨款支出</w:t>
      </w:r>
      <w:r>
        <w:rPr>
          <w:sz w:val="32"/>
          <w:szCs w:val="32"/>
        </w:rPr>
        <w:t>0</w:t>
      </w:r>
      <w:r>
        <w:rPr>
          <w:rFonts w:hint="eastAsia" w:ascii="仿宋_GB2312" w:eastAsia="仿宋_GB2312"/>
          <w:sz w:val="32"/>
          <w:szCs w:val="32"/>
        </w:rPr>
        <w:t>万元。</w:t>
      </w:r>
    </w:p>
    <w:p w14:paraId="1CF2ED25">
      <w:pPr>
        <w:pageBreakBefore w:val="0"/>
        <w:widowControl w:val="0"/>
        <w:numPr>
          <w:ilvl w:val="0"/>
          <w:numId w:val="3"/>
        </w:numPr>
        <w:kinsoku/>
        <w:wordWrap/>
        <w:overflowPunct/>
        <w:topLinePunct w:val="0"/>
        <w:bidi w:val="0"/>
        <w:spacing w:line="580" w:lineRule="exact"/>
        <w:ind w:left="0" w:right="0" w:firstLine="640" w:firstLineChars="200"/>
        <w:jc w:val="both"/>
        <w:textAlignment w:val="auto"/>
        <w:outlineLvl w:val="1"/>
        <w:rPr>
          <w:rStyle w:val="29"/>
          <w:rFonts w:ascii="黑体" w:hAnsi="黑体" w:eastAsia="黑体"/>
          <w:b w:val="0"/>
        </w:rPr>
      </w:pPr>
      <w:bookmarkStart w:id="42" w:name="_Toc15377219"/>
      <w:bookmarkStart w:id="43" w:name="_Toc15396611"/>
      <w:r>
        <w:rPr>
          <w:rStyle w:val="29"/>
          <w:rFonts w:hint="eastAsia" w:ascii="黑体" w:hAnsi="黑体" w:eastAsia="黑体"/>
          <w:b w:val="0"/>
        </w:rPr>
        <w:t>国有资本经营预算支出决算情况说明</w:t>
      </w:r>
      <w:bookmarkEnd w:id="42"/>
      <w:bookmarkEnd w:id="43"/>
    </w:p>
    <w:p w14:paraId="7693A0C7">
      <w:pPr>
        <w:pageBreakBefore w:val="0"/>
        <w:widowControl w:val="0"/>
        <w:kinsoku/>
        <w:wordWrap/>
        <w:overflowPunct/>
        <w:topLinePunct w:val="0"/>
        <w:bidi w:val="0"/>
        <w:spacing w:line="580" w:lineRule="exact"/>
        <w:ind w:left="0" w:right="0" w:firstLine="640" w:firstLineChars="200"/>
        <w:jc w:val="both"/>
        <w:textAlignment w:val="auto"/>
        <w:rPr>
          <w:rFonts w:ascii="方正小标宋简体" w:hAnsi="方正小标宋简体" w:eastAsia="方正小标宋简体" w:cs="方正小标宋简体"/>
          <w:sz w:val="44"/>
          <w:szCs w:val="44"/>
        </w:rPr>
      </w:pPr>
      <w:r>
        <w:rPr>
          <w:rFonts w:hint="eastAsia" w:ascii="仿宋_GB2312" w:eastAsia="仿宋_GB2312"/>
          <w:sz w:val="32"/>
          <w:szCs w:val="32"/>
        </w:rPr>
        <w:t>2023年度国有资本经营预算财政拨款支出</w:t>
      </w:r>
      <w:r>
        <w:rPr>
          <w:sz w:val="32"/>
          <w:szCs w:val="32"/>
        </w:rPr>
        <w:t>0</w:t>
      </w:r>
      <w:r>
        <w:rPr>
          <w:rFonts w:hint="eastAsia" w:ascii="仿宋_GB2312" w:eastAsia="仿宋_GB2312"/>
          <w:sz w:val="32"/>
          <w:szCs w:val="32"/>
        </w:rPr>
        <w:t>万元。</w:t>
      </w:r>
    </w:p>
    <w:p w14:paraId="208781F0">
      <w:pPr>
        <w:pageBreakBefore w:val="0"/>
        <w:widowControl w:val="0"/>
        <w:numPr>
          <w:ilvl w:val="0"/>
          <w:numId w:val="3"/>
        </w:numPr>
        <w:kinsoku/>
        <w:wordWrap/>
        <w:overflowPunct/>
        <w:topLinePunct w:val="0"/>
        <w:bidi w:val="0"/>
        <w:spacing w:line="580" w:lineRule="exact"/>
        <w:ind w:left="0" w:right="0" w:firstLine="640" w:firstLineChars="200"/>
        <w:jc w:val="both"/>
        <w:textAlignment w:val="auto"/>
        <w:outlineLvl w:val="1"/>
        <w:rPr>
          <w:rStyle w:val="29"/>
          <w:rFonts w:ascii="黑体" w:hAnsi="黑体" w:eastAsia="黑体"/>
          <w:b w:val="0"/>
        </w:rPr>
      </w:pPr>
      <w:bookmarkStart w:id="44" w:name="_Toc15396612"/>
      <w:bookmarkStart w:id="45" w:name="_Toc15377221"/>
      <w:r>
        <w:rPr>
          <w:rStyle w:val="29"/>
          <w:rFonts w:hint="eastAsia" w:ascii="黑体" w:hAnsi="黑体" w:eastAsia="黑体"/>
          <w:b w:val="0"/>
        </w:rPr>
        <w:t>其他重要事项的情况说明</w:t>
      </w:r>
      <w:bookmarkEnd w:id="44"/>
      <w:bookmarkEnd w:id="45"/>
    </w:p>
    <w:p w14:paraId="54B8828D">
      <w:pPr>
        <w:pageBreakBefore w:val="0"/>
        <w:widowControl w:val="0"/>
        <w:kinsoku/>
        <w:wordWrap/>
        <w:overflowPunct/>
        <w:topLinePunct w:val="0"/>
        <w:bidi w:val="0"/>
        <w:spacing w:line="580" w:lineRule="exact"/>
        <w:ind w:left="0" w:right="0" w:firstLine="643" w:firstLineChars="200"/>
        <w:jc w:val="both"/>
        <w:textAlignment w:val="auto"/>
        <w:outlineLvl w:val="2"/>
        <w:rPr>
          <w:rFonts w:ascii="仿宋" w:hAnsi="仿宋" w:eastAsia="仿宋"/>
          <w:sz w:val="32"/>
          <w:szCs w:val="32"/>
        </w:rPr>
      </w:pPr>
      <w:bookmarkStart w:id="46" w:name="_Toc15377222"/>
      <w:r>
        <w:rPr>
          <w:rFonts w:hint="eastAsia" w:ascii="仿宋" w:hAnsi="仿宋" w:eastAsia="仿宋"/>
          <w:b/>
          <w:sz w:val="32"/>
          <w:szCs w:val="32"/>
        </w:rPr>
        <w:t>（一）机关运行经费支出情况</w:t>
      </w:r>
      <w:bookmarkEnd w:id="46"/>
    </w:p>
    <w:p w14:paraId="52574414">
      <w:pPr>
        <w:pageBreakBefore w:val="0"/>
        <w:widowControl w:val="0"/>
        <w:kinsoku/>
        <w:wordWrap/>
        <w:overflowPunct/>
        <w:topLinePunct w:val="0"/>
        <w:bidi w:val="0"/>
        <w:spacing w:line="580" w:lineRule="exact"/>
        <w:ind w:left="0" w:right="0" w:firstLine="640" w:firstLineChars="200"/>
        <w:jc w:val="both"/>
        <w:textAlignment w:val="auto"/>
        <w:rPr>
          <w:rFonts w:ascii="仿宋_GB2312" w:eastAsia="仿宋_GB2312"/>
          <w:sz w:val="32"/>
          <w:szCs w:val="32"/>
        </w:rPr>
      </w:pPr>
      <w:r>
        <w:rPr>
          <w:rFonts w:hint="eastAsia" w:ascii="仿宋_GB2312" w:eastAsia="仿宋_GB2312"/>
          <w:sz w:val="32"/>
          <w:szCs w:val="32"/>
        </w:rPr>
        <w:t>2023年度，</w:t>
      </w:r>
      <w:r>
        <w:rPr>
          <w:rFonts w:hint="eastAsia"/>
          <w:sz w:val="32"/>
          <w:szCs w:val="32"/>
        </w:rPr>
        <w:t>红原县红十字会本级</w:t>
      </w:r>
      <w:r>
        <w:rPr>
          <w:rFonts w:hint="eastAsia" w:ascii="仿宋_GB2312" w:eastAsia="仿宋_GB2312"/>
          <w:sz w:val="32"/>
          <w:szCs w:val="32"/>
        </w:rPr>
        <w:t>机关运行经费支出</w:t>
      </w:r>
      <w:r>
        <w:rPr>
          <w:sz w:val="32"/>
          <w:szCs w:val="32"/>
        </w:rPr>
        <w:t>9.68</w:t>
      </w:r>
      <w:r>
        <w:rPr>
          <w:rFonts w:hint="eastAsia" w:ascii="仿宋_GB2312" w:eastAsia="仿宋_GB2312"/>
          <w:sz w:val="32"/>
          <w:szCs w:val="32"/>
        </w:rPr>
        <w:t>万元，比2022年度减少</w:t>
      </w:r>
      <w:r>
        <w:rPr>
          <w:rFonts w:hint="eastAsia" w:ascii="仿宋_GB2312" w:eastAsia="仿宋_GB2312"/>
          <w:sz w:val="32"/>
          <w:szCs w:val="32"/>
          <w:lang w:val="en-US" w:eastAsia="zh-CN"/>
        </w:rPr>
        <w:t>4.97</w:t>
      </w:r>
      <w:r>
        <w:rPr>
          <w:rFonts w:hint="eastAsia" w:ascii="仿宋_GB2312" w:eastAsia="仿宋_GB2312"/>
          <w:sz w:val="32"/>
          <w:szCs w:val="32"/>
        </w:rPr>
        <w:t>万元，下降</w:t>
      </w:r>
      <w:r>
        <w:rPr>
          <w:rFonts w:hint="eastAsia" w:ascii="仿宋_GB2312" w:eastAsia="仿宋_GB2312"/>
          <w:sz w:val="32"/>
          <w:szCs w:val="32"/>
          <w:lang w:val="en-US" w:eastAsia="zh-CN"/>
        </w:rPr>
        <w:t>0.5</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人员减少</w:t>
      </w:r>
      <w:r>
        <w:rPr>
          <w:rFonts w:hint="eastAsia" w:ascii="仿宋_GB2312" w:eastAsia="仿宋_GB2312"/>
          <w:sz w:val="32"/>
          <w:szCs w:val="32"/>
        </w:rPr>
        <w:t>。</w:t>
      </w:r>
    </w:p>
    <w:p w14:paraId="4CCD0522">
      <w:pPr>
        <w:pageBreakBefore w:val="0"/>
        <w:widowControl w:val="0"/>
        <w:kinsoku/>
        <w:wordWrap/>
        <w:overflowPunct/>
        <w:topLinePunct w:val="0"/>
        <w:bidi w:val="0"/>
        <w:spacing w:line="580" w:lineRule="exact"/>
        <w:ind w:left="0" w:right="0" w:firstLine="643" w:firstLineChars="200"/>
        <w:jc w:val="both"/>
        <w:textAlignment w:val="auto"/>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14:paraId="67E2CEAF">
      <w:pPr>
        <w:pageBreakBefore w:val="0"/>
        <w:widowControl w:val="0"/>
        <w:kinsoku/>
        <w:wordWrap/>
        <w:overflowPunct/>
        <w:topLinePunct w:val="0"/>
        <w:autoSpaceDE w:val="0"/>
        <w:autoSpaceDN w:val="0"/>
        <w:bidi w:val="0"/>
        <w:adjustRightInd w:val="0"/>
        <w:spacing w:line="580" w:lineRule="exact"/>
        <w:ind w:left="0" w:right="0" w:firstLine="643" w:firstLineChars="200"/>
        <w:jc w:val="both"/>
        <w:textAlignment w:val="auto"/>
        <w:outlineLvl w:val="2"/>
        <w:rPr>
          <w:rFonts w:ascii="仿宋" w:hAnsi="仿宋" w:eastAsia="仿宋"/>
          <w:b/>
          <w:sz w:val="32"/>
          <w:szCs w:val="32"/>
        </w:rPr>
      </w:pPr>
      <w:bookmarkStart w:id="47" w:name="_Toc15377223"/>
      <w:r>
        <w:rPr>
          <w:rFonts w:hint="eastAsia" w:ascii="仿宋" w:hAnsi="仿宋" w:eastAsia="仿宋"/>
          <w:b/>
          <w:sz w:val="32"/>
          <w:szCs w:val="32"/>
        </w:rPr>
        <w:t>（二）政府采购支出情况</w:t>
      </w:r>
      <w:bookmarkEnd w:id="47"/>
    </w:p>
    <w:p w14:paraId="0C088343">
      <w:pPr>
        <w:pageBreakBefore w:val="0"/>
        <w:widowControl w:val="0"/>
        <w:kinsoku/>
        <w:wordWrap/>
        <w:overflowPunct/>
        <w:topLinePunct w:val="0"/>
        <w:bidi w:val="0"/>
        <w:spacing w:line="580" w:lineRule="exact"/>
        <w:ind w:left="0" w:right="0" w:firstLine="640" w:firstLineChars="200"/>
        <w:jc w:val="both"/>
        <w:textAlignment w:val="auto"/>
        <w:rPr>
          <w:rFonts w:ascii="仿宋_GB2312" w:eastAsia="仿宋_GB2312"/>
          <w:sz w:val="32"/>
          <w:szCs w:val="32"/>
        </w:rPr>
      </w:pPr>
      <w:r>
        <w:rPr>
          <w:rFonts w:hint="eastAsia" w:ascii="仿宋_GB2312" w:eastAsia="仿宋_GB2312"/>
          <w:sz w:val="32"/>
          <w:szCs w:val="32"/>
        </w:rPr>
        <w:t>2023年度，</w:t>
      </w:r>
      <w:r>
        <w:rPr>
          <w:rFonts w:hint="eastAsia"/>
          <w:sz w:val="32"/>
          <w:szCs w:val="32"/>
        </w:rPr>
        <w:t>红原县红十字会本级</w:t>
      </w:r>
      <w:r>
        <w:rPr>
          <w:rFonts w:hint="eastAsia" w:ascii="仿宋_GB2312" w:eastAsia="仿宋_GB2312"/>
          <w:sz w:val="32"/>
          <w:szCs w:val="32"/>
        </w:rPr>
        <w:t>政府采购支出总额</w:t>
      </w:r>
      <w:r>
        <w:rPr>
          <w:sz w:val="32"/>
          <w:szCs w:val="32"/>
        </w:rPr>
        <w:t>0</w:t>
      </w:r>
      <w:r>
        <w:rPr>
          <w:rFonts w:hint="eastAsia" w:ascii="仿宋_GB2312" w:eastAsia="仿宋_GB2312"/>
          <w:sz w:val="32"/>
          <w:szCs w:val="32"/>
        </w:rPr>
        <w:t>万元，其中：政府采购货物支出</w:t>
      </w:r>
      <w:r>
        <w:rPr>
          <w:sz w:val="32"/>
          <w:szCs w:val="32"/>
        </w:rPr>
        <w:t>0</w:t>
      </w:r>
      <w:r>
        <w:rPr>
          <w:rFonts w:hint="eastAsia" w:ascii="仿宋_GB2312" w:eastAsia="仿宋_GB2312"/>
          <w:sz w:val="32"/>
          <w:szCs w:val="32"/>
        </w:rPr>
        <w:t>万元、政府采购工程支出</w:t>
      </w:r>
      <w:r>
        <w:rPr>
          <w:sz w:val="32"/>
          <w:szCs w:val="32"/>
        </w:rPr>
        <w:t>0</w:t>
      </w:r>
      <w:r>
        <w:rPr>
          <w:rFonts w:hint="eastAsia" w:ascii="仿宋_GB2312" w:eastAsia="仿宋_GB2312"/>
          <w:sz w:val="32"/>
          <w:szCs w:val="32"/>
        </w:rPr>
        <w:t>万元、政府采购服务支出</w:t>
      </w:r>
      <w:r>
        <w:rPr>
          <w:sz w:val="32"/>
          <w:szCs w:val="32"/>
        </w:rPr>
        <w:t>0</w:t>
      </w:r>
      <w:r>
        <w:rPr>
          <w:rFonts w:hint="eastAsia" w:ascii="仿宋_GB2312" w:eastAsia="仿宋_GB2312"/>
          <w:sz w:val="32"/>
          <w:szCs w:val="32"/>
        </w:rPr>
        <w:t>万元。主要用于</w:t>
      </w:r>
      <w:r>
        <w:rPr>
          <w:rFonts w:ascii="仿宋_GB2312" w:eastAsia="仿宋_GB2312"/>
          <w:sz w:val="32"/>
          <w:szCs w:val="32"/>
        </w:rPr>
        <w:t>…</w:t>
      </w:r>
      <w:r>
        <w:rPr>
          <w:rFonts w:hint="eastAsia" w:ascii="仿宋_GB2312" w:eastAsia="仿宋_GB2312"/>
          <w:sz w:val="32"/>
          <w:szCs w:val="32"/>
        </w:rPr>
        <w:t>（具体工作）。授予中小企业合同金额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，其中：授予小微企业合同金额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w:t>
      </w:r>
    </w:p>
    <w:p w14:paraId="23EF93D8">
      <w:pPr>
        <w:pageBreakBefore w:val="0"/>
        <w:widowControl w:val="0"/>
        <w:kinsoku/>
        <w:wordWrap/>
        <w:overflowPunct/>
        <w:topLinePunct w:val="0"/>
        <w:bidi w:val="0"/>
        <w:spacing w:line="580" w:lineRule="exact"/>
        <w:ind w:left="0" w:right="0" w:firstLine="643" w:firstLineChars="200"/>
        <w:jc w:val="both"/>
        <w:textAlignment w:val="auto"/>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14:paraId="32ACA96D">
      <w:pPr>
        <w:pageBreakBefore w:val="0"/>
        <w:widowControl w:val="0"/>
        <w:kinsoku/>
        <w:wordWrap/>
        <w:overflowPunct/>
        <w:topLinePunct w:val="0"/>
        <w:autoSpaceDE w:val="0"/>
        <w:autoSpaceDN w:val="0"/>
        <w:bidi w:val="0"/>
        <w:adjustRightInd w:val="0"/>
        <w:spacing w:line="580" w:lineRule="exact"/>
        <w:ind w:left="0" w:right="0" w:firstLine="643" w:firstLineChars="200"/>
        <w:jc w:val="both"/>
        <w:textAlignment w:val="auto"/>
        <w:outlineLvl w:val="2"/>
        <w:rPr>
          <w:rFonts w:ascii="仿宋" w:hAnsi="仿宋" w:eastAsia="仿宋"/>
          <w:b/>
          <w:sz w:val="32"/>
          <w:szCs w:val="32"/>
        </w:rPr>
      </w:pPr>
      <w:bookmarkStart w:id="48" w:name="_Toc15377224"/>
      <w:r>
        <w:rPr>
          <w:rFonts w:hint="eastAsia" w:ascii="仿宋" w:hAnsi="仿宋" w:eastAsia="仿宋"/>
          <w:b/>
          <w:sz w:val="32"/>
          <w:szCs w:val="32"/>
        </w:rPr>
        <w:t>（三）国有资产占有使用情况</w:t>
      </w:r>
      <w:bookmarkEnd w:id="48"/>
    </w:p>
    <w:p w14:paraId="1B5514F0">
      <w:pPr>
        <w:pageBreakBefore w:val="0"/>
        <w:widowControl w:val="0"/>
        <w:kinsoku/>
        <w:wordWrap/>
        <w:overflowPunct/>
        <w:topLinePunct w:val="0"/>
        <w:autoSpaceDE w:val="0"/>
        <w:autoSpaceDN w:val="0"/>
        <w:bidi w:val="0"/>
        <w:adjustRightInd w:val="0"/>
        <w:spacing w:line="580" w:lineRule="exact"/>
        <w:ind w:left="0" w:right="0" w:firstLine="640" w:firstLineChars="200"/>
        <w:jc w:val="both"/>
        <w:textAlignment w:val="auto"/>
        <w:rPr>
          <w:rFonts w:ascii="仿宋_GB2312" w:eastAsia="仿宋_GB2312"/>
          <w:sz w:val="32"/>
          <w:szCs w:val="32"/>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sz w:val="32"/>
          <w:szCs w:val="32"/>
        </w:rPr>
        <w:t>红原县红十字会本级</w:t>
      </w:r>
      <w:r>
        <w:rPr>
          <w:rFonts w:hint="eastAsia" w:ascii="仿宋_GB2312" w:eastAsia="仿宋_GB2312"/>
          <w:sz w:val="32"/>
          <w:szCs w:val="32"/>
        </w:rPr>
        <w:t>共有车辆</w:t>
      </w:r>
      <w:r>
        <w:rPr>
          <w:rFonts w:ascii="仿宋_GB2312" w:eastAsia="仿宋_GB2312"/>
          <w:sz w:val="32"/>
          <w:szCs w:val="32"/>
        </w:rPr>
        <w:t>1</w:t>
      </w:r>
      <w:r>
        <w:rPr>
          <w:rFonts w:hint="eastAsia" w:ascii="仿宋_GB2312" w:eastAsia="仿宋_GB2312"/>
          <w:sz w:val="32"/>
          <w:szCs w:val="32"/>
        </w:rPr>
        <w:t>辆，其中：其他用车</w:t>
      </w:r>
      <w:r>
        <w:rPr>
          <w:rFonts w:hint="eastAsia" w:ascii="仿宋_GB2312" w:eastAsia="仿宋_GB2312"/>
          <w:sz w:val="32"/>
          <w:szCs w:val="32"/>
          <w:lang w:val="en-US" w:eastAsia="zh-CN"/>
        </w:rPr>
        <w:t>1</w:t>
      </w:r>
      <w:r>
        <w:rPr>
          <w:rFonts w:hint="eastAsia" w:ascii="仿宋_GB2312" w:eastAsia="仿宋_GB2312"/>
          <w:sz w:val="32"/>
          <w:szCs w:val="32"/>
        </w:rPr>
        <w:t>辆，主要是用于</w:t>
      </w:r>
      <w:r>
        <w:rPr>
          <w:rFonts w:hint="eastAsia" w:ascii="仿宋_GB2312" w:eastAsia="仿宋_GB2312"/>
          <w:sz w:val="32"/>
          <w:szCs w:val="32"/>
          <w:lang w:val="en-US" w:eastAsia="zh-CN"/>
        </w:rPr>
        <w:t>开展日常工作</w:t>
      </w:r>
      <w:r>
        <w:rPr>
          <w:rFonts w:hint="eastAsia" w:ascii="仿宋_GB2312" w:eastAsia="仿宋_GB2312"/>
          <w:sz w:val="32"/>
          <w:szCs w:val="32"/>
        </w:rPr>
        <w:t>。单价</w:t>
      </w:r>
      <w:r>
        <w:rPr>
          <w:rFonts w:ascii="仿宋_GB2312" w:eastAsia="仿宋_GB2312"/>
          <w:sz w:val="32"/>
          <w:szCs w:val="32"/>
        </w:rPr>
        <w:t>100</w:t>
      </w:r>
      <w:r>
        <w:rPr>
          <w:rFonts w:hint="eastAsia" w:ascii="仿宋_GB2312" w:eastAsia="仿宋_GB2312"/>
          <w:sz w:val="32"/>
          <w:szCs w:val="32"/>
        </w:rPr>
        <w:t>万元以上设备（不含车辆）</w:t>
      </w:r>
      <w:r>
        <w:rPr>
          <w:sz w:val="32"/>
          <w:szCs w:val="32"/>
        </w:rPr>
        <w:t>0</w:t>
      </w:r>
      <w:r>
        <w:rPr>
          <w:rFonts w:hint="eastAsia" w:ascii="仿宋_GB2312" w:eastAsia="仿宋_GB2312"/>
          <w:sz w:val="32"/>
          <w:szCs w:val="32"/>
        </w:rPr>
        <w:t>台（套）。</w:t>
      </w:r>
    </w:p>
    <w:p w14:paraId="32143CC8">
      <w:pPr>
        <w:pageBreakBefore w:val="0"/>
        <w:widowControl w:val="0"/>
        <w:kinsoku/>
        <w:wordWrap/>
        <w:overflowPunct/>
        <w:topLinePunct w:val="0"/>
        <w:autoSpaceDE w:val="0"/>
        <w:autoSpaceDN w:val="0"/>
        <w:bidi w:val="0"/>
        <w:adjustRightInd w:val="0"/>
        <w:spacing w:line="580" w:lineRule="exact"/>
        <w:ind w:left="0" w:right="0" w:firstLine="643" w:firstLineChars="200"/>
        <w:jc w:val="both"/>
        <w:textAlignment w:val="auto"/>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表，按部门决算报表填报数据罗列车辆情况。）</w:t>
      </w:r>
    </w:p>
    <w:p w14:paraId="65A71A1C">
      <w:pPr>
        <w:pageBreakBefore w:val="0"/>
        <w:widowControl w:val="0"/>
        <w:kinsoku/>
        <w:wordWrap/>
        <w:overflowPunct/>
        <w:topLinePunct w:val="0"/>
        <w:autoSpaceDE w:val="0"/>
        <w:autoSpaceDN w:val="0"/>
        <w:bidi w:val="0"/>
        <w:adjustRightInd w:val="0"/>
        <w:spacing w:line="580" w:lineRule="exact"/>
        <w:ind w:left="0" w:right="0" w:firstLine="643" w:firstLineChars="200"/>
        <w:jc w:val="both"/>
        <w:textAlignment w:val="auto"/>
        <w:outlineLvl w:val="2"/>
        <w:rPr>
          <w:rFonts w:ascii="仿宋" w:hAnsi="仿宋" w:eastAsia="仿宋"/>
          <w:b/>
          <w:sz w:val="32"/>
          <w:szCs w:val="32"/>
        </w:rPr>
      </w:pPr>
      <w:r>
        <w:rPr>
          <w:rFonts w:hint="eastAsia" w:ascii="仿宋" w:hAnsi="仿宋" w:eastAsia="仿宋"/>
          <w:b/>
          <w:sz w:val="32"/>
          <w:szCs w:val="32"/>
        </w:rPr>
        <w:t>（四）预算绩效管理情况</w:t>
      </w:r>
    </w:p>
    <w:p w14:paraId="3AB00A21">
      <w:pPr>
        <w:pStyle w:val="13"/>
        <w:keepNext w:val="0"/>
        <w:keepLines w:val="0"/>
        <w:widowControl/>
        <w:suppressLineNumbers w:val="0"/>
        <w:spacing w:before="0" w:beforeAutospacing="0"/>
        <w:ind w:left="0" w:firstLine="480" w:firstLineChars="200"/>
        <w:jc w:val="left"/>
        <w:rPr>
          <w:shd w:val="clear" w:color="auto" w:fill="FFFFFF"/>
        </w:rPr>
      </w:pPr>
      <w:r>
        <w:rPr>
          <w:shd w:val="clear" w:color="auto" w:fill="FFFFFF"/>
        </w:rPr>
        <w:t>根据预算绩效管理要求，本部门在202</w:t>
      </w:r>
      <w:r>
        <w:rPr>
          <w:rFonts w:hint="eastAsia"/>
          <w:shd w:val="clear" w:color="auto" w:fill="FFFFFF"/>
          <w:lang w:val="en-US" w:eastAsia="zh-CN"/>
        </w:rPr>
        <w:t>3</w:t>
      </w:r>
      <w:r>
        <w:rPr>
          <w:shd w:val="clear" w:color="auto" w:fill="FFFFFF"/>
        </w:rPr>
        <w:t>年度预算编制阶段，组织对</w:t>
      </w:r>
      <w:r>
        <w:rPr>
          <w:rFonts w:hint="eastAsia" w:cs="宋体"/>
          <w:kern w:val="0"/>
          <w:sz w:val="24"/>
          <w:szCs w:val="24"/>
          <w:shd w:val="clear" w:color="auto" w:fill="FFFFFF"/>
          <w:lang w:val="en-US" w:eastAsia="zh-CN"/>
        </w:rPr>
        <w:t>本单位大病救助</w:t>
      </w:r>
      <w:r>
        <w:rPr>
          <w:shd w:val="clear" w:color="auto" w:fill="FFFFFF"/>
        </w:rPr>
        <w:t>项目开展了预算事前绩效评估，年终执行完毕后，对</w:t>
      </w:r>
      <w:r>
        <w:rPr>
          <w:rFonts w:hint="eastAsia" w:cs="宋体"/>
          <w:kern w:val="0"/>
          <w:sz w:val="24"/>
          <w:szCs w:val="24"/>
          <w:shd w:val="clear" w:color="auto" w:fill="FFFFFF"/>
          <w:lang w:val="en-US" w:eastAsia="zh-CN"/>
        </w:rPr>
        <w:t>大病救助</w:t>
      </w:r>
      <w:r>
        <w:rPr>
          <w:rFonts w:hint="eastAsia" w:ascii="宋体" w:eastAsia="宋体" w:cs="宋体"/>
          <w:kern w:val="0"/>
          <w:sz w:val="24"/>
          <w:szCs w:val="24"/>
          <w:shd w:val="clear" w:color="auto" w:fill="FFFFFF"/>
        </w:rPr>
        <w:t>项目</w:t>
      </w:r>
      <w:r>
        <w:rPr>
          <w:shd w:val="clear" w:color="auto" w:fill="FFFFFF"/>
        </w:rPr>
        <w:t>开展了绩效自评。同时，本部门对202</w:t>
      </w:r>
      <w:r>
        <w:rPr>
          <w:rFonts w:hint="eastAsia"/>
          <w:shd w:val="clear" w:color="auto" w:fill="FFFFFF"/>
          <w:lang w:val="en-US" w:eastAsia="zh-CN"/>
        </w:rPr>
        <w:t>2</w:t>
      </w:r>
      <w:r>
        <w:rPr>
          <w:shd w:val="clear" w:color="auto" w:fill="FFFFFF"/>
        </w:rPr>
        <w:t>年部门整体开展绩效自评，《202</w:t>
      </w:r>
      <w:r>
        <w:rPr>
          <w:rFonts w:hint="eastAsia"/>
          <w:shd w:val="clear" w:color="auto" w:fill="FFFFFF"/>
          <w:lang w:val="en-US" w:eastAsia="zh-CN"/>
        </w:rPr>
        <w:t>2</w:t>
      </w:r>
      <w:r>
        <w:rPr>
          <w:shd w:val="clear" w:color="auto" w:fill="FFFFFF"/>
        </w:rPr>
        <w:t>年</w:t>
      </w:r>
      <w:r>
        <w:rPr>
          <w:rFonts w:hint="eastAsia"/>
          <w:shd w:val="clear" w:color="auto" w:fill="FFFFFF"/>
          <w:lang w:val="en-US" w:eastAsia="zh-CN"/>
        </w:rPr>
        <w:t>红十字会</w:t>
      </w:r>
      <w:r>
        <w:rPr>
          <w:shd w:val="clear" w:color="auto" w:fill="FFFFFF"/>
        </w:rPr>
        <w:t>部门整体绩效评价报告》见附件（第四部分）。</w:t>
      </w:r>
    </w:p>
    <w:p w14:paraId="6FFD2B9C">
      <w:pPr>
        <w:pStyle w:val="13"/>
        <w:keepNext w:val="0"/>
        <w:keepLines w:val="0"/>
        <w:widowControl/>
        <w:suppressLineNumbers w:val="0"/>
        <w:spacing w:before="0" w:beforeAutospacing="0"/>
        <w:ind w:left="0" w:firstLine="480" w:firstLineChars="200"/>
        <w:jc w:val="left"/>
        <w:rPr>
          <w:rFonts w:hint="eastAsia" w:ascii="宋体" w:eastAsia="宋体" w:cs="宋体"/>
          <w:kern w:val="0"/>
          <w:sz w:val="24"/>
          <w:szCs w:val="24"/>
        </w:rPr>
      </w:pPr>
      <w:r>
        <w:rPr>
          <w:rFonts w:hint="eastAsia" w:ascii="宋体" w:eastAsia="宋体" w:cs="宋体"/>
          <w:kern w:val="0"/>
          <w:sz w:val="24"/>
          <w:szCs w:val="24"/>
          <w:shd w:val="clear" w:color="auto" w:fill="FFFFFF"/>
        </w:rPr>
        <w:t>本部门在</w:t>
      </w:r>
      <w:r>
        <w:rPr>
          <w:rFonts w:hint="eastAsia" w:ascii="宋体" w:eastAsia="宋体" w:cs="宋体"/>
          <w:kern w:val="0"/>
          <w:sz w:val="24"/>
          <w:szCs w:val="24"/>
          <w:shd w:val="clear" w:color="auto" w:fill="FFFFFF"/>
          <w:lang w:val="en-US" w:eastAsia="zh-CN"/>
        </w:rPr>
        <w:t>202</w:t>
      </w:r>
      <w:r>
        <w:rPr>
          <w:rFonts w:hint="eastAsia" w:cs="宋体"/>
          <w:kern w:val="0"/>
          <w:sz w:val="24"/>
          <w:szCs w:val="24"/>
          <w:shd w:val="clear" w:color="auto" w:fill="FFFFFF"/>
          <w:lang w:val="en-US" w:eastAsia="zh-CN"/>
        </w:rPr>
        <w:t>3</w:t>
      </w:r>
      <w:r>
        <w:rPr>
          <w:rFonts w:hint="eastAsia" w:ascii="宋体" w:eastAsia="宋体" w:cs="宋体"/>
          <w:kern w:val="0"/>
          <w:sz w:val="24"/>
          <w:szCs w:val="24"/>
          <w:shd w:val="clear" w:color="auto" w:fill="FFFFFF"/>
        </w:rPr>
        <w:t>年度部门决算中反映“</w:t>
      </w:r>
      <w:r>
        <w:rPr>
          <w:rFonts w:hint="eastAsia" w:ascii="宋体" w:eastAsia="宋体" w:cs="宋体"/>
          <w:kern w:val="0"/>
          <w:sz w:val="24"/>
          <w:szCs w:val="24"/>
          <w:shd w:val="clear" w:color="auto" w:fill="FFFFFF"/>
          <w:lang w:val="en-US" w:eastAsia="zh-CN"/>
        </w:rPr>
        <w:t>大病救助金</w:t>
      </w:r>
      <w:r>
        <w:rPr>
          <w:rFonts w:hint="eastAsia" w:ascii="宋体" w:eastAsia="宋体" w:cs="宋体"/>
          <w:kern w:val="0"/>
          <w:sz w:val="24"/>
          <w:szCs w:val="24"/>
          <w:shd w:val="clear" w:color="auto" w:fill="FFFFFF"/>
        </w:rPr>
        <w:t>”</w:t>
      </w:r>
      <w:r>
        <w:rPr>
          <w:rFonts w:hint="eastAsia" w:ascii="宋体" w:eastAsia="宋体" w:cs="宋体"/>
          <w:kern w:val="0"/>
          <w:sz w:val="24"/>
          <w:szCs w:val="24"/>
          <w:shd w:val="clear" w:color="auto" w:fill="FFFFFF"/>
          <w:lang w:val="en-US" w:eastAsia="zh-CN"/>
        </w:rPr>
        <w:t>共计</w:t>
      </w:r>
      <w:r>
        <w:rPr>
          <w:rFonts w:hint="eastAsia" w:cs="宋体"/>
          <w:kern w:val="0"/>
          <w:sz w:val="24"/>
          <w:szCs w:val="24"/>
          <w:shd w:val="clear" w:color="auto" w:fill="FFFFFF"/>
          <w:lang w:val="en-US" w:eastAsia="zh-CN"/>
        </w:rPr>
        <w:t>5</w:t>
      </w:r>
      <w:r>
        <w:rPr>
          <w:rFonts w:hint="eastAsia" w:ascii="宋体" w:eastAsia="宋体" w:cs="宋体"/>
          <w:kern w:val="0"/>
          <w:sz w:val="24"/>
          <w:szCs w:val="24"/>
          <w:shd w:val="clear" w:color="auto" w:fill="FFFFFF"/>
          <w:lang w:val="en-US" w:eastAsia="zh-CN"/>
        </w:rPr>
        <w:t>万元的1</w:t>
      </w:r>
      <w:r>
        <w:rPr>
          <w:rFonts w:hint="eastAsia" w:ascii="宋体" w:eastAsia="宋体" w:cs="宋体"/>
          <w:kern w:val="0"/>
          <w:sz w:val="24"/>
          <w:szCs w:val="24"/>
          <w:shd w:val="clear" w:color="auto" w:fill="FFFFFF"/>
        </w:rPr>
        <w:t>个项目绩效目标实际完成情况。</w:t>
      </w:r>
      <w:r>
        <w:rPr>
          <w:rFonts w:hint="eastAsia" w:ascii="宋体" w:eastAsia="宋体" w:cs="宋体"/>
          <w:kern w:val="0"/>
          <w:sz w:val="24"/>
          <w:szCs w:val="24"/>
          <w:shd w:val="clear" w:color="auto" w:fill="FFFFFF"/>
          <w:lang w:eastAsia="zh-CN"/>
        </w:rPr>
        <w:t>“</w:t>
      </w:r>
      <w:r>
        <w:rPr>
          <w:rFonts w:hint="eastAsia" w:ascii="宋体" w:eastAsia="宋体" w:cs="宋体"/>
          <w:kern w:val="0"/>
          <w:sz w:val="24"/>
          <w:szCs w:val="24"/>
          <w:shd w:val="clear" w:color="auto" w:fill="FFFFFF"/>
          <w:lang w:val="en-US" w:eastAsia="zh-CN"/>
        </w:rPr>
        <w:t>大病救助金</w:t>
      </w:r>
      <w:r>
        <w:rPr>
          <w:rFonts w:hint="eastAsia" w:ascii="宋体" w:eastAsia="宋体" w:cs="宋体"/>
          <w:kern w:val="0"/>
          <w:sz w:val="24"/>
          <w:szCs w:val="24"/>
          <w:shd w:val="clear" w:color="auto" w:fill="FFFFFF"/>
          <w:lang w:eastAsia="zh-CN"/>
        </w:rPr>
        <w:t>”</w:t>
      </w:r>
      <w:r>
        <w:rPr>
          <w:rFonts w:hint="eastAsia" w:ascii="宋体" w:eastAsia="宋体" w:cs="宋体"/>
          <w:kern w:val="0"/>
          <w:sz w:val="24"/>
          <w:szCs w:val="24"/>
          <w:shd w:val="clear" w:color="auto" w:fill="FFFFFF"/>
        </w:rPr>
        <w:t>项目绩效目标完成情况综述。项目全年预算数</w:t>
      </w:r>
      <w:r>
        <w:rPr>
          <w:rFonts w:hint="eastAsia" w:cs="宋体"/>
          <w:kern w:val="0"/>
          <w:sz w:val="24"/>
          <w:szCs w:val="24"/>
          <w:shd w:val="clear" w:color="auto" w:fill="FFFFFF"/>
          <w:lang w:val="en-US" w:eastAsia="zh-CN"/>
        </w:rPr>
        <w:t>5</w:t>
      </w:r>
      <w:r>
        <w:rPr>
          <w:rFonts w:hint="eastAsia" w:ascii="宋体" w:eastAsia="宋体" w:cs="宋体"/>
          <w:kern w:val="0"/>
          <w:sz w:val="24"/>
          <w:szCs w:val="24"/>
          <w:shd w:val="clear" w:color="auto" w:fill="FFFFFF"/>
        </w:rPr>
        <w:t>万元，执行数为</w:t>
      </w:r>
      <w:r>
        <w:rPr>
          <w:rFonts w:hint="eastAsia" w:cs="宋体"/>
          <w:kern w:val="0"/>
          <w:sz w:val="24"/>
          <w:szCs w:val="24"/>
          <w:shd w:val="clear" w:color="auto" w:fill="FFFFFF"/>
          <w:lang w:val="en-US" w:eastAsia="zh-CN"/>
        </w:rPr>
        <w:t>5</w:t>
      </w:r>
      <w:r>
        <w:rPr>
          <w:rFonts w:hint="eastAsia" w:ascii="宋体" w:eastAsia="宋体" w:cs="宋体"/>
          <w:kern w:val="0"/>
          <w:sz w:val="24"/>
          <w:szCs w:val="24"/>
          <w:shd w:val="clear" w:color="auto" w:fill="FFFFFF"/>
        </w:rPr>
        <w:t>万元，完成预算的</w:t>
      </w:r>
      <w:r>
        <w:rPr>
          <w:rFonts w:hint="eastAsia" w:ascii="宋体" w:eastAsia="宋体" w:cs="宋体"/>
          <w:kern w:val="0"/>
          <w:sz w:val="24"/>
          <w:szCs w:val="24"/>
          <w:shd w:val="clear" w:color="auto" w:fill="FFFFFF"/>
          <w:lang w:val="en-US" w:eastAsia="zh-CN"/>
        </w:rPr>
        <w:t>100</w:t>
      </w:r>
      <w:r>
        <w:rPr>
          <w:rFonts w:hint="eastAsia" w:ascii="宋体" w:eastAsia="宋体" w:cs="宋体"/>
          <w:kern w:val="0"/>
          <w:sz w:val="24"/>
          <w:szCs w:val="24"/>
          <w:shd w:val="clear" w:color="auto" w:fill="FFFFFF"/>
        </w:rPr>
        <w:t>%。</w:t>
      </w:r>
    </w:p>
    <w:tbl>
      <w:tblPr>
        <w:tblStyle w:val="15"/>
        <w:tblW w:w="8331"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693"/>
        <w:gridCol w:w="874"/>
        <w:gridCol w:w="857"/>
        <w:gridCol w:w="1969"/>
        <w:gridCol w:w="1969"/>
        <w:gridCol w:w="1969"/>
      </w:tblGrid>
      <w:tr w14:paraId="20DC030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8331" w:type="dxa"/>
            <w:gridSpan w:val="6"/>
            <w:tcBorders>
              <w:top w:val="outset" w:color="auto" w:sz="6" w:space="0"/>
              <w:left w:val="outset" w:color="auto" w:sz="6" w:space="0"/>
              <w:bottom w:val="outset" w:color="auto" w:sz="6" w:space="0"/>
              <w:right w:val="outset" w:color="auto" w:sz="6" w:space="0"/>
            </w:tcBorders>
            <w:shd w:val="clear" w:color="auto" w:fill="auto"/>
            <w:noWrap/>
            <w:vAlign w:val="center"/>
          </w:tcPr>
          <w:p w14:paraId="1FB43FDB">
            <w:pPr>
              <w:pStyle w:val="35"/>
              <w:keepNext w:val="0"/>
              <w:keepLines w:val="0"/>
              <w:widowControl/>
              <w:suppressLineNumbers w:val="0"/>
              <w:jc w:val="left"/>
              <w:rPr>
                <w:rFonts w:hint="eastAsia" w:ascii="宋体" w:eastAsia="宋体" w:cs="宋体"/>
                <w:kern w:val="0"/>
                <w:sz w:val="24"/>
                <w:szCs w:val="24"/>
              </w:rPr>
            </w:pPr>
            <w:r>
              <w:rPr>
                <w:rStyle w:val="37"/>
                <w:rFonts w:hint="eastAsia" w:ascii="宋体" w:eastAsia="宋体" w:cs="宋体"/>
                <w:b/>
                <w:bCs w:val="0"/>
                <w:sz w:val="24"/>
                <w:szCs w:val="24"/>
              </w:rPr>
              <w:t xml:space="preserve">项目绩效目标完成情况表 </w:t>
            </w:r>
            <w:r>
              <w:rPr>
                <w:rFonts w:hint="eastAsia" w:ascii="宋体" w:eastAsia="宋体" w:cs="宋体"/>
                <w:kern w:val="0"/>
                <w:sz w:val="24"/>
                <w:szCs w:val="24"/>
              </w:rPr>
              <w:t>(202</w:t>
            </w:r>
            <w:r>
              <w:rPr>
                <w:rFonts w:hint="eastAsia" w:cs="宋体"/>
                <w:kern w:val="0"/>
                <w:sz w:val="24"/>
                <w:szCs w:val="24"/>
                <w:lang w:val="en-US" w:eastAsia="zh-CN"/>
              </w:rPr>
              <w:t>3</w:t>
            </w:r>
            <w:r>
              <w:rPr>
                <w:rFonts w:hint="eastAsia" w:ascii="宋体" w:eastAsia="宋体" w:cs="宋体"/>
                <w:kern w:val="0"/>
                <w:sz w:val="24"/>
                <w:szCs w:val="24"/>
              </w:rPr>
              <w:t>年度)</w:t>
            </w:r>
          </w:p>
        </w:tc>
      </w:tr>
      <w:tr w14:paraId="4947522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424" w:type="dxa"/>
            <w:gridSpan w:val="3"/>
            <w:tcBorders>
              <w:top w:val="outset" w:color="auto" w:sz="6" w:space="0"/>
              <w:left w:val="outset" w:color="auto" w:sz="6" w:space="0"/>
              <w:bottom w:val="outset" w:color="auto" w:sz="6" w:space="0"/>
              <w:right w:val="outset" w:color="auto" w:sz="6" w:space="0"/>
            </w:tcBorders>
            <w:shd w:val="clear" w:color="auto" w:fill="auto"/>
            <w:noWrap/>
            <w:vAlign w:val="center"/>
          </w:tcPr>
          <w:p w14:paraId="1A6BACC6">
            <w:pPr>
              <w:pStyle w:val="35"/>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项目名称</w:t>
            </w:r>
          </w:p>
        </w:tc>
        <w:tc>
          <w:tcPr>
            <w:tcW w:w="5907" w:type="dxa"/>
            <w:gridSpan w:val="3"/>
            <w:tcBorders>
              <w:top w:val="outset" w:color="auto" w:sz="6" w:space="0"/>
              <w:left w:val="outset" w:color="auto" w:sz="6" w:space="0"/>
              <w:bottom w:val="outset" w:color="auto" w:sz="6" w:space="0"/>
              <w:right w:val="outset" w:color="auto" w:sz="6" w:space="0"/>
            </w:tcBorders>
            <w:shd w:val="clear" w:color="auto" w:fill="auto"/>
            <w:noWrap/>
            <w:vAlign w:val="center"/>
          </w:tcPr>
          <w:p w14:paraId="68475849">
            <w:pPr>
              <w:keepNext w:val="0"/>
              <w:keepLines w:val="0"/>
              <w:widowControl/>
              <w:suppressLineNumbers w:val="0"/>
              <w:jc w:val="left"/>
              <w:rPr>
                <w:rFonts w:hint="eastAsia"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4"/>
                <w:szCs w:val="24"/>
                <w:lang w:val="en-US" w:eastAsia="zh-CN"/>
              </w:rPr>
              <w:t>大病救助金</w:t>
            </w:r>
          </w:p>
        </w:tc>
      </w:tr>
      <w:tr w14:paraId="1A68C98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424" w:type="dxa"/>
            <w:gridSpan w:val="3"/>
            <w:tcBorders>
              <w:top w:val="outset" w:color="auto" w:sz="6" w:space="0"/>
              <w:left w:val="outset" w:color="auto" w:sz="6" w:space="0"/>
              <w:bottom w:val="outset" w:color="auto" w:sz="6" w:space="0"/>
              <w:right w:val="outset" w:color="auto" w:sz="6" w:space="0"/>
            </w:tcBorders>
            <w:shd w:val="clear" w:color="auto" w:fill="auto"/>
            <w:noWrap/>
            <w:vAlign w:val="center"/>
          </w:tcPr>
          <w:p w14:paraId="3D03A6AD">
            <w:pPr>
              <w:pStyle w:val="35"/>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预算单位</w:t>
            </w:r>
          </w:p>
        </w:tc>
        <w:tc>
          <w:tcPr>
            <w:tcW w:w="5907" w:type="dxa"/>
            <w:gridSpan w:val="3"/>
            <w:tcBorders>
              <w:top w:val="outset" w:color="auto" w:sz="6" w:space="0"/>
              <w:left w:val="outset" w:color="auto" w:sz="6" w:space="0"/>
              <w:bottom w:val="outset" w:color="auto" w:sz="6" w:space="0"/>
              <w:right w:val="outset" w:color="auto" w:sz="6" w:space="0"/>
            </w:tcBorders>
            <w:shd w:val="clear" w:color="auto" w:fill="auto"/>
            <w:noWrap/>
            <w:vAlign w:val="center"/>
          </w:tcPr>
          <w:p w14:paraId="586655AD">
            <w:pPr>
              <w:keepNext w:val="0"/>
              <w:keepLines w:val="0"/>
              <w:widowControl/>
              <w:suppressLineNumbers w:val="0"/>
              <w:jc w:val="left"/>
              <w:rPr>
                <w:rFonts w:hint="eastAsia"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4"/>
                <w:szCs w:val="24"/>
                <w:lang w:val="en-US" w:eastAsia="zh-CN"/>
              </w:rPr>
              <w:t>红原县红十字会</w:t>
            </w:r>
          </w:p>
        </w:tc>
      </w:tr>
      <w:tr w14:paraId="2EFC04F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470" w:hRule="atLeast"/>
          <w:jc w:val="center"/>
        </w:trPr>
        <w:tc>
          <w:tcPr>
            <w:tcW w:w="693" w:type="dxa"/>
            <w:tcBorders>
              <w:top w:val="outset" w:color="auto" w:sz="6" w:space="0"/>
              <w:left w:val="outset" w:color="auto" w:sz="6" w:space="0"/>
              <w:bottom w:val="outset" w:color="auto" w:sz="6" w:space="0"/>
              <w:right w:val="outset" w:color="auto" w:sz="6" w:space="0"/>
            </w:tcBorders>
            <w:shd w:val="clear" w:color="auto" w:fill="auto"/>
            <w:noWrap/>
            <w:vAlign w:val="center"/>
          </w:tcPr>
          <w:p w14:paraId="604DABA3">
            <w:pPr>
              <w:pStyle w:val="35"/>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预算执行情况(万元)</w:t>
            </w:r>
          </w:p>
        </w:tc>
        <w:tc>
          <w:tcPr>
            <w:tcW w:w="1731" w:type="dxa"/>
            <w:gridSpan w:val="2"/>
            <w:tcBorders>
              <w:top w:val="outset" w:color="auto" w:sz="6" w:space="0"/>
              <w:left w:val="outset" w:color="auto" w:sz="6" w:space="0"/>
              <w:bottom w:val="outset" w:color="auto" w:sz="6" w:space="0"/>
              <w:right w:val="outset" w:color="auto" w:sz="6" w:space="0"/>
            </w:tcBorders>
            <w:shd w:val="clear" w:color="auto" w:fill="auto"/>
            <w:noWrap/>
            <w:vAlign w:val="center"/>
          </w:tcPr>
          <w:p w14:paraId="7BFDB06E">
            <w:pPr>
              <w:pStyle w:val="35"/>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预算数:</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14:paraId="674D7E39">
            <w:pPr>
              <w:keepNext w:val="0"/>
              <w:keepLines w:val="0"/>
              <w:widowControl/>
              <w:suppressLineNumbers w:val="0"/>
              <w:jc w:val="left"/>
              <w:rPr>
                <w:rFonts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4"/>
                <w:szCs w:val="24"/>
                <w:lang w:val="en-US" w:eastAsia="zh-CN"/>
              </w:rPr>
              <w:t>5万元</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14:paraId="085D2717">
            <w:pPr>
              <w:pStyle w:val="35"/>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执行数:</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14:paraId="2849FE47">
            <w:pPr>
              <w:keepNext w:val="0"/>
              <w:keepLines w:val="0"/>
              <w:widowControl/>
              <w:suppressLineNumbers w:val="0"/>
              <w:jc w:val="left"/>
              <w:rPr>
                <w:rFonts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4"/>
                <w:szCs w:val="24"/>
                <w:lang w:val="en-US" w:eastAsia="zh-CN"/>
              </w:rPr>
              <w:t>5万元</w:t>
            </w:r>
          </w:p>
        </w:tc>
      </w:tr>
      <w:tr w14:paraId="19A77F2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93" w:type="dxa"/>
            <w:tcBorders>
              <w:top w:val="outset" w:color="auto" w:sz="6" w:space="0"/>
              <w:left w:val="outset" w:color="auto" w:sz="6" w:space="0"/>
              <w:bottom w:val="outset" w:color="auto" w:sz="6" w:space="0"/>
              <w:right w:val="outset" w:color="auto" w:sz="6" w:space="0"/>
            </w:tcBorders>
            <w:shd w:val="clear" w:color="auto" w:fill="auto"/>
            <w:noWrap/>
            <w:vAlign w:val="center"/>
          </w:tcPr>
          <w:p w14:paraId="70555B96">
            <w:pPr>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 </w:t>
            </w:r>
          </w:p>
        </w:tc>
        <w:tc>
          <w:tcPr>
            <w:tcW w:w="1731" w:type="dxa"/>
            <w:gridSpan w:val="2"/>
            <w:tcBorders>
              <w:top w:val="outset" w:color="auto" w:sz="6" w:space="0"/>
              <w:left w:val="outset" w:color="auto" w:sz="6" w:space="0"/>
              <w:bottom w:val="outset" w:color="auto" w:sz="6" w:space="0"/>
              <w:right w:val="outset" w:color="auto" w:sz="6" w:space="0"/>
            </w:tcBorders>
            <w:shd w:val="clear" w:color="auto" w:fill="auto"/>
            <w:noWrap/>
            <w:vAlign w:val="center"/>
          </w:tcPr>
          <w:p w14:paraId="42664A47">
            <w:pPr>
              <w:pStyle w:val="35"/>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其中-财政拨款:</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14:paraId="06FDE0CC">
            <w:pPr>
              <w:keepNext w:val="0"/>
              <w:keepLines w:val="0"/>
              <w:widowControl/>
              <w:suppressLineNumbers w:val="0"/>
              <w:jc w:val="left"/>
              <w:rPr>
                <w:rFonts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4"/>
                <w:szCs w:val="24"/>
                <w:lang w:val="en-US" w:eastAsia="zh-CN"/>
              </w:rPr>
              <w:t>5万元</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14:paraId="73FB5F77">
            <w:pPr>
              <w:pStyle w:val="35"/>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其中-财政拨款:</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14:paraId="2A70A456">
            <w:pPr>
              <w:keepNext w:val="0"/>
              <w:keepLines w:val="0"/>
              <w:widowControl/>
              <w:suppressLineNumbers w:val="0"/>
              <w:jc w:val="left"/>
              <w:rPr>
                <w:rFonts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4"/>
                <w:szCs w:val="24"/>
                <w:lang w:val="en-US" w:eastAsia="zh-CN"/>
              </w:rPr>
              <w:t>5万元</w:t>
            </w:r>
          </w:p>
        </w:tc>
      </w:tr>
      <w:tr w14:paraId="7D2A55B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93" w:type="dxa"/>
            <w:tcBorders>
              <w:top w:val="outset" w:color="auto" w:sz="6" w:space="0"/>
              <w:left w:val="outset" w:color="auto" w:sz="6" w:space="0"/>
              <w:bottom w:val="outset" w:color="auto" w:sz="6" w:space="0"/>
              <w:right w:val="outset" w:color="auto" w:sz="6" w:space="0"/>
            </w:tcBorders>
            <w:shd w:val="clear" w:color="auto" w:fill="auto"/>
            <w:noWrap/>
            <w:vAlign w:val="center"/>
          </w:tcPr>
          <w:p w14:paraId="1216AABB">
            <w:pPr>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 </w:t>
            </w:r>
          </w:p>
        </w:tc>
        <w:tc>
          <w:tcPr>
            <w:tcW w:w="1731" w:type="dxa"/>
            <w:gridSpan w:val="2"/>
            <w:tcBorders>
              <w:top w:val="outset" w:color="auto" w:sz="6" w:space="0"/>
              <w:left w:val="outset" w:color="auto" w:sz="6" w:space="0"/>
              <w:bottom w:val="outset" w:color="auto" w:sz="6" w:space="0"/>
              <w:right w:val="outset" w:color="auto" w:sz="6" w:space="0"/>
            </w:tcBorders>
            <w:shd w:val="clear" w:color="auto" w:fill="auto"/>
            <w:noWrap/>
            <w:vAlign w:val="center"/>
          </w:tcPr>
          <w:p w14:paraId="6700F2BF">
            <w:pPr>
              <w:pStyle w:val="35"/>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其它资金:</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14:paraId="62D11A3B">
            <w:pPr>
              <w:keepNext w:val="0"/>
              <w:keepLines w:val="0"/>
              <w:widowControl/>
              <w:suppressLineNumbers w:val="0"/>
              <w:jc w:val="left"/>
              <w:rPr>
                <w:rFonts w:hint="eastAsia"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4"/>
                <w:szCs w:val="24"/>
                <w:lang w:val="en-US" w:eastAsia="zh-CN"/>
              </w:rPr>
              <w:t>0</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14:paraId="240D095E">
            <w:pPr>
              <w:pStyle w:val="35"/>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其它资金:</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14:paraId="3F542DEF">
            <w:pPr>
              <w:keepNext w:val="0"/>
              <w:keepLines w:val="0"/>
              <w:widowControl/>
              <w:suppressLineNumbers w:val="0"/>
              <w:jc w:val="left"/>
              <w:rPr>
                <w:rFonts w:hint="eastAsia"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4"/>
                <w:szCs w:val="24"/>
                <w:lang w:val="en-US" w:eastAsia="zh-CN"/>
              </w:rPr>
              <w:t>0</w:t>
            </w:r>
          </w:p>
        </w:tc>
      </w:tr>
      <w:tr w14:paraId="6228B04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93" w:type="dxa"/>
            <w:tcBorders>
              <w:top w:val="outset" w:color="auto" w:sz="6" w:space="0"/>
              <w:left w:val="outset" w:color="auto" w:sz="6" w:space="0"/>
              <w:bottom w:val="outset" w:color="auto" w:sz="6" w:space="0"/>
              <w:right w:val="outset" w:color="auto" w:sz="6" w:space="0"/>
            </w:tcBorders>
            <w:shd w:val="clear" w:color="auto" w:fill="auto"/>
            <w:noWrap/>
            <w:vAlign w:val="center"/>
          </w:tcPr>
          <w:p w14:paraId="6A102B93">
            <w:pPr>
              <w:pStyle w:val="35"/>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年度目标完成情况</w:t>
            </w:r>
          </w:p>
        </w:tc>
        <w:tc>
          <w:tcPr>
            <w:tcW w:w="3700" w:type="dxa"/>
            <w:gridSpan w:val="3"/>
            <w:tcBorders>
              <w:top w:val="outset" w:color="auto" w:sz="6" w:space="0"/>
              <w:left w:val="outset" w:color="auto" w:sz="6" w:space="0"/>
              <w:bottom w:val="outset" w:color="auto" w:sz="6" w:space="0"/>
              <w:right w:val="outset" w:color="auto" w:sz="6" w:space="0"/>
            </w:tcBorders>
            <w:shd w:val="clear" w:color="auto" w:fill="auto"/>
            <w:noWrap/>
            <w:vAlign w:val="center"/>
          </w:tcPr>
          <w:p w14:paraId="6EDC5633">
            <w:pPr>
              <w:pStyle w:val="35"/>
              <w:keepNext w:val="0"/>
              <w:keepLines w:val="0"/>
              <w:widowControl/>
              <w:suppressLineNumbers w:val="0"/>
              <w:jc w:val="left"/>
              <w:rPr>
                <w:rFonts w:hint="eastAsia" w:ascii="宋体" w:eastAsia="宋体" w:cs="宋体"/>
                <w:kern w:val="0"/>
                <w:sz w:val="24"/>
                <w:szCs w:val="24"/>
                <w:lang w:val="en-US" w:eastAsia="zh-CN"/>
              </w:rPr>
            </w:pPr>
            <w:r>
              <w:rPr>
                <w:rFonts w:hint="eastAsia" w:ascii="宋体" w:eastAsia="宋体" w:cs="宋体"/>
                <w:kern w:val="0"/>
                <w:sz w:val="24"/>
                <w:szCs w:val="24"/>
              </w:rPr>
              <w:t>预期目标</w:t>
            </w:r>
            <w:r>
              <w:rPr>
                <w:rFonts w:hint="eastAsia" w:cs="宋体"/>
                <w:kern w:val="0"/>
                <w:sz w:val="24"/>
                <w:szCs w:val="24"/>
                <w:lang w:val="en-US" w:eastAsia="zh-CN"/>
              </w:rPr>
              <w:t xml:space="preserve"> </w:t>
            </w:r>
            <w:r>
              <w:rPr>
                <w:rFonts w:hint="eastAsia" w:ascii="宋体" w:cs="宋体"/>
                <w:color w:val="000000"/>
                <w:sz w:val="24"/>
                <w:lang w:val="en-US" w:eastAsia="zh-CN"/>
              </w:rPr>
              <w:t>将</w:t>
            </w:r>
            <w:r>
              <w:rPr>
                <w:rFonts w:hint="eastAsia" w:cs="宋体"/>
                <w:color w:val="000000"/>
                <w:sz w:val="24"/>
                <w:lang w:val="en-US" w:eastAsia="zh-CN"/>
              </w:rPr>
              <w:t>5</w:t>
            </w:r>
            <w:r>
              <w:rPr>
                <w:rFonts w:hint="eastAsia" w:ascii="宋体" w:cs="宋体"/>
                <w:color w:val="000000"/>
                <w:sz w:val="24"/>
                <w:lang w:val="en-US" w:eastAsia="zh-CN"/>
              </w:rPr>
              <w:t>万元大病救助金送到需要救助的贫困大病患者手中，解决他们部分经济困难。</w:t>
            </w:r>
          </w:p>
        </w:tc>
        <w:tc>
          <w:tcPr>
            <w:tcW w:w="3938" w:type="dxa"/>
            <w:gridSpan w:val="2"/>
            <w:tcBorders>
              <w:top w:val="outset" w:color="auto" w:sz="6" w:space="0"/>
              <w:left w:val="outset" w:color="auto" w:sz="6" w:space="0"/>
              <w:bottom w:val="outset" w:color="auto" w:sz="6" w:space="0"/>
              <w:right w:val="outset" w:color="auto" w:sz="6" w:space="0"/>
            </w:tcBorders>
            <w:shd w:val="clear" w:color="auto" w:fill="auto"/>
            <w:noWrap/>
            <w:vAlign w:val="center"/>
          </w:tcPr>
          <w:p w14:paraId="25BB3301">
            <w:pPr>
              <w:pStyle w:val="35"/>
              <w:keepNext w:val="0"/>
              <w:keepLines w:val="0"/>
              <w:widowControl/>
              <w:suppressLineNumbers w:val="0"/>
              <w:jc w:val="left"/>
              <w:rPr>
                <w:rFonts w:ascii="宋体" w:eastAsia="宋体" w:cs="宋体"/>
                <w:kern w:val="0"/>
                <w:sz w:val="24"/>
                <w:szCs w:val="24"/>
                <w:lang w:val="en-US" w:eastAsia="zh-CN"/>
              </w:rPr>
            </w:pPr>
            <w:r>
              <w:rPr>
                <w:rFonts w:hint="eastAsia" w:ascii="宋体" w:eastAsia="宋体" w:cs="宋体"/>
                <w:kern w:val="0"/>
                <w:sz w:val="24"/>
                <w:szCs w:val="24"/>
              </w:rPr>
              <w:t>实际完成目标</w:t>
            </w:r>
            <w:r>
              <w:rPr>
                <w:rFonts w:hint="eastAsia" w:cs="宋体"/>
                <w:kern w:val="0"/>
                <w:sz w:val="24"/>
                <w:szCs w:val="24"/>
                <w:lang w:val="en-US" w:eastAsia="zh-CN"/>
              </w:rPr>
              <w:t xml:space="preserve"> </w:t>
            </w:r>
            <w:r>
              <w:rPr>
                <w:rFonts w:hint="eastAsia" w:ascii="宋体" w:cs="宋体"/>
                <w:color w:val="000000"/>
                <w:sz w:val="24"/>
                <w:lang w:val="en-US" w:eastAsia="zh-CN"/>
              </w:rPr>
              <w:t>将</w:t>
            </w:r>
            <w:r>
              <w:rPr>
                <w:rFonts w:hint="eastAsia" w:cs="宋体"/>
                <w:color w:val="000000"/>
                <w:sz w:val="24"/>
                <w:lang w:val="en-US" w:eastAsia="zh-CN"/>
              </w:rPr>
              <w:t>5</w:t>
            </w:r>
            <w:r>
              <w:rPr>
                <w:rFonts w:hint="eastAsia" w:ascii="宋体" w:cs="宋体"/>
                <w:color w:val="000000"/>
                <w:sz w:val="24"/>
                <w:lang w:val="en-US" w:eastAsia="zh-CN"/>
              </w:rPr>
              <w:t>万元大病救助金发放给筛选出来的贫困大病患者手中，解决他们存在的部分经济困难</w:t>
            </w:r>
            <w:r>
              <w:rPr>
                <w:rFonts w:hint="eastAsia" w:cs="宋体"/>
                <w:kern w:val="0"/>
                <w:sz w:val="24"/>
                <w:szCs w:val="24"/>
                <w:lang w:val="en-US" w:eastAsia="zh-CN"/>
              </w:rPr>
              <w:t>。</w:t>
            </w:r>
          </w:p>
        </w:tc>
      </w:tr>
      <w:tr w14:paraId="7AF859D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93" w:type="dxa"/>
            <w:tcBorders>
              <w:top w:val="outset" w:color="auto" w:sz="6" w:space="0"/>
              <w:left w:val="outset" w:color="auto" w:sz="6" w:space="0"/>
              <w:bottom w:val="outset" w:color="auto" w:sz="6" w:space="0"/>
              <w:right w:val="outset" w:color="auto" w:sz="6" w:space="0"/>
            </w:tcBorders>
            <w:shd w:val="clear" w:color="auto" w:fill="auto"/>
            <w:noWrap/>
            <w:vAlign w:val="center"/>
          </w:tcPr>
          <w:p w14:paraId="1582F064">
            <w:pPr>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 </w:t>
            </w:r>
          </w:p>
        </w:tc>
        <w:tc>
          <w:tcPr>
            <w:tcW w:w="3700" w:type="dxa"/>
            <w:gridSpan w:val="3"/>
            <w:tcBorders>
              <w:top w:val="outset" w:color="auto" w:sz="6" w:space="0"/>
              <w:left w:val="outset" w:color="auto" w:sz="6" w:space="0"/>
              <w:bottom w:val="outset" w:color="auto" w:sz="6" w:space="0"/>
              <w:right w:val="outset" w:color="auto" w:sz="6" w:space="0"/>
            </w:tcBorders>
            <w:shd w:val="clear" w:color="auto" w:fill="auto"/>
            <w:noWrap/>
            <w:vAlign w:val="center"/>
          </w:tcPr>
          <w:p w14:paraId="1FAB1CB2">
            <w:pPr>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 </w:t>
            </w:r>
          </w:p>
        </w:tc>
        <w:tc>
          <w:tcPr>
            <w:tcW w:w="3938" w:type="dxa"/>
            <w:gridSpan w:val="2"/>
            <w:tcBorders>
              <w:top w:val="outset" w:color="auto" w:sz="6" w:space="0"/>
              <w:left w:val="outset" w:color="auto" w:sz="6" w:space="0"/>
              <w:bottom w:val="outset" w:color="auto" w:sz="6" w:space="0"/>
              <w:right w:val="outset" w:color="auto" w:sz="6" w:space="0"/>
            </w:tcBorders>
            <w:shd w:val="clear" w:color="auto" w:fill="auto"/>
            <w:noWrap/>
            <w:vAlign w:val="center"/>
          </w:tcPr>
          <w:p w14:paraId="4736AD6F">
            <w:pPr>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 </w:t>
            </w:r>
          </w:p>
        </w:tc>
      </w:tr>
      <w:tr w14:paraId="2A69E71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93" w:type="dxa"/>
            <w:vMerge w:val="restart"/>
            <w:tcBorders>
              <w:top w:val="outset" w:color="auto" w:sz="6" w:space="0"/>
              <w:left w:val="outset" w:color="auto" w:sz="6" w:space="0"/>
              <w:bottom w:val="outset" w:color="auto" w:sz="6" w:space="0"/>
              <w:right w:val="outset" w:color="auto" w:sz="6" w:space="0"/>
            </w:tcBorders>
            <w:shd w:val="clear" w:color="auto" w:fill="auto"/>
            <w:noWrap/>
            <w:vAlign w:val="center"/>
          </w:tcPr>
          <w:p w14:paraId="4A8A89E7">
            <w:pPr>
              <w:pStyle w:val="35"/>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绩效指标完成情况</w:t>
            </w:r>
          </w:p>
          <w:p w14:paraId="04DAAB56">
            <w:pPr>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 </w:t>
            </w:r>
          </w:p>
          <w:p w14:paraId="5AD6FB80">
            <w:pPr>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 </w:t>
            </w:r>
          </w:p>
          <w:p w14:paraId="44973D67">
            <w:pPr>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 </w:t>
            </w:r>
          </w:p>
        </w:tc>
        <w:tc>
          <w:tcPr>
            <w:tcW w:w="874" w:type="dxa"/>
            <w:tcBorders>
              <w:top w:val="outset" w:color="auto" w:sz="6" w:space="0"/>
              <w:left w:val="outset" w:color="auto" w:sz="6" w:space="0"/>
              <w:bottom w:val="outset" w:color="auto" w:sz="6" w:space="0"/>
              <w:right w:val="outset" w:color="auto" w:sz="6" w:space="0"/>
            </w:tcBorders>
            <w:shd w:val="clear" w:color="auto" w:fill="auto"/>
            <w:noWrap/>
            <w:vAlign w:val="center"/>
          </w:tcPr>
          <w:p w14:paraId="5FFA7BF0">
            <w:pPr>
              <w:pStyle w:val="35"/>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一级指标</w:t>
            </w:r>
          </w:p>
        </w:tc>
        <w:tc>
          <w:tcPr>
            <w:tcW w:w="857" w:type="dxa"/>
            <w:tcBorders>
              <w:top w:val="outset" w:color="auto" w:sz="6" w:space="0"/>
              <w:left w:val="outset" w:color="auto" w:sz="6" w:space="0"/>
              <w:bottom w:val="outset" w:color="auto" w:sz="6" w:space="0"/>
              <w:right w:val="outset" w:color="auto" w:sz="6" w:space="0"/>
            </w:tcBorders>
            <w:shd w:val="clear" w:color="auto" w:fill="auto"/>
            <w:noWrap/>
            <w:vAlign w:val="center"/>
          </w:tcPr>
          <w:p w14:paraId="4BF06083">
            <w:pPr>
              <w:pStyle w:val="35"/>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二级指标</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14:paraId="4D5849FF">
            <w:pPr>
              <w:pStyle w:val="35"/>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三级指标</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14:paraId="0837FDF4">
            <w:pPr>
              <w:pStyle w:val="35"/>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预期指标值(包含数字及文字描述)</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14:paraId="6657C770">
            <w:pPr>
              <w:pStyle w:val="35"/>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实际完成指标值(包含数字及文字描述)</w:t>
            </w:r>
          </w:p>
        </w:tc>
      </w:tr>
      <w:tr w14:paraId="74DFF9A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93"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14:paraId="18A3A5C8"/>
        </w:tc>
        <w:tc>
          <w:tcPr>
            <w:tcW w:w="874" w:type="dxa"/>
            <w:tcBorders>
              <w:top w:val="outset" w:color="auto" w:sz="6" w:space="0"/>
              <w:left w:val="outset" w:color="auto" w:sz="6" w:space="0"/>
              <w:bottom w:val="outset" w:color="auto" w:sz="6" w:space="0"/>
              <w:right w:val="outset" w:color="auto" w:sz="6" w:space="0"/>
            </w:tcBorders>
            <w:shd w:val="clear" w:color="auto" w:fill="auto"/>
            <w:noWrap/>
            <w:vAlign w:val="center"/>
          </w:tcPr>
          <w:p w14:paraId="366A5749">
            <w:pPr>
              <w:pStyle w:val="35"/>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项目完成指标</w:t>
            </w:r>
          </w:p>
        </w:tc>
        <w:tc>
          <w:tcPr>
            <w:tcW w:w="857" w:type="dxa"/>
            <w:tcBorders>
              <w:top w:val="outset" w:color="auto" w:sz="6" w:space="0"/>
              <w:left w:val="outset" w:color="auto" w:sz="6" w:space="0"/>
              <w:bottom w:val="outset" w:color="auto" w:sz="6" w:space="0"/>
              <w:right w:val="outset" w:color="auto" w:sz="6" w:space="0"/>
            </w:tcBorders>
            <w:shd w:val="clear" w:color="auto" w:fill="auto"/>
            <w:noWrap/>
            <w:vAlign w:val="center"/>
          </w:tcPr>
          <w:p w14:paraId="5BA1A84E">
            <w:pPr>
              <w:keepNext w:val="0"/>
              <w:keepLines w:val="0"/>
              <w:widowControl/>
              <w:suppressLineNumbers w:val="0"/>
              <w:jc w:val="left"/>
              <w:rPr>
                <w:rFonts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2"/>
                <w:szCs w:val="22"/>
                <w:lang w:val="en-US" w:eastAsia="zh-CN"/>
              </w:rPr>
              <w:t>5</w:t>
            </w:r>
            <w:r>
              <w:rPr>
                <w:rFonts w:hint="eastAsia" w:ascii="宋体" w:eastAsia="宋体" w:cs="宋体"/>
                <w:kern w:val="0"/>
                <w:sz w:val="22"/>
                <w:szCs w:val="22"/>
                <w:lang w:val="en-US" w:eastAsia="zh-CN"/>
              </w:rPr>
              <w:t>万元</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14:paraId="640AF594">
            <w:pPr>
              <w:keepNext w:val="0"/>
              <w:keepLines w:val="0"/>
              <w:widowControl/>
              <w:suppressLineNumbers w:val="0"/>
              <w:jc w:val="left"/>
              <w:rPr>
                <w:rFonts w:ascii="宋体" w:eastAsia="宋体" w:cs="宋体"/>
                <w:kern w:val="0"/>
                <w:sz w:val="24"/>
                <w:szCs w:val="24"/>
                <w:lang w:val="en-US" w:eastAsia="zh-CN"/>
              </w:rPr>
            </w:pPr>
            <w:r>
              <w:rPr>
                <w:rFonts w:hint="eastAsia" w:ascii="宋体" w:eastAsia="宋体" w:cs="宋体"/>
                <w:kern w:val="0"/>
                <w:sz w:val="24"/>
                <w:szCs w:val="24"/>
              </w:rPr>
              <w:t> </w:t>
            </w:r>
            <w:r>
              <w:rPr>
                <w:rFonts w:hint="eastAsia" w:ascii="宋体" w:eastAsia="宋体" w:cs="宋体"/>
                <w:kern w:val="0"/>
                <w:sz w:val="24"/>
                <w:szCs w:val="24"/>
                <w:lang w:val="en-US" w:eastAsia="zh-CN"/>
              </w:rPr>
              <w:t>=</w:t>
            </w:r>
            <w:r>
              <w:rPr>
                <w:rFonts w:hint="eastAsia" w:cs="宋体"/>
                <w:kern w:val="0"/>
                <w:sz w:val="24"/>
                <w:szCs w:val="24"/>
                <w:lang w:val="en-US" w:eastAsia="zh-CN"/>
              </w:rPr>
              <w:t>5</w:t>
            </w:r>
            <w:r>
              <w:rPr>
                <w:rFonts w:hint="eastAsia" w:ascii="宋体" w:eastAsia="宋体" w:cs="宋体"/>
                <w:kern w:val="0"/>
                <w:sz w:val="24"/>
                <w:szCs w:val="24"/>
                <w:lang w:val="en-US" w:eastAsia="zh-CN"/>
              </w:rPr>
              <w:t>万元</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14:paraId="738669BF">
            <w:pPr>
              <w:keepNext w:val="0"/>
              <w:keepLines w:val="0"/>
              <w:widowControl/>
              <w:suppressLineNumbers w:val="0"/>
              <w:jc w:val="left"/>
              <w:rPr>
                <w:rFonts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4"/>
                <w:szCs w:val="24"/>
                <w:lang w:val="en-US" w:eastAsia="zh-CN"/>
              </w:rPr>
              <w:t>5万元全部发放</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14:paraId="293CC830">
            <w:pPr>
              <w:keepNext w:val="0"/>
              <w:keepLines w:val="0"/>
              <w:widowControl/>
              <w:suppressLineNumbers w:val="0"/>
              <w:jc w:val="left"/>
              <w:rPr>
                <w:rFonts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4"/>
                <w:szCs w:val="24"/>
                <w:lang w:val="en-US" w:eastAsia="zh-CN"/>
              </w:rPr>
              <w:t>5万元发放完毕</w:t>
            </w:r>
          </w:p>
        </w:tc>
      </w:tr>
      <w:tr w14:paraId="67F4751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93"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14:paraId="3EA6D63E"/>
        </w:tc>
        <w:tc>
          <w:tcPr>
            <w:tcW w:w="874" w:type="dxa"/>
            <w:tcBorders>
              <w:top w:val="outset" w:color="auto" w:sz="6" w:space="0"/>
              <w:left w:val="outset" w:color="auto" w:sz="6" w:space="0"/>
              <w:bottom w:val="outset" w:color="auto" w:sz="6" w:space="0"/>
              <w:right w:val="outset" w:color="auto" w:sz="6" w:space="0"/>
            </w:tcBorders>
            <w:shd w:val="clear" w:color="auto" w:fill="auto"/>
            <w:noWrap/>
            <w:vAlign w:val="center"/>
          </w:tcPr>
          <w:p w14:paraId="4720AE97">
            <w:pPr>
              <w:pStyle w:val="35"/>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效益指标</w:t>
            </w:r>
          </w:p>
        </w:tc>
        <w:tc>
          <w:tcPr>
            <w:tcW w:w="857" w:type="dxa"/>
            <w:tcBorders>
              <w:top w:val="outset" w:color="auto" w:sz="6" w:space="0"/>
              <w:left w:val="outset" w:color="auto" w:sz="6" w:space="0"/>
              <w:bottom w:val="outset" w:color="auto" w:sz="6" w:space="0"/>
              <w:right w:val="outset" w:color="auto" w:sz="6" w:space="0"/>
            </w:tcBorders>
            <w:shd w:val="clear" w:color="auto" w:fill="auto"/>
            <w:noWrap/>
            <w:vAlign w:val="center"/>
          </w:tcPr>
          <w:p w14:paraId="1940A49D">
            <w:pPr>
              <w:keepNext w:val="0"/>
              <w:keepLines w:val="0"/>
              <w:widowControl/>
              <w:suppressLineNumbers w:val="0"/>
              <w:jc w:val="left"/>
              <w:rPr>
                <w:rFonts w:hint="eastAsia"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4"/>
                <w:szCs w:val="24"/>
                <w:lang w:val="en-US" w:eastAsia="zh-CN"/>
              </w:rPr>
              <w:t>助困</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14:paraId="2D358CC0">
            <w:pPr>
              <w:keepNext w:val="0"/>
              <w:keepLines w:val="0"/>
              <w:widowControl/>
              <w:suppressLineNumbers w:val="0"/>
              <w:jc w:val="left"/>
              <w:rPr>
                <w:rFonts w:hint="eastAsia"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4"/>
                <w:szCs w:val="24"/>
                <w:lang w:val="en-US" w:eastAsia="zh-CN"/>
              </w:rPr>
              <w:t>帮助贫困大病患者</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14:paraId="7EBB1F35">
            <w:pPr>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 </w:t>
            </w:r>
            <w:r>
              <w:rPr>
                <w:rFonts w:hint="eastAsia" w:cs="宋体"/>
                <w:color w:val="000000"/>
                <w:sz w:val="24"/>
                <w:lang w:val="en-US" w:eastAsia="zh-CN"/>
              </w:rPr>
              <w:t>5</w:t>
            </w:r>
            <w:r>
              <w:rPr>
                <w:rFonts w:hint="eastAsia" w:ascii="宋体" w:cs="宋体"/>
                <w:color w:val="000000"/>
                <w:sz w:val="24"/>
                <w:lang w:val="en-US" w:eastAsia="zh-CN"/>
              </w:rPr>
              <w:t>万元大病救助金能够解决贫困大病患者部分困难</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14:paraId="796DB868">
            <w:pPr>
              <w:keepNext w:val="0"/>
              <w:keepLines w:val="0"/>
              <w:widowControl/>
              <w:suppressLineNumbers w:val="0"/>
              <w:jc w:val="left"/>
              <w:rPr>
                <w:rFonts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4"/>
                <w:szCs w:val="24"/>
                <w:lang w:val="en-US" w:eastAsia="zh-CN"/>
              </w:rPr>
              <w:t>5</w:t>
            </w:r>
            <w:r>
              <w:rPr>
                <w:rFonts w:hint="eastAsia" w:ascii="宋体" w:cs="宋体"/>
                <w:color w:val="000000"/>
                <w:sz w:val="24"/>
                <w:lang w:val="en-US" w:eastAsia="zh-CN"/>
              </w:rPr>
              <w:t>万元大病救助金已解决贫困大病患者部分困难</w:t>
            </w:r>
          </w:p>
        </w:tc>
      </w:tr>
      <w:tr w14:paraId="5B5B857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93"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14:paraId="6B0AF9EB"/>
        </w:tc>
        <w:tc>
          <w:tcPr>
            <w:tcW w:w="874" w:type="dxa"/>
            <w:tcBorders>
              <w:top w:val="outset" w:color="auto" w:sz="6" w:space="0"/>
              <w:left w:val="outset" w:color="auto" w:sz="6" w:space="0"/>
              <w:bottom w:val="outset" w:color="auto" w:sz="6" w:space="0"/>
              <w:right w:val="outset" w:color="auto" w:sz="6" w:space="0"/>
            </w:tcBorders>
            <w:shd w:val="clear" w:color="auto" w:fill="auto"/>
            <w:noWrap/>
            <w:vAlign w:val="center"/>
          </w:tcPr>
          <w:p w14:paraId="4730077B">
            <w:pPr>
              <w:pStyle w:val="35"/>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满意度指标</w:t>
            </w:r>
          </w:p>
        </w:tc>
        <w:tc>
          <w:tcPr>
            <w:tcW w:w="857" w:type="dxa"/>
            <w:tcBorders>
              <w:top w:val="outset" w:color="auto" w:sz="6" w:space="0"/>
              <w:left w:val="outset" w:color="auto" w:sz="6" w:space="0"/>
              <w:bottom w:val="outset" w:color="auto" w:sz="6" w:space="0"/>
              <w:right w:val="outset" w:color="auto" w:sz="6" w:space="0"/>
            </w:tcBorders>
            <w:shd w:val="clear" w:color="auto" w:fill="auto"/>
            <w:noWrap/>
            <w:vAlign w:val="center"/>
          </w:tcPr>
          <w:p w14:paraId="155C0337">
            <w:pPr>
              <w:keepNext w:val="0"/>
              <w:keepLines w:val="0"/>
              <w:widowControl/>
              <w:suppressLineNumbers w:val="0"/>
              <w:jc w:val="left"/>
              <w:rPr>
                <w:rFonts w:hint="eastAsia"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4"/>
                <w:szCs w:val="24"/>
                <w:lang w:val="en-US" w:eastAsia="zh-CN"/>
              </w:rPr>
              <w:t>满意</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14:paraId="609C1A06">
            <w:pPr>
              <w:keepNext w:val="0"/>
              <w:keepLines w:val="0"/>
              <w:widowControl/>
              <w:suppressLineNumbers w:val="0"/>
              <w:jc w:val="left"/>
              <w:rPr>
                <w:rFonts w:hint="eastAsia"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4"/>
                <w:szCs w:val="24"/>
                <w:lang w:val="en-US" w:eastAsia="zh-CN"/>
              </w:rPr>
              <w:t>满意</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14:paraId="41784FDE">
            <w:pPr>
              <w:keepNext w:val="0"/>
              <w:keepLines w:val="0"/>
              <w:widowControl/>
              <w:suppressLineNumbers w:val="0"/>
              <w:jc w:val="left"/>
              <w:rPr>
                <w:rFonts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4"/>
                <w:szCs w:val="24"/>
                <w:lang w:val="en-US" w:eastAsia="zh-CN"/>
              </w:rPr>
              <w:t>满意</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14:paraId="6755BA50">
            <w:pPr>
              <w:keepNext w:val="0"/>
              <w:keepLines w:val="0"/>
              <w:widowControl/>
              <w:suppressLineNumbers w:val="0"/>
              <w:jc w:val="left"/>
              <w:rPr>
                <w:rFonts w:hint="eastAsia" w:ascii="宋体" w:eastAsia="宋体" w:cs="宋体"/>
                <w:kern w:val="0"/>
                <w:sz w:val="24"/>
                <w:szCs w:val="24"/>
                <w:lang w:val="en-US" w:eastAsia="zh-CN"/>
              </w:rPr>
            </w:pPr>
            <w:r>
              <w:rPr>
                <w:rFonts w:hint="eastAsia" w:ascii="宋体" w:eastAsia="宋体" w:cs="宋体"/>
                <w:kern w:val="0"/>
                <w:sz w:val="24"/>
                <w:szCs w:val="24"/>
              </w:rPr>
              <w:t> </w:t>
            </w:r>
            <w:r>
              <w:rPr>
                <w:rFonts w:hint="eastAsia" w:ascii="宋体" w:eastAsia="宋体" w:cs="宋体"/>
                <w:kern w:val="0"/>
                <w:sz w:val="24"/>
                <w:szCs w:val="24"/>
                <w:lang w:val="en-US" w:eastAsia="zh-CN"/>
              </w:rPr>
              <w:t>满意</w:t>
            </w:r>
          </w:p>
        </w:tc>
      </w:tr>
    </w:tbl>
    <w:p w14:paraId="12AFD369">
      <w:pPr>
        <w:pStyle w:val="13"/>
        <w:keepNext w:val="0"/>
        <w:keepLines w:val="0"/>
        <w:widowControl/>
        <w:suppressLineNumbers w:val="0"/>
        <w:spacing w:before="0" w:beforeAutospacing="0"/>
        <w:ind w:left="0"/>
        <w:jc w:val="both"/>
        <w:outlineLvl w:val="0"/>
        <w:rPr>
          <w:rStyle w:val="17"/>
          <w:sz w:val="39"/>
          <w:szCs w:val="39"/>
          <w:shd w:val="clear" w:color="auto" w:fill="FFFFFF"/>
        </w:rPr>
      </w:pPr>
    </w:p>
    <w:p w14:paraId="7417155A">
      <w:pPr>
        <w:pStyle w:val="2"/>
        <w:pageBreakBefore w:val="0"/>
        <w:widowControl w:val="0"/>
        <w:kinsoku/>
        <w:wordWrap/>
        <w:overflowPunct/>
        <w:topLinePunct w:val="0"/>
        <w:bidi w:val="0"/>
        <w:spacing w:before="0" w:after="0" w:line="580" w:lineRule="exact"/>
        <w:ind w:left="0" w:right="0" w:firstLine="883" w:firstLineChars="200"/>
        <w:jc w:val="both"/>
        <w:textAlignment w:val="auto"/>
      </w:pPr>
      <w:r>
        <w:rPr>
          <w:rFonts w:hint="eastAsia"/>
        </w:rPr>
        <w:t>第三部分 名词解释</w:t>
      </w:r>
    </w:p>
    <w:p w14:paraId="2AB89CE6">
      <w:pPr>
        <w:pageBreakBefore w:val="0"/>
        <w:widowControl w:val="0"/>
        <w:kinsoku/>
        <w:wordWrap/>
        <w:overflowPunct/>
        <w:topLinePunct w:val="0"/>
        <w:bidi w:val="0"/>
        <w:spacing w:line="580" w:lineRule="exact"/>
        <w:ind w:left="0" w:right="0" w:firstLine="420" w:firstLineChars="200"/>
        <w:jc w:val="both"/>
        <w:textAlignment w:val="auto"/>
      </w:pPr>
    </w:p>
    <w:p w14:paraId="40765107">
      <w:pPr>
        <w:pStyle w:val="13"/>
        <w:keepNext w:val="0"/>
        <w:keepLines w:val="0"/>
        <w:pageBreakBefore w:val="0"/>
        <w:widowControl/>
        <w:suppressLineNumbers w:val="0"/>
        <w:kinsoku/>
        <w:wordWrap/>
        <w:overflowPunct/>
        <w:topLinePunct w:val="0"/>
        <w:bidi w:val="0"/>
        <w:snapToGrid/>
        <w:spacing w:before="0" w:beforeAutospacing="0" w:afterAutospacing="0" w:line="580" w:lineRule="exact"/>
        <w:ind w:left="0" w:firstLine="640" w:firstLineChars="200"/>
        <w:jc w:val="left"/>
        <w:textAlignment w:val="auto"/>
        <w:outlineLvl w:val="1"/>
        <w:rPr>
          <w:rFonts w:hint="eastAsia" w:ascii="仿宋_GB2312" w:hAnsi="仿宋_GB2312" w:eastAsia="仿宋_GB2312" w:cs="仿宋_GB2312"/>
          <w:sz w:val="32"/>
          <w:szCs w:val="32"/>
        </w:rPr>
      </w:pPr>
      <w:bookmarkStart w:id="49" w:name="_Toc3201"/>
      <w:bookmarkStart w:id="50" w:name="_Toc8407"/>
      <w:r>
        <w:rPr>
          <w:rFonts w:hint="eastAsia" w:ascii="仿宋_GB2312" w:hAnsi="仿宋_GB2312" w:eastAsia="仿宋_GB2312" w:cs="仿宋_GB2312"/>
          <w:sz w:val="32"/>
          <w:szCs w:val="32"/>
          <w:shd w:val="clear" w:color="auto" w:fill="FFFFFF"/>
        </w:rPr>
        <w:t>1.财政拨款收入：指单位从同级财政部门取得的财政预算资金。</w:t>
      </w:r>
      <w:bookmarkEnd w:id="49"/>
      <w:bookmarkEnd w:id="50"/>
    </w:p>
    <w:p w14:paraId="07ECE260">
      <w:pPr>
        <w:pStyle w:val="13"/>
        <w:keepNext w:val="0"/>
        <w:keepLines w:val="0"/>
        <w:pageBreakBefore w:val="0"/>
        <w:widowControl/>
        <w:suppressLineNumbers w:val="0"/>
        <w:kinsoku/>
        <w:wordWrap/>
        <w:overflowPunct/>
        <w:topLinePunct w:val="0"/>
        <w:bidi w:val="0"/>
        <w:snapToGrid/>
        <w:spacing w:before="0" w:beforeAutospacing="0" w:afterAutospacing="0" w:line="580" w:lineRule="exact"/>
        <w:ind w:left="0" w:firstLine="640" w:firstLineChars="200"/>
        <w:jc w:val="left"/>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2.事业收入：指事业单位开展专业业务活动及辅助活动取得的收入。</w:t>
      </w:r>
    </w:p>
    <w:p w14:paraId="422A4658">
      <w:pPr>
        <w:pStyle w:val="13"/>
        <w:keepNext w:val="0"/>
        <w:keepLines w:val="0"/>
        <w:pageBreakBefore w:val="0"/>
        <w:widowControl/>
        <w:suppressLineNumbers w:val="0"/>
        <w:kinsoku/>
        <w:wordWrap/>
        <w:overflowPunct/>
        <w:topLinePunct w:val="0"/>
        <w:bidi w:val="0"/>
        <w:snapToGrid/>
        <w:spacing w:before="0" w:beforeAutospacing="0" w:afterAutospacing="0" w:line="58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3.经营收入：指事业单位在专业业务活动及其辅助活动之外开展非独立核算经营活动取得的收入。如二级预算单位经营收入情况等。</w:t>
      </w:r>
    </w:p>
    <w:p w14:paraId="77B1B85A">
      <w:pPr>
        <w:pStyle w:val="13"/>
        <w:keepNext w:val="0"/>
        <w:keepLines w:val="0"/>
        <w:pageBreakBefore w:val="0"/>
        <w:widowControl/>
        <w:suppressLineNumbers w:val="0"/>
        <w:kinsoku/>
        <w:wordWrap/>
        <w:overflowPunct/>
        <w:topLinePunct w:val="0"/>
        <w:bidi w:val="0"/>
        <w:snapToGrid/>
        <w:spacing w:before="0" w:beforeAutospacing="0" w:afterAutospacing="0" w:line="58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4.其他收入：指单位取得的除上述</w:t>
      </w:r>
      <w:r>
        <w:rPr>
          <w:rFonts w:hint="eastAsia" w:ascii="仿宋_GB2312" w:hAnsi="仿宋_GB2312" w:eastAsia="仿宋_GB2312" w:cs="仿宋_GB2312"/>
          <w:color w:val="auto"/>
          <w:kern w:val="0"/>
          <w:sz w:val="32"/>
          <w:szCs w:val="32"/>
          <w:shd w:val="clear" w:color="auto" w:fill="FFFFFF"/>
          <w:lang w:val="en-US" w:eastAsia="zh-CN"/>
        </w:rPr>
        <w:t>“财政拨款收入”、“事业收入”、“事业单位经营收入”等</w:t>
      </w:r>
      <w:r>
        <w:rPr>
          <w:rFonts w:hint="eastAsia" w:ascii="仿宋_GB2312" w:hAnsi="仿宋_GB2312" w:eastAsia="仿宋_GB2312" w:cs="仿宋_GB2312"/>
          <w:sz w:val="32"/>
          <w:szCs w:val="32"/>
          <w:shd w:val="clear" w:color="auto" w:fill="FFFFFF"/>
        </w:rPr>
        <w:t>以外的各项收入。主要是</w:t>
      </w:r>
      <w:r>
        <w:rPr>
          <w:rFonts w:hint="eastAsia" w:ascii="仿宋_GB2312" w:hAnsi="仿宋_GB2312" w:eastAsia="仿宋_GB2312" w:cs="仿宋_GB2312"/>
          <w:color w:val="auto"/>
          <w:kern w:val="0"/>
          <w:sz w:val="32"/>
          <w:szCs w:val="32"/>
          <w:shd w:val="clear" w:color="auto" w:fill="FFFFFF"/>
          <w:lang w:val="en-US" w:eastAsia="zh-CN"/>
        </w:rPr>
        <w:t>所属行政事业单位按规定动用的售房收入、存款利息收入等</w:t>
      </w:r>
      <w:r>
        <w:rPr>
          <w:rFonts w:hint="eastAsia" w:ascii="仿宋_GB2312" w:hAnsi="仿宋_GB2312" w:eastAsia="仿宋_GB2312" w:cs="仿宋_GB2312"/>
          <w:sz w:val="32"/>
          <w:szCs w:val="32"/>
          <w:shd w:val="clear" w:color="auto" w:fill="FFFFFF"/>
        </w:rPr>
        <w:t>。</w:t>
      </w:r>
    </w:p>
    <w:p w14:paraId="781F1A0F">
      <w:pPr>
        <w:pStyle w:val="13"/>
        <w:keepNext w:val="0"/>
        <w:keepLines w:val="0"/>
        <w:pageBreakBefore w:val="0"/>
        <w:widowControl/>
        <w:suppressLineNumbers w:val="0"/>
        <w:kinsoku/>
        <w:wordWrap/>
        <w:overflowPunct/>
        <w:topLinePunct w:val="0"/>
        <w:bidi w:val="0"/>
        <w:snapToGrid/>
        <w:spacing w:before="0" w:beforeAutospacing="0" w:afterAutospacing="0" w:line="58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5.使用非财政拨款结余：指事业单位使用以前年度积累的非财政拨款结余弥补当年收支差额的金额。</w:t>
      </w:r>
    </w:p>
    <w:p w14:paraId="355DCF03">
      <w:pPr>
        <w:pStyle w:val="13"/>
        <w:keepNext w:val="0"/>
        <w:keepLines w:val="0"/>
        <w:pageBreakBefore w:val="0"/>
        <w:widowControl/>
        <w:suppressLineNumbers w:val="0"/>
        <w:kinsoku/>
        <w:wordWrap/>
        <w:overflowPunct/>
        <w:topLinePunct w:val="0"/>
        <w:bidi w:val="0"/>
        <w:snapToGrid/>
        <w:spacing w:before="0" w:beforeAutospacing="0" w:afterAutospacing="0" w:line="58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6.年初结转和结余：指以前年度尚未完成、结转到本年按有关规定继续使用的资金。</w:t>
      </w:r>
    </w:p>
    <w:p w14:paraId="289150A5">
      <w:pPr>
        <w:pStyle w:val="13"/>
        <w:keepNext w:val="0"/>
        <w:keepLines w:val="0"/>
        <w:pageBreakBefore w:val="0"/>
        <w:widowControl/>
        <w:suppressLineNumbers w:val="0"/>
        <w:kinsoku/>
        <w:wordWrap/>
        <w:overflowPunct/>
        <w:topLinePunct w:val="0"/>
        <w:bidi w:val="0"/>
        <w:snapToGrid/>
        <w:spacing w:before="0" w:beforeAutospacing="0" w:afterAutospacing="0" w:line="58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7.结余分配：指事业单位按照会计制度规定缴纳的所得税、提取的专用结余以及转入非财政拨款结余的金额等。</w:t>
      </w:r>
    </w:p>
    <w:p w14:paraId="0B9A2AA4">
      <w:pPr>
        <w:pStyle w:val="13"/>
        <w:keepNext w:val="0"/>
        <w:keepLines w:val="0"/>
        <w:pageBreakBefore w:val="0"/>
        <w:widowControl/>
        <w:suppressLineNumbers w:val="0"/>
        <w:kinsoku/>
        <w:wordWrap/>
        <w:overflowPunct/>
        <w:topLinePunct w:val="0"/>
        <w:bidi w:val="0"/>
        <w:snapToGrid/>
        <w:spacing w:before="0" w:beforeAutospacing="0" w:afterAutospacing="0" w:line="580" w:lineRule="exact"/>
        <w:ind w:left="0" w:firstLine="640" w:firstLineChars="200"/>
        <w:jc w:val="left"/>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8</w:t>
      </w:r>
      <w:r>
        <w:rPr>
          <w:rFonts w:hint="eastAsia" w:ascii="仿宋_GB2312" w:hAnsi="仿宋_GB2312" w:eastAsia="仿宋_GB2312" w:cs="仿宋_GB2312"/>
          <w:sz w:val="32"/>
          <w:szCs w:val="32"/>
          <w:shd w:val="clear" w:color="auto" w:fill="FFFFFF"/>
          <w:lang w:val="en-US" w:eastAsia="zh-CN"/>
        </w:rPr>
        <w:t>.</w:t>
      </w:r>
      <w:r>
        <w:rPr>
          <w:rFonts w:hint="eastAsia" w:ascii="仿宋_GB2312" w:hAnsi="仿宋_GB2312" w:eastAsia="仿宋_GB2312" w:cs="仿宋_GB2312"/>
          <w:sz w:val="32"/>
          <w:szCs w:val="32"/>
          <w:shd w:val="clear" w:color="auto" w:fill="FFFFFF"/>
        </w:rPr>
        <w:t>年末结转和结余：指单位按有关规定结转到下年或以后年度继续使用的资金。</w:t>
      </w:r>
    </w:p>
    <w:p w14:paraId="45E8E170">
      <w:pPr>
        <w:pStyle w:val="13"/>
        <w:keepNext w:val="0"/>
        <w:keepLines w:val="0"/>
        <w:pageBreakBefore w:val="0"/>
        <w:widowControl/>
        <w:suppressLineNumbers w:val="0"/>
        <w:kinsoku/>
        <w:wordWrap/>
        <w:overflowPunct/>
        <w:topLinePunct w:val="0"/>
        <w:bidi w:val="0"/>
        <w:snapToGrid/>
        <w:spacing w:before="0" w:beforeAutospacing="0" w:afterAutospacing="0" w:line="580" w:lineRule="exact"/>
        <w:ind w:left="0" w:firstLine="640" w:firstLineChars="200"/>
        <w:jc w:val="left"/>
        <w:textAlignment w:val="auto"/>
        <w:rPr>
          <w:rFonts w:hint="eastAsia" w:ascii="仿宋_GB2312" w:hAnsi="仿宋_GB2312" w:eastAsia="仿宋_GB2312" w:cs="仿宋_GB2312"/>
          <w:color w:val="auto"/>
          <w:kern w:val="0"/>
          <w:sz w:val="32"/>
          <w:szCs w:val="32"/>
          <w:shd w:val="clear" w:color="auto" w:fill="FFFFFF"/>
          <w:lang w:val="en-US" w:eastAsia="zh-CN"/>
        </w:rPr>
      </w:pPr>
      <w:r>
        <w:rPr>
          <w:rFonts w:hint="eastAsia" w:ascii="仿宋_GB2312" w:hAnsi="仿宋_GB2312" w:eastAsia="仿宋_GB2312" w:cs="仿宋_GB2312"/>
          <w:color w:val="auto"/>
          <w:kern w:val="0"/>
          <w:sz w:val="32"/>
          <w:szCs w:val="32"/>
          <w:shd w:val="clear" w:color="auto" w:fill="FFFFFF"/>
          <w:lang w:val="en-US" w:eastAsia="zh-CN"/>
        </w:rPr>
        <w:t>9.社会保障和就业支出-行政事业单位离退休-机关事业单位基本养老保险缴费（2080505），该支出主要用于支付职工养老保险金；机关事业单位职业年金缴费（2080506），该支出主要用于支付职工职业年金。社会保障和就业支出-红十字事业-行政运行（2081601），该支出主要用于支付职工工资、退休费以及公务运行费；其他红十字事业支出（2081699），该支出主要用于大病救助金项目。</w:t>
      </w:r>
    </w:p>
    <w:p w14:paraId="2CDEF732">
      <w:pPr>
        <w:pStyle w:val="13"/>
        <w:keepNext w:val="0"/>
        <w:keepLines w:val="0"/>
        <w:pageBreakBefore w:val="0"/>
        <w:widowControl/>
        <w:suppressLineNumbers w:val="0"/>
        <w:kinsoku/>
        <w:wordWrap/>
        <w:overflowPunct/>
        <w:topLinePunct w:val="0"/>
        <w:bidi w:val="0"/>
        <w:snapToGrid/>
        <w:spacing w:before="0" w:beforeAutospacing="0" w:afterAutospacing="0" w:line="580" w:lineRule="exact"/>
        <w:ind w:left="0" w:firstLine="640" w:firstLineChars="200"/>
        <w:jc w:val="left"/>
        <w:textAlignment w:val="auto"/>
        <w:rPr>
          <w:rFonts w:hint="eastAsia" w:ascii="仿宋_GB2312" w:hAnsi="仿宋_GB2312" w:eastAsia="仿宋_GB2312" w:cs="仿宋_GB2312"/>
          <w:color w:val="auto"/>
          <w:kern w:val="0"/>
          <w:sz w:val="32"/>
          <w:szCs w:val="32"/>
          <w:shd w:val="clear" w:color="auto" w:fill="FFFFFF"/>
          <w:lang w:val="en-US" w:eastAsia="zh-CN"/>
        </w:rPr>
      </w:pPr>
      <w:r>
        <w:rPr>
          <w:rFonts w:hint="eastAsia" w:ascii="仿宋_GB2312" w:hAnsi="仿宋_GB2312" w:eastAsia="仿宋_GB2312" w:cs="仿宋_GB2312"/>
          <w:color w:val="auto"/>
          <w:kern w:val="0"/>
          <w:sz w:val="32"/>
          <w:szCs w:val="32"/>
          <w:shd w:val="clear" w:color="auto" w:fill="FFFFFF"/>
          <w:lang w:val="en-US" w:eastAsia="zh-CN"/>
        </w:rPr>
        <w:t>10.医疗卫生与计划生育支出-行政事业单位医疗行政单位医疗（2101101），该支出用于财政部门集中安排的行政单位基本医疗保险缴费经费；公务员医疗补助（2101103）该支出用于职工医疗保险金。</w:t>
      </w:r>
    </w:p>
    <w:p w14:paraId="02397392">
      <w:pPr>
        <w:pStyle w:val="13"/>
        <w:keepNext w:val="0"/>
        <w:keepLines w:val="0"/>
        <w:pageBreakBefore w:val="0"/>
        <w:widowControl/>
        <w:suppressLineNumbers w:val="0"/>
        <w:kinsoku/>
        <w:wordWrap/>
        <w:overflowPunct/>
        <w:topLinePunct w:val="0"/>
        <w:bidi w:val="0"/>
        <w:snapToGrid/>
        <w:spacing w:before="0" w:beforeAutospacing="0" w:afterAutospacing="0" w:line="580" w:lineRule="exact"/>
        <w:ind w:left="0" w:firstLine="640" w:firstLineChars="200"/>
        <w:jc w:val="left"/>
        <w:textAlignment w:val="auto"/>
        <w:rPr>
          <w:rFonts w:hint="eastAsia" w:ascii="仿宋_GB2312" w:hAnsi="仿宋_GB2312" w:eastAsia="仿宋_GB2312" w:cs="仿宋_GB2312"/>
          <w:color w:val="auto"/>
          <w:kern w:val="0"/>
          <w:sz w:val="32"/>
          <w:szCs w:val="32"/>
          <w:shd w:val="clear" w:color="auto" w:fill="FFFFFF"/>
          <w:lang w:val="en-US" w:eastAsia="zh-CN"/>
        </w:rPr>
      </w:pPr>
      <w:r>
        <w:rPr>
          <w:rFonts w:hint="eastAsia" w:ascii="仿宋_GB2312" w:hAnsi="仿宋_GB2312" w:eastAsia="仿宋_GB2312" w:cs="仿宋_GB2312"/>
          <w:color w:val="auto"/>
          <w:kern w:val="0"/>
          <w:sz w:val="32"/>
          <w:szCs w:val="32"/>
          <w:shd w:val="clear" w:color="auto" w:fill="FFFFFF"/>
          <w:lang w:val="en-US" w:eastAsia="zh-CN"/>
        </w:rPr>
        <w:t>11.住房保障支出-住房改革支出-住房公积金：指行政事业单位按人力资源和社会保障部、财政部规定的基本工资和津贴补贴以及规定比例为职工缴纳的住房公积金。</w:t>
      </w:r>
    </w:p>
    <w:p w14:paraId="15A66810">
      <w:pPr>
        <w:pStyle w:val="13"/>
        <w:keepNext w:val="0"/>
        <w:keepLines w:val="0"/>
        <w:pageBreakBefore w:val="0"/>
        <w:widowControl/>
        <w:suppressLineNumbers w:val="0"/>
        <w:kinsoku/>
        <w:wordWrap/>
        <w:overflowPunct/>
        <w:topLinePunct w:val="0"/>
        <w:bidi w:val="0"/>
        <w:snapToGrid/>
        <w:spacing w:before="0" w:beforeAutospacing="0" w:afterAutospacing="0" w:line="580" w:lineRule="exact"/>
        <w:ind w:left="0" w:firstLine="640" w:firstLineChars="200"/>
        <w:jc w:val="left"/>
        <w:textAlignment w:val="auto"/>
        <w:rPr>
          <w:rFonts w:hint="eastAsia" w:ascii="仿宋_GB2312" w:hAnsi="仿宋_GB2312" w:eastAsia="仿宋_GB2312" w:cs="仿宋_GB2312"/>
          <w:color w:val="auto"/>
          <w:kern w:val="0"/>
          <w:sz w:val="32"/>
          <w:szCs w:val="32"/>
          <w:shd w:val="clear" w:color="auto" w:fill="FFFFFF"/>
          <w:lang w:val="en-US" w:eastAsia="zh-CN"/>
        </w:rPr>
      </w:pPr>
      <w:r>
        <w:rPr>
          <w:rFonts w:hint="eastAsia" w:ascii="仿宋_GB2312" w:hAnsi="仿宋_GB2312" w:eastAsia="仿宋_GB2312" w:cs="仿宋_GB2312"/>
          <w:color w:val="auto"/>
          <w:kern w:val="0"/>
          <w:sz w:val="32"/>
          <w:szCs w:val="32"/>
          <w:shd w:val="clear" w:color="auto" w:fill="FFFFFF"/>
          <w:lang w:val="en-US" w:eastAsia="zh-CN"/>
        </w:rPr>
        <w:t>12.基本支出：指为保障机构正常运转、完成日常工作任务而发生的人员支出和公用支出。</w:t>
      </w:r>
    </w:p>
    <w:p w14:paraId="7A79FD6F">
      <w:pPr>
        <w:keepNext w:val="0"/>
        <w:keepLines w:val="0"/>
        <w:pageBreakBefore w:val="0"/>
        <w:kinsoku/>
        <w:wordWrap/>
        <w:overflowPunct/>
        <w:topLinePunct w:val="0"/>
        <w:bidi w:val="0"/>
        <w:snapToGrid/>
        <w:spacing w:afterAutospacing="0" w:line="580" w:lineRule="exact"/>
        <w:ind w:firstLine="640" w:firstLineChars="200"/>
        <w:textAlignment w:val="auto"/>
        <w:rPr>
          <w:rFonts w:hint="eastAsia" w:ascii="仿宋_GB2312" w:hAnsi="仿宋_GB2312" w:eastAsia="仿宋_GB2312" w:cs="仿宋_GB2312"/>
          <w:color w:val="auto"/>
          <w:kern w:val="0"/>
          <w:sz w:val="32"/>
          <w:szCs w:val="32"/>
          <w:shd w:val="clear" w:color="auto" w:fill="FFFFFF"/>
          <w:lang w:val="en-US" w:eastAsia="zh-CN"/>
        </w:rPr>
      </w:pPr>
      <w:r>
        <w:rPr>
          <w:rFonts w:hint="eastAsia" w:ascii="仿宋_GB2312" w:hAnsi="仿宋_GB2312" w:eastAsia="仿宋_GB2312" w:cs="仿宋_GB2312"/>
          <w:color w:val="auto"/>
          <w:kern w:val="0"/>
          <w:sz w:val="32"/>
          <w:szCs w:val="32"/>
          <w:shd w:val="clear" w:color="auto" w:fill="FFFFFF"/>
          <w:lang w:val="en-US" w:eastAsia="zh-CN"/>
        </w:rPr>
        <w:t xml:space="preserve">13.项目支出：指在基本支出之外为完成特定行政任务和事业发展目标所发生的支出。 </w:t>
      </w:r>
    </w:p>
    <w:p w14:paraId="405A6E10">
      <w:pPr>
        <w:keepNext w:val="0"/>
        <w:keepLines w:val="0"/>
        <w:pageBreakBefore w:val="0"/>
        <w:kinsoku/>
        <w:wordWrap/>
        <w:overflowPunct/>
        <w:topLinePunct w:val="0"/>
        <w:bidi w:val="0"/>
        <w:snapToGrid/>
        <w:spacing w:afterAutospacing="0" w:line="580" w:lineRule="exact"/>
        <w:ind w:firstLine="640" w:firstLineChars="200"/>
        <w:textAlignment w:val="auto"/>
        <w:rPr>
          <w:rFonts w:hint="eastAsia" w:ascii="仿宋_GB2312" w:hAnsi="仿宋_GB2312" w:eastAsia="仿宋_GB2312" w:cs="仿宋_GB2312"/>
          <w:color w:val="auto"/>
          <w:kern w:val="0"/>
          <w:sz w:val="32"/>
          <w:szCs w:val="32"/>
          <w:shd w:val="clear" w:color="auto" w:fill="FFFFFF"/>
          <w:lang w:val="en-US" w:eastAsia="zh-CN"/>
        </w:rPr>
      </w:pPr>
      <w:r>
        <w:rPr>
          <w:rFonts w:hint="eastAsia" w:ascii="仿宋_GB2312" w:hAnsi="仿宋_GB2312" w:eastAsia="仿宋_GB2312" w:cs="仿宋_GB2312"/>
          <w:color w:val="auto"/>
          <w:kern w:val="0"/>
          <w:sz w:val="32"/>
          <w:szCs w:val="32"/>
          <w:shd w:val="clear" w:color="auto" w:fill="FFFFFF"/>
          <w:lang w:val="en-US" w:eastAsia="zh-CN"/>
        </w:rPr>
        <w:t>14.经营支出：指事业单位在专业业务活动及其辅助活动之外开展非独立核算经营活动发生的支出。</w:t>
      </w:r>
    </w:p>
    <w:p w14:paraId="7FD84385">
      <w:pPr>
        <w:pStyle w:val="26"/>
        <w:keepNext w:val="0"/>
        <w:keepLines w:val="0"/>
        <w:pageBreakBefore w:val="0"/>
        <w:kinsoku/>
        <w:wordWrap/>
        <w:overflowPunct/>
        <w:topLinePunct w:val="0"/>
        <w:bidi w:val="0"/>
        <w:snapToGrid/>
        <w:spacing w:afterAutospacing="0" w:line="580" w:lineRule="exact"/>
        <w:ind w:firstLine="640" w:firstLineChars="200"/>
        <w:textAlignment w:val="auto"/>
        <w:rPr>
          <w:rFonts w:hint="eastAsia" w:ascii="仿宋_GB2312" w:hAnsi="仿宋_GB2312" w:eastAsia="仿宋_GB2312" w:cs="仿宋_GB2312"/>
          <w:color w:val="auto"/>
          <w:kern w:val="0"/>
          <w:sz w:val="32"/>
          <w:szCs w:val="32"/>
          <w:shd w:val="clear" w:color="auto" w:fill="FFFFFF"/>
          <w:lang w:val="en-US" w:eastAsia="zh-CN"/>
        </w:rPr>
      </w:pPr>
      <w:r>
        <w:rPr>
          <w:rFonts w:hint="eastAsia" w:ascii="仿宋_GB2312" w:hAnsi="仿宋_GB2312" w:eastAsia="仿宋_GB2312" w:cs="仿宋_GB2312"/>
          <w:color w:val="auto"/>
          <w:kern w:val="0"/>
          <w:sz w:val="32"/>
          <w:szCs w:val="32"/>
          <w:shd w:val="clear" w:color="auto" w:fill="FFFFFF"/>
          <w:lang w:val="en-US" w:eastAsia="zh-CN"/>
        </w:rPr>
        <w:t>15.“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ADFF53A">
      <w:pPr>
        <w:pStyle w:val="26"/>
        <w:keepNext w:val="0"/>
        <w:keepLines w:val="0"/>
        <w:pageBreakBefore w:val="0"/>
        <w:kinsoku/>
        <w:wordWrap/>
        <w:overflowPunct/>
        <w:topLinePunct w:val="0"/>
        <w:bidi w:val="0"/>
        <w:snapToGrid/>
        <w:spacing w:afterAutospacing="0" w:line="580" w:lineRule="exact"/>
        <w:ind w:firstLine="640" w:firstLineChars="200"/>
        <w:textAlignment w:val="auto"/>
        <w:rPr>
          <w:rFonts w:hint="eastAsia" w:ascii="仿宋_GB2312" w:hAnsi="仿宋_GB2312" w:eastAsia="仿宋_GB2312" w:cs="仿宋_GB2312"/>
          <w:color w:val="auto"/>
          <w:kern w:val="0"/>
          <w:sz w:val="32"/>
          <w:szCs w:val="32"/>
          <w:shd w:val="clear" w:color="auto" w:fill="FFFFFF"/>
          <w:lang w:val="en-US" w:eastAsia="zh-CN"/>
        </w:rPr>
      </w:pPr>
      <w:r>
        <w:rPr>
          <w:rFonts w:hint="eastAsia" w:ascii="仿宋_GB2312" w:hAnsi="仿宋_GB2312" w:eastAsia="仿宋_GB2312" w:cs="仿宋_GB2312"/>
          <w:color w:val="auto"/>
          <w:kern w:val="0"/>
          <w:sz w:val="32"/>
          <w:szCs w:val="32"/>
          <w:shd w:val="clear" w:color="auto" w:fill="FFFFFF"/>
          <w:lang w:val="en-US" w:eastAsia="zh-CN"/>
        </w:rPr>
        <w:t>16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41515E9">
      <w:pPr>
        <w:keepNext w:val="0"/>
        <w:keepLines w:val="0"/>
        <w:pageBreakBefore w:val="0"/>
        <w:widowControl w:val="0"/>
        <w:kinsoku/>
        <w:wordWrap/>
        <w:overflowPunct/>
        <w:topLinePunct w:val="0"/>
        <w:bidi w:val="0"/>
        <w:snapToGrid/>
        <w:spacing w:line="580" w:lineRule="exact"/>
        <w:ind w:left="0" w:right="0" w:firstLine="643"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br w:type="page"/>
      </w:r>
    </w:p>
    <w:p w14:paraId="033CA9A4">
      <w:pPr>
        <w:pStyle w:val="2"/>
        <w:pageBreakBefore w:val="0"/>
        <w:widowControl w:val="0"/>
        <w:kinsoku/>
        <w:wordWrap/>
        <w:overflowPunct/>
        <w:topLinePunct w:val="0"/>
        <w:bidi w:val="0"/>
        <w:spacing w:before="0" w:after="0" w:line="580" w:lineRule="exact"/>
        <w:ind w:left="0" w:right="0" w:firstLine="880" w:firstLineChars="200"/>
        <w:jc w:val="both"/>
        <w:textAlignment w:val="auto"/>
        <w:rPr>
          <w:rFonts w:ascii="黑体" w:hAnsi="黑体" w:eastAsia="黑体"/>
          <w:b w:val="0"/>
        </w:rPr>
      </w:pPr>
      <w:r>
        <w:rPr>
          <w:rFonts w:hint="eastAsia" w:ascii="黑体" w:hAnsi="黑体" w:eastAsia="黑体"/>
          <w:b w:val="0"/>
        </w:rPr>
        <w:t>第四部分 附件</w:t>
      </w:r>
    </w:p>
    <w:p w14:paraId="420144A0">
      <w:pPr>
        <w:pageBreakBefore w:val="0"/>
        <w:widowControl w:val="0"/>
        <w:kinsoku/>
        <w:wordWrap/>
        <w:overflowPunct/>
        <w:topLinePunct w:val="0"/>
        <w:bidi w:val="0"/>
        <w:spacing w:line="580" w:lineRule="exact"/>
        <w:ind w:left="0" w:right="0" w:firstLine="420" w:firstLineChars="200"/>
        <w:jc w:val="both"/>
        <w:textAlignment w:val="auto"/>
      </w:pPr>
    </w:p>
    <w:p w14:paraId="7E332495">
      <w:pPr>
        <w:pageBreakBefore w:val="0"/>
        <w:widowControl w:val="0"/>
        <w:kinsoku/>
        <w:wordWrap/>
        <w:overflowPunct/>
        <w:topLinePunct w:val="0"/>
        <w:bidi w:val="0"/>
        <w:spacing w:line="580" w:lineRule="exact"/>
        <w:ind w:left="0" w:right="0" w:firstLine="640" w:firstLineChars="200"/>
        <w:jc w:val="both"/>
        <w:textAlignment w:val="auto"/>
        <w:rPr>
          <w:rFonts w:ascii="黑体" w:hAnsi="黑体" w:eastAsia="黑体"/>
          <w:sz w:val="32"/>
          <w:szCs w:val="32"/>
        </w:rPr>
      </w:pPr>
      <w:r>
        <w:rPr>
          <w:rFonts w:hint="eastAsia" w:ascii="黑体" w:hAnsi="黑体" w:eastAsia="黑体"/>
          <w:sz w:val="32"/>
          <w:szCs w:val="32"/>
        </w:rPr>
        <w:t>附件1</w:t>
      </w:r>
    </w:p>
    <w:p w14:paraId="78B1CA74">
      <w:pPr>
        <w:pageBreakBefore w:val="0"/>
        <w:widowControl w:val="0"/>
        <w:kinsoku/>
        <w:wordWrap/>
        <w:overflowPunct/>
        <w:topLinePunct w:val="0"/>
        <w:bidi w:val="0"/>
        <w:spacing w:line="580" w:lineRule="exact"/>
        <w:ind w:left="0" w:right="0" w:firstLine="880" w:firstLineChars="200"/>
        <w:jc w:val="both"/>
        <w:textAlignment w:val="auto"/>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部门预算绩效评价报告</w:t>
      </w:r>
    </w:p>
    <w:p w14:paraId="4148F231">
      <w:pPr>
        <w:keepNext w:val="0"/>
        <w:keepLines w:val="0"/>
        <w:pageBreakBefore w:val="0"/>
        <w:widowControl w:val="0"/>
        <w:kinsoku/>
        <w:wordWrap/>
        <w:overflowPunct/>
        <w:topLinePunct w:val="0"/>
        <w:autoSpaceDE/>
        <w:autoSpaceDN/>
        <w:bidi w:val="0"/>
        <w:spacing w:afterAutospacing="0" w:line="580" w:lineRule="exact"/>
        <w:ind w:left="0" w:right="0" w:firstLine="420" w:firstLineChars="200"/>
        <w:jc w:val="both"/>
        <w:textAlignment w:val="auto"/>
        <w:rPr>
          <w:rFonts w:hint="eastAsia" w:ascii="仿宋_GB2312" w:hAnsi="仿宋_GB2312" w:eastAsia="仿宋_GB2312" w:cs="仿宋_GB2312"/>
        </w:rPr>
      </w:pPr>
    </w:p>
    <w:p w14:paraId="351C1F0D">
      <w:pPr>
        <w:keepNext w:val="0"/>
        <w:keepLines w:val="0"/>
        <w:pageBreakBefore w:val="0"/>
        <w:widowControl w:val="0"/>
        <w:kinsoku/>
        <w:wordWrap/>
        <w:overflowPunct/>
        <w:topLinePunct w:val="0"/>
        <w:autoSpaceDE/>
        <w:autoSpaceDN/>
        <w:bidi w:val="0"/>
        <w:spacing w:afterAutospacing="0" w:line="58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一、部门（单位）基本情况</w:t>
      </w:r>
    </w:p>
    <w:p w14:paraId="6E7763CA">
      <w:pPr>
        <w:pStyle w:val="35"/>
        <w:keepNext w:val="0"/>
        <w:keepLines w:val="0"/>
        <w:pageBreakBefore w:val="0"/>
        <w:widowControl/>
        <w:suppressLineNumbers w:val="0"/>
        <w:kinsoku/>
        <w:wordWrap/>
        <w:overflowPunct/>
        <w:topLinePunct w:val="0"/>
        <w:autoSpaceDE/>
        <w:autoSpaceDN/>
        <w:bidi w:val="0"/>
        <w:spacing w:before="0" w:beforeAutospacing="0" w:afterAutospacing="0" w:line="580" w:lineRule="exact"/>
        <w:ind w:left="0" w:firstLine="643" w:firstLineChars="200"/>
        <w:jc w:val="left"/>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sz w:val="32"/>
          <w:szCs w:val="32"/>
        </w:rPr>
        <w:t>（一）机构组成。</w:t>
      </w:r>
      <w:r>
        <w:rPr>
          <w:rFonts w:hint="eastAsia" w:ascii="仿宋_GB2312" w:hAnsi="仿宋_GB2312" w:eastAsia="仿宋_GB2312" w:cs="仿宋_GB2312"/>
          <w:kern w:val="0"/>
          <w:sz w:val="32"/>
          <w:szCs w:val="32"/>
          <w:shd w:val="clear" w:color="auto" w:fill="FFFFFF"/>
        </w:rPr>
        <w:t>我单位为独立核算全额拨款参公单位</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lang w:val="en-US" w:eastAsia="zh-CN"/>
        </w:rPr>
        <w:t>2个内设机构：办公室和综合股）</w:t>
      </w: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kern w:val="0"/>
          <w:sz w:val="32"/>
          <w:szCs w:val="32"/>
          <w:shd w:val="clear" w:color="auto" w:fill="FFFFFF"/>
          <w:lang w:eastAsia="zh-CN"/>
        </w:rPr>
        <w:t>下设</w:t>
      </w:r>
      <w:r>
        <w:rPr>
          <w:rFonts w:hint="eastAsia" w:ascii="仿宋_GB2312" w:hAnsi="仿宋_GB2312" w:eastAsia="仿宋_GB2312" w:cs="仿宋_GB2312"/>
          <w:kern w:val="0"/>
          <w:sz w:val="32"/>
          <w:szCs w:val="32"/>
          <w:shd w:val="clear" w:color="auto" w:fill="FFFFFF"/>
          <w:lang w:val="en-US" w:eastAsia="zh-CN"/>
        </w:rPr>
        <w:t>0机构。</w:t>
      </w:r>
    </w:p>
    <w:p w14:paraId="20142D61">
      <w:pPr>
        <w:pStyle w:val="5"/>
        <w:keepNext w:val="0"/>
        <w:keepLines w:val="0"/>
        <w:pageBreakBefore w:val="0"/>
        <w:kinsoku/>
        <w:wordWrap/>
        <w:overflowPunct/>
        <w:topLinePunct w:val="0"/>
        <w:autoSpaceDE/>
        <w:autoSpaceDN/>
        <w:bidi w:val="0"/>
        <w:adjustRightInd w:val="0"/>
        <w:snapToGrid w:val="0"/>
        <w:spacing w:beforeLines="0" w:line="580" w:lineRule="exact"/>
        <w:ind w:firstLine="668" w:firstLineChars="208"/>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（二）机构职能。</w:t>
      </w:r>
    </w:p>
    <w:p w14:paraId="1A80349D">
      <w:pPr>
        <w:pStyle w:val="5"/>
        <w:keepNext w:val="0"/>
        <w:keepLines w:val="0"/>
        <w:pageBreakBefore w:val="0"/>
        <w:kinsoku/>
        <w:wordWrap/>
        <w:overflowPunct/>
        <w:topLinePunct w:val="0"/>
        <w:autoSpaceDE/>
        <w:autoSpaceDN/>
        <w:bidi w:val="0"/>
        <w:adjustRightInd w:val="0"/>
        <w:snapToGrid w:val="0"/>
        <w:spacing w:beforeLines="0" w:line="580" w:lineRule="exact"/>
        <w:ind w:firstLine="665" w:firstLineChars="208"/>
        <w:textAlignment w:val="auto"/>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1.传播国际红十字运动知识和国际人道主义，宣传、执行《中华人民共和国红十字会法》和《中华人民共和国红十字会法实施办法》等法律、法规，遵循《中国红十字会章程》，依法建会、治会、兴会。</w:t>
      </w:r>
    </w:p>
    <w:p w14:paraId="1F750EDA">
      <w:pPr>
        <w:pStyle w:val="5"/>
        <w:keepNext w:val="0"/>
        <w:keepLines w:val="0"/>
        <w:pageBreakBefore w:val="0"/>
        <w:kinsoku/>
        <w:wordWrap/>
        <w:overflowPunct/>
        <w:topLinePunct w:val="0"/>
        <w:autoSpaceDE/>
        <w:autoSpaceDN/>
        <w:bidi w:val="0"/>
        <w:adjustRightInd w:val="0"/>
        <w:snapToGrid w:val="0"/>
        <w:spacing w:beforeLines="0" w:line="580" w:lineRule="exact"/>
        <w:ind w:firstLine="665" w:firstLineChars="208"/>
        <w:textAlignment w:val="auto"/>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2.开展备灾救灾工作，兴建和管理备灾救灾设施，在自然灾害和突发事件中开展对受害者的救助和救护。</w:t>
      </w:r>
    </w:p>
    <w:p w14:paraId="2D253328">
      <w:pPr>
        <w:pStyle w:val="5"/>
        <w:keepNext w:val="0"/>
        <w:keepLines w:val="0"/>
        <w:pageBreakBefore w:val="0"/>
        <w:kinsoku/>
        <w:wordWrap/>
        <w:overflowPunct/>
        <w:topLinePunct w:val="0"/>
        <w:autoSpaceDE/>
        <w:autoSpaceDN/>
        <w:bidi w:val="0"/>
        <w:adjustRightInd w:val="0"/>
        <w:snapToGrid w:val="0"/>
        <w:spacing w:beforeLines="0" w:line="580" w:lineRule="exact"/>
        <w:ind w:firstLine="665" w:firstLineChars="208"/>
        <w:textAlignment w:val="auto"/>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3.开展人道领域的社会公益服务活动和卫生救护、卫生防病知识的宣传、开展学术交流、组织社会捐助，进行初级卫生救护培训，组织群众参加现场救护，推动无偿献血和非血缘关系骨髓移植工作。</w:t>
      </w:r>
    </w:p>
    <w:p w14:paraId="2D9A2A22">
      <w:pPr>
        <w:pStyle w:val="5"/>
        <w:keepNext w:val="0"/>
        <w:keepLines w:val="0"/>
        <w:pageBreakBefore w:val="0"/>
        <w:kinsoku/>
        <w:wordWrap/>
        <w:overflowPunct/>
        <w:topLinePunct w:val="0"/>
        <w:autoSpaceDE/>
        <w:autoSpaceDN/>
        <w:bidi w:val="0"/>
        <w:adjustRightInd w:val="0"/>
        <w:snapToGrid w:val="0"/>
        <w:spacing w:beforeLines="0" w:line="580" w:lineRule="exact"/>
        <w:ind w:firstLine="665" w:firstLineChars="208"/>
        <w:textAlignment w:val="auto"/>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4.加强与兄弟市、县红十字会及国际红十字组织友好往来，开展人道领域的合作与交流，争取援助。</w:t>
      </w:r>
    </w:p>
    <w:p w14:paraId="7F249E85">
      <w:pPr>
        <w:keepNext w:val="0"/>
        <w:keepLines w:val="0"/>
        <w:pageBreakBefore w:val="0"/>
        <w:widowControl/>
        <w:suppressLineNumbers w:val="0"/>
        <w:kinsoku/>
        <w:wordWrap/>
        <w:overflowPunct/>
        <w:topLinePunct w:val="0"/>
        <w:autoSpaceDE/>
        <w:autoSpaceDN/>
        <w:bidi w:val="0"/>
        <w:adjustRightInd w:val="0"/>
        <w:snapToGrid w:val="0"/>
        <w:spacing w:beforeAutospacing="0" w:after="0" w:afterAutospacing="0" w:line="580" w:lineRule="exact"/>
        <w:ind w:left="0" w:right="0" w:firstLine="643" w:firstLineChars="200"/>
        <w:jc w:val="left"/>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sz w:val="32"/>
          <w:szCs w:val="32"/>
        </w:rPr>
        <w:t>（三）人员概况。</w:t>
      </w:r>
      <w:r>
        <w:rPr>
          <w:rFonts w:hint="eastAsia" w:ascii="仿宋_GB2312" w:hAnsi="仿宋_GB2312" w:eastAsia="仿宋_GB2312" w:cs="仿宋_GB2312"/>
          <w:sz w:val="32"/>
          <w:szCs w:val="32"/>
        </w:rPr>
        <w:t>截至2023年末，</w:t>
      </w:r>
      <w:r>
        <w:rPr>
          <w:rFonts w:hint="eastAsia" w:ascii="仿宋_GB2312" w:hAnsi="仿宋_GB2312" w:eastAsia="仿宋_GB2312" w:cs="仿宋_GB2312"/>
          <w:sz w:val="32"/>
          <w:szCs w:val="32"/>
          <w:lang w:val="en-US" w:eastAsia="zh-CN"/>
        </w:rPr>
        <w:t>我单位</w:t>
      </w:r>
      <w:r>
        <w:rPr>
          <w:rFonts w:hint="eastAsia" w:ascii="仿宋_GB2312" w:hAnsi="仿宋_GB2312" w:eastAsia="仿宋_GB2312" w:cs="仿宋_GB2312"/>
          <w:kern w:val="0"/>
          <w:sz w:val="32"/>
          <w:szCs w:val="32"/>
          <w:shd w:val="clear" w:color="auto" w:fill="FFFFFF"/>
          <w:lang w:val="en-US" w:eastAsia="zh-CN"/>
        </w:rPr>
        <w:t>共有编制5个，其中参公编制5个。在职4人，其中公务员4人。</w:t>
      </w:r>
    </w:p>
    <w:p w14:paraId="499853D5">
      <w:pPr>
        <w:keepNext w:val="0"/>
        <w:keepLines w:val="0"/>
        <w:pageBreakBefore w:val="0"/>
        <w:widowControl w:val="0"/>
        <w:kinsoku/>
        <w:wordWrap/>
        <w:overflowPunct/>
        <w:topLinePunct w:val="0"/>
        <w:autoSpaceDE/>
        <w:autoSpaceDN/>
        <w:bidi w:val="0"/>
        <w:spacing w:afterAutospacing="0" w:line="580" w:lineRule="exact"/>
        <w:ind w:left="0" w:right="0" w:firstLine="640" w:firstLineChars="200"/>
        <w:jc w:val="both"/>
        <w:textAlignment w:val="auto"/>
        <w:rPr>
          <w:rFonts w:hint="eastAsia" w:ascii="仿宋_GB2312" w:hAnsi="仿宋_GB2312" w:eastAsia="仿宋_GB2312" w:cs="仿宋_GB2312"/>
          <w:sz w:val="32"/>
          <w:szCs w:val="32"/>
        </w:rPr>
      </w:pPr>
    </w:p>
    <w:p w14:paraId="1B13594C">
      <w:pPr>
        <w:keepNext w:val="0"/>
        <w:keepLines w:val="0"/>
        <w:pageBreakBefore w:val="0"/>
        <w:widowControl w:val="0"/>
        <w:kinsoku/>
        <w:wordWrap/>
        <w:overflowPunct/>
        <w:topLinePunct w:val="0"/>
        <w:autoSpaceDE/>
        <w:autoSpaceDN/>
        <w:bidi w:val="0"/>
        <w:adjustRightInd/>
        <w:snapToGrid/>
        <w:spacing w:afterAutospacing="0" w:line="58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二、部门资金收支情况</w:t>
      </w:r>
    </w:p>
    <w:p w14:paraId="23E8D977">
      <w:pPr>
        <w:keepNext w:val="0"/>
        <w:keepLines w:val="0"/>
        <w:pageBreakBefore w:val="0"/>
        <w:widowControl/>
        <w:kinsoku/>
        <w:wordWrap/>
        <w:overflowPunct/>
        <w:topLinePunct w:val="0"/>
        <w:autoSpaceDE/>
        <w:autoSpaceDN/>
        <w:bidi w:val="0"/>
        <w:adjustRightInd w:val="0"/>
        <w:snapToGrid w:val="0"/>
        <w:spacing w:afterAutospacing="0" w:line="580" w:lineRule="exact"/>
        <w:ind w:firstLine="643" w:firstLineChars="200"/>
        <w:contextualSpacing/>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sz w:val="32"/>
          <w:szCs w:val="32"/>
        </w:rPr>
        <w:t>（一）收入情况。</w:t>
      </w:r>
      <w:r>
        <w:rPr>
          <w:rFonts w:hint="eastAsia" w:ascii="仿宋_GB2312" w:hAnsi="仿宋_GB2312" w:eastAsia="仿宋_GB2312" w:cs="仿宋_GB2312"/>
          <w:sz w:val="32"/>
          <w:szCs w:val="32"/>
          <w:lang w:val="en-US" w:eastAsia="zh-CN"/>
        </w:rPr>
        <w:t>2023年年初预算收入情况：</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红原县红十字会</w:t>
      </w:r>
      <w:r>
        <w:rPr>
          <w:rFonts w:hint="eastAsia" w:ascii="仿宋_GB2312" w:hAnsi="仿宋_GB2312" w:eastAsia="仿宋_GB2312" w:cs="仿宋_GB2312"/>
          <w:sz w:val="32"/>
          <w:szCs w:val="32"/>
        </w:rPr>
        <w:t>收入预算总额为</w:t>
      </w:r>
      <w:r>
        <w:rPr>
          <w:rFonts w:hint="eastAsia" w:ascii="仿宋_GB2312" w:hAnsi="仿宋_GB2312" w:eastAsia="仿宋_GB2312" w:cs="仿宋_GB2312"/>
          <w:color w:val="auto"/>
          <w:sz w:val="32"/>
          <w:szCs w:val="32"/>
          <w:lang w:val="en-US" w:eastAsia="zh-CN"/>
        </w:rPr>
        <w:t>168.63</w:t>
      </w:r>
      <w:r>
        <w:rPr>
          <w:rFonts w:hint="eastAsia" w:ascii="仿宋_GB2312" w:hAnsi="仿宋_GB2312" w:eastAsia="仿宋_GB2312" w:cs="仿宋_GB2312"/>
          <w:sz w:val="32"/>
          <w:szCs w:val="32"/>
        </w:rPr>
        <w:t>万元，其中：当年财政拨款收入</w:t>
      </w:r>
      <w:r>
        <w:rPr>
          <w:rFonts w:hint="eastAsia" w:ascii="仿宋_GB2312" w:hAnsi="仿宋_GB2312" w:eastAsia="仿宋_GB2312" w:cs="仿宋_GB2312"/>
          <w:color w:val="auto"/>
          <w:sz w:val="32"/>
          <w:szCs w:val="32"/>
          <w:lang w:val="en-US" w:eastAsia="zh-CN"/>
        </w:rPr>
        <w:t>168.63</w:t>
      </w:r>
      <w:r>
        <w:rPr>
          <w:rFonts w:hint="eastAsia" w:ascii="仿宋_GB2312" w:hAnsi="仿宋_GB2312" w:eastAsia="仿宋_GB2312" w:cs="仿宋_GB2312"/>
          <w:sz w:val="32"/>
          <w:szCs w:val="32"/>
        </w:rPr>
        <w:t>万元。相应安排支出预算</w:t>
      </w:r>
      <w:r>
        <w:rPr>
          <w:rFonts w:hint="eastAsia" w:ascii="仿宋_GB2312" w:hAnsi="仿宋_GB2312" w:eastAsia="仿宋_GB2312" w:cs="仿宋_GB2312"/>
          <w:color w:val="auto"/>
          <w:sz w:val="32"/>
          <w:szCs w:val="32"/>
          <w:lang w:val="en-US" w:eastAsia="zh-CN"/>
        </w:rPr>
        <w:t>168.63</w:t>
      </w:r>
      <w:r>
        <w:rPr>
          <w:rFonts w:hint="eastAsia" w:ascii="仿宋_GB2312" w:hAnsi="仿宋_GB2312" w:eastAsia="仿宋_GB2312" w:cs="仿宋_GB2312"/>
          <w:sz w:val="32"/>
          <w:szCs w:val="32"/>
        </w:rPr>
        <w:t>万元，其中：社会保障和就业</w:t>
      </w:r>
      <w:r>
        <w:rPr>
          <w:rFonts w:hint="eastAsia" w:ascii="仿宋_GB2312" w:hAnsi="仿宋_GB2312" w:eastAsia="仿宋_GB2312" w:cs="仿宋_GB2312"/>
          <w:sz w:val="32"/>
          <w:szCs w:val="32"/>
          <w:lang w:val="en-US" w:eastAsia="zh-CN"/>
        </w:rPr>
        <w:t>支出</w:t>
      </w:r>
      <w:r>
        <w:rPr>
          <w:rFonts w:hint="eastAsia" w:ascii="仿宋_GB2312" w:hAnsi="仿宋_GB2312" w:eastAsia="仿宋_GB2312" w:cs="仿宋_GB2312"/>
          <w:color w:val="auto"/>
          <w:sz w:val="32"/>
          <w:szCs w:val="32"/>
          <w:lang w:val="en-US" w:eastAsia="zh-CN"/>
        </w:rPr>
        <w:t>148.59</w:t>
      </w:r>
      <w:r>
        <w:rPr>
          <w:rFonts w:hint="eastAsia" w:ascii="仿宋_GB2312" w:hAnsi="仿宋_GB2312" w:eastAsia="仿宋_GB2312" w:cs="仿宋_GB2312"/>
          <w:sz w:val="32"/>
          <w:szCs w:val="32"/>
        </w:rPr>
        <w:t>万元，卫生</w:t>
      </w:r>
      <w:r>
        <w:rPr>
          <w:rFonts w:hint="eastAsia" w:ascii="仿宋_GB2312" w:hAnsi="仿宋_GB2312" w:eastAsia="仿宋_GB2312" w:cs="仿宋_GB2312"/>
          <w:sz w:val="32"/>
          <w:szCs w:val="32"/>
          <w:lang w:val="en-US" w:eastAsia="zh-CN"/>
        </w:rPr>
        <w:t>健康支出</w:t>
      </w:r>
      <w:r>
        <w:rPr>
          <w:rFonts w:hint="eastAsia" w:ascii="仿宋_GB2312" w:hAnsi="仿宋_GB2312" w:eastAsia="仿宋_GB2312" w:cs="仿宋_GB2312"/>
          <w:color w:val="auto"/>
          <w:sz w:val="32"/>
          <w:szCs w:val="32"/>
          <w:lang w:val="en-US" w:eastAsia="zh-CN"/>
        </w:rPr>
        <w:t>7.68</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b w:val="0"/>
          <w:bCs w:val="0"/>
          <w:color w:val="auto"/>
          <w:sz w:val="32"/>
          <w:szCs w:val="32"/>
          <w:lang w:val="en-US" w:eastAsia="zh-CN"/>
        </w:rPr>
        <w:t>12.36</w:t>
      </w:r>
      <w:r>
        <w:rPr>
          <w:rFonts w:hint="eastAsia" w:ascii="仿宋_GB2312" w:hAnsi="仿宋_GB2312" w:eastAsia="仿宋_GB2312" w:cs="仿宋_GB2312"/>
          <w:sz w:val="32"/>
          <w:szCs w:val="32"/>
        </w:rPr>
        <w:t>万元。</w:t>
      </w:r>
    </w:p>
    <w:p w14:paraId="5D05AD8C">
      <w:pPr>
        <w:keepNext w:val="0"/>
        <w:keepLines w:val="0"/>
        <w:pageBreakBefore w:val="0"/>
        <w:widowControl w:val="0"/>
        <w:kinsoku/>
        <w:wordWrap/>
        <w:overflowPunct/>
        <w:topLinePunct w:val="0"/>
        <w:autoSpaceDE/>
        <w:autoSpaceDN/>
        <w:bidi w:val="0"/>
        <w:adjustRightInd/>
        <w:snapToGrid/>
        <w:spacing w:afterAutospacing="0" w:line="580" w:lineRule="exact"/>
        <w:ind w:left="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2023年决算报表收入情况：</w:t>
      </w:r>
      <w:r>
        <w:rPr>
          <w:rFonts w:hint="eastAsia" w:ascii="仿宋_GB2312" w:hAnsi="仿宋_GB2312" w:eastAsia="仿宋_GB2312" w:cs="仿宋_GB2312"/>
          <w:kern w:val="0"/>
          <w:sz w:val="32"/>
          <w:szCs w:val="32"/>
          <w:shd w:val="clear" w:color="auto" w:fill="FFFFFF"/>
          <w:lang w:val="en-US" w:eastAsia="zh-CN" w:bidi="ar-SA"/>
        </w:rPr>
        <w:t>2023年收入全年预算数为181.92万元，收入决算数为181.92万元。</w:t>
      </w:r>
      <w:r>
        <w:rPr>
          <w:rFonts w:hint="eastAsia" w:ascii="仿宋_GB2312" w:hAnsi="仿宋_GB2312" w:cs="仿宋_GB2312"/>
          <w:kern w:val="0"/>
          <w:sz w:val="32"/>
          <w:szCs w:val="32"/>
          <w:shd w:val="clear" w:color="auto" w:fill="FFFFFF"/>
          <w:lang w:val="en-US" w:eastAsia="zh-CN" w:bidi="ar-SA"/>
        </w:rPr>
        <w:t>与年初预算</w:t>
      </w:r>
      <w:r>
        <w:rPr>
          <w:rFonts w:hint="eastAsia" w:ascii="仿宋_GB2312" w:hAnsi="仿宋_GB2312" w:eastAsia="仿宋_GB2312" w:cs="仿宋_GB2312"/>
          <w:kern w:val="0"/>
          <w:sz w:val="32"/>
          <w:szCs w:val="32"/>
          <w:shd w:val="clear" w:color="auto" w:fill="FFFFFF"/>
          <w:lang w:val="en-US" w:eastAsia="zh-CN" w:bidi="ar-SA"/>
        </w:rPr>
        <w:t>差异为</w:t>
      </w:r>
      <w:r>
        <w:rPr>
          <w:rFonts w:hint="eastAsia" w:ascii="仿宋_GB2312" w:hAnsi="仿宋_GB2312" w:cs="仿宋_GB2312"/>
          <w:kern w:val="0"/>
          <w:sz w:val="32"/>
          <w:szCs w:val="32"/>
          <w:shd w:val="clear" w:color="auto" w:fill="FFFFFF"/>
          <w:lang w:val="en-US" w:eastAsia="zh-CN" w:bidi="ar-SA"/>
        </w:rPr>
        <w:t>13.29</w:t>
      </w:r>
      <w:r>
        <w:rPr>
          <w:rFonts w:hint="eastAsia" w:ascii="仿宋_GB2312" w:hAnsi="仿宋_GB2312" w:eastAsia="仿宋_GB2312" w:cs="仿宋_GB2312"/>
          <w:kern w:val="0"/>
          <w:sz w:val="32"/>
          <w:szCs w:val="32"/>
          <w:shd w:val="clear" w:color="auto" w:fill="FFFFFF"/>
          <w:lang w:val="en-US" w:eastAsia="zh-CN" w:bidi="ar-SA"/>
        </w:rPr>
        <w:t>万元</w:t>
      </w:r>
      <w:r>
        <w:rPr>
          <w:rFonts w:hint="eastAsia" w:ascii="仿宋_GB2312" w:hAnsi="仿宋_GB2312" w:cs="仿宋_GB2312"/>
          <w:kern w:val="0"/>
          <w:sz w:val="32"/>
          <w:szCs w:val="32"/>
          <w:shd w:val="clear" w:color="auto" w:fill="FFFFFF"/>
          <w:lang w:val="en-US" w:eastAsia="zh-CN" w:bidi="ar-SA"/>
        </w:rPr>
        <w:t>。产生差异</w:t>
      </w:r>
      <w:r>
        <w:rPr>
          <w:rFonts w:hint="eastAsia" w:ascii="仿宋_GB2312" w:hAnsi="仿宋_GB2312" w:eastAsia="仿宋_GB2312" w:cs="仿宋_GB2312"/>
          <w:kern w:val="0"/>
          <w:sz w:val="32"/>
          <w:szCs w:val="32"/>
          <w:shd w:val="clear" w:color="auto" w:fill="FFFFFF"/>
          <w:lang w:val="en-US" w:eastAsia="zh-CN" w:bidi="ar-SA"/>
        </w:rPr>
        <w:t>原因</w:t>
      </w:r>
      <w:r>
        <w:rPr>
          <w:rFonts w:hint="eastAsia" w:ascii="仿宋_GB2312" w:hAnsi="仿宋_GB2312" w:cs="仿宋_GB2312"/>
          <w:kern w:val="0"/>
          <w:sz w:val="32"/>
          <w:szCs w:val="32"/>
          <w:shd w:val="clear" w:color="auto" w:fill="FFFFFF"/>
          <w:lang w:val="en-US" w:eastAsia="zh-CN" w:bidi="ar-SA"/>
        </w:rPr>
        <w:t>：</w:t>
      </w:r>
      <w:r>
        <w:rPr>
          <w:rFonts w:hint="eastAsia" w:ascii="仿宋_GB2312" w:hAnsi="仿宋_GB2312" w:eastAsia="仿宋_GB2312" w:cs="仿宋_GB2312"/>
          <w:kern w:val="0"/>
          <w:sz w:val="32"/>
          <w:szCs w:val="32"/>
          <w:shd w:val="clear" w:color="auto" w:fill="FFFFFF"/>
          <w:lang w:val="en-US" w:eastAsia="zh-CN" w:bidi="ar-SA"/>
        </w:rPr>
        <w:t>为职务职级晋升，五险一金有所上调。</w:t>
      </w:r>
    </w:p>
    <w:p w14:paraId="08AF081A">
      <w:pPr>
        <w:keepNext w:val="0"/>
        <w:keepLines w:val="0"/>
        <w:pageBreakBefore w:val="0"/>
        <w:kinsoku/>
        <w:wordWrap/>
        <w:overflowPunct/>
        <w:topLinePunct w:val="0"/>
        <w:autoSpaceDE/>
        <w:autoSpaceDN/>
        <w:bidi w:val="0"/>
        <w:spacing w:afterAutospacing="0" w:line="580" w:lineRule="exact"/>
        <w:ind w:left="0" w:leftChars="0" w:right="0" w:rightChars="0" w:firstLine="643"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sz w:val="32"/>
          <w:szCs w:val="32"/>
        </w:rPr>
        <w:t>（二）支出情况。</w:t>
      </w:r>
      <w:r>
        <w:rPr>
          <w:rFonts w:hint="eastAsia" w:ascii="仿宋_GB2312" w:hAnsi="仿宋_GB2312" w:eastAsia="仿宋_GB2312" w:cs="仿宋_GB2312"/>
          <w:sz w:val="32"/>
          <w:szCs w:val="32"/>
          <w:lang w:val="en-US" w:eastAsia="zh-CN"/>
        </w:rPr>
        <w:t>2023年年初预算支出情况：</w:t>
      </w:r>
      <w:r>
        <w:rPr>
          <w:rFonts w:hint="eastAsia" w:ascii="仿宋_GB2312" w:hAnsi="仿宋_GB2312" w:eastAsia="仿宋_GB2312" w:cs="仿宋_GB2312"/>
          <w:sz w:val="32"/>
          <w:szCs w:val="32"/>
        </w:rPr>
        <w:t>基本支出</w:t>
      </w:r>
      <w:r>
        <w:rPr>
          <w:rFonts w:hint="eastAsia" w:ascii="仿宋_GB2312" w:hAnsi="仿宋_GB2312" w:eastAsia="仿宋_GB2312" w:cs="仿宋_GB2312"/>
          <w:sz w:val="32"/>
          <w:szCs w:val="32"/>
          <w:lang w:val="en-US" w:eastAsia="zh-CN"/>
        </w:rPr>
        <w:t>157.63</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highlight w:val="none"/>
          <w:lang w:eastAsia="zh-CN"/>
        </w:rPr>
        <w:t>其中人员经费支出</w:t>
      </w:r>
      <w:r>
        <w:rPr>
          <w:rFonts w:hint="eastAsia" w:ascii="仿宋_GB2312" w:hAnsi="仿宋_GB2312" w:eastAsia="仿宋_GB2312" w:cs="仿宋_GB2312"/>
          <w:sz w:val="32"/>
          <w:szCs w:val="32"/>
          <w:highlight w:val="none"/>
          <w:lang w:val="en-US" w:eastAsia="zh-CN"/>
        </w:rPr>
        <w:t>147.95万元</w:t>
      </w:r>
      <w:r>
        <w:rPr>
          <w:rFonts w:hint="eastAsia" w:ascii="仿宋_GB2312" w:hAnsi="仿宋_GB2312" w:eastAsia="仿宋_GB2312" w:cs="仿宋_GB2312"/>
          <w:sz w:val="32"/>
          <w:szCs w:val="32"/>
          <w:lang w:val="en-US" w:eastAsia="zh-CN"/>
        </w:rPr>
        <w:t>，机关运行经费9.68万元，其中：办公费3.08万元，电费0.5万元，邮电费0.18万元，差旅费2.1万元，工会经费1.12万元，公务接待费0.08万元，公务用车运行维护费2.62万元。</w:t>
      </w:r>
    </w:p>
    <w:p w14:paraId="3A597108">
      <w:pPr>
        <w:pStyle w:val="13"/>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right="0" w:rightChars="0" w:firstLine="640" w:firstLineChars="200"/>
        <w:textAlignment w:val="auto"/>
        <w:rPr>
          <w:rFonts w:hint="eastAsia" w:ascii="仿宋_GB2312" w:hAnsi="仿宋_GB2312" w:eastAsia="仿宋_GB2312" w:cs="仿宋_GB2312"/>
          <w:kern w:val="0"/>
          <w:sz w:val="32"/>
          <w:szCs w:val="32"/>
          <w:shd w:val="clear" w:color="auto" w:fill="FFFFFF"/>
          <w:lang w:val="en-US" w:eastAsia="zh-CN" w:bidi="ar-SA"/>
        </w:rPr>
      </w:pPr>
      <w:r>
        <w:rPr>
          <w:rFonts w:hint="eastAsia" w:ascii="仿宋_GB2312" w:hAnsi="仿宋_GB2312" w:eastAsia="仿宋_GB2312" w:cs="仿宋_GB2312"/>
          <w:sz w:val="32"/>
          <w:szCs w:val="32"/>
          <w:lang w:val="en-US" w:eastAsia="zh-CN"/>
        </w:rPr>
        <w:t>2023年决算报表支出情况：</w:t>
      </w:r>
      <w:r>
        <w:rPr>
          <w:rFonts w:hint="eastAsia" w:ascii="仿宋_GB2312" w:hAnsi="仿宋_GB2312" w:eastAsia="仿宋_GB2312" w:cs="仿宋_GB2312"/>
          <w:kern w:val="0"/>
          <w:sz w:val="32"/>
          <w:szCs w:val="32"/>
          <w:shd w:val="clear" w:color="auto" w:fill="FFFFFF"/>
          <w:lang w:val="en-US" w:eastAsia="zh-CN" w:bidi="ar-SA"/>
        </w:rPr>
        <w:t>2023年总支出为181.92万元，其中：基本支出为166.83万元，占总支出的92%；项目支出为15.09万元，占总支出的8%。</w:t>
      </w:r>
    </w:p>
    <w:p w14:paraId="68EF1A55">
      <w:pPr>
        <w:keepNext w:val="0"/>
        <w:keepLines w:val="0"/>
        <w:pageBreakBefore w:val="0"/>
        <w:numPr>
          <w:ilvl w:val="0"/>
          <w:numId w:val="0"/>
        </w:numPr>
        <w:kinsoku/>
        <w:wordWrap/>
        <w:overflowPunct/>
        <w:topLinePunct w:val="0"/>
        <w:autoSpaceDE/>
        <w:autoSpaceDN/>
        <w:bidi w:val="0"/>
        <w:snapToGrid w:val="0"/>
        <w:spacing w:afterAutospacing="0"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sz w:val="32"/>
          <w:szCs w:val="32"/>
        </w:rPr>
        <w:t>（三）结余分配和结转结余情况。</w:t>
      </w:r>
      <w:r>
        <w:rPr>
          <w:rFonts w:hint="eastAsia" w:ascii="仿宋_GB2312" w:hAnsi="仿宋_GB2312" w:eastAsia="仿宋_GB2312" w:cs="仿宋_GB2312"/>
          <w:sz w:val="32"/>
          <w:szCs w:val="32"/>
          <w:lang w:val="en-US" w:eastAsia="zh-CN"/>
        </w:rPr>
        <w:t>2023年决算报表</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结转结余情况。</w:t>
      </w:r>
      <w:r>
        <w:rPr>
          <w:rFonts w:hint="eastAsia" w:ascii="仿宋_GB2312" w:hAnsi="仿宋_GB2312" w:eastAsia="仿宋_GB2312" w:cs="仿宋_GB2312"/>
          <w:kern w:val="0"/>
          <w:sz w:val="32"/>
          <w:szCs w:val="32"/>
          <w:shd w:val="clear" w:color="auto" w:fill="FFFFFF"/>
          <w:lang w:val="en-US" w:eastAsia="zh-CN" w:bidi="ar-SA"/>
        </w:rPr>
        <w:t>1．根据报表项目分财政拨款结转结余和非财政拨款结转结余分析年末结转结余总体情况。按照资金来源、资金性质分析，分别分析基本支出、项目支出结转和结余情况，特别是项目经费结转和结余情况。年末无结转和结余</w:t>
      </w:r>
      <w:r>
        <w:rPr>
          <w:rFonts w:hint="eastAsia" w:ascii="仿宋_GB2312" w:hAnsi="仿宋_GB2312" w:cs="仿宋_GB2312"/>
          <w:kern w:val="0"/>
          <w:sz w:val="32"/>
          <w:szCs w:val="32"/>
          <w:shd w:val="clear" w:color="auto" w:fill="FFFFFF"/>
          <w:lang w:val="en-US" w:eastAsia="zh-CN" w:bidi="ar-SA"/>
        </w:rPr>
        <w:t>。</w:t>
      </w:r>
      <w:r>
        <w:rPr>
          <w:rFonts w:hint="eastAsia" w:ascii="仿宋_GB2312" w:hAnsi="仿宋_GB2312" w:eastAsia="仿宋_GB2312" w:cs="仿宋_GB2312"/>
          <w:kern w:val="0"/>
          <w:sz w:val="32"/>
          <w:szCs w:val="32"/>
          <w:shd w:val="clear" w:color="auto" w:fill="FFFFFF"/>
          <w:lang w:val="en-US" w:eastAsia="zh-CN" w:bidi="ar-SA"/>
        </w:rPr>
        <w:t>2.消化结转和结余的对策。年末无结转和结余</w:t>
      </w:r>
      <w:r>
        <w:rPr>
          <w:rFonts w:hint="eastAsia" w:ascii="仿宋_GB2312" w:hAnsi="仿宋_GB2312" w:cs="仿宋_GB2312"/>
          <w:kern w:val="0"/>
          <w:sz w:val="32"/>
          <w:szCs w:val="32"/>
          <w:shd w:val="clear" w:color="auto" w:fill="FFFFFF"/>
          <w:lang w:val="en-US" w:eastAsia="zh-CN" w:bidi="ar-SA"/>
        </w:rPr>
        <w:t>。</w:t>
      </w:r>
    </w:p>
    <w:p w14:paraId="720AEE49">
      <w:pPr>
        <w:keepNext w:val="0"/>
        <w:keepLines w:val="0"/>
        <w:pageBreakBefore w:val="0"/>
        <w:widowControl w:val="0"/>
        <w:kinsoku/>
        <w:wordWrap/>
        <w:overflowPunct/>
        <w:topLinePunct w:val="0"/>
        <w:autoSpaceDE/>
        <w:autoSpaceDN/>
        <w:bidi w:val="0"/>
        <w:adjustRightInd/>
        <w:snapToGrid/>
        <w:spacing w:afterAutospacing="0" w:line="58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三、部门预算绩效分析</w:t>
      </w:r>
    </w:p>
    <w:p w14:paraId="0418D419">
      <w:pPr>
        <w:keepNext w:val="0"/>
        <w:keepLines w:val="0"/>
        <w:pageBreakBefore w:val="0"/>
        <w:widowControl w:val="0"/>
        <w:numPr>
          <w:ilvl w:val="0"/>
          <w:numId w:val="0"/>
        </w:numPr>
        <w:kinsoku/>
        <w:wordWrap/>
        <w:overflowPunct/>
        <w:topLinePunct w:val="0"/>
        <w:autoSpaceDE/>
        <w:autoSpaceDN/>
        <w:bidi w:val="0"/>
        <w:adjustRightInd w:val="0"/>
        <w:snapToGrid w:val="0"/>
        <w:spacing w:afterAutospacing="0" w:line="580" w:lineRule="exact"/>
        <w:ind w:firstLine="643"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（一）部门预算总体绩效分析。</w:t>
      </w:r>
    </w:p>
    <w:p w14:paraId="410DA037">
      <w:pPr>
        <w:ind w:firstLine="800" w:firstLineChars="250"/>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en-US" w:eastAsia="zh-CN"/>
        </w:rPr>
        <w:t>1.</w:t>
      </w:r>
      <w:r>
        <w:rPr>
          <w:rFonts w:hint="eastAsia" w:ascii="仿宋_GB2312" w:hAnsi="仿宋_GB2312" w:eastAsia="仿宋_GB2312" w:cs="仿宋_GB2312"/>
          <w:color w:val="000000"/>
          <w:kern w:val="0"/>
          <w:sz w:val="32"/>
          <w:szCs w:val="32"/>
          <w:highlight w:val="none"/>
          <w:shd w:val="clear" w:color="auto" w:fill="FFFFFF"/>
          <w:lang w:val="zh-CN"/>
        </w:rPr>
        <w:t>履职效能。</w:t>
      </w:r>
    </w:p>
    <w:p w14:paraId="07544FB2">
      <w:pPr>
        <w:ind w:firstLine="643" w:firstLineChars="200"/>
        <w:rPr>
          <w:rFonts w:hint="eastAsia" w:ascii="仿宋_GB2312" w:hAnsi="仿宋_GB2312" w:eastAsia="仿宋_GB2312" w:cs="仿宋_GB2312"/>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val="en-US" w:eastAsia="zh-CN" w:bidi="ar-SA"/>
        </w:rPr>
        <w:t>（1）积极开展赈济救灾。</w:t>
      </w:r>
      <w:r>
        <w:rPr>
          <w:rFonts w:hint="eastAsia" w:ascii="仿宋_GB2312" w:hAnsi="仿宋_GB2312" w:eastAsia="仿宋_GB2312" w:cs="仿宋_GB2312"/>
          <w:kern w:val="0"/>
          <w:sz w:val="32"/>
          <w:szCs w:val="32"/>
          <w:shd w:val="clear" w:color="auto" w:fill="FFFFFF"/>
          <w:lang w:val="en-US" w:eastAsia="zh-CN" w:bidi="ar-SA"/>
        </w:rPr>
        <w:t>积极参与州红十字会“让6·10马尔康地震灾区孩子温暖过冬”项目，我会广泛宣传，倡导公益理念，动员全县干部职工及社会各界爱心人士参与捐赠，为我县315名受灾学生发放了“一衣三穿”可拆卸保暖棉服。</w:t>
      </w:r>
    </w:p>
    <w:p w14:paraId="2300E261">
      <w:pPr>
        <w:ind w:firstLine="803" w:firstLineChars="250"/>
        <w:rPr>
          <w:rFonts w:hint="eastAsia" w:ascii="仿宋_GB2312" w:hAnsi="仿宋_GB2312" w:eastAsia="仿宋_GB2312" w:cs="仿宋_GB2312"/>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val="en-US" w:eastAsia="zh-CN" w:bidi="ar-SA"/>
        </w:rPr>
        <w:t>（2）大力弘扬红十字慈善救助精神</w:t>
      </w:r>
      <w:r>
        <w:rPr>
          <w:rFonts w:hint="eastAsia" w:ascii="仿宋_GB2312" w:hAnsi="仿宋_GB2312" w:eastAsia="仿宋_GB2312" w:cs="仿宋_GB2312"/>
          <w:kern w:val="0"/>
          <w:sz w:val="32"/>
          <w:szCs w:val="32"/>
          <w:shd w:val="clear" w:color="auto" w:fill="FFFFFF"/>
          <w:lang w:val="en-US" w:eastAsia="zh-CN" w:bidi="ar-SA"/>
        </w:rPr>
        <w:t>。在县医院的协助下为全县582名单亲贫困母亲免费体检同时开展“三献三救”“防灾减灾”应急救护、自救互救基本技能知识的宣传。</w:t>
      </w:r>
    </w:p>
    <w:p w14:paraId="158803E6">
      <w:pPr>
        <w:ind w:firstLine="803" w:firstLineChars="250"/>
        <w:rPr>
          <w:rFonts w:hint="eastAsia" w:ascii="仿宋_GB2312" w:hAnsi="仿宋_GB2312" w:eastAsia="仿宋_GB2312" w:cs="仿宋_GB2312"/>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val="en-US" w:eastAsia="zh-CN" w:bidi="ar-SA"/>
        </w:rPr>
        <w:t>（3）加大宣传力度，提升红十字知名度。</w:t>
      </w:r>
      <w:r>
        <w:rPr>
          <w:rFonts w:hint="eastAsia" w:ascii="仿宋_GB2312" w:hAnsi="仿宋_GB2312" w:eastAsia="仿宋_GB2312" w:cs="仿宋_GB2312"/>
          <w:kern w:val="0"/>
          <w:sz w:val="32"/>
          <w:szCs w:val="32"/>
          <w:shd w:val="clear" w:color="auto" w:fill="FFFFFF"/>
          <w:lang w:val="en-US" w:eastAsia="zh-CN" w:bidi="ar-SA"/>
        </w:rPr>
        <w:t>通过重要纪念日开展宣传。利用世界红十字日，防灾减灾日、献血日等时间节点为契机，我会在各机关、各乡镇以及各所学校积极开展红十字“四进”，即“进机关”、“进乡村”、“进校园”“进寺院”宣传活动。为全县600余人发放红十字会宣传资料1000余份，广泛宣传防震减灾和“三献”知识，发放宣传手册500余份，宣传收益人达500余人。</w:t>
      </w:r>
    </w:p>
    <w:p w14:paraId="6568811D">
      <w:pPr>
        <w:ind w:firstLine="803" w:firstLineChars="250"/>
        <w:rPr>
          <w:rFonts w:hint="eastAsia" w:ascii="仿宋_GB2312" w:hAnsi="仿宋_GB2312" w:eastAsia="仿宋_GB2312" w:cs="仿宋_GB2312"/>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bidi="ar-SA"/>
        </w:rPr>
        <w:t>（</w:t>
      </w:r>
      <w:r>
        <w:rPr>
          <w:rFonts w:hint="eastAsia" w:ascii="仿宋_GB2312" w:hAnsi="仿宋_GB2312" w:eastAsia="仿宋_GB2312" w:cs="仿宋_GB2312"/>
          <w:b/>
          <w:bCs/>
          <w:kern w:val="0"/>
          <w:sz w:val="32"/>
          <w:szCs w:val="32"/>
          <w:shd w:val="clear" w:color="auto" w:fill="FFFFFF"/>
          <w:lang w:val="en-US" w:eastAsia="zh-CN" w:bidi="ar-SA"/>
        </w:rPr>
        <w:t>4</w:t>
      </w:r>
      <w:r>
        <w:rPr>
          <w:rFonts w:hint="eastAsia" w:ascii="仿宋_GB2312" w:hAnsi="仿宋_GB2312" w:eastAsia="仿宋_GB2312" w:cs="仿宋_GB2312"/>
          <w:b/>
          <w:bCs/>
          <w:kern w:val="0"/>
          <w:sz w:val="32"/>
          <w:szCs w:val="32"/>
          <w:shd w:val="clear" w:color="auto" w:fill="FFFFFF"/>
          <w:lang w:bidi="ar-SA"/>
        </w:rPr>
        <w:t>）认真组织救护知识培训。</w:t>
      </w:r>
      <w:r>
        <w:rPr>
          <w:rFonts w:hint="eastAsia" w:ascii="仿宋_GB2312" w:hAnsi="仿宋_GB2312" w:eastAsia="仿宋_GB2312" w:cs="仿宋_GB2312"/>
          <w:kern w:val="0"/>
          <w:sz w:val="32"/>
          <w:szCs w:val="32"/>
          <w:shd w:val="clear" w:color="auto" w:fill="FFFFFF"/>
          <w:lang w:val="en-US" w:eastAsia="zh-CN" w:bidi="ar-SA"/>
        </w:rPr>
        <w:t>为提高公民的自救、互救能力，在广泛宣传、精心筹划的基础上，</w:t>
      </w:r>
      <w:r>
        <w:rPr>
          <w:rFonts w:hint="eastAsia" w:ascii="仿宋_GB2312" w:hAnsi="仿宋_GB2312" w:eastAsia="仿宋_GB2312" w:cs="仿宋_GB2312"/>
          <w:b/>
          <w:bCs/>
          <w:kern w:val="0"/>
          <w:sz w:val="32"/>
          <w:szCs w:val="32"/>
          <w:shd w:val="clear" w:color="auto" w:fill="FFFFFF"/>
          <w:lang w:val="en-US" w:eastAsia="zh-CN" w:bidi="ar-SA"/>
        </w:rPr>
        <w:t>一是</w:t>
      </w:r>
      <w:r>
        <w:rPr>
          <w:rFonts w:hint="eastAsia" w:ascii="仿宋_GB2312" w:hAnsi="仿宋_GB2312" w:eastAsia="仿宋_GB2312" w:cs="仿宋_GB2312"/>
          <w:kern w:val="0"/>
          <w:sz w:val="32"/>
          <w:szCs w:val="32"/>
          <w:shd w:val="clear" w:color="auto" w:fill="FFFFFF"/>
          <w:lang w:val="en-US" w:eastAsia="zh-CN" w:bidi="ar-SA"/>
        </w:rPr>
        <w:t>深入开展应急救护普及培训进学校、进乡村、进企业、进寺庙活动，合计培训人数达700人次。</w:t>
      </w:r>
      <w:r>
        <w:rPr>
          <w:rFonts w:hint="eastAsia" w:ascii="仿宋_GB2312" w:hAnsi="仿宋_GB2312" w:eastAsia="仿宋_GB2312" w:cs="仿宋_GB2312"/>
          <w:b/>
          <w:bCs/>
          <w:kern w:val="0"/>
          <w:sz w:val="32"/>
          <w:szCs w:val="32"/>
          <w:shd w:val="clear" w:color="auto" w:fill="FFFFFF"/>
          <w:lang w:val="en-US" w:eastAsia="zh-CN" w:bidi="ar-SA"/>
        </w:rPr>
        <w:t>二是</w:t>
      </w:r>
      <w:r>
        <w:rPr>
          <w:rFonts w:hint="eastAsia" w:ascii="仿宋_GB2312" w:hAnsi="仿宋_GB2312" w:eastAsia="仿宋_GB2312" w:cs="仿宋_GB2312"/>
          <w:kern w:val="0"/>
          <w:sz w:val="32"/>
          <w:szCs w:val="32"/>
          <w:shd w:val="clear" w:color="auto" w:fill="FFFFFF"/>
          <w:lang w:val="en-US" w:eastAsia="zh-CN" w:bidi="ar-SA"/>
        </w:rPr>
        <w:t>开展2期应急救护急救员培训班，顺利通过培训并发证133人。培训期间通过讲解和救护操作演练，让参训人员掌握常见突发事件的自救、互救方法，提高了他们整体素质和应急突发事件的能力。</w:t>
      </w:r>
      <w:r>
        <w:rPr>
          <w:rFonts w:hint="eastAsia" w:ascii="仿宋_GB2312" w:hAnsi="仿宋_GB2312" w:eastAsia="仿宋_GB2312" w:cs="仿宋_GB2312"/>
          <w:b/>
          <w:bCs/>
          <w:kern w:val="0"/>
          <w:sz w:val="32"/>
          <w:szCs w:val="32"/>
          <w:shd w:val="clear" w:color="auto" w:fill="FFFFFF"/>
          <w:lang w:val="en-US" w:eastAsia="zh-CN" w:bidi="ar-SA"/>
        </w:rPr>
        <w:t>三是</w:t>
      </w:r>
      <w:r>
        <w:rPr>
          <w:rFonts w:hint="eastAsia" w:ascii="仿宋_GB2312" w:hAnsi="仿宋_GB2312" w:eastAsia="仿宋_GB2312" w:cs="仿宋_GB2312"/>
          <w:kern w:val="0"/>
          <w:sz w:val="32"/>
          <w:szCs w:val="32"/>
          <w:shd w:val="clear" w:color="auto" w:fill="FFFFFF"/>
          <w:lang w:val="en-US" w:eastAsia="zh-CN" w:bidi="ar-SA"/>
        </w:rPr>
        <w:t>扎实开展“5·8”博爱周活动，我会在县城关小学、县藏文中学开展生命教育进校园活动，对1000余名师生进行了应急救护普及培训，培训采取理论知识与实操相结合的教学方式。</w:t>
      </w:r>
    </w:p>
    <w:p w14:paraId="4AB64D25">
      <w:pPr>
        <w:ind w:firstLine="643" w:firstLineChars="200"/>
        <w:rPr>
          <w:rFonts w:hint="eastAsia" w:ascii="仿宋_GB2312" w:hAnsi="仿宋_GB2312" w:eastAsia="仿宋_GB2312" w:cs="仿宋_GB2312"/>
          <w:b/>
          <w:bCs/>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bidi="ar-SA"/>
        </w:rPr>
        <w:t>（</w:t>
      </w:r>
      <w:r>
        <w:rPr>
          <w:rFonts w:hint="eastAsia" w:ascii="仿宋_GB2312" w:hAnsi="仿宋_GB2312" w:eastAsia="仿宋_GB2312" w:cs="仿宋_GB2312"/>
          <w:b/>
          <w:bCs/>
          <w:kern w:val="0"/>
          <w:sz w:val="32"/>
          <w:szCs w:val="32"/>
          <w:shd w:val="clear" w:color="auto" w:fill="FFFFFF"/>
          <w:lang w:val="en-US" w:eastAsia="zh-CN" w:bidi="ar-SA"/>
        </w:rPr>
        <w:t>5</w:t>
      </w:r>
      <w:r>
        <w:rPr>
          <w:rFonts w:hint="eastAsia" w:ascii="仿宋_GB2312" w:hAnsi="仿宋_GB2312" w:eastAsia="仿宋_GB2312" w:cs="仿宋_GB2312"/>
          <w:b/>
          <w:bCs/>
          <w:kern w:val="0"/>
          <w:sz w:val="32"/>
          <w:szCs w:val="32"/>
          <w:shd w:val="clear" w:color="auto" w:fill="FFFFFF"/>
          <w:lang w:bidi="ar-SA"/>
        </w:rPr>
        <w:t>）</w:t>
      </w:r>
      <w:r>
        <w:rPr>
          <w:rFonts w:hint="eastAsia" w:ascii="仿宋_GB2312" w:hAnsi="仿宋_GB2312" w:eastAsia="仿宋_GB2312" w:cs="仿宋_GB2312"/>
          <w:b/>
          <w:bCs/>
          <w:kern w:val="0"/>
          <w:sz w:val="32"/>
          <w:szCs w:val="32"/>
          <w:shd w:val="clear" w:color="auto" w:fill="FFFFFF"/>
          <w:lang w:val="en-US" w:eastAsia="zh-CN" w:bidi="ar-SA"/>
        </w:rPr>
        <w:t>积极对接爱心人士，帮助10个乡镇学生共37名，使学生顺利完成学业。</w:t>
      </w:r>
    </w:p>
    <w:p w14:paraId="6C9542F9">
      <w:pPr>
        <w:ind w:firstLine="803" w:firstLineChars="250"/>
        <w:rPr>
          <w:rFonts w:hint="eastAsia" w:ascii="仿宋_GB2312" w:hAnsi="仿宋_GB2312" w:eastAsia="仿宋_GB2312" w:cs="仿宋_GB2312"/>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val="en-US" w:eastAsia="zh-CN" w:bidi="ar-SA"/>
        </w:rPr>
        <w:t>（6）</w:t>
      </w:r>
      <w:r>
        <w:rPr>
          <w:rFonts w:hint="eastAsia" w:ascii="仿宋_GB2312" w:hAnsi="仿宋_GB2312" w:eastAsia="仿宋_GB2312" w:cs="仿宋_GB2312"/>
          <w:b/>
          <w:bCs/>
          <w:kern w:val="0"/>
          <w:sz w:val="32"/>
          <w:szCs w:val="32"/>
          <w:shd w:val="clear" w:color="auto" w:fill="FFFFFF"/>
          <w:lang w:bidi="ar-SA"/>
        </w:rPr>
        <w:t>学习贯彻《四川省红十字会条例》。</w:t>
      </w:r>
      <w:r>
        <w:rPr>
          <w:rFonts w:hint="eastAsia" w:ascii="仿宋_GB2312" w:hAnsi="仿宋_GB2312" w:eastAsia="仿宋_GB2312" w:cs="仿宋_GB2312"/>
          <w:kern w:val="0"/>
          <w:sz w:val="32"/>
          <w:szCs w:val="32"/>
          <w:shd w:val="clear" w:color="auto" w:fill="FFFFFF"/>
          <w:lang w:val="en-US" w:eastAsia="zh-CN" w:bidi="ar-SA"/>
        </w:rPr>
        <w:t>《四川省红十字会条例》实施以来，县红十字会高度重视，组织干部职工集体学习2次，督促干部职工自学，结合“生命教育”进企业、进寺庙对《条例》进行了宣传学习，并到各基层红十字对《条例》进行了宣讲。</w:t>
      </w:r>
    </w:p>
    <w:p w14:paraId="2ED54B7A">
      <w:pPr>
        <w:ind w:firstLine="640"/>
        <w:rPr>
          <w:rFonts w:hint="eastAsia" w:ascii="仿宋_GB2312" w:hAnsi="仿宋_GB2312" w:eastAsia="仿宋_GB2312" w:cs="仿宋_GB2312"/>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bidi="ar-SA"/>
        </w:rPr>
        <w:t>（</w:t>
      </w:r>
      <w:r>
        <w:rPr>
          <w:rFonts w:hint="eastAsia" w:ascii="仿宋_GB2312" w:hAnsi="仿宋_GB2312" w:eastAsia="仿宋_GB2312" w:cs="仿宋_GB2312"/>
          <w:b/>
          <w:bCs/>
          <w:kern w:val="0"/>
          <w:sz w:val="32"/>
          <w:szCs w:val="32"/>
          <w:shd w:val="clear" w:color="auto" w:fill="FFFFFF"/>
          <w:lang w:val="en-US" w:eastAsia="zh-CN" w:bidi="ar-SA"/>
        </w:rPr>
        <w:t>7）提高思想认识。</w:t>
      </w:r>
      <w:r>
        <w:rPr>
          <w:rFonts w:hint="eastAsia" w:ascii="仿宋_GB2312" w:hAnsi="仿宋_GB2312" w:eastAsia="仿宋_GB2312" w:cs="仿宋_GB2312"/>
          <w:kern w:val="0"/>
          <w:sz w:val="32"/>
          <w:szCs w:val="32"/>
          <w:shd w:val="clear" w:color="auto" w:fill="FFFFFF"/>
          <w:lang w:val="en-US" w:eastAsia="zh-CN" w:bidi="ar-SA"/>
        </w:rPr>
        <w:t>坚持“三重一大”民主集中制，召开“三重一大”会议，邀请县纪委工作人员参会，监督红十字会重大事项开展，自觉接受纪委监督，始终在监督下开展工作。</w:t>
      </w:r>
    </w:p>
    <w:p w14:paraId="4480C9AC">
      <w:pPr>
        <w:ind w:firstLine="803" w:firstLineChars="250"/>
        <w:rPr>
          <w:rFonts w:hint="eastAsia" w:ascii="仿宋_GB2312" w:hAnsi="仿宋_GB2312" w:eastAsia="仿宋_GB2312" w:cs="仿宋_GB2312"/>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eastAsia="zh-CN" w:bidi="ar-SA"/>
        </w:rPr>
        <w:t>（</w:t>
      </w:r>
      <w:r>
        <w:rPr>
          <w:rFonts w:hint="eastAsia" w:ascii="仿宋_GB2312" w:hAnsi="仿宋_GB2312" w:eastAsia="仿宋_GB2312" w:cs="仿宋_GB2312"/>
          <w:b/>
          <w:bCs/>
          <w:kern w:val="0"/>
          <w:sz w:val="32"/>
          <w:szCs w:val="32"/>
          <w:shd w:val="clear" w:color="auto" w:fill="FFFFFF"/>
          <w:lang w:val="en-US" w:eastAsia="zh-CN" w:bidi="ar-SA"/>
        </w:rPr>
        <w:t>8</w:t>
      </w:r>
      <w:r>
        <w:rPr>
          <w:rFonts w:hint="eastAsia" w:ascii="仿宋_GB2312" w:hAnsi="仿宋_GB2312" w:eastAsia="仿宋_GB2312" w:cs="仿宋_GB2312"/>
          <w:b/>
          <w:bCs/>
          <w:kern w:val="0"/>
          <w:sz w:val="32"/>
          <w:szCs w:val="32"/>
          <w:shd w:val="clear" w:color="auto" w:fill="FFFFFF"/>
          <w:lang w:eastAsia="zh-CN" w:bidi="ar-SA"/>
        </w:rPr>
        <w:t>）</w:t>
      </w:r>
      <w:r>
        <w:rPr>
          <w:rFonts w:hint="eastAsia" w:ascii="仿宋_GB2312" w:hAnsi="仿宋_GB2312" w:eastAsia="仿宋_GB2312" w:cs="仿宋_GB2312"/>
          <w:b/>
          <w:bCs/>
          <w:kern w:val="0"/>
          <w:sz w:val="32"/>
          <w:szCs w:val="32"/>
          <w:shd w:val="clear" w:color="auto" w:fill="FFFFFF"/>
          <w:lang w:bidi="ar-SA"/>
        </w:rPr>
        <w:t>扎实开展“两联一进”群众工作。</w:t>
      </w:r>
      <w:r>
        <w:rPr>
          <w:rFonts w:hint="eastAsia" w:ascii="仿宋_GB2312" w:hAnsi="仿宋_GB2312" w:eastAsia="仿宋_GB2312" w:cs="仿宋_GB2312"/>
          <w:kern w:val="0"/>
          <w:sz w:val="32"/>
          <w:szCs w:val="32"/>
          <w:shd w:val="clear" w:color="auto" w:fill="FFFFFF"/>
          <w:lang w:val="en-US" w:eastAsia="zh-CN" w:bidi="ar-SA"/>
        </w:rPr>
        <w:t>2023年，县红十字会根据县委统一安排部署，认真开展“两联一进”群众工作。走村入户150余人次；看望慰问联系僧人30余人次，为他们送去了米、面、油等生活用品，详细了解他们的生活情况和存在的困难，引导他们要遵纪守法，发挥好僧人促进和谐的积极作用。</w:t>
      </w:r>
    </w:p>
    <w:p w14:paraId="1B63F07C">
      <w:pPr>
        <w:snapToGrid w:val="0"/>
        <w:spacing w:line="520" w:lineRule="exact"/>
        <w:ind w:firstLine="640" w:firstLineChars="200"/>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en-US" w:eastAsia="zh-CN"/>
        </w:rPr>
        <w:t>2.</w:t>
      </w:r>
      <w:r>
        <w:rPr>
          <w:rFonts w:hint="eastAsia" w:ascii="仿宋_GB2312" w:hAnsi="仿宋_GB2312" w:eastAsia="仿宋_GB2312" w:cs="仿宋_GB2312"/>
          <w:color w:val="000000"/>
          <w:kern w:val="0"/>
          <w:sz w:val="32"/>
          <w:szCs w:val="32"/>
          <w:highlight w:val="none"/>
          <w:shd w:val="clear" w:color="auto" w:fill="FFFFFF"/>
          <w:lang w:val="zh-CN"/>
        </w:rPr>
        <w:t>预算管理。</w:t>
      </w:r>
      <w:r>
        <w:rPr>
          <w:rFonts w:hint="eastAsia" w:ascii="仿宋_GB2312" w:hAnsi="仿宋_GB2312" w:eastAsia="仿宋_GB2312" w:cs="仿宋_GB2312"/>
          <w:color w:val="000000"/>
          <w:kern w:val="0"/>
          <w:sz w:val="32"/>
          <w:szCs w:val="32"/>
          <w:highlight w:val="none"/>
          <w:shd w:val="clear" w:color="auto" w:fill="FFFFFF"/>
          <w:lang w:val="en-US" w:eastAsia="zh-CN"/>
        </w:rPr>
        <w:t>我单位</w:t>
      </w:r>
      <w:r>
        <w:rPr>
          <w:rFonts w:hint="eastAsia" w:ascii="仿宋_GB2312" w:hAnsi="仿宋_GB2312" w:eastAsia="仿宋_GB2312" w:cs="仿宋_GB2312"/>
          <w:color w:val="000000"/>
          <w:kern w:val="0"/>
          <w:sz w:val="32"/>
          <w:szCs w:val="32"/>
          <w:highlight w:val="none"/>
          <w:shd w:val="clear" w:color="auto" w:fill="FFFFFF"/>
          <w:lang w:val="zh-CN"/>
        </w:rPr>
        <w:t>预算编制质量</w:t>
      </w:r>
      <w:r>
        <w:rPr>
          <w:rFonts w:hint="eastAsia" w:ascii="仿宋_GB2312" w:hAnsi="仿宋_GB2312" w:eastAsia="仿宋_GB2312" w:cs="仿宋_GB2312"/>
          <w:color w:val="000000"/>
          <w:kern w:val="0"/>
          <w:sz w:val="32"/>
          <w:szCs w:val="32"/>
          <w:highlight w:val="none"/>
          <w:shd w:val="clear" w:color="auto" w:fill="FFFFFF"/>
          <w:lang w:val="en-US" w:eastAsia="zh-CN"/>
        </w:rPr>
        <w:t>合规合理</w:t>
      </w:r>
      <w:r>
        <w:rPr>
          <w:rFonts w:hint="eastAsia" w:ascii="仿宋_GB2312" w:hAnsi="仿宋_GB2312" w:eastAsia="仿宋_GB2312" w:cs="仿宋_GB2312"/>
          <w:color w:val="000000"/>
          <w:kern w:val="0"/>
          <w:sz w:val="32"/>
          <w:szCs w:val="32"/>
          <w:highlight w:val="none"/>
          <w:shd w:val="clear" w:color="auto" w:fill="FFFFFF"/>
          <w:lang w:val="zh-CN"/>
        </w:rPr>
        <w:t>、单位收入统筹、支出执行进度</w:t>
      </w:r>
      <w:r>
        <w:rPr>
          <w:rFonts w:hint="eastAsia" w:ascii="仿宋_GB2312" w:hAnsi="仿宋_GB2312" w:eastAsia="仿宋_GB2312" w:cs="仿宋_GB2312"/>
          <w:color w:val="000000"/>
          <w:kern w:val="0"/>
          <w:sz w:val="32"/>
          <w:szCs w:val="32"/>
          <w:highlight w:val="none"/>
          <w:shd w:val="clear" w:color="auto" w:fill="FFFFFF"/>
          <w:lang w:val="en-US" w:eastAsia="zh-CN"/>
        </w:rPr>
        <w:t>快</w:t>
      </w:r>
      <w:r>
        <w:rPr>
          <w:rFonts w:hint="eastAsia" w:ascii="仿宋_GB2312" w:hAnsi="仿宋_GB2312" w:eastAsia="仿宋_GB2312" w:cs="仿宋_GB2312"/>
          <w:color w:val="000000"/>
          <w:kern w:val="0"/>
          <w:sz w:val="32"/>
          <w:szCs w:val="32"/>
          <w:highlight w:val="none"/>
          <w:shd w:val="clear" w:color="auto" w:fill="FFFFFF"/>
          <w:lang w:val="zh-CN"/>
        </w:rPr>
        <w:t>、预算年终</w:t>
      </w:r>
      <w:r>
        <w:rPr>
          <w:rFonts w:hint="eastAsia" w:ascii="仿宋_GB2312" w:hAnsi="仿宋_GB2312" w:eastAsia="仿宋_GB2312" w:cs="仿宋_GB2312"/>
          <w:color w:val="000000"/>
          <w:kern w:val="0"/>
          <w:sz w:val="32"/>
          <w:szCs w:val="32"/>
          <w:highlight w:val="none"/>
          <w:shd w:val="clear" w:color="auto" w:fill="FFFFFF"/>
          <w:lang w:val="en-US" w:eastAsia="zh-CN"/>
        </w:rPr>
        <w:t>无</w:t>
      </w:r>
      <w:r>
        <w:rPr>
          <w:rFonts w:hint="eastAsia" w:ascii="仿宋_GB2312" w:hAnsi="仿宋_GB2312" w:eastAsia="仿宋_GB2312" w:cs="仿宋_GB2312"/>
          <w:color w:val="000000"/>
          <w:kern w:val="0"/>
          <w:sz w:val="32"/>
          <w:szCs w:val="32"/>
          <w:highlight w:val="none"/>
          <w:shd w:val="clear" w:color="auto" w:fill="FFFFFF"/>
          <w:lang w:val="zh-CN"/>
        </w:rPr>
        <w:t>结余、严控一般性支出。</w:t>
      </w:r>
      <w:r>
        <w:rPr>
          <w:rFonts w:hint="eastAsia" w:ascii="仿宋_GB2312" w:hAnsi="仿宋_GB2312" w:eastAsia="仿宋_GB2312" w:cs="仿宋_GB2312"/>
          <w:kern w:val="0"/>
          <w:sz w:val="32"/>
          <w:szCs w:val="32"/>
          <w:shd w:val="clear" w:color="auto" w:fill="FFFFFF"/>
          <w:lang w:val="en-US" w:eastAsia="zh-CN" w:bidi="ar-SA"/>
        </w:rPr>
        <w:t>严格按照要求，按时、准确做好财务预决算公开工作。</w:t>
      </w:r>
    </w:p>
    <w:p w14:paraId="7AFD1E45">
      <w:pPr>
        <w:snapToGrid w:val="0"/>
        <w:spacing w:line="520" w:lineRule="exact"/>
        <w:ind w:firstLine="640" w:firstLineChars="200"/>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en-US" w:eastAsia="zh-CN"/>
        </w:rPr>
        <w:t>3.</w:t>
      </w:r>
      <w:r>
        <w:rPr>
          <w:rFonts w:hint="eastAsia" w:ascii="仿宋_GB2312" w:hAnsi="仿宋_GB2312" w:eastAsia="仿宋_GB2312" w:cs="仿宋_GB2312"/>
          <w:color w:val="000000"/>
          <w:kern w:val="0"/>
          <w:sz w:val="32"/>
          <w:szCs w:val="32"/>
          <w:highlight w:val="none"/>
          <w:shd w:val="clear" w:color="auto" w:fill="FFFFFF"/>
          <w:lang w:val="zh-CN"/>
        </w:rPr>
        <w:t>财务管理。</w:t>
      </w:r>
      <w:r>
        <w:rPr>
          <w:rFonts w:hint="eastAsia" w:ascii="仿宋_GB2312" w:hAnsi="仿宋_GB2312" w:eastAsia="仿宋_GB2312" w:cs="仿宋_GB2312"/>
          <w:kern w:val="0"/>
          <w:sz w:val="32"/>
          <w:szCs w:val="32"/>
          <w:shd w:val="clear" w:color="auto" w:fill="FFFFFF"/>
          <w:lang w:val="en-US" w:eastAsia="zh-CN" w:bidi="ar-SA"/>
        </w:rPr>
        <w:t>我单位</w:t>
      </w:r>
      <w:r>
        <w:rPr>
          <w:rFonts w:hint="eastAsia" w:ascii="仿宋_GB2312" w:hAnsi="仿宋_GB2312" w:eastAsia="仿宋_GB2312" w:cs="仿宋_GB2312"/>
          <w:color w:val="000000"/>
          <w:kern w:val="0"/>
          <w:sz w:val="32"/>
          <w:szCs w:val="32"/>
          <w:highlight w:val="none"/>
          <w:shd w:val="clear" w:color="auto" w:fill="FFFFFF"/>
          <w:lang w:val="zh-CN"/>
        </w:rPr>
        <w:t>财务管理制度</w:t>
      </w:r>
      <w:r>
        <w:rPr>
          <w:rFonts w:hint="eastAsia" w:ascii="仿宋_GB2312" w:hAnsi="仿宋_GB2312" w:eastAsia="仿宋_GB2312" w:cs="仿宋_GB2312"/>
          <w:color w:val="000000"/>
          <w:kern w:val="0"/>
          <w:sz w:val="32"/>
          <w:szCs w:val="32"/>
          <w:highlight w:val="none"/>
          <w:shd w:val="clear" w:color="auto" w:fill="FFFFFF"/>
          <w:lang w:val="en-US" w:eastAsia="zh-CN"/>
        </w:rPr>
        <w:t>健全</w:t>
      </w:r>
      <w:r>
        <w:rPr>
          <w:rFonts w:hint="eastAsia" w:ascii="仿宋_GB2312" w:hAnsi="仿宋_GB2312" w:eastAsia="仿宋_GB2312" w:cs="仿宋_GB2312"/>
          <w:color w:val="000000"/>
          <w:kern w:val="0"/>
          <w:sz w:val="32"/>
          <w:szCs w:val="32"/>
          <w:highlight w:val="none"/>
          <w:shd w:val="clear" w:color="auto" w:fill="FFFFFF"/>
          <w:lang w:val="zh-CN"/>
        </w:rPr>
        <w:t>、财务岗位设置</w:t>
      </w:r>
      <w:r>
        <w:rPr>
          <w:rFonts w:hint="eastAsia" w:ascii="仿宋_GB2312" w:hAnsi="仿宋_GB2312" w:eastAsia="仿宋_GB2312" w:cs="仿宋_GB2312"/>
          <w:color w:val="000000"/>
          <w:kern w:val="0"/>
          <w:sz w:val="32"/>
          <w:szCs w:val="32"/>
          <w:highlight w:val="none"/>
          <w:shd w:val="clear" w:color="auto" w:fill="FFFFFF"/>
          <w:lang w:val="en-US" w:eastAsia="zh-CN"/>
        </w:rPr>
        <w:t>合理（会计、出纳）</w:t>
      </w:r>
      <w:r>
        <w:rPr>
          <w:rFonts w:hint="eastAsia" w:ascii="仿宋_GB2312" w:hAnsi="仿宋_GB2312" w:eastAsia="仿宋_GB2312" w:cs="仿宋_GB2312"/>
          <w:color w:val="000000"/>
          <w:kern w:val="0"/>
          <w:sz w:val="32"/>
          <w:szCs w:val="32"/>
          <w:highlight w:val="none"/>
          <w:shd w:val="clear" w:color="auto" w:fill="FFFFFF"/>
          <w:lang w:val="zh-CN"/>
        </w:rPr>
        <w:t>、资金使用规范。</w:t>
      </w:r>
      <w:r>
        <w:rPr>
          <w:rFonts w:hint="eastAsia" w:ascii="仿宋_GB2312" w:hAnsi="仿宋_GB2312" w:eastAsia="仿宋_GB2312" w:cs="仿宋_GB2312"/>
          <w:kern w:val="0"/>
          <w:sz w:val="32"/>
          <w:szCs w:val="32"/>
          <w:shd w:val="clear" w:color="auto" w:fill="FFFFFF"/>
          <w:lang w:val="en-US" w:eastAsia="zh-CN" w:bidi="ar-SA"/>
        </w:rPr>
        <w:t>严格财务管理，本着厉行节约的原则，严格执行中央八项规定，在各项公务开支方面，严格报销审核程序。严格按照县委、县政府、县财政局相关规定，执行预（决）算公开。</w:t>
      </w:r>
    </w:p>
    <w:p w14:paraId="6A85E239">
      <w:pPr>
        <w:keepNext w:val="0"/>
        <w:keepLines w:val="0"/>
        <w:pageBreakBefore w:val="0"/>
        <w:widowControl w:val="0"/>
        <w:numPr>
          <w:ilvl w:val="0"/>
          <w:numId w:val="0"/>
        </w:numPr>
        <w:kinsoku/>
        <w:wordWrap/>
        <w:overflowPunct/>
        <w:topLinePunct w:val="0"/>
        <w:autoSpaceDE/>
        <w:autoSpaceDN/>
        <w:bidi w:val="0"/>
        <w:adjustRightInd w:val="0"/>
        <w:snapToGrid w:val="0"/>
        <w:spacing w:afterAutospacing="0"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en-US" w:eastAsia="zh-CN"/>
        </w:rPr>
        <w:t>4.</w:t>
      </w:r>
      <w:r>
        <w:rPr>
          <w:rFonts w:hint="eastAsia" w:ascii="仿宋_GB2312" w:hAnsi="仿宋_GB2312" w:eastAsia="仿宋_GB2312" w:cs="仿宋_GB2312"/>
          <w:color w:val="000000"/>
          <w:kern w:val="0"/>
          <w:sz w:val="32"/>
          <w:szCs w:val="32"/>
          <w:highlight w:val="none"/>
          <w:shd w:val="clear" w:color="auto" w:fill="FFFFFF"/>
          <w:lang w:val="zh-CN"/>
        </w:rPr>
        <w:t>资产管理。</w:t>
      </w:r>
      <w:r>
        <w:rPr>
          <w:rFonts w:hint="eastAsia" w:ascii="仿宋_GB2312" w:hAnsi="仿宋_GB2312" w:eastAsia="仿宋_GB2312" w:cs="仿宋_GB2312"/>
          <w:color w:val="000000"/>
          <w:kern w:val="0"/>
          <w:sz w:val="32"/>
          <w:szCs w:val="32"/>
          <w:highlight w:val="none"/>
          <w:shd w:val="clear" w:color="auto" w:fill="FFFFFF"/>
          <w:lang w:val="en-US" w:eastAsia="zh-CN"/>
        </w:rPr>
        <w:t>严格资产管理制度，</w:t>
      </w:r>
      <w:r>
        <w:rPr>
          <w:rFonts w:hint="eastAsia" w:ascii="仿宋_GB2312" w:hAnsi="仿宋_GB2312" w:eastAsia="仿宋_GB2312" w:cs="仿宋_GB2312"/>
          <w:color w:val="000000"/>
          <w:kern w:val="0"/>
          <w:sz w:val="32"/>
          <w:szCs w:val="32"/>
          <w:highlight w:val="none"/>
          <w:shd w:val="clear" w:color="auto" w:fill="FFFFFF"/>
          <w:lang w:val="zh-CN"/>
        </w:rPr>
        <w:t>资产利用率</w:t>
      </w:r>
      <w:r>
        <w:rPr>
          <w:rFonts w:hint="eastAsia" w:ascii="仿宋_GB2312" w:hAnsi="仿宋_GB2312" w:eastAsia="仿宋_GB2312" w:cs="仿宋_GB2312"/>
          <w:color w:val="000000"/>
          <w:kern w:val="0"/>
          <w:sz w:val="32"/>
          <w:szCs w:val="32"/>
          <w:highlight w:val="none"/>
          <w:shd w:val="clear" w:color="auto" w:fill="FFFFFF"/>
          <w:lang w:val="en-US" w:eastAsia="zh-CN"/>
        </w:rPr>
        <w:t>100%</w:t>
      </w:r>
      <w:r>
        <w:rPr>
          <w:rFonts w:hint="eastAsia" w:ascii="仿宋_GB2312" w:hAnsi="仿宋_GB2312" w:eastAsia="仿宋_GB2312" w:cs="仿宋_GB2312"/>
          <w:color w:val="000000"/>
          <w:kern w:val="0"/>
          <w:sz w:val="32"/>
          <w:szCs w:val="32"/>
          <w:highlight w:val="none"/>
          <w:shd w:val="clear" w:color="auto" w:fill="FFFFFF"/>
          <w:lang w:val="zh-CN"/>
        </w:rPr>
        <w:t>。</w:t>
      </w:r>
    </w:p>
    <w:p w14:paraId="6C7C07F0">
      <w:pPr>
        <w:keepNext w:val="0"/>
        <w:keepLines w:val="0"/>
        <w:pageBreakBefore w:val="0"/>
        <w:widowControl w:val="0"/>
        <w:numPr>
          <w:ilvl w:val="0"/>
          <w:numId w:val="0"/>
        </w:numPr>
        <w:kinsoku/>
        <w:wordWrap/>
        <w:overflowPunct/>
        <w:topLinePunct w:val="0"/>
        <w:autoSpaceDE/>
        <w:autoSpaceDN/>
        <w:bidi w:val="0"/>
        <w:adjustRightInd w:val="0"/>
        <w:snapToGrid w:val="0"/>
        <w:spacing w:afterAutospacing="0"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en-US" w:eastAsia="zh-CN"/>
        </w:rPr>
      </w:pPr>
      <w:r>
        <w:rPr>
          <w:rFonts w:hint="eastAsia" w:ascii="仿宋_GB2312" w:hAnsi="仿宋_GB2312" w:eastAsia="仿宋_GB2312" w:cs="仿宋_GB2312"/>
          <w:color w:val="000000"/>
          <w:kern w:val="0"/>
          <w:sz w:val="32"/>
          <w:szCs w:val="32"/>
          <w:highlight w:val="none"/>
          <w:shd w:val="clear" w:color="auto" w:fill="FFFFFF"/>
          <w:lang w:val="en-US" w:eastAsia="zh-CN"/>
        </w:rPr>
        <w:t>5.</w:t>
      </w:r>
      <w:r>
        <w:rPr>
          <w:rFonts w:hint="eastAsia" w:ascii="仿宋_GB2312" w:hAnsi="仿宋_GB2312" w:eastAsia="仿宋_GB2312" w:cs="仿宋_GB2312"/>
          <w:color w:val="000000"/>
          <w:kern w:val="0"/>
          <w:sz w:val="32"/>
          <w:szCs w:val="32"/>
          <w:highlight w:val="none"/>
          <w:shd w:val="clear" w:color="auto" w:fill="FFFFFF"/>
          <w:lang w:val="zh-CN"/>
        </w:rPr>
        <w:t>采购管理。</w:t>
      </w:r>
      <w:r>
        <w:rPr>
          <w:rFonts w:hint="eastAsia" w:ascii="仿宋_GB2312" w:hAnsi="仿宋_GB2312" w:eastAsia="仿宋_GB2312" w:cs="仿宋_GB2312"/>
          <w:color w:val="000000"/>
          <w:kern w:val="0"/>
          <w:sz w:val="32"/>
          <w:szCs w:val="32"/>
          <w:highlight w:val="none"/>
          <w:shd w:val="clear" w:color="auto" w:fill="FFFFFF"/>
          <w:lang w:val="en-US" w:eastAsia="zh-CN"/>
        </w:rPr>
        <w:t>严格采购管理制度，采购渠道：政府采购，</w:t>
      </w:r>
      <w:r>
        <w:rPr>
          <w:rFonts w:hint="eastAsia" w:ascii="仿宋_GB2312" w:hAnsi="仿宋_GB2312" w:eastAsia="仿宋_GB2312" w:cs="仿宋_GB2312"/>
          <w:color w:val="000000"/>
          <w:kern w:val="0"/>
          <w:sz w:val="32"/>
          <w:szCs w:val="32"/>
          <w:highlight w:val="none"/>
          <w:shd w:val="clear" w:color="auto" w:fill="FFFFFF"/>
          <w:lang w:val="zh-CN"/>
        </w:rPr>
        <w:t>采购执行率</w:t>
      </w:r>
      <w:r>
        <w:rPr>
          <w:rFonts w:hint="eastAsia" w:ascii="仿宋_GB2312" w:hAnsi="仿宋_GB2312" w:eastAsia="仿宋_GB2312" w:cs="仿宋_GB2312"/>
          <w:color w:val="000000"/>
          <w:kern w:val="0"/>
          <w:sz w:val="32"/>
          <w:szCs w:val="32"/>
          <w:highlight w:val="none"/>
          <w:shd w:val="clear" w:color="auto" w:fill="FFFFFF"/>
          <w:lang w:val="en-US" w:eastAsia="zh-CN"/>
        </w:rPr>
        <w:t>100%</w:t>
      </w:r>
    </w:p>
    <w:p w14:paraId="62718088">
      <w:pPr>
        <w:snapToGrid w:val="0"/>
        <w:spacing w:line="520" w:lineRule="exact"/>
        <w:ind w:firstLine="643" w:firstLineChars="200"/>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（二）部门预算项目绩效分析。</w:t>
      </w:r>
    </w:p>
    <w:p w14:paraId="4CA601FF">
      <w:pPr>
        <w:snapToGrid w:val="0"/>
        <w:spacing w:line="520" w:lineRule="exact"/>
        <w:ind w:firstLine="640" w:firstLineChars="200"/>
        <w:rPr>
          <w:rFonts w:hint="eastAsia" w:ascii="仿宋_GB2312" w:hAnsi="仿宋_GB2312" w:eastAsia="仿宋_GB2312" w:cs="仿宋_GB2312"/>
          <w:kern w:val="0"/>
          <w:sz w:val="32"/>
          <w:szCs w:val="32"/>
          <w:shd w:val="clear" w:color="auto" w:fill="FFFFFF"/>
          <w:lang w:val="en-US" w:eastAsia="zh-CN" w:bidi="ar-SA"/>
        </w:rPr>
      </w:pPr>
      <w:r>
        <w:rPr>
          <w:rFonts w:hint="eastAsia" w:ascii="仿宋_GB2312" w:hAnsi="仿宋_GB2312" w:eastAsia="仿宋_GB2312" w:cs="仿宋_GB2312"/>
          <w:kern w:val="0"/>
          <w:sz w:val="32"/>
          <w:szCs w:val="32"/>
          <w:shd w:val="clear" w:color="auto" w:fill="FFFFFF"/>
          <w:lang w:val="en-US" w:eastAsia="zh-CN" w:bidi="ar-SA"/>
        </w:rPr>
        <w:t>1.概述项目绩效目标完成情况。</w:t>
      </w:r>
    </w:p>
    <w:p w14:paraId="2048FF48">
      <w:pPr>
        <w:snapToGrid w:val="0"/>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shd w:val="clear" w:color="auto" w:fill="FFFFFF"/>
          <w:lang w:val="en-US" w:eastAsia="zh-CN" w:bidi="ar-SA"/>
        </w:rPr>
        <w:t>本年度计划开展的项目工作，已如期开展，并已完成财务结算。</w:t>
      </w:r>
    </w:p>
    <w:p w14:paraId="5855C9D0">
      <w:pPr>
        <w:numPr>
          <w:ilvl w:val="0"/>
          <w:numId w:val="0"/>
        </w:numPr>
        <w:snapToGrid w:val="0"/>
        <w:spacing w:line="520" w:lineRule="exact"/>
        <w:ind w:firstLine="640" w:firstLineChars="200"/>
        <w:rPr>
          <w:rFonts w:hint="eastAsia" w:ascii="仿宋_GB2312" w:hAnsi="仿宋_GB2312" w:eastAsia="仿宋_GB2312" w:cs="仿宋_GB2312"/>
          <w:kern w:val="0"/>
          <w:sz w:val="32"/>
          <w:szCs w:val="32"/>
          <w:shd w:val="clear" w:color="auto" w:fill="FFFFFF"/>
          <w:lang w:val="en-US" w:eastAsia="zh-CN" w:bidi="ar-SA"/>
        </w:rPr>
      </w:pPr>
      <w:r>
        <w:rPr>
          <w:rFonts w:hint="eastAsia" w:ascii="仿宋_GB2312" w:hAnsi="仿宋_GB2312" w:eastAsia="仿宋_GB2312" w:cs="仿宋_GB2312"/>
          <w:kern w:val="0"/>
          <w:sz w:val="32"/>
          <w:szCs w:val="32"/>
          <w:shd w:val="clear" w:color="auto" w:fill="FFFFFF"/>
          <w:lang w:val="en-US" w:eastAsia="zh-CN" w:bidi="ar-SA"/>
        </w:rPr>
        <w:t>2.概述本单位整体支出绩效目标实现情况。</w:t>
      </w:r>
    </w:p>
    <w:p w14:paraId="0985AB5D">
      <w:pPr>
        <w:snapToGrid w:val="0"/>
        <w:spacing w:line="520" w:lineRule="exact"/>
        <w:ind w:firstLine="640" w:firstLineChars="200"/>
        <w:rPr>
          <w:rFonts w:hint="eastAsia" w:ascii="仿宋_GB2312" w:hAnsi="仿宋_GB2312" w:eastAsia="仿宋_GB2312" w:cs="仿宋_GB2312"/>
          <w:kern w:val="0"/>
          <w:sz w:val="32"/>
          <w:szCs w:val="32"/>
          <w:shd w:val="clear" w:color="auto" w:fill="FFFFFF"/>
          <w:lang w:val="en-US" w:eastAsia="zh-CN" w:bidi="ar-SA"/>
        </w:rPr>
      </w:pPr>
      <w:r>
        <w:rPr>
          <w:rFonts w:hint="eastAsia" w:ascii="仿宋_GB2312" w:hAnsi="仿宋_GB2312" w:eastAsia="仿宋_GB2312" w:cs="仿宋_GB2312"/>
          <w:kern w:val="0"/>
          <w:sz w:val="32"/>
          <w:szCs w:val="32"/>
          <w:shd w:val="clear" w:color="auto" w:fill="FFFFFF"/>
          <w:lang w:val="en-US" w:eastAsia="zh-CN" w:bidi="ar-SA"/>
        </w:rPr>
        <w:t>县红十字会按照县财政的要求，认真总结经验，及时上报相关的用款计划，分季度上报相应计划，待财政审核通过后，严格按计划执行，各季度执行情况良好。</w:t>
      </w:r>
    </w:p>
    <w:p w14:paraId="1EBBD0A5">
      <w:pPr>
        <w:keepNext w:val="0"/>
        <w:keepLines w:val="0"/>
        <w:pageBreakBefore w:val="0"/>
        <w:widowControl w:val="0"/>
        <w:numPr>
          <w:ilvl w:val="0"/>
          <w:numId w:val="0"/>
        </w:numPr>
        <w:kinsoku/>
        <w:wordWrap/>
        <w:overflowPunct/>
        <w:topLinePunct w:val="0"/>
        <w:autoSpaceDE/>
        <w:autoSpaceDN/>
        <w:bidi w:val="0"/>
        <w:adjustRightInd w:val="0"/>
        <w:snapToGrid w:val="0"/>
        <w:spacing w:afterAutospacing="0"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eastAsia="zh-CN"/>
        </w:rPr>
      </w:pPr>
      <w:r>
        <w:rPr>
          <w:rFonts w:hint="eastAsia" w:ascii="仿宋_GB2312" w:hAnsi="仿宋_GB2312" w:eastAsia="仿宋_GB2312" w:cs="仿宋_GB2312"/>
          <w:color w:val="000000"/>
          <w:kern w:val="0"/>
          <w:sz w:val="32"/>
          <w:szCs w:val="32"/>
          <w:highlight w:val="none"/>
          <w:shd w:val="clear" w:color="auto" w:fill="FFFFFF"/>
          <w:lang w:val="en-US" w:eastAsia="zh-CN"/>
        </w:rPr>
        <w:t>常年项目绩效分析。</w:t>
      </w:r>
      <w:r>
        <w:rPr>
          <w:rFonts w:hint="eastAsia" w:ascii="仿宋_GB2312" w:hAnsi="仿宋_GB2312" w:eastAsia="仿宋_GB2312" w:cs="仿宋_GB2312"/>
          <w:color w:val="000000"/>
          <w:kern w:val="0"/>
          <w:sz w:val="32"/>
          <w:szCs w:val="32"/>
          <w:highlight w:val="none"/>
          <w:shd w:val="clear" w:color="auto" w:fill="FFFFFF"/>
          <w:lang w:val="zh-CN" w:eastAsia="zh-CN"/>
        </w:rPr>
        <w:t>该类项目总数</w:t>
      </w:r>
      <w:r>
        <w:rPr>
          <w:rFonts w:hint="eastAsia" w:ascii="仿宋_GB2312" w:hAnsi="仿宋_GB2312" w:eastAsia="仿宋_GB2312" w:cs="仿宋_GB2312"/>
          <w:color w:val="000000"/>
          <w:kern w:val="0"/>
          <w:sz w:val="32"/>
          <w:szCs w:val="32"/>
          <w:highlight w:val="none"/>
          <w:shd w:val="clear" w:color="auto" w:fill="FFFFFF"/>
          <w:lang w:val="en-US" w:eastAsia="zh-CN"/>
        </w:rPr>
        <w:t xml:space="preserve"> 18 </w:t>
      </w:r>
      <w:r>
        <w:rPr>
          <w:rFonts w:hint="eastAsia" w:ascii="仿宋_GB2312" w:hAnsi="仿宋_GB2312" w:eastAsia="仿宋_GB2312" w:cs="仿宋_GB2312"/>
          <w:color w:val="000000"/>
          <w:kern w:val="0"/>
          <w:sz w:val="32"/>
          <w:szCs w:val="32"/>
          <w:highlight w:val="none"/>
          <w:shd w:val="clear" w:color="auto" w:fill="FFFFFF"/>
          <w:lang w:val="zh-CN" w:eastAsia="zh-CN"/>
        </w:rPr>
        <w:t>个，涉及预算总金额</w:t>
      </w:r>
      <w:r>
        <w:rPr>
          <w:rFonts w:hint="eastAsia" w:ascii="仿宋_GB2312" w:hAnsi="仿宋_GB2312" w:eastAsia="仿宋_GB2312" w:cs="仿宋_GB2312"/>
          <w:color w:val="000000"/>
          <w:kern w:val="0"/>
          <w:sz w:val="32"/>
          <w:szCs w:val="32"/>
          <w:highlight w:val="none"/>
          <w:shd w:val="clear" w:color="auto" w:fill="FFFFFF"/>
          <w:lang w:val="en-US" w:eastAsia="zh-CN"/>
        </w:rPr>
        <w:t>168.63</w:t>
      </w:r>
      <w:r>
        <w:rPr>
          <w:rFonts w:hint="eastAsia" w:ascii="仿宋_GB2312" w:hAnsi="仿宋_GB2312" w:eastAsia="仿宋_GB2312" w:cs="仿宋_GB2312"/>
          <w:color w:val="000000"/>
          <w:kern w:val="0"/>
          <w:sz w:val="32"/>
          <w:szCs w:val="32"/>
          <w:highlight w:val="none"/>
          <w:shd w:val="clear" w:color="auto" w:fill="FFFFFF"/>
          <w:lang w:val="zh-CN" w:eastAsia="zh-CN"/>
        </w:rPr>
        <w:t>万元，</w:t>
      </w:r>
      <w:r>
        <w:rPr>
          <w:rFonts w:hint="eastAsia" w:ascii="仿宋_GB2312" w:hAnsi="仿宋_GB2312" w:eastAsia="仿宋_GB2312" w:cs="仿宋_GB2312"/>
          <w:color w:val="000000"/>
          <w:kern w:val="0"/>
          <w:sz w:val="32"/>
          <w:szCs w:val="32"/>
          <w:highlight w:val="none"/>
          <w:shd w:val="clear" w:color="auto" w:fill="FFFFFF"/>
          <w:lang w:val="zh-CN"/>
        </w:rPr>
        <w:t>1</w:t>
      </w:r>
      <w:r>
        <w:rPr>
          <w:rFonts w:hint="eastAsia" w:ascii="仿宋_GB2312" w:hAnsi="仿宋_GB2312" w:eastAsia="仿宋_GB2312" w:cs="仿宋_GB2312"/>
          <w:color w:val="000000"/>
          <w:kern w:val="0"/>
          <w:sz w:val="32"/>
          <w:szCs w:val="32"/>
          <w:highlight w:val="none"/>
          <w:shd w:val="clear" w:color="auto" w:fill="FFFFFF"/>
          <w:lang w:val="zh-CN" w:eastAsia="zh-CN"/>
        </w:rPr>
        <w:t>—</w:t>
      </w:r>
      <w:r>
        <w:rPr>
          <w:rFonts w:hint="eastAsia" w:ascii="仿宋_GB2312" w:hAnsi="仿宋_GB2312" w:eastAsia="仿宋_GB2312" w:cs="仿宋_GB2312"/>
          <w:color w:val="000000"/>
          <w:kern w:val="0"/>
          <w:sz w:val="32"/>
          <w:szCs w:val="32"/>
          <w:highlight w:val="none"/>
          <w:shd w:val="clear" w:color="auto" w:fill="FFFFFF"/>
          <w:lang w:val="zh-CN"/>
        </w:rPr>
        <w:t>1</w:t>
      </w:r>
      <w:r>
        <w:rPr>
          <w:rFonts w:hint="eastAsia" w:ascii="仿宋_GB2312" w:hAnsi="仿宋_GB2312" w:eastAsia="仿宋_GB2312" w:cs="仿宋_GB2312"/>
          <w:color w:val="000000"/>
          <w:kern w:val="0"/>
          <w:sz w:val="32"/>
          <w:szCs w:val="32"/>
          <w:highlight w:val="none"/>
          <w:shd w:val="clear" w:color="auto" w:fill="FFFFFF"/>
          <w:lang w:val="en-US" w:eastAsia="zh-CN"/>
        </w:rPr>
        <w:t>2</w:t>
      </w:r>
      <w:r>
        <w:rPr>
          <w:rFonts w:hint="eastAsia" w:ascii="仿宋_GB2312" w:hAnsi="仿宋_GB2312" w:eastAsia="仿宋_GB2312" w:cs="仿宋_GB2312"/>
          <w:color w:val="000000"/>
          <w:kern w:val="0"/>
          <w:sz w:val="32"/>
          <w:szCs w:val="32"/>
          <w:highlight w:val="none"/>
          <w:shd w:val="clear" w:color="auto" w:fill="FFFFFF"/>
          <w:lang w:val="zh-CN"/>
        </w:rPr>
        <w:t>月预算执行总体进度为</w:t>
      </w:r>
      <w:r>
        <w:rPr>
          <w:rFonts w:hint="eastAsia" w:ascii="仿宋_GB2312" w:hAnsi="仿宋_GB2312" w:eastAsia="仿宋_GB2312" w:cs="仿宋_GB2312"/>
          <w:color w:val="000000"/>
          <w:kern w:val="0"/>
          <w:sz w:val="32"/>
          <w:szCs w:val="32"/>
          <w:highlight w:val="none"/>
          <w:shd w:val="clear" w:color="auto" w:fill="FFFFFF"/>
          <w:lang w:val="en-US" w:eastAsia="zh-CN"/>
        </w:rPr>
        <w:t>100</w:t>
      </w:r>
      <w:r>
        <w:rPr>
          <w:rFonts w:hint="eastAsia" w:ascii="仿宋_GB2312" w:hAnsi="仿宋_GB2312" w:eastAsia="仿宋_GB2312" w:cs="仿宋_GB2312"/>
          <w:color w:val="000000"/>
          <w:kern w:val="0"/>
          <w:sz w:val="32"/>
          <w:szCs w:val="32"/>
          <w:highlight w:val="none"/>
          <w:shd w:val="clear" w:color="auto" w:fill="FFFFFF"/>
          <w:lang w:val="zh-CN"/>
        </w:rPr>
        <w:t>%</w:t>
      </w:r>
      <w:r>
        <w:rPr>
          <w:rFonts w:hint="eastAsia" w:ascii="仿宋_GB2312" w:hAnsi="仿宋_GB2312" w:eastAsia="仿宋_GB2312" w:cs="仿宋_GB2312"/>
          <w:color w:val="000000"/>
          <w:kern w:val="0"/>
          <w:sz w:val="32"/>
          <w:szCs w:val="32"/>
          <w:highlight w:val="none"/>
          <w:shd w:val="clear" w:color="auto" w:fill="FFFFFF"/>
          <w:lang w:val="zh-CN" w:eastAsia="zh-CN"/>
        </w:rPr>
        <w:t>。</w:t>
      </w:r>
    </w:p>
    <w:p w14:paraId="0F499C19">
      <w:pPr>
        <w:keepNext w:val="0"/>
        <w:keepLines w:val="0"/>
        <w:pageBreakBefore w:val="0"/>
        <w:widowControl w:val="0"/>
        <w:numPr>
          <w:ilvl w:val="0"/>
          <w:numId w:val="0"/>
        </w:numPr>
        <w:kinsoku/>
        <w:wordWrap/>
        <w:overflowPunct/>
        <w:topLinePunct w:val="0"/>
        <w:autoSpaceDE/>
        <w:autoSpaceDN/>
        <w:bidi w:val="0"/>
        <w:adjustRightInd w:val="0"/>
        <w:snapToGrid w:val="0"/>
        <w:spacing w:afterAutospacing="0"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eastAsia="zh-CN"/>
        </w:rPr>
      </w:pPr>
      <w:r>
        <w:rPr>
          <w:rFonts w:hint="eastAsia" w:ascii="仿宋_GB2312" w:hAnsi="仿宋_GB2312" w:eastAsia="仿宋_GB2312" w:cs="仿宋_GB2312"/>
          <w:color w:val="000000"/>
          <w:kern w:val="0"/>
          <w:sz w:val="32"/>
          <w:szCs w:val="32"/>
          <w:highlight w:val="none"/>
          <w:shd w:val="clear" w:color="auto" w:fill="FFFFFF"/>
          <w:lang w:val="en-US" w:eastAsia="zh-CN"/>
        </w:rPr>
        <w:t>阶段（一次性）项目绩效分析。</w:t>
      </w:r>
      <w:r>
        <w:rPr>
          <w:rFonts w:hint="eastAsia" w:ascii="仿宋_GB2312" w:hAnsi="仿宋_GB2312" w:eastAsia="仿宋_GB2312" w:cs="仿宋_GB2312"/>
          <w:color w:val="000000"/>
          <w:kern w:val="0"/>
          <w:sz w:val="32"/>
          <w:szCs w:val="32"/>
          <w:highlight w:val="none"/>
          <w:shd w:val="clear" w:color="auto" w:fill="FFFFFF"/>
          <w:lang w:val="zh-CN" w:eastAsia="zh-CN"/>
        </w:rPr>
        <w:t>该类项目总数</w:t>
      </w:r>
      <w:r>
        <w:rPr>
          <w:rFonts w:hint="eastAsia" w:ascii="仿宋_GB2312" w:hAnsi="仿宋_GB2312" w:eastAsia="仿宋_GB2312" w:cs="仿宋_GB2312"/>
          <w:color w:val="000000"/>
          <w:kern w:val="0"/>
          <w:sz w:val="32"/>
          <w:szCs w:val="32"/>
          <w:highlight w:val="none"/>
          <w:shd w:val="clear" w:color="auto" w:fill="FFFFFF"/>
          <w:lang w:val="en-US" w:eastAsia="zh-CN"/>
        </w:rPr>
        <w:t>4</w:t>
      </w:r>
      <w:r>
        <w:rPr>
          <w:rFonts w:hint="eastAsia" w:ascii="仿宋_GB2312" w:hAnsi="仿宋_GB2312" w:eastAsia="仿宋_GB2312" w:cs="仿宋_GB2312"/>
          <w:color w:val="000000"/>
          <w:kern w:val="0"/>
          <w:sz w:val="32"/>
          <w:szCs w:val="32"/>
          <w:highlight w:val="none"/>
          <w:shd w:val="clear" w:color="auto" w:fill="FFFFFF"/>
          <w:lang w:val="zh-CN" w:eastAsia="zh-CN"/>
        </w:rPr>
        <w:t>个，涉及预算总金额</w:t>
      </w:r>
      <w:r>
        <w:rPr>
          <w:rFonts w:hint="eastAsia" w:ascii="仿宋_GB2312" w:hAnsi="仿宋_GB2312" w:eastAsia="仿宋_GB2312" w:cs="仿宋_GB2312"/>
          <w:color w:val="000000"/>
          <w:kern w:val="0"/>
          <w:sz w:val="32"/>
          <w:szCs w:val="32"/>
          <w:highlight w:val="none"/>
          <w:shd w:val="clear" w:color="auto" w:fill="FFFFFF"/>
          <w:lang w:val="en-US" w:eastAsia="zh-CN"/>
        </w:rPr>
        <w:t>32.09</w:t>
      </w:r>
      <w:r>
        <w:rPr>
          <w:rFonts w:hint="eastAsia" w:ascii="仿宋_GB2312" w:hAnsi="仿宋_GB2312" w:eastAsia="仿宋_GB2312" w:cs="仿宋_GB2312"/>
          <w:color w:val="000000"/>
          <w:kern w:val="0"/>
          <w:sz w:val="32"/>
          <w:szCs w:val="32"/>
          <w:highlight w:val="none"/>
          <w:shd w:val="clear" w:color="auto" w:fill="FFFFFF"/>
          <w:lang w:val="zh-CN" w:eastAsia="zh-CN"/>
        </w:rPr>
        <w:t>万元，</w:t>
      </w:r>
      <w:r>
        <w:rPr>
          <w:rFonts w:hint="eastAsia" w:ascii="仿宋_GB2312" w:hAnsi="仿宋_GB2312" w:eastAsia="仿宋_GB2312" w:cs="仿宋_GB2312"/>
          <w:color w:val="000000"/>
          <w:kern w:val="0"/>
          <w:sz w:val="32"/>
          <w:szCs w:val="32"/>
          <w:highlight w:val="none"/>
          <w:shd w:val="clear" w:color="auto" w:fill="FFFFFF"/>
          <w:lang w:val="zh-CN"/>
        </w:rPr>
        <w:t>1</w:t>
      </w:r>
      <w:r>
        <w:rPr>
          <w:rFonts w:hint="eastAsia" w:ascii="仿宋_GB2312" w:hAnsi="仿宋_GB2312" w:eastAsia="仿宋_GB2312" w:cs="仿宋_GB2312"/>
          <w:color w:val="000000"/>
          <w:kern w:val="0"/>
          <w:sz w:val="32"/>
          <w:szCs w:val="32"/>
          <w:highlight w:val="none"/>
          <w:shd w:val="clear" w:color="auto" w:fill="FFFFFF"/>
          <w:lang w:val="zh-CN" w:eastAsia="zh-CN"/>
        </w:rPr>
        <w:t>—</w:t>
      </w:r>
      <w:r>
        <w:rPr>
          <w:rFonts w:hint="eastAsia" w:ascii="仿宋_GB2312" w:hAnsi="仿宋_GB2312" w:eastAsia="仿宋_GB2312" w:cs="仿宋_GB2312"/>
          <w:color w:val="000000"/>
          <w:kern w:val="0"/>
          <w:sz w:val="32"/>
          <w:szCs w:val="32"/>
          <w:highlight w:val="none"/>
          <w:shd w:val="clear" w:color="auto" w:fill="FFFFFF"/>
          <w:lang w:val="zh-CN"/>
        </w:rPr>
        <w:t>1</w:t>
      </w:r>
      <w:r>
        <w:rPr>
          <w:rFonts w:hint="eastAsia" w:ascii="仿宋_GB2312" w:hAnsi="仿宋_GB2312" w:eastAsia="仿宋_GB2312" w:cs="仿宋_GB2312"/>
          <w:color w:val="000000"/>
          <w:kern w:val="0"/>
          <w:sz w:val="32"/>
          <w:szCs w:val="32"/>
          <w:highlight w:val="none"/>
          <w:shd w:val="clear" w:color="auto" w:fill="FFFFFF"/>
          <w:lang w:val="en-US" w:eastAsia="zh-CN"/>
        </w:rPr>
        <w:t>2</w:t>
      </w:r>
      <w:r>
        <w:rPr>
          <w:rFonts w:hint="eastAsia" w:ascii="仿宋_GB2312" w:hAnsi="仿宋_GB2312" w:eastAsia="仿宋_GB2312" w:cs="仿宋_GB2312"/>
          <w:color w:val="000000"/>
          <w:kern w:val="0"/>
          <w:sz w:val="32"/>
          <w:szCs w:val="32"/>
          <w:highlight w:val="none"/>
          <w:shd w:val="clear" w:color="auto" w:fill="FFFFFF"/>
          <w:lang w:val="zh-CN"/>
        </w:rPr>
        <w:t>月预算执行总体进度为</w:t>
      </w:r>
      <w:r>
        <w:rPr>
          <w:rFonts w:hint="eastAsia" w:ascii="仿宋_GB2312" w:hAnsi="仿宋_GB2312" w:eastAsia="仿宋_GB2312" w:cs="仿宋_GB2312"/>
          <w:color w:val="000000"/>
          <w:kern w:val="0"/>
          <w:sz w:val="32"/>
          <w:szCs w:val="32"/>
          <w:highlight w:val="none"/>
          <w:shd w:val="clear" w:color="auto" w:fill="FFFFFF"/>
          <w:lang w:val="en-US" w:eastAsia="zh-CN"/>
        </w:rPr>
        <w:t>100</w:t>
      </w:r>
      <w:r>
        <w:rPr>
          <w:rFonts w:hint="eastAsia" w:ascii="仿宋_GB2312" w:hAnsi="仿宋_GB2312" w:eastAsia="仿宋_GB2312" w:cs="仿宋_GB2312"/>
          <w:color w:val="000000"/>
          <w:kern w:val="0"/>
          <w:sz w:val="32"/>
          <w:szCs w:val="32"/>
          <w:highlight w:val="none"/>
          <w:shd w:val="clear" w:color="auto" w:fill="FFFFFF"/>
          <w:lang w:val="zh-CN"/>
        </w:rPr>
        <w:t>%</w:t>
      </w:r>
      <w:r>
        <w:rPr>
          <w:rFonts w:hint="eastAsia" w:ascii="仿宋_GB2312" w:hAnsi="仿宋_GB2312" w:eastAsia="仿宋_GB2312" w:cs="仿宋_GB2312"/>
          <w:color w:val="000000"/>
          <w:kern w:val="0"/>
          <w:sz w:val="32"/>
          <w:szCs w:val="32"/>
          <w:highlight w:val="none"/>
          <w:shd w:val="clear" w:color="auto" w:fill="FFFFFF"/>
          <w:lang w:val="zh-CN" w:eastAsia="zh-CN"/>
        </w:rPr>
        <w:t>。</w:t>
      </w:r>
    </w:p>
    <w:p w14:paraId="634CCE73">
      <w:pPr>
        <w:keepNext w:val="0"/>
        <w:keepLines w:val="0"/>
        <w:pageBreakBefore w:val="0"/>
        <w:widowControl w:val="0"/>
        <w:numPr>
          <w:ilvl w:val="0"/>
          <w:numId w:val="0"/>
        </w:numPr>
        <w:kinsoku/>
        <w:wordWrap/>
        <w:overflowPunct/>
        <w:topLinePunct w:val="0"/>
        <w:autoSpaceDE/>
        <w:autoSpaceDN/>
        <w:bidi w:val="0"/>
        <w:adjustRightInd w:val="0"/>
        <w:snapToGrid w:val="0"/>
        <w:spacing w:afterAutospacing="0"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en-US" w:eastAsia="zh-CN"/>
        </w:rPr>
        <w:t>1.</w:t>
      </w:r>
      <w:r>
        <w:rPr>
          <w:rFonts w:hint="eastAsia" w:ascii="仿宋_GB2312" w:hAnsi="仿宋_GB2312" w:eastAsia="仿宋_GB2312" w:cs="仿宋_GB2312"/>
          <w:color w:val="000000"/>
          <w:kern w:val="0"/>
          <w:sz w:val="32"/>
          <w:szCs w:val="32"/>
          <w:highlight w:val="none"/>
          <w:shd w:val="clear" w:color="auto" w:fill="FFFFFF"/>
          <w:lang w:val="zh-CN"/>
        </w:rPr>
        <w:t>项目决策。</w:t>
      </w:r>
      <w:r>
        <w:rPr>
          <w:rFonts w:hint="eastAsia" w:ascii="仿宋_GB2312" w:hAnsi="仿宋_GB2312" w:eastAsia="仿宋_GB2312" w:cs="仿宋_GB2312"/>
          <w:color w:val="000000"/>
          <w:kern w:val="0"/>
          <w:sz w:val="32"/>
          <w:szCs w:val="32"/>
          <w:highlight w:val="none"/>
          <w:shd w:val="clear" w:color="auto" w:fill="FFFFFF"/>
          <w:lang w:val="en-US" w:eastAsia="zh-CN"/>
        </w:rPr>
        <w:t>严格按照</w:t>
      </w:r>
      <w:r>
        <w:rPr>
          <w:rFonts w:hint="eastAsia" w:ascii="仿宋_GB2312" w:hAnsi="仿宋_GB2312" w:eastAsia="仿宋_GB2312" w:cs="仿宋_GB2312"/>
          <w:color w:val="000000"/>
          <w:kern w:val="0"/>
          <w:sz w:val="32"/>
          <w:szCs w:val="32"/>
          <w:highlight w:val="none"/>
          <w:shd w:val="clear" w:color="auto" w:fill="FFFFFF"/>
          <w:lang w:val="zh-CN"/>
        </w:rPr>
        <w:t>决策程序、目标设置、项目入库</w:t>
      </w:r>
      <w:r>
        <w:rPr>
          <w:rFonts w:hint="eastAsia" w:ascii="仿宋_GB2312" w:hAnsi="仿宋_GB2312" w:eastAsia="仿宋_GB2312" w:cs="仿宋_GB2312"/>
          <w:color w:val="000000"/>
          <w:kern w:val="0"/>
          <w:sz w:val="32"/>
          <w:szCs w:val="32"/>
          <w:highlight w:val="none"/>
          <w:shd w:val="clear" w:color="auto" w:fill="FFFFFF"/>
          <w:lang w:val="en-US" w:eastAsia="zh-CN"/>
        </w:rPr>
        <w:t>要求，开展工作</w:t>
      </w:r>
      <w:r>
        <w:rPr>
          <w:rFonts w:hint="eastAsia" w:ascii="仿宋_GB2312" w:hAnsi="仿宋_GB2312" w:eastAsia="仿宋_GB2312" w:cs="仿宋_GB2312"/>
          <w:color w:val="000000"/>
          <w:kern w:val="0"/>
          <w:sz w:val="32"/>
          <w:szCs w:val="32"/>
          <w:highlight w:val="none"/>
          <w:shd w:val="clear" w:color="auto" w:fill="FFFFFF"/>
          <w:lang w:val="zh-CN"/>
        </w:rPr>
        <w:t>。</w:t>
      </w:r>
    </w:p>
    <w:p w14:paraId="73852C12">
      <w:pPr>
        <w:keepNext w:val="0"/>
        <w:keepLines w:val="0"/>
        <w:pageBreakBefore w:val="0"/>
        <w:widowControl w:val="0"/>
        <w:numPr>
          <w:ilvl w:val="0"/>
          <w:numId w:val="0"/>
        </w:numPr>
        <w:kinsoku/>
        <w:wordWrap/>
        <w:overflowPunct/>
        <w:topLinePunct w:val="0"/>
        <w:autoSpaceDE/>
        <w:autoSpaceDN/>
        <w:bidi w:val="0"/>
        <w:adjustRightInd w:val="0"/>
        <w:snapToGrid w:val="0"/>
        <w:spacing w:afterAutospacing="0"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en-US" w:eastAsia="zh-CN"/>
        </w:rPr>
        <w:t>2.项目执行</w:t>
      </w:r>
      <w:r>
        <w:rPr>
          <w:rFonts w:hint="eastAsia" w:ascii="仿宋_GB2312" w:hAnsi="仿宋_GB2312" w:eastAsia="仿宋_GB2312" w:cs="仿宋_GB2312"/>
          <w:color w:val="000000"/>
          <w:kern w:val="0"/>
          <w:sz w:val="32"/>
          <w:szCs w:val="32"/>
          <w:highlight w:val="none"/>
          <w:shd w:val="clear" w:color="auto" w:fill="FFFFFF"/>
          <w:lang w:val="zh-CN"/>
        </w:rPr>
        <w:t>。</w:t>
      </w:r>
      <w:r>
        <w:rPr>
          <w:rFonts w:hint="eastAsia" w:ascii="仿宋_GB2312" w:hAnsi="仿宋_GB2312" w:eastAsia="仿宋_GB2312" w:cs="仿宋_GB2312"/>
          <w:color w:val="000000"/>
          <w:kern w:val="0"/>
          <w:sz w:val="32"/>
          <w:szCs w:val="32"/>
          <w:highlight w:val="none"/>
          <w:shd w:val="clear" w:color="auto" w:fill="FFFFFF"/>
          <w:lang w:val="en-US" w:eastAsia="zh-CN"/>
        </w:rPr>
        <w:t>执行率100%</w:t>
      </w:r>
      <w:r>
        <w:rPr>
          <w:rFonts w:hint="eastAsia" w:ascii="仿宋_GB2312" w:hAnsi="仿宋_GB2312" w:eastAsia="仿宋_GB2312" w:cs="仿宋_GB2312"/>
          <w:color w:val="000000"/>
          <w:kern w:val="0"/>
          <w:sz w:val="32"/>
          <w:szCs w:val="32"/>
          <w:highlight w:val="none"/>
          <w:shd w:val="clear" w:color="auto" w:fill="FFFFFF"/>
          <w:lang w:val="zh-CN"/>
        </w:rPr>
        <w:t>。</w:t>
      </w:r>
      <w:r>
        <w:rPr>
          <w:rFonts w:hint="eastAsia" w:ascii="仿宋_GB2312" w:hAnsi="仿宋_GB2312" w:eastAsia="仿宋_GB2312" w:cs="仿宋_GB2312"/>
          <w:color w:val="000000"/>
          <w:kern w:val="0"/>
          <w:sz w:val="32"/>
          <w:szCs w:val="32"/>
          <w:highlight w:val="none"/>
          <w:shd w:val="clear" w:color="auto" w:fill="FFFFFF"/>
          <w:lang w:val="en-US" w:eastAsia="zh-CN"/>
        </w:rPr>
        <w:t>3.</w:t>
      </w:r>
      <w:r>
        <w:rPr>
          <w:rFonts w:hint="eastAsia" w:ascii="仿宋_GB2312" w:hAnsi="仿宋_GB2312" w:eastAsia="仿宋_GB2312" w:cs="仿宋_GB2312"/>
          <w:color w:val="000000"/>
          <w:kern w:val="0"/>
          <w:sz w:val="32"/>
          <w:szCs w:val="32"/>
          <w:highlight w:val="none"/>
          <w:shd w:val="clear" w:color="auto" w:fill="FFFFFF"/>
          <w:lang w:val="zh-CN"/>
        </w:rPr>
        <w:t>目标实现。</w:t>
      </w:r>
      <w:r>
        <w:rPr>
          <w:rFonts w:hint="eastAsia" w:ascii="仿宋_GB2312" w:hAnsi="仿宋_GB2312" w:eastAsia="仿宋_GB2312" w:cs="仿宋_GB2312"/>
          <w:color w:val="000000"/>
          <w:kern w:val="0"/>
          <w:sz w:val="32"/>
          <w:szCs w:val="32"/>
          <w:highlight w:val="none"/>
          <w:shd w:val="clear" w:color="auto" w:fill="FFFFFF"/>
          <w:lang w:val="en-US" w:eastAsia="zh-CN"/>
        </w:rPr>
        <w:t>及时足额发放工资、及时足额缴纳养老保险、职业年金、公积金等</w:t>
      </w:r>
      <w:r>
        <w:rPr>
          <w:rFonts w:hint="eastAsia" w:ascii="仿宋_GB2312" w:hAnsi="仿宋_GB2312" w:eastAsia="仿宋_GB2312" w:cs="仿宋_GB2312"/>
          <w:color w:val="000000"/>
          <w:kern w:val="0"/>
          <w:sz w:val="32"/>
          <w:szCs w:val="32"/>
          <w:highlight w:val="none"/>
          <w:shd w:val="clear" w:color="auto" w:fill="FFFFFF"/>
          <w:lang w:val="zh-CN"/>
        </w:rPr>
        <w:t>。</w:t>
      </w:r>
    </w:p>
    <w:p w14:paraId="1BA9BAA7">
      <w:pPr>
        <w:keepNext w:val="0"/>
        <w:keepLines w:val="0"/>
        <w:pageBreakBefore w:val="0"/>
        <w:widowControl/>
        <w:kinsoku/>
        <w:wordWrap/>
        <w:overflowPunct/>
        <w:topLinePunct w:val="0"/>
        <w:autoSpaceDE/>
        <w:autoSpaceDN/>
        <w:bidi w:val="0"/>
        <w:adjustRightInd w:val="0"/>
        <w:snapToGrid w:val="0"/>
        <w:spacing w:afterAutospacing="0" w:line="580" w:lineRule="exact"/>
        <w:ind w:firstLine="643"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en-US" w:eastAsia="zh-CN"/>
        </w:rPr>
      </w:pPr>
      <w:r>
        <w:rPr>
          <w:rFonts w:hint="eastAsia" w:ascii="仿宋_GB2312" w:hAnsi="仿宋_GB2312" w:eastAsia="仿宋_GB2312" w:cs="仿宋_GB2312"/>
          <w:b/>
          <w:bCs/>
          <w:color w:val="000000"/>
          <w:kern w:val="0"/>
          <w:sz w:val="32"/>
          <w:szCs w:val="32"/>
          <w:highlight w:val="none"/>
          <w:shd w:val="clear" w:color="auto" w:fill="FFFFFF"/>
          <w:lang w:val="zh-CN"/>
        </w:rPr>
        <w:t>（三）</w:t>
      </w:r>
      <w:r>
        <w:rPr>
          <w:rFonts w:hint="eastAsia" w:ascii="仿宋_GB2312" w:hAnsi="仿宋_GB2312" w:eastAsia="仿宋_GB2312" w:cs="仿宋_GB2312"/>
          <w:b/>
          <w:bCs/>
          <w:color w:val="000000"/>
          <w:kern w:val="0"/>
          <w:sz w:val="32"/>
          <w:szCs w:val="32"/>
          <w:highlight w:val="none"/>
          <w:shd w:val="clear" w:color="auto" w:fill="FFFFFF"/>
          <w:lang w:val="zh-CN" w:eastAsia="zh-CN"/>
        </w:rPr>
        <w:t>重点领域</w:t>
      </w:r>
      <w:r>
        <w:rPr>
          <w:rFonts w:hint="eastAsia" w:ascii="仿宋_GB2312" w:hAnsi="仿宋_GB2312" w:eastAsia="仿宋_GB2312" w:cs="仿宋_GB2312"/>
          <w:b/>
          <w:bCs/>
          <w:color w:val="000000"/>
          <w:kern w:val="0"/>
          <w:sz w:val="32"/>
          <w:szCs w:val="32"/>
          <w:highlight w:val="none"/>
          <w:shd w:val="clear" w:color="auto" w:fill="FFFFFF"/>
          <w:lang w:val="zh-CN"/>
        </w:rPr>
        <w:t>绩效分析</w:t>
      </w:r>
      <w:r>
        <w:rPr>
          <w:rFonts w:hint="eastAsia" w:ascii="仿宋_GB2312" w:hAnsi="仿宋_GB2312" w:eastAsia="仿宋_GB2312" w:cs="仿宋_GB2312"/>
          <w:b/>
          <w:bCs/>
          <w:color w:val="000000"/>
          <w:kern w:val="0"/>
          <w:sz w:val="32"/>
          <w:szCs w:val="32"/>
          <w:highlight w:val="none"/>
          <w:shd w:val="clear" w:color="auto" w:fill="FFFFFF"/>
          <w:lang w:val="zh-CN" w:eastAsia="zh-CN"/>
        </w:rPr>
        <w:t>。</w:t>
      </w:r>
      <w:r>
        <w:rPr>
          <w:rFonts w:hint="eastAsia" w:ascii="仿宋_GB2312" w:hAnsi="仿宋_GB2312" w:eastAsia="仿宋_GB2312" w:cs="仿宋_GB2312"/>
          <w:sz w:val="32"/>
          <w:szCs w:val="32"/>
          <w:highlight w:val="none"/>
          <w:u w:val="none"/>
          <w:lang w:val="en-US" w:eastAsia="zh-CN"/>
        </w:rPr>
        <w:t>无</w:t>
      </w:r>
    </w:p>
    <w:p w14:paraId="23476D0F">
      <w:pPr>
        <w:keepNext w:val="0"/>
        <w:keepLines w:val="0"/>
        <w:pageBreakBefore w:val="0"/>
        <w:widowControl w:val="0"/>
        <w:numPr>
          <w:ilvl w:val="0"/>
          <w:numId w:val="0"/>
        </w:numPr>
        <w:kinsoku/>
        <w:wordWrap/>
        <w:overflowPunct/>
        <w:topLinePunct w:val="0"/>
        <w:autoSpaceDE/>
        <w:autoSpaceDN/>
        <w:bidi w:val="0"/>
        <w:adjustRightInd w:val="0"/>
        <w:snapToGrid w:val="0"/>
        <w:spacing w:afterAutospacing="0" w:line="580" w:lineRule="exact"/>
        <w:ind w:firstLine="643" w:firstLineChars="200"/>
        <w:contextualSpacing/>
        <w:jc w:val="left"/>
        <w:textAlignment w:val="auto"/>
        <w:outlineLvl w:val="9"/>
        <w:rPr>
          <w:rFonts w:hint="eastAsia" w:ascii="仿宋_GB2312" w:hAnsi="仿宋_GB2312" w:eastAsia="仿宋_GB2312" w:cs="仿宋_GB2312"/>
          <w:b/>
          <w:bCs w:val="0"/>
          <w:sz w:val="32"/>
          <w:szCs w:val="32"/>
        </w:rPr>
      </w:pPr>
      <w:r>
        <w:rPr>
          <w:rFonts w:hint="eastAsia" w:ascii="仿宋_GB2312" w:hAnsi="仿宋_GB2312" w:eastAsia="仿宋_GB2312" w:cs="仿宋_GB2312"/>
          <w:b/>
          <w:bCs/>
          <w:sz w:val="32"/>
          <w:szCs w:val="32"/>
          <w:lang w:val="zh-CN"/>
        </w:rPr>
        <w:t>（四）绩效结果应用情况。</w:t>
      </w:r>
      <w:r>
        <w:rPr>
          <w:rFonts w:hint="eastAsia" w:ascii="仿宋_GB2312" w:hAnsi="仿宋_GB2312" w:eastAsia="仿宋_GB2312" w:cs="仿宋_GB2312"/>
          <w:sz w:val="32"/>
          <w:szCs w:val="32"/>
        </w:rPr>
        <w:t>本年度预算总额</w:t>
      </w:r>
      <w:r>
        <w:rPr>
          <w:rFonts w:hint="eastAsia" w:ascii="仿宋_GB2312" w:hAnsi="仿宋_GB2312" w:eastAsia="仿宋_GB2312" w:cs="仿宋_GB2312"/>
          <w:sz w:val="32"/>
          <w:szCs w:val="32"/>
          <w:lang w:val="en-US" w:eastAsia="zh-CN"/>
        </w:rPr>
        <w:t>168.63</w:t>
      </w:r>
      <w:r>
        <w:rPr>
          <w:rFonts w:hint="eastAsia" w:ascii="仿宋_GB2312" w:hAnsi="仿宋_GB2312" w:eastAsia="仿宋_GB2312" w:cs="仿宋_GB2312"/>
          <w:sz w:val="32"/>
          <w:szCs w:val="32"/>
        </w:rPr>
        <w:t>万元，预算执行率为</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%，整体执行情况良好。总体满意度达到</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资金使用的合法性、合规性、规范性。</w:t>
      </w:r>
    </w:p>
    <w:p w14:paraId="34380CF4">
      <w:pPr>
        <w:keepNext w:val="0"/>
        <w:keepLines w:val="0"/>
        <w:pageBreakBefore w:val="0"/>
        <w:widowControl/>
        <w:kinsoku/>
        <w:wordWrap/>
        <w:overflowPunct/>
        <w:topLinePunct w:val="0"/>
        <w:autoSpaceDE/>
        <w:autoSpaceDN/>
        <w:bidi w:val="0"/>
        <w:adjustRightInd w:val="0"/>
        <w:snapToGrid w:val="0"/>
        <w:spacing w:afterAutospacing="0" w:line="580" w:lineRule="exact"/>
        <w:ind w:firstLine="643"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rPr>
      </w:pPr>
      <w:r>
        <w:rPr>
          <w:rFonts w:hint="eastAsia" w:ascii="仿宋_GB2312" w:hAnsi="仿宋_GB2312" w:eastAsia="仿宋_GB2312" w:cs="仿宋_GB2312"/>
          <w:b/>
          <w:bCs/>
          <w:color w:val="000000"/>
          <w:kern w:val="0"/>
          <w:sz w:val="32"/>
          <w:szCs w:val="32"/>
          <w:highlight w:val="none"/>
          <w:shd w:val="clear" w:color="auto" w:fill="FFFFFF"/>
          <w:lang w:eastAsia="zh-CN"/>
        </w:rPr>
        <w:t>四、</w:t>
      </w:r>
      <w:r>
        <w:rPr>
          <w:rFonts w:hint="eastAsia" w:ascii="仿宋_GB2312" w:hAnsi="仿宋_GB2312" w:eastAsia="仿宋_GB2312" w:cs="仿宋_GB2312"/>
          <w:b/>
          <w:bCs/>
          <w:color w:val="000000"/>
          <w:kern w:val="0"/>
          <w:sz w:val="32"/>
          <w:szCs w:val="32"/>
          <w:highlight w:val="none"/>
          <w:shd w:val="clear" w:color="auto" w:fill="FFFFFF"/>
        </w:rPr>
        <w:t>评价结论及建议</w:t>
      </w:r>
    </w:p>
    <w:p w14:paraId="25119A43">
      <w:pPr>
        <w:keepNext w:val="0"/>
        <w:keepLines w:val="0"/>
        <w:pageBreakBefore w:val="0"/>
        <w:widowControl/>
        <w:kinsoku/>
        <w:wordWrap/>
        <w:overflowPunct/>
        <w:topLinePunct w:val="0"/>
        <w:autoSpaceDE/>
        <w:autoSpaceDN/>
        <w:bidi w:val="0"/>
        <w:adjustRightInd w:val="0"/>
        <w:snapToGrid w:val="0"/>
        <w:spacing w:afterAutospacing="0" w:line="580" w:lineRule="exact"/>
        <w:ind w:firstLine="643" w:firstLineChars="200"/>
        <w:contextualSpacing/>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en-US"/>
        </w:rPr>
      </w:pPr>
      <w:r>
        <w:rPr>
          <w:rFonts w:hint="eastAsia" w:ascii="仿宋_GB2312" w:hAnsi="仿宋_GB2312" w:eastAsia="仿宋_GB2312" w:cs="仿宋_GB2312"/>
          <w:b/>
          <w:bCs/>
          <w:color w:val="000000"/>
          <w:kern w:val="0"/>
          <w:sz w:val="32"/>
          <w:szCs w:val="32"/>
          <w:highlight w:val="none"/>
          <w:shd w:val="clear" w:color="auto" w:fill="FFFFFF"/>
          <w:lang w:val="zh-CN"/>
        </w:rPr>
        <w:t>（一）评价结论。</w:t>
      </w:r>
      <w:r>
        <w:rPr>
          <w:rFonts w:hint="eastAsia" w:ascii="仿宋_GB2312" w:hAnsi="仿宋_GB2312" w:eastAsia="仿宋_GB2312" w:cs="仿宋_GB2312"/>
          <w:b w:val="0"/>
          <w:bCs w:val="0"/>
          <w:kern w:val="0"/>
          <w:position w:val="0"/>
          <w:sz w:val="32"/>
          <w:szCs w:val="32"/>
          <w:highlight w:val="none"/>
          <w:lang w:val="en-US" w:eastAsia="zh-CN" w:bidi="ar-SA"/>
        </w:rPr>
        <w:t>自评得分87分。</w:t>
      </w:r>
    </w:p>
    <w:p w14:paraId="75248F17">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highlight w:val="none"/>
          <w:shd w:val="clear" w:color="auto" w:fill="FFFFFF"/>
          <w:lang w:val="zh-CN"/>
        </w:rPr>
        <w:t>（二）存在问题。</w:t>
      </w:r>
    </w:p>
    <w:p w14:paraId="00E02BF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个别</w:t>
      </w:r>
      <w:r>
        <w:rPr>
          <w:rFonts w:hint="eastAsia" w:ascii="仿宋_GB2312" w:hAnsi="仿宋_GB2312" w:eastAsia="仿宋_GB2312" w:cs="仿宋_GB2312"/>
          <w:sz w:val="32"/>
          <w:szCs w:val="32"/>
        </w:rPr>
        <w:t>项目进展缓慢，影响绩效目标实现。改进措施：加强项目管理，优化资源配置，制定详细的时间表和</w:t>
      </w:r>
      <w:r>
        <w:rPr>
          <w:rFonts w:hint="eastAsia" w:ascii="仿宋_GB2312" w:hAnsi="仿宋_GB2312" w:eastAsia="仿宋_GB2312" w:cs="仿宋_GB2312"/>
          <w:sz w:val="32"/>
          <w:szCs w:val="32"/>
          <w:lang w:val="en-US" w:eastAsia="zh-CN"/>
        </w:rPr>
        <w:t>支付</w:t>
      </w:r>
      <w:r>
        <w:rPr>
          <w:rFonts w:hint="eastAsia" w:ascii="仿宋_GB2312" w:hAnsi="仿宋_GB2312" w:eastAsia="仿宋_GB2312" w:cs="仿宋_GB2312"/>
          <w:sz w:val="32"/>
          <w:szCs w:val="32"/>
        </w:rPr>
        <w:t>计划。</w:t>
      </w:r>
    </w:p>
    <w:p w14:paraId="2965F811">
      <w:pPr>
        <w:ind w:firstLine="643"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b/>
          <w:bCs/>
          <w:color w:val="000000"/>
          <w:kern w:val="0"/>
          <w:sz w:val="32"/>
          <w:szCs w:val="32"/>
          <w:highlight w:val="none"/>
          <w:shd w:val="clear" w:color="auto" w:fill="FFFFFF"/>
          <w:lang w:val="zh-CN" w:eastAsia="zh-CN"/>
        </w:rPr>
        <w:t>（三）改进建议。</w:t>
      </w:r>
      <w:r>
        <w:rPr>
          <w:rFonts w:hint="eastAsia" w:ascii="仿宋_GB2312" w:hAnsi="仿宋_GB2312" w:eastAsia="仿宋_GB2312" w:cs="仿宋_GB2312"/>
          <w:sz w:val="32"/>
          <w:szCs w:val="32"/>
        </w:rPr>
        <w:t>综上所述，本部门在过去一年的预算绩效管理工作中取得了一定的成绩，但也存在一些不足。未来，我们将继续深化预算绩效改革，加强预算执行的监督与管理，提高资金使用效益，确保各项预算目标顺利实现。同时，我们将积极借鉴</w:t>
      </w:r>
      <w:r>
        <w:rPr>
          <w:rFonts w:hint="eastAsia" w:ascii="仿宋_GB2312" w:hAnsi="仿宋_GB2312" w:eastAsia="仿宋_GB2312" w:cs="仿宋_GB2312"/>
          <w:sz w:val="32"/>
          <w:szCs w:val="32"/>
          <w:lang w:val="en-US" w:eastAsia="zh-CN"/>
        </w:rPr>
        <w:t>其他单位</w:t>
      </w:r>
      <w:r>
        <w:rPr>
          <w:rFonts w:hint="eastAsia" w:ascii="仿宋_GB2312" w:hAnsi="仿宋_GB2312" w:eastAsia="仿宋_GB2312" w:cs="仿宋_GB2312"/>
          <w:sz w:val="32"/>
          <w:szCs w:val="32"/>
        </w:rPr>
        <w:t>先进经验，不断完善预算绩效评价体系，推动</w:t>
      </w:r>
      <w:r>
        <w:rPr>
          <w:rFonts w:hint="eastAsia" w:ascii="仿宋_GB2312" w:hAnsi="仿宋_GB2312" w:eastAsia="仿宋_GB2312" w:cs="仿宋_GB2312"/>
          <w:sz w:val="32"/>
          <w:szCs w:val="32"/>
          <w:lang w:val="en-US" w:eastAsia="zh-CN"/>
        </w:rPr>
        <w:t>红十会</w:t>
      </w:r>
      <w:r>
        <w:rPr>
          <w:rFonts w:hint="eastAsia" w:ascii="仿宋_GB2312" w:hAnsi="仿宋_GB2312" w:eastAsia="仿宋_GB2312" w:cs="仿宋_GB2312"/>
          <w:sz w:val="32"/>
          <w:szCs w:val="32"/>
        </w:rPr>
        <w:t>工作再上新台阶。</w:t>
      </w:r>
    </w:p>
    <w:p w14:paraId="3E3CF130">
      <w:pPr>
        <w:keepNext w:val="0"/>
        <w:keepLines w:val="0"/>
        <w:pageBreakBefore w:val="0"/>
        <w:widowControl w:val="0"/>
        <w:kinsoku/>
        <w:wordWrap/>
        <w:overflowPunct/>
        <w:topLinePunct w:val="0"/>
        <w:autoSpaceDE/>
        <w:autoSpaceDN/>
        <w:bidi w:val="0"/>
        <w:spacing w:afterAutospacing="0" w:line="580" w:lineRule="exact"/>
        <w:ind w:left="0" w:right="0" w:firstLine="640" w:firstLineChars="200"/>
        <w:jc w:val="both"/>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附表：</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val="zh-CN"/>
        </w:rPr>
        <w:t>预算项目支出绩效自评表（2023年度）</w:t>
      </w:r>
    </w:p>
    <w:p w14:paraId="5099B4D0">
      <w:pPr>
        <w:keepNext w:val="0"/>
        <w:keepLines w:val="0"/>
        <w:pageBreakBefore w:val="0"/>
        <w:widowControl w:val="0"/>
        <w:kinsoku/>
        <w:wordWrap/>
        <w:overflowPunct/>
        <w:topLinePunct w:val="0"/>
        <w:autoSpaceDE/>
        <w:autoSpaceDN/>
        <w:bidi w:val="0"/>
        <w:spacing w:afterAutospacing="0" w:line="580" w:lineRule="exact"/>
        <w:ind w:left="0" w:right="0" w:firstLine="640" w:firstLineChars="200"/>
        <w:jc w:val="both"/>
        <w:textAlignment w:val="auto"/>
        <w:rPr>
          <w:rFonts w:hint="eastAsia" w:ascii="仿宋_GB2312" w:hAnsi="仿宋_GB2312" w:eastAsia="仿宋_GB2312" w:cs="仿宋_GB2312"/>
          <w:sz w:val="32"/>
          <w:szCs w:val="32"/>
          <w:lang w:val="zh-CN"/>
        </w:rPr>
      </w:pPr>
    </w:p>
    <w:p w14:paraId="652DAC8A">
      <w:pPr>
        <w:keepNext w:val="0"/>
        <w:keepLines w:val="0"/>
        <w:pageBreakBefore w:val="0"/>
        <w:widowControl w:val="0"/>
        <w:kinsoku/>
        <w:wordWrap/>
        <w:overflowPunct/>
        <w:topLinePunct w:val="0"/>
        <w:autoSpaceDE/>
        <w:autoSpaceDN/>
        <w:bidi w:val="0"/>
        <w:spacing w:afterAutospacing="0" w:line="580" w:lineRule="exact"/>
        <w:ind w:left="0" w:right="0" w:firstLine="640" w:firstLineChars="200"/>
        <w:jc w:val="both"/>
        <w:textAlignment w:val="auto"/>
        <w:rPr>
          <w:rFonts w:hint="eastAsia" w:ascii="仿宋_GB2312" w:hAnsi="仿宋_GB2312" w:eastAsia="仿宋_GB2312" w:cs="仿宋_GB2312"/>
          <w:sz w:val="32"/>
          <w:szCs w:val="32"/>
          <w:lang w:val="zh-CN"/>
        </w:rPr>
      </w:pPr>
    </w:p>
    <w:p w14:paraId="2D79DE69">
      <w:pPr>
        <w:pageBreakBefore w:val="0"/>
        <w:widowControl w:val="0"/>
        <w:kinsoku/>
        <w:wordWrap/>
        <w:overflowPunct/>
        <w:topLinePunct w:val="0"/>
        <w:bidi w:val="0"/>
        <w:spacing w:line="580" w:lineRule="exact"/>
        <w:ind w:right="0"/>
        <w:jc w:val="both"/>
        <w:textAlignment w:val="auto"/>
        <w:rPr>
          <w:rFonts w:eastAsia="仿宋_GB2312"/>
          <w:sz w:val="32"/>
          <w:szCs w:val="32"/>
          <w:lang w:val="zh-CN"/>
        </w:rPr>
      </w:pPr>
    </w:p>
    <w:p w14:paraId="1D61B34E">
      <w:pPr>
        <w:pStyle w:val="2"/>
        <w:pageBreakBefore w:val="0"/>
        <w:widowControl w:val="0"/>
        <w:kinsoku/>
        <w:wordWrap/>
        <w:overflowPunct/>
        <w:topLinePunct w:val="0"/>
        <w:bidi w:val="0"/>
        <w:spacing w:before="0" w:after="0" w:line="580" w:lineRule="exact"/>
        <w:ind w:left="0" w:right="0" w:firstLine="883" w:firstLineChars="200"/>
        <w:jc w:val="both"/>
        <w:textAlignment w:val="auto"/>
        <w:rPr>
          <w:rFonts w:ascii="黑体" w:hAnsi="黑体" w:eastAsia="黑体"/>
        </w:rPr>
      </w:pPr>
      <w:r>
        <w:rPr>
          <w:rFonts w:hint="eastAsia" w:ascii="黑体" w:hAnsi="黑体" w:eastAsia="黑体"/>
        </w:rPr>
        <w:t>第五部分 附表</w:t>
      </w:r>
    </w:p>
    <w:p w14:paraId="0A9DE61D">
      <w:pPr>
        <w:pageBreakBefore w:val="0"/>
        <w:widowControl w:val="0"/>
        <w:kinsoku/>
        <w:wordWrap/>
        <w:overflowPunct/>
        <w:topLinePunct w:val="0"/>
        <w:bidi w:val="0"/>
        <w:spacing w:line="580" w:lineRule="exact"/>
        <w:ind w:left="0" w:right="0" w:firstLine="640" w:firstLineChars="200"/>
        <w:jc w:val="both"/>
        <w:textAlignment w:val="auto"/>
        <w:rPr>
          <w:rFonts w:ascii="仿宋" w:hAnsi="仿宋" w:eastAsia="仿宋"/>
          <w:sz w:val="32"/>
          <w:szCs w:val="32"/>
        </w:rPr>
      </w:pPr>
      <w:r>
        <w:rPr>
          <w:rFonts w:hint="eastAsia" w:ascii="仿宋" w:hAnsi="仿宋" w:eastAsia="仿宋"/>
          <w:sz w:val="32"/>
          <w:szCs w:val="32"/>
        </w:rPr>
        <w:t>一、收入支出决算总表</w:t>
      </w:r>
    </w:p>
    <w:p w14:paraId="78358A8E">
      <w:pPr>
        <w:pageBreakBefore w:val="0"/>
        <w:widowControl w:val="0"/>
        <w:kinsoku/>
        <w:wordWrap/>
        <w:overflowPunct/>
        <w:topLinePunct w:val="0"/>
        <w:bidi w:val="0"/>
        <w:spacing w:line="580" w:lineRule="exact"/>
        <w:ind w:left="0" w:right="0" w:firstLine="640" w:firstLineChars="200"/>
        <w:jc w:val="both"/>
        <w:textAlignment w:val="auto"/>
        <w:rPr>
          <w:rFonts w:ascii="仿宋" w:hAnsi="仿宋" w:eastAsia="仿宋"/>
          <w:sz w:val="32"/>
          <w:szCs w:val="32"/>
        </w:rPr>
      </w:pPr>
      <w:r>
        <w:rPr>
          <w:rFonts w:hint="eastAsia" w:ascii="仿宋" w:hAnsi="仿宋" w:eastAsia="仿宋"/>
          <w:sz w:val="32"/>
          <w:szCs w:val="32"/>
        </w:rPr>
        <w:t>二、收入决算表</w:t>
      </w:r>
    </w:p>
    <w:p w14:paraId="30B9246A">
      <w:pPr>
        <w:pageBreakBefore w:val="0"/>
        <w:widowControl w:val="0"/>
        <w:kinsoku/>
        <w:wordWrap/>
        <w:overflowPunct/>
        <w:topLinePunct w:val="0"/>
        <w:bidi w:val="0"/>
        <w:spacing w:line="580" w:lineRule="exact"/>
        <w:ind w:left="0" w:right="0" w:firstLine="640" w:firstLineChars="200"/>
        <w:jc w:val="both"/>
        <w:textAlignment w:val="auto"/>
        <w:rPr>
          <w:rFonts w:ascii="仿宋" w:hAnsi="仿宋" w:eastAsia="仿宋"/>
          <w:sz w:val="32"/>
          <w:szCs w:val="32"/>
        </w:rPr>
      </w:pPr>
      <w:r>
        <w:rPr>
          <w:rFonts w:hint="eastAsia" w:ascii="仿宋" w:hAnsi="仿宋" w:eastAsia="仿宋"/>
          <w:sz w:val="32"/>
          <w:szCs w:val="32"/>
        </w:rPr>
        <w:t>三、支出决算表</w:t>
      </w:r>
    </w:p>
    <w:p w14:paraId="3B04E76B">
      <w:pPr>
        <w:pageBreakBefore w:val="0"/>
        <w:widowControl w:val="0"/>
        <w:kinsoku/>
        <w:wordWrap/>
        <w:overflowPunct/>
        <w:topLinePunct w:val="0"/>
        <w:bidi w:val="0"/>
        <w:spacing w:line="580" w:lineRule="exact"/>
        <w:ind w:left="0" w:right="0" w:firstLine="640" w:firstLineChars="200"/>
        <w:jc w:val="both"/>
        <w:textAlignment w:val="auto"/>
        <w:rPr>
          <w:rFonts w:ascii="仿宋" w:hAnsi="仿宋" w:eastAsia="仿宋"/>
          <w:sz w:val="32"/>
          <w:szCs w:val="32"/>
        </w:rPr>
      </w:pPr>
      <w:r>
        <w:rPr>
          <w:rFonts w:hint="eastAsia" w:ascii="仿宋" w:hAnsi="仿宋" w:eastAsia="仿宋"/>
          <w:sz w:val="32"/>
          <w:szCs w:val="32"/>
        </w:rPr>
        <w:t>四、财政拨款收入支出决算总表</w:t>
      </w:r>
    </w:p>
    <w:p w14:paraId="2EB48F16">
      <w:pPr>
        <w:pageBreakBefore w:val="0"/>
        <w:widowControl w:val="0"/>
        <w:kinsoku/>
        <w:wordWrap/>
        <w:overflowPunct/>
        <w:topLinePunct w:val="0"/>
        <w:bidi w:val="0"/>
        <w:spacing w:line="580" w:lineRule="exact"/>
        <w:ind w:left="0" w:right="0" w:firstLine="640" w:firstLineChars="200"/>
        <w:jc w:val="both"/>
        <w:textAlignment w:val="auto"/>
        <w:rPr>
          <w:rFonts w:ascii="仿宋" w:hAnsi="仿宋" w:eastAsia="仿宋"/>
          <w:sz w:val="32"/>
          <w:szCs w:val="32"/>
        </w:rPr>
      </w:pPr>
      <w:r>
        <w:rPr>
          <w:rFonts w:hint="eastAsia" w:ascii="仿宋" w:hAnsi="仿宋" w:eastAsia="仿宋"/>
          <w:sz w:val="32"/>
          <w:szCs w:val="32"/>
        </w:rPr>
        <w:t>五、财政拨款支出决算明细表</w:t>
      </w:r>
    </w:p>
    <w:p w14:paraId="1C0BDCE8">
      <w:pPr>
        <w:pageBreakBefore w:val="0"/>
        <w:widowControl w:val="0"/>
        <w:kinsoku/>
        <w:wordWrap/>
        <w:overflowPunct/>
        <w:topLinePunct w:val="0"/>
        <w:bidi w:val="0"/>
        <w:spacing w:line="580" w:lineRule="exact"/>
        <w:ind w:left="0" w:right="0" w:firstLine="640" w:firstLineChars="200"/>
        <w:jc w:val="both"/>
        <w:textAlignment w:val="auto"/>
        <w:rPr>
          <w:rFonts w:ascii="仿宋" w:hAnsi="仿宋" w:eastAsia="仿宋"/>
          <w:sz w:val="32"/>
          <w:szCs w:val="32"/>
        </w:rPr>
      </w:pPr>
      <w:r>
        <w:rPr>
          <w:rFonts w:hint="eastAsia" w:ascii="仿宋" w:hAnsi="仿宋" w:eastAsia="仿宋"/>
          <w:sz w:val="32"/>
          <w:szCs w:val="32"/>
        </w:rPr>
        <w:t>六、一般公共预算财政拨款支出决算表</w:t>
      </w:r>
    </w:p>
    <w:p w14:paraId="788C4CE6">
      <w:pPr>
        <w:pageBreakBefore w:val="0"/>
        <w:widowControl w:val="0"/>
        <w:kinsoku/>
        <w:wordWrap/>
        <w:overflowPunct/>
        <w:topLinePunct w:val="0"/>
        <w:bidi w:val="0"/>
        <w:spacing w:line="580" w:lineRule="exact"/>
        <w:ind w:left="0" w:right="0" w:firstLine="640" w:firstLineChars="200"/>
        <w:jc w:val="both"/>
        <w:textAlignment w:val="auto"/>
        <w:rPr>
          <w:rFonts w:ascii="仿宋" w:hAnsi="仿宋" w:eastAsia="仿宋"/>
          <w:sz w:val="32"/>
          <w:szCs w:val="32"/>
        </w:rPr>
      </w:pPr>
      <w:r>
        <w:rPr>
          <w:rFonts w:hint="eastAsia" w:ascii="仿宋" w:hAnsi="仿宋" w:eastAsia="仿宋"/>
          <w:sz w:val="32"/>
          <w:szCs w:val="32"/>
        </w:rPr>
        <w:t>七、一般公共预算财政拨款支出决算明细表</w:t>
      </w:r>
    </w:p>
    <w:p w14:paraId="690D9F67">
      <w:pPr>
        <w:pageBreakBefore w:val="0"/>
        <w:widowControl w:val="0"/>
        <w:kinsoku/>
        <w:wordWrap/>
        <w:overflowPunct/>
        <w:topLinePunct w:val="0"/>
        <w:bidi w:val="0"/>
        <w:spacing w:line="580" w:lineRule="exact"/>
        <w:ind w:left="0" w:right="0" w:firstLine="640" w:firstLineChars="200"/>
        <w:jc w:val="both"/>
        <w:textAlignment w:val="auto"/>
        <w:rPr>
          <w:rFonts w:ascii="仿宋" w:hAnsi="仿宋" w:eastAsia="仿宋"/>
          <w:sz w:val="32"/>
          <w:szCs w:val="32"/>
        </w:rPr>
      </w:pPr>
      <w:r>
        <w:rPr>
          <w:rFonts w:hint="eastAsia" w:ascii="仿宋" w:hAnsi="仿宋" w:eastAsia="仿宋"/>
          <w:sz w:val="32"/>
          <w:szCs w:val="32"/>
        </w:rPr>
        <w:t>八、一般公共预算财政拨款基本支出决算表</w:t>
      </w:r>
    </w:p>
    <w:p w14:paraId="1F95C324">
      <w:pPr>
        <w:pageBreakBefore w:val="0"/>
        <w:widowControl w:val="0"/>
        <w:kinsoku/>
        <w:wordWrap/>
        <w:overflowPunct/>
        <w:topLinePunct w:val="0"/>
        <w:bidi w:val="0"/>
        <w:spacing w:line="580" w:lineRule="exact"/>
        <w:ind w:left="0" w:right="0" w:firstLine="640" w:firstLineChars="200"/>
        <w:jc w:val="both"/>
        <w:textAlignment w:val="auto"/>
        <w:rPr>
          <w:rFonts w:ascii="仿宋" w:hAnsi="仿宋" w:eastAsia="仿宋"/>
          <w:sz w:val="32"/>
          <w:szCs w:val="32"/>
        </w:rPr>
      </w:pPr>
      <w:r>
        <w:rPr>
          <w:rFonts w:hint="eastAsia" w:ascii="仿宋" w:hAnsi="仿宋" w:eastAsia="仿宋"/>
          <w:sz w:val="32"/>
          <w:szCs w:val="32"/>
        </w:rPr>
        <w:t>九、一般公共预算财政拨款项目支出决算表</w:t>
      </w:r>
    </w:p>
    <w:p w14:paraId="5F6C24ED">
      <w:pPr>
        <w:pageBreakBefore w:val="0"/>
        <w:widowControl w:val="0"/>
        <w:kinsoku/>
        <w:wordWrap/>
        <w:overflowPunct/>
        <w:topLinePunct w:val="0"/>
        <w:bidi w:val="0"/>
        <w:spacing w:line="580" w:lineRule="exact"/>
        <w:ind w:left="0" w:right="0" w:firstLine="640" w:firstLineChars="200"/>
        <w:jc w:val="both"/>
        <w:textAlignment w:val="auto"/>
        <w:rPr>
          <w:rFonts w:ascii="仿宋" w:hAnsi="仿宋" w:eastAsia="仿宋"/>
          <w:sz w:val="32"/>
          <w:szCs w:val="32"/>
        </w:rPr>
      </w:pPr>
      <w:r>
        <w:rPr>
          <w:rFonts w:hint="eastAsia" w:ascii="仿宋" w:hAnsi="仿宋" w:eastAsia="仿宋"/>
          <w:sz w:val="32"/>
          <w:szCs w:val="32"/>
        </w:rPr>
        <w:t>十、政府性基金预算财政拨款收入支出决算表</w:t>
      </w:r>
    </w:p>
    <w:p w14:paraId="49F2AB36">
      <w:pPr>
        <w:pageBreakBefore w:val="0"/>
        <w:widowControl w:val="0"/>
        <w:kinsoku/>
        <w:wordWrap/>
        <w:overflowPunct/>
        <w:topLinePunct w:val="0"/>
        <w:bidi w:val="0"/>
        <w:spacing w:line="580" w:lineRule="exact"/>
        <w:ind w:left="0" w:right="0" w:firstLine="640" w:firstLineChars="200"/>
        <w:jc w:val="both"/>
        <w:textAlignment w:val="auto"/>
        <w:rPr>
          <w:rFonts w:ascii="仿宋" w:hAnsi="仿宋" w:eastAsia="仿宋"/>
          <w:sz w:val="32"/>
          <w:szCs w:val="32"/>
        </w:rPr>
      </w:pPr>
      <w:r>
        <w:rPr>
          <w:rFonts w:hint="eastAsia" w:ascii="仿宋" w:hAnsi="仿宋" w:eastAsia="仿宋"/>
          <w:sz w:val="32"/>
          <w:szCs w:val="32"/>
        </w:rPr>
        <w:t>十一、国有资本经营预算财政拨款收入支出决算表</w:t>
      </w:r>
    </w:p>
    <w:p w14:paraId="4BFE65AA">
      <w:pPr>
        <w:pageBreakBefore w:val="0"/>
        <w:widowControl w:val="0"/>
        <w:kinsoku/>
        <w:wordWrap/>
        <w:overflowPunct/>
        <w:topLinePunct w:val="0"/>
        <w:bidi w:val="0"/>
        <w:spacing w:line="580" w:lineRule="exact"/>
        <w:ind w:left="0" w:right="0" w:firstLine="640" w:firstLineChars="200"/>
        <w:jc w:val="both"/>
        <w:textAlignment w:val="auto"/>
        <w:rPr>
          <w:rFonts w:ascii="仿宋" w:hAnsi="仿宋" w:eastAsia="仿宋"/>
          <w:sz w:val="32"/>
          <w:szCs w:val="32"/>
        </w:rPr>
      </w:pPr>
      <w:r>
        <w:rPr>
          <w:rFonts w:hint="eastAsia" w:ascii="仿宋" w:hAnsi="仿宋" w:eastAsia="仿宋"/>
          <w:sz w:val="32"/>
          <w:szCs w:val="32"/>
        </w:rPr>
        <w:t>十二、国有资本经营预算财政拨款支出决算表</w:t>
      </w:r>
    </w:p>
    <w:p w14:paraId="1890C351">
      <w:pPr>
        <w:pageBreakBefore w:val="0"/>
        <w:widowControl w:val="0"/>
        <w:kinsoku/>
        <w:wordWrap/>
        <w:overflowPunct/>
        <w:topLinePunct w:val="0"/>
        <w:bidi w:val="0"/>
        <w:spacing w:line="580" w:lineRule="exact"/>
        <w:ind w:left="0" w:right="0" w:firstLine="640" w:firstLineChars="200"/>
        <w:jc w:val="both"/>
        <w:textAlignment w:val="auto"/>
        <w:rPr>
          <w:rFonts w:ascii="仿宋" w:hAnsi="仿宋" w:eastAsia="仿宋"/>
          <w:sz w:val="32"/>
          <w:szCs w:val="32"/>
        </w:rPr>
      </w:pPr>
      <w:r>
        <w:rPr>
          <w:rFonts w:hint="eastAsia" w:ascii="仿宋" w:hAnsi="仿宋" w:eastAsia="仿宋"/>
          <w:sz w:val="32"/>
          <w:szCs w:val="32"/>
        </w:rPr>
        <w:t>十三、财政拨款“三公”经费支出决算表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cript"/>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0253E474">
        <w:pPr>
          <w:pStyle w:val="9"/>
          <w:jc w:val="center"/>
        </w:pPr>
        <w:r>
          <w:fldChar w:fldCharType="begin"/>
        </w:r>
        <w:r>
          <w:instrText xml:space="preserve">PAGE   \* MERGEFORMAT</w:instrText>
        </w:r>
        <w:r>
          <w:fldChar w:fldCharType="separate"/>
        </w:r>
        <w:r>
          <w:rPr>
            <w:lang w:val="zh-CN"/>
          </w:rPr>
          <w:t>23</w:t>
        </w:r>
        <w:r>
          <w:fldChar w:fldCharType="end"/>
        </w:r>
      </w:p>
    </w:sdtContent>
  </w:sdt>
  <w:p w14:paraId="3508F79B">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18978">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493231"/>
    <w:multiLevelType w:val="singleLevel"/>
    <w:tmpl w:val="B0493231"/>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kMzliNmYxZjgxOWRkOWQyZjYzOTE3OWM2Mjg4NjkifQ=="/>
  </w:docVars>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2FEBE30"/>
    <w:rsid w:val="036F8141"/>
    <w:rsid w:val="066E0107"/>
    <w:rsid w:val="07996F6E"/>
    <w:rsid w:val="07DFD8BA"/>
    <w:rsid w:val="0A2032A3"/>
    <w:rsid w:val="0BF03C6D"/>
    <w:rsid w:val="0D35B1ED"/>
    <w:rsid w:val="0E7ED1F5"/>
    <w:rsid w:val="0F98263C"/>
    <w:rsid w:val="101860EC"/>
    <w:rsid w:val="10C055FF"/>
    <w:rsid w:val="118107EC"/>
    <w:rsid w:val="12064AFA"/>
    <w:rsid w:val="13D50BC4"/>
    <w:rsid w:val="13F5616D"/>
    <w:rsid w:val="16BB723D"/>
    <w:rsid w:val="17F9714D"/>
    <w:rsid w:val="1918F934"/>
    <w:rsid w:val="1BE8440E"/>
    <w:rsid w:val="1D155CEE"/>
    <w:rsid w:val="1DFBC4B3"/>
    <w:rsid w:val="1E740ACF"/>
    <w:rsid w:val="1F19C781"/>
    <w:rsid w:val="1F33FCE5"/>
    <w:rsid w:val="1F7F7398"/>
    <w:rsid w:val="1FD2DB6F"/>
    <w:rsid w:val="1FF35744"/>
    <w:rsid w:val="1FF6BC77"/>
    <w:rsid w:val="1FF9236D"/>
    <w:rsid w:val="20D50E4F"/>
    <w:rsid w:val="20DA5ACF"/>
    <w:rsid w:val="2333840E"/>
    <w:rsid w:val="23860B96"/>
    <w:rsid w:val="240371BF"/>
    <w:rsid w:val="257C638F"/>
    <w:rsid w:val="29FD04D3"/>
    <w:rsid w:val="2BFF7BC6"/>
    <w:rsid w:val="2C8A61B5"/>
    <w:rsid w:val="2CD59C95"/>
    <w:rsid w:val="2DF04E50"/>
    <w:rsid w:val="2EFD05E5"/>
    <w:rsid w:val="2F040D46"/>
    <w:rsid w:val="2F4F95CE"/>
    <w:rsid w:val="2FACAFDD"/>
    <w:rsid w:val="2FAE5751"/>
    <w:rsid w:val="2FB1A395"/>
    <w:rsid w:val="2FCF0B76"/>
    <w:rsid w:val="2FD9A7D8"/>
    <w:rsid w:val="319F7F4E"/>
    <w:rsid w:val="3304709D"/>
    <w:rsid w:val="36AA5135"/>
    <w:rsid w:val="36BE0DA7"/>
    <w:rsid w:val="376B6AA6"/>
    <w:rsid w:val="376D39B2"/>
    <w:rsid w:val="37E16F03"/>
    <w:rsid w:val="37F53A3B"/>
    <w:rsid w:val="38D469F0"/>
    <w:rsid w:val="38F78389"/>
    <w:rsid w:val="397BAF1F"/>
    <w:rsid w:val="39E7B272"/>
    <w:rsid w:val="39F7642F"/>
    <w:rsid w:val="39FF7B37"/>
    <w:rsid w:val="3A204518"/>
    <w:rsid w:val="3AB79AF3"/>
    <w:rsid w:val="3AFDCB77"/>
    <w:rsid w:val="3B7EF35A"/>
    <w:rsid w:val="3B9FDB6C"/>
    <w:rsid w:val="3BF5BC2F"/>
    <w:rsid w:val="3BF7C23A"/>
    <w:rsid w:val="3BFF223E"/>
    <w:rsid w:val="3C6EC0A1"/>
    <w:rsid w:val="3CDB0824"/>
    <w:rsid w:val="3CEBA265"/>
    <w:rsid w:val="3D6A7F9F"/>
    <w:rsid w:val="3D7E7F4D"/>
    <w:rsid w:val="3D98207C"/>
    <w:rsid w:val="3D9CF30A"/>
    <w:rsid w:val="3DFF5A3E"/>
    <w:rsid w:val="3E78745D"/>
    <w:rsid w:val="3EEE77E9"/>
    <w:rsid w:val="3F394AF5"/>
    <w:rsid w:val="3FBE5714"/>
    <w:rsid w:val="3FDD8615"/>
    <w:rsid w:val="3FDFB2FF"/>
    <w:rsid w:val="3FF4CAE0"/>
    <w:rsid w:val="3FF75FAF"/>
    <w:rsid w:val="3FF7B227"/>
    <w:rsid w:val="44E268DA"/>
    <w:rsid w:val="457F4F6B"/>
    <w:rsid w:val="4737FB58"/>
    <w:rsid w:val="47977F99"/>
    <w:rsid w:val="47ECCB02"/>
    <w:rsid w:val="47FA6A3F"/>
    <w:rsid w:val="49D7AE48"/>
    <w:rsid w:val="4A3F6C7E"/>
    <w:rsid w:val="4A627F82"/>
    <w:rsid w:val="4B0E749A"/>
    <w:rsid w:val="4B4F25DA"/>
    <w:rsid w:val="4BBB4781"/>
    <w:rsid w:val="4BD709A5"/>
    <w:rsid w:val="4BDD9BFF"/>
    <w:rsid w:val="4BE068DB"/>
    <w:rsid w:val="4D577224"/>
    <w:rsid w:val="4DBF1CEB"/>
    <w:rsid w:val="4DBF6A6B"/>
    <w:rsid w:val="4DF6A672"/>
    <w:rsid w:val="4EAB630A"/>
    <w:rsid w:val="4ECE2238"/>
    <w:rsid w:val="4F7EA413"/>
    <w:rsid w:val="4FAB812F"/>
    <w:rsid w:val="4FE9BD67"/>
    <w:rsid w:val="4FEE4C07"/>
    <w:rsid w:val="4FFB052F"/>
    <w:rsid w:val="51067449"/>
    <w:rsid w:val="537E6D0A"/>
    <w:rsid w:val="53AB6B88"/>
    <w:rsid w:val="53F74C96"/>
    <w:rsid w:val="5583522D"/>
    <w:rsid w:val="57BD3DD4"/>
    <w:rsid w:val="57F9CD1E"/>
    <w:rsid w:val="5AAE7630"/>
    <w:rsid w:val="5AF92295"/>
    <w:rsid w:val="5AF9D8E9"/>
    <w:rsid w:val="5BDD38BD"/>
    <w:rsid w:val="5BDD79E6"/>
    <w:rsid w:val="5BEFC772"/>
    <w:rsid w:val="5BFF5DFC"/>
    <w:rsid w:val="5CD71FC4"/>
    <w:rsid w:val="5D1F11B5"/>
    <w:rsid w:val="5D3647F9"/>
    <w:rsid w:val="5DA644D4"/>
    <w:rsid w:val="5DAE1B18"/>
    <w:rsid w:val="5DE7D9E5"/>
    <w:rsid w:val="5ECEC941"/>
    <w:rsid w:val="5EFF8FC6"/>
    <w:rsid w:val="5F5BA39A"/>
    <w:rsid w:val="5F7D3B79"/>
    <w:rsid w:val="5F7F4610"/>
    <w:rsid w:val="5FBF9FF3"/>
    <w:rsid w:val="5FCD4E2C"/>
    <w:rsid w:val="5FEF394A"/>
    <w:rsid w:val="5FF67715"/>
    <w:rsid w:val="61CA71D5"/>
    <w:rsid w:val="627EE9EA"/>
    <w:rsid w:val="63B23AA5"/>
    <w:rsid w:val="647F5392"/>
    <w:rsid w:val="64E322C4"/>
    <w:rsid w:val="65FB93B9"/>
    <w:rsid w:val="6633C463"/>
    <w:rsid w:val="6656340D"/>
    <w:rsid w:val="67D55B77"/>
    <w:rsid w:val="67EE7F84"/>
    <w:rsid w:val="686F5F53"/>
    <w:rsid w:val="6AFFCEAF"/>
    <w:rsid w:val="6B96E9E6"/>
    <w:rsid w:val="6BCE57B5"/>
    <w:rsid w:val="6BFEA4DB"/>
    <w:rsid w:val="6BFFB662"/>
    <w:rsid w:val="6C4A05C8"/>
    <w:rsid w:val="6CFF4FB8"/>
    <w:rsid w:val="6D4A5270"/>
    <w:rsid w:val="6D6BD6E0"/>
    <w:rsid w:val="6D77E73C"/>
    <w:rsid w:val="6DBF5E93"/>
    <w:rsid w:val="6DFF077E"/>
    <w:rsid w:val="6E7E3605"/>
    <w:rsid w:val="6E7FDCC7"/>
    <w:rsid w:val="6ED6A62E"/>
    <w:rsid w:val="6EE00B15"/>
    <w:rsid w:val="6EE737B2"/>
    <w:rsid w:val="6EEB2329"/>
    <w:rsid w:val="6EECE67A"/>
    <w:rsid w:val="6F6F90A8"/>
    <w:rsid w:val="6F6FB3EB"/>
    <w:rsid w:val="6F8731EA"/>
    <w:rsid w:val="6FBC2ADD"/>
    <w:rsid w:val="6FD57C00"/>
    <w:rsid w:val="6FEFFFD8"/>
    <w:rsid w:val="6FF5CC65"/>
    <w:rsid w:val="6FFB47EC"/>
    <w:rsid w:val="6FFF034A"/>
    <w:rsid w:val="712A28F1"/>
    <w:rsid w:val="715C0E4B"/>
    <w:rsid w:val="71FFD401"/>
    <w:rsid w:val="72233669"/>
    <w:rsid w:val="72734D90"/>
    <w:rsid w:val="7332FE48"/>
    <w:rsid w:val="73AD73D5"/>
    <w:rsid w:val="73B6EB34"/>
    <w:rsid w:val="73FA497D"/>
    <w:rsid w:val="744731E5"/>
    <w:rsid w:val="747800B5"/>
    <w:rsid w:val="74BBD01D"/>
    <w:rsid w:val="74EB4D2A"/>
    <w:rsid w:val="74ED5379"/>
    <w:rsid w:val="75B96BD7"/>
    <w:rsid w:val="75DEEEC2"/>
    <w:rsid w:val="767F479D"/>
    <w:rsid w:val="76E3355F"/>
    <w:rsid w:val="76F742AF"/>
    <w:rsid w:val="76F7BE7D"/>
    <w:rsid w:val="76FF5125"/>
    <w:rsid w:val="773570D3"/>
    <w:rsid w:val="77597F31"/>
    <w:rsid w:val="776F6FFA"/>
    <w:rsid w:val="7777A522"/>
    <w:rsid w:val="77858688"/>
    <w:rsid w:val="778769C8"/>
    <w:rsid w:val="77CB741A"/>
    <w:rsid w:val="77D7BE3A"/>
    <w:rsid w:val="77DC22F5"/>
    <w:rsid w:val="797E3A6C"/>
    <w:rsid w:val="79CF70E2"/>
    <w:rsid w:val="79D7FD79"/>
    <w:rsid w:val="79E75806"/>
    <w:rsid w:val="79EE5BA4"/>
    <w:rsid w:val="7A641148"/>
    <w:rsid w:val="7A6F8BF5"/>
    <w:rsid w:val="7A894339"/>
    <w:rsid w:val="7ACF82B5"/>
    <w:rsid w:val="7AFF28C9"/>
    <w:rsid w:val="7AFF72A0"/>
    <w:rsid w:val="7AFF7572"/>
    <w:rsid w:val="7B6C7DFB"/>
    <w:rsid w:val="7B7D76A7"/>
    <w:rsid w:val="7BAE2FE2"/>
    <w:rsid w:val="7BAF6951"/>
    <w:rsid w:val="7BBFBED0"/>
    <w:rsid w:val="7BC3E394"/>
    <w:rsid w:val="7BF3FE4C"/>
    <w:rsid w:val="7BFB5035"/>
    <w:rsid w:val="7BFDE17E"/>
    <w:rsid w:val="7CBFC87B"/>
    <w:rsid w:val="7CFE0F48"/>
    <w:rsid w:val="7D3DE31C"/>
    <w:rsid w:val="7D7EC23E"/>
    <w:rsid w:val="7D7F8A13"/>
    <w:rsid w:val="7DBBCB01"/>
    <w:rsid w:val="7DC765D0"/>
    <w:rsid w:val="7DDB0EE0"/>
    <w:rsid w:val="7DFF51D8"/>
    <w:rsid w:val="7E634199"/>
    <w:rsid w:val="7E8ADEBF"/>
    <w:rsid w:val="7EEF11D3"/>
    <w:rsid w:val="7EF78C20"/>
    <w:rsid w:val="7F3F679B"/>
    <w:rsid w:val="7F4FC4EF"/>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仿宋_GB2312" w:eastAsia="仿宋_GB2312"/>
      <w:kern w:val="0"/>
      <w:sz w:val="30"/>
    </w:rPr>
  </w:style>
  <w:style w:type="paragraph" w:styleId="6">
    <w:name w:val="Body Text Indent"/>
    <w:basedOn w:val="1"/>
    <w:qFormat/>
    <w:uiPriority w:val="0"/>
    <w:pPr>
      <w:spacing w:after="120"/>
      <w:ind w:left="200" w:leftChars="200"/>
    </w:pPr>
    <w:rPr>
      <w:rFonts w:ascii="仿宋_GB2312"/>
      <w:szCs w:val="32"/>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1"/>
    <w:semiHidden/>
    <w:unhideWhenUsed/>
    <w:qFormat/>
    <w:uiPriority w:val="99"/>
    <w:rPr>
      <w:sz w:val="18"/>
      <w:szCs w:val="18"/>
    </w:rPr>
  </w:style>
  <w:style w:type="paragraph" w:styleId="9">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qFormat/>
    <w:uiPriority w:val="0"/>
    <w:pPr>
      <w:spacing w:before="0" w:beforeAutospacing="1" w:after="0" w:afterAutospacing="1"/>
      <w:ind w:left="0" w:right="0"/>
      <w:jc w:val="left"/>
    </w:pPr>
    <w:rPr>
      <w:rFonts w:ascii="宋体" w:eastAsia="宋体" w:cs="宋体"/>
      <w:kern w:val="0"/>
      <w:sz w:val="24"/>
      <w:szCs w:val="24"/>
      <w:lang w:val="en-US" w:eastAsia="zh-CN"/>
    </w:rPr>
  </w:style>
  <w:style w:type="paragraph" w:styleId="14">
    <w:name w:val="Body Text First Indent 2"/>
    <w:basedOn w:val="6"/>
    <w:unhideWhenUsed/>
    <w:qFormat/>
    <w:uiPriority w:val="99"/>
    <w:pPr>
      <w:ind w:firstLine="420" w:firstLine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字符"/>
    <w:link w:val="10"/>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字符"/>
    <w:link w:val="9"/>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字符"/>
    <w:link w:val="5"/>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字符"/>
    <w:basedOn w:val="16"/>
    <w:link w:val="2"/>
    <w:qFormat/>
    <w:uiPriority w:val="9"/>
    <w:rPr>
      <w:rFonts w:ascii="Times New Roman" w:hAnsi="Times New Roman"/>
      <w:b/>
      <w:bCs/>
      <w:kern w:val="44"/>
      <w:sz w:val="44"/>
      <w:szCs w:val="44"/>
    </w:rPr>
  </w:style>
  <w:style w:type="character" w:customStyle="1" w:styleId="29">
    <w:name w:val="标题 2 字符"/>
    <w:basedOn w:val="16"/>
    <w:link w:val="3"/>
    <w:qFormat/>
    <w:uiPriority w:val="9"/>
    <w:rPr>
      <w:rFonts w:asciiTheme="majorHAnsi" w:hAnsiTheme="majorHAnsi" w:eastAsiaTheme="majorEastAsia" w:cstheme="majorBidi"/>
      <w:b/>
      <w:bCs/>
      <w:kern w:val="2"/>
      <w:sz w:val="32"/>
      <w:szCs w:val="32"/>
    </w:rPr>
  </w:style>
  <w:style w:type="paragraph" w:customStyle="1" w:styleId="30">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basedOn w:val="16"/>
    <w:link w:val="8"/>
    <w:semiHidden/>
    <w:qFormat/>
    <w:uiPriority w:val="99"/>
    <w:rPr>
      <w:rFonts w:ascii="Times New Roman" w:hAnsi="Times New Roman"/>
      <w:kern w:val="2"/>
      <w:sz w:val="18"/>
      <w:szCs w:val="18"/>
    </w:rPr>
  </w:style>
  <w:style w:type="character" w:customStyle="1" w:styleId="32">
    <w:name w:val="标题 3 字符"/>
    <w:basedOn w:val="16"/>
    <w:link w:val="4"/>
    <w:qFormat/>
    <w:uiPriority w:val="9"/>
    <w:rPr>
      <w:rFonts w:ascii="Times New Roman" w:hAnsi="Times New Roman"/>
      <w:b/>
      <w:bCs/>
      <w:kern w:val="2"/>
      <w:sz w:val="32"/>
      <w:szCs w:val="32"/>
    </w:rPr>
  </w:style>
  <w:style w:type="paragraph" w:customStyle="1" w:styleId="33">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paragraph" w:customStyle="1" w:styleId="35">
    <w:name w:val="普通(网站) Char"/>
    <w:basedOn w:val="1"/>
    <w:next w:val="36"/>
    <w:qFormat/>
    <w:uiPriority w:val="0"/>
    <w:pPr>
      <w:spacing w:before="0" w:beforeAutospacing="1" w:after="0" w:afterAutospacing="1"/>
      <w:ind w:left="0" w:right="0"/>
      <w:jc w:val="left"/>
    </w:pPr>
    <w:rPr>
      <w:rFonts w:ascii="宋体" w:eastAsia="宋体" w:cs="宋体"/>
      <w:kern w:val="0"/>
      <w:sz w:val="24"/>
      <w:szCs w:val="24"/>
      <w:lang w:val="en-US" w:eastAsia="zh-CN"/>
    </w:rPr>
  </w:style>
  <w:style w:type="paragraph" w:customStyle="1" w:styleId="36">
    <w:name w:val="WPSOffice手动目录 2"/>
    <w:next w:val="10"/>
    <w:qFormat/>
    <w:uiPriority w:val="0"/>
    <w:pPr>
      <w:ind w:left="200" w:leftChars="200"/>
    </w:pPr>
    <w:rPr>
      <w:rFonts w:ascii="Times New Roman" w:hAnsi="Times New Roman" w:eastAsia="宋体" w:cs="Times New Roman"/>
      <w:sz w:val="20"/>
      <w:szCs w:val="20"/>
      <w:lang w:val="en-US" w:eastAsia="zh-CN" w:bidi="ar-SA"/>
    </w:rPr>
  </w:style>
  <w:style w:type="character" w:customStyle="1" w:styleId="37">
    <w:name w:val="15"/>
    <w:qFormat/>
    <w:uiPriority w:val="0"/>
    <w:rPr>
      <w:rFonts w:ascii="Times New Roman" w:hAnsi="Times New Roman" w:cs="Times New Roman"/>
      <w:b/>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84916\Desktop\&#22270;&#24418;.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84916\Desktop\&#22270;&#24418;.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84916\Desktop\&#22270;&#24418;.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84916\Desktop\&#22270;&#24418;.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84916\Desktop\&#22270;&#24418;.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84916\Desktop\&#22270;&#24418;.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84916\Desktop\&#22270;&#24418;.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r>
              <a:t>红原县红十字会202</a:t>
            </a:r>
            <a:r>
              <a:rPr lang="en-US" altLang="zh-CN"/>
              <a:t>3</a:t>
            </a:r>
            <a:r>
              <a:t>年与202</a:t>
            </a:r>
            <a:r>
              <a:rPr lang="en-US" altLang="zh-CN"/>
              <a:t>2</a:t>
            </a:r>
            <a:r>
              <a:t>年年度收支对比</a:t>
            </a:r>
            <a:endParaRPr sz="1400" b="0" i="0" u="none" strike="noStrike" baseline="0">
              <a:solidFill>
                <a:srgbClr val="595959"/>
              </a:solidFill>
              <a:latin typeface="Times New Roman" panose="02020603050405020304" pitchFamily="4"/>
              <a:ea typeface="宋体" panose="02010600030101010101" charset="-122"/>
              <a:cs typeface="Arial" panose="020B0604020202020204" pitchFamily="2"/>
            </a:endParaRPr>
          </a:p>
        </c:rich>
      </c:tx>
      <c:layout>
        <c:manualLayout>
          <c:xMode val="edge"/>
          <c:yMode val="edge"/>
          <c:x val="0.101905010438413"/>
          <c:y val="0.00738007380073801"/>
        </c:manualLayout>
      </c:layout>
      <c:overlay val="0"/>
    </c:title>
    <c:autoTitleDeleted val="0"/>
    <c:plotArea>
      <c:layout/>
      <c:barChart>
        <c:barDir val="col"/>
        <c:grouping val="clustered"/>
        <c:varyColors val="0"/>
        <c:ser>
          <c:idx val="0"/>
          <c:order val="0"/>
          <c:tx>
            <c:strRef>
              <c:f>[图形.xls]Sheet1!$B$6</c:f>
              <c:strCache>
                <c:ptCount val="1"/>
                <c:pt idx="0">
                  <c:v>2022</c:v>
                </c:pt>
              </c:strCache>
            </c:strRef>
          </c:tx>
          <c:spPr>
            <a:gradFill>
              <a:gsLst>
                <a:gs pos="0">
                  <a:srgbClr val="000082"/>
                </a:gs>
                <a:gs pos="30000">
                  <a:srgbClr val="66008F"/>
                </a:gs>
                <a:gs pos="64999">
                  <a:srgbClr val="BA0066"/>
                </a:gs>
                <a:gs pos="89999">
                  <a:srgbClr val="FF0000"/>
                </a:gs>
                <a:gs pos="100000">
                  <a:srgbClr val="FF8200"/>
                </a:gs>
              </a:gsLst>
              <a:lin ang="5400000" scaled="1"/>
            </a:gradFill>
            <a:ln w="12700">
              <a:noFill/>
            </a:ln>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181.92</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pitchFamily="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[图形.xls]Sheet1!$C$5:$D$5</c:f>
              <c:strCache>
                <c:ptCount val="2"/>
                <c:pt idx="0">
                  <c:v>决算收入</c:v>
                </c:pt>
                <c:pt idx="1">
                  <c:v>决算支出</c:v>
                </c:pt>
              </c:strCache>
            </c:strRef>
          </c:cat>
          <c:val>
            <c:numRef>
              <c:f>[图形.xls]Sheet1!$C$6:$D$6</c:f>
              <c:numCache>
                <c:formatCode>General</c:formatCode>
                <c:ptCount val="2"/>
                <c:pt idx="0">
                  <c:v>212.54</c:v>
                </c:pt>
                <c:pt idx="1">
                  <c:v>212.54</c:v>
                </c:pt>
              </c:numCache>
            </c:numRef>
          </c:val>
        </c:ser>
        <c:dLbls>
          <c:showLegendKey val="0"/>
          <c:showVal val="0"/>
          <c:showCatName val="0"/>
          <c:showSerName val="0"/>
          <c:showPercent val="0"/>
          <c:showBubbleSize val="0"/>
        </c:dLbls>
        <c:gapWidth val="219"/>
        <c:overlap val="-27"/>
        <c:axId val="449268628"/>
        <c:axId val="462140030"/>
      </c:barChart>
      <c:catAx>
        <c:axId val="449268628"/>
        <c:scaling>
          <c:orientation val="minMax"/>
        </c:scaling>
        <c:delete val="0"/>
        <c:axPos val="b"/>
        <c:majorTickMark val="none"/>
        <c:minorTickMark val="none"/>
        <c:tickLblPos val="nextTo"/>
        <c:spPr>
          <a:ln w="12700" cap="flat" cmpd="sng" algn="ctr">
            <a:solidFill>
              <a:srgbClr val="D8D8D8">
                <a:alpha val="100000"/>
              </a:srgbClr>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p>
        </c:txPr>
        <c:crossAx val="462140030"/>
        <c:crosses val="autoZero"/>
        <c:auto val="1"/>
        <c:lblAlgn val="ctr"/>
        <c:lblOffset val="100"/>
        <c:noMultiLvlLbl val="0"/>
      </c:catAx>
      <c:valAx>
        <c:axId val="462140030"/>
        <c:scaling>
          <c:orientation val="minMax"/>
        </c:scaling>
        <c:delete val="0"/>
        <c:axPos val="l"/>
        <c:majorGridlines>
          <c:spPr>
            <a:ln w="12700" cap="flat" cmpd="sng" algn="ctr">
              <a:solidFill>
                <a:srgbClr val="D8D8D8">
                  <a:alpha val="100000"/>
                </a:srgbClr>
              </a:solidFill>
              <a:prstDash val="solid"/>
              <a:round/>
            </a:ln>
          </c:spPr>
        </c:majorGridlines>
        <c:numFmt formatCode="General" sourceLinked="1"/>
        <c:majorTickMark val="none"/>
        <c:minorTickMark val="none"/>
        <c:tickLblPos val="nextTo"/>
        <c:spPr>
          <a:ln w="12700"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p>
        </c:txPr>
        <c:crossAx val="449268628"/>
        <c:crosses val="autoZero"/>
        <c:crossBetween val="between"/>
      </c:valAx>
      <c:spPr>
        <a:noFill/>
        <a:ln w="12700">
          <a:noFill/>
        </a:ln>
      </c:spPr>
    </c:plotArea>
    <c:plotVisOnly val="1"/>
    <c:dispBlanksAs val="gap"/>
    <c:showDLblsOverMax val="0"/>
    <c:extLst>
      <c:ext uri="{0b15fc19-7d7d-44ad-8c2d-2c3a37ce22c3}">
        <chartProps xmlns="https://web.wps.cn/et/2018/main" chartId="{90794d57-a766-4b29-a7e5-19ee825bd152}"/>
      </c:ext>
    </c:extLst>
  </c:chart>
  <c:spPr>
    <a:solidFill>
      <a:srgbClr val="FFFFFF">
        <a:alpha val="100000"/>
      </a:srgbClr>
    </a:solidFill>
    <a:ln w="12700" cap="flat" cmpd="sng" algn="ctr">
      <a:solidFill>
        <a:srgbClr val="D8D8D8">
          <a:alpha val="100000"/>
        </a:srgbClr>
      </a:solidFill>
      <a:prstDash val="solid"/>
      <a:round/>
    </a:ln>
  </c:spPr>
  <c:txPr>
    <a:bodyPr rot="0" wrap="square" anchor="ctr" anchorCtr="1"/>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r>
              <a:t>红原县红十字会202</a:t>
            </a:r>
            <a:r>
              <a:rPr lang="en-US" altLang="zh-CN"/>
              <a:t>3</a:t>
            </a:r>
            <a:r>
              <a:t>年本年收入合计</a:t>
            </a:r>
            <a:endParaRPr sz="1400" b="0" i="0" u="none" strike="noStrike" baseline="0">
              <a:solidFill>
                <a:srgbClr val="595959"/>
              </a:solidFill>
              <a:latin typeface="Times New Roman" panose="02020603050405020304" pitchFamily="4"/>
              <a:ea typeface="宋体" panose="02010600030101010101" charset="-122"/>
              <a:cs typeface="Arial" panose="020B0604020202020204" pitchFamily="2"/>
            </a:endParaRPr>
          </a:p>
        </c:rich>
      </c:tx>
      <c:layout/>
      <c:overlay val="0"/>
    </c:title>
    <c:autoTitleDeleted val="0"/>
    <c:plotArea>
      <c:layout/>
      <c:pieChart>
        <c:varyColors val="1"/>
        <c:ser>
          <c:idx val="0"/>
          <c:order val="0"/>
          <c:tx>
            <c:strRef>
              <c:f>[图形.xls]Sheet1!$C$23</c:f>
              <c:strCache>
                <c:ptCount val="1"/>
                <c:pt idx="0">
                  <c:v>占比</c:v>
                </c:pt>
              </c:strCache>
            </c:strRef>
          </c:tx>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explosion val="0"/>
          <c:dPt>
            <c:idx val="0"/>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Pt>
            <c:idx val="1"/>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Pt>
            <c:idx val="2"/>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Pt>
            <c:idx val="3"/>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Pt>
            <c:idx val="4"/>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Pt>
            <c:idx val="5"/>
            <c:bubble3D val="0"/>
            <c:explosion val="0"/>
            <c:spPr>
              <a:solidFill>
                <a:srgbClr val="70AD47">
                  <a:alpha val="100000"/>
                </a:srgbClr>
              </a:solidFill>
              <a:ln w="25400">
                <a:solidFill>
                  <a:srgbClr val="FFFFFF">
                    <a:alpha val="100000"/>
                  </a:srgbClr>
                </a:solidFill>
                <a:prstDash val="solid"/>
              </a:ln>
            </c:spPr>
          </c:dPt>
          <c:dPt>
            <c:idx val="6"/>
            <c:bubble3D val="0"/>
            <c:explosion val="0"/>
            <c:spPr>
              <a:solidFill>
                <a:srgbClr val="255E91">
                  <a:alpha val="100000"/>
                </a:srgbClr>
              </a:solidFill>
              <a:ln w="25400">
                <a:solidFill>
                  <a:srgbClr val="FFFFFF">
                    <a:alpha val="100000"/>
                  </a:srgbClr>
                </a:solidFill>
                <a:prstDash val="solid"/>
              </a:ln>
            </c:spPr>
          </c:dPt>
          <c:dPt>
            <c:idx val="7"/>
            <c:bubble3D val="0"/>
            <c:explosion val="0"/>
            <c:spPr>
              <a:solidFill>
                <a:srgbClr val="9E480E">
                  <a:alpha val="100000"/>
                </a:srgbClr>
              </a:solidFill>
              <a:ln w="25400">
                <a:solidFill>
                  <a:srgbClr val="FFFFFF">
                    <a:alpha val="100000"/>
                  </a:srgbClr>
                </a:solidFill>
                <a:prstDash val="solid"/>
              </a:ln>
            </c:spPr>
          </c:dPt>
          <c:dLbls>
            <c:dLbl>
              <c:idx val="0"/>
              <c:layout>
                <c:manualLayout>
                  <c:x val="0.0129401616182044"/>
                  <c:y val="-0.0870320662791665"/>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181.92</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7"/>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shade val="95000"/>
                          <a:satMod val="105000"/>
                        </a:schemeClr>
                      </a:solidFill>
                      <a:prstDash val="solid"/>
                      <a:round/>
                    </a:ln>
                    <a:effectLst/>
                  </c:spPr>
                </c15:leaderLines>
              </c:ext>
            </c:extLst>
          </c:dLbls>
          <c:cat>
            <c:strRef>
              <c:f>[图形.xls]Sheet1!$B$24:$B$31</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[图形.xls]Sheet1!$C$24:$C$31</c:f>
              <c:numCache>
                <c:formatCode>General</c:formatCode>
                <c:ptCount val="8"/>
                <c:pt idx="0">
                  <c:v>100</c:v>
                </c:pt>
                <c:pt idx="1">
                  <c:v>0</c:v>
                </c:pt>
                <c:pt idx="2">
                  <c:v>0</c:v>
                </c:pt>
                <c:pt idx="3">
                  <c:v>0</c:v>
                </c:pt>
                <c:pt idx="4">
                  <c:v>0</c:v>
                </c:pt>
                <c:pt idx="5">
                  <c:v>0</c:v>
                </c:pt>
                <c:pt idx="6">
                  <c:v>0</c:v>
                </c:pt>
                <c:pt idx="7">
                  <c:v>0</c:v>
                </c:pt>
              </c:numCache>
            </c:numRef>
          </c:val>
        </c:ser>
        <c:dLbls>
          <c:showLegendKey val="0"/>
          <c:showVal val="0"/>
          <c:showCatName val="0"/>
          <c:showSerName val="0"/>
          <c:showPercent val="0"/>
          <c:showBubbleSize val="0"/>
          <c:showLeaderLines val="1"/>
        </c:dLbls>
        <c:firstSliceAng val="0"/>
      </c:pieChart>
      <c:spPr>
        <a:noFill/>
        <a:ln w="12700">
          <a:noFill/>
        </a:ln>
      </c:spPr>
    </c:plotArea>
    <c:legend>
      <c:legendPos val="b"/>
      <c:layout>
        <c:manualLayout>
          <c:xMode val="edge"/>
          <c:yMode val="edge"/>
          <c:x val="0.114993283214198"/>
          <c:y val="0.657653811045185"/>
          <c:w val="0.786"/>
          <c:h val="0.3355"/>
        </c:manualLayout>
      </c:layout>
      <c:overlay val="0"/>
      <c:spPr>
        <a:noFill/>
        <a:ln w="12700">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p>
      </c:txPr>
    </c:legend>
    <c:plotVisOnly val="1"/>
    <c:dispBlanksAs val="zero"/>
    <c:showDLblsOverMax val="0"/>
    <c:extLst>
      <c:ext uri="{0b15fc19-7d7d-44ad-8c2d-2c3a37ce22c3}">
        <chartProps xmlns="https://web.wps.cn/et/2018/main" chartId="{47d1c5f9-6be1-46f1-8ae7-b6f19be2bf87}"/>
      </c:ext>
    </c:extLst>
  </c:chart>
  <c:spPr>
    <a:solidFill>
      <a:srgbClr val="FFFFFF">
        <a:alpha val="100000"/>
      </a:srgbClr>
    </a:solidFill>
    <a:ln w="12700" cap="flat" cmpd="sng" algn="ctr">
      <a:solidFill>
        <a:srgbClr val="D8D8D8">
          <a:alpha val="100000"/>
        </a:srgbClr>
      </a:solidFill>
      <a:prstDash val="solid"/>
      <a:round/>
    </a:ln>
  </c:spPr>
  <c:txPr>
    <a:bodyPr rot="0" wrap="square" anchor="ctr" anchorCtr="1"/>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r>
              <a:t>红原县红十字会202</a:t>
            </a:r>
            <a:r>
              <a:rPr lang="en-US" altLang="zh-CN"/>
              <a:t>3</a:t>
            </a:r>
            <a:r>
              <a:t>年本年支出合计</a:t>
            </a:r>
            <a:endParaRPr sz="1400" b="0" i="0" u="none" strike="noStrike" baseline="0">
              <a:solidFill>
                <a:srgbClr val="595959"/>
              </a:solidFill>
              <a:latin typeface="Times New Roman" panose="02020603050405020304" pitchFamily="4"/>
              <a:ea typeface="宋体" panose="02010600030101010101" charset="-122"/>
              <a:cs typeface="Arial" panose="020B0604020202020204" pitchFamily="2"/>
            </a:endParaRPr>
          </a:p>
        </c:rich>
      </c:tx>
      <c:layout/>
      <c:overlay val="0"/>
    </c:title>
    <c:autoTitleDeleted val="0"/>
    <c:plotArea>
      <c:layout/>
      <c:pieChart>
        <c:varyColors val="1"/>
        <c:ser>
          <c:idx val="0"/>
          <c:order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explosion val="0"/>
          <c:dPt>
            <c:idx val="0"/>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Pt>
            <c:idx val="1"/>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Pt>
            <c:idx val="2"/>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Pt>
            <c:idx val="3"/>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Pt>
            <c:idx val="4"/>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166.83</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1"/>
              <c:delete val="1"/>
            </c:dLbl>
            <c:dLbl>
              <c:idx val="4"/>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pitchFamily="4"/>
                    <a:ea typeface="宋体" panose="02010600030101010101" charset="-122"/>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shade val="95000"/>
                          <a:satMod val="105000"/>
                        </a:schemeClr>
                      </a:solidFill>
                      <a:prstDash val="solid"/>
                      <a:round/>
                    </a:ln>
                    <a:effectLst/>
                  </c:spPr>
                </c15:leaderLines>
              </c:ext>
            </c:extLst>
          </c:dLbls>
          <c:cat>
            <c:strRef>
              <c:f>[图形.xls]Sheet1!$M$4:$M$8</c:f>
              <c:strCache>
                <c:ptCount val="5"/>
                <c:pt idx="0">
                  <c:v>基本支出</c:v>
                </c:pt>
                <c:pt idx="1">
                  <c:v>项目支出</c:v>
                </c:pt>
                <c:pt idx="2">
                  <c:v>上缴上级支出</c:v>
                </c:pt>
                <c:pt idx="3">
                  <c:v>经营支出</c:v>
                </c:pt>
                <c:pt idx="4">
                  <c:v>对附属单位补助支出</c:v>
                </c:pt>
              </c:strCache>
            </c:strRef>
          </c:cat>
          <c:val>
            <c:numRef>
              <c:f>[图形.xls]Sheet1!$N$4:$N$8</c:f>
              <c:numCache>
                <c:formatCode>General</c:formatCode>
                <c:ptCount val="5"/>
                <c:pt idx="0">
                  <c:v>151.47</c:v>
                </c:pt>
                <c:pt idx="1">
                  <c:v>61.07</c:v>
                </c:pt>
                <c:pt idx="2">
                  <c:v>0</c:v>
                </c:pt>
                <c:pt idx="3">
                  <c:v>0</c:v>
                </c:pt>
                <c:pt idx="4">
                  <c:v>0</c:v>
                </c:pt>
              </c:numCache>
            </c:numRef>
          </c:val>
        </c:ser>
        <c:dLbls>
          <c:showLegendKey val="0"/>
          <c:showVal val="0"/>
          <c:showCatName val="0"/>
          <c:showSerName val="0"/>
          <c:showPercent val="0"/>
          <c:showBubbleSize val="0"/>
          <c:showLeaderLines val="1"/>
        </c:dLbls>
        <c:firstSliceAng val="0"/>
      </c:pieChart>
      <c:spPr>
        <a:noFill/>
        <a:ln w="12700">
          <a:noFill/>
        </a:ln>
      </c:spPr>
    </c:plotArea>
    <c:legend>
      <c:legendPos val="b"/>
      <c:layout>
        <c:manualLayout>
          <c:xMode val="edge"/>
          <c:yMode val="edge"/>
          <c:x val="0.0698156822810591"/>
          <c:y val="0.867982987312572"/>
          <c:w val="0.8255"/>
          <c:h val="0.12625"/>
        </c:manualLayout>
      </c:layout>
      <c:overlay val="0"/>
      <c:spPr>
        <a:noFill/>
        <a:ln w="12700">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p>
      </c:txPr>
    </c:legend>
    <c:plotVisOnly val="1"/>
    <c:dispBlanksAs val="zero"/>
    <c:showDLblsOverMax val="0"/>
    <c:extLst>
      <c:ext uri="{0b15fc19-7d7d-44ad-8c2d-2c3a37ce22c3}">
        <chartProps xmlns="https://web.wps.cn/et/2018/main" chartId="{34f06fc8-b5c2-4977-8c25-29b81f4c8870}"/>
      </c:ext>
    </c:extLst>
  </c:chart>
  <c:spPr>
    <a:solidFill>
      <a:srgbClr val="FFFFFF">
        <a:alpha val="100000"/>
      </a:srgbClr>
    </a:solidFill>
    <a:ln w="12700" cap="flat" cmpd="sng" algn="ctr">
      <a:solidFill>
        <a:srgbClr val="D8D8D8">
          <a:alpha val="100000"/>
        </a:srgbClr>
      </a:solidFill>
      <a:prstDash val="solid"/>
      <a:round/>
    </a:ln>
  </c:spPr>
  <c:txPr>
    <a:bodyPr rot="0" wrap="square" anchor="ctr" anchorCtr="1"/>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r>
              <a:t>红原县红十字会202</a:t>
            </a:r>
            <a:r>
              <a:rPr lang="en-US" altLang="zh-CN"/>
              <a:t>3</a:t>
            </a:r>
            <a:r>
              <a:t>年与202</a:t>
            </a:r>
            <a:r>
              <a:rPr lang="en-US" altLang="zh-CN"/>
              <a:t>2</a:t>
            </a:r>
            <a:r>
              <a:t>年年度收支对比</a:t>
            </a:r>
            <a:endParaRPr sz="1400" b="0" i="0" u="none" strike="noStrike" baseline="0">
              <a:solidFill>
                <a:srgbClr val="595959"/>
              </a:solidFill>
              <a:latin typeface="Times New Roman" panose="02020603050405020304" pitchFamily="4"/>
              <a:ea typeface="宋体" panose="02010600030101010101" charset="-122"/>
              <a:cs typeface="Arial" panose="020B0604020202020204" pitchFamily="2"/>
            </a:endParaRPr>
          </a:p>
        </c:rich>
      </c:tx>
      <c:layout>
        <c:manualLayout>
          <c:xMode val="edge"/>
          <c:yMode val="edge"/>
          <c:x val="0.101905010438413"/>
          <c:y val="0.00738007380073801"/>
        </c:manualLayout>
      </c:layout>
      <c:overlay val="0"/>
    </c:title>
    <c:autoTitleDeleted val="0"/>
    <c:plotArea>
      <c:layout>
        <c:manualLayout>
          <c:layoutTarget val="inner"/>
          <c:xMode val="edge"/>
          <c:yMode val="edge"/>
          <c:x val="0.0946764091858038"/>
          <c:y val="0.204674046740467"/>
          <c:w val="0.901409185803758"/>
          <c:h val="0.694071340713407"/>
        </c:manualLayout>
      </c:layout>
      <c:barChart>
        <c:barDir val="col"/>
        <c:grouping val="clustered"/>
        <c:varyColors val="0"/>
        <c:ser>
          <c:idx val="0"/>
          <c:order val="0"/>
          <c:tx>
            <c:strRef>
              <c:f>[图形.xls]Sheet1!$B$6</c:f>
              <c:strCache>
                <c:ptCount val="1"/>
                <c:pt idx="0">
                  <c:v>2022</c:v>
                </c:pt>
              </c:strCache>
            </c:strRef>
          </c:tx>
          <c:spPr>
            <a:gradFill>
              <a:gsLst>
                <a:gs pos="0">
                  <a:srgbClr val="000082"/>
                </a:gs>
                <a:gs pos="30000">
                  <a:srgbClr val="66008F"/>
                </a:gs>
                <a:gs pos="64999">
                  <a:srgbClr val="BA0066"/>
                </a:gs>
                <a:gs pos="89999">
                  <a:srgbClr val="FF0000"/>
                </a:gs>
                <a:gs pos="100000">
                  <a:srgbClr val="FF8200"/>
                </a:gs>
              </a:gsLst>
              <a:lin ang="5400000" scaled="1"/>
            </a:gradFill>
            <a:ln w="12700">
              <a:noFill/>
            </a:ln>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181.92</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pitchFamily="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[图形.xls]Sheet1!$C$5:$D$5</c:f>
              <c:strCache>
                <c:ptCount val="2"/>
                <c:pt idx="0">
                  <c:v>决算收入</c:v>
                </c:pt>
                <c:pt idx="1">
                  <c:v>决算支出</c:v>
                </c:pt>
              </c:strCache>
            </c:strRef>
          </c:cat>
          <c:val>
            <c:numRef>
              <c:f>[图形.xls]Sheet1!$C$6:$D$6</c:f>
              <c:numCache>
                <c:formatCode>General</c:formatCode>
                <c:ptCount val="2"/>
                <c:pt idx="0">
                  <c:v>212.54</c:v>
                </c:pt>
                <c:pt idx="1">
                  <c:v>212.54</c:v>
                </c:pt>
              </c:numCache>
            </c:numRef>
          </c:val>
        </c:ser>
        <c:dLbls>
          <c:showLegendKey val="0"/>
          <c:showVal val="0"/>
          <c:showCatName val="0"/>
          <c:showSerName val="0"/>
          <c:showPercent val="0"/>
          <c:showBubbleSize val="0"/>
        </c:dLbls>
        <c:gapWidth val="219"/>
        <c:overlap val="-27"/>
        <c:axId val="449268628"/>
        <c:axId val="462140030"/>
      </c:barChart>
      <c:catAx>
        <c:axId val="449268628"/>
        <c:scaling>
          <c:orientation val="minMax"/>
        </c:scaling>
        <c:delete val="0"/>
        <c:axPos val="b"/>
        <c:majorTickMark val="none"/>
        <c:minorTickMark val="none"/>
        <c:tickLblPos val="nextTo"/>
        <c:spPr>
          <a:ln w="12700" cap="flat" cmpd="sng" algn="ctr">
            <a:solidFill>
              <a:srgbClr val="D8D8D8">
                <a:alpha val="100000"/>
              </a:srgbClr>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p>
        </c:txPr>
        <c:crossAx val="462140030"/>
        <c:crosses val="autoZero"/>
        <c:auto val="1"/>
        <c:lblAlgn val="ctr"/>
        <c:lblOffset val="100"/>
        <c:noMultiLvlLbl val="0"/>
      </c:catAx>
      <c:valAx>
        <c:axId val="462140030"/>
        <c:scaling>
          <c:orientation val="minMax"/>
        </c:scaling>
        <c:delete val="0"/>
        <c:axPos val="l"/>
        <c:majorGridlines>
          <c:spPr>
            <a:ln w="12700" cap="flat" cmpd="sng" algn="ctr">
              <a:solidFill>
                <a:srgbClr val="D8D8D8">
                  <a:alpha val="100000"/>
                </a:srgbClr>
              </a:solidFill>
              <a:prstDash val="solid"/>
              <a:round/>
            </a:ln>
          </c:spPr>
        </c:majorGridlines>
        <c:numFmt formatCode="General" sourceLinked="1"/>
        <c:majorTickMark val="none"/>
        <c:minorTickMark val="none"/>
        <c:tickLblPos val="nextTo"/>
        <c:spPr>
          <a:ln w="12700"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p>
        </c:txPr>
        <c:crossAx val="449268628"/>
        <c:crosses val="autoZero"/>
        <c:crossBetween val="between"/>
      </c:valAx>
      <c:spPr>
        <a:noFill/>
        <a:ln w="12700">
          <a:noFill/>
        </a:ln>
      </c:spPr>
    </c:plotArea>
    <c:plotVisOnly val="1"/>
    <c:dispBlanksAs val="gap"/>
    <c:showDLblsOverMax val="0"/>
    <c:extLst>
      <c:ext uri="{0b15fc19-7d7d-44ad-8c2d-2c3a37ce22c3}">
        <chartProps xmlns="https://web.wps.cn/et/2018/main" chartId="{90794d57-a766-4b29-a7e5-19ee825bd152}"/>
      </c:ext>
    </c:extLst>
  </c:chart>
  <c:spPr>
    <a:solidFill>
      <a:srgbClr val="FFFFFF">
        <a:alpha val="100000"/>
      </a:srgbClr>
    </a:solidFill>
    <a:ln w="12700" cap="flat" cmpd="sng" algn="ctr">
      <a:solidFill>
        <a:srgbClr val="D8D8D8">
          <a:alpha val="100000"/>
        </a:srgbClr>
      </a:solidFill>
      <a:prstDash val="solid"/>
      <a:round/>
    </a:ln>
  </c:spPr>
  <c:txPr>
    <a:bodyPr rot="0" wrap="square" anchor="ctr" anchorCtr="1"/>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r>
              <a:t>红原县红十字会202</a:t>
            </a:r>
            <a:r>
              <a:rPr lang="en-US" altLang="zh-CN"/>
              <a:t>3</a:t>
            </a:r>
            <a:r>
              <a:t>年与202</a:t>
            </a:r>
            <a:r>
              <a:rPr lang="en-US" altLang="zh-CN"/>
              <a:t>2</a:t>
            </a:r>
            <a:r>
              <a:t>年一般公共预算财政拨款支出对比</a:t>
            </a:r>
            <a:endParaRPr sz="1400" b="0" i="0" u="none" strike="noStrike" baseline="0">
              <a:solidFill>
                <a:srgbClr val="595959"/>
              </a:solidFill>
              <a:latin typeface="Times New Roman" panose="02020603050405020304" pitchFamily="4"/>
              <a:ea typeface="宋体" panose="02010600030101010101" charset="-122"/>
              <a:cs typeface="Arial" panose="020B0604020202020204" pitchFamily="2"/>
            </a:endParaRPr>
          </a:p>
        </c:rich>
      </c:tx>
      <c:layout>
        <c:manualLayout>
          <c:x val="0.0225"/>
          <c:y val="0.00675"/>
        </c:manualLayout>
      </c:layout>
      <c:overlay val="0"/>
    </c:title>
    <c:autoTitleDeleted val="0"/>
    <c:plotArea>
      <c:layout>
        <c:manualLayout>
          <c:layoutTarget val="inner"/>
          <c:xMode val="edge"/>
          <c:yMode val="edge"/>
          <c:x val="0.0882585113876493"/>
          <c:y val="0.279995063082831"/>
          <c:w val="0.83625"/>
          <c:h val="0.603"/>
        </c:manualLayout>
      </c:layout>
      <c:barChart>
        <c:barDir val="col"/>
        <c:grouping val="clustered"/>
        <c:varyColors val="0"/>
        <c:ser>
          <c:idx val="0"/>
          <c:order val="0"/>
          <c:tx>
            <c:strRef>
              <c:f>[图形.xls]Sheet1!$B$36</c:f>
              <c:strCache>
                <c:ptCount val="1"/>
                <c:pt idx="0">
                  <c:v>2021</c:v>
                </c:pt>
              </c:strCache>
            </c:strRef>
          </c:tx>
          <c:spPr>
            <a:gradFill>
              <a:gsLst>
                <a:gs pos="0">
                  <a:srgbClr val="000082"/>
                </a:gs>
                <a:gs pos="30000">
                  <a:srgbClr val="66008F"/>
                </a:gs>
                <a:gs pos="64999">
                  <a:srgbClr val="BA0066"/>
                </a:gs>
                <a:gs pos="89999">
                  <a:srgbClr val="FF0000"/>
                </a:gs>
                <a:gs pos="100000">
                  <a:srgbClr val="FF8200"/>
                </a:gs>
              </a:gsLst>
              <a:lin ang="5400000" scaled="1"/>
            </a:gradFill>
            <a:ln w="12700">
              <a:noFill/>
            </a:ln>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t>1</a:t>
                    </a:r>
                    <a:r>
                      <a:rPr lang="en-US" altLang="zh-CN"/>
                      <a:t>81.92</a:t>
                    </a:r>
                    <a:endParaRPr lang="en-US" altLang="zh-CN"/>
                  </a:p>
                </c:rich>
              </c:tx>
              <c:numFmt formatCode="General" sourceLinked="1"/>
              <c:spPr>
                <a:noFill/>
                <a:ln w="127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w="127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pitchFamily="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[图形.xls]Sheet1!$C$35:$D$35</c:f>
              <c:strCache>
                <c:ptCount val="2"/>
                <c:pt idx="0">
                  <c:v>决算支出</c:v>
                </c:pt>
              </c:strCache>
            </c:strRef>
          </c:cat>
          <c:val>
            <c:numRef>
              <c:f>[图形.xls]Sheet1!$C$36:$D$36</c:f>
              <c:numCache>
                <c:formatCode>General</c:formatCode>
                <c:ptCount val="2"/>
                <c:pt idx="0">
                  <c:v>131.15</c:v>
                </c:pt>
              </c:numCache>
            </c:numRef>
          </c:val>
        </c:ser>
        <c:ser>
          <c:idx val="1"/>
          <c:order val="1"/>
          <c:tx>
            <c:strRef>
              <c:f>[图形.xls]Sheet1!$B$37</c:f>
              <c:strCache>
                <c:ptCount val="1"/>
                <c:pt idx="0">
                  <c:v>2022</c:v>
                </c:pt>
              </c:strCache>
            </c:strRef>
          </c:tx>
          <c:spPr>
            <a:gradFill>
              <a:gsLst>
                <a:gs pos="0">
                  <a:srgbClr val="000082"/>
                </a:gs>
                <a:gs pos="30000">
                  <a:srgbClr val="66008F"/>
                </a:gs>
                <a:gs pos="64999">
                  <a:srgbClr val="BA0066"/>
                </a:gs>
                <a:gs pos="89999">
                  <a:srgbClr val="FF0000"/>
                </a:gs>
                <a:gs pos="100000">
                  <a:srgbClr val="FF8200"/>
                </a:gs>
              </a:gsLst>
              <a:lin ang="5400000" scaled="1"/>
            </a:gradFill>
            <a:ln w="12700">
              <a:noFill/>
            </a:ln>
          </c:spPr>
          <c:invertIfNegative val="0"/>
          <c:dLbls>
            <c:numFmt formatCode="General" sourceLinked="1"/>
            <c:spPr>
              <a:noFill/>
              <a:ln w="127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pitchFamily="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[图形.xls]Sheet1!$C$35:$D$35</c:f>
              <c:strCache>
                <c:ptCount val="2"/>
                <c:pt idx="0">
                  <c:v>决算支出</c:v>
                </c:pt>
              </c:strCache>
            </c:strRef>
          </c:cat>
          <c:val>
            <c:numRef>
              <c:f>[图形.xls]Sheet1!$C$37:$D$37</c:f>
              <c:numCache>
                <c:formatCode>General</c:formatCode>
                <c:ptCount val="2"/>
                <c:pt idx="0">
                  <c:v>212.54</c:v>
                </c:pt>
              </c:numCache>
            </c:numRef>
          </c:val>
        </c:ser>
        <c:dLbls>
          <c:showLegendKey val="0"/>
          <c:showVal val="0"/>
          <c:showCatName val="0"/>
          <c:showSerName val="0"/>
          <c:showPercent val="0"/>
          <c:showBubbleSize val="0"/>
        </c:dLbls>
        <c:gapWidth val="219"/>
        <c:overlap val="-27"/>
        <c:axId val="595001048"/>
        <c:axId val="965212002"/>
      </c:barChart>
      <c:catAx>
        <c:axId val="595001048"/>
        <c:scaling>
          <c:orientation val="minMax"/>
        </c:scaling>
        <c:delete val="0"/>
        <c:axPos val="b"/>
        <c:majorTickMark val="none"/>
        <c:minorTickMark val="none"/>
        <c:tickLblPos val="nextTo"/>
        <c:spPr>
          <a:ln w="12700" cap="flat" cmpd="sng" algn="ctr">
            <a:solidFill>
              <a:srgbClr val="D8D8D8">
                <a:alpha val="100000"/>
              </a:srgbClr>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p>
        </c:txPr>
        <c:crossAx val="965212002"/>
        <c:crosses val="autoZero"/>
        <c:auto val="1"/>
        <c:lblAlgn val="ctr"/>
        <c:lblOffset val="100"/>
        <c:noMultiLvlLbl val="0"/>
      </c:catAx>
      <c:valAx>
        <c:axId val="965212002"/>
        <c:scaling>
          <c:orientation val="minMax"/>
        </c:scaling>
        <c:delete val="0"/>
        <c:axPos val="l"/>
        <c:majorGridlines>
          <c:spPr>
            <a:ln w="12700" cap="flat" cmpd="sng" algn="ctr">
              <a:solidFill>
                <a:srgbClr val="D8D8D8">
                  <a:alpha val="100000"/>
                </a:srgbClr>
              </a:solidFill>
              <a:prstDash val="solid"/>
              <a:round/>
            </a:ln>
          </c:spPr>
        </c:majorGridlines>
        <c:numFmt formatCode="General" sourceLinked="1"/>
        <c:majorTickMark val="none"/>
        <c:minorTickMark val="none"/>
        <c:tickLblPos val="nextTo"/>
        <c:spPr>
          <a:ln w="12700"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p>
        </c:txPr>
        <c:crossAx val="595001048"/>
        <c:crosses val="autoZero"/>
        <c:crossBetween val="between"/>
      </c:valAx>
      <c:spPr>
        <a:noFill/>
        <a:ln w="12700">
          <a:noFill/>
        </a:ln>
      </c:spPr>
    </c:plotArea>
    <c:plotVisOnly val="1"/>
    <c:dispBlanksAs val="gap"/>
    <c:showDLblsOverMax val="0"/>
    <c:extLst>
      <c:ext uri="{0b15fc19-7d7d-44ad-8c2d-2c3a37ce22c3}">
        <chartProps xmlns="https://web.wps.cn/et/2018/main" chartId="{e85a980e-3599-410b-9ca1-d57148ccaed3}"/>
      </c:ext>
    </c:extLst>
  </c:chart>
  <c:spPr>
    <a:solidFill>
      <a:srgbClr val="FFFFFF">
        <a:alpha val="100000"/>
      </a:srgbClr>
    </a:solidFill>
    <a:ln w="12700" cap="flat" cmpd="sng" algn="ctr">
      <a:solidFill>
        <a:srgbClr val="D8D8D8">
          <a:alpha val="100000"/>
        </a:srgbClr>
      </a:solidFill>
      <a:prstDash val="solid"/>
      <a:round/>
    </a:ln>
  </c:spPr>
  <c:txPr>
    <a:bodyPr rot="0" wrap="square" anchor="ctr" anchorCtr="1"/>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5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r>
              <a:t>一般公共预算财政拨款支出决算结构</a:t>
            </a:r>
            <a:endParaRPr sz="1500" b="0" i="0" u="none" strike="noStrike" baseline="0">
              <a:solidFill>
                <a:srgbClr val="595959"/>
              </a:solidFill>
              <a:latin typeface="Times New Roman" panose="02020603050405020304" pitchFamily="4"/>
              <a:ea typeface="宋体" panose="02010600030101010101" charset="-122"/>
              <a:cs typeface="Arial" panose="020B0604020202020204" pitchFamily="2"/>
            </a:endParaRPr>
          </a:p>
        </c:rich>
      </c:tx>
      <c:layout>
        <c:manualLayout>
          <c:xMode val="edge"/>
          <c:yMode val="edge"/>
          <c:x val="0.219005410383331"/>
          <c:y val="0.00624479600333056"/>
        </c:manualLayout>
      </c:layout>
      <c:overlay val="0"/>
    </c:title>
    <c:autoTitleDeleted val="0"/>
    <c:plotArea>
      <c:layout>
        <c:manualLayout>
          <c:layoutTarget val="inner"/>
          <c:xMode val="edge"/>
          <c:yMode val="edge"/>
          <c:x val="0.4155"/>
          <c:y val="0.162"/>
          <c:w val="0.16675"/>
          <c:h val="0.233"/>
        </c:manualLayout>
      </c:layout>
      <c:pieChart>
        <c:varyColors val="1"/>
        <c:ser>
          <c:idx val="0"/>
          <c:order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explosion val="0"/>
          <c:dPt>
            <c:idx val="0"/>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Pt>
            <c:idx val="1"/>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Pt>
            <c:idx val="2"/>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Pt>
            <c:idx val="3"/>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Pt>
            <c:idx val="4"/>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Pt>
            <c:idx val="5"/>
            <c:bubble3D val="0"/>
            <c:explosion val="0"/>
            <c:spPr>
              <a:solidFill>
                <a:srgbClr val="70AD47">
                  <a:alpha val="100000"/>
                </a:srgbClr>
              </a:solidFill>
              <a:ln w="25400">
                <a:solidFill>
                  <a:srgbClr val="FFFFFF">
                    <a:alpha val="100000"/>
                  </a:srgbClr>
                </a:solidFill>
                <a:prstDash val="solid"/>
              </a:ln>
            </c:spPr>
          </c:dPt>
          <c:dPt>
            <c:idx val="6"/>
            <c:bubble3D val="0"/>
            <c:explosion val="0"/>
            <c:spPr>
              <a:solidFill>
                <a:srgbClr val="255E91">
                  <a:alpha val="100000"/>
                </a:srgbClr>
              </a:solidFill>
              <a:ln w="25400">
                <a:solidFill>
                  <a:srgbClr val="FFFFFF">
                    <a:alpha val="100000"/>
                  </a:srgbClr>
                </a:solidFill>
                <a:prstDash val="solid"/>
              </a:ln>
            </c:spPr>
          </c:dPt>
          <c:dPt>
            <c:idx val="7"/>
            <c:bubble3D val="0"/>
            <c:explosion val="0"/>
            <c:spPr>
              <a:solidFill>
                <a:srgbClr val="9E480E">
                  <a:alpha val="100000"/>
                </a:srgbClr>
              </a:solidFill>
              <a:ln w="25400">
                <a:solidFill>
                  <a:srgbClr val="FFFFFF">
                    <a:alpha val="100000"/>
                  </a:srgbClr>
                </a:solidFill>
                <a:prstDash val="solid"/>
              </a:ln>
            </c:spPr>
          </c:dPt>
          <c:dPt>
            <c:idx val="8"/>
            <c:bubble3D val="0"/>
            <c:explosion val="0"/>
            <c:spPr>
              <a:solidFill>
                <a:srgbClr val="636363">
                  <a:alpha val="100000"/>
                </a:srgbClr>
              </a:solidFill>
              <a:ln w="25400">
                <a:solidFill>
                  <a:srgbClr val="FFFFFF">
                    <a:alpha val="100000"/>
                  </a:srgbClr>
                </a:solidFill>
                <a:prstDash val="solid"/>
              </a:ln>
            </c:spPr>
          </c:dPt>
          <c:dPt>
            <c:idx val="9"/>
            <c:bubble3D val="0"/>
            <c:explosion val="0"/>
            <c:spPr>
              <a:solidFill>
                <a:srgbClr val="997300">
                  <a:alpha val="100000"/>
                </a:srgbClr>
              </a:solidFill>
              <a:ln w="25400">
                <a:solidFill>
                  <a:srgbClr val="FFFFFF">
                    <a:alpha val="100000"/>
                  </a:srgbClr>
                </a:solidFill>
                <a:prstDash val="solid"/>
              </a:ln>
            </c:spPr>
          </c:dPt>
          <c:dPt>
            <c:idx val="10"/>
            <c:bubble3D val="0"/>
            <c:explosion val="0"/>
            <c:spPr>
              <a:solidFill>
                <a:srgbClr val="264478">
                  <a:alpha val="100000"/>
                </a:srgbClr>
              </a:solidFill>
              <a:ln w="25400">
                <a:solidFill>
                  <a:srgbClr val="FFFFFF">
                    <a:alpha val="100000"/>
                  </a:srgbClr>
                </a:solidFill>
                <a:prstDash val="solid"/>
              </a:ln>
            </c:spPr>
          </c:dPt>
          <c:dPt>
            <c:idx val="11"/>
            <c:bubble3D val="0"/>
            <c:explosion val="0"/>
            <c:spPr>
              <a:solidFill>
                <a:srgbClr val="43682B">
                  <a:alpha val="100000"/>
                </a:srgbClr>
              </a:solidFill>
              <a:ln w="25400">
                <a:solidFill>
                  <a:srgbClr val="FFFFFF">
                    <a:alpha val="100000"/>
                  </a:srgbClr>
                </a:solidFill>
                <a:prstDash val="solid"/>
              </a:ln>
            </c:spPr>
          </c:dPt>
          <c:dPt>
            <c:idx val="12"/>
            <c:bubble3D val="0"/>
            <c:explosion val="0"/>
            <c:spPr>
              <a:solidFill>
                <a:srgbClr val="7CAFDD">
                  <a:alpha val="100000"/>
                </a:srgbClr>
              </a:solidFill>
              <a:ln w="25400">
                <a:solidFill>
                  <a:srgbClr val="FFFFFF">
                    <a:alpha val="100000"/>
                  </a:srgbClr>
                </a:solidFill>
                <a:prstDash val="solid"/>
              </a:ln>
            </c:spPr>
          </c:dPt>
          <c:dPt>
            <c:idx val="13"/>
            <c:bubble3D val="0"/>
            <c:explosion val="0"/>
            <c:spPr>
              <a:solidFill>
                <a:srgbClr val="F1975A">
                  <a:alpha val="100000"/>
                </a:srgbClr>
              </a:solidFill>
              <a:ln w="25400">
                <a:solidFill>
                  <a:srgbClr val="FFFFFF">
                    <a:alpha val="100000"/>
                  </a:srgbClr>
                </a:solidFill>
                <a:prstDash val="solid"/>
              </a:ln>
            </c:spPr>
          </c:dPt>
          <c:dPt>
            <c:idx val="14"/>
            <c:bubble3D val="0"/>
            <c:explosion val="0"/>
            <c:spPr>
              <a:solidFill>
                <a:srgbClr val="B7B7B7">
                  <a:alpha val="100000"/>
                </a:srgbClr>
              </a:solidFill>
              <a:ln w="25400">
                <a:solidFill>
                  <a:srgbClr val="FFFFFF">
                    <a:alpha val="100000"/>
                  </a:srgbClr>
                </a:solidFill>
                <a:prstDash val="solid"/>
              </a:ln>
            </c:spPr>
          </c:dPt>
          <c:dPt>
            <c:idx val="15"/>
            <c:bubble3D val="0"/>
            <c:explosion val="0"/>
            <c:spPr>
              <a:solidFill>
                <a:srgbClr val="FFCD33">
                  <a:alpha val="100000"/>
                </a:srgbClr>
              </a:solidFill>
              <a:ln w="25400">
                <a:solidFill>
                  <a:srgbClr val="FFFFFF">
                    <a:alpha val="100000"/>
                  </a:srgbClr>
                </a:solidFill>
                <a:prstDash val="solid"/>
              </a:ln>
            </c:spPr>
          </c:dPt>
          <c:dPt>
            <c:idx val="16"/>
            <c:bubble3D val="0"/>
            <c:explosion val="0"/>
            <c:spPr>
              <a:solidFill>
                <a:srgbClr val="698ED0">
                  <a:alpha val="100000"/>
                </a:srgbClr>
              </a:solidFill>
              <a:ln w="25400">
                <a:solidFill>
                  <a:srgbClr val="FFFFFF">
                    <a:alpha val="100000"/>
                  </a:srgbClr>
                </a:solidFill>
                <a:prstDash val="solid"/>
              </a:ln>
            </c:spPr>
          </c:dPt>
          <c:dPt>
            <c:idx val="17"/>
            <c:bubble3D val="0"/>
            <c:explosion val="0"/>
            <c:spPr>
              <a:solidFill>
                <a:srgbClr val="8CC168">
                  <a:alpha val="100000"/>
                </a:srgbClr>
              </a:solidFill>
              <a:ln w="25400">
                <a:solidFill>
                  <a:srgbClr val="FFFFFF">
                    <a:alpha val="100000"/>
                  </a:srgbClr>
                </a:solidFill>
                <a:prstDash val="solid"/>
              </a:ln>
            </c:spPr>
          </c:dPt>
          <c:dPt>
            <c:idx val="18"/>
            <c:bubble3D val="0"/>
            <c:explosion val="0"/>
            <c:spPr>
              <a:solidFill>
                <a:srgbClr val="327DC2">
                  <a:alpha val="100000"/>
                </a:srgbClr>
              </a:solidFill>
              <a:ln w="25400">
                <a:solidFill>
                  <a:srgbClr val="FFFFFF">
                    <a:alpha val="100000"/>
                  </a:srgbClr>
                </a:solidFill>
                <a:prstDash val="solid"/>
              </a:ln>
            </c:spPr>
          </c:dPt>
          <c:dPt>
            <c:idx val="19"/>
            <c:bubble3D val="0"/>
            <c:explosion val="0"/>
            <c:spPr>
              <a:solidFill>
                <a:srgbClr val="D26012">
                  <a:alpha val="100000"/>
                </a:srgbClr>
              </a:solidFill>
              <a:ln w="25400">
                <a:solidFill>
                  <a:srgbClr val="FFFFFF">
                    <a:alpha val="100000"/>
                  </a:srgbClr>
                </a:solidFill>
                <a:prstDash val="solid"/>
              </a:ln>
            </c:spPr>
          </c:dPt>
          <c:dPt>
            <c:idx val="20"/>
            <c:bubble3D val="0"/>
            <c:explosion val="0"/>
            <c:spPr>
              <a:solidFill>
                <a:srgbClr val="848484">
                  <a:alpha val="100000"/>
                </a:srgbClr>
              </a:solidFill>
              <a:ln w="25400">
                <a:solidFill>
                  <a:srgbClr val="FFFFFF">
                    <a:alpha val="100000"/>
                  </a:srgbClr>
                </a:solidFill>
                <a:prstDash val="solid"/>
              </a:ln>
            </c:spPr>
          </c:dPt>
          <c:dPt>
            <c:idx val="21"/>
            <c:bubble3D val="0"/>
            <c:explosion val="0"/>
            <c:spPr>
              <a:solidFill>
                <a:srgbClr val="CC9A00">
                  <a:alpha val="100000"/>
                </a:srgbClr>
              </a:solidFill>
              <a:ln w="25400">
                <a:solidFill>
                  <a:srgbClr val="FFFFFF">
                    <a:alpha val="100000"/>
                  </a:srgbClr>
                </a:solidFill>
                <a:prstDash val="solid"/>
              </a:ln>
            </c:spPr>
          </c:dPt>
          <c:dPt>
            <c:idx val="22"/>
            <c:bubble3D val="0"/>
            <c:explosion val="0"/>
            <c:spPr>
              <a:solidFill>
                <a:srgbClr val="335AA1">
                  <a:alpha val="100000"/>
                </a:srgbClr>
              </a:solidFill>
              <a:ln w="25400">
                <a:solidFill>
                  <a:srgbClr val="FFFFFF">
                    <a:alpha val="100000"/>
                  </a:srgbClr>
                </a:solidFill>
                <a:prstDash val="solid"/>
              </a:ln>
            </c:spPr>
          </c:dPt>
          <c:dPt>
            <c:idx val="23"/>
            <c:bubble3D val="0"/>
            <c:explosion val="0"/>
            <c:spPr>
              <a:solidFill>
                <a:srgbClr val="5A8A39">
                  <a:alpha val="100000"/>
                </a:srgbClr>
              </a:solidFill>
              <a:ln w="25400">
                <a:solidFill>
                  <a:srgbClr val="FFFFFF">
                    <a:alpha val="100000"/>
                  </a:srgbClr>
                </a:solidFill>
                <a:prstDash val="solid"/>
              </a:ln>
            </c:spPr>
          </c:dPt>
          <c:dLbls>
            <c:dLbl>
              <c:idx val="5"/>
              <c:delete val="1"/>
            </c:dLbl>
            <c:dLbl>
              <c:idx val="6"/>
              <c:delete val="1"/>
            </c:dLbl>
            <c:dLbl>
              <c:idx val="7"/>
              <c:delete val="1"/>
            </c:dLbl>
            <c:dLbl>
              <c:idx val="8"/>
              <c:delete val="1"/>
            </c:dLbl>
            <c:dLbl>
              <c:idx val="9"/>
              <c:delete val="1"/>
            </c:dLbl>
            <c:dLbl>
              <c:idx val="10"/>
              <c:layout>
                <c:manualLayout>
                  <c:x val="0.00792809092119313"/>
                  <c:y val="-0.0032288585085463"/>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166.35</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11"/>
              <c:delete val="1"/>
            </c:dLbl>
            <c:dLbl>
              <c:idx val="12"/>
              <c:delete val="1"/>
            </c:dLbl>
            <c:dLbl>
              <c:idx val="13"/>
              <c:delete val="1"/>
            </c:dLbl>
            <c:dLbl>
              <c:idx val="14"/>
              <c:delete val="1"/>
            </c:dLbl>
            <c:dLbl>
              <c:idx val="15"/>
              <c:delete val="1"/>
            </c:dLbl>
            <c:dLbl>
              <c:idx val="16"/>
              <c:delete val="1"/>
            </c:dLbl>
            <c:dLbl>
              <c:idx val="17"/>
              <c:delete val="1"/>
            </c:dLbl>
            <c:dLbl>
              <c:idx val="18"/>
              <c:layout>
                <c:manualLayout>
                  <c:x val="-0.0617900141792754"/>
                  <c:y val="0.0980743493364108"/>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rgbClr val="3F3F3F"/>
                        </a:solidFill>
                        <a:latin typeface="Times New Roman" panose="02020603050405020304" pitchFamily="4"/>
                        <a:ea typeface="宋体" panose="02010600030101010101" charset="-122"/>
                        <a:cs typeface="Arial" panose="020B0604020202020204" pitchFamily="2"/>
                      </a:defRPr>
                    </a:pPr>
                    <a:r>
                      <a:rPr lang="en-US" altLang="zh-CN"/>
                      <a:t>6.97</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pitchFamily="4"/>
                      <a:ea typeface="宋体" panose="02010600030101010101" charset="-122"/>
                      <a:cs typeface="Arial" panose="020B0604020202020204" pitchFamily="2"/>
                    </a:defRPr>
                  </a:pPr>
                </a:p>
              </c:txPr>
              <c:dLblPos val="bestFit"/>
              <c:showLegendKey val="0"/>
              <c:showVal val="1"/>
              <c:showCatName val="0"/>
              <c:showSerName val="0"/>
              <c:showPercent val="0"/>
              <c:showBubbleSize val="0"/>
              <c:separator>, </c:separator>
              <c:extLst>
                <c:ext xmlns:c15="http://schemas.microsoft.com/office/drawing/2012/chart" uri="{CE6537A1-D6FC-4f65-9D91-7224C49458BB}">
                  <c15:layout/>
                </c:ext>
              </c:extLst>
            </c:dLbl>
            <c:dLbl>
              <c:idx val="19"/>
              <c:delete val="1"/>
            </c:dLbl>
            <c:dLbl>
              <c:idx val="20"/>
              <c:delete val="1"/>
            </c:dLbl>
            <c:dLbl>
              <c:idx val="21"/>
              <c:layout>
                <c:manualLayout>
                  <c:x val="0.0638885691262806"/>
                  <c:y val="0.0281015820149875"/>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8.61</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22"/>
              <c:delete val="1"/>
            </c:dLbl>
            <c:dLbl>
              <c:idx val="23"/>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pitchFamily="4"/>
                    <a:ea typeface="宋体" panose="02010600030101010101" charset="-122"/>
                    <a:cs typeface="Arial" panose="020B0604020202020204" pitchFamily="2"/>
                  </a:defRPr>
                </a:pPr>
              </a:p>
            </c:txPr>
            <c:dLblPos val="bestFit"/>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shade val="95000"/>
                          <a:satMod val="105000"/>
                        </a:schemeClr>
                      </a:solidFill>
                      <a:prstDash val="solid"/>
                      <a:round/>
                    </a:ln>
                    <a:effectLst/>
                  </c:spPr>
                </c15:leaderLines>
              </c:ext>
            </c:extLst>
          </c:dLbls>
          <c:cat>
            <c:strRef>
              <c:f>[图形.xls]Sheet1!$M$38:$M$61</c:f>
              <c:strCache>
                <c:ptCount val="24"/>
                <c:pt idx="0">
                  <c:v>一般公共服务</c:v>
                </c:pt>
                <c:pt idx="1">
                  <c:v>公共安全支出</c:v>
                </c:pt>
                <c:pt idx="2">
                  <c:v>文化旅游体育与传媒</c:v>
                </c:pt>
                <c:pt idx="3">
                  <c:v>节能环保支出</c:v>
                </c:pt>
                <c:pt idx="4">
                  <c:v>交通运输支出</c:v>
                </c:pt>
                <c:pt idx="5">
                  <c:v>金融支出</c:v>
                </c:pt>
                <c:pt idx="6">
                  <c:v>住房保障支出</c:v>
                </c:pt>
                <c:pt idx="7">
                  <c:v>灾害防治及应急管理支出</c:v>
                </c:pt>
                <c:pt idx="8">
                  <c:v>外交支出</c:v>
                </c:pt>
                <c:pt idx="9">
                  <c:v>教育支出</c:v>
                </c:pt>
                <c:pt idx="10">
                  <c:v>社会保障和就业</c:v>
                </c:pt>
                <c:pt idx="11">
                  <c:v>城乡社区支出</c:v>
                </c:pt>
                <c:pt idx="12">
                  <c:v>资源勘探信息等支出</c:v>
                </c:pt>
                <c:pt idx="13">
                  <c:v>援助其他地区支出</c:v>
                </c:pt>
                <c:pt idx="14">
                  <c:v>粮油物资储备支出</c:v>
                </c:pt>
                <c:pt idx="15">
                  <c:v>其他支出</c:v>
                </c:pt>
                <c:pt idx="16">
                  <c:v>国防支出</c:v>
                </c:pt>
                <c:pt idx="17">
                  <c:v>科学支出</c:v>
                </c:pt>
                <c:pt idx="18">
                  <c:v>卫生健康支出</c:v>
                </c:pt>
                <c:pt idx="19">
                  <c:v>农林水支出</c:v>
                </c:pt>
                <c:pt idx="20">
                  <c:v>商业服务业等支出</c:v>
                </c:pt>
                <c:pt idx="21">
                  <c:v>自然资源海洋气象等支出</c:v>
                </c:pt>
              </c:strCache>
            </c:strRef>
          </c:cat>
          <c:val>
            <c:numRef>
              <c:f>[图形.xls]Sheet1!$N$38:$N$61</c:f>
              <c:numCache>
                <c:formatCode>General</c:formatCode>
                <c:ptCount val="24"/>
                <c:pt idx="0">
                  <c:v>0</c:v>
                </c:pt>
                <c:pt idx="1">
                  <c:v>0</c:v>
                </c:pt>
                <c:pt idx="2">
                  <c:v>0</c:v>
                </c:pt>
                <c:pt idx="3">
                  <c:v>0</c:v>
                </c:pt>
                <c:pt idx="4">
                  <c:v>0</c:v>
                </c:pt>
                <c:pt idx="5">
                  <c:v>0</c:v>
                </c:pt>
                <c:pt idx="6">
                  <c:v>9.85</c:v>
                </c:pt>
                <c:pt idx="7">
                  <c:v>0</c:v>
                </c:pt>
                <c:pt idx="8">
                  <c:v>0</c:v>
                </c:pt>
                <c:pt idx="9">
                  <c:v>0</c:v>
                </c:pt>
                <c:pt idx="10">
                  <c:v>195.09</c:v>
                </c:pt>
                <c:pt idx="11">
                  <c:v>0</c:v>
                </c:pt>
                <c:pt idx="12">
                  <c:v>0</c:v>
                </c:pt>
                <c:pt idx="13">
                  <c:v>0</c:v>
                </c:pt>
                <c:pt idx="14">
                  <c:v>0</c:v>
                </c:pt>
                <c:pt idx="15">
                  <c:v>0</c:v>
                </c:pt>
                <c:pt idx="16">
                  <c:v>0</c:v>
                </c:pt>
                <c:pt idx="17">
                  <c:v>0</c:v>
                </c:pt>
                <c:pt idx="18">
                  <c:v>7.59</c:v>
                </c:pt>
                <c:pt idx="19">
                  <c:v>0</c:v>
                </c:pt>
                <c:pt idx="20">
                  <c:v>0</c:v>
                </c:pt>
                <c:pt idx="21">
                  <c:v>0</c:v>
                </c:pt>
              </c:numCache>
            </c:numRef>
          </c:val>
        </c:ser>
        <c:dLbls>
          <c:showLegendKey val="0"/>
          <c:showVal val="0"/>
          <c:showCatName val="0"/>
          <c:showSerName val="0"/>
          <c:showPercent val="0"/>
          <c:showBubbleSize val="0"/>
          <c:showLeaderLines val="1"/>
        </c:dLbls>
        <c:firstSliceAng val="0"/>
      </c:pieChart>
      <c:spPr>
        <a:noFill/>
        <a:ln w="12700">
          <a:noFill/>
        </a:ln>
      </c:spPr>
    </c:plotArea>
    <c:legend>
      <c:legendPos val="r"/>
      <c:layout>
        <c:manualLayout>
          <c:xMode val="edge"/>
          <c:yMode val="edge"/>
          <c:x val="0.0982206170139289"/>
          <c:y val="0.497755203996669"/>
          <c:w val="0.82725"/>
          <c:h val="0.496"/>
        </c:manualLayout>
      </c:layout>
      <c:overlay val="0"/>
      <c:spPr>
        <a:noFill/>
        <a:ln w="12700">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p>
      </c:txPr>
    </c:legend>
    <c:plotVisOnly val="1"/>
    <c:dispBlanksAs val="zero"/>
    <c:showDLblsOverMax val="0"/>
    <c:extLst>
      <c:ext uri="{0b15fc19-7d7d-44ad-8c2d-2c3a37ce22c3}">
        <chartProps xmlns="https://web.wps.cn/et/2018/main" chartId="{bd64f9ed-ded5-40fd-af87-19fd3f70b2af}"/>
      </c:ext>
    </c:extLst>
  </c:chart>
  <c:spPr>
    <a:solidFill>
      <a:srgbClr val="FFFFFF">
        <a:alpha val="100000"/>
      </a:srgbClr>
    </a:solidFill>
    <a:ln w="12700" cap="flat" cmpd="sng" algn="ctr">
      <a:solidFill>
        <a:srgbClr val="D8D8D8">
          <a:alpha val="100000"/>
        </a:srgbClr>
      </a:solidFill>
      <a:prstDash val="solid"/>
      <a:round/>
    </a:ln>
  </c:spPr>
  <c:txPr>
    <a:bodyPr rot="0" wrap="square" anchor="ctr" anchorCtr="1"/>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r>
              <a:rPr sz="1400" b="0" i="0" u="none" strike="noStrike" baseline="0">
                <a:solidFill>
                  <a:srgbClr val="595959"/>
                </a:solidFill>
                <a:latin typeface="宋体" panose="02010600030101010101" charset="-122"/>
                <a:ea typeface="宋体" panose="02010600030101010101" charset="-122"/>
                <a:cs typeface="宋体" panose="02010600030101010101" charset="-122"/>
              </a:rPr>
              <a:t>红原县红十字会202</a:t>
            </a:r>
            <a:r>
              <a:rPr lang="en-US" altLang="zh-CN" sz="1400" b="0" i="0" u="none" strike="noStrike" baseline="0">
                <a:solidFill>
                  <a:srgbClr val="595959"/>
                </a:solidFill>
                <a:latin typeface="宋体" panose="02010600030101010101" charset="-122"/>
                <a:ea typeface="宋体" panose="02010600030101010101" charset="-122"/>
                <a:cs typeface="宋体" panose="02010600030101010101" charset="-122"/>
              </a:rPr>
              <a:t>3</a:t>
            </a:r>
            <a:r>
              <a:rPr sz="1400" b="0" i="0" u="none" strike="noStrike" baseline="0">
                <a:solidFill>
                  <a:srgbClr val="595959"/>
                </a:solidFill>
                <a:latin typeface="宋体" panose="02010600030101010101" charset="-122"/>
                <a:ea typeface="宋体" panose="02010600030101010101" charset="-122"/>
                <a:cs typeface="宋体" panose="02010600030101010101" charset="-122"/>
              </a:rPr>
              <a:t>年“三公”经费财政拨款支出结构</a:t>
            </a:r>
            <a:endParaRPr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manualLayout>
          <c:xMode val="edge"/>
          <c:yMode val="edge"/>
          <c:x val="0.114414414414414"/>
          <c:y val="0.0255203171456888"/>
        </c:manualLayout>
      </c:layout>
      <c:overlay val="0"/>
    </c:title>
    <c:autoTitleDeleted val="0"/>
    <c:plotArea>
      <c:layout>
        <c:manualLayout>
          <c:layoutTarget val="inner"/>
          <c:xMode val="edge"/>
          <c:yMode val="edge"/>
          <c:x val="0.354"/>
          <c:y val="0.3005"/>
          <c:w val="0.2915"/>
          <c:h val="0.4405"/>
        </c:manualLayout>
      </c:layout>
      <c:pieChart>
        <c:varyColors val="1"/>
        <c:ser>
          <c:idx val="0"/>
          <c:order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explosion val="0"/>
          <c:dPt>
            <c:idx val="0"/>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Pt>
            <c:idx val="1"/>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Pt>
            <c:idx val="2"/>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Lbls>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2.7</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pitchFamily="4"/>
                    <a:ea typeface="宋体" panose="02010600030101010101" charset="-122"/>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shade val="95000"/>
                          <a:satMod val="105000"/>
                        </a:schemeClr>
                      </a:solidFill>
                      <a:prstDash val="solid"/>
                      <a:round/>
                    </a:ln>
                    <a:effectLst/>
                  </c:spPr>
                </c15:leaderLines>
              </c:ext>
            </c:extLst>
          </c:dLbls>
          <c:cat>
            <c:strRef>
              <c:f>[图形.xls]Sheet1!$B$49:$B$51</c:f>
              <c:strCache>
                <c:ptCount val="3"/>
                <c:pt idx="0">
                  <c:v>因公出国（境）费</c:v>
                </c:pt>
                <c:pt idx="1">
                  <c:v>公务用车购置及运行维护费</c:v>
                </c:pt>
                <c:pt idx="2">
                  <c:v>公务接待费</c:v>
                </c:pt>
              </c:strCache>
            </c:strRef>
          </c:cat>
          <c:val>
            <c:numRef>
              <c:f>[图形.xls]Sheet1!$C$49:$C$51</c:f>
              <c:numCache>
                <c:formatCode>General</c:formatCode>
                <c:ptCount val="3"/>
                <c:pt idx="0">
                  <c:v>0</c:v>
                </c:pt>
                <c:pt idx="1">
                  <c:v>2.61</c:v>
                </c:pt>
                <c:pt idx="2">
                  <c:v>0</c:v>
                </c:pt>
              </c:numCache>
            </c:numRef>
          </c:val>
        </c:ser>
        <c:dLbls>
          <c:showLegendKey val="0"/>
          <c:showVal val="0"/>
          <c:showCatName val="0"/>
          <c:showSerName val="0"/>
          <c:showPercent val="0"/>
          <c:showBubbleSize val="0"/>
          <c:showLeaderLines val="1"/>
        </c:dLbls>
        <c:firstSliceAng val="0"/>
      </c:pieChart>
      <c:spPr>
        <a:noFill/>
        <a:ln w="12700">
          <a:noFill/>
        </a:ln>
      </c:spPr>
    </c:plotArea>
    <c:legend>
      <c:legendPos val="r"/>
      <c:layout>
        <c:manualLayout>
          <c:xMode val="edge"/>
          <c:yMode val="edge"/>
          <c:x val="0.09775"/>
          <c:y val="0.8505"/>
          <c:w val="0.832350416555261"/>
          <c:h val="0.117277576855144"/>
        </c:manualLayout>
      </c:layout>
      <c:overlay val="0"/>
      <c:spPr>
        <a:noFill/>
        <a:ln w="12700">
          <a:noFill/>
        </a:ln>
      </c:spPr>
      <c:txPr>
        <a:bodyPr rot="0" spcFirstLastPara="0" vertOverflow="ellipsis" vert="horz" wrap="square" anchor="ctr" anchorCtr="1"/>
        <a:lstStyle/>
        <a:p>
          <a:pPr>
            <a:defRPr lang="zh-CN" sz="10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p>
      </c:txPr>
    </c:legend>
    <c:plotVisOnly val="1"/>
    <c:dispBlanksAs val="zero"/>
    <c:showDLblsOverMax val="0"/>
    <c:extLst>
      <c:ext uri="{0b15fc19-7d7d-44ad-8c2d-2c3a37ce22c3}">
        <chartProps xmlns="https://web.wps.cn/et/2018/main" chartId="{6552e7ac-5c7c-4e48-b8c8-72cddc2e7cb1}"/>
      </c:ext>
    </c:extLst>
  </c:chart>
  <c:spPr>
    <a:solidFill>
      <a:srgbClr val="FFFFFF">
        <a:alpha val="100000"/>
      </a:srgbClr>
    </a:solidFill>
    <a:ln w="12700" cap="flat" cmpd="sng" algn="ctr">
      <a:solidFill>
        <a:srgbClr val="D8D8D8">
          <a:alpha val="100000"/>
        </a:srgbClr>
      </a:solidFill>
      <a:prstDash val="solid"/>
      <a:round/>
    </a:ln>
  </c:spPr>
  <c:txPr>
    <a:bodyPr rot="0" wrap="square" anchor="ctr" anchorCtr="1"/>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766</Words>
  <Characters>777</Characters>
  <Lines>72</Lines>
  <Paragraphs>20</Paragraphs>
  <TotalTime>4</TotalTime>
  <ScaleCrop>false</ScaleCrop>
  <LinksUpToDate>false</LinksUpToDate>
  <CharactersWithSpaces>784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Administrator</cp:lastModifiedBy>
  <cp:lastPrinted>2023-08-03T10:35:00Z</cp:lastPrinted>
  <dcterms:modified xsi:type="dcterms:W3CDTF">2024-11-19T06:33:43Z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EA826AE64EAE4AD198898C0F1A60AA0A_12</vt:lpwstr>
  </property>
</Properties>
</file>