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widowControl/>
        <w:suppressLineNumbers w:val="0"/>
        <w:spacing w:before="0" w:beforeAutospacing="0"/>
        <w:ind w:left="0"/>
        <w:jc w:val="center"/>
      </w:pPr>
      <w:r>
        <w:rPr>
          <w:sz w:val="42"/>
          <w:szCs w:val="42"/>
          <w:shd w:val="clear" w:color="auto" w:fill="FFFFFF"/>
        </w:rPr>
        <w:t>2022年度</w:t>
      </w:r>
    </w:p>
    <w:p>
      <w:pPr>
        <w:pStyle w:val="10"/>
        <w:keepNext w:val="0"/>
        <w:keepLines w:val="0"/>
        <w:widowControl/>
        <w:suppressLineNumbers w:val="0"/>
        <w:spacing w:before="0" w:beforeAutospacing="0"/>
        <w:ind w:left="0"/>
        <w:jc w:val="center"/>
        <w:outlineLvl w:val="0"/>
      </w:pPr>
      <w:bookmarkStart w:id="0" w:name="_Toc15242"/>
      <w:bookmarkStart w:id="1" w:name="_Toc13356"/>
      <w:bookmarkStart w:id="2" w:name="_Toc20883"/>
      <w:r>
        <w:rPr>
          <w:sz w:val="42"/>
          <w:szCs w:val="42"/>
          <w:shd w:val="clear" w:color="auto" w:fill="FFFFFF"/>
        </w:rPr>
        <w:t>阿坝州红原县红十字会部门决算</w:t>
      </w:r>
      <w:bookmarkEnd w:id="0"/>
      <w:bookmarkEnd w:id="1"/>
      <w:bookmarkEnd w:id="2"/>
    </w:p>
    <w:p>
      <w:pPr>
        <w:pStyle w:val="10"/>
        <w:keepNext w:val="0"/>
        <w:keepLines w:val="0"/>
        <w:widowControl/>
        <w:suppressLineNumbers w:val="0"/>
        <w:spacing w:before="0" w:beforeAutospacing="0"/>
        <w:ind w:left="0"/>
        <w:jc w:val="center"/>
      </w:pPr>
      <w:r>
        <w:rPr>
          <w:shd w:val="clear" w:color="auto" w:fill="FFFFFF"/>
        </w:rPr>
        <w:t> </w:t>
      </w:r>
    </w:p>
    <w:p>
      <w:pPr>
        <w:pStyle w:val="10"/>
        <w:keepNext w:val="0"/>
        <w:keepLines w:val="0"/>
        <w:widowControl/>
        <w:suppressLineNumbers w:val="0"/>
        <w:spacing w:before="0" w:beforeAutospacing="0"/>
        <w:ind w:left="0"/>
        <w:jc w:val="center"/>
      </w:pPr>
      <w:r>
        <w:rPr>
          <w:shd w:val="clear" w:color="auto" w:fill="FFFFFF"/>
        </w:rPr>
        <w:t> </w:t>
      </w:r>
    </w:p>
    <w:p>
      <w:pPr>
        <w:pStyle w:val="10"/>
        <w:keepNext w:val="0"/>
        <w:keepLines w:val="0"/>
        <w:widowControl/>
        <w:suppressLineNumbers w:val="0"/>
        <w:spacing w:before="0" w:beforeAutospacing="0"/>
        <w:ind w:left="0"/>
        <w:jc w:val="center"/>
      </w:pPr>
      <w:r>
        <w:rPr>
          <w:shd w:val="clear" w:color="auto" w:fill="FFFFFF"/>
        </w:rPr>
        <w:t> </w:t>
      </w:r>
    </w:p>
    <w:p>
      <w:pPr>
        <w:pStyle w:val="10"/>
        <w:keepNext w:val="0"/>
        <w:keepLines w:val="0"/>
        <w:widowControl/>
        <w:suppressLineNumbers w:val="0"/>
        <w:spacing w:before="0" w:beforeAutospacing="0"/>
        <w:ind w:left="0"/>
        <w:jc w:val="center"/>
      </w:pPr>
      <w:r>
        <w:rPr>
          <w:shd w:val="clear" w:color="auto" w:fill="FFFFFF"/>
        </w:rPr>
        <w:t> </w:t>
      </w:r>
    </w:p>
    <w:p>
      <w:pPr>
        <w:pStyle w:val="10"/>
        <w:keepNext w:val="0"/>
        <w:keepLines w:val="0"/>
        <w:widowControl/>
        <w:suppressLineNumbers w:val="0"/>
        <w:spacing w:before="0" w:beforeAutospacing="0"/>
        <w:ind w:left="0"/>
        <w:jc w:val="center"/>
      </w:pPr>
      <w:r>
        <w:rPr>
          <w:shd w:val="clear" w:color="auto" w:fill="FFFFFF"/>
        </w:rPr>
        <w:t> </w:t>
      </w:r>
    </w:p>
    <w:p>
      <w:pPr>
        <w:pStyle w:val="10"/>
        <w:keepNext w:val="0"/>
        <w:keepLines w:val="0"/>
        <w:widowControl/>
        <w:suppressLineNumbers w:val="0"/>
        <w:spacing w:before="0" w:beforeAutospacing="0"/>
        <w:ind w:left="0"/>
        <w:jc w:val="center"/>
      </w:pPr>
      <w:r>
        <w:rPr>
          <w:shd w:val="clear" w:color="auto" w:fill="FFFFFF"/>
        </w:rPr>
        <w:t> </w:t>
      </w: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pPr>
      <w:r>
        <w:rPr>
          <w:shd w:val="clear" w:color="auto" w:fill="FFFFFF"/>
        </w:rPr>
        <w:t> </w:t>
      </w:r>
    </w:p>
    <w:p>
      <w:pPr>
        <w:pStyle w:val="10"/>
        <w:keepNext w:val="0"/>
        <w:keepLines w:val="0"/>
        <w:widowControl/>
        <w:suppressLineNumbers w:val="0"/>
        <w:spacing w:before="0" w:beforeAutospacing="0"/>
        <w:ind w:left="0"/>
        <w:jc w:val="center"/>
      </w:pPr>
      <w:r>
        <w:rPr>
          <w:shd w:val="clear" w:color="auto" w:fill="FFFFFF"/>
        </w:rPr>
        <w:t>已经保密审查、内容审定，同意对外公开</w:t>
      </w:r>
    </w:p>
    <w:p>
      <w:pPr>
        <w:pStyle w:val="10"/>
        <w:keepNext w:val="0"/>
        <w:keepLines w:val="0"/>
        <w:widowControl/>
        <w:suppressLineNumbers w:val="0"/>
        <w:spacing w:beforeAutospacing="0"/>
        <w:ind w:left="0"/>
        <w:rPr>
          <w:shd w:val="clear" w:color="auto" w:fill="FFFFFF"/>
        </w:rPr>
      </w:pPr>
      <w:r>
        <w:rPr>
          <w:shd w:val="clear" w:color="auto" w:fill="FFFFFF"/>
        </w:rPr>
        <w:t> </w:t>
      </w:r>
    </w:p>
    <w:p/>
    <w:p>
      <w:pPr>
        <w:pStyle w:val="16"/>
        <w:ind w:left="0" w:firstLine="3720" w:firstLineChars="1550"/>
        <w:rPr>
          <w:rFonts w:hint="eastAsia"/>
          <w:sz w:val="24"/>
          <w:szCs w:val="24"/>
        </w:rPr>
      </w:pPr>
      <w:r>
        <w:rPr>
          <w:rFonts w:hint="eastAsia"/>
          <w:sz w:val="24"/>
          <w:szCs w:val="24"/>
        </w:rPr>
        <w:t xml:space="preserve">目  </w:t>
      </w:r>
      <w:r>
        <w:rPr>
          <w:sz w:val="24"/>
          <w:szCs w:val="24"/>
        </w:rPr>
        <w:t xml:space="preserve"> </w:t>
      </w:r>
      <w:r>
        <w:rPr>
          <w:rFonts w:hint="eastAsia"/>
          <w:sz w:val="24"/>
          <w:szCs w:val="24"/>
        </w:rPr>
        <w:t>录</w:t>
      </w:r>
    </w:p>
    <w:p>
      <w:pPr>
        <w:pStyle w:val="16"/>
        <w:rPr>
          <w:b/>
          <w:bCs/>
          <w:sz w:val="24"/>
          <w:szCs w:val="24"/>
        </w:rPr>
      </w:pPr>
      <w:r>
        <w:rPr>
          <w:rFonts w:hint="eastAsia"/>
          <w:b/>
          <w:bCs/>
          <w:sz w:val="24"/>
          <w:szCs w:val="24"/>
        </w:rPr>
        <w:t>阿坝州红原县红十字会部门</w:t>
      </w:r>
      <w:r>
        <w:rPr>
          <w:b/>
          <w:bCs/>
          <w:sz w:val="24"/>
          <w:szCs w:val="24"/>
        </w:rPr>
        <w:t>决</w:t>
      </w:r>
      <w:r>
        <w:rPr>
          <w:rFonts w:hint="eastAsia"/>
          <w:b/>
          <w:bCs/>
          <w:sz w:val="24"/>
          <w:szCs w:val="24"/>
        </w:rPr>
        <w:t>算 ...............................................................................</w:t>
      </w:r>
      <w:r>
        <w:rPr>
          <w:b/>
          <w:bCs/>
          <w:sz w:val="24"/>
          <w:szCs w:val="24"/>
        </w:rPr>
        <w:t>1</w:t>
      </w:r>
    </w:p>
    <w:p>
      <w:pPr>
        <w:pStyle w:val="16"/>
        <w:rPr>
          <w:rFonts w:hint="eastAsia"/>
          <w:b/>
          <w:bCs/>
          <w:sz w:val="24"/>
          <w:szCs w:val="24"/>
        </w:rPr>
      </w:pPr>
      <w:r>
        <w:rPr>
          <w:rFonts w:hint="eastAsia"/>
          <w:b/>
          <w:bCs/>
          <w:sz w:val="24"/>
          <w:szCs w:val="24"/>
        </w:rPr>
        <w:t>第一部分  部门概况......................................................................................................3</w:t>
      </w:r>
    </w:p>
    <w:p>
      <w:pPr>
        <w:pStyle w:val="16"/>
        <w:ind w:firstLine="480" w:firstLineChars="200"/>
        <w:rPr>
          <w:sz w:val="24"/>
          <w:szCs w:val="24"/>
        </w:rPr>
      </w:pPr>
      <w:r>
        <w:rPr>
          <w:sz w:val="24"/>
          <w:szCs w:val="24"/>
        </w:rPr>
        <w:t xml:space="preserve">一、 </w:t>
      </w:r>
      <w:r>
        <w:rPr>
          <w:rFonts w:hint="eastAsia"/>
          <w:sz w:val="24"/>
          <w:szCs w:val="24"/>
        </w:rPr>
        <w:t>基本职能及主要工作...................................................................................</w:t>
      </w:r>
      <w:r>
        <w:rPr>
          <w:sz w:val="24"/>
          <w:szCs w:val="24"/>
        </w:rPr>
        <w:t>3</w:t>
      </w:r>
    </w:p>
    <w:p>
      <w:pPr>
        <w:pStyle w:val="16"/>
        <w:ind w:firstLine="480" w:firstLineChars="200"/>
        <w:rPr>
          <w:rFonts w:hint="eastAsia"/>
          <w:sz w:val="24"/>
          <w:szCs w:val="24"/>
        </w:rPr>
      </w:pPr>
      <w:r>
        <w:rPr>
          <w:rFonts w:hint="eastAsia"/>
          <w:sz w:val="24"/>
          <w:szCs w:val="24"/>
        </w:rPr>
        <w:t>二、机构设置........................................................................................................</w:t>
      </w:r>
      <w:r>
        <w:rPr>
          <w:sz w:val="24"/>
          <w:szCs w:val="24"/>
        </w:rPr>
        <w:t>4</w:t>
      </w:r>
    </w:p>
    <w:p>
      <w:pPr>
        <w:pStyle w:val="16"/>
        <w:rPr>
          <w:rFonts w:hint="eastAsia"/>
          <w:b/>
          <w:bCs/>
          <w:sz w:val="24"/>
          <w:szCs w:val="24"/>
        </w:rPr>
      </w:pPr>
      <w:r>
        <w:rPr>
          <w:rFonts w:hint="eastAsia"/>
          <w:b/>
          <w:bCs/>
          <w:sz w:val="24"/>
          <w:szCs w:val="24"/>
        </w:rPr>
        <w:t>第二部分  202</w:t>
      </w:r>
      <w:r>
        <w:rPr>
          <w:b/>
          <w:bCs/>
          <w:sz w:val="24"/>
          <w:szCs w:val="24"/>
        </w:rPr>
        <w:t>2</w:t>
      </w:r>
      <w:r>
        <w:rPr>
          <w:rFonts w:hint="eastAsia"/>
          <w:b/>
          <w:bCs/>
          <w:sz w:val="24"/>
          <w:szCs w:val="24"/>
        </w:rPr>
        <w:t>年度部门决算情况说明.....................................................................</w:t>
      </w:r>
      <w:r>
        <w:rPr>
          <w:b/>
          <w:bCs/>
          <w:sz w:val="24"/>
          <w:szCs w:val="24"/>
        </w:rPr>
        <w:t>5</w:t>
      </w:r>
    </w:p>
    <w:p>
      <w:pPr>
        <w:pStyle w:val="16"/>
        <w:ind w:left="480"/>
        <w:rPr>
          <w:sz w:val="24"/>
          <w:szCs w:val="24"/>
        </w:rPr>
      </w:pPr>
      <w:r>
        <w:rPr>
          <w:sz w:val="24"/>
          <w:szCs w:val="24"/>
        </w:rPr>
        <w:t xml:space="preserve">一、   </w:t>
      </w:r>
      <w:r>
        <w:rPr>
          <w:rFonts w:hint="eastAsia"/>
          <w:sz w:val="24"/>
          <w:szCs w:val="24"/>
        </w:rPr>
        <w:t>收入支出决算总体情明.............................................................................</w:t>
      </w:r>
      <w:r>
        <w:rPr>
          <w:sz w:val="24"/>
          <w:szCs w:val="24"/>
        </w:rPr>
        <w:t>5</w:t>
      </w:r>
    </w:p>
    <w:p>
      <w:pPr>
        <w:pStyle w:val="16"/>
        <w:ind w:firstLine="480" w:firstLineChars="200"/>
        <w:rPr>
          <w:rFonts w:hint="eastAsia" w:eastAsia="宋体"/>
          <w:sz w:val="24"/>
          <w:szCs w:val="24"/>
          <w:lang w:val="en-US" w:eastAsia="zh-CN"/>
        </w:rPr>
      </w:pPr>
      <w:r>
        <w:rPr>
          <w:rFonts w:hint="eastAsia"/>
          <w:sz w:val="24"/>
          <w:szCs w:val="24"/>
        </w:rPr>
        <w:t>二、收入决算情况说明........................................................................................</w:t>
      </w:r>
      <w:r>
        <w:rPr>
          <w:rFonts w:hint="eastAsia"/>
          <w:sz w:val="24"/>
          <w:szCs w:val="24"/>
          <w:lang w:val="en-US" w:eastAsia="zh-CN"/>
        </w:rPr>
        <w:t>6</w:t>
      </w:r>
    </w:p>
    <w:p>
      <w:pPr>
        <w:pStyle w:val="16"/>
        <w:ind w:firstLine="480" w:firstLineChars="200"/>
        <w:rPr>
          <w:rFonts w:hint="eastAsia" w:eastAsia="宋体"/>
          <w:sz w:val="24"/>
          <w:szCs w:val="24"/>
          <w:lang w:val="en-US" w:eastAsia="zh-CN"/>
        </w:rPr>
      </w:pPr>
      <w:r>
        <w:rPr>
          <w:rFonts w:hint="eastAsia"/>
          <w:sz w:val="24"/>
          <w:szCs w:val="24"/>
        </w:rPr>
        <w:t>三、支出决算情况说明........................................................................................</w:t>
      </w:r>
      <w:r>
        <w:rPr>
          <w:rFonts w:hint="eastAsia"/>
          <w:sz w:val="24"/>
          <w:szCs w:val="24"/>
          <w:lang w:val="en-US" w:eastAsia="zh-CN"/>
        </w:rPr>
        <w:t>6</w:t>
      </w:r>
    </w:p>
    <w:p>
      <w:pPr>
        <w:pStyle w:val="16"/>
        <w:ind w:firstLine="480" w:firstLineChars="200"/>
        <w:rPr>
          <w:rFonts w:hint="default" w:eastAsia="宋体"/>
          <w:sz w:val="24"/>
          <w:szCs w:val="24"/>
          <w:lang w:val="en-US" w:eastAsia="zh-CN"/>
        </w:rPr>
      </w:pPr>
      <w:r>
        <w:rPr>
          <w:rFonts w:hint="eastAsia"/>
          <w:sz w:val="24"/>
          <w:szCs w:val="24"/>
        </w:rPr>
        <w:t>四、财政拨款收入支出决算总体情况说明......................................................</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五、一般公共预算财政拨款支出决算情况说明..............................................</w:t>
      </w:r>
      <w:r>
        <w:rPr>
          <w:rFonts w:hint="eastAsia"/>
          <w:sz w:val="24"/>
          <w:szCs w:val="24"/>
          <w:lang w:val="en-US" w:eastAsia="zh-CN"/>
        </w:rPr>
        <w:t>..7</w:t>
      </w:r>
    </w:p>
    <w:p>
      <w:pPr>
        <w:pStyle w:val="16"/>
        <w:ind w:firstLine="480" w:firstLineChars="200"/>
        <w:rPr>
          <w:rFonts w:hint="default"/>
          <w:sz w:val="24"/>
          <w:szCs w:val="24"/>
          <w:lang w:val="en-US"/>
        </w:rPr>
      </w:pPr>
      <w:r>
        <w:rPr>
          <w:rFonts w:hint="eastAsia"/>
          <w:sz w:val="24"/>
          <w:szCs w:val="24"/>
        </w:rPr>
        <w:t>六、一般公共预算财政拨款基本支出决算情况说明......................................</w:t>
      </w:r>
      <w:r>
        <w:rPr>
          <w:rFonts w:hint="eastAsia"/>
          <w:sz w:val="24"/>
          <w:szCs w:val="24"/>
          <w:lang w:val="en-US" w:eastAsia="zh-CN"/>
        </w:rPr>
        <w:t>..9</w:t>
      </w:r>
    </w:p>
    <w:p>
      <w:pPr>
        <w:pStyle w:val="16"/>
        <w:ind w:firstLine="480" w:firstLineChars="200"/>
        <w:rPr>
          <w:rFonts w:hint="default"/>
          <w:sz w:val="24"/>
          <w:szCs w:val="24"/>
          <w:lang w:val="en-US"/>
        </w:rPr>
      </w:pPr>
      <w:r>
        <w:rPr>
          <w:rFonts w:hint="eastAsia"/>
          <w:sz w:val="24"/>
          <w:szCs w:val="24"/>
        </w:rPr>
        <w:t>七、“三公”经费财政拨款支出决算情况说明..............................................</w:t>
      </w:r>
      <w:r>
        <w:rPr>
          <w:rFonts w:hint="eastAsia"/>
          <w:sz w:val="24"/>
          <w:szCs w:val="24"/>
          <w:lang w:val="en-US" w:eastAsia="zh-CN"/>
        </w:rPr>
        <w:t>..9</w:t>
      </w:r>
    </w:p>
    <w:p>
      <w:pPr>
        <w:pStyle w:val="16"/>
        <w:ind w:firstLine="480" w:firstLineChars="200"/>
        <w:rPr>
          <w:rFonts w:hint="default"/>
          <w:sz w:val="24"/>
          <w:szCs w:val="24"/>
          <w:lang w:val="en-US"/>
        </w:rPr>
      </w:pPr>
      <w:r>
        <w:rPr>
          <w:rFonts w:hint="eastAsia"/>
          <w:sz w:val="24"/>
          <w:szCs w:val="24"/>
        </w:rPr>
        <w:t>八、政府性基金预算支出决算情况说明..............................................</w:t>
      </w:r>
      <w:r>
        <w:rPr>
          <w:rFonts w:hint="eastAsia"/>
          <w:sz w:val="24"/>
          <w:szCs w:val="24"/>
          <w:lang w:val="en-US" w:eastAsia="zh-CN"/>
        </w:rPr>
        <w:t>............10</w:t>
      </w:r>
    </w:p>
    <w:p>
      <w:pPr>
        <w:pStyle w:val="16"/>
        <w:ind w:firstLine="480" w:firstLineChars="200"/>
        <w:rPr>
          <w:rFonts w:hint="default"/>
          <w:sz w:val="24"/>
          <w:szCs w:val="24"/>
          <w:lang w:val="en-US"/>
        </w:rPr>
      </w:pPr>
      <w:r>
        <w:rPr>
          <w:rFonts w:hint="eastAsia"/>
          <w:sz w:val="24"/>
          <w:szCs w:val="24"/>
        </w:rPr>
        <w:t>九、国有资本经营预算支出决算情况说明..............................................</w:t>
      </w:r>
      <w:r>
        <w:rPr>
          <w:rFonts w:hint="eastAsia"/>
          <w:sz w:val="24"/>
          <w:szCs w:val="24"/>
          <w:lang w:val="en-US" w:eastAsia="zh-CN"/>
        </w:rPr>
        <w:t>........10</w:t>
      </w:r>
    </w:p>
    <w:p>
      <w:pPr>
        <w:pStyle w:val="16"/>
        <w:ind w:firstLine="480" w:firstLineChars="200"/>
        <w:rPr>
          <w:rFonts w:hint="default"/>
          <w:sz w:val="24"/>
          <w:szCs w:val="24"/>
          <w:lang w:val="en-US"/>
        </w:rPr>
      </w:pPr>
      <w:r>
        <w:rPr>
          <w:rFonts w:hint="eastAsia"/>
          <w:sz w:val="24"/>
          <w:szCs w:val="24"/>
        </w:rPr>
        <w:t>十、其他重要事项的情况说明....................................</w:t>
      </w:r>
      <w:r>
        <w:rPr>
          <w:rFonts w:hint="eastAsia"/>
          <w:sz w:val="24"/>
          <w:szCs w:val="24"/>
          <w:lang w:val="en-US" w:eastAsia="zh-CN"/>
        </w:rPr>
        <w:t>............................</w:t>
      </w:r>
      <w:r>
        <w:rPr>
          <w:rFonts w:hint="eastAsia"/>
          <w:sz w:val="24"/>
          <w:szCs w:val="24"/>
        </w:rPr>
        <w:t>..........</w:t>
      </w:r>
      <w:r>
        <w:rPr>
          <w:rFonts w:hint="eastAsia"/>
          <w:sz w:val="24"/>
          <w:szCs w:val="24"/>
          <w:lang w:val="en-US" w:eastAsia="zh-CN"/>
        </w:rPr>
        <w:t>10</w:t>
      </w:r>
    </w:p>
    <w:p>
      <w:pPr>
        <w:pStyle w:val="16"/>
        <w:rPr>
          <w:rFonts w:hint="eastAsia"/>
          <w:b/>
          <w:bCs/>
          <w:sz w:val="24"/>
          <w:szCs w:val="24"/>
          <w:lang w:val="en-US" w:eastAsia="zh-CN"/>
        </w:rPr>
      </w:pPr>
      <w:r>
        <w:rPr>
          <w:rFonts w:hint="eastAsia"/>
          <w:b/>
          <w:bCs/>
          <w:sz w:val="24"/>
          <w:szCs w:val="24"/>
        </w:rPr>
        <w:t>第三部分  名词解释..........................</w:t>
      </w:r>
      <w:r>
        <w:rPr>
          <w:rFonts w:hint="eastAsia"/>
          <w:b/>
          <w:bCs/>
          <w:sz w:val="24"/>
          <w:szCs w:val="24"/>
          <w:lang w:val="en-US" w:eastAsia="zh-CN"/>
        </w:rPr>
        <w:t>.................................</w:t>
      </w:r>
      <w:r>
        <w:rPr>
          <w:rFonts w:hint="eastAsia"/>
          <w:b/>
          <w:bCs/>
          <w:sz w:val="24"/>
          <w:szCs w:val="24"/>
        </w:rPr>
        <w:t>.....................</w:t>
      </w:r>
      <w:r>
        <w:rPr>
          <w:rFonts w:hint="eastAsia"/>
          <w:b/>
          <w:bCs/>
          <w:sz w:val="24"/>
          <w:szCs w:val="24"/>
          <w:lang w:val="en-US" w:eastAsia="zh-CN"/>
        </w:rPr>
        <w:t>................</w:t>
      </w:r>
      <w:r>
        <w:rPr>
          <w:rFonts w:hint="eastAsia"/>
          <w:b/>
          <w:bCs/>
          <w:sz w:val="24"/>
          <w:szCs w:val="24"/>
        </w:rPr>
        <w:t>....</w:t>
      </w:r>
      <w:r>
        <w:rPr>
          <w:rFonts w:hint="eastAsia"/>
          <w:b/>
          <w:bCs/>
          <w:sz w:val="24"/>
          <w:szCs w:val="24"/>
          <w:lang w:val="en-US" w:eastAsia="zh-CN"/>
        </w:rPr>
        <w:t>12</w:t>
      </w:r>
    </w:p>
    <w:p>
      <w:pPr>
        <w:pStyle w:val="16"/>
        <w:ind w:firstLine="480" w:firstLineChars="200"/>
        <w:rPr>
          <w:rFonts w:hint="default" w:eastAsia="宋体"/>
          <w:sz w:val="24"/>
          <w:szCs w:val="24"/>
          <w:lang w:val="en-US" w:eastAsia="zh-CN"/>
        </w:rPr>
      </w:pPr>
      <w:r>
        <w:rPr>
          <w:rFonts w:hint="eastAsia"/>
          <w:sz w:val="24"/>
          <w:szCs w:val="24"/>
        </w:rPr>
        <w:t>1</w:t>
      </w:r>
      <w:r>
        <w:rPr>
          <w:rFonts w:hint="eastAsia"/>
          <w:sz w:val="24"/>
          <w:szCs w:val="24"/>
          <w:lang w:val="en-US" w:eastAsia="zh-CN"/>
        </w:rPr>
        <w:t>.</w:t>
      </w:r>
      <w:r>
        <w:rPr>
          <w:rFonts w:hint="eastAsia"/>
          <w:sz w:val="24"/>
          <w:szCs w:val="24"/>
        </w:rPr>
        <w:t>财政拨款收入：指单位从同级财政部门取得的财政预算资金。...............</w:t>
      </w:r>
      <w:r>
        <w:rPr>
          <w:rFonts w:hint="eastAsia"/>
          <w:sz w:val="24"/>
          <w:szCs w:val="24"/>
          <w:lang w:val="en-US" w:eastAsia="zh-CN"/>
        </w:rPr>
        <w:t>12</w:t>
      </w:r>
    </w:p>
    <w:p>
      <w:pPr>
        <w:pStyle w:val="16"/>
        <w:rPr>
          <w:rFonts w:hint="eastAsia"/>
          <w:b/>
          <w:bCs/>
          <w:sz w:val="24"/>
          <w:szCs w:val="24"/>
        </w:rPr>
      </w:pPr>
      <w:r>
        <w:rPr>
          <w:rFonts w:hint="eastAsia"/>
          <w:b/>
          <w:bCs/>
          <w:sz w:val="24"/>
          <w:szCs w:val="24"/>
        </w:rPr>
        <w:t>第四部分  附件......................</w:t>
      </w:r>
      <w:r>
        <w:rPr>
          <w:rFonts w:hint="eastAsia"/>
          <w:b/>
          <w:bCs/>
          <w:sz w:val="24"/>
          <w:szCs w:val="24"/>
          <w:lang w:val="en-US" w:eastAsia="zh-CN"/>
        </w:rPr>
        <w:t>.................................</w:t>
      </w:r>
      <w:r>
        <w:rPr>
          <w:rFonts w:hint="eastAsia"/>
          <w:b/>
          <w:bCs/>
          <w:sz w:val="24"/>
          <w:szCs w:val="24"/>
        </w:rPr>
        <w:t>.....................</w:t>
      </w:r>
      <w:r>
        <w:rPr>
          <w:rFonts w:hint="eastAsia"/>
          <w:b/>
          <w:bCs/>
          <w:sz w:val="24"/>
          <w:szCs w:val="24"/>
          <w:lang w:val="en-US" w:eastAsia="zh-CN"/>
        </w:rPr>
        <w:t>................</w:t>
      </w:r>
      <w:r>
        <w:rPr>
          <w:rFonts w:hint="eastAsia"/>
          <w:b/>
          <w:bCs/>
          <w:sz w:val="24"/>
          <w:szCs w:val="24"/>
        </w:rPr>
        <w:t>....</w:t>
      </w:r>
      <w:r>
        <w:rPr>
          <w:rFonts w:hint="eastAsia"/>
          <w:b/>
          <w:bCs/>
          <w:sz w:val="24"/>
          <w:szCs w:val="24"/>
          <w:lang w:val="en-US" w:eastAsia="zh-CN"/>
        </w:rPr>
        <w:t>............</w:t>
      </w:r>
      <w:r>
        <w:rPr>
          <w:rFonts w:hint="eastAsia"/>
          <w:b/>
          <w:bCs/>
          <w:sz w:val="24"/>
          <w:szCs w:val="24"/>
        </w:rPr>
        <w:t>14</w:t>
      </w:r>
    </w:p>
    <w:p>
      <w:pPr>
        <w:pStyle w:val="16"/>
        <w:ind w:firstLine="480" w:firstLineChars="200"/>
        <w:rPr>
          <w:rFonts w:hint="eastAsia" w:eastAsia="宋体"/>
          <w:sz w:val="24"/>
          <w:szCs w:val="24"/>
          <w:lang w:val="en-US" w:eastAsia="zh-CN"/>
        </w:rPr>
      </w:pPr>
      <w:r>
        <w:rPr>
          <w:rFonts w:hint="eastAsia"/>
          <w:sz w:val="24"/>
          <w:szCs w:val="24"/>
        </w:rPr>
        <w:t>附件......................................................................................................................1</w:t>
      </w:r>
      <w:r>
        <w:rPr>
          <w:rFonts w:hint="eastAsia"/>
          <w:sz w:val="24"/>
          <w:szCs w:val="24"/>
          <w:lang w:val="en-US" w:eastAsia="zh-CN"/>
        </w:rPr>
        <w:t>4</w:t>
      </w:r>
    </w:p>
    <w:p>
      <w:pPr>
        <w:pStyle w:val="16"/>
        <w:ind w:firstLine="480" w:firstLineChars="200"/>
        <w:rPr>
          <w:rFonts w:hint="eastAsia"/>
          <w:sz w:val="24"/>
          <w:szCs w:val="24"/>
        </w:rPr>
      </w:pPr>
      <w:r>
        <w:rPr>
          <w:rFonts w:hint="eastAsia"/>
          <w:sz w:val="24"/>
          <w:szCs w:val="24"/>
        </w:rPr>
        <w:t>一、部门（单位）概况...............................................</w:t>
      </w:r>
      <w:r>
        <w:rPr>
          <w:rFonts w:hint="eastAsia"/>
          <w:sz w:val="24"/>
          <w:szCs w:val="24"/>
          <w:lang w:val="en-US" w:eastAsia="zh-CN"/>
        </w:rPr>
        <w:t>.</w:t>
      </w:r>
      <w:r>
        <w:rPr>
          <w:rFonts w:hint="eastAsia"/>
          <w:sz w:val="24"/>
          <w:szCs w:val="24"/>
        </w:rPr>
        <w:t>......................................1</w:t>
      </w:r>
      <w:r>
        <w:rPr>
          <w:rFonts w:hint="eastAsia"/>
          <w:sz w:val="24"/>
          <w:szCs w:val="24"/>
          <w:lang w:val="en-US" w:eastAsia="zh-CN"/>
        </w:rPr>
        <w:t>4</w:t>
      </w:r>
    </w:p>
    <w:p>
      <w:pPr>
        <w:pStyle w:val="16"/>
        <w:ind w:firstLine="480" w:firstLineChars="200"/>
        <w:rPr>
          <w:rFonts w:hint="eastAsia"/>
          <w:sz w:val="24"/>
          <w:szCs w:val="24"/>
        </w:rPr>
      </w:pPr>
      <w:r>
        <w:rPr>
          <w:rFonts w:hint="eastAsia"/>
          <w:sz w:val="24"/>
          <w:szCs w:val="24"/>
        </w:rPr>
        <w:t>二、部门财政资金收支情况........................................</w:t>
      </w:r>
      <w:r>
        <w:rPr>
          <w:rFonts w:hint="eastAsia"/>
          <w:sz w:val="24"/>
          <w:szCs w:val="24"/>
          <w:lang w:val="en-US" w:eastAsia="zh-CN"/>
        </w:rPr>
        <w:t>.</w:t>
      </w:r>
      <w:r>
        <w:rPr>
          <w:rFonts w:hint="eastAsia"/>
          <w:sz w:val="24"/>
          <w:szCs w:val="24"/>
        </w:rPr>
        <w:t>.....................................1</w:t>
      </w:r>
      <w:r>
        <w:rPr>
          <w:rFonts w:hint="eastAsia"/>
          <w:sz w:val="24"/>
          <w:szCs w:val="24"/>
          <w:lang w:val="en-US" w:eastAsia="zh-CN"/>
        </w:rPr>
        <w:t>4</w:t>
      </w:r>
    </w:p>
    <w:p>
      <w:pPr>
        <w:pStyle w:val="16"/>
        <w:ind w:firstLine="480" w:firstLineChars="200"/>
        <w:rPr>
          <w:rFonts w:hint="eastAsia" w:eastAsia="宋体"/>
          <w:sz w:val="24"/>
          <w:szCs w:val="24"/>
          <w:lang w:val="en-US" w:eastAsia="zh-CN"/>
        </w:rPr>
      </w:pPr>
      <w:r>
        <w:rPr>
          <w:rFonts w:hint="eastAsia"/>
          <w:sz w:val="24"/>
          <w:szCs w:val="24"/>
        </w:rPr>
        <w:t>三、部门整体预算绩效管理情况................................</w:t>
      </w:r>
      <w:r>
        <w:rPr>
          <w:rFonts w:hint="eastAsia"/>
          <w:sz w:val="24"/>
          <w:szCs w:val="24"/>
          <w:lang w:val="en-US" w:eastAsia="zh-CN"/>
        </w:rPr>
        <w:t>.</w:t>
      </w:r>
      <w:r>
        <w:rPr>
          <w:rFonts w:hint="eastAsia"/>
          <w:sz w:val="24"/>
          <w:szCs w:val="24"/>
        </w:rPr>
        <w:t>.....................................1</w:t>
      </w:r>
      <w:r>
        <w:rPr>
          <w:rFonts w:hint="eastAsia"/>
          <w:sz w:val="24"/>
          <w:szCs w:val="24"/>
          <w:lang w:val="en-US" w:eastAsia="zh-CN"/>
        </w:rPr>
        <w:t>5</w:t>
      </w:r>
    </w:p>
    <w:p>
      <w:pPr>
        <w:pStyle w:val="16"/>
        <w:ind w:firstLine="480" w:firstLineChars="200"/>
        <w:rPr>
          <w:rFonts w:hint="eastAsia" w:eastAsia="宋体"/>
          <w:sz w:val="24"/>
          <w:szCs w:val="24"/>
          <w:lang w:val="en-US" w:eastAsia="zh-CN"/>
        </w:rPr>
      </w:pPr>
      <w:r>
        <w:rPr>
          <w:rFonts w:hint="eastAsia"/>
          <w:sz w:val="24"/>
          <w:szCs w:val="24"/>
        </w:rPr>
        <w:t>四、评价结论及建议................................</w:t>
      </w:r>
      <w:r>
        <w:rPr>
          <w:rFonts w:hint="eastAsia"/>
          <w:sz w:val="24"/>
          <w:szCs w:val="24"/>
          <w:lang w:val="en-US" w:eastAsia="zh-CN"/>
        </w:rPr>
        <w:t>.</w:t>
      </w:r>
      <w:r>
        <w:rPr>
          <w:rFonts w:hint="eastAsia"/>
          <w:sz w:val="24"/>
          <w:szCs w:val="24"/>
        </w:rPr>
        <w:t>.........................................................1</w:t>
      </w:r>
      <w:r>
        <w:rPr>
          <w:rFonts w:hint="eastAsia"/>
          <w:sz w:val="24"/>
          <w:szCs w:val="24"/>
          <w:lang w:val="en-US" w:eastAsia="zh-CN"/>
        </w:rPr>
        <w:t>6</w:t>
      </w:r>
    </w:p>
    <w:p>
      <w:pPr>
        <w:pStyle w:val="16"/>
        <w:ind w:left="482" w:hanging="481" w:hangingChars="200"/>
        <w:rPr>
          <w:rFonts w:hint="eastAsia" w:eastAsia="宋体"/>
          <w:sz w:val="24"/>
          <w:szCs w:val="24"/>
          <w:lang w:val="en-US" w:eastAsia="zh-CN"/>
        </w:rPr>
      </w:pPr>
      <w:r>
        <w:rPr>
          <w:rFonts w:hint="eastAsia"/>
          <w:b/>
          <w:bCs/>
          <w:sz w:val="24"/>
          <w:szCs w:val="24"/>
        </w:rPr>
        <w:t>第五部分  附表......................</w:t>
      </w:r>
      <w:r>
        <w:rPr>
          <w:rFonts w:hint="eastAsia"/>
          <w:b/>
          <w:bCs/>
          <w:sz w:val="24"/>
          <w:szCs w:val="24"/>
          <w:lang w:val="en-US" w:eastAsia="zh-CN"/>
        </w:rPr>
        <w:t>.................................</w:t>
      </w:r>
      <w:r>
        <w:rPr>
          <w:rFonts w:hint="eastAsia"/>
          <w:b/>
          <w:bCs/>
          <w:sz w:val="24"/>
          <w:szCs w:val="24"/>
        </w:rPr>
        <w:t>.....................</w:t>
      </w:r>
      <w:r>
        <w:rPr>
          <w:rFonts w:hint="eastAsia"/>
          <w:b/>
          <w:bCs/>
          <w:sz w:val="24"/>
          <w:szCs w:val="24"/>
          <w:lang w:val="en-US" w:eastAsia="zh-CN"/>
        </w:rPr>
        <w:t>................</w:t>
      </w:r>
      <w:r>
        <w:rPr>
          <w:rFonts w:hint="eastAsia"/>
          <w:b/>
          <w:bCs/>
          <w:sz w:val="24"/>
          <w:szCs w:val="24"/>
        </w:rPr>
        <w:t>....</w:t>
      </w:r>
      <w:r>
        <w:rPr>
          <w:rFonts w:hint="eastAsia"/>
          <w:b/>
          <w:bCs/>
          <w:sz w:val="24"/>
          <w:szCs w:val="24"/>
          <w:lang w:val="en-US" w:eastAsia="zh-CN"/>
        </w:rPr>
        <w:t>............</w:t>
      </w:r>
      <w:r>
        <w:rPr>
          <w:rFonts w:hint="eastAsia"/>
          <w:b/>
          <w:bCs/>
          <w:sz w:val="24"/>
          <w:szCs w:val="24"/>
        </w:rPr>
        <w:t>1</w:t>
      </w:r>
      <w:r>
        <w:rPr>
          <w:rFonts w:hint="eastAsia"/>
          <w:b/>
          <w:bCs/>
          <w:sz w:val="24"/>
          <w:szCs w:val="24"/>
          <w:lang w:val="en-US" w:eastAsia="zh-CN"/>
        </w:rPr>
        <w:t>7</w:t>
      </w:r>
      <w:r>
        <w:rPr>
          <w:rFonts w:hint="eastAsia"/>
          <w:sz w:val="24"/>
          <w:szCs w:val="24"/>
        </w:rPr>
        <w:t>一、收入支出决算总表 ..........................</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lang w:val="en-US" w:eastAsia="zh-CN"/>
        </w:rPr>
      </w:pPr>
      <w:r>
        <w:rPr>
          <w:rFonts w:hint="eastAsia"/>
          <w:sz w:val="24"/>
          <w:szCs w:val="24"/>
        </w:rPr>
        <w:t>二、收入决算表........................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三、支出决算表........................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lang w:val="en-US" w:eastAsia="zh-CN"/>
        </w:rPr>
      </w:pPr>
      <w:r>
        <w:rPr>
          <w:rFonts w:hint="eastAsia"/>
          <w:sz w:val="24"/>
          <w:szCs w:val="24"/>
        </w:rPr>
        <w:t>四、财政拨款收入支出决算总表.............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lang w:val="en-US" w:eastAsia="zh-CN"/>
        </w:rPr>
      </w:pPr>
      <w:r>
        <w:rPr>
          <w:rFonts w:hint="eastAsia"/>
          <w:sz w:val="24"/>
          <w:szCs w:val="24"/>
        </w:rPr>
        <w:t>五、财政拨款支出决算明细表.............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六、一般公共预算财政拨款支出决算表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lang w:val="en-US" w:eastAsia="zh-CN"/>
        </w:rPr>
      </w:pPr>
      <w:r>
        <w:rPr>
          <w:rFonts w:hint="eastAsia"/>
          <w:sz w:val="24"/>
          <w:szCs w:val="24"/>
        </w:rPr>
        <w:t xml:space="preserve">七、一般公共预算财政拨款支出决算明细表 </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 xml:space="preserve">八、一般公共预算财政拨款基本支出决算表 </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九、一般公共预算财政拨款项目支出决算表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十、一般公共预算财政拨款“三公”经费支出决算表.........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十一、政府性基金预算财政拨款收入支出决算表........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十二、政府性基金预算财政拨款“三公”经费支出决算表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十三、国有资本经营预算财政拨款收入支出决算表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rFonts w:hint="eastAsia"/>
          <w:sz w:val="24"/>
          <w:szCs w:val="24"/>
        </w:rPr>
      </w:pPr>
      <w:r>
        <w:rPr>
          <w:rFonts w:hint="eastAsia"/>
          <w:sz w:val="24"/>
          <w:szCs w:val="24"/>
        </w:rPr>
        <w:t>十四、国有资本经营预算财政拨款支出决算表</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w:t>
      </w:r>
      <w:r>
        <w:rPr>
          <w:rFonts w:hint="eastAsia"/>
          <w:sz w:val="24"/>
          <w:szCs w:val="24"/>
          <w:lang w:val="en-US" w:eastAsia="zh-CN"/>
        </w:rPr>
        <w:t>.</w:t>
      </w:r>
      <w:r>
        <w:rPr>
          <w:rFonts w:hint="eastAsia"/>
          <w:sz w:val="24"/>
          <w:szCs w:val="24"/>
        </w:rPr>
        <w:t>.1</w:t>
      </w:r>
      <w:r>
        <w:rPr>
          <w:rFonts w:hint="eastAsia"/>
          <w:sz w:val="24"/>
          <w:szCs w:val="24"/>
          <w:lang w:val="en-US" w:eastAsia="zh-CN"/>
        </w:rPr>
        <w:t>7</w:t>
      </w:r>
    </w:p>
    <w:p>
      <w:pPr>
        <w:pStyle w:val="16"/>
        <w:ind w:firstLine="480" w:firstLineChars="200"/>
        <w:rPr>
          <w:sz w:val="24"/>
          <w:szCs w:val="24"/>
        </w:rPr>
      </w:pPr>
    </w:p>
    <w:p>
      <w:pPr>
        <w:pStyle w:val="16"/>
        <w:rPr>
          <w:sz w:val="24"/>
          <w:szCs w:val="24"/>
        </w:rPr>
      </w:pPr>
    </w:p>
    <w:p>
      <w:pPr>
        <w:pStyle w:val="17"/>
      </w:pPr>
    </w:p>
    <w:p>
      <w:pPr>
        <w:pStyle w:val="10"/>
        <w:keepNext w:val="0"/>
        <w:keepLines w:val="0"/>
        <w:widowControl/>
        <w:suppressLineNumbers w:val="0"/>
        <w:spacing w:before="0" w:beforeAutospacing="0"/>
        <w:ind w:left="0"/>
        <w:jc w:val="center"/>
        <w:rPr>
          <w:sz w:val="24"/>
          <w:szCs w:val="24"/>
          <w:shd w:val="clear" w:color="auto" w:fill="FFFFFF"/>
        </w:rPr>
      </w:pPr>
      <w:r>
        <w:rPr>
          <w:shd w:val="clear" w:color="auto" w:fill="FFFFFF"/>
        </w:rPr>
        <w:t> </w:t>
      </w:r>
      <w:bookmarkStart w:id="3" w:name="_Toc26414"/>
      <w:bookmarkStart w:id="4" w:name="_Toc16963"/>
      <w:bookmarkStart w:id="5" w:name="_Toc31050"/>
    </w:p>
    <w:p>
      <w:pPr>
        <w:pStyle w:val="4"/>
        <w:keepNext w:val="0"/>
        <w:keepLines w:val="0"/>
        <w:widowControl/>
        <w:suppressLineNumbers w:val="0"/>
        <w:spacing w:before="0" w:beforeAutospacing="0"/>
        <w:ind w:left="0"/>
        <w:jc w:val="center"/>
      </w:pPr>
      <w:r>
        <w:rPr>
          <w:shd w:val="clear" w:color="auto" w:fill="FFFFFF"/>
        </w:rPr>
        <w:t>第一部分 部门概况</w:t>
      </w:r>
      <w:bookmarkEnd w:id="3"/>
      <w:bookmarkEnd w:id="4"/>
      <w:bookmarkEnd w:id="5"/>
    </w:p>
    <w:p>
      <w:pPr>
        <w:pStyle w:val="10"/>
        <w:keepNext w:val="0"/>
        <w:keepLines w:val="0"/>
        <w:widowControl/>
        <w:suppressLineNumbers w:val="0"/>
        <w:spacing w:before="0" w:beforeAutospacing="0"/>
        <w:ind w:left="0"/>
        <w:jc w:val="left"/>
      </w:pPr>
      <w:r>
        <w:rPr>
          <w:shd w:val="clear" w:color="auto" w:fill="FFFFFF"/>
        </w:rPr>
        <w:t> </w:t>
      </w:r>
    </w:p>
    <w:p>
      <w:pPr>
        <w:pStyle w:val="5"/>
        <w:keepNext w:val="0"/>
        <w:keepLines w:val="0"/>
        <w:widowControl/>
        <w:suppressLineNumbers w:val="0"/>
        <w:spacing w:before="0" w:beforeAutospacing="0"/>
        <w:ind w:left="0" w:firstLine="722" w:firstLineChars="200"/>
        <w:jc w:val="left"/>
      </w:pPr>
      <w:bookmarkStart w:id="6" w:name="_Toc25401"/>
      <w:bookmarkStart w:id="7" w:name="_Toc28975"/>
      <w:r>
        <w:rPr>
          <w:shd w:val="clear" w:color="auto" w:fill="FFFFFF"/>
        </w:rPr>
        <w:t>一、基本职能及主要工作</w:t>
      </w:r>
      <w:bookmarkEnd w:id="6"/>
      <w:bookmarkEnd w:id="7"/>
    </w:p>
    <w:p>
      <w:pPr>
        <w:pStyle w:val="10"/>
        <w:keepNext w:val="0"/>
        <w:keepLines w:val="0"/>
        <w:widowControl/>
        <w:suppressLineNumbers w:val="0"/>
        <w:spacing w:before="0" w:beforeAutospacing="0"/>
        <w:ind w:left="0" w:firstLine="480" w:firstLineChars="200"/>
        <w:jc w:val="left"/>
        <w:rPr>
          <w:shd w:val="clear" w:color="auto" w:fill="FFFFFF"/>
        </w:rPr>
      </w:pPr>
      <w:r>
        <w:rPr>
          <w:shd w:val="clear" w:color="auto" w:fill="FFFFFF"/>
        </w:rPr>
        <w:t>（一）主要职能。</w:t>
      </w:r>
    </w:p>
    <w:p>
      <w:pPr>
        <w:pStyle w:val="7"/>
        <w:keepNext w:val="0"/>
        <w:keepLines w:val="0"/>
        <w:pageBreakBefore w:val="0"/>
        <w:widowControl/>
        <w:suppressLineNumbers w:val="0"/>
        <w:kinsoku/>
        <w:wordWrap/>
        <w:overflowPunct/>
        <w:topLinePunct w:val="0"/>
        <w:autoSpaceDN/>
        <w:bidi w:val="0"/>
        <w:adjustRightInd w:val="0"/>
        <w:snapToGrid w:val="0"/>
        <w:spacing w:after="100" w:afterAutospacing="1" w:line="240" w:lineRule="auto"/>
        <w:ind w:right="0" w:firstLine="480" w:firstLineChars="200"/>
        <w:textAlignment w:val="auto"/>
        <w:rPr>
          <w:rFonts w:hint="eastAsia" w:ascii="宋体" w:eastAsia="宋体"/>
          <w:sz w:val="24"/>
          <w:szCs w:val="24"/>
          <w:shd w:val="clear" w:color="auto" w:fill="FFFFFF"/>
        </w:rPr>
      </w:pPr>
      <w:r>
        <w:rPr>
          <w:rFonts w:hint="eastAsia" w:ascii="宋体" w:eastAsia="宋体"/>
          <w:sz w:val="24"/>
          <w:szCs w:val="24"/>
          <w:shd w:val="clear" w:color="auto" w:fill="FFFFFF"/>
        </w:rPr>
        <w:t>1.传播国际红十字运动知识和国际人道主义，宣传、执行《中华人民共和国红十字会法》和《中华人民共和国红十字会法实施办法》等法律、法规，遵循《中国红十字会章程》，依法建会、治会、兴会。</w:t>
      </w:r>
    </w:p>
    <w:p>
      <w:pPr>
        <w:pStyle w:val="7"/>
        <w:keepNext w:val="0"/>
        <w:keepLines w:val="0"/>
        <w:pageBreakBefore w:val="0"/>
        <w:widowControl/>
        <w:suppressLineNumbers w:val="0"/>
        <w:kinsoku/>
        <w:wordWrap/>
        <w:overflowPunct/>
        <w:topLinePunct w:val="0"/>
        <w:autoSpaceDN/>
        <w:bidi w:val="0"/>
        <w:adjustRightInd w:val="0"/>
        <w:snapToGrid w:val="0"/>
        <w:spacing w:before="72" w:beforeLines="30" w:beforeAutospacing="0" w:after="0" w:afterAutospacing="1" w:line="240" w:lineRule="auto"/>
        <w:ind w:left="0" w:right="0" w:firstLine="480" w:firstLineChars="200"/>
        <w:textAlignment w:val="auto"/>
        <w:rPr>
          <w:rFonts w:hint="eastAsia"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en-US" w:eastAsia="zh-CN"/>
        </w:rPr>
        <w:t>2</w:t>
      </w:r>
      <w:r>
        <w:rPr>
          <w:rFonts w:ascii="宋体" w:eastAsia="宋体" w:cs="宋体"/>
          <w:kern w:val="0"/>
          <w:sz w:val="24"/>
          <w:szCs w:val="24"/>
          <w:shd w:val="clear" w:color="auto" w:fill="FFFFFF"/>
          <w:lang w:val="en-US" w:eastAsia="zh-CN"/>
        </w:rPr>
        <w:t>.</w:t>
      </w:r>
      <w:r>
        <w:rPr>
          <w:rFonts w:hint="eastAsia" w:ascii="宋体" w:eastAsia="宋体" w:cs="宋体"/>
          <w:kern w:val="0"/>
          <w:sz w:val="24"/>
          <w:szCs w:val="24"/>
          <w:shd w:val="clear" w:color="auto" w:fill="FFFFFF"/>
          <w:lang w:val="en-US" w:eastAsia="zh-CN"/>
        </w:rPr>
        <w:t>开展备灾救灾工作，兴建和管理备灾救灾设施，在自然灾害和突发事件中开展对受害者的救助和救护。</w:t>
      </w:r>
    </w:p>
    <w:p>
      <w:pPr>
        <w:pStyle w:val="7"/>
        <w:keepNext w:val="0"/>
        <w:keepLines w:val="0"/>
        <w:pageBreakBefore w:val="0"/>
        <w:widowControl/>
        <w:suppressLineNumbers w:val="0"/>
        <w:kinsoku/>
        <w:wordWrap/>
        <w:overflowPunct/>
        <w:topLinePunct w:val="0"/>
        <w:autoSpaceDE/>
        <w:autoSpaceDN/>
        <w:bidi w:val="0"/>
        <w:adjustRightInd w:val="0"/>
        <w:snapToGrid w:val="0"/>
        <w:spacing w:afterAutospacing="1" w:line="240" w:lineRule="auto"/>
        <w:ind w:left="0" w:firstLine="480" w:firstLineChars="200"/>
        <w:textAlignment w:val="auto"/>
        <w:rPr>
          <w:rFonts w:hint="eastAsia" w:ascii="宋体" w:hAnsi="Times New Roman" w:eastAsia="宋体" w:cs="宋体"/>
          <w:kern w:val="0"/>
          <w:sz w:val="24"/>
          <w:szCs w:val="24"/>
          <w:shd w:val="clear" w:color="auto" w:fill="FFFFFF"/>
          <w:lang w:val="en-US" w:eastAsia="zh-CN" w:bidi="ar-SA"/>
        </w:rPr>
      </w:pPr>
      <w:r>
        <w:rPr>
          <w:rFonts w:hint="eastAsia" w:ascii="宋体" w:hAnsi="Times New Roman" w:eastAsia="宋体" w:cs="宋体"/>
          <w:kern w:val="0"/>
          <w:sz w:val="24"/>
          <w:szCs w:val="24"/>
          <w:shd w:val="clear" w:color="auto" w:fill="FFFFFF"/>
          <w:lang w:val="en-US" w:eastAsia="zh-CN" w:bidi="ar-SA"/>
        </w:rPr>
        <w:t>3.开展人道领域的社会公益服务活动和卫生救护、卫生防病知识的宣传、开展学术交流、组织社会捐助，进行初级卫生救护培训，组织群众参加现场救护，推动无偿献血和非血缘关系骨髓移植工作。</w:t>
      </w:r>
    </w:p>
    <w:p>
      <w:pPr>
        <w:keepNext w:val="0"/>
        <w:keepLines w:val="0"/>
        <w:pageBreakBefore w:val="0"/>
        <w:widowControl w:val="0"/>
        <w:suppressLineNumbers w:val="0"/>
        <w:kinsoku/>
        <w:wordWrap/>
        <w:overflowPunct/>
        <w:topLinePunct w:val="0"/>
        <w:autoSpaceDE w:val="0"/>
        <w:autoSpaceDN/>
        <w:bidi w:val="0"/>
        <w:spacing w:line="240" w:lineRule="auto"/>
        <w:ind w:left="0" w:firstLine="480" w:firstLineChars="200"/>
        <w:jc w:val="both"/>
        <w:textAlignment w:val="auto"/>
        <w:rPr>
          <w:rFonts w:hint="eastAsia" w:ascii="宋体" w:hAnsi="Times New Roman" w:eastAsia="宋体" w:cs="宋体"/>
          <w:kern w:val="0"/>
          <w:sz w:val="24"/>
          <w:szCs w:val="24"/>
          <w:shd w:val="clear" w:color="auto" w:fill="FFFFFF"/>
          <w:lang w:val="en-US" w:eastAsia="zh-CN" w:bidi="ar-SA"/>
        </w:rPr>
      </w:pPr>
      <w:r>
        <w:rPr>
          <w:rFonts w:hint="eastAsia" w:ascii="宋体" w:hAnsi="Times New Roman" w:eastAsia="宋体" w:cs="宋体"/>
          <w:kern w:val="0"/>
          <w:sz w:val="24"/>
          <w:szCs w:val="24"/>
          <w:shd w:val="clear" w:color="auto" w:fill="FFFFFF"/>
          <w:lang w:val="en-US" w:eastAsia="zh-CN" w:bidi="ar-SA"/>
        </w:rPr>
        <w:t>4.加强与兄弟市、县红十字会及国际红十字组织友好往来，开展人道领域的合作与交流，争取援助。</w:t>
      </w:r>
    </w:p>
    <w:p>
      <w:pPr>
        <w:pStyle w:val="10"/>
        <w:keepNext w:val="0"/>
        <w:keepLines w:val="0"/>
        <w:widowControl/>
        <w:suppressLineNumbers w:val="0"/>
        <w:spacing w:before="0" w:beforeAutospacing="0"/>
        <w:ind w:left="0" w:firstLine="480" w:firstLineChars="200"/>
        <w:jc w:val="both"/>
        <w:rPr>
          <w:rFonts w:hint="eastAsia"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en-US" w:eastAsia="zh-CN"/>
        </w:rPr>
        <w:t>（二）2022年重点工作完成情况。</w:t>
      </w:r>
    </w:p>
    <w:p>
      <w:pPr>
        <w:pStyle w:val="10"/>
        <w:keepNext w:val="0"/>
        <w:keepLines w:val="0"/>
        <w:widowControl/>
        <w:suppressLineNumbers w:val="0"/>
        <w:spacing w:before="0" w:beforeAutospacing="0"/>
        <w:ind w:left="0" w:firstLine="480" w:firstLineChars="200"/>
        <w:jc w:val="both"/>
        <w:rPr>
          <w:rFonts w:hint="eastAsia"/>
          <w:shd w:val="clear" w:color="auto" w:fill="FFFFFF"/>
        </w:rPr>
      </w:pPr>
      <w:r>
        <w:rPr>
          <w:rFonts w:hint="eastAsia" w:ascii="宋体" w:eastAsia="宋体" w:cs="宋体"/>
          <w:kern w:val="0"/>
          <w:sz w:val="24"/>
          <w:szCs w:val="24"/>
          <w:shd w:val="clear" w:color="auto" w:fill="FFFFFF"/>
          <w:lang w:val="en-US" w:eastAsia="zh-CN"/>
        </w:rPr>
        <w:t>截止目前，我会完成</w:t>
      </w:r>
      <w:r>
        <w:rPr>
          <w:rFonts w:hint="eastAsia"/>
          <w:shd w:val="clear" w:color="auto" w:fill="FFFFFF"/>
        </w:rPr>
        <w:t>应急救护普及培训765人次，应急救护急救员培训113人;开展2期应急救护急救员培训班，顺利通过培训并发证113人。</w:t>
      </w:r>
    </w:p>
    <w:p>
      <w:pPr>
        <w:pStyle w:val="10"/>
        <w:keepNext w:val="0"/>
        <w:keepLines w:val="0"/>
        <w:widowControl/>
        <w:suppressLineNumbers w:val="0"/>
        <w:spacing w:before="0" w:beforeAutospacing="0"/>
        <w:ind w:left="0" w:firstLine="480" w:firstLineChars="200"/>
        <w:jc w:val="both"/>
        <w:rPr>
          <w:rFonts w:hint="eastAsia"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en-US" w:eastAsia="zh-CN"/>
        </w:rPr>
        <w:t>宣传工作：在“5·8博爱周”、“国家防灾减灾日”“世界红十字日”“安全生产日”等时间节点积极宣传“三救”“三献”知识，发放抗震减灾、“三救三献”宣传手册以及自救互救的相关知识读本4000余册。</w:t>
      </w:r>
    </w:p>
    <w:p>
      <w:pPr>
        <w:pStyle w:val="10"/>
        <w:keepNext w:val="0"/>
        <w:keepLines w:val="0"/>
        <w:widowControl/>
        <w:suppressLineNumbers w:val="0"/>
        <w:spacing w:before="0" w:beforeAutospacing="0"/>
        <w:ind w:left="0" w:firstLine="480" w:firstLineChars="200"/>
        <w:jc w:val="both"/>
        <w:rPr>
          <w:rFonts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en-US" w:eastAsia="zh-CN"/>
        </w:rPr>
        <w:t>人道救助：开展“两联一进”群众工作。走村入户90余人次，为联系户送去学习用品，看望慰问联系僧人30余人次，为他们送去了米、面、油等生活用品；对特困、孤、老、病、残者为主要救助对象，元旦春节重阳节期间，向他们送去了“博爱家庭箱”及米、面、油、牛奶等慰问物品，针对卧床的病患，送去多功能护理床、床垫和日常护理用品。组织开展我县0-14周岁先天性心脏病患儿筛查工作，对21名疑似病例儿童进行筛查，确诊4名，绵阳四0四医院对复查出符合救助条件的患儿，纳入中国红十字</w:t>
      </w:r>
      <w:r>
        <w:rPr>
          <w:rFonts w:ascii="宋体" w:eastAsia="宋体" w:cs="宋体"/>
          <w:kern w:val="0"/>
          <w:sz w:val="24"/>
          <w:szCs w:val="24"/>
          <w:shd w:val="clear" w:color="auto" w:fill="FFFFFF"/>
          <w:lang w:val="en-US" w:eastAsia="zh-CN"/>
        </w:rPr>
        <w:t>基金会</w:t>
      </w:r>
      <w:r>
        <w:rPr>
          <w:rFonts w:hint="eastAsia" w:ascii="宋体" w:eastAsia="宋体" w:cs="宋体"/>
          <w:kern w:val="0"/>
          <w:sz w:val="24"/>
          <w:szCs w:val="24"/>
          <w:shd w:val="clear" w:color="auto" w:fill="FFFFFF"/>
          <w:lang w:val="en-US" w:eastAsia="zh-CN"/>
        </w:rPr>
        <w:t>“天使阳光基金”</w:t>
      </w:r>
      <w:r>
        <w:rPr>
          <w:rFonts w:ascii="宋体" w:eastAsia="宋体" w:cs="宋体"/>
          <w:kern w:val="0"/>
          <w:sz w:val="24"/>
          <w:szCs w:val="24"/>
          <w:shd w:val="clear" w:color="auto" w:fill="FFFFFF"/>
          <w:lang w:val="en-US" w:eastAsia="zh-CN"/>
        </w:rPr>
        <w:t>项目进行救治救助（救助费用为5000-30000元），并已陆续前往绵阳四</w:t>
      </w:r>
      <w:r>
        <w:rPr>
          <w:rFonts w:hint="eastAsia" w:cs="宋体"/>
          <w:kern w:val="0"/>
          <w:sz w:val="24"/>
          <w:szCs w:val="24"/>
          <w:shd w:val="clear" w:color="auto" w:fill="FFFFFF"/>
          <w:lang w:val="en-US" w:eastAsia="zh-CN"/>
        </w:rPr>
        <w:t>0</w:t>
      </w:r>
      <w:r>
        <w:rPr>
          <w:rFonts w:ascii="宋体" w:eastAsia="宋体" w:cs="宋体"/>
          <w:kern w:val="0"/>
          <w:sz w:val="24"/>
          <w:szCs w:val="24"/>
          <w:shd w:val="clear" w:color="auto" w:fill="FFFFFF"/>
          <w:lang w:val="en-US" w:eastAsia="zh-CN"/>
        </w:rPr>
        <w:t>四医院进行免费手术；</w:t>
      </w:r>
      <w:r>
        <w:rPr>
          <w:rFonts w:hint="eastAsia" w:ascii="宋体" w:eastAsia="宋体" w:cs="宋体"/>
          <w:kern w:val="0"/>
          <w:sz w:val="24"/>
          <w:szCs w:val="24"/>
          <w:shd w:val="clear" w:color="auto" w:fill="FFFFFF"/>
          <w:lang w:val="en-US" w:eastAsia="zh-CN"/>
        </w:rPr>
        <w:t>收到爱心企业和爱心人士捐赠助学金</w:t>
      </w:r>
      <w:r>
        <w:rPr>
          <w:rFonts w:ascii="宋体" w:eastAsia="宋体" w:cs="宋体"/>
          <w:kern w:val="0"/>
          <w:sz w:val="24"/>
          <w:szCs w:val="24"/>
          <w:shd w:val="clear" w:color="auto" w:fill="FFFFFF"/>
          <w:lang w:val="en-US" w:eastAsia="zh-CN"/>
        </w:rPr>
        <w:t>587300</w:t>
      </w:r>
      <w:r>
        <w:rPr>
          <w:rFonts w:hint="eastAsia" w:ascii="宋体" w:eastAsia="宋体" w:cs="宋体"/>
          <w:kern w:val="0"/>
          <w:sz w:val="24"/>
          <w:szCs w:val="24"/>
          <w:shd w:val="clear" w:color="auto" w:fill="FFFFFF"/>
          <w:lang w:val="en-US" w:eastAsia="zh-CN"/>
        </w:rPr>
        <w:t>元，资助困难学生</w:t>
      </w:r>
      <w:r>
        <w:rPr>
          <w:rFonts w:ascii="宋体" w:eastAsia="宋体" w:cs="宋体"/>
          <w:kern w:val="0"/>
          <w:sz w:val="24"/>
          <w:szCs w:val="24"/>
          <w:shd w:val="clear" w:color="auto" w:fill="FFFFFF"/>
          <w:lang w:val="en-US" w:eastAsia="zh-CN"/>
        </w:rPr>
        <w:t>820</w:t>
      </w:r>
      <w:r>
        <w:rPr>
          <w:rFonts w:hint="eastAsia" w:ascii="宋体" w:eastAsia="宋体" w:cs="宋体"/>
          <w:kern w:val="0"/>
          <w:sz w:val="24"/>
          <w:szCs w:val="24"/>
          <w:shd w:val="clear" w:color="auto" w:fill="FFFFFF"/>
          <w:lang w:val="en-US" w:eastAsia="zh-CN"/>
        </w:rPr>
        <w:t>人。</w:t>
      </w:r>
    </w:p>
    <w:p>
      <w:pPr>
        <w:pStyle w:val="5"/>
        <w:keepNext w:val="0"/>
        <w:keepLines w:val="0"/>
        <w:widowControl/>
        <w:suppressLineNumbers w:val="0"/>
        <w:spacing w:before="0" w:beforeAutospacing="0"/>
        <w:ind w:left="0" w:firstLine="722" w:firstLineChars="200"/>
        <w:jc w:val="left"/>
        <w:rPr>
          <w:shd w:val="clear" w:color="auto" w:fill="FFFFFF"/>
        </w:rPr>
      </w:pPr>
      <w:bookmarkStart w:id="8" w:name="_Toc21541"/>
      <w:bookmarkStart w:id="9" w:name="_Toc16353"/>
    </w:p>
    <w:p>
      <w:pPr>
        <w:pStyle w:val="2"/>
        <w:ind w:left="0" w:leftChars="0" w:firstLine="0" w:firstLineChars="0"/>
        <w:rPr>
          <w:shd w:val="clear" w:color="auto" w:fill="FFFFFF"/>
        </w:rPr>
      </w:pPr>
    </w:p>
    <w:p>
      <w:pPr>
        <w:pStyle w:val="5"/>
        <w:keepNext w:val="0"/>
        <w:keepLines w:val="0"/>
        <w:widowControl/>
        <w:suppressLineNumbers w:val="0"/>
        <w:spacing w:before="0" w:beforeAutospacing="0"/>
        <w:ind w:left="0" w:firstLine="722" w:firstLineChars="200"/>
        <w:jc w:val="left"/>
      </w:pPr>
      <w:r>
        <w:rPr>
          <w:shd w:val="clear" w:color="auto" w:fill="FFFFFF"/>
        </w:rPr>
        <w:t>二、机构设置</w:t>
      </w:r>
      <w:bookmarkEnd w:id="8"/>
      <w:bookmarkEnd w:id="9"/>
    </w:p>
    <w:p>
      <w:pPr>
        <w:pStyle w:val="10"/>
        <w:keepNext w:val="0"/>
        <w:keepLines w:val="0"/>
        <w:widowControl/>
        <w:suppressLineNumbers w:val="0"/>
        <w:spacing w:before="0" w:beforeAutospacing="0"/>
        <w:ind w:left="0" w:firstLine="480" w:firstLineChars="200"/>
        <w:jc w:val="left"/>
        <w:rPr>
          <w:shd w:val="clear" w:color="auto" w:fill="FFFFFF"/>
        </w:rPr>
      </w:pPr>
      <w:r>
        <w:rPr>
          <w:rFonts w:hint="eastAsia" w:ascii="宋体" w:eastAsia="宋体" w:cs="宋体"/>
          <w:kern w:val="0"/>
          <w:sz w:val="24"/>
          <w:szCs w:val="24"/>
          <w:shd w:val="clear" w:color="auto" w:fill="FFFFFF"/>
        </w:rPr>
        <w:t>阿坝州红原县红十字会下属二级单位0个，其中行政单位0个，参照公务员法管理的事业单位0个，其他事业单位0个。红原县红十字会为独立核算全额拨款参公单位,</w:t>
      </w:r>
      <w:r>
        <w:rPr>
          <w:rFonts w:hint="eastAsia" w:ascii="宋体" w:eastAsia="宋体" w:cs="宋体"/>
          <w:kern w:val="0"/>
          <w:sz w:val="24"/>
          <w:szCs w:val="24"/>
          <w:shd w:val="clear" w:color="auto" w:fill="FFFFFF"/>
          <w:lang w:val="en-US" w:eastAsia="zh-CN"/>
        </w:rPr>
        <w:t>下设2个内设机构（办公室和综合股），</w:t>
      </w:r>
      <w:r>
        <w:rPr>
          <w:rFonts w:hint="eastAsia" w:ascii="宋体" w:eastAsia="宋体" w:cs="宋体"/>
          <w:kern w:val="0"/>
          <w:sz w:val="24"/>
          <w:szCs w:val="24"/>
          <w:shd w:val="clear" w:color="auto" w:fill="FFFFFF"/>
        </w:rPr>
        <w:t>截止202</w:t>
      </w:r>
      <w:r>
        <w:rPr>
          <w:rFonts w:ascii="宋体" w:eastAsia="宋体" w:cs="宋体"/>
          <w:kern w:val="0"/>
          <w:sz w:val="24"/>
          <w:szCs w:val="24"/>
          <w:shd w:val="clear" w:color="auto" w:fill="FFFFFF"/>
          <w:lang w:val="en-US" w:eastAsia="zh-CN"/>
        </w:rPr>
        <w:t>2</w:t>
      </w:r>
      <w:r>
        <w:rPr>
          <w:rFonts w:hint="eastAsia" w:ascii="宋体" w:eastAsia="宋体" w:cs="宋体"/>
          <w:kern w:val="0"/>
          <w:sz w:val="24"/>
          <w:szCs w:val="24"/>
          <w:shd w:val="clear" w:color="auto" w:fill="FFFFFF"/>
        </w:rPr>
        <w:t>年底我单位共有编制5个，其中参公编制5个。在职</w:t>
      </w:r>
      <w:r>
        <w:rPr>
          <w:rFonts w:ascii="宋体" w:eastAsia="宋体" w:cs="宋体"/>
          <w:kern w:val="0"/>
          <w:sz w:val="24"/>
          <w:szCs w:val="24"/>
          <w:shd w:val="clear" w:color="auto" w:fill="FFFFFF"/>
        </w:rPr>
        <w:t>6</w:t>
      </w:r>
      <w:r>
        <w:rPr>
          <w:rFonts w:hint="eastAsia" w:ascii="宋体" w:eastAsia="宋体" w:cs="宋体"/>
          <w:kern w:val="0"/>
          <w:sz w:val="24"/>
          <w:szCs w:val="24"/>
          <w:shd w:val="clear" w:color="auto" w:fill="FFFFFF"/>
        </w:rPr>
        <w:t>人，其中公务员</w:t>
      </w:r>
      <w:r>
        <w:rPr>
          <w:rFonts w:ascii="宋体" w:eastAsia="宋体" w:cs="宋体"/>
          <w:kern w:val="0"/>
          <w:sz w:val="24"/>
          <w:szCs w:val="24"/>
          <w:shd w:val="clear" w:color="auto" w:fill="FFFFFF"/>
        </w:rPr>
        <w:t>6</w:t>
      </w:r>
      <w:r>
        <w:rPr>
          <w:rFonts w:hint="eastAsia" w:ascii="宋体" w:eastAsia="宋体" w:cs="宋体"/>
          <w:kern w:val="0"/>
          <w:sz w:val="24"/>
          <w:szCs w:val="24"/>
          <w:shd w:val="clear" w:color="auto" w:fill="FFFFFF"/>
        </w:rPr>
        <w:t>人。</w:t>
      </w:r>
    </w:p>
    <w:p>
      <w:pPr>
        <w:pStyle w:val="10"/>
        <w:keepNext w:val="0"/>
        <w:keepLines w:val="0"/>
        <w:widowControl/>
        <w:suppressLineNumbers w:val="0"/>
        <w:spacing w:before="0" w:beforeAutospacing="0"/>
        <w:ind w:left="0"/>
        <w:jc w:val="left"/>
      </w:pPr>
      <w:r>
        <w:rPr>
          <w:shd w:val="clear" w:color="auto" w:fill="FFFFFF"/>
        </w:rPr>
        <w:t> </w:t>
      </w:r>
    </w:p>
    <w:p>
      <w:pPr>
        <w:pStyle w:val="10"/>
        <w:keepNext w:val="0"/>
        <w:keepLines w:val="0"/>
        <w:widowControl/>
        <w:suppressLineNumbers w:val="0"/>
        <w:spacing w:before="0" w:beforeAutospacing="0"/>
        <w:ind w:left="0"/>
        <w:jc w:val="left"/>
      </w:pPr>
      <w:r>
        <w:rPr>
          <w:shd w:val="clear" w:color="auto" w:fill="FFFFFF"/>
        </w:rPr>
        <w:t> </w:t>
      </w:r>
    </w:p>
    <w:p>
      <w:pPr>
        <w:pStyle w:val="4"/>
        <w:keepNext w:val="0"/>
        <w:keepLines w:val="0"/>
        <w:widowControl/>
        <w:suppressLineNumbers w:val="0"/>
        <w:spacing w:before="0" w:beforeAutospacing="0"/>
        <w:ind w:left="0"/>
        <w:jc w:val="center"/>
        <w:outlineLvl w:val="9"/>
        <w:rPr>
          <w:shd w:val="clear" w:color="auto" w:fill="FFFFFF"/>
        </w:rPr>
      </w:pPr>
    </w:p>
    <w:p>
      <w:pPr>
        <w:pStyle w:val="4"/>
        <w:keepNext w:val="0"/>
        <w:keepLines w:val="0"/>
        <w:widowControl/>
        <w:suppressLineNumbers w:val="0"/>
        <w:spacing w:before="0" w:beforeAutospacing="0"/>
        <w:ind w:left="0"/>
        <w:jc w:val="center"/>
        <w:outlineLvl w:val="9"/>
        <w:rPr>
          <w:shd w:val="clear" w:color="auto" w:fill="FFFFFF"/>
        </w:rPr>
      </w:pPr>
    </w:p>
    <w:p>
      <w:pPr>
        <w:pStyle w:val="4"/>
        <w:keepNext w:val="0"/>
        <w:keepLines w:val="0"/>
        <w:widowControl/>
        <w:suppressLineNumbers w:val="0"/>
        <w:spacing w:before="0" w:beforeAutospacing="0"/>
        <w:ind w:left="0"/>
        <w:jc w:val="center"/>
        <w:outlineLvl w:val="9"/>
        <w:rPr>
          <w:shd w:val="clear" w:color="auto" w:fill="FFFFFF"/>
        </w:rPr>
      </w:pPr>
    </w:p>
    <w:p>
      <w:pPr>
        <w:pStyle w:val="4"/>
        <w:keepNext w:val="0"/>
        <w:keepLines w:val="0"/>
        <w:widowControl/>
        <w:suppressLineNumbers w:val="0"/>
        <w:spacing w:before="0" w:beforeAutospacing="0"/>
        <w:ind w:left="0"/>
        <w:jc w:val="center"/>
        <w:outlineLvl w:val="9"/>
        <w:rPr>
          <w:shd w:val="clear" w:color="auto" w:fill="FFFFFF"/>
        </w:rPr>
      </w:pPr>
    </w:p>
    <w:p>
      <w:pPr>
        <w:pStyle w:val="4"/>
        <w:keepNext w:val="0"/>
        <w:keepLines w:val="0"/>
        <w:widowControl/>
        <w:suppressLineNumbers w:val="0"/>
        <w:spacing w:before="0" w:beforeAutospacing="0"/>
        <w:ind w:left="0"/>
        <w:jc w:val="center"/>
        <w:outlineLvl w:val="9"/>
        <w:rPr>
          <w:shd w:val="clear" w:color="auto" w:fill="FFFFFF"/>
        </w:rPr>
      </w:pPr>
    </w:p>
    <w:p>
      <w:pPr>
        <w:pStyle w:val="4"/>
        <w:keepNext w:val="0"/>
        <w:keepLines w:val="0"/>
        <w:widowControl/>
        <w:suppressLineNumbers w:val="0"/>
        <w:spacing w:before="0" w:beforeAutospacing="0"/>
        <w:ind w:left="0"/>
        <w:jc w:val="center"/>
        <w:outlineLvl w:val="9"/>
        <w:rPr>
          <w:shd w:val="clear" w:color="auto" w:fill="FFFFFF"/>
        </w:rPr>
      </w:pPr>
    </w:p>
    <w:p>
      <w:pPr>
        <w:pStyle w:val="4"/>
        <w:keepNext w:val="0"/>
        <w:keepLines w:val="0"/>
        <w:widowControl/>
        <w:suppressLineNumbers w:val="0"/>
        <w:spacing w:before="0" w:beforeAutospacing="0"/>
        <w:ind w:left="0"/>
        <w:jc w:val="center"/>
        <w:outlineLvl w:val="9"/>
        <w:rPr>
          <w:shd w:val="clear" w:color="auto" w:fill="FFFFFF"/>
        </w:rPr>
      </w:pPr>
    </w:p>
    <w:p>
      <w:pPr>
        <w:pStyle w:val="4"/>
        <w:keepNext w:val="0"/>
        <w:keepLines w:val="0"/>
        <w:widowControl/>
        <w:suppressLineNumbers w:val="0"/>
        <w:spacing w:before="0" w:beforeAutospacing="0"/>
        <w:ind w:left="0"/>
        <w:jc w:val="center"/>
        <w:outlineLvl w:val="9"/>
        <w:rPr>
          <w:shd w:val="clear" w:color="auto" w:fill="FFFFFF"/>
        </w:rPr>
      </w:pPr>
    </w:p>
    <w:p>
      <w:pPr>
        <w:pStyle w:val="4"/>
        <w:keepNext w:val="0"/>
        <w:keepLines w:val="0"/>
        <w:widowControl/>
        <w:suppressLineNumbers w:val="0"/>
        <w:spacing w:before="0" w:beforeAutospacing="0"/>
        <w:ind w:left="0"/>
        <w:jc w:val="center"/>
        <w:outlineLvl w:val="9"/>
        <w:rPr>
          <w:shd w:val="clear" w:color="auto" w:fill="FFFFFF"/>
        </w:rPr>
      </w:pPr>
    </w:p>
    <w:p/>
    <w:p>
      <w:pPr>
        <w:pStyle w:val="2"/>
      </w:pPr>
    </w:p>
    <w:p>
      <w:pPr>
        <w:pStyle w:val="2"/>
      </w:pPr>
    </w:p>
    <w:p>
      <w:pPr>
        <w:pStyle w:val="2"/>
      </w:pPr>
    </w:p>
    <w:p>
      <w:pPr>
        <w:pStyle w:val="2"/>
      </w:pPr>
    </w:p>
    <w:p>
      <w:pPr>
        <w:pStyle w:val="4"/>
        <w:keepNext w:val="0"/>
        <w:keepLines w:val="0"/>
        <w:widowControl/>
        <w:suppressLineNumbers w:val="0"/>
        <w:spacing w:before="0" w:beforeAutospacing="0"/>
        <w:ind w:left="0"/>
        <w:jc w:val="center"/>
      </w:pPr>
      <w:bookmarkStart w:id="10" w:name="_Toc25995"/>
      <w:bookmarkStart w:id="11" w:name="_Toc3712"/>
      <w:bookmarkStart w:id="12" w:name="_Toc17415"/>
      <w:r>
        <w:rPr>
          <w:shd w:val="clear" w:color="auto" w:fill="FFFFFF"/>
        </w:rPr>
        <w:t>第二部分 202</w:t>
      </w:r>
      <w:r>
        <w:rPr>
          <w:rFonts w:hint="eastAsia"/>
          <w:shd w:val="clear" w:color="auto" w:fill="FFFFFF"/>
          <w:lang w:val="en-US" w:eastAsia="zh-CN"/>
        </w:rPr>
        <w:t>2</w:t>
      </w:r>
      <w:r>
        <w:rPr>
          <w:shd w:val="clear" w:color="auto" w:fill="FFFFFF"/>
        </w:rPr>
        <w:t>年度部门决算情况说明</w:t>
      </w:r>
      <w:bookmarkEnd w:id="10"/>
      <w:bookmarkEnd w:id="11"/>
      <w:bookmarkEnd w:id="12"/>
    </w:p>
    <w:p>
      <w:pPr>
        <w:pStyle w:val="10"/>
        <w:keepNext w:val="0"/>
        <w:keepLines w:val="0"/>
        <w:widowControl/>
        <w:suppressLineNumbers w:val="0"/>
        <w:spacing w:before="0" w:beforeAutospacing="0"/>
        <w:ind w:left="0"/>
        <w:jc w:val="left"/>
      </w:pPr>
      <w:r>
        <w:rPr>
          <w:shd w:val="clear" w:color="auto" w:fill="FFFFFF"/>
        </w:rPr>
        <w:t> </w:t>
      </w:r>
    </w:p>
    <w:p>
      <w:pPr>
        <w:keepNext w:val="0"/>
        <w:keepLines w:val="0"/>
        <w:widowControl/>
        <w:suppressLineNumbers w:val="0"/>
        <w:tabs>
          <w:tab w:val="left" w:pos="700"/>
        </w:tabs>
        <w:spacing w:before="0" w:beforeAutospacing="0" w:after="0" w:afterAutospacing="1"/>
        <w:ind w:left="0" w:firstLine="480" w:firstLineChars="200"/>
        <w:jc w:val="left"/>
        <w:outlineLvl w:val="1"/>
      </w:pPr>
      <w:bookmarkStart w:id="13" w:name="_Toc12306"/>
      <w:bookmarkStart w:id="14" w:name="_Toc12867"/>
      <w:r>
        <w:rPr>
          <w:rFonts w:hint="eastAsia"/>
          <w:shd w:val="clear" w:color="auto" w:fill="FFFFFF"/>
          <w:lang w:val="en-US" w:eastAsia="zh-CN"/>
        </w:rPr>
        <w:t>一、</w:t>
      </w:r>
      <w:r>
        <w:rPr>
          <w:shd w:val="clear" w:color="auto" w:fill="FFFFFF"/>
        </w:rPr>
        <w:t>收入支出决算总体情况说明</w:t>
      </w:r>
      <w:bookmarkEnd w:id="13"/>
      <w:bookmarkEnd w:id="14"/>
    </w:p>
    <w:p>
      <w:pPr>
        <w:pStyle w:val="10"/>
        <w:keepNext w:val="0"/>
        <w:keepLines w:val="0"/>
        <w:widowControl/>
        <w:suppressLineNumbers w:val="0"/>
        <w:spacing w:before="0" w:beforeAutospacing="0"/>
        <w:ind w:left="0" w:firstLine="480" w:firstLineChars="200"/>
        <w:jc w:val="both"/>
        <w:rPr>
          <w:shd w:val="clear" w:color="auto" w:fill="FFFFFF"/>
        </w:rPr>
      </w:pPr>
      <w:r>
        <w:rPr>
          <w:shd w:val="clear" w:color="auto" w:fill="FFFFFF"/>
        </w:rPr>
        <w:t>202</w:t>
      </w:r>
      <w:r>
        <w:rPr>
          <w:rFonts w:hint="eastAsia"/>
          <w:shd w:val="clear" w:color="auto" w:fill="FFFFFF"/>
          <w:lang w:val="en-US" w:eastAsia="zh-CN"/>
        </w:rPr>
        <w:t>2</w:t>
      </w:r>
      <w:r>
        <w:rPr>
          <w:shd w:val="clear" w:color="auto" w:fill="FFFFFF"/>
        </w:rPr>
        <w:t>年度收、支总计</w:t>
      </w:r>
      <w:r>
        <w:rPr>
          <w:rFonts w:hint="eastAsia"/>
          <w:shd w:val="clear" w:color="auto" w:fill="FFFFFF"/>
          <w:lang w:val="en-US" w:eastAsia="zh-CN"/>
        </w:rPr>
        <w:t>212.54</w:t>
      </w:r>
      <w:r>
        <w:rPr>
          <w:shd w:val="clear" w:color="auto" w:fill="FFFFFF"/>
        </w:rPr>
        <w:t>万元。与202</w:t>
      </w:r>
      <w:r>
        <w:rPr>
          <w:rFonts w:hint="eastAsia"/>
          <w:shd w:val="clear" w:color="auto" w:fill="FFFFFF"/>
          <w:lang w:val="en-US" w:eastAsia="zh-CN"/>
        </w:rPr>
        <w:t>1</w:t>
      </w:r>
      <w:r>
        <w:rPr>
          <w:shd w:val="clear" w:color="auto" w:fill="FFFFFF"/>
        </w:rPr>
        <w:t>年相比，收、支总计各增加</w:t>
      </w:r>
      <w:r>
        <w:rPr>
          <w:rFonts w:hint="eastAsia"/>
          <w:shd w:val="clear" w:color="auto" w:fill="FFFFFF"/>
          <w:lang w:val="en-US" w:eastAsia="zh-CN"/>
        </w:rPr>
        <w:t>74.89</w:t>
      </w:r>
      <w:r>
        <w:rPr>
          <w:shd w:val="clear" w:color="auto" w:fill="FFFFFF"/>
        </w:rPr>
        <w:t>万元，增长</w:t>
      </w:r>
      <w:r>
        <w:rPr>
          <w:rFonts w:hint="eastAsia"/>
          <w:shd w:val="clear" w:color="auto" w:fill="FFFFFF"/>
          <w:lang w:val="en-US" w:eastAsia="zh-CN"/>
        </w:rPr>
        <w:t>65</w:t>
      </w:r>
      <w:r>
        <w:rPr>
          <w:shd w:val="clear" w:color="auto" w:fill="FFFFFF"/>
        </w:rPr>
        <w:t>%。主要变动原因是</w:t>
      </w:r>
      <w:r>
        <w:rPr>
          <w:rFonts w:hint="eastAsia" w:cs="宋体"/>
          <w:kern w:val="0"/>
          <w:sz w:val="24"/>
          <w:szCs w:val="24"/>
          <w:shd w:val="clear" w:color="auto" w:fill="FFFFFF"/>
          <w:lang w:val="en-US" w:eastAsia="zh-CN"/>
        </w:rPr>
        <w:t>人员工资变动，相对应五险一金增加。</w:t>
      </w:r>
    </w:p>
    <w:p>
      <w:pPr>
        <w:pStyle w:val="10"/>
        <w:keepNext w:val="0"/>
        <w:keepLines w:val="0"/>
        <w:widowControl/>
        <w:suppressLineNumbers w:val="0"/>
        <w:spacing w:before="0" w:beforeAutospacing="0"/>
        <w:ind w:left="240" w:hanging="240" w:hangingChars="100"/>
        <w:jc w:val="center"/>
        <w:rPr>
          <w:shd w:val="clear" w:color="auto" w:fill="FFFFFF"/>
        </w:rPr>
      </w:pPr>
      <w:r>
        <w:drawing>
          <wp:anchor distT="0" distB="0" distL="114300" distR="114300" simplePos="0" relativeHeight="251659264" behindDoc="0" locked="0" layoutInCell="1" allowOverlap="1">
            <wp:simplePos x="0" y="0"/>
            <wp:positionH relativeFrom="column">
              <wp:posOffset>193675</wp:posOffset>
            </wp:positionH>
            <wp:positionV relativeFrom="paragraph">
              <wp:posOffset>23495</wp:posOffset>
            </wp:positionV>
            <wp:extent cx="4828540" cy="2696210"/>
            <wp:effectExtent l="6350" t="6350" r="11430" b="10160"/>
            <wp:wrapSquare wrapText="bothSides"/>
            <wp:docPr id="102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shd w:val="clear" w:color="auto" w:fill="FFFFFF"/>
        </w:rPr>
        <w:t>（图1：收、支决算总计变动情况图）（柱状图）</w:t>
      </w:r>
    </w:p>
    <w:p>
      <w:pPr>
        <w:pStyle w:val="10"/>
        <w:keepNext w:val="0"/>
        <w:keepLines w:val="0"/>
        <w:widowControl/>
        <w:suppressLineNumbers w:val="0"/>
        <w:spacing w:before="0" w:beforeAutospacing="0"/>
        <w:ind w:left="0" w:firstLine="480" w:firstLineChars="200"/>
        <w:jc w:val="both"/>
        <w:outlineLvl w:val="1"/>
      </w:pPr>
      <w:bookmarkStart w:id="15" w:name="_Toc21847"/>
      <w:bookmarkStart w:id="16" w:name="_Toc12665"/>
      <w:r>
        <w:rPr>
          <w:rFonts w:hint="eastAsia"/>
          <w:shd w:val="clear" w:color="auto" w:fill="FFFFFF"/>
          <w:lang w:val="en-US" w:eastAsia="zh-CN"/>
        </w:rPr>
        <w:t>二、</w:t>
      </w:r>
      <w:r>
        <w:rPr>
          <w:shd w:val="clear" w:color="auto" w:fill="FFFFFF"/>
        </w:rPr>
        <w:t>收入决算情况说明</w:t>
      </w:r>
      <w:bookmarkEnd w:id="15"/>
      <w:bookmarkEnd w:id="16"/>
    </w:p>
    <w:p>
      <w:pPr>
        <w:pStyle w:val="10"/>
        <w:keepNext w:val="0"/>
        <w:keepLines w:val="0"/>
        <w:widowControl/>
        <w:suppressLineNumbers w:val="0"/>
        <w:spacing w:before="0" w:beforeAutospacing="0"/>
        <w:ind w:left="0" w:firstLine="480" w:firstLineChars="200"/>
        <w:jc w:val="both"/>
      </w:pPr>
      <w:r>
        <w:rPr>
          <w:shd w:val="clear" w:color="auto" w:fill="FFFFFF"/>
        </w:rPr>
        <w:t>202</w:t>
      </w:r>
      <w:r>
        <w:rPr>
          <w:rFonts w:hint="eastAsia"/>
          <w:shd w:val="clear" w:color="auto" w:fill="FFFFFF"/>
          <w:lang w:val="en-US" w:eastAsia="zh-CN"/>
        </w:rPr>
        <w:t>2</w:t>
      </w:r>
      <w:r>
        <w:rPr>
          <w:shd w:val="clear" w:color="auto" w:fill="FFFFFF"/>
        </w:rPr>
        <w:t>年本年收入合计</w:t>
      </w:r>
      <w:r>
        <w:rPr>
          <w:rFonts w:hint="eastAsia"/>
          <w:shd w:val="clear" w:color="auto" w:fill="FFFFFF"/>
          <w:lang w:val="en-US" w:eastAsia="zh-CN"/>
        </w:rPr>
        <w:t>212.54</w:t>
      </w:r>
      <w:r>
        <w:rPr>
          <w:shd w:val="clear" w:color="auto" w:fill="FFFFFF"/>
        </w:rPr>
        <w:t>万元，其中：一般公共预算财政拨款收入</w:t>
      </w:r>
      <w:r>
        <w:rPr>
          <w:rFonts w:hint="eastAsia"/>
          <w:shd w:val="clear" w:color="auto" w:fill="FFFFFF"/>
          <w:lang w:val="en-US" w:eastAsia="zh-CN"/>
        </w:rPr>
        <w:t>212.54</w:t>
      </w:r>
      <w:r>
        <w:rPr>
          <w:shd w:val="clear" w:color="auto" w:fill="FFFFFF"/>
        </w:rPr>
        <w:t>万元，占</w:t>
      </w:r>
      <w:r>
        <w:rPr>
          <w:rFonts w:hint="eastAsia"/>
          <w:shd w:val="clear" w:color="auto" w:fill="FFFFFF"/>
          <w:lang w:val="en-US" w:eastAsia="zh-CN"/>
        </w:rPr>
        <w:t>100</w:t>
      </w:r>
      <w:r>
        <w:rPr>
          <w:shd w:val="clear" w:color="auto" w:fill="FFFFFF"/>
        </w:rPr>
        <w:t>%；政府性基金预算财政拨款收入0.00万元，占0.00%；国有资本经营预算财政拨款收入0.00万元，占0.00%；上级补助收入0.00万元，占0.00%；事业收入0.00万元，占0.00%%；经营收入0.00万元，占0.00%%；附属单位上缴收入0.00万元，占0.00%；其他收入</w:t>
      </w:r>
      <w:r>
        <w:rPr>
          <w:rFonts w:hint="eastAsia"/>
          <w:shd w:val="clear" w:color="auto" w:fill="FFFFFF"/>
          <w:lang w:val="en-US" w:eastAsia="zh-CN"/>
        </w:rPr>
        <w:t>0.00</w:t>
      </w:r>
      <w:r>
        <w:rPr>
          <w:shd w:val="clear" w:color="auto" w:fill="FFFFFF"/>
        </w:rPr>
        <w:t>万元，占</w:t>
      </w:r>
      <w:r>
        <w:rPr>
          <w:rFonts w:hint="eastAsia"/>
          <w:shd w:val="clear" w:color="auto" w:fill="FFFFFF"/>
          <w:lang w:val="en-US" w:eastAsia="zh-CN"/>
        </w:rPr>
        <w:t>0.00</w:t>
      </w:r>
      <w:r>
        <w:rPr>
          <w:shd w:val="clear" w:color="auto" w:fill="FFFFFF"/>
        </w:rPr>
        <w:t>%。 </w:t>
      </w:r>
    </w:p>
    <w:p>
      <w:pPr>
        <w:pStyle w:val="10"/>
        <w:keepNext w:val="0"/>
        <w:keepLines w:val="0"/>
        <w:widowControl/>
        <w:suppressLineNumbers w:val="0"/>
        <w:spacing w:before="0" w:beforeAutospacing="0"/>
        <w:ind w:left="0"/>
        <w:jc w:val="center"/>
        <w:rPr>
          <w:rFonts w:eastAsia="宋体"/>
          <w:shd w:val="clear" w:color="auto" w:fill="FFFFFF"/>
          <w:lang w:val="en-US" w:eastAsia="zh-CN"/>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center"/>
        <w:rPr>
          <w:shd w:val="clear" w:color="auto" w:fill="FFFFFF"/>
        </w:rPr>
      </w:pPr>
    </w:p>
    <w:p>
      <w:pPr>
        <w:pStyle w:val="10"/>
        <w:keepNext w:val="0"/>
        <w:keepLines w:val="0"/>
        <w:widowControl/>
        <w:suppressLineNumbers w:val="0"/>
        <w:spacing w:before="0" w:beforeAutospacing="0"/>
        <w:ind w:left="0"/>
        <w:jc w:val="both"/>
        <w:rPr>
          <w:shd w:val="clear" w:color="auto" w:fill="FFFFFF"/>
        </w:rPr>
      </w:pPr>
    </w:p>
    <w:p>
      <w:pPr>
        <w:pStyle w:val="10"/>
        <w:keepNext w:val="0"/>
        <w:keepLines w:val="0"/>
        <w:widowControl/>
        <w:suppressLineNumbers w:val="0"/>
        <w:spacing w:before="0" w:beforeAutospacing="0"/>
        <w:ind w:left="0"/>
        <w:jc w:val="both"/>
      </w:pPr>
      <w:r>
        <w:drawing>
          <wp:anchor distT="0" distB="0" distL="114300" distR="114300" simplePos="0" relativeHeight="251660288" behindDoc="0" locked="0" layoutInCell="1" allowOverlap="1">
            <wp:simplePos x="0" y="0"/>
            <wp:positionH relativeFrom="column">
              <wp:posOffset>45085</wp:posOffset>
            </wp:positionH>
            <wp:positionV relativeFrom="paragraph">
              <wp:posOffset>25400</wp:posOffset>
            </wp:positionV>
            <wp:extent cx="5152390" cy="2772410"/>
            <wp:effectExtent l="6350" t="6350" r="7620" b="10160"/>
            <wp:wrapSquare wrapText="bothSides"/>
            <wp:docPr id="10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lang w:val="en-US" w:eastAsia="zh-CN"/>
        </w:rPr>
        <w:t xml:space="preserve">               </w:t>
      </w:r>
      <w:r>
        <w:rPr>
          <w:shd w:val="clear" w:color="auto" w:fill="FFFFFF"/>
        </w:rPr>
        <w:t>（图2：收入决算结构图）（饼状图）</w:t>
      </w:r>
    </w:p>
    <w:p>
      <w:pPr>
        <w:keepNext w:val="0"/>
        <w:keepLines w:val="0"/>
        <w:widowControl/>
        <w:suppressLineNumbers w:val="0"/>
        <w:spacing w:before="0" w:beforeAutospacing="0" w:after="0" w:afterAutospacing="1"/>
        <w:ind w:left="0" w:firstLine="480" w:firstLineChars="200"/>
        <w:jc w:val="left"/>
        <w:outlineLvl w:val="1"/>
        <w:rPr>
          <w:rFonts w:hint="eastAsia"/>
          <w:shd w:val="clear" w:color="auto" w:fill="FFFFFF"/>
          <w:lang w:val="en-US" w:eastAsia="zh-CN"/>
        </w:rPr>
      </w:pPr>
      <w:bookmarkStart w:id="17" w:name="_Toc3996"/>
      <w:bookmarkStart w:id="18" w:name="_Toc27767"/>
    </w:p>
    <w:p>
      <w:pPr>
        <w:keepNext w:val="0"/>
        <w:keepLines w:val="0"/>
        <w:widowControl/>
        <w:suppressLineNumbers w:val="0"/>
        <w:spacing w:before="0" w:beforeAutospacing="0" w:after="0" w:afterAutospacing="1"/>
        <w:ind w:left="0" w:firstLine="480" w:firstLineChars="200"/>
        <w:jc w:val="left"/>
        <w:outlineLvl w:val="1"/>
      </w:pPr>
      <w:r>
        <w:rPr>
          <w:rFonts w:hint="eastAsia"/>
          <w:shd w:val="clear" w:color="auto" w:fill="FFFFFF"/>
          <w:lang w:val="en-US" w:eastAsia="zh-CN"/>
        </w:rPr>
        <w:t>三、</w:t>
      </w:r>
      <w:r>
        <w:rPr>
          <w:shd w:val="clear" w:color="auto" w:fill="FFFFFF"/>
        </w:rPr>
        <w:t>支出决算情况说明</w:t>
      </w:r>
      <w:bookmarkEnd w:id="17"/>
      <w:bookmarkEnd w:id="18"/>
    </w:p>
    <w:p>
      <w:pPr>
        <w:pStyle w:val="10"/>
        <w:keepNext w:val="0"/>
        <w:keepLines w:val="0"/>
        <w:widowControl/>
        <w:suppressLineNumbers w:val="0"/>
        <w:spacing w:before="0" w:beforeAutospacing="0"/>
        <w:ind w:left="0" w:firstLine="480" w:firstLineChars="200"/>
        <w:jc w:val="both"/>
        <w:rPr>
          <w:shd w:val="clear" w:color="auto" w:fill="FFFFFF"/>
        </w:rPr>
      </w:pPr>
      <w:r>
        <w:rPr>
          <w:shd w:val="clear" w:color="auto" w:fill="FFFFFF"/>
        </w:rPr>
        <w:t>202</w:t>
      </w:r>
      <w:r>
        <w:rPr>
          <w:rFonts w:hint="eastAsia"/>
          <w:shd w:val="clear" w:color="auto" w:fill="FFFFFF"/>
          <w:lang w:val="en-US" w:eastAsia="zh-CN"/>
        </w:rPr>
        <w:t>2</w:t>
      </w:r>
      <w:r>
        <w:rPr>
          <w:shd w:val="clear" w:color="auto" w:fill="FFFFFF"/>
        </w:rPr>
        <w:t>年本年支出合计</w:t>
      </w:r>
      <w:r>
        <w:rPr>
          <w:rFonts w:hint="eastAsia"/>
          <w:shd w:val="clear" w:color="auto" w:fill="FFFFFF"/>
          <w:lang w:val="en-US" w:eastAsia="zh-CN"/>
        </w:rPr>
        <w:t>212.54</w:t>
      </w:r>
      <w:r>
        <w:rPr>
          <w:shd w:val="clear" w:color="auto" w:fill="FFFFFF"/>
        </w:rPr>
        <w:t>万元，其中：基本支出</w:t>
      </w:r>
      <w:r>
        <w:rPr>
          <w:rFonts w:hint="eastAsia"/>
          <w:shd w:val="clear" w:color="auto" w:fill="FFFFFF"/>
          <w:lang w:val="en-US" w:eastAsia="zh-CN"/>
        </w:rPr>
        <w:t>151.47</w:t>
      </w:r>
      <w:r>
        <w:rPr>
          <w:shd w:val="clear" w:color="auto" w:fill="FFFFFF"/>
        </w:rPr>
        <w:t>万元，占</w:t>
      </w:r>
      <w:r>
        <w:rPr>
          <w:rFonts w:hint="eastAsia"/>
          <w:shd w:val="clear" w:color="auto" w:fill="FFFFFF"/>
          <w:lang w:val="en-US" w:eastAsia="zh-CN"/>
        </w:rPr>
        <w:t>71</w:t>
      </w:r>
      <w:r>
        <w:rPr>
          <w:shd w:val="clear" w:color="auto" w:fill="FFFFFF"/>
        </w:rPr>
        <w:t>%；项目支出</w:t>
      </w:r>
      <w:r>
        <w:rPr>
          <w:rFonts w:hint="eastAsia"/>
          <w:shd w:val="clear" w:color="auto" w:fill="FFFFFF"/>
          <w:lang w:val="en-US" w:eastAsia="zh-CN"/>
        </w:rPr>
        <w:t>61.07</w:t>
      </w:r>
      <w:r>
        <w:rPr>
          <w:shd w:val="clear" w:color="auto" w:fill="FFFFFF"/>
        </w:rPr>
        <w:t>万元，占</w:t>
      </w:r>
      <w:r>
        <w:rPr>
          <w:rFonts w:hint="eastAsia"/>
          <w:shd w:val="clear" w:color="auto" w:fill="FFFFFF"/>
          <w:lang w:val="en-US" w:eastAsia="zh-CN"/>
        </w:rPr>
        <w:t>29</w:t>
      </w:r>
      <w:r>
        <w:rPr>
          <w:shd w:val="clear" w:color="auto" w:fill="FFFFFF"/>
        </w:rPr>
        <w:t>%；上缴上级支出0.00万元，占0.00%；经营支出0.00万元，占经营支出0.00万元，占 0.00%；对附属单位补助支出0.00万元，占0.00%。</w:t>
      </w:r>
    </w:p>
    <w:p>
      <w:pPr>
        <w:pStyle w:val="10"/>
        <w:keepNext w:val="0"/>
        <w:keepLines w:val="0"/>
        <w:widowControl/>
        <w:suppressLineNumbers w:val="0"/>
        <w:spacing w:before="0" w:beforeAutospacing="0"/>
        <w:ind w:left="0"/>
        <w:jc w:val="center"/>
      </w:pPr>
      <w:r>
        <w:drawing>
          <wp:anchor distT="0" distB="0" distL="114300" distR="114300" simplePos="0" relativeHeight="251661312" behindDoc="0" locked="0" layoutInCell="1" allowOverlap="1">
            <wp:simplePos x="0" y="0"/>
            <wp:positionH relativeFrom="column">
              <wp:posOffset>248920</wp:posOffset>
            </wp:positionH>
            <wp:positionV relativeFrom="paragraph">
              <wp:posOffset>95250</wp:posOffset>
            </wp:positionV>
            <wp:extent cx="4988560" cy="3303270"/>
            <wp:effectExtent l="6350" t="6350" r="19050" b="12700"/>
            <wp:wrapSquare wrapText="bothSides"/>
            <wp:docPr id="102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shd w:val="clear" w:color="auto" w:fill="FFFFFF"/>
        </w:rPr>
        <w:t>（图3：支出决算结构图）（饼状图）</w:t>
      </w:r>
    </w:p>
    <w:p>
      <w:pPr>
        <w:pStyle w:val="10"/>
        <w:keepNext w:val="0"/>
        <w:keepLines w:val="0"/>
        <w:widowControl/>
        <w:suppressLineNumbers w:val="0"/>
        <w:spacing w:before="0" w:beforeAutospacing="0"/>
        <w:ind w:left="0" w:firstLine="480" w:firstLineChars="200"/>
        <w:jc w:val="left"/>
        <w:outlineLvl w:val="1"/>
      </w:pPr>
      <w:bookmarkStart w:id="19" w:name="_Toc20508"/>
      <w:bookmarkStart w:id="20" w:name="_Toc2291"/>
      <w:r>
        <w:rPr>
          <w:shd w:val="clear" w:color="auto" w:fill="FFFFFF"/>
        </w:rPr>
        <w:t>四、财政拨款收入支出决算总体情况说明</w:t>
      </w:r>
      <w:bookmarkEnd w:id="19"/>
      <w:bookmarkEnd w:id="20"/>
    </w:p>
    <w:p>
      <w:pPr>
        <w:pStyle w:val="10"/>
        <w:keepNext w:val="0"/>
        <w:keepLines w:val="0"/>
        <w:widowControl/>
        <w:suppressLineNumbers w:val="0"/>
        <w:spacing w:before="0" w:beforeAutospacing="0"/>
        <w:ind w:left="0" w:firstLine="480" w:firstLineChars="200"/>
        <w:jc w:val="both"/>
        <w:rPr>
          <w:shd w:val="clear" w:color="auto" w:fill="FFFFFF"/>
        </w:rPr>
      </w:pPr>
      <w:r>
        <w:rPr>
          <w:shd w:val="clear" w:color="auto" w:fill="FFFFFF"/>
        </w:rPr>
        <w:t>202</w:t>
      </w:r>
      <w:r>
        <w:rPr>
          <w:rFonts w:hint="eastAsia"/>
          <w:shd w:val="clear" w:color="auto" w:fill="FFFFFF"/>
          <w:lang w:val="en-US" w:eastAsia="zh-CN"/>
        </w:rPr>
        <w:t>2</w:t>
      </w:r>
      <w:r>
        <w:rPr>
          <w:shd w:val="clear" w:color="auto" w:fill="FFFFFF"/>
        </w:rPr>
        <w:t>年财政拨款收、支总计</w:t>
      </w:r>
      <w:r>
        <w:rPr>
          <w:rFonts w:hint="eastAsia"/>
          <w:shd w:val="clear" w:color="auto" w:fill="FFFFFF"/>
          <w:lang w:val="en-US" w:eastAsia="zh-CN"/>
        </w:rPr>
        <w:t>212.54</w:t>
      </w:r>
      <w:r>
        <w:rPr>
          <w:shd w:val="clear" w:color="auto" w:fill="FFFFFF"/>
        </w:rPr>
        <w:t>万元。与202</w:t>
      </w:r>
      <w:r>
        <w:rPr>
          <w:rFonts w:hint="eastAsia"/>
          <w:shd w:val="clear" w:color="auto" w:fill="FFFFFF"/>
          <w:lang w:val="en-US" w:eastAsia="zh-CN"/>
        </w:rPr>
        <w:t>1</w:t>
      </w:r>
      <w:r>
        <w:rPr>
          <w:shd w:val="clear" w:color="auto" w:fill="FFFFFF"/>
        </w:rPr>
        <w:t>年相比，财政拨款收、支总计各增加</w:t>
      </w:r>
      <w:r>
        <w:rPr>
          <w:rFonts w:hint="eastAsia"/>
          <w:shd w:val="clear" w:color="auto" w:fill="FFFFFF"/>
          <w:lang w:val="en-US" w:eastAsia="zh-CN"/>
        </w:rPr>
        <w:t>81.39</w:t>
      </w:r>
      <w:r>
        <w:rPr>
          <w:shd w:val="clear" w:color="auto" w:fill="FFFFFF"/>
        </w:rPr>
        <w:t>万元，增长</w:t>
      </w:r>
      <w:r>
        <w:rPr>
          <w:rFonts w:hint="eastAsia"/>
          <w:shd w:val="clear" w:color="auto" w:fill="FFFFFF"/>
          <w:lang w:val="en-US" w:eastAsia="zh-CN"/>
        </w:rPr>
        <w:t>62</w:t>
      </w:r>
      <w:r>
        <w:rPr>
          <w:shd w:val="clear" w:color="auto" w:fill="FFFFFF"/>
        </w:rPr>
        <w:t>%。主要变动原因是</w:t>
      </w:r>
      <w:r>
        <w:rPr>
          <w:rFonts w:hint="eastAsia" w:cs="宋体"/>
          <w:kern w:val="0"/>
          <w:sz w:val="24"/>
          <w:szCs w:val="24"/>
          <w:shd w:val="clear" w:color="auto" w:fill="FFFFFF"/>
          <w:lang w:val="en-US" w:eastAsia="zh-CN"/>
        </w:rPr>
        <w:t>人员工资变动，相对应五险一金增加。</w:t>
      </w:r>
    </w:p>
    <w:p>
      <w:pPr>
        <w:pStyle w:val="10"/>
        <w:keepNext w:val="0"/>
        <w:keepLines w:val="0"/>
        <w:widowControl/>
        <w:suppressLineNumbers w:val="0"/>
        <w:spacing w:before="0" w:beforeAutospacing="0"/>
        <w:ind w:left="0"/>
        <w:jc w:val="center"/>
      </w:pPr>
      <w:r>
        <w:drawing>
          <wp:anchor distT="0" distB="0" distL="114300" distR="114300" simplePos="0" relativeHeight="251662336" behindDoc="0" locked="0" layoutInCell="1" allowOverlap="1">
            <wp:simplePos x="0" y="0"/>
            <wp:positionH relativeFrom="column">
              <wp:posOffset>-40640</wp:posOffset>
            </wp:positionH>
            <wp:positionV relativeFrom="paragraph">
              <wp:posOffset>106045</wp:posOffset>
            </wp:positionV>
            <wp:extent cx="5173980" cy="2539365"/>
            <wp:effectExtent l="6350" t="6350" r="16510" b="14605"/>
            <wp:wrapSquare wrapText="bothSides"/>
            <wp:docPr id="102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shd w:val="clear" w:color="auto" w:fill="FFFFFF"/>
        </w:rPr>
        <w:t>（图4：财政拨款收、支决算总计变动情况）（柱状图）</w:t>
      </w:r>
    </w:p>
    <w:p>
      <w:pPr>
        <w:pStyle w:val="10"/>
        <w:keepNext w:val="0"/>
        <w:keepLines w:val="0"/>
        <w:widowControl/>
        <w:suppressLineNumbers w:val="0"/>
        <w:spacing w:before="0" w:beforeAutospacing="0"/>
        <w:ind w:left="0" w:firstLine="480" w:firstLineChars="200"/>
        <w:jc w:val="left"/>
        <w:outlineLvl w:val="1"/>
        <w:rPr>
          <w:shd w:val="clear" w:color="auto" w:fill="FFFFFF"/>
        </w:rPr>
      </w:pPr>
      <w:bookmarkStart w:id="21" w:name="_Toc14355"/>
      <w:bookmarkStart w:id="22" w:name="_Toc9497"/>
    </w:p>
    <w:p>
      <w:pPr>
        <w:pStyle w:val="10"/>
        <w:keepNext w:val="0"/>
        <w:keepLines w:val="0"/>
        <w:widowControl/>
        <w:suppressLineNumbers w:val="0"/>
        <w:spacing w:before="0" w:beforeAutospacing="0"/>
        <w:ind w:left="0" w:firstLine="480" w:firstLineChars="200"/>
        <w:jc w:val="left"/>
        <w:outlineLvl w:val="1"/>
      </w:pPr>
      <w:r>
        <w:rPr>
          <w:shd w:val="clear" w:color="auto" w:fill="FFFFFF"/>
        </w:rPr>
        <w:t>五、</w:t>
      </w:r>
      <w:r>
        <w:rPr>
          <w:rStyle w:val="13"/>
          <w:shd w:val="clear" w:color="auto" w:fill="FFFFFF"/>
        </w:rPr>
        <w:t>一</w:t>
      </w:r>
      <w:r>
        <w:rPr>
          <w:shd w:val="clear" w:color="auto" w:fill="FFFFFF"/>
        </w:rPr>
        <w:t>般公共预算财政拨款支出决算情况说明</w:t>
      </w:r>
      <w:bookmarkEnd w:id="21"/>
      <w:bookmarkEnd w:id="22"/>
    </w:p>
    <w:p>
      <w:pPr>
        <w:pStyle w:val="10"/>
        <w:keepNext w:val="0"/>
        <w:keepLines w:val="0"/>
        <w:widowControl/>
        <w:suppressLineNumbers w:val="0"/>
        <w:spacing w:before="0" w:beforeAutospacing="0"/>
        <w:ind w:left="0" w:firstLine="481" w:firstLineChars="200"/>
        <w:jc w:val="left"/>
      </w:pPr>
      <w:r>
        <w:rPr>
          <w:rStyle w:val="13"/>
          <w:shd w:val="clear" w:color="auto" w:fill="FFFFFF"/>
        </w:rPr>
        <w:t>（一）一般公共预算财政拨款支出决算总体情况</w:t>
      </w:r>
    </w:p>
    <w:p>
      <w:pPr>
        <w:pStyle w:val="10"/>
        <w:keepNext w:val="0"/>
        <w:keepLines w:val="0"/>
        <w:widowControl/>
        <w:suppressLineNumbers w:val="0"/>
        <w:spacing w:before="0" w:beforeAutospacing="0"/>
        <w:ind w:left="0" w:firstLine="480" w:firstLineChars="200"/>
        <w:jc w:val="both"/>
        <w:rPr>
          <w:rFonts w:hint="default"/>
          <w:lang w:val="en-US"/>
        </w:rPr>
      </w:pPr>
      <w:r>
        <w:rPr>
          <w:shd w:val="clear" w:color="auto" w:fill="FFFFFF"/>
        </w:rPr>
        <w:t>202</w:t>
      </w:r>
      <w:r>
        <w:rPr>
          <w:rFonts w:hint="eastAsia"/>
          <w:shd w:val="clear" w:color="auto" w:fill="FFFFFF"/>
          <w:lang w:val="en-US" w:eastAsia="zh-CN"/>
        </w:rPr>
        <w:t>2</w:t>
      </w:r>
      <w:r>
        <w:rPr>
          <w:shd w:val="clear" w:color="auto" w:fill="FFFFFF"/>
        </w:rPr>
        <w:t>年一般公共预算财政拨款支出</w:t>
      </w:r>
      <w:r>
        <w:rPr>
          <w:rFonts w:hint="eastAsia"/>
          <w:shd w:val="clear" w:color="auto" w:fill="FFFFFF"/>
          <w:lang w:val="en-US" w:eastAsia="zh-CN"/>
        </w:rPr>
        <w:t>212.54</w:t>
      </w:r>
      <w:r>
        <w:rPr>
          <w:shd w:val="clear" w:color="auto" w:fill="FFFFFF"/>
        </w:rPr>
        <w:t>万元，占本年支出合计的</w:t>
      </w:r>
      <w:r>
        <w:rPr>
          <w:rFonts w:hint="eastAsia"/>
          <w:shd w:val="clear" w:color="auto" w:fill="FFFFFF"/>
          <w:lang w:val="en-US" w:eastAsia="zh-CN"/>
        </w:rPr>
        <w:t>100</w:t>
      </w:r>
      <w:r>
        <w:rPr>
          <w:shd w:val="clear" w:color="auto" w:fill="FFFFFF"/>
        </w:rPr>
        <w:t>%。与202</w:t>
      </w:r>
      <w:r>
        <w:rPr>
          <w:rFonts w:hint="eastAsia"/>
          <w:shd w:val="clear" w:color="auto" w:fill="FFFFFF"/>
          <w:lang w:val="en-US" w:eastAsia="zh-CN"/>
        </w:rPr>
        <w:t>1</w:t>
      </w:r>
      <w:r>
        <w:rPr>
          <w:shd w:val="clear" w:color="auto" w:fill="FFFFFF"/>
        </w:rPr>
        <w:t>年相比，一般公共预算财政拨款支出增加</w:t>
      </w:r>
      <w:r>
        <w:rPr>
          <w:rFonts w:hint="eastAsia"/>
          <w:shd w:val="clear" w:color="auto" w:fill="FFFFFF"/>
          <w:lang w:val="en-US" w:eastAsia="zh-CN"/>
        </w:rPr>
        <w:t>81.39</w:t>
      </w:r>
      <w:r>
        <w:rPr>
          <w:shd w:val="clear" w:color="auto" w:fill="FFFFFF"/>
        </w:rPr>
        <w:t>万元，增长</w:t>
      </w:r>
      <w:r>
        <w:rPr>
          <w:rFonts w:hint="eastAsia"/>
          <w:shd w:val="clear" w:color="auto" w:fill="FFFFFF"/>
          <w:lang w:val="en-US" w:eastAsia="zh-CN"/>
        </w:rPr>
        <w:t>62</w:t>
      </w:r>
      <w:r>
        <w:rPr>
          <w:shd w:val="clear" w:color="auto" w:fill="FFFFFF"/>
        </w:rPr>
        <w:t>%。主要变动原因是</w:t>
      </w:r>
      <w:r>
        <w:rPr>
          <w:rFonts w:hint="eastAsia" w:cs="宋体"/>
          <w:kern w:val="0"/>
          <w:sz w:val="24"/>
          <w:szCs w:val="24"/>
          <w:shd w:val="clear" w:color="auto" w:fill="FFFFFF"/>
          <w:lang w:val="en-US" w:eastAsia="zh-CN"/>
        </w:rPr>
        <w:t>人员工资变动，相对应五险一金增加。</w:t>
      </w:r>
    </w:p>
    <w:p>
      <w:pPr>
        <w:pStyle w:val="10"/>
        <w:keepNext w:val="0"/>
        <w:keepLines w:val="0"/>
        <w:widowControl/>
        <w:suppressLineNumbers w:val="0"/>
        <w:spacing w:before="0" w:beforeAutospacing="0"/>
        <w:ind w:left="0"/>
        <w:jc w:val="both"/>
        <w:rPr>
          <w:rFonts w:hint="eastAsia" w:ascii="宋体" w:eastAsia="宋体" w:cs="宋体"/>
          <w:kern w:val="0"/>
          <w:sz w:val="24"/>
          <w:szCs w:val="24"/>
          <w:lang w:eastAsia="zh-CN"/>
        </w:rPr>
      </w:pPr>
      <w:r>
        <w:drawing>
          <wp:inline distT="0" distB="0" distL="114300" distR="114300">
            <wp:extent cx="5408930" cy="2315210"/>
            <wp:effectExtent l="6350" t="6350" r="10160" b="10160"/>
            <wp:docPr id="103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0"/>
        <w:keepNext w:val="0"/>
        <w:keepLines w:val="0"/>
        <w:widowControl/>
        <w:suppressLineNumbers w:val="0"/>
        <w:spacing w:before="0" w:beforeAutospacing="0"/>
        <w:ind w:left="0"/>
        <w:jc w:val="center"/>
      </w:pPr>
      <w:r>
        <w:rPr>
          <w:shd w:val="clear" w:color="auto" w:fill="FFFFFF"/>
        </w:rPr>
        <w:t>（图5：一般公共预算财政拨款支出决算变动情况）（柱状图）</w:t>
      </w:r>
    </w:p>
    <w:p>
      <w:pPr>
        <w:pStyle w:val="10"/>
        <w:keepNext w:val="0"/>
        <w:keepLines w:val="0"/>
        <w:widowControl/>
        <w:suppressLineNumbers w:val="0"/>
        <w:spacing w:before="0" w:beforeAutospacing="0"/>
        <w:ind w:left="0" w:firstLine="481" w:firstLineChars="200"/>
        <w:jc w:val="left"/>
      </w:pPr>
      <w:r>
        <w:rPr>
          <w:rStyle w:val="13"/>
          <w:shd w:val="clear" w:color="auto" w:fill="FFFFFF"/>
        </w:rPr>
        <w:t>（二）一般公共预算财政拨款支出决算结构情况</w:t>
      </w:r>
    </w:p>
    <w:p>
      <w:pPr>
        <w:pStyle w:val="10"/>
        <w:keepNext w:val="0"/>
        <w:keepLines w:val="0"/>
        <w:widowControl/>
        <w:suppressLineNumbers w:val="0"/>
        <w:spacing w:before="0" w:beforeAutospacing="0"/>
        <w:ind w:left="0" w:firstLine="480" w:firstLineChars="200"/>
        <w:jc w:val="both"/>
        <w:rPr>
          <w:rFonts w:hint="eastAsia" w:ascii="宋体" w:eastAsia="宋体" w:cs="宋体"/>
          <w:kern w:val="0"/>
          <w:sz w:val="24"/>
          <w:szCs w:val="24"/>
          <w:lang w:eastAsia="zh-CN"/>
        </w:rPr>
      </w:pPr>
      <w:r>
        <w:rPr>
          <w:shd w:val="clear" w:color="auto" w:fill="FFFFFF"/>
        </w:rPr>
        <w:t>202</w:t>
      </w:r>
      <w:r>
        <w:rPr>
          <w:rFonts w:hint="eastAsia"/>
          <w:shd w:val="clear" w:color="auto" w:fill="FFFFFF"/>
          <w:lang w:val="en-US" w:eastAsia="zh-CN"/>
        </w:rPr>
        <w:t>2</w:t>
      </w:r>
      <w:r>
        <w:rPr>
          <w:shd w:val="clear" w:color="auto" w:fill="FFFFFF"/>
        </w:rPr>
        <w:t>年一般公共预算财政拨款支出</w:t>
      </w:r>
      <w:r>
        <w:rPr>
          <w:rFonts w:hint="eastAsia"/>
          <w:shd w:val="clear" w:color="auto" w:fill="FFFFFF"/>
          <w:lang w:val="en-US" w:eastAsia="zh-CN"/>
        </w:rPr>
        <w:t>212.54</w:t>
      </w:r>
      <w:r>
        <w:rPr>
          <w:shd w:val="clear" w:color="auto" w:fill="FFFFFF"/>
        </w:rPr>
        <w:t>万元，主要用于以下方面:</w:t>
      </w:r>
      <w:r>
        <w:rPr>
          <w:rStyle w:val="13"/>
          <w:shd w:val="clear" w:color="auto" w:fill="FFFFFF"/>
        </w:rPr>
        <w:t>一般公共服务（类）</w:t>
      </w:r>
      <w:r>
        <w:rPr>
          <w:shd w:val="clear" w:color="auto" w:fill="FFFFFF"/>
        </w:rPr>
        <w:t>支出0.00万元，占0.00%；</w:t>
      </w:r>
      <w:r>
        <w:rPr>
          <w:rStyle w:val="13"/>
          <w:shd w:val="clear" w:color="auto" w:fill="FFFFFF"/>
        </w:rPr>
        <w:t>教育支出（类）</w:t>
      </w:r>
      <w:r>
        <w:rPr>
          <w:shd w:val="clear" w:color="auto" w:fill="FFFFFF"/>
        </w:rPr>
        <w:t>0.00万元，占0.00%；</w:t>
      </w:r>
      <w:r>
        <w:rPr>
          <w:rStyle w:val="13"/>
          <w:shd w:val="clear" w:color="auto" w:fill="FFFFFF"/>
        </w:rPr>
        <w:t>科学技术（类）</w:t>
      </w:r>
      <w:r>
        <w:rPr>
          <w:shd w:val="clear" w:color="auto" w:fill="FFFFFF"/>
        </w:rPr>
        <w:t>支出0.00万元，占0.00%；</w:t>
      </w:r>
      <w:r>
        <w:rPr>
          <w:rStyle w:val="13"/>
          <w:shd w:val="clear" w:color="auto" w:fill="FFFFFF"/>
        </w:rPr>
        <w:t>文化旅游体育与传媒（类）支出0.00万元，占0.00%；社会保障和就业（类）</w:t>
      </w:r>
      <w:r>
        <w:rPr>
          <w:shd w:val="clear" w:color="auto" w:fill="FFFFFF"/>
        </w:rPr>
        <w:t>支出</w:t>
      </w:r>
      <w:r>
        <w:rPr>
          <w:rFonts w:hint="eastAsia"/>
          <w:shd w:val="clear" w:color="auto" w:fill="FFFFFF"/>
          <w:lang w:val="en-US" w:eastAsia="zh-CN"/>
        </w:rPr>
        <w:t>195.09</w:t>
      </w:r>
      <w:r>
        <w:rPr>
          <w:shd w:val="clear" w:color="auto" w:fill="FFFFFF"/>
        </w:rPr>
        <w:t>万元，占</w:t>
      </w:r>
      <w:r>
        <w:rPr>
          <w:rFonts w:hint="eastAsia"/>
          <w:shd w:val="clear" w:color="auto" w:fill="FFFFFF"/>
          <w:lang w:val="en-US" w:eastAsia="zh-CN"/>
        </w:rPr>
        <w:t>92</w:t>
      </w:r>
      <w:r>
        <w:rPr>
          <w:shd w:val="clear" w:color="auto" w:fill="FFFFFF"/>
        </w:rPr>
        <w:t>%；</w:t>
      </w:r>
      <w:r>
        <w:rPr>
          <w:rStyle w:val="13"/>
          <w:shd w:val="clear" w:color="auto" w:fill="FFFFFF"/>
        </w:rPr>
        <w:t>卫生健康支出</w:t>
      </w:r>
      <w:r>
        <w:rPr>
          <w:rFonts w:hint="eastAsia"/>
          <w:shd w:val="clear" w:color="auto" w:fill="FFFFFF"/>
          <w:lang w:val="en-US" w:eastAsia="zh-CN"/>
        </w:rPr>
        <w:t>7.59</w:t>
      </w:r>
      <w:r>
        <w:rPr>
          <w:shd w:val="clear" w:color="auto" w:fill="FFFFFF"/>
        </w:rPr>
        <w:t>万元，占</w:t>
      </w:r>
      <w:r>
        <w:rPr>
          <w:rFonts w:hint="eastAsia"/>
          <w:shd w:val="clear" w:color="auto" w:fill="FFFFFF"/>
          <w:lang w:val="en-US" w:eastAsia="zh-CN"/>
        </w:rPr>
        <w:t>4</w:t>
      </w:r>
      <w:r>
        <w:rPr>
          <w:shd w:val="clear" w:color="auto" w:fill="FFFFFF"/>
        </w:rPr>
        <w:t>%；住房保障支出</w:t>
      </w:r>
      <w:r>
        <w:rPr>
          <w:rFonts w:hint="eastAsia"/>
          <w:shd w:val="clear" w:color="auto" w:fill="FFFFFF"/>
          <w:lang w:val="en-US" w:eastAsia="zh-CN"/>
        </w:rPr>
        <w:t>9.85</w:t>
      </w:r>
      <w:r>
        <w:rPr>
          <w:shd w:val="clear" w:color="auto" w:fill="FFFFFF"/>
        </w:rPr>
        <w:t>万元，占</w:t>
      </w:r>
      <w:r>
        <w:rPr>
          <w:rFonts w:hint="eastAsia"/>
          <w:shd w:val="clear" w:color="auto" w:fill="FFFFFF"/>
          <w:lang w:val="en-US" w:eastAsia="zh-CN"/>
        </w:rPr>
        <w:t>5</w:t>
      </w:r>
      <w:r>
        <w:rPr>
          <w:shd w:val="clear" w:color="auto" w:fill="FFFFFF"/>
        </w:rPr>
        <w:t>%。</w:t>
      </w:r>
    </w:p>
    <w:p>
      <w:pPr>
        <w:pStyle w:val="10"/>
        <w:keepNext w:val="0"/>
        <w:keepLines w:val="0"/>
        <w:widowControl/>
        <w:suppressLineNumbers w:val="0"/>
        <w:spacing w:before="0" w:beforeAutospacing="0"/>
        <w:ind w:left="0"/>
        <w:jc w:val="center"/>
      </w:pPr>
      <w:r>
        <w:drawing>
          <wp:anchor distT="0" distB="0" distL="114300" distR="114300" simplePos="0" relativeHeight="251663360" behindDoc="0" locked="0" layoutInCell="1" allowOverlap="1">
            <wp:simplePos x="0" y="0"/>
            <wp:positionH relativeFrom="column">
              <wp:posOffset>-90805</wp:posOffset>
            </wp:positionH>
            <wp:positionV relativeFrom="paragraph">
              <wp:posOffset>30480</wp:posOffset>
            </wp:positionV>
            <wp:extent cx="5516245" cy="3050540"/>
            <wp:effectExtent l="6350" t="6350" r="9525" b="6350"/>
            <wp:wrapSquare wrapText="bothSides"/>
            <wp:docPr id="102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shd w:val="clear" w:color="auto" w:fill="FFFFFF"/>
        </w:rPr>
        <w:t>（图6：一般公共预算财政拨款支出决算结构）（饼状图）</w:t>
      </w:r>
    </w:p>
    <w:p>
      <w:pPr>
        <w:pStyle w:val="10"/>
        <w:keepNext w:val="0"/>
        <w:keepLines w:val="0"/>
        <w:widowControl/>
        <w:suppressLineNumbers w:val="0"/>
        <w:spacing w:before="0" w:beforeAutospacing="0"/>
        <w:ind w:left="0"/>
        <w:jc w:val="left"/>
      </w:pPr>
      <w:r>
        <w:rPr>
          <w:shd w:val="clear" w:color="auto" w:fill="FFFFFF"/>
        </w:rPr>
        <w:t> </w:t>
      </w:r>
    </w:p>
    <w:p>
      <w:pPr>
        <w:pStyle w:val="10"/>
        <w:keepNext w:val="0"/>
        <w:keepLines w:val="0"/>
        <w:widowControl/>
        <w:suppressLineNumbers w:val="0"/>
        <w:spacing w:before="0" w:beforeAutospacing="0"/>
        <w:ind w:left="0" w:firstLine="481" w:firstLineChars="200"/>
        <w:jc w:val="left"/>
      </w:pPr>
      <w:r>
        <w:rPr>
          <w:rStyle w:val="13"/>
          <w:shd w:val="clear" w:color="auto" w:fill="FFFFFF"/>
        </w:rPr>
        <w:t>（三）一般公共预算财政拨款支出决算具体情况</w:t>
      </w:r>
    </w:p>
    <w:p>
      <w:pPr>
        <w:pStyle w:val="10"/>
        <w:keepNext w:val="0"/>
        <w:keepLines w:val="0"/>
        <w:widowControl/>
        <w:suppressLineNumbers w:val="0"/>
        <w:spacing w:before="0" w:beforeAutospacing="0"/>
        <w:ind w:left="0" w:firstLine="481" w:firstLineChars="200"/>
        <w:jc w:val="both"/>
        <w:rPr>
          <w:rStyle w:val="13"/>
          <w:shd w:val="clear" w:color="auto" w:fill="FFFFFF"/>
        </w:rPr>
      </w:pPr>
      <w:r>
        <w:rPr>
          <w:rStyle w:val="13"/>
          <w:shd w:val="clear" w:color="auto" w:fill="FFFFFF"/>
        </w:rPr>
        <w:t>202</w:t>
      </w:r>
      <w:r>
        <w:rPr>
          <w:rStyle w:val="13"/>
          <w:rFonts w:hint="eastAsia"/>
          <w:shd w:val="clear" w:color="auto" w:fill="FFFFFF"/>
          <w:lang w:val="en-US" w:eastAsia="zh-CN"/>
        </w:rPr>
        <w:t>2</w:t>
      </w:r>
      <w:r>
        <w:rPr>
          <w:rStyle w:val="13"/>
          <w:shd w:val="clear" w:color="auto" w:fill="FFFFFF"/>
        </w:rPr>
        <w:t>年一般公共预算支出决算数为</w:t>
      </w:r>
      <w:r>
        <w:rPr>
          <w:rStyle w:val="13"/>
          <w:rFonts w:hint="eastAsia"/>
          <w:shd w:val="clear" w:color="auto" w:fill="FFFFFF"/>
          <w:lang w:val="en-US" w:eastAsia="zh-CN"/>
        </w:rPr>
        <w:t>212.54万元</w:t>
      </w:r>
      <w:r>
        <w:rPr>
          <w:shd w:val="clear" w:color="auto" w:fill="FFFFFF"/>
        </w:rPr>
        <w:t>，</w:t>
      </w:r>
      <w:r>
        <w:rPr>
          <w:rStyle w:val="13"/>
          <w:shd w:val="clear" w:color="auto" w:fill="FFFFFF"/>
        </w:rPr>
        <w:t>完成预算100.00%。其中：</w:t>
      </w:r>
    </w:p>
    <w:p>
      <w:pPr>
        <w:pStyle w:val="10"/>
        <w:keepNext w:val="0"/>
        <w:keepLines w:val="0"/>
        <w:widowControl/>
        <w:numPr>
          <w:ilvl w:val="0"/>
          <w:numId w:val="1"/>
        </w:numPr>
        <w:suppressLineNumbers w:val="0"/>
        <w:spacing w:before="0" w:beforeAutospacing="0"/>
        <w:ind w:left="0" w:leftChars="0" w:right="0" w:rightChars="0" w:firstLine="481" w:firstLineChars="200"/>
        <w:jc w:val="both"/>
        <w:rPr>
          <w:rStyle w:val="13"/>
          <w:rFonts w:hint="default" w:ascii="Times New Roman" w:hAnsi="Times New Roman" w:eastAsia="宋体" w:cs="Times New Roman"/>
          <w:kern w:val="0"/>
          <w:sz w:val="24"/>
          <w:szCs w:val="24"/>
          <w:shd w:val="clear" w:color="auto" w:fill="FFFFFF"/>
          <w:lang w:val="en-US" w:eastAsia="zh-CN"/>
        </w:rPr>
      </w:pPr>
      <w:r>
        <w:rPr>
          <w:rStyle w:val="13"/>
          <w:rFonts w:hint="eastAsia" w:ascii="Times New Roman" w:hAnsi="Times New Roman" w:eastAsia="宋体" w:cs="Times New Roman"/>
          <w:kern w:val="0"/>
          <w:sz w:val="24"/>
          <w:szCs w:val="24"/>
          <w:shd w:val="clear" w:color="auto" w:fill="FFFFFF"/>
          <w:lang w:val="en-US" w:eastAsia="zh-CN"/>
        </w:rPr>
        <w:t>社会保障和就业支出208（类）行政事业单位养老支出05（款）机关事业单位基本养老保险缴费支出05（项）和208（类）05（款）机关事业单位职业年金缴费支出06（项）；社会保障和就业支出208（类）红十字事业16（款）行政运行01（项）和208（类）红十字事业16（款）一般行政管理事务02（项）和208（类）红十字事业16（款）其他红十字事业支出99（项）；208（类）特困人员救助供养21（款）城市特困人员救助供养支出01（项）：支出决算为</w:t>
      </w:r>
      <w:r>
        <w:rPr>
          <w:rStyle w:val="13"/>
          <w:rFonts w:hint="eastAsia" w:ascii="Times New Roman" w:cs="Times New Roman"/>
          <w:kern w:val="0"/>
          <w:sz w:val="24"/>
          <w:szCs w:val="24"/>
          <w:shd w:val="clear" w:color="auto" w:fill="FFFFFF"/>
          <w:lang w:val="en-US" w:eastAsia="zh-CN"/>
        </w:rPr>
        <w:t>195.09</w:t>
      </w:r>
      <w:r>
        <w:rPr>
          <w:rStyle w:val="13"/>
          <w:rFonts w:hint="eastAsia" w:ascii="Times New Roman" w:hAnsi="Times New Roman" w:eastAsia="宋体" w:cs="Times New Roman"/>
          <w:kern w:val="0"/>
          <w:sz w:val="24"/>
          <w:szCs w:val="24"/>
          <w:shd w:val="clear" w:color="auto" w:fill="FFFFFF"/>
          <w:lang w:val="en-US" w:eastAsia="zh-CN"/>
        </w:rPr>
        <w:t>万元，完成预算100%</w:t>
      </w:r>
      <w:r>
        <w:rPr>
          <w:rStyle w:val="13"/>
          <w:rFonts w:hint="eastAsia" w:ascii="Times New Roman" w:cs="Times New Roman"/>
          <w:kern w:val="0"/>
          <w:sz w:val="24"/>
          <w:szCs w:val="24"/>
          <w:shd w:val="clear" w:color="auto" w:fill="FFFFFF"/>
          <w:lang w:val="en-US" w:eastAsia="zh-CN"/>
        </w:rPr>
        <w:t>。</w:t>
      </w:r>
    </w:p>
    <w:p>
      <w:pPr>
        <w:pStyle w:val="10"/>
        <w:keepNext w:val="0"/>
        <w:keepLines w:val="0"/>
        <w:widowControl/>
        <w:numPr>
          <w:ilvl w:val="0"/>
          <w:numId w:val="1"/>
        </w:numPr>
        <w:suppressLineNumbers w:val="0"/>
        <w:spacing w:before="0" w:beforeAutospacing="0"/>
        <w:ind w:left="0" w:leftChars="0" w:right="0" w:rightChars="0" w:firstLine="481" w:firstLineChars="200"/>
        <w:jc w:val="both"/>
        <w:rPr>
          <w:rStyle w:val="13"/>
          <w:rFonts w:hint="default" w:ascii="Times New Roman" w:hAnsi="Times New Roman" w:eastAsia="宋体" w:cs="Times New Roman"/>
          <w:kern w:val="0"/>
          <w:sz w:val="24"/>
          <w:szCs w:val="24"/>
          <w:shd w:val="clear" w:color="auto" w:fill="FFFFFF"/>
          <w:lang w:val="en-US" w:eastAsia="zh-CN"/>
        </w:rPr>
      </w:pPr>
      <w:r>
        <w:rPr>
          <w:rStyle w:val="13"/>
          <w:rFonts w:hint="eastAsia" w:ascii="Times New Roman" w:hAnsi="Times New Roman" w:eastAsia="宋体" w:cs="Times New Roman"/>
          <w:kern w:val="0"/>
          <w:sz w:val="24"/>
          <w:szCs w:val="24"/>
          <w:shd w:val="clear" w:color="auto" w:fill="FFFFFF"/>
          <w:lang w:val="en-US" w:eastAsia="zh-CN"/>
        </w:rPr>
        <w:t>卫生健康支出210（类）行政事业单位医疗11（款）行政单位医疗01（项）和210（类）行政事业单位医疗11（款）公务员医疗补助03（项）：支出决算为</w:t>
      </w:r>
      <w:r>
        <w:rPr>
          <w:rStyle w:val="13"/>
          <w:rFonts w:hint="eastAsia" w:ascii="Times New Roman" w:cs="Times New Roman"/>
          <w:kern w:val="0"/>
          <w:sz w:val="24"/>
          <w:szCs w:val="24"/>
          <w:shd w:val="clear" w:color="auto" w:fill="FFFFFF"/>
          <w:lang w:val="en-US" w:eastAsia="zh-CN"/>
        </w:rPr>
        <w:t>7.59</w:t>
      </w:r>
      <w:r>
        <w:rPr>
          <w:rStyle w:val="13"/>
          <w:rFonts w:hint="eastAsia" w:ascii="Times New Roman" w:hAnsi="Times New Roman" w:eastAsia="宋体" w:cs="Times New Roman"/>
          <w:kern w:val="0"/>
          <w:sz w:val="24"/>
          <w:szCs w:val="24"/>
          <w:shd w:val="clear" w:color="auto" w:fill="FFFFFF"/>
          <w:lang w:val="en-US" w:eastAsia="zh-CN"/>
        </w:rPr>
        <w:t>万元，完成预算100%</w:t>
      </w:r>
      <w:r>
        <w:rPr>
          <w:rStyle w:val="13"/>
          <w:rFonts w:hint="eastAsia" w:ascii="Times New Roman" w:cs="Times New Roman"/>
          <w:kern w:val="0"/>
          <w:sz w:val="24"/>
          <w:szCs w:val="24"/>
          <w:shd w:val="clear" w:color="auto" w:fill="FFFFFF"/>
          <w:lang w:val="en-US" w:eastAsia="zh-CN"/>
        </w:rPr>
        <w:t>。</w:t>
      </w:r>
    </w:p>
    <w:p>
      <w:pPr>
        <w:pStyle w:val="10"/>
        <w:keepNext w:val="0"/>
        <w:keepLines w:val="0"/>
        <w:widowControl/>
        <w:suppressLineNumbers w:val="0"/>
        <w:spacing w:before="0" w:beforeAutospacing="0"/>
        <w:ind w:left="0" w:firstLine="481" w:firstLineChars="200"/>
        <w:jc w:val="left"/>
      </w:pPr>
      <w:r>
        <w:rPr>
          <w:rStyle w:val="13"/>
          <w:rFonts w:hint="eastAsia" w:ascii="Times New Roman" w:hAnsi="Times New Roman" w:eastAsia="宋体" w:cs="Times New Roman"/>
          <w:kern w:val="0"/>
          <w:sz w:val="24"/>
          <w:szCs w:val="24"/>
          <w:shd w:val="clear" w:color="auto" w:fill="FFFFFF"/>
          <w:lang w:val="en-US" w:eastAsia="zh-CN"/>
        </w:rPr>
        <w:t>3.住房保障支出221（类）住房改革支出02（款）住房公积金01（项）:支出决算为</w:t>
      </w:r>
      <w:r>
        <w:rPr>
          <w:rStyle w:val="13"/>
          <w:rFonts w:hint="eastAsia" w:ascii="Times New Roman" w:cs="Times New Roman"/>
          <w:kern w:val="0"/>
          <w:sz w:val="24"/>
          <w:szCs w:val="24"/>
          <w:shd w:val="clear" w:color="auto" w:fill="FFFFFF"/>
          <w:lang w:val="en-US" w:eastAsia="zh-CN"/>
        </w:rPr>
        <w:t>9.85</w:t>
      </w:r>
      <w:r>
        <w:rPr>
          <w:rStyle w:val="13"/>
          <w:rFonts w:hint="eastAsia" w:ascii="Times New Roman" w:hAnsi="Times New Roman" w:eastAsia="宋体" w:cs="Times New Roman"/>
          <w:kern w:val="0"/>
          <w:sz w:val="24"/>
          <w:szCs w:val="24"/>
          <w:shd w:val="clear" w:color="auto" w:fill="FFFFFF"/>
          <w:lang w:val="en-US" w:eastAsia="zh-CN"/>
        </w:rPr>
        <w:t>万元，完成预算100%</w:t>
      </w:r>
      <w:r>
        <w:rPr>
          <w:rStyle w:val="13"/>
          <w:rFonts w:hint="eastAsia" w:ascii="Times New Roman" w:cs="Times New Roman"/>
          <w:kern w:val="0"/>
          <w:sz w:val="24"/>
          <w:szCs w:val="24"/>
          <w:shd w:val="clear" w:color="auto" w:fill="FFFFFF"/>
          <w:lang w:val="en-US" w:eastAsia="zh-CN"/>
        </w:rPr>
        <w:t>。</w:t>
      </w:r>
    </w:p>
    <w:p>
      <w:pPr>
        <w:pStyle w:val="10"/>
        <w:keepNext w:val="0"/>
        <w:keepLines w:val="0"/>
        <w:widowControl/>
        <w:suppressLineNumbers w:val="0"/>
        <w:spacing w:before="0" w:beforeAutospacing="0"/>
        <w:ind w:left="0" w:firstLine="480" w:firstLineChars="200"/>
        <w:jc w:val="left"/>
        <w:outlineLvl w:val="1"/>
      </w:pPr>
      <w:bookmarkStart w:id="23" w:name="_Toc30276"/>
      <w:bookmarkStart w:id="24" w:name="_Toc5435"/>
      <w:r>
        <w:rPr>
          <w:shd w:val="clear" w:color="auto" w:fill="FFFFFF"/>
        </w:rPr>
        <w:t>六</w:t>
      </w:r>
      <w:r>
        <w:rPr>
          <w:rStyle w:val="13"/>
          <w:shd w:val="clear" w:color="auto" w:fill="FFFFFF"/>
        </w:rPr>
        <w:t>、一</w:t>
      </w:r>
      <w:r>
        <w:rPr>
          <w:shd w:val="clear" w:color="auto" w:fill="FFFFFF"/>
        </w:rPr>
        <w:t>般公共预算财政拨款基本支出决算情况说明   </w:t>
      </w:r>
      <w:bookmarkEnd w:id="23"/>
      <w:bookmarkEnd w:id="24"/>
    </w:p>
    <w:p>
      <w:pPr>
        <w:pStyle w:val="10"/>
        <w:keepNext w:val="0"/>
        <w:keepLines w:val="0"/>
        <w:widowControl/>
        <w:suppressLineNumbers w:val="0"/>
        <w:spacing w:before="0" w:beforeAutospacing="0"/>
        <w:ind w:left="0" w:firstLine="480" w:firstLineChars="200"/>
        <w:jc w:val="both"/>
      </w:pPr>
      <w:r>
        <w:rPr>
          <w:shd w:val="clear" w:color="auto" w:fill="FFFFFF"/>
        </w:rPr>
        <w:t>202</w:t>
      </w:r>
      <w:r>
        <w:rPr>
          <w:rFonts w:hint="eastAsia"/>
          <w:shd w:val="clear" w:color="auto" w:fill="FFFFFF"/>
          <w:lang w:val="en-US" w:eastAsia="zh-CN"/>
        </w:rPr>
        <w:t>2</w:t>
      </w:r>
      <w:r>
        <w:rPr>
          <w:shd w:val="clear" w:color="auto" w:fill="FFFFFF"/>
        </w:rPr>
        <w:t>年一般公共预算财政拨款基本支出</w:t>
      </w:r>
      <w:r>
        <w:rPr>
          <w:rFonts w:hint="eastAsia"/>
          <w:shd w:val="clear" w:color="auto" w:fill="FFFFFF"/>
          <w:lang w:val="en-US" w:eastAsia="zh-CN"/>
        </w:rPr>
        <w:t>212.54</w:t>
      </w:r>
      <w:r>
        <w:rPr>
          <w:shd w:val="clear" w:color="auto" w:fill="FFFFFF"/>
        </w:rPr>
        <w:t>万元，其中：</w:t>
      </w:r>
    </w:p>
    <w:p>
      <w:pPr>
        <w:pStyle w:val="10"/>
        <w:keepNext w:val="0"/>
        <w:keepLines w:val="0"/>
        <w:widowControl/>
        <w:suppressLineNumbers w:val="0"/>
        <w:spacing w:before="0" w:beforeAutospacing="0"/>
        <w:ind w:left="0" w:firstLine="480" w:firstLineChars="200"/>
        <w:jc w:val="both"/>
      </w:pPr>
      <w:r>
        <w:rPr>
          <w:shd w:val="clear" w:color="auto" w:fill="FFFFFF"/>
        </w:rPr>
        <w:t>人员经费</w:t>
      </w:r>
      <w:r>
        <w:rPr>
          <w:rFonts w:hint="eastAsia"/>
          <w:shd w:val="clear" w:color="auto" w:fill="FFFFFF"/>
          <w:lang w:val="en-US" w:eastAsia="zh-CN"/>
        </w:rPr>
        <w:t>136.82</w:t>
      </w:r>
      <w:r>
        <w:rPr>
          <w:shd w:val="clear" w:color="auto" w:fill="FFFFFF"/>
        </w:rPr>
        <w:t>万元，主要包括：基本工资</w:t>
      </w:r>
      <w:r>
        <w:rPr>
          <w:rFonts w:hint="eastAsia"/>
          <w:shd w:val="clear" w:color="auto" w:fill="FFFFFF"/>
          <w:lang w:val="en-US" w:eastAsia="zh-CN"/>
        </w:rPr>
        <w:t>28.82万元</w:t>
      </w:r>
      <w:r>
        <w:rPr>
          <w:shd w:val="clear" w:color="auto" w:fill="FFFFFF"/>
        </w:rPr>
        <w:t>、津贴补贴</w:t>
      </w:r>
      <w:r>
        <w:rPr>
          <w:rFonts w:hint="eastAsia"/>
          <w:shd w:val="clear" w:color="auto" w:fill="FFFFFF"/>
          <w:lang w:val="en-US" w:eastAsia="zh-CN"/>
        </w:rPr>
        <w:t>67.59万元</w:t>
      </w:r>
      <w:r>
        <w:rPr>
          <w:shd w:val="clear" w:color="auto" w:fill="FFFFFF"/>
        </w:rPr>
        <w:t>、奖金</w:t>
      </w:r>
      <w:r>
        <w:rPr>
          <w:rFonts w:hint="eastAsia"/>
          <w:shd w:val="clear" w:color="auto" w:fill="FFFFFF"/>
          <w:lang w:val="en-US" w:eastAsia="zh-CN"/>
        </w:rPr>
        <w:t>2.4万元</w:t>
      </w:r>
      <w:r>
        <w:rPr>
          <w:shd w:val="clear" w:color="auto" w:fill="FFFFFF"/>
        </w:rPr>
        <w:t>、机关事业单位基本养老保险缴费</w:t>
      </w:r>
      <w:r>
        <w:rPr>
          <w:rFonts w:hint="eastAsia"/>
          <w:shd w:val="clear" w:color="auto" w:fill="FFFFFF"/>
          <w:lang w:val="en-US" w:eastAsia="zh-CN"/>
        </w:rPr>
        <w:t>12.57万元</w:t>
      </w:r>
      <w:r>
        <w:rPr>
          <w:shd w:val="clear" w:color="auto" w:fill="FFFFFF"/>
        </w:rPr>
        <w:t>、职业年金缴费</w:t>
      </w:r>
      <w:r>
        <w:rPr>
          <w:rFonts w:hint="eastAsia"/>
          <w:shd w:val="clear" w:color="auto" w:fill="FFFFFF"/>
          <w:lang w:val="en-US" w:eastAsia="zh-CN"/>
        </w:rPr>
        <w:t>6.29万元</w:t>
      </w:r>
      <w:r>
        <w:rPr>
          <w:shd w:val="clear" w:color="auto" w:fill="FFFFFF"/>
        </w:rPr>
        <w:t>、</w:t>
      </w:r>
      <w:r>
        <w:rPr>
          <w:rFonts w:hint="eastAsia"/>
          <w:shd w:val="clear" w:color="auto" w:fill="FFFFFF"/>
          <w:lang w:val="en-US" w:eastAsia="zh-CN"/>
        </w:rPr>
        <w:t>职工基本医疗保险缴费6.52万元、公务员医疗补助缴费1.07万元、</w:t>
      </w:r>
      <w:r>
        <w:rPr>
          <w:shd w:val="clear" w:color="auto" w:fill="FFFFFF"/>
        </w:rPr>
        <w:t>其他社会保障缴费</w:t>
      </w:r>
      <w:r>
        <w:rPr>
          <w:rFonts w:hint="eastAsia"/>
          <w:shd w:val="clear" w:color="auto" w:fill="FFFFFF"/>
          <w:lang w:val="en-US" w:eastAsia="zh-CN"/>
        </w:rPr>
        <w:t>1.02万元</w:t>
      </w:r>
      <w:r>
        <w:rPr>
          <w:shd w:val="clear" w:color="auto" w:fill="FFFFFF"/>
        </w:rPr>
        <w:t>、住房公积金</w:t>
      </w:r>
      <w:r>
        <w:rPr>
          <w:rFonts w:hint="eastAsia"/>
          <w:shd w:val="clear" w:color="auto" w:fill="FFFFFF"/>
          <w:lang w:val="en-US" w:eastAsia="zh-CN"/>
        </w:rPr>
        <w:t>9.85万元</w:t>
      </w:r>
      <w:r>
        <w:rPr>
          <w:shd w:val="clear" w:color="auto" w:fill="FFFFFF"/>
        </w:rPr>
        <w:t>、医疗费</w:t>
      </w:r>
      <w:r>
        <w:rPr>
          <w:rFonts w:hint="eastAsia"/>
          <w:shd w:val="clear" w:color="auto" w:fill="FFFFFF"/>
          <w:lang w:val="en-US" w:eastAsia="zh-CN"/>
        </w:rPr>
        <w:t>0.68万元、奖励金0.01万元</w:t>
      </w:r>
      <w:r>
        <w:rPr>
          <w:shd w:val="clear" w:color="auto" w:fill="FFFFFF"/>
        </w:rPr>
        <w:t>。</w:t>
      </w:r>
    </w:p>
    <w:p>
      <w:pPr>
        <w:pStyle w:val="10"/>
        <w:keepNext w:val="0"/>
        <w:keepLines w:val="0"/>
        <w:widowControl/>
        <w:suppressLineNumbers w:val="0"/>
        <w:spacing w:before="0" w:beforeAutospacing="0"/>
        <w:ind w:left="0"/>
        <w:jc w:val="both"/>
      </w:pPr>
      <w:r>
        <w:rPr>
          <w:shd w:val="clear" w:color="auto" w:fill="FFFFFF"/>
        </w:rPr>
        <w:t>　　公用经费</w:t>
      </w:r>
      <w:r>
        <w:rPr>
          <w:rFonts w:hint="eastAsia"/>
          <w:shd w:val="clear" w:color="auto" w:fill="FFFFFF"/>
          <w:lang w:val="en-US" w:eastAsia="zh-CN"/>
        </w:rPr>
        <w:t>14.65</w:t>
      </w:r>
      <w:r>
        <w:rPr>
          <w:shd w:val="clear" w:color="auto" w:fill="FFFFFF"/>
        </w:rPr>
        <w:t>万元，主要包括：办公费</w:t>
      </w:r>
      <w:r>
        <w:rPr>
          <w:rFonts w:hint="eastAsia"/>
          <w:shd w:val="clear" w:color="auto" w:fill="FFFFFF"/>
          <w:lang w:val="en-US" w:eastAsia="zh-CN"/>
        </w:rPr>
        <w:t>4.70万元</w:t>
      </w:r>
      <w:r>
        <w:rPr>
          <w:shd w:val="clear" w:color="auto" w:fill="FFFFFF"/>
        </w:rPr>
        <w:t>、电费</w:t>
      </w:r>
      <w:r>
        <w:rPr>
          <w:rFonts w:hint="eastAsia"/>
          <w:shd w:val="clear" w:color="auto" w:fill="FFFFFF"/>
          <w:lang w:val="en-US" w:eastAsia="zh-CN"/>
        </w:rPr>
        <w:t>0.31万元</w:t>
      </w:r>
      <w:r>
        <w:rPr>
          <w:shd w:val="clear" w:color="auto" w:fill="FFFFFF"/>
        </w:rPr>
        <w:t>、邮电费</w:t>
      </w:r>
      <w:r>
        <w:rPr>
          <w:rFonts w:hint="eastAsia"/>
          <w:shd w:val="clear" w:color="auto" w:fill="FFFFFF"/>
          <w:lang w:val="en-US" w:eastAsia="zh-CN"/>
        </w:rPr>
        <w:t>0.18万元</w:t>
      </w:r>
      <w:r>
        <w:rPr>
          <w:shd w:val="clear" w:color="auto" w:fill="FFFFFF"/>
        </w:rPr>
        <w:t>、取暖费</w:t>
      </w:r>
      <w:r>
        <w:rPr>
          <w:rFonts w:hint="eastAsia"/>
          <w:shd w:val="clear" w:color="auto" w:fill="FFFFFF"/>
          <w:lang w:val="en-US" w:eastAsia="zh-CN"/>
        </w:rPr>
        <w:t>0.00万元</w:t>
      </w:r>
      <w:r>
        <w:rPr>
          <w:shd w:val="clear" w:color="auto" w:fill="FFFFFF"/>
        </w:rPr>
        <w:t>、差旅费</w:t>
      </w:r>
      <w:r>
        <w:rPr>
          <w:rFonts w:hint="eastAsia"/>
          <w:shd w:val="clear" w:color="auto" w:fill="FFFFFF"/>
          <w:lang w:val="en-US" w:eastAsia="zh-CN"/>
        </w:rPr>
        <w:t>2.88万元</w:t>
      </w:r>
      <w:r>
        <w:rPr>
          <w:shd w:val="clear" w:color="auto" w:fill="FFFFFF"/>
        </w:rPr>
        <w:t>、</w:t>
      </w:r>
      <w:r>
        <w:rPr>
          <w:rFonts w:hint="eastAsia"/>
          <w:shd w:val="clear" w:color="auto" w:fill="FFFFFF"/>
          <w:lang w:val="en-US" w:eastAsia="zh-CN"/>
        </w:rPr>
        <w:t>会议费3.29、</w:t>
      </w:r>
      <w:r>
        <w:rPr>
          <w:shd w:val="clear" w:color="auto" w:fill="FFFFFF"/>
        </w:rPr>
        <w:t>公务接待费</w:t>
      </w:r>
      <w:r>
        <w:rPr>
          <w:rFonts w:hint="eastAsia"/>
          <w:shd w:val="clear" w:color="auto" w:fill="FFFFFF"/>
          <w:lang w:val="en-US" w:eastAsia="zh-CN"/>
        </w:rPr>
        <w:t>0.00万元</w:t>
      </w:r>
      <w:r>
        <w:rPr>
          <w:shd w:val="clear" w:color="auto" w:fill="FFFFFF"/>
        </w:rPr>
        <w:t>、</w:t>
      </w:r>
      <w:r>
        <w:rPr>
          <w:rFonts w:hint="eastAsia"/>
          <w:shd w:val="clear" w:color="auto" w:fill="FFFFFF"/>
          <w:lang w:val="en-US" w:eastAsia="zh-CN"/>
        </w:rPr>
        <w:t>工会经费0.68万元、</w:t>
      </w:r>
      <w:r>
        <w:rPr>
          <w:shd w:val="clear" w:color="auto" w:fill="FFFFFF"/>
        </w:rPr>
        <w:t>公务用车运行维护费</w:t>
      </w:r>
      <w:r>
        <w:rPr>
          <w:rFonts w:hint="eastAsia"/>
          <w:shd w:val="clear" w:color="auto" w:fill="FFFFFF"/>
          <w:lang w:val="en-US" w:eastAsia="zh-CN"/>
        </w:rPr>
        <w:t>2.61万元</w:t>
      </w:r>
      <w:r>
        <w:rPr>
          <w:shd w:val="clear" w:color="auto" w:fill="FFFFFF"/>
        </w:rPr>
        <w:t>。 </w:t>
      </w:r>
    </w:p>
    <w:p>
      <w:pPr>
        <w:pStyle w:val="10"/>
        <w:keepNext w:val="0"/>
        <w:keepLines w:val="0"/>
        <w:widowControl/>
        <w:suppressLineNumbers w:val="0"/>
        <w:spacing w:before="0" w:beforeAutospacing="0"/>
        <w:ind w:left="0" w:firstLine="480" w:firstLineChars="200"/>
        <w:jc w:val="both"/>
        <w:outlineLvl w:val="1"/>
      </w:pPr>
      <w:bookmarkStart w:id="25" w:name="_Toc19014"/>
      <w:bookmarkStart w:id="26" w:name="_Toc25247"/>
      <w:r>
        <w:rPr>
          <w:shd w:val="clear" w:color="auto" w:fill="FFFFFF"/>
        </w:rPr>
        <w:t>七、“三公”经费财政拨款支出决算情况说明</w:t>
      </w:r>
      <w:bookmarkEnd w:id="25"/>
      <w:bookmarkEnd w:id="26"/>
    </w:p>
    <w:p>
      <w:pPr>
        <w:pStyle w:val="10"/>
        <w:keepNext w:val="0"/>
        <w:keepLines w:val="0"/>
        <w:widowControl/>
        <w:suppressLineNumbers w:val="0"/>
        <w:spacing w:before="0" w:beforeAutospacing="0"/>
        <w:ind w:left="0" w:firstLine="481" w:firstLineChars="200"/>
        <w:jc w:val="left"/>
      </w:pPr>
      <w:r>
        <w:rPr>
          <w:rStyle w:val="13"/>
          <w:shd w:val="clear" w:color="auto" w:fill="FFFFFF"/>
        </w:rPr>
        <w:t>（一）“三公”经费财政拨款支出决算总体情况说明</w:t>
      </w:r>
    </w:p>
    <w:p>
      <w:pPr>
        <w:pStyle w:val="10"/>
        <w:keepNext w:val="0"/>
        <w:keepLines w:val="0"/>
        <w:widowControl/>
        <w:suppressLineNumbers w:val="0"/>
        <w:spacing w:before="0" w:beforeAutospacing="0"/>
        <w:ind w:left="0" w:firstLine="480" w:firstLineChars="200"/>
        <w:jc w:val="left"/>
      </w:pPr>
      <w:r>
        <w:rPr>
          <w:shd w:val="clear" w:color="auto" w:fill="FFFFFF"/>
        </w:rPr>
        <w:t>202</w:t>
      </w:r>
      <w:r>
        <w:rPr>
          <w:rFonts w:hint="eastAsia"/>
          <w:shd w:val="clear" w:color="auto" w:fill="FFFFFF"/>
          <w:lang w:val="en-US" w:eastAsia="zh-CN"/>
        </w:rPr>
        <w:t>2</w:t>
      </w:r>
      <w:r>
        <w:rPr>
          <w:shd w:val="clear" w:color="auto" w:fill="FFFFFF"/>
        </w:rPr>
        <w:t>年“三公”经费财政拨款支出决算为</w:t>
      </w:r>
      <w:r>
        <w:rPr>
          <w:rFonts w:hint="eastAsia"/>
          <w:shd w:val="clear" w:color="auto" w:fill="FFFFFF"/>
          <w:lang w:val="en-US" w:eastAsia="zh-CN"/>
        </w:rPr>
        <w:t>2.61</w:t>
      </w:r>
      <w:r>
        <w:rPr>
          <w:shd w:val="clear" w:color="auto" w:fill="FFFFFF"/>
        </w:rPr>
        <w:t>万元，完成预算</w:t>
      </w:r>
      <w:r>
        <w:rPr>
          <w:rFonts w:hint="eastAsia"/>
          <w:shd w:val="clear" w:color="auto" w:fill="FFFFFF"/>
          <w:lang w:val="en-US" w:eastAsia="zh-CN"/>
        </w:rPr>
        <w:t>10</w:t>
      </w:r>
      <w:r>
        <w:rPr>
          <w:shd w:val="clear" w:color="auto" w:fill="FFFFFF"/>
        </w:rPr>
        <w:t>0%，决算数与预算数持平。</w:t>
      </w:r>
    </w:p>
    <w:p>
      <w:pPr>
        <w:pStyle w:val="10"/>
        <w:keepNext w:val="0"/>
        <w:keepLines w:val="0"/>
        <w:widowControl/>
        <w:suppressLineNumbers w:val="0"/>
        <w:spacing w:before="0" w:beforeAutospacing="0"/>
        <w:ind w:left="0" w:firstLine="481" w:firstLineChars="200"/>
        <w:jc w:val="both"/>
      </w:pPr>
      <w:r>
        <w:rPr>
          <w:rStyle w:val="13"/>
          <w:shd w:val="clear" w:color="auto" w:fill="FFFFFF"/>
        </w:rPr>
        <w:t>（二）“三公”经费财政拨款支出决算具体情况说明</w:t>
      </w:r>
    </w:p>
    <w:p>
      <w:pPr>
        <w:pStyle w:val="10"/>
        <w:keepNext w:val="0"/>
        <w:keepLines w:val="0"/>
        <w:widowControl/>
        <w:suppressLineNumbers w:val="0"/>
        <w:spacing w:before="0" w:beforeAutospacing="0"/>
        <w:ind w:left="0" w:firstLine="480" w:firstLineChars="200"/>
        <w:jc w:val="both"/>
        <w:rPr>
          <w:rFonts w:hint="eastAsia" w:ascii="宋体" w:eastAsia="宋体" w:cs="宋体"/>
          <w:kern w:val="0"/>
          <w:sz w:val="24"/>
          <w:szCs w:val="24"/>
          <w:lang w:eastAsia="zh-CN"/>
        </w:rPr>
      </w:pPr>
      <w:r>
        <w:drawing>
          <wp:anchor distT="0" distB="0" distL="114300" distR="114300" simplePos="0" relativeHeight="251664384" behindDoc="0" locked="0" layoutInCell="1" allowOverlap="1">
            <wp:simplePos x="0" y="0"/>
            <wp:positionH relativeFrom="column">
              <wp:posOffset>140335</wp:posOffset>
            </wp:positionH>
            <wp:positionV relativeFrom="paragraph">
              <wp:posOffset>820420</wp:posOffset>
            </wp:positionV>
            <wp:extent cx="4933950" cy="2562860"/>
            <wp:effectExtent l="6350" t="6350" r="12700" b="6350"/>
            <wp:wrapSquare wrapText="bothSides"/>
            <wp:docPr id="103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shd w:val="clear" w:color="auto" w:fill="FFFFFF"/>
        </w:rPr>
        <w:t>202</w:t>
      </w:r>
      <w:r>
        <w:rPr>
          <w:rFonts w:hint="eastAsia"/>
          <w:shd w:val="clear" w:color="auto" w:fill="FFFFFF"/>
          <w:lang w:val="en-US" w:eastAsia="zh-CN"/>
        </w:rPr>
        <w:t>2</w:t>
      </w:r>
      <w:r>
        <w:rPr>
          <w:shd w:val="clear" w:color="auto" w:fill="FFFFFF"/>
        </w:rPr>
        <w:t>年“三公”经费财政拨款支出决算中，因公出国（境）费支出决算0.00万元，占0.00%；公务用车购置及运行维护费支出决算</w:t>
      </w:r>
      <w:r>
        <w:rPr>
          <w:rFonts w:hint="eastAsia"/>
          <w:shd w:val="clear" w:color="auto" w:fill="FFFFFF"/>
          <w:lang w:val="en-US" w:eastAsia="zh-CN"/>
        </w:rPr>
        <w:t>2.61</w:t>
      </w:r>
      <w:r>
        <w:rPr>
          <w:shd w:val="clear" w:color="auto" w:fill="FFFFFF"/>
        </w:rPr>
        <w:t>万元，占</w:t>
      </w:r>
      <w:r>
        <w:rPr>
          <w:rFonts w:hint="eastAsia"/>
          <w:shd w:val="clear" w:color="auto" w:fill="FFFFFF"/>
          <w:lang w:val="en-US" w:eastAsia="zh-CN"/>
        </w:rPr>
        <w:t>100</w:t>
      </w:r>
      <w:r>
        <w:rPr>
          <w:shd w:val="clear" w:color="auto" w:fill="FFFFFF"/>
        </w:rPr>
        <w:t>%；公务接待费支出决算0.</w:t>
      </w:r>
      <w:r>
        <w:rPr>
          <w:rFonts w:hint="eastAsia"/>
          <w:shd w:val="clear" w:color="auto" w:fill="FFFFFF"/>
          <w:lang w:val="en-US" w:eastAsia="zh-CN"/>
        </w:rPr>
        <w:t>00</w:t>
      </w:r>
      <w:r>
        <w:rPr>
          <w:shd w:val="clear" w:color="auto" w:fill="FFFFFF"/>
        </w:rPr>
        <w:t>万元，占</w:t>
      </w:r>
      <w:r>
        <w:rPr>
          <w:rFonts w:hint="eastAsia"/>
          <w:shd w:val="clear" w:color="auto" w:fill="FFFFFF"/>
          <w:lang w:val="en-US" w:eastAsia="zh-CN"/>
        </w:rPr>
        <w:t>0.00</w:t>
      </w:r>
      <w:r>
        <w:rPr>
          <w:shd w:val="clear" w:color="auto" w:fill="FFFFFF"/>
        </w:rPr>
        <w:t>%。具体情况如下：</w:t>
      </w:r>
    </w:p>
    <w:p>
      <w:pPr>
        <w:pStyle w:val="10"/>
        <w:keepNext w:val="0"/>
        <w:keepLines w:val="0"/>
        <w:widowControl/>
        <w:suppressLineNumbers w:val="0"/>
        <w:spacing w:before="0" w:beforeAutospacing="0"/>
        <w:ind w:left="0"/>
        <w:jc w:val="center"/>
      </w:pPr>
      <w:r>
        <w:rPr>
          <w:shd w:val="clear" w:color="auto" w:fill="FFFFFF"/>
        </w:rPr>
        <w:t>（图7：“三公”经费财政拨款支出结构）（饼状图）</w:t>
      </w:r>
    </w:p>
    <w:p>
      <w:pPr>
        <w:pStyle w:val="10"/>
        <w:keepNext w:val="0"/>
        <w:keepLines w:val="0"/>
        <w:widowControl/>
        <w:suppressLineNumbers w:val="0"/>
        <w:spacing w:before="0" w:beforeAutospacing="0"/>
        <w:ind w:left="0" w:firstLine="481" w:firstLineChars="200"/>
        <w:jc w:val="left"/>
      </w:pPr>
      <w:r>
        <w:rPr>
          <w:rStyle w:val="13"/>
          <w:shd w:val="clear" w:color="auto" w:fill="FFFFFF"/>
        </w:rPr>
        <w:t>1.因公出国（境）经费支出</w:t>
      </w:r>
      <w:r>
        <w:rPr>
          <w:shd w:val="clear" w:color="auto" w:fill="FFFFFF"/>
        </w:rPr>
        <w:t>0.00万元，</w:t>
      </w:r>
      <w:r>
        <w:rPr>
          <w:rStyle w:val="13"/>
          <w:shd w:val="clear" w:color="auto" w:fill="FFFFFF"/>
        </w:rPr>
        <w:t>完成预算0.00%。</w:t>
      </w:r>
      <w:r>
        <w:rPr>
          <w:shd w:val="clear" w:color="auto" w:fill="FFFFFF"/>
        </w:rPr>
        <w:t>全年安排因公出国（境）团组0次，出国（境）0人。因公出国（境）支出决算比202</w:t>
      </w:r>
      <w:r>
        <w:rPr>
          <w:rFonts w:hint="eastAsia"/>
          <w:shd w:val="clear" w:color="auto" w:fill="FFFFFF"/>
          <w:lang w:val="en-US" w:eastAsia="zh-CN"/>
        </w:rPr>
        <w:t>1</w:t>
      </w:r>
      <w:r>
        <w:rPr>
          <w:shd w:val="clear" w:color="auto" w:fill="FFFFFF"/>
        </w:rPr>
        <w:t>年增加0.00万元，增长0.00%。主要原因是</w:t>
      </w:r>
      <w:r>
        <w:rPr>
          <w:rFonts w:hint="eastAsia" w:cs="宋体"/>
          <w:kern w:val="0"/>
          <w:sz w:val="24"/>
          <w:szCs w:val="24"/>
          <w:shd w:val="clear" w:color="auto" w:fill="FFFFFF"/>
          <w:lang w:val="en-US" w:eastAsia="zh-CN"/>
        </w:rPr>
        <w:t>未出国（境）</w:t>
      </w:r>
      <w:r>
        <w:rPr>
          <w:shd w:val="clear" w:color="auto" w:fill="FFFFFF"/>
        </w:rPr>
        <w:t>。</w:t>
      </w:r>
    </w:p>
    <w:p>
      <w:pPr>
        <w:pStyle w:val="10"/>
        <w:keepNext w:val="0"/>
        <w:keepLines w:val="0"/>
        <w:widowControl/>
        <w:suppressLineNumbers w:val="0"/>
        <w:spacing w:before="0" w:beforeAutospacing="0"/>
        <w:ind w:left="0" w:firstLine="481" w:firstLineChars="200"/>
        <w:jc w:val="both"/>
      </w:pPr>
      <w:r>
        <w:rPr>
          <w:rStyle w:val="13"/>
          <w:shd w:val="clear" w:color="auto" w:fill="FFFFFF"/>
        </w:rPr>
        <w:t>2.公务用车购置及运行维护费支出</w:t>
      </w:r>
      <w:r>
        <w:rPr>
          <w:rFonts w:hint="eastAsia"/>
          <w:shd w:val="clear" w:color="auto" w:fill="FFFFFF"/>
          <w:lang w:val="en-US" w:eastAsia="zh-CN"/>
        </w:rPr>
        <w:t>2.61</w:t>
      </w:r>
      <w:r>
        <w:rPr>
          <w:shd w:val="clear" w:color="auto" w:fill="FFFFFF"/>
        </w:rPr>
        <w:t>万元,</w:t>
      </w:r>
      <w:r>
        <w:rPr>
          <w:rStyle w:val="13"/>
          <w:shd w:val="clear" w:color="auto" w:fill="FFFFFF"/>
        </w:rPr>
        <w:t>完成预算</w:t>
      </w:r>
      <w:r>
        <w:rPr>
          <w:rStyle w:val="13"/>
          <w:rFonts w:hint="eastAsia"/>
          <w:shd w:val="clear" w:color="auto" w:fill="FFFFFF"/>
          <w:lang w:val="en-US" w:eastAsia="zh-CN"/>
        </w:rPr>
        <w:t>100</w:t>
      </w:r>
      <w:r>
        <w:rPr>
          <w:rStyle w:val="13"/>
          <w:shd w:val="clear" w:color="auto" w:fill="FFFFFF"/>
        </w:rPr>
        <w:t>%。</w:t>
      </w:r>
      <w:r>
        <w:rPr>
          <w:shd w:val="clear" w:color="auto" w:fill="FFFFFF"/>
        </w:rPr>
        <w:t>公务用车购置及运行维护费主要原因是</w:t>
      </w:r>
      <w:r>
        <w:rPr>
          <w:rFonts w:hint="eastAsia" w:cs="宋体"/>
          <w:kern w:val="0"/>
          <w:sz w:val="24"/>
          <w:szCs w:val="24"/>
          <w:shd w:val="clear" w:color="auto" w:fill="FFFFFF"/>
          <w:lang w:val="en-US" w:eastAsia="zh-CN"/>
        </w:rPr>
        <w:t>车辆老旧，维修频繁。</w:t>
      </w:r>
    </w:p>
    <w:p>
      <w:pPr>
        <w:pStyle w:val="10"/>
        <w:keepNext w:val="0"/>
        <w:keepLines w:val="0"/>
        <w:widowControl/>
        <w:suppressLineNumbers w:val="0"/>
        <w:spacing w:before="0" w:beforeAutospacing="0"/>
        <w:ind w:left="0" w:firstLine="480" w:firstLineChars="200"/>
        <w:jc w:val="left"/>
      </w:pPr>
      <w:r>
        <w:rPr>
          <w:shd w:val="clear" w:color="auto" w:fill="FFFFFF"/>
        </w:rPr>
        <w:t>其中：</w:t>
      </w:r>
      <w:r>
        <w:rPr>
          <w:rStyle w:val="13"/>
          <w:shd w:val="clear" w:color="auto" w:fill="FFFFFF"/>
        </w:rPr>
        <w:t>公务用车购置支出</w:t>
      </w:r>
      <w:r>
        <w:rPr>
          <w:shd w:val="clear" w:color="auto" w:fill="FFFFFF"/>
        </w:rPr>
        <w:t>0.00万元。全年按规定更新购置公务用车0辆。截至202</w:t>
      </w:r>
      <w:r>
        <w:rPr>
          <w:rFonts w:hint="eastAsia"/>
          <w:shd w:val="clear" w:color="auto" w:fill="FFFFFF"/>
          <w:lang w:val="en-US" w:eastAsia="zh-CN"/>
        </w:rPr>
        <w:t>2</w:t>
      </w:r>
      <w:r>
        <w:rPr>
          <w:shd w:val="clear" w:color="auto" w:fill="FFFFFF"/>
        </w:rPr>
        <w:t>年12月底，单位共有公务用车1辆，其中：轿车</w:t>
      </w:r>
      <w:r>
        <w:rPr>
          <w:rFonts w:hint="eastAsia"/>
          <w:shd w:val="clear" w:color="auto" w:fill="FFFFFF"/>
          <w:lang w:val="en-US" w:eastAsia="zh-CN"/>
        </w:rPr>
        <w:t>1</w:t>
      </w:r>
      <w:r>
        <w:rPr>
          <w:shd w:val="clear" w:color="auto" w:fill="FFFFFF"/>
        </w:rPr>
        <w:t>辆。</w:t>
      </w:r>
    </w:p>
    <w:p>
      <w:pPr>
        <w:pStyle w:val="10"/>
        <w:keepNext w:val="0"/>
        <w:keepLines w:val="0"/>
        <w:widowControl/>
        <w:suppressLineNumbers w:val="0"/>
        <w:spacing w:before="0" w:beforeAutospacing="0"/>
        <w:ind w:left="0" w:firstLine="481" w:firstLineChars="200"/>
        <w:jc w:val="left"/>
      </w:pPr>
      <w:r>
        <w:rPr>
          <w:rStyle w:val="13"/>
          <w:shd w:val="clear" w:color="auto" w:fill="FFFFFF"/>
        </w:rPr>
        <w:t>公务用车运行维护费支出</w:t>
      </w:r>
      <w:r>
        <w:rPr>
          <w:rFonts w:hint="eastAsia"/>
          <w:shd w:val="clear" w:color="auto" w:fill="FFFFFF"/>
          <w:lang w:val="en-US" w:eastAsia="zh-CN"/>
        </w:rPr>
        <w:t>2.61</w:t>
      </w:r>
      <w:r>
        <w:rPr>
          <w:shd w:val="clear" w:color="auto" w:fill="FFFFFF"/>
        </w:rPr>
        <w:t>万元。主要用于</w:t>
      </w:r>
      <w:r>
        <w:rPr>
          <w:rFonts w:hint="eastAsia" w:cs="宋体"/>
          <w:kern w:val="0"/>
          <w:sz w:val="24"/>
          <w:szCs w:val="24"/>
          <w:shd w:val="clear" w:color="auto" w:fill="FFFFFF"/>
          <w:lang w:val="en-US" w:eastAsia="zh-CN"/>
        </w:rPr>
        <w:t>开展日常工作、出差、应急救护普及、走村入户、联户联情、联寺联僧</w:t>
      </w:r>
      <w:r>
        <w:rPr>
          <w:shd w:val="clear" w:color="auto" w:fill="FFFFFF"/>
        </w:rPr>
        <w:t>等所需的公务用车燃料费、维修费、过路过桥费、保险费等支出。</w:t>
      </w:r>
    </w:p>
    <w:p>
      <w:pPr>
        <w:pStyle w:val="10"/>
        <w:keepNext w:val="0"/>
        <w:keepLines w:val="0"/>
        <w:widowControl/>
        <w:suppressLineNumbers w:val="0"/>
        <w:spacing w:before="0" w:beforeAutospacing="0"/>
        <w:ind w:left="0" w:firstLine="481" w:firstLineChars="200"/>
        <w:jc w:val="both"/>
      </w:pPr>
      <w:r>
        <w:rPr>
          <w:rStyle w:val="13"/>
          <w:shd w:val="clear" w:color="auto" w:fill="FFFFFF"/>
        </w:rPr>
        <w:t>3.公务接待费支出</w:t>
      </w:r>
      <w:r>
        <w:rPr>
          <w:shd w:val="clear" w:color="auto" w:fill="FFFFFF"/>
        </w:rPr>
        <w:t>0</w:t>
      </w:r>
      <w:r>
        <w:rPr>
          <w:rFonts w:hint="eastAsia"/>
          <w:shd w:val="clear" w:color="auto" w:fill="FFFFFF"/>
          <w:lang w:val="en-US" w:eastAsia="zh-CN"/>
        </w:rPr>
        <w:t>.00</w:t>
      </w:r>
      <w:r>
        <w:rPr>
          <w:shd w:val="clear" w:color="auto" w:fill="FFFFFF"/>
        </w:rPr>
        <w:t>万元，</w:t>
      </w:r>
      <w:r>
        <w:rPr>
          <w:rStyle w:val="13"/>
          <w:shd w:val="clear" w:color="auto" w:fill="FFFFFF"/>
        </w:rPr>
        <w:t>完成预算100%。</w:t>
      </w:r>
      <w:r>
        <w:rPr>
          <w:shd w:val="clear" w:color="auto" w:fill="FFFFFF"/>
        </w:rPr>
        <w:t>公务接待费支出决算比202</w:t>
      </w:r>
      <w:r>
        <w:rPr>
          <w:rFonts w:hint="eastAsia"/>
          <w:shd w:val="clear" w:color="auto" w:fill="FFFFFF"/>
          <w:lang w:val="en-US" w:eastAsia="zh-CN"/>
        </w:rPr>
        <w:t>1</w:t>
      </w:r>
      <w:r>
        <w:rPr>
          <w:shd w:val="clear" w:color="auto" w:fill="FFFFFF"/>
        </w:rPr>
        <w:t>年</w:t>
      </w:r>
      <w:r>
        <w:rPr>
          <w:rFonts w:hint="eastAsia"/>
          <w:shd w:val="clear" w:color="auto" w:fill="FFFFFF"/>
          <w:lang w:val="en-US" w:eastAsia="zh-CN"/>
        </w:rPr>
        <w:t>减少</w:t>
      </w:r>
      <w:r>
        <w:rPr>
          <w:shd w:val="clear" w:color="auto" w:fill="FFFFFF"/>
        </w:rPr>
        <w:t>0.10万元。主要原因是</w:t>
      </w:r>
      <w:r>
        <w:rPr>
          <w:rFonts w:hint="eastAsia"/>
          <w:shd w:val="clear" w:color="auto" w:fill="FFFFFF"/>
          <w:lang w:val="en-US" w:eastAsia="zh-CN"/>
        </w:rPr>
        <w:t>本年度未支出公务接待费</w:t>
      </w:r>
      <w:r>
        <w:rPr>
          <w:shd w:val="clear" w:color="auto" w:fill="FFFFFF"/>
        </w:rPr>
        <w:t>。其中：</w:t>
      </w:r>
    </w:p>
    <w:p>
      <w:pPr>
        <w:pStyle w:val="10"/>
        <w:keepNext w:val="0"/>
        <w:keepLines w:val="0"/>
        <w:widowControl/>
        <w:suppressLineNumbers w:val="0"/>
        <w:spacing w:before="0" w:beforeAutospacing="0"/>
        <w:ind w:firstLine="481" w:firstLineChars="200"/>
        <w:jc w:val="left"/>
      </w:pPr>
      <w:r>
        <w:rPr>
          <w:rStyle w:val="13"/>
          <w:shd w:val="clear" w:color="auto" w:fill="FFFFFF"/>
        </w:rPr>
        <w:t>国内公务接待支出</w:t>
      </w:r>
      <w:r>
        <w:rPr>
          <w:shd w:val="clear" w:color="auto" w:fill="FFFFFF"/>
        </w:rPr>
        <w:t>0.</w:t>
      </w:r>
      <w:r>
        <w:rPr>
          <w:rFonts w:hint="eastAsia"/>
          <w:shd w:val="clear" w:color="auto" w:fill="FFFFFF"/>
          <w:lang w:val="en-US" w:eastAsia="zh-CN"/>
        </w:rPr>
        <w:t>00</w:t>
      </w:r>
      <w:r>
        <w:rPr>
          <w:shd w:val="clear" w:color="auto" w:fill="FFFFFF"/>
        </w:rPr>
        <w:t>万元，国内公务接待</w:t>
      </w:r>
      <w:r>
        <w:rPr>
          <w:rFonts w:hint="eastAsia"/>
          <w:shd w:val="clear" w:color="auto" w:fill="FFFFFF"/>
          <w:lang w:val="en-US" w:eastAsia="zh-CN"/>
        </w:rPr>
        <w:t>0</w:t>
      </w:r>
      <w:r>
        <w:rPr>
          <w:shd w:val="clear" w:color="auto" w:fill="FFFFFF"/>
        </w:rPr>
        <w:t>批次，</w:t>
      </w:r>
      <w:r>
        <w:rPr>
          <w:rFonts w:hint="eastAsia"/>
          <w:shd w:val="clear" w:color="auto" w:fill="FFFFFF"/>
          <w:lang w:val="en-US" w:eastAsia="zh-CN"/>
        </w:rPr>
        <w:t>0</w:t>
      </w:r>
      <w:r>
        <w:rPr>
          <w:shd w:val="clear" w:color="auto" w:fill="FFFFFF"/>
        </w:rPr>
        <w:t>人，共计支出0.</w:t>
      </w:r>
      <w:r>
        <w:rPr>
          <w:rFonts w:hint="eastAsia"/>
          <w:shd w:val="clear" w:color="auto" w:fill="FFFFFF"/>
          <w:lang w:val="en-US" w:eastAsia="zh-CN"/>
        </w:rPr>
        <w:t>0</w:t>
      </w:r>
      <w:r>
        <w:rPr>
          <w:shd w:val="clear" w:color="auto" w:fill="FFFFFF"/>
        </w:rPr>
        <w:t>0万元。</w:t>
      </w:r>
    </w:p>
    <w:p>
      <w:pPr>
        <w:pStyle w:val="10"/>
        <w:keepNext w:val="0"/>
        <w:keepLines w:val="0"/>
        <w:widowControl/>
        <w:suppressLineNumbers w:val="0"/>
        <w:spacing w:before="0" w:beforeAutospacing="0"/>
        <w:ind w:left="0" w:firstLine="481" w:firstLineChars="200"/>
        <w:jc w:val="left"/>
      </w:pPr>
      <w:r>
        <w:rPr>
          <w:rStyle w:val="13"/>
          <w:shd w:val="clear" w:color="auto" w:fill="FFFFFF"/>
        </w:rPr>
        <w:t>外事接待支出</w:t>
      </w:r>
      <w:r>
        <w:rPr>
          <w:shd w:val="clear" w:color="auto" w:fill="FFFFFF"/>
        </w:rPr>
        <w:t>0.00万元，外事接待0批次，0人，共计支出0.00万元。</w:t>
      </w:r>
    </w:p>
    <w:p>
      <w:pPr>
        <w:pStyle w:val="10"/>
        <w:keepNext w:val="0"/>
        <w:keepLines w:val="0"/>
        <w:widowControl/>
        <w:suppressLineNumbers w:val="0"/>
        <w:spacing w:before="0" w:beforeAutospacing="0"/>
        <w:ind w:left="0" w:firstLine="480" w:firstLineChars="200"/>
        <w:jc w:val="left"/>
        <w:outlineLvl w:val="1"/>
      </w:pPr>
      <w:bookmarkStart w:id="27" w:name="_Toc19436"/>
      <w:bookmarkStart w:id="28" w:name="_Toc25230"/>
      <w:r>
        <w:rPr>
          <w:shd w:val="clear" w:color="auto" w:fill="FFFFFF"/>
        </w:rPr>
        <w:t>八、政府性基金预算支出决算情况说明</w:t>
      </w:r>
      <w:bookmarkEnd w:id="27"/>
      <w:bookmarkEnd w:id="28"/>
    </w:p>
    <w:p>
      <w:pPr>
        <w:pStyle w:val="10"/>
        <w:keepNext w:val="0"/>
        <w:keepLines w:val="0"/>
        <w:widowControl/>
        <w:suppressLineNumbers w:val="0"/>
        <w:spacing w:before="0" w:beforeAutospacing="0"/>
        <w:ind w:left="0" w:firstLine="720" w:firstLineChars="300"/>
        <w:jc w:val="left"/>
      </w:pPr>
      <w:r>
        <w:rPr>
          <w:shd w:val="clear" w:color="auto" w:fill="FFFFFF"/>
        </w:rPr>
        <w:t>202</w:t>
      </w:r>
      <w:r>
        <w:rPr>
          <w:rFonts w:hint="eastAsia"/>
          <w:shd w:val="clear" w:color="auto" w:fill="FFFFFF"/>
          <w:lang w:val="en-US" w:eastAsia="zh-CN"/>
        </w:rPr>
        <w:t>2</w:t>
      </w:r>
      <w:r>
        <w:rPr>
          <w:shd w:val="clear" w:color="auto" w:fill="FFFFFF"/>
        </w:rPr>
        <w:t>年政府性基金预算财政拨款支出0.00万元。</w:t>
      </w:r>
    </w:p>
    <w:p>
      <w:pPr>
        <w:keepNext w:val="0"/>
        <w:keepLines w:val="0"/>
        <w:widowControl/>
        <w:suppressLineNumbers w:val="0"/>
        <w:spacing w:before="0" w:beforeAutospacing="0" w:after="0" w:afterAutospacing="1"/>
        <w:ind w:left="0" w:firstLine="480" w:firstLineChars="200"/>
        <w:jc w:val="left"/>
        <w:outlineLvl w:val="1"/>
      </w:pPr>
      <w:bookmarkStart w:id="29" w:name="_Toc23318"/>
      <w:bookmarkStart w:id="30" w:name="_Toc23724"/>
      <w:r>
        <w:rPr>
          <w:rFonts w:hint="eastAsia"/>
          <w:shd w:val="clear" w:color="auto" w:fill="FFFFFF"/>
          <w:lang w:val="en-US" w:eastAsia="zh-CN"/>
        </w:rPr>
        <w:t>九、</w:t>
      </w:r>
      <w:r>
        <w:rPr>
          <w:shd w:val="clear" w:color="auto" w:fill="FFFFFF"/>
        </w:rPr>
        <w:t>国有资本经营预算支出决算情况说明</w:t>
      </w:r>
      <w:bookmarkEnd w:id="29"/>
      <w:bookmarkEnd w:id="30"/>
    </w:p>
    <w:p>
      <w:pPr>
        <w:pStyle w:val="10"/>
        <w:keepNext w:val="0"/>
        <w:keepLines w:val="0"/>
        <w:widowControl/>
        <w:suppressLineNumbers w:val="0"/>
        <w:spacing w:before="0" w:beforeAutospacing="0"/>
        <w:ind w:left="0" w:firstLine="720" w:firstLineChars="300"/>
        <w:jc w:val="left"/>
      </w:pPr>
      <w:r>
        <w:rPr>
          <w:shd w:val="clear" w:color="auto" w:fill="FFFFFF"/>
        </w:rPr>
        <w:t>202</w:t>
      </w:r>
      <w:r>
        <w:rPr>
          <w:rFonts w:hint="eastAsia"/>
          <w:shd w:val="clear" w:color="auto" w:fill="FFFFFF"/>
          <w:lang w:val="en-US" w:eastAsia="zh-CN"/>
        </w:rPr>
        <w:t>2</w:t>
      </w:r>
      <w:r>
        <w:rPr>
          <w:shd w:val="clear" w:color="auto" w:fill="FFFFFF"/>
        </w:rPr>
        <w:t>年国有资本经营预算财政拨款支出0.00万元。 </w:t>
      </w:r>
    </w:p>
    <w:p>
      <w:pPr>
        <w:keepNext w:val="0"/>
        <w:keepLines w:val="0"/>
        <w:widowControl/>
        <w:suppressLineNumbers w:val="0"/>
        <w:spacing w:before="0" w:beforeAutospacing="0" w:after="0" w:afterAutospacing="1"/>
        <w:ind w:left="0" w:firstLine="480" w:firstLineChars="200"/>
        <w:jc w:val="left"/>
        <w:outlineLvl w:val="1"/>
        <w:rPr>
          <w:rFonts w:hint="eastAsia" w:eastAsia="宋体"/>
          <w:lang w:val="en-US" w:eastAsia="zh-CN"/>
        </w:rPr>
      </w:pPr>
      <w:bookmarkStart w:id="31" w:name="_Toc10720"/>
      <w:bookmarkStart w:id="32" w:name="_Toc2519"/>
      <w:r>
        <w:rPr>
          <w:rFonts w:hint="eastAsia"/>
          <w:shd w:val="clear" w:color="auto" w:fill="FFFFFF"/>
          <w:lang w:val="en-US" w:eastAsia="zh-CN"/>
        </w:rPr>
        <w:t>十、</w:t>
      </w:r>
      <w:r>
        <w:rPr>
          <w:shd w:val="clear" w:color="auto" w:fill="FFFFFF"/>
        </w:rPr>
        <w:t>其他重要事项的情况说明</w:t>
      </w:r>
      <w:bookmarkEnd w:id="31"/>
      <w:bookmarkEnd w:id="32"/>
    </w:p>
    <w:p>
      <w:pPr>
        <w:pStyle w:val="10"/>
        <w:keepNext w:val="0"/>
        <w:keepLines w:val="0"/>
        <w:widowControl/>
        <w:suppressLineNumbers w:val="0"/>
        <w:spacing w:before="0" w:beforeAutospacing="0"/>
        <w:ind w:left="0" w:firstLine="481" w:firstLineChars="200"/>
        <w:jc w:val="left"/>
      </w:pPr>
      <w:r>
        <w:rPr>
          <w:rStyle w:val="13"/>
          <w:shd w:val="clear" w:color="auto" w:fill="FFFFFF"/>
        </w:rPr>
        <w:t>（一）机关运行经费支出情况</w:t>
      </w:r>
    </w:p>
    <w:p>
      <w:pPr>
        <w:pStyle w:val="10"/>
        <w:keepNext w:val="0"/>
        <w:keepLines w:val="0"/>
        <w:widowControl/>
        <w:suppressLineNumbers w:val="0"/>
        <w:spacing w:before="0" w:beforeAutospacing="0"/>
        <w:ind w:left="0" w:firstLine="480" w:firstLineChars="200"/>
        <w:jc w:val="left"/>
        <w:rPr>
          <w:rFonts w:hint="eastAsia" w:eastAsia="宋体"/>
          <w:lang w:eastAsia="zh-CN"/>
        </w:rPr>
      </w:pPr>
      <w:r>
        <w:rPr>
          <w:shd w:val="clear" w:color="auto" w:fill="FFFFFF"/>
        </w:rPr>
        <w:t>202</w:t>
      </w:r>
      <w:r>
        <w:rPr>
          <w:rFonts w:hint="eastAsia"/>
          <w:shd w:val="clear" w:color="auto" w:fill="FFFFFF"/>
          <w:lang w:val="en-US" w:eastAsia="zh-CN"/>
        </w:rPr>
        <w:t>2</w:t>
      </w:r>
      <w:r>
        <w:rPr>
          <w:shd w:val="clear" w:color="auto" w:fill="FFFFFF"/>
        </w:rPr>
        <w:t>年，阿坝州红原县红十字会机关运行经费支出</w:t>
      </w:r>
      <w:r>
        <w:rPr>
          <w:rFonts w:hint="eastAsia"/>
          <w:shd w:val="clear" w:color="auto" w:fill="FFFFFF"/>
          <w:lang w:val="en-US" w:eastAsia="zh-CN"/>
        </w:rPr>
        <w:t>14.65</w:t>
      </w:r>
      <w:r>
        <w:rPr>
          <w:shd w:val="clear" w:color="auto" w:fill="FFFFFF"/>
        </w:rPr>
        <w:t>万元，比202</w:t>
      </w:r>
      <w:r>
        <w:rPr>
          <w:rFonts w:hint="eastAsia"/>
          <w:shd w:val="clear" w:color="auto" w:fill="FFFFFF"/>
          <w:lang w:val="en-US" w:eastAsia="zh-CN"/>
        </w:rPr>
        <w:t>1</w:t>
      </w:r>
      <w:r>
        <w:rPr>
          <w:shd w:val="clear" w:color="auto" w:fill="FFFFFF"/>
        </w:rPr>
        <w:t>年</w:t>
      </w:r>
      <w:r>
        <w:rPr>
          <w:rFonts w:hint="eastAsia"/>
          <w:shd w:val="clear" w:color="auto" w:fill="FFFFFF"/>
          <w:lang w:val="en-US" w:eastAsia="zh-CN"/>
        </w:rPr>
        <w:t>增加6.99</w:t>
      </w:r>
      <w:r>
        <w:rPr>
          <w:shd w:val="clear" w:color="auto" w:fill="FFFFFF"/>
        </w:rPr>
        <w:t>万元，</w:t>
      </w:r>
      <w:r>
        <w:rPr>
          <w:rFonts w:hint="eastAsia"/>
          <w:shd w:val="clear" w:color="auto" w:fill="FFFFFF"/>
          <w:lang w:val="en-US" w:eastAsia="zh-CN"/>
        </w:rPr>
        <w:t>增长48</w:t>
      </w:r>
      <w:r>
        <w:rPr>
          <w:shd w:val="clear" w:color="auto" w:fill="FFFFFF"/>
        </w:rPr>
        <w:t>%。</w:t>
      </w:r>
    </w:p>
    <w:p>
      <w:pPr>
        <w:pStyle w:val="10"/>
        <w:keepNext w:val="0"/>
        <w:keepLines w:val="0"/>
        <w:widowControl/>
        <w:suppressLineNumbers w:val="0"/>
        <w:spacing w:before="0" w:beforeAutospacing="0"/>
        <w:ind w:left="0" w:firstLine="481" w:firstLineChars="200"/>
        <w:jc w:val="left"/>
      </w:pPr>
      <w:r>
        <w:rPr>
          <w:rStyle w:val="13"/>
          <w:shd w:val="clear" w:color="auto" w:fill="FFFFFF"/>
        </w:rPr>
        <w:t>（二）政府采购支出情况</w:t>
      </w:r>
    </w:p>
    <w:p>
      <w:pPr>
        <w:pStyle w:val="10"/>
        <w:keepNext w:val="0"/>
        <w:keepLines w:val="0"/>
        <w:widowControl/>
        <w:suppressLineNumbers w:val="0"/>
        <w:spacing w:before="0" w:beforeAutospacing="0"/>
        <w:ind w:left="0" w:firstLine="480" w:firstLineChars="200"/>
        <w:jc w:val="left"/>
      </w:pPr>
      <w:r>
        <w:rPr>
          <w:shd w:val="clear" w:color="auto" w:fill="FFFFFF"/>
        </w:rPr>
        <w:t>202</w:t>
      </w:r>
      <w:r>
        <w:rPr>
          <w:rFonts w:hint="eastAsia"/>
          <w:shd w:val="clear" w:color="auto" w:fill="FFFFFF"/>
          <w:lang w:val="en-US" w:eastAsia="zh-CN"/>
        </w:rPr>
        <w:t>2</w:t>
      </w:r>
      <w:r>
        <w:rPr>
          <w:shd w:val="clear" w:color="auto" w:fill="FFFFFF"/>
        </w:rPr>
        <w:t>年，阿坝州红原县红十字会政府采购支出总额</w:t>
      </w:r>
      <w:r>
        <w:rPr>
          <w:rFonts w:hint="eastAsia"/>
          <w:shd w:val="clear" w:color="auto" w:fill="FFFFFF"/>
          <w:lang w:val="en-US" w:eastAsia="zh-CN"/>
        </w:rPr>
        <w:t>50.07</w:t>
      </w:r>
      <w:r>
        <w:rPr>
          <w:shd w:val="clear" w:color="auto" w:fill="FFFFFF"/>
        </w:rPr>
        <w:t>万元，其中：政府采购货物支出</w:t>
      </w:r>
      <w:r>
        <w:rPr>
          <w:rFonts w:hint="eastAsia"/>
          <w:shd w:val="clear" w:color="auto" w:fill="FFFFFF"/>
          <w:lang w:val="en-US" w:eastAsia="zh-CN"/>
        </w:rPr>
        <w:t>50.07</w:t>
      </w:r>
      <w:r>
        <w:rPr>
          <w:shd w:val="clear" w:color="auto" w:fill="FFFFFF"/>
        </w:rPr>
        <w:t>万元、政府采购工程支出0.00万元、政府采购服务支出0.00万元。</w:t>
      </w:r>
    </w:p>
    <w:p>
      <w:pPr>
        <w:pStyle w:val="10"/>
        <w:keepNext w:val="0"/>
        <w:keepLines w:val="0"/>
        <w:widowControl/>
        <w:suppressLineNumbers w:val="0"/>
        <w:spacing w:before="0" w:beforeAutospacing="0"/>
        <w:ind w:left="0" w:firstLine="481" w:firstLineChars="200"/>
        <w:jc w:val="left"/>
      </w:pPr>
      <w:r>
        <w:rPr>
          <w:rStyle w:val="13"/>
          <w:shd w:val="clear" w:color="auto" w:fill="FFFFFF"/>
        </w:rPr>
        <w:t>（三）国有资产占有使用情况</w:t>
      </w:r>
    </w:p>
    <w:p>
      <w:pPr>
        <w:pStyle w:val="10"/>
        <w:keepNext w:val="0"/>
        <w:keepLines w:val="0"/>
        <w:widowControl/>
        <w:suppressLineNumbers w:val="0"/>
        <w:spacing w:before="0" w:beforeAutospacing="0"/>
        <w:ind w:left="0" w:firstLine="480" w:firstLineChars="200"/>
        <w:jc w:val="left"/>
      </w:pPr>
      <w:r>
        <w:rPr>
          <w:shd w:val="clear" w:color="auto" w:fill="FFFFFF"/>
        </w:rPr>
        <w:t>截至202</w:t>
      </w:r>
      <w:r>
        <w:rPr>
          <w:rFonts w:hint="eastAsia"/>
          <w:shd w:val="clear" w:color="auto" w:fill="FFFFFF"/>
          <w:lang w:val="en-US" w:eastAsia="zh-CN"/>
        </w:rPr>
        <w:t>2</w:t>
      </w:r>
      <w:r>
        <w:rPr>
          <w:shd w:val="clear" w:color="auto" w:fill="FFFFFF"/>
        </w:rPr>
        <w:t>年12月31日，阿坝州红原县红十字会共有车辆1辆，其中：主要领导干部用车0辆、机要通信用车0辆、应急保障用车0辆、其他用车1辆</w:t>
      </w:r>
      <w:r>
        <w:rPr>
          <w:rFonts w:hint="eastAsia"/>
          <w:shd w:val="clear" w:color="auto" w:fill="FFFFFF"/>
          <w:lang w:eastAsia="zh-CN"/>
        </w:rPr>
        <w:t>。</w:t>
      </w:r>
      <w:r>
        <w:rPr>
          <w:shd w:val="clear" w:color="auto" w:fill="FFFFFF"/>
        </w:rPr>
        <w:t>其他用车主要是用于</w:t>
      </w:r>
      <w:r>
        <w:rPr>
          <w:rFonts w:hint="eastAsia" w:cs="宋体"/>
          <w:kern w:val="0"/>
          <w:sz w:val="24"/>
          <w:szCs w:val="24"/>
          <w:shd w:val="clear" w:color="auto" w:fill="FFFFFF"/>
          <w:lang w:val="en-US" w:eastAsia="zh-CN"/>
        </w:rPr>
        <w:t>开展日常工作、出差、应急救护普及宣传、走村入户、联户联情、联寺联僧</w:t>
      </w:r>
      <w:r>
        <w:rPr>
          <w:rFonts w:hint="eastAsia" w:ascii="宋体" w:eastAsia="宋体" w:cs="宋体"/>
          <w:kern w:val="0"/>
          <w:sz w:val="24"/>
          <w:szCs w:val="24"/>
          <w:shd w:val="clear" w:color="auto" w:fill="FFFFFF"/>
        </w:rPr>
        <w:t>等</w:t>
      </w:r>
      <w:r>
        <w:rPr>
          <w:rFonts w:hint="eastAsia" w:ascii="宋体" w:eastAsia="宋体" w:cs="宋体"/>
          <w:kern w:val="0"/>
          <w:sz w:val="24"/>
          <w:szCs w:val="24"/>
          <w:shd w:val="clear" w:color="auto" w:fill="FFFFFF"/>
          <w:lang w:eastAsia="zh-CN"/>
        </w:rPr>
        <w:t>。</w:t>
      </w:r>
      <w:r>
        <w:rPr>
          <w:shd w:val="clear" w:color="auto" w:fill="FFFFFF"/>
        </w:rPr>
        <w:t>单价50万元以上通用设备0台（套），单价100万元以上专用设备0台（套）。</w:t>
      </w:r>
    </w:p>
    <w:p>
      <w:pPr>
        <w:pStyle w:val="10"/>
        <w:keepNext w:val="0"/>
        <w:keepLines w:val="0"/>
        <w:widowControl/>
        <w:suppressLineNumbers w:val="0"/>
        <w:spacing w:before="0" w:beforeAutospacing="0"/>
        <w:ind w:left="0" w:firstLine="481" w:firstLineChars="200"/>
        <w:jc w:val="left"/>
      </w:pPr>
      <w:r>
        <w:rPr>
          <w:rStyle w:val="13"/>
          <w:shd w:val="clear" w:color="auto" w:fill="FFFFFF"/>
        </w:rPr>
        <w:t>（四）预算绩效管理情况</w:t>
      </w:r>
    </w:p>
    <w:p>
      <w:pPr>
        <w:pStyle w:val="10"/>
        <w:keepNext w:val="0"/>
        <w:keepLines w:val="0"/>
        <w:widowControl/>
        <w:suppressLineNumbers w:val="0"/>
        <w:spacing w:before="0" w:beforeAutospacing="0"/>
        <w:ind w:left="0" w:firstLine="480" w:firstLineChars="200"/>
        <w:jc w:val="left"/>
        <w:rPr>
          <w:shd w:val="clear" w:color="auto" w:fill="FFFFFF"/>
        </w:rPr>
      </w:pPr>
      <w:r>
        <w:rPr>
          <w:shd w:val="clear" w:color="auto" w:fill="FFFFFF"/>
        </w:rPr>
        <w:t>根据预算绩效管理要求，本部门在202</w:t>
      </w:r>
      <w:r>
        <w:rPr>
          <w:rFonts w:hint="eastAsia"/>
          <w:shd w:val="clear" w:color="auto" w:fill="FFFFFF"/>
          <w:lang w:val="en-US" w:eastAsia="zh-CN"/>
        </w:rPr>
        <w:t>2</w:t>
      </w:r>
      <w:r>
        <w:rPr>
          <w:shd w:val="clear" w:color="auto" w:fill="FFFFFF"/>
        </w:rPr>
        <w:t>年度预算编制阶段，组织对</w:t>
      </w:r>
      <w:r>
        <w:rPr>
          <w:rFonts w:hint="eastAsia" w:cs="宋体"/>
          <w:kern w:val="0"/>
          <w:sz w:val="24"/>
          <w:szCs w:val="24"/>
          <w:shd w:val="clear" w:color="auto" w:fill="FFFFFF"/>
          <w:lang w:val="en-US" w:eastAsia="zh-CN"/>
        </w:rPr>
        <w:t>本单位大病救助</w:t>
      </w:r>
      <w:r>
        <w:rPr>
          <w:shd w:val="clear" w:color="auto" w:fill="FFFFFF"/>
        </w:rPr>
        <w:t>项目开展了预算事前绩效评估，年终执行完毕后，对</w:t>
      </w:r>
      <w:r>
        <w:rPr>
          <w:rFonts w:hint="eastAsia" w:cs="宋体"/>
          <w:kern w:val="0"/>
          <w:sz w:val="24"/>
          <w:szCs w:val="24"/>
          <w:shd w:val="clear" w:color="auto" w:fill="FFFFFF"/>
          <w:lang w:val="en-US" w:eastAsia="zh-CN"/>
        </w:rPr>
        <w:t>大病救助</w:t>
      </w:r>
      <w:r>
        <w:rPr>
          <w:rFonts w:hint="eastAsia" w:ascii="宋体" w:eastAsia="宋体" w:cs="宋体"/>
          <w:kern w:val="0"/>
          <w:sz w:val="24"/>
          <w:szCs w:val="24"/>
          <w:shd w:val="clear" w:color="auto" w:fill="FFFFFF"/>
        </w:rPr>
        <w:t>项目</w:t>
      </w:r>
      <w:r>
        <w:rPr>
          <w:shd w:val="clear" w:color="auto" w:fill="FFFFFF"/>
        </w:rPr>
        <w:t>开展了绩效自评。同时，本部门对202</w:t>
      </w:r>
      <w:r>
        <w:rPr>
          <w:rFonts w:hint="eastAsia"/>
          <w:shd w:val="clear" w:color="auto" w:fill="FFFFFF"/>
          <w:lang w:val="en-US" w:eastAsia="zh-CN"/>
        </w:rPr>
        <w:t>2</w:t>
      </w:r>
      <w:r>
        <w:rPr>
          <w:shd w:val="clear" w:color="auto" w:fill="FFFFFF"/>
        </w:rPr>
        <w:t>年部门整体开展绩效自评，《202</w:t>
      </w:r>
      <w:r>
        <w:rPr>
          <w:rFonts w:hint="eastAsia"/>
          <w:shd w:val="clear" w:color="auto" w:fill="FFFFFF"/>
          <w:lang w:val="en-US" w:eastAsia="zh-CN"/>
        </w:rPr>
        <w:t>2</w:t>
      </w:r>
      <w:r>
        <w:rPr>
          <w:shd w:val="clear" w:color="auto" w:fill="FFFFFF"/>
        </w:rPr>
        <w:t>年</w:t>
      </w:r>
      <w:r>
        <w:rPr>
          <w:rFonts w:hint="eastAsia"/>
          <w:shd w:val="clear" w:color="auto" w:fill="FFFFFF"/>
          <w:lang w:val="en-US" w:eastAsia="zh-CN"/>
        </w:rPr>
        <w:t>红十字会</w:t>
      </w:r>
      <w:r>
        <w:rPr>
          <w:shd w:val="clear" w:color="auto" w:fill="FFFFFF"/>
        </w:rPr>
        <w:t>部门整体绩效评价报告》见附件（第四部分）。</w:t>
      </w:r>
    </w:p>
    <w:p>
      <w:pPr>
        <w:pStyle w:val="10"/>
        <w:keepNext w:val="0"/>
        <w:keepLines w:val="0"/>
        <w:widowControl/>
        <w:suppressLineNumbers w:val="0"/>
        <w:spacing w:before="0" w:beforeAutospacing="0"/>
        <w:ind w:left="0" w:firstLine="480" w:firstLineChars="200"/>
        <w:jc w:val="left"/>
        <w:rPr>
          <w:rFonts w:hint="eastAsia" w:ascii="宋体" w:eastAsia="宋体" w:cs="宋体"/>
          <w:kern w:val="0"/>
          <w:sz w:val="24"/>
          <w:szCs w:val="24"/>
        </w:rPr>
      </w:pPr>
      <w:r>
        <w:rPr>
          <w:rFonts w:hint="eastAsia" w:ascii="宋体" w:eastAsia="宋体" w:cs="宋体"/>
          <w:kern w:val="0"/>
          <w:sz w:val="24"/>
          <w:szCs w:val="24"/>
          <w:shd w:val="clear" w:color="auto" w:fill="FFFFFF"/>
        </w:rPr>
        <w:t>本部门在</w:t>
      </w:r>
      <w:r>
        <w:rPr>
          <w:rFonts w:hint="eastAsia" w:ascii="宋体" w:eastAsia="宋体" w:cs="宋体"/>
          <w:kern w:val="0"/>
          <w:sz w:val="24"/>
          <w:szCs w:val="24"/>
          <w:shd w:val="clear" w:color="auto" w:fill="FFFFFF"/>
          <w:lang w:val="en-US" w:eastAsia="zh-CN"/>
        </w:rPr>
        <w:t>202</w:t>
      </w:r>
      <w:r>
        <w:rPr>
          <w:rFonts w:hint="eastAsia" w:cs="宋体"/>
          <w:kern w:val="0"/>
          <w:sz w:val="24"/>
          <w:szCs w:val="24"/>
          <w:shd w:val="clear" w:color="auto" w:fill="FFFFFF"/>
          <w:lang w:val="en-US" w:eastAsia="zh-CN"/>
        </w:rPr>
        <w:t>2</w:t>
      </w:r>
      <w:r>
        <w:rPr>
          <w:rFonts w:hint="eastAsia" w:ascii="宋体" w:eastAsia="宋体" w:cs="宋体"/>
          <w:kern w:val="0"/>
          <w:sz w:val="24"/>
          <w:szCs w:val="24"/>
          <w:shd w:val="clear" w:color="auto" w:fill="FFFFFF"/>
        </w:rPr>
        <w:t>年度部门决算中反映“</w:t>
      </w:r>
      <w:r>
        <w:rPr>
          <w:rFonts w:hint="eastAsia" w:ascii="宋体" w:eastAsia="宋体" w:cs="宋体"/>
          <w:kern w:val="0"/>
          <w:sz w:val="24"/>
          <w:szCs w:val="24"/>
          <w:shd w:val="clear" w:color="auto" w:fill="FFFFFF"/>
          <w:lang w:val="en-US" w:eastAsia="zh-CN"/>
        </w:rPr>
        <w:t>大病救助金</w:t>
      </w:r>
      <w:r>
        <w:rPr>
          <w:rFonts w:hint="eastAsia" w:ascii="宋体" w:eastAsia="宋体" w:cs="宋体"/>
          <w:kern w:val="0"/>
          <w:sz w:val="24"/>
          <w:szCs w:val="24"/>
          <w:shd w:val="clear" w:color="auto" w:fill="FFFFFF"/>
        </w:rPr>
        <w:t>”</w:t>
      </w:r>
      <w:r>
        <w:rPr>
          <w:rFonts w:hint="eastAsia" w:ascii="宋体" w:eastAsia="宋体" w:cs="宋体"/>
          <w:kern w:val="0"/>
          <w:sz w:val="24"/>
          <w:szCs w:val="24"/>
          <w:shd w:val="clear" w:color="auto" w:fill="FFFFFF"/>
          <w:lang w:val="en-US" w:eastAsia="zh-CN"/>
        </w:rPr>
        <w:t>共计</w:t>
      </w:r>
      <w:r>
        <w:rPr>
          <w:rFonts w:hint="eastAsia" w:cs="宋体"/>
          <w:kern w:val="0"/>
          <w:sz w:val="24"/>
          <w:szCs w:val="24"/>
          <w:shd w:val="clear" w:color="auto" w:fill="FFFFFF"/>
          <w:lang w:val="en-US" w:eastAsia="zh-CN"/>
        </w:rPr>
        <w:t>5</w:t>
      </w:r>
      <w:r>
        <w:rPr>
          <w:rFonts w:hint="eastAsia" w:ascii="宋体" w:eastAsia="宋体" w:cs="宋体"/>
          <w:kern w:val="0"/>
          <w:sz w:val="24"/>
          <w:szCs w:val="24"/>
          <w:shd w:val="clear" w:color="auto" w:fill="FFFFFF"/>
          <w:lang w:val="en-US" w:eastAsia="zh-CN"/>
        </w:rPr>
        <w:t>万元的1</w:t>
      </w:r>
      <w:r>
        <w:rPr>
          <w:rFonts w:hint="eastAsia" w:ascii="宋体" w:eastAsia="宋体" w:cs="宋体"/>
          <w:kern w:val="0"/>
          <w:sz w:val="24"/>
          <w:szCs w:val="24"/>
          <w:shd w:val="clear" w:color="auto" w:fill="FFFFFF"/>
        </w:rPr>
        <w:t>个项目绩效目标实际完成情况。</w:t>
      </w:r>
      <w:r>
        <w:rPr>
          <w:rFonts w:hint="eastAsia" w:ascii="宋体" w:eastAsia="宋体" w:cs="宋体"/>
          <w:kern w:val="0"/>
          <w:sz w:val="24"/>
          <w:szCs w:val="24"/>
          <w:shd w:val="clear" w:color="auto" w:fill="FFFFFF"/>
          <w:lang w:eastAsia="zh-CN"/>
        </w:rPr>
        <w:t>“</w:t>
      </w:r>
      <w:r>
        <w:rPr>
          <w:rFonts w:hint="eastAsia" w:ascii="宋体" w:eastAsia="宋体" w:cs="宋体"/>
          <w:kern w:val="0"/>
          <w:sz w:val="24"/>
          <w:szCs w:val="24"/>
          <w:shd w:val="clear" w:color="auto" w:fill="FFFFFF"/>
          <w:lang w:val="en-US" w:eastAsia="zh-CN"/>
        </w:rPr>
        <w:t>大病救助金</w:t>
      </w:r>
      <w:r>
        <w:rPr>
          <w:rFonts w:hint="eastAsia" w:ascii="宋体" w:eastAsia="宋体" w:cs="宋体"/>
          <w:kern w:val="0"/>
          <w:sz w:val="24"/>
          <w:szCs w:val="24"/>
          <w:shd w:val="clear" w:color="auto" w:fill="FFFFFF"/>
          <w:lang w:eastAsia="zh-CN"/>
        </w:rPr>
        <w:t>”</w:t>
      </w:r>
      <w:r>
        <w:rPr>
          <w:rFonts w:hint="eastAsia" w:ascii="宋体" w:eastAsia="宋体" w:cs="宋体"/>
          <w:kern w:val="0"/>
          <w:sz w:val="24"/>
          <w:szCs w:val="24"/>
          <w:shd w:val="clear" w:color="auto" w:fill="FFFFFF"/>
        </w:rPr>
        <w:t>项目绩效目标完成情况综述。项目全年预算数</w:t>
      </w:r>
      <w:r>
        <w:rPr>
          <w:rFonts w:hint="eastAsia" w:cs="宋体"/>
          <w:kern w:val="0"/>
          <w:sz w:val="24"/>
          <w:szCs w:val="24"/>
          <w:shd w:val="clear" w:color="auto" w:fill="FFFFFF"/>
          <w:lang w:val="en-US" w:eastAsia="zh-CN"/>
        </w:rPr>
        <w:t>5</w:t>
      </w:r>
      <w:r>
        <w:rPr>
          <w:rFonts w:hint="eastAsia" w:ascii="宋体" w:eastAsia="宋体" w:cs="宋体"/>
          <w:kern w:val="0"/>
          <w:sz w:val="24"/>
          <w:szCs w:val="24"/>
          <w:shd w:val="clear" w:color="auto" w:fill="FFFFFF"/>
        </w:rPr>
        <w:t>万元，执行数为</w:t>
      </w:r>
      <w:r>
        <w:rPr>
          <w:rFonts w:hint="eastAsia" w:cs="宋体"/>
          <w:kern w:val="0"/>
          <w:sz w:val="24"/>
          <w:szCs w:val="24"/>
          <w:shd w:val="clear" w:color="auto" w:fill="FFFFFF"/>
          <w:lang w:val="en-US" w:eastAsia="zh-CN"/>
        </w:rPr>
        <w:t>5</w:t>
      </w:r>
      <w:r>
        <w:rPr>
          <w:rFonts w:hint="eastAsia" w:ascii="宋体" w:eastAsia="宋体" w:cs="宋体"/>
          <w:kern w:val="0"/>
          <w:sz w:val="24"/>
          <w:szCs w:val="24"/>
          <w:shd w:val="clear" w:color="auto" w:fill="FFFFFF"/>
        </w:rPr>
        <w:t>万元，完成预算的</w:t>
      </w:r>
      <w:r>
        <w:rPr>
          <w:rFonts w:hint="eastAsia" w:ascii="宋体" w:eastAsia="宋体" w:cs="宋体"/>
          <w:kern w:val="0"/>
          <w:sz w:val="24"/>
          <w:szCs w:val="24"/>
          <w:shd w:val="clear" w:color="auto" w:fill="FFFFFF"/>
          <w:lang w:val="en-US" w:eastAsia="zh-CN"/>
        </w:rPr>
        <w:t>100</w:t>
      </w:r>
      <w:r>
        <w:rPr>
          <w:rFonts w:hint="eastAsia" w:ascii="宋体" w:eastAsia="宋体" w:cs="宋体"/>
          <w:kern w:val="0"/>
          <w:sz w:val="24"/>
          <w:szCs w:val="24"/>
          <w:shd w:val="clear" w:color="auto" w:fill="FFFFFF"/>
        </w:rPr>
        <w:t>%。</w:t>
      </w:r>
    </w:p>
    <w:tbl>
      <w:tblPr>
        <w:tblStyle w:val="11"/>
        <w:tblW w:w="833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693"/>
        <w:gridCol w:w="874"/>
        <w:gridCol w:w="857"/>
        <w:gridCol w:w="1969"/>
        <w:gridCol w:w="1969"/>
        <w:gridCol w:w="19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8331" w:type="dxa"/>
            <w:gridSpan w:val="6"/>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Style w:val="20"/>
                <w:rFonts w:hint="eastAsia" w:ascii="宋体" w:eastAsia="宋体" w:cs="宋体"/>
                <w:b/>
                <w:bCs w:val="0"/>
                <w:sz w:val="24"/>
                <w:szCs w:val="24"/>
              </w:rPr>
              <w:t xml:space="preserve">项目绩效目标完成情况表 </w:t>
            </w:r>
            <w:r>
              <w:rPr>
                <w:rFonts w:hint="eastAsia" w:ascii="宋体" w:eastAsia="宋体" w:cs="宋体"/>
                <w:kern w:val="0"/>
                <w:sz w:val="24"/>
                <w:szCs w:val="24"/>
              </w:rPr>
              <w:t>(202</w:t>
            </w:r>
            <w:r>
              <w:rPr>
                <w:rFonts w:hint="eastAsia" w:cs="宋体"/>
                <w:kern w:val="0"/>
                <w:sz w:val="24"/>
                <w:szCs w:val="24"/>
                <w:lang w:val="en-US" w:eastAsia="zh-CN"/>
              </w:rPr>
              <w:t>2</w:t>
            </w:r>
            <w:r>
              <w:rPr>
                <w:rFonts w:hint="eastAsia" w:ascii="宋体" w:eastAsia="宋体" w:cs="宋体"/>
                <w:kern w:val="0"/>
                <w:sz w:val="24"/>
                <w:szCs w:val="24"/>
              </w:rPr>
              <w:t>年度)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2424"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项目名称</w:t>
            </w:r>
          </w:p>
        </w:tc>
        <w:tc>
          <w:tcPr>
            <w:tcW w:w="5907"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大病救助金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2424"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预算单位</w:t>
            </w:r>
          </w:p>
        </w:tc>
        <w:tc>
          <w:tcPr>
            <w:tcW w:w="5907"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红原县红十字会</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70" w:hRule="atLeast"/>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预算执行情况(万元)</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预算数:</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执行数:</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其中-财政拨款:</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其中-财政拨款:</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1731"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其它资金:</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0</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其它资金:</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年度目标完成情况</w:t>
            </w:r>
          </w:p>
        </w:tc>
        <w:tc>
          <w:tcPr>
            <w:tcW w:w="3700"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预期目标</w:t>
            </w:r>
            <w:r>
              <w:rPr>
                <w:rFonts w:hint="eastAsia" w:cs="宋体"/>
                <w:kern w:val="0"/>
                <w:sz w:val="24"/>
                <w:szCs w:val="24"/>
                <w:lang w:val="en-US" w:eastAsia="zh-CN"/>
              </w:rPr>
              <w:t xml:space="preserve"> </w:t>
            </w:r>
            <w:r>
              <w:rPr>
                <w:rFonts w:hint="eastAsia" w:ascii="宋体" w:cs="宋体"/>
                <w:color w:val="000000"/>
                <w:sz w:val="24"/>
                <w:lang w:val="en-US" w:eastAsia="zh-CN"/>
              </w:rPr>
              <w:t>将</w:t>
            </w:r>
            <w:r>
              <w:rPr>
                <w:rFonts w:hint="eastAsia" w:cs="宋体"/>
                <w:color w:val="000000"/>
                <w:sz w:val="24"/>
                <w:lang w:val="en-US" w:eastAsia="zh-CN"/>
              </w:rPr>
              <w:t>5</w:t>
            </w:r>
            <w:r>
              <w:rPr>
                <w:rFonts w:hint="eastAsia" w:ascii="宋体" w:cs="宋体"/>
                <w:color w:val="000000"/>
                <w:sz w:val="24"/>
                <w:lang w:val="en-US" w:eastAsia="zh-CN"/>
              </w:rPr>
              <w:t>万元大病救助金送到需要救助的贫困大病患者手中，解决他们部分经济困难。</w:t>
            </w:r>
          </w:p>
        </w:tc>
        <w:tc>
          <w:tcPr>
            <w:tcW w:w="3938"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实际完成目标</w:t>
            </w:r>
            <w:r>
              <w:rPr>
                <w:rFonts w:hint="eastAsia" w:cs="宋体"/>
                <w:kern w:val="0"/>
                <w:sz w:val="24"/>
                <w:szCs w:val="24"/>
                <w:lang w:val="en-US" w:eastAsia="zh-CN"/>
              </w:rPr>
              <w:t xml:space="preserve"> </w:t>
            </w:r>
            <w:r>
              <w:rPr>
                <w:rFonts w:hint="eastAsia" w:ascii="宋体" w:cs="宋体"/>
                <w:color w:val="000000"/>
                <w:sz w:val="24"/>
                <w:lang w:val="en-US" w:eastAsia="zh-CN"/>
              </w:rPr>
              <w:t>将</w:t>
            </w:r>
            <w:r>
              <w:rPr>
                <w:rFonts w:hint="eastAsia" w:cs="宋体"/>
                <w:color w:val="000000"/>
                <w:sz w:val="24"/>
                <w:lang w:val="en-US" w:eastAsia="zh-CN"/>
              </w:rPr>
              <w:t>5</w:t>
            </w:r>
            <w:r>
              <w:rPr>
                <w:rFonts w:hint="eastAsia" w:ascii="宋体" w:cs="宋体"/>
                <w:color w:val="000000"/>
                <w:sz w:val="24"/>
                <w:lang w:val="en-US" w:eastAsia="zh-CN"/>
              </w:rPr>
              <w:t>万元大病救助金发放给筛选出来的贫困大病患者手中，解决他们存在的部分经济困难</w:t>
            </w:r>
            <w:r>
              <w:rPr>
                <w:rFonts w:hint="eastAsia" w:cs="宋体"/>
                <w:kern w:val="0"/>
                <w:sz w:val="24"/>
                <w:szCs w:val="24"/>
                <w:lang w:val="en-US" w:eastAsia="zh-CN"/>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3700" w:type="dxa"/>
            <w:gridSpan w:val="3"/>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3938" w:type="dxa"/>
            <w:gridSpan w:val="2"/>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vMerge w:val="restart"/>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绩效指标完成情况</w:t>
            </w:r>
          </w:p>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p>
        </w:tc>
        <w:tc>
          <w:tcPr>
            <w:tcW w:w="87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一级指标</w:t>
            </w:r>
          </w:p>
        </w:tc>
        <w:tc>
          <w:tcPr>
            <w:tcW w:w="857"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二级指标</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三级指标</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预期指标值(包含数字及文字描述)</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实际完成指标值(包含数字及文字描述)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87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项目完成指标</w:t>
            </w:r>
          </w:p>
        </w:tc>
        <w:tc>
          <w:tcPr>
            <w:tcW w:w="857"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2"/>
                <w:szCs w:val="22"/>
                <w:lang w:val="en-US" w:eastAsia="zh-CN"/>
              </w:rPr>
              <w:t>5</w:t>
            </w:r>
            <w:r>
              <w:rPr>
                <w:rFonts w:hint="eastAsia" w:ascii="宋体" w:eastAsia="宋体" w:cs="宋体"/>
                <w:kern w:val="0"/>
                <w:sz w:val="22"/>
                <w:szCs w:val="22"/>
                <w:lang w:val="en-US" w:eastAsia="zh-CN"/>
              </w:rPr>
              <w:t>万元</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ascii="宋体" w:eastAsia="宋体" w:cs="宋体"/>
                <w:kern w:val="0"/>
                <w:sz w:val="24"/>
                <w:szCs w:val="24"/>
                <w:lang w:val="en-US" w:eastAsia="zh-CN"/>
              </w:rPr>
              <w:t>=</w:t>
            </w:r>
            <w:r>
              <w:rPr>
                <w:rFonts w:hint="eastAsia" w:cs="宋体"/>
                <w:kern w:val="0"/>
                <w:sz w:val="24"/>
                <w:szCs w:val="24"/>
                <w:lang w:val="en-US" w:eastAsia="zh-CN"/>
              </w:rPr>
              <w:t>5</w:t>
            </w:r>
            <w:r>
              <w:rPr>
                <w:rFonts w:hint="eastAsia" w:ascii="宋体" w:eastAsia="宋体" w:cs="宋体"/>
                <w:kern w:val="0"/>
                <w:sz w:val="24"/>
                <w:szCs w:val="24"/>
                <w:lang w:val="en-US" w:eastAsia="zh-CN"/>
              </w:rPr>
              <w:t>万元</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5万元全部发放</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5万元发放完毕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87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效益指标</w:t>
            </w:r>
          </w:p>
        </w:tc>
        <w:tc>
          <w:tcPr>
            <w:tcW w:w="857"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助困</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帮助贫困大病患者</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 </w:t>
            </w:r>
            <w:r>
              <w:rPr>
                <w:rFonts w:hint="eastAsia" w:cs="宋体"/>
                <w:color w:val="000000"/>
                <w:sz w:val="24"/>
                <w:lang w:val="en-US" w:eastAsia="zh-CN"/>
              </w:rPr>
              <w:t>5</w:t>
            </w:r>
            <w:r>
              <w:rPr>
                <w:rFonts w:hint="eastAsia" w:ascii="宋体" w:cs="宋体"/>
                <w:color w:val="000000"/>
                <w:sz w:val="24"/>
                <w:lang w:val="en-US" w:eastAsia="zh-CN"/>
              </w:rPr>
              <w:t>万元大病救助金能够解决贫困大病患者部分困难</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5</w:t>
            </w:r>
            <w:r>
              <w:rPr>
                <w:rFonts w:hint="eastAsia" w:ascii="宋体" w:cs="宋体"/>
                <w:color w:val="000000"/>
                <w:sz w:val="24"/>
                <w:lang w:val="en-US" w:eastAsia="zh-CN"/>
              </w:rPr>
              <w:t>万元大病救助金已解决贫困大病患者部分困难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93" w:type="dxa"/>
            <w:vMerge w:val="continue"/>
            <w:tcBorders>
              <w:top w:val="outset" w:color="auto" w:sz="6" w:space="0"/>
              <w:left w:val="outset" w:color="auto" w:sz="6" w:space="0"/>
              <w:bottom w:val="outset" w:color="auto" w:sz="6" w:space="0"/>
              <w:right w:val="outset" w:color="auto" w:sz="6" w:space="0"/>
            </w:tcBorders>
            <w:shd w:val="clear" w:color="auto" w:fill="auto"/>
            <w:noWrap/>
            <w:vAlign w:val="center"/>
          </w:tcPr>
          <w:p/>
        </w:tc>
        <w:tc>
          <w:tcPr>
            <w:tcW w:w="874" w:type="dxa"/>
            <w:tcBorders>
              <w:top w:val="outset" w:color="auto" w:sz="6" w:space="0"/>
              <w:left w:val="outset" w:color="auto" w:sz="6" w:space="0"/>
              <w:bottom w:val="outset" w:color="auto" w:sz="6" w:space="0"/>
              <w:right w:val="outset" w:color="auto" w:sz="6" w:space="0"/>
            </w:tcBorders>
            <w:shd w:val="clear" w:color="auto" w:fill="auto"/>
            <w:noWrap/>
            <w:vAlign w:val="center"/>
          </w:tcPr>
          <w:p>
            <w:pPr>
              <w:pStyle w:val="19"/>
              <w:keepNext w:val="0"/>
              <w:keepLines w:val="0"/>
              <w:widowControl/>
              <w:suppressLineNumbers w:val="0"/>
              <w:jc w:val="left"/>
              <w:rPr>
                <w:rFonts w:hint="eastAsia" w:ascii="宋体" w:eastAsia="宋体" w:cs="宋体"/>
                <w:kern w:val="0"/>
                <w:sz w:val="24"/>
                <w:szCs w:val="24"/>
              </w:rPr>
            </w:pPr>
            <w:r>
              <w:rPr>
                <w:rFonts w:hint="eastAsia" w:ascii="宋体" w:eastAsia="宋体" w:cs="宋体"/>
                <w:kern w:val="0"/>
                <w:sz w:val="24"/>
                <w:szCs w:val="24"/>
              </w:rPr>
              <w:t>满意度指标</w:t>
            </w:r>
          </w:p>
        </w:tc>
        <w:tc>
          <w:tcPr>
            <w:tcW w:w="857"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ascii="宋体" w:eastAsia="宋体" w:cs="宋体"/>
                <w:kern w:val="0"/>
                <w:sz w:val="24"/>
                <w:szCs w:val="24"/>
                <w:lang w:val="en-US" w:eastAsia="zh-CN"/>
              </w:rPr>
            </w:pPr>
            <w:r>
              <w:rPr>
                <w:rFonts w:hint="eastAsia" w:ascii="宋体" w:eastAsia="宋体" w:cs="宋体"/>
                <w:kern w:val="0"/>
                <w:sz w:val="24"/>
                <w:szCs w:val="24"/>
              </w:rPr>
              <w:t> </w:t>
            </w:r>
            <w:r>
              <w:rPr>
                <w:rFonts w:hint="eastAsia" w:cs="宋体"/>
                <w:kern w:val="0"/>
                <w:sz w:val="24"/>
                <w:szCs w:val="24"/>
                <w:lang w:val="en-US" w:eastAsia="zh-CN"/>
              </w:rPr>
              <w:t>满意</w:t>
            </w:r>
          </w:p>
        </w:tc>
        <w:tc>
          <w:tcPr>
            <w:tcW w:w="1969" w:type="dxa"/>
            <w:tcBorders>
              <w:top w:val="outset" w:color="auto" w:sz="6" w:space="0"/>
              <w:left w:val="outset" w:color="auto" w:sz="6" w:space="0"/>
              <w:bottom w:val="outset" w:color="auto" w:sz="6" w:space="0"/>
              <w:right w:val="outset" w:color="auto" w:sz="6" w:space="0"/>
            </w:tcBorders>
            <w:shd w:val="clear" w:color="auto" w:fill="auto"/>
            <w:noWrap/>
            <w:vAlign w:val="center"/>
          </w:tcPr>
          <w:p>
            <w:pPr>
              <w:keepNext w:val="0"/>
              <w:keepLines w:val="0"/>
              <w:widowControl/>
              <w:suppressLineNumbers w:val="0"/>
              <w:jc w:val="left"/>
              <w:rPr>
                <w:rFonts w:hint="eastAsia" w:ascii="宋体" w:eastAsia="宋体" w:cs="宋体"/>
                <w:kern w:val="0"/>
                <w:sz w:val="24"/>
                <w:szCs w:val="24"/>
                <w:lang w:val="en-US" w:eastAsia="zh-CN"/>
              </w:rPr>
            </w:pPr>
            <w:r>
              <w:rPr>
                <w:rFonts w:hint="eastAsia" w:ascii="宋体" w:eastAsia="宋体" w:cs="宋体"/>
                <w:kern w:val="0"/>
                <w:sz w:val="24"/>
                <w:szCs w:val="24"/>
              </w:rPr>
              <w:t> </w:t>
            </w:r>
            <w:r>
              <w:rPr>
                <w:rFonts w:hint="eastAsia" w:ascii="宋体" w:eastAsia="宋体" w:cs="宋体"/>
                <w:kern w:val="0"/>
                <w:sz w:val="24"/>
                <w:szCs w:val="24"/>
                <w:lang w:val="en-US" w:eastAsia="zh-CN"/>
              </w:rPr>
              <w:t>满意</w:t>
            </w:r>
          </w:p>
        </w:tc>
      </w:tr>
    </w:tbl>
    <w:p>
      <w:pPr>
        <w:pStyle w:val="10"/>
        <w:keepNext w:val="0"/>
        <w:keepLines w:val="0"/>
        <w:widowControl/>
        <w:suppressLineNumbers w:val="0"/>
        <w:spacing w:before="0" w:beforeAutospacing="0"/>
        <w:ind w:left="0"/>
        <w:jc w:val="both"/>
        <w:outlineLvl w:val="0"/>
        <w:rPr>
          <w:rStyle w:val="13"/>
          <w:sz w:val="39"/>
          <w:szCs w:val="39"/>
          <w:shd w:val="clear" w:color="auto" w:fill="FFFFFF"/>
        </w:rPr>
      </w:pPr>
      <w:bookmarkStart w:id="33" w:name="_Toc18667"/>
      <w:bookmarkStart w:id="34" w:name="_Toc28810"/>
      <w:bookmarkStart w:id="35" w:name="_Toc16974"/>
    </w:p>
    <w:p>
      <w:pPr>
        <w:pStyle w:val="10"/>
        <w:keepNext w:val="0"/>
        <w:keepLines w:val="0"/>
        <w:widowControl/>
        <w:suppressLineNumbers w:val="0"/>
        <w:spacing w:before="0" w:beforeAutospacing="0"/>
        <w:ind w:left="0"/>
        <w:jc w:val="center"/>
        <w:outlineLvl w:val="0"/>
        <w:rPr>
          <w:rStyle w:val="13"/>
          <w:sz w:val="39"/>
          <w:szCs w:val="39"/>
          <w:shd w:val="clear" w:color="auto" w:fill="FFFFFF"/>
        </w:rPr>
      </w:pPr>
    </w:p>
    <w:p>
      <w:pPr>
        <w:pStyle w:val="10"/>
        <w:keepNext w:val="0"/>
        <w:keepLines w:val="0"/>
        <w:widowControl/>
        <w:suppressLineNumbers w:val="0"/>
        <w:spacing w:before="0" w:beforeAutospacing="0"/>
        <w:ind w:left="0"/>
        <w:jc w:val="center"/>
        <w:outlineLvl w:val="0"/>
        <w:rPr>
          <w:rStyle w:val="13"/>
          <w:sz w:val="39"/>
          <w:szCs w:val="39"/>
          <w:shd w:val="clear" w:color="auto" w:fill="FFFFFF"/>
        </w:rPr>
      </w:pPr>
    </w:p>
    <w:p>
      <w:pPr>
        <w:pStyle w:val="10"/>
        <w:keepNext w:val="0"/>
        <w:keepLines w:val="0"/>
        <w:widowControl/>
        <w:suppressLineNumbers w:val="0"/>
        <w:spacing w:before="0" w:beforeAutospacing="0"/>
        <w:ind w:firstLine="1957" w:firstLineChars="500"/>
        <w:jc w:val="both"/>
        <w:outlineLvl w:val="0"/>
      </w:pPr>
      <w:r>
        <w:rPr>
          <w:rStyle w:val="13"/>
          <w:sz w:val="39"/>
          <w:szCs w:val="39"/>
          <w:shd w:val="clear" w:color="auto" w:fill="FFFFFF"/>
        </w:rPr>
        <w:t>第三部分 名词解释</w:t>
      </w:r>
      <w:bookmarkEnd w:id="33"/>
      <w:bookmarkEnd w:id="34"/>
      <w:bookmarkEnd w:id="35"/>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jc w:val="left"/>
        <w:textAlignment w:val="auto"/>
      </w:pPr>
      <w:r>
        <w:rPr>
          <w:shd w:val="clear" w:color="auto" w:fill="FFFFFF"/>
        </w:rPr>
        <w:t> </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outlineLvl w:val="1"/>
      </w:pPr>
      <w:bookmarkStart w:id="36" w:name="_Toc3201"/>
      <w:bookmarkStart w:id="37" w:name="_Toc8407"/>
      <w:r>
        <w:rPr>
          <w:shd w:val="clear" w:color="auto" w:fill="FFFFFF"/>
        </w:rPr>
        <w:t>1.财政拨款收入：指单位从同级财政部门取得的财政预算资金。</w:t>
      </w:r>
      <w:bookmarkEnd w:id="36"/>
      <w:bookmarkEnd w:id="37"/>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rPr>
          <w:shd w:val="clear" w:color="auto" w:fill="FFFFFF"/>
        </w:rPr>
      </w:pPr>
      <w:r>
        <w:rPr>
          <w:shd w:val="clear" w:color="auto" w:fill="FFFFFF"/>
        </w:rPr>
        <w:t>2.事业收入：指事业单位开展专业业务活动及辅助活动取得的收入。</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pPr>
      <w:r>
        <w:rPr>
          <w:shd w:val="clear" w:color="auto" w:fill="FFFFFF"/>
        </w:rPr>
        <w:t>3.经营收入：指事业单位在专业业务活动及其辅助活动之外开展非独立核算经营活动取得的收入。如二级预算单位经营收入情况等。</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pPr>
      <w:r>
        <w:rPr>
          <w:shd w:val="clear" w:color="auto" w:fill="FFFFFF"/>
        </w:rPr>
        <w:t>4.其他收入：指单位取得的除上述</w:t>
      </w:r>
      <w:r>
        <w:rPr>
          <w:rFonts w:hint="eastAsia" w:ascii="宋体" w:eastAsia="宋体" w:cs="宋体"/>
          <w:color w:val="auto"/>
          <w:kern w:val="0"/>
          <w:sz w:val="24"/>
          <w:szCs w:val="24"/>
          <w:shd w:val="clear" w:color="auto" w:fill="FFFFFF"/>
          <w:lang w:val="en-US" w:eastAsia="zh-CN"/>
        </w:rPr>
        <w:t>“财政拨款收入”、“事业收入”、“事业单位经营收入”等</w:t>
      </w:r>
      <w:r>
        <w:rPr>
          <w:shd w:val="clear" w:color="auto" w:fill="FFFFFF"/>
        </w:rPr>
        <w:t>以外的各项收入。主要是</w:t>
      </w:r>
      <w:r>
        <w:rPr>
          <w:rFonts w:hint="eastAsia" w:ascii="宋体" w:eastAsia="宋体" w:cs="宋体"/>
          <w:color w:val="auto"/>
          <w:kern w:val="0"/>
          <w:sz w:val="24"/>
          <w:szCs w:val="24"/>
          <w:shd w:val="clear" w:color="auto" w:fill="FFFFFF"/>
          <w:lang w:val="en-US" w:eastAsia="zh-CN"/>
        </w:rPr>
        <w:t>所属行政事业单位按规定动用的售房收入、存款利息收入等</w:t>
      </w:r>
      <w:r>
        <w:rPr>
          <w:shd w:val="clear" w:color="auto" w:fill="FFFFFF"/>
        </w:rPr>
        <w:t>。</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pPr>
      <w:r>
        <w:rPr>
          <w:shd w:val="clear" w:color="auto" w:fill="FFFFFF"/>
        </w:rPr>
        <w:t>5.使用非财政拨款结余：指事业单位使用以前年度积累的非财政拨款结余弥补当年收支差额的金额。</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pPr>
      <w:r>
        <w:rPr>
          <w:shd w:val="clear" w:color="auto" w:fill="FFFFFF"/>
        </w:rPr>
        <w:t>6.年初结转和结余：指以前年度尚未完成、结转到本年按有关规定继续使用的资金。</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pPr>
      <w:r>
        <w:rPr>
          <w:shd w:val="clear" w:color="auto" w:fill="FFFFFF"/>
        </w:rPr>
        <w:t>7.结余分配：指事业单位按照会计制度规定缴纳的所得税、提取的专用结余以及转入非财政拨款结余的金额等。</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rPr>
          <w:shd w:val="clear" w:color="auto" w:fill="FFFFFF"/>
        </w:rPr>
      </w:pPr>
      <w:r>
        <w:rPr>
          <w:shd w:val="clear" w:color="auto" w:fill="FFFFFF"/>
        </w:rPr>
        <w:t>8</w:t>
      </w:r>
      <w:r>
        <w:rPr>
          <w:rFonts w:hint="eastAsia"/>
          <w:shd w:val="clear" w:color="auto" w:fill="FFFFFF"/>
          <w:lang w:val="en-US" w:eastAsia="zh-CN"/>
        </w:rPr>
        <w:t>.</w:t>
      </w:r>
      <w:r>
        <w:rPr>
          <w:shd w:val="clear" w:color="auto" w:fill="FFFFFF"/>
        </w:rPr>
        <w:t>年末结转和结余：指单位按有关规定结转到下年或以后年度继续使用的资金。</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rPr>
          <w:rFonts w:hint="eastAsia" w:ascii="宋体" w:eastAsia="宋体" w:cs="宋体"/>
          <w:color w:val="auto"/>
          <w:kern w:val="0"/>
          <w:sz w:val="24"/>
          <w:szCs w:val="24"/>
          <w:shd w:val="clear" w:color="auto" w:fill="FFFFFF"/>
          <w:lang w:val="en-US" w:eastAsia="zh-CN"/>
        </w:rPr>
      </w:pPr>
      <w:r>
        <w:rPr>
          <w:rFonts w:hint="eastAsia" w:ascii="宋体" w:eastAsia="宋体" w:cs="宋体"/>
          <w:color w:val="auto"/>
          <w:kern w:val="0"/>
          <w:sz w:val="24"/>
          <w:szCs w:val="24"/>
          <w:shd w:val="clear" w:color="auto" w:fill="FFFFFF"/>
          <w:lang w:val="en-US" w:eastAsia="zh-CN"/>
        </w:rPr>
        <w:t>9.社会保障和就业支出-行政事业单位离退休-机关事业单位基本养老保险缴费（2080505），该支出主要用于支付职工养老保险金；机关事业单位职业年金缴费（2080506），该支出主要用于支付职工职业年金。社会保障和就业支出-红十字事业-行政运行（2081601），该支出主要用于支付职工工资、退休费以及公务运行费；其他红十字事业支出（2081699），该支出主要用于大病救助金项目。</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rPr>
          <w:rFonts w:hint="eastAsia" w:ascii="宋体" w:eastAsia="宋体" w:cs="宋体"/>
          <w:color w:val="auto"/>
          <w:kern w:val="0"/>
          <w:sz w:val="24"/>
          <w:szCs w:val="24"/>
          <w:shd w:val="clear" w:color="auto" w:fill="FFFFFF"/>
          <w:lang w:val="en-US" w:eastAsia="zh-CN"/>
        </w:rPr>
      </w:pPr>
      <w:r>
        <w:rPr>
          <w:rFonts w:hint="eastAsia" w:ascii="宋体" w:eastAsia="宋体" w:cs="宋体"/>
          <w:color w:val="auto"/>
          <w:kern w:val="0"/>
          <w:sz w:val="24"/>
          <w:szCs w:val="24"/>
          <w:shd w:val="clear" w:color="auto" w:fill="FFFFFF"/>
          <w:lang w:val="en-US" w:eastAsia="zh-CN"/>
        </w:rPr>
        <w:t>10.医疗卫生与计划生育支出-行政事业单位医疗行政单位医疗（2101101），该支出用于财政部门集中安排的行政单位基本医疗保险缴费经费；公务员医疗补助（2101103）该支出用于职工医疗保险金。</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rPr>
          <w:rFonts w:hint="eastAsia" w:ascii="宋体" w:eastAsia="宋体" w:cs="宋体"/>
          <w:color w:val="auto"/>
          <w:kern w:val="0"/>
          <w:sz w:val="24"/>
          <w:szCs w:val="24"/>
          <w:shd w:val="clear" w:color="auto" w:fill="FFFFFF"/>
          <w:lang w:val="en-US" w:eastAsia="zh-CN"/>
        </w:rPr>
      </w:pPr>
      <w:r>
        <w:rPr>
          <w:rFonts w:hint="eastAsia" w:ascii="宋体" w:eastAsia="宋体" w:cs="宋体"/>
          <w:color w:val="auto"/>
          <w:kern w:val="0"/>
          <w:sz w:val="24"/>
          <w:szCs w:val="24"/>
          <w:shd w:val="clear" w:color="auto" w:fill="FFFFFF"/>
          <w:lang w:val="en-US" w:eastAsia="zh-CN"/>
        </w:rPr>
        <w:t>11.住房保障支出-住房改革支出-住房公积金：指行政事业单位按人力资源和社会保障部、财政部规定的基本工资和津贴补贴以及规定比例为职工缴纳的住房公积金。</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firstLine="480" w:firstLineChars="200"/>
        <w:jc w:val="left"/>
        <w:textAlignment w:val="auto"/>
        <w:rPr>
          <w:rFonts w:hint="eastAsia" w:ascii="宋体" w:eastAsia="宋体" w:cs="宋体"/>
          <w:color w:val="auto"/>
          <w:kern w:val="0"/>
          <w:sz w:val="24"/>
          <w:szCs w:val="24"/>
          <w:shd w:val="clear" w:color="auto" w:fill="FFFFFF"/>
          <w:lang w:val="en-US" w:eastAsia="zh-CN"/>
        </w:rPr>
      </w:pPr>
      <w:r>
        <w:rPr>
          <w:rFonts w:hint="eastAsia" w:ascii="宋体" w:eastAsia="宋体" w:cs="宋体"/>
          <w:color w:val="auto"/>
          <w:kern w:val="0"/>
          <w:sz w:val="24"/>
          <w:szCs w:val="24"/>
          <w:shd w:val="clear" w:color="auto" w:fill="FFFFFF"/>
          <w:lang w:val="en-US" w:eastAsia="zh-CN"/>
        </w:rPr>
        <w:t>12.基本支出：指为保障机构正常运转、完成日常工作任务而发生的人员支出和公用支出。</w:t>
      </w:r>
    </w:p>
    <w:p>
      <w:pPr>
        <w:keepNext w:val="0"/>
        <w:keepLines w:val="0"/>
        <w:pageBreakBefore w:val="0"/>
        <w:kinsoku/>
        <w:wordWrap/>
        <w:overflowPunct/>
        <w:topLinePunct w:val="0"/>
        <w:bidi w:val="0"/>
        <w:snapToGrid/>
        <w:spacing w:afterAutospacing="0" w:line="400" w:lineRule="exact"/>
        <w:ind w:firstLine="480" w:firstLineChars="200"/>
        <w:textAlignment w:val="auto"/>
        <w:rPr>
          <w:rFonts w:hint="eastAsia" w:ascii="宋体" w:eastAsia="宋体" w:cs="宋体"/>
          <w:color w:val="auto"/>
          <w:kern w:val="0"/>
          <w:sz w:val="24"/>
          <w:szCs w:val="24"/>
          <w:shd w:val="clear" w:color="auto" w:fill="FFFFFF"/>
          <w:lang w:val="en-US" w:eastAsia="zh-CN"/>
        </w:rPr>
      </w:pPr>
      <w:r>
        <w:rPr>
          <w:rFonts w:hint="eastAsia" w:ascii="宋体" w:eastAsia="宋体" w:cs="宋体"/>
          <w:color w:val="auto"/>
          <w:kern w:val="0"/>
          <w:sz w:val="24"/>
          <w:szCs w:val="24"/>
          <w:shd w:val="clear" w:color="auto" w:fill="FFFFFF"/>
          <w:lang w:val="en-US" w:eastAsia="zh-CN"/>
        </w:rPr>
        <w:t xml:space="preserve">13.项目支出：指在基本支出之外为完成特定行政任务和事业发展目标所发生的支出。 </w:t>
      </w:r>
    </w:p>
    <w:p>
      <w:pPr>
        <w:keepNext w:val="0"/>
        <w:keepLines w:val="0"/>
        <w:pageBreakBefore w:val="0"/>
        <w:kinsoku/>
        <w:wordWrap/>
        <w:overflowPunct/>
        <w:topLinePunct w:val="0"/>
        <w:bidi w:val="0"/>
        <w:snapToGrid/>
        <w:spacing w:afterAutospacing="0" w:line="400" w:lineRule="exact"/>
        <w:ind w:firstLine="480" w:firstLineChars="200"/>
        <w:textAlignment w:val="auto"/>
        <w:rPr>
          <w:rFonts w:hint="eastAsia" w:ascii="宋体" w:eastAsia="宋体" w:cs="宋体"/>
          <w:color w:val="auto"/>
          <w:kern w:val="0"/>
          <w:sz w:val="24"/>
          <w:szCs w:val="24"/>
          <w:shd w:val="clear" w:color="auto" w:fill="FFFFFF"/>
          <w:lang w:val="en-US" w:eastAsia="zh-CN"/>
        </w:rPr>
      </w:pPr>
      <w:r>
        <w:rPr>
          <w:rFonts w:hint="eastAsia" w:ascii="宋体" w:eastAsia="宋体" w:cs="宋体"/>
          <w:color w:val="auto"/>
          <w:kern w:val="0"/>
          <w:sz w:val="24"/>
          <w:szCs w:val="24"/>
          <w:shd w:val="clear" w:color="auto" w:fill="FFFFFF"/>
          <w:lang w:val="en-US" w:eastAsia="zh-CN"/>
        </w:rPr>
        <w:t>14.经营支出：指事业单位在专业业务活动及其辅助活动之外开展非独立核算经营活动发生的支出。</w:t>
      </w:r>
    </w:p>
    <w:p>
      <w:pPr>
        <w:pStyle w:val="17"/>
        <w:keepNext w:val="0"/>
        <w:keepLines w:val="0"/>
        <w:pageBreakBefore w:val="0"/>
        <w:kinsoku/>
        <w:wordWrap/>
        <w:overflowPunct/>
        <w:topLinePunct w:val="0"/>
        <w:bidi w:val="0"/>
        <w:snapToGrid/>
        <w:spacing w:afterAutospacing="0" w:line="400" w:lineRule="exact"/>
        <w:ind w:firstLine="480" w:firstLineChars="200"/>
        <w:textAlignment w:val="auto"/>
        <w:rPr>
          <w:rFonts w:hint="eastAsia" w:ascii="宋体" w:eastAsia="宋体" w:cs="宋体"/>
          <w:color w:val="auto"/>
          <w:kern w:val="0"/>
          <w:sz w:val="24"/>
          <w:szCs w:val="24"/>
          <w:shd w:val="clear" w:color="auto" w:fill="FFFFFF"/>
          <w:lang w:val="en-US" w:eastAsia="zh-CN"/>
        </w:rPr>
      </w:pPr>
      <w:r>
        <w:rPr>
          <w:rFonts w:hint="eastAsia" w:ascii="宋体" w:eastAsia="宋体" w:cs="宋体"/>
          <w:color w:val="auto"/>
          <w:kern w:val="0"/>
          <w:sz w:val="24"/>
          <w:szCs w:val="24"/>
          <w:shd w:val="clear" w:color="auto" w:fill="FFFFFF"/>
          <w:lang w:val="en-US" w:eastAsia="zh-CN"/>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7"/>
        <w:keepNext w:val="0"/>
        <w:keepLines w:val="0"/>
        <w:pageBreakBefore w:val="0"/>
        <w:kinsoku/>
        <w:wordWrap/>
        <w:overflowPunct/>
        <w:topLinePunct w:val="0"/>
        <w:bidi w:val="0"/>
        <w:snapToGrid/>
        <w:spacing w:afterAutospacing="0" w:line="400" w:lineRule="exact"/>
        <w:ind w:firstLine="480" w:firstLineChars="200"/>
        <w:textAlignment w:val="auto"/>
        <w:rPr>
          <w:rFonts w:hint="eastAsia" w:ascii="宋体" w:eastAsia="宋体" w:cs="宋体"/>
          <w:color w:val="auto"/>
          <w:kern w:val="0"/>
          <w:sz w:val="24"/>
          <w:szCs w:val="24"/>
          <w:shd w:val="clear" w:color="auto" w:fill="FFFFFF"/>
          <w:lang w:val="en-US" w:eastAsia="zh-CN"/>
        </w:rPr>
      </w:pPr>
      <w:r>
        <w:rPr>
          <w:rFonts w:hint="eastAsia" w:ascii="宋体" w:eastAsia="宋体" w:cs="宋体"/>
          <w:color w:val="auto"/>
          <w:kern w:val="0"/>
          <w:sz w:val="24"/>
          <w:szCs w:val="24"/>
          <w:shd w:val="clear" w:color="auto" w:fill="FFFFFF"/>
          <w:lang w:val="en-US" w:eastAsia="zh-CN"/>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jc w:val="left"/>
        <w:textAlignment w:val="auto"/>
        <w:rPr>
          <w:shd w:val="clear" w:color="auto" w:fill="FFFFFF"/>
        </w:rPr>
      </w:pP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jc w:val="left"/>
        <w:textAlignment w:val="auto"/>
        <w:rPr>
          <w:shd w:val="clear" w:color="auto" w:fill="FFFFFF"/>
        </w:rPr>
      </w:pPr>
    </w:p>
    <w:p>
      <w:pPr>
        <w:pStyle w:val="10"/>
        <w:keepNext w:val="0"/>
        <w:keepLines w:val="0"/>
        <w:pageBreakBefore w:val="0"/>
        <w:widowControl/>
        <w:suppressLineNumbers w:val="0"/>
        <w:kinsoku/>
        <w:wordWrap/>
        <w:overflowPunct/>
        <w:topLinePunct w:val="0"/>
        <w:bidi w:val="0"/>
        <w:snapToGrid/>
        <w:spacing w:before="0" w:beforeAutospacing="0" w:afterAutospacing="0" w:line="400" w:lineRule="exact"/>
        <w:ind w:left="0"/>
        <w:jc w:val="left"/>
        <w:textAlignment w:val="auto"/>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pPr>
    </w:p>
    <w:p>
      <w:pPr>
        <w:pStyle w:val="10"/>
        <w:keepNext w:val="0"/>
        <w:keepLines w:val="0"/>
        <w:widowControl/>
        <w:suppressLineNumbers w:val="0"/>
        <w:spacing w:before="0" w:beforeAutospacing="0"/>
        <w:ind w:left="0"/>
        <w:jc w:val="left"/>
      </w:pPr>
    </w:p>
    <w:p>
      <w:pPr>
        <w:pStyle w:val="10"/>
        <w:keepNext w:val="0"/>
        <w:keepLines w:val="0"/>
        <w:widowControl/>
        <w:suppressLineNumbers w:val="0"/>
        <w:spacing w:before="0" w:beforeAutospacing="0"/>
        <w:ind w:left="0"/>
        <w:jc w:val="left"/>
      </w:pPr>
    </w:p>
    <w:p>
      <w:pPr>
        <w:pStyle w:val="10"/>
        <w:keepNext w:val="0"/>
        <w:keepLines w:val="0"/>
        <w:widowControl/>
        <w:suppressLineNumbers w:val="0"/>
        <w:spacing w:before="0" w:beforeAutospacing="0"/>
        <w:ind w:left="0"/>
        <w:jc w:val="left"/>
      </w:pPr>
    </w:p>
    <w:p>
      <w:pPr>
        <w:pStyle w:val="10"/>
        <w:keepNext w:val="0"/>
        <w:keepLines w:val="0"/>
        <w:widowControl/>
        <w:suppressLineNumbers w:val="0"/>
        <w:spacing w:before="0" w:beforeAutospacing="0"/>
        <w:ind w:left="0"/>
        <w:jc w:val="left"/>
      </w:pPr>
    </w:p>
    <w:p>
      <w:pPr>
        <w:pStyle w:val="10"/>
        <w:keepNext w:val="0"/>
        <w:keepLines w:val="0"/>
        <w:widowControl/>
        <w:suppressLineNumbers w:val="0"/>
        <w:spacing w:before="0" w:beforeAutospacing="0"/>
        <w:ind w:left="0"/>
        <w:jc w:val="center"/>
        <w:outlineLvl w:val="0"/>
      </w:pPr>
      <w:bookmarkStart w:id="38" w:name="_Toc21999"/>
      <w:bookmarkStart w:id="39" w:name="_Toc21909"/>
      <w:bookmarkStart w:id="40" w:name="_Toc3484"/>
      <w:r>
        <w:rPr>
          <w:rStyle w:val="13"/>
          <w:sz w:val="39"/>
          <w:szCs w:val="39"/>
          <w:shd w:val="clear" w:color="auto" w:fill="FFFFFF"/>
        </w:rPr>
        <w:t>第四部分 附件</w:t>
      </w:r>
      <w:bookmarkEnd w:id="38"/>
      <w:bookmarkEnd w:id="39"/>
      <w:bookmarkEnd w:id="40"/>
    </w:p>
    <w:p>
      <w:pPr>
        <w:pStyle w:val="10"/>
        <w:keepNext w:val="0"/>
        <w:keepLines w:val="0"/>
        <w:widowControl/>
        <w:suppressLineNumbers w:val="0"/>
        <w:spacing w:before="0" w:beforeAutospacing="0"/>
        <w:ind w:left="0"/>
        <w:jc w:val="left"/>
        <w:outlineLvl w:val="1"/>
      </w:pPr>
      <w:bookmarkStart w:id="41" w:name="_Toc11261"/>
      <w:bookmarkStart w:id="42" w:name="_Toc31669"/>
      <w:r>
        <w:rPr>
          <w:shd w:val="clear" w:color="auto" w:fill="FFFFFF"/>
        </w:rPr>
        <w:t>附件</w:t>
      </w:r>
      <w:bookmarkEnd w:id="41"/>
      <w:bookmarkEnd w:id="42"/>
    </w:p>
    <w:p>
      <w:pPr>
        <w:pStyle w:val="10"/>
        <w:keepNext w:val="0"/>
        <w:keepLines w:val="0"/>
        <w:widowControl/>
        <w:suppressLineNumbers w:val="0"/>
        <w:spacing w:before="0" w:beforeAutospacing="0"/>
        <w:ind w:left="0"/>
        <w:jc w:val="center"/>
      </w:pPr>
      <w:r>
        <w:rPr>
          <w:sz w:val="39"/>
          <w:szCs w:val="39"/>
          <w:shd w:val="clear" w:color="auto" w:fill="FFFFFF"/>
        </w:rPr>
        <w:t>202</w:t>
      </w:r>
      <w:r>
        <w:rPr>
          <w:rFonts w:hint="eastAsia"/>
          <w:sz w:val="39"/>
          <w:szCs w:val="39"/>
          <w:shd w:val="clear" w:color="auto" w:fill="FFFFFF"/>
          <w:lang w:val="en-US" w:eastAsia="zh-CN"/>
        </w:rPr>
        <w:t>2</w:t>
      </w:r>
      <w:r>
        <w:rPr>
          <w:sz w:val="39"/>
          <w:szCs w:val="39"/>
          <w:shd w:val="clear" w:color="auto" w:fill="FFFFFF"/>
        </w:rPr>
        <w:t>年</w:t>
      </w:r>
      <w:r>
        <w:rPr>
          <w:rFonts w:hint="eastAsia"/>
          <w:sz w:val="39"/>
          <w:szCs w:val="39"/>
          <w:shd w:val="clear" w:color="auto" w:fill="FFFFFF"/>
          <w:lang w:val="en-US" w:eastAsia="zh-CN"/>
        </w:rPr>
        <w:t>红十字会</w:t>
      </w:r>
      <w:r>
        <w:rPr>
          <w:sz w:val="39"/>
          <w:szCs w:val="39"/>
          <w:shd w:val="clear" w:color="auto" w:fill="FFFFFF"/>
        </w:rPr>
        <w:t>部门整体绩效评价报告</w:t>
      </w:r>
    </w:p>
    <w:p>
      <w:pPr>
        <w:pStyle w:val="10"/>
        <w:keepNext w:val="0"/>
        <w:keepLines w:val="0"/>
        <w:widowControl/>
        <w:suppressLineNumbers w:val="0"/>
        <w:spacing w:before="0" w:beforeAutospacing="0"/>
        <w:ind w:left="0"/>
        <w:jc w:val="left"/>
      </w:pPr>
      <w:r>
        <w:rPr>
          <w:shd w:val="clear" w:color="auto" w:fill="FFFFFF"/>
        </w:rPr>
        <w:t> </w:t>
      </w:r>
    </w:p>
    <w:p>
      <w:pPr>
        <w:pStyle w:val="10"/>
        <w:keepNext w:val="0"/>
        <w:keepLines w:val="0"/>
        <w:widowControl/>
        <w:suppressLineNumbers w:val="0"/>
        <w:spacing w:before="0" w:beforeAutospacing="0"/>
        <w:ind w:left="0" w:firstLine="480" w:firstLineChars="200"/>
        <w:jc w:val="left"/>
        <w:outlineLvl w:val="1"/>
      </w:pPr>
      <w:bookmarkStart w:id="43" w:name="_Toc21375"/>
      <w:bookmarkStart w:id="44" w:name="_Toc19415"/>
      <w:r>
        <w:rPr>
          <w:shd w:val="clear" w:color="auto" w:fill="FFFFFF"/>
        </w:rPr>
        <w:t>一、部门（单位）概况</w:t>
      </w:r>
      <w:bookmarkEnd w:id="43"/>
      <w:bookmarkEnd w:id="44"/>
    </w:p>
    <w:p>
      <w:pPr>
        <w:pStyle w:val="10"/>
        <w:keepNext w:val="0"/>
        <w:keepLines w:val="0"/>
        <w:widowControl/>
        <w:suppressLineNumbers w:val="0"/>
        <w:spacing w:before="0" w:beforeAutospacing="0"/>
        <w:ind w:left="0" w:firstLine="480" w:firstLineChars="200"/>
        <w:jc w:val="left"/>
        <w:rPr>
          <w:shd w:val="clear" w:color="auto" w:fill="FFFFFF"/>
        </w:rPr>
      </w:pPr>
      <w:r>
        <w:rPr>
          <w:shd w:val="clear" w:color="auto" w:fill="FFFFFF"/>
        </w:rPr>
        <w:t>（一）机构组成。</w:t>
      </w:r>
    </w:p>
    <w:p>
      <w:pPr>
        <w:pStyle w:val="19"/>
        <w:keepNext w:val="0"/>
        <w:keepLines w:val="0"/>
        <w:widowControl/>
        <w:suppressLineNumbers w:val="0"/>
        <w:spacing w:before="0" w:beforeAutospacing="0" w:line="240" w:lineRule="auto"/>
        <w:ind w:left="0" w:firstLine="480" w:firstLineChars="200"/>
        <w:jc w:val="left"/>
        <w:rPr>
          <w:shd w:val="clear" w:color="auto" w:fill="FFFFFF"/>
        </w:rPr>
      </w:pPr>
      <w:r>
        <w:rPr>
          <w:rFonts w:hint="eastAsia" w:ascii="宋体" w:eastAsia="宋体" w:cs="宋体"/>
          <w:kern w:val="0"/>
          <w:sz w:val="24"/>
          <w:szCs w:val="24"/>
          <w:shd w:val="clear" w:color="auto" w:fill="FFFFFF"/>
        </w:rPr>
        <w:t>我单位为独立核算全额拨款参公单位</w:t>
      </w:r>
      <w:r>
        <w:rPr>
          <w:rFonts w:hint="eastAsia" w:cs="宋体"/>
          <w:kern w:val="0"/>
          <w:sz w:val="24"/>
          <w:szCs w:val="24"/>
          <w:shd w:val="clear" w:color="auto" w:fill="FFFFFF"/>
          <w:lang w:eastAsia="zh-CN"/>
        </w:rPr>
        <w:t>（</w:t>
      </w:r>
      <w:r>
        <w:rPr>
          <w:rFonts w:hint="eastAsia" w:ascii="宋体" w:eastAsia="宋体" w:cs="宋体"/>
          <w:kern w:val="0"/>
          <w:sz w:val="24"/>
          <w:szCs w:val="24"/>
          <w:shd w:val="clear" w:color="auto" w:fill="FFFFFF"/>
          <w:lang w:val="en-US" w:eastAsia="zh-CN"/>
        </w:rPr>
        <w:t>2个内设机构：办公室和综合股）</w:t>
      </w:r>
      <w:r>
        <w:rPr>
          <w:rFonts w:hint="eastAsia" w:ascii="宋体" w:eastAsia="宋体" w:cs="宋体"/>
          <w:kern w:val="0"/>
          <w:sz w:val="24"/>
          <w:szCs w:val="24"/>
          <w:shd w:val="clear" w:color="auto" w:fill="FFFFFF"/>
        </w:rPr>
        <w:t>，</w:t>
      </w:r>
      <w:r>
        <w:rPr>
          <w:rFonts w:hint="eastAsia" w:ascii="宋体" w:eastAsia="宋体" w:cs="宋体"/>
          <w:kern w:val="0"/>
          <w:sz w:val="24"/>
          <w:szCs w:val="24"/>
          <w:shd w:val="clear" w:color="auto" w:fill="FFFFFF"/>
          <w:lang w:eastAsia="zh-CN"/>
        </w:rPr>
        <w:t>下设</w:t>
      </w:r>
      <w:r>
        <w:rPr>
          <w:rFonts w:hint="eastAsia" w:ascii="宋体" w:eastAsia="宋体" w:cs="宋体"/>
          <w:kern w:val="0"/>
          <w:sz w:val="24"/>
          <w:szCs w:val="24"/>
          <w:shd w:val="clear" w:color="auto" w:fill="FFFFFF"/>
          <w:lang w:val="en-US" w:eastAsia="zh-CN"/>
        </w:rPr>
        <w:t>0机构。</w:t>
      </w:r>
    </w:p>
    <w:p>
      <w:pPr>
        <w:pStyle w:val="10"/>
        <w:keepNext w:val="0"/>
        <w:keepLines w:val="0"/>
        <w:widowControl/>
        <w:numPr>
          <w:ilvl w:val="0"/>
          <w:numId w:val="2"/>
        </w:numPr>
        <w:suppressLineNumbers w:val="0"/>
        <w:spacing w:before="0" w:beforeAutospacing="0"/>
        <w:ind w:left="0" w:firstLine="480" w:firstLineChars="200"/>
        <w:jc w:val="left"/>
        <w:rPr>
          <w:shd w:val="clear" w:color="auto" w:fill="FFFFFF"/>
        </w:rPr>
      </w:pPr>
      <w:r>
        <w:rPr>
          <w:shd w:val="clear" w:color="auto" w:fill="FFFFFF"/>
        </w:rPr>
        <w:t>机构职能。</w:t>
      </w:r>
    </w:p>
    <w:p>
      <w:pPr>
        <w:pStyle w:val="7"/>
        <w:adjustRightInd w:val="0"/>
        <w:snapToGrid w:val="0"/>
        <w:spacing w:line="240" w:lineRule="auto"/>
        <w:ind w:firstLine="499" w:firstLineChars="208"/>
        <w:rPr>
          <w:rFonts w:hint="eastAsia"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en-US" w:eastAsia="zh-CN"/>
        </w:rPr>
        <w:t>1.传播国际红十字运动知识和国际人道主义，宣传、执行《中华人民共和国红十字会法》和《中华人民共和国红十字会法实施办法》等法律、法规，遵循《中国红十字会章程》，依法建会、治会、兴会。</w:t>
      </w:r>
    </w:p>
    <w:p>
      <w:pPr>
        <w:pStyle w:val="7"/>
        <w:adjustRightInd w:val="0"/>
        <w:snapToGrid w:val="0"/>
        <w:spacing w:line="240" w:lineRule="auto"/>
        <w:ind w:firstLine="499" w:firstLineChars="208"/>
        <w:rPr>
          <w:rFonts w:hint="eastAsia"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en-US" w:eastAsia="zh-CN"/>
        </w:rPr>
        <w:t>2.开展备灾救灾工作，兴建和管理备灾救灾设施，在自然灾害和突发事件中开展对受害者的救助和救护。</w:t>
      </w:r>
    </w:p>
    <w:p>
      <w:pPr>
        <w:pStyle w:val="7"/>
        <w:adjustRightInd w:val="0"/>
        <w:snapToGrid w:val="0"/>
        <w:spacing w:line="240" w:lineRule="auto"/>
        <w:ind w:firstLine="499" w:firstLineChars="208"/>
        <w:rPr>
          <w:rFonts w:hint="eastAsia"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en-US" w:eastAsia="zh-CN"/>
        </w:rPr>
        <w:t>3.开展人道领域的社会公益服务活动和卫生救护、卫生防病知识的宣传、开展学术交流、组织社会捐助，进行初级卫生救护培训，组织群众参加现场救护，推动无偿献血和非血缘关系骨髓移植工作。</w:t>
      </w:r>
    </w:p>
    <w:p>
      <w:pPr>
        <w:pStyle w:val="7"/>
        <w:adjustRightInd w:val="0"/>
        <w:snapToGrid w:val="0"/>
        <w:spacing w:line="240" w:lineRule="auto"/>
        <w:ind w:firstLine="499" w:firstLineChars="208"/>
        <w:rPr>
          <w:rFonts w:hint="eastAsia"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en-US" w:eastAsia="zh-CN"/>
        </w:rPr>
        <w:t>4.加强与兄弟市、县红十字会及国际红十字组织友好往来，开展人道领域的合作与交流，争取援助。</w:t>
      </w:r>
    </w:p>
    <w:p>
      <w:pPr>
        <w:pStyle w:val="10"/>
        <w:keepNext w:val="0"/>
        <w:keepLines w:val="0"/>
        <w:widowControl/>
        <w:numPr>
          <w:ilvl w:val="0"/>
          <w:numId w:val="0"/>
        </w:numPr>
        <w:suppressLineNumbers w:val="0"/>
        <w:spacing w:before="0" w:beforeAutospacing="0"/>
        <w:ind w:right="0" w:rightChars="0" w:firstLine="480" w:firstLineChars="200"/>
        <w:jc w:val="left"/>
        <w:rPr>
          <w:rFonts w:hint="eastAsia"/>
          <w:shd w:val="clear" w:color="auto" w:fill="FFFFFF"/>
          <w:lang w:eastAsia="zh-CN"/>
        </w:rPr>
      </w:pPr>
    </w:p>
    <w:p>
      <w:pPr>
        <w:pStyle w:val="10"/>
        <w:keepNext w:val="0"/>
        <w:keepLines w:val="0"/>
        <w:widowControl/>
        <w:numPr>
          <w:ilvl w:val="0"/>
          <w:numId w:val="0"/>
        </w:numPr>
        <w:suppressLineNumbers w:val="0"/>
        <w:spacing w:before="0" w:beforeAutospacing="0"/>
        <w:ind w:right="0" w:rightChars="0" w:firstLine="480" w:firstLineChars="200"/>
        <w:jc w:val="left"/>
        <w:rPr>
          <w:shd w:val="clear" w:color="auto" w:fill="FFFFFF"/>
        </w:rPr>
      </w:pPr>
      <w:r>
        <w:rPr>
          <w:rFonts w:hint="eastAsia"/>
          <w:shd w:val="clear" w:color="auto" w:fill="FFFFFF"/>
          <w:lang w:eastAsia="zh-CN"/>
        </w:rPr>
        <w:t>（</w:t>
      </w:r>
      <w:r>
        <w:rPr>
          <w:rFonts w:hint="eastAsia"/>
          <w:shd w:val="clear" w:color="auto" w:fill="FFFFFF"/>
          <w:lang w:val="en-US" w:eastAsia="zh-CN"/>
        </w:rPr>
        <w:t>三</w:t>
      </w:r>
      <w:r>
        <w:rPr>
          <w:rFonts w:hint="eastAsia"/>
          <w:shd w:val="clear" w:color="auto" w:fill="FFFFFF"/>
          <w:lang w:eastAsia="zh-CN"/>
        </w:rPr>
        <w:t>）</w:t>
      </w:r>
      <w:r>
        <w:rPr>
          <w:shd w:val="clear" w:color="auto" w:fill="FFFFFF"/>
        </w:rPr>
        <w:t>人员概况。</w:t>
      </w:r>
    </w:p>
    <w:p>
      <w:pPr>
        <w:keepNext w:val="0"/>
        <w:keepLines w:val="0"/>
        <w:widowControl/>
        <w:suppressLineNumbers w:val="0"/>
        <w:adjustRightInd w:val="0"/>
        <w:snapToGrid w:val="0"/>
        <w:spacing w:before="0" w:beforeAutospacing="0" w:after="0" w:afterAutospacing="0" w:line="240" w:lineRule="auto"/>
        <w:ind w:left="0" w:right="0" w:firstLine="480" w:firstLineChars="200"/>
        <w:jc w:val="left"/>
        <w:rPr>
          <w:shd w:val="clear" w:color="auto" w:fill="FFFFFF"/>
        </w:rPr>
      </w:pPr>
      <w:r>
        <w:rPr>
          <w:rFonts w:hint="eastAsia" w:ascii="宋体" w:eastAsia="宋体" w:cs="宋体"/>
          <w:kern w:val="0"/>
          <w:sz w:val="24"/>
          <w:szCs w:val="24"/>
          <w:shd w:val="clear" w:color="auto" w:fill="FFFFFF"/>
          <w:lang w:val="en-US" w:eastAsia="zh-CN"/>
        </w:rPr>
        <w:t>截止202</w:t>
      </w:r>
      <w:r>
        <w:rPr>
          <w:rFonts w:hint="eastAsia" w:cs="宋体"/>
          <w:kern w:val="0"/>
          <w:sz w:val="24"/>
          <w:szCs w:val="24"/>
          <w:shd w:val="clear" w:color="auto" w:fill="FFFFFF"/>
          <w:lang w:val="en-US" w:eastAsia="zh-CN"/>
        </w:rPr>
        <w:t>2</w:t>
      </w:r>
      <w:r>
        <w:rPr>
          <w:rFonts w:hint="eastAsia" w:ascii="宋体" w:eastAsia="宋体" w:cs="宋体"/>
          <w:kern w:val="0"/>
          <w:sz w:val="24"/>
          <w:szCs w:val="24"/>
          <w:shd w:val="clear" w:color="auto" w:fill="FFFFFF"/>
          <w:lang w:val="en-US" w:eastAsia="zh-CN"/>
        </w:rPr>
        <w:t>年底我单位共有编制5个，其中参公编制5个。在职</w:t>
      </w:r>
      <w:r>
        <w:rPr>
          <w:rFonts w:hint="eastAsia" w:cs="宋体"/>
          <w:kern w:val="0"/>
          <w:sz w:val="24"/>
          <w:szCs w:val="24"/>
          <w:shd w:val="clear" w:color="auto" w:fill="FFFFFF"/>
          <w:lang w:val="en-US" w:eastAsia="zh-CN"/>
        </w:rPr>
        <w:t>6</w:t>
      </w:r>
      <w:r>
        <w:rPr>
          <w:rFonts w:hint="eastAsia" w:ascii="宋体" w:eastAsia="宋体" w:cs="宋体"/>
          <w:kern w:val="0"/>
          <w:sz w:val="24"/>
          <w:szCs w:val="24"/>
          <w:shd w:val="clear" w:color="auto" w:fill="FFFFFF"/>
          <w:lang w:val="en-US" w:eastAsia="zh-CN"/>
        </w:rPr>
        <w:t>人，其中公务员</w:t>
      </w:r>
      <w:r>
        <w:rPr>
          <w:rFonts w:hint="eastAsia" w:cs="宋体"/>
          <w:kern w:val="0"/>
          <w:sz w:val="24"/>
          <w:szCs w:val="24"/>
          <w:shd w:val="clear" w:color="auto" w:fill="FFFFFF"/>
          <w:lang w:val="en-US" w:eastAsia="zh-CN"/>
        </w:rPr>
        <w:t>6</w:t>
      </w:r>
      <w:r>
        <w:rPr>
          <w:rFonts w:hint="eastAsia" w:ascii="宋体" w:eastAsia="宋体" w:cs="宋体"/>
          <w:kern w:val="0"/>
          <w:sz w:val="24"/>
          <w:szCs w:val="24"/>
          <w:shd w:val="clear" w:color="auto" w:fill="FFFFFF"/>
          <w:lang w:val="en-US" w:eastAsia="zh-CN"/>
        </w:rPr>
        <w:t>人。</w:t>
      </w:r>
    </w:p>
    <w:p>
      <w:pPr>
        <w:pStyle w:val="10"/>
        <w:keepNext w:val="0"/>
        <w:keepLines w:val="0"/>
        <w:widowControl/>
        <w:suppressLineNumbers w:val="0"/>
        <w:spacing w:before="0" w:beforeAutospacing="0"/>
        <w:ind w:firstLine="480" w:firstLineChars="200"/>
        <w:jc w:val="left"/>
        <w:outlineLvl w:val="1"/>
      </w:pPr>
      <w:bookmarkStart w:id="45" w:name="_Toc742"/>
      <w:bookmarkStart w:id="46" w:name="_Toc29"/>
      <w:r>
        <w:rPr>
          <w:shd w:val="clear" w:color="auto" w:fill="FFFFFF"/>
        </w:rPr>
        <w:t>二、部门财政资金收支情况</w:t>
      </w:r>
      <w:bookmarkEnd w:id="45"/>
      <w:bookmarkEnd w:id="46"/>
    </w:p>
    <w:p>
      <w:pPr>
        <w:pStyle w:val="10"/>
        <w:keepNext w:val="0"/>
        <w:keepLines w:val="0"/>
        <w:widowControl/>
        <w:suppressLineNumbers w:val="0"/>
        <w:spacing w:before="0" w:beforeAutospacing="0"/>
        <w:ind w:left="0" w:firstLine="480" w:firstLineChars="200"/>
        <w:jc w:val="left"/>
        <w:rPr>
          <w:shd w:val="clear" w:color="auto" w:fill="FFFFFF"/>
        </w:rPr>
      </w:pPr>
      <w:r>
        <w:rPr>
          <w:shd w:val="clear" w:color="auto" w:fill="FFFFFF"/>
        </w:rPr>
        <w:t>（一）部门财政资金收入情况。</w:t>
      </w:r>
    </w:p>
    <w:p>
      <w:pPr>
        <w:pStyle w:val="10"/>
        <w:keepNext w:val="0"/>
        <w:keepLines w:val="0"/>
        <w:widowControl/>
        <w:suppressLineNumbers w:val="0"/>
        <w:spacing w:before="0" w:beforeAutospacing="0"/>
        <w:ind w:left="0" w:firstLine="480" w:firstLineChars="200"/>
        <w:jc w:val="left"/>
        <w:rPr>
          <w:shd w:val="clear" w:color="auto" w:fill="FFFFFF"/>
        </w:rPr>
      </w:pPr>
      <w:bookmarkStart w:id="47" w:name="_Toc27255"/>
      <w:r>
        <w:rPr>
          <w:rFonts w:hint="eastAsia" w:ascii="宋体" w:eastAsia="宋体" w:cs="宋体"/>
          <w:kern w:val="0"/>
          <w:sz w:val="24"/>
          <w:szCs w:val="24"/>
          <w:shd w:val="clear" w:color="auto" w:fill="FFFFFF"/>
          <w:lang w:val="en-US" w:eastAsia="zh-CN"/>
        </w:rPr>
        <w:t>本单位20</w:t>
      </w:r>
      <w:r>
        <w:rPr>
          <w:rFonts w:hint="eastAsia" w:cs="宋体"/>
          <w:kern w:val="0"/>
          <w:sz w:val="24"/>
          <w:szCs w:val="24"/>
          <w:shd w:val="clear" w:color="auto" w:fill="FFFFFF"/>
          <w:lang w:val="en-US" w:eastAsia="zh-CN"/>
        </w:rPr>
        <w:t>22</w:t>
      </w:r>
      <w:r>
        <w:rPr>
          <w:rFonts w:hint="eastAsia" w:ascii="宋体" w:eastAsia="宋体" w:cs="宋体"/>
          <w:kern w:val="0"/>
          <w:sz w:val="24"/>
          <w:szCs w:val="24"/>
          <w:shd w:val="clear" w:color="auto" w:fill="FFFFFF"/>
          <w:lang w:val="en-US" w:eastAsia="zh-CN"/>
        </w:rPr>
        <w:t>年本年收入合计</w:t>
      </w:r>
      <w:r>
        <w:rPr>
          <w:rFonts w:hint="eastAsia" w:cs="宋体"/>
          <w:kern w:val="0"/>
          <w:sz w:val="24"/>
          <w:szCs w:val="24"/>
          <w:shd w:val="clear" w:color="auto" w:fill="FFFFFF"/>
          <w:lang w:val="en-US" w:eastAsia="zh-CN"/>
        </w:rPr>
        <w:t>212.54</w:t>
      </w:r>
      <w:r>
        <w:rPr>
          <w:rFonts w:hint="eastAsia" w:ascii="宋体" w:eastAsia="宋体" w:cs="宋体"/>
          <w:kern w:val="0"/>
          <w:sz w:val="24"/>
          <w:szCs w:val="24"/>
          <w:shd w:val="clear" w:color="auto" w:fill="FFFFFF"/>
          <w:lang w:val="en-US" w:eastAsia="zh-CN"/>
        </w:rPr>
        <w:t>万元，其中：一般公共预算财政拨款收入</w:t>
      </w:r>
      <w:r>
        <w:rPr>
          <w:rFonts w:hint="eastAsia" w:cs="宋体"/>
          <w:kern w:val="0"/>
          <w:sz w:val="24"/>
          <w:szCs w:val="24"/>
          <w:shd w:val="clear" w:color="auto" w:fill="FFFFFF"/>
          <w:lang w:val="en-US" w:eastAsia="zh-CN"/>
        </w:rPr>
        <w:t>212.54</w:t>
      </w:r>
      <w:r>
        <w:rPr>
          <w:rFonts w:hint="eastAsia" w:ascii="宋体" w:eastAsia="宋体" w:cs="宋体"/>
          <w:kern w:val="0"/>
          <w:sz w:val="24"/>
          <w:szCs w:val="24"/>
          <w:shd w:val="clear" w:color="auto" w:fill="FFFFFF"/>
          <w:lang w:val="en-US" w:eastAsia="zh-CN"/>
        </w:rPr>
        <w:t>万元，占</w:t>
      </w:r>
      <w:r>
        <w:rPr>
          <w:rFonts w:hint="eastAsia" w:cs="宋体"/>
          <w:kern w:val="0"/>
          <w:sz w:val="24"/>
          <w:szCs w:val="24"/>
          <w:shd w:val="clear" w:color="auto" w:fill="FFFFFF"/>
          <w:lang w:val="en-US" w:eastAsia="zh-CN"/>
        </w:rPr>
        <w:t>100</w:t>
      </w:r>
      <w:r>
        <w:rPr>
          <w:rFonts w:hint="eastAsia" w:ascii="宋体" w:eastAsia="宋体" w:cs="宋体"/>
          <w:kern w:val="0"/>
          <w:sz w:val="24"/>
          <w:szCs w:val="24"/>
          <w:shd w:val="clear" w:color="auto" w:fill="FFFFFF"/>
          <w:lang w:val="en-US" w:eastAsia="zh-CN"/>
        </w:rPr>
        <w:t>%；其他收入</w:t>
      </w:r>
      <w:r>
        <w:rPr>
          <w:rFonts w:hint="eastAsia" w:cs="宋体"/>
          <w:kern w:val="0"/>
          <w:sz w:val="24"/>
          <w:szCs w:val="24"/>
          <w:shd w:val="clear" w:color="auto" w:fill="FFFFFF"/>
          <w:lang w:val="en-US" w:eastAsia="zh-CN"/>
        </w:rPr>
        <w:t>0.00</w:t>
      </w:r>
      <w:r>
        <w:rPr>
          <w:rFonts w:hint="eastAsia" w:ascii="宋体" w:eastAsia="宋体" w:cs="宋体"/>
          <w:kern w:val="0"/>
          <w:sz w:val="24"/>
          <w:szCs w:val="24"/>
          <w:shd w:val="clear" w:color="auto" w:fill="FFFFFF"/>
          <w:lang w:val="en-US" w:eastAsia="zh-CN"/>
        </w:rPr>
        <w:t>万元，占</w:t>
      </w:r>
      <w:r>
        <w:rPr>
          <w:rFonts w:hint="eastAsia" w:cs="宋体"/>
          <w:kern w:val="0"/>
          <w:sz w:val="24"/>
          <w:szCs w:val="24"/>
          <w:shd w:val="clear" w:color="auto" w:fill="FFFFFF"/>
          <w:lang w:val="en-US" w:eastAsia="zh-CN"/>
        </w:rPr>
        <w:t>0.00</w:t>
      </w:r>
      <w:r>
        <w:rPr>
          <w:rFonts w:hint="eastAsia" w:ascii="宋体" w:eastAsia="宋体" w:cs="宋体"/>
          <w:kern w:val="0"/>
          <w:sz w:val="24"/>
          <w:szCs w:val="24"/>
          <w:shd w:val="clear" w:color="auto" w:fill="FFFFFF"/>
          <w:lang w:val="en-US" w:eastAsia="zh-CN"/>
        </w:rPr>
        <w:t>%。</w:t>
      </w:r>
      <w:bookmarkEnd w:id="47"/>
    </w:p>
    <w:p>
      <w:pPr>
        <w:pStyle w:val="10"/>
        <w:keepNext w:val="0"/>
        <w:keepLines w:val="0"/>
        <w:widowControl/>
        <w:numPr>
          <w:ilvl w:val="0"/>
          <w:numId w:val="3"/>
        </w:numPr>
        <w:suppressLineNumbers w:val="0"/>
        <w:spacing w:before="0" w:beforeAutospacing="0"/>
        <w:ind w:left="0" w:firstLine="480" w:firstLineChars="200"/>
        <w:jc w:val="left"/>
        <w:rPr>
          <w:shd w:val="clear" w:color="auto" w:fill="FFFFFF"/>
        </w:rPr>
      </w:pPr>
      <w:r>
        <w:rPr>
          <w:shd w:val="clear" w:color="auto" w:fill="FFFFFF"/>
        </w:rPr>
        <w:t>部门财政资金支出情况。</w:t>
      </w:r>
    </w:p>
    <w:p>
      <w:pPr>
        <w:pStyle w:val="10"/>
        <w:keepNext w:val="0"/>
        <w:keepLines w:val="0"/>
        <w:widowControl/>
        <w:suppressLineNumbers w:val="0"/>
        <w:spacing w:before="0" w:beforeAutospacing="0"/>
        <w:ind w:left="0" w:right="0" w:firstLine="480" w:firstLineChars="200"/>
        <w:jc w:val="left"/>
        <w:rPr>
          <w:shd w:val="clear" w:color="auto" w:fill="FFFFFF"/>
        </w:rPr>
      </w:pPr>
      <w:r>
        <w:rPr>
          <w:rFonts w:hint="eastAsia" w:cs="宋体"/>
          <w:kern w:val="0"/>
          <w:sz w:val="24"/>
          <w:szCs w:val="24"/>
          <w:shd w:val="clear" w:color="auto" w:fill="FFFFFF"/>
          <w:lang w:val="en-US" w:eastAsia="zh-CN"/>
        </w:rPr>
        <w:t>本单位2022年一般公共预算财政拨款支出212.54万元，占本年支出合计的100%。与2021年相比，一般公共预算财政拨款增加81.39万元，增加62%。</w:t>
      </w:r>
    </w:p>
    <w:p>
      <w:pPr>
        <w:pStyle w:val="10"/>
        <w:keepNext w:val="0"/>
        <w:keepLines w:val="0"/>
        <w:widowControl/>
        <w:suppressLineNumbers w:val="0"/>
        <w:spacing w:before="0" w:beforeAutospacing="0"/>
        <w:ind w:left="0" w:firstLine="480" w:firstLineChars="200"/>
        <w:jc w:val="left"/>
        <w:outlineLvl w:val="1"/>
      </w:pPr>
      <w:bookmarkStart w:id="48" w:name="_Toc22905"/>
      <w:bookmarkStart w:id="49" w:name="_Toc23068"/>
      <w:r>
        <w:rPr>
          <w:color w:val="auto"/>
          <w:shd w:val="clear" w:color="auto" w:fill="FFFFFF"/>
        </w:rPr>
        <w:t>三、</w:t>
      </w:r>
      <w:r>
        <w:rPr>
          <w:shd w:val="clear" w:color="auto" w:fill="FFFFFF"/>
        </w:rPr>
        <w:t>部门整体预算绩效管理情况</w:t>
      </w:r>
      <w:bookmarkEnd w:id="48"/>
      <w:bookmarkEnd w:id="49"/>
    </w:p>
    <w:p>
      <w:pPr>
        <w:pStyle w:val="10"/>
        <w:keepNext w:val="0"/>
        <w:keepLines w:val="0"/>
        <w:widowControl/>
        <w:suppressLineNumbers w:val="0"/>
        <w:spacing w:before="0" w:beforeAutospacing="0"/>
        <w:ind w:left="0" w:firstLine="480" w:firstLineChars="200"/>
        <w:jc w:val="left"/>
      </w:pPr>
      <w:r>
        <w:rPr>
          <w:shd w:val="clear" w:color="auto" w:fill="FFFFFF"/>
        </w:rPr>
        <w:t>（一）部门预算项目绩效管理。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1" w:firstLineChars="200"/>
        <w:rPr>
          <w:rFonts w:hint="eastAsia" w:ascii="宋体" w:eastAsia="宋体" w:cs="宋体"/>
          <w:kern w:val="0"/>
          <w:sz w:val="24"/>
          <w:szCs w:val="24"/>
          <w:shd w:val="clear" w:color="auto" w:fill="FFFFFF"/>
          <w:lang w:val="zh-CN" w:eastAsia="zh-CN"/>
        </w:rPr>
      </w:pPr>
      <w:r>
        <w:rPr>
          <w:rFonts w:hint="eastAsia" w:ascii="宋体" w:eastAsia="宋体" w:cs="宋体"/>
          <w:b/>
          <w:bCs/>
          <w:kern w:val="0"/>
          <w:sz w:val="24"/>
          <w:szCs w:val="24"/>
          <w:shd w:val="clear" w:color="auto" w:fill="FFFFFF"/>
          <w:lang w:val="en-US" w:eastAsia="zh-CN"/>
        </w:rPr>
        <w:t>1</w:t>
      </w:r>
      <w:r>
        <w:rPr>
          <w:rFonts w:hint="eastAsia" w:cs="宋体"/>
          <w:b/>
          <w:bCs/>
          <w:kern w:val="0"/>
          <w:sz w:val="24"/>
          <w:szCs w:val="24"/>
          <w:shd w:val="clear" w:color="auto" w:fill="FFFFFF"/>
          <w:lang w:val="en-US" w:eastAsia="zh-CN"/>
        </w:rPr>
        <w:t>.</w:t>
      </w:r>
      <w:r>
        <w:rPr>
          <w:rFonts w:hint="eastAsia" w:ascii="宋体" w:eastAsia="宋体" w:cs="宋体"/>
          <w:b/>
          <w:bCs/>
          <w:kern w:val="0"/>
          <w:sz w:val="24"/>
          <w:szCs w:val="24"/>
          <w:shd w:val="clear" w:color="auto" w:fill="FFFFFF"/>
          <w:lang w:val="zh-CN" w:eastAsia="zh-CN"/>
        </w:rPr>
        <w:t>支出预算安排情况</w:t>
      </w:r>
    </w:p>
    <w:p>
      <w:pPr>
        <w:pStyle w:val="19"/>
        <w:keepNext w:val="0"/>
        <w:keepLines w:val="0"/>
        <w:widowControl/>
        <w:suppressLineNumbers w:val="0"/>
        <w:spacing w:before="0" w:beforeAutospacing="0"/>
        <w:ind w:firstLine="480" w:firstLineChars="200"/>
        <w:jc w:val="left"/>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zh-CN" w:eastAsia="zh-CN"/>
        </w:rPr>
        <w:t>红原县</w:t>
      </w:r>
      <w:r>
        <w:rPr>
          <w:rFonts w:hint="eastAsia" w:ascii="宋体" w:eastAsia="宋体" w:cs="宋体"/>
          <w:kern w:val="0"/>
          <w:sz w:val="24"/>
          <w:szCs w:val="24"/>
          <w:shd w:val="clear" w:color="auto" w:fill="FFFFFF"/>
          <w:lang w:val="en-US" w:eastAsia="zh-CN"/>
        </w:rPr>
        <w:t>红十字</w:t>
      </w:r>
      <w:r>
        <w:rPr>
          <w:rFonts w:hint="eastAsia" w:ascii="宋体" w:eastAsia="宋体" w:cs="宋体"/>
          <w:kern w:val="0"/>
          <w:sz w:val="24"/>
          <w:szCs w:val="24"/>
          <w:shd w:val="clear" w:color="auto" w:fill="FFFFFF"/>
          <w:lang w:val="zh-CN" w:eastAsia="zh-CN"/>
        </w:rPr>
        <w:t>预算安排支出主要用于保障本部门机构正常运转、完成日常工作任务以及承担</w:t>
      </w:r>
      <w:r>
        <w:rPr>
          <w:rFonts w:hint="eastAsia" w:ascii="宋体" w:eastAsia="宋体" w:cs="宋体"/>
          <w:kern w:val="0"/>
          <w:sz w:val="24"/>
          <w:szCs w:val="24"/>
          <w:shd w:val="clear" w:color="auto" w:fill="FFFFFF"/>
          <w:lang w:val="en-US" w:eastAsia="zh-CN"/>
        </w:rPr>
        <w:t>应急救护培训和普及的</w:t>
      </w:r>
      <w:r>
        <w:rPr>
          <w:rFonts w:hint="eastAsia" w:ascii="宋体" w:eastAsia="宋体" w:cs="宋体"/>
          <w:kern w:val="0"/>
          <w:sz w:val="24"/>
          <w:szCs w:val="24"/>
          <w:shd w:val="clear" w:color="auto" w:fill="FFFFFF"/>
          <w:lang w:val="zh-CN" w:eastAsia="zh-CN"/>
        </w:rPr>
        <w:t>相关工作。</w:t>
      </w:r>
      <w:r>
        <w:rPr>
          <w:rFonts w:hint="eastAsia" w:ascii="宋体" w:eastAsia="宋体" w:cs="宋体"/>
          <w:kern w:val="0"/>
          <w:sz w:val="24"/>
          <w:szCs w:val="24"/>
          <w:shd w:val="clear" w:color="auto" w:fill="FFFFFF"/>
        </w:rPr>
        <w:t>一般公共预算财政</w:t>
      </w:r>
      <w:r>
        <w:rPr>
          <w:rFonts w:hint="eastAsia" w:ascii="宋体" w:eastAsia="宋体" w:cs="宋体"/>
          <w:kern w:val="0"/>
          <w:sz w:val="24"/>
          <w:szCs w:val="24"/>
          <w:shd w:val="clear" w:color="auto" w:fill="FFFFFF"/>
          <w:lang w:val="en-US" w:eastAsia="zh-CN"/>
        </w:rPr>
        <w:t>经费</w:t>
      </w:r>
      <w:r>
        <w:rPr>
          <w:rFonts w:hint="eastAsia" w:ascii="宋体" w:eastAsia="宋体" w:cs="宋体"/>
          <w:kern w:val="0"/>
          <w:sz w:val="24"/>
          <w:szCs w:val="24"/>
          <w:shd w:val="clear" w:color="auto" w:fill="FFFFFF"/>
          <w:lang w:val="zh-CN" w:eastAsia="zh-CN"/>
        </w:rPr>
        <w:t>支出</w:t>
      </w:r>
      <w:r>
        <w:rPr>
          <w:rFonts w:hint="eastAsia" w:cs="宋体"/>
          <w:kern w:val="0"/>
          <w:sz w:val="24"/>
          <w:szCs w:val="24"/>
          <w:shd w:val="clear" w:color="auto" w:fill="FFFFFF"/>
          <w:lang w:val="en-US" w:eastAsia="zh-CN"/>
        </w:rPr>
        <w:t>212.54</w:t>
      </w:r>
      <w:r>
        <w:rPr>
          <w:rFonts w:hint="eastAsia" w:ascii="宋体" w:eastAsia="宋体" w:cs="宋体"/>
          <w:kern w:val="0"/>
          <w:sz w:val="24"/>
          <w:szCs w:val="24"/>
          <w:shd w:val="clear" w:color="auto" w:fill="FFFFFF"/>
          <w:lang w:val="zh-CN" w:eastAsia="zh-CN"/>
        </w:rPr>
        <w:t>万元。按支出功能分类主要用于以下方面:</w:t>
      </w:r>
    </w:p>
    <w:p>
      <w:pPr>
        <w:pStyle w:val="19"/>
        <w:keepNext w:val="0"/>
        <w:keepLines w:val="0"/>
        <w:widowControl/>
        <w:suppressLineNumbers w:val="0"/>
        <w:spacing w:before="0" w:beforeAutospacing="0"/>
        <w:ind w:firstLine="480" w:firstLineChars="200"/>
        <w:jc w:val="left"/>
        <w:rPr>
          <w:rFonts w:hint="eastAsia" w:ascii="宋体" w:eastAsia="宋体" w:cs="宋体"/>
          <w:kern w:val="0"/>
          <w:sz w:val="24"/>
          <w:szCs w:val="24"/>
          <w:shd w:val="clear" w:color="auto" w:fill="FFFFFF"/>
          <w:lang w:val="zh-CN" w:eastAsia="zh-CN"/>
        </w:rPr>
      </w:pPr>
      <w:r>
        <w:rPr>
          <w:rFonts w:hint="eastAsia" w:cs="宋体"/>
          <w:kern w:val="0"/>
          <w:sz w:val="24"/>
          <w:szCs w:val="24"/>
          <w:shd w:val="clear" w:color="auto" w:fill="FFFFFF"/>
          <w:lang w:val="en-US" w:eastAsia="zh-CN"/>
        </w:rPr>
        <w:t>（1）</w:t>
      </w:r>
      <w:r>
        <w:rPr>
          <w:rFonts w:hint="eastAsia" w:ascii="宋体" w:eastAsia="宋体" w:cs="宋体"/>
          <w:kern w:val="0"/>
          <w:sz w:val="24"/>
          <w:szCs w:val="24"/>
          <w:shd w:val="clear" w:color="auto" w:fill="FFFFFF"/>
          <w:lang w:val="en-US" w:eastAsia="zh-CN"/>
        </w:rPr>
        <w:t>社会保障和就业支出决算为</w:t>
      </w:r>
      <w:r>
        <w:rPr>
          <w:rFonts w:hint="eastAsia" w:cs="宋体"/>
          <w:kern w:val="0"/>
          <w:sz w:val="24"/>
          <w:szCs w:val="24"/>
          <w:shd w:val="clear" w:color="auto" w:fill="FFFFFF"/>
          <w:lang w:val="en-US" w:eastAsia="zh-CN"/>
        </w:rPr>
        <w:t>195.09</w:t>
      </w:r>
      <w:r>
        <w:rPr>
          <w:rFonts w:hint="eastAsia" w:ascii="宋体" w:eastAsia="宋体" w:cs="宋体"/>
          <w:kern w:val="0"/>
          <w:sz w:val="24"/>
          <w:szCs w:val="24"/>
          <w:shd w:val="clear" w:color="auto" w:fill="FFFFFF"/>
          <w:lang w:val="en-US" w:eastAsia="zh-CN"/>
        </w:rPr>
        <w:t>万元，</w:t>
      </w:r>
      <w:r>
        <w:rPr>
          <w:rFonts w:hint="eastAsia" w:ascii="宋体" w:eastAsia="宋体" w:cs="宋体"/>
          <w:kern w:val="0"/>
          <w:sz w:val="24"/>
          <w:szCs w:val="24"/>
          <w:shd w:val="clear" w:color="auto" w:fill="FFFFFF"/>
          <w:lang w:val="zh-CN" w:eastAsia="zh-CN"/>
        </w:rPr>
        <w:t>主要用于机关及下属事业单位养老保险及职业年金缴费支出。</w:t>
      </w:r>
    </w:p>
    <w:p>
      <w:pPr>
        <w:pStyle w:val="19"/>
        <w:keepNext w:val="0"/>
        <w:keepLines w:val="0"/>
        <w:widowControl/>
        <w:suppressLineNumbers w:val="0"/>
        <w:spacing w:before="0" w:beforeAutospacing="0"/>
        <w:ind w:firstLine="480" w:firstLineChars="200"/>
        <w:jc w:val="left"/>
        <w:rPr>
          <w:rFonts w:hint="eastAsia" w:ascii="宋体" w:eastAsia="宋体" w:cs="宋体"/>
          <w:kern w:val="0"/>
          <w:sz w:val="24"/>
          <w:szCs w:val="24"/>
          <w:shd w:val="clear" w:color="auto" w:fill="FFFFFF"/>
          <w:lang w:val="en-US" w:eastAsia="zh-CN"/>
        </w:rPr>
      </w:pPr>
      <w:r>
        <w:rPr>
          <w:rFonts w:hint="eastAsia" w:cs="宋体"/>
          <w:kern w:val="0"/>
          <w:sz w:val="24"/>
          <w:szCs w:val="24"/>
          <w:shd w:val="clear" w:color="auto" w:fill="FFFFFF"/>
          <w:lang w:val="en-US" w:eastAsia="zh-CN"/>
        </w:rPr>
        <w:t>（2）</w:t>
      </w:r>
      <w:r>
        <w:rPr>
          <w:rFonts w:hint="eastAsia" w:ascii="宋体" w:eastAsia="宋体" w:cs="宋体"/>
          <w:kern w:val="0"/>
          <w:sz w:val="24"/>
          <w:szCs w:val="24"/>
          <w:shd w:val="clear" w:color="auto" w:fill="FFFFFF"/>
          <w:lang w:val="en-US" w:eastAsia="zh-CN"/>
        </w:rPr>
        <w:t>卫生健康支出决算为</w:t>
      </w:r>
      <w:r>
        <w:rPr>
          <w:rFonts w:hint="eastAsia" w:cs="宋体"/>
          <w:kern w:val="0"/>
          <w:sz w:val="24"/>
          <w:szCs w:val="24"/>
          <w:shd w:val="clear" w:color="auto" w:fill="FFFFFF"/>
          <w:lang w:val="en-US" w:eastAsia="zh-CN"/>
        </w:rPr>
        <w:t>7.59</w:t>
      </w:r>
      <w:r>
        <w:rPr>
          <w:rFonts w:hint="eastAsia" w:ascii="宋体" w:eastAsia="宋体" w:cs="宋体"/>
          <w:kern w:val="0"/>
          <w:sz w:val="24"/>
          <w:szCs w:val="24"/>
          <w:shd w:val="clear" w:color="auto" w:fill="FFFFFF"/>
          <w:lang w:val="en-US" w:eastAsia="zh-CN"/>
        </w:rPr>
        <w:t>万元，</w:t>
      </w:r>
      <w:r>
        <w:rPr>
          <w:rFonts w:hint="eastAsia" w:ascii="宋体" w:eastAsia="宋体" w:cs="宋体"/>
          <w:kern w:val="0"/>
          <w:sz w:val="24"/>
          <w:szCs w:val="24"/>
          <w:shd w:val="clear" w:color="auto" w:fill="FFFFFF"/>
          <w:lang w:val="zh-CN" w:eastAsia="zh-CN"/>
        </w:rPr>
        <w:t>主要用于机关及下属事业单位按照规定标准为职工缴纳的基本医疗保险及公务员医疗补助等支出</w:t>
      </w:r>
      <w:r>
        <w:rPr>
          <w:rFonts w:hint="eastAsia" w:ascii="宋体" w:eastAsia="宋体" w:cs="宋体"/>
          <w:kern w:val="0"/>
          <w:sz w:val="24"/>
          <w:szCs w:val="24"/>
          <w:shd w:val="clear" w:color="auto" w:fill="FFFFFF"/>
          <w:lang w:val="en-US" w:eastAsia="zh-CN"/>
        </w:rPr>
        <w:t>。</w:t>
      </w:r>
    </w:p>
    <w:p>
      <w:pPr>
        <w:pStyle w:val="19"/>
        <w:keepNext w:val="0"/>
        <w:keepLines w:val="0"/>
        <w:widowControl/>
        <w:suppressLineNumbers w:val="0"/>
        <w:spacing w:before="0" w:beforeAutospacing="0"/>
        <w:ind w:firstLine="480" w:firstLineChars="200"/>
        <w:jc w:val="left"/>
        <w:rPr>
          <w:rFonts w:hint="eastAsia" w:ascii="宋体" w:eastAsia="宋体" w:cs="宋体"/>
          <w:kern w:val="0"/>
          <w:sz w:val="24"/>
          <w:szCs w:val="24"/>
          <w:shd w:val="clear" w:color="auto" w:fill="FFFFFF"/>
          <w:lang w:val="en-US" w:eastAsia="zh-CN"/>
        </w:rPr>
      </w:pPr>
      <w:r>
        <w:rPr>
          <w:rFonts w:hint="eastAsia" w:cs="宋体"/>
          <w:kern w:val="0"/>
          <w:sz w:val="24"/>
          <w:szCs w:val="24"/>
          <w:shd w:val="clear" w:color="auto" w:fill="FFFFFF"/>
          <w:lang w:val="en-US" w:eastAsia="zh-CN"/>
        </w:rPr>
        <w:t>(3)</w:t>
      </w:r>
      <w:r>
        <w:rPr>
          <w:rFonts w:hint="eastAsia" w:ascii="宋体" w:eastAsia="宋体" w:cs="宋体"/>
          <w:kern w:val="0"/>
          <w:sz w:val="24"/>
          <w:szCs w:val="24"/>
          <w:shd w:val="clear" w:color="auto" w:fill="FFFFFF"/>
          <w:lang w:val="en-US" w:eastAsia="zh-CN"/>
        </w:rPr>
        <w:t>住房保障支出决算为</w:t>
      </w:r>
      <w:r>
        <w:rPr>
          <w:rFonts w:hint="eastAsia" w:cs="宋体"/>
          <w:kern w:val="0"/>
          <w:sz w:val="24"/>
          <w:szCs w:val="24"/>
          <w:shd w:val="clear" w:color="auto" w:fill="FFFFFF"/>
          <w:lang w:val="en-US" w:eastAsia="zh-CN"/>
        </w:rPr>
        <w:t>9.85</w:t>
      </w:r>
      <w:r>
        <w:rPr>
          <w:rFonts w:hint="eastAsia" w:ascii="宋体" w:eastAsia="宋体" w:cs="宋体"/>
          <w:kern w:val="0"/>
          <w:sz w:val="24"/>
          <w:szCs w:val="24"/>
          <w:shd w:val="clear" w:color="auto" w:fill="FFFFFF"/>
          <w:lang w:val="en-US" w:eastAsia="zh-CN"/>
        </w:rPr>
        <w:t>万元，</w:t>
      </w:r>
      <w:r>
        <w:rPr>
          <w:rFonts w:hint="eastAsia" w:ascii="宋体" w:eastAsia="宋体" w:cs="宋体"/>
          <w:kern w:val="0"/>
          <w:sz w:val="24"/>
          <w:szCs w:val="24"/>
          <w:shd w:val="clear" w:color="auto" w:fill="FFFFFF"/>
          <w:lang w:val="zh-CN" w:eastAsia="zh-CN"/>
        </w:rPr>
        <w:t>用于机关及下属事业单位按照规定标准为职工缴纳住房公积金等支出</w:t>
      </w:r>
      <w:r>
        <w:rPr>
          <w:rFonts w:hint="eastAsia" w:ascii="宋体" w:eastAsia="宋体" w:cs="宋体"/>
          <w:kern w:val="0"/>
          <w:sz w:val="24"/>
          <w:szCs w:val="24"/>
          <w:shd w:val="clear" w:color="auto" w:fill="FFFFFF"/>
          <w:lang w:val="en-US" w:eastAsia="zh-CN"/>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1" w:firstLineChars="200"/>
        <w:rPr>
          <w:rFonts w:hint="eastAsia" w:ascii="宋体" w:eastAsia="宋体" w:cs="宋体"/>
          <w:kern w:val="0"/>
          <w:sz w:val="24"/>
          <w:szCs w:val="24"/>
          <w:shd w:val="clear" w:color="auto" w:fill="FFFFFF"/>
          <w:lang w:val="zh-CN" w:eastAsia="zh-CN"/>
        </w:rPr>
      </w:pPr>
      <w:r>
        <w:rPr>
          <w:rFonts w:hint="eastAsia" w:cs="宋体"/>
          <w:b/>
          <w:bCs/>
          <w:kern w:val="0"/>
          <w:sz w:val="24"/>
          <w:szCs w:val="24"/>
          <w:shd w:val="clear" w:color="auto" w:fill="FFFFFF"/>
          <w:lang w:val="en-US" w:eastAsia="zh-CN"/>
        </w:rPr>
        <w:t>2.</w:t>
      </w:r>
      <w:r>
        <w:rPr>
          <w:rFonts w:hint="eastAsia" w:ascii="宋体" w:eastAsia="宋体" w:cs="宋体"/>
          <w:b/>
          <w:bCs/>
          <w:kern w:val="0"/>
          <w:sz w:val="24"/>
          <w:szCs w:val="24"/>
          <w:shd w:val="clear" w:color="auto" w:fill="FFFFFF"/>
          <w:lang w:val="zh-CN" w:eastAsia="zh-CN"/>
        </w:rPr>
        <w:t>绩效目标设置情况</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zh-CN" w:eastAsia="zh-CN"/>
        </w:rPr>
        <w:t>绩效目标是预算编制的前提和基础，按照“费随事定”的原则，20</w:t>
      </w:r>
      <w:r>
        <w:rPr>
          <w:rFonts w:hint="eastAsia" w:ascii="宋体" w:eastAsia="宋体" w:cs="宋体"/>
          <w:kern w:val="0"/>
          <w:sz w:val="24"/>
          <w:szCs w:val="24"/>
          <w:shd w:val="clear" w:color="auto" w:fill="FFFFFF"/>
          <w:lang w:val="en-US" w:eastAsia="zh-CN"/>
        </w:rPr>
        <w:t>2</w:t>
      </w:r>
      <w:r>
        <w:rPr>
          <w:rFonts w:hint="eastAsia" w:cs="宋体"/>
          <w:kern w:val="0"/>
          <w:sz w:val="24"/>
          <w:szCs w:val="24"/>
          <w:shd w:val="clear" w:color="auto" w:fill="FFFFFF"/>
          <w:lang w:val="en-US" w:eastAsia="zh-CN"/>
        </w:rPr>
        <w:t>2</w:t>
      </w:r>
      <w:r>
        <w:rPr>
          <w:rFonts w:hint="eastAsia" w:ascii="宋体" w:eastAsia="宋体" w:cs="宋体"/>
          <w:kern w:val="0"/>
          <w:sz w:val="24"/>
          <w:szCs w:val="24"/>
          <w:shd w:val="clear" w:color="auto" w:fill="FFFFFF"/>
          <w:lang w:val="zh-CN" w:eastAsia="zh-CN"/>
        </w:rPr>
        <w:t>年我单位项目支出按要求编制了绩效目标，从项目完成、项目效益、满意度。</w:t>
      </w:r>
    </w:p>
    <w:p>
      <w:pPr>
        <w:keepNext w:val="0"/>
        <w:keepLines w:val="0"/>
        <w:widowControl/>
        <w:suppressLineNumbers w:val="0"/>
        <w:adjustRightInd w:val="0"/>
        <w:snapToGrid w:val="0"/>
        <w:spacing w:before="0" w:beforeAutospacing="0" w:after="0" w:afterAutospacing="0" w:line="480" w:lineRule="exact"/>
        <w:ind w:right="0" w:firstLine="480" w:firstLineChars="200"/>
        <w:jc w:val="left"/>
        <w:rPr>
          <w:rFonts w:hint="eastAsia" w:ascii="宋体" w:eastAsia="宋体" w:cs="宋体"/>
          <w:kern w:val="0"/>
          <w:sz w:val="24"/>
          <w:szCs w:val="24"/>
          <w:shd w:val="clear" w:color="auto" w:fill="FFFFFF"/>
          <w:lang w:val="zh-CN" w:eastAsia="zh-CN"/>
        </w:rPr>
      </w:pPr>
      <w:bookmarkStart w:id="50" w:name="_Toc9105_WPSOffice_Level3"/>
      <w:r>
        <w:rPr>
          <w:rFonts w:hint="eastAsia" w:ascii="宋体" w:eastAsia="宋体" w:cs="宋体"/>
          <w:kern w:val="0"/>
          <w:sz w:val="24"/>
          <w:szCs w:val="24"/>
          <w:shd w:val="clear" w:color="auto" w:fill="FFFFFF"/>
          <w:lang w:val="zh-CN" w:eastAsia="zh-CN"/>
        </w:rPr>
        <w:t>（二）执行管理情况。</w:t>
      </w:r>
      <w:bookmarkEnd w:id="50"/>
      <w:r>
        <w:rPr>
          <w:rFonts w:hint="eastAsia" w:ascii="宋体" w:eastAsia="宋体" w:cs="宋体"/>
          <w:kern w:val="0"/>
          <w:sz w:val="24"/>
          <w:szCs w:val="24"/>
          <w:shd w:val="clear" w:color="auto" w:fill="FFFFFF"/>
          <w:lang w:val="zh-CN" w:eastAsia="zh-CN"/>
        </w:rPr>
        <w:tab/>
      </w:r>
    </w:p>
    <w:p>
      <w:pPr>
        <w:pStyle w:val="10"/>
        <w:keepNext w:val="0"/>
        <w:keepLines w:val="0"/>
        <w:widowControl/>
        <w:suppressLineNumbers w:val="0"/>
        <w:spacing w:before="0" w:beforeAutospacing="0"/>
        <w:ind w:left="0" w:firstLine="480" w:firstLineChars="200"/>
        <w:jc w:val="left"/>
        <w:rPr>
          <w:rFonts w:hint="eastAsia" w:ascii="宋体" w:eastAsia="宋体" w:cs="宋体"/>
          <w:kern w:val="0"/>
          <w:sz w:val="24"/>
          <w:szCs w:val="24"/>
          <w:shd w:val="clear" w:color="auto" w:fill="FFFFFF"/>
          <w:lang w:val="en-US" w:eastAsia="zh-CN"/>
        </w:rPr>
      </w:pPr>
      <w:r>
        <w:rPr>
          <w:rFonts w:hint="eastAsia" w:ascii="宋体" w:eastAsia="宋体" w:cs="宋体"/>
          <w:kern w:val="0"/>
          <w:sz w:val="24"/>
          <w:szCs w:val="24"/>
          <w:shd w:val="clear" w:color="auto" w:fill="FFFFFF"/>
          <w:lang w:val="zh-CN" w:eastAsia="zh-CN"/>
        </w:rPr>
        <w:t>本年度三公经费预算安排支出为</w:t>
      </w:r>
      <w:r>
        <w:rPr>
          <w:rFonts w:hint="eastAsia" w:cs="宋体"/>
          <w:kern w:val="0"/>
          <w:sz w:val="24"/>
          <w:szCs w:val="24"/>
          <w:shd w:val="clear" w:color="auto" w:fill="FFFFFF"/>
          <w:lang w:val="en-US" w:eastAsia="zh-CN"/>
        </w:rPr>
        <w:t>2.61</w:t>
      </w:r>
      <w:r>
        <w:rPr>
          <w:rFonts w:hint="eastAsia" w:ascii="宋体" w:eastAsia="宋体" w:cs="宋体"/>
          <w:kern w:val="0"/>
          <w:sz w:val="24"/>
          <w:szCs w:val="24"/>
          <w:shd w:val="clear" w:color="auto" w:fill="FFFFFF"/>
          <w:lang w:val="zh-CN" w:eastAsia="zh-CN"/>
        </w:rPr>
        <w:t>万元，其中：出国费0万元，与上年持平，主要原因为未安排因公出国；公车购置费0元，与上年持平；公务用车维护费支出</w:t>
      </w:r>
      <w:r>
        <w:rPr>
          <w:rFonts w:hint="eastAsia" w:cs="宋体"/>
          <w:kern w:val="0"/>
          <w:sz w:val="24"/>
          <w:szCs w:val="24"/>
          <w:shd w:val="clear" w:color="auto" w:fill="FFFFFF"/>
          <w:lang w:val="en-US" w:eastAsia="zh-CN"/>
        </w:rPr>
        <w:t>2.61</w:t>
      </w:r>
      <w:r>
        <w:rPr>
          <w:rFonts w:hint="eastAsia" w:ascii="宋体" w:eastAsia="宋体" w:cs="宋体"/>
          <w:kern w:val="0"/>
          <w:sz w:val="24"/>
          <w:szCs w:val="24"/>
          <w:shd w:val="clear" w:color="auto" w:fill="FFFFFF"/>
          <w:lang w:val="zh-CN" w:eastAsia="zh-CN"/>
        </w:rPr>
        <w:t>万元，</w:t>
      </w:r>
      <w:r>
        <w:rPr>
          <w:shd w:val="clear" w:color="auto" w:fill="FFFFFF"/>
        </w:rPr>
        <w:t>比</w:t>
      </w:r>
      <w:r>
        <w:rPr>
          <w:rFonts w:hint="eastAsia"/>
          <w:shd w:val="clear" w:color="auto" w:fill="FFFFFF"/>
          <w:lang w:val="en-US" w:eastAsia="zh-CN"/>
        </w:rPr>
        <w:t>上年度减少</w:t>
      </w:r>
      <w:r>
        <w:rPr>
          <w:shd w:val="clear" w:color="auto" w:fill="FFFFFF"/>
        </w:rPr>
        <w:t>1.0</w:t>
      </w:r>
      <w:r>
        <w:rPr>
          <w:rFonts w:hint="eastAsia"/>
          <w:shd w:val="clear" w:color="auto" w:fill="FFFFFF"/>
          <w:lang w:val="en-US" w:eastAsia="zh-CN"/>
        </w:rPr>
        <w:t>1</w:t>
      </w:r>
      <w:r>
        <w:rPr>
          <w:shd w:val="clear" w:color="auto" w:fill="FFFFFF"/>
        </w:rPr>
        <w:t>万元，</w:t>
      </w:r>
      <w:r>
        <w:rPr>
          <w:rFonts w:hint="eastAsia"/>
          <w:shd w:val="clear" w:color="auto" w:fill="FFFFFF"/>
          <w:lang w:val="en-US" w:eastAsia="zh-CN"/>
        </w:rPr>
        <w:t>减少72</w:t>
      </w:r>
      <w:r>
        <w:rPr>
          <w:shd w:val="clear" w:color="auto" w:fill="FFFFFF"/>
        </w:rPr>
        <w:t>%。主要原因是</w:t>
      </w:r>
      <w:r>
        <w:rPr>
          <w:rFonts w:hint="eastAsia" w:cs="宋体"/>
          <w:kern w:val="0"/>
          <w:sz w:val="24"/>
          <w:szCs w:val="24"/>
          <w:shd w:val="clear" w:color="auto" w:fill="FFFFFF"/>
          <w:lang w:val="en-US" w:eastAsia="zh-CN"/>
        </w:rPr>
        <w:t>车辆维修较少</w:t>
      </w:r>
      <w:r>
        <w:rPr>
          <w:rFonts w:hint="eastAsia" w:ascii="宋体" w:eastAsia="宋体" w:cs="宋体"/>
          <w:kern w:val="0"/>
          <w:sz w:val="24"/>
          <w:szCs w:val="24"/>
          <w:shd w:val="clear" w:color="auto" w:fill="FFFFFF"/>
          <w:lang w:val="zh-CN" w:eastAsia="zh-CN"/>
        </w:rPr>
        <w:t>；公务接待费</w:t>
      </w:r>
      <w:r>
        <w:rPr>
          <w:rFonts w:hint="eastAsia" w:cs="宋体"/>
          <w:kern w:val="0"/>
          <w:sz w:val="24"/>
          <w:szCs w:val="24"/>
          <w:shd w:val="clear" w:color="auto" w:fill="FFFFFF"/>
          <w:lang w:val="en-US" w:eastAsia="zh-CN"/>
        </w:rPr>
        <w:t>0.00</w:t>
      </w:r>
      <w:r>
        <w:rPr>
          <w:rFonts w:hint="eastAsia" w:ascii="宋体" w:eastAsia="宋体" w:cs="宋体"/>
          <w:kern w:val="0"/>
          <w:sz w:val="24"/>
          <w:szCs w:val="24"/>
          <w:shd w:val="clear" w:color="auto" w:fill="FFFFFF"/>
          <w:lang w:val="zh-CN" w:eastAsia="zh-CN"/>
        </w:rPr>
        <w:t>万元，</w:t>
      </w:r>
      <w:r>
        <w:rPr>
          <w:rFonts w:hint="eastAsia" w:cs="宋体"/>
          <w:kern w:val="0"/>
          <w:sz w:val="24"/>
          <w:szCs w:val="24"/>
          <w:shd w:val="clear" w:color="auto" w:fill="FFFFFF"/>
          <w:lang w:val="en-US" w:eastAsia="zh-CN"/>
        </w:rPr>
        <w:t>较</w:t>
      </w:r>
      <w:r>
        <w:rPr>
          <w:rFonts w:hint="eastAsia" w:ascii="宋体" w:eastAsia="宋体" w:cs="宋体"/>
          <w:kern w:val="0"/>
          <w:sz w:val="24"/>
          <w:szCs w:val="24"/>
          <w:shd w:val="clear" w:color="auto" w:fill="FFFFFF"/>
          <w:lang w:val="zh-CN" w:eastAsia="zh-CN"/>
        </w:rPr>
        <w:t>上年度</w:t>
      </w:r>
      <w:r>
        <w:rPr>
          <w:rFonts w:hint="eastAsia" w:cs="宋体"/>
          <w:kern w:val="0"/>
          <w:sz w:val="24"/>
          <w:szCs w:val="24"/>
          <w:shd w:val="clear" w:color="auto" w:fill="FFFFFF"/>
          <w:lang w:val="en-US" w:eastAsia="zh-CN"/>
        </w:rPr>
        <w:t>减少0.10万元，主要原因本</w:t>
      </w:r>
      <w:r>
        <w:rPr>
          <w:rFonts w:hint="eastAsia"/>
          <w:shd w:val="clear" w:color="auto" w:fill="FFFFFF"/>
          <w:lang w:val="en-US" w:eastAsia="zh-CN"/>
        </w:rPr>
        <w:t>年度未支出公务接待费</w:t>
      </w:r>
      <w:r>
        <w:rPr>
          <w:rFonts w:hint="eastAsia" w:ascii="宋体" w:eastAsia="宋体" w:cs="宋体"/>
          <w:kern w:val="0"/>
          <w:sz w:val="24"/>
          <w:szCs w:val="24"/>
          <w:shd w:val="clear" w:color="auto" w:fill="FFFFFF"/>
          <w:lang w:val="en-US" w:eastAsia="zh-CN"/>
        </w:rPr>
        <w:t>。</w:t>
      </w:r>
      <w:bookmarkStart w:id="51" w:name="_Toc27052_WPSOffice_Level3"/>
    </w:p>
    <w:p>
      <w:pPr>
        <w:pStyle w:val="10"/>
        <w:keepNext w:val="0"/>
        <w:keepLines w:val="0"/>
        <w:widowControl/>
        <w:suppressLineNumbers w:val="0"/>
        <w:spacing w:before="0" w:beforeAutospacing="0"/>
        <w:ind w:left="0" w:firstLine="480" w:firstLineChars="200"/>
        <w:jc w:val="left"/>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zh-CN" w:eastAsia="zh-CN"/>
        </w:rPr>
        <w:t>（三）综合管理情况。</w:t>
      </w:r>
      <w:bookmarkEnd w:id="51"/>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481" w:firstLineChars="200"/>
        <w:rPr>
          <w:rFonts w:hint="eastAsia" w:ascii="宋体" w:eastAsia="宋体" w:cs="宋体"/>
          <w:kern w:val="0"/>
          <w:sz w:val="24"/>
          <w:szCs w:val="24"/>
          <w:shd w:val="clear" w:color="auto" w:fill="FFFFFF"/>
          <w:lang w:val="zh-CN" w:eastAsia="zh-CN"/>
        </w:rPr>
      </w:pPr>
      <w:r>
        <w:rPr>
          <w:rFonts w:hint="eastAsia" w:ascii="宋体" w:eastAsia="宋体" w:cs="宋体"/>
          <w:b/>
          <w:bCs/>
          <w:kern w:val="0"/>
          <w:sz w:val="24"/>
          <w:szCs w:val="24"/>
          <w:shd w:val="clear" w:color="auto" w:fill="FFFFFF"/>
          <w:lang w:val="en-US" w:eastAsia="zh-CN"/>
        </w:rPr>
        <w:t>1</w:t>
      </w:r>
      <w:r>
        <w:rPr>
          <w:rFonts w:hint="eastAsia" w:cs="宋体"/>
          <w:b/>
          <w:bCs/>
          <w:kern w:val="0"/>
          <w:sz w:val="24"/>
          <w:szCs w:val="24"/>
          <w:shd w:val="clear" w:color="auto" w:fill="FFFFFF"/>
          <w:lang w:val="en-US" w:eastAsia="zh-CN"/>
        </w:rPr>
        <w:t>.</w:t>
      </w:r>
      <w:r>
        <w:rPr>
          <w:rFonts w:hint="eastAsia" w:ascii="宋体" w:eastAsia="宋体" w:cs="宋体"/>
          <w:b/>
          <w:bCs/>
          <w:kern w:val="0"/>
          <w:sz w:val="24"/>
          <w:szCs w:val="24"/>
          <w:shd w:val="clear" w:color="auto" w:fill="FFFFFF"/>
          <w:lang w:val="zh-CN" w:eastAsia="zh-CN"/>
        </w:rPr>
        <w:t>政府性基金预算收支情况说明</w:t>
      </w:r>
      <w:r>
        <w:rPr>
          <w:rFonts w:hint="eastAsia" w:ascii="宋体" w:eastAsia="宋体" w:cs="宋体"/>
          <w:kern w:val="0"/>
          <w:sz w:val="24"/>
          <w:szCs w:val="24"/>
          <w:shd w:val="clear" w:color="auto" w:fill="FFFFFF"/>
          <w:lang w:val="zh-CN" w:eastAsia="zh-CN"/>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720" w:firstLineChars="300"/>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zh-CN" w:eastAsia="zh-CN"/>
        </w:rPr>
        <w:t>20</w:t>
      </w:r>
      <w:r>
        <w:rPr>
          <w:rFonts w:hint="eastAsia" w:ascii="宋体" w:eastAsia="宋体" w:cs="宋体"/>
          <w:kern w:val="0"/>
          <w:sz w:val="24"/>
          <w:szCs w:val="24"/>
          <w:shd w:val="clear" w:color="auto" w:fill="FFFFFF"/>
          <w:lang w:val="en-US" w:eastAsia="zh-CN"/>
        </w:rPr>
        <w:t>2</w:t>
      </w:r>
      <w:r>
        <w:rPr>
          <w:rFonts w:hint="eastAsia" w:cs="宋体"/>
          <w:kern w:val="0"/>
          <w:sz w:val="24"/>
          <w:szCs w:val="24"/>
          <w:shd w:val="clear" w:color="auto" w:fill="FFFFFF"/>
          <w:lang w:val="en-US" w:eastAsia="zh-CN"/>
        </w:rPr>
        <w:t>2</w:t>
      </w:r>
      <w:r>
        <w:rPr>
          <w:rFonts w:hint="eastAsia" w:ascii="宋体" w:eastAsia="宋体" w:cs="宋体"/>
          <w:kern w:val="0"/>
          <w:sz w:val="24"/>
          <w:szCs w:val="24"/>
          <w:shd w:val="clear" w:color="auto" w:fill="FFFFFF"/>
          <w:lang w:val="zh-CN" w:eastAsia="zh-CN"/>
        </w:rPr>
        <w:t>年没有使用政府性基金预算拨款安排的支出。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1" w:firstLineChars="200"/>
        <w:rPr>
          <w:rFonts w:hint="eastAsia" w:ascii="宋体" w:eastAsia="宋体" w:cs="宋体"/>
          <w:b/>
          <w:bCs/>
          <w:kern w:val="0"/>
          <w:sz w:val="24"/>
          <w:szCs w:val="24"/>
          <w:shd w:val="clear" w:color="auto" w:fill="FFFFFF"/>
          <w:lang w:val="zh-CN" w:eastAsia="zh-CN"/>
        </w:rPr>
      </w:pPr>
      <w:r>
        <w:rPr>
          <w:rFonts w:hint="eastAsia" w:ascii="宋体" w:eastAsia="宋体" w:cs="宋体"/>
          <w:b/>
          <w:bCs/>
          <w:kern w:val="0"/>
          <w:sz w:val="24"/>
          <w:szCs w:val="24"/>
          <w:shd w:val="clear" w:color="auto" w:fill="FFFFFF"/>
          <w:lang w:val="en-US" w:eastAsia="zh-CN"/>
        </w:rPr>
        <w:t>2</w:t>
      </w:r>
      <w:r>
        <w:rPr>
          <w:rFonts w:hint="eastAsia" w:cs="宋体"/>
          <w:b/>
          <w:bCs/>
          <w:kern w:val="0"/>
          <w:sz w:val="24"/>
          <w:szCs w:val="24"/>
          <w:shd w:val="clear" w:color="auto" w:fill="FFFFFF"/>
          <w:lang w:val="en-US" w:eastAsia="zh-CN"/>
        </w:rPr>
        <w:t>.</w:t>
      </w:r>
      <w:r>
        <w:rPr>
          <w:rFonts w:hint="eastAsia" w:ascii="宋体" w:eastAsia="宋体" w:cs="宋体"/>
          <w:b/>
          <w:bCs/>
          <w:kern w:val="0"/>
          <w:sz w:val="24"/>
          <w:szCs w:val="24"/>
          <w:shd w:val="clear" w:color="auto" w:fill="FFFFFF"/>
          <w:lang w:val="zh-CN" w:eastAsia="zh-CN"/>
        </w:rPr>
        <w:t>国有资本经营预算收支情况说明。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720" w:firstLineChars="300"/>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zh-CN" w:eastAsia="zh-CN"/>
        </w:rPr>
        <w:t>20</w:t>
      </w:r>
      <w:r>
        <w:rPr>
          <w:rFonts w:hint="eastAsia" w:ascii="宋体" w:eastAsia="宋体" w:cs="宋体"/>
          <w:kern w:val="0"/>
          <w:sz w:val="24"/>
          <w:szCs w:val="24"/>
          <w:shd w:val="clear" w:color="auto" w:fill="FFFFFF"/>
          <w:lang w:val="en-US" w:eastAsia="zh-CN"/>
        </w:rPr>
        <w:t>2</w:t>
      </w:r>
      <w:r>
        <w:rPr>
          <w:rFonts w:hint="eastAsia" w:cs="宋体"/>
          <w:kern w:val="0"/>
          <w:sz w:val="24"/>
          <w:szCs w:val="24"/>
          <w:shd w:val="clear" w:color="auto" w:fill="FFFFFF"/>
          <w:lang w:val="en-US" w:eastAsia="zh-CN"/>
        </w:rPr>
        <w:t>2</w:t>
      </w:r>
      <w:r>
        <w:rPr>
          <w:rFonts w:hint="eastAsia" w:ascii="宋体" w:eastAsia="宋体" w:cs="宋体"/>
          <w:kern w:val="0"/>
          <w:sz w:val="24"/>
          <w:szCs w:val="24"/>
          <w:shd w:val="clear" w:color="auto" w:fill="FFFFFF"/>
          <w:lang w:val="zh-CN" w:eastAsia="zh-CN"/>
        </w:rPr>
        <w:t>年没有使用国有资本经营预算拨款安排的支出。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1" w:firstLineChars="200"/>
        <w:rPr>
          <w:rFonts w:hint="eastAsia" w:ascii="宋体" w:eastAsia="宋体" w:cs="宋体"/>
          <w:b/>
          <w:bCs/>
          <w:kern w:val="0"/>
          <w:sz w:val="24"/>
          <w:szCs w:val="24"/>
          <w:shd w:val="clear" w:color="auto" w:fill="FFFFFF"/>
          <w:lang w:val="en-US" w:eastAsia="zh-CN"/>
        </w:rPr>
      </w:pPr>
      <w:r>
        <w:rPr>
          <w:rFonts w:hint="eastAsia" w:ascii="宋体" w:eastAsia="宋体" w:cs="宋体"/>
          <w:b/>
          <w:bCs/>
          <w:kern w:val="0"/>
          <w:sz w:val="24"/>
          <w:szCs w:val="24"/>
          <w:shd w:val="clear" w:color="auto" w:fill="FFFFFF"/>
          <w:lang w:val="en-US" w:eastAsia="zh-CN"/>
        </w:rPr>
        <w:t>3</w:t>
      </w:r>
      <w:r>
        <w:rPr>
          <w:rFonts w:hint="eastAsia" w:cs="宋体"/>
          <w:b/>
          <w:bCs/>
          <w:kern w:val="0"/>
          <w:sz w:val="24"/>
          <w:szCs w:val="24"/>
          <w:shd w:val="clear" w:color="auto" w:fill="FFFFFF"/>
          <w:lang w:val="en-US" w:eastAsia="zh-CN"/>
        </w:rPr>
        <w:t>.</w:t>
      </w:r>
      <w:r>
        <w:rPr>
          <w:rFonts w:hint="eastAsia" w:ascii="宋体" w:eastAsia="宋体" w:cs="宋体"/>
          <w:b/>
          <w:bCs/>
          <w:kern w:val="0"/>
          <w:sz w:val="24"/>
          <w:szCs w:val="24"/>
          <w:shd w:val="clear" w:color="auto" w:fill="FFFFFF"/>
          <w:lang w:val="zh-CN" w:eastAsia="zh-CN"/>
        </w:rPr>
        <w:t>其他重要事项的情况说明。</w:t>
      </w:r>
    </w:p>
    <w:p>
      <w:pPr>
        <w:pStyle w:val="10"/>
        <w:keepNext w:val="0"/>
        <w:keepLines w:val="0"/>
        <w:widowControl/>
        <w:suppressLineNumbers w:val="0"/>
        <w:spacing w:before="0" w:beforeAutospacing="0"/>
        <w:ind w:left="0" w:firstLine="720" w:firstLineChars="300"/>
        <w:jc w:val="left"/>
        <w:rPr>
          <w:rFonts w:hint="eastAsia" w:ascii="宋体" w:eastAsia="宋体" w:cs="宋体"/>
          <w:kern w:val="0"/>
          <w:sz w:val="24"/>
          <w:szCs w:val="24"/>
          <w:shd w:val="clear" w:color="auto" w:fill="FFFFFF"/>
          <w:lang w:val="en-US" w:eastAsia="zh-CN"/>
        </w:rPr>
      </w:pPr>
      <w:bookmarkStart w:id="52" w:name="_Toc14328_WPSOffice_Level3"/>
      <w:r>
        <w:rPr>
          <w:rFonts w:hint="eastAsia" w:ascii="宋体" w:eastAsia="宋体" w:cs="宋体"/>
          <w:kern w:val="0"/>
          <w:sz w:val="24"/>
          <w:szCs w:val="24"/>
          <w:shd w:val="clear" w:color="auto" w:fill="FFFFFF"/>
          <w:lang w:val="en-US" w:eastAsia="zh-CN"/>
        </w:rPr>
        <w:t>无。</w:t>
      </w:r>
    </w:p>
    <w:bookmarkEnd w:id="52"/>
    <w:p>
      <w:pPr>
        <w:pStyle w:val="10"/>
        <w:keepNext w:val="0"/>
        <w:keepLines w:val="0"/>
        <w:widowControl/>
        <w:suppressLineNumbers w:val="0"/>
        <w:spacing w:before="0" w:beforeAutospacing="0"/>
        <w:ind w:left="0" w:firstLine="480" w:firstLineChars="200"/>
        <w:jc w:val="left"/>
        <w:rPr>
          <w:shd w:val="clear" w:color="auto" w:fill="FFFFFF"/>
        </w:rPr>
      </w:pPr>
      <w:r>
        <w:rPr>
          <w:shd w:val="clear" w:color="auto" w:fill="FFFFFF"/>
        </w:rPr>
        <w:t>（</w:t>
      </w:r>
      <w:r>
        <w:rPr>
          <w:rFonts w:hint="eastAsia"/>
          <w:shd w:val="clear" w:color="auto" w:fill="FFFFFF"/>
          <w:lang w:val="en-US" w:eastAsia="zh-CN"/>
        </w:rPr>
        <w:t>四</w:t>
      </w:r>
      <w:r>
        <w:rPr>
          <w:shd w:val="clear" w:color="auto" w:fill="FFFFFF"/>
        </w:rPr>
        <w:t>）结果应用情况。</w:t>
      </w:r>
    </w:p>
    <w:p>
      <w:pPr>
        <w:pStyle w:val="10"/>
        <w:keepNext w:val="0"/>
        <w:keepLines w:val="0"/>
        <w:widowControl/>
        <w:suppressLineNumbers w:val="0"/>
        <w:spacing w:before="0" w:beforeAutospacing="0"/>
        <w:ind w:left="0" w:firstLine="480" w:firstLineChars="200"/>
        <w:jc w:val="left"/>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zh-CN" w:eastAsia="zh-CN"/>
        </w:rPr>
        <w:t>（</w:t>
      </w:r>
      <w:r>
        <w:rPr>
          <w:rFonts w:hint="eastAsia" w:ascii="宋体" w:eastAsia="宋体" w:cs="宋体"/>
          <w:kern w:val="0"/>
          <w:sz w:val="24"/>
          <w:szCs w:val="24"/>
          <w:shd w:val="clear" w:color="auto" w:fill="FFFFFF"/>
          <w:lang w:val="en-US" w:eastAsia="zh-CN"/>
        </w:rPr>
        <w:t>1</w:t>
      </w:r>
      <w:r>
        <w:rPr>
          <w:rFonts w:hint="eastAsia" w:ascii="宋体" w:eastAsia="宋体" w:cs="宋体"/>
          <w:kern w:val="0"/>
          <w:sz w:val="24"/>
          <w:szCs w:val="24"/>
          <w:shd w:val="clear" w:color="auto" w:fill="FFFFFF"/>
          <w:lang w:val="zh-CN" w:eastAsia="zh-CN"/>
        </w:rPr>
        <w:t>）职责履行结果。</w:t>
      </w:r>
    </w:p>
    <w:p>
      <w:pPr>
        <w:pStyle w:val="10"/>
        <w:keepNext w:val="0"/>
        <w:keepLines w:val="0"/>
        <w:widowControl/>
        <w:suppressLineNumbers w:val="0"/>
        <w:spacing w:before="0" w:beforeAutospacing="0"/>
        <w:ind w:left="0" w:firstLine="480" w:firstLineChars="200"/>
        <w:jc w:val="left"/>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en-US" w:eastAsia="zh-CN"/>
        </w:rPr>
        <w:t>县红会</w:t>
      </w:r>
      <w:r>
        <w:rPr>
          <w:rFonts w:hint="eastAsia" w:ascii="宋体" w:eastAsia="宋体" w:cs="宋体"/>
          <w:kern w:val="0"/>
          <w:sz w:val="24"/>
          <w:szCs w:val="24"/>
          <w:shd w:val="clear" w:color="auto" w:fill="FFFFFF"/>
          <w:lang w:val="zh-CN" w:eastAsia="zh-CN"/>
        </w:rPr>
        <w:t>加强部门职责执行工作。进一步提高了办公办事质量水平，以严格规范单位行政行为，加强了单位组织领导，下设领导小组，保证工作组织有保障；建立权责明确的单位</w:t>
      </w:r>
      <w:r>
        <w:rPr>
          <w:rFonts w:hint="eastAsia" w:ascii="宋体" w:eastAsia="宋体" w:cs="宋体"/>
          <w:kern w:val="0"/>
          <w:sz w:val="24"/>
          <w:szCs w:val="24"/>
          <w:shd w:val="clear" w:color="auto" w:fill="FFFFFF"/>
          <w:lang w:val="zh-CN" w:eastAsia="zh-CN"/>
        </w:rPr>
        <w:fldChar w:fldCharType="begin"/>
      </w:r>
      <w:r>
        <w:instrText xml:space="preserve">HYPERLINK "http://www.so.com/s?q=%E4%BD%93%E5%88%B6&amp;ie=utf-8&amp;src=internal_wenda_recommend_textn"</w:instrText>
      </w:r>
      <w:r>
        <w:rPr>
          <w:rFonts w:hint="eastAsia" w:ascii="宋体" w:eastAsia="宋体" w:cs="宋体"/>
          <w:kern w:val="0"/>
          <w:sz w:val="24"/>
          <w:szCs w:val="24"/>
          <w:shd w:val="clear" w:color="auto" w:fill="FFFFFF"/>
          <w:lang w:val="zh-CN" w:eastAsia="zh-CN"/>
        </w:rPr>
        <w:fldChar w:fldCharType="separate"/>
      </w:r>
      <w:r>
        <w:rPr>
          <w:rFonts w:hint="eastAsia" w:ascii="宋体" w:eastAsia="宋体" w:cs="宋体"/>
          <w:kern w:val="0"/>
          <w:sz w:val="24"/>
          <w:szCs w:val="24"/>
          <w:shd w:val="clear" w:color="auto" w:fill="FFFFFF"/>
          <w:lang w:val="zh-CN" w:eastAsia="zh-CN"/>
        </w:rPr>
        <w:t>体制</w:t>
      </w:r>
      <w:r>
        <w:rPr>
          <w:rFonts w:hint="eastAsia" w:ascii="宋体" w:eastAsia="宋体" w:cs="宋体"/>
          <w:kern w:val="0"/>
          <w:sz w:val="24"/>
          <w:szCs w:val="24"/>
          <w:shd w:val="clear" w:color="auto" w:fill="FFFFFF"/>
          <w:lang w:val="zh-CN" w:eastAsia="zh-CN"/>
        </w:rPr>
        <w:fldChar w:fldCharType="end"/>
      </w:r>
      <w:r>
        <w:rPr>
          <w:rFonts w:hint="eastAsia" w:ascii="宋体" w:eastAsia="宋体" w:cs="宋体"/>
          <w:kern w:val="0"/>
          <w:sz w:val="24"/>
          <w:szCs w:val="24"/>
          <w:shd w:val="clear" w:color="auto" w:fill="FFFFFF"/>
          <w:lang w:val="zh-CN" w:eastAsia="zh-CN"/>
        </w:rPr>
        <w:t>，促使</w:t>
      </w:r>
      <w:r>
        <w:rPr>
          <w:rFonts w:hint="eastAsia" w:ascii="宋体" w:eastAsia="宋体" w:cs="宋体"/>
          <w:kern w:val="0"/>
          <w:sz w:val="24"/>
          <w:szCs w:val="24"/>
          <w:shd w:val="clear" w:color="auto" w:fill="FFFFFF"/>
          <w:lang w:val="zh-CN" w:eastAsia="zh-CN"/>
        </w:rPr>
        <w:fldChar w:fldCharType="begin"/>
      </w:r>
      <w:r>
        <w:instrText xml:space="preserve">HYPERLINK "http://www.so.com/s?q=%E8%A1%8C%E6%94%BF%E6%9D%83%E5%8A%9B&amp;ie=utf-8&amp;src=internal_wenda_recommend_textn"</w:instrText>
      </w:r>
      <w:r>
        <w:rPr>
          <w:rFonts w:hint="eastAsia" w:ascii="宋体" w:eastAsia="宋体" w:cs="宋体"/>
          <w:kern w:val="0"/>
          <w:sz w:val="24"/>
          <w:szCs w:val="24"/>
          <w:shd w:val="clear" w:color="auto" w:fill="FFFFFF"/>
          <w:lang w:val="zh-CN" w:eastAsia="zh-CN"/>
        </w:rPr>
        <w:fldChar w:fldCharType="separate"/>
      </w:r>
      <w:r>
        <w:rPr>
          <w:rFonts w:hint="eastAsia" w:ascii="宋体" w:eastAsia="宋体" w:cs="宋体"/>
          <w:kern w:val="0"/>
          <w:sz w:val="24"/>
          <w:szCs w:val="24"/>
          <w:shd w:val="clear" w:color="auto" w:fill="FFFFFF"/>
          <w:lang w:val="zh-CN" w:eastAsia="zh-CN"/>
        </w:rPr>
        <w:t>行政活</w:t>
      </w:r>
      <w:r>
        <w:rPr>
          <w:rFonts w:hint="eastAsia" w:ascii="宋体" w:eastAsia="宋体" w:cs="宋体"/>
          <w:kern w:val="0"/>
          <w:sz w:val="24"/>
          <w:szCs w:val="24"/>
          <w:shd w:val="clear" w:color="auto" w:fill="FFFFFF"/>
          <w:lang w:val="zh-CN" w:eastAsia="zh-CN"/>
        </w:rPr>
        <w:fldChar w:fldCharType="end"/>
      </w:r>
      <w:r>
        <w:rPr>
          <w:rFonts w:hint="eastAsia" w:ascii="宋体" w:eastAsia="宋体" w:cs="宋体"/>
          <w:kern w:val="0"/>
          <w:sz w:val="24"/>
          <w:szCs w:val="24"/>
          <w:shd w:val="clear" w:color="auto" w:fill="FFFFFF"/>
          <w:lang w:val="zh-CN" w:eastAsia="zh-CN"/>
        </w:rPr>
        <w:t>动授予有据、行使有规、监督有效；深化了单位内部</w:t>
      </w:r>
      <w:r>
        <w:rPr>
          <w:rFonts w:hint="eastAsia" w:ascii="宋体" w:eastAsia="宋体" w:cs="宋体"/>
          <w:kern w:val="0"/>
          <w:sz w:val="24"/>
          <w:szCs w:val="24"/>
          <w:shd w:val="clear" w:color="auto" w:fill="FFFFFF"/>
          <w:lang w:val="zh-CN" w:eastAsia="zh-CN"/>
        </w:rPr>
        <w:fldChar w:fldCharType="begin"/>
      </w:r>
      <w:r>
        <w:instrText xml:space="preserve">HYPERLINK "http://www.so.com/s?q=%E8%A1%8C%E6%94%BF%E7%AE%A1%E7%90%86%E4%BD%93%E5%88%B6&amp;ie=utf-8&amp;src=internal_wenda_recommend_textn"</w:instrText>
      </w:r>
      <w:r>
        <w:rPr>
          <w:rFonts w:hint="eastAsia" w:ascii="宋体" w:eastAsia="宋体" w:cs="宋体"/>
          <w:kern w:val="0"/>
          <w:sz w:val="24"/>
          <w:szCs w:val="24"/>
          <w:shd w:val="clear" w:color="auto" w:fill="FFFFFF"/>
          <w:lang w:val="zh-CN" w:eastAsia="zh-CN"/>
        </w:rPr>
        <w:fldChar w:fldCharType="separate"/>
      </w:r>
      <w:r>
        <w:rPr>
          <w:rFonts w:hint="eastAsia" w:ascii="宋体" w:eastAsia="宋体" w:cs="宋体"/>
          <w:kern w:val="0"/>
          <w:sz w:val="24"/>
          <w:szCs w:val="24"/>
          <w:shd w:val="clear" w:color="auto" w:fill="FFFFFF"/>
          <w:lang w:val="zh-CN" w:eastAsia="zh-CN"/>
        </w:rPr>
        <w:t>行政管理体制</w:t>
      </w:r>
      <w:r>
        <w:rPr>
          <w:rFonts w:hint="eastAsia" w:ascii="宋体" w:eastAsia="宋体" w:cs="宋体"/>
          <w:kern w:val="0"/>
          <w:sz w:val="24"/>
          <w:szCs w:val="24"/>
          <w:shd w:val="clear" w:color="auto" w:fill="FFFFFF"/>
          <w:lang w:val="zh-CN" w:eastAsia="zh-CN"/>
        </w:rPr>
        <w:fldChar w:fldCharType="end"/>
      </w:r>
      <w:r>
        <w:rPr>
          <w:rFonts w:hint="eastAsia" w:ascii="宋体" w:eastAsia="宋体" w:cs="宋体"/>
          <w:kern w:val="0"/>
          <w:sz w:val="24"/>
          <w:szCs w:val="24"/>
          <w:shd w:val="clear" w:color="auto" w:fill="FFFFFF"/>
          <w:lang w:val="zh-CN" w:eastAsia="zh-CN"/>
        </w:rPr>
        <w:t>改革，努力形成</w:t>
      </w:r>
      <w:r>
        <w:rPr>
          <w:rFonts w:hint="eastAsia" w:ascii="宋体" w:eastAsia="宋体" w:cs="宋体"/>
          <w:kern w:val="0"/>
          <w:sz w:val="24"/>
          <w:szCs w:val="24"/>
          <w:shd w:val="clear" w:color="auto" w:fill="FFFFFF"/>
          <w:lang w:val="zh-CN" w:eastAsia="zh-CN"/>
        </w:rPr>
        <w:fldChar w:fldCharType="begin"/>
      </w:r>
      <w:r>
        <w:instrText xml:space="preserve">HYPERLINK "http://www.so.com/s?q=%E8%A1%8C%E4%B8%BA%E8%A7%84%E8%8C%83&amp;ie=utf-8&amp;src=internal_wenda_recommend_textn"</w:instrText>
      </w:r>
      <w:r>
        <w:rPr>
          <w:rFonts w:hint="eastAsia" w:ascii="宋体" w:eastAsia="宋体" w:cs="宋体"/>
          <w:kern w:val="0"/>
          <w:sz w:val="24"/>
          <w:szCs w:val="24"/>
          <w:shd w:val="clear" w:color="auto" w:fill="FFFFFF"/>
          <w:lang w:val="zh-CN" w:eastAsia="zh-CN"/>
        </w:rPr>
        <w:fldChar w:fldCharType="separate"/>
      </w:r>
      <w:r>
        <w:rPr>
          <w:rFonts w:hint="eastAsia" w:ascii="宋体" w:eastAsia="宋体" w:cs="宋体"/>
          <w:kern w:val="0"/>
          <w:sz w:val="24"/>
          <w:szCs w:val="24"/>
          <w:shd w:val="clear" w:color="auto" w:fill="FFFFFF"/>
          <w:lang w:val="zh-CN" w:eastAsia="zh-CN"/>
        </w:rPr>
        <w:t>行为规范</w:t>
      </w:r>
      <w:r>
        <w:rPr>
          <w:rFonts w:hint="eastAsia" w:ascii="宋体" w:eastAsia="宋体" w:cs="宋体"/>
          <w:kern w:val="0"/>
          <w:sz w:val="24"/>
          <w:szCs w:val="24"/>
          <w:shd w:val="clear" w:color="auto" w:fill="FFFFFF"/>
          <w:lang w:val="zh-CN" w:eastAsia="zh-CN"/>
        </w:rPr>
        <w:fldChar w:fldCharType="end"/>
      </w:r>
      <w:r>
        <w:rPr>
          <w:rFonts w:hint="eastAsia" w:ascii="宋体" w:eastAsia="宋体" w:cs="宋体"/>
          <w:kern w:val="0"/>
          <w:sz w:val="24"/>
          <w:szCs w:val="24"/>
          <w:shd w:val="clear" w:color="auto" w:fill="FFFFFF"/>
          <w:lang w:val="zh-CN" w:eastAsia="zh-CN"/>
        </w:rPr>
        <w:t>、运转协调、公正透明、</w:t>
      </w:r>
      <w:r>
        <w:rPr>
          <w:rFonts w:hint="eastAsia" w:ascii="宋体" w:eastAsia="宋体" w:cs="宋体"/>
          <w:kern w:val="0"/>
          <w:sz w:val="24"/>
          <w:szCs w:val="24"/>
          <w:shd w:val="clear" w:color="auto" w:fill="FFFFFF"/>
          <w:lang w:val="zh-CN" w:eastAsia="zh-CN"/>
        </w:rPr>
        <w:fldChar w:fldCharType="begin"/>
      </w:r>
      <w:r>
        <w:instrText xml:space="preserve">HYPERLINK "http://www.so.com/s?q=%E5%BB%89%E6%94%BF&amp;ie=utf-8&amp;src=internal_wenda_recommend_textn"</w:instrText>
      </w:r>
      <w:r>
        <w:rPr>
          <w:rFonts w:hint="eastAsia" w:ascii="宋体" w:eastAsia="宋体" w:cs="宋体"/>
          <w:kern w:val="0"/>
          <w:sz w:val="24"/>
          <w:szCs w:val="24"/>
          <w:shd w:val="clear" w:color="auto" w:fill="FFFFFF"/>
          <w:lang w:val="zh-CN" w:eastAsia="zh-CN"/>
        </w:rPr>
        <w:fldChar w:fldCharType="separate"/>
      </w:r>
      <w:r>
        <w:rPr>
          <w:rFonts w:hint="eastAsia" w:ascii="宋体" w:eastAsia="宋体" w:cs="宋体"/>
          <w:kern w:val="0"/>
          <w:sz w:val="24"/>
          <w:szCs w:val="24"/>
          <w:shd w:val="clear" w:color="auto" w:fill="FFFFFF"/>
          <w:lang w:val="zh-CN" w:eastAsia="zh-CN"/>
        </w:rPr>
        <w:t>廉政</w:t>
      </w:r>
      <w:r>
        <w:rPr>
          <w:rFonts w:hint="eastAsia" w:ascii="宋体" w:eastAsia="宋体" w:cs="宋体"/>
          <w:kern w:val="0"/>
          <w:sz w:val="24"/>
          <w:szCs w:val="24"/>
          <w:shd w:val="clear" w:color="auto" w:fill="FFFFFF"/>
          <w:lang w:val="zh-CN" w:eastAsia="zh-CN"/>
        </w:rPr>
        <w:fldChar w:fldCharType="end"/>
      </w:r>
      <w:r>
        <w:rPr>
          <w:rFonts w:hint="eastAsia" w:ascii="宋体" w:eastAsia="宋体" w:cs="宋体"/>
          <w:kern w:val="0"/>
          <w:sz w:val="24"/>
          <w:szCs w:val="24"/>
          <w:shd w:val="clear" w:color="auto" w:fill="FFFFFF"/>
          <w:lang w:val="zh-CN" w:eastAsia="zh-CN"/>
        </w:rPr>
        <w:t>高效的单位行政管理体制。</w:t>
      </w:r>
    </w:p>
    <w:p>
      <w:pPr>
        <w:keepNext w:val="0"/>
        <w:keepLines w:val="0"/>
        <w:widowControl/>
        <w:suppressLineNumbers w:val="0"/>
        <w:adjustRightInd w:val="0"/>
        <w:snapToGrid w:val="0"/>
        <w:spacing w:before="0" w:beforeAutospacing="0" w:after="0" w:afterAutospacing="0" w:line="480" w:lineRule="exact"/>
        <w:ind w:left="0" w:right="0" w:firstLine="480" w:firstLineChars="200"/>
        <w:jc w:val="left"/>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zh-CN" w:eastAsia="zh-CN"/>
        </w:rPr>
        <w:t>强化考核工作。</w:t>
      </w:r>
      <w:r>
        <w:rPr>
          <w:rFonts w:hint="eastAsia" w:ascii="宋体" w:eastAsia="宋体" w:cs="宋体"/>
          <w:kern w:val="0"/>
          <w:sz w:val="24"/>
          <w:szCs w:val="24"/>
          <w:shd w:val="clear" w:color="auto" w:fill="FFFFFF"/>
          <w:lang w:val="en-US" w:eastAsia="zh-CN"/>
        </w:rPr>
        <w:t>20</w:t>
      </w:r>
      <w:r>
        <w:rPr>
          <w:rFonts w:hint="eastAsia" w:cs="宋体"/>
          <w:kern w:val="0"/>
          <w:sz w:val="24"/>
          <w:szCs w:val="24"/>
          <w:shd w:val="clear" w:color="auto" w:fill="FFFFFF"/>
          <w:lang w:val="en-US" w:eastAsia="zh-CN"/>
        </w:rPr>
        <w:t>22</w:t>
      </w:r>
      <w:r>
        <w:rPr>
          <w:rFonts w:hint="eastAsia" w:ascii="宋体" w:eastAsia="宋体" w:cs="宋体"/>
          <w:kern w:val="0"/>
          <w:sz w:val="24"/>
          <w:szCs w:val="24"/>
          <w:shd w:val="clear" w:color="auto" w:fill="FFFFFF"/>
          <w:lang w:val="en-US" w:eastAsia="zh-CN"/>
        </w:rPr>
        <w:t>年单位</w:t>
      </w:r>
      <w:r>
        <w:rPr>
          <w:rFonts w:hint="eastAsia" w:ascii="宋体" w:eastAsia="宋体" w:cs="宋体"/>
          <w:kern w:val="0"/>
          <w:sz w:val="24"/>
          <w:szCs w:val="24"/>
          <w:shd w:val="clear" w:color="auto" w:fill="FFFFFF"/>
          <w:lang w:val="zh-CN" w:eastAsia="zh-CN"/>
        </w:rPr>
        <w:t>履行了岗位职责考核和自身建设素质考核。考核涉及单位职工政治理论学习，集体活动参与、考勤、请休假、政务信息等方面。</w:t>
      </w:r>
    </w:p>
    <w:p>
      <w:pPr>
        <w:keepNext w:val="0"/>
        <w:keepLines w:val="0"/>
        <w:widowControl/>
        <w:suppressLineNumbers w:val="0"/>
        <w:adjustRightInd w:val="0"/>
        <w:snapToGrid w:val="0"/>
        <w:spacing w:before="0" w:beforeAutospacing="0" w:after="0" w:afterAutospacing="0" w:line="480" w:lineRule="exact"/>
        <w:ind w:left="0" w:right="0" w:firstLine="480" w:firstLineChars="200"/>
        <w:jc w:val="left"/>
        <w:rPr>
          <w:rFonts w:hint="eastAsia" w:ascii="宋体" w:eastAsia="宋体" w:cs="宋体"/>
          <w:kern w:val="0"/>
          <w:sz w:val="24"/>
          <w:szCs w:val="24"/>
          <w:shd w:val="clear" w:color="auto" w:fill="FFFFFF"/>
          <w:lang w:val="zh-CN" w:eastAsia="zh-CN"/>
        </w:rPr>
      </w:pPr>
      <w:r>
        <w:rPr>
          <w:rFonts w:hint="eastAsia" w:ascii="宋体" w:eastAsia="宋体" w:cs="宋体"/>
          <w:kern w:val="0"/>
          <w:sz w:val="24"/>
          <w:szCs w:val="24"/>
          <w:shd w:val="clear" w:color="auto" w:fill="FFFFFF"/>
          <w:lang w:val="en-US" w:eastAsia="zh-CN"/>
        </w:rPr>
        <w:t>（2）</w:t>
      </w:r>
      <w:r>
        <w:rPr>
          <w:rFonts w:hint="eastAsia" w:ascii="宋体" w:eastAsia="宋体" w:cs="宋体"/>
          <w:kern w:val="0"/>
          <w:sz w:val="24"/>
          <w:szCs w:val="24"/>
          <w:shd w:val="clear" w:color="auto" w:fill="FFFFFF"/>
          <w:lang w:val="zh-CN" w:eastAsia="zh-CN"/>
        </w:rPr>
        <w:t>重点项目绩效评价结果。</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firstLineChars="200"/>
      </w:pPr>
      <w:r>
        <w:rPr>
          <w:rFonts w:hint="eastAsia" w:ascii="宋体" w:eastAsia="宋体" w:cs="宋体"/>
          <w:kern w:val="0"/>
          <w:sz w:val="24"/>
          <w:szCs w:val="24"/>
          <w:shd w:val="clear" w:color="auto" w:fill="FFFFFF"/>
          <w:lang w:val="zh-CN" w:eastAsia="zh-CN"/>
        </w:rPr>
        <w:t>县</w:t>
      </w:r>
      <w:r>
        <w:rPr>
          <w:rFonts w:hint="eastAsia" w:ascii="宋体" w:eastAsia="宋体" w:cs="宋体"/>
          <w:kern w:val="0"/>
          <w:sz w:val="24"/>
          <w:szCs w:val="24"/>
          <w:shd w:val="clear" w:color="auto" w:fill="FFFFFF"/>
          <w:lang w:val="en-US" w:eastAsia="zh-CN"/>
        </w:rPr>
        <w:t>红会2</w:t>
      </w:r>
      <w:r>
        <w:rPr>
          <w:rFonts w:hint="eastAsia" w:cs="宋体"/>
          <w:kern w:val="0"/>
          <w:sz w:val="24"/>
          <w:szCs w:val="24"/>
          <w:shd w:val="clear" w:color="auto" w:fill="FFFFFF"/>
          <w:lang w:val="en-US" w:eastAsia="zh-CN"/>
        </w:rPr>
        <w:t>022</w:t>
      </w:r>
      <w:r>
        <w:rPr>
          <w:rFonts w:hint="eastAsia" w:ascii="宋体" w:eastAsia="宋体" w:cs="宋体"/>
          <w:kern w:val="0"/>
          <w:sz w:val="24"/>
          <w:szCs w:val="24"/>
          <w:shd w:val="clear" w:color="auto" w:fill="FFFFFF"/>
          <w:lang w:val="en-US" w:eastAsia="zh-CN"/>
        </w:rPr>
        <w:t>年大病救助项目，预算数</w:t>
      </w:r>
      <w:r>
        <w:rPr>
          <w:rFonts w:hint="eastAsia" w:cs="宋体"/>
          <w:kern w:val="0"/>
          <w:sz w:val="24"/>
          <w:szCs w:val="24"/>
          <w:shd w:val="clear" w:color="auto" w:fill="FFFFFF"/>
          <w:lang w:val="en-US" w:eastAsia="zh-CN"/>
        </w:rPr>
        <w:t>与</w:t>
      </w:r>
      <w:r>
        <w:rPr>
          <w:rFonts w:hint="eastAsia" w:ascii="宋体" w:eastAsia="宋体" w:cs="宋体"/>
          <w:kern w:val="0"/>
          <w:sz w:val="24"/>
          <w:szCs w:val="24"/>
          <w:shd w:val="clear" w:color="auto" w:fill="FFFFFF"/>
          <w:lang w:val="en-US" w:eastAsia="zh-CN"/>
        </w:rPr>
        <w:t>决算数（执行数）</w:t>
      </w:r>
      <w:r>
        <w:rPr>
          <w:rFonts w:hint="eastAsia" w:cs="宋体"/>
          <w:kern w:val="0"/>
          <w:sz w:val="24"/>
          <w:szCs w:val="24"/>
          <w:shd w:val="clear" w:color="auto" w:fill="FFFFFF"/>
          <w:lang w:val="en-US" w:eastAsia="zh-CN"/>
        </w:rPr>
        <w:t>持平，5</w:t>
      </w:r>
      <w:r>
        <w:rPr>
          <w:rFonts w:hint="eastAsia" w:ascii="宋体" w:eastAsia="宋体" w:cs="宋体"/>
          <w:kern w:val="0"/>
          <w:sz w:val="24"/>
          <w:szCs w:val="24"/>
          <w:shd w:val="clear" w:color="auto" w:fill="FFFFFF"/>
          <w:lang w:val="en-US" w:eastAsia="zh-CN"/>
        </w:rPr>
        <w:t>万元，预算数财政拨款</w:t>
      </w:r>
      <w:r>
        <w:rPr>
          <w:rFonts w:hint="eastAsia" w:cs="宋体"/>
          <w:kern w:val="0"/>
          <w:sz w:val="24"/>
          <w:szCs w:val="24"/>
          <w:shd w:val="clear" w:color="auto" w:fill="FFFFFF"/>
          <w:lang w:val="en-US" w:eastAsia="zh-CN"/>
        </w:rPr>
        <w:t>等于</w:t>
      </w:r>
      <w:r>
        <w:rPr>
          <w:rFonts w:hint="eastAsia" w:ascii="宋体" w:eastAsia="宋体" w:cs="宋体"/>
          <w:kern w:val="0"/>
          <w:sz w:val="24"/>
          <w:szCs w:val="24"/>
          <w:shd w:val="clear" w:color="auto" w:fill="FFFFFF"/>
          <w:lang w:val="en-US" w:eastAsia="zh-CN"/>
        </w:rPr>
        <w:t>决算数财政拨款</w:t>
      </w:r>
      <w:r>
        <w:rPr>
          <w:rFonts w:hint="eastAsia" w:cs="宋体"/>
          <w:kern w:val="0"/>
          <w:sz w:val="24"/>
          <w:szCs w:val="24"/>
          <w:shd w:val="clear" w:color="auto" w:fill="FFFFFF"/>
          <w:lang w:val="en-US" w:eastAsia="zh-CN"/>
        </w:rPr>
        <w:t>5</w:t>
      </w:r>
      <w:r>
        <w:rPr>
          <w:rFonts w:hint="eastAsia" w:ascii="宋体" w:eastAsia="宋体" w:cs="宋体"/>
          <w:kern w:val="0"/>
          <w:sz w:val="24"/>
          <w:szCs w:val="24"/>
          <w:shd w:val="clear" w:color="auto" w:fill="FFFFFF"/>
          <w:lang w:val="en-US" w:eastAsia="zh-CN"/>
        </w:rPr>
        <w:t>万元，预期目标等于实际完成目标</w:t>
      </w:r>
      <w:r>
        <w:rPr>
          <w:rFonts w:hint="eastAsia" w:cs="宋体"/>
          <w:kern w:val="0"/>
          <w:sz w:val="24"/>
          <w:szCs w:val="24"/>
          <w:shd w:val="clear" w:color="auto" w:fill="FFFFFF"/>
          <w:lang w:val="en-US" w:eastAsia="zh-CN"/>
        </w:rPr>
        <w:t>5</w:t>
      </w:r>
      <w:r>
        <w:rPr>
          <w:rFonts w:hint="eastAsia" w:ascii="宋体" w:eastAsia="宋体" w:cs="宋体"/>
          <w:kern w:val="0"/>
          <w:sz w:val="24"/>
          <w:szCs w:val="24"/>
          <w:shd w:val="clear" w:color="auto" w:fill="FFFFFF"/>
          <w:lang w:val="en-US" w:eastAsia="zh-CN"/>
        </w:rPr>
        <w:t>万元，无其他资金。</w:t>
      </w:r>
    </w:p>
    <w:p>
      <w:pPr>
        <w:pStyle w:val="10"/>
        <w:keepNext w:val="0"/>
        <w:keepLines w:val="0"/>
        <w:widowControl/>
        <w:suppressLineNumbers w:val="0"/>
        <w:spacing w:before="0" w:beforeAutospacing="0"/>
        <w:ind w:firstLine="240" w:firstLineChars="100"/>
        <w:jc w:val="left"/>
        <w:outlineLvl w:val="1"/>
        <w:rPr>
          <w:shd w:val="clear" w:color="auto" w:fill="FFFFFF"/>
        </w:rPr>
      </w:pPr>
      <w:bookmarkStart w:id="53" w:name="_Toc24231"/>
      <w:bookmarkStart w:id="54" w:name="_Toc32331"/>
    </w:p>
    <w:p>
      <w:pPr>
        <w:pStyle w:val="10"/>
        <w:keepNext w:val="0"/>
        <w:keepLines w:val="0"/>
        <w:widowControl/>
        <w:suppressLineNumbers w:val="0"/>
        <w:spacing w:before="0" w:beforeAutospacing="0"/>
        <w:ind w:firstLine="240" w:firstLineChars="100"/>
        <w:jc w:val="left"/>
        <w:outlineLvl w:val="1"/>
      </w:pPr>
      <w:r>
        <w:rPr>
          <w:shd w:val="clear" w:color="auto" w:fill="FFFFFF"/>
        </w:rPr>
        <w:t>四、评价结论及建议</w:t>
      </w:r>
      <w:bookmarkEnd w:id="53"/>
      <w:bookmarkEnd w:id="54"/>
    </w:p>
    <w:p>
      <w:pPr>
        <w:pStyle w:val="10"/>
        <w:keepNext w:val="0"/>
        <w:keepLines w:val="0"/>
        <w:widowControl/>
        <w:suppressLineNumbers w:val="0"/>
        <w:spacing w:before="0" w:beforeAutospacing="0"/>
        <w:ind w:left="0" w:firstLine="480" w:firstLineChars="200"/>
        <w:jc w:val="left"/>
        <w:rPr>
          <w:shd w:val="clear" w:color="auto" w:fill="FFFFFF"/>
        </w:rPr>
      </w:pPr>
      <w:r>
        <w:rPr>
          <w:shd w:val="clear" w:color="auto" w:fill="FFFFFF"/>
        </w:rPr>
        <w:t>（一）评价结论。</w:t>
      </w:r>
      <w:bookmarkStart w:id="86" w:name="_GoBack"/>
      <w:bookmarkEnd w:id="86"/>
    </w:p>
    <w:p>
      <w:pPr>
        <w:pStyle w:val="19"/>
        <w:keepNext w:val="0"/>
        <w:keepLines w:val="0"/>
        <w:widowControl/>
        <w:suppressLineNumbers w:val="0"/>
        <w:spacing w:before="0" w:beforeAutospacing="0"/>
        <w:ind w:left="0" w:firstLine="480" w:firstLineChars="200"/>
        <w:jc w:val="left"/>
        <w:rPr>
          <w:shd w:val="clear" w:color="auto" w:fill="FFFFFF"/>
        </w:rPr>
      </w:pPr>
      <w:r>
        <w:rPr>
          <w:rFonts w:hint="eastAsia" w:ascii="宋体" w:eastAsia="宋体" w:cs="宋体"/>
          <w:kern w:val="0"/>
          <w:sz w:val="24"/>
          <w:szCs w:val="24"/>
          <w:shd w:val="clear" w:color="auto" w:fill="FFFFFF"/>
          <w:lang w:val="en-US" w:eastAsia="zh-CN"/>
        </w:rPr>
        <w:t>县红会20</w:t>
      </w:r>
      <w:r>
        <w:rPr>
          <w:rFonts w:hint="eastAsia" w:cs="宋体"/>
          <w:kern w:val="0"/>
          <w:sz w:val="24"/>
          <w:szCs w:val="24"/>
          <w:shd w:val="clear" w:color="auto" w:fill="FFFFFF"/>
          <w:lang w:val="en-US" w:eastAsia="zh-CN"/>
        </w:rPr>
        <w:t>22</w:t>
      </w:r>
      <w:r>
        <w:rPr>
          <w:rFonts w:hint="eastAsia" w:ascii="宋体" w:eastAsia="宋体" w:cs="宋体"/>
          <w:kern w:val="0"/>
          <w:sz w:val="24"/>
          <w:szCs w:val="24"/>
          <w:shd w:val="clear" w:color="auto" w:fill="FFFFFF"/>
          <w:lang w:val="en-US" w:eastAsia="zh-CN"/>
        </w:rPr>
        <w:t>年决算工作</w:t>
      </w:r>
      <w:r>
        <w:rPr>
          <w:rFonts w:ascii="宋体" w:eastAsia="宋体" w:cs="宋体"/>
          <w:kern w:val="0"/>
          <w:sz w:val="24"/>
          <w:szCs w:val="24"/>
          <w:shd w:val="clear" w:color="auto" w:fill="FFFFFF"/>
          <w:lang w:val="en-US" w:eastAsia="zh-CN"/>
        </w:rPr>
        <w:t>执行情况良好，无不良记录及违规违纪行为</w:t>
      </w:r>
      <w:r>
        <w:rPr>
          <w:rFonts w:hint="eastAsia" w:cs="宋体"/>
          <w:kern w:val="0"/>
          <w:sz w:val="24"/>
          <w:szCs w:val="24"/>
          <w:shd w:val="clear" w:color="auto" w:fill="FFFFFF"/>
          <w:lang w:val="en-US" w:eastAsia="zh-CN"/>
        </w:rPr>
        <w:t>。</w:t>
      </w:r>
    </w:p>
    <w:p>
      <w:pPr>
        <w:pStyle w:val="10"/>
        <w:keepNext w:val="0"/>
        <w:keepLines w:val="0"/>
        <w:widowControl/>
        <w:suppressLineNumbers w:val="0"/>
        <w:spacing w:before="0" w:beforeAutospacing="0"/>
        <w:ind w:left="0" w:firstLine="480" w:firstLineChars="200"/>
        <w:jc w:val="left"/>
        <w:rPr>
          <w:shd w:val="clear" w:color="auto" w:fill="FFFFFF"/>
        </w:rPr>
      </w:pPr>
      <w:r>
        <w:rPr>
          <w:shd w:val="clear" w:color="auto" w:fill="FFFFFF"/>
        </w:rPr>
        <w:t>（二）存在问题。</w:t>
      </w:r>
    </w:p>
    <w:p>
      <w:pPr>
        <w:pStyle w:val="19"/>
        <w:keepNext w:val="0"/>
        <w:keepLines w:val="0"/>
        <w:widowControl/>
        <w:suppressLineNumbers w:val="0"/>
        <w:spacing w:before="0" w:beforeAutospacing="0"/>
        <w:ind w:left="0" w:firstLine="481" w:firstLineChars="200"/>
        <w:jc w:val="left"/>
        <w:rPr>
          <w:shd w:val="clear" w:color="auto" w:fill="FFFFFF"/>
        </w:rPr>
      </w:pPr>
      <w:r>
        <w:rPr>
          <w:rFonts w:hint="eastAsia" w:ascii="宋体" w:eastAsia="宋体" w:cs="宋体"/>
          <w:b/>
          <w:bCs/>
          <w:kern w:val="0"/>
          <w:sz w:val="24"/>
          <w:szCs w:val="24"/>
          <w:shd w:val="clear" w:color="auto" w:fill="FFFFFF"/>
          <w:lang w:val="en-US" w:eastAsia="zh-CN"/>
        </w:rPr>
        <w:t>一</w:t>
      </w:r>
      <w:r>
        <w:rPr>
          <w:rFonts w:ascii="宋体" w:eastAsia="宋体" w:cs="宋体"/>
          <w:b/>
          <w:bCs/>
          <w:kern w:val="0"/>
          <w:sz w:val="24"/>
          <w:szCs w:val="24"/>
          <w:shd w:val="clear" w:color="auto" w:fill="FFFFFF"/>
          <w:lang w:val="en-US" w:eastAsia="zh-CN"/>
        </w:rPr>
        <w:t>是</w:t>
      </w:r>
      <w:r>
        <w:rPr>
          <w:rFonts w:ascii="宋体" w:eastAsia="宋体" w:cs="宋体"/>
          <w:kern w:val="0"/>
          <w:sz w:val="24"/>
          <w:szCs w:val="24"/>
          <w:shd w:val="clear" w:color="auto" w:fill="FFFFFF"/>
          <w:lang w:val="en-US" w:eastAsia="zh-CN"/>
        </w:rPr>
        <w:t>部门决算上报处理效率还待提升</w:t>
      </w:r>
      <w:r>
        <w:rPr>
          <w:rFonts w:hint="eastAsia" w:ascii="宋体" w:eastAsia="宋体" w:cs="宋体"/>
          <w:kern w:val="0"/>
          <w:sz w:val="24"/>
          <w:szCs w:val="24"/>
          <w:shd w:val="clear" w:color="auto" w:fill="FFFFFF"/>
          <w:lang w:val="en-US" w:eastAsia="zh-CN"/>
        </w:rPr>
        <w:t>，</w:t>
      </w:r>
      <w:r>
        <w:rPr>
          <w:rFonts w:hint="eastAsia" w:ascii="宋体" w:eastAsia="宋体" w:cs="宋体"/>
          <w:b/>
          <w:bCs/>
          <w:kern w:val="0"/>
          <w:sz w:val="24"/>
          <w:szCs w:val="24"/>
          <w:shd w:val="clear" w:color="auto" w:fill="FFFFFF"/>
          <w:lang w:val="en-US" w:eastAsia="zh-CN"/>
        </w:rPr>
        <w:t>二是</w:t>
      </w:r>
      <w:r>
        <w:rPr>
          <w:rFonts w:hint="eastAsia" w:ascii="宋体" w:eastAsia="宋体" w:cs="宋体"/>
          <w:kern w:val="0"/>
          <w:sz w:val="24"/>
          <w:szCs w:val="24"/>
          <w:shd w:val="clear" w:color="auto" w:fill="FFFFFF"/>
          <w:lang w:val="en-US" w:eastAsia="zh-CN"/>
        </w:rPr>
        <w:t>有关目标任务有待进一步完善。</w:t>
      </w:r>
    </w:p>
    <w:p>
      <w:pPr>
        <w:pStyle w:val="10"/>
        <w:keepNext w:val="0"/>
        <w:keepLines w:val="0"/>
        <w:widowControl/>
        <w:suppressLineNumbers w:val="0"/>
        <w:spacing w:before="0" w:beforeAutospacing="0"/>
        <w:ind w:left="0" w:firstLine="480" w:firstLineChars="200"/>
        <w:jc w:val="left"/>
        <w:rPr>
          <w:shd w:val="clear" w:color="auto" w:fill="FFFFFF"/>
        </w:rPr>
      </w:pPr>
      <w:r>
        <w:rPr>
          <w:shd w:val="clear" w:color="auto" w:fill="FFFFFF"/>
        </w:rPr>
        <w:t>（三）改进建议。</w:t>
      </w:r>
    </w:p>
    <w:p>
      <w:pPr>
        <w:pStyle w:val="10"/>
        <w:keepNext w:val="0"/>
        <w:keepLines w:val="0"/>
        <w:widowControl/>
        <w:suppressLineNumbers w:val="0"/>
        <w:spacing w:before="0" w:beforeAutospacing="0"/>
        <w:ind w:left="0" w:firstLine="480" w:firstLineChars="200"/>
        <w:jc w:val="left"/>
        <w:rPr>
          <w:rFonts w:hint="eastAsia" w:ascii="宋体" w:eastAsia="宋体" w:cs="宋体"/>
          <w:kern w:val="0"/>
          <w:sz w:val="24"/>
          <w:szCs w:val="24"/>
          <w:shd w:val="clear" w:color="auto" w:fill="FFFFFF"/>
          <w:lang w:val="en-US" w:eastAsia="zh-CN"/>
        </w:rPr>
      </w:pPr>
      <w:r>
        <w:rPr>
          <w:rFonts w:ascii="宋体" w:eastAsia="宋体" w:cs="宋体"/>
          <w:kern w:val="0"/>
          <w:sz w:val="24"/>
          <w:szCs w:val="24"/>
          <w:shd w:val="clear" w:color="auto" w:fill="FFFFFF"/>
          <w:lang w:val="en-US" w:eastAsia="zh-CN"/>
        </w:rPr>
        <w:t>加快完善相应制度建设和账务处理。</w:t>
      </w:r>
    </w:p>
    <w:p>
      <w:pPr>
        <w:pStyle w:val="10"/>
        <w:keepNext w:val="0"/>
        <w:keepLines w:val="0"/>
        <w:widowControl/>
        <w:suppressLineNumbers w:val="0"/>
        <w:spacing w:before="0" w:beforeAutospacing="0"/>
        <w:ind w:left="0"/>
        <w:jc w:val="left"/>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r>
        <w:rPr>
          <w:shd w:val="clear" w:color="auto" w:fill="FFFFFF"/>
        </w:rPr>
        <w:t> </w:t>
      </w: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left"/>
        <w:rPr>
          <w:shd w:val="clear" w:color="auto" w:fill="FFFFFF"/>
        </w:rPr>
      </w:pPr>
    </w:p>
    <w:p>
      <w:pPr>
        <w:pStyle w:val="10"/>
        <w:keepNext w:val="0"/>
        <w:keepLines w:val="0"/>
        <w:widowControl/>
        <w:suppressLineNumbers w:val="0"/>
        <w:spacing w:before="0" w:beforeAutospacing="0"/>
        <w:ind w:left="0"/>
        <w:jc w:val="center"/>
        <w:outlineLvl w:val="0"/>
        <w:rPr>
          <w:sz w:val="22"/>
          <w:szCs w:val="22"/>
        </w:rPr>
      </w:pPr>
      <w:bookmarkStart w:id="55" w:name="_Toc15786"/>
      <w:bookmarkStart w:id="56" w:name="_Toc17201"/>
      <w:bookmarkStart w:id="57" w:name="_Toc723"/>
      <w:r>
        <w:rPr>
          <w:rStyle w:val="13"/>
          <w:sz w:val="36"/>
          <w:szCs w:val="36"/>
          <w:shd w:val="clear" w:color="auto" w:fill="FFFFFF"/>
        </w:rPr>
        <w:t>第五部分 附表</w:t>
      </w:r>
      <w:bookmarkEnd w:id="55"/>
      <w:bookmarkEnd w:id="56"/>
      <w:bookmarkEnd w:id="57"/>
    </w:p>
    <w:p>
      <w:pPr>
        <w:pStyle w:val="5"/>
        <w:keepNext w:val="0"/>
        <w:keepLines w:val="0"/>
        <w:widowControl/>
        <w:suppressLineNumbers w:val="0"/>
        <w:spacing w:before="0" w:beforeAutospacing="0"/>
        <w:ind w:left="0"/>
        <w:jc w:val="left"/>
        <w:rPr>
          <w:sz w:val="32"/>
          <w:szCs w:val="32"/>
        </w:rPr>
      </w:pPr>
      <w:bookmarkStart w:id="58" w:name="_Toc19713"/>
      <w:bookmarkStart w:id="59" w:name="_Toc19247"/>
      <w:r>
        <w:rPr>
          <w:sz w:val="32"/>
          <w:szCs w:val="32"/>
          <w:shd w:val="clear" w:color="auto" w:fill="FFFFFF"/>
        </w:rPr>
        <w:t>一、收入支出决算总表</w:t>
      </w:r>
      <w:bookmarkEnd w:id="58"/>
      <w:bookmarkEnd w:id="59"/>
    </w:p>
    <w:p>
      <w:pPr>
        <w:pStyle w:val="5"/>
        <w:keepNext w:val="0"/>
        <w:keepLines w:val="0"/>
        <w:widowControl/>
        <w:suppressLineNumbers w:val="0"/>
        <w:spacing w:before="0" w:beforeAutospacing="0"/>
        <w:ind w:left="0"/>
        <w:jc w:val="left"/>
        <w:rPr>
          <w:sz w:val="32"/>
          <w:szCs w:val="32"/>
        </w:rPr>
      </w:pPr>
      <w:bookmarkStart w:id="60" w:name="_Toc9075"/>
      <w:bookmarkStart w:id="61" w:name="_Toc8050"/>
      <w:r>
        <w:rPr>
          <w:sz w:val="32"/>
          <w:szCs w:val="32"/>
          <w:shd w:val="clear" w:color="auto" w:fill="FFFFFF"/>
        </w:rPr>
        <w:t>二、收入决算表</w:t>
      </w:r>
      <w:bookmarkEnd w:id="60"/>
      <w:bookmarkEnd w:id="61"/>
    </w:p>
    <w:p>
      <w:pPr>
        <w:pStyle w:val="5"/>
        <w:keepNext w:val="0"/>
        <w:keepLines w:val="0"/>
        <w:widowControl/>
        <w:suppressLineNumbers w:val="0"/>
        <w:spacing w:before="0" w:beforeAutospacing="0"/>
        <w:ind w:left="0"/>
        <w:jc w:val="left"/>
        <w:rPr>
          <w:sz w:val="32"/>
          <w:szCs w:val="32"/>
        </w:rPr>
      </w:pPr>
      <w:bookmarkStart w:id="62" w:name="_Toc21998"/>
      <w:bookmarkStart w:id="63" w:name="_Toc11536"/>
      <w:r>
        <w:rPr>
          <w:sz w:val="32"/>
          <w:szCs w:val="32"/>
          <w:shd w:val="clear" w:color="auto" w:fill="FFFFFF"/>
        </w:rPr>
        <w:t>三、支出决算表</w:t>
      </w:r>
      <w:bookmarkEnd w:id="62"/>
      <w:bookmarkEnd w:id="63"/>
    </w:p>
    <w:p>
      <w:pPr>
        <w:pStyle w:val="5"/>
        <w:keepNext w:val="0"/>
        <w:keepLines w:val="0"/>
        <w:widowControl/>
        <w:suppressLineNumbers w:val="0"/>
        <w:spacing w:before="0" w:beforeAutospacing="0"/>
        <w:ind w:left="0"/>
        <w:jc w:val="left"/>
        <w:rPr>
          <w:sz w:val="32"/>
          <w:szCs w:val="32"/>
        </w:rPr>
      </w:pPr>
      <w:bookmarkStart w:id="64" w:name="_Toc9640"/>
      <w:bookmarkStart w:id="65" w:name="_Toc28865"/>
      <w:r>
        <w:rPr>
          <w:sz w:val="32"/>
          <w:szCs w:val="32"/>
          <w:shd w:val="clear" w:color="auto" w:fill="FFFFFF"/>
        </w:rPr>
        <w:t>四、财政拨款收入支出决算总表</w:t>
      </w:r>
      <w:bookmarkEnd w:id="64"/>
      <w:bookmarkEnd w:id="65"/>
    </w:p>
    <w:p>
      <w:pPr>
        <w:pStyle w:val="5"/>
        <w:keepNext w:val="0"/>
        <w:keepLines w:val="0"/>
        <w:widowControl/>
        <w:suppressLineNumbers w:val="0"/>
        <w:spacing w:before="0" w:beforeAutospacing="0"/>
        <w:ind w:left="0"/>
        <w:jc w:val="left"/>
        <w:rPr>
          <w:sz w:val="32"/>
          <w:szCs w:val="32"/>
        </w:rPr>
      </w:pPr>
      <w:bookmarkStart w:id="66" w:name="_Toc20071"/>
      <w:bookmarkStart w:id="67" w:name="_Toc21895"/>
      <w:r>
        <w:rPr>
          <w:sz w:val="32"/>
          <w:szCs w:val="32"/>
          <w:shd w:val="clear" w:color="auto" w:fill="FFFFFF"/>
        </w:rPr>
        <w:t>五、财政拨款支出决算明细表</w:t>
      </w:r>
      <w:bookmarkEnd w:id="66"/>
      <w:bookmarkEnd w:id="67"/>
    </w:p>
    <w:p>
      <w:pPr>
        <w:pStyle w:val="5"/>
        <w:keepNext w:val="0"/>
        <w:keepLines w:val="0"/>
        <w:widowControl/>
        <w:suppressLineNumbers w:val="0"/>
        <w:spacing w:before="0" w:beforeAutospacing="0"/>
        <w:ind w:left="0"/>
        <w:jc w:val="left"/>
        <w:rPr>
          <w:sz w:val="32"/>
          <w:szCs w:val="32"/>
        </w:rPr>
      </w:pPr>
      <w:bookmarkStart w:id="68" w:name="_Toc12357"/>
      <w:bookmarkStart w:id="69" w:name="_Toc11044"/>
      <w:r>
        <w:rPr>
          <w:sz w:val="32"/>
          <w:szCs w:val="32"/>
          <w:shd w:val="clear" w:color="auto" w:fill="FFFFFF"/>
        </w:rPr>
        <w:t>六、一般公共预算财政拨款支出决算表</w:t>
      </w:r>
      <w:bookmarkEnd w:id="68"/>
      <w:bookmarkEnd w:id="69"/>
    </w:p>
    <w:p>
      <w:pPr>
        <w:pStyle w:val="5"/>
        <w:keepNext w:val="0"/>
        <w:keepLines w:val="0"/>
        <w:widowControl/>
        <w:suppressLineNumbers w:val="0"/>
        <w:spacing w:before="0" w:beforeAutospacing="0"/>
        <w:ind w:left="0"/>
        <w:jc w:val="left"/>
        <w:rPr>
          <w:sz w:val="32"/>
          <w:szCs w:val="32"/>
        </w:rPr>
      </w:pPr>
      <w:bookmarkStart w:id="70" w:name="_Toc19111"/>
      <w:bookmarkStart w:id="71" w:name="_Toc9226"/>
      <w:r>
        <w:rPr>
          <w:sz w:val="32"/>
          <w:szCs w:val="32"/>
          <w:shd w:val="clear" w:color="auto" w:fill="FFFFFF"/>
        </w:rPr>
        <w:t>七、一般公共预算财政拨款支出决算明细表</w:t>
      </w:r>
      <w:bookmarkEnd w:id="70"/>
      <w:bookmarkEnd w:id="71"/>
    </w:p>
    <w:p>
      <w:pPr>
        <w:pStyle w:val="5"/>
        <w:keepNext w:val="0"/>
        <w:keepLines w:val="0"/>
        <w:widowControl/>
        <w:suppressLineNumbers w:val="0"/>
        <w:spacing w:before="0" w:beforeAutospacing="0"/>
        <w:ind w:left="0"/>
        <w:jc w:val="left"/>
        <w:rPr>
          <w:sz w:val="32"/>
          <w:szCs w:val="32"/>
        </w:rPr>
      </w:pPr>
      <w:bookmarkStart w:id="72" w:name="_Toc27198"/>
      <w:bookmarkStart w:id="73" w:name="_Toc4049"/>
      <w:r>
        <w:rPr>
          <w:sz w:val="32"/>
          <w:szCs w:val="32"/>
          <w:shd w:val="clear" w:color="auto" w:fill="FFFFFF"/>
        </w:rPr>
        <w:t>八、一般公共预算财政拨款基本支出决算表</w:t>
      </w:r>
      <w:bookmarkEnd w:id="72"/>
      <w:bookmarkEnd w:id="73"/>
    </w:p>
    <w:p>
      <w:pPr>
        <w:pStyle w:val="5"/>
        <w:keepNext w:val="0"/>
        <w:keepLines w:val="0"/>
        <w:widowControl/>
        <w:suppressLineNumbers w:val="0"/>
        <w:spacing w:before="0" w:beforeAutospacing="0"/>
        <w:ind w:left="0"/>
        <w:jc w:val="left"/>
        <w:rPr>
          <w:sz w:val="32"/>
          <w:szCs w:val="32"/>
        </w:rPr>
      </w:pPr>
      <w:bookmarkStart w:id="74" w:name="_Toc29492"/>
      <w:bookmarkStart w:id="75" w:name="_Toc15875"/>
      <w:r>
        <w:rPr>
          <w:sz w:val="32"/>
          <w:szCs w:val="32"/>
          <w:shd w:val="clear" w:color="auto" w:fill="FFFFFF"/>
        </w:rPr>
        <w:t>九、一般公共预算财政拨款项目支出决算表</w:t>
      </w:r>
      <w:bookmarkEnd w:id="74"/>
      <w:bookmarkEnd w:id="75"/>
    </w:p>
    <w:p>
      <w:pPr>
        <w:pStyle w:val="5"/>
        <w:keepNext w:val="0"/>
        <w:keepLines w:val="0"/>
        <w:widowControl/>
        <w:suppressLineNumbers w:val="0"/>
        <w:spacing w:before="0" w:beforeAutospacing="0"/>
        <w:ind w:left="0"/>
        <w:jc w:val="left"/>
        <w:rPr>
          <w:sz w:val="32"/>
          <w:szCs w:val="32"/>
        </w:rPr>
      </w:pPr>
      <w:bookmarkStart w:id="76" w:name="_Toc16393"/>
      <w:bookmarkStart w:id="77" w:name="_Toc17745"/>
      <w:r>
        <w:rPr>
          <w:sz w:val="32"/>
          <w:szCs w:val="32"/>
          <w:shd w:val="clear" w:color="auto" w:fill="FFFFFF"/>
        </w:rPr>
        <w:t>十、一般公共预算财政拨款“三公”经费支出决算表</w:t>
      </w:r>
      <w:bookmarkEnd w:id="76"/>
      <w:bookmarkEnd w:id="77"/>
    </w:p>
    <w:p>
      <w:pPr>
        <w:pStyle w:val="5"/>
        <w:keepNext w:val="0"/>
        <w:keepLines w:val="0"/>
        <w:widowControl/>
        <w:suppressLineNumbers w:val="0"/>
        <w:spacing w:before="0" w:beforeAutospacing="0"/>
        <w:ind w:left="0"/>
        <w:jc w:val="left"/>
        <w:rPr>
          <w:sz w:val="32"/>
          <w:szCs w:val="32"/>
        </w:rPr>
      </w:pPr>
      <w:bookmarkStart w:id="78" w:name="_Toc23407"/>
      <w:bookmarkStart w:id="79" w:name="_Toc12436"/>
      <w:r>
        <w:rPr>
          <w:sz w:val="32"/>
          <w:szCs w:val="32"/>
          <w:shd w:val="clear" w:color="auto" w:fill="FFFFFF"/>
        </w:rPr>
        <w:t>十一、政府性基金预算财政拨款收入支出决算表</w:t>
      </w:r>
      <w:bookmarkEnd w:id="78"/>
      <w:bookmarkEnd w:id="79"/>
    </w:p>
    <w:p>
      <w:pPr>
        <w:pStyle w:val="5"/>
        <w:keepNext w:val="0"/>
        <w:keepLines w:val="0"/>
        <w:widowControl/>
        <w:suppressLineNumbers w:val="0"/>
        <w:spacing w:before="0" w:beforeAutospacing="0"/>
        <w:ind w:left="0"/>
        <w:jc w:val="left"/>
        <w:rPr>
          <w:sz w:val="32"/>
          <w:szCs w:val="32"/>
        </w:rPr>
      </w:pPr>
      <w:bookmarkStart w:id="80" w:name="_Toc26065"/>
      <w:bookmarkStart w:id="81" w:name="_Toc14693"/>
      <w:r>
        <w:rPr>
          <w:sz w:val="32"/>
          <w:szCs w:val="32"/>
          <w:shd w:val="clear" w:color="auto" w:fill="FFFFFF"/>
        </w:rPr>
        <w:t>十二、政府性基金预算财政拨款“三公”经费支出决算表</w:t>
      </w:r>
      <w:bookmarkEnd w:id="80"/>
      <w:bookmarkEnd w:id="81"/>
    </w:p>
    <w:p>
      <w:pPr>
        <w:pStyle w:val="5"/>
        <w:keepNext w:val="0"/>
        <w:keepLines w:val="0"/>
        <w:widowControl/>
        <w:suppressLineNumbers w:val="0"/>
        <w:spacing w:before="0" w:beforeAutospacing="0"/>
        <w:ind w:left="0"/>
        <w:jc w:val="left"/>
        <w:rPr>
          <w:sz w:val="32"/>
          <w:szCs w:val="32"/>
        </w:rPr>
      </w:pPr>
      <w:bookmarkStart w:id="82" w:name="_Toc11652"/>
      <w:bookmarkStart w:id="83" w:name="_Toc12652"/>
      <w:r>
        <w:rPr>
          <w:sz w:val="32"/>
          <w:szCs w:val="32"/>
          <w:shd w:val="clear" w:color="auto" w:fill="FFFFFF"/>
        </w:rPr>
        <w:t>十三、国有资本经营预算财政拨款收入支出决算表</w:t>
      </w:r>
      <w:bookmarkEnd w:id="82"/>
      <w:bookmarkEnd w:id="83"/>
    </w:p>
    <w:p>
      <w:pPr>
        <w:pStyle w:val="5"/>
        <w:keepNext w:val="0"/>
        <w:keepLines w:val="0"/>
        <w:widowControl/>
        <w:suppressLineNumbers w:val="0"/>
        <w:spacing w:before="0" w:beforeAutospacing="0"/>
        <w:ind w:left="0"/>
        <w:jc w:val="left"/>
        <w:rPr>
          <w:sz w:val="32"/>
          <w:szCs w:val="32"/>
        </w:rPr>
      </w:pPr>
      <w:bookmarkStart w:id="84" w:name="_Toc19669"/>
      <w:bookmarkStart w:id="85" w:name="_Toc6734"/>
      <w:r>
        <w:rPr>
          <w:sz w:val="32"/>
          <w:szCs w:val="32"/>
          <w:shd w:val="clear" w:color="auto" w:fill="FFFFFF"/>
        </w:rPr>
        <w:t>十四、国有资本经营预算财政拨款支出决算表</w:t>
      </w:r>
      <w:bookmarkEnd w:id="84"/>
      <w:bookmarkEnd w:id="85"/>
    </w:p>
    <w:p>
      <w:pPr>
        <w:spacing w:after="0"/>
        <w:ind w:left="0" w:firstLine="0"/>
        <w:jc w:val="center"/>
        <w:rPr>
          <w:rFonts w:ascii="宋体" w:eastAsia="宋体" w:cs="宋体"/>
          <w:kern w:val="0"/>
          <w:sz w:val="21"/>
          <w:szCs w:val="24"/>
          <w:lang w:val="en-US" w:eastAsia="zh-CN"/>
        </w:rPr>
      </w:pPr>
      <w:sdt>
        <w:sdtPr>
          <w:rPr>
            <w:rFonts w:ascii="宋体" w:eastAsia="宋体" w:cs="宋体"/>
            <w:kern w:val="0"/>
            <w:sz w:val="21"/>
            <w:szCs w:val="24"/>
            <w:lang w:val="en-US" w:eastAsia="zh-CN"/>
          </w:rPr>
          <w:id w:val="1994129681"/>
          <w15:color w:val="DBDBDB"/>
          <w:docPartObj>
            <w:docPartGallery w:val="Table of Contents"/>
            <w:docPartUnique/>
          </w:docPartObj>
        </w:sdtPr>
        <w:sdtEndPr>
          <w:rPr>
            <w:rFonts w:ascii="宋体" w:eastAsia="宋体" w:cs="宋体"/>
            <w:kern w:val="0"/>
            <w:sz w:val="21"/>
            <w:szCs w:val="24"/>
            <w:lang w:val="en-US" w:eastAsia="zh-CN"/>
          </w:rPr>
        </w:sdtEndPr>
        <w:sdtContent/>
      </w:sdt>
    </w:p>
    <w:sectPr>
      <w:footerReference r:id="rId3" w:type="default"/>
      <w:footerReference r:id="rId4" w:type="even"/>
      <w:pgSz w:w="11907" w:h="16839"/>
      <w:pgMar w:top="1440" w:right="1800" w:bottom="1440" w:left="1800" w:header="851" w:footer="99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美黑简体_0">
    <w:panose1 w:val="00000000000000000000"/>
    <w:charset w:val="00"/>
    <w:family w:val="auto"/>
    <w:pitch w:val="default"/>
    <w:sig w:usb0="00000000" w:usb1="00000000" w:usb2="00000000" w:usb3="00000000" w:csb0="00003F00" w:csb1="01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pBdr>
        <w:top w:val="none" w:color="auto" w:sz="0" w:space="0"/>
        <w:left w:val="none" w:color="auto" w:sz="0" w:space="0"/>
        <w:bottom w:val="none" w:color="auto" w:sz="0" w:space="0"/>
        <w:right w:val="none" w:color="auto" w:sz="0" w:space="0"/>
      </w:pBdr>
    </w:pPr>
    <w:r>
      <w:rPr>
        <w:rStyle w:val="14"/>
      </w:rPr>
      <w:fldChar w:fldCharType="begin"/>
    </w:r>
    <w:r>
      <w:rPr>
        <w:rStyle w:val="14"/>
      </w:rPr>
      <w:instrText xml:space="preserve">Page</w:instrText>
    </w:r>
    <w:r>
      <w:rPr>
        <w:rStyle w:val="14"/>
      </w:rPr>
      <w:fldChar w:fldCharType="separate"/>
    </w:r>
    <w:r>
      <w:rPr>
        <w:rStyle w:val="14"/>
      </w:rPr>
      <w:t>1</w:t>
    </w:r>
    <w:r>
      <w:rPr>
        <w:rStyle w:val="14"/>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pBdr>
        <w:top w:val="none" w:color="auto" w:sz="0" w:space="0"/>
        <w:left w:val="none" w:color="auto" w:sz="0" w:space="0"/>
        <w:bottom w:val="none" w:color="auto" w:sz="0" w:space="0"/>
        <w:right w:val="none" w:color="auto" w:sz="0" w:space="0"/>
      </w:pBdr>
    </w:pPr>
    <w:r>
      <w:rPr>
        <w:rStyle w:val="14"/>
      </w:rPr>
      <w:fldChar w:fldCharType="begin"/>
    </w:r>
    <w:r>
      <w:rPr>
        <w:rStyle w:val="14"/>
      </w:rPr>
      <w:instrText xml:space="preserve">Page</w:instrText>
    </w:r>
    <w:r>
      <w:rPr>
        <w:rStyle w:val="14"/>
      </w:rPr>
      <w:fldChar w:fldCharType="separate"/>
    </w:r>
    <w:r>
      <w:rPr>
        <w:rStyle w:val="14"/>
      </w:rPr>
      <w:t>1</w:t>
    </w:r>
    <w:r>
      <w:rPr>
        <w:rStyle w:val="14"/>
      </w:rP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93231"/>
    <w:multiLevelType w:val="singleLevel"/>
    <w:tmpl w:val="B0493231"/>
    <w:lvl w:ilvl="0" w:tentative="0">
      <w:start w:val="1"/>
      <w:numFmt w:val="decimal"/>
      <w:lvlText w:val="%1."/>
      <w:lvlJc w:val="left"/>
      <w:pPr>
        <w:tabs>
          <w:tab w:val="left" w:pos="312"/>
        </w:tabs>
      </w:pPr>
    </w:lvl>
  </w:abstractNum>
  <w:abstractNum w:abstractNumId="1">
    <w:nsid w:val="35AF8EE1"/>
    <w:multiLevelType w:val="singleLevel"/>
    <w:tmpl w:val="35AF8EE1"/>
    <w:lvl w:ilvl="0" w:tentative="0">
      <w:start w:val="2"/>
      <w:numFmt w:val="chineseCounting"/>
      <w:suff w:val="nothing"/>
      <w:lvlText w:val="（%1）"/>
      <w:lvlJc w:val="left"/>
      <w:pPr>
        <w:ind w:left="0" w:firstLine="0"/>
      </w:pPr>
      <w:rPr>
        <w:rFonts w:hint="eastAsia"/>
      </w:rPr>
    </w:lvl>
  </w:abstractNum>
  <w:abstractNum w:abstractNumId="2">
    <w:nsid w:val="45D4FE6F"/>
    <w:multiLevelType w:val="singleLevel"/>
    <w:tmpl w:val="45D4FE6F"/>
    <w:lvl w:ilvl="0" w:tentative="0">
      <w:start w:val="2"/>
      <w:numFmt w:val="chineseCounting"/>
      <w:suff w:val="nothing"/>
      <w:lvlText w:val="（%1）"/>
      <w:lvlJc w:val="left"/>
      <w:pPr>
        <w:ind w:left="0"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720"/>
  <w:drawingGridHorizontalSpacing w:val="110"/>
  <w:drawingGridVerticalSpacing w:val="156"/>
  <w:displayHorizontalDrawingGridEvery w:val="0"/>
  <w:displayVerticalDrawingGridEvery w:val="1"/>
  <w:compat>
    <w:spaceForUL/>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0YWZlZjI3OGY2NmIwYTVjMjY1MzM5OTIwY2NkZTUifQ=="/>
    <w:docVar w:name="KSO_WPS_MARK_KEY" w:val="4655e12c-1252-4f3e-84f1-2ca2f2b17c7b"/>
  </w:docVars>
  <w:rsids>
    <w:rsidRoot w:val="00000000"/>
    <w:rsid w:val="14767E2F"/>
    <w:rsid w:val="2C445A07"/>
    <w:rsid w:val="609F58D3"/>
    <w:rsid w:val="CF7BC8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宋体" w:hAnsi="Times New Roman" w:eastAsia="宋体" w:cs="宋体"/>
      <w:kern w:val="0"/>
      <w:sz w:val="24"/>
      <w:szCs w:val="24"/>
      <w:lang w:val="en-US" w:eastAsia="zh-CN" w:bidi="ar-SA"/>
    </w:rPr>
  </w:style>
  <w:style w:type="paragraph" w:styleId="4">
    <w:name w:val="heading 1"/>
    <w:basedOn w:val="1"/>
    <w:next w:val="1"/>
    <w:qFormat/>
    <w:uiPriority w:val="0"/>
    <w:pPr>
      <w:spacing w:before="0" w:beforeAutospacing="1" w:after="0" w:afterAutospacing="1"/>
      <w:jc w:val="left"/>
      <w:outlineLvl w:val="0"/>
    </w:pPr>
    <w:rPr>
      <w:rFonts w:ascii="宋体" w:eastAsia="宋体" w:cs="宋体"/>
      <w:b/>
      <w:kern w:val="44"/>
      <w:sz w:val="48"/>
      <w:szCs w:val="48"/>
      <w:lang w:val="en-US" w:eastAsia="zh-CN"/>
    </w:rPr>
  </w:style>
  <w:style w:type="paragraph" w:styleId="5">
    <w:name w:val="heading 2"/>
    <w:basedOn w:val="1"/>
    <w:next w:val="1"/>
    <w:qFormat/>
    <w:uiPriority w:val="0"/>
    <w:pPr>
      <w:spacing w:before="0" w:beforeAutospacing="1" w:after="0" w:afterAutospacing="1"/>
      <w:jc w:val="left"/>
      <w:outlineLvl w:val="1"/>
    </w:pPr>
    <w:rPr>
      <w:rFonts w:ascii="宋体" w:eastAsia="宋体" w:cs="宋体"/>
      <w:b/>
      <w:kern w:val="0"/>
      <w:sz w:val="36"/>
      <w:szCs w:val="36"/>
      <w:lang w:val="en-US" w:eastAsia="zh-CN"/>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120" w:afterAutospacing="0"/>
      <w:ind w:left="200" w:leftChars="200" w:firstLine="200" w:firstLineChars="200"/>
      <w:jc w:val="left"/>
    </w:pPr>
    <w:rPr>
      <w:rFonts w:ascii="宋体" w:eastAsia="宋体" w:cs="宋体"/>
      <w:kern w:val="0"/>
      <w:sz w:val="24"/>
      <w:szCs w:val="24"/>
      <w:lang w:val="en-US" w:eastAsia="zh-CN"/>
    </w:rPr>
  </w:style>
  <w:style w:type="paragraph" w:styleId="3">
    <w:name w:val="Body Text Indent"/>
    <w:basedOn w:val="1"/>
    <w:qFormat/>
    <w:uiPriority w:val="0"/>
    <w:pPr>
      <w:spacing w:after="120" w:afterAutospacing="0"/>
      <w:ind w:left="200" w:leftChars="200"/>
      <w:jc w:val="left"/>
    </w:pPr>
    <w:rPr>
      <w:rFonts w:ascii="宋体" w:eastAsia="宋体" w:cs="宋体"/>
      <w:kern w:val="0"/>
      <w:sz w:val="24"/>
      <w:szCs w:val="24"/>
      <w:lang w:val="en-US" w:eastAsia="zh-CN"/>
    </w:rPr>
  </w:style>
  <w:style w:type="paragraph" w:styleId="7">
    <w:name w:val="Body Text"/>
    <w:basedOn w:val="1"/>
    <w:qFormat/>
    <w:uiPriority w:val="0"/>
    <w:pPr>
      <w:spacing w:before="30" w:beforeLines="30" w:beforeAutospacing="0"/>
      <w:jc w:val="left"/>
    </w:pPr>
    <w:rPr>
      <w:rFonts w:ascii="仿宋_GB2312" w:eastAsia="仿宋_GB2312" w:cs="宋体"/>
      <w:kern w:val="0"/>
      <w:sz w:val="30"/>
      <w:szCs w:val="30"/>
      <w:lang w:val="en-US" w:eastAsia="zh-CN"/>
    </w:rPr>
  </w:style>
  <w:style w:type="paragraph" w:styleId="8">
    <w:name w:val="footer"/>
    <w:basedOn w:val="1"/>
    <w:qFormat/>
    <w:uiPriority w:val="0"/>
    <w:pPr>
      <w:tabs>
        <w:tab w:val="center" w:pos="4153"/>
        <w:tab w:val="right" w:pos="8307"/>
      </w:tabs>
      <w:adjustRightInd w:val="0"/>
      <w:snapToGrid w:val="0"/>
      <w:jc w:val="left"/>
    </w:pPr>
    <w:rPr>
      <w:sz w:val="18"/>
    </w:rPr>
  </w:style>
  <w:style w:type="paragraph" w:styleId="9">
    <w:name w:val="header"/>
    <w:basedOn w:val="1"/>
    <w:qFormat/>
    <w:uiPriority w:val="0"/>
    <w:pPr>
      <w:pBdr>
        <w:bottom w:val="single" w:color="auto" w:sz="6" w:space="1"/>
      </w:pBdr>
      <w:tabs>
        <w:tab w:val="center" w:pos="4153"/>
        <w:tab w:val="right" w:pos="8307"/>
      </w:tabs>
      <w:adjustRightInd w:val="0"/>
      <w:snapToGrid w:val="0"/>
      <w:jc w:val="center"/>
    </w:pPr>
    <w:rPr>
      <w:sz w:val="18"/>
    </w:rPr>
  </w:style>
  <w:style w:type="paragraph" w:styleId="10">
    <w:name w:val="Normal (Web)"/>
    <w:basedOn w:val="1"/>
    <w:qFormat/>
    <w:uiPriority w:val="0"/>
    <w:pPr>
      <w:spacing w:before="0" w:beforeAutospacing="1" w:after="0" w:afterAutospacing="1"/>
      <w:ind w:left="0" w:right="0"/>
      <w:jc w:val="left"/>
    </w:pPr>
    <w:rPr>
      <w:rFonts w:ascii="宋体" w:eastAsia="宋体" w:cs="宋体"/>
      <w:kern w:val="0"/>
      <w:sz w:val="24"/>
      <w:szCs w:val="24"/>
      <w:lang w:val="en-US" w:eastAsia="zh-CN"/>
    </w:rPr>
  </w:style>
  <w:style w:type="character" w:styleId="13">
    <w:name w:val="Strong"/>
    <w:qFormat/>
    <w:uiPriority w:val="0"/>
    <w:rPr>
      <w:b/>
    </w:rPr>
  </w:style>
  <w:style w:type="character" w:styleId="14">
    <w:name w:val="page number"/>
    <w:basedOn w:val="12"/>
    <w:qFormat/>
    <w:uiPriority w:val="0"/>
  </w:style>
  <w:style w:type="character" w:styleId="15">
    <w:name w:val="Hyperlink"/>
    <w:basedOn w:val="12"/>
    <w:qFormat/>
    <w:uiPriority w:val="0"/>
    <w:rPr>
      <w:color w:val="0000FF"/>
      <w:u w:val="single"/>
    </w:rPr>
  </w:style>
  <w:style w:type="paragraph" w:customStyle="1" w:styleId="16">
    <w:name w:val="WPSOffice手动目录 1"/>
    <w:next w:val="17"/>
    <w:qFormat/>
    <w:uiPriority w:val="0"/>
    <w:rPr>
      <w:rFonts w:ascii="Times New Roman" w:hAnsi="Times New Roman" w:eastAsia="宋体" w:cs="Times New Roman"/>
      <w:sz w:val="20"/>
      <w:szCs w:val="20"/>
      <w:lang w:val="en-US" w:eastAsia="zh-CN" w:bidi="ar-SA"/>
    </w:rPr>
  </w:style>
  <w:style w:type="paragraph" w:customStyle="1" w:styleId="1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18">
    <w:name w:val="WPSOffice手动目录 2"/>
    <w:next w:val="9"/>
    <w:qFormat/>
    <w:uiPriority w:val="0"/>
    <w:pPr>
      <w:ind w:left="200" w:leftChars="200"/>
    </w:pPr>
    <w:rPr>
      <w:rFonts w:ascii="Times New Roman" w:hAnsi="Times New Roman" w:eastAsia="宋体" w:cs="Times New Roman"/>
      <w:sz w:val="20"/>
      <w:szCs w:val="20"/>
      <w:lang w:val="en-US" w:eastAsia="zh-CN" w:bidi="ar-SA"/>
    </w:rPr>
  </w:style>
  <w:style w:type="paragraph" w:customStyle="1" w:styleId="19">
    <w:name w:val="普通(网站) Char"/>
    <w:basedOn w:val="1"/>
    <w:next w:val="18"/>
    <w:qFormat/>
    <w:uiPriority w:val="0"/>
    <w:pPr>
      <w:spacing w:before="0" w:beforeAutospacing="1" w:after="0" w:afterAutospacing="1"/>
      <w:ind w:left="0" w:right="0"/>
      <w:jc w:val="left"/>
    </w:pPr>
    <w:rPr>
      <w:rFonts w:ascii="宋体" w:eastAsia="宋体" w:cs="宋体"/>
      <w:kern w:val="0"/>
      <w:sz w:val="24"/>
      <w:szCs w:val="24"/>
      <w:lang w:val="en-US" w:eastAsia="zh-CN"/>
    </w:rPr>
  </w:style>
  <w:style w:type="character" w:customStyle="1" w:styleId="20">
    <w:name w:val="15"/>
    <w:qFormat/>
    <w:uiPriority w:val="0"/>
    <w:rPr>
      <w:rFonts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84916\Desktop\&#22270;&#24418;.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红原县红十字会2022年与2021年年度收支对比</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overlay val="0"/>
    </c:title>
    <c:autoTitleDeleted val="0"/>
    <c:plotArea>
      <c:layout/>
      <c:barChart>
        <c:barDir val="col"/>
        <c:grouping val="clustered"/>
        <c:varyColors val="0"/>
        <c:ser>
          <c:idx val="0"/>
          <c:order val="0"/>
          <c:tx>
            <c:strRef>
              <c:f>[图形.xls]Sheet1!$B$6</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[图形.xls]Sheet1!$C$5:$D$5</c:f>
              <c:strCache>
                <c:ptCount val="2"/>
                <c:pt idx="0">
                  <c:v>决算收入</c:v>
                </c:pt>
                <c:pt idx="1">
                  <c:v>决算支出</c:v>
                </c:pt>
              </c:strCache>
            </c:strRef>
          </c:cat>
          <c:val>
            <c:numRef>
              <c:f>[图形.xls]Sheet1!$C$6:$D$6</c:f>
              <c:numCache>
                <c:formatCode>General</c:formatCode>
                <c:ptCount val="2"/>
                <c:pt idx="0">
                  <c:v>212.54</c:v>
                </c:pt>
                <c:pt idx="1">
                  <c:v>212.54</c:v>
                </c:pt>
              </c:numCache>
            </c:numRef>
          </c:val>
        </c:ser>
        <c:ser>
          <c:idx val="1"/>
          <c:order val="1"/>
          <c:tx>
            <c:strRef>
              <c:f>[图形.xls]Sheet1!$B$7</c:f>
              <c:strCache>
                <c:ptCount val="1"/>
                <c:pt idx="0">
                  <c:v>2021</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[图形.xls]Sheet1!$C$5:$D$5</c:f>
              <c:strCache>
                <c:ptCount val="2"/>
                <c:pt idx="0">
                  <c:v>决算收入</c:v>
                </c:pt>
                <c:pt idx="1">
                  <c:v>决算支出</c:v>
                </c:pt>
              </c:strCache>
            </c:strRef>
          </c:cat>
          <c:val>
            <c:numRef>
              <c:f>[图形.xls]Sheet1!$C$7:$D$7</c:f>
              <c:numCache>
                <c:formatCode>General</c:formatCode>
                <c:ptCount val="2"/>
                <c:pt idx="0">
                  <c:v>137.65</c:v>
                </c:pt>
                <c:pt idx="1">
                  <c:v>137.65</c:v>
                </c:pt>
              </c:numCache>
            </c:numRef>
          </c:val>
        </c:ser>
        <c:dLbls>
          <c:showLegendKey val="0"/>
          <c:showVal val="0"/>
          <c:showCatName val="0"/>
          <c:showSerName val="0"/>
          <c:showPercent val="0"/>
          <c:showBubbleSize val="0"/>
        </c:dLbls>
        <c:gapWidth val="219"/>
        <c:overlap val="-27"/>
        <c:axId val="449268628"/>
        <c:axId val="462140030"/>
      </c:barChart>
      <c:catAx>
        <c:axId val="449268628"/>
        <c:scaling>
          <c:orientation val="minMax"/>
        </c:scaling>
        <c:delete val="0"/>
        <c:axPos val="b"/>
        <c:majorTickMark val="none"/>
        <c:minorTickMark val="none"/>
        <c:tickLblPos val="nextTo"/>
        <c:spPr>
          <a:ln w="12700" cap="flat" cmpd="sng" algn="ctr">
            <a:solidFill>
              <a:srgbClr val="D8D8D8">
                <a:alpha val="100000"/>
              </a:srgbClr>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462140030"/>
        <c:crosses val="autoZero"/>
        <c:auto val="1"/>
        <c:lblAlgn val="ctr"/>
        <c:lblOffset val="100"/>
        <c:noMultiLvlLbl val="0"/>
      </c:catAx>
      <c:valAx>
        <c:axId val="462140030"/>
        <c:scaling>
          <c:orientation val="minMax"/>
        </c:scaling>
        <c:delete val="0"/>
        <c:axPos val="l"/>
        <c:majorGridlines>
          <c:spPr>
            <a:ln w="12700" cap="flat" cmpd="sng" algn="ctr">
              <a:solidFill>
                <a:srgbClr val="D8D8D8">
                  <a:alpha val="100000"/>
                </a:srgbClr>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449268628"/>
        <c:crosses val="autoZero"/>
        <c:crossBetween val="between"/>
      </c:valAx>
      <c:spPr>
        <a:noFill/>
        <a:ln w="12700">
          <a:noFill/>
        </a:ln>
      </c:spPr>
    </c:plotArea>
    <c:legend>
      <c:legendPos val="b"/>
      <c:layout>
        <c:manualLayout>
          <c:xMode val="edge"/>
          <c:yMode val="edge"/>
          <c:x val="0.400417937927407"/>
          <c:y val="0.879747074122237"/>
          <c:w val="0.2105"/>
          <c:h val="0.1105"/>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gap"/>
    <c:showDLblsOverMax val="0"/>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红原县红十字会2022年本年收入合计</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overlay val="0"/>
    </c:title>
    <c:autoTitleDeleted val="0"/>
    <c:plotArea>
      <c:layout/>
      <c:pieChart>
        <c:varyColors val="1"/>
        <c:ser>
          <c:idx val="0"/>
          <c:order val="0"/>
          <c:tx>
            <c:strRef>
              <c:f>[图形.xls]Sheet1!$C$23</c:f>
              <c:strCache>
                <c:ptCount val="1"/>
                <c:pt idx="0">
                  <c:v>占比</c:v>
                </c:pt>
              </c:strCache>
            </c:strRef>
          </c:tx>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3"/>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4"/>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5"/>
            <c:bubble3D val="0"/>
            <c:explosion val="0"/>
            <c:spPr>
              <a:solidFill>
                <a:srgbClr val="70AD47">
                  <a:alpha val="100000"/>
                </a:srgbClr>
              </a:solidFill>
              <a:ln w="25400">
                <a:solidFill>
                  <a:srgbClr val="FFFFFF">
                    <a:alpha val="100000"/>
                  </a:srgbClr>
                </a:solidFill>
                <a:prstDash val="solid"/>
              </a:ln>
            </c:spPr>
          </c:dPt>
          <c:dPt>
            <c:idx val="6"/>
            <c:bubble3D val="0"/>
            <c:explosion val="0"/>
            <c:spPr>
              <a:solidFill>
                <a:srgbClr val="255E91">
                  <a:alpha val="100000"/>
                </a:srgbClr>
              </a:solidFill>
              <a:ln w="25400">
                <a:solidFill>
                  <a:srgbClr val="FFFFFF">
                    <a:alpha val="100000"/>
                  </a:srgbClr>
                </a:solidFill>
                <a:prstDash val="solid"/>
              </a:ln>
            </c:spPr>
          </c:dPt>
          <c:dPt>
            <c:idx val="7"/>
            <c:bubble3D val="0"/>
            <c:explosion val="0"/>
            <c:spPr>
              <a:solidFill>
                <a:srgbClr val="9E480E">
                  <a:alpha val="100000"/>
                </a:srgbClr>
              </a:solidFill>
              <a:ln w="25400">
                <a:solidFill>
                  <a:srgbClr val="FFFFFF">
                    <a:alpha val="100000"/>
                  </a:srgbClr>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宋体" panose="02010600030101010101" charset="-122"/>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[图形.xls]Sheet1!$B$24:$B$31</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[图形.xls]Sheet1!$C$24:$C$31</c:f>
              <c:numCache>
                <c:formatCode>General</c:formatCode>
                <c:ptCount val="8"/>
                <c:pt idx="0">
                  <c:v>100</c:v>
                </c:pt>
                <c:pt idx="1">
                  <c:v>0</c:v>
                </c:pt>
                <c:pt idx="2">
                  <c:v>0</c:v>
                </c:pt>
                <c:pt idx="3">
                  <c:v>0</c:v>
                </c:pt>
                <c:pt idx="4">
                  <c:v>0</c:v>
                </c:pt>
                <c:pt idx="5">
                  <c:v>0</c:v>
                </c:pt>
                <c:pt idx="6">
                  <c:v>0</c:v>
                </c:pt>
                <c:pt idx="7">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b"/>
      <c:layout>
        <c:manualLayout>
          <c:xMode val="edge"/>
          <c:yMode val="edge"/>
          <c:x val="0.114993283214198"/>
          <c:y val="0.657653811045185"/>
          <c:w val="0.786"/>
          <c:h val="0.3355"/>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zero"/>
    <c:showDLblsOverMax val="0"/>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红原县红十字会2022年本年支出合计</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overlay val="0"/>
    </c:title>
    <c:autoTitleDeleted val="0"/>
    <c:plotArea>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3"/>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4"/>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[图形.xls]Sheet1!$M$4:$M$8</c:f>
              <c:strCache>
                <c:ptCount val="5"/>
                <c:pt idx="0">
                  <c:v>基本支出</c:v>
                </c:pt>
                <c:pt idx="1">
                  <c:v>项目支出</c:v>
                </c:pt>
                <c:pt idx="2">
                  <c:v>上缴上级支出</c:v>
                </c:pt>
                <c:pt idx="3">
                  <c:v>经营支出</c:v>
                </c:pt>
                <c:pt idx="4">
                  <c:v>对附属单位补助支出</c:v>
                </c:pt>
              </c:strCache>
            </c:strRef>
          </c:cat>
          <c:val>
            <c:numRef>
              <c:f>[图形.xls]Sheet1!$N$4:$N$8</c:f>
              <c:numCache>
                <c:formatCode>General</c:formatCode>
                <c:ptCount val="5"/>
                <c:pt idx="0">
                  <c:v>151.47</c:v>
                </c:pt>
                <c:pt idx="1">
                  <c:v>61.07</c:v>
                </c:pt>
                <c:pt idx="2">
                  <c:v>0</c:v>
                </c:pt>
                <c:pt idx="3">
                  <c:v>0</c:v>
                </c:pt>
                <c:pt idx="4">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b"/>
      <c:layout>
        <c:manualLayout>
          <c:xMode val="edge"/>
          <c:yMode val="edge"/>
          <c:x val="0.087"/>
          <c:y val="0.83775"/>
          <c:w val="0.8255"/>
          <c:h val="0.12625"/>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zero"/>
    <c:showDLblsOverMax val="0"/>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红原县红十字会2022年与2021年财政拨款收支对比</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manualLayout>
          <c:x val="-0.01875"/>
          <c:y val="0.00675"/>
        </c:manualLayout>
      </c:layout>
      <c:overlay val="0"/>
      <c:spPr>
        <a:noFill/>
        <a:ln w="12700">
          <a:solidFill>
            <a:srgbClr val="000000">
              <a:alpha val="100000"/>
            </a:srgbClr>
          </a:solidFill>
          <a:prstDash val="solid"/>
        </a:ln>
      </c:spPr>
    </c:title>
    <c:autoTitleDeleted val="0"/>
    <c:plotArea>
      <c:layout/>
      <c:barChart>
        <c:barDir val="col"/>
        <c:grouping val="clustered"/>
        <c:varyColors val="0"/>
        <c:ser>
          <c:idx val="0"/>
          <c:order val="0"/>
          <c:tx>
            <c:strRef>
              <c:f>[图形.xls]Sheet1!$M$25</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[图形.xls]Sheet1!$N$24:$O$24</c:f>
              <c:strCache>
                <c:ptCount val="2"/>
                <c:pt idx="0">
                  <c:v>决算收入</c:v>
                </c:pt>
                <c:pt idx="1">
                  <c:v>决算支出</c:v>
                </c:pt>
              </c:strCache>
            </c:strRef>
          </c:cat>
          <c:val>
            <c:numRef>
              <c:f>[图形.xls]Sheet1!$N$25:$O$25</c:f>
              <c:numCache>
                <c:formatCode>General</c:formatCode>
                <c:ptCount val="2"/>
                <c:pt idx="0">
                  <c:v>212.54</c:v>
                </c:pt>
                <c:pt idx="1">
                  <c:v>212.54</c:v>
                </c:pt>
              </c:numCache>
            </c:numRef>
          </c:val>
        </c:ser>
        <c:ser>
          <c:idx val="1"/>
          <c:order val="1"/>
          <c:tx>
            <c:strRef>
              <c:f>[图形.xls]Sheet1!$M$26</c:f>
              <c:strCache>
                <c:ptCount val="1"/>
                <c:pt idx="0">
                  <c:v>2021</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[图形.xls]Sheet1!$N$24:$O$24</c:f>
              <c:strCache>
                <c:ptCount val="2"/>
                <c:pt idx="0">
                  <c:v>决算收入</c:v>
                </c:pt>
                <c:pt idx="1">
                  <c:v>决算支出</c:v>
                </c:pt>
              </c:strCache>
            </c:strRef>
          </c:cat>
          <c:val>
            <c:numRef>
              <c:f>[图形.xls]Sheet1!$N$26:$O$26</c:f>
              <c:numCache>
                <c:formatCode>General</c:formatCode>
                <c:ptCount val="2"/>
                <c:pt idx="0">
                  <c:v>131.15</c:v>
                </c:pt>
                <c:pt idx="1">
                  <c:v>131.15</c:v>
                </c:pt>
              </c:numCache>
            </c:numRef>
          </c:val>
        </c:ser>
        <c:dLbls>
          <c:showLegendKey val="0"/>
          <c:showVal val="0"/>
          <c:showCatName val="0"/>
          <c:showSerName val="0"/>
          <c:showPercent val="0"/>
          <c:showBubbleSize val="0"/>
        </c:dLbls>
        <c:gapWidth val="219"/>
        <c:overlap val="-27"/>
        <c:axId val="308570161"/>
        <c:axId val="686026208"/>
      </c:barChart>
      <c:catAx>
        <c:axId val="308570161"/>
        <c:scaling>
          <c:orientation val="minMax"/>
        </c:scaling>
        <c:delete val="0"/>
        <c:axPos val="b"/>
        <c:majorTickMark val="none"/>
        <c:minorTickMark val="none"/>
        <c:tickLblPos val="nextTo"/>
        <c:spPr>
          <a:ln w="12700" cap="flat" cmpd="sng" algn="ctr">
            <a:solidFill>
              <a:srgbClr val="D8D8D8">
                <a:alpha val="100000"/>
              </a:srgbClr>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686026208"/>
        <c:crosses val="autoZero"/>
        <c:auto val="1"/>
        <c:lblAlgn val="ctr"/>
        <c:lblOffset val="100"/>
        <c:noMultiLvlLbl val="0"/>
      </c:catAx>
      <c:valAx>
        <c:axId val="686026208"/>
        <c:scaling>
          <c:orientation val="minMax"/>
        </c:scaling>
        <c:delete val="0"/>
        <c:axPos val="l"/>
        <c:majorGridlines>
          <c:spPr>
            <a:ln w="12700" cap="flat" cmpd="sng" algn="ctr">
              <a:solidFill>
                <a:srgbClr val="D8D8D8">
                  <a:alpha val="100000"/>
                </a:srgbClr>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308570161"/>
        <c:crosses val="autoZero"/>
        <c:crossBetween val="between"/>
      </c:valAx>
      <c:spPr>
        <a:noFill/>
        <a:ln w="12700">
          <a:noFill/>
        </a:ln>
      </c:spPr>
    </c:plotArea>
    <c:legend>
      <c:legendPos val="b"/>
      <c:layout>
        <c:manualLayout>
          <c:xMode val="edge"/>
          <c:yMode val="edge"/>
          <c:x val="0.39175"/>
          <c:y val="0.84225"/>
          <c:w val="0.216"/>
          <c:h val="0.12025"/>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gap"/>
    <c:showDLblsOverMax val="0"/>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红原县红十字会2022年与2021年一般公共预算财政拨款支出对比</a:t>
            </a:r>
            <a:endParaRPr sz="14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manualLayout>
          <c:x val="0.0225"/>
          <c:y val="0.00675"/>
        </c:manualLayout>
      </c:layout>
      <c:overlay val="0"/>
    </c:title>
    <c:autoTitleDeleted val="0"/>
    <c:plotArea>
      <c:layout>
        <c:manualLayout>
          <c:layoutTarget val="inner"/>
          <c:xMode val="edge"/>
          <c:yMode val="edge"/>
          <c:x val="0.127"/>
          <c:y val="0.22275"/>
          <c:w val="0.83625"/>
          <c:h val="0.603"/>
        </c:manualLayout>
      </c:layout>
      <c:barChart>
        <c:barDir val="col"/>
        <c:grouping val="clustered"/>
        <c:varyColors val="0"/>
        <c:ser>
          <c:idx val="0"/>
          <c:order val="0"/>
          <c:tx>
            <c:strRef>
              <c:f>[图形.xls]Sheet1!$B$36</c:f>
              <c:strCache>
                <c:ptCount val="1"/>
                <c:pt idx="0">
                  <c:v>2021</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[图形.xls]Sheet1!$C$35:$D$35</c:f>
              <c:strCache>
                <c:ptCount val="2"/>
                <c:pt idx="0">
                  <c:v>决算支出</c:v>
                </c:pt>
              </c:strCache>
            </c:strRef>
          </c:cat>
          <c:val>
            <c:numRef>
              <c:f>[图形.xls]Sheet1!$C$36:$D$36</c:f>
              <c:numCache>
                <c:formatCode>General</c:formatCode>
                <c:ptCount val="2"/>
                <c:pt idx="0">
                  <c:v>131.15</c:v>
                </c:pt>
              </c:numCache>
            </c:numRef>
          </c:val>
        </c:ser>
        <c:ser>
          <c:idx val="1"/>
          <c:order val="1"/>
          <c:tx>
            <c:strRef>
              <c:f>[图形.xls]Sheet1!$B$37</c:f>
              <c:strCache>
                <c:ptCount val="1"/>
                <c:pt idx="0">
                  <c:v>2022</c:v>
                </c:pt>
              </c:strCache>
            </c:strRef>
          </c:tx>
          <c:spPr>
            <a:gradFill>
              <a:gsLst>
                <a:gs pos="0">
                  <a:srgbClr val="000082"/>
                </a:gs>
                <a:gs pos="30000">
                  <a:srgbClr val="66008F"/>
                </a:gs>
                <a:gs pos="64999">
                  <a:srgbClr val="BA0066"/>
                </a:gs>
                <a:gs pos="89999">
                  <a:srgbClr val="FF0000"/>
                </a:gs>
                <a:gs pos="100000">
                  <a:srgbClr val="FF8200"/>
                </a:gs>
              </a:gsLst>
              <a:lin ang="5400000" scaled="1"/>
            </a:gradFill>
            <a:ln w="12700">
              <a:noFill/>
            </a:ln>
          </c:spPr>
          <c:invertIfNegative val="0"/>
          <c:dLbls>
            <c:numFmt formatCode="General" sourceLinked="1"/>
            <c:spPr>
              <a:noFill/>
              <a:ln w="12700">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[图形.xls]Sheet1!$C$35:$D$35</c:f>
              <c:strCache>
                <c:ptCount val="2"/>
                <c:pt idx="0">
                  <c:v>决算支出</c:v>
                </c:pt>
              </c:strCache>
            </c:strRef>
          </c:cat>
          <c:val>
            <c:numRef>
              <c:f>[图形.xls]Sheet1!$C$37:$D$37</c:f>
              <c:numCache>
                <c:formatCode>General</c:formatCode>
                <c:ptCount val="2"/>
                <c:pt idx="0">
                  <c:v>212.54</c:v>
                </c:pt>
              </c:numCache>
            </c:numRef>
          </c:val>
        </c:ser>
        <c:dLbls>
          <c:showLegendKey val="0"/>
          <c:showVal val="0"/>
          <c:showCatName val="0"/>
          <c:showSerName val="0"/>
          <c:showPercent val="0"/>
          <c:showBubbleSize val="0"/>
        </c:dLbls>
        <c:gapWidth val="219"/>
        <c:overlap val="-27"/>
        <c:axId val="595001048"/>
        <c:axId val="965212002"/>
      </c:barChart>
      <c:catAx>
        <c:axId val="595001048"/>
        <c:scaling>
          <c:orientation val="minMax"/>
        </c:scaling>
        <c:delete val="0"/>
        <c:axPos val="b"/>
        <c:majorTickMark val="none"/>
        <c:minorTickMark val="none"/>
        <c:tickLblPos val="nextTo"/>
        <c:spPr>
          <a:ln w="12700" cap="flat" cmpd="sng" algn="ctr">
            <a:solidFill>
              <a:srgbClr val="D8D8D8">
                <a:alpha val="100000"/>
              </a:srgbClr>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965212002"/>
        <c:crosses val="autoZero"/>
        <c:auto val="1"/>
        <c:lblAlgn val="ctr"/>
        <c:lblOffset val="100"/>
        <c:noMultiLvlLbl val="0"/>
      </c:catAx>
      <c:valAx>
        <c:axId val="965212002"/>
        <c:scaling>
          <c:orientation val="minMax"/>
        </c:scaling>
        <c:delete val="0"/>
        <c:axPos val="l"/>
        <c:majorGridlines>
          <c:spPr>
            <a:ln w="12700" cap="flat" cmpd="sng" algn="ctr">
              <a:solidFill>
                <a:srgbClr val="D8D8D8">
                  <a:alpha val="100000"/>
                </a:srgbClr>
              </a:solidFill>
              <a:prstDash val="solid"/>
              <a:round/>
            </a:ln>
          </c:spPr>
        </c:majorGridlines>
        <c:numFmt formatCode="General" sourceLinked="1"/>
        <c:majorTickMark val="none"/>
        <c:minorTickMark val="none"/>
        <c:tickLblPos val="nextTo"/>
        <c:spPr>
          <a:ln w="12700"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crossAx val="595001048"/>
        <c:crosses val="autoZero"/>
        <c:crossBetween val="between"/>
      </c:valAx>
      <c:spPr>
        <a:noFill/>
        <a:ln w="12700">
          <a:noFill/>
        </a:ln>
      </c:spPr>
    </c:plotArea>
    <c:legend>
      <c:legendPos val="r"/>
      <c:layout>
        <c:manualLayout>
          <c:xMode val="edge"/>
          <c:yMode val="edge"/>
          <c:x val="0.4045"/>
          <c:y val="0.8885"/>
          <c:w val="0.18175"/>
          <c:h val="0.101"/>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gap"/>
    <c:showDLblsOverMax val="0"/>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5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t>一般公共预算财政拨款支出决算结构</a:t>
            </a:r>
            <a:endParaRPr sz="1500" b="0" i="0" u="none" strike="noStrike" baseline="0">
              <a:solidFill>
                <a:srgbClr val="595959"/>
              </a:solidFill>
              <a:latin typeface="Times New Roman" panose="02020603050405020304" pitchFamily="4"/>
              <a:ea typeface="宋体" panose="02010600030101010101" charset="-122"/>
              <a:cs typeface="Arial" panose="020B0604020202020204" pitchFamily="2"/>
            </a:endParaRPr>
          </a:p>
        </c:rich>
      </c:tx>
      <c:layout/>
      <c:overlay val="0"/>
    </c:title>
    <c:autoTitleDeleted val="0"/>
    <c:plotArea>
      <c:layout>
        <c:manualLayout>
          <c:layoutTarget val="inner"/>
          <c:xMode val="edge"/>
          <c:yMode val="edge"/>
          <c:x val="0.4155"/>
          <c:y val="0.162"/>
          <c:w val="0.16675"/>
          <c:h val="0.233"/>
        </c:manualLayout>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3"/>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4"/>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5"/>
            <c:bubble3D val="0"/>
            <c:explosion val="0"/>
            <c:spPr>
              <a:solidFill>
                <a:srgbClr val="70AD47">
                  <a:alpha val="100000"/>
                </a:srgbClr>
              </a:solidFill>
              <a:ln w="25400">
                <a:solidFill>
                  <a:srgbClr val="FFFFFF">
                    <a:alpha val="100000"/>
                  </a:srgbClr>
                </a:solidFill>
                <a:prstDash val="solid"/>
              </a:ln>
            </c:spPr>
          </c:dPt>
          <c:dPt>
            <c:idx val="6"/>
            <c:bubble3D val="0"/>
            <c:explosion val="0"/>
            <c:spPr>
              <a:solidFill>
                <a:srgbClr val="255E91">
                  <a:alpha val="100000"/>
                </a:srgbClr>
              </a:solidFill>
              <a:ln w="25400">
                <a:solidFill>
                  <a:srgbClr val="FFFFFF">
                    <a:alpha val="100000"/>
                  </a:srgbClr>
                </a:solidFill>
                <a:prstDash val="solid"/>
              </a:ln>
            </c:spPr>
          </c:dPt>
          <c:dPt>
            <c:idx val="7"/>
            <c:bubble3D val="0"/>
            <c:explosion val="0"/>
            <c:spPr>
              <a:solidFill>
                <a:srgbClr val="9E480E">
                  <a:alpha val="100000"/>
                </a:srgbClr>
              </a:solidFill>
              <a:ln w="25400">
                <a:solidFill>
                  <a:srgbClr val="FFFFFF">
                    <a:alpha val="100000"/>
                  </a:srgbClr>
                </a:solidFill>
                <a:prstDash val="solid"/>
              </a:ln>
            </c:spPr>
          </c:dPt>
          <c:dPt>
            <c:idx val="8"/>
            <c:bubble3D val="0"/>
            <c:explosion val="0"/>
            <c:spPr>
              <a:solidFill>
                <a:srgbClr val="636363">
                  <a:alpha val="100000"/>
                </a:srgbClr>
              </a:solidFill>
              <a:ln w="25400">
                <a:solidFill>
                  <a:srgbClr val="FFFFFF">
                    <a:alpha val="100000"/>
                  </a:srgbClr>
                </a:solidFill>
                <a:prstDash val="solid"/>
              </a:ln>
            </c:spPr>
          </c:dPt>
          <c:dPt>
            <c:idx val="9"/>
            <c:bubble3D val="0"/>
            <c:explosion val="0"/>
            <c:spPr>
              <a:solidFill>
                <a:srgbClr val="997300">
                  <a:alpha val="100000"/>
                </a:srgbClr>
              </a:solidFill>
              <a:ln w="25400">
                <a:solidFill>
                  <a:srgbClr val="FFFFFF">
                    <a:alpha val="100000"/>
                  </a:srgbClr>
                </a:solidFill>
                <a:prstDash val="solid"/>
              </a:ln>
            </c:spPr>
          </c:dPt>
          <c:dPt>
            <c:idx val="10"/>
            <c:bubble3D val="0"/>
            <c:explosion val="0"/>
            <c:spPr>
              <a:solidFill>
                <a:srgbClr val="264478">
                  <a:alpha val="100000"/>
                </a:srgbClr>
              </a:solidFill>
              <a:ln w="25400">
                <a:solidFill>
                  <a:srgbClr val="FFFFFF">
                    <a:alpha val="100000"/>
                  </a:srgbClr>
                </a:solidFill>
                <a:prstDash val="solid"/>
              </a:ln>
            </c:spPr>
          </c:dPt>
          <c:dPt>
            <c:idx val="11"/>
            <c:bubble3D val="0"/>
            <c:explosion val="0"/>
            <c:spPr>
              <a:solidFill>
                <a:srgbClr val="43682B">
                  <a:alpha val="100000"/>
                </a:srgbClr>
              </a:solidFill>
              <a:ln w="25400">
                <a:solidFill>
                  <a:srgbClr val="FFFFFF">
                    <a:alpha val="100000"/>
                  </a:srgbClr>
                </a:solidFill>
                <a:prstDash val="solid"/>
              </a:ln>
            </c:spPr>
          </c:dPt>
          <c:dPt>
            <c:idx val="12"/>
            <c:bubble3D val="0"/>
            <c:explosion val="0"/>
            <c:spPr>
              <a:solidFill>
                <a:srgbClr val="7CAFDD">
                  <a:alpha val="100000"/>
                </a:srgbClr>
              </a:solidFill>
              <a:ln w="25400">
                <a:solidFill>
                  <a:srgbClr val="FFFFFF">
                    <a:alpha val="100000"/>
                  </a:srgbClr>
                </a:solidFill>
                <a:prstDash val="solid"/>
              </a:ln>
            </c:spPr>
          </c:dPt>
          <c:dPt>
            <c:idx val="13"/>
            <c:bubble3D val="0"/>
            <c:explosion val="0"/>
            <c:spPr>
              <a:solidFill>
                <a:srgbClr val="F1975A">
                  <a:alpha val="100000"/>
                </a:srgbClr>
              </a:solidFill>
              <a:ln w="25400">
                <a:solidFill>
                  <a:srgbClr val="FFFFFF">
                    <a:alpha val="100000"/>
                  </a:srgbClr>
                </a:solidFill>
                <a:prstDash val="solid"/>
              </a:ln>
            </c:spPr>
          </c:dPt>
          <c:dPt>
            <c:idx val="14"/>
            <c:bubble3D val="0"/>
            <c:explosion val="0"/>
            <c:spPr>
              <a:solidFill>
                <a:srgbClr val="B7B7B7">
                  <a:alpha val="100000"/>
                </a:srgbClr>
              </a:solidFill>
              <a:ln w="25400">
                <a:solidFill>
                  <a:srgbClr val="FFFFFF">
                    <a:alpha val="100000"/>
                  </a:srgbClr>
                </a:solidFill>
                <a:prstDash val="solid"/>
              </a:ln>
            </c:spPr>
          </c:dPt>
          <c:dPt>
            <c:idx val="15"/>
            <c:bubble3D val="0"/>
            <c:explosion val="0"/>
            <c:spPr>
              <a:solidFill>
                <a:srgbClr val="FFCD33">
                  <a:alpha val="100000"/>
                </a:srgbClr>
              </a:solidFill>
              <a:ln w="25400">
                <a:solidFill>
                  <a:srgbClr val="FFFFFF">
                    <a:alpha val="100000"/>
                  </a:srgbClr>
                </a:solidFill>
                <a:prstDash val="solid"/>
              </a:ln>
            </c:spPr>
          </c:dPt>
          <c:dPt>
            <c:idx val="16"/>
            <c:bubble3D val="0"/>
            <c:explosion val="0"/>
            <c:spPr>
              <a:solidFill>
                <a:srgbClr val="698ED0">
                  <a:alpha val="100000"/>
                </a:srgbClr>
              </a:solidFill>
              <a:ln w="25400">
                <a:solidFill>
                  <a:srgbClr val="FFFFFF">
                    <a:alpha val="100000"/>
                  </a:srgbClr>
                </a:solidFill>
                <a:prstDash val="solid"/>
              </a:ln>
            </c:spPr>
          </c:dPt>
          <c:dPt>
            <c:idx val="17"/>
            <c:bubble3D val="0"/>
            <c:explosion val="0"/>
            <c:spPr>
              <a:solidFill>
                <a:srgbClr val="8CC168">
                  <a:alpha val="100000"/>
                </a:srgbClr>
              </a:solidFill>
              <a:ln w="25400">
                <a:solidFill>
                  <a:srgbClr val="FFFFFF">
                    <a:alpha val="100000"/>
                  </a:srgbClr>
                </a:solidFill>
                <a:prstDash val="solid"/>
              </a:ln>
            </c:spPr>
          </c:dPt>
          <c:dPt>
            <c:idx val="18"/>
            <c:bubble3D val="0"/>
            <c:explosion val="0"/>
            <c:spPr>
              <a:solidFill>
                <a:srgbClr val="327DC2">
                  <a:alpha val="100000"/>
                </a:srgbClr>
              </a:solidFill>
              <a:ln w="25400">
                <a:solidFill>
                  <a:srgbClr val="FFFFFF">
                    <a:alpha val="100000"/>
                  </a:srgbClr>
                </a:solidFill>
                <a:prstDash val="solid"/>
              </a:ln>
            </c:spPr>
          </c:dPt>
          <c:dPt>
            <c:idx val="19"/>
            <c:bubble3D val="0"/>
            <c:explosion val="0"/>
            <c:spPr>
              <a:solidFill>
                <a:srgbClr val="D26012">
                  <a:alpha val="100000"/>
                </a:srgbClr>
              </a:solidFill>
              <a:ln w="25400">
                <a:solidFill>
                  <a:srgbClr val="FFFFFF">
                    <a:alpha val="100000"/>
                  </a:srgbClr>
                </a:solidFill>
                <a:prstDash val="solid"/>
              </a:ln>
            </c:spPr>
          </c:dPt>
          <c:dPt>
            <c:idx val="20"/>
            <c:bubble3D val="0"/>
            <c:explosion val="0"/>
            <c:spPr>
              <a:solidFill>
                <a:srgbClr val="848484">
                  <a:alpha val="100000"/>
                </a:srgbClr>
              </a:solidFill>
              <a:ln w="25400">
                <a:solidFill>
                  <a:srgbClr val="FFFFFF">
                    <a:alpha val="100000"/>
                  </a:srgbClr>
                </a:solidFill>
                <a:prstDash val="solid"/>
              </a:ln>
            </c:spPr>
          </c:dPt>
          <c:dPt>
            <c:idx val="21"/>
            <c:bubble3D val="0"/>
            <c:explosion val="0"/>
            <c:spPr>
              <a:solidFill>
                <a:srgbClr val="CC9A00">
                  <a:alpha val="100000"/>
                </a:srgbClr>
              </a:solidFill>
              <a:ln w="25400">
                <a:solidFill>
                  <a:srgbClr val="FFFFFF">
                    <a:alpha val="100000"/>
                  </a:srgbClr>
                </a:solidFill>
                <a:prstDash val="solid"/>
              </a:ln>
            </c:spPr>
          </c:dPt>
          <c:dPt>
            <c:idx val="22"/>
            <c:bubble3D val="0"/>
            <c:explosion val="0"/>
            <c:spPr>
              <a:solidFill>
                <a:srgbClr val="335AA1">
                  <a:alpha val="100000"/>
                </a:srgbClr>
              </a:solidFill>
              <a:ln w="25400">
                <a:solidFill>
                  <a:srgbClr val="FFFFFF">
                    <a:alpha val="100000"/>
                  </a:srgbClr>
                </a:solidFill>
                <a:prstDash val="solid"/>
              </a:ln>
            </c:spPr>
          </c:dPt>
          <c:dPt>
            <c:idx val="23"/>
            <c:bubble3D val="0"/>
            <c:explosion val="0"/>
            <c:spPr>
              <a:solidFill>
                <a:srgbClr val="5A8A39">
                  <a:alpha val="100000"/>
                </a:srgbClr>
              </a:solidFill>
              <a:ln w="25400">
                <a:solidFill>
                  <a:srgbClr val="FFFFFF">
                    <a:alpha val="100000"/>
                  </a:srgbClr>
                </a:solidFill>
                <a:prstDash val="solid"/>
              </a:ln>
            </c:spPr>
          </c:dPt>
          <c:dLbls>
            <c:dLbl>
              <c:idx val="18"/>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bestFit"/>
              <c:showLegendKey val="0"/>
              <c:showVal val="1"/>
              <c:showCatName val="0"/>
              <c:showSerName val="0"/>
              <c:showPercent val="0"/>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[图形.xls]Sheet1!$M$38:$M$61</c:f>
              <c:strCache>
                <c:ptCount val="24"/>
                <c:pt idx="0">
                  <c:v>一般公共服务</c:v>
                </c:pt>
                <c:pt idx="1">
                  <c:v>公共安全支出</c:v>
                </c:pt>
                <c:pt idx="2">
                  <c:v>文化旅游体育与传媒</c:v>
                </c:pt>
                <c:pt idx="3">
                  <c:v>节能环保支出</c:v>
                </c:pt>
                <c:pt idx="4">
                  <c:v>交通运输支出</c:v>
                </c:pt>
                <c:pt idx="5">
                  <c:v>金融支出</c:v>
                </c:pt>
                <c:pt idx="6">
                  <c:v>住房保障支出</c:v>
                </c:pt>
                <c:pt idx="7">
                  <c:v>灾害防治及应急管理支出</c:v>
                </c:pt>
                <c:pt idx="8">
                  <c:v>外交支出</c:v>
                </c:pt>
                <c:pt idx="9">
                  <c:v>教育支出</c:v>
                </c:pt>
                <c:pt idx="10">
                  <c:v>社会保障和就业</c:v>
                </c:pt>
                <c:pt idx="11">
                  <c:v>城乡社区支出</c:v>
                </c:pt>
                <c:pt idx="12">
                  <c:v>资源勘探信息等支出</c:v>
                </c:pt>
                <c:pt idx="13">
                  <c:v>援助其他地区支出</c:v>
                </c:pt>
                <c:pt idx="14">
                  <c:v>粮油物资储备支出</c:v>
                </c:pt>
                <c:pt idx="15">
                  <c:v>其他支出</c:v>
                </c:pt>
                <c:pt idx="16">
                  <c:v>国防支出</c:v>
                </c:pt>
                <c:pt idx="17">
                  <c:v>科学支出</c:v>
                </c:pt>
                <c:pt idx="18">
                  <c:v>卫生健康支出</c:v>
                </c:pt>
                <c:pt idx="19">
                  <c:v>农林水支出</c:v>
                </c:pt>
                <c:pt idx="20">
                  <c:v>商业服务业等支出</c:v>
                </c:pt>
                <c:pt idx="21">
                  <c:v>自然资源海洋气象等支出</c:v>
                </c:pt>
              </c:strCache>
            </c:strRef>
          </c:cat>
          <c:val>
            <c:numRef>
              <c:f>[图形.xls]Sheet1!$N$38:$N$61</c:f>
              <c:numCache>
                <c:formatCode>General</c:formatCode>
                <c:ptCount val="24"/>
                <c:pt idx="0">
                  <c:v>0</c:v>
                </c:pt>
                <c:pt idx="1">
                  <c:v>0</c:v>
                </c:pt>
                <c:pt idx="2">
                  <c:v>0</c:v>
                </c:pt>
                <c:pt idx="3">
                  <c:v>0</c:v>
                </c:pt>
                <c:pt idx="4">
                  <c:v>0</c:v>
                </c:pt>
                <c:pt idx="5">
                  <c:v>0</c:v>
                </c:pt>
                <c:pt idx="6">
                  <c:v>9.85</c:v>
                </c:pt>
                <c:pt idx="7">
                  <c:v>0</c:v>
                </c:pt>
                <c:pt idx="8">
                  <c:v>0</c:v>
                </c:pt>
                <c:pt idx="9">
                  <c:v>0</c:v>
                </c:pt>
                <c:pt idx="10">
                  <c:v>195.09</c:v>
                </c:pt>
                <c:pt idx="11">
                  <c:v>0</c:v>
                </c:pt>
                <c:pt idx="12">
                  <c:v>0</c:v>
                </c:pt>
                <c:pt idx="13">
                  <c:v>0</c:v>
                </c:pt>
                <c:pt idx="14">
                  <c:v>0</c:v>
                </c:pt>
                <c:pt idx="15">
                  <c:v>0</c:v>
                </c:pt>
                <c:pt idx="16">
                  <c:v>0</c:v>
                </c:pt>
                <c:pt idx="17">
                  <c:v>0</c:v>
                </c:pt>
                <c:pt idx="18">
                  <c:v>7.59</c:v>
                </c:pt>
                <c:pt idx="19">
                  <c:v>0</c:v>
                </c:pt>
                <c:pt idx="20">
                  <c:v>0</c:v>
                </c:pt>
                <c:pt idx="21">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r"/>
      <c:layout>
        <c:manualLayout>
          <c:xMode val="edge"/>
          <c:yMode val="edge"/>
          <c:x val="0.0775"/>
          <c:y val="0.4515"/>
          <c:w val="0.82725"/>
          <c:h val="0.496"/>
        </c:manualLayout>
      </c:layout>
      <c:overlay val="0"/>
      <c:spPr>
        <a:noFill/>
        <a:ln w="12700">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zero"/>
    <c:showDLblsOverMax val="0"/>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r>
              <a:rPr sz="1400" b="0" i="0" u="none" strike="noStrike" baseline="0">
                <a:solidFill>
                  <a:srgbClr val="595959"/>
                </a:solidFill>
                <a:latin typeface="宋体" panose="02010600030101010101" charset="-122"/>
                <a:ea typeface="宋体" panose="02010600030101010101" charset="-122"/>
                <a:cs typeface="宋体" panose="02010600030101010101" charset="-122"/>
              </a:rPr>
              <a:t>红原县红十字会2022年“三公”经费财政拨款支出结构</a:t>
            </a:r>
            <a:endParaRPr sz="12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layout/>
      <c:overlay val="0"/>
    </c:title>
    <c:autoTitleDeleted val="0"/>
    <c:plotArea>
      <c:layout>
        <c:manualLayout>
          <c:layoutTarget val="inner"/>
          <c:xMode val="edge"/>
          <c:yMode val="edge"/>
          <c:x val="0.354"/>
          <c:y val="0.3005"/>
          <c:w val="0.2915"/>
          <c:h val="0.4405"/>
        </c:manualLayout>
      </c:layout>
      <c:pieChart>
        <c:varyColors val="1"/>
        <c:ser>
          <c:idx val="0"/>
          <c:order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explosion val="0"/>
          <c:dPt>
            <c:idx val="0"/>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1"/>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Pt>
            <c:idx val="2"/>
            <c:bubble3D val="0"/>
            <c:explosion val="0"/>
            <c:spPr>
              <a:gradFill>
                <a:gsLst>
                  <a:gs pos="0">
                    <a:srgbClr val="000082"/>
                  </a:gs>
                  <a:gs pos="30000">
                    <a:srgbClr val="66008F"/>
                  </a:gs>
                  <a:gs pos="64999">
                    <a:srgbClr val="BA0066"/>
                  </a:gs>
                  <a:gs pos="89999">
                    <a:srgbClr val="FF0000"/>
                  </a:gs>
                  <a:gs pos="100000">
                    <a:srgbClr val="FF8200"/>
                  </a:gs>
                </a:gsLst>
                <a:lin ang="5400000" scaled="1"/>
              </a:gradFill>
              <a:ln w="25400">
                <a:solidFill>
                  <a:srgbClr val="FFFFFF">
                    <a:alpha val="100000"/>
                  </a:srgbClr>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3F3F3F"/>
                    </a:solidFill>
                    <a:latin typeface="Times New Roman" panose="02020603050405020304" pitchFamily="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[图形.xls]Sheet1!$B$49:$B$51</c:f>
              <c:strCache>
                <c:ptCount val="3"/>
                <c:pt idx="0">
                  <c:v>因公出国（境）费</c:v>
                </c:pt>
                <c:pt idx="1">
                  <c:v>公务用车购置及运行维护费</c:v>
                </c:pt>
                <c:pt idx="2">
                  <c:v>公务接待费</c:v>
                </c:pt>
              </c:strCache>
            </c:strRef>
          </c:cat>
          <c:val>
            <c:numRef>
              <c:f>[图形.xls]Sheet1!$C$49:$C$51</c:f>
              <c:numCache>
                <c:formatCode>General</c:formatCode>
                <c:ptCount val="3"/>
                <c:pt idx="0">
                  <c:v>0</c:v>
                </c:pt>
                <c:pt idx="1">
                  <c:v>2.61</c:v>
                </c:pt>
                <c:pt idx="2">
                  <c:v>0</c:v>
                </c:pt>
              </c:numCache>
            </c:numRef>
          </c:val>
        </c:ser>
        <c:dLbls>
          <c:showLegendKey val="0"/>
          <c:showVal val="0"/>
          <c:showCatName val="0"/>
          <c:showSerName val="0"/>
          <c:showPercent val="0"/>
          <c:showBubbleSize val="0"/>
          <c:showLeaderLines val="1"/>
        </c:dLbls>
        <c:firstSliceAng val="0"/>
      </c:pieChart>
      <c:spPr>
        <a:noFill/>
        <a:ln w="12700">
          <a:noFill/>
        </a:ln>
      </c:spPr>
    </c:plotArea>
    <c:legend>
      <c:legendPos val="r"/>
      <c:layout>
        <c:manualLayout>
          <c:xMode val="edge"/>
          <c:yMode val="edge"/>
          <c:x val="0.09775"/>
          <c:y val="0.8505"/>
          <c:w val="0.832350416555261"/>
          <c:h val="0.117277576855144"/>
        </c:manualLayout>
      </c:layout>
      <c:overlay val="0"/>
      <c:spPr>
        <a:noFill/>
        <a:ln w="12700">
          <a:noFill/>
        </a:ln>
      </c:spPr>
      <c:txPr>
        <a:bodyPr rot="0" spcFirstLastPara="0" vertOverflow="ellipsis" vert="horz" wrap="square" anchor="ctr" anchorCtr="1"/>
        <a:lstStyle/>
        <a:p>
          <a:pPr>
            <a:defRPr lang="zh-CN" sz="1000" b="0" i="0" u="none" strike="noStrike" kern="1200" baseline="0">
              <a:solidFill>
                <a:srgbClr val="595959"/>
              </a:solidFill>
              <a:latin typeface="Times New Roman" panose="02020603050405020304" pitchFamily="4"/>
              <a:ea typeface="宋体" panose="02010600030101010101" charset="-122"/>
              <a:cs typeface="Arial" panose="020B0604020202020204" pitchFamily="2"/>
            </a:defRPr>
          </a:pPr>
        </a:p>
      </c:txPr>
    </c:legend>
    <c:plotVisOnly val="1"/>
    <c:dispBlanksAs val="zero"/>
    <c:showDLblsOverMax val="0"/>
  </c:chart>
  <c:spPr>
    <a:solidFill>
      <a:srgbClr val="FFFFFF">
        <a:alpha val="100000"/>
      </a:srgbClr>
    </a:solidFill>
    <a:ln w="12700" cap="flat" cmpd="sng" algn="ctr">
      <a:solidFill>
        <a:srgbClr val="D8D8D8">
          <a:alpha val="100000"/>
        </a:srgbClr>
      </a:solidFill>
      <a:prstDash val="solid"/>
      <a:round/>
    </a:ln>
  </c:spPr>
  <c:txPr>
    <a:bodyPr rot="0" wrap="square" anchor="ctr" anchorCtr="1"/>
    <a:lstStyle/>
    <a:p>
      <a:pPr>
        <a:defRPr lang="zh-CN" sz="9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18</Pages>
  <Words>7615</Words>
  <Characters>9127</Characters>
  <Lines>527</Lines>
  <Paragraphs>235</Paragraphs>
  <TotalTime>2</TotalTime>
  <ScaleCrop>false</ScaleCrop>
  <LinksUpToDate>false</LinksUpToDate>
  <CharactersWithSpaces>9251</CharactersWithSpaces>
  <Application>WPS Office_11.8.2.1125_F1E327BC-269C-435d-A152-05C5408002CA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user</cp:lastModifiedBy>
  <cp:lastPrinted>2023-11-02T16:56:00Z</cp:lastPrinted>
  <dcterms:modified xsi:type="dcterms:W3CDTF">2023-11-03T10:38:37Z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2052-11.8.2.1125</vt:lpwstr>
  </property>
  <property fmtid="{D5CDD505-2E9C-101B-9397-08002B2CF9AE}" pid="3" name="ICV">
    <vt:lpwstr>BA86607FB0D74BD7B699A0A685431FF2</vt:lpwstr>
  </property>
</Properties>
</file>