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12"/>
        <w:keepNext w:val="0"/>
        <w:keepLines w:val="0"/>
        <w:widowControl/>
        <w:suppressLineNumbers w:val="0"/>
        <w:spacing w:before="0" w:beforeAutospacing="0"/>
        <w:ind w:left="0"/>
        <w:jc w:val="center"/>
      </w:pPr>
      <w:r>
        <w:rPr>
          <w:sz w:val="42"/>
          <w:szCs w:val="42"/>
          <w:shd w:val="clear" w:fill="FFFFFF"/>
        </w:rPr>
        <w:t>2021年度</w:t>
      </w:r>
    </w:p>
    <w:p>
      <w:pPr>
        <w:pStyle w:val="12"/>
        <w:keepNext w:val="0"/>
        <w:keepLines w:val="0"/>
        <w:widowControl/>
        <w:suppressLineNumbers w:val="0"/>
        <w:spacing w:before="0" w:beforeAutospacing="0"/>
        <w:ind w:left="0"/>
        <w:jc w:val="center"/>
        <w:outlineLvl w:val="0"/>
      </w:pPr>
      <w:bookmarkStart w:id="0" w:name="_Toc15242"/>
      <w:bookmarkStart w:id="1" w:name="_Toc20883"/>
      <w:bookmarkStart w:id="2" w:name="_Toc13356"/>
      <w:r>
        <w:rPr>
          <w:sz w:val="42"/>
          <w:szCs w:val="42"/>
          <w:shd w:val="clear" w:fill="FFFFFF"/>
        </w:rPr>
        <w:t>阿坝州红原县红十字会部门决算</w:t>
      </w:r>
      <w:bookmarkEnd w:id="0"/>
      <w:bookmarkEnd w:id="1"/>
      <w:bookmarkEnd w:id="2"/>
    </w:p>
    <w:p>
      <w:pPr>
        <w:pStyle w:val="12"/>
        <w:keepNext w:val="0"/>
        <w:keepLines w:val="0"/>
        <w:widowControl/>
        <w:suppressLineNumbers w:val="0"/>
        <w:spacing w:before="0" w:beforeAutospacing="0"/>
        <w:ind w:left="0"/>
        <w:jc w:val="center"/>
      </w:pPr>
      <w:r>
        <w:rPr>
          <w:shd w:val="clear" w:fill="FFFFFF"/>
        </w:rPr>
        <w:t> </w:t>
      </w:r>
    </w:p>
    <w:p>
      <w:pPr>
        <w:pStyle w:val="12"/>
        <w:keepNext w:val="0"/>
        <w:keepLines w:val="0"/>
        <w:widowControl/>
        <w:suppressLineNumbers w:val="0"/>
        <w:spacing w:before="0" w:beforeAutospacing="0"/>
        <w:ind w:left="0"/>
        <w:jc w:val="center"/>
      </w:pPr>
      <w:r>
        <w:rPr>
          <w:shd w:val="clear" w:fill="FFFFFF"/>
        </w:rPr>
        <w:t> </w:t>
      </w:r>
    </w:p>
    <w:p>
      <w:pPr>
        <w:pStyle w:val="12"/>
        <w:keepNext w:val="0"/>
        <w:keepLines w:val="0"/>
        <w:widowControl/>
        <w:suppressLineNumbers w:val="0"/>
        <w:spacing w:before="0" w:beforeAutospacing="0"/>
        <w:ind w:left="0"/>
        <w:jc w:val="center"/>
      </w:pPr>
      <w:r>
        <w:rPr>
          <w:shd w:val="clear" w:fill="FFFFFF"/>
        </w:rPr>
        <w:t> </w:t>
      </w:r>
    </w:p>
    <w:p>
      <w:pPr>
        <w:pStyle w:val="12"/>
        <w:keepNext w:val="0"/>
        <w:keepLines w:val="0"/>
        <w:widowControl/>
        <w:suppressLineNumbers w:val="0"/>
        <w:spacing w:before="0" w:beforeAutospacing="0"/>
        <w:ind w:left="0"/>
        <w:jc w:val="center"/>
      </w:pPr>
      <w:r>
        <w:rPr>
          <w:shd w:val="clear" w:fill="FFFFFF"/>
        </w:rPr>
        <w:t> </w:t>
      </w:r>
    </w:p>
    <w:p>
      <w:pPr>
        <w:pStyle w:val="12"/>
        <w:keepNext w:val="0"/>
        <w:keepLines w:val="0"/>
        <w:widowControl/>
        <w:suppressLineNumbers w:val="0"/>
        <w:spacing w:before="0" w:beforeAutospacing="0"/>
        <w:ind w:left="0"/>
        <w:jc w:val="center"/>
      </w:pPr>
      <w:r>
        <w:rPr>
          <w:shd w:val="clear" w:fill="FFFFFF"/>
        </w:rPr>
        <w:t> </w:t>
      </w:r>
    </w:p>
    <w:p>
      <w:pPr>
        <w:pStyle w:val="12"/>
        <w:keepNext w:val="0"/>
        <w:keepLines w:val="0"/>
        <w:widowControl/>
        <w:suppressLineNumbers w:val="0"/>
        <w:spacing w:before="0" w:beforeAutospacing="0"/>
        <w:ind w:left="0"/>
        <w:jc w:val="center"/>
      </w:pPr>
      <w:r>
        <w:rPr>
          <w:shd w:val="clear" w:fill="FFFFFF"/>
        </w:rPr>
        <w:t> </w:t>
      </w:r>
    </w:p>
    <w:p>
      <w:pPr>
        <w:pStyle w:val="12"/>
        <w:keepNext w:val="0"/>
        <w:keepLines w:val="0"/>
        <w:widowControl/>
        <w:suppressLineNumbers w:val="0"/>
        <w:spacing w:before="0" w:beforeAutospacing="0"/>
        <w:ind w:left="0"/>
        <w:jc w:val="center"/>
        <w:rPr>
          <w:shd w:val="clear" w:fill="FFFFFF"/>
        </w:rPr>
      </w:pPr>
    </w:p>
    <w:p>
      <w:pPr>
        <w:pStyle w:val="12"/>
        <w:keepNext w:val="0"/>
        <w:keepLines w:val="0"/>
        <w:widowControl/>
        <w:suppressLineNumbers w:val="0"/>
        <w:spacing w:before="0" w:beforeAutospacing="0"/>
        <w:ind w:left="0"/>
        <w:jc w:val="center"/>
        <w:rPr>
          <w:shd w:val="clear" w:fill="FFFFFF"/>
        </w:rPr>
      </w:pPr>
    </w:p>
    <w:p>
      <w:pPr>
        <w:pStyle w:val="12"/>
        <w:keepNext w:val="0"/>
        <w:keepLines w:val="0"/>
        <w:widowControl/>
        <w:suppressLineNumbers w:val="0"/>
        <w:spacing w:before="0" w:beforeAutospacing="0"/>
        <w:ind w:left="0"/>
        <w:jc w:val="center"/>
        <w:rPr>
          <w:shd w:val="clear" w:fill="FFFFFF"/>
        </w:rPr>
      </w:pPr>
    </w:p>
    <w:p>
      <w:pPr>
        <w:pStyle w:val="12"/>
        <w:keepNext w:val="0"/>
        <w:keepLines w:val="0"/>
        <w:widowControl/>
        <w:suppressLineNumbers w:val="0"/>
        <w:spacing w:before="0" w:beforeAutospacing="0"/>
        <w:ind w:left="0"/>
        <w:jc w:val="center"/>
        <w:rPr>
          <w:shd w:val="clear" w:fill="FFFFFF"/>
        </w:rPr>
      </w:pPr>
    </w:p>
    <w:p>
      <w:pPr>
        <w:pStyle w:val="12"/>
        <w:keepNext w:val="0"/>
        <w:keepLines w:val="0"/>
        <w:widowControl/>
        <w:suppressLineNumbers w:val="0"/>
        <w:spacing w:before="0" w:beforeAutospacing="0"/>
        <w:ind w:left="0"/>
        <w:jc w:val="center"/>
        <w:rPr>
          <w:shd w:val="clear" w:fill="FFFFFF"/>
        </w:rPr>
      </w:pPr>
    </w:p>
    <w:p>
      <w:pPr>
        <w:pStyle w:val="12"/>
        <w:keepNext w:val="0"/>
        <w:keepLines w:val="0"/>
        <w:widowControl/>
        <w:suppressLineNumbers w:val="0"/>
        <w:spacing w:before="0" w:beforeAutospacing="0"/>
        <w:ind w:left="0"/>
        <w:jc w:val="center"/>
        <w:rPr>
          <w:shd w:val="clear" w:fill="FFFFFF"/>
        </w:rPr>
      </w:pPr>
    </w:p>
    <w:p>
      <w:pPr>
        <w:pStyle w:val="12"/>
        <w:keepNext w:val="0"/>
        <w:keepLines w:val="0"/>
        <w:widowControl/>
        <w:suppressLineNumbers w:val="0"/>
        <w:spacing w:before="0" w:beforeAutospacing="0"/>
        <w:ind w:left="0"/>
        <w:jc w:val="center"/>
        <w:rPr>
          <w:shd w:val="clear" w:fill="FFFFFF"/>
        </w:rPr>
      </w:pPr>
    </w:p>
    <w:p>
      <w:pPr>
        <w:pStyle w:val="12"/>
        <w:keepNext w:val="0"/>
        <w:keepLines w:val="0"/>
        <w:widowControl/>
        <w:suppressLineNumbers w:val="0"/>
        <w:spacing w:before="0" w:beforeAutospacing="0"/>
        <w:ind w:left="0"/>
        <w:jc w:val="center"/>
        <w:rPr>
          <w:shd w:val="clear" w:fill="FFFFFF"/>
        </w:rPr>
      </w:pPr>
    </w:p>
    <w:p>
      <w:pPr>
        <w:pStyle w:val="12"/>
        <w:keepNext w:val="0"/>
        <w:keepLines w:val="0"/>
        <w:widowControl/>
        <w:suppressLineNumbers w:val="0"/>
        <w:spacing w:before="0" w:beforeAutospacing="0"/>
        <w:ind w:left="0"/>
        <w:jc w:val="center"/>
        <w:rPr>
          <w:shd w:val="clear" w:fill="FFFFFF"/>
        </w:rPr>
      </w:pPr>
    </w:p>
    <w:p>
      <w:pPr>
        <w:pStyle w:val="12"/>
        <w:keepNext w:val="0"/>
        <w:keepLines w:val="0"/>
        <w:widowControl/>
        <w:suppressLineNumbers w:val="0"/>
        <w:spacing w:before="0" w:beforeAutospacing="0"/>
        <w:ind w:left="0"/>
        <w:jc w:val="center"/>
        <w:rPr>
          <w:shd w:val="clear" w:fill="FFFFFF"/>
        </w:rPr>
      </w:pPr>
    </w:p>
    <w:p>
      <w:pPr>
        <w:pStyle w:val="12"/>
        <w:keepNext w:val="0"/>
        <w:keepLines w:val="0"/>
        <w:widowControl/>
        <w:suppressLineNumbers w:val="0"/>
        <w:spacing w:before="0" w:beforeAutospacing="0"/>
        <w:ind w:left="0"/>
        <w:jc w:val="center"/>
        <w:rPr>
          <w:shd w:val="clear" w:fill="FFFFFF"/>
        </w:rPr>
      </w:pPr>
    </w:p>
    <w:p>
      <w:pPr>
        <w:pStyle w:val="12"/>
        <w:keepNext w:val="0"/>
        <w:keepLines w:val="0"/>
        <w:widowControl/>
        <w:suppressLineNumbers w:val="0"/>
        <w:spacing w:before="0" w:beforeAutospacing="0"/>
        <w:ind w:left="0"/>
        <w:jc w:val="center"/>
        <w:rPr>
          <w:shd w:val="clear" w:fill="FFFFFF"/>
        </w:rPr>
      </w:pPr>
    </w:p>
    <w:p>
      <w:pPr>
        <w:pStyle w:val="12"/>
        <w:keepNext w:val="0"/>
        <w:keepLines w:val="0"/>
        <w:widowControl/>
        <w:suppressLineNumbers w:val="0"/>
        <w:spacing w:before="0" w:beforeAutospacing="0"/>
        <w:ind w:left="0"/>
        <w:jc w:val="center"/>
      </w:pPr>
      <w:r>
        <w:rPr>
          <w:shd w:val="clear" w:fill="FFFFFF"/>
        </w:rPr>
        <w:t> </w:t>
      </w:r>
    </w:p>
    <w:p>
      <w:pPr>
        <w:pStyle w:val="12"/>
        <w:keepNext w:val="0"/>
        <w:keepLines w:val="0"/>
        <w:widowControl/>
        <w:suppressLineNumbers w:val="0"/>
        <w:spacing w:before="0" w:beforeAutospacing="0"/>
        <w:ind w:left="0"/>
        <w:jc w:val="center"/>
      </w:pPr>
      <w:r>
        <w:rPr>
          <w:shd w:val="clear" w:fill="FFFFFF"/>
        </w:rPr>
        <w:t>已经保密审查、内容审定，同意对外公开</w:t>
      </w:r>
    </w:p>
    <w:p>
      <w:pPr>
        <w:pStyle w:val="12"/>
        <w:keepNext w:val="0"/>
        <w:keepLines w:val="0"/>
        <w:widowControl/>
        <w:suppressLineNumbers w:val="0"/>
        <w:spacing w:before="0" w:beforeAutospacing="0"/>
        <w:ind w:left="0"/>
        <w:jc w:val="left"/>
        <w:rPr>
          <w:shd w:val="clear" w:fill="FFFFFF"/>
        </w:rPr>
      </w:pPr>
      <w:r>
        <w:rPr>
          <w:shd w:val="clear" w:fill="FFFFFF"/>
        </w:rPr>
        <w:t> </w:t>
      </w:r>
    </w:p>
    <w:sdt>
      <w:sdtPr>
        <w:rPr>
          <w:rFonts w:ascii="宋体" w:hAnsi="宋体" w:eastAsia="宋体" w:cstheme="minorEastAsia"/>
          <w:kern w:val="0"/>
          <w:sz w:val="21"/>
          <w:szCs w:val="24"/>
          <w:lang w:val="en-US" w:eastAsia="zh-CN" w:bidi="ar"/>
        </w:rPr>
        <w:id w:val="147480056"/>
        <w15:color w:val="DBDBDB"/>
        <w:docPartObj>
          <w:docPartGallery w:val="Table of Contents"/>
          <w:docPartUnique/>
        </w:docPartObj>
      </w:sdtPr>
      <w:sdtEndPr>
        <w:rPr>
          <w:rFonts w:ascii="宋体" w:hAnsi="宋体" w:eastAsia="宋体" w:cstheme="minorEastAsia"/>
          <w:b/>
          <w:kern w:val="0"/>
          <w:sz w:val="21"/>
          <w:szCs w:val="24"/>
          <w:lang w:val="en-US" w:eastAsia="zh-CN" w:bidi="ar"/>
        </w:rPr>
      </w:sdtEndPr>
      <w:sdtContent>
        <w:p>
          <w:pPr>
            <w:spacing w:before="0" w:beforeLines="0" w:after="0" w:afterLines="0" w:line="240" w:lineRule="auto"/>
            <w:ind w:left="0" w:leftChars="0" w:right="0" w:rightChars="0" w:firstLine="0" w:firstLineChars="0"/>
            <w:jc w:val="center"/>
          </w:pPr>
          <w:r>
            <w:rPr>
              <w:rFonts w:ascii="宋体" w:hAnsi="宋体" w:eastAsia="宋体"/>
              <w:sz w:val="21"/>
            </w:rPr>
            <w:t>目录</w:t>
          </w:r>
        </w:p>
        <w:p>
          <w:pPr>
            <w:pStyle w:val="19"/>
            <w:tabs>
              <w:tab w:val="right" w:leader="dot" w:pos="8315"/>
            </w:tabs>
            <w:rPr>
              <w:b/>
            </w:rPr>
          </w:pPr>
          <w:r>
            <w:fldChar w:fldCharType="begin"/>
          </w:r>
          <w:r>
            <w:instrText xml:space="preserve">TOC \o "1-2" \h \u </w:instrText>
          </w:r>
          <w:r>
            <w:fldChar w:fldCharType="separate"/>
          </w:r>
          <w:r>
            <w:rPr>
              <w:b/>
            </w:rPr>
            <w:fldChar w:fldCharType="begin"/>
          </w:r>
          <w:r>
            <w:rPr>
              <w:b/>
            </w:rPr>
            <w:instrText xml:space="preserve"> HYPERLINK \l _Toc15242 </w:instrText>
          </w:r>
          <w:r>
            <w:rPr>
              <w:b/>
            </w:rPr>
            <w:fldChar w:fldCharType="separate"/>
          </w:r>
          <w:r>
            <w:rPr>
              <w:b/>
              <w:szCs w:val="42"/>
              <w:shd w:val="clear" w:fill="FFFFFF"/>
            </w:rPr>
            <w:t>阿坝州红原县红十字会部门决算</w:t>
          </w:r>
          <w:r>
            <w:rPr>
              <w:b/>
            </w:rPr>
            <w:tab/>
          </w:r>
          <w:r>
            <w:rPr>
              <w:b/>
            </w:rPr>
            <w:fldChar w:fldCharType="begin"/>
          </w:r>
          <w:r>
            <w:rPr>
              <w:b/>
            </w:rPr>
            <w:instrText xml:space="preserve"> PAGEREF _Toc15242 \h </w:instrText>
          </w:r>
          <w:r>
            <w:rPr>
              <w:b/>
            </w:rPr>
            <w:fldChar w:fldCharType="separate"/>
          </w:r>
          <w:r>
            <w:rPr>
              <w:b/>
            </w:rPr>
            <w:t>1</w:t>
          </w:r>
          <w:r>
            <w:rPr>
              <w:b/>
            </w:rPr>
            <w:fldChar w:fldCharType="end"/>
          </w:r>
          <w:r>
            <w:rPr>
              <w:b/>
            </w:rPr>
            <w:fldChar w:fldCharType="end"/>
          </w:r>
        </w:p>
        <w:p>
          <w:pPr>
            <w:pStyle w:val="19"/>
            <w:tabs>
              <w:tab w:val="right" w:leader="dot" w:pos="8315"/>
            </w:tabs>
            <w:rPr>
              <w:b/>
            </w:rPr>
          </w:pPr>
          <w:r>
            <w:rPr>
              <w:b/>
            </w:rPr>
            <w:fldChar w:fldCharType="begin"/>
          </w:r>
          <w:r>
            <w:rPr>
              <w:b/>
            </w:rPr>
            <w:instrText xml:space="preserve"> HYPERLINK \l _Toc26414 </w:instrText>
          </w:r>
          <w:r>
            <w:rPr>
              <w:b/>
            </w:rPr>
            <w:fldChar w:fldCharType="separate"/>
          </w:r>
          <w:r>
            <w:rPr>
              <w:b/>
              <w:shd w:val="clear" w:fill="FFFFFF"/>
            </w:rPr>
            <w:t>第一部分 部门概况</w:t>
          </w:r>
          <w:r>
            <w:rPr>
              <w:b/>
            </w:rPr>
            <w:tab/>
          </w:r>
          <w:r>
            <w:rPr>
              <w:b/>
            </w:rPr>
            <w:fldChar w:fldCharType="begin"/>
          </w:r>
          <w:r>
            <w:rPr>
              <w:b/>
            </w:rPr>
            <w:instrText xml:space="preserve"> PAGEREF _Toc26414 \h </w:instrText>
          </w:r>
          <w:r>
            <w:rPr>
              <w:b/>
            </w:rPr>
            <w:fldChar w:fldCharType="separate"/>
          </w:r>
          <w:r>
            <w:rPr>
              <w:b/>
            </w:rPr>
            <w:t>3</w:t>
          </w:r>
          <w:r>
            <w:rPr>
              <w:b/>
            </w:rPr>
            <w:fldChar w:fldCharType="end"/>
          </w:r>
          <w:r>
            <w:rPr>
              <w:b/>
            </w:rPr>
            <w:fldChar w:fldCharType="end"/>
          </w:r>
        </w:p>
        <w:p>
          <w:pPr>
            <w:pStyle w:val="20"/>
            <w:tabs>
              <w:tab w:val="right" w:leader="dot" w:pos="8315"/>
            </w:tabs>
          </w:pPr>
          <w:r>
            <w:fldChar w:fldCharType="begin"/>
          </w:r>
          <w:r>
            <w:instrText xml:space="preserve"> HYPERLINK \l _Toc25401 </w:instrText>
          </w:r>
          <w:r>
            <w:fldChar w:fldCharType="separate"/>
          </w:r>
          <w:r>
            <w:rPr>
              <w:shd w:val="clear" w:fill="FFFFFF"/>
            </w:rPr>
            <w:t>一、基本职能及主要工作</w:t>
          </w:r>
          <w:r>
            <w:tab/>
          </w:r>
          <w:r>
            <w:fldChar w:fldCharType="begin"/>
          </w:r>
          <w:r>
            <w:instrText xml:space="preserve"> PAGEREF _Toc25401 \h </w:instrText>
          </w:r>
          <w:r>
            <w:fldChar w:fldCharType="separate"/>
          </w:r>
          <w:r>
            <w:t>3</w:t>
          </w:r>
          <w:r>
            <w:fldChar w:fldCharType="end"/>
          </w:r>
          <w:r>
            <w:fldChar w:fldCharType="end"/>
          </w:r>
        </w:p>
        <w:p>
          <w:pPr>
            <w:pStyle w:val="20"/>
            <w:tabs>
              <w:tab w:val="right" w:leader="dot" w:pos="8315"/>
            </w:tabs>
          </w:pPr>
          <w:r>
            <w:fldChar w:fldCharType="begin"/>
          </w:r>
          <w:r>
            <w:instrText xml:space="preserve"> HYPERLINK \l _Toc16353 </w:instrText>
          </w:r>
          <w:r>
            <w:fldChar w:fldCharType="separate"/>
          </w:r>
          <w:r>
            <w:rPr>
              <w:shd w:val="clear" w:fill="FFFFFF"/>
            </w:rPr>
            <w:t>二、机构设置</w:t>
          </w:r>
          <w:r>
            <w:tab/>
          </w:r>
          <w:r>
            <w:fldChar w:fldCharType="begin"/>
          </w:r>
          <w:r>
            <w:instrText xml:space="preserve"> PAGEREF _Toc16353 \h </w:instrText>
          </w:r>
          <w:r>
            <w:fldChar w:fldCharType="separate"/>
          </w:r>
          <w:r>
            <w:t>4</w:t>
          </w:r>
          <w:r>
            <w:fldChar w:fldCharType="end"/>
          </w:r>
          <w:r>
            <w:fldChar w:fldCharType="end"/>
          </w:r>
        </w:p>
        <w:p>
          <w:pPr>
            <w:pStyle w:val="19"/>
            <w:tabs>
              <w:tab w:val="right" w:leader="dot" w:pos="8315"/>
            </w:tabs>
            <w:rPr>
              <w:b/>
            </w:rPr>
          </w:pPr>
          <w:r>
            <w:rPr>
              <w:b/>
            </w:rPr>
            <w:fldChar w:fldCharType="begin"/>
          </w:r>
          <w:r>
            <w:rPr>
              <w:b/>
            </w:rPr>
            <w:instrText xml:space="preserve"> HYPERLINK \l _Toc3712 </w:instrText>
          </w:r>
          <w:r>
            <w:rPr>
              <w:b/>
            </w:rPr>
            <w:fldChar w:fldCharType="separate"/>
          </w:r>
          <w:r>
            <w:rPr>
              <w:b/>
              <w:shd w:val="clear" w:fill="FFFFFF"/>
            </w:rPr>
            <w:t>第二部分 2021年度部门决算情况说明</w:t>
          </w:r>
          <w:r>
            <w:rPr>
              <w:b/>
            </w:rPr>
            <w:tab/>
          </w:r>
          <w:r>
            <w:rPr>
              <w:b/>
            </w:rPr>
            <w:fldChar w:fldCharType="begin"/>
          </w:r>
          <w:r>
            <w:rPr>
              <w:b/>
            </w:rPr>
            <w:instrText xml:space="preserve"> PAGEREF _Toc3712 \h </w:instrText>
          </w:r>
          <w:r>
            <w:rPr>
              <w:b/>
            </w:rPr>
            <w:fldChar w:fldCharType="separate"/>
          </w:r>
          <w:r>
            <w:rPr>
              <w:b/>
            </w:rPr>
            <w:t>5</w:t>
          </w:r>
          <w:r>
            <w:rPr>
              <w:b/>
            </w:rPr>
            <w:fldChar w:fldCharType="end"/>
          </w:r>
          <w:r>
            <w:rPr>
              <w:b/>
            </w:rPr>
            <w:fldChar w:fldCharType="end"/>
          </w:r>
        </w:p>
        <w:p>
          <w:pPr>
            <w:pStyle w:val="20"/>
            <w:tabs>
              <w:tab w:val="right" w:leader="dot" w:pos="8315"/>
            </w:tabs>
          </w:pPr>
          <w:r>
            <w:fldChar w:fldCharType="begin"/>
          </w:r>
          <w:r>
            <w:instrText xml:space="preserve"> HYPERLINK \l _Toc12306 </w:instrText>
          </w:r>
          <w:r>
            <w:fldChar w:fldCharType="separate"/>
          </w:r>
          <w:r>
            <w:rPr>
              <w:rFonts w:hint="eastAsia"/>
              <w:shd w:val="clear" w:fill="FFFFFF"/>
              <w:lang w:val="en-US" w:eastAsia="zh-CN"/>
            </w:rPr>
            <w:t>一、</w:t>
          </w:r>
          <w:r>
            <w:rPr>
              <w:shd w:val="clear" w:fill="FFFFFF"/>
            </w:rPr>
            <w:t>收入支出决算总体情况说明</w:t>
          </w:r>
          <w:r>
            <w:tab/>
          </w:r>
          <w:r>
            <w:fldChar w:fldCharType="begin"/>
          </w:r>
          <w:r>
            <w:instrText xml:space="preserve"> PAGEREF _Toc12306 \h </w:instrText>
          </w:r>
          <w:r>
            <w:fldChar w:fldCharType="separate"/>
          </w:r>
          <w:r>
            <w:t>5</w:t>
          </w:r>
          <w:r>
            <w:fldChar w:fldCharType="end"/>
          </w:r>
          <w:r>
            <w:fldChar w:fldCharType="end"/>
          </w:r>
        </w:p>
        <w:p>
          <w:pPr>
            <w:pStyle w:val="20"/>
            <w:tabs>
              <w:tab w:val="right" w:leader="dot" w:pos="8315"/>
            </w:tabs>
          </w:pPr>
          <w:r>
            <w:fldChar w:fldCharType="begin"/>
          </w:r>
          <w:r>
            <w:instrText xml:space="preserve"> HYPERLINK \l _Toc12665 </w:instrText>
          </w:r>
          <w:r>
            <w:fldChar w:fldCharType="separate"/>
          </w:r>
          <w:r>
            <w:rPr>
              <w:rFonts w:hint="eastAsia"/>
              <w:shd w:val="clear" w:fill="FFFFFF"/>
              <w:lang w:val="en-US" w:eastAsia="zh-CN"/>
            </w:rPr>
            <w:t>二、</w:t>
          </w:r>
          <w:r>
            <w:rPr>
              <w:shd w:val="clear" w:fill="FFFFFF"/>
            </w:rPr>
            <w:t>收入决算情况说明</w:t>
          </w:r>
          <w:r>
            <w:tab/>
          </w:r>
          <w:r>
            <w:fldChar w:fldCharType="begin"/>
          </w:r>
          <w:r>
            <w:instrText xml:space="preserve"> PAGEREF _Toc12665 \h </w:instrText>
          </w:r>
          <w:r>
            <w:fldChar w:fldCharType="separate"/>
          </w:r>
          <w:r>
            <w:t>5</w:t>
          </w:r>
          <w:r>
            <w:fldChar w:fldCharType="end"/>
          </w:r>
          <w:r>
            <w:fldChar w:fldCharType="end"/>
          </w:r>
        </w:p>
        <w:p>
          <w:pPr>
            <w:pStyle w:val="20"/>
            <w:tabs>
              <w:tab w:val="right" w:leader="dot" w:pos="8315"/>
            </w:tabs>
          </w:pPr>
          <w:r>
            <w:fldChar w:fldCharType="begin"/>
          </w:r>
          <w:r>
            <w:instrText xml:space="preserve"> HYPERLINK \l _Toc3996 </w:instrText>
          </w:r>
          <w:r>
            <w:fldChar w:fldCharType="separate"/>
          </w:r>
          <w:r>
            <w:rPr>
              <w:rFonts w:hint="eastAsia"/>
              <w:shd w:val="clear" w:fill="FFFFFF"/>
              <w:lang w:val="en-US" w:eastAsia="zh-CN"/>
            </w:rPr>
            <w:t>三、</w:t>
          </w:r>
          <w:r>
            <w:rPr>
              <w:shd w:val="clear" w:fill="FFFFFF"/>
            </w:rPr>
            <w:t>支出决算情况说明</w:t>
          </w:r>
          <w:r>
            <w:tab/>
          </w:r>
          <w:r>
            <w:fldChar w:fldCharType="begin"/>
          </w:r>
          <w:r>
            <w:instrText xml:space="preserve"> PAGEREF _Toc3996 \h </w:instrText>
          </w:r>
          <w:r>
            <w:fldChar w:fldCharType="separate"/>
          </w:r>
          <w:r>
            <w:t>6</w:t>
          </w:r>
          <w:r>
            <w:fldChar w:fldCharType="end"/>
          </w:r>
          <w:r>
            <w:fldChar w:fldCharType="end"/>
          </w:r>
        </w:p>
        <w:p>
          <w:pPr>
            <w:pStyle w:val="20"/>
            <w:tabs>
              <w:tab w:val="right" w:leader="dot" w:pos="8315"/>
            </w:tabs>
          </w:pPr>
          <w:r>
            <w:fldChar w:fldCharType="begin"/>
          </w:r>
          <w:r>
            <w:instrText xml:space="preserve"> HYPERLINK \l _Toc20508 </w:instrText>
          </w:r>
          <w:r>
            <w:fldChar w:fldCharType="separate"/>
          </w:r>
          <w:r>
            <w:rPr>
              <w:shd w:val="clear" w:fill="FFFFFF"/>
            </w:rPr>
            <w:t>四、财政拨款收入支出决算总体情况说明</w:t>
          </w:r>
          <w:r>
            <w:tab/>
          </w:r>
          <w:r>
            <w:fldChar w:fldCharType="begin"/>
          </w:r>
          <w:r>
            <w:instrText xml:space="preserve"> PAGEREF _Toc20508 \h </w:instrText>
          </w:r>
          <w:r>
            <w:fldChar w:fldCharType="separate"/>
          </w:r>
          <w:r>
            <w:t>7</w:t>
          </w:r>
          <w:r>
            <w:fldChar w:fldCharType="end"/>
          </w:r>
          <w:r>
            <w:fldChar w:fldCharType="end"/>
          </w:r>
        </w:p>
        <w:p>
          <w:pPr>
            <w:pStyle w:val="20"/>
            <w:tabs>
              <w:tab w:val="right" w:leader="dot" w:pos="8315"/>
            </w:tabs>
          </w:pPr>
          <w:r>
            <w:fldChar w:fldCharType="begin"/>
          </w:r>
          <w:r>
            <w:instrText xml:space="preserve"> HYPERLINK \l _Toc14355 </w:instrText>
          </w:r>
          <w:r>
            <w:fldChar w:fldCharType="separate"/>
          </w:r>
          <w:r>
            <w:rPr>
              <w:shd w:val="clear" w:fill="FFFFFF"/>
            </w:rPr>
            <w:t>五、一般公共预算财政拨款支出决算情况说明</w:t>
          </w:r>
          <w:r>
            <w:tab/>
          </w:r>
          <w:r>
            <w:fldChar w:fldCharType="begin"/>
          </w:r>
          <w:r>
            <w:instrText xml:space="preserve"> PAGEREF _Toc14355 \h </w:instrText>
          </w:r>
          <w:r>
            <w:fldChar w:fldCharType="separate"/>
          </w:r>
          <w:r>
            <w:t>7</w:t>
          </w:r>
          <w:r>
            <w:fldChar w:fldCharType="end"/>
          </w:r>
          <w:r>
            <w:fldChar w:fldCharType="end"/>
          </w:r>
        </w:p>
        <w:p>
          <w:pPr>
            <w:pStyle w:val="20"/>
            <w:tabs>
              <w:tab w:val="right" w:leader="dot" w:pos="8315"/>
            </w:tabs>
          </w:pPr>
          <w:r>
            <w:fldChar w:fldCharType="begin"/>
          </w:r>
          <w:r>
            <w:instrText xml:space="preserve"> HYPERLINK \l _Toc5435 </w:instrText>
          </w:r>
          <w:r>
            <w:fldChar w:fldCharType="separate"/>
          </w:r>
          <w:r>
            <w:rPr>
              <w:shd w:val="clear" w:fill="FFFFFF"/>
            </w:rPr>
            <w:t>六、一般公共预算财政拨款基本支出决算情况说明   </w:t>
          </w:r>
          <w:r>
            <w:tab/>
          </w:r>
          <w:r>
            <w:fldChar w:fldCharType="begin"/>
          </w:r>
          <w:r>
            <w:instrText xml:space="preserve"> PAGEREF _Toc5435 \h </w:instrText>
          </w:r>
          <w:r>
            <w:fldChar w:fldCharType="separate"/>
          </w:r>
          <w:r>
            <w:t>10</w:t>
          </w:r>
          <w:r>
            <w:fldChar w:fldCharType="end"/>
          </w:r>
          <w:r>
            <w:fldChar w:fldCharType="end"/>
          </w:r>
        </w:p>
        <w:p>
          <w:pPr>
            <w:pStyle w:val="20"/>
            <w:tabs>
              <w:tab w:val="right" w:leader="dot" w:pos="8315"/>
            </w:tabs>
          </w:pPr>
          <w:r>
            <w:fldChar w:fldCharType="begin"/>
          </w:r>
          <w:r>
            <w:instrText xml:space="preserve"> HYPERLINK \l _Toc19014 </w:instrText>
          </w:r>
          <w:r>
            <w:fldChar w:fldCharType="separate"/>
          </w:r>
          <w:r>
            <w:rPr>
              <w:shd w:val="clear" w:fill="FFFFFF"/>
            </w:rPr>
            <w:t>七、“三公”经费财政拨款支出决算情况说明</w:t>
          </w:r>
          <w:r>
            <w:tab/>
          </w:r>
          <w:r>
            <w:fldChar w:fldCharType="begin"/>
          </w:r>
          <w:r>
            <w:instrText xml:space="preserve"> PAGEREF _Toc19014 \h </w:instrText>
          </w:r>
          <w:r>
            <w:fldChar w:fldCharType="separate"/>
          </w:r>
          <w:r>
            <w:t>10</w:t>
          </w:r>
          <w:r>
            <w:fldChar w:fldCharType="end"/>
          </w:r>
          <w:r>
            <w:fldChar w:fldCharType="end"/>
          </w:r>
        </w:p>
        <w:p>
          <w:pPr>
            <w:pStyle w:val="20"/>
            <w:tabs>
              <w:tab w:val="right" w:leader="dot" w:pos="8315"/>
            </w:tabs>
          </w:pPr>
          <w:r>
            <w:fldChar w:fldCharType="begin"/>
          </w:r>
          <w:r>
            <w:instrText xml:space="preserve"> HYPERLINK \l _Toc25230 </w:instrText>
          </w:r>
          <w:r>
            <w:fldChar w:fldCharType="separate"/>
          </w:r>
          <w:r>
            <w:rPr>
              <w:shd w:val="clear" w:fill="FFFFFF"/>
            </w:rPr>
            <w:t>八、政府性基金预算支出决算情况说明</w:t>
          </w:r>
          <w:r>
            <w:tab/>
          </w:r>
          <w:r>
            <w:fldChar w:fldCharType="begin"/>
          </w:r>
          <w:r>
            <w:instrText xml:space="preserve"> PAGEREF _Toc25230 \h </w:instrText>
          </w:r>
          <w:r>
            <w:fldChar w:fldCharType="separate"/>
          </w:r>
          <w:r>
            <w:t>11</w:t>
          </w:r>
          <w:r>
            <w:fldChar w:fldCharType="end"/>
          </w:r>
          <w:r>
            <w:fldChar w:fldCharType="end"/>
          </w:r>
        </w:p>
        <w:p>
          <w:pPr>
            <w:pStyle w:val="20"/>
            <w:tabs>
              <w:tab w:val="right" w:leader="dot" w:pos="8315"/>
            </w:tabs>
          </w:pPr>
          <w:r>
            <w:fldChar w:fldCharType="begin"/>
          </w:r>
          <w:r>
            <w:instrText xml:space="preserve"> HYPERLINK \l _Toc23724 </w:instrText>
          </w:r>
          <w:r>
            <w:fldChar w:fldCharType="separate"/>
          </w:r>
          <w:r>
            <w:rPr>
              <w:rFonts w:hint="eastAsia"/>
              <w:shd w:val="clear" w:fill="FFFFFF"/>
              <w:lang w:val="en-US" w:eastAsia="zh-CN"/>
            </w:rPr>
            <w:t>九、</w:t>
          </w:r>
          <w:r>
            <w:rPr>
              <w:shd w:val="clear" w:fill="FFFFFF"/>
            </w:rPr>
            <w:t>国有资本经营预算支出决算情况说明</w:t>
          </w:r>
          <w:r>
            <w:tab/>
          </w:r>
          <w:r>
            <w:fldChar w:fldCharType="begin"/>
          </w:r>
          <w:r>
            <w:instrText xml:space="preserve"> PAGEREF _Toc23724 \h </w:instrText>
          </w:r>
          <w:r>
            <w:fldChar w:fldCharType="separate"/>
          </w:r>
          <w:r>
            <w:t>11</w:t>
          </w:r>
          <w:r>
            <w:fldChar w:fldCharType="end"/>
          </w:r>
          <w:r>
            <w:fldChar w:fldCharType="end"/>
          </w:r>
        </w:p>
        <w:p>
          <w:pPr>
            <w:pStyle w:val="20"/>
            <w:tabs>
              <w:tab w:val="right" w:leader="dot" w:pos="8315"/>
            </w:tabs>
          </w:pPr>
          <w:r>
            <w:fldChar w:fldCharType="begin"/>
          </w:r>
          <w:r>
            <w:instrText xml:space="preserve"> HYPERLINK \l _Toc10720 </w:instrText>
          </w:r>
          <w:r>
            <w:fldChar w:fldCharType="separate"/>
          </w:r>
          <w:r>
            <w:rPr>
              <w:rFonts w:hint="eastAsia"/>
              <w:shd w:val="clear" w:fill="FFFFFF"/>
              <w:lang w:val="en-US" w:eastAsia="zh-CN"/>
            </w:rPr>
            <w:t>十、</w:t>
          </w:r>
          <w:r>
            <w:rPr>
              <w:shd w:val="clear" w:fill="FFFFFF"/>
            </w:rPr>
            <w:t>其他重要事项的情况说明</w:t>
          </w:r>
          <w:r>
            <w:tab/>
          </w:r>
          <w:r>
            <w:fldChar w:fldCharType="begin"/>
          </w:r>
          <w:r>
            <w:instrText xml:space="preserve"> PAGEREF _Toc10720 \h </w:instrText>
          </w:r>
          <w:r>
            <w:fldChar w:fldCharType="separate"/>
          </w:r>
          <w:r>
            <w:t>11</w:t>
          </w:r>
          <w:r>
            <w:fldChar w:fldCharType="end"/>
          </w:r>
          <w:r>
            <w:fldChar w:fldCharType="end"/>
          </w:r>
        </w:p>
        <w:p>
          <w:pPr>
            <w:pStyle w:val="19"/>
            <w:tabs>
              <w:tab w:val="right" w:leader="dot" w:pos="8315"/>
            </w:tabs>
            <w:rPr>
              <w:b/>
            </w:rPr>
          </w:pPr>
          <w:r>
            <w:rPr>
              <w:b/>
            </w:rPr>
            <w:fldChar w:fldCharType="begin"/>
          </w:r>
          <w:r>
            <w:rPr>
              <w:b/>
            </w:rPr>
            <w:instrText xml:space="preserve"> HYPERLINK \l _Toc16974 </w:instrText>
          </w:r>
          <w:r>
            <w:rPr>
              <w:b/>
            </w:rPr>
            <w:fldChar w:fldCharType="separate"/>
          </w:r>
          <w:r>
            <w:rPr>
              <w:b/>
              <w:szCs w:val="39"/>
              <w:shd w:val="clear" w:fill="FFFFFF"/>
            </w:rPr>
            <w:t>第三部分 名词解释</w:t>
          </w:r>
          <w:r>
            <w:rPr>
              <w:b/>
            </w:rPr>
            <w:tab/>
          </w:r>
          <w:r>
            <w:rPr>
              <w:b/>
            </w:rPr>
            <w:fldChar w:fldCharType="begin"/>
          </w:r>
          <w:r>
            <w:rPr>
              <w:b/>
            </w:rPr>
            <w:instrText xml:space="preserve"> PAGEREF _Toc16974 \h </w:instrText>
          </w:r>
          <w:r>
            <w:rPr>
              <w:b/>
            </w:rPr>
            <w:fldChar w:fldCharType="separate"/>
          </w:r>
          <w:r>
            <w:rPr>
              <w:b/>
            </w:rPr>
            <w:t>14</w:t>
          </w:r>
          <w:r>
            <w:rPr>
              <w:b/>
            </w:rPr>
            <w:fldChar w:fldCharType="end"/>
          </w:r>
          <w:r>
            <w:rPr>
              <w:b/>
            </w:rPr>
            <w:fldChar w:fldCharType="end"/>
          </w:r>
        </w:p>
        <w:p>
          <w:pPr>
            <w:pStyle w:val="20"/>
            <w:tabs>
              <w:tab w:val="right" w:leader="dot" w:pos="8315"/>
            </w:tabs>
          </w:pPr>
          <w:r>
            <w:fldChar w:fldCharType="begin"/>
          </w:r>
          <w:r>
            <w:instrText xml:space="preserve"> HYPERLINK \l _Toc8407 </w:instrText>
          </w:r>
          <w:r>
            <w:fldChar w:fldCharType="separate"/>
          </w:r>
          <w:r>
            <w:rPr>
              <w:shd w:val="clear" w:fill="FFFFFF"/>
            </w:rPr>
            <w:t>1.财政拨款收入：指单位从同级财政部门取得的财政预算资金。</w:t>
          </w:r>
          <w:r>
            <w:tab/>
          </w:r>
          <w:r>
            <w:fldChar w:fldCharType="begin"/>
          </w:r>
          <w:r>
            <w:instrText xml:space="preserve"> PAGEREF _Toc8407 \h </w:instrText>
          </w:r>
          <w:r>
            <w:fldChar w:fldCharType="separate"/>
          </w:r>
          <w:r>
            <w:t>14</w:t>
          </w:r>
          <w:r>
            <w:fldChar w:fldCharType="end"/>
          </w:r>
          <w:r>
            <w:fldChar w:fldCharType="end"/>
          </w:r>
        </w:p>
        <w:p>
          <w:pPr>
            <w:pStyle w:val="19"/>
            <w:tabs>
              <w:tab w:val="right" w:leader="dot" w:pos="8315"/>
            </w:tabs>
            <w:rPr>
              <w:b/>
            </w:rPr>
          </w:pPr>
          <w:r>
            <w:rPr>
              <w:b/>
            </w:rPr>
            <w:fldChar w:fldCharType="begin"/>
          </w:r>
          <w:r>
            <w:rPr>
              <w:b/>
            </w:rPr>
            <w:instrText xml:space="preserve"> HYPERLINK \l _Toc21999 </w:instrText>
          </w:r>
          <w:r>
            <w:rPr>
              <w:b/>
            </w:rPr>
            <w:fldChar w:fldCharType="separate"/>
          </w:r>
          <w:r>
            <w:rPr>
              <w:b/>
              <w:szCs w:val="39"/>
              <w:shd w:val="clear" w:fill="FFFFFF"/>
            </w:rPr>
            <w:t>第四部分 附件</w:t>
          </w:r>
          <w:r>
            <w:rPr>
              <w:b/>
            </w:rPr>
            <w:tab/>
          </w:r>
          <w:r>
            <w:rPr>
              <w:b/>
            </w:rPr>
            <w:fldChar w:fldCharType="begin"/>
          </w:r>
          <w:r>
            <w:rPr>
              <w:b/>
            </w:rPr>
            <w:instrText xml:space="preserve"> PAGEREF _Toc21999 \h </w:instrText>
          </w:r>
          <w:r>
            <w:rPr>
              <w:b/>
            </w:rPr>
            <w:fldChar w:fldCharType="separate"/>
          </w:r>
          <w:r>
            <w:rPr>
              <w:b/>
            </w:rPr>
            <w:t>16</w:t>
          </w:r>
          <w:r>
            <w:rPr>
              <w:b/>
            </w:rPr>
            <w:fldChar w:fldCharType="end"/>
          </w:r>
          <w:r>
            <w:rPr>
              <w:b/>
            </w:rPr>
            <w:fldChar w:fldCharType="end"/>
          </w:r>
        </w:p>
        <w:p>
          <w:pPr>
            <w:pStyle w:val="20"/>
            <w:tabs>
              <w:tab w:val="right" w:leader="dot" w:pos="8315"/>
            </w:tabs>
          </w:pPr>
          <w:r>
            <w:fldChar w:fldCharType="begin"/>
          </w:r>
          <w:r>
            <w:instrText xml:space="preserve"> HYPERLINK \l _Toc11261 </w:instrText>
          </w:r>
          <w:r>
            <w:fldChar w:fldCharType="separate"/>
          </w:r>
          <w:r>
            <w:rPr>
              <w:shd w:val="clear" w:fill="FFFFFF"/>
            </w:rPr>
            <w:t>附件</w:t>
          </w:r>
          <w:r>
            <w:tab/>
          </w:r>
          <w:r>
            <w:fldChar w:fldCharType="begin"/>
          </w:r>
          <w:r>
            <w:instrText xml:space="preserve"> PAGEREF _Toc11261 \h </w:instrText>
          </w:r>
          <w:r>
            <w:fldChar w:fldCharType="separate"/>
          </w:r>
          <w:r>
            <w:t>16</w:t>
          </w:r>
          <w:r>
            <w:fldChar w:fldCharType="end"/>
          </w:r>
          <w:r>
            <w:fldChar w:fldCharType="end"/>
          </w:r>
        </w:p>
        <w:p>
          <w:pPr>
            <w:pStyle w:val="20"/>
            <w:tabs>
              <w:tab w:val="right" w:leader="dot" w:pos="8315"/>
            </w:tabs>
          </w:pPr>
          <w:r>
            <w:fldChar w:fldCharType="begin"/>
          </w:r>
          <w:r>
            <w:instrText xml:space="preserve"> HYPERLINK \l _Toc21375 </w:instrText>
          </w:r>
          <w:r>
            <w:fldChar w:fldCharType="separate"/>
          </w:r>
          <w:r>
            <w:rPr>
              <w:shd w:val="clear" w:fill="FFFFFF"/>
            </w:rPr>
            <w:t>一、部门（单位）概况</w:t>
          </w:r>
          <w:r>
            <w:tab/>
          </w:r>
          <w:r>
            <w:fldChar w:fldCharType="begin"/>
          </w:r>
          <w:r>
            <w:instrText xml:space="preserve"> PAGEREF _Toc21375 \h </w:instrText>
          </w:r>
          <w:r>
            <w:fldChar w:fldCharType="separate"/>
          </w:r>
          <w:r>
            <w:t>16</w:t>
          </w:r>
          <w:r>
            <w:fldChar w:fldCharType="end"/>
          </w:r>
          <w:r>
            <w:fldChar w:fldCharType="end"/>
          </w:r>
        </w:p>
        <w:p>
          <w:pPr>
            <w:pStyle w:val="20"/>
            <w:tabs>
              <w:tab w:val="right" w:leader="dot" w:pos="8315"/>
            </w:tabs>
          </w:pPr>
          <w:r>
            <w:fldChar w:fldCharType="begin"/>
          </w:r>
          <w:r>
            <w:instrText xml:space="preserve"> HYPERLINK \l _Toc742 </w:instrText>
          </w:r>
          <w:r>
            <w:fldChar w:fldCharType="separate"/>
          </w:r>
          <w:r>
            <w:rPr>
              <w:shd w:val="clear" w:fill="FFFFFF"/>
            </w:rPr>
            <w:t>二、部门财政资金收支情况</w:t>
          </w:r>
          <w:r>
            <w:tab/>
          </w:r>
          <w:r>
            <w:fldChar w:fldCharType="begin"/>
          </w:r>
          <w:r>
            <w:instrText xml:space="preserve"> PAGEREF _Toc742 \h </w:instrText>
          </w:r>
          <w:r>
            <w:fldChar w:fldCharType="separate"/>
          </w:r>
          <w:r>
            <w:t>16</w:t>
          </w:r>
          <w:r>
            <w:fldChar w:fldCharType="end"/>
          </w:r>
          <w:r>
            <w:fldChar w:fldCharType="end"/>
          </w:r>
        </w:p>
        <w:p>
          <w:pPr>
            <w:pStyle w:val="20"/>
            <w:tabs>
              <w:tab w:val="right" w:leader="dot" w:pos="8315"/>
            </w:tabs>
          </w:pPr>
          <w:r>
            <w:fldChar w:fldCharType="begin"/>
          </w:r>
          <w:r>
            <w:instrText xml:space="preserve"> HYPERLINK \l _Toc23068 </w:instrText>
          </w:r>
          <w:r>
            <w:fldChar w:fldCharType="separate"/>
          </w:r>
          <w:r>
            <w:rPr>
              <w:shd w:val="clear" w:fill="FFFFFF"/>
            </w:rPr>
            <w:t>三、部门整体预算绩效管理情况</w:t>
          </w:r>
          <w:r>
            <w:tab/>
          </w:r>
          <w:r>
            <w:fldChar w:fldCharType="begin"/>
          </w:r>
          <w:r>
            <w:instrText xml:space="preserve"> PAGEREF _Toc23068 \h </w:instrText>
          </w:r>
          <w:r>
            <w:fldChar w:fldCharType="separate"/>
          </w:r>
          <w:r>
            <w:t>17</w:t>
          </w:r>
          <w:r>
            <w:fldChar w:fldCharType="end"/>
          </w:r>
          <w:r>
            <w:fldChar w:fldCharType="end"/>
          </w:r>
        </w:p>
        <w:p>
          <w:pPr>
            <w:pStyle w:val="20"/>
            <w:tabs>
              <w:tab w:val="right" w:leader="dot" w:pos="8315"/>
            </w:tabs>
          </w:pPr>
          <w:r>
            <w:fldChar w:fldCharType="begin"/>
          </w:r>
          <w:r>
            <w:instrText xml:space="preserve"> HYPERLINK \l _Toc24231 </w:instrText>
          </w:r>
          <w:r>
            <w:fldChar w:fldCharType="separate"/>
          </w:r>
          <w:r>
            <w:rPr>
              <w:shd w:val="clear" w:fill="FFFFFF"/>
            </w:rPr>
            <w:t>四、评价结论及建议</w:t>
          </w:r>
          <w:r>
            <w:tab/>
          </w:r>
          <w:r>
            <w:fldChar w:fldCharType="begin"/>
          </w:r>
          <w:r>
            <w:instrText xml:space="preserve"> PAGEREF _Toc24231 \h </w:instrText>
          </w:r>
          <w:r>
            <w:fldChar w:fldCharType="separate"/>
          </w:r>
          <w:r>
            <w:t>18</w:t>
          </w:r>
          <w:r>
            <w:fldChar w:fldCharType="end"/>
          </w:r>
          <w:r>
            <w:fldChar w:fldCharType="end"/>
          </w:r>
        </w:p>
        <w:p>
          <w:pPr>
            <w:pStyle w:val="19"/>
            <w:tabs>
              <w:tab w:val="right" w:leader="dot" w:pos="8315"/>
            </w:tabs>
            <w:rPr>
              <w:b/>
            </w:rPr>
          </w:pPr>
          <w:r>
            <w:rPr>
              <w:b/>
            </w:rPr>
            <w:fldChar w:fldCharType="begin"/>
          </w:r>
          <w:r>
            <w:rPr>
              <w:b/>
            </w:rPr>
            <w:instrText xml:space="preserve"> HYPERLINK \l _Toc17201 </w:instrText>
          </w:r>
          <w:r>
            <w:rPr>
              <w:b/>
            </w:rPr>
            <w:fldChar w:fldCharType="separate"/>
          </w:r>
          <w:r>
            <w:rPr>
              <w:b/>
              <w:szCs w:val="39"/>
              <w:shd w:val="clear" w:fill="FFFFFF"/>
            </w:rPr>
            <w:t>第五部分 附表</w:t>
          </w:r>
          <w:r>
            <w:rPr>
              <w:b/>
            </w:rPr>
            <w:tab/>
          </w:r>
          <w:r>
            <w:rPr>
              <w:b/>
            </w:rPr>
            <w:fldChar w:fldCharType="begin"/>
          </w:r>
          <w:r>
            <w:rPr>
              <w:b/>
            </w:rPr>
            <w:instrText xml:space="preserve"> PAGEREF _Toc17201 \h </w:instrText>
          </w:r>
          <w:r>
            <w:rPr>
              <w:b/>
            </w:rPr>
            <w:fldChar w:fldCharType="separate"/>
          </w:r>
          <w:r>
            <w:rPr>
              <w:b/>
            </w:rPr>
            <w:t>19</w:t>
          </w:r>
          <w:r>
            <w:rPr>
              <w:b/>
            </w:rPr>
            <w:fldChar w:fldCharType="end"/>
          </w:r>
          <w:r>
            <w:rPr>
              <w:b/>
            </w:rPr>
            <w:fldChar w:fldCharType="end"/>
          </w:r>
        </w:p>
        <w:p>
          <w:pPr>
            <w:pStyle w:val="20"/>
            <w:tabs>
              <w:tab w:val="right" w:leader="dot" w:pos="8315"/>
            </w:tabs>
          </w:pPr>
          <w:r>
            <w:fldChar w:fldCharType="begin"/>
          </w:r>
          <w:r>
            <w:instrText xml:space="preserve"> HYPERLINK \l _Toc19713 </w:instrText>
          </w:r>
          <w:r>
            <w:fldChar w:fldCharType="separate"/>
          </w:r>
          <w:r>
            <w:rPr>
              <w:shd w:val="clear" w:fill="FFFFFF"/>
            </w:rPr>
            <w:t>一、收入支出决算总表</w:t>
          </w:r>
          <w:r>
            <w:tab/>
          </w:r>
          <w:r>
            <w:fldChar w:fldCharType="begin"/>
          </w:r>
          <w:r>
            <w:instrText xml:space="preserve"> PAGEREF _Toc19713 \h </w:instrText>
          </w:r>
          <w:r>
            <w:fldChar w:fldCharType="separate"/>
          </w:r>
          <w:r>
            <w:t>19</w:t>
          </w:r>
          <w:r>
            <w:fldChar w:fldCharType="end"/>
          </w:r>
          <w:r>
            <w:fldChar w:fldCharType="end"/>
          </w:r>
        </w:p>
        <w:p>
          <w:pPr>
            <w:pStyle w:val="20"/>
            <w:tabs>
              <w:tab w:val="right" w:leader="dot" w:pos="8315"/>
            </w:tabs>
          </w:pPr>
          <w:r>
            <w:fldChar w:fldCharType="begin"/>
          </w:r>
          <w:r>
            <w:instrText xml:space="preserve"> HYPERLINK \l _Toc8050 </w:instrText>
          </w:r>
          <w:r>
            <w:fldChar w:fldCharType="separate"/>
          </w:r>
          <w:r>
            <w:rPr>
              <w:shd w:val="clear" w:fill="FFFFFF"/>
            </w:rPr>
            <w:t>二、收入决算表</w:t>
          </w:r>
          <w:r>
            <w:tab/>
          </w:r>
          <w:r>
            <w:fldChar w:fldCharType="begin"/>
          </w:r>
          <w:r>
            <w:instrText xml:space="preserve"> PAGEREF _Toc8050 \h </w:instrText>
          </w:r>
          <w:r>
            <w:fldChar w:fldCharType="separate"/>
          </w:r>
          <w:r>
            <w:t>19</w:t>
          </w:r>
          <w:r>
            <w:fldChar w:fldCharType="end"/>
          </w:r>
          <w:r>
            <w:fldChar w:fldCharType="end"/>
          </w:r>
        </w:p>
        <w:p>
          <w:pPr>
            <w:pStyle w:val="20"/>
            <w:tabs>
              <w:tab w:val="right" w:leader="dot" w:pos="8315"/>
            </w:tabs>
          </w:pPr>
          <w:r>
            <w:fldChar w:fldCharType="begin"/>
          </w:r>
          <w:r>
            <w:instrText xml:space="preserve"> HYPERLINK \l _Toc21998 </w:instrText>
          </w:r>
          <w:r>
            <w:fldChar w:fldCharType="separate"/>
          </w:r>
          <w:r>
            <w:rPr>
              <w:shd w:val="clear" w:fill="FFFFFF"/>
            </w:rPr>
            <w:t>三、支出决算表</w:t>
          </w:r>
          <w:r>
            <w:tab/>
          </w:r>
          <w:r>
            <w:fldChar w:fldCharType="begin"/>
          </w:r>
          <w:r>
            <w:instrText xml:space="preserve"> PAGEREF _Toc21998 \h </w:instrText>
          </w:r>
          <w:r>
            <w:fldChar w:fldCharType="separate"/>
          </w:r>
          <w:r>
            <w:t>19</w:t>
          </w:r>
          <w:r>
            <w:fldChar w:fldCharType="end"/>
          </w:r>
          <w:r>
            <w:fldChar w:fldCharType="end"/>
          </w:r>
        </w:p>
        <w:p>
          <w:pPr>
            <w:pStyle w:val="20"/>
            <w:tabs>
              <w:tab w:val="right" w:leader="dot" w:pos="8315"/>
            </w:tabs>
          </w:pPr>
          <w:r>
            <w:fldChar w:fldCharType="begin"/>
          </w:r>
          <w:r>
            <w:instrText xml:space="preserve"> HYPERLINK \l _Toc28865 </w:instrText>
          </w:r>
          <w:r>
            <w:fldChar w:fldCharType="separate"/>
          </w:r>
          <w:r>
            <w:rPr>
              <w:shd w:val="clear" w:fill="FFFFFF"/>
            </w:rPr>
            <w:t>四、财政拨款收入支出决算总表</w:t>
          </w:r>
          <w:r>
            <w:tab/>
          </w:r>
          <w:r>
            <w:fldChar w:fldCharType="begin"/>
          </w:r>
          <w:r>
            <w:instrText xml:space="preserve"> PAGEREF _Toc28865 \h </w:instrText>
          </w:r>
          <w:r>
            <w:fldChar w:fldCharType="separate"/>
          </w:r>
          <w:r>
            <w:t>19</w:t>
          </w:r>
          <w:r>
            <w:fldChar w:fldCharType="end"/>
          </w:r>
          <w:r>
            <w:fldChar w:fldCharType="end"/>
          </w:r>
        </w:p>
        <w:p>
          <w:pPr>
            <w:pStyle w:val="20"/>
            <w:tabs>
              <w:tab w:val="right" w:leader="dot" w:pos="8315"/>
            </w:tabs>
          </w:pPr>
          <w:r>
            <w:fldChar w:fldCharType="begin"/>
          </w:r>
          <w:r>
            <w:instrText xml:space="preserve"> HYPERLINK \l _Toc20071 </w:instrText>
          </w:r>
          <w:r>
            <w:fldChar w:fldCharType="separate"/>
          </w:r>
          <w:r>
            <w:rPr>
              <w:shd w:val="clear" w:fill="FFFFFF"/>
            </w:rPr>
            <w:t>五、财政拨款支出决算明细表</w:t>
          </w:r>
          <w:r>
            <w:tab/>
          </w:r>
          <w:r>
            <w:fldChar w:fldCharType="begin"/>
          </w:r>
          <w:r>
            <w:instrText xml:space="preserve"> PAGEREF _Toc20071 \h </w:instrText>
          </w:r>
          <w:r>
            <w:fldChar w:fldCharType="separate"/>
          </w:r>
          <w:r>
            <w:t>19</w:t>
          </w:r>
          <w:r>
            <w:fldChar w:fldCharType="end"/>
          </w:r>
          <w:r>
            <w:fldChar w:fldCharType="end"/>
          </w:r>
        </w:p>
        <w:p>
          <w:pPr>
            <w:pStyle w:val="20"/>
            <w:tabs>
              <w:tab w:val="right" w:leader="dot" w:pos="8315"/>
            </w:tabs>
          </w:pPr>
          <w:r>
            <w:fldChar w:fldCharType="begin"/>
          </w:r>
          <w:r>
            <w:instrText xml:space="preserve"> HYPERLINK \l _Toc12357 </w:instrText>
          </w:r>
          <w:r>
            <w:fldChar w:fldCharType="separate"/>
          </w:r>
          <w:r>
            <w:rPr>
              <w:shd w:val="clear" w:fill="FFFFFF"/>
            </w:rPr>
            <w:t>六、一般公共预算财政拨款支出决算表</w:t>
          </w:r>
          <w:r>
            <w:tab/>
          </w:r>
          <w:r>
            <w:fldChar w:fldCharType="begin"/>
          </w:r>
          <w:r>
            <w:instrText xml:space="preserve"> PAGEREF _Toc12357 \h </w:instrText>
          </w:r>
          <w:r>
            <w:fldChar w:fldCharType="separate"/>
          </w:r>
          <w:r>
            <w:t>19</w:t>
          </w:r>
          <w:r>
            <w:fldChar w:fldCharType="end"/>
          </w:r>
          <w:r>
            <w:fldChar w:fldCharType="end"/>
          </w:r>
        </w:p>
        <w:p>
          <w:pPr>
            <w:pStyle w:val="20"/>
            <w:tabs>
              <w:tab w:val="right" w:leader="dot" w:pos="8315"/>
            </w:tabs>
          </w:pPr>
          <w:r>
            <w:fldChar w:fldCharType="begin"/>
          </w:r>
          <w:r>
            <w:instrText xml:space="preserve"> HYPERLINK \l _Toc19111 </w:instrText>
          </w:r>
          <w:r>
            <w:fldChar w:fldCharType="separate"/>
          </w:r>
          <w:r>
            <w:rPr>
              <w:shd w:val="clear" w:fill="FFFFFF"/>
            </w:rPr>
            <w:t>七、一般公共预算财政拨款支出决算明细表</w:t>
          </w:r>
          <w:r>
            <w:tab/>
          </w:r>
          <w:r>
            <w:fldChar w:fldCharType="begin"/>
          </w:r>
          <w:r>
            <w:instrText xml:space="preserve"> PAGEREF _Toc19111 \h </w:instrText>
          </w:r>
          <w:r>
            <w:fldChar w:fldCharType="separate"/>
          </w:r>
          <w:r>
            <w:t>19</w:t>
          </w:r>
          <w:r>
            <w:fldChar w:fldCharType="end"/>
          </w:r>
          <w:r>
            <w:fldChar w:fldCharType="end"/>
          </w:r>
        </w:p>
        <w:p>
          <w:pPr>
            <w:pStyle w:val="20"/>
            <w:tabs>
              <w:tab w:val="right" w:leader="dot" w:pos="8315"/>
            </w:tabs>
          </w:pPr>
          <w:r>
            <w:fldChar w:fldCharType="begin"/>
          </w:r>
          <w:r>
            <w:instrText xml:space="preserve"> HYPERLINK \l _Toc27198 </w:instrText>
          </w:r>
          <w:r>
            <w:fldChar w:fldCharType="separate"/>
          </w:r>
          <w:r>
            <w:rPr>
              <w:shd w:val="clear" w:fill="FFFFFF"/>
            </w:rPr>
            <w:t>八、一般公共预算财政拨款基本支出决算表</w:t>
          </w:r>
          <w:r>
            <w:tab/>
          </w:r>
          <w:r>
            <w:fldChar w:fldCharType="begin"/>
          </w:r>
          <w:r>
            <w:instrText xml:space="preserve"> PAGEREF _Toc27198 \h </w:instrText>
          </w:r>
          <w:r>
            <w:fldChar w:fldCharType="separate"/>
          </w:r>
          <w:r>
            <w:t>19</w:t>
          </w:r>
          <w:r>
            <w:fldChar w:fldCharType="end"/>
          </w:r>
          <w:r>
            <w:fldChar w:fldCharType="end"/>
          </w:r>
        </w:p>
        <w:p>
          <w:pPr>
            <w:pStyle w:val="20"/>
            <w:tabs>
              <w:tab w:val="right" w:leader="dot" w:pos="8315"/>
            </w:tabs>
          </w:pPr>
          <w:r>
            <w:fldChar w:fldCharType="begin"/>
          </w:r>
          <w:r>
            <w:instrText xml:space="preserve"> HYPERLINK \l _Toc29492 </w:instrText>
          </w:r>
          <w:r>
            <w:fldChar w:fldCharType="separate"/>
          </w:r>
          <w:r>
            <w:rPr>
              <w:shd w:val="clear" w:fill="FFFFFF"/>
            </w:rPr>
            <w:t>九、一般公共预算财政拨款项目支出决算表</w:t>
          </w:r>
          <w:r>
            <w:tab/>
          </w:r>
          <w:r>
            <w:fldChar w:fldCharType="begin"/>
          </w:r>
          <w:r>
            <w:instrText xml:space="preserve"> PAGEREF _Toc29492 \h </w:instrText>
          </w:r>
          <w:r>
            <w:fldChar w:fldCharType="separate"/>
          </w:r>
          <w:r>
            <w:t>19</w:t>
          </w:r>
          <w:r>
            <w:fldChar w:fldCharType="end"/>
          </w:r>
          <w:r>
            <w:fldChar w:fldCharType="end"/>
          </w:r>
        </w:p>
        <w:p>
          <w:pPr>
            <w:pStyle w:val="20"/>
            <w:tabs>
              <w:tab w:val="right" w:leader="dot" w:pos="8315"/>
            </w:tabs>
          </w:pPr>
          <w:r>
            <w:fldChar w:fldCharType="begin"/>
          </w:r>
          <w:r>
            <w:instrText xml:space="preserve"> HYPERLINK \l _Toc17745 </w:instrText>
          </w:r>
          <w:r>
            <w:fldChar w:fldCharType="separate"/>
          </w:r>
          <w:r>
            <w:rPr>
              <w:shd w:val="clear" w:fill="FFFFFF"/>
            </w:rPr>
            <w:t>十、一般公共预算财政拨款“三公”经费支出决算表</w:t>
          </w:r>
          <w:r>
            <w:tab/>
          </w:r>
          <w:r>
            <w:fldChar w:fldCharType="begin"/>
          </w:r>
          <w:r>
            <w:instrText xml:space="preserve"> PAGEREF _Toc17745 \h </w:instrText>
          </w:r>
          <w:r>
            <w:fldChar w:fldCharType="separate"/>
          </w:r>
          <w:r>
            <w:t>19</w:t>
          </w:r>
          <w:r>
            <w:fldChar w:fldCharType="end"/>
          </w:r>
          <w:r>
            <w:fldChar w:fldCharType="end"/>
          </w:r>
        </w:p>
        <w:p>
          <w:pPr>
            <w:pStyle w:val="20"/>
            <w:tabs>
              <w:tab w:val="right" w:leader="dot" w:pos="8315"/>
            </w:tabs>
          </w:pPr>
          <w:r>
            <w:fldChar w:fldCharType="begin"/>
          </w:r>
          <w:r>
            <w:instrText xml:space="preserve"> HYPERLINK \l _Toc23407 </w:instrText>
          </w:r>
          <w:r>
            <w:fldChar w:fldCharType="separate"/>
          </w:r>
          <w:r>
            <w:rPr>
              <w:shd w:val="clear" w:fill="FFFFFF"/>
            </w:rPr>
            <w:t>十一、政府性基金预算财政拨款收入支出决算表</w:t>
          </w:r>
          <w:r>
            <w:tab/>
          </w:r>
          <w:r>
            <w:fldChar w:fldCharType="begin"/>
          </w:r>
          <w:r>
            <w:instrText xml:space="preserve"> PAGEREF _Toc23407 \h </w:instrText>
          </w:r>
          <w:r>
            <w:fldChar w:fldCharType="separate"/>
          </w:r>
          <w:r>
            <w:t>19</w:t>
          </w:r>
          <w:r>
            <w:fldChar w:fldCharType="end"/>
          </w:r>
          <w:r>
            <w:fldChar w:fldCharType="end"/>
          </w:r>
        </w:p>
        <w:p>
          <w:pPr>
            <w:pStyle w:val="20"/>
            <w:tabs>
              <w:tab w:val="right" w:leader="dot" w:pos="8315"/>
            </w:tabs>
          </w:pPr>
          <w:r>
            <w:fldChar w:fldCharType="begin"/>
          </w:r>
          <w:r>
            <w:instrText xml:space="preserve"> HYPERLINK \l _Toc14693 </w:instrText>
          </w:r>
          <w:r>
            <w:fldChar w:fldCharType="separate"/>
          </w:r>
          <w:r>
            <w:rPr>
              <w:shd w:val="clear" w:fill="FFFFFF"/>
            </w:rPr>
            <w:t>十二、政府性基金预算财政拨款“三公”经费支出决算表</w:t>
          </w:r>
          <w:r>
            <w:tab/>
          </w:r>
          <w:r>
            <w:fldChar w:fldCharType="begin"/>
          </w:r>
          <w:r>
            <w:instrText xml:space="preserve"> PAGEREF _Toc14693 \h </w:instrText>
          </w:r>
          <w:r>
            <w:fldChar w:fldCharType="separate"/>
          </w:r>
          <w:r>
            <w:t>19</w:t>
          </w:r>
          <w:r>
            <w:fldChar w:fldCharType="end"/>
          </w:r>
          <w:r>
            <w:fldChar w:fldCharType="end"/>
          </w:r>
        </w:p>
        <w:p>
          <w:pPr>
            <w:pStyle w:val="20"/>
            <w:tabs>
              <w:tab w:val="right" w:leader="dot" w:pos="8315"/>
            </w:tabs>
          </w:pPr>
          <w:r>
            <w:fldChar w:fldCharType="begin"/>
          </w:r>
          <w:r>
            <w:instrText xml:space="preserve"> HYPERLINK \l _Toc11652 </w:instrText>
          </w:r>
          <w:r>
            <w:fldChar w:fldCharType="separate"/>
          </w:r>
          <w:r>
            <w:rPr>
              <w:shd w:val="clear" w:fill="FFFFFF"/>
            </w:rPr>
            <w:t>十三、国有资本经营预算财政拨款收入支出决算表</w:t>
          </w:r>
          <w:r>
            <w:tab/>
          </w:r>
          <w:r>
            <w:fldChar w:fldCharType="begin"/>
          </w:r>
          <w:r>
            <w:instrText xml:space="preserve"> PAGEREF _Toc11652 \h </w:instrText>
          </w:r>
          <w:r>
            <w:fldChar w:fldCharType="separate"/>
          </w:r>
          <w:r>
            <w:t>19</w:t>
          </w:r>
          <w:r>
            <w:fldChar w:fldCharType="end"/>
          </w:r>
          <w:r>
            <w:fldChar w:fldCharType="end"/>
          </w:r>
        </w:p>
        <w:p>
          <w:pPr>
            <w:pStyle w:val="20"/>
            <w:tabs>
              <w:tab w:val="right" w:leader="dot" w:pos="8315"/>
            </w:tabs>
          </w:pPr>
          <w:r>
            <w:fldChar w:fldCharType="begin"/>
          </w:r>
          <w:r>
            <w:instrText xml:space="preserve"> HYPERLINK \l _Toc6734 </w:instrText>
          </w:r>
          <w:r>
            <w:fldChar w:fldCharType="separate"/>
          </w:r>
          <w:r>
            <w:rPr>
              <w:shd w:val="clear" w:fill="FFFFFF"/>
            </w:rPr>
            <w:t>十四、国有资本经营预算财政拨款支出决算表</w:t>
          </w:r>
          <w:r>
            <w:tab/>
          </w:r>
          <w:r>
            <w:fldChar w:fldCharType="begin"/>
          </w:r>
          <w:r>
            <w:instrText xml:space="preserve"> PAGEREF _Toc6734 \h </w:instrText>
          </w:r>
          <w:r>
            <w:fldChar w:fldCharType="separate"/>
          </w:r>
          <w:r>
            <w:t>19</w:t>
          </w:r>
          <w:r>
            <w:fldChar w:fldCharType="end"/>
          </w:r>
          <w:r>
            <w:fldChar w:fldCharType="end"/>
          </w:r>
        </w:p>
        <w:p>
          <w:r>
            <w:rPr>
              <w:b/>
            </w:rPr>
            <w:fldChar w:fldCharType="end"/>
          </w:r>
        </w:p>
      </w:sdtContent>
    </w:sdt>
    <w:p>
      <w:pPr>
        <w:pStyle w:val="12"/>
        <w:keepNext w:val="0"/>
        <w:keepLines w:val="0"/>
        <w:widowControl/>
        <w:suppressLineNumbers w:val="0"/>
        <w:spacing w:before="0" w:beforeAutospacing="0"/>
        <w:ind w:left="0"/>
        <w:jc w:val="center"/>
      </w:pPr>
    </w:p>
    <w:p>
      <w:pPr>
        <w:pStyle w:val="12"/>
        <w:keepNext w:val="0"/>
        <w:keepLines w:val="0"/>
        <w:widowControl/>
        <w:suppressLineNumbers w:val="0"/>
        <w:spacing w:before="0" w:beforeAutospacing="0"/>
        <w:ind w:left="0"/>
        <w:jc w:val="center"/>
        <w:rPr>
          <w:shd w:val="clear" w:fill="FFFFFF"/>
        </w:rPr>
      </w:pPr>
      <w:r>
        <w:rPr>
          <w:shd w:val="clear" w:fill="FFFFFF"/>
        </w:rPr>
        <w:t> </w:t>
      </w:r>
    </w:p>
    <w:p/>
    <w:p>
      <w:pPr>
        <w:pStyle w:val="4"/>
        <w:keepNext w:val="0"/>
        <w:keepLines w:val="0"/>
        <w:widowControl/>
        <w:suppressLineNumbers w:val="0"/>
        <w:spacing w:before="0" w:beforeAutospacing="0"/>
        <w:ind w:left="0"/>
        <w:jc w:val="center"/>
      </w:pPr>
      <w:bookmarkStart w:id="3" w:name="_Toc31050"/>
      <w:bookmarkStart w:id="4" w:name="_Toc26414"/>
      <w:bookmarkStart w:id="5" w:name="_Toc16963"/>
      <w:r>
        <w:rPr>
          <w:shd w:val="clear" w:fill="FFFFFF"/>
        </w:rPr>
        <w:t>第一部分 部门概况</w:t>
      </w:r>
      <w:bookmarkEnd w:id="3"/>
      <w:bookmarkEnd w:id="4"/>
      <w:bookmarkEnd w:id="5"/>
    </w:p>
    <w:p>
      <w:pPr>
        <w:pStyle w:val="12"/>
        <w:keepNext w:val="0"/>
        <w:keepLines w:val="0"/>
        <w:widowControl/>
        <w:suppressLineNumbers w:val="0"/>
        <w:spacing w:before="0" w:beforeAutospacing="0"/>
        <w:ind w:left="0"/>
        <w:jc w:val="left"/>
      </w:pPr>
      <w:r>
        <w:rPr>
          <w:shd w:val="clear" w:fill="FFFFFF"/>
        </w:rPr>
        <w:t> </w:t>
      </w:r>
    </w:p>
    <w:p>
      <w:pPr>
        <w:pStyle w:val="5"/>
        <w:keepNext w:val="0"/>
        <w:keepLines w:val="0"/>
        <w:widowControl/>
        <w:suppressLineNumbers w:val="0"/>
        <w:spacing w:before="0" w:beforeAutospacing="0"/>
        <w:ind w:left="0" w:firstLine="723" w:firstLineChars="200"/>
        <w:jc w:val="left"/>
      </w:pPr>
      <w:bookmarkStart w:id="6" w:name="_Toc25401"/>
      <w:bookmarkStart w:id="7" w:name="_Toc28975"/>
      <w:r>
        <w:rPr>
          <w:shd w:val="clear" w:fill="FFFFFF"/>
        </w:rPr>
        <w:t>一、基本职能及主要工作</w:t>
      </w:r>
      <w:bookmarkEnd w:id="6"/>
      <w:bookmarkEnd w:id="7"/>
    </w:p>
    <w:p>
      <w:pPr>
        <w:pStyle w:val="12"/>
        <w:keepNext w:val="0"/>
        <w:keepLines w:val="0"/>
        <w:widowControl/>
        <w:suppressLineNumbers w:val="0"/>
        <w:spacing w:before="0" w:beforeAutospacing="0"/>
        <w:ind w:left="0" w:firstLine="480" w:firstLineChars="200"/>
        <w:jc w:val="left"/>
        <w:rPr>
          <w:shd w:val="clear" w:fill="FFFFFF"/>
        </w:rPr>
      </w:pPr>
      <w:r>
        <w:rPr>
          <w:shd w:val="clear" w:fill="FFFFFF"/>
        </w:rPr>
        <w:t>（一）主要职能。</w:t>
      </w:r>
    </w:p>
    <w:p>
      <w:pPr>
        <w:pStyle w:val="10"/>
        <w:keepNext w:val="0"/>
        <w:keepLines w:val="0"/>
        <w:widowControl/>
        <w:suppressLineNumbers w:val="0"/>
        <w:adjustRightInd w:val="0"/>
        <w:snapToGrid w:val="0"/>
        <w:spacing w:before="0" w:beforeLines="30" w:beforeAutospacing="0" w:after="0" w:afterAutospacing="1" w:line="580" w:lineRule="exact"/>
        <w:ind w:right="0" w:firstLine="480" w:firstLineChars="200"/>
        <w:rPr>
          <w:rFonts w:hint="eastAsia" w:ascii="宋体" w:hAnsi="宋体" w:eastAsia="宋体" w:cs="宋体"/>
          <w:kern w:val="0"/>
          <w:sz w:val="24"/>
          <w:szCs w:val="24"/>
          <w:shd w:val="clear" w:fill="FFFFFF"/>
          <w:lang w:val="en-US" w:eastAsia="zh-CN" w:bidi="ar"/>
        </w:rPr>
      </w:pPr>
      <w:r>
        <w:rPr>
          <w:rFonts w:hint="eastAsia" w:ascii="宋体" w:hAnsi="宋体" w:eastAsia="宋体" w:cs="宋体"/>
          <w:kern w:val="0"/>
          <w:sz w:val="24"/>
          <w:szCs w:val="24"/>
          <w:shd w:val="clear" w:fill="FFFFFF"/>
          <w:lang w:val="en-US" w:eastAsia="zh-CN" w:bidi="ar"/>
        </w:rPr>
        <w:t>1、传播国际红十字运动知识和国际人道主义，宣传、执行《</w:t>
      </w:r>
      <w:r>
        <w:rPr>
          <w:rFonts w:hint="eastAsia" w:ascii="宋体" w:eastAsia="宋体" w:cs="宋体"/>
          <w:kern w:val="0"/>
          <w:sz w:val="24"/>
          <w:szCs w:val="24"/>
          <w:shd w:val="clear" w:fill="FFFFFF"/>
          <w:lang w:val="en-US" w:eastAsia="zh-CN" w:bidi="ar"/>
        </w:rPr>
        <w:t>中华</w:t>
      </w:r>
      <w:r>
        <w:rPr>
          <w:rFonts w:hint="eastAsia" w:ascii="宋体" w:hAnsi="宋体" w:eastAsia="宋体" w:cs="宋体"/>
          <w:kern w:val="0"/>
          <w:sz w:val="24"/>
          <w:szCs w:val="24"/>
          <w:shd w:val="clear" w:fill="FFFFFF"/>
          <w:lang w:val="en-US" w:eastAsia="zh-CN" w:bidi="ar"/>
        </w:rPr>
        <w:t>人民共和国红十字会法》和《中华人民共和国红十字会法实施办法》等法律、法规，遵循《中国红十字会章程》，依法建会、治会、兴会。</w:t>
      </w:r>
    </w:p>
    <w:p>
      <w:pPr>
        <w:pStyle w:val="10"/>
        <w:keepNext w:val="0"/>
        <w:keepLines w:val="0"/>
        <w:widowControl/>
        <w:suppressLineNumbers w:val="0"/>
        <w:adjustRightInd w:val="0"/>
        <w:snapToGrid w:val="0"/>
        <w:spacing w:before="0" w:beforeLines="30" w:beforeAutospacing="0" w:after="0" w:afterAutospacing="1" w:line="580" w:lineRule="exact"/>
        <w:ind w:left="0" w:right="0" w:firstLine="504" w:firstLineChars="210"/>
        <w:rPr>
          <w:rFonts w:hint="eastAsia" w:ascii="宋体" w:hAnsi="宋体" w:eastAsia="宋体" w:cs="宋体"/>
          <w:kern w:val="0"/>
          <w:sz w:val="24"/>
          <w:szCs w:val="24"/>
          <w:shd w:val="clear" w:fill="FFFFFF"/>
          <w:lang w:val="en-US" w:eastAsia="zh-CN" w:bidi="ar"/>
        </w:rPr>
      </w:pPr>
      <w:r>
        <w:rPr>
          <w:rFonts w:hint="eastAsia" w:ascii="宋体" w:hAnsi="宋体" w:eastAsia="宋体" w:cs="宋体"/>
          <w:kern w:val="0"/>
          <w:sz w:val="24"/>
          <w:szCs w:val="24"/>
          <w:shd w:val="clear" w:fill="FFFFFF"/>
          <w:lang w:val="en-US" w:eastAsia="zh-CN" w:bidi="ar"/>
        </w:rPr>
        <w:t>2、开展备灾救灾工作，兴建和管理备灾救灾设施，在自然灾害和突发事件中开展对受害者的救助和救护。</w:t>
      </w:r>
    </w:p>
    <w:p>
      <w:pPr>
        <w:pStyle w:val="10"/>
        <w:keepNext w:val="0"/>
        <w:keepLines w:val="0"/>
        <w:widowControl/>
        <w:suppressLineNumbers w:val="0"/>
        <w:adjustRightInd w:val="0"/>
        <w:snapToGrid w:val="0"/>
        <w:spacing w:before="0" w:beforeLines="30" w:beforeAutospacing="0" w:after="0" w:afterAutospacing="1" w:line="580" w:lineRule="exact"/>
        <w:ind w:left="0" w:right="0" w:firstLine="504" w:firstLineChars="210"/>
        <w:rPr>
          <w:rFonts w:hint="eastAsia" w:ascii="宋体" w:hAnsi="宋体" w:eastAsia="宋体" w:cs="宋体"/>
          <w:kern w:val="0"/>
          <w:sz w:val="24"/>
          <w:szCs w:val="24"/>
          <w:shd w:val="clear" w:fill="FFFFFF"/>
          <w:lang w:val="en-US" w:eastAsia="zh-CN" w:bidi="ar"/>
        </w:rPr>
      </w:pPr>
      <w:r>
        <w:rPr>
          <w:rFonts w:hint="eastAsia" w:ascii="宋体" w:hAnsi="宋体" w:eastAsia="宋体" w:cs="宋体"/>
          <w:kern w:val="0"/>
          <w:sz w:val="24"/>
          <w:szCs w:val="24"/>
          <w:shd w:val="clear" w:fill="FFFFFF"/>
          <w:lang w:val="en-US" w:eastAsia="zh-CN" w:bidi="ar"/>
        </w:rPr>
        <w:t>3、开展人道领域的社会公益服务活动和卫生救护、卫生防病知识的宣传、开展学术交流、组织社会捐助，进行初级卫生救护培训，组织群众参加现场救护，推动无偿献血和非血缘关系骨髓移植工作。</w:t>
      </w:r>
    </w:p>
    <w:p>
      <w:pPr>
        <w:pStyle w:val="10"/>
        <w:keepNext w:val="0"/>
        <w:keepLines w:val="0"/>
        <w:widowControl/>
        <w:suppressLineNumbers w:val="0"/>
        <w:adjustRightInd w:val="0"/>
        <w:snapToGrid w:val="0"/>
        <w:spacing w:before="0" w:beforeLines="30" w:beforeAutospacing="0" w:after="0" w:afterAutospacing="1" w:line="580" w:lineRule="exact"/>
        <w:ind w:left="0" w:right="0" w:firstLine="504" w:firstLineChars="210"/>
        <w:rPr>
          <w:rFonts w:hint="eastAsia" w:ascii="宋体" w:hAnsi="宋体" w:eastAsia="宋体" w:cs="宋体"/>
          <w:kern w:val="0"/>
          <w:sz w:val="24"/>
          <w:szCs w:val="24"/>
          <w:shd w:val="clear" w:fill="FFFFFF"/>
          <w:lang w:val="en-US" w:eastAsia="zh-CN" w:bidi="ar"/>
        </w:rPr>
      </w:pPr>
      <w:r>
        <w:rPr>
          <w:rFonts w:hint="eastAsia" w:ascii="宋体" w:hAnsi="宋体" w:eastAsia="宋体" w:cs="宋体"/>
          <w:kern w:val="0"/>
          <w:sz w:val="24"/>
          <w:szCs w:val="24"/>
          <w:shd w:val="clear" w:fill="FFFFFF"/>
          <w:lang w:val="en-US" w:eastAsia="zh-CN" w:bidi="ar"/>
        </w:rPr>
        <w:t>4、加强与兄弟市、县红十字会及国际红十字组织友好往来，开展人道领域的合作与交流，争取援助。</w:t>
      </w:r>
    </w:p>
    <w:p>
      <w:pPr>
        <w:pStyle w:val="12"/>
        <w:keepNext w:val="0"/>
        <w:keepLines w:val="0"/>
        <w:widowControl/>
        <w:suppressLineNumbers w:val="0"/>
        <w:spacing w:before="0" w:beforeAutospacing="0"/>
        <w:ind w:left="0" w:firstLine="480" w:firstLineChars="200"/>
        <w:jc w:val="left"/>
        <w:rPr>
          <w:shd w:val="clear" w:fill="FFFFFF"/>
        </w:rPr>
      </w:pPr>
      <w:r>
        <w:rPr>
          <w:shd w:val="clear" w:fill="FFFFFF"/>
        </w:rPr>
        <w:t>（二）2021年重点工作完成情况。</w:t>
      </w:r>
    </w:p>
    <w:p>
      <w:pPr>
        <w:keepNext w:val="0"/>
        <w:keepLines w:val="0"/>
        <w:widowControl w:val="0"/>
        <w:suppressLineNumbers w:val="0"/>
        <w:autoSpaceDE w:val="0"/>
        <w:autoSpaceDN/>
        <w:spacing w:line="560" w:lineRule="exact"/>
        <w:ind w:left="0" w:firstLine="480" w:firstLineChars="200"/>
        <w:rPr>
          <w:rFonts w:hint="eastAsia" w:ascii="宋体" w:hAnsi="宋体" w:eastAsia="宋体" w:cs="宋体"/>
          <w:kern w:val="0"/>
          <w:sz w:val="24"/>
          <w:szCs w:val="24"/>
          <w:shd w:val="clear" w:fill="FFFFFF"/>
          <w:lang w:val="en-US" w:eastAsia="zh-CN" w:bidi="ar"/>
        </w:rPr>
      </w:pPr>
      <w:r>
        <w:rPr>
          <w:rFonts w:hint="eastAsia" w:ascii="宋体" w:hAnsi="宋体" w:eastAsia="宋体" w:cs="宋体"/>
          <w:kern w:val="0"/>
          <w:sz w:val="24"/>
          <w:szCs w:val="24"/>
          <w:shd w:val="clear" w:fill="FFFFFF"/>
          <w:lang w:val="en-US" w:eastAsia="zh-CN" w:bidi="ar"/>
        </w:rPr>
        <w:t>截止目前，我会完成应急救护普及培训765人次，应急救护急救员培训113人。</w:t>
      </w:r>
    </w:p>
    <w:p>
      <w:pPr>
        <w:pStyle w:val="12"/>
        <w:keepNext w:val="0"/>
        <w:keepLines w:val="0"/>
        <w:widowControl/>
        <w:suppressLineNumbers w:val="0"/>
        <w:spacing w:before="0" w:beforeAutospacing="0"/>
        <w:ind w:left="0" w:firstLine="480" w:firstLineChars="200"/>
        <w:jc w:val="left"/>
        <w:rPr>
          <w:rFonts w:hint="eastAsia" w:ascii="宋体" w:hAnsi="宋体" w:eastAsia="宋体" w:cs="宋体"/>
          <w:kern w:val="0"/>
          <w:sz w:val="24"/>
          <w:szCs w:val="24"/>
          <w:shd w:val="clear" w:fill="FFFFFF"/>
          <w:lang w:val="en-US" w:eastAsia="zh-CN" w:bidi="ar"/>
        </w:rPr>
      </w:pPr>
      <w:r>
        <w:rPr>
          <w:rFonts w:hint="eastAsia" w:ascii="宋体" w:hAnsi="宋体" w:eastAsia="宋体" w:cs="宋体"/>
          <w:kern w:val="0"/>
          <w:sz w:val="24"/>
          <w:szCs w:val="24"/>
          <w:shd w:val="clear" w:fill="FFFFFF"/>
          <w:lang w:val="en-US" w:eastAsia="zh-CN" w:bidi="ar"/>
        </w:rPr>
        <w:t>宣传工作：在“5·8博爱周”、“国家防灾减灾日”“安全生产日”等时间节点积极宣传“三救”“三献”知识，发放抗震减灾、“三救三献”宣传手册以及自救互救的相关知识读本4000余册。</w:t>
      </w:r>
    </w:p>
    <w:p>
      <w:pPr>
        <w:ind w:firstLine="480" w:firstLineChars="200"/>
        <w:rPr>
          <w:rFonts w:hint="default" w:ascii="宋体" w:hAnsi="宋体" w:eastAsia="宋体" w:cs="宋体"/>
          <w:kern w:val="0"/>
          <w:sz w:val="24"/>
          <w:szCs w:val="24"/>
          <w:shd w:val="clear" w:fill="FFFFFF"/>
          <w:lang w:val="en-US" w:eastAsia="zh-CN" w:bidi="ar"/>
        </w:rPr>
      </w:pPr>
      <w:r>
        <w:rPr>
          <w:rFonts w:hint="eastAsia" w:ascii="宋体" w:hAnsi="宋体" w:eastAsia="宋体" w:cs="宋体"/>
          <w:kern w:val="0"/>
          <w:sz w:val="24"/>
          <w:szCs w:val="24"/>
          <w:shd w:val="clear" w:fill="FFFFFF"/>
          <w:lang w:val="en-US" w:eastAsia="zh-CN" w:bidi="ar"/>
        </w:rPr>
        <w:t>人道救助：开展“两联一进”群众工作。走村入户90余人次，为联系户送去学习用品，看望慰问联系僧人30余人次，为他们送去了米、面、油等生活用品；对特困、孤、老、病、残者为主要救助对象，元旦春节重阳节期间，向他们送去了“博爱家庭箱”及米、面、油、牛奶等慰问物品，针对卧床的病患，送去多功能护理床、床垫和日常护理用品，邀请县医院专家入户对病患进行诊治。组织开展我县0-14周岁先天性心脏病患儿筛查工作，共有38名疑似先心病患儿参与此次活动，绵阳四0四医院将对疑似先心病患儿进行复查，确诊4名先心病患儿已陆续前往绵阳四0四医院进行免费手术。对接“嫣然基金会”对我县1名唇裂儿童进行免费治疗。收到爱心企业和爱心人士捐赠助学金431100元，资助困难学生729人。</w:t>
      </w:r>
    </w:p>
    <w:p>
      <w:pPr>
        <w:pStyle w:val="5"/>
        <w:keepNext w:val="0"/>
        <w:keepLines w:val="0"/>
        <w:widowControl/>
        <w:suppressLineNumbers w:val="0"/>
        <w:spacing w:before="0" w:beforeAutospacing="0"/>
        <w:ind w:left="0" w:firstLine="723" w:firstLineChars="200"/>
        <w:jc w:val="left"/>
      </w:pPr>
      <w:bookmarkStart w:id="8" w:name="_Toc16353"/>
      <w:bookmarkStart w:id="9" w:name="_Toc21541"/>
      <w:r>
        <w:rPr>
          <w:shd w:val="clear" w:fill="FFFFFF"/>
        </w:rPr>
        <w:t>二、机构设置</w:t>
      </w:r>
      <w:bookmarkEnd w:id="8"/>
      <w:bookmarkEnd w:id="9"/>
    </w:p>
    <w:p>
      <w:pPr>
        <w:pStyle w:val="12"/>
        <w:keepNext w:val="0"/>
        <w:keepLines w:val="0"/>
        <w:widowControl/>
        <w:suppressLineNumbers w:val="0"/>
        <w:spacing w:before="0" w:beforeAutospacing="0"/>
        <w:ind w:left="0" w:firstLine="480" w:firstLineChars="200"/>
        <w:jc w:val="left"/>
        <w:rPr>
          <w:shd w:val="clear" w:fill="FFFFFF"/>
        </w:rPr>
      </w:pPr>
      <w:r>
        <w:rPr>
          <w:rFonts w:hint="eastAsia" w:ascii="宋体" w:hAnsi="宋体" w:eastAsia="宋体" w:cs="宋体"/>
          <w:kern w:val="0"/>
          <w:sz w:val="24"/>
          <w:szCs w:val="24"/>
          <w:shd w:val="clear" w:fill="FFFFFF"/>
        </w:rPr>
        <w:t>阿坝州红原县红十字会下属二级单位0个，其中行政单位0个，参照公务员法管理的事业单位0个，其他事业单位0个。红原县红十字会为独立核算全额拨款参公单位,</w:t>
      </w:r>
      <w:r>
        <w:rPr>
          <w:rFonts w:hint="eastAsia" w:ascii="宋体" w:hAnsi="宋体" w:eastAsia="宋体" w:cs="宋体"/>
          <w:kern w:val="0"/>
          <w:sz w:val="24"/>
          <w:szCs w:val="24"/>
          <w:shd w:val="clear" w:fill="FFFFFF"/>
          <w:lang w:val="en-US" w:eastAsia="zh-CN"/>
        </w:rPr>
        <w:t>下设2个内设机构（办公室和综合股），</w:t>
      </w:r>
      <w:r>
        <w:rPr>
          <w:rFonts w:hint="eastAsia" w:ascii="宋体" w:hAnsi="宋体" w:eastAsia="宋体" w:cs="宋体"/>
          <w:kern w:val="0"/>
          <w:sz w:val="24"/>
          <w:szCs w:val="24"/>
          <w:shd w:val="clear" w:fill="FFFFFF"/>
        </w:rPr>
        <w:t>截止202</w:t>
      </w:r>
      <w:r>
        <w:rPr>
          <w:rFonts w:hint="eastAsia" w:ascii="宋体" w:hAnsi="宋体" w:eastAsia="宋体" w:cs="宋体"/>
          <w:kern w:val="0"/>
          <w:sz w:val="24"/>
          <w:szCs w:val="24"/>
          <w:shd w:val="clear" w:fill="FFFFFF"/>
          <w:lang w:val="en-US" w:eastAsia="zh-CN"/>
        </w:rPr>
        <w:t>1</w:t>
      </w:r>
      <w:r>
        <w:rPr>
          <w:rFonts w:hint="eastAsia" w:ascii="宋体" w:hAnsi="宋体" w:eastAsia="宋体" w:cs="宋体"/>
          <w:kern w:val="0"/>
          <w:sz w:val="24"/>
          <w:szCs w:val="24"/>
          <w:shd w:val="clear" w:fill="FFFFFF"/>
        </w:rPr>
        <w:t>年底我单位共有编制5个，其中参公编制5个。在职5人，其中公务员5人。</w:t>
      </w:r>
    </w:p>
    <w:p>
      <w:pPr>
        <w:pStyle w:val="12"/>
        <w:keepNext w:val="0"/>
        <w:keepLines w:val="0"/>
        <w:widowControl/>
        <w:suppressLineNumbers w:val="0"/>
        <w:spacing w:before="0" w:beforeAutospacing="0"/>
        <w:ind w:left="0"/>
        <w:jc w:val="left"/>
      </w:pPr>
      <w:r>
        <w:rPr>
          <w:shd w:val="clear" w:fill="FFFFFF"/>
        </w:rPr>
        <w:t> </w:t>
      </w:r>
    </w:p>
    <w:p>
      <w:pPr>
        <w:pStyle w:val="12"/>
        <w:keepNext w:val="0"/>
        <w:keepLines w:val="0"/>
        <w:widowControl/>
        <w:suppressLineNumbers w:val="0"/>
        <w:spacing w:before="0" w:beforeAutospacing="0"/>
        <w:ind w:left="0"/>
        <w:jc w:val="left"/>
      </w:pPr>
      <w:r>
        <w:rPr>
          <w:shd w:val="clear" w:fill="FFFFFF"/>
        </w:rPr>
        <w:t> </w:t>
      </w:r>
    </w:p>
    <w:p>
      <w:pPr>
        <w:pStyle w:val="4"/>
        <w:keepNext w:val="0"/>
        <w:keepLines w:val="0"/>
        <w:widowControl/>
        <w:suppressLineNumbers w:val="0"/>
        <w:spacing w:before="0" w:beforeAutospacing="0"/>
        <w:ind w:left="0"/>
        <w:jc w:val="center"/>
        <w:outlineLvl w:val="9"/>
        <w:rPr>
          <w:shd w:val="clear" w:fill="FFFFFF"/>
        </w:rPr>
      </w:pPr>
    </w:p>
    <w:p>
      <w:pPr>
        <w:pStyle w:val="4"/>
        <w:keepNext w:val="0"/>
        <w:keepLines w:val="0"/>
        <w:widowControl/>
        <w:suppressLineNumbers w:val="0"/>
        <w:spacing w:before="0" w:beforeAutospacing="0"/>
        <w:ind w:left="0"/>
        <w:jc w:val="center"/>
        <w:outlineLvl w:val="9"/>
        <w:rPr>
          <w:shd w:val="clear" w:fill="FFFFFF"/>
        </w:rPr>
      </w:pPr>
    </w:p>
    <w:p>
      <w:pPr>
        <w:pStyle w:val="4"/>
        <w:keepNext w:val="0"/>
        <w:keepLines w:val="0"/>
        <w:widowControl/>
        <w:suppressLineNumbers w:val="0"/>
        <w:spacing w:before="0" w:beforeAutospacing="0"/>
        <w:ind w:left="0"/>
        <w:jc w:val="center"/>
        <w:outlineLvl w:val="9"/>
        <w:rPr>
          <w:shd w:val="clear" w:fill="FFFFFF"/>
        </w:rPr>
      </w:pPr>
    </w:p>
    <w:p>
      <w:pPr>
        <w:pStyle w:val="4"/>
        <w:keepNext w:val="0"/>
        <w:keepLines w:val="0"/>
        <w:widowControl/>
        <w:suppressLineNumbers w:val="0"/>
        <w:spacing w:before="0" w:beforeAutospacing="0"/>
        <w:ind w:left="0"/>
        <w:jc w:val="center"/>
        <w:outlineLvl w:val="9"/>
        <w:rPr>
          <w:shd w:val="clear" w:fill="FFFFFF"/>
        </w:rPr>
      </w:pPr>
    </w:p>
    <w:p>
      <w:pPr>
        <w:pStyle w:val="4"/>
        <w:keepNext w:val="0"/>
        <w:keepLines w:val="0"/>
        <w:widowControl/>
        <w:suppressLineNumbers w:val="0"/>
        <w:spacing w:before="0" w:beforeAutospacing="0"/>
        <w:ind w:left="0"/>
        <w:jc w:val="center"/>
        <w:outlineLvl w:val="9"/>
        <w:rPr>
          <w:shd w:val="clear" w:fill="FFFFFF"/>
        </w:rPr>
      </w:pPr>
    </w:p>
    <w:p>
      <w:pPr>
        <w:pStyle w:val="4"/>
        <w:keepNext w:val="0"/>
        <w:keepLines w:val="0"/>
        <w:widowControl/>
        <w:suppressLineNumbers w:val="0"/>
        <w:spacing w:before="0" w:beforeAutospacing="0"/>
        <w:ind w:left="0"/>
        <w:jc w:val="center"/>
        <w:outlineLvl w:val="9"/>
        <w:rPr>
          <w:shd w:val="clear" w:fill="FFFFFF"/>
        </w:rPr>
      </w:pPr>
    </w:p>
    <w:p>
      <w:pPr>
        <w:pStyle w:val="4"/>
        <w:keepNext w:val="0"/>
        <w:keepLines w:val="0"/>
        <w:widowControl/>
        <w:suppressLineNumbers w:val="0"/>
        <w:spacing w:before="0" w:beforeAutospacing="0"/>
        <w:ind w:left="0"/>
        <w:jc w:val="center"/>
        <w:outlineLvl w:val="9"/>
        <w:rPr>
          <w:shd w:val="clear" w:fill="FFFFFF"/>
        </w:rPr>
      </w:pPr>
    </w:p>
    <w:p>
      <w:pPr>
        <w:pStyle w:val="4"/>
        <w:keepNext w:val="0"/>
        <w:keepLines w:val="0"/>
        <w:widowControl/>
        <w:suppressLineNumbers w:val="0"/>
        <w:spacing w:before="0" w:beforeAutospacing="0"/>
        <w:ind w:left="0"/>
        <w:jc w:val="center"/>
        <w:outlineLvl w:val="9"/>
        <w:rPr>
          <w:shd w:val="clear" w:fill="FFFFFF"/>
        </w:rPr>
      </w:pPr>
    </w:p>
    <w:p>
      <w:pPr>
        <w:pStyle w:val="4"/>
        <w:keepNext w:val="0"/>
        <w:keepLines w:val="0"/>
        <w:widowControl/>
        <w:suppressLineNumbers w:val="0"/>
        <w:spacing w:before="0" w:beforeAutospacing="0"/>
        <w:ind w:left="0"/>
        <w:jc w:val="center"/>
        <w:outlineLvl w:val="9"/>
        <w:rPr>
          <w:shd w:val="clear" w:fill="FFFFFF"/>
        </w:rPr>
      </w:pPr>
    </w:p>
    <w:p>
      <w:pPr>
        <w:pStyle w:val="4"/>
        <w:keepNext w:val="0"/>
        <w:keepLines w:val="0"/>
        <w:widowControl/>
        <w:suppressLineNumbers w:val="0"/>
        <w:spacing w:before="0" w:beforeAutospacing="0"/>
        <w:ind w:left="0"/>
        <w:jc w:val="center"/>
      </w:pPr>
      <w:bookmarkStart w:id="10" w:name="_Toc17415"/>
      <w:bookmarkStart w:id="11" w:name="_Toc3712"/>
      <w:bookmarkStart w:id="12" w:name="_Toc25995"/>
      <w:r>
        <w:rPr>
          <w:shd w:val="clear" w:fill="FFFFFF"/>
        </w:rPr>
        <w:t>第二部分 2021年度部门决算情况说明</w:t>
      </w:r>
      <w:bookmarkEnd w:id="10"/>
      <w:bookmarkEnd w:id="11"/>
      <w:bookmarkEnd w:id="12"/>
    </w:p>
    <w:p>
      <w:pPr>
        <w:pStyle w:val="12"/>
        <w:keepNext w:val="0"/>
        <w:keepLines w:val="0"/>
        <w:widowControl/>
        <w:suppressLineNumbers w:val="0"/>
        <w:spacing w:before="0" w:beforeAutospacing="0"/>
        <w:ind w:left="0"/>
        <w:jc w:val="left"/>
      </w:pPr>
      <w:r>
        <w:rPr>
          <w:shd w:val="clear" w:fill="FFFFFF"/>
        </w:rPr>
        <w:t> </w:t>
      </w:r>
    </w:p>
    <w:p>
      <w:pPr>
        <w:keepNext w:val="0"/>
        <w:keepLines w:val="0"/>
        <w:widowControl/>
        <w:numPr>
          <w:ilvl w:val="0"/>
          <w:numId w:val="0"/>
        </w:numPr>
        <w:suppressLineNumbers w:val="0"/>
        <w:tabs>
          <w:tab w:val="left" w:pos="700"/>
        </w:tabs>
        <w:spacing w:before="0" w:beforeAutospacing="0" w:after="0" w:afterAutospacing="1"/>
        <w:ind w:firstLine="480" w:firstLineChars="200"/>
        <w:jc w:val="left"/>
        <w:outlineLvl w:val="1"/>
      </w:pPr>
      <w:bookmarkStart w:id="13" w:name="_Toc12867"/>
      <w:bookmarkStart w:id="14" w:name="_Toc12306"/>
      <w:r>
        <w:rPr>
          <w:rFonts w:hint="eastAsia"/>
          <w:shd w:val="clear" w:fill="FFFFFF"/>
          <w:lang w:val="en-US" w:eastAsia="zh-CN"/>
        </w:rPr>
        <w:t>一、</w:t>
      </w:r>
      <w:r>
        <w:rPr>
          <w:shd w:val="clear" w:fill="FFFFFF"/>
        </w:rPr>
        <w:t>收入支出决算总体情况说明</w:t>
      </w:r>
      <w:bookmarkEnd w:id="13"/>
      <w:bookmarkEnd w:id="14"/>
    </w:p>
    <w:p>
      <w:pPr>
        <w:pStyle w:val="12"/>
        <w:keepNext w:val="0"/>
        <w:keepLines w:val="0"/>
        <w:widowControl/>
        <w:suppressLineNumbers w:val="0"/>
        <w:spacing w:before="0" w:beforeAutospacing="0"/>
        <w:ind w:left="0" w:firstLine="480" w:firstLineChars="200"/>
        <w:jc w:val="left"/>
      </w:pPr>
      <w:r>
        <w:rPr>
          <w:shd w:val="clear" w:fill="FFFFFF"/>
        </w:rPr>
        <w:t>2021年度收、支总计137.65万元。与2020年相比，收、支总计各增加24.33万元，增长21.47%。主要变动原因是</w:t>
      </w:r>
      <w:r>
        <w:rPr>
          <w:rFonts w:hint="eastAsia" w:cs="宋体"/>
          <w:kern w:val="0"/>
          <w:sz w:val="24"/>
          <w:szCs w:val="24"/>
          <w:shd w:val="clear" w:fill="FFFFFF"/>
          <w:lang w:val="en-US" w:eastAsia="zh-CN"/>
        </w:rPr>
        <w:t>人员工资变动，相对应五险一金增加。</w:t>
      </w:r>
    </w:p>
    <w:p>
      <w:pPr>
        <w:pStyle w:val="12"/>
        <w:keepNext w:val="0"/>
        <w:keepLines w:val="0"/>
        <w:widowControl/>
        <w:suppressLineNumbers w:val="0"/>
        <w:spacing w:before="0" w:beforeAutospacing="0"/>
        <w:ind w:left="240" w:hanging="240" w:hangingChars="100"/>
        <w:jc w:val="center"/>
      </w:pPr>
      <w:r>
        <w:rPr>
          <w:rFonts w:hint="eastAsia" w:ascii="宋体" w:hAnsi="宋体" w:eastAsia="宋体" w:cs="宋体"/>
          <w:kern w:val="0"/>
          <w:sz w:val="24"/>
          <w:szCs w:val="24"/>
          <w:lang w:eastAsia="zh-CN"/>
        </w:rPr>
        <w:drawing>
          <wp:inline distT="0" distB="0" distL="114300" distR="114300">
            <wp:extent cx="5080000" cy="3410585"/>
            <wp:effectExtent l="4445" t="4445" r="20955" b="1397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r>
        <w:rPr>
          <w:shd w:val="clear" w:fill="FFFFFF"/>
        </w:rPr>
        <w:t>（图1：收、支决算总计变动情况图）（柱状图）</w:t>
      </w:r>
    </w:p>
    <w:p>
      <w:pPr>
        <w:pStyle w:val="12"/>
        <w:keepNext w:val="0"/>
        <w:keepLines w:val="0"/>
        <w:widowControl/>
        <w:suppressLineNumbers w:val="0"/>
        <w:spacing w:before="0" w:beforeAutospacing="0"/>
        <w:ind w:left="0"/>
        <w:jc w:val="left"/>
        <w:rPr>
          <w:shd w:val="clear" w:fill="FFFFFF"/>
        </w:rPr>
      </w:pPr>
      <w:r>
        <w:rPr>
          <w:shd w:val="clear" w:fill="FFFFFF"/>
        </w:rPr>
        <w:t> </w:t>
      </w:r>
    </w:p>
    <w:p>
      <w:pPr>
        <w:pStyle w:val="12"/>
        <w:keepNext w:val="0"/>
        <w:keepLines w:val="0"/>
        <w:widowControl/>
        <w:suppressLineNumbers w:val="0"/>
        <w:spacing w:before="0" w:beforeAutospacing="0"/>
        <w:ind w:left="0" w:firstLine="480" w:firstLineChars="200"/>
        <w:jc w:val="left"/>
        <w:outlineLvl w:val="1"/>
      </w:pPr>
      <w:bookmarkStart w:id="15" w:name="_Toc21847"/>
      <w:bookmarkStart w:id="16" w:name="_Toc12665"/>
      <w:r>
        <w:rPr>
          <w:rFonts w:hint="eastAsia"/>
          <w:shd w:val="clear" w:fill="FFFFFF"/>
          <w:lang w:val="en-US" w:eastAsia="zh-CN"/>
        </w:rPr>
        <w:t>二、</w:t>
      </w:r>
      <w:r>
        <w:rPr>
          <w:shd w:val="clear" w:fill="FFFFFF"/>
        </w:rPr>
        <w:t>收入决算情况说明</w:t>
      </w:r>
      <w:bookmarkEnd w:id="15"/>
      <w:bookmarkEnd w:id="16"/>
    </w:p>
    <w:p>
      <w:pPr>
        <w:pStyle w:val="12"/>
        <w:keepNext w:val="0"/>
        <w:keepLines w:val="0"/>
        <w:widowControl/>
        <w:suppressLineNumbers w:val="0"/>
        <w:spacing w:before="0" w:beforeAutospacing="0"/>
        <w:ind w:left="0" w:firstLine="480" w:firstLineChars="200"/>
        <w:jc w:val="left"/>
      </w:pPr>
      <w:r>
        <w:rPr>
          <w:shd w:val="clear" w:fill="FFFFFF"/>
        </w:rPr>
        <w:t>2021年本年收入合计137.65万元，其中：一般公共预算财政拨款收入131.15万元，占95.28%；政府性基金预算财政拨款收入0.00万元，占0.00%；国有资本经营预算财政拨款收入0.00万元，占0.00%；上级补助收入0.00万元，占0.00%；事业收入0.00万元，占0.00%%；经营收入0.00万元，占0.00%%；附属单位上缴收入0.00万元，占0.00%；其他收入6.51万元，占4.73%。 </w:t>
      </w:r>
    </w:p>
    <w:p>
      <w:pPr>
        <w:pStyle w:val="12"/>
        <w:keepNext w:val="0"/>
        <w:keepLines w:val="0"/>
        <w:widowControl/>
        <w:suppressLineNumbers w:val="0"/>
        <w:spacing w:before="0" w:beforeAutospacing="0"/>
        <w:ind w:left="0"/>
        <w:jc w:val="center"/>
        <w:rPr>
          <w:rFonts w:hint="default" w:eastAsiaTheme="minorEastAsia"/>
          <w:shd w:val="clear" w:fill="FFFFFF"/>
          <w:lang w:val="en-US" w:eastAsia="zh-CN"/>
        </w:rPr>
      </w:pPr>
      <w:r>
        <w:rPr>
          <w:rFonts w:hint="eastAsia" w:ascii="宋体" w:hAnsi="宋体" w:eastAsia="宋体" w:cs="宋体"/>
          <w:kern w:val="0"/>
          <w:sz w:val="24"/>
          <w:szCs w:val="24"/>
          <w:lang w:eastAsia="zh-CN"/>
        </w:rPr>
        <w:drawing>
          <wp:inline distT="0" distB="0" distL="114300" distR="114300">
            <wp:extent cx="4680585" cy="3046730"/>
            <wp:effectExtent l="4445" t="4445" r="20320" b="15875"/>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pPr>
        <w:pStyle w:val="12"/>
        <w:keepNext w:val="0"/>
        <w:keepLines w:val="0"/>
        <w:widowControl/>
        <w:suppressLineNumbers w:val="0"/>
        <w:spacing w:before="0" w:beforeAutospacing="0"/>
        <w:ind w:left="0"/>
        <w:jc w:val="center"/>
      </w:pPr>
      <w:r>
        <w:rPr>
          <w:shd w:val="clear" w:fill="FFFFFF"/>
        </w:rPr>
        <w:t>（图2：收入决算结构图）（饼状图）</w:t>
      </w:r>
    </w:p>
    <w:p>
      <w:pPr>
        <w:pStyle w:val="12"/>
        <w:keepNext w:val="0"/>
        <w:keepLines w:val="0"/>
        <w:widowControl/>
        <w:suppressLineNumbers w:val="0"/>
        <w:spacing w:before="0" w:beforeAutospacing="0"/>
        <w:ind w:left="0"/>
        <w:jc w:val="left"/>
      </w:pPr>
      <w:r>
        <w:rPr>
          <w:shd w:val="clear" w:fill="FFFFFF"/>
        </w:rPr>
        <w:t> </w:t>
      </w:r>
    </w:p>
    <w:p>
      <w:pPr>
        <w:keepNext w:val="0"/>
        <w:keepLines w:val="0"/>
        <w:widowControl/>
        <w:numPr>
          <w:ilvl w:val="0"/>
          <w:numId w:val="0"/>
        </w:numPr>
        <w:suppressLineNumbers w:val="0"/>
        <w:spacing w:before="0" w:beforeAutospacing="0" w:after="0" w:afterAutospacing="1"/>
        <w:ind w:firstLine="480" w:firstLineChars="200"/>
        <w:jc w:val="left"/>
        <w:outlineLvl w:val="1"/>
      </w:pPr>
      <w:bookmarkStart w:id="17" w:name="_Toc3996"/>
      <w:bookmarkStart w:id="18" w:name="_Toc27767"/>
      <w:r>
        <w:rPr>
          <w:rFonts w:hint="eastAsia"/>
          <w:shd w:val="clear" w:fill="FFFFFF"/>
          <w:lang w:val="en-US" w:eastAsia="zh-CN"/>
        </w:rPr>
        <w:t>三、</w:t>
      </w:r>
      <w:r>
        <w:rPr>
          <w:shd w:val="clear" w:fill="FFFFFF"/>
        </w:rPr>
        <w:t>支出决算情况说明</w:t>
      </w:r>
      <w:bookmarkEnd w:id="17"/>
      <w:bookmarkEnd w:id="18"/>
    </w:p>
    <w:p>
      <w:pPr>
        <w:pStyle w:val="12"/>
        <w:keepNext w:val="0"/>
        <w:keepLines w:val="0"/>
        <w:widowControl/>
        <w:suppressLineNumbers w:val="0"/>
        <w:spacing w:before="0" w:beforeAutospacing="0"/>
        <w:ind w:left="0" w:firstLine="480" w:firstLineChars="200"/>
        <w:jc w:val="left"/>
      </w:pPr>
      <w:r>
        <w:rPr>
          <w:shd w:val="clear" w:fill="FFFFFF"/>
        </w:rPr>
        <w:t>2021年本年支出合计137.65万元，其中：基本支出119.53万元，占86.84%；项目支出18.12万元，占13.16%；上缴上级支出0.00万元，占0.00%；经营支出0.00万元，占经营支出0.00万元，占 0.00%；对附属单位补助支出0.00万元，占0.00%。</w:t>
      </w:r>
    </w:p>
    <w:p>
      <w:pPr>
        <w:pStyle w:val="12"/>
        <w:keepNext w:val="0"/>
        <w:keepLines w:val="0"/>
        <w:widowControl/>
        <w:suppressLineNumbers w:val="0"/>
        <w:spacing w:before="0" w:beforeAutospacing="0"/>
        <w:ind w:left="0"/>
        <w:jc w:val="center"/>
      </w:pPr>
      <w:r>
        <w:rPr>
          <w:rFonts w:hint="eastAsia" w:ascii="宋体" w:hAnsi="宋体" w:eastAsia="宋体" w:cs="宋体"/>
          <w:kern w:val="0"/>
          <w:sz w:val="24"/>
          <w:szCs w:val="24"/>
          <w:shd w:val="clear" w:fill="FFFFFF"/>
        </w:rPr>
        <w:drawing>
          <wp:inline distT="0" distB="0" distL="114300" distR="114300">
            <wp:extent cx="5080000" cy="2752725"/>
            <wp:effectExtent l="4445" t="4445" r="20955" b="5080"/>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12"/>
        <w:keepNext w:val="0"/>
        <w:keepLines w:val="0"/>
        <w:widowControl/>
        <w:suppressLineNumbers w:val="0"/>
        <w:spacing w:before="0" w:beforeAutospacing="0"/>
        <w:ind w:left="0"/>
        <w:jc w:val="center"/>
      </w:pPr>
      <w:r>
        <w:rPr>
          <w:shd w:val="clear" w:fill="FFFFFF"/>
        </w:rPr>
        <w:t>（图3：支出决算结构图）（饼状图）</w:t>
      </w:r>
    </w:p>
    <w:p>
      <w:pPr>
        <w:pStyle w:val="12"/>
        <w:keepNext w:val="0"/>
        <w:keepLines w:val="0"/>
        <w:widowControl/>
        <w:suppressLineNumbers w:val="0"/>
        <w:spacing w:before="0" w:beforeAutospacing="0"/>
        <w:ind w:left="0"/>
        <w:jc w:val="left"/>
      </w:pPr>
      <w:r>
        <w:rPr>
          <w:shd w:val="clear" w:fill="FFFFFF"/>
        </w:rPr>
        <w:t> </w:t>
      </w:r>
    </w:p>
    <w:p>
      <w:pPr>
        <w:pStyle w:val="12"/>
        <w:keepNext w:val="0"/>
        <w:keepLines w:val="0"/>
        <w:widowControl/>
        <w:suppressLineNumbers w:val="0"/>
        <w:spacing w:before="0" w:beforeAutospacing="0"/>
        <w:ind w:left="0" w:firstLine="480" w:firstLineChars="200"/>
        <w:jc w:val="left"/>
        <w:outlineLvl w:val="1"/>
      </w:pPr>
      <w:bookmarkStart w:id="19" w:name="_Toc2291"/>
      <w:bookmarkStart w:id="20" w:name="_Toc20508"/>
      <w:r>
        <w:rPr>
          <w:shd w:val="clear" w:fill="FFFFFF"/>
        </w:rPr>
        <w:t>四、财政拨款收入支出决算总体情况说明</w:t>
      </w:r>
      <w:bookmarkEnd w:id="19"/>
      <w:bookmarkEnd w:id="20"/>
    </w:p>
    <w:p>
      <w:pPr>
        <w:pStyle w:val="12"/>
        <w:keepNext w:val="0"/>
        <w:keepLines w:val="0"/>
        <w:widowControl/>
        <w:suppressLineNumbers w:val="0"/>
        <w:spacing w:before="0" w:beforeAutospacing="0"/>
        <w:ind w:left="0" w:firstLine="480" w:firstLineChars="200"/>
        <w:jc w:val="left"/>
        <w:rPr>
          <w:rFonts w:hint="default"/>
          <w:lang w:val="en-US"/>
        </w:rPr>
      </w:pPr>
      <w:r>
        <w:rPr>
          <w:shd w:val="clear" w:fill="FFFFFF"/>
        </w:rPr>
        <w:t>2021年财政拨款收、支总计131.15万元。与2020年相比，财政拨款收、支总计各增加17.82万元，增长14.29%。主要变动原因是</w:t>
      </w:r>
      <w:r>
        <w:rPr>
          <w:rFonts w:hint="eastAsia" w:cs="宋体"/>
          <w:kern w:val="0"/>
          <w:sz w:val="24"/>
          <w:szCs w:val="24"/>
          <w:shd w:val="clear" w:fill="FFFFFF"/>
          <w:lang w:val="en-US" w:eastAsia="zh-CN"/>
        </w:rPr>
        <w:t>人员工资变动，相对应五险一金增加，追加了上一年大病救助金、审计费、群团文化活动主题墙费用。</w:t>
      </w:r>
    </w:p>
    <w:p>
      <w:pPr>
        <w:pStyle w:val="12"/>
        <w:keepNext w:val="0"/>
        <w:keepLines w:val="0"/>
        <w:widowControl/>
        <w:suppressLineNumbers w:val="0"/>
        <w:spacing w:before="0" w:beforeAutospacing="0"/>
        <w:ind w:left="0"/>
        <w:jc w:val="center"/>
      </w:pPr>
      <w:r>
        <w:rPr>
          <w:rFonts w:hint="eastAsia" w:ascii="宋体" w:hAnsi="宋体" w:eastAsia="宋体" w:cs="宋体"/>
          <w:kern w:val="0"/>
          <w:sz w:val="24"/>
          <w:szCs w:val="24"/>
          <w:lang w:eastAsia="zh-CN"/>
        </w:rPr>
        <w:drawing>
          <wp:inline distT="0" distB="0" distL="114300" distR="114300">
            <wp:extent cx="5080000" cy="3220085"/>
            <wp:effectExtent l="4445" t="4445" r="20955" b="13970"/>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12"/>
        <w:keepNext w:val="0"/>
        <w:keepLines w:val="0"/>
        <w:widowControl/>
        <w:suppressLineNumbers w:val="0"/>
        <w:spacing w:before="0" w:beforeAutospacing="0"/>
        <w:ind w:left="0"/>
        <w:jc w:val="center"/>
      </w:pPr>
      <w:r>
        <w:rPr>
          <w:shd w:val="clear" w:fill="FFFFFF"/>
        </w:rPr>
        <w:t>（图4：财政拨款收、支决算总计变动情况）（柱状图）</w:t>
      </w:r>
    </w:p>
    <w:p>
      <w:pPr>
        <w:pStyle w:val="12"/>
        <w:keepNext w:val="0"/>
        <w:keepLines w:val="0"/>
        <w:widowControl/>
        <w:suppressLineNumbers w:val="0"/>
        <w:spacing w:before="0" w:beforeAutospacing="0"/>
        <w:ind w:left="0"/>
        <w:jc w:val="left"/>
      </w:pPr>
      <w:r>
        <w:rPr>
          <w:shd w:val="clear" w:fill="FFFFFF"/>
        </w:rPr>
        <w:t> </w:t>
      </w:r>
    </w:p>
    <w:p>
      <w:pPr>
        <w:pStyle w:val="12"/>
        <w:keepNext w:val="0"/>
        <w:keepLines w:val="0"/>
        <w:widowControl/>
        <w:suppressLineNumbers w:val="0"/>
        <w:spacing w:before="0" w:beforeAutospacing="0"/>
        <w:ind w:left="0" w:firstLine="480" w:firstLineChars="200"/>
        <w:jc w:val="left"/>
        <w:outlineLvl w:val="1"/>
      </w:pPr>
      <w:bookmarkStart w:id="21" w:name="_Toc9497"/>
      <w:bookmarkStart w:id="22" w:name="_Toc14355"/>
      <w:r>
        <w:rPr>
          <w:shd w:val="clear" w:fill="FFFFFF"/>
        </w:rPr>
        <w:t>五、</w:t>
      </w:r>
      <w:r>
        <w:rPr>
          <w:rStyle w:val="15"/>
          <w:shd w:val="clear" w:fill="FFFFFF"/>
        </w:rPr>
        <w:t>一</w:t>
      </w:r>
      <w:r>
        <w:rPr>
          <w:shd w:val="clear" w:fill="FFFFFF"/>
        </w:rPr>
        <w:t>般公共预算财政拨款支出决算情况说明</w:t>
      </w:r>
      <w:bookmarkEnd w:id="21"/>
      <w:bookmarkEnd w:id="22"/>
    </w:p>
    <w:p>
      <w:pPr>
        <w:pStyle w:val="12"/>
        <w:keepNext w:val="0"/>
        <w:keepLines w:val="0"/>
        <w:widowControl/>
        <w:suppressLineNumbers w:val="0"/>
        <w:spacing w:before="0" w:beforeAutospacing="0"/>
        <w:ind w:left="0" w:firstLine="482" w:firstLineChars="200"/>
        <w:jc w:val="left"/>
      </w:pPr>
      <w:r>
        <w:rPr>
          <w:rStyle w:val="15"/>
          <w:shd w:val="clear" w:fill="FFFFFF"/>
        </w:rPr>
        <w:t>（一）一般公共预算财政拨款支出决算总体情况</w:t>
      </w:r>
    </w:p>
    <w:p>
      <w:pPr>
        <w:pStyle w:val="12"/>
        <w:keepNext w:val="0"/>
        <w:keepLines w:val="0"/>
        <w:widowControl/>
        <w:suppressLineNumbers w:val="0"/>
        <w:spacing w:before="0" w:beforeAutospacing="0"/>
        <w:ind w:left="0" w:firstLine="480" w:firstLineChars="200"/>
        <w:jc w:val="left"/>
      </w:pPr>
      <w:r>
        <w:rPr>
          <w:shd w:val="clear" w:fill="FFFFFF"/>
        </w:rPr>
        <w:t>2021年一般公共预算财政拨款支出131.15万元，占本年支出合计的95.28%。与2020年相比，一般公共预算财政拨款支出增加17.82万元，增长15.73%。主要变动原因是</w:t>
      </w:r>
      <w:r>
        <w:rPr>
          <w:rFonts w:hint="eastAsia" w:cs="宋体"/>
          <w:kern w:val="0"/>
          <w:sz w:val="24"/>
          <w:szCs w:val="24"/>
          <w:shd w:val="clear" w:fill="FFFFFF"/>
          <w:lang w:val="en-US" w:eastAsia="zh-CN"/>
        </w:rPr>
        <w:t>人员工资变动，相对应五险一金增加，追加了上一年大病救助金、审计费、群团文化活动主题墙费用。</w:t>
      </w:r>
    </w:p>
    <w:p>
      <w:pPr>
        <w:pStyle w:val="12"/>
        <w:keepNext w:val="0"/>
        <w:keepLines w:val="0"/>
        <w:widowControl/>
        <w:suppressLineNumbers w:val="0"/>
        <w:spacing w:before="0" w:beforeAutospacing="0"/>
        <w:ind w:left="0"/>
        <w:jc w:val="center"/>
      </w:pPr>
      <w:r>
        <w:rPr>
          <w:rFonts w:hint="eastAsia" w:ascii="宋体" w:hAnsi="宋体" w:eastAsia="宋体" w:cs="宋体"/>
          <w:kern w:val="0"/>
          <w:sz w:val="24"/>
          <w:szCs w:val="24"/>
          <w:lang w:eastAsia="zh-CN"/>
        </w:rPr>
        <w:drawing>
          <wp:inline distT="0" distB="0" distL="114300" distR="114300">
            <wp:extent cx="5080000" cy="3810000"/>
            <wp:effectExtent l="4445" t="4445" r="20955" b="14605"/>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12"/>
        <w:keepNext w:val="0"/>
        <w:keepLines w:val="0"/>
        <w:widowControl/>
        <w:suppressLineNumbers w:val="0"/>
        <w:spacing w:before="0" w:beforeAutospacing="0"/>
        <w:ind w:left="0"/>
        <w:jc w:val="center"/>
      </w:pPr>
      <w:r>
        <w:rPr>
          <w:shd w:val="clear" w:fill="FFFFFF"/>
        </w:rPr>
        <w:t>（图5：一般公共预算财政拨款支出决算变动情况）（柱状图）</w:t>
      </w:r>
    </w:p>
    <w:p>
      <w:pPr>
        <w:pStyle w:val="12"/>
        <w:keepNext w:val="0"/>
        <w:keepLines w:val="0"/>
        <w:widowControl/>
        <w:suppressLineNumbers w:val="0"/>
        <w:spacing w:before="0" w:beforeAutospacing="0"/>
        <w:ind w:left="0"/>
        <w:jc w:val="left"/>
      </w:pPr>
      <w:r>
        <w:rPr>
          <w:shd w:val="clear" w:fill="FFFFFF"/>
        </w:rPr>
        <w:t> </w:t>
      </w:r>
    </w:p>
    <w:p>
      <w:pPr>
        <w:pStyle w:val="12"/>
        <w:keepNext w:val="0"/>
        <w:keepLines w:val="0"/>
        <w:widowControl/>
        <w:suppressLineNumbers w:val="0"/>
        <w:spacing w:before="0" w:beforeAutospacing="0"/>
        <w:ind w:left="0" w:firstLine="482" w:firstLineChars="200"/>
        <w:jc w:val="left"/>
      </w:pPr>
      <w:r>
        <w:rPr>
          <w:rStyle w:val="15"/>
          <w:shd w:val="clear" w:fill="FFFFFF"/>
        </w:rPr>
        <w:t>（二）一般公共预算财政拨款支出决算结构情况</w:t>
      </w:r>
    </w:p>
    <w:p>
      <w:pPr>
        <w:pStyle w:val="12"/>
        <w:keepNext w:val="0"/>
        <w:keepLines w:val="0"/>
        <w:widowControl/>
        <w:suppressLineNumbers w:val="0"/>
        <w:spacing w:before="0" w:beforeAutospacing="0"/>
        <w:ind w:left="0" w:firstLine="480" w:firstLineChars="200"/>
        <w:jc w:val="left"/>
      </w:pPr>
      <w:r>
        <w:rPr>
          <w:shd w:val="clear" w:fill="FFFFFF"/>
        </w:rPr>
        <w:t>2021年一般公共预算财政拨款支出131.15万元，主要用于以下方面:</w:t>
      </w:r>
      <w:r>
        <w:rPr>
          <w:rStyle w:val="15"/>
          <w:shd w:val="clear" w:fill="FFFFFF"/>
        </w:rPr>
        <w:t>一般公共服务（类）</w:t>
      </w:r>
      <w:r>
        <w:rPr>
          <w:shd w:val="clear" w:fill="FFFFFF"/>
        </w:rPr>
        <w:t>支出0.00万元，占0.00%；</w:t>
      </w:r>
      <w:r>
        <w:rPr>
          <w:rStyle w:val="15"/>
          <w:shd w:val="clear" w:fill="FFFFFF"/>
        </w:rPr>
        <w:t>教育支出（类）</w:t>
      </w:r>
      <w:r>
        <w:rPr>
          <w:shd w:val="clear" w:fill="FFFFFF"/>
        </w:rPr>
        <w:t>0.00万元，占0.00%；</w:t>
      </w:r>
      <w:r>
        <w:rPr>
          <w:rStyle w:val="15"/>
          <w:shd w:val="clear" w:fill="FFFFFF"/>
        </w:rPr>
        <w:t>科学技术（类）</w:t>
      </w:r>
      <w:r>
        <w:rPr>
          <w:shd w:val="clear" w:fill="FFFFFF"/>
        </w:rPr>
        <w:t>支出0.00万元，占0.00%；</w:t>
      </w:r>
      <w:r>
        <w:rPr>
          <w:rStyle w:val="15"/>
          <w:shd w:val="clear" w:fill="FFFFFF"/>
        </w:rPr>
        <w:t>文化旅游体育与传媒（类）支出0.00万元，占0.00%；社会保障和就业（类）</w:t>
      </w:r>
      <w:r>
        <w:rPr>
          <w:shd w:val="clear" w:fill="FFFFFF"/>
        </w:rPr>
        <w:t>支出117.76万元，占89.79%；</w:t>
      </w:r>
      <w:r>
        <w:rPr>
          <w:rStyle w:val="15"/>
          <w:shd w:val="clear" w:fill="FFFFFF"/>
        </w:rPr>
        <w:t>卫生健康支出</w:t>
      </w:r>
      <w:r>
        <w:rPr>
          <w:shd w:val="clear" w:fill="FFFFFF"/>
        </w:rPr>
        <w:t>5.22万元，占3.98%；住房保障支出8.17万元，占6.23%。</w:t>
      </w:r>
    </w:p>
    <w:p>
      <w:pPr>
        <w:pStyle w:val="12"/>
        <w:keepNext w:val="0"/>
        <w:keepLines w:val="0"/>
        <w:widowControl/>
        <w:suppressLineNumbers w:val="0"/>
        <w:spacing w:before="0" w:beforeAutospacing="0"/>
        <w:ind w:left="0"/>
        <w:jc w:val="center"/>
      </w:pPr>
      <w:r>
        <w:rPr>
          <w:rFonts w:hint="eastAsia" w:ascii="宋体" w:hAnsi="宋体" w:eastAsia="宋体" w:cs="宋体"/>
          <w:kern w:val="0"/>
          <w:sz w:val="24"/>
          <w:szCs w:val="24"/>
          <w:lang w:eastAsia="zh-CN"/>
        </w:rPr>
        <w:drawing>
          <wp:inline distT="0" distB="0" distL="114300" distR="114300">
            <wp:extent cx="5080000" cy="3810000"/>
            <wp:effectExtent l="4445" t="4445" r="20955" b="14605"/>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12"/>
        <w:keepNext w:val="0"/>
        <w:keepLines w:val="0"/>
        <w:widowControl/>
        <w:suppressLineNumbers w:val="0"/>
        <w:spacing w:before="0" w:beforeAutospacing="0"/>
        <w:ind w:left="0"/>
        <w:jc w:val="center"/>
      </w:pPr>
      <w:r>
        <w:rPr>
          <w:shd w:val="clear" w:fill="FFFFFF"/>
        </w:rPr>
        <w:t>（图6：一般公共预算财政拨款支出决算结构）（饼状图）</w:t>
      </w:r>
    </w:p>
    <w:p>
      <w:pPr>
        <w:pStyle w:val="12"/>
        <w:keepNext w:val="0"/>
        <w:keepLines w:val="0"/>
        <w:widowControl/>
        <w:suppressLineNumbers w:val="0"/>
        <w:spacing w:before="0" w:beforeAutospacing="0"/>
        <w:ind w:left="0"/>
        <w:jc w:val="left"/>
      </w:pPr>
      <w:r>
        <w:rPr>
          <w:shd w:val="clear" w:fill="FFFFFF"/>
        </w:rPr>
        <w:t> </w:t>
      </w:r>
    </w:p>
    <w:p>
      <w:pPr>
        <w:pStyle w:val="12"/>
        <w:keepNext w:val="0"/>
        <w:keepLines w:val="0"/>
        <w:widowControl/>
        <w:suppressLineNumbers w:val="0"/>
        <w:spacing w:before="0" w:beforeAutospacing="0"/>
        <w:ind w:left="0" w:firstLine="482" w:firstLineChars="200"/>
        <w:jc w:val="left"/>
      </w:pPr>
      <w:r>
        <w:rPr>
          <w:rStyle w:val="15"/>
          <w:shd w:val="clear" w:fill="FFFFFF"/>
        </w:rPr>
        <w:t>（三）一般公共预算财政拨款支出决算具体情况</w:t>
      </w:r>
    </w:p>
    <w:p>
      <w:pPr>
        <w:pStyle w:val="12"/>
        <w:keepNext w:val="0"/>
        <w:keepLines w:val="0"/>
        <w:widowControl/>
        <w:suppressLineNumbers w:val="0"/>
        <w:spacing w:before="0" w:beforeAutospacing="0"/>
        <w:ind w:left="0" w:firstLine="482" w:firstLineChars="200"/>
        <w:jc w:val="left"/>
        <w:rPr>
          <w:rStyle w:val="15"/>
          <w:shd w:val="clear" w:fill="FFFFFF"/>
        </w:rPr>
      </w:pPr>
      <w:r>
        <w:rPr>
          <w:rStyle w:val="15"/>
          <w:shd w:val="clear" w:fill="FFFFFF"/>
        </w:rPr>
        <w:t>2021年一般公共预算支出决算数为131.15</w:t>
      </w:r>
      <w:r>
        <w:rPr>
          <w:rStyle w:val="15"/>
          <w:rFonts w:hint="eastAsia"/>
          <w:shd w:val="clear" w:fill="FFFFFF"/>
          <w:lang w:val="en-US" w:eastAsia="zh-CN"/>
        </w:rPr>
        <w:t>万元</w:t>
      </w:r>
      <w:r>
        <w:rPr>
          <w:shd w:val="clear" w:fill="FFFFFF"/>
        </w:rPr>
        <w:t>，</w:t>
      </w:r>
      <w:r>
        <w:rPr>
          <w:rStyle w:val="15"/>
          <w:shd w:val="clear" w:fill="FFFFFF"/>
        </w:rPr>
        <w:t>完成预算100.00%。其中：</w:t>
      </w:r>
    </w:p>
    <w:p>
      <w:pPr>
        <w:pStyle w:val="12"/>
        <w:keepNext w:val="0"/>
        <w:keepLines w:val="0"/>
        <w:widowControl/>
        <w:suppressLineNumbers w:val="0"/>
        <w:spacing w:before="0" w:beforeAutospacing="0"/>
        <w:ind w:firstLine="482" w:firstLineChars="200"/>
        <w:jc w:val="left"/>
        <w:rPr>
          <w:rStyle w:val="15"/>
          <w:rFonts w:ascii="Times New Roman" w:hAnsi="Times New Roman" w:eastAsia="宋体" w:cs="Times New Roman"/>
          <w:kern w:val="0"/>
          <w:sz w:val="24"/>
          <w:szCs w:val="24"/>
          <w:shd w:val="clear" w:fill="FFFFFF"/>
          <w:lang w:val="en-US" w:eastAsia="zh-CN" w:bidi="ar"/>
        </w:rPr>
      </w:pPr>
      <w:r>
        <w:rPr>
          <w:rStyle w:val="15"/>
          <w:rFonts w:hint="eastAsia" w:ascii="Times New Roman" w:hAnsi="Times New Roman" w:eastAsia="宋体" w:cs="Times New Roman"/>
          <w:kern w:val="0"/>
          <w:sz w:val="24"/>
          <w:szCs w:val="24"/>
          <w:shd w:val="clear" w:fill="FFFFFF"/>
          <w:lang w:val="en-US" w:eastAsia="zh-CN" w:bidi="ar"/>
        </w:rPr>
        <w:t>1.社会保障和就业支出208（类）行政事业单位养老支出05（款）机关事业单位基本养老保险缴费支出05（项）和208（类）05（款）机关事业单位职业年金缴费支出06（项）；社会保障和就业支出208（类）红十字事业16（款）行政运行01（项）和208（类）红十字事业16（款）一般行政管理事务02（项）和208（类）红十字事业16（款）其他红十字事业支出99（项）；208（类）特困人员救助供养21（款）城市特困人员救助供养支出01（项）：支出决算为124.26万元，完成预算100%，决算数等于预算数。</w:t>
      </w:r>
    </w:p>
    <w:p>
      <w:pPr>
        <w:spacing w:line="600" w:lineRule="exact"/>
        <w:ind w:firstLine="482" w:firstLineChars="200"/>
        <w:rPr>
          <w:rStyle w:val="15"/>
          <w:rFonts w:hint="eastAsia" w:ascii="Times New Roman" w:hAnsi="Times New Roman" w:eastAsia="宋体" w:cs="Times New Roman"/>
          <w:kern w:val="0"/>
          <w:sz w:val="24"/>
          <w:szCs w:val="24"/>
          <w:shd w:val="clear" w:fill="FFFFFF"/>
          <w:lang w:val="en-US" w:eastAsia="zh-CN" w:bidi="ar"/>
        </w:rPr>
      </w:pPr>
      <w:r>
        <w:rPr>
          <w:rStyle w:val="15"/>
          <w:rFonts w:hint="eastAsia" w:ascii="Times New Roman" w:hAnsi="Times New Roman" w:eastAsia="宋体" w:cs="Times New Roman"/>
          <w:kern w:val="0"/>
          <w:sz w:val="24"/>
          <w:szCs w:val="24"/>
          <w:shd w:val="clear" w:fill="FFFFFF"/>
          <w:lang w:val="en-US" w:eastAsia="zh-CN" w:bidi="ar"/>
        </w:rPr>
        <w:t>2.卫生健康支出210（类）行政事业单位医疗11（款）行政单位医疗01（项）和210（类）行政事业单位医疗11（款）公务员医疗补助03（项）：支出决算为5.22万元，完成预算100%，决算数等于预算数。</w:t>
      </w:r>
    </w:p>
    <w:p>
      <w:pPr>
        <w:pStyle w:val="12"/>
        <w:keepNext w:val="0"/>
        <w:keepLines w:val="0"/>
        <w:widowControl/>
        <w:suppressLineNumbers w:val="0"/>
        <w:spacing w:before="0" w:beforeAutospacing="0"/>
        <w:ind w:left="0" w:firstLine="482" w:firstLineChars="200"/>
        <w:jc w:val="left"/>
      </w:pPr>
      <w:r>
        <w:rPr>
          <w:rStyle w:val="15"/>
          <w:rFonts w:hint="eastAsia" w:ascii="Times New Roman" w:hAnsi="Times New Roman" w:eastAsia="宋体" w:cs="Times New Roman"/>
          <w:kern w:val="0"/>
          <w:sz w:val="24"/>
          <w:szCs w:val="24"/>
          <w:shd w:val="clear" w:fill="FFFFFF"/>
          <w:lang w:val="en-US" w:eastAsia="zh-CN" w:bidi="ar"/>
        </w:rPr>
        <w:t>3.住房保障支出221（类）住房改革支出02（款）住房公积金01（项）:支出决算为8.17万元，完成预算100%，决算数等于预算数。</w:t>
      </w:r>
      <w:r>
        <w:rPr>
          <w:shd w:val="clear" w:fill="FFFFFF"/>
        </w:rPr>
        <w:t> </w:t>
      </w:r>
    </w:p>
    <w:p>
      <w:pPr>
        <w:pStyle w:val="12"/>
        <w:keepNext w:val="0"/>
        <w:keepLines w:val="0"/>
        <w:widowControl/>
        <w:suppressLineNumbers w:val="0"/>
        <w:spacing w:before="0" w:beforeAutospacing="0"/>
        <w:ind w:left="0" w:firstLine="480" w:firstLineChars="200"/>
        <w:jc w:val="left"/>
        <w:outlineLvl w:val="1"/>
      </w:pPr>
      <w:bookmarkStart w:id="23" w:name="_Toc5435"/>
      <w:bookmarkStart w:id="24" w:name="_Toc30276"/>
      <w:r>
        <w:rPr>
          <w:shd w:val="clear" w:fill="FFFFFF"/>
        </w:rPr>
        <w:t>六</w:t>
      </w:r>
      <w:r>
        <w:rPr>
          <w:rStyle w:val="15"/>
          <w:shd w:val="clear" w:fill="FFFFFF"/>
        </w:rPr>
        <w:t>、一</w:t>
      </w:r>
      <w:r>
        <w:rPr>
          <w:shd w:val="clear" w:fill="FFFFFF"/>
        </w:rPr>
        <w:t>般公共预算财政拨款基本支出决算情况说明   </w:t>
      </w:r>
      <w:bookmarkEnd w:id="23"/>
      <w:bookmarkEnd w:id="24"/>
    </w:p>
    <w:p>
      <w:pPr>
        <w:pStyle w:val="12"/>
        <w:keepNext w:val="0"/>
        <w:keepLines w:val="0"/>
        <w:widowControl/>
        <w:suppressLineNumbers w:val="0"/>
        <w:spacing w:before="0" w:beforeAutospacing="0"/>
        <w:ind w:left="0" w:firstLine="480" w:firstLineChars="200"/>
        <w:jc w:val="left"/>
      </w:pPr>
      <w:r>
        <w:rPr>
          <w:shd w:val="clear" w:fill="FFFFFF"/>
        </w:rPr>
        <w:t>2021年一般公共预算财政拨款基本支出119.05万元，其中：</w:t>
      </w:r>
    </w:p>
    <w:p>
      <w:pPr>
        <w:pStyle w:val="12"/>
        <w:keepNext w:val="0"/>
        <w:keepLines w:val="0"/>
        <w:widowControl/>
        <w:suppressLineNumbers w:val="0"/>
        <w:spacing w:before="0" w:beforeAutospacing="0"/>
        <w:ind w:left="0" w:firstLine="480" w:firstLineChars="200"/>
        <w:jc w:val="left"/>
      </w:pPr>
      <w:r>
        <w:rPr>
          <w:shd w:val="clear" w:fill="FFFFFF"/>
        </w:rPr>
        <w:t>人员经费111.39万元，主要包括：基本工资</w:t>
      </w:r>
      <w:r>
        <w:rPr>
          <w:rFonts w:hint="eastAsia"/>
          <w:shd w:val="clear" w:fill="FFFFFF"/>
          <w:lang w:val="en-US" w:eastAsia="zh-CN"/>
        </w:rPr>
        <w:t>22.20万元</w:t>
      </w:r>
      <w:r>
        <w:rPr>
          <w:shd w:val="clear" w:fill="FFFFFF"/>
        </w:rPr>
        <w:t>、津贴补贴</w:t>
      </w:r>
      <w:r>
        <w:rPr>
          <w:rFonts w:hint="eastAsia"/>
          <w:shd w:val="clear" w:fill="FFFFFF"/>
          <w:lang w:val="en-US" w:eastAsia="zh-CN"/>
        </w:rPr>
        <w:t>58.99万元</w:t>
      </w:r>
      <w:r>
        <w:rPr>
          <w:shd w:val="clear" w:fill="FFFFFF"/>
        </w:rPr>
        <w:t>、奖金</w:t>
      </w:r>
      <w:r>
        <w:rPr>
          <w:rFonts w:hint="eastAsia"/>
          <w:shd w:val="clear" w:fill="FFFFFF"/>
          <w:lang w:val="en-US" w:eastAsia="zh-CN"/>
        </w:rPr>
        <w:t>1.8万元</w:t>
      </w:r>
      <w:r>
        <w:rPr>
          <w:shd w:val="clear" w:fill="FFFFFF"/>
        </w:rPr>
        <w:t>、机关事业单位基本养老保险缴费</w:t>
      </w:r>
      <w:r>
        <w:rPr>
          <w:rFonts w:hint="eastAsia"/>
          <w:shd w:val="clear" w:fill="FFFFFF"/>
          <w:lang w:val="en-US" w:eastAsia="zh-CN"/>
        </w:rPr>
        <w:t>9.02万元</w:t>
      </w:r>
      <w:r>
        <w:rPr>
          <w:shd w:val="clear" w:fill="FFFFFF"/>
        </w:rPr>
        <w:t>、职业年金缴费</w:t>
      </w:r>
      <w:r>
        <w:rPr>
          <w:rFonts w:hint="eastAsia"/>
          <w:shd w:val="clear" w:fill="FFFFFF"/>
          <w:lang w:val="en-US" w:eastAsia="zh-CN"/>
        </w:rPr>
        <w:t>4.5万元</w:t>
      </w:r>
      <w:r>
        <w:rPr>
          <w:shd w:val="clear" w:fill="FFFFFF"/>
        </w:rPr>
        <w:t>、</w:t>
      </w:r>
      <w:r>
        <w:rPr>
          <w:rFonts w:hint="eastAsia"/>
          <w:shd w:val="clear" w:fill="FFFFFF"/>
          <w:lang w:val="en-US" w:eastAsia="zh-CN"/>
        </w:rPr>
        <w:t>职工基本医疗保险缴费4.31万元、公务员医疗补助缴费0.91万元、</w:t>
      </w:r>
      <w:r>
        <w:rPr>
          <w:shd w:val="clear" w:fill="FFFFFF"/>
        </w:rPr>
        <w:t>其他社会保障缴费</w:t>
      </w:r>
      <w:r>
        <w:rPr>
          <w:rFonts w:hint="eastAsia"/>
          <w:shd w:val="clear" w:fill="FFFFFF"/>
          <w:lang w:val="en-US" w:eastAsia="zh-CN"/>
        </w:rPr>
        <w:t>0.91万元</w:t>
      </w:r>
      <w:r>
        <w:rPr>
          <w:shd w:val="clear" w:fill="FFFFFF"/>
        </w:rPr>
        <w:t>、住房公积金</w:t>
      </w:r>
      <w:r>
        <w:rPr>
          <w:rFonts w:hint="eastAsia"/>
          <w:shd w:val="clear" w:fill="FFFFFF"/>
          <w:lang w:val="en-US" w:eastAsia="zh-CN"/>
        </w:rPr>
        <w:t>8.17万元</w:t>
      </w:r>
      <w:r>
        <w:rPr>
          <w:shd w:val="clear" w:fill="FFFFFF"/>
        </w:rPr>
        <w:t>、医疗费</w:t>
      </w:r>
      <w:r>
        <w:rPr>
          <w:rFonts w:hint="eastAsia"/>
          <w:shd w:val="clear" w:fill="FFFFFF"/>
          <w:lang w:val="en-US" w:eastAsia="zh-CN"/>
        </w:rPr>
        <w:t>0.58万元、奖励金0.01万元</w:t>
      </w:r>
      <w:r>
        <w:rPr>
          <w:shd w:val="clear" w:fill="FFFFFF"/>
        </w:rPr>
        <w:t>。</w:t>
      </w:r>
    </w:p>
    <w:p>
      <w:pPr>
        <w:pStyle w:val="12"/>
        <w:keepNext w:val="0"/>
        <w:keepLines w:val="0"/>
        <w:widowControl/>
        <w:suppressLineNumbers w:val="0"/>
        <w:spacing w:before="0" w:beforeAutospacing="0"/>
        <w:ind w:left="0"/>
        <w:jc w:val="left"/>
      </w:pPr>
      <w:r>
        <w:rPr>
          <w:shd w:val="clear" w:fill="FFFFFF"/>
        </w:rPr>
        <w:t>　　公用经费7.66万元，主要包括：办公费</w:t>
      </w:r>
      <w:r>
        <w:rPr>
          <w:rFonts w:hint="eastAsia"/>
          <w:shd w:val="clear" w:fill="FFFFFF"/>
          <w:lang w:val="en-US" w:eastAsia="zh-CN"/>
        </w:rPr>
        <w:t>2.03万元</w:t>
      </w:r>
      <w:r>
        <w:rPr>
          <w:shd w:val="clear" w:fill="FFFFFF"/>
        </w:rPr>
        <w:t>、电费</w:t>
      </w:r>
      <w:r>
        <w:rPr>
          <w:rFonts w:hint="eastAsia"/>
          <w:shd w:val="clear" w:fill="FFFFFF"/>
          <w:lang w:val="en-US" w:eastAsia="zh-CN"/>
        </w:rPr>
        <w:t>0.3万元</w:t>
      </w:r>
      <w:r>
        <w:rPr>
          <w:shd w:val="clear" w:fill="FFFFFF"/>
        </w:rPr>
        <w:t>、邮电费</w:t>
      </w:r>
      <w:r>
        <w:rPr>
          <w:rFonts w:hint="eastAsia"/>
          <w:shd w:val="clear" w:fill="FFFFFF"/>
          <w:lang w:val="en-US" w:eastAsia="zh-CN"/>
        </w:rPr>
        <w:t>0.17万元</w:t>
      </w:r>
      <w:r>
        <w:rPr>
          <w:shd w:val="clear" w:fill="FFFFFF"/>
        </w:rPr>
        <w:t>、取暖费</w:t>
      </w:r>
      <w:r>
        <w:rPr>
          <w:rFonts w:hint="eastAsia"/>
          <w:shd w:val="clear" w:fill="FFFFFF"/>
          <w:lang w:val="en-US" w:eastAsia="zh-CN"/>
        </w:rPr>
        <w:t>0.30万元</w:t>
      </w:r>
      <w:r>
        <w:rPr>
          <w:shd w:val="clear" w:fill="FFFFFF"/>
        </w:rPr>
        <w:t>、差旅费</w:t>
      </w:r>
      <w:r>
        <w:rPr>
          <w:rFonts w:hint="eastAsia"/>
          <w:shd w:val="clear" w:fill="FFFFFF"/>
          <w:lang w:val="en-US" w:eastAsia="zh-CN"/>
        </w:rPr>
        <w:t>1.14万元</w:t>
      </w:r>
      <w:r>
        <w:rPr>
          <w:shd w:val="clear" w:fill="FFFFFF"/>
        </w:rPr>
        <w:t>、公务接待费</w:t>
      </w:r>
      <w:r>
        <w:rPr>
          <w:rFonts w:hint="eastAsia"/>
          <w:shd w:val="clear" w:fill="FFFFFF"/>
          <w:lang w:val="en-US" w:eastAsia="zh-CN"/>
        </w:rPr>
        <w:t>0.1万元</w:t>
      </w:r>
      <w:r>
        <w:rPr>
          <w:shd w:val="clear" w:fill="FFFFFF"/>
        </w:rPr>
        <w:t>、公务用车运行维护费</w:t>
      </w:r>
      <w:r>
        <w:rPr>
          <w:rFonts w:hint="eastAsia"/>
          <w:shd w:val="clear" w:fill="FFFFFF"/>
          <w:lang w:val="en-US" w:eastAsia="zh-CN"/>
        </w:rPr>
        <w:t>3.62万元</w:t>
      </w:r>
      <w:r>
        <w:rPr>
          <w:shd w:val="clear" w:fill="FFFFFF"/>
        </w:rPr>
        <w:t>。 </w:t>
      </w:r>
    </w:p>
    <w:p>
      <w:pPr>
        <w:pStyle w:val="12"/>
        <w:keepNext w:val="0"/>
        <w:keepLines w:val="0"/>
        <w:widowControl/>
        <w:suppressLineNumbers w:val="0"/>
        <w:spacing w:before="0" w:beforeAutospacing="0"/>
        <w:ind w:left="0" w:firstLine="480" w:firstLineChars="200"/>
        <w:jc w:val="left"/>
        <w:outlineLvl w:val="1"/>
      </w:pPr>
      <w:bookmarkStart w:id="25" w:name="_Toc25247"/>
      <w:bookmarkStart w:id="26" w:name="_Toc19014"/>
      <w:r>
        <w:rPr>
          <w:shd w:val="clear" w:fill="FFFFFF"/>
        </w:rPr>
        <w:t>七、“三公”经费财政拨款支出决算情况说明</w:t>
      </w:r>
      <w:bookmarkEnd w:id="25"/>
      <w:bookmarkEnd w:id="26"/>
    </w:p>
    <w:p>
      <w:pPr>
        <w:pStyle w:val="12"/>
        <w:keepNext w:val="0"/>
        <w:keepLines w:val="0"/>
        <w:widowControl/>
        <w:suppressLineNumbers w:val="0"/>
        <w:spacing w:before="0" w:beforeAutospacing="0"/>
        <w:ind w:left="0" w:firstLine="482" w:firstLineChars="200"/>
        <w:jc w:val="left"/>
      </w:pPr>
      <w:r>
        <w:rPr>
          <w:rStyle w:val="15"/>
          <w:shd w:val="clear" w:fill="FFFFFF"/>
        </w:rPr>
        <w:t>（一）“三公”经费财政拨款支出决算总体情况说明</w:t>
      </w:r>
    </w:p>
    <w:p>
      <w:pPr>
        <w:pStyle w:val="12"/>
        <w:keepNext w:val="0"/>
        <w:keepLines w:val="0"/>
        <w:widowControl/>
        <w:suppressLineNumbers w:val="0"/>
        <w:spacing w:before="0" w:beforeAutospacing="0"/>
        <w:ind w:left="0" w:firstLine="480" w:firstLineChars="200"/>
        <w:jc w:val="left"/>
      </w:pPr>
      <w:r>
        <w:rPr>
          <w:shd w:val="clear" w:fill="FFFFFF"/>
        </w:rPr>
        <w:t>2021年“三公”经费财政拨款支出决算为3.72万元，完成预算</w:t>
      </w:r>
      <w:r>
        <w:rPr>
          <w:rFonts w:hint="eastAsia"/>
          <w:shd w:val="clear" w:fill="FFFFFF"/>
          <w:lang w:val="en-US" w:eastAsia="zh-CN"/>
        </w:rPr>
        <w:t>10</w:t>
      </w:r>
      <w:r>
        <w:rPr>
          <w:shd w:val="clear" w:fill="FFFFFF"/>
        </w:rPr>
        <w:t>0%，决算数与预算数持平。</w:t>
      </w:r>
    </w:p>
    <w:p>
      <w:pPr>
        <w:pStyle w:val="12"/>
        <w:keepNext w:val="0"/>
        <w:keepLines w:val="0"/>
        <w:widowControl/>
        <w:suppressLineNumbers w:val="0"/>
        <w:spacing w:before="0" w:beforeAutospacing="0"/>
        <w:ind w:left="0" w:firstLine="482" w:firstLineChars="200"/>
        <w:jc w:val="left"/>
      </w:pPr>
      <w:r>
        <w:rPr>
          <w:rStyle w:val="15"/>
          <w:shd w:val="clear" w:fill="FFFFFF"/>
        </w:rPr>
        <w:t>（二）“三公”经费财政拨款支出决算具体情况说明</w:t>
      </w:r>
    </w:p>
    <w:p>
      <w:pPr>
        <w:pStyle w:val="12"/>
        <w:keepNext w:val="0"/>
        <w:keepLines w:val="0"/>
        <w:widowControl/>
        <w:suppressLineNumbers w:val="0"/>
        <w:spacing w:before="0" w:beforeAutospacing="0"/>
        <w:ind w:left="0" w:firstLine="480" w:firstLineChars="200"/>
        <w:jc w:val="left"/>
        <w:rPr>
          <w:shd w:val="clear" w:fill="FFFFFF"/>
        </w:rPr>
      </w:pPr>
      <w:r>
        <w:rPr>
          <w:shd w:val="clear" w:fill="FFFFFF"/>
        </w:rPr>
        <w:t>2021年“三公”经费财政拨款支出决算中，因公出国（境）费支出决算0.00万元，占0.00%；公务用车购置及运行维护费支出决算3.62万元，占97.31%；公务接待费支出决算0.10万元，占2.69%。具体情况如下：</w:t>
      </w:r>
    </w:p>
    <w:p>
      <w:pPr>
        <w:pStyle w:val="12"/>
        <w:keepNext w:val="0"/>
        <w:keepLines w:val="0"/>
        <w:widowControl/>
        <w:suppressLineNumbers w:val="0"/>
        <w:spacing w:before="0" w:beforeAutospacing="0"/>
        <w:jc w:val="center"/>
        <w:rPr>
          <w:shd w:val="clear" w:fill="FFFFFF"/>
        </w:rPr>
      </w:pPr>
      <w:r>
        <w:rPr>
          <w:rFonts w:hint="eastAsia" w:ascii="宋体" w:hAnsi="宋体" w:eastAsia="宋体" w:cs="宋体"/>
          <w:kern w:val="0"/>
          <w:sz w:val="24"/>
          <w:szCs w:val="24"/>
          <w:lang w:eastAsia="zh-CN"/>
        </w:rPr>
        <w:drawing>
          <wp:inline distT="0" distB="0" distL="114300" distR="114300">
            <wp:extent cx="5080000" cy="2543810"/>
            <wp:effectExtent l="4445" t="4445" r="20955" b="2349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pStyle w:val="12"/>
        <w:keepNext w:val="0"/>
        <w:keepLines w:val="0"/>
        <w:widowControl/>
        <w:suppressLineNumbers w:val="0"/>
        <w:spacing w:before="0" w:beforeAutospacing="0"/>
        <w:ind w:left="0"/>
        <w:jc w:val="center"/>
      </w:pPr>
      <w:r>
        <w:rPr>
          <w:shd w:val="clear" w:fill="FFFFFF"/>
        </w:rPr>
        <w:t>（图7：“三公”经费财政拨款支出结构）（饼状图）</w:t>
      </w:r>
    </w:p>
    <w:p>
      <w:pPr>
        <w:pStyle w:val="12"/>
        <w:keepNext w:val="0"/>
        <w:keepLines w:val="0"/>
        <w:widowControl/>
        <w:suppressLineNumbers w:val="0"/>
        <w:spacing w:before="0" w:beforeAutospacing="0"/>
        <w:ind w:left="0" w:firstLine="482" w:firstLineChars="200"/>
        <w:jc w:val="left"/>
      </w:pPr>
      <w:r>
        <w:rPr>
          <w:rStyle w:val="15"/>
          <w:shd w:val="clear" w:fill="FFFFFF"/>
        </w:rPr>
        <w:t>1.因公出国（境）经费支出</w:t>
      </w:r>
      <w:r>
        <w:rPr>
          <w:shd w:val="clear" w:fill="FFFFFF"/>
        </w:rPr>
        <w:t>0.00万元，</w:t>
      </w:r>
      <w:r>
        <w:rPr>
          <w:rStyle w:val="15"/>
          <w:shd w:val="clear" w:fill="FFFFFF"/>
        </w:rPr>
        <w:t>完成预算0.00%。</w:t>
      </w:r>
      <w:r>
        <w:rPr>
          <w:shd w:val="clear" w:fill="FFFFFF"/>
        </w:rPr>
        <w:t>全年安排因公出国（境）团组0次，出国（境）0人。因公出国（境）支出决算比2020年增加0.00万元，增长0.00%。主要原因是</w:t>
      </w:r>
      <w:r>
        <w:rPr>
          <w:rFonts w:hint="eastAsia" w:cs="宋体"/>
          <w:kern w:val="0"/>
          <w:sz w:val="24"/>
          <w:szCs w:val="24"/>
          <w:shd w:val="clear" w:fill="FFFFFF"/>
          <w:lang w:val="en-US" w:eastAsia="zh-CN"/>
        </w:rPr>
        <w:t>未出国（境）</w:t>
      </w:r>
      <w:r>
        <w:rPr>
          <w:shd w:val="clear" w:fill="FFFFFF"/>
        </w:rPr>
        <w:t>。</w:t>
      </w:r>
    </w:p>
    <w:p>
      <w:pPr>
        <w:pStyle w:val="12"/>
        <w:keepNext w:val="0"/>
        <w:keepLines w:val="0"/>
        <w:widowControl/>
        <w:suppressLineNumbers w:val="0"/>
        <w:spacing w:before="0" w:beforeAutospacing="0"/>
        <w:ind w:left="0" w:firstLine="482" w:firstLineChars="200"/>
        <w:jc w:val="left"/>
      </w:pPr>
      <w:r>
        <w:rPr>
          <w:rStyle w:val="15"/>
          <w:shd w:val="clear" w:fill="FFFFFF"/>
        </w:rPr>
        <w:t>2.公务用车购置及运行维护费支出</w:t>
      </w:r>
      <w:r>
        <w:rPr>
          <w:shd w:val="clear" w:fill="FFFFFF"/>
        </w:rPr>
        <w:t>3.62万元,</w:t>
      </w:r>
      <w:r>
        <w:rPr>
          <w:rStyle w:val="15"/>
          <w:shd w:val="clear" w:fill="FFFFFF"/>
        </w:rPr>
        <w:t>完成预算0.00%。</w:t>
      </w:r>
      <w:r>
        <w:rPr>
          <w:shd w:val="clear" w:fill="FFFFFF"/>
        </w:rPr>
        <w:t>公务用车购置及运行维护费支出决算比2020年增加1.08万元，增长42.45%。主要原因是</w:t>
      </w:r>
      <w:r>
        <w:rPr>
          <w:rFonts w:hint="eastAsia" w:cs="宋体"/>
          <w:kern w:val="0"/>
          <w:sz w:val="24"/>
          <w:szCs w:val="24"/>
          <w:shd w:val="clear" w:fill="FFFFFF"/>
          <w:lang w:val="en-US" w:eastAsia="zh-CN"/>
        </w:rPr>
        <w:t>车辆老旧，维修频繁</w:t>
      </w:r>
      <w:r>
        <w:rPr>
          <w:shd w:val="clear" w:fill="FFFFFF"/>
        </w:rPr>
        <w:t>。</w:t>
      </w:r>
    </w:p>
    <w:p>
      <w:pPr>
        <w:pStyle w:val="12"/>
        <w:keepNext w:val="0"/>
        <w:keepLines w:val="0"/>
        <w:widowControl/>
        <w:suppressLineNumbers w:val="0"/>
        <w:spacing w:before="0" w:beforeAutospacing="0"/>
        <w:ind w:left="0" w:firstLine="480" w:firstLineChars="200"/>
        <w:jc w:val="left"/>
      </w:pPr>
      <w:r>
        <w:rPr>
          <w:shd w:val="clear" w:fill="FFFFFF"/>
        </w:rPr>
        <w:t>其中：</w:t>
      </w:r>
      <w:r>
        <w:rPr>
          <w:rStyle w:val="15"/>
          <w:shd w:val="clear" w:fill="FFFFFF"/>
        </w:rPr>
        <w:t>公务用车购置支出</w:t>
      </w:r>
      <w:r>
        <w:rPr>
          <w:shd w:val="clear" w:fill="FFFFFF"/>
        </w:rPr>
        <w:t>0.00万元。全年按规定更新购置公务用车0辆。截至2021年12月底，单位共有公务用车1辆，其中：轿车</w:t>
      </w:r>
      <w:r>
        <w:rPr>
          <w:rFonts w:hint="eastAsia"/>
          <w:shd w:val="clear" w:fill="FFFFFF"/>
          <w:lang w:val="en-US" w:eastAsia="zh-CN"/>
        </w:rPr>
        <w:t>1</w:t>
      </w:r>
      <w:r>
        <w:rPr>
          <w:shd w:val="clear" w:fill="FFFFFF"/>
        </w:rPr>
        <w:t>辆。</w:t>
      </w:r>
    </w:p>
    <w:p>
      <w:pPr>
        <w:pStyle w:val="12"/>
        <w:keepNext w:val="0"/>
        <w:keepLines w:val="0"/>
        <w:widowControl/>
        <w:suppressLineNumbers w:val="0"/>
        <w:spacing w:before="0" w:beforeAutospacing="0"/>
        <w:ind w:left="0" w:firstLine="482" w:firstLineChars="200"/>
        <w:jc w:val="left"/>
      </w:pPr>
      <w:r>
        <w:rPr>
          <w:rStyle w:val="15"/>
          <w:shd w:val="clear" w:fill="FFFFFF"/>
        </w:rPr>
        <w:t>公务用车运行维护费支出</w:t>
      </w:r>
      <w:r>
        <w:rPr>
          <w:shd w:val="clear" w:fill="FFFFFF"/>
        </w:rPr>
        <w:t>3.62万元。主要用于</w:t>
      </w:r>
      <w:r>
        <w:rPr>
          <w:rFonts w:hint="eastAsia" w:cs="宋体"/>
          <w:kern w:val="0"/>
          <w:sz w:val="24"/>
          <w:szCs w:val="24"/>
          <w:shd w:val="clear" w:fill="FFFFFF"/>
          <w:lang w:val="en-US" w:eastAsia="zh-CN"/>
        </w:rPr>
        <w:t>开展日常工作、出差、应急救护普及、走村入户、联户联情、联寺联僧</w:t>
      </w:r>
      <w:r>
        <w:rPr>
          <w:shd w:val="clear" w:fill="FFFFFF"/>
        </w:rPr>
        <w:t>等所需的公务用车燃料费、维修费、过路过桥费、保险费等支出。</w:t>
      </w:r>
    </w:p>
    <w:p>
      <w:pPr>
        <w:pStyle w:val="12"/>
        <w:keepNext w:val="0"/>
        <w:keepLines w:val="0"/>
        <w:widowControl/>
        <w:suppressLineNumbers w:val="0"/>
        <w:spacing w:before="0" w:beforeAutospacing="0"/>
        <w:ind w:left="0" w:firstLine="482" w:firstLineChars="200"/>
        <w:jc w:val="left"/>
      </w:pPr>
      <w:r>
        <w:rPr>
          <w:rStyle w:val="15"/>
          <w:shd w:val="clear" w:fill="FFFFFF"/>
        </w:rPr>
        <w:t>3.公务接待费支出</w:t>
      </w:r>
      <w:r>
        <w:rPr>
          <w:shd w:val="clear" w:fill="FFFFFF"/>
        </w:rPr>
        <w:t>0.10万元，</w:t>
      </w:r>
      <w:r>
        <w:rPr>
          <w:rStyle w:val="15"/>
          <w:shd w:val="clear" w:fill="FFFFFF"/>
        </w:rPr>
        <w:t>完成预算100%。</w:t>
      </w:r>
      <w:r>
        <w:rPr>
          <w:shd w:val="clear" w:fill="FFFFFF"/>
        </w:rPr>
        <w:t>公务接待费支出决算比2020年增加0.10万元，增长0.00%。主要原因是</w:t>
      </w:r>
      <w:r>
        <w:rPr>
          <w:rFonts w:hint="eastAsia"/>
          <w:shd w:val="clear" w:fill="FFFFFF"/>
          <w:lang w:val="en-US" w:eastAsia="zh-CN"/>
        </w:rPr>
        <w:t>上年度未支出公务接待费</w:t>
      </w:r>
      <w:r>
        <w:rPr>
          <w:shd w:val="clear" w:fill="FFFFFF"/>
        </w:rPr>
        <w:t>。其中：</w:t>
      </w:r>
    </w:p>
    <w:p>
      <w:pPr>
        <w:pStyle w:val="12"/>
        <w:keepNext w:val="0"/>
        <w:keepLines w:val="0"/>
        <w:widowControl/>
        <w:suppressLineNumbers w:val="0"/>
        <w:spacing w:before="0" w:beforeAutospacing="0"/>
        <w:ind w:left="0"/>
        <w:jc w:val="left"/>
      </w:pPr>
      <w:r>
        <w:rPr>
          <w:rStyle w:val="15"/>
          <w:shd w:val="clear" w:fill="FFFFFF"/>
        </w:rPr>
        <w:t>国内公务接待支出</w:t>
      </w:r>
      <w:r>
        <w:rPr>
          <w:shd w:val="clear" w:fill="FFFFFF"/>
        </w:rPr>
        <w:t>0.10万元，主要用于</w:t>
      </w:r>
      <w:r>
        <w:rPr>
          <w:rFonts w:hint="eastAsia"/>
          <w:shd w:val="clear" w:fill="FFFFFF"/>
          <w:lang w:val="en-US" w:eastAsia="zh-CN"/>
        </w:rPr>
        <w:t>开展应急救护培训</w:t>
      </w:r>
      <w:r>
        <w:rPr>
          <w:shd w:val="clear" w:fill="FFFFFF"/>
        </w:rPr>
        <w:t>活动</w:t>
      </w:r>
      <w:r>
        <w:rPr>
          <w:rFonts w:hint="eastAsia"/>
          <w:shd w:val="clear" w:fill="FFFFFF"/>
          <w:lang w:eastAsia="zh-CN"/>
        </w:rPr>
        <w:t>、</w:t>
      </w:r>
      <w:r>
        <w:rPr>
          <w:rFonts w:hint="eastAsia"/>
          <w:shd w:val="clear" w:fill="FFFFFF"/>
          <w:lang w:val="en-US" w:eastAsia="zh-CN"/>
        </w:rPr>
        <w:t>上级考察工作等</w:t>
      </w:r>
      <w:r>
        <w:rPr>
          <w:shd w:val="clear" w:fill="FFFFFF"/>
        </w:rPr>
        <w:t>开支的用餐费。国内公务接待3批次，17人次（不包括陪同人员），共计支出0.10万元，具体内容包括：</w:t>
      </w:r>
      <w:r>
        <w:rPr>
          <w:rFonts w:hint="eastAsia"/>
          <w:shd w:val="clear" w:fill="FFFFFF"/>
          <w:lang w:val="en-US" w:eastAsia="zh-CN"/>
        </w:rPr>
        <w:t>1.</w:t>
      </w:r>
      <w:r>
        <w:rPr>
          <w:rFonts w:hint="eastAsia"/>
          <w:color w:val="auto"/>
          <w:shd w:val="clear" w:fill="FFFFFF"/>
          <w:lang w:val="en-US" w:eastAsia="zh-CN"/>
        </w:rPr>
        <w:t>开展应急救护普及培训、红丝带活动、“三救三献”活动，460.00元；2.浙江永嘉县对口支援开展急救员培训活动，320.00元；3.阿坝州红十字会开展红十字改革督导工作，180.00元</w:t>
      </w:r>
      <w:r>
        <w:rPr>
          <w:shd w:val="clear" w:fill="FFFFFF"/>
        </w:rPr>
        <w:t>。</w:t>
      </w:r>
    </w:p>
    <w:p>
      <w:pPr>
        <w:pStyle w:val="12"/>
        <w:keepNext w:val="0"/>
        <w:keepLines w:val="0"/>
        <w:widowControl/>
        <w:suppressLineNumbers w:val="0"/>
        <w:spacing w:before="0" w:beforeAutospacing="0"/>
        <w:ind w:left="0"/>
        <w:jc w:val="left"/>
      </w:pPr>
      <w:r>
        <w:rPr>
          <w:rStyle w:val="15"/>
          <w:shd w:val="clear" w:fill="FFFFFF"/>
        </w:rPr>
        <w:t>外事接待支出</w:t>
      </w:r>
      <w:r>
        <w:rPr>
          <w:shd w:val="clear" w:fill="FFFFFF"/>
        </w:rPr>
        <w:t>0.00万元，外事接待0批次，0人，共计支出0.00万元。主要</w:t>
      </w:r>
    </w:p>
    <w:p>
      <w:pPr>
        <w:pStyle w:val="12"/>
        <w:keepNext w:val="0"/>
        <w:keepLines w:val="0"/>
        <w:widowControl/>
        <w:suppressLineNumbers w:val="0"/>
        <w:spacing w:before="0" w:beforeAutospacing="0"/>
        <w:ind w:left="0" w:firstLine="480" w:firstLineChars="200"/>
        <w:jc w:val="left"/>
        <w:outlineLvl w:val="1"/>
      </w:pPr>
      <w:bookmarkStart w:id="27" w:name="_Toc19436"/>
      <w:bookmarkStart w:id="28" w:name="_Toc25230"/>
      <w:r>
        <w:rPr>
          <w:shd w:val="clear" w:fill="FFFFFF"/>
        </w:rPr>
        <w:t>八、政府性基金预算支出决算情况说明</w:t>
      </w:r>
      <w:bookmarkEnd w:id="27"/>
      <w:bookmarkEnd w:id="28"/>
    </w:p>
    <w:p>
      <w:pPr>
        <w:pStyle w:val="12"/>
        <w:keepNext w:val="0"/>
        <w:keepLines w:val="0"/>
        <w:widowControl/>
        <w:suppressLineNumbers w:val="0"/>
        <w:spacing w:before="0" w:beforeAutospacing="0"/>
        <w:ind w:left="0" w:firstLine="480" w:firstLineChars="200"/>
        <w:jc w:val="left"/>
      </w:pPr>
      <w:r>
        <w:rPr>
          <w:shd w:val="clear" w:fill="FFFFFF"/>
        </w:rPr>
        <w:t>2021年政府性基金预算财政拨款支出0.00万元。</w:t>
      </w:r>
    </w:p>
    <w:p>
      <w:pPr>
        <w:keepNext w:val="0"/>
        <w:keepLines w:val="0"/>
        <w:widowControl/>
        <w:numPr>
          <w:ilvl w:val="0"/>
          <w:numId w:val="0"/>
        </w:numPr>
        <w:suppressLineNumbers w:val="0"/>
        <w:spacing w:before="0" w:beforeAutospacing="0" w:after="0" w:afterAutospacing="1"/>
        <w:ind w:firstLine="480" w:firstLineChars="200"/>
        <w:jc w:val="left"/>
        <w:outlineLvl w:val="1"/>
      </w:pPr>
      <w:bookmarkStart w:id="29" w:name="_Toc23318"/>
      <w:bookmarkStart w:id="30" w:name="_Toc23724"/>
      <w:r>
        <w:rPr>
          <w:rFonts w:hint="eastAsia"/>
          <w:shd w:val="clear" w:fill="FFFFFF"/>
          <w:lang w:val="en-US" w:eastAsia="zh-CN"/>
        </w:rPr>
        <w:t>九、</w:t>
      </w:r>
      <w:r>
        <w:rPr>
          <w:shd w:val="clear" w:fill="FFFFFF"/>
        </w:rPr>
        <w:t>国有资本经营预算支出决算情况说明</w:t>
      </w:r>
      <w:bookmarkEnd w:id="29"/>
      <w:bookmarkEnd w:id="30"/>
    </w:p>
    <w:p>
      <w:pPr>
        <w:pStyle w:val="12"/>
        <w:keepNext w:val="0"/>
        <w:keepLines w:val="0"/>
        <w:widowControl/>
        <w:suppressLineNumbers w:val="0"/>
        <w:spacing w:before="0" w:beforeAutospacing="0"/>
        <w:ind w:left="0" w:firstLine="480" w:firstLineChars="200"/>
        <w:jc w:val="left"/>
      </w:pPr>
      <w:r>
        <w:rPr>
          <w:shd w:val="clear" w:fill="FFFFFF"/>
        </w:rPr>
        <w:t>2021年国有资本经营预算财政拨款支出0.00万元。 </w:t>
      </w:r>
    </w:p>
    <w:p>
      <w:pPr>
        <w:keepNext w:val="0"/>
        <w:keepLines w:val="0"/>
        <w:widowControl/>
        <w:numPr>
          <w:ilvl w:val="0"/>
          <w:numId w:val="0"/>
        </w:numPr>
        <w:suppressLineNumbers w:val="0"/>
        <w:spacing w:before="0" w:beforeAutospacing="0" w:after="0" w:afterAutospacing="1"/>
        <w:ind w:firstLine="480" w:firstLineChars="200"/>
        <w:jc w:val="left"/>
        <w:outlineLvl w:val="1"/>
        <w:rPr>
          <w:rFonts w:hint="eastAsia" w:eastAsia="宋体"/>
          <w:lang w:val="en-US" w:eastAsia="zh-CN"/>
        </w:rPr>
      </w:pPr>
      <w:bookmarkStart w:id="31" w:name="_Toc2519"/>
      <w:bookmarkStart w:id="32" w:name="_Toc10720"/>
      <w:r>
        <w:rPr>
          <w:rFonts w:hint="eastAsia"/>
          <w:shd w:val="clear" w:fill="FFFFFF"/>
          <w:lang w:val="en-US" w:eastAsia="zh-CN"/>
        </w:rPr>
        <w:t>十、</w:t>
      </w:r>
      <w:r>
        <w:rPr>
          <w:shd w:val="clear" w:fill="FFFFFF"/>
        </w:rPr>
        <w:t>其他重要事项的情况说明</w:t>
      </w:r>
      <w:bookmarkEnd w:id="31"/>
      <w:bookmarkEnd w:id="32"/>
    </w:p>
    <w:p>
      <w:pPr>
        <w:pStyle w:val="12"/>
        <w:keepNext w:val="0"/>
        <w:keepLines w:val="0"/>
        <w:widowControl/>
        <w:suppressLineNumbers w:val="0"/>
        <w:spacing w:before="0" w:beforeAutospacing="0"/>
        <w:ind w:left="0" w:firstLine="482" w:firstLineChars="200"/>
        <w:jc w:val="left"/>
      </w:pPr>
      <w:r>
        <w:rPr>
          <w:rStyle w:val="15"/>
          <w:shd w:val="clear" w:fill="FFFFFF"/>
        </w:rPr>
        <w:t>（一）机关运行经费支出情况</w:t>
      </w:r>
    </w:p>
    <w:p>
      <w:pPr>
        <w:pStyle w:val="12"/>
        <w:keepNext w:val="0"/>
        <w:keepLines w:val="0"/>
        <w:widowControl/>
        <w:suppressLineNumbers w:val="0"/>
        <w:spacing w:before="0" w:beforeAutospacing="0"/>
        <w:ind w:left="0" w:firstLine="480" w:firstLineChars="200"/>
        <w:jc w:val="left"/>
        <w:rPr>
          <w:rFonts w:hint="eastAsia" w:eastAsiaTheme="minorEastAsia"/>
          <w:lang w:eastAsia="zh-CN"/>
        </w:rPr>
      </w:pPr>
      <w:r>
        <w:rPr>
          <w:shd w:val="clear" w:fill="FFFFFF"/>
        </w:rPr>
        <w:t>2021年，阿坝州红原县红十字会机关运行经费支出7.66万元，比2020年</w:t>
      </w:r>
      <w:r>
        <w:rPr>
          <w:rFonts w:hint="eastAsia"/>
          <w:shd w:val="clear" w:fill="FFFFFF"/>
          <w:lang w:val="en-US" w:eastAsia="zh-CN"/>
        </w:rPr>
        <w:t>减少</w:t>
      </w:r>
      <w:r>
        <w:rPr>
          <w:shd w:val="clear" w:fill="FFFFFF"/>
        </w:rPr>
        <w:t>3.26万元，</w:t>
      </w:r>
      <w:r>
        <w:rPr>
          <w:rFonts w:hint="eastAsia"/>
          <w:shd w:val="clear" w:fill="FFFFFF"/>
          <w:lang w:val="en-US" w:eastAsia="zh-CN"/>
        </w:rPr>
        <w:t>减少</w:t>
      </w:r>
      <w:r>
        <w:rPr>
          <w:shd w:val="clear" w:fill="FFFFFF"/>
        </w:rPr>
        <w:t>29.88%。主要原因是</w:t>
      </w:r>
      <w:r>
        <w:rPr>
          <w:rFonts w:hint="eastAsia"/>
          <w:shd w:val="clear" w:fill="FFFFFF"/>
          <w:lang w:val="en-US" w:eastAsia="zh-CN"/>
        </w:rPr>
        <w:t>厉行节约。</w:t>
      </w:r>
    </w:p>
    <w:p>
      <w:pPr>
        <w:pStyle w:val="12"/>
        <w:keepNext w:val="0"/>
        <w:keepLines w:val="0"/>
        <w:widowControl/>
        <w:suppressLineNumbers w:val="0"/>
        <w:spacing w:before="0" w:beforeAutospacing="0"/>
        <w:ind w:left="0" w:firstLine="482" w:firstLineChars="200"/>
        <w:jc w:val="left"/>
      </w:pPr>
      <w:r>
        <w:rPr>
          <w:rStyle w:val="15"/>
          <w:shd w:val="clear" w:fill="FFFFFF"/>
        </w:rPr>
        <w:t>（二）政府采购支出情况</w:t>
      </w:r>
    </w:p>
    <w:p>
      <w:pPr>
        <w:pStyle w:val="12"/>
        <w:keepNext w:val="0"/>
        <w:keepLines w:val="0"/>
        <w:widowControl/>
        <w:suppressLineNumbers w:val="0"/>
        <w:spacing w:before="0" w:beforeAutospacing="0"/>
        <w:ind w:left="0" w:firstLine="480" w:firstLineChars="200"/>
        <w:jc w:val="left"/>
      </w:pPr>
      <w:r>
        <w:rPr>
          <w:shd w:val="clear" w:fill="FFFFFF"/>
        </w:rPr>
        <w:t>2021年，阿坝州红原县红十字会政府采购支出总额0.00万元，其中：政府采购货物支出0.00万元、政府采购工程支出0.00万元、政府采购服务支出0.00万元。</w:t>
      </w:r>
    </w:p>
    <w:p>
      <w:pPr>
        <w:pStyle w:val="12"/>
        <w:keepNext w:val="0"/>
        <w:keepLines w:val="0"/>
        <w:widowControl/>
        <w:suppressLineNumbers w:val="0"/>
        <w:spacing w:before="0" w:beforeAutospacing="0"/>
        <w:ind w:left="0" w:firstLine="482" w:firstLineChars="200"/>
        <w:jc w:val="left"/>
      </w:pPr>
      <w:r>
        <w:rPr>
          <w:rStyle w:val="15"/>
          <w:shd w:val="clear" w:fill="FFFFFF"/>
        </w:rPr>
        <w:t>（三）国有资产占有使用情况</w:t>
      </w:r>
    </w:p>
    <w:p>
      <w:pPr>
        <w:pStyle w:val="12"/>
        <w:keepNext w:val="0"/>
        <w:keepLines w:val="0"/>
        <w:widowControl/>
        <w:suppressLineNumbers w:val="0"/>
        <w:spacing w:before="0" w:beforeAutospacing="0"/>
        <w:ind w:left="0" w:firstLine="480" w:firstLineChars="200"/>
        <w:jc w:val="left"/>
      </w:pPr>
      <w:r>
        <w:rPr>
          <w:shd w:val="clear" w:fill="FFFFFF"/>
        </w:rPr>
        <w:t>截至2021年12月31日，阿坝州红原县红十字会共有车辆1辆，其中：主要领导干部用车0辆、机要通信用车0辆、应急保障用车0辆、其他用车1辆</w:t>
      </w:r>
      <w:r>
        <w:rPr>
          <w:rFonts w:hint="eastAsia"/>
          <w:shd w:val="clear" w:fill="FFFFFF"/>
          <w:lang w:eastAsia="zh-CN"/>
        </w:rPr>
        <w:t>。</w:t>
      </w:r>
      <w:r>
        <w:rPr>
          <w:shd w:val="clear" w:fill="FFFFFF"/>
        </w:rPr>
        <w:t>其他用车主要是用于</w:t>
      </w:r>
      <w:r>
        <w:rPr>
          <w:rFonts w:hint="eastAsia" w:cs="宋体"/>
          <w:kern w:val="0"/>
          <w:sz w:val="24"/>
          <w:szCs w:val="24"/>
          <w:shd w:val="clear" w:fill="FFFFFF"/>
          <w:lang w:val="en-US" w:eastAsia="zh-CN"/>
        </w:rPr>
        <w:t>开展日常工作、出差、应急救护普及宣传、走村入户、联户联情、联寺联僧</w:t>
      </w:r>
      <w:r>
        <w:rPr>
          <w:rFonts w:hint="eastAsia" w:ascii="宋体" w:hAnsi="宋体" w:eastAsia="宋体" w:cs="宋体"/>
          <w:kern w:val="0"/>
          <w:sz w:val="24"/>
          <w:szCs w:val="24"/>
          <w:shd w:val="clear" w:fill="FFFFFF"/>
        </w:rPr>
        <w:t>等</w:t>
      </w:r>
      <w:r>
        <w:rPr>
          <w:rFonts w:hint="eastAsia" w:ascii="宋体" w:hAnsi="宋体" w:eastAsia="宋体" w:cs="宋体"/>
          <w:kern w:val="0"/>
          <w:sz w:val="24"/>
          <w:szCs w:val="24"/>
          <w:shd w:val="clear" w:fill="FFFFFF"/>
          <w:lang w:eastAsia="zh-CN"/>
        </w:rPr>
        <w:t>。</w:t>
      </w:r>
      <w:r>
        <w:rPr>
          <w:shd w:val="clear" w:fill="FFFFFF"/>
        </w:rPr>
        <w:t>单价50万元以上通用设备0台（套），单价100万元以上专用设备0台（套）。</w:t>
      </w:r>
    </w:p>
    <w:p>
      <w:pPr>
        <w:pStyle w:val="12"/>
        <w:keepNext w:val="0"/>
        <w:keepLines w:val="0"/>
        <w:widowControl/>
        <w:suppressLineNumbers w:val="0"/>
        <w:spacing w:before="0" w:beforeAutospacing="0"/>
        <w:ind w:left="0" w:firstLine="482" w:firstLineChars="200"/>
        <w:jc w:val="left"/>
      </w:pPr>
      <w:r>
        <w:rPr>
          <w:rStyle w:val="15"/>
          <w:shd w:val="clear" w:fill="FFFFFF"/>
        </w:rPr>
        <w:t>（四）预算绩效管理情况</w:t>
      </w:r>
    </w:p>
    <w:p>
      <w:pPr>
        <w:pStyle w:val="12"/>
        <w:keepNext w:val="0"/>
        <w:keepLines w:val="0"/>
        <w:widowControl/>
        <w:suppressLineNumbers w:val="0"/>
        <w:spacing w:before="0" w:beforeAutospacing="0"/>
        <w:ind w:left="0" w:firstLine="480" w:firstLineChars="200"/>
        <w:jc w:val="left"/>
        <w:rPr>
          <w:shd w:val="clear" w:fill="FFFFFF"/>
        </w:rPr>
      </w:pPr>
      <w:r>
        <w:rPr>
          <w:shd w:val="clear" w:fill="FFFFFF"/>
        </w:rPr>
        <w:t>根据预算绩效管理要求，本部门在2021年度预算编制阶段，组织对</w:t>
      </w:r>
      <w:r>
        <w:rPr>
          <w:rFonts w:hint="eastAsia" w:cs="宋体"/>
          <w:kern w:val="0"/>
          <w:sz w:val="24"/>
          <w:szCs w:val="24"/>
          <w:shd w:val="clear" w:fill="FFFFFF"/>
          <w:lang w:val="en-US" w:eastAsia="zh-CN"/>
        </w:rPr>
        <w:t>本单位大病救助</w:t>
      </w:r>
      <w:r>
        <w:rPr>
          <w:shd w:val="clear" w:fill="FFFFFF"/>
        </w:rPr>
        <w:t>项目开展了预算事前绩效评估，年终执行完毕后，对</w:t>
      </w:r>
      <w:r>
        <w:rPr>
          <w:rFonts w:hint="eastAsia" w:cs="宋体"/>
          <w:kern w:val="0"/>
          <w:sz w:val="24"/>
          <w:szCs w:val="24"/>
          <w:shd w:val="clear" w:fill="FFFFFF"/>
          <w:lang w:val="en-US" w:eastAsia="zh-CN"/>
        </w:rPr>
        <w:t>大病救助</w:t>
      </w:r>
      <w:r>
        <w:rPr>
          <w:rFonts w:hint="eastAsia" w:ascii="宋体" w:hAnsi="宋体" w:eastAsia="宋体" w:cs="宋体"/>
          <w:kern w:val="0"/>
          <w:sz w:val="24"/>
          <w:szCs w:val="24"/>
          <w:shd w:val="clear" w:fill="FFFFFF"/>
        </w:rPr>
        <w:t>项目</w:t>
      </w:r>
      <w:r>
        <w:rPr>
          <w:shd w:val="clear" w:fill="FFFFFF"/>
        </w:rPr>
        <w:t>开展了绩效自评。同时，本部门对2021年部门整体开展绩效自评，《2021年</w:t>
      </w:r>
      <w:r>
        <w:rPr>
          <w:rFonts w:hint="eastAsia"/>
          <w:shd w:val="clear" w:fill="FFFFFF"/>
          <w:lang w:val="en-US" w:eastAsia="zh-CN"/>
        </w:rPr>
        <w:t>红十字会</w:t>
      </w:r>
      <w:r>
        <w:rPr>
          <w:shd w:val="clear" w:fill="FFFFFF"/>
        </w:rPr>
        <w:t>部门整体绩效评价报告》见附件（第四部分）。</w:t>
      </w:r>
    </w:p>
    <w:p>
      <w:pPr>
        <w:pStyle w:val="12"/>
        <w:keepNext w:val="0"/>
        <w:keepLines w:val="0"/>
        <w:widowControl/>
        <w:suppressLineNumbers w:val="0"/>
        <w:spacing w:before="0" w:beforeAutospacing="0"/>
        <w:ind w:left="0"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本部门在</w:t>
      </w:r>
      <w:r>
        <w:rPr>
          <w:rFonts w:hint="eastAsia" w:ascii="宋体" w:hAnsi="宋体" w:eastAsia="宋体" w:cs="宋体"/>
          <w:kern w:val="0"/>
          <w:sz w:val="24"/>
          <w:szCs w:val="24"/>
          <w:shd w:val="clear" w:fill="FFFFFF"/>
          <w:lang w:val="en-US" w:eastAsia="zh-CN"/>
        </w:rPr>
        <w:t>2021</w:t>
      </w:r>
      <w:r>
        <w:rPr>
          <w:rFonts w:hint="eastAsia" w:ascii="宋体" w:hAnsi="宋体" w:eastAsia="宋体" w:cs="宋体"/>
          <w:kern w:val="0"/>
          <w:sz w:val="24"/>
          <w:szCs w:val="24"/>
          <w:shd w:val="clear" w:fill="FFFFFF"/>
        </w:rPr>
        <w:t>年度部门决算中反映“</w:t>
      </w:r>
      <w:r>
        <w:rPr>
          <w:rFonts w:hint="eastAsia" w:ascii="宋体" w:hAnsi="宋体" w:eastAsia="宋体" w:cs="宋体"/>
          <w:kern w:val="0"/>
          <w:sz w:val="24"/>
          <w:szCs w:val="24"/>
          <w:shd w:val="clear" w:fill="FFFFFF"/>
          <w:lang w:val="en-US" w:eastAsia="zh-CN"/>
        </w:rPr>
        <w:t>大病救助金</w:t>
      </w:r>
      <w:r>
        <w:rPr>
          <w:rFonts w:hint="eastAsia" w:ascii="宋体" w:hAnsi="宋体" w:eastAsia="宋体" w:cs="宋体"/>
          <w:kern w:val="0"/>
          <w:sz w:val="24"/>
          <w:szCs w:val="24"/>
          <w:shd w:val="clear" w:fill="FFFFFF"/>
        </w:rPr>
        <w:t>”</w:t>
      </w:r>
      <w:r>
        <w:rPr>
          <w:rFonts w:hint="eastAsia" w:ascii="宋体" w:hAnsi="宋体" w:eastAsia="宋体" w:cs="宋体"/>
          <w:kern w:val="0"/>
          <w:sz w:val="24"/>
          <w:szCs w:val="24"/>
          <w:shd w:val="clear" w:fill="FFFFFF"/>
          <w:lang w:val="en-US" w:eastAsia="zh-CN"/>
        </w:rPr>
        <w:t>共计10万元的1</w:t>
      </w:r>
      <w:r>
        <w:rPr>
          <w:rFonts w:hint="eastAsia" w:ascii="宋体" w:hAnsi="宋体" w:eastAsia="宋体" w:cs="宋体"/>
          <w:kern w:val="0"/>
          <w:sz w:val="24"/>
          <w:szCs w:val="24"/>
          <w:shd w:val="clear" w:fill="FFFFFF"/>
        </w:rPr>
        <w:t>个项目绩效目标实际完成情况。</w:t>
      </w:r>
      <w:r>
        <w:rPr>
          <w:rFonts w:hint="eastAsia" w:ascii="宋体" w:hAnsi="宋体" w:eastAsia="宋体" w:cs="宋体"/>
          <w:kern w:val="0"/>
          <w:sz w:val="24"/>
          <w:szCs w:val="24"/>
          <w:shd w:val="clear" w:fill="FFFFFF"/>
          <w:lang w:eastAsia="zh-CN"/>
        </w:rPr>
        <w:t>“</w:t>
      </w:r>
      <w:r>
        <w:rPr>
          <w:rFonts w:hint="eastAsia" w:ascii="宋体" w:hAnsi="宋体" w:eastAsia="宋体" w:cs="宋体"/>
          <w:kern w:val="0"/>
          <w:sz w:val="24"/>
          <w:szCs w:val="24"/>
          <w:shd w:val="clear" w:fill="FFFFFF"/>
          <w:lang w:val="en-US" w:eastAsia="zh-CN"/>
        </w:rPr>
        <w:t>大病救助金</w:t>
      </w:r>
      <w:r>
        <w:rPr>
          <w:rFonts w:hint="eastAsia" w:ascii="宋体" w:hAnsi="宋体" w:eastAsia="宋体" w:cs="宋体"/>
          <w:kern w:val="0"/>
          <w:sz w:val="24"/>
          <w:szCs w:val="24"/>
          <w:shd w:val="clear" w:fill="FFFFFF"/>
          <w:lang w:eastAsia="zh-CN"/>
        </w:rPr>
        <w:t>”</w:t>
      </w:r>
      <w:r>
        <w:rPr>
          <w:rFonts w:hint="eastAsia" w:ascii="宋体" w:hAnsi="宋体" w:eastAsia="宋体" w:cs="宋体"/>
          <w:kern w:val="0"/>
          <w:sz w:val="24"/>
          <w:szCs w:val="24"/>
          <w:shd w:val="clear" w:fill="FFFFFF"/>
        </w:rPr>
        <w:t>项目绩效目标完成情况综述。项目全年预算数</w:t>
      </w:r>
      <w:r>
        <w:rPr>
          <w:rFonts w:hint="eastAsia" w:ascii="宋体" w:hAnsi="宋体" w:eastAsia="宋体" w:cs="宋体"/>
          <w:kern w:val="0"/>
          <w:sz w:val="24"/>
          <w:szCs w:val="24"/>
          <w:shd w:val="clear" w:fill="FFFFFF"/>
          <w:lang w:val="en-US" w:eastAsia="zh-CN"/>
        </w:rPr>
        <w:t>10</w:t>
      </w:r>
      <w:r>
        <w:rPr>
          <w:rFonts w:hint="eastAsia" w:ascii="宋体" w:hAnsi="宋体" w:eastAsia="宋体" w:cs="宋体"/>
          <w:kern w:val="0"/>
          <w:sz w:val="24"/>
          <w:szCs w:val="24"/>
          <w:shd w:val="clear" w:fill="FFFFFF"/>
        </w:rPr>
        <w:t>万元，执行数为</w:t>
      </w:r>
      <w:r>
        <w:rPr>
          <w:rFonts w:hint="eastAsia" w:cs="宋体"/>
          <w:kern w:val="0"/>
          <w:sz w:val="24"/>
          <w:szCs w:val="24"/>
          <w:shd w:val="clear" w:fill="FFFFFF"/>
          <w:lang w:val="en-US" w:eastAsia="zh-CN"/>
        </w:rPr>
        <w:t>10</w:t>
      </w:r>
      <w:r>
        <w:rPr>
          <w:rFonts w:hint="eastAsia" w:ascii="宋体" w:hAnsi="宋体" w:eastAsia="宋体" w:cs="宋体"/>
          <w:kern w:val="0"/>
          <w:sz w:val="24"/>
          <w:szCs w:val="24"/>
          <w:shd w:val="clear" w:fill="FFFFFF"/>
        </w:rPr>
        <w:t>万元，完成预算的</w:t>
      </w:r>
      <w:r>
        <w:rPr>
          <w:rFonts w:hint="eastAsia" w:ascii="宋体" w:hAnsi="宋体" w:eastAsia="宋体" w:cs="宋体"/>
          <w:kern w:val="0"/>
          <w:sz w:val="24"/>
          <w:szCs w:val="24"/>
          <w:shd w:val="clear" w:fill="FFFFFF"/>
          <w:lang w:val="en-US" w:eastAsia="zh-CN"/>
        </w:rPr>
        <w:t>100</w:t>
      </w:r>
      <w:r>
        <w:rPr>
          <w:rFonts w:hint="eastAsia" w:ascii="宋体" w:hAnsi="宋体" w:eastAsia="宋体" w:cs="宋体"/>
          <w:kern w:val="0"/>
          <w:sz w:val="24"/>
          <w:szCs w:val="24"/>
          <w:shd w:val="clear" w:fill="FFFFFF"/>
        </w:rPr>
        <w:t>%。</w:t>
      </w:r>
    </w:p>
    <w:tbl>
      <w:tblPr>
        <w:tblStyle w:val="13"/>
        <w:tblW w:w="8331"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693"/>
        <w:gridCol w:w="874"/>
        <w:gridCol w:w="857"/>
        <w:gridCol w:w="1969"/>
        <w:gridCol w:w="1969"/>
        <w:gridCol w:w="1969"/>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8331" w:type="dxa"/>
            <w:gridSpan w:val="6"/>
            <w:tcBorders>
              <w:top w:val="outset" w:color="auto" w:sz="6" w:space="0"/>
              <w:left w:val="outset" w:color="auto" w:sz="6" w:space="0"/>
              <w:bottom w:val="outset" w:color="auto" w:sz="6" w:space="0"/>
              <w:right w:val="outset" w:color="auto" w:sz="6" w:space="0"/>
            </w:tcBorders>
            <w:shd w:val="clear" w:color="auto" w:fill="auto"/>
            <w:vAlign w:val="center"/>
          </w:tcPr>
          <w:p>
            <w:pPr>
              <w:pStyle w:val="16"/>
              <w:keepNext w:val="0"/>
              <w:keepLines w:val="0"/>
              <w:widowControl/>
              <w:suppressLineNumbers w:val="0"/>
              <w:jc w:val="left"/>
              <w:rPr>
                <w:rFonts w:hint="eastAsia" w:ascii="宋体" w:hAnsi="宋体" w:eastAsia="宋体" w:cs="宋体"/>
                <w:kern w:val="0"/>
                <w:sz w:val="24"/>
                <w:szCs w:val="24"/>
              </w:rPr>
            </w:pPr>
            <w:r>
              <w:rPr>
                <w:rStyle w:val="17"/>
                <w:rFonts w:hint="eastAsia" w:ascii="宋体" w:hAnsi="宋体" w:eastAsia="宋体" w:cs="宋体"/>
                <w:b/>
                <w:bCs w:val="0"/>
                <w:sz w:val="24"/>
                <w:szCs w:val="24"/>
              </w:rPr>
              <w:t xml:space="preserve">项目绩效目标完成情况表 </w:t>
            </w:r>
            <w:r>
              <w:rPr>
                <w:rFonts w:hint="eastAsia" w:ascii="宋体" w:hAnsi="宋体" w:eastAsia="宋体" w:cs="宋体"/>
                <w:kern w:val="0"/>
                <w:sz w:val="24"/>
                <w:szCs w:val="24"/>
              </w:rPr>
              <w:t>(202</w:t>
            </w:r>
            <w:r>
              <w:rPr>
                <w:rFonts w:hint="eastAsia" w:cs="宋体"/>
                <w:kern w:val="0"/>
                <w:sz w:val="24"/>
                <w:szCs w:val="24"/>
                <w:lang w:val="en-US" w:eastAsia="zh-CN"/>
              </w:rPr>
              <w:t>1</w:t>
            </w:r>
            <w:r>
              <w:rPr>
                <w:rFonts w:hint="eastAsia" w:ascii="宋体" w:hAnsi="宋体" w:eastAsia="宋体" w:cs="宋体"/>
                <w:kern w:val="0"/>
                <w:sz w:val="24"/>
                <w:szCs w:val="24"/>
              </w:rPr>
              <w:t>年度)</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2424" w:type="dxa"/>
            <w:gridSpan w:val="3"/>
            <w:tcBorders>
              <w:top w:val="outset" w:color="auto" w:sz="6" w:space="0"/>
              <w:left w:val="outset" w:color="auto" w:sz="6" w:space="0"/>
              <w:bottom w:val="outset" w:color="auto" w:sz="6" w:space="0"/>
              <w:right w:val="outset" w:color="auto" w:sz="6" w:space="0"/>
            </w:tcBorders>
            <w:shd w:val="clear" w:color="auto" w:fill="auto"/>
            <w:vAlign w:val="center"/>
          </w:tcPr>
          <w:p>
            <w:pPr>
              <w:pStyle w:val="16"/>
              <w:keepNext w:val="0"/>
              <w:keepLines w:val="0"/>
              <w:widowControl/>
              <w:suppressLineNumbers w:val="0"/>
              <w:jc w:val="left"/>
              <w:rPr>
                <w:rFonts w:hint="eastAsia" w:ascii="宋体" w:hAnsi="宋体" w:eastAsia="宋体" w:cs="宋体"/>
                <w:kern w:val="0"/>
                <w:sz w:val="24"/>
                <w:szCs w:val="24"/>
              </w:rPr>
            </w:pPr>
            <w:r>
              <w:rPr>
                <w:rFonts w:hint="eastAsia" w:ascii="宋体" w:hAnsi="宋体" w:eastAsia="宋体" w:cs="宋体"/>
                <w:kern w:val="0"/>
                <w:sz w:val="24"/>
                <w:szCs w:val="24"/>
              </w:rPr>
              <w:t>项目名称</w:t>
            </w:r>
          </w:p>
        </w:tc>
        <w:tc>
          <w:tcPr>
            <w:tcW w:w="5907" w:type="dxa"/>
            <w:gridSpan w:val="3"/>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rPr>
              <w:t> </w:t>
            </w:r>
            <w:r>
              <w:rPr>
                <w:rFonts w:hint="eastAsia" w:cs="宋体"/>
                <w:kern w:val="0"/>
                <w:sz w:val="24"/>
                <w:szCs w:val="24"/>
                <w:lang w:val="en-US" w:eastAsia="zh-CN"/>
              </w:rPr>
              <w:t>大病救助金</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2424" w:type="dxa"/>
            <w:gridSpan w:val="3"/>
            <w:tcBorders>
              <w:top w:val="outset" w:color="auto" w:sz="6" w:space="0"/>
              <w:left w:val="outset" w:color="auto" w:sz="6" w:space="0"/>
              <w:bottom w:val="outset" w:color="auto" w:sz="6" w:space="0"/>
              <w:right w:val="outset" w:color="auto" w:sz="6" w:space="0"/>
            </w:tcBorders>
            <w:shd w:val="clear" w:color="auto" w:fill="auto"/>
            <w:vAlign w:val="center"/>
          </w:tcPr>
          <w:p>
            <w:pPr>
              <w:pStyle w:val="16"/>
              <w:keepNext w:val="0"/>
              <w:keepLines w:val="0"/>
              <w:widowControl/>
              <w:suppressLineNumbers w:val="0"/>
              <w:jc w:val="left"/>
              <w:rPr>
                <w:rFonts w:hint="eastAsia" w:ascii="宋体" w:hAnsi="宋体" w:eastAsia="宋体" w:cs="宋体"/>
                <w:kern w:val="0"/>
                <w:sz w:val="24"/>
                <w:szCs w:val="24"/>
              </w:rPr>
            </w:pPr>
            <w:r>
              <w:rPr>
                <w:rFonts w:hint="eastAsia" w:ascii="宋体" w:hAnsi="宋体" w:eastAsia="宋体" w:cs="宋体"/>
                <w:kern w:val="0"/>
                <w:sz w:val="24"/>
                <w:szCs w:val="24"/>
              </w:rPr>
              <w:t>预算单位</w:t>
            </w:r>
          </w:p>
        </w:tc>
        <w:tc>
          <w:tcPr>
            <w:tcW w:w="5907" w:type="dxa"/>
            <w:gridSpan w:val="3"/>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rPr>
              <w:t> </w:t>
            </w:r>
            <w:r>
              <w:rPr>
                <w:rFonts w:hint="eastAsia" w:cs="宋体"/>
                <w:kern w:val="0"/>
                <w:sz w:val="24"/>
                <w:szCs w:val="24"/>
                <w:lang w:val="en-US" w:eastAsia="zh-CN"/>
              </w:rPr>
              <w:t>红原县红十字会</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1470" w:hRule="atLeast"/>
          <w:jc w:val="center"/>
        </w:trPr>
        <w:tc>
          <w:tcPr>
            <w:tcW w:w="693" w:type="dxa"/>
            <w:tcBorders>
              <w:top w:val="outset" w:color="auto" w:sz="6" w:space="0"/>
              <w:left w:val="outset" w:color="auto" w:sz="6" w:space="0"/>
              <w:bottom w:val="outset" w:color="auto" w:sz="6" w:space="0"/>
              <w:right w:val="outset" w:color="auto" w:sz="6" w:space="0"/>
            </w:tcBorders>
            <w:shd w:val="clear" w:color="auto" w:fill="auto"/>
            <w:vAlign w:val="center"/>
          </w:tcPr>
          <w:p>
            <w:pPr>
              <w:pStyle w:val="16"/>
              <w:keepNext w:val="0"/>
              <w:keepLines w:val="0"/>
              <w:widowControl/>
              <w:suppressLineNumbers w:val="0"/>
              <w:jc w:val="left"/>
              <w:rPr>
                <w:rFonts w:hint="eastAsia" w:ascii="宋体" w:hAnsi="宋体" w:eastAsia="宋体" w:cs="宋体"/>
                <w:kern w:val="0"/>
                <w:sz w:val="24"/>
                <w:szCs w:val="24"/>
              </w:rPr>
            </w:pPr>
            <w:r>
              <w:rPr>
                <w:rFonts w:hint="eastAsia" w:ascii="宋体" w:hAnsi="宋体" w:eastAsia="宋体" w:cs="宋体"/>
                <w:kern w:val="0"/>
                <w:sz w:val="24"/>
                <w:szCs w:val="24"/>
              </w:rPr>
              <w:t>预算执行情况(万元)</w:t>
            </w:r>
          </w:p>
        </w:tc>
        <w:tc>
          <w:tcPr>
            <w:tcW w:w="1731" w:type="dxa"/>
            <w:gridSpan w:val="2"/>
            <w:tcBorders>
              <w:top w:val="outset" w:color="auto" w:sz="6" w:space="0"/>
              <w:left w:val="outset" w:color="auto" w:sz="6" w:space="0"/>
              <w:bottom w:val="outset" w:color="auto" w:sz="6" w:space="0"/>
              <w:right w:val="outset" w:color="auto" w:sz="6" w:space="0"/>
            </w:tcBorders>
            <w:shd w:val="clear" w:color="auto" w:fill="auto"/>
            <w:vAlign w:val="center"/>
          </w:tcPr>
          <w:p>
            <w:pPr>
              <w:pStyle w:val="16"/>
              <w:keepNext w:val="0"/>
              <w:keepLines w:val="0"/>
              <w:widowControl/>
              <w:suppressLineNumbers w:val="0"/>
              <w:jc w:val="left"/>
              <w:rPr>
                <w:rFonts w:hint="eastAsia" w:ascii="宋体" w:hAnsi="宋体" w:eastAsia="宋体" w:cs="宋体"/>
                <w:kern w:val="0"/>
                <w:sz w:val="24"/>
                <w:szCs w:val="24"/>
              </w:rPr>
            </w:pPr>
            <w:r>
              <w:rPr>
                <w:rFonts w:hint="eastAsia" w:ascii="宋体" w:hAnsi="宋体" w:eastAsia="宋体" w:cs="宋体"/>
                <w:kern w:val="0"/>
                <w:sz w:val="24"/>
                <w:szCs w:val="24"/>
              </w:rPr>
              <w:t>预算数:</w:t>
            </w:r>
          </w:p>
        </w:tc>
        <w:tc>
          <w:tcPr>
            <w:tcW w:w="1969"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rPr>
              <w:t> </w:t>
            </w:r>
            <w:r>
              <w:rPr>
                <w:rFonts w:hint="eastAsia" w:cs="宋体"/>
                <w:kern w:val="0"/>
                <w:sz w:val="24"/>
                <w:szCs w:val="24"/>
                <w:lang w:val="en-US" w:eastAsia="zh-CN"/>
              </w:rPr>
              <w:t>10万元</w:t>
            </w:r>
          </w:p>
        </w:tc>
        <w:tc>
          <w:tcPr>
            <w:tcW w:w="1969" w:type="dxa"/>
            <w:tcBorders>
              <w:top w:val="outset" w:color="auto" w:sz="6" w:space="0"/>
              <w:left w:val="outset" w:color="auto" w:sz="6" w:space="0"/>
              <w:bottom w:val="outset" w:color="auto" w:sz="6" w:space="0"/>
              <w:right w:val="outset" w:color="auto" w:sz="6" w:space="0"/>
            </w:tcBorders>
            <w:shd w:val="clear" w:color="auto" w:fill="auto"/>
            <w:vAlign w:val="center"/>
          </w:tcPr>
          <w:p>
            <w:pPr>
              <w:pStyle w:val="16"/>
              <w:keepNext w:val="0"/>
              <w:keepLines w:val="0"/>
              <w:widowControl/>
              <w:suppressLineNumbers w:val="0"/>
              <w:jc w:val="left"/>
              <w:rPr>
                <w:rFonts w:hint="eastAsia" w:ascii="宋体" w:hAnsi="宋体" w:eastAsia="宋体" w:cs="宋体"/>
                <w:kern w:val="0"/>
                <w:sz w:val="24"/>
                <w:szCs w:val="24"/>
              </w:rPr>
            </w:pPr>
            <w:r>
              <w:rPr>
                <w:rFonts w:hint="eastAsia" w:ascii="宋体" w:hAnsi="宋体" w:eastAsia="宋体" w:cs="宋体"/>
                <w:kern w:val="0"/>
                <w:sz w:val="24"/>
                <w:szCs w:val="24"/>
              </w:rPr>
              <w:t>执行数:</w:t>
            </w:r>
          </w:p>
        </w:tc>
        <w:tc>
          <w:tcPr>
            <w:tcW w:w="1969"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rPr>
              <w:t> </w:t>
            </w:r>
            <w:r>
              <w:rPr>
                <w:rFonts w:hint="eastAsia" w:cs="宋体"/>
                <w:kern w:val="0"/>
                <w:sz w:val="24"/>
                <w:szCs w:val="24"/>
                <w:lang w:val="en-US" w:eastAsia="zh-CN"/>
              </w:rPr>
              <w:t>10万元</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693"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1731" w:type="dxa"/>
            <w:gridSpan w:val="2"/>
            <w:tcBorders>
              <w:top w:val="outset" w:color="auto" w:sz="6" w:space="0"/>
              <w:left w:val="outset" w:color="auto" w:sz="6" w:space="0"/>
              <w:bottom w:val="outset" w:color="auto" w:sz="6" w:space="0"/>
              <w:right w:val="outset" w:color="auto" w:sz="6" w:space="0"/>
            </w:tcBorders>
            <w:shd w:val="clear" w:color="auto" w:fill="auto"/>
            <w:vAlign w:val="center"/>
          </w:tcPr>
          <w:p>
            <w:pPr>
              <w:pStyle w:val="16"/>
              <w:keepNext w:val="0"/>
              <w:keepLines w:val="0"/>
              <w:widowControl/>
              <w:suppressLineNumbers w:val="0"/>
              <w:jc w:val="left"/>
              <w:rPr>
                <w:rFonts w:hint="eastAsia" w:ascii="宋体" w:hAnsi="宋体" w:eastAsia="宋体" w:cs="宋体"/>
                <w:kern w:val="0"/>
                <w:sz w:val="24"/>
                <w:szCs w:val="24"/>
              </w:rPr>
            </w:pPr>
            <w:r>
              <w:rPr>
                <w:rFonts w:hint="eastAsia" w:ascii="宋体" w:hAnsi="宋体" w:eastAsia="宋体" w:cs="宋体"/>
                <w:kern w:val="0"/>
                <w:sz w:val="24"/>
                <w:szCs w:val="24"/>
              </w:rPr>
              <w:t>其中-财政拨款:</w:t>
            </w:r>
          </w:p>
        </w:tc>
        <w:tc>
          <w:tcPr>
            <w:tcW w:w="1969"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rPr>
              <w:t> </w:t>
            </w:r>
            <w:r>
              <w:rPr>
                <w:rFonts w:hint="eastAsia" w:ascii="宋体" w:hAnsi="宋体" w:eastAsia="宋体" w:cs="宋体"/>
                <w:kern w:val="0"/>
                <w:sz w:val="24"/>
                <w:szCs w:val="24"/>
                <w:lang w:val="en-US" w:eastAsia="zh-CN"/>
              </w:rPr>
              <w:t>10</w:t>
            </w:r>
            <w:r>
              <w:rPr>
                <w:rFonts w:hint="eastAsia" w:cs="宋体"/>
                <w:kern w:val="0"/>
                <w:sz w:val="24"/>
                <w:szCs w:val="24"/>
                <w:lang w:val="en-US" w:eastAsia="zh-CN"/>
              </w:rPr>
              <w:t>万元</w:t>
            </w:r>
          </w:p>
        </w:tc>
        <w:tc>
          <w:tcPr>
            <w:tcW w:w="1969" w:type="dxa"/>
            <w:tcBorders>
              <w:top w:val="outset" w:color="auto" w:sz="6" w:space="0"/>
              <w:left w:val="outset" w:color="auto" w:sz="6" w:space="0"/>
              <w:bottom w:val="outset" w:color="auto" w:sz="6" w:space="0"/>
              <w:right w:val="outset" w:color="auto" w:sz="6" w:space="0"/>
            </w:tcBorders>
            <w:shd w:val="clear" w:color="auto" w:fill="auto"/>
            <w:vAlign w:val="center"/>
          </w:tcPr>
          <w:p>
            <w:pPr>
              <w:pStyle w:val="16"/>
              <w:keepNext w:val="0"/>
              <w:keepLines w:val="0"/>
              <w:widowControl/>
              <w:suppressLineNumbers w:val="0"/>
              <w:jc w:val="left"/>
              <w:rPr>
                <w:rFonts w:hint="eastAsia" w:ascii="宋体" w:hAnsi="宋体" w:eastAsia="宋体" w:cs="宋体"/>
                <w:kern w:val="0"/>
                <w:sz w:val="24"/>
                <w:szCs w:val="24"/>
              </w:rPr>
            </w:pPr>
            <w:r>
              <w:rPr>
                <w:rFonts w:hint="eastAsia" w:ascii="宋体" w:hAnsi="宋体" w:eastAsia="宋体" w:cs="宋体"/>
                <w:kern w:val="0"/>
                <w:sz w:val="24"/>
                <w:szCs w:val="24"/>
              </w:rPr>
              <w:t>其中-财政拨款:</w:t>
            </w:r>
          </w:p>
        </w:tc>
        <w:tc>
          <w:tcPr>
            <w:tcW w:w="1969"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rPr>
              <w:t> </w:t>
            </w:r>
            <w:r>
              <w:rPr>
                <w:rFonts w:hint="eastAsia" w:cs="宋体"/>
                <w:kern w:val="0"/>
                <w:sz w:val="24"/>
                <w:szCs w:val="24"/>
                <w:lang w:val="en-US" w:eastAsia="zh-CN"/>
              </w:rPr>
              <w:t>10万元</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693"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1731" w:type="dxa"/>
            <w:gridSpan w:val="2"/>
            <w:tcBorders>
              <w:top w:val="outset" w:color="auto" w:sz="6" w:space="0"/>
              <w:left w:val="outset" w:color="auto" w:sz="6" w:space="0"/>
              <w:bottom w:val="outset" w:color="auto" w:sz="6" w:space="0"/>
              <w:right w:val="outset" w:color="auto" w:sz="6" w:space="0"/>
            </w:tcBorders>
            <w:shd w:val="clear" w:color="auto" w:fill="auto"/>
            <w:vAlign w:val="center"/>
          </w:tcPr>
          <w:p>
            <w:pPr>
              <w:pStyle w:val="16"/>
              <w:keepNext w:val="0"/>
              <w:keepLines w:val="0"/>
              <w:widowControl/>
              <w:suppressLineNumbers w:val="0"/>
              <w:jc w:val="left"/>
              <w:rPr>
                <w:rFonts w:hint="eastAsia" w:ascii="宋体" w:hAnsi="宋体" w:eastAsia="宋体" w:cs="宋体"/>
                <w:kern w:val="0"/>
                <w:sz w:val="24"/>
                <w:szCs w:val="24"/>
              </w:rPr>
            </w:pPr>
            <w:r>
              <w:rPr>
                <w:rFonts w:hint="eastAsia" w:ascii="宋体" w:hAnsi="宋体" w:eastAsia="宋体" w:cs="宋体"/>
                <w:kern w:val="0"/>
                <w:sz w:val="24"/>
                <w:szCs w:val="24"/>
              </w:rPr>
              <w:t>其它资金:</w:t>
            </w:r>
          </w:p>
        </w:tc>
        <w:tc>
          <w:tcPr>
            <w:tcW w:w="1969"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rPr>
              <w:t> </w:t>
            </w:r>
            <w:r>
              <w:rPr>
                <w:rFonts w:hint="eastAsia" w:cs="宋体"/>
                <w:kern w:val="0"/>
                <w:sz w:val="24"/>
                <w:szCs w:val="24"/>
                <w:lang w:val="en-US" w:eastAsia="zh-CN"/>
              </w:rPr>
              <w:t>0</w:t>
            </w:r>
          </w:p>
        </w:tc>
        <w:tc>
          <w:tcPr>
            <w:tcW w:w="1969" w:type="dxa"/>
            <w:tcBorders>
              <w:top w:val="outset" w:color="auto" w:sz="6" w:space="0"/>
              <w:left w:val="outset" w:color="auto" w:sz="6" w:space="0"/>
              <w:bottom w:val="outset" w:color="auto" w:sz="6" w:space="0"/>
              <w:right w:val="outset" w:color="auto" w:sz="6" w:space="0"/>
            </w:tcBorders>
            <w:shd w:val="clear" w:color="auto" w:fill="auto"/>
            <w:vAlign w:val="center"/>
          </w:tcPr>
          <w:p>
            <w:pPr>
              <w:pStyle w:val="16"/>
              <w:keepNext w:val="0"/>
              <w:keepLines w:val="0"/>
              <w:widowControl/>
              <w:suppressLineNumbers w:val="0"/>
              <w:jc w:val="left"/>
              <w:rPr>
                <w:rFonts w:hint="eastAsia" w:ascii="宋体" w:hAnsi="宋体" w:eastAsia="宋体" w:cs="宋体"/>
                <w:kern w:val="0"/>
                <w:sz w:val="24"/>
                <w:szCs w:val="24"/>
              </w:rPr>
            </w:pPr>
            <w:r>
              <w:rPr>
                <w:rFonts w:hint="eastAsia" w:ascii="宋体" w:hAnsi="宋体" w:eastAsia="宋体" w:cs="宋体"/>
                <w:kern w:val="0"/>
                <w:sz w:val="24"/>
                <w:szCs w:val="24"/>
              </w:rPr>
              <w:t>其它资金:</w:t>
            </w:r>
          </w:p>
        </w:tc>
        <w:tc>
          <w:tcPr>
            <w:tcW w:w="1969"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rPr>
              <w:t> </w:t>
            </w:r>
            <w:r>
              <w:rPr>
                <w:rFonts w:hint="eastAsia" w:cs="宋体"/>
                <w:kern w:val="0"/>
                <w:sz w:val="24"/>
                <w:szCs w:val="24"/>
                <w:lang w:val="en-US" w:eastAsia="zh-CN"/>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693" w:type="dxa"/>
            <w:tcBorders>
              <w:top w:val="outset" w:color="auto" w:sz="6" w:space="0"/>
              <w:left w:val="outset" w:color="auto" w:sz="6" w:space="0"/>
              <w:bottom w:val="outset" w:color="auto" w:sz="6" w:space="0"/>
              <w:right w:val="outset" w:color="auto" w:sz="6" w:space="0"/>
            </w:tcBorders>
            <w:shd w:val="clear" w:color="auto" w:fill="auto"/>
            <w:vAlign w:val="center"/>
          </w:tcPr>
          <w:p>
            <w:pPr>
              <w:pStyle w:val="16"/>
              <w:keepNext w:val="0"/>
              <w:keepLines w:val="0"/>
              <w:widowControl/>
              <w:suppressLineNumbers w:val="0"/>
              <w:jc w:val="left"/>
              <w:rPr>
                <w:rFonts w:hint="eastAsia" w:ascii="宋体" w:hAnsi="宋体" w:eastAsia="宋体" w:cs="宋体"/>
                <w:kern w:val="0"/>
                <w:sz w:val="24"/>
                <w:szCs w:val="24"/>
              </w:rPr>
            </w:pPr>
            <w:r>
              <w:rPr>
                <w:rFonts w:hint="eastAsia" w:ascii="宋体" w:hAnsi="宋体" w:eastAsia="宋体" w:cs="宋体"/>
                <w:kern w:val="0"/>
                <w:sz w:val="24"/>
                <w:szCs w:val="24"/>
              </w:rPr>
              <w:t>年度目标完成情况</w:t>
            </w:r>
          </w:p>
        </w:tc>
        <w:tc>
          <w:tcPr>
            <w:tcW w:w="3700" w:type="dxa"/>
            <w:gridSpan w:val="3"/>
            <w:tcBorders>
              <w:top w:val="outset" w:color="auto" w:sz="6" w:space="0"/>
              <w:left w:val="outset" w:color="auto" w:sz="6" w:space="0"/>
              <w:bottom w:val="outset" w:color="auto" w:sz="6" w:space="0"/>
              <w:right w:val="outset" w:color="auto" w:sz="6" w:space="0"/>
            </w:tcBorders>
            <w:shd w:val="clear" w:color="auto" w:fill="auto"/>
            <w:vAlign w:val="center"/>
          </w:tcPr>
          <w:p>
            <w:pPr>
              <w:pStyle w:val="16"/>
              <w:keepNext w:val="0"/>
              <w:keepLines w:val="0"/>
              <w:widowControl/>
              <w:suppressLineNumbers w:val="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rPr>
              <w:t>预期目标</w:t>
            </w:r>
            <w:r>
              <w:rPr>
                <w:rFonts w:hint="eastAsia" w:cs="宋体"/>
                <w:kern w:val="0"/>
                <w:sz w:val="24"/>
                <w:szCs w:val="24"/>
                <w:lang w:val="en-US" w:eastAsia="zh-CN"/>
              </w:rPr>
              <w:t xml:space="preserve"> </w:t>
            </w:r>
            <w:r>
              <w:rPr>
                <w:rFonts w:hint="eastAsia" w:ascii="宋体" w:hAnsi="宋体" w:cs="宋体"/>
                <w:color w:val="000000"/>
                <w:sz w:val="24"/>
                <w:lang w:val="en-US" w:eastAsia="zh-CN"/>
              </w:rPr>
              <w:t>将</w:t>
            </w:r>
            <w:r>
              <w:rPr>
                <w:rFonts w:hint="eastAsia" w:cs="宋体"/>
                <w:color w:val="000000"/>
                <w:sz w:val="24"/>
                <w:lang w:val="en-US" w:eastAsia="zh-CN"/>
              </w:rPr>
              <w:t>10</w:t>
            </w:r>
            <w:r>
              <w:rPr>
                <w:rFonts w:hint="eastAsia" w:ascii="宋体" w:hAnsi="宋体" w:cs="宋体"/>
                <w:color w:val="000000"/>
                <w:sz w:val="24"/>
                <w:lang w:val="en-US" w:eastAsia="zh-CN"/>
              </w:rPr>
              <w:t>万元大病救助金送到需要救助的贫困大病患者手中，解决他们部分经济困难。</w:t>
            </w:r>
          </w:p>
        </w:tc>
        <w:tc>
          <w:tcPr>
            <w:tcW w:w="3938" w:type="dxa"/>
            <w:gridSpan w:val="2"/>
            <w:tcBorders>
              <w:top w:val="outset" w:color="auto" w:sz="6" w:space="0"/>
              <w:left w:val="outset" w:color="auto" w:sz="6" w:space="0"/>
              <w:bottom w:val="outset" w:color="auto" w:sz="6" w:space="0"/>
              <w:right w:val="outset" w:color="auto" w:sz="6" w:space="0"/>
            </w:tcBorders>
            <w:shd w:val="clear" w:color="auto" w:fill="auto"/>
            <w:vAlign w:val="center"/>
          </w:tcPr>
          <w:p>
            <w:pPr>
              <w:pStyle w:val="16"/>
              <w:keepNext w:val="0"/>
              <w:keepLines w:val="0"/>
              <w:widowControl/>
              <w:suppressLineNumbers w:val="0"/>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rPr>
              <w:t>实际完成目标</w:t>
            </w:r>
            <w:r>
              <w:rPr>
                <w:rFonts w:hint="eastAsia" w:cs="宋体"/>
                <w:kern w:val="0"/>
                <w:sz w:val="24"/>
                <w:szCs w:val="24"/>
                <w:lang w:val="en-US" w:eastAsia="zh-CN"/>
              </w:rPr>
              <w:t xml:space="preserve"> </w:t>
            </w:r>
            <w:r>
              <w:rPr>
                <w:rFonts w:hint="eastAsia" w:ascii="宋体" w:hAnsi="宋体" w:cs="宋体"/>
                <w:color w:val="000000"/>
                <w:sz w:val="24"/>
                <w:lang w:val="en-US" w:eastAsia="zh-CN"/>
              </w:rPr>
              <w:t>将</w:t>
            </w:r>
            <w:r>
              <w:rPr>
                <w:rFonts w:hint="eastAsia" w:cs="宋体"/>
                <w:color w:val="000000"/>
                <w:sz w:val="24"/>
                <w:lang w:val="en-US" w:eastAsia="zh-CN"/>
              </w:rPr>
              <w:t>10</w:t>
            </w:r>
            <w:r>
              <w:rPr>
                <w:rFonts w:hint="eastAsia" w:ascii="宋体" w:hAnsi="宋体" w:cs="宋体"/>
                <w:color w:val="000000"/>
                <w:sz w:val="24"/>
                <w:lang w:val="en-US" w:eastAsia="zh-CN"/>
              </w:rPr>
              <w:t>万元大病救助金发放给筛选出来的贫困大病患者手中，解决</w:t>
            </w:r>
            <w:bookmarkStart w:id="86" w:name="_GoBack"/>
            <w:bookmarkEnd w:id="86"/>
            <w:r>
              <w:rPr>
                <w:rFonts w:hint="eastAsia" w:ascii="宋体" w:hAnsi="宋体" w:cs="宋体"/>
                <w:color w:val="000000"/>
                <w:sz w:val="24"/>
                <w:lang w:val="en-US" w:eastAsia="zh-CN"/>
              </w:rPr>
              <w:t>他们存在的部分经济困难</w:t>
            </w:r>
            <w:r>
              <w:rPr>
                <w:rFonts w:hint="eastAsia" w:cs="宋体"/>
                <w:kern w:val="0"/>
                <w:sz w:val="24"/>
                <w:szCs w:val="24"/>
                <w:lang w:val="en-US" w:eastAsia="zh-CN"/>
              </w:rPr>
              <w:t>。</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93"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3700" w:type="dxa"/>
            <w:gridSpan w:val="3"/>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3938" w:type="dxa"/>
            <w:gridSpan w:val="2"/>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rFonts w:hint="eastAsia" w:ascii="宋体" w:hAnsi="宋体" w:eastAsia="宋体" w:cs="宋体"/>
                <w:kern w:val="0"/>
                <w:sz w:val="24"/>
                <w:szCs w:val="24"/>
              </w:rPr>
            </w:pPr>
            <w:r>
              <w:rPr>
                <w:rFonts w:hint="eastAsia" w:ascii="宋体" w:hAnsi="宋体" w:eastAsia="宋体" w:cs="宋体"/>
                <w:kern w:val="0"/>
                <w:sz w:val="24"/>
                <w:szCs w:val="24"/>
              </w:rP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93" w:type="dxa"/>
            <w:vMerge w:val="restart"/>
            <w:tcBorders>
              <w:top w:val="outset" w:color="auto" w:sz="6" w:space="0"/>
              <w:left w:val="outset" w:color="auto" w:sz="6" w:space="0"/>
              <w:right w:val="outset" w:color="auto" w:sz="6" w:space="0"/>
            </w:tcBorders>
            <w:shd w:val="clear" w:color="auto" w:fill="auto"/>
            <w:vAlign w:val="center"/>
          </w:tcPr>
          <w:p>
            <w:pPr>
              <w:pStyle w:val="16"/>
              <w:keepNext w:val="0"/>
              <w:keepLines w:val="0"/>
              <w:widowControl/>
              <w:suppressLineNumbers w:val="0"/>
              <w:jc w:val="left"/>
              <w:rPr>
                <w:rFonts w:hint="eastAsia" w:ascii="宋体" w:hAnsi="宋体" w:eastAsia="宋体" w:cs="宋体"/>
                <w:kern w:val="0"/>
                <w:sz w:val="24"/>
                <w:szCs w:val="24"/>
              </w:rPr>
            </w:pPr>
            <w:r>
              <w:rPr>
                <w:rFonts w:hint="eastAsia" w:ascii="宋体" w:hAnsi="宋体" w:eastAsia="宋体" w:cs="宋体"/>
                <w:kern w:val="0"/>
                <w:sz w:val="24"/>
                <w:szCs w:val="24"/>
              </w:rPr>
              <w:t>绩效指标完成情况</w:t>
            </w:r>
          </w:p>
          <w:p>
            <w:pPr>
              <w:keepNext w:val="0"/>
              <w:keepLines w:val="0"/>
              <w:widowControl/>
              <w:suppressLineNumbers w:val="0"/>
              <w:jc w:val="left"/>
              <w:rPr>
                <w:rFonts w:hint="eastAsia" w:ascii="宋体" w:hAnsi="宋体" w:eastAsia="宋体" w:cs="宋体"/>
                <w:kern w:val="0"/>
                <w:sz w:val="24"/>
                <w:szCs w:val="24"/>
              </w:rPr>
            </w:pPr>
            <w:r>
              <w:rPr>
                <w:rFonts w:hint="eastAsia" w:ascii="宋体" w:hAnsi="宋体" w:eastAsia="宋体" w:cs="宋体"/>
                <w:kern w:val="0"/>
                <w:sz w:val="24"/>
                <w:szCs w:val="24"/>
              </w:rPr>
              <w:t> </w:t>
            </w:r>
          </w:p>
          <w:p>
            <w:pPr>
              <w:keepNext w:val="0"/>
              <w:keepLines w:val="0"/>
              <w:widowControl/>
              <w:suppressLineNumbers w:val="0"/>
              <w:jc w:val="left"/>
              <w:rPr>
                <w:rFonts w:hint="eastAsia" w:ascii="宋体" w:hAnsi="宋体" w:eastAsia="宋体" w:cs="宋体"/>
                <w:kern w:val="0"/>
                <w:sz w:val="24"/>
                <w:szCs w:val="24"/>
              </w:rPr>
            </w:pPr>
            <w:r>
              <w:rPr>
                <w:rFonts w:hint="eastAsia" w:ascii="宋体" w:hAnsi="宋体" w:eastAsia="宋体" w:cs="宋体"/>
                <w:kern w:val="0"/>
                <w:sz w:val="24"/>
                <w:szCs w:val="24"/>
              </w:rPr>
              <w:t> </w:t>
            </w:r>
          </w:p>
          <w:p>
            <w:pPr>
              <w:keepNext w:val="0"/>
              <w:keepLines w:val="0"/>
              <w:widowControl/>
              <w:suppressLineNumbers w:val="0"/>
              <w:jc w:val="left"/>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874" w:type="dxa"/>
            <w:tcBorders>
              <w:top w:val="outset" w:color="auto" w:sz="6" w:space="0"/>
              <w:left w:val="outset" w:color="auto" w:sz="6" w:space="0"/>
              <w:bottom w:val="outset" w:color="auto" w:sz="6" w:space="0"/>
              <w:right w:val="outset" w:color="auto" w:sz="6" w:space="0"/>
            </w:tcBorders>
            <w:shd w:val="clear" w:color="auto" w:fill="auto"/>
            <w:vAlign w:val="center"/>
          </w:tcPr>
          <w:p>
            <w:pPr>
              <w:pStyle w:val="16"/>
              <w:keepNext w:val="0"/>
              <w:keepLines w:val="0"/>
              <w:widowControl/>
              <w:suppressLineNumbers w:val="0"/>
              <w:jc w:val="left"/>
              <w:rPr>
                <w:rFonts w:hint="eastAsia" w:ascii="宋体" w:hAnsi="宋体" w:eastAsia="宋体" w:cs="宋体"/>
                <w:kern w:val="0"/>
                <w:sz w:val="24"/>
                <w:szCs w:val="24"/>
              </w:rPr>
            </w:pPr>
            <w:r>
              <w:rPr>
                <w:rFonts w:hint="eastAsia" w:ascii="宋体" w:hAnsi="宋体" w:eastAsia="宋体" w:cs="宋体"/>
                <w:kern w:val="0"/>
                <w:sz w:val="24"/>
                <w:szCs w:val="24"/>
              </w:rPr>
              <w:t>一级指标</w:t>
            </w:r>
          </w:p>
        </w:tc>
        <w:tc>
          <w:tcPr>
            <w:tcW w:w="857" w:type="dxa"/>
            <w:tcBorders>
              <w:top w:val="outset" w:color="auto" w:sz="6" w:space="0"/>
              <w:left w:val="outset" w:color="auto" w:sz="6" w:space="0"/>
              <w:bottom w:val="outset" w:color="auto" w:sz="6" w:space="0"/>
              <w:right w:val="outset" w:color="auto" w:sz="6" w:space="0"/>
            </w:tcBorders>
            <w:shd w:val="clear" w:color="auto" w:fill="auto"/>
            <w:vAlign w:val="center"/>
          </w:tcPr>
          <w:p>
            <w:pPr>
              <w:pStyle w:val="16"/>
              <w:keepNext w:val="0"/>
              <w:keepLines w:val="0"/>
              <w:widowControl/>
              <w:suppressLineNumbers w:val="0"/>
              <w:jc w:val="left"/>
              <w:rPr>
                <w:rFonts w:hint="eastAsia" w:ascii="宋体" w:hAnsi="宋体" w:eastAsia="宋体" w:cs="宋体"/>
                <w:kern w:val="0"/>
                <w:sz w:val="24"/>
                <w:szCs w:val="24"/>
              </w:rPr>
            </w:pPr>
            <w:r>
              <w:rPr>
                <w:rFonts w:hint="eastAsia" w:ascii="宋体" w:hAnsi="宋体" w:eastAsia="宋体" w:cs="宋体"/>
                <w:kern w:val="0"/>
                <w:sz w:val="24"/>
                <w:szCs w:val="24"/>
              </w:rPr>
              <w:t>二级指标</w:t>
            </w:r>
          </w:p>
        </w:tc>
        <w:tc>
          <w:tcPr>
            <w:tcW w:w="1969" w:type="dxa"/>
            <w:tcBorders>
              <w:top w:val="outset" w:color="auto" w:sz="6" w:space="0"/>
              <w:left w:val="outset" w:color="auto" w:sz="6" w:space="0"/>
              <w:bottom w:val="outset" w:color="auto" w:sz="6" w:space="0"/>
              <w:right w:val="outset" w:color="auto" w:sz="6" w:space="0"/>
            </w:tcBorders>
            <w:shd w:val="clear" w:color="auto" w:fill="auto"/>
            <w:vAlign w:val="center"/>
          </w:tcPr>
          <w:p>
            <w:pPr>
              <w:pStyle w:val="16"/>
              <w:keepNext w:val="0"/>
              <w:keepLines w:val="0"/>
              <w:widowControl/>
              <w:suppressLineNumbers w:val="0"/>
              <w:jc w:val="left"/>
              <w:rPr>
                <w:rFonts w:hint="eastAsia" w:ascii="宋体" w:hAnsi="宋体" w:eastAsia="宋体" w:cs="宋体"/>
                <w:kern w:val="0"/>
                <w:sz w:val="24"/>
                <w:szCs w:val="24"/>
              </w:rPr>
            </w:pPr>
            <w:r>
              <w:rPr>
                <w:rFonts w:hint="eastAsia" w:ascii="宋体" w:hAnsi="宋体" w:eastAsia="宋体" w:cs="宋体"/>
                <w:kern w:val="0"/>
                <w:sz w:val="24"/>
                <w:szCs w:val="24"/>
              </w:rPr>
              <w:t>三级指标</w:t>
            </w:r>
          </w:p>
        </w:tc>
        <w:tc>
          <w:tcPr>
            <w:tcW w:w="1969" w:type="dxa"/>
            <w:tcBorders>
              <w:top w:val="outset" w:color="auto" w:sz="6" w:space="0"/>
              <w:left w:val="outset" w:color="auto" w:sz="6" w:space="0"/>
              <w:bottom w:val="outset" w:color="auto" w:sz="6" w:space="0"/>
              <w:right w:val="outset" w:color="auto" w:sz="6" w:space="0"/>
            </w:tcBorders>
            <w:shd w:val="clear" w:color="auto" w:fill="auto"/>
            <w:vAlign w:val="center"/>
          </w:tcPr>
          <w:p>
            <w:pPr>
              <w:pStyle w:val="16"/>
              <w:keepNext w:val="0"/>
              <w:keepLines w:val="0"/>
              <w:widowControl/>
              <w:suppressLineNumbers w:val="0"/>
              <w:jc w:val="left"/>
              <w:rPr>
                <w:rFonts w:hint="eastAsia" w:ascii="宋体" w:hAnsi="宋体" w:eastAsia="宋体" w:cs="宋体"/>
                <w:kern w:val="0"/>
                <w:sz w:val="24"/>
                <w:szCs w:val="24"/>
              </w:rPr>
            </w:pPr>
            <w:r>
              <w:rPr>
                <w:rFonts w:hint="eastAsia" w:ascii="宋体" w:hAnsi="宋体" w:eastAsia="宋体" w:cs="宋体"/>
                <w:kern w:val="0"/>
                <w:sz w:val="24"/>
                <w:szCs w:val="24"/>
              </w:rPr>
              <w:t>预期指标值(包含数字及文字描述)</w:t>
            </w:r>
          </w:p>
        </w:tc>
        <w:tc>
          <w:tcPr>
            <w:tcW w:w="1969" w:type="dxa"/>
            <w:tcBorders>
              <w:top w:val="outset" w:color="auto" w:sz="6" w:space="0"/>
              <w:left w:val="outset" w:color="auto" w:sz="6" w:space="0"/>
              <w:bottom w:val="outset" w:color="auto" w:sz="6" w:space="0"/>
              <w:right w:val="outset" w:color="auto" w:sz="6" w:space="0"/>
            </w:tcBorders>
            <w:shd w:val="clear" w:color="auto" w:fill="auto"/>
            <w:vAlign w:val="center"/>
          </w:tcPr>
          <w:p>
            <w:pPr>
              <w:pStyle w:val="16"/>
              <w:keepNext w:val="0"/>
              <w:keepLines w:val="0"/>
              <w:widowControl/>
              <w:suppressLineNumbers w:val="0"/>
              <w:jc w:val="left"/>
              <w:rPr>
                <w:rFonts w:hint="eastAsia" w:ascii="宋体" w:hAnsi="宋体" w:eastAsia="宋体" w:cs="宋体"/>
                <w:kern w:val="0"/>
                <w:sz w:val="24"/>
                <w:szCs w:val="24"/>
              </w:rPr>
            </w:pPr>
            <w:r>
              <w:rPr>
                <w:rFonts w:hint="eastAsia" w:ascii="宋体" w:hAnsi="宋体" w:eastAsia="宋体" w:cs="宋体"/>
                <w:kern w:val="0"/>
                <w:sz w:val="24"/>
                <w:szCs w:val="24"/>
              </w:rPr>
              <w:t>实际完成指标值(包含数字及文字描述)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93" w:type="dxa"/>
            <w:vMerge w:val="continue"/>
            <w:tcBorders>
              <w:left w:val="outset" w:color="auto" w:sz="6" w:space="0"/>
              <w:right w:val="outset" w:color="auto" w:sz="6" w:space="0"/>
            </w:tcBorders>
            <w:shd w:val="clear" w:color="auto" w:fill="auto"/>
            <w:vAlign w:val="center"/>
          </w:tcPr>
          <w:p>
            <w:pPr>
              <w:keepNext w:val="0"/>
              <w:keepLines w:val="0"/>
              <w:widowControl/>
              <w:suppressLineNumbers w:val="0"/>
              <w:jc w:val="left"/>
              <w:rPr>
                <w:rFonts w:hint="eastAsia" w:ascii="宋体" w:hAnsi="宋体" w:eastAsia="宋体" w:cs="宋体"/>
                <w:kern w:val="0"/>
                <w:sz w:val="24"/>
                <w:szCs w:val="24"/>
              </w:rPr>
            </w:pPr>
          </w:p>
        </w:tc>
        <w:tc>
          <w:tcPr>
            <w:tcW w:w="874" w:type="dxa"/>
            <w:tcBorders>
              <w:top w:val="outset" w:color="auto" w:sz="6" w:space="0"/>
              <w:left w:val="outset" w:color="auto" w:sz="6" w:space="0"/>
              <w:bottom w:val="outset" w:color="auto" w:sz="6" w:space="0"/>
              <w:right w:val="outset" w:color="auto" w:sz="6" w:space="0"/>
            </w:tcBorders>
            <w:shd w:val="clear" w:color="auto" w:fill="auto"/>
            <w:vAlign w:val="center"/>
          </w:tcPr>
          <w:p>
            <w:pPr>
              <w:pStyle w:val="16"/>
              <w:keepNext w:val="0"/>
              <w:keepLines w:val="0"/>
              <w:widowControl/>
              <w:suppressLineNumbers w:val="0"/>
              <w:jc w:val="left"/>
              <w:rPr>
                <w:rFonts w:hint="eastAsia" w:ascii="宋体" w:hAnsi="宋体" w:eastAsia="宋体" w:cs="宋体"/>
                <w:kern w:val="0"/>
                <w:sz w:val="24"/>
                <w:szCs w:val="24"/>
              </w:rPr>
            </w:pPr>
            <w:r>
              <w:rPr>
                <w:rFonts w:hint="eastAsia" w:ascii="宋体" w:hAnsi="宋体" w:eastAsia="宋体" w:cs="宋体"/>
                <w:kern w:val="0"/>
                <w:sz w:val="24"/>
                <w:szCs w:val="24"/>
              </w:rPr>
              <w:t>项目完成指标</w:t>
            </w:r>
          </w:p>
        </w:tc>
        <w:tc>
          <w:tcPr>
            <w:tcW w:w="857"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rPr>
              <w:t> </w:t>
            </w:r>
            <w:r>
              <w:rPr>
                <w:rFonts w:hint="eastAsia" w:ascii="宋体" w:hAnsi="宋体" w:eastAsia="宋体" w:cs="宋体"/>
                <w:kern w:val="0"/>
                <w:sz w:val="22"/>
                <w:szCs w:val="22"/>
                <w:lang w:val="en-US" w:eastAsia="zh-CN"/>
              </w:rPr>
              <w:t>10万元</w:t>
            </w:r>
          </w:p>
        </w:tc>
        <w:tc>
          <w:tcPr>
            <w:tcW w:w="1969"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rPr>
              <w:t> </w:t>
            </w:r>
            <w:r>
              <w:rPr>
                <w:rFonts w:hint="eastAsia" w:ascii="宋体" w:hAnsi="宋体" w:eastAsia="宋体" w:cs="宋体"/>
                <w:kern w:val="0"/>
                <w:sz w:val="24"/>
                <w:szCs w:val="24"/>
                <w:lang w:val="en-US" w:eastAsia="zh-CN"/>
              </w:rPr>
              <w:t>=10万元</w:t>
            </w:r>
          </w:p>
        </w:tc>
        <w:tc>
          <w:tcPr>
            <w:tcW w:w="1969"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rPr>
              <w:t> </w:t>
            </w:r>
            <w:r>
              <w:rPr>
                <w:rFonts w:hint="eastAsia" w:cs="宋体"/>
                <w:kern w:val="0"/>
                <w:sz w:val="24"/>
                <w:szCs w:val="24"/>
                <w:lang w:val="en-US" w:eastAsia="zh-CN"/>
              </w:rPr>
              <w:t>10万元全部发放</w:t>
            </w:r>
          </w:p>
        </w:tc>
        <w:tc>
          <w:tcPr>
            <w:tcW w:w="1969"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rPr>
              <w:t> </w:t>
            </w:r>
            <w:r>
              <w:rPr>
                <w:rFonts w:hint="eastAsia" w:cs="宋体"/>
                <w:kern w:val="0"/>
                <w:sz w:val="24"/>
                <w:szCs w:val="24"/>
                <w:lang w:val="en-US" w:eastAsia="zh-CN"/>
              </w:rPr>
              <w:t>10万元发放完毕</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93" w:type="dxa"/>
            <w:vMerge w:val="continue"/>
            <w:tcBorders>
              <w:left w:val="outset" w:color="auto" w:sz="6" w:space="0"/>
              <w:right w:val="outset" w:color="auto" w:sz="6" w:space="0"/>
            </w:tcBorders>
            <w:shd w:val="clear" w:color="auto" w:fill="auto"/>
            <w:vAlign w:val="center"/>
          </w:tcPr>
          <w:p>
            <w:pPr>
              <w:keepNext w:val="0"/>
              <w:keepLines w:val="0"/>
              <w:widowControl/>
              <w:suppressLineNumbers w:val="0"/>
              <w:jc w:val="left"/>
              <w:rPr>
                <w:rFonts w:hint="eastAsia" w:ascii="宋体" w:hAnsi="宋体" w:eastAsia="宋体" w:cs="宋体"/>
                <w:kern w:val="0"/>
                <w:sz w:val="24"/>
                <w:szCs w:val="24"/>
              </w:rPr>
            </w:pPr>
          </w:p>
        </w:tc>
        <w:tc>
          <w:tcPr>
            <w:tcW w:w="874" w:type="dxa"/>
            <w:tcBorders>
              <w:top w:val="outset" w:color="auto" w:sz="6" w:space="0"/>
              <w:left w:val="outset" w:color="auto" w:sz="6" w:space="0"/>
              <w:bottom w:val="outset" w:color="auto" w:sz="6" w:space="0"/>
              <w:right w:val="outset" w:color="auto" w:sz="6" w:space="0"/>
            </w:tcBorders>
            <w:shd w:val="clear" w:color="auto" w:fill="auto"/>
            <w:vAlign w:val="center"/>
          </w:tcPr>
          <w:p>
            <w:pPr>
              <w:pStyle w:val="16"/>
              <w:keepNext w:val="0"/>
              <w:keepLines w:val="0"/>
              <w:widowControl/>
              <w:suppressLineNumbers w:val="0"/>
              <w:jc w:val="left"/>
              <w:rPr>
                <w:rFonts w:hint="eastAsia" w:ascii="宋体" w:hAnsi="宋体" w:eastAsia="宋体" w:cs="宋体"/>
                <w:kern w:val="0"/>
                <w:sz w:val="24"/>
                <w:szCs w:val="24"/>
              </w:rPr>
            </w:pPr>
            <w:r>
              <w:rPr>
                <w:rFonts w:hint="eastAsia" w:ascii="宋体" w:hAnsi="宋体" w:eastAsia="宋体" w:cs="宋体"/>
                <w:kern w:val="0"/>
                <w:sz w:val="24"/>
                <w:szCs w:val="24"/>
              </w:rPr>
              <w:t>效益指标</w:t>
            </w:r>
          </w:p>
        </w:tc>
        <w:tc>
          <w:tcPr>
            <w:tcW w:w="857"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rPr>
              <w:t> </w:t>
            </w:r>
            <w:r>
              <w:rPr>
                <w:rFonts w:hint="eastAsia" w:cs="宋体"/>
                <w:kern w:val="0"/>
                <w:sz w:val="24"/>
                <w:szCs w:val="24"/>
                <w:lang w:val="en-US" w:eastAsia="zh-CN"/>
              </w:rPr>
              <w:t>助困</w:t>
            </w:r>
          </w:p>
        </w:tc>
        <w:tc>
          <w:tcPr>
            <w:tcW w:w="1969"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rPr>
              <w:t> </w:t>
            </w:r>
            <w:r>
              <w:rPr>
                <w:rFonts w:hint="eastAsia" w:cs="宋体"/>
                <w:kern w:val="0"/>
                <w:sz w:val="24"/>
                <w:szCs w:val="24"/>
                <w:lang w:val="en-US" w:eastAsia="zh-CN"/>
              </w:rPr>
              <w:t>帮助贫困大病患者</w:t>
            </w:r>
          </w:p>
        </w:tc>
        <w:tc>
          <w:tcPr>
            <w:tcW w:w="1969"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rFonts w:hint="eastAsia" w:ascii="宋体" w:hAnsi="宋体" w:eastAsia="宋体" w:cs="宋体"/>
                <w:kern w:val="0"/>
                <w:sz w:val="24"/>
                <w:szCs w:val="24"/>
              </w:rPr>
            </w:pPr>
            <w:r>
              <w:rPr>
                <w:rFonts w:hint="eastAsia" w:ascii="宋体" w:hAnsi="宋体" w:eastAsia="宋体" w:cs="宋体"/>
                <w:kern w:val="0"/>
                <w:sz w:val="24"/>
                <w:szCs w:val="24"/>
              </w:rPr>
              <w:t> </w:t>
            </w:r>
            <w:r>
              <w:rPr>
                <w:rFonts w:hint="eastAsia" w:ascii="宋体" w:hAnsi="宋体" w:cs="宋体"/>
                <w:color w:val="000000"/>
                <w:sz w:val="24"/>
                <w:lang w:val="en-US" w:eastAsia="zh-CN"/>
              </w:rPr>
              <w:t>10万元大病救助金能够解决贫困大病患者部分困难</w:t>
            </w:r>
          </w:p>
        </w:tc>
        <w:tc>
          <w:tcPr>
            <w:tcW w:w="1969"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rPr>
              <w:t> </w:t>
            </w:r>
            <w:r>
              <w:rPr>
                <w:rFonts w:hint="eastAsia" w:ascii="宋体" w:hAnsi="宋体" w:cs="宋体"/>
                <w:color w:val="000000"/>
                <w:sz w:val="24"/>
                <w:lang w:val="en-US" w:eastAsia="zh-CN"/>
              </w:rPr>
              <w:t>10万元大病救助金已解决贫困大病患者部分困难</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93" w:type="dxa"/>
            <w:vMerge w:val="continue"/>
            <w:tcBorders>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rFonts w:hint="eastAsia" w:ascii="宋体" w:hAnsi="宋体" w:eastAsia="宋体" w:cs="宋体"/>
                <w:kern w:val="0"/>
                <w:sz w:val="24"/>
                <w:szCs w:val="24"/>
              </w:rPr>
            </w:pPr>
          </w:p>
        </w:tc>
        <w:tc>
          <w:tcPr>
            <w:tcW w:w="874" w:type="dxa"/>
            <w:tcBorders>
              <w:top w:val="outset" w:color="auto" w:sz="6" w:space="0"/>
              <w:left w:val="outset" w:color="auto" w:sz="6" w:space="0"/>
              <w:bottom w:val="outset" w:color="auto" w:sz="6" w:space="0"/>
              <w:right w:val="outset" w:color="auto" w:sz="6" w:space="0"/>
            </w:tcBorders>
            <w:shd w:val="clear" w:color="auto" w:fill="auto"/>
            <w:vAlign w:val="center"/>
          </w:tcPr>
          <w:p>
            <w:pPr>
              <w:pStyle w:val="16"/>
              <w:keepNext w:val="0"/>
              <w:keepLines w:val="0"/>
              <w:widowControl/>
              <w:suppressLineNumbers w:val="0"/>
              <w:jc w:val="left"/>
              <w:rPr>
                <w:rFonts w:hint="eastAsia" w:ascii="宋体" w:hAnsi="宋体" w:eastAsia="宋体" w:cs="宋体"/>
                <w:kern w:val="0"/>
                <w:sz w:val="24"/>
                <w:szCs w:val="24"/>
              </w:rPr>
            </w:pPr>
            <w:r>
              <w:rPr>
                <w:rFonts w:hint="eastAsia" w:ascii="宋体" w:hAnsi="宋体" w:eastAsia="宋体" w:cs="宋体"/>
                <w:kern w:val="0"/>
                <w:sz w:val="24"/>
                <w:szCs w:val="24"/>
              </w:rPr>
              <w:t>满意度指标</w:t>
            </w:r>
          </w:p>
        </w:tc>
        <w:tc>
          <w:tcPr>
            <w:tcW w:w="857"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rPr>
              <w:t> </w:t>
            </w:r>
            <w:r>
              <w:rPr>
                <w:rFonts w:hint="eastAsia" w:cs="宋体"/>
                <w:kern w:val="0"/>
                <w:sz w:val="24"/>
                <w:szCs w:val="24"/>
                <w:lang w:val="en-US" w:eastAsia="zh-CN"/>
              </w:rPr>
              <w:t>满意</w:t>
            </w:r>
          </w:p>
        </w:tc>
        <w:tc>
          <w:tcPr>
            <w:tcW w:w="1969"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rPr>
              <w:t> </w:t>
            </w:r>
            <w:r>
              <w:rPr>
                <w:rFonts w:hint="eastAsia" w:cs="宋体"/>
                <w:kern w:val="0"/>
                <w:sz w:val="24"/>
                <w:szCs w:val="24"/>
                <w:lang w:val="en-US" w:eastAsia="zh-CN"/>
              </w:rPr>
              <w:t>满意</w:t>
            </w:r>
          </w:p>
        </w:tc>
        <w:tc>
          <w:tcPr>
            <w:tcW w:w="1969"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rPr>
              <w:t> </w:t>
            </w:r>
            <w:r>
              <w:rPr>
                <w:rFonts w:hint="eastAsia" w:cs="宋体"/>
                <w:kern w:val="0"/>
                <w:sz w:val="24"/>
                <w:szCs w:val="24"/>
                <w:lang w:val="en-US" w:eastAsia="zh-CN"/>
              </w:rPr>
              <w:t>满意</w:t>
            </w:r>
          </w:p>
        </w:tc>
        <w:tc>
          <w:tcPr>
            <w:tcW w:w="1969"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rPr>
              <w:t> </w:t>
            </w:r>
            <w:r>
              <w:rPr>
                <w:rFonts w:hint="eastAsia" w:ascii="宋体" w:hAnsi="宋体" w:eastAsia="宋体" w:cs="宋体"/>
                <w:kern w:val="0"/>
                <w:sz w:val="24"/>
                <w:szCs w:val="24"/>
                <w:lang w:val="en-US" w:eastAsia="zh-CN"/>
              </w:rPr>
              <w:t>满意</w:t>
            </w:r>
          </w:p>
        </w:tc>
      </w:tr>
    </w:tbl>
    <w:p>
      <w:pPr>
        <w:pStyle w:val="12"/>
        <w:keepNext w:val="0"/>
        <w:keepLines w:val="0"/>
        <w:widowControl/>
        <w:suppressLineNumbers w:val="0"/>
        <w:spacing w:before="0" w:beforeAutospacing="0"/>
        <w:ind w:left="0"/>
        <w:jc w:val="center"/>
        <w:outlineLvl w:val="0"/>
        <w:rPr>
          <w:rStyle w:val="15"/>
          <w:sz w:val="39"/>
          <w:szCs w:val="39"/>
          <w:shd w:val="clear" w:fill="FFFFFF"/>
        </w:rPr>
      </w:pPr>
      <w:bookmarkStart w:id="33" w:name="_Toc18667"/>
      <w:bookmarkStart w:id="34" w:name="_Toc16974"/>
      <w:bookmarkStart w:id="35" w:name="_Toc28810"/>
    </w:p>
    <w:p>
      <w:pPr>
        <w:pStyle w:val="12"/>
        <w:keepNext w:val="0"/>
        <w:keepLines w:val="0"/>
        <w:widowControl/>
        <w:suppressLineNumbers w:val="0"/>
        <w:spacing w:before="0" w:beforeAutospacing="0"/>
        <w:ind w:left="0"/>
        <w:jc w:val="center"/>
        <w:outlineLvl w:val="0"/>
        <w:rPr>
          <w:rStyle w:val="15"/>
          <w:sz w:val="39"/>
          <w:szCs w:val="39"/>
          <w:shd w:val="clear" w:fill="FFFFFF"/>
        </w:rPr>
      </w:pPr>
    </w:p>
    <w:p>
      <w:pPr>
        <w:pStyle w:val="12"/>
        <w:keepNext w:val="0"/>
        <w:keepLines w:val="0"/>
        <w:widowControl/>
        <w:suppressLineNumbers w:val="0"/>
        <w:spacing w:before="0" w:beforeAutospacing="0"/>
        <w:ind w:left="0"/>
        <w:jc w:val="center"/>
        <w:outlineLvl w:val="0"/>
        <w:rPr>
          <w:rStyle w:val="15"/>
          <w:sz w:val="39"/>
          <w:szCs w:val="39"/>
          <w:shd w:val="clear" w:fill="FFFFFF"/>
        </w:rPr>
      </w:pPr>
    </w:p>
    <w:p>
      <w:pPr>
        <w:pStyle w:val="12"/>
        <w:keepNext w:val="0"/>
        <w:keepLines w:val="0"/>
        <w:widowControl/>
        <w:suppressLineNumbers w:val="0"/>
        <w:spacing w:before="0" w:beforeAutospacing="0"/>
        <w:ind w:left="0"/>
        <w:jc w:val="center"/>
        <w:outlineLvl w:val="0"/>
        <w:rPr>
          <w:rStyle w:val="15"/>
          <w:sz w:val="39"/>
          <w:szCs w:val="39"/>
          <w:shd w:val="clear" w:fill="FFFFFF"/>
        </w:rPr>
      </w:pPr>
    </w:p>
    <w:p>
      <w:pPr>
        <w:pStyle w:val="12"/>
        <w:keepNext w:val="0"/>
        <w:keepLines w:val="0"/>
        <w:widowControl/>
        <w:suppressLineNumbers w:val="0"/>
        <w:spacing w:before="0" w:beforeAutospacing="0"/>
        <w:ind w:left="0"/>
        <w:jc w:val="center"/>
        <w:outlineLvl w:val="0"/>
        <w:rPr>
          <w:rStyle w:val="15"/>
          <w:sz w:val="39"/>
          <w:szCs w:val="39"/>
          <w:shd w:val="clear" w:fill="FFFFFF"/>
        </w:rPr>
      </w:pPr>
    </w:p>
    <w:p>
      <w:pPr>
        <w:pStyle w:val="12"/>
        <w:keepNext w:val="0"/>
        <w:keepLines w:val="0"/>
        <w:widowControl/>
        <w:suppressLineNumbers w:val="0"/>
        <w:spacing w:before="0" w:beforeAutospacing="0"/>
        <w:ind w:left="0"/>
        <w:jc w:val="center"/>
        <w:outlineLvl w:val="0"/>
        <w:rPr>
          <w:rStyle w:val="15"/>
          <w:sz w:val="39"/>
          <w:szCs w:val="39"/>
          <w:shd w:val="clear" w:fill="FFFFFF"/>
        </w:rPr>
      </w:pPr>
    </w:p>
    <w:p>
      <w:pPr>
        <w:pStyle w:val="12"/>
        <w:keepNext w:val="0"/>
        <w:keepLines w:val="0"/>
        <w:widowControl/>
        <w:suppressLineNumbers w:val="0"/>
        <w:spacing w:before="0" w:beforeAutospacing="0"/>
        <w:ind w:left="0"/>
        <w:jc w:val="center"/>
        <w:outlineLvl w:val="0"/>
        <w:rPr>
          <w:rStyle w:val="15"/>
          <w:sz w:val="39"/>
          <w:szCs w:val="39"/>
          <w:shd w:val="clear" w:fill="FFFFFF"/>
        </w:rPr>
      </w:pPr>
    </w:p>
    <w:p>
      <w:pPr>
        <w:pStyle w:val="12"/>
        <w:keepNext w:val="0"/>
        <w:keepLines w:val="0"/>
        <w:widowControl/>
        <w:suppressLineNumbers w:val="0"/>
        <w:spacing w:before="0" w:beforeAutospacing="0"/>
        <w:ind w:left="0"/>
        <w:jc w:val="center"/>
        <w:outlineLvl w:val="0"/>
        <w:rPr>
          <w:rStyle w:val="15"/>
          <w:sz w:val="39"/>
          <w:szCs w:val="39"/>
          <w:shd w:val="clear" w:fill="FFFFFF"/>
        </w:rPr>
      </w:pPr>
    </w:p>
    <w:p>
      <w:pPr>
        <w:pStyle w:val="12"/>
        <w:keepNext w:val="0"/>
        <w:keepLines w:val="0"/>
        <w:widowControl/>
        <w:suppressLineNumbers w:val="0"/>
        <w:spacing w:before="0" w:beforeAutospacing="0"/>
        <w:ind w:left="0"/>
        <w:jc w:val="center"/>
        <w:outlineLvl w:val="0"/>
        <w:rPr>
          <w:rStyle w:val="15"/>
          <w:sz w:val="39"/>
          <w:szCs w:val="39"/>
          <w:shd w:val="clear" w:fill="FFFFFF"/>
        </w:rPr>
      </w:pPr>
    </w:p>
    <w:p>
      <w:pPr>
        <w:pStyle w:val="12"/>
        <w:keepNext w:val="0"/>
        <w:keepLines w:val="0"/>
        <w:widowControl/>
        <w:suppressLineNumbers w:val="0"/>
        <w:spacing w:before="0" w:beforeAutospacing="0"/>
        <w:ind w:left="0"/>
        <w:jc w:val="center"/>
        <w:outlineLvl w:val="0"/>
        <w:rPr>
          <w:rStyle w:val="15"/>
          <w:sz w:val="39"/>
          <w:szCs w:val="39"/>
          <w:shd w:val="clear" w:fill="FFFFFF"/>
        </w:rPr>
      </w:pPr>
    </w:p>
    <w:p>
      <w:pPr>
        <w:pStyle w:val="12"/>
        <w:keepNext w:val="0"/>
        <w:keepLines w:val="0"/>
        <w:widowControl/>
        <w:suppressLineNumbers w:val="0"/>
        <w:spacing w:before="0" w:beforeAutospacing="0"/>
        <w:ind w:left="0"/>
        <w:jc w:val="center"/>
        <w:outlineLvl w:val="0"/>
        <w:rPr>
          <w:rStyle w:val="15"/>
          <w:sz w:val="39"/>
          <w:szCs w:val="39"/>
          <w:shd w:val="clear" w:fill="FFFFFF"/>
        </w:rPr>
      </w:pPr>
    </w:p>
    <w:p>
      <w:pPr>
        <w:pStyle w:val="12"/>
        <w:keepNext w:val="0"/>
        <w:keepLines w:val="0"/>
        <w:widowControl/>
        <w:suppressLineNumbers w:val="0"/>
        <w:spacing w:before="0" w:beforeAutospacing="0"/>
        <w:ind w:left="0"/>
        <w:jc w:val="center"/>
        <w:outlineLvl w:val="0"/>
        <w:rPr>
          <w:rStyle w:val="15"/>
          <w:sz w:val="39"/>
          <w:szCs w:val="39"/>
          <w:shd w:val="clear" w:fill="FFFFFF"/>
        </w:rPr>
      </w:pPr>
    </w:p>
    <w:p>
      <w:pPr>
        <w:pStyle w:val="12"/>
        <w:keepNext w:val="0"/>
        <w:keepLines w:val="0"/>
        <w:widowControl/>
        <w:suppressLineNumbers w:val="0"/>
        <w:spacing w:before="0" w:beforeAutospacing="0"/>
        <w:ind w:left="0"/>
        <w:jc w:val="center"/>
        <w:outlineLvl w:val="0"/>
        <w:rPr>
          <w:rStyle w:val="15"/>
          <w:sz w:val="39"/>
          <w:szCs w:val="39"/>
          <w:shd w:val="clear" w:fill="FFFFFF"/>
        </w:rPr>
      </w:pPr>
    </w:p>
    <w:p>
      <w:pPr>
        <w:pStyle w:val="12"/>
        <w:keepNext w:val="0"/>
        <w:keepLines w:val="0"/>
        <w:widowControl/>
        <w:suppressLineNumbers w:val="0"/>
        <w:spacing w:before="0" w:beforeAutospacing="0"/>
        <w:ind w:left="0"/>
        <w:jc w:val="both"/>
        <w:outlineLvl w:val="0"/>
        <w:rPr>
          <w:rStyle w:val="15"/>
          <w:sz w:val="39"/>
          <w:szCs w:val="39"/>
          <w:shd w:val="clear" w:fill="FFFFFF"/>
        </w:rPr>
      </w:pPr>
    </w:p>
    <w:p>
      <w:pPr>
        <w:pStyle w:val="12"/>
        <w:keepNext w:val="0"/>
        <w:keepLines w:val="0"/>
        <w:widowControl/>
        <w:suppressLineNumbers w:val="0"/>
        <w:spacing w:before="0" w:beforeAutospacing="0"/>
        <w:ind w:left="0"/>
        <w:jc w:val="center"/>
        <w:outlineLvl w:val="0"/>
      </w:pPr>
      <w:r>
        <w:rPr>
          <w:rStyle w:val="15"/>
          <w:sz w:val="39"/>
          <w:szCs w:val="39"/>
          <w:shd w:val="clear" w:fill="FFFFFF"/>
        </w:rPr>
        <w:t>第三部分 名词解释</w:t>
      </w:r>
      <w:bookmarkEnd w:id="33"/>
      <w:bookmarkEnd w:id="34"/>
      <w:bookmarkEnd w:id="35"/>
    </w:p>
    <w:p>
      <w:pPr>
        <w:pStyle w:val="12"/>
        <w:keepNext w:val="0"/>
        <w:keepLines w:val="0"/>
        <w:widowControl/>
        <w:suppressLineNumbers w:val="0"/>
        <w:spacing w:before="0" w:beforeAutospacing="0"/>
        <w:ind w:left="0"/>
        <w:jc w:val="left"/>
      </w:pPr>
      <w:r>
        <w:rPr>
          <w:shd w:val="clear" w:fill="FFFFFF"/>
        </w:rPr>
        <w:t> </w:t>
      </w:r>
    </w:p>
    <w:p>
      <w:pPr>
        <w:pStyle w:val="12"/>
        <w:keepNext w:val="0"/>
        <w:keepLines w:val="0"/>
        <w:widowControl/>
        <w:suppressLineNumbers w:val="0"/>
        <w:spacing w:before="0" w:beforeAutospacing="0"/>
        <w:ind w:left="0" w:firstLine="480" w:firstLineChars="200"/>
        <w:jc w:val="left"/>
        <w:outlineLvl w:val="1"/>
      </w:pPr>
      <w:bookmarkStart w:id="36" w:name="_Toc8407"/>
      <w:bookmarkStart w:id="37" w:name="_Toc3201"/>
      <w:r>
        <w:rPr>
          <w:shd w:val="clear" w:fill="FFFFFF"/>
        </w:rPr>
        <w:t>1.财政拨款收入：指单位从同级财政部门取得的财政预算资金。</w:t>
      </w:r>
      <w:bookmarkEnd w:id="36"/>
      <w:bookmarkEnd w:id="37"/>
    </w:p>
    <w:p>
      <w:pPr>
        <w:pStyle w:val="12"/>
        <w:keepNext w:val="0"/>
        <w:keepLines w:val="0"/>
        <w:widowControl/>
        <w:suppressLineNumbers w:val="0"/>
        <w:spacing w:before="0" w:beforeAutospacing="0"/>
        <w:ind w:left="0" w:firstLine="480" w:firstLineChars="200"/>
        <w:jc w:val="left"/>
        <w:rPr>
          <w:shd w:val="clear" w:fill="FFFFFF"/>
        </w:rPr>
      </w:pPr>
      <w:r>
        <w:rPr>
          <w:shd w:val="clear" w:fill="FFFFFF"/>
        </w:rPr>
        <w:t>2.事业收入：指事业单位开展专业业务活动及辅助活动取得的收入。</w:t>
      </w:r>
    </w:p>
    <w:p>
      <w:pPr>
        <w:pStyle w:val="12"/>
        <w:keepNext w:val="0"/>
        <w:keepLines w:val="0"/>
        <w:widowControl/>
        <w:suppressLineNumbers w:val="0"/>
        <w:spacing w:before="0" w:beforeAutospacing="0"/>
        <w:ind w:left="0" w:firstLine="480" w:firstLineChars="200"/>
        <w:jc w:val="left"/>
      </w:pPr>
      <w:r>
        <w:rPr>
          <w:shd w:val="clear" w:fill="FFFFFF"/>
        </w:rPr>
        <w:t>3.经营收入：指事业单位在专业业务活动及其辅助活动之外开展非独立核算经营活动取得的收入。如二级预算单位经营收入情况等。</w:t>
      </w:r>
    </w:p>
    <w:p>
      <w:pPr>
        <w:pStyle w:val="12"/>
        <w:keepNext w:val="0"/>
        <w:keepLines w:val="0"/>
        <w:widowControl/>
        <w:suppressLineNumbers w:val="0"/>
        <w:spacing w:before="0" w:beforeAutospacing="0"/>
        <w:ind w:left="0" w:firstLine="480" w:firstLineChars="200"/>
        <w:jc w:val="left"/>
      </w:pPr>
      <w:r>
        <w:rPr>
          <w:shd w:val="clear" w:fill="FFFFFF"/>
        </w:rPr>
        <w:t>4.其他收入：指单位取得的除上述</w:t>
      </w:r>
      <w:r>
        <w:rPr>
          <w:rFonts w:hint="eastAsia" w:ascii="宋体" w:hAnsi="宋体" w:eastAsia="宋体" w:cs="宋体"/>
          <w:color w:val="auto"/>
          <w:kern w:val="0"/>
          <w:sz w:val="24"/>
          <w:szCs w:val="24"/>
          <w:shd w:val="clear" w:fill="FFFFFF"/>
          <w:lang w:val="en-US" w:eastAsia="zh-CN" w:bidi="ar"/>
        </w:rPr>
        <w:t>“财政拨款收入”、“事业收入”、“事业单位经营收入”等</w:t>
      </w:r>
      <w:r>
        <w:rPr>
          <w:shd w:val="clear" w:fill="FFFFFF"/>
        </w:rPr>
        <w:t>以外的各项收入。主要是</w:t>
      </w:r>
      <w:r>
        <w:rPr>
          <w:rFonts w:hint="eastAsia" w:ascii="宋体" w:hAnsi="宋体" w:eastAsia="宋体" w:cs="宋体"/>
          <w:color w:val="auto"/>
          <w:kern w:val="0"/>
          <w:sz w:val="24"/>
          <w:szCs w:val="24"/>
          <w:shd w:val="clear" w:fill="FFFFFF"/>
          <w:lang w:val="en-US" w:eastAsia="zh-CN" w:bidi="ar"/>
        </w:rPr>
        <w:t>所属行政事业单位按规定动用的售房收入、存款利息收入等</w:t>
      </w:r>
      <w:r>
        <w:rPr>
          <w:shd w:val="clear" w:fill="FFFFFF"/>
        </w:rPr>
        <w:t>。</w:t>
      </w:r>
    </w:p>
    <w:p>
      <w:pPr>
        <w:pStyle w:val="12"/>
        <w:keepNext w:val="0"/>
        <w:keepLines w:val="0"/>
        <w:widowControl/>
        <w:suppressLineNumbers w:val="0"/>
        <w:spacing w:before="0" w:beforeAutospacing="0"/>
        <w:ind w:left="0" w:firstLine="480" w:firstLineChars="200"/>
        <w:jc w:val="left"/>
      </w:pPr>
      <w:r>
        <w:rPr>
          <w:shd w:val="clear" w:fill="FFFFFF"/>
        </w:rPr>
        <w:t>5.使用非财政拨款结余：指事业单位使用以前年度积累的非财政拨款结余弥补当年收支差额的金额。</w:t>
      </w:r>
    </w:p>
    <w:p>
      <w:pPr>
        <w:pStyle w:val="12"/>
        <w:keepNext w:val="0"/>
        <w:keepLines w:val="0"/>
        <w:widowControl/>
        <w:suppressLineNumbers w:val="0"/>
        <w:spacing w:before="0" w:beforeAutospacing="0"/>
        <w:ind w:left="0" w:firstLine="480" w:firstLineChars="200"/>
        <w:jc w:val="left"/>
      </w:pPr>
      <w:r>
        <w:rPr>
          <w:shd w:val="clear" w:fill="FFFFFF"/>
        </w:rPr>
        <w:t>6.年初结转和结余：指以前年度尚未完成、结转到本年按有关规定继续使用的资金。</w:t>
      </w:r>
    </w:p>
    <w:p>
      <w:pPr>
        <w:pStyle w:val="12"/>
        <w:keepNext w:val="0"/>
        <w:keepLines w:val="0"/>
        <w:widowControl/>
        <w:suppressLineNumbers w:val="0"/>
        <w:spacing w:before="0" w:beforeAutospacing="0"/>
        <w:ind w:left="0" w:firstLine="480" w:firstLineChars="200"/>
        <w:jc w:val="left"/>
      </w:pPr>
      <w:r>
        <w:rPr>
          <w:shd w:val="clear" w:fill="FFFFFF"/>
        </w:rPr>
        <w:t>7.结余分配：指事业单位按照会计制度规定缴纳的所得税、提取的专用结余以及转入非财政拨款结余的金额等。</w:t>
      </w:r>
    </w:p>
    <w:p>
      <w:pPr>
        <w:pStyle w:val="12"/>
        <w:keepNext w:val="0"/>
        <w:keepLines w:val="0"/>
        <w:widowControl/>
        <w:suppressLineNumbers w:val="0"/>
        <w:spacing w:before="0" w:beforeAutospacing="0"/>
        <w:ind w:left="0" w:firstLine="480" w:firstLineChars="200"/>
        <w:jc w:val="left"/>
        <w:rPr>
          <w:shd w:val="clear" w:fill="FFFFFF"/>
        </w:rPr>
      </w:pPr>
      <w:r>
        <w:rPr>
          <w:shd w:val="clear" w:fill="FFFFFF"/>
        </w:rPr>
        <w:t>8</w:t>
      </w:r>
      <w:r>
        <w:rPr>
          <w:rFonts w:hint="eastAsia"/>
          <w:shd w:val="clear" w:fill="FFFFFF"/>
          <w:lang w:val="en-US" w:eastAsia="zh-CN"/>
        </w:rPr>
        <w:t>.</w:t>
      </w:r>
      <w:r>
        <w:rPr>
          <w:shd w:val="clear" w:fill="FFFFFF"/>
        </w:rPr>
        <w:t>年末结转和结余：指单位按有关规定结转到下年或以后年度继续使用的资金。</w:t>
      </w:r>
    </w:p>
    <w:p>
      <w:pPr>
        <w:pStyle w:val="12"/>
        <w:keepNext w:val="0"/>
        <w:keepLines w:val="0"/>
        <w:widowControl/>
        <w:suppressLineNumbers w:val="0"/>
        <w:spacing w:before="0" w:beforeAutospacing="0"/>
        <w:ind w:left="0" w:firstLine="480" w:firstLineChars="200"/>
        <w:jc w:val="left"/>
        <w:rPr>
          <w:rFonts w:hint="eastAsia" w:ascii="宋体" w:hAnsi="宋体" w:eastAsia="宋体" w:cs="宋体"/>
          <w:color w:val="auto"/>
          <w:kern w:val="0"/>
          <w:sz w:val="24"/>
          <w:szCs w:val="24"/>
          <w:shd w:val="clear" w:fill="FFFFFF"/>
          <w:lang w:val="en-US" w:eastAsia="zh-CN" w:bidi="ar"/>
        </w:rPr>
      </w:pPr>
      <w:r>
        <w:rPr>
          <w:rFonts w:hint="eastAsia" w:ascii="宋体" w:hAnsi="宋体" w:eastAsia="宋体" w:cs="宋体"/>
          <w:color w:val="auto"/>
          <w:kern w:val="0"/>
          <w:sz w:val="24"/>
          <w:szCs w:val="24"/>
          <w:shd w:val="clear" w:fill="FFFFFF"/>
          <w:lang w:val="en-US" w:eastAsia="zh-CN" w:bidi="ar"/>
        </w:rPr>
        <w:t>9.社会保障和就业支出-行政事业单位离退休-机关事业单位基本养老保险缴费（2080505），该支出主要用于支付职工养老保险金；机关事业单位职业年金缴费（2080506），该支出主要用于支付职工职业年金。社会保障和就业支出-红十字事业-行政运行（2081601），该支出主要用于支付职工工资、退休费以及公务运行费；其他红十字事业支出（2081699），该支出主要用于大病救助金项目。</w:t>
      </w:r>
    </w:p>
    <w:p>
      <w:pPr>
        <w:pStyle w:val="12"/>
        <w:keepNext w:val="0"/>
        <w:keepLines w:val="0"/>
        <w:widowControl/>
        <w:suppressLineNumbers w:val="0"/>
        <w:spacing w:before="0" w:beforeAutospacing="0"/>
        <w:ind w:left="0" w:firstLine="480" w:firstLineChars="200"/>
        <w:jc w:val="left"/>
        <w:rPr>
          <w:rFonts w:hint="eastAsia" w:ascii="宋体" w:hAnsi="宋体" w:eastAsia="宋体" w:cs="宋体"/>
          <w:color w:val="auto"/>
          <w:kern w:val="0"/>
          <w:sz w:val="24"/>
          <w:szCs w:val="24"/>
          <w:shd w:val="clear" w:fill="FFFFFF"/>
          <w:lang w:val="en-US" w:eastAsia="zh-CN" w:bidi="ar"/>
        </w:rPr>
      </w:pPr>
      <w:r>
        <w:rPr>
          <w:rFonts w:hint="eastAsia" w:ascii="宋体" w:hAnsi="宋体" w:eastAsia="宋体" w:cs="宋体"/>
          <w:color w:val="auto"/>
          <w:kern w:val="0"/>
          <w:sz w:val="24"/>
          <w:szCs w:val="24"/>
          <w:shd w:val="clear" w:fill="FFFFFF"/>
          <w:lang w:val="en-US" w:eastAsia="zh-CN" w:bidi="ar"/>
        </w:rPr>
        <w:t>10.医疗卫生与计划生育支出-行政事业单位医疗行政单位医疗（2101101），该支出用于财政部门集中安排的行政单位基本医疗保险缴费经费；公务员医疗补助（2101103）该支出用于职工医疗保险金。</w:t>
      </w:r>
    </w:p>
    <w:p>
      <w:pPr>
        <w:pStyle w:val="12"/>
        <w:keepNext w:val="0"/>
        <w:keepLines w:val="0"/>
        <w:widowControl/>
        <w:suppressLineNumbers w:val="0"/>
        <w:spacing w:before="0" w:beforeAutospacing="0"/>
        <w:ind w:left="0" w:firstLine="480" w:firstLineChars="200"/>
        <w:jc w:val="left"/>
        <w:rPr>
          <w:rFonts w:hint="eastAsia" w:ascii="宋体" w:hAnsi="宋体" w:eastAsia="宋体" w:cs="宋体"/>
          <w:color w:val="auto"/>
          <w:kern w:val="0"/>
          <w:sz w:val="24"/>
          <w:szCs w:val="24"/>
          <w:shd w:val="clear" w:fill="FFFFFF"/>
          <w:lang w:val="en-US" w:eastAsia="zh-CN" w:bidi="ar"/>
        </w:rPr>
      </w:pPr>
      <w:r>
        <w:rPr>
          <w:rFonts w:hint="eastAsia" w:ascii="宋体" w:hAnsi="宋体" w:eastAsia="宋体" w:cs="宋体"/>
          <w:color w:val="auto"/>
          <w:kern w:val="0"/>
          <w:sz w:val="24"/>
          <w:szCs w:val="24"/>
          <w:shd w:val="clear" w:fill="FFFFFF"/>
          <w:lang w:val="en-US" w:eastAsia="zh-CN" w:bidi="ar"/>
        </w:rPr>
        <w:t>11.住房保障支出-住房改革支出-住房公积金：指行政事业单位按人力资源和社会保障部、财政部规定的基本工资和津贴补贴以及规定比例为职工缴纳的住房公积金。</w:t>
      </w:r>
    </w:p>
    <w:p>
      <w:pPr>
        <w:pStyle w:val="12"/>
        <w:keepNext w:val="0"/>
        <w:keepLines w:val="0"/>
        <w:widowControl/>
        <w:suppressLineNumbers w:val="0"/>
        <w:spacing w:before="0" w:beforeAutospacing="0"/>
        <w:ind w:left="0" w:firstLine="480" w:firstLineChars="200"/>
        <w:jc w:val="left"/>
        <w:rPr>
          <w:rFonts w:hint="eastAsia" w:ascii="宋体" w:hAnsi="宋体" w:eastAsia="宋体" w:cs="宋体"/>
          <w:color w:val="auto"/>
          <w:kern w:val="0"/>
          <w:sz w:val="24"/>
          <w:szCs w:val="24"/>
          <w:shd w:val="clear" w:fill="FFFFFF"/>
          <w:lang w:val="en-US" w:eastAsia="zh-CN" w:bidi="ar"/>
        </w:rPr>
      </w:pPr>
      <w:r>
        <w:rPr>
          <w:rFonts w:hint="eastAsia" w:ascii="宋体" w:hAnsi="宋体" w:eastAsia="宋体" w:cs="宋体"/>
          <w:color w:val="auto"/>
          <w:kern w:val="0"/>
          <w:sz w:val="24"/>
          <w:szCs w:val="24"/>
          <w:shd w:val="clear" w:fill="FFFFFF"/>
          <w:lang w:val="en-US" w:eastAsia="zh-CN" w:bidi="ar"/>
        </w:rPr>
        <w:t>12.基本支出：指为保障机构正常运转、完成日常工作任务而发生的人员支出和公用支出。</w:t>
      </w:r>
    </w:p>
    <w:p>
      <w:pPr>
        <w:ind w:firstLine="480" w:firstLineChars="200"/>
        <w:rPr>
          <w:rFonts w:hint="eastAsia" w:ascii="宋体" w:hAnsi="宋体" w:eastAsia="宋体" w:cs="宋体"/>
          <w:color w:val="auto"/>
          <w:kern w:val="0"/>
          <w:sz w:val="24"/>
          <w:szCs w:val="24"/>
          <w:shd w:val="clear" w:fill="FFFFFF"/>
          <w:lang w:val="en-US" w:eastAsia="zh-CN" w:bidi="ar"/>
        </w:rPr>
      </w:pPr>
      <w:r>
        <w:rPr>
          <w:rFonts w:hint="eastAsia" w:ascii="宋体" w:hAnsi="宋体" w:eastAsia="宋体" w:cs="宋体"/>
          <w:color w:val="auto"/>
          <w:kern w:val="0"/>
          <w:sz w:val="24"/>
          <w:szCs w:val="24"/>
          <w:shd w:val="clear" w:fill="FFFFFF"/>
          <w:lang w:val="en-US" w:eastAsia="zh-CN" w:bidi="ar"/>
        </w:rPr>
        <w:t xml:space="preserve">13.项目支出：指在基本支出之外为完成特定行政任务和事业发展目标所发生的支出。 </w:t>
      </w:r>
    </w:p>
    <w:p>
      <w:pPr>
        <w:ind w:firstLine="480" w:firstLineChars="200"/>
        <w:rPr>
          <w:rFonts w:hint="eastAsia" w:ascii="宋体" w:hAnsi="宋体" w:eastAsia="宋体" w:cs="宋体"/>
          <w:color w:val="auto"/>
          <w:kern w:val="0"/>
          <w:sz w:val="24"/>
          <w:szCs w:val="24"/>
          <w:shd w:val="clear" w:fill="FFFFFF"/>
          <w:lang w:val="en-US" w:eastAsia="zh-CN" w:bidi="ar"/>
        </w:rPr>
      </w:pPr>
      <w:r>
        <w:rPr>
          <w:rFonts w:hint="eastAsia" w:ascii="宋体" w:hAnsi="宋体" w:eastAsia="宋体" w:cs="宋体"/>
          <w:color w:val="auto"/>
          <w:kern w:val="0"/>
          <w:sz w:val="24"/>
          <w:szCs w:val="24"/>
          <w:shd w:val="clear" w:fill="FFFFFF"/>
          <w:lang w:val="en-US" w:eastAsia="zh-CN" w:bidi="ar"/>
        </w:rPr>
        <w:t>14.经营支出：指事业单位在专业业务活动及其辅助活动之外开展非独立核算经营活动发生的支出。</w:t>
      </w:r>
    </w:p>
    <w:p>
      <w:pPr>
        <w:pStyle w:val="18"/>
        <w:spacing w:line="560" w:lineRule="exact"/>
        <w:ind w:firstLine="480" w:firstLineChars="200"/>
        <w:rPr>
          <w:rFonts w:hint="eastAsia" w:ascii="宋体" w:hAnsi="宋体" w:eastAsia="宋体" w:cs="宋体"/>
          <w:color w:val="auto"/>
          <w:kern w:val="0"/>
          <w:sz w:val="24"/>
          <w:szCs w:val="24"/>
          <w:shd w:val="clear" w:fill="FFFFFF"/>
          <w:lang w:val="en-US" w:eastAsia="zh-CN" w:bidi="ar"/>
        </w:rPr>
      </w:pPr>
      <w:r>
        <w:rPr>
          <w:rFonts w:hint="eastAsia" w:ascii="宋体" w:hAnsi="宋体" w:eastAsia="宋体" w:cs="宋体"/>
          <w:color w:val="auto"/>
          <w:kern w:val="0"/>
          <w:sz w:val="24"/>
          <w:szCs w:val="24"/>
          <w:shd w:val="clear" w:fill="FFFFFF"/>
          <w:lang w:val="en-US" w:eastAsia="zh-CN" w:bidi="ar"/>
        </w:rPr>
        <w:t>15.“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18"/>
        <w:spacing w:line="560" w:lineRule="exact"/>
        <w:ind w:firstLine="480" w:firstLineChars="200"/>
        <w:rPr>
          <w:rFonts w:hint="eastAsia" w:ascii="宋体" w:hAnsi="宋体" w:eastAsia="宋体" w:cs="宋体"/>
          <w:color w:val="auto"/>
          <w:kern w:val="0"/>
          <w:sz w:val="24"/>
          <w:szCs w:val="24"/>
          <w:shd w:val="clear" w:fill="FFFFFF"/>
          <w:lang w:val="en-US" w:eastAsia="zh-CN" w:bidi="ar"/>
        </w:rPr>
      </w:pPr>
      <w:r>
        <w:rPr>
          <w:rFonts w:hint="eastAsia" w:ascii="宋体" w:hAnsi="宋体" w:eastAsia="宋体" w:cs="宋体"/>
          <w:color w:val="auto"/>
          <w:kern w:val="0"/>
          <w:sz w:val="24"/>
          <w:szCs w:val="24"/>
          <w:shd w:val="clear" w:fill="FFFFFF"/>
          <w:lang w:val="en-US" w:eastAsia="zh-CN" w:bidi="ar"/>
        </w:rPr>
        <w:t>16.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12"/>
        <w:keepNext w:val="0"/>
        <w:keepLines w:val="0"/>
        <w:widowControl/>
        <w:suppressLineNumbers w:val="0"/>
        <w:spacing w:before="0" w:beforeAutospacing="0"/>
        <w:ind w:left="0"/>
        <w:jc w:val="left"/>
        <w:rPr>
          <w:shd w:val="clear" w:fill="FFFFFF"/>
        </w:rPr>
      </w:pPr>
    </w:p>
    <w:p>
      <w:pPr>
        <w:pStyle w:val="12"/>
        <w:keepNext w:val="0"/>
        <w:keepLines w:val="0"/>
        <w:widowControl/>
        <w:suppressLineNumbers w:val="0"/>
        <w:spacing w:before="0" w:beforeAutospacing="0"/>
        <w:ind w:left="0"/>
        <w:jc w:val="left"/>
        <w:rPr>
          <w:shd w:val="clear" w:fill="FFFFFF"/>
        </w:rPr>
      </w:pPr>
    </w:p>
    <w:p>
      <w:pPr>
        <w:pStyle w:val="12"/>
        <w:keepNext w:val="0"/>
        <w:keepLines w:val="0"/>
        <w:widowControl/>
        <w:suppressLineNumbers w:val="0"/>
        <w:spacing w:before="0" w:beforeAutospacing="0"/>
        <w:ind w:left="0"/>
        <w:jc w:val="left"/>
        <w:rPr>
          <w:shd w:val="clear" w:fill="FFFFFF"/>
        </w:rPr>
      </w:pPr>
    </w:p>
    <w:p>
      <w:pPr>
        <w:pStyle w:val="12"/>
        <w:keepNext w:val="0"/>
        <w:keepLines w:val="0"/>
        <w:widowControl/>
        <w:suppressLineNumbers w:val="0"/>
        <w:spacing w:before="0" w:beforeAutospacing="0"/>
        <w:ind w:left="0"/>
        <w:jc w:val="left"/>
        <w:rPr>
          <w:shd w:val="clear" w:fill="FFFFFF"/>
        </w:rPr>
      </w:pPr>
    </w:p>
    <w:p>
      <w:pPr>
        <w:pStyle w:val="12"/>
        <w:keepNext w:val="0"/>
        <w:keepLines w:val="0"/>
        <w:widowControl/>
        <w:suppressLineNumbers w:val="0"/>
        <w:spacing w:before="0" w:beforeAutospacing="0"/>
        <w:ind w:left="0"/>
        <w:jc w:val="left"/>
        <w:rPr>
          <w:shd w:val="clear" w:fill="FFFFFF"/>
        </w:rPr>
      </w:pPr>
    </w:p>
    <w:p>
      <w:pPr>
        <w:pStyle w:val="12"/>
        <w:keepNext w:val="0"/>
        <w:keepLines w:val="0"/>
        <w:widowControl/>
        <w:suppressLineNumbers w:val="0"/>
        <w:spacing w:before="0" w:beforeAutospacing="0"/>
        <w:ind w:left="0"/>
        <w:jc w:val="left"/>
        <w:rPr>
          <w:shd w:val="clear" w:fill="FFFFFF"/>
        </w:rPr>
      </w:pPr>
    </w:p>
    <w:p>
      <w:pPr>
        <w:pStyle w:val="12"/>
        <w:keepNext w:val="0"/>
        <w:keepLines w:val="0"/>
        <w:widowControl/>
        <w:suppressLineNumbers w:val="0"/>
        <w:spacing w:before="0" w:beforeAutospacing="0"/>
        <w:ind w:left="0"/>
        <w:jc w:val="left"/>
        <w:rPr>
          <w:shd w:val="clear" w:fill="FFFFFF"/>
        </w:rPr>
      </w:pPr>
    </w:p>
    <w:p>
      <w:pPr>
        <w:pStyle w:val="12"/>
        <w:keepNext w:val="0"/>
        <w:keepLines w:val="0"/>
        <w:widowControl/>
        <w:suppressLineNumbers w:val="0"/>
        <w:spacing w:before="0" w:beforeAutospacing="0"/>
        <w:ind w:left="0"/>
        <w:jc w:val="left"/>
        <w:rPr>
          <w:shd w:val="clear" w:fill="FFFFFF"/>
        </w:rPr>
      </w:pPr>
    </w:p>
    <w:p>
      <w:pPr>
        <w:pStyle w:val="12"/>
        <w:keepNext w:val="0"/>
        <w:keepLines w:val="0"/>
        <w:widowControl/>
        <w:suppressLineNumbers w:val="0"/>
        <w:spacing w:before="0" w:beforeAutospacing="0"/>
        <w:ind w:left="0"/>
        <w:jc w:val="left"/>
        <w:rPr>
          <w:shd w:val="clear" w:fill="FFFFFF"/>
        </w:rPr>
      </w:pPr>
    </w:p>
    <w:p>
      <w:pPr>
        <w:pStyle w:val="12"/>
        <w:keepNext w:val="0"/>
        <w:keepLines w:val="0"/>
        <w:widowControl/>
        <w:suppressLineNumbers w:val="0"/>
        <w:spacing w:before="0" w:beforeAutospacing="0"/>
        <w:ind w:left="0"/>
        <w:jc w:val="left"/>
        <w:rPr>
          <w:shd w:val="clear" w:fill="FFFFFF"/>
        </w:rPr>
      </w:pPr>
    </w:p>
    <w:p>
      <w:pPr>
        <w:pStyle w:val="12"/>
        <w:keepNext w:val="0"/>
        <w:keepLines w:val="0"/>
        <w:widowControl/>
        <w:suppressLineNumbers w:val="0"/>
        <w:spacing w:before="0" w:beforeAutospacing="0"/>
        <w:ind w:left="0"/>
        <w:jc w:val="left"/>
        <w:rPr>
          <w:shd w:val="clear" w:fill="FFFFFF"/>
        </w:rPr>
      </w:pPr>
    </w:p>
    <w:p>
      <w:pPr>
        <w:pStyle w:val="12"/>
        <w:keepNext w:val="0"/>
        <w:keepLines w:val="0"/>
        <w:widowControl/>
        <w:suppressLineNumbers w:val="0"/>
        <w:spacing w:before="0" w:beforeAutospacing="0"/>
        <w:ind w:left="0"/>
        <w:jc w:val="left"/>
      </w:pPr>
    </w:p>
    <w:p>
      <w:pPr>
        <w:pStyle w:val="12"/>
        <w:keepNext w:val="0"/>
        <w:keepLines w:val="0"/>
        <w:widowControl/>
        <w:suppressLineNumbers w:val="0"/>
        <w:spacing w:before="0" w:beforeAutospacing="0"/>
        <w:ind w:left="0"/>
        <w:jc w:val="center"/>
        <w:outlineLvl w:val="0"/>
      </w:pPr>
      <w:bookmarkStart w:id="38" w:name="_Toc21909"/>
      <w:bookmarkStart w:id="39" w:name="_Toc21999"/>
      <w:bookmarkStart w:id="40" w:name="_Toc3484"/>
      <w:r>
        <w:rPr>
          <w:rStyle w:val="15"/>
          <w:sz w:val="39"/>
          <w:szCs w:val="39"/>
          <w:shd w:val="clear" w:fill="FFFFFF"/>
        </w:rPr>
        <w:t>第四部分 附件</w:t>
      </w:r>
      <w:bookmarkEnd w:id="38"/>
      <w:bookmarkEnd w:id="39"/>
      <w:bookmarkEnd w:id="40"/>
    </w:p>
    <w:p>
      <w:pPr>
        <w:pStyle w:val="12"/>
        <w:keepNext w:val="0"/>
        <w:keepLines w:val="0"/>
        <w:widowControl/>
        <w:suppressLineNumbers w:val="0"/>
        <w:spacing w:before="0" w:beforeAutospacing="0"/>
        <w:ind w:left="0"/>
        <w:jc w:val="left"/>
        <w:outlineLvl w:val="1"/>
      </w:pPr>
      <w:bookmarkStart w:id="41" w:name="_Toc11261"/>
      <w:bookmarkStart w:id="42" w:name="_Toc31669"/>
      <w:r>
        <w:rPr>
          <w:shd w:val="clear" w:fill="FFFFFF"/>
        </w:rPr>
        <w:t>附件</w:t>
      </w:r>
      <w:bookmarkEnd w:id="41"/>
      <w:bookmarkEnd w:id="42"/>
    </w:p>
    <w:p>
      <w:pPr>
        <w:pStyle w:val="12"/>
        <w:keepNext w:val="0"/>
        <w:keepLines w:val="0"/>
        <w:widowControl/>
        <w:suppressLineNumbers w:val="0"/>
        <w:spacing w:before="0" w:beforeAutospacing="0"/>
        <w:ind w:left="0"/>
        <w:jc w:val="center"/>
      </w:pPr>
      <w:r>
        <w:rPr>
          <w:sz w:val="39"/>
          <w:szCs w:val="39"/>
          <w:shd w:val="clear" w:fill="FFFFFF"/>
        </w:rPr>
        <w:t>2021年</w:t>
      </w:r>
      <w:r>
        <w:rPr>
          <w:rFonts w:hint="eastAsia"/>
          <w:sz w:val="39"/>
          <w:szCs w:val="39"/>
          <w:shd w:val="clear" w:fill="FFFFFF"/>
          <w:lang w:val="en-US" w:eastAsia="zh-CN"/>
        </w:rPr>
        <w:t>红十字会</w:t>
      </w:r>
      <w:r>
        <w:rPr>
          <w:sz w:val="39"/>
          <w:szCs w:val="39"/>
          <w:shd w:val="clear" w:fill="FFFFFF"/>
        </w:rPr>
        <w:t>部门整体绩效评价报告</w:t>
      </w:r>
    </w:p>
    <w:p>
      <w:pPr>
        <w:pStyle w:val="12"/>
        <w:keepNext w:val="0"/>
        <w:keepLines w:val="0"/>
        <w:widowControl/>
        <w:suppressLineNumbers w:val="0"/>
        <w:spacing w:before="0" w:beforeAutospacing="0"/>
        <w:ind w:left="0"/>
        <w:jc w:val="left"/>
      </w:pPr>
      <w:r>
        <w:rPr>
          <w:shd w:val="clear" w:fill="FFFFFF"/>
        </w:rPr>
        <w:t> </w:t>
      </w:r>
    </w:p>
    <w:p>
      <w:pPr>
        <w:pStyle w:val="12"/>
        <w:keepNext w:val="0"/>
        <w:keepLines w:val="0"/>
        <w:widowControl/>
        <w:suppressLineNumbers w:val="0"/>
        <w:spacing w:before="0" w:beforeAutospacing="0"/>
        <w:ind w:left="0" w:firstLine="480" w:firstLineChars="200"/>
        <w:jc w:val="left"/>
        <w:outlineLvl w:val="1"/>
      </w:pPr>
      <w:bookmarkStart w:id="43" w:name="_Toc19415"/>
      <w:bookmarkStart w:id="44" w:name="_Toc21375"/>
      <w:r>
        <w:rPr>
          <w:shd w:val="clear" w:fill="FFFFFF"/>
        </w:rPr>
        <w:t>一、部门（单位）概况</w:t>
      </w:r>
      <w:bookmarkEnd w:id="43"/>
      <w:bookmarkEnd w:id="44"/>
    </w:p>
    <w:p>
      <w:pPr>
        <w:pStyle w:val="12"/>
        <w:keepNext w:val="0"/>
        <w:keepLines w:val="0"/>
        <w:widowControl/>
        <w:suppressLineNumbers w:val="0"/>
        <w:spacing w:before="0" w:beforeAutospacing="0"/>
        <w:ind w:left="0" w:firstLine="480" w:firstLineChars="200"/>
        <w:jc w:val="left"/>
        <w:rPr>
          <w:shd w:val="clear" w:fill="FFFFFF"/>
        </w:rPr>
      </w:pPr>
      <w:r>
        <w:rPr>
          <w:shd w:val="clear" w:fill="FFFFFF"/>
        </w:rPr>
        <w:t>（一）机构组成。</w:t>
      </w:r>
    </w:p>
    <w:p>
      <w:pPr>
        <w:pStyle w:val="16"/>
        <w:keepNext w:val="0"/>
        <w:keepLines w:val="0"/>
        <w:widowControl/>
        <w:suppressLineNumbers w:val="0"/>
        <w:spacing w:before="0" w:beforeAutospacing="0" w:line="240" w:lineRule="auto"/>
        <w:ind w:left="0" w:firstLine="480" w:firstLineChars="200"/>
        <w:jc w:val="left"/>
        <w:rPr>
          <w:shd w:val="clear" w:fill="FFFFFF"/>
        </w:rPr>
      </w:pPr>
      <w:r>
        <w:rPr>
          <w:rFonts w:hint="eastAsia" w:ascii="宋体" w:hAnsi="宋体" w:eastAsia="宋体" w:cs="宋体"/>
          <w:kern w:val="0"/>
          <w:sz w:val="24"/>
          <w:szCs w:val="24"/>
          <w:shd w:val="clear" w:fill="FFFFFF"/>
        </w:rPr>
        <w:t>我单位为独立核算全额拨款参公单位</w:t>
      </w:r>
      <w:r>
        <w:rPr>
          <w:rFonts w:hint="eastAsia" w:cs="宋体"/>
          <w:kern w:val="0"/>
          <w:sz w:val="24"/>
          <w:szCs w:val="24"/>
          <w:shd w:val="clear" w:fill="FFFFFF"/>
          <w:lang w:eastAsia="zh-CN"/>
        </w:rPr>
        <w:t>（</w:t>
      </w:r>
      <w:r>
        <w:rPr>
          <w:rFonts w:hint="eastAsia" w:ascii="宋体" w:hAnsi="宋体" w:eastAsia="宋体" w:cs="宋体"/>
          <w:kern w:val="0"/>
          <w:sz w:val="24"/>
          <w:szCs w:val="24"/>
          <w:shd w:val="clear" w:fill="FFFFFF"/>
          <w:lang w:val="en-US" w:eastAsia="zh-CN"/>
        </w:rPr>
        <w:t>2个内设机构：办公室和综合股）</w:t>
      </w:r>
      <w:r>
        <w:rPr>
          <w:rFonts w:hint="eastAsia" w:ascii="宋体" w:hAnsi="宋体" w:eastAsia="宋体" w:cs="宋体"/>
          <w:kern w:val="0"/>
          <w:sz w:val="24"/>
          <w:szCs w:val="24"/>
          <w:shd w:val="clear" w:fill="FFFFFF"/>
        </w:rPr>
        <w:t>，</w:t>
      </w:r>
      <w:r>
        <w:rPr>
          <w:rFonts w:hint="eastAsia" w:ascii="宋体" w:hAnsi="宋体" w:eastAsia="宋体" w:cs="宋体"/>
          <w:kern w:val="0"/>
          <w:sz w:val="24"/>
          <w:szCs w:val="24"/>
          <w:shd w:val="clear" w:fill="FFFFFF"/>
          <w:lang w:eastAsia="zh-CN"/>
        </w:rPr>
        <w:t>下设</w:t>
      </w:r>
      <w:r>
        <w:rPr>
          <w:rFonts w:hint="eastAsia" w:ascii="宋体" w:hAnsi="宋体" w:eastAsia="宋体" w:cs="宋体"/>
          <w:kern w:val="0"/>
          <w:sz w:val="24"/>
          <w:szCs w:val="24"/>
          <w:shd w:val="clear" w:fill="FFFFFF"/>
          <w:lang w:val="en-US" w:eastAsia="zh-CN"/>
        </w:rPr>
        <w:t>0机构。</w:t>
      </w:r>
    </w:p>
    <w:p>
      <w:pPr>
        <w:pStyle w:val="12"/>
        <w:keepNext w:val="0"/>
        <w:keepLines w:val="0"/>
        <w:widowControl/>
        <w:numPr>
          <w:ilvl w:val="0"/>
          <w:numId w:val="1"/>
        </w:numPr>
        <w:suppressLineNumbers w:val="0"/>
        <w:spacing w:before="0" w:beforeAutospacing="0"/>
        <w:ind w:left="0" w:firstLine="480" w:firstLineChars="200"/>
        <w:jc w:val="left"/>
        <w:rPr>
          <w:shd w:val="clear" w:fill="FFFFFF"/>
        </w:rPr>
      </w:pPr>
      <w:r>
        <w:rPr>
          <w:shd w:val="clear" w:fill="FFFFFF"/>
        </w:rPr>
        <w:t>机构职能。</w:t>
      </w:r>
    </w:p>
    <w:p>
      <w:pPr>
        <w:pStyle w:val="10"/>
        <w:adjustRightInd w:val="0"/>
        <w:snapToGrid w:val="0"/>
        <w:spacing w:line="240" w:lineRule="auto"/>
        <w:ind w:firstLine="504" w:firstLineChars="210"/>
        <w:rPr>
          <w:rFonts w:hint="eastAsia" w:ascii="宋体" w:hAnsi="宋体" w:eastAsia="宋体" w:cs="宋体"/>
          <w:kern w:val="0"/>
          <w:sz w:val="24"/>
          <w:szCs w:val="24"/>
          <w:shd w:val="clear" w:fill="FFFFFF"/>
          <w:lang w:val="en-US" w:eastAsia="zh-CN" w:bidi="ar"/>
        </w:rPr>
      </w:pPr>
      <w:r>
        <w:rPr>
          <w:rFonts w:hint="eastAsia" w:ascii="宋体" w:hAnsi="宋体" w:eastAsia="宋体" w:cs="宋体"/>
          <w:kern w:val="0"/>
          <w:sz w:val="24"/>
          <w:szCs w:val="24"/>
          <w:shd w:val="clear" w:fill="FFFFFF"/>
          <w:lang w:val="en-US" w:eastAsia="zh-CN" w:bidi="ar"/>
        </w:rPr>
        <w:t>1、传播国际红十字运动知识和国际人道主义，宣传、执行《中</w:t>
      </w:r>
      <w:r>
        <w:rPr>
          <w:rFonts w:hint="eastAsia" w:ascii="宋体" w:eastAsia="宋体" w:cs="宋体"/>
          <w:kern w:val="0"/>
          <w:sz w:val="24"/>
          <w:szCs w:val="24"/>
          <w:shd w:val="clear" w:fill="FFFFFF"/>
          <w:lang w:val="en-US" w:eastAsia="zh-CN" w:bidi="ar"/>
        </w:rPr>
        <w:t>华</w:t>
      </w:r>
      <w:r>
        <w:rPr>
          <w:rFonts w:hint="eastAsia" w:ascii="宋体" w:hAnsi="宋体" w:eastAsia="宋体" w:cs="宋体"/>
          <w:kern w:val="0"/>
          <w:sz w:val="24"/>
          <w:szCs w:val="24"/>
          <w:shd w:val="clear" w:fill="FFFFFF"/>
          <w:lang w:val="en-US" w:eastAsia="zh-CN" w:bidi="ar"/>
        </w:rPr>
        <w:t>人民共和国红十字会法》和《中华人民共和国红十字会法实施办法》等法律、法规，遵循《中国红十字会章程》，依法建会、治会、兴会。</w:t>
      </w:r>
    </w:p>
    <w:p>
      <w:pPr>
        <w:pStyle w:val="10"/>
        <w:adjustRightInd w:val="0"/>
        <w:snapToGrid w:val="0"/>
        <w:spacing w:line="240" w:lineRule="auto"/>
        <w:ind w:firstLine="504" w:firstLineChars="210"/>
        <w:rPr>
          <w:rFonts w:hint="eastAsia" w:ascii="宋体" w:hAnsi="宋体" w:eastAsia="宋体" w:cs="宋体"/>
          <w:kern w:val="0"/>
          <w:sz w:val="24"/>
          <w:szCs w:val="24"/>
          <w:shd w:val="clear" w:fill="FFFFFF"/>
          <w:lang w:val="en-US" w:eastAsia="zh-CN" w:bidi="ar"/>
        </w:rPr>
      </w:pPr>
      <w:r>
        <w:rPr>
          <w:rFonts w:hint="eastAsia" w:ascii="宋体" w:hAnsi="宋体" w:eastAsia="宋体" w:cs="宋体"/>
          <w:kern w:val="0"/>
          <w:sz w:val="24"/>
          <w:szCs w:val="24"/>
          <w:shd w:val="clear" w:fill="FFFFFF"/>
          <w:lang w:val="en-US" w:eastAsia="zh-CN" w:bidi="ar"/>
        </w:rPr>
        <w:t>2、开展备灾救灾工作，兴建和管理备灾救灾设施，在自然灾害和突发事件中开展对受害者的救助和救护。</w:t>
      </w:r>
    </w:p>
    <w:p>
      <w:pPr>
        <w:pStyle w:val="10"/>
        <w:adjustRightInd w:val="0"/>
        <w:snapToGrid w:val="0"/>
        <w:spacing w:line="240" w:lineRule="auto"/>
        <w:ind w:firstLine="504" w:firstLineChars="210"/>
        <w:rPr>
          <w:rFonts w:hint="eastAsia" w:ascii="宋体" w:hAnsi="宋体" w:eastAsia="宋体" w:cs="宋体"/>
          <w:kern w:val="0"/>
          <w:sz w:val="24"/>
          <w:szCs w:val="24"/>
          <w:shd w:val="clear" w:fill="FFFFFF"/>
          <w:lang w:val="en-US" w:eastAsia="zh-CN" w:bidi="ar"/>
        </w:rPr>
      </w:pPr>
      <w:r>
        <w:rPr>
          <w:rFonts w:hint="eastAsia" w:ascii="宋体" w:hAnsi="宋体" w:eastAsia="宋体" w:cs="宋体"/>
          <w:kern w:val="0"/>
          <w:sz w:val="24"/>
          <w:szCs w:val="24"/>
          <w:shd w:val="clear" w:fill="FFFFFF"/>
          <w:lang w:val="en-US" w:eastAsia="zh-CN" w:bidi="ar"/>
        </w:rPr>
        <w:t>3、开展人道领域的社会公益服务活动和卫生救护、卫生防病知识的宣传、开展学术交流、组织社会捐助，进行初级卫生救护培训，组织群众参加现场救护，推动无偿献血和非血缘关系骨髓移植工作。</w:t>
      </w:r>
    </w:p>
    <w:p>
      <w:pPr>
        <w:pStyle w:val="10"/>
        <w:adjustRightInd w:val="0"/>
        <w:snapToGrid w:val="0"/>
        <w:spacing w:line="240" w:lineRule="auto"/>
        <w:ind w:firstLine="504" w:firstLineChars="210"/>
        <w:rPr>
          <w:rFonts w:hint="eastAsia" w:ascii="宋体" w:hAnsi="宋体" w:eastAsia="宋体" w:cs="宋体"/>
          <w:kern w:val="0"/>
          <w:sz w:val="24"/>
          <w:szCs w:val="24"/>
          <w:shd w:val="clear" w:fill="FFFFFF"/>
          <w:lang w:val="en-US" w:eastAsia="zh-CN" w:bidi="ar"/>
        </w:rPr>
      </w:pPr>
      <w:r>
        <w:rPr>
          <w:rFonts w:hint="eastAsia" w:ascii="宋体" w:hAnsi="宋体" w:eastAsia="宋体" w:cs="宋体"/>
          <w:kern w:val="0"/>
          <w:sz w:val="24"/>
          <w:szCs w:val="24"/>
          <w:shd w:val="clear" w:fill="FFFFFF"/>
          <w:lang w:val="en-US" w:eastAsia="zh-CN" w:bidi="ar"/>
        </w:rPr>
        <w:t>4、加强与兄弟市、县红十字会及国际红十字组织友好往来，开展人道领域的合作与交流，争取援助。</w:t>
      </w:r>
    </w:p>
    <w:p>
      <w:pPr>
        <w:pStyle w:val="12"/>
        <w:keepNext w:val="0"/>
        <w:keepLines w:val="0"/>
        <w:widowControl/>
        <w:numPr>
          <w:ilvl w:val="0"/>
          <w:numId w:val="1"/>
        </w:numPr>
        <w:suppressLineNumbers w:val="0"/>
        <w:spacing w:before="0" w:beforeAutospacing="0"/>
        <w:ind w:left="0" w:leftChars="0" w:firstLine="480" w:firstLineChars="200"/>
        <w:jc w:val="left"/>
        <w:rPr>
          <w:shd w:val="clear" w:fill="FFFFFF"/>
        </w:rPr>
      </w:pPr>
      <w:r>
        <w:rPr>
          <w:shd w:val="clear" w:fill="FFFFFF"/>
        </w:rPr>
        <w:t>人员概况。</w:t>
      </w:r>
    </w:p>
    <w:p>
      <w:pPr>
        <w:keepNext w:val="0"/>
        <w:keepLines w:val="0"/>
        <w:widowControl/>
        <w:numPr>
          <w:ilvl w:val="0"/>
          <w:numId w:val="0"/>
        </w:numPr>
        <w:suppressLineNumbers w:val="0"/>
        <w:adjustRightInd w:val="0"/>
        <w:snapToGrid w:val="0"/>
        <w:spacing w:before="0" w:beforeAutospacing="0" w:after="0" w:afterAutospacing="0" w:line="240" w:lineRule="auto"/>
        <w:ind w:right="0" w:rightChars="0" w:firstLine="480" w:firstLineChars="200"/>
        <w:jc w:val="left"/>
        <w:rPr>
          <w:shd w:val="clear" w:fill="FFFFFF"/>
        </w:rPr>
      </w:pPr>
      <w:r>
        <w:rPr>
          <w:rFonts w:hint="eastAsia" w:ascii="宋体" w:hAnsi="宋体" w:eastAsia="宋体" w:cs="宋体"/>
          <w:kern w:val="0"/>
          <w:sz w:val="24"/>
          <w:szCs w:val="24"/>
          <w:shd w:val="clear" w:fill="FFFFFF"/>
          <w:lang w:val="en-US" w:eastAsia="zh-CN" w:bidi="ar"/>
        </w:rPr>
        <w:t>截止2021年底我单位共有编制5个，其中参公编制5个。在职5人，其中公务员5人。</w:t>
      </w:r>
    </w:p>
    <w:p>
      <w:pPr>
        <w:pStyle w:val="12"/>
        <w:keepNext w:val="0"/>
        <w:keepLines w:val="0"/>
        <w:widowControl/>
        <w:suppressLineNumbers w:val="0"/>
        <w:spacing w:before="0" w:beforeAutospacing="0"/>
        <w:ind w:firstLine="480" w:firstLineChars="200"/>
        <w:jc w:val="left"/>
        <w:outlineLvl w:val="1"/>
      </w:pPr>
      <w:bookmarkStart w:id="45" w:name="_Toc29"/>
      <w:bookmarkStart w:id="46" w:name="_Toc742"/>
      <w:r>
        <w:rPr>
          <w:shd w:val="clear" w:fill="FFFFFF"/>
        </w:rPr>
        <w:t>二、部门财政资金收支情况</w:t>
      </w:r>
      <w:bookmarkEnd w:id="45"/>
      <w:bookmarkEnd w:id="46"/>
    </w:p>
    <w:p>
      <w:pPr>
        <w:pStyle w:val="12"/>
        <w:keepNext w:val="0"/>
        <w:keepLines w:val="0"/>
        <w:widowControl/>
        <w:suppressLineNumbers w:val="0"/>
        <w:spacing w:before="0" w:beforeAutospacing="0"/>
        <w:ind w:left="0" w:firstLine="480" w:firstLineChars="200"/>
        <w:jc w:val="left"/>
        <w:rPr>
          <w:shd w:val="clear" w:fill="FFFFFF"/>
        </w:rPr>
      </w:pPr>
      <w:r>
        <w:rPr>
          <w:shd w:val="clear" w:fill="FFFFFF"/>
        </w:rPr>
        <w:t>（一）部门财政资金收入情况。</w:t>
      </w:r>
    </w:p>
    <w:p>
      <w:pPr>
        <w:pStyle w:val="12"/>
        <w:keepNext w:val="0"/>
        <w:keepLines w:val="0"/>
        <w:widowControl/>
        <w:suppressLineNumbers w:val="0"/>
        <w:spacing w:before="0" w:beforeAutospacing="0"/>
        <w:ind w:left="0" w:firstLine="480" w:firstLineChars="200"/>
        <w:jc w:val="left"/>
        <w:rPr>
          <w:shd w:val="clear" w:fill="FFFFFF"/>
        </w:rPr>
      </w:pPr>
      <w:bookmarkStart w:id="47" w:name="_Toc27255"/>
      <w:r>
        <w:rPr>
          <w:rFonts w:hint="eastAsia" w:ascii="宋体" w:hAnsi="宋体" w:eastAsia="宋体" w:cs="宋体"/>
          <w:kern w:val="0"/>
          <w:sz w:val="24"/>
          <w:szCs w:val="24"/>
          <w:shd w:val="clear" w:fill="FFFFFF"/>
          <w:lang w:val="en-US" w:eastAsia="zh-CN" w:bidi="ar"/>
        </w:rPr>
        <w:t>本单位20</w:t>
      </w:r>
      <w:r>
        <w:rPr>
          <w:rFonts w:hint="eastAsia" w:cs="宋体"/>
          <w:kern w:val="0"/>
          <w:sz w:val="24"/>
          <w:szCs w:val="24"/>
          <w:shd w:val="clear" w:fill="FFFFFF"/>
          <w:lang w:val="en-US" w:eastAsia="zh-CN" w:bidi="ar"/>
        </w:rPr>
        <w:t>21</w:t>
      </w:r>
      <w:r>
        <w:rPr>
          <w:rFonts w:hint="eastAsia" w:ascii="宋体" w:hAnsi="宋体" w:eastAsia="宋体" w:cs="宋体"/>
          <w:kern w:val="0"/>
          <w:sz w:val="24"/>
          <w:szCs w:val="24"/>
          <w:shd w:val="clear" w:fill="FFFFFF"/>
          <w:lang w:val="en-US" w:eastAsia="zh-CN" w:bidi="ar"/>
        </w:rPr>
        <w:t>年本年收入合计</w:t>
      </w:r>
      <w:r>
        <w:rPr>
          <w:rFonts w:hint="eastAsia" w:cs="宋体"/>
          <w:kern w:val="0"/>
          <w:sz w:val="24"/>
          <w:szCs w:val="24"/>
          <w:shd w:val="clear" w:fill="FFFFFF"/>
          <w:lang w:val="en-US" w:eastAsia="zh-CN" w:bidi="ar"/>
        </w:rPr>
        <w:t>137.65</w:t>
      </w:r>
      <w:r>
        <w:rPr>
          <w:rFonts w:hint="eastAsia" w:ascii="宋体" w:hAnsi="宋体" w:eastAsia="宋体" w:cs="宋体"/>
          <w:kern w:val="0"/>
          <w:sz w:val="24"/>
          <w:szCs w:val="24"/>
          <w:shd w:val="clear" w:fill="FFFFFF"/>
          <w:lang w:val="en-US" w:eastAsia="zh-CN" w:bidi="ar"/>
        </w:rPr>
        <w:t>万元，其中：一般公共预算财政拨款收入</w:t>
      </w:r>
      <w:r>
        <w:rPr>
          <w:rFonts w:hint="eastAsia" w:cs="宋体"/>
          <w:kern w:val="0"/>
          <w:sz w:val="24"/>
          <w:szCs w:val="24"/>
          <w:shd w:val="clear" w:fill="FFFFFF"/>
          <w:lang w:val="en-US" w:eastAsia="zh-CN" w:bidi="ar"/>
        </w:rPr>
        <w:t>131.15</w:t>
      </w:r>
      <w:r>
        <w:rPr>
          <w:rFonts w:hint="eastAsia" w:ascii="宋体" w:hAnsi="宋体" w:eastAsia="宋体" w:cs="宋体"/>
          <w:kern w:val="0"/>
          <w:sz w:val="24"/>
          <w:szCs w:val="24"/>
          <w:shd w:val="clear" w:fill="FFFFFF"/>
          <w:lang w:val="en-US" w:eastAsia="zh-CN" w:bidi="ar"/>
        </w:rPr>
        <w:t>万元，占</w:t>
      </w:r>
      <w:r>
        <w:rPr>
          <w:rFonts w:hint="eastAsia" w:cs="宋体"/>
          <w:kern w:val="0"/>
          <w:sz w:val="24"/>
          <w:szCs w:val="24"/>
          <w:shd w:val="clear" w:fill="FFFFFF"/>
          <w:lang w:val="en-US" w:eastAsia="zh-CN" w:bidi="ar"/>
        </w:rPr>
        <w:t>95.27</w:t>
      </w:r>
      <w:r>
        <w:rPr>
          <w:rFonts w:hint="eastAsia" w:ascii="宋体" w:hAnsi="宋体" w:eastAsia="宋体" w:cs="宋体"/>
          <w:kern w:val="0"/>
          <w:sz w:val="24"/>
          <w:szCs w:val="24"/>
          <w:shd w:val="clear" w:fill="FFFFFF"/>
          <w:lang w:val="en-US" w:eastAsia="zh-CN" w:bidi="ar"/>
        </w:rPr>
        <w:t>%；其他收入</w:t>
      </w:r>
      <w:r>
        <w:rPr>
          <w:rFonts w:hint="eastAsia" w:cs="宋体"/>
          <w:kern w:val="0"/>
          <w:sz w:val="24"/>
          <w:szCs w:val="24"/>
          <w:shd w:val="clear" w:fill="FFFFFF"/>
          <w:lang w:val="en-US" w:eastAsia="zh-CN" w:bidi="ar"/>
        </w:rPr>
        <w:t>6.51</w:t>
      </w:r>
      <w:r>
        <w:rPr>
          <w:rFonts w:hint="eastAsia" w:ascii="宋体" w:hAnsi="宋体" w:eastAsia="宋体" w:cs="宋体"/>
          <w:kern w:val="0"/>
          <w:sz w:val="24"/>
          <w:szCs w:val="24"/>
          <w:shd w:val="clear" w:fill="FFFFFF"/>
          <w:lang w:val="en-US" w:eastAsia="zh-CN" w:bidi="ar"/>
        </w:rPr>
        <w:t>万元，占</w:t>
      </w:r>
      <w:r>
        <w:rPr>
          <w:rFonts w:hint="eastAsia" w:cs="宋体"/>
          <w:kern w:val="0"/>
          <w:sz w:val="24"/>
          <w:szCs w:val="24"/>
          <w:shd w:val="clear" w:fill="FFFFFF"/>
          <w:lang w:val="en-US" w:eastAsia="zh-CN" w:bidi="ar"/>
        </w:rPr>
        <w:t>4.73</w:t>
      </w:r>
      <w:r>
        <w:rPr>
          <w:rFonts w:hint="eastAsia" w:ascii="宋体" w:hAnsi="宋体" w:eastAsia="宋体" w:cs="宋体"/>
          <w:kern w:val="0"/>
          <w:sz w:val="24"/>
          <w:szCs w:val="24"/>
          <w:shd w:val="clear" w:fill="FFFFFF"/>
          <w:lang w:val="en-US" w:eastAsia="zh-CN" w:bidi="ar"/>
        </w:rPr>
        <w:t>%。</w:t>
      </w:r>
      <w:bookmarkEnd w:id="47"/>
    </w:p>
    <w:p>
      <w:pPr>
        <w:pStyle w:val="12"/>
        <w:keepNext w:val="0"/>
        <w:keepLines w:val="0"/>
        <w:widowControl/>
        <w:numPr>
          <w:ilvl w:val="0"/>
          <w:numId w:val="2"/>
        </w:numPr>
        <w:suppressLineNumbers w:val="0"/>
        <w:spacing w:before="0" w:beforeAutospacing="0"/>
        <w:ind w:left="0" w:firstLine="480" w:firstLineChars="200"/>
        <w:jc w:val="left"/>
        <w:rPr>
          <w:shd w:val="clear" w:fill="FFFFFF"/>
        </w:rPr>
      </w:pPr>
      <w:r>
        <w:rPr>
          <w:shd w:val="clear" w:fill="FFFFFF"/>
        </w:rPr>
        <w:t>部门财政资金支出情况。</w:t>
      </w:r>
    </w:p>
    <w:p>
      <w:pPr>
        <w:pStyle w:val="12"/>
        <w:keepNext w:val="0"/>
        <w:keepLines w:val="0"/>
        <w:widowControl/>
        <w:numPr>
          <w:ilvl w:val="0"/>
          <w:numId w:val="0"/>
        </w:numPr>
        <w:suppressLineNumbers w:val="0"/>
        <w:spacing w:before="0" w:beforeAutospacing="0"/>
        <w:ind w:right="0" w:rightChars="0" w:firstLine="480" w:firstLineChars="200"/>
        <w:jc w:val="left"/>
        <w:rPr>
          <w:shd w:val="clear" w:fill="FFFFFF"/>
        </w:rPr>
      </w:pPr>
      <w:r>
        <w:rPr>
          <w:rFonts w:hint="eastAsia" w:cs="宋体"/>
          <w:kern w:val="0"/>
          <w:sz w:val="24"/>
          <w:szCs w:val="24"/>
          <w:shd w:val="clear" w:fill="FFFFFF"/>
          <w:lang w:val="en-US" w:eastAsia="zh-CN" w:bidi="ar"/>
        </w:rPr>
        <w:t>本单位2021年一般公共预算财政拨款支出131.15万元，占本年支出合计的100%。与2020年相比，一般公共预算财政拨款增加17.83万元，增加15.73%。</w:t>
      </w:r>
    </w:p>
    <w:p>
      <w:pPr>
        <w:pStyle w:val="12"/>
        <w:keepNext w:val="0"/>
        <w:keepLines w:val="0"/>
        <w:widowControl/>
        <w:suppressLineNumbers w:val="0"/>
        <w:spacing w:before="0" w:beforeAutospacing="0"/>
        <w:ind w:left="0" w:firstLine="480" w:firstLineChars="200"/>
        <w:jc w:val="left"/>
        <w:outlineLvl w:val="1"/>
      </w:pPr>
      <w:bookmarkStart w:id="48" w:name="_Toc23068"/>
      <w:bookmarkStart w:id="49" w:name="_Toc22905"/>
      <w:r>
        <w:rPr>
          <w:color w:val="auto"/>
          <w:shd w:val="clear" w:fill="FFFFFF"/>
        </w:rPr>
        <w:t>三、</w:t>
      </w:r>
      <w:r>
        <w:rPr>
          <w:shd w:val="clear" w:fill="FFFFFF"/>
        </w:rPr>
        <w:t>部门整体预算绩效管理情况</w:t>
      </w:r>
      <w:bookmarkEnd w:id="48"/>
      <w:bookmarkEnd w:id="49"/>
    </w:p>
    <w:p>
      <w:pPr>
        <w:pStyle w:val="12"/>
        <w:keepNext w:val="0"/>
        <w:keepLines w:val="0"/>
        <w:widowControl/>
        <w:suppressLineNumbers w:val="0"/>
        <w:spacing w:before="0" w:beforeAutospacing="0"/>
        <w:ind w:left="0" w:firstLine="480" w:firstLineChars="200"/>
        <w:jc w:val="left"/>
      </w:pPr>
      <w:r>
        <w:rPr>
          <w:shd w:val="clear" w:fill="FFFFFF"/>
        </w:rPr>
        <w:t>（一）部门预算项目绩效管理。</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80" w:firstLineChars="200"/>
        <w:rPr>
          <w:rFonts w:hint="eastAsia" w:ascii="宋体" w:hAnsi="宋体" w:eastAsia="宋体" w:cs="宋体"/>
          <w:kern w:val="0"/>
          <w:sz w:val="24"/>
          <w:szCs w:val="24"/>
          <w:shd w:val="clear" w:fill="FFFFFF"/>
          <w:lang w:val="zh-CN" w:eastAsia="zh-CN"/>
        </w:rPr>
      </w:pPr>
      <w:r>
        <w:rPr>
          <w:rFonts w:hint="eastAsia" w:ascii="宋体" w:hAnsi="宋体" w:eastAsia="宋体" w:cs="宋体"/>
          <w:kern w:val="0"/>
          <w:sz w:val="24"/>
          <w:szCs w:val="24"/>
          <w:shd w:val="clear" w:fill="FFFFFF"/>
          <w:lang w:val="en-US" w:eastAsia="zh-CN" w:bidi="ar"/>
        </w:rPr>
        <w:t xml:space="preserve"> </w:t>
      </w:r>
      <w:r>
        <w:rPr>
          <w:rFonts w:hint="eastAsia" w:ascii="宋体" w:hAnsi="宋体" w:eastAsia="宋体" w:cs="宋体"/>
          <w:b/>
          <w:bCs/>
          <w:kern w:val="0"/>
          <w:sz w:val="24"/>
          <w:szCs w:val="24"/>
          <w:shd w:val="clear" w:fill="FFFFFF"/>
          <w:lang w:val="en-US" w:eastAsia="zh-CN" w:bidi="ar"/>
        </w:rPr>
        <w:t>1、</w:t>
      </w:r>
      <w:r>
        <w:rPr>
          <w:rFonts w:hint="eastAsia" w:ascii="宋体" w:hAnsi="宋体" w:eastAsia="宋体" w:cs="宋体"/>
          <w:b/>
          <w:bCs/>
          <w:kern w:val="0"/>
          <w:sz w:val="24"/>
          <w:szCs w:val="24"/>
          <w:shd w:val="clear" w:fill="FFFFFF"/>
          <w:lang w:val="zh-CN" w:eastAsia="zh-CN" w:bidi="ar"/>
        </w:rPr>
        <w:t>支出预算安排情况</w:t>
      </w:r>
    </w:p>
    <w:p>
      <w:pPr>
        <w:pStyle w:val="16"/>
        <w:keepNext w:val="0"/>
        <w:keepLines w:val="0"/>
        <w:widowControl/>
        <w:suppressLineNumbers w:val="0"/>
        <w:spacing w:before="0" w:beforeAutospacing="0"/>
        <w:ind w:firstLine="480" w:firstLineChars="200"/>
        <w:jc w:val="left"/>
        <w:rPr>
          <w:rFonts w:hint="eastAsia" w:ascii="宋体" w:hAnsi="宋体" w:eastAsia="宋体" w:cs="宋体"/>
          <w:kern w:val="0"/>
          <w:sz w:val="24"/>
          <w:szCs w:val="24"/>
          <w:shd w:val="clear" w:fill="FFFFFF"/>
          <w:lang w:val="zh-CN" w:eastAsia="zh-CN"/>
        </w:rPr>
      </w:pPr>
      <w:r>
        <w:rPr>
          <w:rFonts w:hint="eastAsia" w:ascii="宋体" w:hAnsi="宋体" w:eastAsia="宋体" w:cs="宋体"/>
          <w:kern w:val="0"/>
          <w:sz w:val="24"/>
          <w:szCs w:val="24"/>
          <w:shd w:val="clear" w:fill="FFFFFF"/>
          <w:lang w:val="zh-CN" w:eastAsia="zh-CN"/>
        </w:rPr>
        <w:t>红原县</w:t>
      </w:r>
      <w:r>
        <w:rPr>
          <w:rFonts w:hint="eastAsia" w:ascii="宋体" w:hAnsi="宋体" w:eastAsia="宋体" w:cs="宋体"/>
          <w:kern w:val="0"/>
          <w:sz w:val="24"/>
          <w:szCs w:val="24"/>
          <w:shd w:val="clear" w:fill="FFFFFF"/>
          <w:lang w:val="en-US" w:eastAsia="zh-CN"/>
        </w:rPr>
        <w:t>红十字</w:t>
      </w:r>
      <w:r>
        <w:rPr>
          <w:rFonts w:hint="eastAsia" w:ascii="宋体" w:hAnsi="宋体" w:eastAsia="宋体" w:cs="宋体"/>
          <w:kern w:val="0"/>
          <w:sz w:val="24"/>
          <w:szCs w:val="24"/>
          <w:shd w:val="clear" w:fill="FFFFFF"/>
          <w:lang w:val="zh-CN" w:eastAsia="zh-CN"/>
        </w:rPr>
        <w:t>预算安排支出主要用于保障本部门机构正常运转、完成日常工作任务以及承担</w:t>
      </w:r>
      <w:r>
        <w:rPr>
          <w:rFonts w:hint="eastAsia" w:ascii="宋体" w:hAnsi="宋体" w:eastAsia="宋体" w:cs="宋体"/>
          <w:kern w:val="0"/>
          <w:sz w:val="24"/>
          <w:szCs w:val="24"/>
          <w:shd w:val="clear" w:fill="FFFFFF"/>
          <w:lang w:val="en-US" w:eastAsia="zh-CN"/>
        </w:rPr>
        <w:t>应急救护培训和普及的</w:t>
      </w:r>
      <w:r>
        <w:rPr>
          <w:rFonts w:hint="eastAsia" w:ascii="宋体" w:hAnsi="宋体" w:eastAsia="宋体" w:cs="宋体"/>
          <w:kern w:val="0"/>
          <w:sz w:val="24"/>
          <w:szCs w:val="24"/>
          <w:shd w:val="clear" w:fill="FFFFFF"/>
          <w:lang w:val="zh-CN" w:eastAsia="zh-CN"/>
        </w:rPr>
        <w:t>相关工作。</w:t>
      </w:r>
      <w:r>
        <w:rPr>
          <w:rFonts w:hint="eastAsia" w:ascii="宋体" w:hAnsi="宋体" w:eastAsia="宋体" w:cs="宋体"/>
          <w:kern w:val="0"/>
          <w:sz w:val="24"/>
          <w:szCs w:val="24"/>
          <w:shd w:val="clear" w:fill="FFFFFF"/>
        </w:rPr>
        <w:t>一般公共预算财政</w:t>
      </w:r>
      <w:r>
        <w:rPr>
          <w:rFonts w:hint="eastAsia" w:ascii="宋体" w:hAnsi="宋体" w:eastAsia="宋体" w:cs="宋体"/>
          <w:kern w:val="0"/>
          <w:sz w:val="24"/>
          <w:szCs w:val="24"/>
          <w:shd w:val="clear" w:fill="FFFFFF"/>
          <w:lang w:val="en-US" w:eastAsia="zh-CN"/>
        </w:rPr>
        <w:t>经费</w:t>
      </w:r>
      <w:r>
        <w:rPr>
          <w:rFonts w:hint="eastAsia" w:ascii="宋体" w:hAnsi="宋体" w:eastAsia="宋体" w:cs="宋体"/>
          <w:kern w:val="0"/>
          <w:sz w:val="24"/>
          <w:szCs w:val="24"/>
          <w:shd w:val="clear" w:fill="FFFFFF"/>
          <w:lang w:val="zh-CN" w:eastAsia="zh-CN"/>
        </w:rPr>
        <w:t>支出</w:t>
      </w:r>
      <w:r>
        <w:rPr>
          <w:rFonts w:hint="eastAsia" w:ascii="宋体" w:hAnsi="宋体" w:eastAsia="宋体" w:cs="宋体"/>
          <w:kern w:val="0"/>
          <w:sz w:val="24"/>
          <w:szCs w:val="24"/>
          <w:shd w:val="clear" w:fill="FFFFFF"/>
          <w:lang w:val="en-US" w:eastAsia="zh-CN"/>
        </w:rPr>
        <w:t>113.32</w:t>
      </w:r>
      <w:r>
        <w:rPr>
          <w:rFonts w:hint="eastAsia" w:ascii="宋体" w:hAnsi="宋体" w:eastAsia="宋体" w:cs="宋体"/>
          <w:kern w:val="0"/>
          <w:sz w:val="24"/>
          <w:szCs w:val="24"/>
          <w:shd w:val="clear" w:fill="FFFFFF"/>
          <w:lang w:val="zh-CN" w:eastAsia="zh-CN"/>
        </w:rPr>
        <w:t>万元。按支出功能分类主要用于以下方面:</w:t>
      </w:r>
    </w:p>
    <w:p>
      <w:pPr>
        <w:pStyle w:val="16"/>
        <w:keepNext w:val="0"/>
        <w:keepLines w:val="0"/>
        <w:widowControl/>
        <w:suppressLineNumbers w:val="0"/>
        <w:spacing w:before="0" w:beforeAutospacing="0"/>
        <w:ind w:firstLine="480" w:firstLineChars="200"/>
        <w:jc w:val="left"/>
        <w:rPr>
          <w:rFonts w:hint="eastAsia" w:ascii="宋体" w:hAnsi="宋体" w:eastAsia="宋体" w:cs="宋体"/>
          <w:kern w:val="0"/>
          <w:sz w:val="24"/>
          <w:szCs w:val="24"/>
          <w:shd w:val="clear" w:fill="FFFFFF"/>
          <w:lang w:val="zh-CN" w:eastAsia="zh-CN"/>
        </w:rPr>
      </w:pPr>
      <w:r>
        <w:rPr>
          <w:rFonts w:hint="eastAsia" w:ascii="宋体" w:hAnsi="宋体" w:eastAsia="宋体" w:cs="宋体"/>
          <w:kern w:val="0"/>
          <w:sz w:val="24"/>
          <w:szCs w:val="24"/>
          <w:shd w:val="clear" w:fill="FFFFFF"/>
          <w:lang w:val="en-US" w:eastAsia="zh-CN"/>
        </w:rPr>
        <w:t>1.社会保障和就业支出决算为</w:t>
      </w:r>
      <w:r>
        <w:rPr>
          <w:rFonts w:hint="eastAsia" w:cs="宋体"/>
          <w:kern w:val="0"/>
          <w:sz w:val="24"/>
          <w:szCs w:val="24"/>
          <w:shd w:val="clear" w:fill="FFFFFF"/>
          <w:lang w:val="en-US" w:eastAsia="zh-CN"/>
        </w:rPr>
        <w:t>124.26</w:t>
      </w:r>
      <w:r>
        <w:rPr>
          <w:rFonts w:hint="eastAsia" w:ascii="宋体" w:hAnsi="宋体" w:eastAsia="宋体" w:cs="宋体"/>
          <w:kern w:val="0"/>
          <w:sz w:val="24"/>
          <w:szCs w:val="24"/>
          <w:shd w:val="clear" w:fill="FFFFFF"/>
          <w:lang w:val="en-US" w:eastAsia="zh-CN"/>
        </w:rPr>
        <w:t>万元，</w:t>
      </w:r>
      <w:r>
        <w:rPr>
          <w:rFonts w:hint="eastAsia" w:ascii="宋体" w:hAnsi="宋体" w:eastAsia="宋体" w:cs="宋体"/>
          <w:kern w:val="0"/>
          <w:sz w:val="24"/>
          <w:szCs w:val="24"/>
          <w:shd w:val="clear" w:fill="FFFFFF"/>
          <w:lang w:val="zh-CN" w:eastAsia="zh-CN"/>
        </w:rPr>
        <w:t>主要用于机关及下属事业单位养老保险及职业年金缴费支出。</w:t>
      </w:r>
    </w:p>
    <w:p>
      <w:pPr>
        <w:pStyle w:val="16"/>
        <w:keepNext w:val="0"/>
        <w:keepLines w:val="0"/>
        <w:widowControl/>
        <w:suppressLineNumbers w:val="0"/>
        <w:spacing w:before="0" w:beforeAutospacing="0"/>
        <w:ind w:firstLine="480" w:firstLineChars="200"/>
        <w:jc w:val="left"/>
        <w:rPr>
          <w:rFonts w:hint="eastAsia" w:ascii="宋体" w:hAnsi="宋体" w:eastAsia="宋体" w:cs="宋体"/>
          <w:kern w:val="0"/>
          <w:sz w:val="24"/>
          <w:szCs w:val="24"/>
          <w:shd w:val="clear" w:fill="FFFFFF"/>
          <w:lang w:val="en-US" w:eastAsia="zh-CN"/>
        </w:rPr>
      </w:pPr>
      <w:r>
        <w:rPr>
          <w:rFonts w:hint="eastAsia" w:ascii="宋体" w:hAnsi="宋体" w:eastAsia="宋体" w:cs="宋体"/>
          <w:kern w:val="0"/>
          <w:sz w:val="24"/>
          <w:szCs w:val="24"/>
          <w:shd w:val="clear" w:fill="FFFFFF"/>
          <w:lang w:val="en-US" w:eastAsia="zh-CN"/>
        </w:rPr>
        <w:t>2.卫生健康支出决算为</w:t>
      </w:r>
      <w:r>
        <w:rPr>
          <w:rFonts w:hint="eastAsia" w:cs="宋体"/>
          <w:kern w:val="0"/>
          <w:sz w:val="24"/>
          <w:szCs w:val="24"/>
          <w:shd w:val="clear" w:fill="FFFFFF"/>
          <w:lang w:val="en-US" w:eastAsia="zh-CN"/>
        </w:rPr>
        <w:t>5.22</w:t>
      </w:r>
      <w:r>
        <w:rPr>
          <w:rFonts w:hint="eastAsia" w:ascii="宋体" w:hAnsi="宋体" w:eastAsia="宋体" w:cs="宋体"/>
          <w:kern w:val="0"/>
          <w:sz w:val="24"/>
          <w:szCs w:val="24"/>
          <w:shd w:val="clear" w:fill="FFFFFF"/>
          <w:lang w:val="en-US" w:eastAsia="zh-CN"/>
        </w:rPr>
        <w:t>万元，</w:t>
      </w:r>
      <w:r>
        <w:rPr>
          <w:rFonts w:hint="eastAsia" w:ascii="宋体" w:hAnsi="宋体" w:eastAsia="宋体" w:cs="宋体"/>
          <w:kern w:val="0"/>
          <w:sz w:val="24"/>
          <w:szCs w:val="24"/>
          <w:shd w:val="clear" w:fill="FFFFFF"/>
          <w:lang w:val="zh-CN" w:eastAsia="zh-CN"/>
        </w:rPr>
        <w:t>主要用于机关及下属事业单位按照规定标准为职工缴纳的基本医疗保险及公务员医疗补助等支出</w:t>
      </w:r>
      <w:r>
        <w:rPr>
          <w:rFonts w:hint="eastAsia" w:ascii="宋体" w:hAnsi="宋体" w:eastAsia="宋体" w:cs="宋体"/>
          <w:kern w:val="0"/>
          <w:sz w:val="24"/>
          <w:szCs w:val="24"/>
          <w:shd w:val="clear" w:fill="FFFFFF"/>
          <w:lang w:val="en-US" w:eastAsia="zh-CN"/>
        </w:rPr>
        <w:t>。</w:t>
      </w:r>
    </w:p>
    <w:p>
      <w:pPr>
        <w:pStyle w:val="16"/>
        <w:keepNext w:val="0"/>
        <w:keepLines w:val="0"/>
        <w:widowControl/>
        <w:suppressLineNumbers w:val="0"/>
        <w:spacing w:before="0" w:beforeAutospacing="0"/>
        <w:ind w:firstLine="480" w:firstLineChars="200"/>
        <w:jc w:val="left"/>
        <w:rPr>
          <w:rFonts w:hint="eastAsia" w:ascii="宋体" w:hAnsi="宋体" w:eastAsia="宋体" w:cs="宋体"/>
          <w:kern w:val="0"/>
          <w:sz w:val="24"/>
          <w:szCs w:val="24"/>
          <w:shd w:val="clear" w:fill="FFFFFF"/>
          <w:lang w:val="en-US" w:eastAsia="zh-CN"/>
        </w:rPr>
      </w:pPr>
      <w:r>
        <w:rPr>
          <w:rFonts w:hint="eastAsia" w:cs="宋体"/>
          <w:kern w:val="0"/>
          <w:sz w:val="24"/>
          <w:szCs w:val="24"/>
          <w:shd w:val="clear" w:fill="FFFFFF"/>
          <w:lang w:val="en-US" w:eastAsia="zh-CN"/>
        </w:rPr>
        <w:t>3</w:t>
      </w:r>
      <w:r>
        <w:rPr>
          <w:rFonts w:hint="eastAsia" w:ascii="宋体" w:hAnsi="宋体" w:eastAsia="宋体" w:cs="宋体"/>
          <w:kern w:val="0"/>
          <w:sz w:val="24"/>
          <w:szCs w:val="24"/>
          <w:shd w:val="clear" w:fill="FFFFFF"/>
          <w:lang w:val="en-US" w:eastAsia="zh-CN"/>
        </w:rPr>
        <w:t>.住房保障支出决算为</w:t>
      </w:r>
      <w:r>
        <w:rPr>
          <w:rFonts w:hint="eastAsia" w:cs="宋体"/>
          <w:kern w:val="0"/>
          <w:sz w:val="24"/>
          <w:szCs w:val="24"/>
          <w:shd w:val="clear" w:fill="FFFFFF"/>
          <w:lang w:val="en-US" w:eastAsia="zh-CN"/>
        </w:rPr>
        <w:t>8.17</w:t>
      </w:r>
      <w:r>
        <w:rPr>
          <w:rFonts w:hint="eastAsia" w:ascii="宋体" w:hAnsi="宋体" w:eastAsia="宋体" w:cs="宋体"/>
          <w:kern w:val="0"/>
          <w:sz w:val="24"/>
          <w:szCs w:val="24"/>
          <w:shd w:val="clear" w:fill="FFFFFF"/>
          <w:lang w:val="en-US" w:eastAsia="zh-CN"/>
        </w:rPr>
        <w:t>万元，</w:t>
      </w:r>
      <w:r>
        <w:rPr>
          <w:rFonts w:hint="eastAsia" w:ascii="宋体" w:hAnsi="宋体" w:eastAsia="宋体" w:cs="宋体"/>
          <w:kern w:val="0"/>
          <w:sz w:val="24"/>
          <w:szCs w:val="24"/>
          <w:shd w:val="clear" w:fill="FFFFFF"/>
          <w:lang w:val="zh-CN" w:eastAsia="zh-CN"/>
        </w:rPr>
        <w:t>用于机关及下属事业单位按照规定标准为职工缴纳住房公积金等支出</w:t>
      </w:r>
      <w:r>
        <w:rPr>
          <w:rFonts w:hint="eastAsia" w:ascii="宋体" w:hAnsi="宋体" w:eastAsia="宋体" w:cs="宋体"/>
          <w:kern w:val="0"/>
          <w:sz w:val="24"/>
          <w:szCs w:val="24"/>
          <w:shd w:val="clear" w:fill="FFFFFF"/>
          <w:lang w:val="en-US" w:eastAsia="zh-CN"/>
        </w:rPr>
        <w:t>。</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82" w:firstLineChars="200"/>
        <w:rPr>
          <w:rFonts w:hint="eastAsia" w:ascii="宋体" w:hAnsi="宋体" w:eastAsia="宋体" w:cs="宋体"/>
          <w:kern w:val="0"/>
          <w:sz w:val="24"/>
          <w:szCs w:val="24"/>
          <w:shd w:val="clear" w:fill="FFFFFF"/>
          <w:lang w:val="zh-CN" w:eastAsia="zh-CN" w:bidi="ar"/>
        </w:rPr>
      </w:pPr>
      <w:r>
        <w:rPr>
          <w:rFonts w:hint="eastAsia" w:ascii="宋体" w:hAnsi="宋体" w:eastAsia="宋体" w:cs="宋体"/>
          <w:b/>
          <w:bCs/>
          <w:kern w:val="0"/>
          <w:sz w:val="24"/>
          <w:szCs w:val="24"/>
          <w:shd w:val="clear" w:fill="FFFFFF"/>
          <w:lang w:val="en-US" w:eastAsia="zh-CN" w:bidi="ar"/>
        </w:rPr>
        <w:t>2、</w:t>
      </w:r>
      <w:r>
        <w:rPr>
          <w:rFonts w:hint="eastAsia" w:ascii="宋体" w:hAnsi="宋体" w:eastAsia="宋体" w:cs="宋体"/>
          <w:b/>
          <w:bCs/>
          <w:kern w:val="0"/>
          <w:sz w:val="24"/>
          <w:szCs w:val="24"/>
          <w:shd w:val="clear" w:fill="FFFFFF"/>
          <w:lang w:val="zh-CN" w:eastAsia="zh-CN" w:bidi="ar"/>
        </w:rPr>
        <w:t>绩效目标设置情况</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80" w:firstLineChars="200"/>
        <w:rPr>
          <w:rFonts w:hint="eastAsia" w:ascii="宋体" w:hAnsi="宋体" w:eastAsia="宋体" w:cs="宋体"/>
          <w:kern w:val="0"/>
          <w:sz w:val="24"/>
          <w:szCs w:val="24"/>
          <w:shd w:val="clear" w:fill="FFFFFF"/>
          <w:lang w:val="zh-CN" w:eastAsia="zh-CN" w:bidi="ar"/>
        </w:rPr>
      </w:pPr>
      <w:r>
        <w:rPr>
          <w:rFonts w:hint="eastAsia" w:ascii="宋体" w:hAnsi="宋体" w:eastAsia="宋体" w:cs="宋体"/>
          <w:kern w:val="0"/>
          <w:sz w:val="24"/>
          <w:szCs w:val="24"/>
          <w:shd w:val="clear" w:fill="FFFFFF"/>
          <w:lang w:val="zh-CN" w:eastAsia="zh-CN" w:bidi="ar"/>
        </w:rPr>
        <w:t>绩效目标是预算编制的前提和基础，按照“费随事定”的原则，20</w:t>
      </w:r>
      <w:r>
        <w:rPr>
          <w:rFonts w:hint="eastAsia" w:ascii="宋体" w:hAnsi="宋体" w:eastAsia="宋体" w:cs="宋体"/>
          <w:kern w:val="0"/>
          <w:sz w:val="24"/>
          <w:szCs w:val="24"/>
          <w:shd w:val="clear" w:fill="FFFFFF"/>
          <w:lang w:val="en-US" w:eastAsia="zh-CN" w:bidi="ar"/>
        </w:rPr>
        <w:t>21</w:t>
      </w:r>
      <w:r>
        <w:rPr>
          <w:rFonts w:hint="eastAsia" w:ascii="宋体" w:hAnsi="宋体" w:eastAsia="宋体" w:cs="宋体"/>
          <w:kern w:val="0"/>
          <w:sz w:val="24"/>
          <w:szCs w:val="24"/>
          <w:shd w:val="clear" w:fill="FFFFFF"/>
          <w:lang w:val="zh-CN" w:eastAsia="zh-CN" w:bidi="ar"/>
        </w:rPr>
        <w:t>年我单位项目支出按要求编制了绩效目标，从项目完成、项目效益、满意度。</w:t>
      </w:r>
    </w:p>
    <w:p>
      <w:pPr>
        <w:keepNext w:val="0"/>
        <w:keepLines w:val="0"/>
        <w:widowControl/>
        <w:suppressLineNumbers w:val="0"/>
        <w:adjustRightInd w:val="0"/>
        <w:snapToGrid w:val="0"/>
        <w:spacing w:before="0" w:beforeAutospacing="0" w:after="0" w:afterAutospacing="0" w:line="480" w:lineRule="exact"/>
        <w:ind w:right="0" w:firstLine="480" w:firstLineChars="200"/>
        <w:jc w:val="left"/>
        <w:rPr>
          <w:rFonts w:hint="eastAsia" w:ascii="宋体" w:hAnsi="宋体" w:eastAsia="宋体" w:cs="宋体"/>
          <w:kern w:val="0"/>
          <w:sz w:val="24"/>
          <w:szCs w:val="24"/>
          <w:shd w:val="clear" w:fill="FFFFFF"/>
          <w:lang w:val="zh-CN" w:eastAsia="zh-CN" w:bidi="ar"/>
        </w:rPr>
      </w:pPr>
      <w:bookmarkStart w:id="50" w:name="_Toc9105_WPSOffice_Level3"/>
      <w:r>
        <w:rPr>
          <w:rFonts w:hint="eastAsia" w:ascii="宋体" w:hAnsi="宋体" w:eastAsia="宋体" w:cs="宋体"/>
          <w:kern w:val="0"/>
          <w:sz w:val="24"/>
          <w:szCs w:val="24"/>
          <w:shd w:val="clear" w:fill="FFFFFF"/>
          <w:lang w:val="zh-CN" w:eastAsia="zh-CN" w:bidi="ar"/>
        </w:rPr>
        <w:t>（二）执行管理情况。</w:t>
      </w:r>
      <w:bookmarkEnd w:id="50"/>
      <w:r>
        <w:rPr>
          <w:rFonts w:hint="eastAsia" w:ascii="宋体" w:hAnsi="宋体" w:eastAsia="宋体" w:cs="宋体"/>
          <w:kern w:val="0"/>
          <w:sz w:val="24"/>
          <w:szCs w:val="24"/>
          <w:shd w:val="clear" w:fill="FFFFFF"/>
          <w:lang w:val="zh-CN" w:eastAsia="zh-CN" w:bidi="ar"/>
        </w:rPr>
        <w:tab/>
      </w:r>
    </w:p>
    <w:p>
      <w:pPr>
        <w:pStyle w:val="12"/>
        <w:keepNext w:val="0"/>
        <w:keepLines w:val="0"/>
        <w:widowControl/>
        <w:suppressLineNumbers w:val="0"/>
        <w:spacing w:before="0" w:beforeAutospacing="0"/>
        <w:ind w:left="0" w:firstLine="480" w:firstLineChars="200"/>
        <w:jc w:val="left"/>
        <w:rPr>
          <w:rFonts w:hint="eastAsia" w:ascii="宋体" w:hAnsi="宋体" w:eastAsia="宋体" w:cs="宋体"/>
          <w:kern w:val="0"/>
          <w:sz w:val="24"/>
          <w:szCs w:val="24"/>
          <w:shd w:val="clear" w:fill="FFFFFF"/>
          <w:lang w:val="en-US" w:eastAsia="zh-CN" w:bidi="ar"/>
        </w:rPr>
      </w:pPr>
      <w:r>
        <w:rPr>
          <w:rFonts w:hint="eastAsia" w:ascii="宋体" w:hAnsi="宋体" w:eastAsia="宋体" w:cs="宋体"/>
          <w:kern w:val="0"/>
          <w:sz w:val="24"/>
          <w:szCs w:val="24"/>
          <w:shd w:val="clear" w:fill="FFFFFF"/>
          <w:lang w:val="zh-CN" w:eastAsia="zh-CN" w:bidi="ar"/>
        </w:rPr>
        <w:t>本年度三公经费预算安排支出为</w:t>
      </w:r>
      <w:r>
        <w:rPr>
          <w:rFonts w:hint="eastAsia" w:ascii="宋体" w:hAnsi="宋体" w:eastAsia="宋体" w:cs="宋体"/>
          <w:kern w:val="0"/>
          <w:sz w:val="24"/>
          <w:szCs w:val="24"/>
          <w:shd w:val="clear" w:fill="FFFFFF"/>
          <w:lang w:val="en-US" w:eastAsia="zh-CN" w:bidi="ar"/>
        </w:rPr>
        <w:t>3.72</w:t>
      </w:r>
      <w:r>
        <w:rPr>
          <w:rFonts w:hint="eastAsia" w:ascii="宋体" w:hAnsi="宋体" w:eastAsia="宋体" w:cs="宋体"/>
          <w:kern w:val="0"/>
          <w:sz w:val="24"/>
          <w:szCs w:val="24"/>
          <w:shd w:val="clear" w:fill="FFFFFF"/>
          <w:lang w:val="zh-CN" w:eastAsia="zh-CN" w:bidi="ar"/>
        </w:rPr>
        <w:t>万元，其中：出国费0万元，与上年持平，主要原因为未安排因公出国；公车购置费0元，与上年持平；公务用车维护费支出</w:t>
      </w:r>
      <w:r>
        <w:rPr>
          <w:rFonts w:hint="eastAsia" w:ascii="宋体" w:hAnsi="宋体" w:eastAsia="宋体" w:cs="宋体"/>
          <w:kern w:val="0"/>
          <w:sz w:val="24"/>
          <w:szCs w:val="24"/>
          <w:shd w:val="clear" w:fill="FFFFFF"/>
          <w:lang w:val="en-US" w:eastAsia="zh-CN" w:bidi="ar"/>
        </w:rPr>
        <w:t>3.62</w:t>
      </w:r>
      <w:r>
        <w:rPr>
          <w:rFonts w:hint="eastAsia" w:ascii="宋体" w:hAnsi="宋体" w:eastAsia="宋体" w:cs="宋体"/>
          <w:kern w:val="0"/>
          <w:sz w:val="24"/>
          <w:szCs w:val="24"/>
          <w:shd w:val="clear" w:fill="FFFFFF"/>
          <w:lang w:val="zh-CN" w:eastAsia="zh-CN" w:bidi="ar"/>
        </w:rPr>
        <w:t>万元，</w:t>
      </w:r>
      <w:r>
        <w:rPr>
          <w:shd w:val="clear" w:fill="FFFFFF"/>
        </w:rPr>
        <w:t>比</w:t>
      </w:r>
      <w:r>
        <w:rPr>
          <w:rFonts w:hint="eastAsia"/>
          <w:shd w:val="clear" w:fill="FFFFFF"/>
          <w:lang w:val="en-US" w:eastAsia="zh-CN"/>
        </w:rPr>
        <w:t>上年度</w:t>
      </w:r>
      <w:r>
        <w:rPr>
          <w:shd w:val="clear" w:fill="FFFFFF"/>
        </w:rPr>
        <w:t>增加1.08万元，增长42.45%。主要原因是</w:t>
      </w:r>
      <w:r>
        <w:rPr>
          <w:rFonts w:hint="eastAsia" w:cs="宋体"/>
          <w:kern w:val="0"/>
          <w:sz w:val="24"/>
          <w:szCs w:val="24"/>
          <w:shd w:val="clear" w:fill="FFFFFF"/>
          <w:lang w:val="en-US" w:eastAsia="zh-CN"/>
        </w:rPr>
        <w:t>车辆老旧，维修频繁</w:t>
      </w:r>
      <w:r>
        <w:rPr>
          <w:rFonts w:hint="eastAsia" w:ascii="宋体" w:hAnsi="宋体" w:eastAsia="宋体" w:cs="宋体"/>
          <w:kern w:val="0"/>
          <w:sz w:val="24"/>
          <w:szCs w:val="24"/>
          <w:shd w:val="clear" w:fill="FFFFFF"/>
          <w:lang w:val="zh-CN" w:eastAsia="zh-CN" w:bidi="ar"/>
        </w:rPr>
        <w:t>；公务接待费</w:t>
      </w:r>
      <w:r>
        <w:rPr>
          <w:rFonts w:hint="eastAsia" w:cs="宋体"/>
          <w:kern w:val="0"/>
          <w:sz w:val="24"/>
          <w:szCs w:val="24"/>
          <w:shd w:val="clear" w:fill="FFFFFF"/>
          <w:lang w:val="en-US" w:eastAsia="zh-CN" w:bidi="ar"/>
        </w:rPr>
        <w:t>0.1</w:t>
      </w:r>
      <w:r>
        <w:rPr>
          <w:rFonts w:hint="eastAsia" w:ascii="宋体" w:hAnsi="宋体" w:eastAsia="宋体" w:cs="宋体"/>
          <w:kern w:val="0"/>
          <w:sz w:val="24"/>
          <w:szCs w:val="24"/>
          <w:shd w:val="clear" w:fill="FFFFFF"/>
          <w:lang w:val="zh-CN" w:eastAsia="zh-CN" w:bidi="ar"/>
        </w:rPr>
        <w:t>万元，</w:t>
      </w:r>
      <w:r>
        <w:rPr>
          <w:rFonts w:hint="eastAsia" w:cs="宋体"/>
          <w:kern w:val="0"/>
          <w:sz w:val="24"/>
          <w:szCs w:val="24"/>
          <w:shd w:val="clear" w:fill="FFFFFF"/>
          <w:lang w:val="en-US" w:eastAsia="zh-CN" w:bidi="ar"/>
        </w:rPr>
        <w:t>较</w:t>
      </w:r>
      <w:r>
        <w:rPr>
          <w:rFonts w:hint="eastAsia" w:ascii="宋体" w:hAnsi="宋体" w:eastAsia="宋体" w:cs="宋体"/>
          <w:kern w:val="0"/>
          <w:sz w:val="24"/>
          <w:szCs w:val="24"/>
          <w:shd w:val="clear" w:fill="FFFFFF"/>
          <w:lang w:val="zh-CN" w:eastAsia="zh-CN" w:bidi="ar"/>
        </w:rPr>
        <w:t>上年度</w:t>
      </w:r>
      <w:r>
        <w:rPr>
          <w:rFonts w:hint="eastAsia" w:cs="宋体"/>
          <w:kern w:val="0"/>
          <w:sz w:val="24"/>
          <w:szCs w:val="24"/>
          <w:shd w:val="clear" w:fill="FFFFFF"/>
          <w:lang w:val="en-US" w:eastAsia="zh-CN" w:bidi="ar"/>
        </w:rPr>
        <w:t>增加0.1万元，主要原因</w:t>
      </w:r>
      <w:r>
        <w:rPr>
          <w:rFonts w:hint="eastAsia"/>
          <w:shd w:val="clear" w:fill="FFFFFF"/>
          <w:lang w:val="en-US" w:eastAsia="zh-CN"/>
        </w:rPr>
        <w:t>上年度未支出公务接待费</w:t>
      </w:r>
      <w:r>
        <w:rPr>
          <w:rFonts w:hint="eastAsia" w:ascii="宋体" w:hAnsi="宋体" w:eastAsia="宋体" w:cs="宋体"/>
          <w:kern w:val="0"/>
          <w:sz w:val="24"/>
          <w:szCs w:val="24"/>
          <w:shd w:val="clear" w:fill="FFFFFF"/>
          <w:lang w:val="en-US" w:eastAsia="zh-CN" w:bidi="ar"/>
        </w:rPr>
        <w:t>。</w:t>
      </w:r>
      <w:bookmarkStart w:id="51" w:name="_Toc27052_WPSOffice_Level3"/>
    </w:p>
    <w:p>
      <w:pPr>
        <w:pStyle w:val="12"/>
        <w:keepNext w:val="0"/>
        <w:keepLines w:val="0"/>
        <w:widowControl/>
        <w:suppressLineNumbers w:val="0"/>
        <w:spacing w:before="0" w:beforeAutospacing="0"/>
        <w:ind w:left="0" w:firstLine="480" w:firstLineChars="200"/>
        <w:jc w:val="left"/>
        <w:rPr>
          <w:rFonts w:hint="eastAsia" w:ascii="宋体" w:hAnsi="宋体" w:eastAsia="宋体" w:cs="宋体"/>
          <w:kern w:val="0"/>
          <w:sz w:val="24"/>
          <w:szCs w:val="24"/>
          <w:shd w:val="clear" w:fill="FFFFFF"/>
          <w:lang w:val="zh-CN" w:eastAsia="zh-CN" w:bidi="ar"/>
        </w:rPr>
      </w:pPr>
      <w:r>
        <w:rPr>
          <w:rFonts w:hint="eastAsia" w:ascii="宋体" w:hAnsi="宋体" w:eastAsia="宋体" w:cs="宋体"/>
          <w:kern w:val="0"/>
          <w:sz w:val="24"/>
          <w:szCs w:val="24"/>
          <w:shd w:val="clear" w:fill="FFFFFF"/>
          <w:lang w:val="zh-CN" w:eastAsia="zh-CN" w:bidi="ar"/>
        </w:rPr>
        <w:t>（三）综合管理情况。</w:t>
      </w:r>
      <w:bookmarkEnd w:id="51"/>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firstLine="482" w:firstLineChars="200"/>
        <w:rPr>
          <w:rFonts w:hint="eastAsia" w:ascii="宋体" w:hAnsi="宋体" w:eastAsia="宋体" w:cs="宋体"/>
          <w:kern w:val="0"/>
          <w:sz w:val="24"/>
          <w:szCs w:val="24"/>
          <w:shd w:val="clear" w:fill="FFFFFF"/>
          <w:lang w:val="zh-CN" w:eastAsia="zh-CN" w:bidi="ar"/>
        </w:rPr>
      </w:pPr>
      <w:r>
        <w:rPr>
          <w:rFonts w:hint="eastAsia" w:ascii="宋体" w:hAnsi="宋体" w:eastAsia="宋体" w:cs="宋体"/>
          <w:b/>
          <w:bCs/>
          <w:kern w:val="0"/>
          <w:sz w:val="24"/>
          <w:szCs w:val="24"/>
          <w:shd w:val="clear" w:fill="FFFFFF"/>
          <w:lang w:val="en-US" w:eastAsia="zh-CN" w:bidi="ar"/>
        </w:rPr>
        <w:t>1</w:t>
      </w:r>
      <w:r>
        <w:rPr>
          <w:rFonts w:hint="eastAsia" w:ascii="宋体" w:hAnsi="宋体" w:eastAsia="宋体" w:cs="宋体"/>
          <w:b/>
          <w:bCs/>
          <w:kern w:val="0"/>
          <w:sz w:val="24"/>
          <w:szCs w:val="24"/>
          <w:shd w:val="clear" w:fill="FFFFFF"/>
          <w:lang w:val="zh-CN" w:eastAsia="zh-CN" w:bidi="ar"/>
        </w:rPr>
        <w:t>、政府性基金预算收支情况说明</w:t>
      </w:r>
      <w:r>
        <w:rPr>
          <w:rFonts w:hint="eastAsia" w:ascii="宋体" w:hAnsi="宋体" w:eastAsia="宋体" w:cs="宋体"/>
          <w:kern w:val="0"/>
          <w:sz w:val="24"/>
          <w:szCs w:val="24"/>
          <w:shd w:val="clear" w:fill="FFFFFF"/>
          <w:lang w:val="zh-CN" w:eastAsia="zh-CN" w:bidi="ar"/>
        </w:rPr>
        <w:t>。</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80" w:firstLineChars="200"/>
        <w:rPr>
          <w:rFonts w:hint="eastAsia" w:ascii="宋体" w:hAnsi="宋体" w:eastAsia="宋体" w:cs="宋体"/>
          <w:kern w:val="0"/>
          <w:sz w:val="24"/>
          <w:szCs w:val="24"/>
          <w:shd w:val="clear" w:fill="FFFFFF"/>
          <w:lang w:val="zh-CN" w:eastAsia="zh-CN" w:bidi="ar"/>
        </w:rPr>
      </w:pPr>
      <w:r>
        <w:rPr>
          <w:rFonts w:hint="eastAsia" w:ascii="宋体" w:hAnsi="宋体" w:eastAsia="宋体" w:cs="宋体"/>
          <w:kern w:val="0"/>
          <w:sz w:val="24"/>
          <w:szCs w:val="24"/>
          <w:shd w:val="clear" w:fill="FFFFFF"/>
          <w:lang w:val="zh-CN" w:eastAsia="zh-CN" w:bidi="ar"/>
        </w:rPr>
        <w:t>20</w:t>
      </w:r>
      <w:r>
        <w:rPr>
          <w:rFonts w:hint="eastAsia" w:ascii="宋体" w:hAnsi="宋体" w:eastAsia="宋体" w:cs="宋体"/>
          <w:kern w:val="0"/>
          <w:sz w:val="24"/>
          <w:szCs w:val="24"/>
          <w:shd w:val="clear" w:fill="FFFFFF"/>
          <w:lang w:val="en-US" w:eastAsia="zh-CN" w:bidi="ar"/>
        </w:rPr>
        <w:t>20</w:t>
      </w:r>
      <w:r>
        <w:rPr>
          <w:rFonts w:hint="eastAsia" w:ascii="宋体" w:hAnsi="宋体" w:eastAsia="宋体" w:cs="宋体"/>
          <w:kern w:val="0"/>
          <w:sz w:val="24"/>
          <w:szCs w:val="24"/>
          <w:shd w:val="clear" w:fill="FFFFFF"/>
          <w:lang w:val="zh-CN" w:eastAsia="zh-CN" w:bidi="ar"/>
        </w:rPr>
        <w:t>年没有使用政府性基金预算拨款安排的支出。</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82" w:firstLineChars="200"/>
        <w:rPr>
          <w:rFonts w:hint="eastAsia" w:ascii="宋体" w:hAnsi="宋体" w:eastAsia="宋体" w:cs="宋体"/>
          <w:b/>
          <w:bCs/>
          <w:kern w:val="0"/>
          <w:sz w:val="24"/>
          <w:szCs w:val="24"/>
          <w:shd w:val="clear" w:fill="FFFFFF"/>
          <w:lang w:val="zh-CN" w:eastAsia="zh-CN" w:bidi="ar"/>
        </w:rPr>
      </w:pPr>
      <w:r>
        <w:rPr>
          <w:rFonts w:hint="eastAsia" w:ascii="宋体" w:hAnsi="宋体" w:eastAsia="宋体" w:cs="宋体"/>
          <w:b/>
          <w:bCs/>
          <w:kern w:val="0"/>
          <w:sz w:val="24"/>
          <w:szCs w:val="24"/>
          <w:shd w:val="clear" w:fill="FFFFFF"/>
          <w:lang w:val="en-US" w:eastAsia="zh-CN" w:bidi="ar"/>
        </w:rPr>
        <w:t>2</w:t>
      </w:r>
      <w:r>
        <w:rPr>
          <w:rFonts w:hint="eastAsia" w:ascii="宋体" w:hAnsi="宋体" w:eastAsia="宋体" w:cs="宋体"/>
          <w:b/>
          <w:bCs/>
          <w:kern w:val="0"/>
          <w:sz w:val="24"/>
          <w:szCs w:val="24"/>
          <w:shd w:val="clear" w:fill="FFFFFF"/>
          <w:lang w:val="zh-CN" w:eastAsia="zh-CN" w:bidi="ar"/>
        </w:rPr>
        <w:t>、国有资本经营预算收支情况说明。</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80" w:firstLineChars="200"/>
        <w:rPr>
          <w:rFonts w:hint="eastAsia" w:ascii="宋体" w:hAnsi="宋体" w:eastAsia="宋体" w:cs="宋体"/>
          <w:kern w:val="0"/>
          <w:sz w:val="24"/>
          <w:szCs w:val="24"/>
          <w:shd w:val="clear" w:fill="FFFFFF"/>
          <w:lang w:val="zh-CN" w:eastAsia="zh-CN" w:bidi="ar"/>
        </w:rPr>
      </w:pPr>
      <w:r>
        <w:rPr>
          <w:rFonts w:hint="eastAsia" w:ascii="宋体" w:hAnsi="宋体" w:eastAsia="宋体" w:cs="宋体"/>
          <w:kern w:val="0"/>
          <w:sz w:val="24"/>
          <w:szCs w:val="24"/>
          <w:shd w:val="clear" w:fill="FFFFFF"/>
          <w:lang w:val="zh-CN" w:eastAsia="zh-CN" w:bidi="ar"/>
        </w:rPr>
        <w:t>20</w:t>
      </w:r>
      <w:r>
        <w:rPr>
          <w:rFonts w:hint="eastAsia" w:ascii="宋体" w:hAnsi="宋体" w:eastAsia="宋体" w:cs="宋体"/>
          <w:kern w:val="0"/>
          <w:sz w:val="24"/>
          <w:szCs w:val="24"/>
          <w:shd w:val="clear" w:fill="FFFFFF"/>
          <w:lang w:val="en-US" w:eastAsia="zh-CN" w:bidi="ar"/>
        </w:rPr>
        <w:t>20</w:t>
      </w:r>
      <w:r>
        <w:rPr>
          <w:rFonts w:hint="eastAsia" w:ascii="宋体" w:hAnsi="宋体" w:eastAsia="宋体" w:cs="宋体"/>
          <w:kern w:val="0"/>
          <w:sz w:val="24"/>
          <w:szCs w:val="24"/>
          <w:shd w:val="clear" w:fill="FFFFFF"/>
          <w:lang w:val="zh-CN" w:eastAsia="zh-CN" w:bidi="ar"/>
        </w:rPr>
        <w:t>年没有使用国有资本经营预算拨款安排的支出。</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82" w:firstLineChars="200"/>
        <w:rPr>
          <w:rFonts w:hint="eastAsia" w:ascii="宋体" w:hAnsi="宋体" w:eastAsia="宋体" w:cs="宋体"/>
          <w:b/>
          <w:bCs/>
          <w:kern w:val="0"/>
          <w:sz w:val="24"/>
          <w:szCs w:val="24"/>
          <w:shd w:val="clear" w:fill="FFFFFF"/>
          <w:lang w:val="en-US" w:eastAsia="zh-CN" w:bidi="ar"/>
        </w:rPr>
      </w:pPr>
      <w:r>
        <w:rPr>
          <w:rFonts w:hint="eastAsia" w:ascii="宋体" w:hAnsi="宋体" w:eastAsia="宋体" w:cs="宋体"/>
          <w:b/>
          <w:bCs/>
          <w:kern w:val="0"/>
          <w:sz w:val="24"/>
          <w:szCs w:val="24"/>
          <w:shd w:val="clear" w:fill="FFFFFF"/>
          <w:lang w:val="en-US" w:eastAsia="zh-CN" w:bidi="ar"/>
        </w:rPr>
        <w:t>3</w:t>
      </w:r>
      <w:r>
        <w:rPr>
          <w:rFonts w:hint="eastAsia" w:ascii="宋体" w:hAnsi="宋体" w:eastAsia="宋体" w:cs="宋体"/>
          <w:b/>
          <w:bCs/>
          <w:kern w:val="0"/>
          <w:sz w:val="24"/>
          <w:szCs w:val="24"/>
          <w:shd w:val="clear" w:fill="FFFFFF"/>
          <w:lang w:val="zh-CN" w:eastAsia="zh-CN" w:bidi="ar"/>
        </w:rPr>
        <w:t>、其他重要事项的情况说明。</w:t>
      </w:r>
    </w:p>
    <w:p>
      <w:pPr>
        <w:pStyle w:val="12"/>
        <w:keepNext w:val="0"/>
        <w:keepLines w:val="0"/>
        <w:widowControl/>
        <w:suppressLineNumbers w:val="0"/>
        <w:spacing w:before="0" w:beforeAutospacing="0"/>
        <w:ind w:left="0" w:firstLine="480" w:firstLineChars="200"/>
        <w:jc w:val="left"/>
        <w:rPr>
          <w:rFonts w:hint="eastAsia" w:ascii="宋体" w:hAnsi="宋体" w:eastAsia="宋体" w:cs="宋体"/>
          <w:kern w:val="0"/>
          <w:sz w:val="24"/>
          <w:szCs w:val="24"/>
          <w:shd w:val="clear" w:fill="FFFFFF"/>
          <w:lang w:val="en-US" w:eastAsia="zh-CN" w:bidi="ar"/>
        </w:rPr>
      </w:pPr>
      <w:bookmarkStart w:id="52" w:name="_Toc14328_WPSOffice_Level3"/>
      <w:r>
        <w:rPr>
          <w:rFonts w:hint="eastAsia" w:ascii="宋体" w:hAnsi="宋体" w:eastAsia="宋体" w:cs="宋体"/>
          <w:kern w:val="0"/>
          <w:sz w:val="24"/>
          <w:szCs w:val="24"/>
          <w:shd w:val="clear" w:fill="FFFFFF"/>
          <w:lang w:val="en-US" w:eastAsia="zh-CN" w:bidi="ar"/>
        </w:rPr>
        <w:t>无。</w:t>
      </w:r>
    </w:p>
    <w:bookmarkEnd w:id="52"/>
    <w:p>
      <w:pPr>
        <w:pStyle w:val="12"/>
        <w:keepNext w:val="0"/>
        <w:keepLines w:val="0"/>
        <w:widowControl/>
        <w:suppressLineNumbers w:val="0"/>
        <w:spacing w:before="0" w:beforeAutospacing="0"/>
        <w:ind w:left="0" w:firstLine="480" w:firstLineChars="200"/>
        <w:jc w:val="left"/>
        <w:rPr>
          <w:shd w:val="clear" w:fill="FFFFFF"/>
        </w:rPr>
      </w:pPr>
      <w:r>
        <w:rPr>
          <w:shd w:val="clear" w:fill="FFFFFF"/>
        </w:rPr>
        <w:t>（</w:t>
      </w:r>
      <w:r>
        <w:rPr>
          <w:rFonts w:hint="eastAsia"/>
          <w:shd w:val="clear" w:fill="FFFFFF"/>
          <w:lang w:val="en-US" w:eastAsia="zh-CN"/>
        </w:rPr>
        <w:t>四</w:t>
      </w:r>
      <w:r>
        <w:rPr>
          <w:shd w:val="clear" w:fill="FFFFFF"/>
        </w:rPr>
        <w:t>）结果应用情况。</w:t>
      </w:r>
    </w:p>
    <w:p>
      <w:pPr>
        <w:pStyle w:val="12"/>
        <w:keepNext w:val="0"/>
        <w:keepLines w:val="0"/>
        <w:widowControl/>
        <w:suppressLineNumbers w:val="0"/>
        <w:spacing w:before="0" w:beforeAutospacing="0"/>
        <w:ind w:left="0" w:firstLine="480" w:firstLineChars="200"/>
        <w:jc w:val="left"/>
        <w:rPr>
          <w:rFonts w:hint="eastAsia" w:ascii="宋体" w:hAnsi="宋体" w:eastAsia="宋体" w:cs="宋体"/>
          <w:kern w:val="0"/>
          <w:sz w:val="24"/>
          <w:szCs w:val="24"/>
          <w:shd w:val="clear" w:fill="FFFFFF"/>
          <w:lang w:val="zh-CN" w:eastAsia="zh-CN" w:bidi="ar"/>
        </w:rPr>
      </w:pPr>
      <w:r>
        <w:rPr>
          <w:rFonts w:hint="eastAsia" w:ascii="宋体" w:hAnsi="宋体" w:eastAsia="宋体" w:cs="宋体"/>
          <w:kern w:val="0"/>
          <w:sz w:val="24"/>
          <w:szCs w:val="24"/>
          <w:shd w:val="clear" w:fill="FFFFFF"/>
          <w:lang w:val="zh-CN" w:eastAsia="zh-CN" w:bidi="ar"/>
        </w:rPr>
        <w:t>（</w:t>
      </w:r>
      <w:r>
        <w:rPr>
          <w:rFonts w:hint="eastAsia" w:ascii="宋体" w:hAnsi="宋体" w:eastAsia="宋体" w:cs="宋体"/>
          <w:kern w:val="0"/>
          <w:sz w:val="24"/>
          <w:szCs w:val="24"/>
          <w:shd w:val="clear" w:fill="FFFFFF"/>
          <w:lang w:val="en-US" w:eastAsia="zh-CN" w:bidi="ar"/>
        </w:rPr>
        <w:t>1</w:t>
      </w:r>
      <w:r>
        <w:rPr>
          <w:rFonts w:hint="eastAsia" w:ascii="宋体" w:hAnsi="宋体" w:eastAsia="宋体" w:cs="宋体"/>
          <w:kern w:val="0"/>
          <w:sz w:val="24"/>
          <w:szCs w:val="24"/>
          <w:shd w:val="clear" w:fill="FFFFFF"/>
          <w:lang w:val="zh-CN" w:eastAsia="zh-CN" w:bidi="ar"/>
        </w:rPr>
        <w:t>）职责履行结果。</w:t>
      </w:r>
    </w:p>
    <w:p>
      <w:pPr>
        <w:pStyle w:val="12"/>
        <w:keepNext w:val="0"/>
        <w:keepLines w:val="0"/>
        <w:widowControl/>
        <w:suppressLineNumbers w:val="0"/>
        <w:spacing w:before="0" w:beforeAutospacing="0"/>
        <w:ind w:left="0" w:firstLine="480" w:firstLineChars="200"/>
        <w:jc w:val="left"/>
        <w:rPr>
          <w:rFonts w:hint="eastAsia" w:ascii="宋体" w:hAnsi="宋体" w:eastAsia="宋体" w:cs="宋体"/>
          <w:kern w:val="0"/>
          <w:sz w:val="24"/>
          <w:szCs w:val="24"/>
          <w:shd w:val="clear" w:fill="FFFFFF"/>
          <w:lang w:val="zh-CN" w:eastAsia="zh-CN" w:bidi="ar"/>
        </w:rPr>
      </w:pPr>
      <w:r>
        <w:rPr>
          <w:rFonts w:hint="eastAsia" w:ascii="宋体" w:hAnsi="宋体" w:eastAsia="宋体" w:cs="宋体"/>
          <w:kern w:val="0"/>
          <w:sz w:val="24"/>
          <w:szCs w:val="24"/>
          <w:shd w:val="clear" w:fill="FFFFFF"/>
          <w:lang w:val="en-US" w:eastAsia="zh-CN" w:bidi="ar"/>
        </w:rPr>
        <w:t>县红会</w:t>
      </w:r>
      <w:r>
        <w:rPr>
          <w:rFonts w:hint="eastAsia" w:ascii="宋体" w:hAnsi="宋体" w:eastAsia="宋体" w:cs="宋体"/>
          <w:kern w:val="0"/>
          <w:sz w:val="24"/>
          <w:szCs w:val="24"/>
          <w:shd w:val="clear" w:fill="FFFFFF"/>
          <w:lang w:val="zh-CN" w:eastAsia="zh-CN" w:bidi="ar"/>
        </w:rPr>
        <w:t>加强部门职责执行工作。进一步提高了办公办事质量水平，以严格规范单位行政行为，加强了单位组织领导，下设领导小组，保证工作组织有保障；建立权责明确的单位</w:t>
      </w:r>
      <w:r>
        <w:rPr>
          <w:rFonts w:hint="eastAsia" w:ascii="宋体" w:hAnsi="宋体" w:eastAsia="宋体" w:cs="宋体"/>
          <w:kern w:val="0"/>
          <w:sz w:val="24"/>
          <w:szCs w:val="24"/>
          <w:shd w:val="clear" w:fill="FFFFFF"/>
          <w:lang w:val="zh-CN" w:eastAsia="zh-CN" w:bidi="ar"/>
        </w:rPr>
        <w:fldChar w:fldCharType="begin"/>
      </w:r>
      <w:r>
        <w:rPr>
          <w:rFonts w:hint="eastAsia" w:ascii="宋体" w:hAnsi="宋体" w:eastAsia="宋体" w:cs="宋体"/>
          <w:kern w:val="0"/>
          <w:sz w:val="24"/>
          <w:szCs w:val="24"/>
          <w:shd w:val="clear" w:fill="FFFFFF"/>
          <w:lang w:val="zh-CN" w:eastAsia="zh-CN" w:bidi="ar"/>
        </w:rPr>
        <w:instrText xml:space="preserve"> HYPERLINK "http://www.so.com/s?q=%E4%BD%93%E5%88%B6&amp;ie=utf-8&amp;src=internal_wenda_recommend_textn" \t "https://wenda.so.com/q/_blank" </w:instrText>
      </w:r>
      <w:r>
        <w:rPr>
          <w:rFonts w:hint="eastAsia" w:ascii="宋体" w:hAnsi="宋体" w:eastAsia="宋体" w:cs="宋体"/>
          <w:kern w:val="0"/>
          <w:sz w:val="24"/>
          <w:szCs w:val="24"/>
          <w:shd w:val="clear" w:fill="FFFFFF"/>
          <w:lang w:val="zh-CN" w:eastAsia="zh-CN" w:bidi="ar"/>
        </w:rPr>
        <w:fldChar w:fldCharType="separate"/>
      </w:r>
      <w:r>
        <w:rPr>
          <w:rFonts w:hint="eastAsia" w:ascii="宋体" w:hAnsi="宋体" w:eastAsia="宋体" w:cs="宋体"/>
          <w:kern w:val="0"/>
          <w:sz w:val="24"/>
          <w:szCs w:val="24"/>
          <w:shd w:val="clear" w:fill="FFFFFF"/>
          <w:lang w:val="zh-CN" w:eastAsia="zh-CN" w:bidi="ar"/>
        </w:rPr>
        <w:t>体制</w:t>
      </w:r>
      <w:r>
        <w:rPr>
          <w:rFonts w:hint="eastAsia" w:ascii="宋体" w:hAnsi="宋体" w:eastAsia="宋体" w:cs="宋体"/>
          <w:kern w:val="0"/>
          <w:sz w:val="24"/>
          <w:szCs w:val="24"/>
          <w:shd w:val="clear" w:fill="FFFFFF"/>
          <w:lang w:val="zh-CN" w:eastAsia="zh-CN" w:bidi="ar"/>
        </w:rPr>
        <w:fldChar w:fldCharType="end"/>
      </w:r>
      <w:r>
        <w:rPr>
          <w:rFonts w:hint="eastAsia" w:ascii="宋体" w:hAnsi="宋体" w:eastAsia="宋体" w:cs="宋体"/>
          <w:kern w:val="0"/>
          <w:sz w:val="24"/>
          <w:szCs w:val="24"/>
          <w:shd w:val="clear" w:fill="FFFFFF"/>
          <w:lang w:val="zh-CN" w:eastAsia="zh-CN" w:bidi="ar"/>
        </w:rPr>
        <w:t>，促使</w:t>
      </w:r>
      <w:r>
        <w:rPr>
          <w:rFonts w:hint="eastAsia" w:ascii="宋体" w:hAnsi="宋体" w:eastAsia="宋体" w:cs="宋体"/>
          <w:kern w:val="0"/>
          <w:sz w:val="24"/>
          <w:szCs w:val="24"/>
          <w:shd w:val="clear" w:fill="FFFFFF"/>
          <w:lang w:val="zh-CN" w:eastAsia="zh-CN" w:bidi="ar"/>
        </w:rPr>
        <w:fldChar w:fldCharType="begin"/>
      </w:r>
      <w:r>
        <w:rPr>
          <w:rFonts w:hint="eastAsia" w:ascii="宋体" w:hAnsi="宋体" w:eastAsia="宋体" w:cs="宋体"/>
          <w:kern w:val="0"/>
          <w:sz w:val="24"/>
          <w:szCs w:val="24"/>
          <w:shd w:val="clear" w:fill="FFFFFF"/>
          <w:lang w:val="zh-CN" w:eastAsia="zh-CN" w:bidi="ar"/>
        </w:rPr>
        <w:instrText xml:space="preserve"> HYPERLINK "http://www.so.com/s?q=%E8%A1%8C%E6%94%BF%E6%9D%83%E5%8A%9B&amp;ie=utf-8&amp;src=internal_wenda_recommend_textn" \t "https://wenda.so.com/q/_blank" </w:instrText>
      </w:r>
      <w:r>
        <w:rPr>
          <w:rFonts w:hint="eastAsia" w:ascii="宋体" w:hAnsi="宋体" w:eastAsia="宋体" w:cs="宋体"/>
          <w:kern w:val="0"/>
          <w:sz w:val="24"/>
          <w:szCs w:val="24"/>
          <w:shd w:val="clear" w:fill="FFFFFF"/>
          <w:lang w:val="zh-CN" w:eastAsia="zh-CN" w:bidi="ar"/>
        </w:rPr>
        <w:fldChar w:fldCharType="separate"/>
      </w:r>
      <w:r>
        <w:rPr>
          <w:rFonts w:hint="eastAsia" w:ascii="宋体" w:hAnsi="宋体" w:eastAsia="宋体" w:cs="宋体"/>
          <w:kern w:val="0"/>
          <w:sz w:val="24"/>
          <w:szCs w:val="24"/>
          <w:shd w:val="clear" w:fill="FFFFFF"/>
          <w:lang w:val="zh-CN" w:eastAsia="zh-CN" w:bidi="ar"/>
        </w:rPr>
        <w:t>行政活</w:t>
      </w:r>
      <w:r>
        <w:rPr>
          <w:rFonts w:hint="eastAsia" w:ascii="宋体" w:hAnsi="宋体" w:eastAsia="宋体" w:cs="宋体"/>
          <w:kern w:val="0"/>
          <w:sz w:val="24"/>
          <w:szCs w:val="24"/>
          <w:shd w:val="clear" w:fill="FFFFFF"/>
          <w:lang w:val="zh-CN" w:eastAsia="zh-CN" w:bidi="ar"/>
        </w:rPr>
        <w:fldChar w:fldCharType="end"/>
      </w:r>
      <w:r>
        <w:rPr>
          <w:rFonts w:hint="eastAsia" w:ascii="宋体" w:hAnsi="宋体" w:eastAsia="宋体" w:cs="宋体"/>
          <w:kern w:val="0"/>
          <w:sz w:val="24"/>
          <w:szCs w:val="24"/>
          <w:shd w:val="clear" w:fill="FFFFFF"/>
          <w:lang w:val="zh-CN" w:eastAsia="zh-CN" w:bidi="ar"/>
        </w:rPr>
        <w:t>动授予有据、行使有规、监督有效；深化了单位内部</w:t>
      </w:r>
      <w:r>
        <w:rPr>
          <w:rFonts w:hint="eastAsia" w:ascii="宋体" w:hAnsi="宋体" w:eastAsia="宋体" w:cs="宋体"/>
          <w:kern w:val="0"/>
          <w:sz w:val="24"/>
          <w:szCs w:val="24"/>
          <w:shd w:val="clear" w:fill="FFFFFF"/>
          <w:lang w:val="zh-CN" w:eastAsia="zh-CN" w:bidi="ar"/>
        </w:rPr>
        <w:fldChar w:fldCharType="begin"/>
      </w:r>
      <w:r>
        <w:rPr>
          <w:rFonts w:hint="eastAsia" w:ascii="宋体" w:hAnsi="宋体" w:eastAsia="宋体" w:cs="宋体"/>
          <w:kern w:val="0"/>
          <w:sz w:val="24"/>
          <w:szCs w:val="24"/>
          <w:shd w:val="clear" w:fill="FFFFFF"/>
          <w:lang w:val="zh-CN" w:eastAsia="zh-CN" w:bidi="ar"/>
        </w:rPr>
        <w:instrText xml:space="preserve"> HYPERLINK "http://www.so.com/s?q=%E8%A1%8C%E6%94%BF%E7%AE%A1%E7%90%86%E4%BD%93%E5%88%B6&amp;ie=utf-8&amp;src=internal_wenda_recommend_textn" \t "https://wenda.so.com/q/_blank" </w:instrText>
      </w:r>
      <w:r>
        <w:rPr>
          <w:rFonts w:hint="eastAsia" w:ascii="宋体" w:hAnsi="宋体" w:eastAsia="宋体" w:cs="宋体"/>
          <w:kern w:val="0"/>
          <w:sz w:val="24"/>
          <w:szCs w:val="24"/>
          <w:shd w:val="clear" w:fill="FFFFFF"/>
          <w:lang w:val="zh-CN" w:eastAsia="zh-CN" w:bidi="ar"/>
        </w:rPr>
        <w:fldChar w:fldCharType="separate"/>
      </w:r>
      <w:r>
        <w:rPr>
          <w:rFonts w:hint="eastAsia" w:ascii="宋体" w:hAnsi="宋体" w:eastAsia="宋体" w:cs="宋体"/>
          <w:kern w:val="0"/>
          <w:sz w:val="24"/>
          <w:szCs w:val="24"/>
          <w:shd w:val="clear" w:fill="FFFFFF"/>
          <w:lang w:val="zh-CN" w:eastAsia="zh-CN" w:bidi="ar"/>
        </w:rPr>
        <w:t>行政管理体制</w:t>
      </w:r>
      <w:r>
        <w:rPr>
          <w:rFonts w:hint="eastAsia" w:ascii="宋体" w:hAnsi="宋体" w:eastAsia="宋体" w:cs="宋体"/>
          <w:kern w:val="0"/>
          <w:sz w:val="24"/>
          <w:szCs w:val="24"/>
          <w:shd w:val="clear" w:fill="FFFFFF"/>
          <w:lang w:val="zh-CN" w:eastAsia="zh-CN" w:bidi="ar"/>
        </w:rPr>
        <w:fldChar w:fldCharType="end"/>
      </w:r>
      <w:r>
        <w:rPr>
          <w:rFonts w:hint="eastAsia" w:ascii="宋体" w:hAnsi="宋体" w:eastAsia="宋体" w:cs="宋体"/>
          <w:kern w:val="0"/>
          <w:sz w:val="24"/>
          <w:szCs w:val="24"/>
          <w:shd w:val="clear" w:fill="FFFFFF"/>
          <w:lang w:val="zh-CN" w:eastAsia="zh-CN" w:bidi="ar"/>
        </w:rPr>
        <w:t>改革，努力形成</w:t>
      </w:r>
      <w:r>
        <w:rPr>
          <w:rFonts w:hint="eastAsia" w:ascii="宋体" w:hAnsi="宋体" w:eastAsia="宋体" w:cs="宋体"/>
          <w:kern w:val="0"/>
          <w:sz w:val="24"/>
          <w:szCs w:val="24"/>
          <w:shd w:val="clear" w:fill="FFFFFF"/>
          <w:lang w:val="zh-CN" w:eastAsia="zh-CN" w:bidi="ar"/>
        </w:rPr>
        <w:fldChar w:fldCharType="begin"/>
      </w:r>
      <w:r>
        <w:rPr>
          <w:rFonts w:hint="eastAsia" w:ascii="宋体" w:hAnsi="宋体" w:eastAsia="宋体" w:cs="宋体"/>
          <w:kern w:val="0"/>
          <w:sz w:val="24"/>
          <w:szCs w:val="24"/>
          <w:shd w:val="clear" w:fill="FFFFFF"/>
          <w:lang w:val="zh-CN" w:eastAsia="zh-CN" w:bidi="ar"/>
        </w:rPr>
        <w:instrText xml:space="preserve"> HYPERLINK "http://www.so.com/s?q=%E8%A1%8C%E4%B8%BA%E8%A7%84%E8%8C%83&amp;ie=utf-8&amp;src=internal_wenda_recommend_textn" \t "https://wenda.so.com/q/_blank" </w:instrText>
      </w:r>
      <w:r>
        <w:rPr>
          <w:rFonts w:hint="eastAsia" w:ascii="宋体" w:hAnsi="宋体" w:eastAsia="宋体" w:cs="宋体"/>
          <w:kern w:val="0"/>
          <w:sz w:val="24"/>
          <w:szCs w:val="24"/>
          <w:shd w:val="clear" w:fill="FFFFFF"/>
          <w:lang w:val="zh-CN" w:eastAsia="zh-CN" w:bidi="ar"/>
        </w:rPr>
        <w:fldChar w:fldCharType="separate"/>
      </w:r>
      <w:r>
        <w:rPr>
          <w:rFonts w:hint="eastAsia" w:ascii="宋体" w:hAnsi="宋体" w:eastAsia="宋体" w:cs="宋体"/>
          <w:kern w:val="0"/>
          <w:sz w:val="24"/>
          <w:szCs w:val="24"/>
          <w:shd w:val="clear" w:fill="FFFFFF"/>
          <w:lang w:val="zh-CN" w:eastAsia="zh-CN" w:bidi="ar"/>
        </w:rPr>
        <w:t>行为规范</w:t>
      </w:r>
      <w:r>
        <w:rPr>
          <w:rFonts w:hint="eastAsia" w:ascii="宋体" w:hAnsi="宋体" w:eastAsia="宋体" w:cs="宋体"/>
          <w:kern w:val="0"/>
          <w:sz w:val="24"/>
          <w:szCs w:val="24"/>
          <w:shd w:val="clear" w:fill="FFFFFF"/>
          <w:lang w:val="zh-CN" w:eastAsia="zh-CN" w:bidi="ar"/>
        </w:rPr>
        <w:fldChar w:fldCharType="end"/>
      </w:r>
      <w:r>
        <w:rPr>
          <w:rFonts w:hint="eastAsia" w:ascii="宋体" w:hAnsi="宋体" w:eastAsia="宋体" w:cs="宋体"/>
          <w:kern w:val="0"/>
          <w:sz w:val="24"/>
          <w:szCs w:val="24"/>
          <w:shd w:val="clear" w:fill="FFFFFF"/>
          <w:lang w:val="zh-CN" w:eastAsia="zh-CN" w:bidi="ar"/>
        </w:rPr>
        <w:t>、运转协调、公正透明、</w:t>
      </w:r>
      <w:r>
        <w:rPr>
          <w:rFonts w:hint="eastAsia" w:ascii="宋体" w:hAnsi="宋体" w:eastAsia="宋体" w:cs="宋体"/>
          <w:kern w:val="0"/>
          <w:sz w:val="24"/>
          <w:szCs w:val="24"/>
          <w:shd w:val="clear" w:fill="FFFFFF"/>
          <w:lang w:val="zh-CN" w:eastAsia="zh-CN" w:bidi="ar"/>
        </w:rPr>
        <w:fldChar w:fldCharType="begin"/>
      </w:r>
      <w:r>
        <w:rPr>
          <w:rFonts w:hint="eastAsia" w:ascii="宋体" w:hAnsi="宋体" w:eastAsia="宋体" w:cs="宋体"/>
          <w:kern w:val="0"/>
          <w:sz w:val="24"/>
          <w:szCs w:val="24"/>
          <w:shd w:val="clear" w:fill="FFFFFF"/>
          <w:lang w:val="zh-CN" w:eastAsia="zh-CN" w:bidi="ar"/>
        </w:rPr>
        <w:instrText xml:space="preserve"> HYPERLINK "http://www.so.com/s?q=%E5%BB%89%E6%94%BF&amp;ie=utf-8&amp;src=internal_wenda_recommend_textn" \t "https://wenda.so.com/q/_blank" </w:instrText>
      </w:r>
      <w:r>
        <w:rPr>
          <w:rFonts w:hint="eastAsia" w:ascii="宋体" w:hAnsi="宋体" w:eastAsia="宋体" w:cs="宋体"/>
          <w:kern w:val="0"/>
          <w:sz w:val="24"/>
          <w:szCs w:val="24"/>
          <w:shd w:val="clear" w:fill="FFFFFF"/>
          <w:lang w:val="zh-CN" w:eastAsia="zh-CN" w:bidi="ar"/>
        </w:rPr>
        <w:fldChar w:fldCharType="separate"/>
      </w:r>
      <w:r>
        <w:rPr>
          <w:rFonts w:hint="eastAsia" w:ascii="宋体" w:hAnsi="宋体" w:eastAsia="宋体" w:cs="宋体"/>
          <w:kern w:val="0"/>
          <w:sz w:val="24"/>
          <w:szCs w:val="24"/>
          <w:shd w:val="clear" w:fill="FFFFFF"/>
          <w:lang w:val="zh-CN" w:eastAsia="zh-CN" w:bidi="ar"/>
        </w:rPr>
        <w:t>廉政</w:t>
      </w:r>
      <w:r>
        <w:rPr>
          <w:rFonts w:hint="eastAsia" w:ascii="宋体" w:hAnsi="宋体" w:eastAsia="宋体" w:cs="宋体"/>
          <w:kern w:val="0"/>
          <w:sz w:val="24"/>
          <w:szCs w:val="24"/>
          <w:shd w:val="clear" w:fill="FFFFFF"/>
          <w:lang w:val="zh-CN" w:eastAsia="zh-CN" w:bidi="ar"/>
        </w:rPr>
        <w:fldChar w:fldCharType="end"/>
      </w:r>
      <w:r>
        <w:rPr>
          <w:rFonts w:hint="eastAsia" w:ascii="宋体" w:hAnsi="宋体" w:eastAsia="宋体" w:cs="宋体"/>
          <w:kern w:val="0"/>
          <w:sz w:val="24"/>
          <w:szCs w:val="24"/>
          <w:shd w:val="clear" w:fill="FFFFFF"/>
          <w:lang w:val="zh-CN" w:eastAsia="zh-CN" w:bidi="ar"/>
        </w:rPr>
        <w:t>高效的单位行政管理体制。</w:t>
      </w:r>
    </w:p>
    <w:p>
      <w:pPr>
        <w:keepNext w:val="0"/>
        <w:keepLines w:val="0"/>
        <w:widowControl/>
        <w:numPr>
          <w:ilvl w:val="0"/>
          <w:numId w:val="0"/>
        </w:numPr>
        <w:suppressLineNumbers w:val="0"/>
        <w:adjustRightInd w:val="0"/>
        <w:snapToGrid w:val="0"/>
        <w:spacing w:before="0" w:beforeAutospacing="0" w:after="0" w:afterAutospacing="0" w:line="480" w:lineRule="exact"/>
        <w:ind w:right="0" w:rightChars="0" w:firstLine="480" w:firstLineChars="200"/>
        <w:jc w:val="left"/>
        <w:rPr>
          <w:rFonts w:hint="eastAsia" w:ascii="宋体" w:hAnsi="宋体" w:eastAsia="宋体" w:cs="宋体"/>
          <w:kern w:val="0"/>
          <w:sz w:val="24"/>
          <w:szCs w:val="24"/>
          <w:shd w:val="clear" w:fill="FFFFFF"/>
          <w:lang w:val="zh-CN" w:eastAsia="zh-CN" w:bidi="ar"/>
        </w:rPr>
      </w:pPr>
      <w:r>
        <w:rPr>
          <w:rFonts w:hint="eastAsia" w:ascii="宋体" w:hAnsi="宋体" w:eastAsia="宋体" w:cs="宋体"/>
          <w:kern w:val="0"/>
          <w:sz w:val="24"/>
          <w:szCs w:val="24"/>
          <w:shd w:val="clear" w:fill="FFFFFF"/>
          <w:lang w:val="zh-CN" w:eastAsia="zh-CN" w:bidi="ar"/>
        </w:rPr>
        <w:t>强化考核工作。</w:t>
      </w:r>
      <w:r>
        <w:rPr>
          <w:rFonts w:hint="eastAsia" w:ascii="宋体" w:hAnsi="宋体" w:eastAsia="宋体" w:cs="宋体"/>
          <w:kern w:val="0"/>
          <w:sz w:val="24"/>
          <w:szCs w:val="24"/>
          <w:shd w:val="clear" w:fill="FFFFFF"/>
          <w:lang w:val="en-US" w:eastAsia="zh-CN" w:bidi="ar"/>
        </w:rPr>
        <w:t>20</w:t>
      </w:r>
      <w:r>
        <w:rPr>
          <w:rFonts w:hint="eastAsia" w:cs="宋体"/>
          <w:kern w:val="0"/>
          <w:sz w:val="24"/>
          <w:szCs w:val="24"/>
          <w:shd w:val="clear" w:fill="FFFFFF"/>
          <w:lang w:val="en-US" w:eastAsia="zh-CN" w:bidi="ar"/>
        </w:rPr>
        <w:t>21</w:t>
      </w:r>
      <w:r>
        <w:rPr>
          <w:rFonts w:hint="eastAsia" w:ascii="宋体" w:hAnsi="宋体" w:eastAsia="宋体" w:cs="宋体"/>
          <w:kern w:val="0"/>
          <w:sz w:val="24"/>
          <w:szCs w:val="24"/>
          <w:shd w:val="clear" w:fill="FFFFFF"/>
          <w:lang w:val="en-US" w:eastAsia="zh-CN" w:bidi="ar"/>
        </w:rPr>
        <w:t>年单位</w:t>
      </w:r>
      <w:r>
        <w:rPr>
          <w:rFonts w:hint="eastAsia" w:ascii="宋体" w:hAnsi="宋体" w:eastAsia="宋体" w:cs="宋体"/>
          <w:kern w:val="0"/>
          <w:sz w:val="24"/>
          <w:szCs w:val="24"/>
          <w:shd w:val="clear" w:fill="FFFFFF"/>
          <w:lang w:val="zh-CN" w:eastAsia="zh-CN" w:bidi="ar"/>
        </w:rPr>
        <w:t>履行了岗位职责考核和自身建设素质考核。考核涉及单位职工政治理论学习，集体活动参与、考勤、请休假、政务信息等方面。</w:t>
      </w:r>
    </w:p>
    <w:p>
      <w:pPr>
        <w:keepNext w:val="0"/>
        <w:keepLines w:val="0"/>
        <w:widowControl/>
        <w:numPr>
          <w:ilvl w:val="0"/>
          <w:numId w:val="0"/>
        </w:numPr>
        <w:suppressLineNumbers w:val="0"/>
        <w:adjustRightInd w:val="0"/>
        <w:snapToGrid w:val="0"/>
        <w:spacing w:before="0" w:beforeAutospacing="0" w:after="0" w:afterAutospacing="0" w:line="480" w:lineRule="exact"/>
        <w:ind w:right="0" w:rightChars="0" w:firstLine="480" w:firstLineChars="200"/>
        <w:jc w:val="left"/>
        <w:rPr>
          <w:rFonts w:hint="eastAsia" w:ascii="宋体" w:hAnsi="宋体" w:eastAsia="宋体" w:cs="宋体"/>
          <w:kern w:val="0"/>
          <w:sz w:val="24"/>
          <w:szCs w:val="24"/>
          <w:shd w:val="clear" w:fill="FFFFFF"/>
          <w:lang w:val="zh-CN" w:eastAsia="zh-CN" w:bidi="ar"/>
        </w:rPr>
      </w:pPr>
      <w:r>
        <w:rPr>
          <w:rFonts w:hint="eastAsia" w:ascii="宋体" w:hAnsi="宋体" w:eastAsia="宋体" w:cs="宋体"/>
          <w:kern w:val="0"/>
          <w:sz w:val="24"/>
          <w:szCs w:val="24"/>
          <w:shd w:val="clear" w:fill="FFFFFF"/>
          <w:lang w:val="en-US" w:eastAsia="zh-CN" w:bidi="ar"/>
        </w:rPr>
        <w:t>（2）</w:t>
      </w:r>
      <w:r>
        <w:rPr>
          <w:rFonts w:hint="eastAsia" w:ascii="宋体" w:hAnsi="宋体" w:eastAsia="宋体" w:cs="宋体"/>
          <w:kern w:val="0"/>
          <w:sz w:val="24"/>
          <w:szCs w:val="24"/>
          <w:shd w:val="clear" w:fill="FFFFFF"/>
          <w:lang w:val="zh-CN" w:eastAsia="zh-CN" w:bidi="ar"/>
        </w:rPr>
        <w:t>重点项目绩效评价结果。</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80" w:firstLineChars="200"/>
      </w:pPr>
      <w:r>
        <w:rPr>
          <w:rFonts w:hint="eastAsia" w:ascii="宋体" w:hAnsi="宋体" w:eastAsia="宋体" w:cs="宋体"/>
          <w:kern w:val="0"/>
          <w:sz w:val="24"/>
          <w:szCs w:val="24"/>
          <w:shd w:val="clear" w:fill="FFFFFF"/>
          <w:lang w:val="zh-CN" w:eastAsia="zh-CN" w:bidi="ar"/>
        </w:rPr>
        <w:t>县</w:t>
      </w:r>
      <w:r>
        <w:rPr>
          <w:rFonts w:hint="eastAsia" w:ascii="宋体" w:hAnsi="宋体" w:eastAsia="宋体" w:cs="宋体"/>
          <w:kern w:val="0"/>
          <w:sz w:val="24"/>
          <w:szCs w:val="24"/>
          <w:shd w:val="clear" w:fill="FFFFFF"/>
          <w:lang w:val="en-US" w:eastAsia="zh-CN" w:bidi="ar"/>
        </w:rPr>
        <w:t>红会2</w:t>
      </w:r>
      <w:r>
        <w:rPr>
          <w:rFonts w:hint="eastAsia" w:cs="宋体"/>
          <w:kern w:val="0"/>
          <w:sz w:val="24"/>
          <w:szCs w:val="24"/>
          <w:shd w:val="clear" w:fill="FFFFFF"/>
          <w:lang w:val="en-US" w:eastAsia="zh-CN" w:bidi="ar"/>
        </w:rPr>
        <w:t>021</w:t>
      </w:r>
      <w:r>
        <w:rPr>
          <w:rFonts w:hint="eastAsia" w:ascii="宋体" w:hAnsi="宋体" w:eastAsia="宋体" w:cs="宋体"/>
          <w:kern w:val="0"/>
          <w:sz w:val="24"/>
          <w:szCs w:val="24"/>
          <w:shd w:val="clear" w:fill="FFFFFF"/>
          <w:lang w:val="en-US" w:eastAsia="zh-CN" w:bidi="ar"/>
        </w:rPr>
        <w:t>年大病救助项目，预算数</w:t>
      </w:r>
      <w:r>
        <w:rPr>
          <w:rFonts w:hint="eastAsia" w:cs="宋体"/>
          <w:kern w:val="0"/>
          <w:sz w:val="24"/>
          <w:szCs w:val="24"/>
          <w:shd w:val="clear" w:fill="FFFFFF"/>
          <w:lang w:val="en-US" w:eastAsia="zh-CN" w:bidi="ar"/>
        </w:rPr>
        <w:t>与</w:t>
      </w:r>
      <w:r>
        <w:rPr>
          <w:rFonts w:hint="eastAsia" w:ascii="宋体" w:hAnsi="宋体" w:eastAsia="宋体" w:cs="宋体"/>
          <w:kern w:val="0"/>
          <w:sz w:val="24"/>
          <w:szCs w:val="24"/>
          <w:shd w:val="clear" w:fill="FFFFFF"/>
          <w:lang w:val="en-US" w:eastAsia="zh-CN" w:bidi="ar"/>
        </w:rPr>
        <w:t>决算数（执行数）</w:t>
      </w:r>
      <w:r>
        <w:rPr>
          <w:rFonts w:hint="eastAsia" w:cs="宋体"/>
          <w:kern w:val="0"/>
          <w:sz w:val="24"/>
          <w:szCs w:val="24"/>
          <w:shd w:val="clear" w:fill="FFFFFF"/>
          <w:lang w:val="en-US" w:eastAsia="zh-CN" w:bidi="ar"/>
        </w:rPr>
        <w:t>持平，10</w:t>
      </w:r>
      <w:r>
        <w:rPr>
          <w:rFonts w:hint="eastAsia" w:ascii="宋体" w:hAnsi="宋体" w:eastAsia="宋体" w:cs="宋体"/>
          <w:kern w:val="0"/>
          <w:sz w:val="24"/>
          <w:szCs w:val="24"/>
          <w:shd w:val="clear" w:fill="FFFFFF"/>
          <w:lang w:val="en-US" w:eastAsia="zh-CN" w:bidi="ar"/>
        </w:rPr>
        <w:t>万元，预算数财政拨款</w:t>
      </w:r>
      <w:r>
        <w:rPr>
          <w:rFonts w:hint="eastAsia" w:cs="宋体"/>
          <w:kern w:val="0"/>
          <w:sz w:val="24"/>
          <w:szCs w:val="24"/>
          <w:shd w:val="clear" w:fill="FFFFFF"/>
          <w:lang w:val="en-US" w:eastAsia="zh-CN" w:bidi="ar"/>
        </w:rPr>
        <w:t>等于</w:t>
      </w:r>
      <w:r>
        <w:rPr>
          <w:rFonts w:hint="eastAsia" w:ascii="宋体" w:hAnsi="宋体" w:eastAsia="宋体" w:cs="宋体"/>
          <w:kern w:val="0"/>
          <w:sz w:val="24"/>
          <w:szCs w:val="24"/>
          <w:shd w:val="clear" w:fill="FFFFFF"/>
          <w:lang w:val="en-US" w:eastAsia="zh-CN" w:bidi="ar"/>
        </w:rPr>
        <w:t>决算数财政拨款1</w:t>
      </w:r>
      <w:r>
        <w:rPr>
          <w:rFonts w:hint="eastAsia" w:cs="宋体"/>
          <w:kern w:val="0"/>
          <w:sz w:val="24"/>
          <w:szCs w:val="24"/>
          <w:shd w:val="clear" w:fill="FFFFFF"/>
          <w:lang w:val="en-US" w:eastAsia="zh-CN" w:bidi="ar"/>
        </w:rPr>
        <w:t>0</w:t>
      </w:r>
      <w:r>
        <w:rPr>
          <w:rFonts w:hint="eastAsia" w:ascii="宋体" w:hAnsi="宋体" w:eastAsia="宋体" w:cs="宋体"/>
          <w:kern w:val="0"/>
          <w:sz w:val="24"/>
          <w:szCs w:val="24"/>
          <w:shd w:val="clear" w:fill="FFFFFF"/>
          <w:lang w:val="en-US" w:eastAsia="zh-CN" w:bidi="ar"/>
        </w:rPr>
        <w:t>万元，预期目标等于实际完成目标10万元，无其他资金。</w:t>
      </w:r>
    </w:p>
    <w:p>
      <w:pPr>
        <w:pStyle w:val="12"/>
        <w:keepNext w:val="0"/>
        <w:keepLines w:val="0"/>
        <w:widowControl/>
        <w:suppressLineNumbers w:val="0"/>
        <w:spacing w:before="0" w:beforeAutospacing="0"/>
        <w:ind w:firstLine="240" w:firstLineChars="100"/>
        <w:jc w:val="left"/>
        <w:outlineLvl w:val="1"/>
      </w:pPr>
      <w:bookmarkStart w:id="53" w:name="_Toc32331"/>
      <w:bookmarkStart w:id="54" w:name="_Toc24231"/>
      <w:r>
        <w:rPr>
          <w:shd w:val="clear" w:fill="FFFFFF"/>
        </w:rPr>
        <w:t>四、评价结论及建议</w:t>
      </w:r>
      <w:bookmarkEnd w:id="53"/>
      <w:bookmarkEnd w:id="54"/>
    </w:p>
    <w:p>
      <w:pPr>
        <w:pStyle w:val="12"/>
        <w:keepNext w:val="0"/>
        <w:keepLines w:val="0"/>
        <w:widowControl/>
        <w:suppressLineNumbers w:val="0"/>
        <w:spacing w:before="0" w:beforeAutospacing="0"/>
        <w:ind w:left="0" w:firstLine="480" w:firstLineChars="200"/>
        <w:jc w:val="left"/>
        <w:rPr>
          <w:shd w:val="clear" w:fill="FFFFFF"/>
        </w:rPr>
      </w:pPr>
      <w:r>
        <w:rPr>
          <w:shd w:val="clear" w:fill="FFFFFF"/>
        </w:rPr>
        <w:t>（一）评价结论。</w:t>
      </w:r>
    </w:p>
    <w:p>
      <w:pPr>
        <w:pStyle w:val="16"/>
        <w:keepNext w:val="0"/>
        <w:keepLines w:val="0"/>
        <w:widowControl/>
        <w:suppressLineNumbers w:val="0"/>
        <w:spacing w:before="0" w:beforeAutospacing="0"/>
        <w:ind w:left="0" w:firstLine="480" w:firstLineChars="200"/>
        <w:jc w:val="left"/>
        <w:rPr>
          <w:shd w:val="clear" w:fill="FFFFFF"/>
        </w:rPr>
      </w:pPr>
      <w:r>
        <w:rPr>
          <w:rFonts w:hint="eastAsia" w:ascii="宋体" w:hAnsi="宋体" w:eastAsia="宋体" w:cs="宋体"/>
          <w:kern w:val="0"/>
          <w:sz w:val="24"/>
          <w:szCs w:val="24"/>
          <w:shd w:val="clear" w:fill="FFFFFF"/>
          <w:lang w:val="en-US" w:eastAsia="zh-CN" w:bidi="ar"/>
        </w:rPr>
        <w:t>县红会20</w:t>
      </w:r>
      <w:r>
        <w:rPr>
          <w:rFonts w:hint="eastAsia" w:cs="宋体"/>
          <w:kern w:val="0"/>
          <w:sz w:val="24"/>
          <w:szCs w:val="24"/>
          <w:shd w:val="clear" w:fill="FFFFFF"/>
          <w:lang w:val="en-US" w:eastAsia="zh-CN" w:bidi="ar"/>
        </w:rPr>
        <w:t>21</w:t>
      </w:r>
      <w:r>
        <w:rPr>
          <w:rFonts w:hint="eastAsia" w:ascii="宋体" w:hAnsi="宋体" w:eastAsia="宋体" w:cs="宋体"/>
          <w:kern w:val="0"/>
          <w:sz w:val="24"/>
          <w:szCs w:val="24"/>
          <w:shd w:val="clear" w:fill="FFFFFF"/>
          <w:lang w:val="en-US" w:eastAsia="zh-CN" w:bidi="ar"/>
        </w:rPr>
        <w:t>年决算工作</w:t>
      </w:r>
      <w:r>
        <w:rPr>
          <w:rFonts w:hint="default" w:ascii="宋体" w:hAnsi="宋体" w:eastAsia="宋体" w:cs="宋体"/>
          <w:kern w:val="0"/>
          <w:sz w:val="24"/>
          <w:szCs w:val="24"/>
          <w:shd w:val="clear" w:fill="FFFFFF"/>
          <w:lang w:val="en-US" w:eastAsia="zh-CN" w:bidi="ar"/>
        </w:rPr>
        <w:t>执行情况良好，无不良记录及违规违纪行为，</w:t>
      </w:r>
      <w:r>
        <w:rPr>
          <w:rFonts w:hint="eastAsia" w:ascii="宋体" w:hAnsi="宋体" w:eastAsia="宋体" w:cs="宋体"/>
          <w:kern w:val="0"/>
          <w:sz w:val="24"/>
          <w:szCs w:val="24"/>
          <w:shd w:val="clear" w:fill="FFFFFF"/>
          <w:lang w:val="en-US" w:eastAsia="zh-CN" w:bidi="ar"/>
        </w:rPr>
        <w:t>202</w:t>
      </w:r>
      <w:r>
        <w:rPr>
          <w:rFonts w:hint="eastAsia" w:cs="宋体"/>
          <w:kern w:val="0"/>
          <w:sz w:val="24"/>
          <w:szCs w:val="24"/>
          <w:shd w:val="clear" w:fill="FFFFFF"/>
          <w:lang w:val="en-US" w:eastAsia="zh-CN" w:bidi="ar"/>
        </w:rPr>
        <w:t>1</w:t>
      </w:r>
      <w:r>
        <w:rPr>
          <w:rFonts w:hint="eastAsia" w:ascii="宋体" w:hAnsi="宋体" w:eastAsia="宋体" w:cs="宋体"/>
          <w:kern w:val="0"/>
          <w:sz w:val="24"/>
          <w:szCs w:val="24"/>
          <w:shd w:val="clear" w:fill="FFFFFF"/>
          <w:lang w:val="en-US" w:eastAsia="zh-CN" w:bidi="ar"/>
        </w:rPr>
        <w:t>年</w:t>
      </w:r>
      <w:r>
        <w:rPr>
          <w:rFonts w:hint="default" w:ascii="宋体" w:hAnsi="宋体" w:eastAsia="宋体" w:cs="宋体"/>
          <w:kern w:val="0"/>
          <w:sz w:val="24"/>
          <w:szCs w:val="24"/>
          <w:shd w:val="clear" w:fill="FFFFFF"/>
          <w:lang w:val="en-US" w:eastAsia="zh-CN" w:bidi="ar"/>
        </w:rPr>
        <w:t>预算支出和决算支出情况相符</w:t>
      </w:r>
      <w:r>
        <w:rPr>
          <w:rFonts w:hint="eastAsia" w:ascii="宋体" w:hAnsi="宋体" w:eastAsia="宋体" w:cs="宋体"/>
          <w:kern w:val="0"/>
          <w:sz w:val="24"/>
          <w:szCs w:val="24"/>
          <w:shd w:val="clear" w:fill="FFFFFF"/>
          <w:lang w:val="en-US" w:eastAsia="zh-CN" w:bidi="ar"/>
        </w:rPr>
        <w:t>。</w:t>
      </w:r>
    </w:p>
    <w:p>
      <w:pPr>
        <w:pStyle w:val="12"/>
        <w:keepNext w:val="0"/>
        <w:keepLines w:val="0"/>
        <w:widowControl/>
        <w:suppressLineNumbers w:val="0"/>
        <w:spacing w:before="0" w:beforeAutospacing="0"/>
        <w:ind w:left="0" w:firstLine="480" w:firstLineChars="200"/>
        <w:jc w:val="left"/>
        <w:rPr>
          <w:shd w:val="clear" w:fill="FFFFFF"/>
        </w:rPr>
      </w:pPr>
      <w:r>
        <w:rPr>
          <w:shd w:val="clear" w:fill="FFFFFF"/>
        </w:rPr>
        <w:t>（二）存在问题。</w:t>
      </w:r>
    </w:p>
    <w:p>
      <w:pPr>
        <w:pStyle w:val="16"/>
        <w:keepNext w:val="0"/>
        <w:keepLines w:val="0"/>
        <w:widowControl/>
        <w:suppressLineNumbers w:val="0"/>
        <w:spacing w:before="0" w:beforeAutospacing="0"/>
        <w:ind w:left="0" w:firstLine="480" w:firstLineChars="200"/>
        <w:jc w:val="left"/>
        <w:rPr>
          <w:shd w:val="clear" w:fill="FFFFFF"/>
        </w:rPr>
      </w:pPr>
      <w:r>
        <w:rPr>
          <w:rFonts w:hint="eastAsia" w:ascii="宋体" w:hAnsi="宋体" w:eastAsia="宋体" w:cs="宋体"/>
          <w:kern w:val="0"/>
          <w:sz w:val="24"/>
          <w:szCs w:val="24"/>
          <w:shd w:val="clear" w:fill="FFFFFF"/>
          <w:lang w:val="en-US" w:eastAsia="zh-CN" w:bidi="ar"/>
        </w:rPr>
        <w:t>一</w:t>
      </w:r>
      <w:r>
        <w:rPr>
          <w:rFonts w:hint="default" w:ascii="宋体" w:hAnsi="宋体" w:eastAsia="宋体" w:cs="宋体"/>
          <w:kern w:val="0"/>
          <w:sz w:val="24"/>
          <w:szCs w:val="24"/>
          <w:shd w:val="clear" w:fill="FFFFFF"/>
          <w:lang w:val="en-US" w:eastAsia="zh-CN" w:bidi="ar"/>
        </w:rPr>
        <w:t>是部门决算上报处理效率还待提升</w:t>
      </w:r>
      <w:r>
        <w:rPr>
          <w:rFonts w:hint="eastAsia" w:ascii="宋体" w:hAnsi="宋体" w:eastAsia="宋体" w:cs="宋体"/>
          <w:kern w:val="0"/>
          <w:sz w:val="24"/>
          <w:szCs w:val="24"/>
          <w:shd w:val="clear" w:fill="FFFFFF"/>
          <w:lang w:val="en-US" w:eastAsia="zh-CN" w:bidi="ar"/>
        </w:rPr>
        <w:t>，二是有关目标任务有待进一步完善。</w:t>
      </w:r>
    </w:p>
    <w:p>
      <w:pPr>
        <w:pStyle w:val="12"/>
        <w:keepNext w:val="0"/>
        <w:keepLines w:val="0"/>
        <w:widowControl/>
        <w:suppressLineNumbers w:val="0"/>
        <w:spacing w:before="0" w:beforeAutospacing="0"/>
        <w:ind w:left="0" w:firstLine="480" w:firstLineChars="200"/>
        <w:jc w:val="left"/>
        <w:rPr>
          <w:shd w:val="clear" w:fill="FFFFFF"/>
        </w:rPr>
      </w:pPr>
      <w:r>
        <w:rPr>
          <w:shd w:val="clear" w:fill="FFFFFF"/>
        </w:rPr>
        <w:t>（三）改进建议。</w:t>
      </w:r>
    </w:p>
    <w:p>
      <w:pPr>
        <w:pStyle w:val="12"/>
        <w:keepNext w:val="0"/>
        <w:keepLines w:val="0"/>
        <w:widowControl/>
        <w:suppressLineNumbers w:val="0"/>
        <w:spacing w:before="0" w:beforeAutospacing="0"/>
        <w:ind w:left="0" w:firstLine="480" w:firstLineChars="200"/>
        <w:jc w:val="left"/>
        <w:rPr>
          <w:rFonts w:hint="eastAsia" w:ascii="宋体" w:hAnsi="宋体" w:eastAsia="宋体" w:cs="宋体"/>
          <w:kern w:val="0"/>
          <w:sz w:val="24"/>
          <w:szCs w:val="24"/>
          <w:shd w:val="clear" w:fill="FFFFFF"/>
          <w:lang w:val="en-US" w:eastAsia="zh-CN" w:bidi="ar"/>
        </w:rPr>
      </w:pPr>
      <w:r>
        <w:rPr>
          <w:rFonts w:hint="default" w:ascii="宋体" w:hAnsi="宋体" w:eastAsia="宋体" w:cs="宋体"/>
          <w:kern w:val="0"/>
          <w:sz w:val="24"/>
          <w:szCs w:val="24"/>
          <w:shd w:val="clear" w:fill="FFFFFF"/>
          <w:lang w:val="en-US" w:eastAsia="zh-CN" w:bidi="ar"/>
        </w:rPr>
        <w:t>加快完善相应制度建设和账务处理。</w:t>
      </w:r>
    </w:p>
    <w:p>
      <w:pPr>
        <w:pStyle w:val="12"/>
        <w:keepNext w:val="0"/>
        <w:keepLines w:val="0"/>
        <w:widowControl/>
        <w:suppressLineNumbers w:val="0"/>
        <w:spacing w:before="0" w:beforeAutospacing="0"/>
        <w:ind w:left="0"/>
        <w:jc w:val="left"/>
      </w:pPr>
    </w:p>
    <w:p>
      <w:pPr>
        <w:pStyle w:val="12"/>
        <w:keepNext w:val="0"/>
        <w:keepLines w:val="0"/>
        <w:widowControl/>
        <w:suppressLineNumbers w:val="0"/>
        <w:spacing w:before="0" w:beforeAutospacing="0"/>
        <w:ind w:left="0"/>
        <w:jc w:val="left"/>
        <w:rPr>
          <w:shd w:val="clear" w:fill="FFFFFF"/>
        </w:rPr>
      </w:pPr>
    </w:p>
    <w:p>
      <w:pPr>
        <w:pStyle w:val="12"/>
        <w:keepNext w:val="0"/>
        <w:keepLines w:val="0"/>
        <w:widowControl/>
        <w:suppressLineNumbers w:val="0"/>
        <w:spacing w:before="0" w:beforeAutospacing="0"/>
        <w:ind w:left="0"/>
        <w:jc w:val="left"/>
        <w:rPr>
          <w:shd w:val="clear" w:fill="FFFFFF"/>
        </w:rPr>
      </w:pPr>
    </w:p>
    <w:p>
      <w:pPr>
        <w:pStyle w:val="12"/>
        <w:keepNext w:val="0"/>
        <w:keepLines w:val="0"/>
        <w:widowControl/>
        <w:suppressLineNumbers w:val="0"/>
        <w:spacing w:before="0" w:beforeAutospacing="0"/>
        <w:ind w:left="0"/>
        <w:jc w:val="left"/>
        <w:rPr>
          <w:shd w:val="clear" w:fill="FFFFFF"/>
        </w:rPr>
      </w:pPr>
    </w:p>
    <w:p>
      <w:pPr>
        <w:pStyle w:val="12"/>
        <w:keepNext w:val="0"/>
        <w:keepLines w:val="0"/>
        <w:widowControl/>
        <w:suppressLineNumbers w:val="0"/>
        <w:spacing w:before="0" w:beforeAutospacing="0"/>
        <w:ind w:left="0"/>
        <w:jc w:val="left"/>
        <w:rPr>
          <w:shd w:val="clear" w:fill="FFFFFF"/>
        </w:rPr>
      </w:pPr>
      <w:r>
        <w:rPr>
          <w:shd w:val="clear" w:fill="FFFFFF"/>
        </w:rPr>
        <w:t> </w:t>
      </w:r>
    </w:p>
    <w:p>
      <w:pPr>
        <w:pStyle w:val="12"/>
        <w:keepNext w:val="0"/>
        <w:keepLines w:val="0"/>
        <w:widowControl/>
        <w:suppressLineNumbers w:val="0"/>
        <w:spacing w:before="0" w:beforeAutospacing="0"/>
        <w:ind w:left="0"/>
        <w:jc w:val="left"/>
        <w:rPr>
          <w:shd w:val="clear" w:fill="FFFFFF"/>
        </w:rPr>
      </w:pPr>
    </w:p>
    <w:p>
      <w:pPr>
        <w:pStyle w:val="12"/>
        <w:keepNext w:val="0"/>
        <w:keepLines w:val="0"/>
        <w:widowControl/>
        <w:suppressLineNumbers w:val="0"/>
        <w:spacing w:before="0" w:beforeAutospacing="0"/>
        <w:ind w:left="0"/>
        <w:jc w:val="left"/>
        <w:rPr>
          <w:shd w:val="clear" w:fill="FFFFFF"/>
        </w:rPr>
      </w:pPr>
    </w:p>
    <w:p>
      <w:pPr>
        <w:pStyle w:val="12"/>
        <w:keepNext w:val="0"/>
        <w:keepLines w:val="0"/>
        <w:widowControl/>
        <w:suppressLineNumbers w:val="0"/>
        <w:spacing w:before="0" w:beforeAutospacing="0"/>
        <w:ind w:left="0"/>
        <w:jc w:val="left"/>
        <w:rPr>
          <w:shd w:val="clear" w:fill="FFFFFF"/>
        </w:rPr>
      </w:pPr>
    </w:p>
    <w:p>
      <w:pPr>
        <w:pStyle w:val="12"/>
        <w:keepNext w:val="0"/>
        <w:keepLines w:val="0"/>
        <w:widowControl/>
        <w:suppressLineNumbers w:val="0"/>
        <w:spacing w:before="0" w:beforeAutospacing="0"/>
        <w:ind w:left="0"/>
        <w:jc w:val="left"/>
        <w:rPr>
          <w:shd w:val="clear" w:fill="FFFFFF"/>
        </w:rPr>
      </w:pPr>
    </w:p>
    <w:p>
      <w:pPr>
        <w:pStyle w:val="12"/>
        <w:keepNext w:val="0"/>
        <w:keepLines w:val="0"/>
        <w:widowControl/>
        <w:suppressLineNumbers w:val="0"/>
        <w:spacing w:before="0" w:beforeAutospacing="0"/>
        <w:ind w:left="0"/>
        <w:jc w:val="center"/>
        <w:outlineLvl w:val="0"/>
      </w:pPr>
      <w:bookmarkStart w:id="55" w:name="_Toc15786"/>
      <w:bookmarkStart w:id="56" w:name="_Toc723"/>
      <w:bookmarkStart w:id="57" w:name="_Toc17201"/>
      <w:r>
        <w:rPr>
          <w:rStyle w:val="15"/>
          <w:sz w:val="39"/>
          <w:szCs w:val="39"/>
          <w:shd w:val="clear" w:fill="FFFFFF"/>
        </w:rPr>
        <w:t>第五部分 附表</w:t>
      </w:r>
      <w:bookmarkEnd w:id="55"/>
      <w:bookmarkEnd w:id="56"/>
      <w:bookmarkEnd w:id="57"/>
    </w:p>
    <w:p>
      <w:pPr>
        <w:pStyle w:val="5"/>
        <w:keepNext w:val="0"/>
        <w:keepLines w:val="0"/>
        <w:widowControl/>
        <w:suppressLineNumbers w:val="0"/>
        <w:spacing w:before="0" w:beforeAutospacing="0"/>
        <w:ind w:left="0"/>
        <w:jc w:val="left"/>
      </w:pPr>
      <w:bookmarkStart w:id="58" w:name="_Toc19713"/>
      <w:bookmarkStart w:id="59" w:name="_Toc19247"/>
      <w:r>
        <w:rPr>
          <w:shd w:val="clear" w:fill="FFFFFF"/>
        </w:rPr>
        <w:t>一、收入支出决算总表</w:t>
      </w:r>
      <w:bookmarkEnd w:id="58"/>
      <w:bookmarkEnd w:id="59"/>
    </w:p>
    <w:p>
      <w:pPr>
        <w:pStyle w:val="5"/>
        <w:keepNext w:val="0"/>
        <w:keepLines w:val="0"/>
        <w:widowControl/>
        <w:suppressLineNumbers w:val="0"/>
        <w:spacing w:before="0" w:beforeAutospacing="0"/>
        <w:ind w:left="0"/>
        <w:jc w:val="left"/>
      </w:pPr>
      <w:bookmarkStart w:id="60" w:name="_Toc8050"/>
      <w:bookmarkStart w:id="61" w:name="_Toc9075"/>
      <w:r>
        <w:rPr>
          <w:shd w:val="clear" w:fill="FFFFFF"/>
        </w:rPr>
        <w:t>二、收入决算表</w:t>
      </w:r>
      <w:bookmarkEnd w:id="60"/>
      <w:bookmarkEnd w:id="61"/>
    </w:p>
    <w:p>
      <w:pPr>
        <w:pStyle w:val="5"/>
        <w:keepNext w:val="0"/>
        <w:keepLines w:val="0"/>
        <w:widowControl/>
        <w:suppressLineNumbers w:val="0"/>
        <w:spacing w:before="0" w:beforeAutospacing="0"/>
        <w:ind w:left="0"/>
        <w:jc w:val="left"/>
      </w:pPr>
      <w:bookmarkStart w:id="62" w:name="_Toc11536"/>
      <w:bookmarkStart w:id="63" w:name="_Toc21998"/>
      <w:r>
        <w:rPr>
          <w:shd w:val="clear" w:fill="FFFFFF"/>
        </w:rPr>
        <w:t>三、支出决算表</w:t>
      </w:r>
      <w:bookmarkEnd w:id="62"/>
      <w:bookmarkEnd w:id="63"/>
    </w:p>
    <w:p>
      <w:pPr>
        <w:pStyle w:val="5"/>
        <w:keepNext w:val="0"/>
        <w:keepLines w:val="0"/>
        <w:widowControl/>
        <w:suppressLineNumbers w:val="0"/>
        <w:spacing w:before="0" w:beforeAutospacing="0"/>
        <w:ind w:left="0"/>
        <w:jc w:val="left"/>
      </w:pPr>
      <w:bookmarkStart w:id="64" w:name="_Toc9640"/>
      <w:bookmarkStart w:id="65" w:name="_Toc28865"/>
      <w:r>
        <w:rPr>
          <w:shd w:val="clear" w:fill="FFFFFF"/>
        </w:rPr>
        <w:t>四、财政拨款收入支出决算总表</w:t>
      </w:r>
      <w:bookmarkEnd w:id="64"/>
      <w:bookmarkEnd w:id="65"/>
    </w:p>
    <w:p>
      <w:pPr>
        <w:pStyle w:val="5"/>
        <w:keepNext w:val="0"/>
        <w:keepLines w:val="0"/>
        <w:widowControl/>
        <w:suppressLineNumbers w:val="0"/>
        <w:spacing w:before="0" w:beforeAutospacing="0"/>
        <w:ind w:left="0"/>
        <w:jc w:val="left"/>
      </w:pPr>
      <w:bookmarkStart w:id="66" w:name="_Toc20071"/>
      <w:bookmarkStart w:id="67" w:name="_Toc21895"/>
      <w:r>
        <w:rPr>
          <w:shd w:val="clear" w:fill="FFFFFF"/>
        </w:rPr>
        <w:t>五、财政拨款支出决算明细表</w:t>
      </w:r>
      <w:bookmarkEnd w:id="66"/>
      <w:bookmarkEnd w:id="67"/>
    </w:p>
    <w:p>
      <w:pPr>
        <w:pStyle w:val="5"/>
        <w:keepNext w:val="0"/>
        <w:keepLines w:val="0"/>
        <w:widowControl/>
        <w:suppressLineNumbers w:val="0"/>
        <w:spacing w:before="0" w:beforeAutospacing="0"/>
        <w:ind w:left="0"/>
        <w:jc w:val="left"/>
      </w:pPr>
      <w:bookmarkStart w:id="68" w:name="_Toc11044"/>
      <w:bookmarkStart w:id="69" w:name="_Toc12357"/>
      <w:r>
        <w:rPr>
          <w:shd w:val="clear" w:fill="FFFFFF"/>
        </w:rPr>
        <w:t>六、一般公共预算财政拨款支出决算表</w:t>
      </w:r>
      <w:bookmarkEnd w:id="68"/>
      <w:bookmarkEnd w:id="69"/>
    </w:p>
    <w:p>
      <w:pPr>
        <w:pStyle w:val="5"/>
        <w:keepNext w:val="0"/>
        <w:keepLines w:val="0"/>
        <w:widowControl/>
        <w:suppressLineNumbers w:val="0"/>
        <w:spacing w:before="0" w:beforeAutospacing="0"/>
        <w:ind w:left="0"/>
        <w:jc w:val="left"/>
      </w:pPr>
      <w:bookmarkStart w:id="70" w:name="_Toc9226"/>
      <w:bookmarkStart w:id="71" w:name="_Toc19111"/>
      <w:r>
        <w:rPr>
          <w:shd w:val="clear" w:fill="FFFFFF"/>
        </w:rPr>
        <w:t>七、一般公共预算财政拨款支出决算明细表</w:t>
      </w:r>
      <w:bookmarkEnd w:id="70"/>
      <w:bookmarkEnd w:id="71"/>
    </w:p>
    <w:p>
      <w:pPr>
        <w:pStyle w:val="5"/>
        <w:keepNext w:val="0"/>
        <w:keepLines w:val="0"/>
        <w:widowControl/>
        <w:suppressLineNumbers w:val="0"/>
        <w:spacing w:before="0" w:beforeAutospacing="0"/>
        <w:ind w:left="0"/>
        <w:jc w:val="left"/>
      </w:pPr>
      <w:bookmarkStart w:id="72" w:name="_Toc27198"/>
      <w:bookmarkStart w:id="73" w:name="_Toc4049"/>
      <w:r>
        <w:rPr>
          <w:shd w:val="clear" w:fill="FFFFFF"/>
        </w:rPr>
        <w:t>八、一般公共预算财政拨款基本支出决算表</w:t>
      </w:r>
      <w:bookmarkEnd w:id="72"/>
      <w:bookmarkEnd w:id="73"/>
    </w:p>
    <w:p>
      <w:pPr>
        <w:pStyle w:val="5"/>
        <w:keepNext w:val="0"/>
        <w:keepLines w:val="0"/>
        <w:widowControl/>
        <w:suppressLineNumbers w:val="0"/>
        <w:spacing w:before="0" w:beforeAutospacing="0"/>
        <w:ind w:left="0"/>
        <w:jc w:val="left"/>
      </w:pPr>
      <w:bookmarkStart w:id="74" w:name="_Toc15875"/>
      <w:bookmarkStart w:id="75" w:name="_Toc29492"/>
      <w:r>
        <w:rPr>
          <w:shd w:val="clear" w:fill="FFFFFF"/>
        </w:rPr>
        <w:t>九、一般公共预算财政拨款项目支出决算表</w:t>
      </w:r>
      <w:bookmarkEnd w:id="74"/>
      <w:bookmarkEnd w:id="75"/>
    </w:p>
    <w:p>
      <w:pPr>
        <w:pStyle w:val="5"/>
        <w:keepNext w:val="0"/>
        <w:keepLines w:val="0"/>
        <w:widowControl/>
        <w:suppressLineNumbers w:val="0"/>
        <w:spacing w:before="0" w:beforeAutospacing="0"/>
        <w:ind w:left="0"/>
        <w:jc w:val="left"/>
      </w:pPr>
      <w:bookmarkStart w:id="76" w:name="_Toc16393"/>
      <w:bookmarkStart w:id="77" w:name="_Toc17745"/>
      <w:r>
        <w:rPr>
          <w:shd w:val="clear" w:fill="FFFFFF"/>
        </w:rPr>
        <w:t>十、一般公共预算财政拨款“三公”经费支出决算表</w:t>
      </w:r>
      <w:bookmarkEnd w:id="76"/>
      <w:bookmarkEnd w:id="77"/>
    </w:p>
    <w:p>
      <w:pPr>
        <w:pStyle w:val="5"/>
        <w:keepNext w:val="0"/>
        <w:keepLines w:val="0"/>
        <w:widowControl/>
        <w:suppressLineNumbers w:val="0"/>
        <w:spacing w:before="0" w:beforeAutospacing="0"/>
        <w:ind w:left="0"/>
        <w:jc w:val="left"/>
      </w:pPr>
      <w:bookmarkStart w:id="78" w:name="_Toc23407"/>
      <w:bookmarkStart w:id="79" w:name="_Toc12436"/>
      <w:r>
        <w:rPr>
          <w:shd w:val="clear" w:fill="FFFFFF"/>
        </w:rPr>
        <w:t>十一、政府性基金预算财政拨款收入支出决算表</w:t>
      </w:r>
      <w:bookmarkEnd w:id="78"/>
      <w:bookmarkEnd w:id="79"/>
    </w:p>
    <w:p>
      <w:pPr>
        <w:pStyle w:val="5"/>
        <w:keepNext w:val="0"/>
        <w:keepLines w:val="0"/>
        <w:widowControl/>
        <w:suppressLineNumbers w:val="0"/>
        <w:spacing w:before="0" w:beforeAutospacing="0"/>
        <w:ind w:left="0"/>
        <w:jc w:val="left"/>
      </w:pPr>
      <w:bookmarkStart w:id="80" w:name="_Toc14693"/>
      <w:bookmarkStart w:id="81" w:name="_Toc26065"/>
      <w:r>
        <w:rPr>
          <w:shd w:val="clear" w:fill="FFFFFF"/>
        </w:rPr>
        <w:t>十二、政府性基金预算财政拨款“三公”经费支出决算表</w:t>
      </w:r>
      <w:bookmarkEnd w:id="80"/>
      <w:bookmarkEnd w:id="81"/>
    </w:p>
    <w:p>
      <w:pPr>
        <w:pStyle w:val="5"/>
        <w:keepNext w:val="0"/>
        <w:keepLines w:val="0"/>
        <w:widowControl/>
        <w:suppressLineNumbers w:val="0"/>
        <w:spacing w:before="0" w:beforeAutospacing="0"/>
        <w:ind w:left="0"/>
        <w:jc w:val="left"/>
      </w:pPr>
      <w:bookmarkStart w:id="82" w:name="_Toc12652"/>
      <w:bookmarkStart w:id="83" w:name="_Toc11652"/>
      <w:r>
        <w:rPr>
          <w:shd w:val="clear" w:fill="FFFFFF"/>
        </w:rPr>
        <w:t>十三、国有资本经营预算财政拨款收入支出决算表</w:t>
      </w:r>
      <w:bookmarkEnd w:id="82"/>
      <w:bookmarkEnd w:id="83"/>
    </w:p>
    <w:p>
      <w:pPr>
        <w:pStyle w:val="5"/>
        <w:keepNext w:val="0"/>
        <w:keepLines w:val="0"/>
        <w:widowControl/>
        <w:suppressLineNumbers w:val="0"/>
        <w:spacing w:before="0" w:beforeAutospacing="0"/>
        <w:ind w:left="0"/>
        <w:jc w:val="left"/>
      </w:pPr>
      <w:bookmarkStart w:id="84" w:name="_Toc19669"/>
      <w:bookmarkStart w:id="85" w:name="_Toc6734"/>
      <w:r>
        <w:rPr>
          <w:shd w:val="clear" w:fill="FFFFFF"/>
        </w:rPr>
        <w:t>十四、国有资本经营预算财政拨款支出决算表</w:t>
      </w:r>
      <w:bookmarkEnd w:id="84"/>
      <w:bookmarkEnd w:id="85"/>
    </w:p>
    <w:sectPr>
      <w:pgSz w:w="11915" w:h="16851"/>
      <w:pgMar w:top="1440" w:right="1800" w:bottom="1440" w:left="1800"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5AF8EE1"/>
    <w:multiLevelType w:val="singleLevel"/>
    <w:tmpl w:val="35AF8EE1"/>
    <w:lvl w:ilvl="0" w:tentative="0">
      <w:start w:val="2"/>
      <w:numFmt w:val="chineseCounting"/>
      <w:suff w:val="nothing"/>
      <w:lvlText w:val="（%1）"/>
      <w:lvlJc w:val="left"/>
      <w:rPr>
        <w:rFonts w:hint="eastAsia"/>
      </w:rPr>
    </w:lvl>
  </w:abstractNum>
  <w:abstractNum w:abstractNumId="1">
    <w:nsid w:val="45D4FE6F"/>
    <w:multiLevelType w:val="singleLevel"/>
    <w:tmpl w:val="45D4FE6F"/>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attachedTemplate r:id="rId1"/>
  <w:documentProtection w:enforcement="0"/>
  <w:defaultTabStop w:val="420"/>
  <w:displayHorizontalDrawingGridEvery w:val="1"/>
  <w:displayVerticalDrawingGridEvery w:val="1"/>
  <w:noPunctuationKerning w:val="1"/>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wYzg2NjcwNzQxOGVkYmJjNDY2MWI5NTNmZDVlMjgifQ=="/>
  </w:docVars>
  <w:rsids>
    <w:rsidRoot w:val="7147354A"/>
    <w:rsid w:val="05D764AD"/>
    <w:rsid w:val="0AAB4C3F"/>
    <w:rsid w:val="0B7C0033"/>
    <w:rsid w:val="100D6C7B"/>
    <w:rsid w:val="11240040"/>
    <w:rsid w:val="13F57F2B"/>
    <w:rsid w:val="1A2142AC"/>
    <w:rsid w:val="1D5200DE"/>
    <w:rsid w:val="1EBC65C6"/>
    <w:rsid w:val="1F9000F9"/>
    <w:rsid w:val="213E00C2"/>
    <w:rsid w:val="21CE72A1"/>
    <w:rsid w:val="250F6E10"/>
    <w:rsid w:val="261C46D6"/>
    <w:rsid w:val="29C46C6E"/>
    <w:rsid w:val="2BAE2E9B"/>
    <w:rsid w:val="2F3B4436"/>
    <w:rsid w:val="3023097B"/>
    <w:rsid w:val="3635398B"/>
    <w:rsid w:val="37FE2AEA"/>
    <w:rsid w:val="389C3213"/>
    <w:rsid w:val="3C5654FB"/>
    <w:rsid w:val="41682048"/>
    <w:rsid w:val="41B26623"/>
    <w:rsid w:val="48A57EC2"/>
    <w:rsid w:val="50741740"/>
    <w:rsid w:val="54F75F49"/>
    <w:rsid w:val="564C5081"/>
    <w:rsid w:val="574975DB"/>
    <w:rsid w:val="59926240"/>
    <w:rsid w:val="5B5F7C9B"/>
    <w:rsid w:val="5E49420F"/>
    <w:rsid w:val="64D80540"/>
    <w:rsid w:val="66EA0254"/>
    <w:rsid w:val="68C50261"/>
    <w:rsid w:val="69E05367"/>
    <w:rsid w:val="6BAD2A66"/>
    <w:rsid w:val="7147354A"/>
    <w:rsid w:val="7552712D"/>
    <w:rsid w:val="75883417"/>
    <w:rsid w:val="796C3F60"/>
    <w:rsid w:val="7C156B31"/>
    <w:rsid w:val="7D31427A"/>
    <w:rsid w:val="7D807FD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jc w:val="left"/>
    </w:pPr>
    <w:rPr>
      <w:rFonts w:asciiTheme="minorEastAsia" w:hAnsiTheme="minorEastAsia" w:eastAsiaTheme="minorEastAsia" w:cstheme="minorEastAsia"/>
      <w:kern w:val="0"/>
      <w:sz w:val="24"/>
      <w:szCs w:val="24"/>
      <w:lang w:val="en-US" w:eastAsia="zh-CN" w:bidi="ar"/>
    </w:rPr>
  </w:style>
  <w:style w:type="paragraph" w:styleId="4">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5">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6">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paragraph" w:styleId="7">
    <w:name w:val="heading 4"/>
    <w:basedOn w:val="1"/>
    <w:next w:val="1"/>
    <w:semiHidden/>
    <w:unhideWhenUsed/>
    <w:qFormat/>
    <w:uiPriority w:val="0"/>
    <w:pPr>
      <w:spacing w:before="0" w:beforeAutospacing="1" w:after="0" w:afterAutospacing="1"/>
      <w:jc w:val="left"/>
    </w:pPr>
    <w:rPr>
      <w:rFonts w:hint="eastAsia" w:ascii="宋体" w:hAnsi="宋体" w:eastAsia="宋体" w:cs="宋体"/>
      <w:b/>
      <w:kern w:val="0"/>
      <w:sz w:val="24"/>
      <w:szCs w:val="24"/>
      <w:lang w:val="en-US" w:eastAsia="zh-CN" w:bidi="ar"/>
    </w:rPr>
  </w:style>
  <w:style w:type="paragraph" w:styleId="8">
    <w:name w:val="heading 5"/>
    <w:basedOn w:val="1"/>
    <w:next w:val="1"/>
    <w:semiHidden/>
    <w:unhideWhenUsed/>
    <w:qFormat/>
    <w:uiPriority w:val="0"/>
    <w:pPr>
      <w:spacing w:before="0" w:beforeAutospacing="1" w:after="0" w:afterAutospacing="1"/>
      <w:jc w:val="left"/>
    </w:pPr>
    <w:rPr>
      <w:rFonts w:hint="eastAsia" w:ascii="宋体" w:hAnsi="宋体" w:eastAsia="宋体" w:cs="宋体"/>
      <w:b/>
      <w:kern w:val="0"/>
      <w:sz w:val="20"/>
      <w:szCs w:val="20"/>
      <w:lang w:val="en-US" w:eastAsia="zh-CN" w:bidi="ar"/>
    </w:rPr>
  </w:style>
  <w:style w:type="paragraph" w:styleId="9">
    <w:name w:val="heading 6"/>
    <w:basedOn w:val="1"/>
    <w:next w:val="1"/>
    <w:semiHidden/>
    <w:unhideWhenUsed/>
    <w:qFormat/>
    <w:uiPriority w:val="0"/>
    <w:pPr>
      <w:spacing w:before="0" w:beforeAutospacing="1" w:after="0" w:afterAutospacing="1"/>
      <w:jc w:val="left"/>
    </w:pPr>
    <w:rPr>
      <w:rFonts w:hint="eastAsia" w:ascii="宋体" w:hAnsi="宋体" w:eastAsia="宋体" w:cs="宋体"/>
      <w:b/>
      <w:kern w:val="0"/>
      <w:sz w:val="15"/>
      <w:szCs w:val="15"/>
      <w:lang w:val="en-US" w:eastAsia="zh-CN" w:bidi="ar"/>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99"/>
    <w:pPr>
      <w:spacing w:after="120" w:afterAutospacing="0"/>
      <w:ind w:left="420" w:leftChars="200" w:firstLine="420" w:firstLineChars="200"/>
      <w:jc w:val="left"/>
    </w:pPr>
    <w:rPr>
      <w:rFonts w:hint="eastAsia" w:ascii="宋体" w:hAnsi="宋体" w:eastAsia="宋体" w:cs="宋体"/>
      <w:kern w:val="0"/>
      <w:sz w:val="24"/>
      <w:szCs w:val="24"/>
      <w:lang w:val="en-US" w:eastAsia="zh-CN" w:bidi="ar"/>
    </w:rPr>
  </w:style>
  <w:style w:type="paragraph" w:styleId="3">
    <w:name w:val="Body Text Indent"/>
    <w:basedOn w:val="1"/>
    <w:qFormat/>
    <w:uiPriority w:val="99"/>
    <w:pPr>
      <w:spacing w:after="120" w:afterAutospacing="0"/>
      <w:ind w:left="420" w:leftChars="200"/>
      <w:jc w:val="left"/>
    </w:pPr>
    <w:rPr>
      <w:rFonts w:hint="eastAsia" w:ascii="宋体" w:hAnsi="宋体" w:eastAsia="宋体" w:cs="宋体"/>
      <w:kern w:val="0"/>
      <w:sz w:val="24"/>
      <w:szCs w:val="24"/>
      <w:lang w:val="en-US" w:eastAsia="zh-CN" w:bidi="ar"/>
    </w:rPr>
  </w:style>
  <w:style w:type="paragraph" w:styleId="10">
    <w:name w:val="Body Text"/>
    <w:basedOn w:val="1"/>
    <w:qFormat/>
    <w:uiPriority w:val="99"/>
    <w:pPr>
      <w:spacing w:beforeLines="30" w:beforeAutospacing="0"/>
      <w:jc w:val="left"/>
    </w:pPr>
    <w:rPr>
      <w:rFonts w:hint="eastAsia" w:ascii="仿宋_GB2312" w:hAnsi="宋体" w:eastAsia="仿宋_GB2312" w:cs="宋体"/>
      <w:kern w:val="0"/>
      <w:sz w:val="30"/>
      <w:szCs w:val="30"/>
      <w:lang w:val="en-US" w:eastAsia="zh-CN" w:bidi="ar"/>
    </w:rPr>
  </w:style>
  <w:style w:type="paragraph" w:styleId="11">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2">
    <w:name w:val="Normal (Web)"/>
    <w:basedOn w:val="1"/>
    <w:uiPriority w:val="0"/>
    <w:pPr>
      <w:spacing w:before="0" w:beforeAutospacing="1" w:after="0" w:afterAutospacing="1"/>
      <w:ind w:left="0" w:right="0"/>
      <w:jc w:val="left"/>
    </w:pPr>
    <w:rPr>
      <w:kern w:val="0"/>
      <w:sz w:val="24"/>
      <w:lang w:val="en-US" w:eastAsia="zh-CN" w:bidi="ar"/>
    </w:rPr>
  </w:style>
  <w:style w:type="character" w:styleId="15">
    <w:name w:val="Strong"/>
    <w:basedOn w:val="14"/>
    <w:qFormat/>
    <w:uiPriority w:val="0"/>
    <w:rPr>
      <w:b/>
    </w:rPr>
  </w:style>
  <w:style w:type="paragraph" w:customStyle="1" w:styleId="16">
    <w:name w:val="普通(网站) Char"/>
    <w:basedOn w:val="1"/>
    <w:qFormat/>
    <w:uiPriority w:val="0"/>
    <w:pPr>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character" w:customStyle="1" w:styleId="17">
    <w:name w:val="15"/>
    <w:basedOn w:val="14"/>
    <w:qFormat/>
    <w:uiPriority w:val="0"/>
    <w:rPr>
      <w:rFonts w:hint="default" w:ascii="Times New Roman" w:hAnsi="Times New Roman" w:cs="Times New Roman"/>
      <w:b/>
    </w:rPr>
  </w:style>
  <w:style w:type="paragraph" w:customStyle="1" w:styleId="1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19">
    <w:name w:val="WPSOffice手动目录 1"/>
    <w:qFormat/>
    <w:uiPriority w:val="0"/>
    <w:pPr>
      <w:ind w:leftChars="0"/>
    </w:pPr>
    <w:rPr>
      <w:rFonts w:ascii="Times New Roman" w:hAnsi="Times New Roman" w:eastAsia="宋体" w:cs="Times New Roman"/>
      <w:sz w:val="20"/>
      <w:szCs w:val="20"/>
    </w:rPr>
  </w:style>
  <w:style w:type="paragraph" w:customStyle="1" w:styleId="20">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hart" Target="charts/chart6.xml"/><Relationship Id="rId8" Type="http://schemas.openxmlformats.org/officeDocument/2006/relationships/chart" Target="charts/chart5.xml"/><Relationship Id="rId7" Type="http://schemas.openxmlformats.org/officeDocument/2006/relationships/chart" Target="charts/chart4.xml"/><Relationship Id="rId6" Type="http://schemas.openxmlformats.org/officeDocument/2006/relationships/chart" Target="charts/chart3.xml"/><Relationship Id="rId5" Type="http://schemas.openxmlformats.org/officeDocument/2006/relationships/chart" Target="charts/chart2.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hart" Target="charts/chart7.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E:\2021&#24180;&#32418;&#21313;&#23383;&#20250;&#20915;&#31639;&#20844;&#24320;_0957058107.dotx" TargetMode="External"/></Relationships>
</file>

<file path=word/charts/_rels/chart1.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2.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3.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4.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5.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6.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7.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红原县红十字会</a:t>
            </a:r>
            <a:r>
              <a:rPr lang="en-US" altLang="zh-CN"/>
              <a:t>2021</a:t>
            </a:r>
            <a:r>
              <a:rPr altLang="en-US"/>
              <a:t>年与</a:t>
            </a:r>
            <a:r>
              <a:rPr lang="en-US" altLang="zh-CN"/>
              <a:t>2020</a:t>
            </a:r>
            <a:r>
              <a:rPr altLang="en-US"/>
              <a:t>年年度收支对比</a:t>
            </a:r>
            <a:endParaRPr lang="en-US" altLang="zh-CN"/>
          </a:p>
        </c:rich>
      </c:tx>
      <c:layout>
        <c:manualLayout>
          <c:xMode val="edge"/>
          <c:yMode val="edge"/>
          <c:x val="0.142"/>
          <c:y val="0.0195494321355427"/>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2021年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Sheet1!$A$2:$A$5</c15:sqref>
                  </c15:fullRef>
                </c:ext>
              </c:extLst>
              <c:f>Sheet1!$A$2:$A$3</c:f>
              <c:strCache>
                <c:ptCount val="2"/>
                <c:pt idx="0">
                  <c:v>决算收入</c:v>
                </c:pt>
                <c:pt idx="1">
                  <c:v>决算支出</c:v>
                </c:pt>
              </c:strCache>
            </c:strRef>
          </c:cat>
          <c:val>
            <c:numRef>
              <c:extLst>
                <c:ext xmlns:c15="http://schemas.microsoft.com/office/drawing/2012/chart" uri="{02D57815-91ED-43cb-92C2-25804820EDAC}">
                  <c15:fullRef>
                    <c15:sqref>Sheet1!$B$2:$B$5</c15:sqref>
                  </c15:fullRef>
                </c:ext>
              </c:extLst>
              <c:f>Sheet1!$B$2:$B$3</c:f>
              <c:numCache>
                <c:formatCode>General</c:formatCode>
                <c:ptCount val="2"/>
                <c:pt idx="0">
                  <c:v>137.65</c:v>
                </c:pt>
                <c:pt idx="1">
                  <c:v>137.65</c:v>
                </c:pt>
              </c:numCache>
            </c:numRef>
          </c:val>
        </c:ser>
        <c:ser>
          <c:idx val="1"/>
          <c:order val="1"/>
          <c:tx>
            <c:strRef>
              <c:f>Sheet1!$C$1</c:f>
              <c:strCache>
                <c:ptCount val="1"/>
                <c:pt idx="0">
                  <c:v>2020年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Sheet1!$A$2:$A$5</c15:sqref>
                  </c15:fullRef>
                </c:ext>
              </c:extLst>
              <c:f>Sheet1!$A$2:$A$3</c:f>
              <c:strCache>
                <c:ptCount val="2"/>
                <c:pt idx="0">
                  <c:v>决算收入</c:v>
                </c:pt>
                <c:pt idx="1">
                  <c:v>决算支出</c:v>
                </c:pt>
              </c:strCache>
            </c:strRef>
          </c:cat>
          <c:val>
            <c:numRef>
              <c:extLst>
                <c:ext xmlns:c15="http://schemas.microsoft.com/office/drawing/2012/chart" uri="{02D57815-91ED-43cb-92C2-25804820EDAC}">
                  <c15:fullRef>
                    <c15:sqref>Sheet1!$C$2:$C$5</c15:sqref>
                  </c15:fullRef>
                </c:ext>
              </c:extLst>
              <c:f>Sheet1!$C$2:$C$3</c:f>
              <c:numCache>
                <c:formatCode>General</c:formatCode>
                <c:ptCount val="2"/>
                <c:pt idx="0">
                  <c:v>113.32</c:v>
                </c:pt>
                <c:pt idx="1">
                  <c:v>113.32</c:v>
                </c:pt>
              </c:numCache>
            </c:numRef>
          </c:val>
        </c:ser>
        <c:dLbls>
          <c:showLegendKey val="0"/>
          <c:showVal val="1"/>
          <c:showCatName val="0"/>
          <c:showSerName val="0"/>
          <c:showPercent val="0"/>
          <c:showBubbleSize val="0"/>
        </c:dLbls>
        <c:gapWidth val="219"/>
        <c:overlap val="-27"/>
        <c:axId val="711262211"/>
        <c:axId val="206422257"/>
        <c:extLst>
          <c:ext xmlns:c15="http://schemas.microsoft.com/office/drawing/2012/chart" uri="{02D57815-91ED-43cb-92C2-25804820EDAC}">
            <c15:filteredBarSeries>
              <c15:ser>
                <c:idx val="2"/>
                <c:order val="2"/>
                <c:tx>
                  <c:strRef>
                    <c:extLst>
                      <c:ext uri="{02D57815-91ED-43cb-92C2-25804820EDAC}">
                        <c15:formulaRef>
                          <c15:sqref>Sheet1!$D$1</c15:sqref>
                        </c15:formulaRef>
                      </c:ext>
                    </c:extLst>
                    <c:strCache>
                      <c:ptCount val="1"/>
                      <c:pt idx="0">
                        <c:v>系列 3</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ullRef>
                          <c15:sqref>Sheet1!$A$2:$A$5</c15:sqref>
                        </c15:fullRef>
                        <c15:formulaRef>
                          <c15:sqref>Sheet1!$A$2:$A$3</c15:sqref>
                        </c15:formulaRef>
                      </c:ext>
                    </c:extLst>
                    <c:strCache>
                      <c:ptCount val="2"/>
                      <c:pt idx="0">
                        <c:v>决算收入</c:v>
                      </c:pt>
                      <c:pt idx="1">
                        <c:v>决算支出</c:v>
                      </c:pt>
                    </c:strCache>
                  </c:strRef>
                </c:cat>
                <c:val>
                  <c:numRef>
                    <c:extLst>
                      <c:ext uri="{02D57815-91ED-43cb-92C2-25804820EDAC}">
                        <c15:fullRef>
                          <c15:sqref>Sheet1!$D$2:$D$5</c15:sqref>
                        </c15:fullRef>
                        <c15:formulaRef>
                          <c15:sqref>Sheet1!$D$2:$D$3</c15:sqref>
                        </c15:formulaRef>
                      </c:ext>
                    </c:extLst>
                    <c:numCache>
                      <c:formatCode>General</c:formatCode>
                      <c:ptCount val="2"/>
                      <c:pt idx="0">
                        <c:v>2</c:v>
                      </c:pt>
                      <c:pt idx="1">
                        <c:v>2</c:v>
                      </c:pt>
                    </c:numCache>
                  </c:numRef>
                </c:val>
              </c15:ser>
            </c15:filteredBarSeries>
          </c:ext>
        </c:extLst>
      </c:barChart>
      <c:catAx>
        <c:axId val="71126221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06422257"/>
        <c:crosses val="autoZero"/>
        <c:auto val="1"/>
        <c:lblAlgn val="ctr"/>
        <c:lblOffset val="100"/>
        <c:noMultiLvlLbl val="0"/>
      </c:catAx>
      <c:valAx>
        <c:axId val="20642225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11262211"/>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红原县红十字会202</a:t>
            </a:r>
            <a:r>
              <a:rPr lang="en-US" altLang="zh-CN"/>
              <a:t>1</a:t>
            </a:r>
            <a:r>
              <a:t>年本年收入合计</a:t>
            </a:r>
          </a:p>
        </c:rich>
      </c:tx>
      <c:layout/>
      <c:overlay val="0"/>
      <c:spPr>
        <a:noFill/>
        <a:ln>
          <a:noFill/>
        </a:ln>
        <a:effectLst/>
      </c:spPr>
    </c:title>
    <c:autoTitleDeleted val="0"/>
    <c:plotArea>
      <c:layout/>
      <c:pieChart>
        <c:varyColors val="1"/>
        <c:ser>
          <c:idx val="0"/>
          <c:order val="0"/>
          <c:tx>
            <c:strRef>
              <c:f>Sheet1!$B$1</c:f>
              <c:strCache>
                <c:ptCount val="1"/>
                <c:pt idx="0">
                  <c:v>红原县红十字会2021年本年收入合计</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Lbls>
            <c:dLbl>
              <c:idx val="7"/>
              <c:layout>
                <c:manualLayout>
                  <c:x val="0.0860097771641748"/>
                  <c:y val="0.00130276026836176"/>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Cache>
            </c:strRef>
          </c:cat>
          <c:val>
            <c:numRef>
              <c:f>Sheet1!$B$2:$B$9</c:f>
              <c:numCache>
                <c:formatCode>General</c:formatCode>
                <c:ptCount val="8"/>
                <c:pt idx="0">
                  <c:v>95.28</c:v>
                </c:pt>
                <c:pt idx="1">
                  <c:v>0</c:v>
                </c:pt>
                <c:pt idx="2">
                  <c:v>0</c:v>
                </c:pt>
                <c:pt idx="3">
                  <c:v>0</c:v>
                </c:pt>
                <c:pt idx="4">
                  <c:v>0</c:v>
                </c:pt>
                <c:pt idx="5">
                  <c:v>0</c:v>
                </c:pt>
                <c:pt idx="6">
                  <c:v>0</c:v>
                </c:pt>
                <c:pt idx="7">
                  <c:v>4.73</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2021年本年支出合计</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General</c:formatCode>
                <c:ptCount val="5"/>
                <c:pt idx="0">
                  <c:v>86.84</c:v>
                </c:pt>
                <c:pt idx="1">
                  <c:v>13.16</c:v>
                </c:pt>
                <c:pt idx="2">
                  <c:v>0</c:v>
                </c:pt>
                <c:pt idx="3">
                  <c:v>0</c:v>
                </c:pt>
                <c:pt idx="4">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红原县红十字会</a:t>
            </a:r>
            <a:r>
              <a:rPr lang="en-US" altLang="zh-CN"/>
              <a:t>2021</a:t>
            </a:r>
            <a:r>
              <a:rPr altLang="en-US"/>
              <a:t>年与</a:t>
            </a:r>
            <a:r>
              <a:rPr lang="en-US" altLang="zh-CN"/>
              <a:t>2020</a:t>
            </a:r>
            <a:r>
              <a:rPr altLang="en-US"/>
              <a:t>年财政拨款收支对比</a:t>
            </a:r>
            <a:endParaRPr lang="en-US" altLang="zh-CN"/>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2021年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Sheet1!$A$2:$A$5</c15:sqref>
                  </c15:fullRef>
                </c:ext>
              </c:extLst>
              <c:f>Sheet1!$A$2:$A$3</c:f>
              <c:strCache>
                <c:ptCount val="2"/>
                <c:pt idx="0">
                  <c:v>决算收入</c:v>
                </c:pt>
                <c:pt idx="1">
                  <c:v>决算支出</c:v>
                </c:pt>
              </c:strCache>
            </c:strRef>
          </c:cat>
          <c:val>
            <c:numRef>
              <c:extLst>
                <c:ext xmlns:c15="http://schemas.microsoft.com/office/drawing/2012/chart" uri="{02D57815-91ED-43cb-92C2-25804820EDAC}">
                  <c15:fullRef>
                    <c15:sqref>Sheet1!$B$2:$B$5</c15:sqref>
                  </c15:fullRef>
                </c:ext>
              </c:extLst>
              <c:f>Sheet1!$B$2:$B$3</c:f>
              <c:numCache>
                <c:formatCode>General</c:formatCode>
                <c:ptCount val="2"/>
                <c:pt idx="0">
                  <c:v>131.15</c:v>
                </c:pt>
                <c:pt idx="1">
                  <c:v>131.15</c:v>
                </c:pt>
              </c:numCache>
            </c:numRef>
          </c:val>
        </c:ser>
        <c:ser>
          <c:idx val="1"/>
          <c:order val="1"/>
          <c:tx>
            <c:strRef>
              <c:f>Sheet1!$C$1</c:f>
              <c:strCache>
                <c:ptCount val="1"/>
                <c:pt idx="0">
                  <c:v>2020年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Sheet1!$A$2:$A$5</c15:sqref>
                  </c15:fullRef>
                </c:ext>
              </c:extLst>
              <c:f>Sheet1!$A$2:$A$3</c:f>
              <c:strCache>
                <c:ptCount val="2"/>
                <c:pt idx="0">
                  <c:v>决算收入</c:v>
                </c:pt>
                <c:pt idx="1">
                  <c:v>决算支出</c:v>
                </c:pt>
              </c:strCache>
            </c:strRef>
          </c:cat>
          <c:val>
            <c:numRef>
              <c:extLst>
                <c:ext xmlns:c15="http://schemas.microsoft.com/office/drawing/2012/chart" uri="{02D57815-91ED-43cb-92C2-25804820EDAC}">
                  <c15:fullRef>
                    <c15:sqref>Sheet1!$C$2:$C$5</c15:sqref>
                  </c15:fullRef>
                </c:ext>
              </c:extLst>
              <c:f>Sheet1!$C$2:$C$3</c:f>
              <c:numCache>
                <c:formatCode>General</c:formatCode>
                <c:ptCount val="2"/>
                <c:pt idx="0">
                  <c:v>113.32</c:v>
                </c:pt>
                <c:pt idx="1">
                  <c:v>113.32</c:v>
                </c:pt>
              </c:numCache>
            </c:numRef>
          </c:val>
        </c:ser>
        <c:dLbls>
          <c:showLegendKey val="0"/>
          <c:showVal val="1"/>
          <c:showCatName val="0"/>
          <c:showSerName val="0"/>
          <c:showPercent val="0"/>
          <c:showBubbleSize val="0"/>
        </c:dLbls>
        <c:gapWidth val="219"/>
        <c:overlap val="-27"/>
        <c:axId val="711262211"/>
        <c:axId val="206422257"/>
        <c:extLst>
          <c:ext xmlns:c15="http://schemas.microsoft.com/office/drawing/2012/chart" uri="{02D57815-91ED-43cb-92C2-25804820EDAC}">
            <c15:filteredBarSeries>
              <c15:ser>
                <c:idx val="2"/>
                <c:order val="2"/>
                <c:tx>
                  <c:strRef>
                    <c:extLst>
                      <c:ext uri="{02D57815-91ED-43cb-92C2-25804820EDAC}">
                        <c15:formulaRef>
                          <c15:sqref>Sheet1!$D$1</c15:sqref>
                        </c15:formulaRef>
                      </c:ext>
                    </c:extLst>
                    <c:strCache>
                      <c:ptCount val="1"/>
                      <c:pt idx="0">
                        <c:v>系列 3</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ullRef>
                          <c15:sqref>Sheet1!$A$2:$A$5</c15:sqref>
                        </c15:fullRef>
                        <c15:formulaRef>
                          <c15:sqref>Sheet1!$A$2:$A$3</c15:sqref>
                        </c15:formulaRef>
                      </c:ext>
                    </c:extLst>
                    <c:strCache>
                      <c:ptCount val="2"/>
                      <c:pt idx="0">
                        <c:v>决算收入</c:v>
                      </c:pt>
                      <c:pt idx="1">
                        <c:v>决算支出</c:v>
                      </c:pt>
                    </c:strCache>
                  </c:strRef>
                </c:cat>
                <c:val>
                  <c:numRef>
                    <c:extLst>
                      <c:ext uri="{02D57815-91ED-43cb-92C2-25804820EDAC}">
                        <c15:fullRef>
                          <c15:sqref>Sheet1!$D$2:$D$5</c15:sqref>
                        </c15:fullRef>
                        <c15:formulaRef>
                          <c15:sqref>Sheet1!$D$2:$D$3</c15:sqref>
                        </c15:formulaRef>
                      </c:ext>
                    </c:extLst>
                    <c:numCache>
                      <c:formatCode>General</c:formatCode>
                      <c:ptCount val="2"/>
                      <c:pt idx="0">
                        <c:v>2</c:v>
                      </c:pt>
                      <c:pt idx="1">
                        <c:v>2</c:v>
                      </c:pt>
                    </c:numCache>
                  </c:numRef>
                </c:val>
              </c15:ser>
            </c15:filteredBarSeries>
          </c:ext>
        </c:extLst>
      </c:barChart>
      <c:catAx>
        <c:axId val="71126221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06422257"/>
        <c:crosses val="autoZero"/>
        <c:auto val="1"/>
        <c:lblAlgn val="ctr"/>
        <c:lblOffset val="100"/>
        <c:noMultiLvlLbl val="0"/>
      </c:catAx>
      <c:valAx>
        <c:axId val="20642225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11262211"/>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红原县红十字会</a:t>
            </a:r>
            <a:r>
              <a:rPr lang="en-US" altLang="zh-CN"/>
              <a:t>2021</a:t>
            </a:r>
            <a:r>
              <a:rPr altLang="en-US"/>
              <a:t>年与</a:t>
            </a:r>
            <a:r>
              <a:rPr lang="en-US" altLang="zh-CN"/>
              <a:t>2020</a:t>
            </a:r>
            <a:r>
              <a:rPr altLang="en-US"/>
              <a:t>年一般公共预算财政拨款支出对比</a:t>
            </a:r>
            <a:endParaRPr lang="en-US" altLang="zh-CN"/>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2021年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Sheet1!$A$2:$A$5</c15:sqref>
                  </c15:fullRef>
                </c:ext>
              </c:extLst>
              <c:f>Sheet1!$A$3</c:f>
              <c:strCache>
                <c:ptCount val="1"/>
                <c:pt idx="0">
                  <c:v>决算支出</c:v>
                </c:pt>
              </c:strCache>
            </c:strRef>
          </c:cat>
          <c:val>
            <c:numRef>
              <c:extLst>
                <c:ext xmlns:c15="http://schemas.microsoft.com/office/drawing/2012/chart" uri="{02D57815-91ED-43cb-92C2-25804820EDAC}">
                  <c15:fullRef>
                    <c15:sqref>Sheet1!$B$2:$B$5</c15:sqref>
                  </c15:fullRef>
                </c:ext>
              </c:extLst>
              <c:f>Sheet1!$B$3</c:f>
              <c:numCache>
                <c:formatCode>General</c:formatCode>
                <c:ptCount val="1"/>
                <c:pt idx="0">
                  <c:v>131.15</c:v>
                </c:pt>
              </c:numCache>
            </c:numRef>
          </c:val>
        </c:ser>
        <c:ser>
          <c:idx val="1"/>
          <c:order val="1"/>
          <c:tx>
            <c:strRef>
              <c:f>Sheet1!$C$1</c:f>
              <c:strCache>
                <c:ptCount val="1"/>
                <c:pt idx="0">
                  <c:v>2020年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Sheet1!$A$2:$A$5</c15:sqref>
                  </c15:fullRef>
                </c:ext>
              </c:extLst>
              <c:f>Sheet1!$A$3</c:f>
              <c:strCache>
                <c:ptCount val="1"/>
                <c:pt idx="0">
                  <c:v>决算支出</c:v>
                </c:pt>
              </c:strCache>
            </c:strRef>
          </c:cat>
          <c:val>
            <c:numRef>
              <c:extLst>
                <c:ext xmlns:c15="http://schemas.microsoft.com/office/drawing/2012/chart" uri="{02D57815-91ED-43cb-92C2-25804820EDAC}">
                  <c15:fullRef>
                    <c15:sqref>Sheet1!$C$2:$C$5</c15:sqref>
                  </c15:fullRef>
                </c:ext>
              </c:extLst>
              <c:f>Sheet1!$C$3</c:f>
              <c:numCache>
                <c:formatCode>General</c:formatCode>
                <c:ptCount val="1"/>
                <c:pt idx="0">
                  <c:v>113.32</c:v>
                </c:pt>
              </c:numCache>
            </c:numRef>
          </c:val>
        </c:ser>
        <c:dLbls>
          <c:showLegendKey val="0"/>
          <c:showVal val="1"/>
          <c:showCatName val="0"/>
          <c:showSerName val="0"/>
          <c:showPercent val="0"/>
          <c:showBubbleSize val="0"/>
        </c:dLbls>
        <c:gapWidth val="219"/>
        <c:overlap val="-27"/>
        <c:axId val="711262211"/>
        <c:axId val="206422257"/>
        <c:extLst>
          <c:ext xmlns:c15="http://schemas.microsoft.com/office/drawing/2012/chart" uri="{02D57815-91ED-43cb-92C2-25804820EDAC}">
            <c15:filteredBarSeries>
              <c15:ser>
                <c:idx val="2"/>
                <c:order val="2"/>
                <c:tx>
                  <c:strRef>
                    <c:extLst>
                      <c:ext uri="{02D57815-91ED-43cb-92C2-25804820EDAC}">
                        <c15:formulaRef>
                          <c15:sqref>Sheet1!$D$1</c15:sqref>
                        </c15:formulaRef>
                      </c:ext>
                    </c:extLst>
                    <c:strCache>
                      <c:ptCount val="1"/>
                      <c:pt idx="0">
                        <c:v>系列 3</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ullRef>
                          <c15:sqref>Sheet1!$A$2:$A$5</c15:sqref>
                        </c15:fullRef>
                        <c15:formulaRef>
                          <c15:sqref>Sheet1!$A$3</c15:sqref>
                        </c15:formulaRef>
                      </c:ext>
                    </c:extLst>
                    <c:strCache>
                      <c:ptCount val="1"/>
                      <c:pt idx="0">
                        <c:v>决算支出</c:v>
                      </c:pt>
                    </c:strCache>
                  </c:strRef>
                </c:cat>
                <c:val>
                  <c:numRef>
                    <c:extLst>
                      <c:ext uri="{02D57815-91ED-43cb-92C2-25804820EDAC}">
                        <c15:fullRef>
                          <c15:sqref>Sheet1!$D$2:$D$5</c15:sqref>
                        </c15:fullRef>
                        <c15:formulaRef>
                          <c15:sqref>Sheet1!$D$3</c15:sqref>
                        </c15:formulaRef>
                      </c:ext>
                    </c:extLst>
                    <c:numCache>
                      <c:formatCode>General</c:formatCode>
                      <c:ptCount val="1"/>
                      <c:pt idx="0">
                        <c:v>2</c:v>
                      </c:pt>
                    </c:numCache>
                  </c:numRef>
                </c:val>
              </c15:ser>
            </c15:filteredBarSeries>
          </c:ext>
        </c:extLst>
      </c:barChart>
      <c:catAx>
        <c:axId val="71126221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06422257"/>
        <c:crosses val="autoZero"/>
        <c:auto val="1"/>
        <c:lblAlgn val="ctr"/>
        <c:lblOffset val="100"/>
        <c:noMultiLvlLbl val="0"/>
      </c:catAx>
      <c:valAx>
        <c:axId val="20642225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11262211"/>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一般公共预算财政拨款支出决算结构</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Pt>
            <c:idx val="8"/>
            <c:bubble3D val="0"/>
            <c:spPr>
              <a:solidFill>
                <a:schemeClr val="accent3">
                  <a:lumMod val="60000"/>
                </a:schemeClr>
              </a:solidFill>
              <a:ln w="19050">
                <a:solidFill>
                  <a:schemeClr val="lt1"/>
                </a:solidFill>
              </a:ln>
              <a:effectLst/>
            </c:spPr>
          </c:dPt>
          <c:dPt>
            <c:idx val="9"/>
            <c:bubble3D val="0"/>
            <c:spPr>
              <a:solidFill>
                <a:schemeClr val="accent4">
                  <a:lumMod val="60000"/>
                </a:schemeClr>
              </a:solidFill>
              <a:ln w="19050">
                <a:solidFill>
                  <a:schemeClr val="lt1"/>
                </a:solidFill>
              </a:ln>
              <a:effectLst/>
            </c:spPr>
          </c:dPt>
          <c:dPt>
            <c:idx val="10"/>
            <c:bubble3D val="0"/>
            <c:spPr>
              <a:solidFill>
                <a:schemeClr val="accent5">
                  <a:lumMod val="60000"/>
                </a:schemeClr>
              </a:solidFill>
              <a:ln w="19050">
                <a:solidFill>
                  <a:schemeClr val="lt1"/>
                </a:solidFill>
              </a:ln>
              <a:effectLst/>
            </c:spPr>
          </c:dPt>
          <c:dPt>
            <c:idx val="11"/>
            <c:bubble3D val="0"/>
            <c:spPr>
              <a:solidFill>
                <a:schemeClr val="accent6">
                  <a:lumMod val="60000"/>
                </a:schemeClr>
              </a:solidFill>
              <a:ln w="19050">
                <a:solidFill>
                  <a:schemeClr val="lt1"/>
                </a:solidFill>
              </a:ln>
              <a:effectLst/>
            </c:spPr>
          </c:dPt>
          <c:dPt>
            <c:idx val="12"/>
            <c:bubble3D val="0"/>
            <c:spPr>
              <a:solidFill>
                <a:schemeClr val="accent1">
                  <a:lumMod val="80000"/>
                  <a:lumOff val="20000"/>
                </a:schemeClr>
              </a:solidFill>
              <a:ln w="19050">
                <a:solidFill>
                  <a:schemeClr val="lt1"/>
                </a:solidFill>
              </a:ln>
              <a:effectLst/>
            </c:spPr>
          </c:dPt>
          <c:dPt>
            <c:idx val="13"/>
            <c:bubble3D val="0"/>
            <c:spPr>
              <a:solidFill>
                <a:schemeClr val="accent2">
                  <a:lumMod val="80000"/>
                  <a:lumOff val="20000"/>
                </a:schemeClr>
              </a:solidFill>
              <a:ln w="19050">
                <a:solidFill>
                  <a:schemeClr val="lt1"/>
                </a:solidFill>
              </a:ln>
              <a:effectLst/>
            </c:spPr>
          </c:dPt>
          <c:dPt>
            <c:idx val="14"/>
            <c:bubble3D val="0"/>
            <c:spPr>
              <a:solidFill>
                <a:schemeClr val="accent3">
                  <a:lumMod val="80000"/>
                  <a:lumOff val="20000"/>
                </a:schemeClr>
              </a:solidFill>
              <a:ln w="19050">
                <a:solidFill>
                  <a:schemeClr val="lt1"/>
                </a:solidFill>
              </a:ln>
              <a:effectLst/>
            </c:spPr>
          </c:dPt>
          <c:dPt>
            <c:idx val="15"/>
            <c:bubble3D val="0"/>
            <c:spPr>
              <a:solidFill>
                <a:schemeClr val="accent4">
                  <a:lumMod val="80000"/>
                  <a:lumOff val="20000"/>
                </a:schemeClr>
              </a:solidFill>
              <a:ln w="19050">
                <a:solidFill>
                  <a:schemeClr val="lt1"/>
                </a:solidFill>
              </a:ln>
              <a:effectLst/>
            </c:spPr>
          </c:dPt>
          <c:dPt>
            <c:idx val="16"/>
            <c:bubble3D val="0"/>
            <c:spPr>
              <a:solidFill>
                <a:schemeClr val="accent5">
                  <a:lumMod val="80000"/>
                  <a:lumOff val="20000"/>
                </a:schemeClr>
              </a:solidFill>
              <a:ln w="19050">
                <a:solidFill>
                  <a:schemeClr val="lt1"/>
                </a:solidFill>
              </a:ln>
              <a:effectLst/>
            </c:spPr>
          </c:dPt>
          <c:dPt>
            <c:idx val="17"/>
            <c:bubble3D val="0"/>
            <c:spPr>
              <a:solidFill>
                <a:schemeClr val="accent6">
                  <a:lumMod val="80000"/>
                  <a:lumOff val="20000"/>
                </a:schemeClr>
              </a:solidFill>
              <a:ln w="19050">
                <a:solidFill>
                  <a:schemeClr val="lt1"/>
                </a:solidFill>
              </a:ln>
              <a:effectLst/>
            </c:spPr>
          </c:dPt>
          <c:dPt>
            <c:idx val="18"/>
            <c:bubble3D val="0"/>
            <c:spPr>
              <a:solidFill>
                <a:schemeClr val="accent1">
                  <a:lumMod val="80000"/>
                </a:schemeClr>
              </a:solidFill>
              <a:ln w="19050">
                <a:solidFill>
                  <a:schemeClr val="lt1"/>
                </a:solidFill>
              </a:ln>
              <a:effectLst/>
            </c:spPr>
          </c:dPt>
          <c:dPt>
            <c:idx val="19"/>
            <c:bubble3D val="0"/>
            <c:spPr>
              <a:solidFill>
                <a:schemeClr val="accent2">
                  <a:lumMod val="80000"/>
                </a:schemeClr>
              </a:solidFill>
              <a:ln w="19050">
                <a:solidFill>
                  <a:schemeClr val="lt1"/>
                </a:solidFill>
              </a:ln>
              <a:effectLst/>
            </c:spPr>
          </c:dPt>
          <c:dPt>
            <c:idx val="20"/>
            <c:bubble3D val="0"/>
            <c:spPr>
              <a:solidFill>
                <a:schemeClr val="accent3">
                  <a:lumMod val="80000"/>
                </a:schemeClr>
              </a:solidFill>
              <a:ln w="19050">
                <a:solidFill>
                  <a:schemeClr val="lt1"/>
                </a:solidFill>
              </a:ln>
              <a:effectLst/>
            </c:spPr>
          </c:dPt>
          <c:dPt>
            <c:idx val="21"/>
            <c:bubble3D val="0"/>
            <c:spPr>
              <a:solidFill>
                <a:schemeClr val="accent4">
                  <a:lumMod val="80000"/>
                </a:schemeClr>
              </a:solidFill>
              <a:ln w="19050">
                <a:solidFill>
                  <a:schemeClr val="lt1"/>
                </a:solidFill>
              </a:ln>
              <a:effectLst/>
            </c:spPr>
          </c:dPt>
          <c:dPt>
            <c:idx val="22"/>
            <c:bubble3D val="0"/>
            <c:spPr>
              <a:solidFill>
                <a:schemeClr val="accent5">
                  <a:lumMod val="80000"/>
                </a:schemeClr>
              </a:solidFill>
              <a:ln w="19050">
                <a:solidFill>
                  <a:schemeClr val="lt1"/>
                </a:solidFill>
              </a:ln>
              <a:effectLst/>
            </c:spPr>
          </c:dPt>
          <c:dPt>
            <c:idx val="23"/>
            <c:bubble3D val="0"/>
            <c:spPr>
              <a:solidFill>
                <a:schemeClr val="accent6">
                  <a:lumMod val="80000"/>
                </a:schemeClr>
              </a:solidFill>
              <a:ln w="19050">
                <a:solidFill>
                  <a:schemeClr val="lt1"/>
                </a:solidFill>
              </a:ln>
              <a:effectLst/>
            </c:spPr>
          </c:dPt>
          <c:dPt>
            <c:idx val="24"/>
            <c:bubble3D val="0"/>
            <c:spPr>
              <a:solidFill>
                <a:schemeClr val="accent1">
                  <a:lumMod val="60000"/>
                  <a:lumOff val="40000"/>
                </a:schemeClr>
              </a:solidFill>
              <a:ln w="19050">
                <a:solidFill>
                  <a:schemeClr val="lt1"/>
                </a:solidFill>
              </a:ln>
              <a:effectLst/>
            </c:spPr>
          </c:dPt>
          <c:dPt>
            <c:idx val="25"/>
            <c:bubble3D val="0"/>
            <c:spPr>
              <a:solidFill>
                <a:schemeClr val="accent2">
                  <a:lumMod val="60000"/>
                  <a:lumOff val="4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Sheet1!$A$2:$A$27</c:f>
              <c:strCache>
                <c:ptCount val="26"/>
                <c:pt idx="0">
                  <c:v>一般公共服务</c:v>
                </c:pt>
                <c:pt idx="1">
                  <c:v>外交支出</c:v>
                </c:pt>
                <c:pt idx="2">
                  <c:v>国防支出</c:v>
                </c:pt>
                <c:pt idx="3">
                  <c:v>公共安全支出</c:v>
                </c:pt>
                <c:pt idx="4">
                  <c:v>教育支出</c:v>
                </c:pt>
                <c:pt idx="5">
                  <c:v>科学技术</c:v>
                </c:pt>
                <c:pt idx="6">
                  <c:v>文化旅游体育与传媒</c:v>
                </c:pt>
                <c:pt idx="7">
                  <c:v>社会保障和就业</c:v>
                </c:pt>
                <c:pt idx="8">
                  <c:v>卫生健康支出</c:v>
                </c:pt>
                <c:pt idx="9">
                  <c:v>节能环保支出</c:v>
                </c:pt>
                <c:pt idx="10">
                  <c:v>城乡社区支出</c:v>
                </c:pt>
                <c:pt idx="11">
                  <c:v>农林水支出</c:v>
                </c:pt>
                <c:pt idx="12">
                  <c:v>交通运输支出</c:v>
                </c:pt>
                <c:pt idx="13">
                  <c:v>资源勘探信息等支出</c:v>
                </c:pt>
                <c:pt idx="14">
                  <c:v>商业服务业等支出</c:v>
                </c:pt>
                <c:pt idx="15">
                  <c:v>金融支出</c:v>
                </c:pt>
                <c:pt idx="16">
                  <c:v>援助其他地区支出</c:v>
                </c:pt>
                <c:pt idx="17">
                  <c:v>自然资源海洋气象等支出</c:v>
                </c:pt>
                <c:pt idx="18">
                  <c:v>住房保障支出</c:v>
                </c:pt>
                <c:pt idx="19">
                  <c:v>粮油物资储备支出</c:v>
                </c:pt>
                <c:pt idx="20">
                  <c:v>国有资本经营预算支出</c:v>
                </c:pt>
                <c:pt idx="21">
                  <c:v>灾害防治及应急管理支出</c:v>
                </c:pt>
                <c:pt idx="22">
                  <c:v>其他支出</c:v>
                </c:pt>
                <c:pt idx="23">
                  <c:v>债务还本支出</c:v>
                </c:pt>
                <c:pt idx="24">
                  <c:v>债务付息支出</c:v>
                </c:pt>
                <c:pt idx="25">
                  <c:v>抗疫特别国债安排的支出</c:v>
                </c:pt>
              </c:strCache>
            </c:strRef>
          </c:cat>
          <c:val>
            <c:numRef>
              <c:f>Sheet1!$B$2:$B$27</c:f>
              <c:numCache>
                <c:formatCode>General</c:formatCode>
                <c:ptCount val="26"/>
                <c:pt idx="0">
                  <c:v>0</c:v>
                </c:pt>
                <c:pt idx="1">
                  <c:v>0</c:v>
                </c:pt>
                <c:pt idx="2">
                  <c:v>0</c:v>
                </c:pt>
                <c:pt idx="3">
                  <c:v>0</c:v>
                </c:pt>
                <c:pt idx="4">
                  <c:v>0</c:v>
                </c:pt>
                <c:pt idx="5">
                  <c:v>0</c:v>
                </c:pt>
                <c:pt idx="6">
                  <c:v>0</c:v>
                </c:pt>
                <c:pt idx="7">
                  <c:v>89.79</c:v>
                </c:pt>
                <c:pt idx="8">
                  <c:v>3.98</c:v>
                </c:pt>
                <c:pt idx="9">
                  <c:v>0</c:v>
                </c:pt>
                <c:pt idx="10">
                  <c:v>0</c:v>
                </c:pt>
                <c:pt idx="12">
                  <c:v>0</c:v>
                </c:pt>
                <c:pt idx="13">
                  <c:v>0</c:v>
                </c:pt>
                <c:pt idx="14">
                  <c:v>0</c:v>
                </c:pt>
                <c:pt idx="15">
                  <c:v>0</c:v>
                </c:pt>
                <c:pt idx="16">
                  <c:v>0</c:v>
                </c:pt>
                <c:pt idx="17">
                  <c:v>0</c:v>
                </c:pt>
                <c:pt idx="18">
                  <c:v>6.23</c:v>
                </c:pt>
                <c:pt idx="19">
                  <c:v>0</c:v>
                </c:pt>
                <c:pt idx="20">
                  <c:v>0</c:v>
                </c:pt>
                <c:pt idx="21">
                  <c:v>0</c:v>
                </c:pt>
                <c:pt idx="22">
                  <c:v>0</c:v>
                </c:pt>
                <c:pt idx="23">
                  <c:v>0</c:v>
                </c:pt>
                <c:pt idx="24">
                  <c:v>0</c:v>
                </c:pt>
                <c:pt idx="25">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红原县红十字会2021年“三公”经费财政拨款支出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Lbl>
              <c:idx val="2"/>
              <c:layout>
                <c:manualLayout>
                  <c:x val="0.0697350901886021"/>
                  <c:y val="0.00906944230215005"/>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Sheet1!$A$2:$A$5</c15:sqref>
                  </c15:fullRef>
                </c:ext>
              </c:extLst>
              <c:f>Sheet1!$A$2:$A$4</c:f>
              <c:strCache>
                <c:ptCount val="3"/>
                <c:pt idx="0">
                  <c:v>因公出国（境）费</c:v>
                </c:pt>
                <c:pt idx="1">
                  <c:v>公务用车购置及运行维护费</c:v>
                </c:pt>
                <c:pt idx="2">
                  <c:v>公务接待费</c:v>
                </c:pt>
              </c:strCache>
            </c:strRef>
          </c:cat>
          <c:val>
            <c:numRef>
              <c:extLst>
                <c:ext xmlns:c15="http://schemas.microsoft.com/office/drawing/2012/chart" uri="{02D57815-91ED-43cb-92C2-25804820EDAC}">
                  <c15:fullRef>
                    <c15:sqref>Sheet1!$B$2:$B$5</c15:sqref>
                  </c15:fullRef>
                </c:ext>
              </c:extLst>
              <c:f>Sheet1!$B$2:$B$4</c:f>
              <c:numCache>
                <c:formatCode>General</c:formatCode>
                <c:ptCount val="3"/>
                <c:pt idx="0">
                  <c:v>0</c:v>
                </c:pt>
                <c:pt idx="1">
                  <c:v>97.31</c:v>
                </c:pt>
                <c:pt idx="2">
                  <c:v>2.69</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2021年红十字会决算公开_0957058107.dotx</Template>
  <Pages>19</Pages>
  <Words>7669</Words>
  <Characters>8509</Characters>
  <TotalTime>1</TotalTime>
  <ScaleCrop>false</ScaleCrop>
  <LinksUpToDate>false</LinksUpToDate>
  <CharactersWithSpaces>8702</CharactersWithSpaces>
  <Application>WPS Office_11.1.0.12598_F1E327BC-269C-435d-A152-05C5408002CA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2022-12-06T02:50:00Z</dcterms:created>
  <dc:creator>Estelle. J</dc:creator>
  <cp:lastModifiedBy>Estelle. J</cp:lastModifiedBy>
  <dcterms:modified xsi:type="dcterms:W3CDTF">2022-12-09T07:49:04Z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BEB4ED3DE1094ECFA5D8A3055C0F7AB5</vt:lpwstr>
  </property>
</Properties>
</file>