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pStyle w:val="2"/>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14" w:name="_GoBack"/>
      <w:bookmarkStart w:id="1" w:name="_Toc15378441"/>
      <w:bookmarkStart w:id="2" w:name="_Toc20323"/>
      <w:bookmarkStart w:id="3" w:name="_Toc15377425"/>
      <w:bookmarkStart w:id="4" w:name="_Toc15377193"/>
      <w:bookmarkStart w:id="5" w:name="_Toc15396475"/>
      <w:bookmarkStart w:id="6"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7" w:name="_Toc19226"/>
      <w:bookmarkStart w:id="8" w:name="_Toc15396598"/>
      <w:bookmarkStart w:id="9" w:name="_Toc15378442"/>
      <w:bookmarkStart w:id="10" w:name="_Toc15377426"/>
      <w:bookmarkStart w:id="11" w:name="_Toc15396476"/>
      <w:bookmarkStart w:id="12"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End w:id="7"/>
      <w:bookmarkStart w:id="13" w:name="_Toc15306268"/>
    </w:p>
    <w:p>
      <w:pPr>
        <w:adjustRightInd w:val="0"/>
        <w:snapToGrid w:val="0"/>
        <w:spacing w:line="360" w:lineRule="auto"/>
        <w:jc w:val="center"/>
        <w:outlineLvl w:val="0"/>
        <w:rPr>
          <w:rFonts w:ascii="方正小标宋简体" w:hAnsi="宋体" w:eastAsia="方正小标宋简体"/>
          <w:color w:val="000000"/>
          <w:sz w:val="72"/>
          <w:szCs w:val="72"/>
        </w:rPr>
      </w:pPr>
      <w:bookmarkStart w:id="14" w:name="_Toc13236"/>
      <w:r>
        <w:rPr>
          <w:rFonts w:hint="eastAsia" w:ascii="方正小标宋简体" w:hAnsi="宋体" w:eastAsia="方正小标宋简体"/>
          <w:color w:val="000000"/>
          <w:sz w:val="72"/>
          <w:szCs w:val="72"/>
          <w:lang w:val="en-US" w:eastAsia="zh-CN"/>
        </w:rPr>
        <w:t>红十字会</w:t>
      </w:r>
      <w:r>
        <w:rPr>
          <w:rFonts w:hint="eastAsia" w:ascii="方正小标宋简体" w:hAnsi="宋体" w:eastAsia="方正小标宋简体"/>
          <w:color w:val="000000"/>
          <w:sz w:val="72"/>
          <w:szCs w:val="72"/>
        </w:rPr>
        <w:t>部门决算</w:t>
      </w:r>
      <w:bookmarkEnd w:id="114"/>
      <w:bookmarkEnd w:id="8"/>
      <w:bookmarkEnd w:id="9"/>
      <w:bookmarkEnd w:id="10"/>
      <w:bookmarkEnd w:id="11"/>
      <w:bookmarkEnd w:id="12"/>
      <w:bookmarkEnd w:id="13"/>
      <w:bookmarkEnd w:id="14"/>
    </w:p>
    <w:p>
      <w:pPr>
        <w:widowControl/>
        <w:jc w:val="both"/>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widowControl/>
        <w:jc w:val="both"/>
        <w:rPr>
          <w:rFonts w:ascii="黑体" w:hAnsi="黑体" w:eastAsia="黑体"/>
          <w:color w:val="000000"/>
          <w:sz w:val="48"/>
          <w:szCs w:val="48"/>
        </w:rPr>
      </w:pPr>
      <w:r>
        <w:rPr>
          <w:rFonts w:ascii="方正小标宋简体" w:hAnsi="宋体" w:eastAsia="方正小标宋简体"/>
          <w:sz w:val="36"/>
          <w:szCs w:val="36"/>
        </w:rPr>
        <w:br w:type="page"/>
      </w:r>
    </w:p>
    <w:sdt>
      <w:sdtPr>
        <w:rPr>
          <w:rFonts w:ascii="宋体" w:hAnsi="宋体" w:eastAsia="宋体" w:cs="Times New Roman"/>
          <w:kern w:val="2"/>
          <w:sz w:val="21"/>
          <w:szCs w:val="24"/>
          <w:lang w:val="en-US" w:eastAsia="zh-CN" w:bidi="ar-SA"/>
        </w:rPr>
        <w:id w:val="147467847"/>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pStyle w:val="12"/>
            <w:rPr>
              <w:rFonts w:hint="eastAsia" w:ascii="黑体" w:hAnsi="黑体" w:eastAsia="黑体" w:cs="Times New Roman"/>
              <w:color w:val="000000"/>
              <w:kern w:val="2"/>
              <w:sz w:val="48"/>
              <w:szCs w:val="48"/>
              <w:lang w:val="en-US" w:eastAsia="zh-CN" w:bidi="ar-SA"/>
            </w:rPr>
          </w:pPr>
          <w:bookmarkStart w:id="15" w:name="_Toc15377196"/>
          <w:bookmarkStart w:id="16" w:name="_Toc15396599"/>
          <w:r>
            <w:rPr>
              <w:rFonts w:hint="eastAsia" w:ascii="黑体" w:hAnsi="黑体" w:eastAsia="黑体" w:cs="Times New Roman"/>
              <w:color w:val="000000"/>
              <w:kern w:val="2"/>
              <w:sz w:val="48"/>
              <w:szCs w:val="48"/>
              <w:lang w:val="en-US" w:eastAsia="zh-CN" w:bidi="ar-SA"/>
            </w:rPr>
            <w:t>目  录</w:t>
          </w:r>
        </w:p>
        <w:p>
          <w:pPr>
            <w:pStyle w:val="12"/>
            <w:tabs>
              <w:tab w:val="right" w:leader="dot" w:pos="8306"/>
              <w:tab w:val="clear" w:pos="8296"/>
            </w:tabs>
          </w:pPr>
          <w:r>
            <w:fldChar w:fldCharType="begin"/>
          </w:r>
          <w:r>
            <w:instrText xml:space="preserve">TOC \o "1-2" \h \u </w:instrText>
          </w:r>
          <w:r>
            <w:fldChar w:fldCharType="separate"/>
          </w:r>
          <w:r>
            <w:fldChar w:fldCharType="begin"/>
          </w:r>
          <w:r>
            <w:instrText xml:space="preserve"> HYPERLINK \l _Toc20323 </w:instrText>
          </w:r>
          <w:r>
            <w:fldChar w:fldCharType="separate"/>
          </w:r>
          <w:r>
            <w:rPr>
              <w:rFonts w:ascii="黑体" w:hAnsi="黑体" w:eastAsia="黑体"/>
              <w:szCs w:val="72"/>
            </w:rPr>
            <w:t>201</w:t>
          </w:r>
          <w:r>
            <w:rPr>
              <w:rFonts w:hint="eastAsia" w:ascii="黑体" w:hAnsi="黑体" w:eastAsia="黑体"/>
              <w:szCs w:val="72"/>
            </w:rPr>
            <w:t>9</w:t>
          </w:r>
          <w:r>
            <w:rPr>
              <w:rFonts w:hint="eastAsia" w:ascii="方正小标宋简体" w:hAnsi="宋体" w:eastAsia="方正小标宋简体"/>
              <w:szCs w:val="72"/>
            </w:rPr>
            <w:t>年度</w:t>
          </w:r>
          <w:r>
            <w:tab/>
          </w:r>
          <w:r>
            <w:fldChar w:fldCharType="begin"/>
          </w:r>
          <w:r>
            <w:instrText xml:space="preserve"> PAGEREF _Toc20323 </w:instrText>
          </w:r>
          <w:r>
            <w:fldChar w:fldCharType="separate"/>
          </w:r>
          <w:r>
            <w:t>1</w:t>
          </w:r>
          <w:r>
            <w:fldChar w:fldCharType="end"/>
          </w:r>
          <w:r>
            <w:fldChar w:fldCharType="end"/>
          </w:r>
        </w:p>
        <w:p>
          <w:pPr>
            <w:pStyle w:val="12"/>
            <w:tabs>
              <w:tab w:val="right" w:leader="dot" w:pos="8306"/>
              <w:tab w:val="clear" w:pos="8296"/>
            </w:tabs>
          </w:pPr>
          <w:r>
            <w:fldChar w:fldCharType="begin"/>
          </w:r>
          <w:r>
            <w:instrText xml:space="preserve"> HYPERLINK \l _Toc19226 </w:instrText>
          </w:r>
          <w: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eastAsia="zh-CN"/>
            </w:rPr>
            <w:t>红原县</w:t>
          </w:r>
          <w:r>
            <w:tab/>
          </w:r>
          <w:r>
            <w:fldChar w:fldCharType="begin"/>
          </w:r>
          <w:r>
            <w:instrText xml:space="preserve"> PAGEREF _Toc19226 </w:instrText>
          </w:r>
          <w:r>
            <w:fldChar w:fldCharType="separate"/>
          </w:r>
          <w:r>
            <w:t>1</w:t>
          </w:r>
          <w:r>
            <w:fldChar w:fldCharType="end"/>
          </w:r>
          <w:r>
            <w:fldChar w:fldCharType="end"/>
          </w:r>
        </w:p>
        <w:p>
          <w:pPr>
            <w:pStyle w:val="12"/>
            <w:tabs>
              <w:tab w:val="right" w:leader="dot" w:pos="8306"/>
              <w:tab w:val="clear" w:pos="8296"/>
            </w:tabs>
          </w:pPr>
          <w:r>
            <w:fldChar w:fldCharType="begin"/>
          </w:r>
          <w:r>
            <w:instrText xml:space="preserve"> HYPERLINK \l _Toc13236 </w:instrText>
          </w:r>
          <w:r>
            <w:fldChar w:fldCharType="separate"/>
          </w:r>
          <w:r>
            <w:rPr>
              <w:rFonts w:hint="eastAsia" w:ascii="方正小标宋简体" w:hAnsi="宋体" w:eastAsia="方正小标宋简体"/>
              <w:szCs w:val="72"/>
              <w:lang w:val="en-US" w:eastAsia="zh-CN"/>
            </w:rPr>
            <w:t>红十字会</w:t>
          </w:r>
          <w:r>
            <w:rPr>
              <w:rFonts w:hint="eastAsia" w:ascii="方正小标宋简体" w:hAnsi="宋体" w:eastAsia="方正小标宋简体"/>
              <w:szCs w:val="72"/>
            </w:rPr>
            <w:t>部门决算</w:t>
          </w:r>
          <w:r>
            <w:tab/>
          </w:r>
          <w:r>
            <w:fldChar w:fldCharType="begin"/>
          </w:r>
          <w:r>
            <w:instrText xml:space="preserve"> PAGEREF _Toc13236 </w:instrText>
          </w:r>
          <w:r>
            <w:fldChar w:fldCharType="separate"/>
          </w:r>
          <w:r>
            <w:t>1</w:t>
          </w:r>
          <w:r>
            <w:fldChar w:fldCharType="end"/>
          </w:r>
          <w:r>
            <w:fldChar w:fldCharType="end"/>
          </w:r>
        </w:p>
        <w:p>
          <w:pPr>
            <w:pStyle w:val="12"/>
            <w:tabs>
              <w:tab w:val="right" w:leader="dot" w:pos="8306"/>
              <w:tab w:val="clear" w:pos="8296"/>
            </w:tabs>
          </w:pPr>
          <w:r>
            <w:fldChar w:fldCharType="begin"/>
          </w:r>
          <w:r>
            <w:instrText xml:space="preserve"> HYPERLINK \l _Toc18904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_Toc18904 </w:instrText>
          </w:r>
          <w:r>
            <w:fldChar w:fldCharType="separate"/>
          </w:r>
          <w:r>
            <w:t>4</w:t>
          </w:r>
          <w:r>
            <w:fldChar w:fldCharType="end"/>
          </w:r>
          <w:r>
            <w:fldChar w:fldCharType="end"/>
          </w:r>
        </w:p>
        <w:p>
          <w:pPr>
            <w:pStyle w:val="13"/>
            <w:tabs>
              <w:tab w:val="right" w:leader="dot" w:pos="8306"/>
              <w:tab w:val="clear" w:pos="8296"/>
            </w:tabs>
          </w:pPr>
          <w:r>
            <w:fldChar w:fldCharType="begin"/>
          </w:r>
          <w:r>
            <w:instrText xml:space="preserve"> HYPERLINK \l _Toc11779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_Toc11779 </w:instrText>
          </w:r>
          <w:r>
            <w:fldChar w:fldCharType="separate"/>
          </w:r>
          <w:r>
            <w:t>4</w:t>
          </w:r>
          <w:r>
            <w:fldChar w:fldCharType="end"/>
          </w:r>
          <w:r>
            <w:fldChar w:fldCharType="end"/>
          </w:r>
        </w:p>
        <w:p>
          <w:pPr>
            <w:pStyle w:val="13"/>
            <w:tabs>
              <w:tab w:val="right" w:leader="dot" w:pos="8306"/>
              <w:tab w:val="clear" w:pos="8296"/>
            </w:tabs>
          </w:pPr>
          <w:r>
            <w:fldChar w:fldCharType="begin"/>
          </w:r>
          <w:r>
            <w:instrText xml:space="preserve"> HYPERLINK \l _Toc2667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_Toc2667 </w:instrText>
          </w:r>
          <w:r>
            <w:fldChar w:fldCharType="separate"/>
          </w:r>
          <w:r>
            <w:t>7</w:t>
          </w:r>
          <w:r>
            <w:fldChar w:fldCharType="end"/>
          </w:r>
          <w:r>
            <w:fldChar w:fldCharType="end"/>
          </w:r>
        </w:p>
        <w:p>
          <w:pPr>
            <w:pStyle w:val="12"/>
            <w:tabs>
              <w:tab w:val="right" w:leader="dot" w:pos="8306"/>
              <w:tab w:val="clear" w:pos="8296"/>
            </w:tabs>
          </w:pPr>
          <w:r>
            <w:fldChar w:fldCharType="begin"/>
          </w:r>
          <w:r>
            <w:instrText xml:space="preserve"> HYPERLINK \l _Toc9319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_Toc9319 </w:instrText>
          </w:r>
          <w:r>
            <w:fldChar w:fldCharType="separate"/>
          </w:r>
          <w:r>
            <w:t>8</w:t>
          </w:r>
          <w:r>
            <w:fldChar w:fldCharType="end"/>
          </w:r>
          <w:r>
            <w:fldChar w:fldCharType="end"/>
          </w:r>
        </w:p>
        <w:p>
          <w:pPr>
            <w:pStyle w:val="13"/>
            <w:tabs>
              <w:tab w:val="right" w:leader="dot" w:pos="8306"/>
              <w:tab w:val="clear" w:pos="8296"/>
            </w:tabs>
          </w:pPr>
          <w:r>
            <w:fldChar w:fldCharType="begin"/>
          </w:r>
          <w:r>
            <w:instrText xml:space="preserve"> HYPERLINK \l _Toc11019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_Toc11019 </w:instrText>
          </w:r>
          <w:r>
            <w:fldChar w:fldCharType="separate"/>
          </w:r>
          <w:r>
            <w:t>8</w:t>
          </w:r>
          <w:r>
            <w:fldChar w:fldCharType="end"/>
          </w:r>
          <w:r>
            <w:fldChar w:fldCharType="end"/>
          </w:r>
        </w:p>
        <w:p>
          <w:pPr>
            <w:pStyle w:val="13"/>
            <w:tabs>
              <w:tab w:val="right" w:leader="dot" w:pos="8306"/>
              <w:tab w:val="clear" w:pos="8296"/>
            </w:tabs>
          </w:pPr>
          <w:r>
            <w:fldChar w:fldCharType="begin"/>
          </w:r>
          <w:r>
            <w:instrText xml:space="preserve"> HYPERLINK \l _Toc12999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_Toc12999 </w:instrText>
          </w:r>
          <w:r>
            <w:fldChar w:fldCharType="separate"/>
          </w:r>
          <w:r>
            <w:t>8</w:t>
          </w:r>
          <w:r>
            <w:fldChar w:fldCharType="end"/>
          </w:r>
          <w:r>
            <w:fldChar w:fldCharType="end"/>
          </w:r>
        </w:p>
        <w:p>
          <w:pPr>
            <w:pStyle w:val="13"/>
            <w:tabs>
              <w:tab w:val="right" w:leader="dot" w:pos="8306"/>
              <w:tab w:val="clear" w:pos="8296"/>
            </w:tabs>
          </w:pPr>
          <w:r>
            <w:fldChar w:fldCharType="begin"/>
          </w:r>
          <w:r>
            <w:instrText xml:space="preserve"> HYPERLINK \l _Toc8852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_Toc8852 </w:instrText>
          </w:r>
          <w:r>
            <w:fldChar w:fldCharType="separate"/>
          </w:r>
          <w:r>
            <w:t>9</w:t>
          </w:r>
          <w:r>
            <w:fldChar w:fldCharType="end"/>
          </w:r>
          <w:r>
            <w:fldChar w:fldCharType="end"/>
          </w:r>
        </w:p>
        <w:p>
          <w:pPr>
            <w:pStyle w:val="13"/>
            <w:tabs>
              <w:tab w:val="right" w:leader="dot" w:pos="8306"/>
              <w:tab w:val="clear" w:pos="8296"/>
            </w:tabs>
          </w:pPr>
          <w:r>
            <w:fldChar w:fldCharType="begin"/>
          </w:r>
          <w:r>
            <w:instrText xml:space="preserve"> HYPERLINK \l _Toc26923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_Toc26923 </w:instrText>
          </w:r>
          <w:r>
            <w:fldChar w:fldCharType="separate"/>
          </w:r>
          <w:r>
            <w:t>9</w:t>
          </w:r>
          <w:r>
            <w:fldChar w:fldCharType="end"/>
          </w:r>
          <w:r>
            <w:fldChar w:fldCharType="end"/>
          </w:r>
        </w:p>
        <w:p>
          <w:pPr>
            <w:pStyle w:val="13"/>
            <w:tabs>
              <w:tab w:val="right" w:leader="dot" w:pos="8306"/>
              <w:tab w:val="clear" w:pos="8296"/>
            </w:tabs>
          </w:pPr>
          <w:r>
            <w:fldChar w:fldCharType="begin"/>
          </w:r>
          <w:r>
            <w:instrText xml:space="preserve"> HYPERLINK \l _Toc23243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_Toc23243 </w:instrText>
          </w:r>
          <w:r>
            <w:fldChar w:fldCharType="separate"/>
          </w:r>
          <w:r>
            <w:t>10</w:t>
          </w:r>
          <w:r>
            <w:fldChar w:fldCharType="end"/>
          </w:r>
          <w:r>
            <w:fldChar w:fldCharType="end"/>
          </w:r>
        </w:p>
        <w:p>
          <w:pPr>
            <w:pStyle w:val="13"/>
            <w:tabs>
              <w:tab w:val="right" w:leader="dot" w:pos="8306"/>
              <w:tab w:val="clear" w:pos="8296"/>
            </w:tabs>
          </w:pPr>
          <w:r>
            <w:fldChar w:fldCharType="begin"/>
          </w:r>
          <w:r>
            <w:instrText xml:space="preserve"> HYPERLINK \l _Toc10825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_Toc10825 </w:instrText>
          </w:r>
          <w:r>
            <w:fldChar w:fldCharType="separate"/>
          </w:r>
          <w:r>
            <w:t>12</w:t>
          </w:r>
          <w:r>
            <w:fldChar w:fldCharType="end"/>
          </w:r>
          <w:r>
            <w:fldChar w:fldCharType="end"/>
          </w:r>
        </w:p>
        <w:p>
          <w:pPr>
            <w:pStyle w:val="13"/>
            <w:tabs>
              <w:tab w:val="right" w:leader="dot" w:pos="8306"/>
              <w:tab w:val="clear" w:pos="8296"/>
            </w:tabs>
          </w:pPr>
          <w:r>
            <w:fldChar w:fldCharType="begin"/>
          </w:r>
          <w:r>
            <w:instrText xml:space="preserve"> HYPERLINK \l _Toc16099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_Toc16099 </w:instrText>
          </w:r>
          <w:r>
            <w:fldChar w:fldCharType="separate"/>
          </w:r>
          <w:r>
            <w:t>13</w:t>
          </w:r>
          <w:r>
            <w:fldChar w:fldCharType="end"/>
          </w:r>
          <w:r>
            <w:fldChar w:fldCharType="end"/>
          </w:r>
        </w:p>
        <w:p>
          <w:pPr>
            <w:pStyle w:val="13"/>
            <w:tabs>
              <w:tab w:val="right" w:leader="dot" w:pos="8306"/>
              <w:tab w:val="clear" w:pos="8296"/>
            </w:tabs>
          </w:pPr>
          <w:r>
            <w:fldChar w:fldCharType="begin"/>
          </w:r>
          <w:r>
            <w:instrText xml:space="preserve"> HYPERLINK \l _Toc26436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_Toc26436 </w:instrText>
          </w:r>
          <w:r>
            <w:fldChar w:fldCharType="separate"/>
          </w:r>
          <w:r>
            <w:t>15</w:t>
          </w:r>
          <w:r>
            <w:fldChar w:fldCharType="end"/>
          </w:r>
          <w:r>
            <w:fldChar w:fldCharType="end"/>
          </w:r>
        </w:p>
        <w:p>
          <w:pPr>
            <w:pStyle w:val="13"/>
            <w:tabs>
              <w:tab w:val="right" w:leader="dot" w:pos="8306"/>
              <w:tab w:val="clear" w:pos="8296"/>
            </w:tabs>
          </w:pPr>
          <w:r>
            <w:fldChar w:fldCharType="begin"/>
          </w:r>
          <w:r>
            <w:instrText xml:space="preserve"> HYPERLINK \l _Toc11584 </w:instrText>
          </w:r>
          <w:r>
            <w:fldChar w:fldCharType="separate"/>
          </w:r>
          <w:r>
            <w:rPr>
              <w:rFonts w:hint="eastAsia" w:ascii="黑体" w:hAnsi="黑体" w:eastAsia="黑体"/>
            </w:rPr>
            <w:t>九、 国有资本经营预算支出决算情况说明</w:t>
          </w:r>
          <w:r>
            <w:tab/>
          </w:r>
          <w:r>
            <w:fldChar w:fldCharType="begin"/>
          </w:r>
          <w:r>
            <w:instrText xml:space="preserve"> PAGEREF _Toc11584 </w:instrText>
          </w:r>
          <w:r>
            <w:fldChar w:fldCharType="separate"/>
          </w:r>
          <w:r>
            <w:t>15</w:t>
          </w:r>
          <w:r>
            <w:fldChar w:fldCharType="end"/>
          </w:r>
          <w:r>
            <w:fldChar w:fldCharType="end"/>
          </w:r>
        </w:p>
        <w:p>
          <w:pPr>
            <w:pStyle w:val="13"/>
            <w:tabs>
              <w:tab w:val="right" w:leader="dot" w:pos="8306"/>
              <w:tab w:val="clear" w:pos="8296"/>
            </w:tabs>
          </w:pPr>
          <w:r>
            <w:fldChar w:fldCharType="begin"/>
          </w:r>
          <w:r>
            <w:instrText xml:space="preserve"> HYPERLINK \l _Toc2275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_Toc2275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_Toc27750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_Toc27750 </w:instrText>
          </w:r>
          <w:r>
            <w:fldChar w:fldCharType="separate"/>
          </w:r>
          <w:r>
            <w:t>19</w:t>
          </w:r>
          <w:r>
            <w:fldChar w:fldCharType="end"/>
          </w:r>
          <w:r>
            <w:fldChar w:fldCharType="end"/>
          </w:r>
        </w:p>
        <w:p>
          <w:pPr>
            <w:pStyle w:val="12"/>
            <w:tabs>
              <w:tab w:val="right" w:leader="dot" w:pos="8306"/>
              <w:tab w:val="clear" w:pos="8296"/>
            </w:tabs>
          </w:pPr>
          <w:r>
            <w:fldChar w:fldCharType="begin"/>
          </w:r>
          <w:r>
            <w:instrText xml:space="preserve"> HYPERLINK \l _Toc8452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_Toc8452 </w:instrText>
          </w:r>
          <w:r>
            <w:fldChar w:fldCharType="separate"/>
          </w:r>
          <w:r>
            <w:t>22</w:t>
          </w:r>
          <w:r>
            <w:fldChar w:fldCharType="end"/>
          </w:r>
          <w:r>
            <w:fldChar w:fldCharType="end"/>
          </w:r>
        </w:p>
        <w:p>
          <w:pPr>
            <w:pStyle w:val="12"/>
            <w:tabs>
              <w:tab w:val="right" w:leader="dot" w:pos="8306"/>
              <w:tab w:val="clear" w:pos="8296"/>
            </w:tabs>
          </w:pPr>
          <w:r>
            <w:fldChar w:fldCharType="begin"/>
          </w:r>
          <w:r>
            <w:instrText xml:space="preserve"> HYPERLINK \l _Toc24167 </w:instrText>
          </w:r>
          <w:r>
            <w:fldChar w:fldCharType="separate"/>
          </w:r>
          <w:r>
            <w:rPr>
              <w:rFonts w:hint="eastAsia" w:ascii="黑体" w:hAnsi="黑体" w:eastAsia="黑体" w:cs="黑体"/>
              <w:szCs w:val="32"/>
            </w:rPr>
            <w:t>附件1</w:t>
          </w:r>
          <w:r>
            <w:tab/>
          </w:r>
          <w:r>
            <w:fldChar w:fldCharType="begin"/>
          </w:r>
          <w:r>
            <w:instrText xml:space="preserve"> PAGEREF _Toc24167 </w:instrText>
          </w:r>
          <w:r>
            <w:fldChar w:fldCharType="separate"/>
          </w:r>
          <w:r>
            <w:t>22</w:t>
          </w:r>
          <w:r>
            <w:fldChar w:fldCharType="end"/>
          </w:r>
          <w:r>
            <w:fldChar w:fldCharType="end"/>
          </w:r>
        </w:p>
        <w:p>
          <w:pPr>
            <w:pStyle w:val="12"/>
            <w:tabs>
              <w:tab w:val="right" w:leader="dot" w:pos="8306"/>
              <w:tab w:val="clear" w:pos="8296"/>
            </w:tabs>
          </w:pPr>
          <w:r>
            <w:fldChar w:fldCharType="begin"/>
          </w:r>
          <w:r>
            <w:instrText xml:space="preserve"> HYPERLINK \l _Toc14282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_Toc14282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_Toc186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_Toc186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_Toc17123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_Toc17123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_Toc22129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_Toc22129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_Toc15065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_Toc15065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_Toc26840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_Toc26840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_Toc25577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_Toc25577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_Toc24443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_Toc24443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_Toc29348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_Toc29348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_Toc761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_Toc761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_Toc8764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_Toc8764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_Toc2721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_Toc2721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_Toc6683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_Toc6683 </w:instrText>
          </w:r>
          <w:r>
            <w:fldChar w:fldCharType="separate"/>
          </w:r>
          <w:r>
            <w:t>30</w:t>
          </w:r>
          <w:r>
            <w:fldChar w:fldCharType="end"/>
          </w:r>
          <w:r>
            <w:fldChar w:fldCharType="end"/>
          </w:r>
        </w:p>
        <w:p>
          <w:pPr>
            <w:pStyle w:val="13"/>
            <w:tabs>
              <w:tab w:val="right" w:leader="dot" w:pos="8306"/>
              <w:tab w:val="clear" w:pos="8296"/>
            </w:tabs>
          </w:pPr>
          <w:r>
            <w:fldChar w:fldCharType="begin"/>
          </w:r>
          <w:r>
            <w:instrText xml:space="preserve"> HYPERLINK \l _Toc34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_Toc34 </w:instrText>
          </w:r>
          <w:r>
            <w:fldChar w:fldCharType="separate"/>
          </w:r>
          <w:r>
            <w:t>30</w:t>
          </w:r>
          <w:r>
            <w:fldChar w:fldCharType="end"/>
          </w:r>
          <w:r>
            <w:fldChar w:fldCharType="end"/>
          </w:r>
        </w:p>
        <w:p>
          <w:r>
            <w:fldChar w:fldCharType="end"/>
          </w:r>
        </w:p>
      </w:sdtContent>
    </w:sdt>
    <w:p>
      <w:pPr>
        <w:pStyle w:val="4"/>
        <w:jc w:val="center"/>
        <w:rPr>
          <w:rFonts w:hint="eastAsia" w:ascii="黑体" w:hAnsi="黑体" w:eastAsia="黑体"/>
          <w:b w:val="0"/>
        </w:rPr>
      </w:pPr>
    </w:p>
    <w:p>
      <w:pPr>
        <w:pStyle w:val="4"/>
        <w:jc w:val="center"/>
        <w:rPr>
          <w:rFonts w:hint="eastAsia" w:ascii="黑体" w:hAnsi="黑体" w:eastAsia="黑体"/>
          <w:b w:val="0"/>
        </w:rPr>
      </w:pPr>
    </w:p>
    <w:p>
      <w:pPr>
        <w:pStyle w:val="4"/>
        <w:jc w:val="center"/>
        <w:rPr>
          <w:rFonts w:hint="eastAsia" w:ascii="黑体" w:hAnsi="黑体" w:eastAsia="黑体"/>
          <w:b w:val="0"/>
        </w:rPr>
      </w:pPr>
    </w:p>
    <w:p>
      <w:pPr>
        <w:pStyle w:val="4"/>
        <w:jc w:val="center"/>
        <w:rPr>
          <w:rFonts w:hint="eastAsia" w:ascii="黑体" w:hAnsi="黑体" w:eastAsia="黑体"/>
          <w:b w:val="0"/>
        </w:rPr>
      </w:pPr>
    </w:p>
    <w:p>
      <w:pPr>
        <w:pStyle w:val="4"/>
        <w:jc w:val="both"/>
        <w:rPr>
          <w:rFonts w:hint="eastAsia" w:ascii="黑体" w:hAnsi="黑体" w:eastAsia="黑体"/>
          <w:b w:val="0"/>
        </w:rPr>
      </w:pPr>
    </w:p>
    <w:p>
      <w:pPr>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4"/>
        <w:jc w:val="both"/>
        <w:rPr>
          <w:rFonts w:hint="eastAsia" w:ascii="黑体" w:hAnsi="黑体" w:eastAsia="黑体"/>
          <w:b w:val="0"/>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4"/>
        <w:jc w:val="center"/>
        <w:rPr>
          <w:rFonts w:hint="eastAsia" w:ascii="黑体" w:hAnsi="黑体" w:eastAsia="黑体"/>
          <w:b w:val="0"/>
        </w:rPr>
      </w:pPr>
      <w:bookmarkStart w:id="17" w:name="_Toc18904"/>
    </w:p>
    <w:p>
      <w:pPr>
        <w:pStyle w:val="4"/>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5"/>
      <w:bookmarkEnd w:id="16"/>
      <w:bookmarkEnd w:id="17"/>
    </w:p>
    <w:p>
      <w:pPr>
        <w:widowControl/>
        <w:jc w:val="left"/>
        <w:rPr>
          <w:rFonts w:ascii="黑体" w:eastAsia="黑体"/>
          <w:color w:val="000000"/>
          <w:sz w:val="32"/>
          <w:szCs w:val="32"/>
        </w:rPr>
      </w:pPr>
    </w:p>
    <w:p>
      <w:pPr>
        <w:pStyle w:val="5"/>
        <w:rPr>
          <w:rStyle w:val="28"/>
          <w:rFonts w:ascii="仿宋" w:hAnsi="仿宋" w:eastAsia="仿宋"/>
          <w:b w:val="0"/>
          <w:bCs w:val="0"/>
        </w:rPr>
      </w:pPr>
      <w:bookmarkStart w:id="18" w:name="_Toc11779"/>
      <w:bookmarkStart w:id="19" w:name="_Toc15377197"/>
      <w:bookmarkStart w:id="20"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8"/>
      <w:bookmarkEnd w:id="19"/>
      <w:bookmarkEnd w:id="20"/>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1" w:name="_Toc15377198"/>
      <w:bookmarkStart w:id="22" w:name="_Toc15378445"/>
      <w:r>
        <w:rPr>
          <w:rFonts w:hint="eastAsia" w:ascii="仿宋" w:hAnsi="仿宋" w:eastAsia="仿宋"/>
          <w:bCs/>
          <w:color w:val="000000"/>
          <w:sz w:val="32"/>
          <w:szCs w:val="32"/>
        </w:rPr>
        <w:t>（一）主要职能。</w:t>
      </w:r>
      <w:bookmarkEnd w:id="21"/>
      <w:bookmarkEnd w:id="22"/>
    </w:p>
    <w:p>
      <w:pPr>
        <w:pStyle w:val="7"/>
        <w:adjustRightInd w:val="0"/>
        <w:snapToGrid w:val="0"/>
        <w:spacing w:line="580" w:lineRule="exact"/>
        <w:ind w:firstLine="672" w:firstLineChars="21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1、传播国际红十字运动知识和国际人道主义，宣传、执行《中华人民共和国红十字会法》和《中华人民共和国红十字会法实施办法》等法律、法规，遵循《中国红十字会章程》，依法建会、治会、兴会。</w:t>
      </w:r>
    </w:p>
    <w:p>
      <w:pPr>
        <w:pStyle w:val="7"/>
        <w:adjustRightInd w:val="0"/>
        <w:snapToGrid w:val="0"/>
        <w:spacing w:line="580" w:lineRule="exact"/>
        <w:ind w:firstLine="672" w:firstLineChars="21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2、开展备灾救灾工作，兴建和管理备灾救灾设施，在自然灾害和突发事件中开展对受害者的救助和救护。</w:t>
      </w:r>
    </w:p>
    <w:p>
      <w:pPr>
        <w:pStyle w:val="7"/>
        <w:adjustRightInd w:val="0"/>
        <w:snapToGrid w:val="0"/>
        <w:spacing w:line="580" w:lineRule="exact"/>
        <w:ind w:firstLine="672" w:firstLineChars="21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3、开展人道领域的社会公益服务活动和卫生救护、卫生防病知识的宣传、开展学术交流、组织社会捐助，进行初级卫生救护培训，组织群众参加现场救护，推动无偿献血和非血缘关系骨髓移植工作。</w:t>
      </w:r>
    </w:p>
    <w:p>
      <w:pPr>
        <w:pStyle w:val="7"/>
        <w:adjustRightInd w:val="0"/>
        <w:snapToGrid w:val="0"/>
        <w:spacing w:line="580" w:lineRule="exact"/>
        <w:ind w:firstLine="672" w:firstLineChars="21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4、加强与兄弟市、县红十字会及国际红十字组织友好往来，开展人道领域的合作与交流，争取援助。</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3" w:name="_Toc15378446"/>
      <w:bookmarkStart w:id="24"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3"/>
      <w:bookmarkEnd w:id="24"/>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利用世界红十字日，防灾减灾日、献血日、扶贫日等时间，在各机关、各乡镇以及各所学校积极开展“进机关”、“进乡村”、“进校园”的红十字“三进”宣传活动，为全县4000余人发放红十字会宣传资料4000余份。</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在县中学、麦洼寺院以及各机关单位开展应急救护普及培训的同时广泛宣传红十字文化、防震减灾和“三献”知识，发放宣传手册1900余份，展示红十字会起源、防灾减灾、卫生健康知识展板3次，宣传收益人达2000余人。</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开展校园“红十字法暨红十字青少年自救互救”知识竞赛活动、参赛人员达860余人，为11名参赛优秀学生颁发了证书和价值3000元的学习体育用品，同时还发放了防灾避险、“三献”宣传资料1000余份。</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加强新闻宣传媒体与各单位的联系，积极报送信息、简报。今年我会已报送信息40份，其中在省内网站发布2期，州内网站发布6期，微红原网站发布11期，门户网站发布4期，红原群团网站发布26期。</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2019年我会募集资金80万元。响应号召积极主动开展“两联一进”工作。开展“博爱送万家”、“红十字关爱进社区”等活动，利用春节、国庆为麦洼寺、尼姑寺、联系户等35名僧人及群众送去35件博爱箱，“5.8”世界红十字日为20名贫困僧人发放慰问金20000元。</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“六一”期间，为7名已治愈好的先天性病儿童开展“欢庆六一——红十字与“童”在一起”的慰问活动，为其送去价值2400余元的学习用品、玩具、食品以及崭新的衣物。</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为全县100名高原贫困母亲发放100箱爱心包，为高原母亲送去党和政府的关心关爱。</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开展“创梦四队爱心人士与资助学生”见面会活动，为110名贫困学生发放助学金15万元。</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发挥东西部扶贫协作交流平台，主动与浙江永嘉县红十字会、苍南县红十字会和平阳县红十字会签订扶贫帮扶合作协议。今年永嘉县红十字会、苍南县红十字会为我县20名贫困学生资助助学金72000元，平阳县红十字为我会援助资金40000元，建设瓦切镇博爱超市一所，为瓦切镇在脱贫攻坚中开展救助困难群众、慰老助老、回馈志愿者服务等活动得到一定支持。</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继续开展博爱助医活动，实施好“天使阳光”基金项目，今年再次协同绵阳市红十字会和绵阳市四0四医院，开展了“先心病患儿免费手术”活动，并把已确珍的2名先天性病患儿送往绵阳四0四医院进行免费治疗，为患者家庭节省62919元医疗费。同时还为我县25名困难家庭、大病患者发放救助金5万元。</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发挥红会自身优势，弥补公共服务和社会保障在运作中存在的不足及问题，我会利用好18年生计金利息8000元和其他资金，为我县因病致贫、因灾致贫的7名低年级贫困学生和4名大病患者发放了9900元救助金，阿坝州红会还为两名品学兼优的应届高中毕业生发放了4000元助学金。</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截止2019年底，我会已普及培训1535人次，救护员培训165人次，顺利完成目标任务，普及培训人次还超出州红会下发目标任务的3倍。</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平阳县慈善总会为我县“让草原阿妈更健康”项目捐赠资金264000元，解决了我会为此项项目募集资金难的问题。目前我会将于2020年准备“让草原阿妈更健康”项目的执行、实施工作。</w:t>
      </w:r>
    </w:p>
    <w:p>
      <w:pPr>
        <w:widowControl/>
        <w:numPr>
          <w:ilvl w:val="0"/>
          <w:numId w:val="1"/>
        </w:numPr>
        <w:spacing w:line="580" w:lineRule="exact"/>
        <w:ind w:firstLine="640" w:firstLineChars="20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春节、中秋节、国庆节期间我会开展了”博爱送万家”暨“”两联一进”慰问活动，分别为6名帮扶对象和3名联系户发放12件博爱箱。四是为即将步入大学的3名帮扶对象的子女每人给予3600元的助学扶贫帮助，就读于低年级2名帮扶对象的3个儿子每人给予400元助学扶贫帮助。</w:t>
      </w:r>
    </w:p>
    <w:p>
      <w:pPr>
        <w:pStyle w:val="5"/>
        <w:rPr>
          <w:rStyle w:val="28"/>
          <w:b w:val="0"/>
          <w:bCs w:val="0"/>
        </w:rPr>
      </w:pPr>
      <w:bookmarkStart w:id="25" w:name="_Toc2667"/>
      <w:bookmarkStart w:id="26" w:name="_Toc15377200"/>
      <w:bookmarkStart w:id="27"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5"/>
      <w:bookmarkEnd w:id="26"/>
      <w:bookmarkEnd w:id="27"/>
    </w:p>
    <w:p>
      <w:pPr>
        <w:ind w:firstLine="640" w:firstLineChars="200"/>
        <w:jc w:val="left"/>
        <w:rPr>
          <w:rFonts w:hint="eastAsia"/>
          <w:sz w:val="32"/>
          <w:szCs w:val="32"/>
        </w:rPr>
      </w:pPr>
      <w:bookmarkStart w:id="28" w:name="_Toc15377203"/>
      <w:bookmarkStart w:id="29" w:name="_Toc15306277"/>
      <w:bookmarkStart w:id="30" w:name="_Toc15378450"/>
      <w:bookmarkStart w:id="31" w:name="_Toc15377434"/>
      <w:r>
        <w:rPr>
          <w:rFonts w:hint="eastAsia" w:ascii="仿宋" w:hAnsi="仿宋" w:eastAsia="仿宋" w:cs="Times New Roman"/>
          <w:color w:val="000000"/>
          <w:kern w:val="2"/>
          <w:sz w:val="32"/>
          <w:szCs w:val="32"/>
          <w:lang w:val="en-US" w:eastAsia="zh-CN" w:bidi="ar-SA"/>
        </w:rPr>
        <w:t>红原县红十字会为独立核算全额拨款参公单位，下属二级预算单位0个。截止2019年底我单位共有编制5个，其中参公编制5个。在职5人，其中公务员5人。</w:t>
      </w:r>
    </w:p>
    <w:bookmarkEnd w:id="28"/>
    <w:bookmarkEnd w:id="29"/>
    <w:bookmarkEnd w:id="30"/>
    <w:bookmarkEnd w:id="31"/>
    <w:p>
      <w:pPr>
        <w:widowControl/>
        <w:jc w:val="left"/>
        <w:rPr>
          <w:rFonts w:ascii="仿宋" w:hAnsi="仿宋" w:eastAsia="仿宋"/>
          <w:color w:val="000000"/>
          <w:kern w:val="0"/>
          <w:sz w:val="32"/>
          <w:szCs w:val="32"/>
        </w:rPr>
      </w:pPr>
    </w:p>
    <w:p>
      <w:pPr>
        <w:pStyle w:val="2"/>
        <w:rPr>
          <w:rFonts w:ascii="仿宋" w:hAnsi="仿宋" w:eastAsia="仿宋"/>
          <w:color w:val="000000"/>
          <w:kern w:val="0"/>
          <w:sz w:val="32"/>
          <w:szCs w:val="32"/>
        </w:rPr>
      </w:pPr>
    </w:p>
    <w:p>
      <w:pPr>
        <w:pStyle w:val="2"/>
        <w:rPr>
          <w:rFonts w:ascii="仿宋" w:hAnsi="仿宋" w:eastAsia="仿宋"/>
          <w:color w:val="000000"/>
          <w:kern w:val="0"/>
          <w:sz w:val="32"/>
          <w:szCs w:val="32"/>
        </w:rPr>
      </w:pPr>
    </w:p>
    <w:p>
      <w:pPr>
        <w:pStyle w:val="2"/>
        <w:rPr>
          <w:rFonts w:ascii="仿宋" w:hAnsi="仿宋" w:eastAsia="仿宋"/>
          <w:color w:val="000000"/>
          <w:kern w:val="0"/>
          <w:sz w:val="32"/>
          <w:szCs w:val="32"/>
        </w:rPr>
      </w:pPr>
    </w:p>
    <w:p>
      <w:pPr>
        <w:pStyle w:val="2"/>
        <w:rPr>
          <w:rFonts w:ascii="仿宋" w:hAnsi="仿宋" w:eastAsia="仿宋"/>
          <w:color w:val="000000"/>
          <w:kern w:val="0"/>
          <w:sz w:val="32"/>
          <w:szCs w:val="32"/>
        </w:rPr>
      </w:pPr>
    </w:p>
    <w:p>
      <w:pPr>
        <w:pStyle w:val="2"/>
        <w:rPr>
          <w:rFonts w:ascii="仿宋" w:hAnsi="仿宋" w:eastAsia="仿宋"/>
          <w:color w:val="000000"/>
          <w:kern w:val="0"/>
          <w:sz w:val="32"/>
          <w:szCs w:val="32"/>
        </w:rPr>
      </w:pPr>
    </w:p>
    <w:p>
      <w:pPr>
        <w:pStyle w:val="4"/>
        <w:ind w:right="440"/>
        <w:jc w:val="right"/>
        <w:rPr>
          <w:rStyle w:val="27"/>
          <w:rFonts w:ascii="黑体" w:hAnsi="黑体" w:eastAsia="黑体"/>
          <w:b w:val="0"/>
          <w:bCs w:val="0"/>
        </w:rPr>
      </w:pPr>
      <w:bookmarkStart w:id="32" w:name="_Toc15377204"/>
      <w:bookmarkStart w:id="33" w:name="_Toc9319"/>
      <w:bookmarkStart w:id="34"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32"/>
      <w:bookmarkEnd w:id="33"/>
      <w:bookmarkEnd w:id="34"/>
    </w:p>
    <w:p/>
    <w:p>
      <w:pPr>
        <w:pStyle w:val="26"/>
        <w:numPr>
          <w:ilvl w:val="0"/>
          <w:numId w:val="2"/>
        </w:numPr>
        <w:spacing w:line="600" w:lineRule="exact"/>
        <w:ind w:firstLineChars="0"/>
        <w:outlineLvl w:val="1"/>
        <w:rPr>
          <w:rStyle w:val="28"/>
          <w:rFonts w:ascii="黑体" w:hAnsi="黑体" w:eastAsia="黑体"/>
          <w:b w:val="0"/>
        </w:rPr>
      </w:pPr>
      <w:bookmarkStart w:id="35" w:name="_Toc15396603"/>
      <w:bookmarkStart w:id="36" w:name="_Toc11019"/>
      <w:bookmarkStart w:id="37"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5"/>
      <w:bookmarkEnd w:id="36"/>
      <w:bookmarkEnd w:id="37"/>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109.69</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减少0.73</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减少0.7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厉行节约。</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109.69</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default" w:ascii="仿宋" w:hAnsi="仿宋" w:eastAsia="仿宋"/>
          <w:color w:val="000000"/>
          <w:sz w:val="32"/>
          <w:szCs w:val="32"/>
          <w:lang w:eastAsia="zh-CN"/>
        </w:rPr>
        <w:t>减少0.66</w:t>
      </w:r>
      <w:r>
        <w:rPr>
          <w:rFonts w:hint="eastAsia" w:ascii="仿宋" w:hAnsi="仿宋" w:eastAsia="仿宋"/>
          <w:color w:val="000000"/>
          <w:sz w:val="32"/>
          <w:szCs w:val="32"/>
        </w:rPr>
        <w:t>万元，</w:t>
      </w:r>
      <w:r>
        <w:rPr>
          <w:rFonts w:hint="default" w:ascii="仿宋" w:hAnsi="仿宋" w:eastAsia="仿宋"/>
          <w:color w:val="000000"/>
          <w:sz w:val="32"/>
          <w:szCs w:val="32"/>
        </w:rPr>
        <w:t>减少</w:t>
      </w:r>
      <w:r>
        <w:rPr>
          <w:rFonts w:hint="default" w:ascii="仿宋" w:hAnsi="仿宋" w:eastAsia="仿宋"/>
          <w:color w:val="000000"/>
          <w:sz w:val="32"/>
          <w:szCs w:val="32"/>
          <w:lang w:eastAsia="zh-CN"/>
        </w:rPr>
        <w:t>0.6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default" w:ascii="仿宋" w:hAnsi="仿宋" w:eastAsia="仿宋"/>
          <w:color w:val="000000"/>
          <w:sz w:val="32"/>
          <w:szCs w:val="32"/>
          <w:lang w:eastAsia="zh-CN"/>
        </w:rPr>
        <w:t>厉行节约</w:t>
      </w:r>
      <w:r>
        <w:rPr>
          <w:rFonts w:hint="eastAsia" w:ascii="仿宋" w:hAnsi="仿宋" w:eastAsia="仿宋"/>
          <w:color w:val="000000"/>
          <w:sz w:val="32"/>
          <w:szCs w:val="32"/>
          <w:lang w:val="en-US" w:eastAsia="zh-CN"/>
        </w:rPr>
        <w:t>。</w:t>
      </w:r>
    </w:p>
    <w:p>
      <w:pPr>
        <w:pStyle w:val="2"/>
        <w:ind w:left="0" w:leftChars="0" w:firstLine="0" w:firstLineChars="0"/>
        <w:jc w:val="center"/>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drawing>
          <wp:anchor distT="0" distB="0" distL="114300" distR="114300" simplePos="0" relativeHeight="251658240" behindDoc="0" locked="0" layoutInCell="1" allowOverlap="1">
            <wp:simplePos x="0" y="0"/>
            <wp:positionH relativeFrom="column">
              <wp:posOffset>-76200</wp:posOffset>
            </wp:positionH>
            <wp:positionV relativeFrom="paragraph">
              <wp:posOffset>204470</wp:posOffset>
            </wp:positionV>
            <wp:extent cx="5464175" cy="3732530"/>
            <wp:effectExtent l="4445" t="4445" r="17780" b="1587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s="Times New Roman"/>
          <w:color w:val="000000"/>
          <w:kern w:val="2"/>
          <w:sz w:val="32"/>
          <w:szCs w:val="32"/>
          <w:lang w:val="en-US" w:eastAsia="zh-CN" w:bidi="ar-SA"/>
        </w:rPr>
        <w:t>红原县红十字会2018年与2019年收支对比</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6"/>
        <w:numPr>
          <w:ilvl w:val="0"/>
          <w:numId w:val="2"/>
        </w:numPr>
        <w:spacing w:line="600" w:lineRule="exact"/>
        <w:ind w:firstLineChars="0"/>
        <w:outlineLvl w:val="1"/>
        <w:rPr>
          <w:rStyle w:val="28"/>
          <w:rFonts w:ascii="黑体" w:hAnsi="黑体" w:eastAsia="黑体"/>
          <w:b w:val="0"/>
        </w:rPr>
      </w:pPr>
      <w:bookmarkStart w:id="38" w:name="_Toc15396604"/>
      <w:bookmarkStart w:id="39" w:name="_Toc15377206"/>
      <w:bookmarkStart w:id="40" w:name="_Toc12999"/>
      <w:r>
        <w:rPr>
          <w:rFonts w:hint="eastAsia" w:ascii="黑体" w:hAnsi="黑体" w:eastAsia="黑体"/>
          <w:color w:val="000000"/>
          <w:sz w:val="32"/>
          <w:szCs w:val="32"/>
        </w:rPr>
        <w:t>收</w:t>
      </w:r>
      <w:r>
        <w:rPr>
          <w:rStyle w:val="28"/>
          <w:rFonts w:hint="eastAsia" w:ascii="黑体" w:hAnsi="黑体" w:eastAsia="黑体"/>
          <w:b w:val="0"/>
        </w:rPr>
        <w:t>入决算情况说明</w:t>
      </w:r>
      <w:bookmarkEnd w:id="38"/>
      <w:bookmarkEnd w:id="39"/>
      <w:bookmarkEnd w:id="40"/>
    </w:p>
    <w:p>
      <w:pPr>
        <w:spacing w:line="600" w:lineRule="exact"/>
        <w:ind w:firstLine="640" w:firstLineChars="200"/>
        <w:outlineLvl w:val="1"/>
        <w:rPr>
          <w:rFonts w:ascii="仿宋" w:hAnsi="仿宋" w:eastAsia="仿宋"/>
          <w:color w:val="000000"/>
          <w:sz w:val="32"/>
          <w:szCs w:val="32"/>
        </w:rPr>
      </w:pPr>
      <w:bookmarkStart w:id="41" w:name="_Toc15433"/>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109.69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105.24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95.94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年初结转结余4.45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4.06</w:t>
      </w:r>
      <w:r>
        <w:rPr>
          <w:rFonts w:ascii="仿宋" w:hAnsi="仿宋" w:eastAsia="仿宋"/>
          <w:color w:val="000000"/>
          <w:sz w:val="32"/>
          <w:szCs w:val="32"/>
        </w:rPr>
        <w:t>%</w:t>
      </w:r>
      <w:r>
        <w:rPr>
          <w:rFonts w:hint="eastAsia" w:ascii="仿宋" w:hAnsi="仿宋" w:eastAsia="仿宋"/>
          <w:color w:val="000000"/>
          <w:sz w:val="32"/>
          <w:szCs w:val="32"/>
        </w:rPr>
        <w:t>。</w:t>
      </w:r>
      <w:bookmarkEnd w:id="41"/>
    </w:p>
    <w:p>
      <w:pPr>
        <w:spacing w:line="600" w:lineRule="exact"/>
        <w:ind w:firstLine="640" w:firstLineChars="200"/>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386715</wp:posOffset>
            </wp:positionH>
            <wp:positionV relativeFrom="paragraph">
              <wp:posOffset>41910</wp:posOffset>
            </wp:positionV>
            <wp:extent cx="4526915" cy="2141220"/>
            <wp:effectExtent l="5080" t="4445" r="20955" b="698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14:textFill>
            <w14:solidFill>
              <w14:schemeClr w14:val="tx1"/>
            </w14:solidFill>
          </w14:textFill>
        </w:rPr>
        <w:t>（图2：收入决算结构图）（饼状图）</w:t>
      </w:r>
    </w:p>
    <w:p>
      <w:pPr>
        <w:pStyle w:val="2"/>
      </w:pPr>
    </w:p>
    <w:p>
      <w:pPr>
        <w:pStyle w:val="26"/>
        <w:numPr>
          <w:ilvl w:val="0"/>
          <w:numId w:val="2"/>
        </w:numPr>
        <w:spacing w:line="600" w:lineRule="exact"/>
        <w:ind w:firstLineChars="0"/>
        <w:outlineLvl w:val="1"/>
        <w:rPr>
          <w:rStyle w:val="28"/>
          <w:rFonts w:ascii="黑体" w:hAnsi="黑体" w:eastAsia="黑体"/>
          <w:b w:val="0"/>
        </w:rPr>
      </w:pPr>
      <w:bookmarkStart w:id="42" w:name="_Toc15377207"/>
      <w:bookmarkStart w:id="43" w:name="_Toc15396605"/>
      <w:bookmarkStart w:id="44" w:name="_Toc8852"/>
      <w:r>
        <w:rPr>
          <w:rFonts w:hint="eastAsia" w:ascii="黑体" w:hAnsi="黑体" w:eastAsia="黑体"/>
          <w:color w:val="000000"/>
          <w:sz w:val="32"/>
          <w:szCs w:val="32"/>
        </w:rPr>
        <w:t>支</w:t>
      </w:r>
      <w:r>
        <w:rPr>
          <w:rStyle w:val="28"/>
          <w:rFonts w:hint="eastAsia" w:ascii="黑体" w:hAnsi="黑体" w:eastAsia="黑体"/>
          <w:b w:val="0"/>
        </w:rPr>
        <w:t>出决算情况说明</w:t>
      </w:r>
      <w:bookmarkEnd w:id="42"/>
      <w:bookmarkEnd w:id="43"/>
      <w:bookmarkEnd w:id="44"/>
    </w:p>
    <w:p>
      <w:pPr>
        <w:spacing w:line="600" w:lineRule="exact"/>
        <w:ind w:firstLine="640" w:firstLineChars="200"/>
        <w:outlineLvl w:val="1"/>
        <w:rPr>
          <w:rFonts w:ascii="仿宋" w:hAnsi="仿宋" w:eastAsia="仿宋"/>
          <w:color w:val="000000"/>
          <w:sz w:val="32"/>
          <w:szCs w:val="32"/>
        </w:rPr>
      </w:pPr>
      <w:bookmarkStart w:id="45" w:name="_Toc30828"/>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109.69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103.13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94.02</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6.56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5.98</w:t>
      </w:r>
      <w:r>
        <w:rPr>
          <w:rFonts w:ascii="仿宋" w:hAnsi="仿宋" w:eastAsia="仿宋"/>
          <w:color w:val="000000"/>
          <w:sz w:val="32"/>
          <w:szCs w:val="32"/>
        </w:rPr>
        <w:t>%</w:t>
      </w:r>
      <w:r>
        <w:rPr>
          <w:rFonts w:hint="eastAsia" w:ascii="仿宋" w:hAnsi="仿宋" w:eastAsia="仿宋"/>
          <w:color w:val="000000"/>
          <w:sz w:val="32"/>
          <w:szCs w:val="32"/>
        </w:rPr>
        <w:t>。</w:t>
      </w:r>
      <w:bookmarkEnd w:id="45"/>
    </w:p>
    <w:p>
      <w:pPr>
        <w:spacing w:line="600" w:lineRule="exact"/>
        <w:ind w:firstLine="640" w:firstLineChars="200"/>
        <w:jc w:val="center"/>
        <w:rPr>
          <w:rFonts w:ascii="仿宋_GB2312" w:eastAsia="仿宋_GB2312"/>
          <w:color w:val="FF0000"/>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413385</wp:posOffset>
            </wp:positionH>
            <wp:positionV relativeFrom="paragraph">
              <wp:posOffset>194945</wp:posOffset>
            </wp:positionV>
            <wp:extent cx="4526915" cy="2426335"/>
            <wp:effectExtent l="4445" t="4445" r="21590" b="762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8"/>
          <w:rFonts w:ascii="黑体" w:hAnsi="黑体" w:eastAsia="黑体"/>
          <w:b w:val="0"/>
        </w:rPr>
      </w:pPr>
      <w:bookmarkStart w:id="46" w:name="_Toc15377208"/>
      <w:bookmarkStart w:id="47" w:name="_Toc15396606"/>
      <w:bookmarkStart w:id="48" w:name="_Toc26923"/>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6"/>
      <w:bookmarkEnd w:id="47"/>
      <w:bookmarkEnd w:id="48"/>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109.69万元</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减少0.73万元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减少0.7%</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厉行节约。</w:t>
      </w:r>
    </w:p>
    <w:p>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109.69</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减少0.66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减少0.6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厉行节约。</w:t>
      </w:r>
    </w:p>
    <w:p>
      <w:pPr>
        <w:pStyle w:val="2"/>
        <w:ind w:left="0" w:leftChars="0" w:firstLine="0" w:firstLineChars="0"/>
      </w:pPr>
      <w:r>
        <w:rPr>
          <w:rFonts w:hint="eastAsia" w:ascii="仿宋" w:hAnsi="仿宋" w:eastAsia="仿宋"/>
          <w:color w:val="000000"/>
          <w:sz w:val="32"/>
          <w:szCs w:val="32"/>
          <w:lang w:val="en-US" w:eastAsia="zh-CN"/>
        </w:rPr>
        <w:drawing>
          <wp:anchor distT="0" distB="0" distL="114300" distR="114300" simplePos="0" relativeHeight="251669504" behindDoc="0" locked="0" layoutInCell="1" allowOverlap="1">
            <wp:simplePos x="0" y="0"/>
            <wp:positionH relativeFrom="column">
              <wp:posOffset>85725</wp:posOffset>
            </wp:positionH>
            <wp:positionV relativeFrom="paragraph">
              <wp:posOffset>344170</wp:posOffset>
            </wp:positionV>
            <wp:extent cx="4975225" cy="3324225"/>
            <wp:effectExtent l="4445" t="4445" r="11430" b="508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jc w:val="center"/>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红原县红十字会2018年与2019年收支对比</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49" w:name="_Toc15377209"/>
      <w:bookmarkStart w:id="50" w:name="_Toc15396607"/>
      <w:bookmarkStart w:id="51" w:name="_Toc23243"/>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9"/>
      <w:bookmarkEnd w:id="50"/>
      <w:bookmarkEnd w:id="51"/>
    </w:p>
    <w:p>
      <w:pPr>
        <w:spacing w:line="600" w:lineRule="exact"/>
        <w:ind w:firstLine="642" w:firstLineChars="200"/>
        <w:outlineLvl w:val="2"/>
        <w:rPr>
          <w:rFonts w:ascii="仿宋" w:hAnsi="仿宋" w:eastAsia="仿宋"/>
          <w:b/>
          <w:color w:val="000000"/>
          <w:sz w:val="32"/>
          <w:szCs w:val="32"/>
        </w:rPr>
      </w:pPr>
      <w:bookmarkStart w:id="52" w:name="_Toc15377210"/>
      <w:r>
        <w:rPr>
          <w:rFonts w:hint="eastAsia" w:ascii="仿宋" w:hAnsi="仿宋" w:eastAsia="仿宋"/>
          <w:b/>
          <w:color w:val="000000"/>
          <w:sz w:val="32"/>
          <w:szCs w:val="32"/>
        </w:rPr>
        <w:t>（一）一般公共预算财政拨款支出决算总体情况</w:t>
      </w:r>
      <w:bookmarkEnd w:id="52"/>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109.69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0.66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厉行节约。</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drawing>
          <wp:anchor distT="0" distB="0" distL="114300" distR="114300" simplePos="0" relativeHeight="251679744" behindDoc="0" locked="0" layoutInCell="1" allowOverlap="1">
            <wp:simplePos x="0" y="0"/>
            <wp:positionH relativeFrom="column">
              <wp:posOffset>250190</wp:posOffset>
            </wp:positionH>
            <wp:positionV relativeFrom="paragraph">
              <wp:posOffset>41910</wp:posOffset>
            </wp:positionV>
            <wp:extent cx="4721860" cy="2436495"/>
            <wp:effectExtent l="4445" t="4445" r="17145" b="1651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2" w:firstLineChars="200"/>
        <w:outlineLvl w:val="2"/>
        <w:rPr>
          <w:rFonts w:ascii="仿宋" w:hAnsi="仿宋" w:eastAsia="仿宋"/>
          <w:b/>
          <w:color w:val="000000"/>
          <w:sz w:val="32"/>
          <w:szCs w:val="32"/>
        </w:rPr>
      </w:pPr>
      <w:bookmarkStart w:id="53" w:name="_Toc15377211"/>
      <w:r>
        <w:rPr>
          <w:rFonts w:hint="eastAsia" w:ascii="仿宋" w:hAnsi="仿宋" w:eastAsia="仿宋"/>
          <w:b/>
          <w:color w:val="000000"/>
          <w:sz w:val="32"/>
          <w:szCs w:val="32"/>
        </w:rPr>
        <w:t>（二）一般公共预算财政拨款支出决算结构情况</w:t>
      </w:r>
      <w:bookmarkEnd w:id="53"/>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109.69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97.42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88.81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；卫生</w:t>
      </w:r>
      <w:r>
        <w:rPr>
          <w:rFonts w:hint="eastAsia" w:ascii="仿宋" w:hAnsi="仿宋" w:eastAsia="仿宋"/>
          <w:color w:val="000000" w:themeColor="text1"/>
          <w:sz w:val="32"/>
          <w:szCs w:val="32"/>
          <w:lang w:val="en-US" w:eastAsia="zh-CN"/>
          <w14:textFill>
            <w14:solidFill>
              <w14:schemeClr w14:val="tx1"/>
            </w14:solidFill>
          </w14:textFill>
        </w:rPr>
        <w:t>健康</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4.87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4.44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7.4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6.75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94080" behindDoc="0" locked="0" layoutInCell="1" allowOverlap="1">
            <wp:simplePos x="0" y="0"/>
            <wp:positionH relativeFrom="column">
              <wp:posOffset>426085</wp:posOffset>
            </wp:positionH>
            <wp:positionV relativeFrom="paragraph">
              <wp:posOffset>52705</wp:posOffset>
            </wp:positionV>
            <wp:extent cx="4526915" cy="2371090"/>
            <wp:effectExtent l="4445" t="4445" r="21590" b="571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4" w:name="_Toc15377212"/>
      <w:r>
        <w:rPr>
          <w:rFonts w:hint="eastAsia" w:ascii="仿宋" w:hAnsi="仿宋" w:eastAsia="仿宋"/>
          <w:b/>
          <w:color w:val="000000"/>
          <w:sz w:val="32"/>
          <w:szCs w:val="32"/>
        </w:rPr>
        <w:t>（三）一般公共预算财政拨款支出决算具体情况</w:t>
      </w:r>
      <w:bookmarkEnd w:id="54"/>
    </w:p>
    <w:p>
      <w:pPr>
        <w:spacing w:line="600" w:lineRule="exact"/>
        <w:ind w:firstLine="642" w:firstLineChars="200"/>
        <w:outlineLvl w:val="2"/>
        <w:rPr>
          <w:rFonts w:ascii="仿宋" w:hAnsi="仿宋" w:eastAsia="仿宋"/>
          <w:color w:val="FF0000"/>
          <w:sz w:val="32"/>
          <w:szCs w:val="32"/>
        </w:rPr>
      </w:pPr>
      <w:bookmarkStart w:id="55" w:name="_Toc15377444"/>
      <w:bookmarkStart w:id="56" w:name="_Toc15377213"/>
      <w:bookmarkStart w:id="57" w:name="_Toc15378460"/>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109.69万元</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55"/>
      <w:bookmarkEnd w:id="56"/>
      <w:bookmarkEnd w:id="57"/>
    </w:p>
    <w:p>
      <w:pPr>
        <w:spacing w:line="600" w:lineRule="exact"/>
        <w:ind w:firstLine="640" w:firstLineChars="200"/>
        <w:rPr>
          <w:rFonts w:ascii="仿宋" w:hAnsi="仿宋" w:eastAsia="仿宋"/>
          <w:b/>
          <w:color w:val="0000FF"/>
          <w:sz w:val="32"/>
          <w:szCs w:val="32"/>
        </w:rPr>
      </w:pPr>
      <w:r>
        <w:rPr>
          <w:rStyle w:val="17"/>
          <w:rFonts w:hint="eastAsia" w:ascii="仿宋" w:hAnsi="仿宋" w:eastAsia="仿宋"/>
          <w:b w:val="0"/>
          <w:bCs w:val="0"/>
          <w:color w:val="000000"/>
          <w:sz w:val="32"/>
          <w:szCs w:val="32"/>
          <w:lang w:val="en-US" w:eastAsia="zh-CN"/>
        </w:rPr>
        <w:t>1</w:t>
      </w:r>
      <w:r>
        <w:rPr>
          <w:rStyle w:val="17"/>
          <w:rFonts w:ascii="仿宋" w:hAnsi="仿宋" w:eastAsia="仿宋"/>
          <w:b w:val="0"/>
          <w:bCs w:val="0"/>
          <w:color w:val="000000"/>
          <w:sz w:val="32"/>
          <w:szCs w:val="32"/>
        </w:rPr>
        <w:t>.</w:t>
      </w:r>
      <w:r>
        <w:rPr>
          <w:rStyle w:val="17"/>
          <w:rFonts w:hint="eastAsia" w:ascii="仿宋" w:hAnsi="仿宋" w:eastAsia="仿宋"/>
          <w:b w:val="0"/>
          <w:bCs w:val="0"/>
          <w:color w:val="000000"/>
          <w:sz w:val="32"/>
          <w:szCs w:val="32"/>
        </w:rPr>
        <w:t>社会保障和就业</w:t>
      </w:r>
      <w:r>
        <w:rPr>
          <w:rStyle w:val="17"/>
          <w:rFonts w:hint="eastAsia" w:ascii="仿宋" w:hAnsi="仿宋" w:eastAsia="仿宋"/>
          <w:b w:val="0"/>
          <w:bCs/>
          <w:color w:val="000000" w:themeColor="text1"/>
          <w:sz w:val="32"/>
          <w:szCs w:val="32"/>
          <w14:textFill>
            <w14:solidFill>
              <w14:schemeClr w14:val="tx1"/>
            </w14:solidFill>
          </w14:textFill>
        </w:rPr>
        <w:t>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208</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类</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行政事业单位离退休05（款）机关事业单位基本养老保险缴费支出</w:t>
      </w:r>
      <w:r>
        <w:rPr>
          <w:rStyle w:val="17"/>
          <w:rFonts w:hint="eastAsia" w:ascii="仿宋" w:hAnsi="仿宋" w:eastAsia="仿宋"/>
          <w:b w:val="0"/>
          <w:bCs w:val="0"/>
          <w:color w:val="000000"/>
          <w:sz w:val="32"/>
          <w:szCs w:val="32"/>
          <w:lang w:val="en-US" w:eastAsia="zh-CN"/>
        </w:rPr>
        <w:t>05</w:t>
      </w:r>
      <w:r>
        <w:rPr>
          <w:rStyle w:val="17"/>
          <w:rFonts w:hint="eastAsia" w:ascii="仿宋" w:hAnsi="仿宋" w:eastAsia="仿宋"/>
          <w:b w:val="0"/>
          <w:bCs w:val="0"/>
          <w:color w:val="000000"/>
          <w:sz w:val="32"/>
          <w:szCs w:val="32"/>
        </w:rPr>
        <w:t>（项）</w:t>
      </w:r>
      <w:r>
        <w:rPr>
          <w:rStyle w:val="17"/>
          <w:rFonts w:hint="eastAsia" w:ascii="仿宋" w:hAnsi="仿宋" w:eastAsia="仿宋"/>
          <w:b w:val="0"/>
          <w:bCs w:val="0"/>
          <w:color w:val="000000"/>
          <w:sz w:val="32"/>
          <w:szCs w:val="32"/>
          <w:lang w:val="en-US" w:eastAsia="zh-CN"/>
        </w:rPr>
        <w:t>和208</w:t>
      </w:r>
      <w:r>
        <w:rPr>
          <w:rStyle w:val="17"/>
          <w:rFonts w:hint="eastAsia" w:ascii="仿宋" w:hAnsi="仿宋" w:eastAsia="仿宋"/>
          <w:b w:val="0"/>
          <w:bCs w:val="0"/>
          <w:color w:val="000000"/>
          <w:sz w:val="32"/>
          <w:szCs w:val="32"/>
        </w:rPr>
        <w:t>（类）</w:t>
      </w:r>
      <w:r>
        <w:rPr>
          <w:rStyle w:val="17"/>
          <w:rFonts w:hint="eastAsia" w:ascii="仿宋" w:hAnsi="仿宋" w:eastAsia="仿宋"/>
          <w:b w:val="0"/>
          <w:bCs w:val="0"/>
          <w:color w:val="000000"/>
          <w:sz w:val="32"/>
          <w:szCs w:val="32"/>
          <w:lang w:val="en-US" w:eastAsia="zh-CN"/>
        </w:rPr>
        <w:t>05</w:t>
      </w:r>
      <w:r>
        <w:rPr>
          <w:rStyle w:val="17"/>
          <w:rFonts w:hint="eastAsia" w:ascii="仿宋" w:hAnsi="仿宋" w:eastAsia="仿宋"/>
          <w:b w:val="0"/>
          <w:bCs w:val="0"/>
          <w:color w:val="000000"/>
          <w:sz w:val="32"/>
          <w:szCs w:val="32"/>
        </w:rPr>
        <w:t>（款）机关事业单位职业年金缴费支出</w:t>
      </w:r>
      <w:r>
        <w:rPr>
          <w:rStyle w:val="17"/>
          <w:rFonts w:hint="eastAsia" w:ascii="仿宋" w:hAnsi="仿宋" w:eastAsia="仿宋"/>
          <w:b w:val="0"/>
          <w:bCs w:val="0"/>
          <w:color w:val="000000"/>
          <w:sz w:val="32"/>
          <w:szCs w:val="32"/>
          <w:lang w:val="en-US" w:eastAsia="zh-CN"/>
        </w:rPr>
        <w:t>06</w:t>
      </w:r>
      <w:r>
        <w:rPr>
          <w:rStyle w:val="17"/>
          <w:rFonts w:hint="eastAsia" w:ascii="仿宋" w:hAnsi="仿宋" w:eastAsia="仿宋"/>
          <w:b w:val="0"/>
          <w:bCs w:val="0"/>
          <w:color w:val="000000"/>
          <w:sz w:val="32"/>
          <w:szCs w:val="32"/>
        </w:rPr>
        <w:t>（项）</w:t>
      </w:r>
      <w:r>
        <w:rPr>
          <w:rStyle w:val="17"/>
          <w:rFonts w:hint="eastAsia" w:ascii="仿宋" w:hAnsi="仿宋" w:eastAsia="仿宋"/>
          <w:b w:val="0"/>
          <w:bCs w:val="0"/>
          <w:color w:val="000000"/>
          <w:sz w:val="32"/>
          <w:szCs w:val="32"/>
          <w:lang w:eastAsia="zh-CN"/>
        </w:rPr>
        <w:t>；</w:t>
      </w:r>
      <w:r>
        <w:rPr>
          <w:rStyle w:val="17"/>
          <w:rFonts w:hint="eastAsia" w:ascii="仿宋" w:hAnsi="仿宋" w:eastAsia="仿宋"/>
          <w:b w:val="0"/>
          <w:bCs w:val="0"/>
          <w:color w:val="000000"/>
          <w:sz w:val="32"/>
          <w:szCs w:val="32"/>
        </w:rPr>
        <w:t>社会保障和就业</w:t>
      </w:r>
      <w:r>
        <w:rPr>
          <w:rStyle w:val="17"/>
          <w:rFonts w:hint="eastAsia" w:ascii="仿宋" w:hAnsi="仿宋" w:eastAsia="仿宋"/>
          <w:b w:val="0"/>
          <w:bCs/>
          <w:color w:val="000000" w:themeColor="text1"/>
          <w:sz w:val="32"/>
          <w:szCs w:val="32"/>
          <w14:textFill>
            <w14:solidFill>
              <w14:schemeClr w14:val="tx1"/>
            </w14:solidFill>
          </w14:textFill>
        </w:rPr>
        <w:t>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208</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类</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红十字事业16（款）行政运行01</w:t>
      </w:r>
      <w:r>
        <w:rPr>
          <w:rStyle w:val="17"/>
          <w:rFonts w:hint="eastAsia" w:ascii="仿宋" w:hAnsi="仿宋" w:eastAsia="仿宋"/>
          <w:b w:val="0"/>
          <w:bCs w:val="0"/>
          <w:color w:val="000000"/>
          <w:sz w:val="32"/>
          <w:szCs w:val="32"/>
        </w:rPr>
        <w:t>（项）</w:t>
      </w:r>
      <w:r>
        <w:rPr>
          <w:rStyle w:val="17"/>
          <w:rFonts w:hint="eastAsia" w:ascii="仿宋" w:hAnsi="仿宋" w:eastAsia="仿宋"/>
          <w:b w:val="0"/>
          <w:bCs w:val="0"/>
          <w:color w:val="000000"/>
          <w:sz w:val="32"/>
          <w:szCs w:val="32"/>
          <w:lang w:val="en-US" w:eastAsia="zh-CN"/>
        </w:rPr>
        <w:t>和</w:t>
      </w:r>
      <w:r>
        <w:rPr>
          <w:rStyle w:val="17"/>
          <w:rFonts w:hint="eastAsia" w:ascii="仿宋" w:hAnsi="仿宋" w:eastAsia="仿宋"/>
          <w:b w:val="0"/>
          <w:bCs/>
          <w:color w:val="000000" w:themeColor="text1"/>
          <w:sz w:val="32"/>
          <w:szCs w:val="32"/>
          <w:lang w:val="en-US" w:eastAsia="zh-CN"/>
          <w14:textFill>
            <w14:solidFill>
              <w14:schemeClr w14:val="tx1"/>
            </w14:solidFill>
          </w14:textFill>
        </w:rPr>
        <w:t>208</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类</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红十字事业16（款）其他红十字事业支出99</w:t>
      </w:r>
      <w:r>
        <w:rPr>
          <w:rStyle w:val="17"/>
          <w:rFonts w:hint="eastAsia" w:ascii="仿宋" w:hAnsi="仿宋" w:eastAsia="仿宋"/>
          <w:b w:val="0"/>
          <w:bCs w:val="0"/>
          <w:color w:val="000000"/>
          <w:sz w:val="32"/>
          <w:szCs w:val="32"/>
        </w:rPr>
        <w:t>（项）</w:t>
      </w:r>
      <w:r>
        <w:rPr>
          <w:rStyle w:val="17"/>
          <w:rFonts w:hint="eastAsia" w:ascii="仿宋" w:hAnsi="仿宋" w:eastAsia="仿宋"/>
          <w:b w:val="0"/>
          <w:bCs w:val="0"/>
          <w:color w:val="000000"/>
          <w:sz w:val="32"/>
          <w:szCs w:val="32"/>
          <w:lang w:eastAsia="zh-CN"/>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支出</w:t>
      </w:r>
      <w:r>
        <w:rPr>
          <w:rStyle w:val="17"/>
          <w:rFonts w:hint="eastAsia" w:ascii="仿宋" w:hAnsi="仿宋" w:eastAsia="仿宋"/>
          <w:b w:val="0"/>
          <w:bCs/>
          <w:color w:val="000000" w:themeColor="text1"/>
          <w:sz w:val="32"/>
          <w:szCs w:val="32"/>
          <w14:textFill>
            <w14:solidFill>
              <w14:schemeClr w14:val="tx1"/>
            </w14:solidFill>
          </w14:textFill>
        </w:rPr>
        <w:t>决算为</w:t>
      </w:r>
      <w:r>
        <w:rPr>
          <w:rStyle w:val="17"/>
          <w:rFonts w:hint="eastAsia" w:ascii="仿宋" w:hAnsi="仿宋" w:eastAsia="仿宋"/>
          <w:b w:val="0"/>
          <w:bCs/>
          <w:color w:val="000000" w:themeColor="text1"/>
          <w:sz w:val="32"/>
          <w:szCs w:val="32"/>
          <w:lang w:val="en-US" w:eastAsia="zh-CN"/>
          <w14:textFill>
            <w14:solidFill>
              <w14:schemeClr w14:val="tx1"/>
            </w14:solidFill>
          </w14:textFill>
        </w:rPr>
        <w:t>97.42</w:t>
      </w:r>
      <w:r>
        <w:rPr>
          <w:rStyle w:val="17"/>
          <w:rFonts w:hint="eastAsia" w:ascii="仿宋" w:hAnsi="仿宋" w:eastAsia="仿宋"/>
          <w:b w:val="0"/>
          <w:bCs/>
          <w:color w:val="000000" w:themeColor="text1"/>
          <w:sz w:val="32"/>
          <w:szCs w:val="32"/>
          <w14:textFill>
            <w14:solidFill>
              <w14:schemeClr w14:val="tx1"/>
            </w14:solidFill>
          </w14:textFill>
        </w:rPr>
        <w:t>万元，决算数等于预算数。</w:t>
      </w:r>
    </w:p>
    <w:p>
      <w:pPr>
        <w:spacing w:line="600" w:lineRule="exact"/>
        <w:ind w:firstLine="640" w:firstLineChars="200"/>
        <w:rPr>
          <w:rStyle w:val="17"/>
          <w:rFonts w:hint="eastAsia" w:ascii="仿宋" w:hAnsi="仿宋" w:eastAsia="仿宋"/>
          <w:b w:val="0"/>
          <w:bCs/>
          <w:color w:val="0000FF"/>
          <w:sz w:val="32"/>
          <w:szCs w:val="32"/>
        </w:rPr>
      </w:pPr>
      <w:r>
        <w:rPr>
          <w:rStyle w:val="17"/>
          <w:rFonts w:hint="eastAsia" w:ascii="仿宋" w:hAnsi="仿宋" w:eastAsia="仿宋"/>
          <w:b w:val="0"/>
          <w:bCs w:val="0"/>
          <w:color w:val="000000" w:themeColor="text1"/>
          <w:sz w:val="32"/>
          <w:szCs w:val="32"/>
          <w:lang w:val="en-US" w:eastAsia="zh-CN"/>
          <w14:textFill>
            <w14:solidFill>
              <w14:schemeClr w14:val="tx1"/>
            </w14:solidFill>
          </w14:textFill>
        </w:rPr>
        <w:t>2</w:t>
      </w:r>
      <w:r>
        <w:rPr>
          <w:rStyle w:val="17"/>
          <w:rFonts w:ascii="仿宋" w:hAnsi="仿宋" w:eastAsia="仿宋"/>
          <w:b w:val="0"/>
          <w:bCs w:val="0"/>
          <w:color w:val="000000" w:themeColor="text1"/>
          <w:sz w:val="32"/>
          <w:szCs w:val="32"/>
          <w14:textFill>
            <w14:solidFill>
              <w14:schemeClr w14:val="tx1"/>
            </w14:solidFill>
          </w14:textFill>
        </w:rPr>
        <w:t>.</w:t>
      </w:r>
      <w:r>
        <w:rPr>
          <w:rStyle w:val="17"/>
          <w:rFonts w:hint="eastAsia" w:ascii="仿宋" w:hAnsi="仿宋" w:eastAsia="仿宋"/>
          <w:b w:val="0"/>
          <w:bCs w:val="0"/>
          <w:color w:val="000000" w:themeColor="text1"/>
          <w:sz w:val="32"/>
          <w:szCs w:val="32"/>
          <w14:textFill>
            <w14:solidFill>
              <w14:schemeClr w14:val="tx1"/>
            </w14:solidFill>
          </w14:textFill>
        </w:rPr>
        <w:t>医疗卫生与计划生育</w:t>
      </w:r>
      <w:r>
        <w:rPr>
          <w:rStyle w:val="17"/>
          <w:rFonts w:hint="eastAsia" w:ascii="仿宋" w:hAnsi="仿宋" w:eastAsia="仿宋"/>
          <w:b w:val="0"/>
          <w:bCs w:val="0"/>
          <w:color w:val="000000" w:themeColor="text1"/>
          <w:sz w:val="32"/>
          <w:szCs w:val="32"/>
          <w:lang w:val="en-US" w:eastAsia="zh-CN"/>
          <w14:textFill>
            <w14:solidFill>
              <w14:schemeClr w14:val="tx1"/>
            </w14:solidFill>
          </w14:textFill>
        </w:rPr>
        <w:t>210</w:t>
      </w:r>
      <w:r>
        <w:rPr>
          <w:rStyle w:val="17"/>
          <w:rFonts w:hint="eastAsia" w:ascii="仿宋" w:hAnsi="仿宋" w:eastAsia="仿宋"/>
          <w:b w:val="0"/>
          <w:bCs w:val="0"/>
          <w:color w:val="000000" w:themeColor="text1"/>
          <w:sz w:val="32"/>
          <w:szCs w:val="32"/>
          <w14:textFill>
            <w14:solidFill>
              <w14:schemeClr w14:val="tx1"/>
            </w14:solidFill>
          </w14:textFill>
        </w:rPr>
        <w:t>（类）</w:t>
      </w:r>
      <w:r>
        <w:rPr>
          <w:rStyle w:val="17"/>
          <w:rFonts w:hint="eastAsia" w:ascii="仿宋" w:hAnsi="仿宋" w:eastAsia="仿宋"/>
          <w:b w:val="0"/>
          <w:bCs w:val="0"/>
          <w:color w:val="000000" w:themeColor="text1"/>
          <w:sz w:val="32"/>
          <w:szCs w:val="32"/>
          <w:lang w:val="en-US" w:eastAsia="zh-CN"/>
          <w14:textFill>
            <w14:solidFill>
              <w14:schemeClr w14:val="tx1"/>
            </w14:solidFill>
          </w14:textFill>
        </w:rPr>
        <w:t>行政事业单位医疗11（款）行政单位医疗01（项）和210</w:t>
      </w:r>
      <w:r>
        <w:rPr>
          <w:rStyle w:val="17"/>
          <w:rFonts w:hint="eastAsia" w:ascii="仿宋" w:hAnsi="仿宋" w:eastAsia="仿宋"/>
          <w:b w:val="0"/>
          <w:bCs w:val="0"/>
          <w:color w:val="000000" w:themeColor="text1"/>
          <w:sz w:val="32"/>
          <w:szCs w:val="32"/>
          <w14:textFill>
            <w14:solidFill>
              <w14:schemeClr w14:val="tx1"/>
            </w14:solidFill>
          </w14:textFill>
        </w:rPr>
        <w:t>（类）</w:t>
      </w:r>
      <w:r>
        <w:rPr>
          <w:rStyle w:val="17"/>
          <w:rFonts w:hint="eastAsia" w:ascii="仿宋" w:hAnsi="仿宋" w:eastAsia="仿宋"/>
          <w:b w:val="0"/>
          <w:bCs w:val="0"/>
          <w:color w:val="000000" w:themeColor="text1"/>
          <w:sz w:val="32"/>
          <w:szCs w:val="32"/>
          <w:lang w:val="en-US" w:eastAsia="zh-CN"/>
          <w14:textFill>
            <w14:solidFill>
              <w14:schemeClr w14:val="tx1"/>
            </w14:solidFill>
          </w14:textFill>
        </w:rPr>
        <w:t>行政事业单位医疗11（款）公务员医疗补助03（项）：</w:t>
      </w:r>
      <w:r>
        <w:rPr>
          <w:rStyle w:val="17"/>
          <w:rFonts w:hint="eastAsia" w:ascii="仿宋" w:hAnsi="仿宋" w:eastAsia="仿宋"/>
          <w:b w:val="0"/>
          <w:bCs/>
          <w:color w:val="000000" w:themeColor="text1"/>
          <w:sz w:val="32"/>
          <w:szCs w:val="32"/>
          <w14:textFill>
            <w14:solidFill>
              <w14:schemeClr w14:val="tx1"/>
            </w14:solidFill>
          </w14:textFill>
        </w:rPr>
        <w:t>支出决算为</w:t>
      </w:r>
      <w:r>
        <w:rPr>
          <w:rStyle w:val="17"/>
          <w:rFonts w:hint="eastAsia" w:ascii="仿宋" w:hAnsi="仿宋" w:eastAsia="仿宋"/>
          <w:b w:val="0"/>
          <w:bCs/>
          <w:color w:val="000000" w:themeColor="text1"/>
          <w:sz w:val="32"/>
          <w:szCs w:val="32"/>
          <w:lang w:val="en-US" w:eastAsia="zh-CN"/>
          <w14:textFill>
            <w14:solidFill>
              <w14:schemeClr w14:val="tx1"/>
            </w14:solidFill>
          </w14:textFill>
        </w:rPr>
        <w:t>4.87</w:t>
      </w:r>
      <w:r>
        <w:rPr>
          <w:rStyle w:val="17"/>
          <w:rFonts w:hint="eastAsia" w:ascii="仿宋" w:hAnsi="仿宋" w:eastAsia="仿宋"/>
          <w:b w:val="0"/>
          <w:bCs/>
          <w:color w:val="000000" w:themeColor="text1"/>
          <w:sz w:val="32"/>
          <w:szCs w:val="32"/>
          <w14:textFill>
            <w14:solidFill>
              <w14:schemeClr w14:val="tx1"/>
            </w14:solidFill>
          </w14:textFill>
        </w:rPr>
        <w:t>万元</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，决算数等于预算数。</w:t>
      </w:r>
    </w:p>
    <w:p>
      <w:pPr>
        <w:spacing w:line="600" w:lineRule="exact"/>
        <w:ind w:firstLine="640" w:firstLineChars="200"/>
        <w:rPr>
          <w:rFonts w:ascii="仿宋" w:hAnsi="仿宋" w:eastAsia="仿宋"/>
          <w:b/>
          <w:color w:val="000000" w:themeColor="text1"/>
          <w:sz w:val="32"/>
          <w:szCs w:val="32"/>
          <w14:textFill>
            <w14:solidFill>
              <w14:schemeClr w14:val="tx1"/>
            </w14:solidFill>
          </w14:textFill>
        </w:rPr>
      </w:pPr>
      <w:r>
        <w:rPr>
          <w:rStyle w:val="17"/>
          <w:rFonts w:hint="eastAsia" w:ascii="仿宋" w:hAnsi="仿宋" w:eastAsia="仿宋"/>
          <w:b w:val="0"/>
          <w:bCs w:val="0"/>
          <w:color w:val="000000" w:themeColor="text1"/>
          <w:sz w:val="32"/>
          <w:szCs w:val="32"/>
          <w:lang w:val="en-US" w:eastAsia="zh-CN"/>
          <w14:textFill>
            <w14:solidFill>
              <w14:schemeClr w14:val="tx1"/>
            </w14:solidFill>
          </w14:textFill>
        </w:rPr>
        <w:t>3</w:t>
      </w:r>
      <w:r>
        <w:rPr>
          <w:rStyle w:val="17"/>
          <w:rFonts w:ascii="仿宋" w:hAnsi="仿宋" w:eastAsia="仿宋"/>
          <w:b w:val="0"/>
          <w:bCs w:val="0"/>
          <w:color w:val="000000" w:themeColor="text1"/>
          <w:sz w:val="32"/>
          <w:szCs w:val="32"/>
          <w14:textFill>
            <w14:solidFill>
              <w14:schemeClr w14:val="tx1"/>
            </w14:solidFill>
          </w14:textFill>
        </w:rPr>
        <w:t>.</w:t>
      </w:r>
      <w:r>
        <w:rPr>
          <w:rStyle w:val="17"/>
          <w:rFonts w:hint="eastAsia" w:ascii="仿宋" w:hAnsi="仿宋" w:eastAsia="仿宋"/>
          <w:b w:val="0"/>
          <w:bCs w:val="0"/>
          <w:color w:val="000000" w:themeColor="text1"/>
          <w:sz w:val="32"/>
          <w:szCs w:val="32"/>
          <w:lang w:val="en-US" w:eastAsia="zh-CN"/>
          <w14:textFill>
            <w14:solidFill>
              <w14:schemeClr w14:val="tx1"/>
            </w14:solidFill>
          </w14:textFill>
        </w:rPr>
        <w:t>住房保障支出221</w:t>
      </w:r>
      <w:r>
        <w:rPr>
          <w:rStyle w:val="17"/>
          <w:rFonts w:hint="eastAsia" w:ascii="仿宋" w:hAnsi="仿宋" w:eastAsia="仿宋"/>
          <w:b w:val="0"/>
          <w:bCs w:val="0"/>
          <w:color w:val="000000" w:themeColor="text1"/>
          <w:sz w:val="32"/>
          <w:szCs w:val="32"/>
          <w14:textFill>
            <w14:solidFill>
              <w14:schemeClr w14:val="tx1"/>
            </w14:solidFill>
          </w14:textFill>
        </w:rPr>
        <w:t>（类）</w:t>
      </w:r>
      <w:r>
        <w:rPr>
          <w:rStyle w:val="17"/>
          <w:rFonts w:hint="eastAsia" w:ascii="仿宋" w:hAnsi="仿宋" w:eastAsia="仿宋"/>
          <w:b w:val="0"/>
          <w:bCs w:val="0"/>
          <w:color w:val="000000" w:themeColor="text1"/>
          <w:sz w:val="32"/>
          <w:szCs w:val="32"/>
          <w:lang w:val="en-US" w:eastAsia="zh-CN"/>
          <w14:textFill>
            <w14:solidFill>
              <w14:schemeClr w14:val="tx1"/>
            </w14:solidFill>
          </w14:textFill>
        </w:rPr>
        <w:t>住房改革支出02</w:t>
      </w:r>
      <w:r>
        <w:rPr>
          <w:rStyle w:val="17"/>
          <w:rFonts w:hint="eastAsia" w:ascii="仿宋" w:hAnsi="仿宋" w:eastAsia="仿宋"/>
          <w:b w:val="0"/>
          <w:bCs w:val="0"/>
          <w:color w:val="000000" w:themeColor="text1"/>
          <w:sz w:val="32"/>
          <w:szCs w:val="32"/>
          <w14:textFill>
            <w14:solidFill>
              <w14:schemeClr w14:val="tx1"/>
            </w14:solidFill>
          </w14:textFill>
        </w:rPr>
        <w:t>（款）</w:t>
      </w:r>
      <w:r>
        <w:rPr>
          <w:rStyle w:val="17"/>
          <w:rFonts w:hint="eastAsia" w:ascii="仿宋" w:hAnsi="仿宋" w:eastAsia="仿宋"/>
          <w:b w:val="0"/>
          <w:bCs w:val="0"/>
          <w:color w:val="000000" w:themeColor="text1"/>
          <w:sz w:val="32"/>
          <w:szCs w:val="32"/>
          <w:lang w:val="en-US" w:eastAsia="zh-CN"/>
          <w14:textFill>
            <w14:solidFill>
              <w14:schemeClr w14:val="tx1"/>
            </w14:solidFill>
          </w14:textFill>
        </w:rPr>
        <w:t>住房公积金01</w:t>
      </w:r>
      <w:r>
        <w:rPr>
          <w:rStyle w:val="17"/>
          <w:rFonts w:hint="eastAsia" w:ascii="仿宋" w:hAnsi="仿宋" w:eastAsia="仿宋"/>
          <w:b w:val="0"/>
          <w:bCs w:val="0"/>
          <w:color w:val="000000" w:themeColor="text1"/>
          <w:sz w:val="32"/>
          <w:szCs w:val="32"/>
          <w14:textFill>
            <w14:solidFill>
              <w14:schemeClr w14:val="tx1"/>
            </w14:solidFill>
          </w14:textFill>
        </w:rPr>
        <w:t>（项）</w:t>
      </w:r>
      <w:r>
        <w:rPr>
          <w:rStyle w:val="17"/>
          <w:rFonts w:ascii="仿宋" w:hAnsi="仿宋" w:eastAsia="仿宋"/>
          <w:b w:val="0"/>
          <w:bCs w:val="0"/>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支出决算为</w:t>
      </w:r>
      <w:r>
        <w:rPr>
          <w:rStyle w:val="17"/>
          <w:rFonts w:hint="eastAsia" w:ascii="仿宋" w:hAnsi="仿宋" w:eastAsia="仿宋"/>
          <w:b w:val="0"/>
          <w:bCs/>
          <w:color w:val="000000" w:themeColor="text1"/>
          <w:sz w:val="32"/>
          <w:szCs w:val="32"/>
          <w:lang w:val="en-US" w:eastAsia="zh-CN"/>
          <w14:textFill>
            <w14:solidFill>
              <w14:schemeClr w14:val="tx1"/>
            </w14:solidFill>
          </w14:textFill>
        </w:rPr>
        <w:t>7.4</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，决算数等于预算数。</w:t>
      </w:r>
    </w:p>
    <w:p>
      <w:pPr>
        <w:tabs>
          <w:tab w:val="right" w:pos="8306"/>
        </w:tabs>
        <w:spacing w:line="600" w:lineRule="exact"/>
        <w:ind w:firstLine="640"/>
        <w:outlineLvl w:val="9"/>
        <w:rPr>
          <w:rFonts w:hint="eastAsia" w:ascii="黑体" w:eastAsia="黑体"/>
          <w:color w:val="000000"/>
          <w:sz w:val="32"/>
          <w:szCs w:val="32"/>
        </w:rPr>
      </w:pPr>
      <w:bookmarkStart w:id="58" w:name="_Toc15396608"/>
      <w:bookmarkStart w:id="59" w:name="_Toc15377214"/>
    </w:p>
    <w:p>
      <w:pPr>
        <w:tabs>
          <w:tab w:val="right" w:pos="8306"/>
        </w:tabs>
        <w:spacing w:line="600" w:lineRule="exact"/>
        <w:ind w:firstLine="640"/>
        <w:outlineLvl w:val="1"/>
        <w:rPr>
          <w:rStyle w:val="28"/>
        </w:rPr>
      </w:pPr>
      <w:bookmarkStart w:id="60" w:name="_Toc10825"/>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8"/>
      <w:bookmarkEnd w:id="59"/>
      <w:bookmarkEnd w:id="60"/>
      <w:r>
        <w:rPr>
          <w:rStyle w:val="28"/>
          <w:rFonts w:ascii="黑体" w:hAnsi="黑体" w:eastAsia="黑体"/>
          <w:b w:val="0"/>
        </w:rPr>
        <w:tab/>
      </w:r>
    </w:p>
    <w:p>
      <w:pPr>
        <w:spacing w:line="600" w:lineRule="exact"/>
        <w:ind w:firstLine="645"/>
        <w:rPr>
          <w:rFonts w:ascii="仿宋" w:hAnsi="仿宋" w:eastAsia="仿宋"/>
          <w:strike w:val="0"/>
          <w:dstrike w:val="0"/>
          <w:color w:val="auto"/>
          <w:sz w:val="32"/>
          <w:szCs w:val="32"/>
          <w:u w:val="none"/>
        </w:rPr>
      </w:pPr>
      <w:r>
        <w:rPr>
          <w:rFonts w:ascii="仿宋" w:hAnsi="仿宋" w:eastAsia="仿宋"/>
          <w:strike w:val="0"/>
          <w:dstrike w:val="0"/>
          <w:color w:val="auto"/>
          <w:sz w:val="32"/>
          <w:szCs w:val="32"/>
          <w:u w:val="none"/>
        </w:rPr>
        <w:t>201</w:t>
      </w:r>
      <w:r>
        <w:rPr>
          <w:rFonts w:hint="eastAsia" w:ascii="仿宋" w:hAnsi="仿宋" w:eastAsia="仿宋"/>
          <w:strike w:val="0"/>
          <w:dstrike w:val="0"/>
          <w:color w:val="auto"/>
          <w:sz w:val="32"/>
          <w:szCs w:val="32"/>
          <w:u w:val="none"/>
        </w:rPr>
        <w:t>9年一般公共预算财政拨款基本支出</w:t>
      </w:r>
      <w:r>
        <w:rPr>
          <w:rFonts w:hint="eastAsia" w:ascii="仿宋" w:hAnsi="仿宋" w:eastAsia="仿宋"/>
          <w:strike w:val="0"/>
          <w:dstrike w:val="0"/>
          <w:color w:val="auto"/>
          <w:sz w:val="32"/>
          <w:szCs w:val="32"/>
          <w:u w:val="none"/>
          <w:lang w:val="en-US" w:eastAsia="zh-CN"/>
        </w:rPr>
        <w:t>109.69</w:t>
      </w:r>
      <w:r>
        <w:rPr>
          <w:rFonts w:hint="eastAsia" w:ascii="仿宋" w:hAnsi="仿宋" w:eastAsia="仿宋"/>
          <w:strike w:val="0"/>
          <w:dstrike w:val="0"/>
          <w:color w:val="auto"/>
          <w:sz w:val="32"/>
          <w:szCs w:val="32"/>
          <w:u w:val="none"/>
        </w:rPr>
        <w:t>万元，其中：</w:t>
      </w:r>
    </w:p>
    <w:p>
      <w:pPr>
        <w:spacing w:line="600" w:lineRule="exact"/>
        <w:ind w:firstLine="645"/>
        <w:rPr>
          <w:rFonts w:ascii="仿宋" w:hAnsi="仿宋" w:eastAsia="仿宋"/>
          <w:color w:val="000000"/>
          <w:sz w:val="32"/>
          <w:szCs w:val="32"/>
        </w:rPr>
      </w:pPr>
      <w:r>
        <w:rPr>
          <w:rFonts w:hint="eastAsia" w:ascii="仿宋" w:hAnsi="仿宋" w:eastAsia="仿宋"/>
          <w:strike w:val="0"/>
          <w:dstrike w:val="0"/>
          <w:color w:val="auto"/>
          <w:sz w:val="32"/>
          <w:szCs w:val="32"/>
          <w:u w:val="none"/>
        </w:rPr>
        <w:t>人员经费</w:t>
      </w:r>
      <w:r>
        <w:rPr>
          <w:rFonts w:hint="eastAsia" w:ascii="仿宋" w:hAnsi="仿宋" w:eastAsia="仿宋"/>
          <w:strike w:val="0"/>
          <w:dstrike w:val="0"/>
          <w:color w:val="auto"/>
          <w:sz w:val="32"/>
          <w:szCs w:val="32"/>
          <w:u w:val="none"/>
          <w:lang w:val="en-US" w:eastAsia="zh-CN"/>
        </w:rPr>
        <w:t>99.42</w:t>
      </w:r>
      <w:r>
        <w:rPr>
          <w:rFonts w:hint="eastAsia" w:ascii="仿宋" w:hAnsi="仿宋" w:eastAsia="仿宋"/>
          <w:strike w:val="0"/>
          <w:dstrike w:val="0"/>
          <w:color w:val="auto"/>
          <w:sz w:val="32"/>
          <w:szCs w:val="32"/>
          <w:u w:val="none"/>
        </w:rPr>
        <w:t>万元，主要包括：基本工资</w:t>
      </w:r>
      <w:r>
        <w:rPr>
          <w:rFonts w:hint="eastAsia" w:ascii="仿宋" w:hAnsi="仿宋" w:eastAsia="仿宋"/>
          <w:strike w:val="0"/>
          <w:dstrike w:val="0"/>
          <w:color w:val="auto"/>
          <w:sz w:val="32"/>
          <w:szCs w:val="32"/>
          <w:u w:val="none"/>
          <w:lang w:val="en-US" w:eastAsia="zh-CN"/>
        </w:rPr>
        <w:t>20.74万元</w:t>
      </w:r>
      <w:r>
        <w:rPr>
          <w:rFonts w:hint="eastAsia" w:ascii="仿宋" w:hAnsi="仿宋" w:eastAsia="仿宋"/>
          <w:strike w:val="0"/>
          <w:dstrike w:val="0"/>
          <w:color w:val="auto"/>
          <w:sz w:val="32"/>
          <w:szCs w:val="32"/>
          <w:u w:val="none"/>
        </w:rPr>
        <w:t>、津贴补贴</w:t>
      </w:r>
      <w:r>
        <w:rPr>
          <w:rFonts w:hint="eastAsia" w:ascii="仿宋" w:hAnsi="仿宋" w:eastAsia="仿宋"/>
          <w:strike w:val="0"/>
          <w:dstrike w:val="0"/>
          <w:color w:val="auto"/>
          <w:sz w:val="32"/>
          <w:szCs w:val="32"/>
          <w:u w:val="none"/>
          <w:lang w:val="en-US" w:eastAsia="zh-CN"/>
        </w:rPr>
        <w:t>31.32万元</w:t>
      </w:r>
      <w:r>
        <w:rPr>
          <w:rFonts w:hint="eastAsia" w:ascii="仿宋" w:hAnsi="仿宋" w:eastAsia="仿宋"/>
          <w:strike w:val="0"/>
          <w:dstrike w:val="0"/>
          <w:color w:val="auto"/>
          <w:sz w:val="32"/>
          <w:szCs w:val="32"/>
          <w:u w:val="none"/>
        </w:rPr>
        <w:t>、奖金</w:t>
      </w:r>
      <w:r>
        <w:rPr>
          <w:rFonts w:hint="eastAsia" w:ascii="仿宋" w:hAnsi="仿宋" w:eastAsia="仿宋"/>
          <w:strike w:val="0"/>
          <w:dstrike w:val="0"/>
          <w:color w:val="auto"/>
          <w:sz w:val="32"/>
          <w:szCs w:val="32"/>
          <w:u w:val="none"/>
          <w:lang w:val="en-US" w:eastAsia="zh-CN"/>
        </w:rPr>
        <w:t>13.69万元</w:t>
      </w:r>
      <w:r>
        <w:rPr>
          <w:rFonts w:hint="eastAsia" w:ascii="仿宋" w:hAnsi="仿宋" w:eastAsia="仿宋"/>
          <w:strike w:val="0"/>
          <w:dstrike w:val="0"/>
          <w:color w:val="auto"/>
          <w:sz w:val="32"/>
          <w:szCs w:val="32"/>
          <w:u w:val="none"/>
        </w:rPr>
        <w:t>、机关事业单位基本养老保险缴费</w:t>
      </w:r>
      <w:r>
        <w:rPr>
          <w:rFonts w:hint="eastAsia" w:ascii="仿宋" w:hAnsi="仿宋" w:eastAsia="仿宋"/>
          <w:strike w:val="0"/>
          <w:dstrike w:val="0"/>
          <w:color w:val="auto"/>
          <w:sz w:val="32"/>
          <w:szCs w:val="32"/>
          <w:u w:val="none"/>
          <w:lang w:val="en-US" w:eastAsia="zh-CN"/>
        </w:rPr>
        <w:t>9.13万元</w:t>
      </w:r>
      <w:r>
        <w:rPr>
          <w:rFonts w:hint="eastAsia" w:ascii="仿宋" w:hAnsi="仿宋" w:eastAsia="仿宋"/>
          <w:strike w:val="0"/>
          <w:dstrike w:val="0"/>
          <w:color w:val="auto"/>
          <w:sz w:val="32"/>
          <w:szCs w:val="32"/>
          <w:u w:val="none"/>
        </w:rPr>
        <w:t>、职业年金缴费</w:t>
      </w:r>
      <w:r>
        <w:rPr>
          <w:rFonts w:hint="eastAsia" w:ascii="仿宋" w:hAnsi="仿宋" w:eastAsia="仿宋"/>
          <w:strike w:val="0"/>
          <w:dstrike w:val="0"/>
          <w:color w:val="auto"/>
          <w:sz w:val="32"/>
          <w:szCs w:val="32"/>
          <w:u w:val="none"/>
          <w:lang w:val="en-US" w:eastAsia="zh-CN"/>
        </w:rPr>
        <w:t>4.21万元</w:t>
      </w:r>
      <w:r>
        <w:rPr>
          <w:rFonts w:hint="eastAsia" w:ascii="仿宋" w:hAnsi="仿宋" w:eastAsia="仿宋"/>
          <w:strike w:val="0"/>
          <w:dstrike w:val="0"/>
          <w:color w:val="auto"/>
          <w:sz w:val="32"/>
          <w:szCs w:val="32"/>
          <w:u w:val="none"/>
        </w:rPr>
        <w:t>、</w:t>
      </w:r>
      <w:r>
        <w:rPr>
          <w:rFonts w:hint="eastAsia" w:ascii="仿宋" w:hAnsi="仿宋" w:eastAsia="仿宋"/>
          <w:strike w:val="0"/>
          <w:dstrike w:val="0"/>
          <w:color w:val="auto"/>
          <w:sz w:val="32"/>
          <w:szCs w:val="32"/>
          <w:u w:val="none"/>
          <w:lang w:val="en-US" w:eastAsia="zh-CN"/>
        </w:rPr>
        <w:t>职工基本医疗保险缴费3.85万元、公务员医疗补助缴费1.02万元、</w:t>
      </w:r>
      <w:r>
        <w:rPr>
          <w:rFonts w:hint="eastAsia" w:ascii="仿宋" w:hAnsi="仿宋" w:eastAsia="仿宋"/>
          <w:strike w:val="0"/>
          <w:dstrike w:val="0"/>
          <w:color w:val="auto"/>
          <w:sz w:val="32"/>
          <w:szCs w:val="32"/>
          <w:u w:val="none"/>
        </w:rPr>
        <w:t>其他社会保障缴费</w:t>
      </w:r>
      <w:r>
        <w:rPr>
          <w:rFonts w:hint="eastAsia" w:ascii="仿宋" w:hAnsi="仿宋" w:eastAsia="仿宋"/>
          <w:strike w:val="0"/>
          <w:dstrike w:val="0"/>
          <w:color w:val="auto"/>
          <w:sz w:val="32"/>
          <w:szCs w:val="32"/>
          <w:u w:val="none"/>
          <w:lang w:val="en-US" w:eastAsia="zh-CN"/>
        </w:rPr>
        <w:t>1.01万元</w:t>
      </w:r>
      <w:r>
        <w:rPr>
          <w:rFonts w:hint="eastAsia" w:ascii="仿宋" w:hAnsi="仿宋" w:eastAsia="仿宋"/>
          <w:strike w:val="0"/>
          <w:dstrike w:val="0"/>
          <w:color w:val="auto"/>
          <w:sz w:val="32"/>
          <w:szCs w:val="32"/>
          <w:u w:val="none"/>
        </w:rPr>
        <w:t>、住房公积金</w:t>
      </w:r>
      <w:r>
        <w:rPr>
          <w:rFonts w:hint="eastAsia" w:ascii="仿宋" w:hAnsi="仿宋" w:eastAsia="仿宋"/>
          <w:strike w:val="0"/>
          <w:dstrike w:val="0"/>
          <w:color w:val="auto"/>
          <w:sz w:val="32"/>
          <w:szCs w:val="32"/>
          <w:u w:val="none"/>
          <w:lang w:val="en-US" w:eastAsia="zh-CN"/>
        </w:rPr>
        <w:t>7.4万元、</w:t>
      </w:r>
      <w:r>
        <w:rPr>
          <w:rFonts w:hint="eastAsia" w:ascii="仿宋" w:hAnsi="仿宋" w:eastAsia="仿宋"/>
          <w:strike w:val="0"/>
          <w:dstrike w:val="0"/>
          <w:color w:val="auto"/>
          <w:sz w:val="32"/>
          <w:szCs w:val="32"/>
          <w:u w:val="none"/>
        </w:rPr>
        <w:t>医疗费</w:t>
      </w:r>
      <w:r>
        <w:rPr>
          <w:rFonts w:hint="eastAsia" w:ascii="仿宋" w:hAnsi="仿宋" w:eastAsia="仿宋"/>
          <w:strike w:val="0"/>
          <w:dstrike w:val="0"/>
          <w:color w:val="auto"/>
          <w:sz w:val="32"/>
          <w:szCs w:val="32"/>
          <w:u w:val="none"/>
          <w:lang w:val="en-US" w:eastAsia="zh-CN"/>
        </w:rPr>
        <w:t>0.48万元</w:t>
      </w:r>
      <w:r>
        <w:rPr>
          <w:rFonts w:hint="eastAsia" w:ascii="仿宋" w:hAnsi="仿宋" w:eastAsia="仿宋"/>
          <w:strike w:val="0"/>
          <w:dstrike w:val="0"/>
          <w:color w:val="auto"/>
          <w:sz w:val="32"/>
          <w:szCs w:val="32"/>
          <w:u w:val="none"/>
        </w:rPr>
        <w:t>、</w:t>
      </w:r>
      <w:r>
        <w:rPr>
          <w:rFonts w:hint="eastAsia" w:ascii="仿宋" w:hAnsi="仿宋" w:eastAsia="仿宋"/>
          <w:strike w:val="0"/>
          <w:dstrike w:val="0"/>
          <w:color w:val="auto"/>
          <w:sz w:val="32"/>
          <w:szCs w:val="32"/>
          <w:u w:val="none"/>
          <w:lang w:val="en-US" w:eastAsia="zh-CN"/>
        </w:rPr>
        <w:t>生活补助1.56万元、救济费5万元、</w:t>
      </w:r>
      <w:r>
        <w:rPr>
          <w:rFonts w:hint="eastAsia" w:ascii="仿宋" w:hAnsi="仿宋" w:eastAsia="仿宋"/>
          <w:strike w:val="0"/>
          <w:dstrike w:val="0"/>
          <w:color w:val="auto"/>
          <w:sz w:val="32"/>
          <w:szCs w:val="32"/>
          <w:u w:val="none"/>
        </w:rPr>
        <w:t>奖励金</w:t>
      </w:r>
      <w:r>
        <w:rPr>
          <w:rFonts w:hint="eastAsia" w:ascii="仿宋" w:hAnsi="仿宋" w:eastAsia="仿宋"/>
          <w:strike w:val="0"/>
          <w:dstrike w:val="0"/>
          <w:color w:val="auto"/>
          <w:sz w:val="32"/>
          <w:szCs w:val="32"/>
          <w:u w:val="none"/>
          <w:lang w:val="en-US" w:eastAsia="zh-CN"/>
        </w:rPr>
        <w:t>0.01万元</w:t>
      </w:r>
      <w:r>
        <w:rPr>
          <w:rFonts w:hint="eastAsia" w:ascii="仿宋" w:hAnsi="仿宋" w:eastAsia="仿宋"/>
          <w:strike w:val="0"/>
          <w:dstrike w:val="0"/>
          <w:color w:val="auto"/>
          <w:sz w:val="32"/>
          <w:szCs w:val="32"/>
          <w:u w:val="none"/>
        </w:rPr>
        <w:t>。</w:t>
      </w:r>
      <w:r>
        <w:rPr>
          <w:rFonts w:ascii="仿宋" w:hAnsi="仿宋" w:eastAsia="仿宋"/>
          <w:strike w:val="0"/>
          <w:color w:val="0000FF"/>
          <w:sz w:val="32"/>
          <w:szCs w:val="32"/>
          <w:u w:val="none"/>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10.21</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4.8万元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0.17万元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0.3万元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1.14万元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0.86万元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2.54万元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w:t>
      </w:r>
    </w:p>
    <w:p>
      <w:pPr>
        <w:spacing w:line="600" w:lineRule="exact"/>
        <w:ind w:firstLine="640"/>
        <w:outlineLvl w:val="1"/>
        <w:rPr>
          <w:rStyle w:val="28"/>
          <w:rFonts w:ascii="黑体" w:hAnsi="黑体" w:eastAsia="黑体"/>
          <w:b w:val="0"/>
        </w:rPr>
      </w:pPr>
      <w:bookmarkStart w:id="61" w:name="_Toc15377215"/>
      <w:bookmarkStart w:id="62" w:name="_Toc15396609"/>
      <w:bookmarkStart w:id="63" w:name="_Toc1609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1"/>
      <w:bookmarkEnd w:id="62"/>
      <w:bookmarkEnd w:id="63"/>
    </w:p>
    <w:p>
      <w:pPr>
        <w:spacing w:line="600" w:lineRule="exact"/>
        <w:ind w:firstLine="640"/>
        <w:outlineLvl w:val="2"/>
        <w:rPr>
          <w:rFonts w:ascii="仿宋" w:hAnsi="仿宋" w:eastAsia="仿宋"/>
          <w:b/>
          <w:color w:val="000000"/>
          <w:sz w:val="32"/>
          <w:szCs w:val="32"/>
        </w:rPr>
      </w:pPr>
      <w:bookmarkStart w:id="64" w:name="_Toc15377216"/>
      <w:r>
        <w:rPr>
          <w:rFonts w:hint="eastAsia" w:ascii="仿宋" w:hAnsi="仿宋" w:eastAsia="仿宋"/>
          <w:b/>
          <w:color w:val="000000"/>
          <w:sz w:val="32"/>
          <w:szCs w:val="32"/>
        </w:rPr>
        <w:t>（一）“三公”经费财政拨款支出决算总体情况说明</w:t>
      </w:r>
      <w:bookmarkEnd w:id="6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2.55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5" w:name="_Toc15377217"/>
      <w:r>
        <w:rPr>
          <w:rFonts w:hint="eastAsia" w:ascii="仿宋" w:hAnsi="仿宋" w:eastAsia="仿宋"/>
          <w:b/>
          <w:color w:val="000000"/>
          <w:sz w:val="32"/>
          <w:szCs w:val="32"/>
        </w:rPr>
        <w:t>（二）“三公”经费财政拨款支出决算具体情况说明</w:t>
      </w:r>
      <w:bookmarkEnd w:id="6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99.61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0.39</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
        <w:ind w:left="0" w:leftChars="0" w:firstLine="0" w:firstLineChars="0"/>
        <w:jc w:val="center"/>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709440" behindDoc="0" locked="0" layoutInCell="1" allowOverlap="1">
            <wp:simplePos x="0" y="0"/>
            <wp:positionH relativeFrom="column">
              <wp:posOffset>99695</wp:posOffset>
            </wp:positionH>
            <wp:positionV relativeFrom="paragraph">
              <wp:posOffset>124460</wp:posOffset>
            </wp:positionV>
            <wp:extent cx="4984750" cy="2790825"/>
            <wp:effectExtent l="4445" t="4445" r="20955" b="5080"/>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（图7：“三公”经费财政拨款支出结构）（饼状图）</w:t>
      </w:r>
    </w:p>
    <w:p>
      <w:pPr>
        <w:spacing w:line="600" w:lineRule="exact"/>
        <w:ind w:firstLine="640"/>
        <w:rPr>
          <w:rFonts w:hint="eastAsia" w:ascii="仿宋_GB2312" w:eastAsia="仿宋_GB2312"/>
          <w:color w:val="000000"/>
          <w:sz w:val="32"/>
          <w:szCs w:val="32"/>
          <w:lang w:val="en-US"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val="en-US"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持平。</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2.54</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54.88</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是车辆老旧。</w:t>
      </w:r>
    </w:p>
    <w:p>
      <w:pPr>
        <w:spacing w:line="600" w:lineRule="exact"/>
        <w:ind w:firstLine="640" w:firstLineChars="200"/>
        <w:rPr>
          <w:rFonts w:hint="default" w:ascii="仿宋_GB2312" w:eastAsia="仿宋_GB2312"/>
          <w:color w:val="000000"/>
          <w:sz w:val="32"/>
          <w:szCs w:val="32"/>
          <w:lang w:val="en-US"/>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w:t>
      </w:r>
      <w:r>
        <w:rPr>
          <w:rFonts w:hint="eastAsia" w:ascii="仿宋_GB2312" w:eastAsia="仿宋_GB2312"/>
          <w:color w:val="000000"/>
          <w:sz w:val="32"/>
          <w:szCs w:val="32"/>
          <w:lang w:val="en-US" w:eastAsia="zh-CN"/>
        </w:rPr>
        <w:t>轿车1辆。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2.54</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出差、外出培训工作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持平</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27</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应急救护培训和普及工作的开展</w:t>
      </w:r>
      <w:r>
        <w:rPr>
          <w:rFonts w:hint="eastAsia" w:ascii="仿宋_GB2312" w:eastAsia="仿宋_GB2312"/>
          <w:color w:val="000000"/>
          <w:sz w:val="32"/>
          <w:szCs w:val="32"/>
        </w:rPr>
        <w:t>。</w:t>
      </w:r>
    </w:p>
    <w:p>
      <w:pPr>
        <w:spacing w:line="600" w:lineRule="exact"/>
        <w:ind w:firstLine="640"/>
        <w:outlineLvl w:val="9"/>
        <w:rPr>
          <w:rFonts w:ascii="黑体" w:eastAsia="黑体"/>
          <w:color w:val="000000"/>
          <w:sz w:val="32"/>
          <w:szCs w:val="32"/>
        </w:rPr>
      </w:pPr>
      <w:bookmarkStart w:id="66" w:name="_Toc15396610"/>
      <w:bookmarkStart w:id="67" w:name="_Toc15377218"/>
    </w:p>
    <w:p>
      <w:pPr>
        <w:spacing w:line="600" w:lineRule="exact"/>
        <w:ind w:firstLine="640"/>
        <w:outlineLvl w:val="1"/>
        <w:rPr>
          <w:rStyle w:val="28"/>
          <w:rFonts w:ascii="黑体" w:hAnsi="黑体" w:eastAsia="黑体"/>
        </w:rPr>
      </w:pPr>
      <w:bookmarkStart w:id="68" w:name="_Toc26436"/>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66"/>
      <w:bookmarkEnd w:id="67"/>
      <w:bookmarkEnd w:id="6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8"/>
          <w:rFonts w:ascii="黑体" w:hAnsi="黑体" w:eastAsia="黑体"/>
          <w:b w:val="0"/>
        </w:rPr>
      </w:pPr>
      <w:bookmarkStart w:id="69" w:name="_Toc15377219"/>
      <w:bookmarkStart w:id="70" w:name="_Toc11584"/>
      <w:bookmarkStart w:id="71" w:name="_Toc15396611"/>
      <w:r>
        <w:rPr>
          <w:rStyle w:val="28"/>
          <w:rFonts w:hint="eastAsia" w:ascii="黑体" w:hAnsi="黑体" w:eastAsia="黑体"/>
          <w:b w:val="0"/>
        </w:rPr>
        <w:t>国有资本经营预算支出决算情况说明</w:t>
      </w:r>
      <w:bookmarkEnd w:id="69"/>
      <w:bookmarkEnd w:id="70"/>
      <w:bookmarkEnd w:id="7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8"/>
          <w:rFonts w:ascii="黑体" w:hAnsi="黑体" w:eastAsia="黑体"/>
        </w:rPr>
      </w:pPr>
      <w:bookmarkStart w:id="72" w:name="_Toc2275"/>
      <w:bookmarkStart w:id="73" w:name="_Toc15377221"/>
      <w:bookmarkStart w:id="74"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72"/>
      <w:bookmarkEnd w:id="73"/>
      <w:bookmarkEnd w:id="74"/>
    </w:p>
    <w:p>
      <w:pPr>
        <w:spacing w:line="600" w:lineRule="exact"/>
        <w:ind w:firstLine="642" w:firstLineChars="200"/>
        <w:outlineLvl w:val="2"/>
        <w:rPr>
          <w:rFonts w:ascii="仿宋" w:hAnsi="仿宋" w:eastAsia="仿宋"/>
          <w:color w:val="auto"/>
          <w:sz w:val="32"/>
          <w:szCs w:val="32"/>
          <w:highlight w:val="none"/>
        </w:rPr>
      </w:pPr>
      <w:bookmarkStart w:id="75" w:name="_Toc15377222"/>
      <w:r>
        <w:rPr>
          <w:rFonts w:hint="eastAsia" w:ascii="仿宋" w:hAnsi="仿宋" w:eastAsia="仿宋"/>
          <w:b/>
          <w:color w:val="auto"/>
          <w:sz w:val="32"/>
          <w:szCs w:val="32"/>
          <w:highlight w:val="none"/>
        </w:rPr>
        <w:t>（一）机关运行经费支出情况</w:t>
      </w:r>
      <w:bookmarkEnd w:id="75"/>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201</w:t>
      </w:r>
      <w:r>
        <w:rPr>
          <w:rFonts w:hint="eastAsia" w:ascii="仿宋_GB2312" w:eastAsia="仿宋_GB2312"/>
          <w:color w:val="auto"/>
          <w:sz w:val="32"/>
          <w:szCs w:val="32"/>
          <w:highlight w:val="none"/>
        </w:rPr>
        <w:t>9年，</w:t>
      </w:r>
      <w:r>
        <w:rPr>
          <w:rFonts w:hint="eastAsia" w:ascii="仿宋_GB2312" w:eastAsia="仿宋_GB2312"/>
          <w:color w:val="auto"/>
          <w:sz w:val="32"/>
          <w:szCs w:val="32"/>
          <w:highlight w:val="none"/>
          <w:lang w:val="en-US" w:eastAsia="zh-CN"/>
        </w:rPr>
        <w:t>本单位</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10.21</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8年增加</w:t>
      </w:r>
      <w:r>
        <w:rPr>
          <w:rFonts w:hint="eastAsia" w:ascii="仿宋_GB2312" w:eastAsia="仿宋_GB2312"/>
          <w:color w:val="auto"/>
          <w:sz w:val="32"/>
          <w:szCs w:val="32"/>
          <w:highlight w:val="none"/>
          <w:lang w:val="en-US" w:eastAsia="zh-CN"/>
        </w:rPr>
        <w:t>0.41</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41.84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default" w:ascii="仿宋_GB2312" w:eastAsia="仿宋_GB2312"/>
          <w:color w:val="auto"/>
          <w:sz w:val="32"/>
          <w:szCs w:val="32"/>
          <w:highlight w:val="none"/>
        </w:rPr>
        <w:t>根据上年机关运行经费实际开支情况，结合本年度工作安排调增预算</w:t>
      </w:r>
      <w:r>
        <w:rPr>
          <w:rFonts w:hint="eastAsia" w:ascii="仿宋_GB2312" w:eastAsia="仿宋_GB2312"/>
          <w:color w:val="auto"/>
          <w:sz w:val="32"/>
          <w:szCs w:val="32"/>
          <w:highlight w:val="none"/>
          <w:lang w:eastAsia="zh-CN"/>
        </w:rPr>
        <w:t>。</w:t>
      </w:r>
    </w:p>
    <w:p>
      <w:pPr>
        <w:pStyle w:val="2"/>
        <w:rPr>
          <w:rFonts w:hint="eastAsia"/>
          <w:lang w:eastAsia="zh-CN"/>
        </w:rPr>
      </w:pP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76" w:name="_Toc15377223"/>
      <w:r>
        <w:rPr>
          <w:rFonts w:hint="eastAsia" w:ascii="仿宋" w:hAnsi="仿宋" w:eastAsia="仿宋"/>
          <w:b/>
          <w:color w:val="000000"/>
          <w:sz w:val="32"/>
          <w:szCs w:val="32"/>
        </w:rPr>
        <w:t>（二）政府采购支出情况</w:t>
      </w:r>
      <w:bookmarkEnd w:id="76"/>
    </w:p>
    <w:p>
      <w:pPr>
        <w:spacing w:line="600"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本单位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
      </w:pP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77" w:name="_Toc15377224"/>
      <w:r>
        <w:rPr>
          <w:rFonts w:hint="eastAsia" w:ascii="仿宋" w:hAnsi="仿宋" w:eastAsia="仿宋"/>
          <w:b/>
          <w:color w:val="000000"/>
          <w:sz w:val="32"/>
          <w:szCs w:val="32"/>
        </w:rPr>
        <w:t>（三）国有资产占有使用情况</w:t>
      </w:r>
      <w:bookmarkEnd w:id="77"/>
    </w:p>
    <w:p>
      <w:pPr>
        <w:autoSpaceDE w:val="0"/>
        <w:autoSpaceDN w:val="0"/>
        <w:adjustRightInd w:val="0"/>
        <w:spacing w:line="600" w:lineRule="exact"/>
        <w:ind w:firstLine="640" w:firstLineChars="200"/>
        <w:jc w:val="left"/>
        <w:rPr>
          <w:rFonts w:hint="eastAsia" w:ascii="仿宋" w:hAnsi="仿宋" w:eastAsia="仿宋_GB2312"/>
          <w:b/>
          <w:color w:val="auto"/>
          <w:sz w:val="32"/>
          <w:szCs w:val="32"/>
          <w:lang w:eastAsia="zh-CN"/>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9年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val="en-US" w:eastAsia="zh-CN"/>
        </w:rPr>
        <w:t>本单位</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辆，其中：</w:t>
      </w:r>
      <w:r>
        <w:rPr>
          <w:rFonts w:hint="eastAsia" w:ascii="仿宋_GB2312" w:eastAsia="仿宋_GB2312"/>
          <w:color w:val="auto"/>
          <w:sz w:val="32"/>
          <w:szCs w:val="32"/>
          <w:lang w:val="en-US" w:eastAsia="zh-CN"/>
        </w:rPr>
        <w:t>一般公务用车1</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w:t>
      </w:r>
      <w:r>
        <w:rPr>
          <w:rFonts w:hint="eastAsia" w:ascii="仿宋_GB2312" w:hAnsi="仿宋_GB2312" w:eastAsia="仿宋_GB2312" w:cs="仿宋_GB2312"/>
          <w:color w:val="000000"/>
          <w:sz w:val="32"/>
          <w:szCs w:val="32"/>
          <w:lang w:eastAsia="zh-CN"/>
        </w:rPr>
        <w:t>组织对我单位开展了预算事前绩效评估</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年终执行完毕后，开展了绩效目标完成情况梳理填报。</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sz w:val="32"/>
          <w:szCs w:val="32"/>
        </w:rPr>
        <w:t>自评得分</w:t>
      </w:r>
      <w:r>
        <w:rPr>
          <w:rFonts w:hint="eastAsia" w:ascii="仿宋_GB2312" w:hAnsi="仿宋_GB2312" w:eastAsia="仿宋_GB2312" w:cs="仿宋_GB2312"/>
          <w:color w:val="000000"/>
          <w:sz w:val="32"/>
          <w:szCs w:val="32"/>
          <w:lang w:val="en-US" w:eastAsia="zh-CN"/>
        </w:rPr>
        <w:t>78</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存在的问题：</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eastAsia="zh-CN"/>
        </w:rPr>
        <w:t>有关</w:t>
      </w:r>
      <w:r>
        <w:rPr>
          <w:rFonts w:hint="eastAsia" w:ascii="仿宋_GB2312" w:hAnsi="仿宋_GB2312" w:eastAsia="仿宋_GB2312" w:cs="仿宋_GB2312"/>
          <w:color w:val="000000"/>
          <w:sz w:val="32"/>
          <w:szCs w:val="32"/>
          <w:lang w:val="en-US" w:eastAsia="zh-CN"/>
        </w:rPr>
        <w:t>目标任务有待进一步完善</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val="en-US" w:eastAsia="zh-CN"/>
        </w:rPr>
        <w:t>机制有待进一步完善</w:t>
      </w:r>
      <w:r>
        <w:rPr>
          <w:rFonts w:hint="eastAsia" w:ascii="仿宋_GB2312" w:hAnsi="仿宋_GB2312" w:eastAsia="仿宋_GB2312" w:cs="仿宋_GB2312"/>
          <w:color w:val="000000"/>
          <w:sz w:val="32"/>
          <w:szCs w:val="32"/>
        </w:rPr>
        <w:t>。下一步改进措施：一是</w:t>
      </w:r>
      <w:r>
        <w:rPr>
          <w:rFonts w:hint="eastAsia" w:ascii="仿宋_GB2312" w:hAnsi="仿宋_GB2312" w:eastAsia="仿宋_GB2312" w:cs="仿宋_GB2312"/>
          <w:color w:val="000000"/>
          <w:sz w:val="32"/>
          <w:szCs w:val="32"/>
          <w:lang w:val="en-US" w:eastAsia="zh-CN"/>
        </w:rPr>
        <w:t>加强学习</w:t>
      </w:r>
      <w:r>
        <w:rPr>
          <w:rFonts w:hint="eastAsia" w:ascii="仿宋_GB2312" w:hAnsi="仿宋_GB2312" w:eastAsia="仿宋_GB2312" w:cs="仿宋_GB2312"/>
          <w:color w:val="000000"/>
          <w:sz w:val="32"/>
          <w:szCs w:val="32"/>
        </w:rPr>
        <w:t>，二是</w:t>
      </w:r>
      <w:r>
        <w:rPr>
          <w:rFonts w:hint="eastAsia" w:ascii="仿宋_GB2312" w:hAnsi="仿宋_GB2312" w:eastAsia="仿宋_GB2312" w:cs="仿宋_GB2312"/>
          <w:color w:val="000000"/>
          <w:sz w:val="32"/>
          <w:szCs w:val="32"/>
          <w:lang w:val="en-US" w:eastAsia="zh-CN"/>
        </w:rPr>
        <w:t>进一步完善并规范部分不健全机制</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val="en-US" w:eastAsia="zh-CN"/>
        </w:rPr>
        <w:t>大病救助金</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共计5万元的1</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大病救助金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红原县内筛选出来的贫困家庭大病患者的后续治疗，一定程度上改善了贫困大病患者家庭中的部分困难，助力我县脱贫攻坚工作。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救助金金额较少，无法全覆盖救助贫困大病救助患者</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积极向社会各界爱心人士及爱心团体筹集大病救助金，帮助更多需要帮助的大病患者。</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大病救助金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红原县红十字会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将5万元大病救助金送到需要救助的贫困大病患者手中，解决他们部分经济困难。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将5万元大病救助金发放给筛选出来的贫困大病患者手中，解决了他们存在的部分经济困难。</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全部发放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5万元全部发放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5万元发放完毕</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助困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帮助贫困大病患者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5万元大病救助金能够解决贫困大病患者部分困难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5万元大病救助金已解决贫困大病患者部分困难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满意</w:t>
            </w:r>
          </w:p>
        </w:tc>
      </w:tr>
    </w:tbl>
    <w:p>
      <w:pPr>
        <w:pStyle w:val="2"/>
        <w:ind w:left="0" w:leftChars="0" w:firstLine="0" w:firstLineChars="0"/>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红原县红十字会</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大病救助金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val="en-US" w:eastAsia="zh-CN"/>
        </w:rPr>
        <w:t>红原县红十字会“大病救助金”</w:t>
      </w:r>
      <w:r>
        <w:rPr>
          <w:rFonts w:hint="eastAsia" w:ascii="仿宋_GB2312" w:hAnsi="仿宋_GB2312" w:eastAsia="仿宋_GB2312" w:cs="仿宋_GB2312"/>
          <w:sz w:val="32"/>
          <w:szCs w:val="32"/>
        </w:rPr>
        <w:t>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7"/>
          <w:rFonts w:ascii="黑体" w:hAnsi="黑体" w:eastAsia="黑体"/>
          <w:b w:val="0"/>
        </w:rPr>
      </w:pPr>
      <w:bookmarkStart w:id="78" w:name="_Toc27750"/>
      <w:bookmarkStart w:id="79" w:name="_Toc15377225"/>
      <w:bookmarkStart w:id="80" w:name="_Toc15396613"/>
      <w:r>
        <w:rPr>
          <w:rFonts w:hint="eastAsia" w:ascii="黑体" w:hAnsi="黑体" w:eastAsia="黑体"/>
          <w:color w:val="000000"/>
          <w:sz w:val="44"/>
          <w:szCs w:val="44"/>
        </w:rPr>
        <w:t>名</w:t>
      </w:r>
      <w:r>
        <w:rPr>
          <w:rStyle w:val="27"/>
          <w:rFonts w:hint="eastAsia" w:ascii="黑体" w:hAnsi="黑体" w:eastAsia="黑体"/>
          <w:b w:val="0"/>
        </w:rPr>
        <w:t>词解释</w:t>
      </w:r>
      <w:bookmarkEnd w:id="78"/>
      <w:bookmarkEnd w:id="79"/>
      <w:bookmarkEnd w:id="80"/>
    </w:p>
    <w:p>
      <w:pPr>
        <w:spacing w:line="600" w:lineRule="exact"/>
        <w:jc w:val="left"/>
        <w:rPr>
          <w:rFonts w:ascii="宋体"/>
          <w:b/>
          <w:color w:val="000000"/>
          <w:sz w:val="44"/>
          <w:szCs w:val="44"/>
        </w:rPr>
      </w:pPr>
    </w:p>
    <w:p>
      <w:pPr>
        <w:pStyle w:val="25"/>
        <w:spacing w:line="560" w:lineRule="exact"/>
        <w:ind w:firstLine="640" w:firstLineChars="200"/>
        <w:rPr>
          <w:rFonts w:hint="eastAsia" w:ascii="仿宋_GB2312" w:hAnsi="仿宋_GB2312" w:eastAsia="仿宋_GB2312" w:cs="仿宋_GB2312"/>
          <w:color w:val="auto"/>
          <w:sz w:val="32"/>
          <w:szCs w:val="32"/>
        </w:rPr>
      </w:pPr>
      <w:bookmarkStart w:id="81" w:name="_Toc15377226"/>
      <w:r>
        <w:rPr>
          <w:rFonts w:hint="eastAsia" w:ascii="仿宋_GB2312" w:hAnsi="仿宋_GB2312" w:eastAsia="仿宋_GB2312" w:cs="仿宋_GB2312"/>
          <w:color w:val="auto"/>
          <w:sz w:val="32"/>
          <w:szCs w:val="32"/>
        </w:rPr>
        <w:t>1.财政拨款收入：指单位从同级财政部门取得的财政预算资金。</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2.事业收入：指所属事业单位开展专业业务活动及辅助活动所取得的收入。</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3.经营收入：指事业单位在专业业务活动及其辅助活动之外开展非独立核算经营活动取得的收入。如二级预算单位经营收入情况等。</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4.其他收入：指除上述“财政拨款收入”、“事业收入”、“事业单位经营收入”等以外的收入，主要是所属行政事业单位按规定动用的售房收入、存款利息收入等。 </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6.年初结转和结余：指以前年度尚未完成、结转到本年按有关规定继续使用的资金。 </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7.结余分配：指事业单位按照事业单位会计制度的规定从非财政补助结余中分配的事业基金和职工福利基金等。</w:t>
      </w:r>
    </w:p>
    <w:p>
      <w:pPr>
        <w:pStyle w:val="25"/>
        <w:spacing w:line="560" w:lineRule="exact"/>
        <w:ind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auto"/>
          <w:sz w:val="32"/>
          <w:szCs w:val="32"/>
        </w:rPr>
        <w:t>8、年末结转和结余：指单位按有关规定结转到下年或以</w:t>
      </w:r>
      <w:r>
        <w:rPr>
          <w:rFonts w:hint="eastAsia" w:ascii="仿宋_GB2312" w:hAnsi="仿宋_GB2312" w:eastAsia="仿宋_GB2312" w:cs="仿宋_GB2312"/>
          <w:color w:val="000000" w:themeColor="text1"/>
          <w:sz w:val="32"/>
          <w:szCs w:val="32"/>
          <w14:textFill>
            <w14:solidFill>
              <w14:schemeClr w14:val="tx1"/>
            </w14:solidFill>
          </w14:textFill>
        </w:rPr>
        <w:t>后年度继续使用的资金。</w:t>
      </w:r>
    </w:p>
    <w:p>
      <w:pPr>
        <w:pStyle w:val="25"/>
        <w:spacing w:line="560" w:lineRule="exact"/>
        <w:ind w:firstLine="640" w:firstLineChars="200"/>
        <w:rPr>
          <w:rFonts w:hint="default" w:ascii="仿宋_GB2312" w:eastAsia="仿宋_GB2312"/>
          <w:color w:val="0000FF"/>
          <w:sz w:val="32"/>
          <w:szCs w:val="32"/>
          <w:lang w:val="en-US"/>
        </w:rPr>
      </w:pPr>
      <w:r>
        <w:rPr>
          <w:rFonts w:hint="eastAsia" w:ascii="仿宋_GB2312" w:eastAsia="仿宋_GB2312"/>
          <w:color w:val="000000" w:themeColor="text1"/>
          <w:sz w:val="32"/>
          <w:szCs w:val="32"/>
          <w:highlight w:val="none"/>
          <w14:textFill>
            <w14:solidFill>
              <w14:schemeClr w14:val="tx1"/>
            </w14:solidFill>
          </w14:textFill>
        </w:rPr>
        <w:t>9</w:t>
      </w:r>
      <w:r>
        <w:rPr>
          <w:rFonts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支出</w:t>
      </w:r>
      <w:r>
        <w:rPr>
          <w:rFonts w:hint="eastAsia" w:ascii="仿宋_GB2312" w:hAnsi="仿宋_GB2312" w:eastAsia="仿宋_GB2312" w:cs="仿宋_GB2312"/>
          <w:color w:val="000000"/>
          <w:kern w:val="2"/>
          <w:sz w:val="32"/>
          <w:szCs w:val="32"/>
          <w:lang w:val="en-US" w:eastAsia="zh-CN" w:bidi="ar-SA"/>
        </w:rPr>
        <w:t>-行政事业单位离退休-机关事业单位基本养老保险缴费（2080505），该支出主要用于支付职工养老保险金；机关事业单位职业年金缴费（2080506），该支出主要用于支付职工职业年金。</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支出</w:t>
      </w:r>
      <w:r>
        <w:rPr>
          <w:rFonts w:hint="eastAsia" w:ascii="仿宋_GB2312" w:hAnsi="仿宋_GB2312" w:eastAsia="仿宋_GB2312" w:cs="仿宋_GB2312"/>
          <w:color w:val="000000"/>
          <w:kern w:val="2"/>
          <w:sz w:val="32"/>
          <w:szCs w:val="32"/>
          <w:lang w:val="en-US" w:eastAsia="zh-CN" w:bidi="ar-SA"/>
        </w:rPr>
        <w:t>-红十字事业-行政运行（2081601），该支出主要用于支付职工工资、退休费以及公务运行费；其他红十字事业支出（2081699），该支出主要用于大病救助金项目。</w:t>
      </w:r>
    </w:p>
    <w:p>
      <w:pPr>
        <w:pStyle w:val="25"/>
        <w:numPr>
          <w:ilvl w:val="0"/>
          <w:numId w:val="0"/>
        </w:numPr>
        <w:spacing w:line="560"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themeColor="text1"/>
          <w:sz w:val="32"/>
          <w:szCs w:val="32"/>
          <w:lang w:val="en-US" w:eastAsia="zh-CN"/>
          <w14:textFill>
            <w14:solidFill>
              <w14:schemeClr w14:val="tx1"/>
            </w14:solidFill>
          </w14:textFill>
        </w:rPr>
        <w:t>10.医疗卫生与计划生育支出-行政事业单位医疗行政单位医疗（2101101），该支出用于财政部门集中安排的行政单位基本医疗保险缴费经费；公务员医疗补助（2101103）该支出用于</w:t>
      </w:r>
      <w:r>
        <w:rPr>
          <w:rFonts w:hint="eastAsia" w:ascii="仿宋_GB2312" w:hAnsi="仿宋_GB2312" w:eastAsia="仿宋_GB2312" w:cs="仿宋_GB2312"/>
          <w:color w:val="000000"/>
          <w:kern w:val="2"/>
          <w:sz w:val="32"/>
          <w:szCs w:val="32"/>
          <w:lang w:val="en-US" w:eastAsia="zh-CN" w:bidi="ar-SA"/>
        </w:rPr>
        <w:t>职工医疗保险金。</w:t>
      </w:r>
    </w:p>
    <w:p>
      <w:pPr>
        <w:pStyle w:val="25"/>
        <w:numPr>
          <w:ilvl w:val="0"/>
          <w:numId w:val="0"/>
        </w:numPr>
        <w:spacing w:line="56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11.住房保障支出-住房改革支出-住房公积金：指行政事业单位按人力资源和社会保障部、财政部规定的基本工资和津贴补贴以及规定比例为职工缴纳的住房公积金。</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年初结转和结余：指以前年度尚未完成、结转到</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本年按有关规定继续使用的资金。</w:t>
      </w:r>
      <w:r>
        <w:rPr>
          <w:rFonts w:ascii="仿宋_GB2312" w:eastAsia="仿宋_GB2312"/>
          <w:color w:val="000000" w:themeColor="text1"/>
          <w:sz w:val="32"/>
          <w:szCs w:val="32"/>
          <w14:textFill>
            <w14:solidFill>
              <w14:schemeClr w14:val="tx1"/>
            </w14:solidFill>
          </w14:textFill>
        </w:rPr>
        <w:t xml:space="preserve"> </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13.</w:t>
      </w:r>
      <w:r>
        <w:rPr>
          <w:rFonts w:hint="eastAsia" w:ascii="仿宋_GB2312" w:eastAsia="仿宋_GB2312"/>
          <w:color w:val="000000" w:themeColor="text1"/>
          <w:sz w:val="32"/>
          <w:szCs w:val="32"/>
          <w14:textFill>
            <w14:solidFill>
              <w14:schemeClr w14:val="tx1"/>
            </w14:solidFill>
          </w14:textFill>
        </w:rPr>
        <w:t>结余分配：指事业单位按照事业单位会计制度的规定从非财政补助结余中分配的事业基金和职工福利基金等。</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14.</w:t>
      </w:r>
      <w:r>
        <w:rPr>
          <w:rFonts w:hint="eastAsia" w:ascii="仿宋_GB2312" w:eastAsia="仿宋_GB2312"/>
          <w:color w:val="000000" w:themeColor="text1"/>
          <w:sz w:val="32"/>
          <w:szCs w:val="32"/>
          <w14:textFill>
            <w14:solidFill>
              <w14:schemeClr w14:val="tx1"/>
            </w14:solidFill>
          </w14:textFill>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15.</w:t>
      </w:r>
      <w:r>
        <w:rPr>
          <w:rFonts w:hint="eastAsia" w:ascii="仿宋_GB2312" w:eastAsia="仿宋_GB2312"/>
          <w:color w:val="000000" w:themeColor="text1"/>
          <w:sz w:val="32"/>
          <w:szCs w:val="32"/>
          <w14:textFill>
            <w14:solidFill>
              <w14:schemeClr w14:val="tx1"/>
            </w14:solidFill>
          </w14:textFill>
        </w:rPr>
        <w:t>项目支出：指在基本支出之外为完成特定行政任务和事业发展目标所发生的支出。</w:t>
      </w:r>
      <w:r>
        <w:rPr>
          <w:rFonts w:ascii="仿宋_GB2312" w:eastAsia="仿宋_GB2312"/>
          <w:color w:val="000000" w:themeColor="text1"/>
          <w:sz w:val="32"/>
          <w:szCs w:val="32"/>
          <w14:textFill>
            <w14:solidFill>
              <w14:schemeClr w14:val="tx1"/>
            </w14:solidFill>
          </w14:textFill>
        </w:rPr>
        <w:t xml:space="preserve"> </w:t>
      </w:r>
    </w:p>
    <w:p>
      <w:pPr>
        <w:ind w:firstLine="640" w:firstLineChars="200"/>
        <w:rPr>
          <w:color w:val="000000" w:themeColor="text1"/>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16</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17.</w:t>
      </w:r>
      <w:r>
        <w:rPr>
          <w:rFonts w:hint="eastAsia" w:ascii="仿宋_GB2312" w:eastAsia="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18.</w:t>
      </w:r>
      <w:r>
        <w:rPr>
          <w:rFonts w:hint="eastAsia" w:ascii="仿宋_GB2312" w:eastAsia="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r>
        <w:rPr>
          <w:rFonts w:ascii="宋体"/>
          <w:b/>
          <w:color w:val="000000"/>
          <w:sz w:val="44"/>
          <w:szCs w:val="44"/>
        </w:rPr>
        <w:br w:type="page"/>
      </w:r>
      <w:bookmarkStart w:id="82" w:name="_Toc15396614"/>
      <w:bookmarkStart w:id="83" w:name="_Toc8452"/>
      <w:r>
        <w:rPr>
          <w:rFonts w:hint="eastAsia" w:ascii="黑体" w:hAnsi="黑体" w:eastAsia="黑体"/>
          <w:color w:val="000000"/>
          <w:sz w:val="44"/>
          <w:szCs w:val="44"/>
        </w:rPr>
        <w:t>第</w:t>
      </w:r>
      <w:r>
        <w:rPr>
          <w:rStyle w:val="27"/>
          <w:rFonts w:hint="eastAsia" w:ascii="黑体" w:hAnsi="黑体" w:eastAsia="黑体"/>
          <w:b w:val="0"/>
        </w:rPr>
        <w:t>四部分 附件</w:t>
      </w:r>
      <w:bookmarkEnd w:id="82"/>
      <w:bookmarkEnd w:id="83"/>
    </w:p>
    <w:p>
      <w:pPr>
        <w:spacing w:line="600" w:lineRule="exact"/>
        <w:jc w:val="left"/>
        <w:outlineLvl w:val="0"/>
        <w:rPr>
          <w:rFonts w:ascii="方正小标宋简体" w:hAnsi="方正小标宋简体" w:eastAsia="方正小标宋简体" w:cs="方正小标宋简体"/>
          <w:sz w:val="32"/>
          <w:szCs w:val="32"/>
        </w:rPr>
      </w:pPr>
      <w:bookmarkStart w:id="84" w:name="_Toc24167"/>
      <w:r>
        <w:rPr>
          <w:rFonts w:hint="eastAsia" w:ascii="黑体" w:hAnsi="黑体" w:eastAsia="黑体" w:cs="黑体"/>
          <w:sz w:val="32"/>
          <w:szCs w:val="32"/>
        </w:rPr>
        <w:t>附件1</w:t>
      </w:r>
      <w:bookmarkEnd w:id="84"/>
    </w:p>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红原县红十字会2019年部门整体支出绩效报告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auto"/>
          <w:kern w:val="0"/>
          <w:lang w:val="zh-CN" w:eastAsia="zh-CN"/>
        </w:rPr>
      </w:pPr>
      <w:r>
        <w:rPr>
          <w:rFonts w:hint="eastAsia" w:ascii="黑体" w:hAnsi="宋体" w:eastAsia="黑体" w:cs="宋体"/>
          <w:color w:val="auto"/>
          <w:kern w:val="0"/>
          <w:sz w:val="32"/>
          <w:szCs w:val="24"/>
          <w:lang w:val="en-US" w:eastAsia="zh-CN" w:bidi="ar"/>
        </w:rPr>
        <w:t>一、红十字会</w:t>
      </w:r>
      <w:r>
        <w:rPr>
          <w:rFonts w:hint="eastAsia" w:ascii="黑体" w:hAnsi="宋体" w:eastAsia="黑体" w:cs="宋体"/>
          <w:color w:val="auto"/>
          <w:kern w:val="0"/>
          <w:sz w:val="32"/>
          <w:szCs w:val="24"/>
          <w:lang w:val="zh-CN" w:eastAsia="zh-CN" w:bidi="ar"/>
        </w:rPr>
        <w:t>部门概况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zh-CN" w:eastAsia="zh-CN" w:bidi="ar"/>
        </w:rPr>
        <w:t>（一）机构组成。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auto"/>
          <w:kern w:val="0"/>
          <w:sz w:val="32"/>
          <w:szCs w:val="24"/>
          <w:lang w:val="zh-CN" w:eastAsia="zh-CN" w:bidi="ar"/>
        </w:rPr>
      </w:pPr>
      <w:r>
        <w:rPr>
          <w:rFonts w:hint="eastAsia" w:ascii="仿宋_GB2312" w:hAnsi="仿宋_GB2312" w:eastAsia="仿宋_GB2312" w:cs="仿宋_GB2312"/>
          <w:bCs/>
          <w:color w:val="auto"/>
          <w:sz w:val="32"/>
          <w:szCs w:val="32"/>
        </w:rPr>
        <w:t xml:space="preserve"> 我单位为独立核算全额拨款参公单位，</w:t>
      </w:r>
      <w:r>
        <w:rPr>
          <w:rFonts w:hint="eastAsia" w:ascii="仿宋_GB2312" w:hAnsi="仿宋_GB2312" w:eastAsia="仿宋_GB2312" w:cs="仿宋_GB2312"/>
          <w:bCs/>
          <w:color w:val="auto"/>
          <w:sz w:val="32"/>
          <w:szCs w:val="32"/>
          <w:lang w:eastAsia="zh-CN"/>
        </w:rPr>
        <w:t>下设</w:t>
      </w:r>
      <w:r>
        <w:rPr>
          <w:rFonts w:hint="eastAsia" w:ascii="仿宋_GB2312" w:hAnsi="仿宋_GB2312" w:eastAsia="仿宋_GB2312" w:cs="仿宋_GB2312"/>
          <w:bCs/>
          <w:color w:val="auto"/>
          <w:sz w:val="32"/>
          <w:szCs w:val="32"/>
          <w:lang w:val="en-US" w:eastAsia="zh-CN"/>
        </w:rPr>
        <w:t>0机构。</w:t>
      </w:r>
    </w:p>
    <w:p>
      <w:pPr>
        <w:keepNext w:val="0"/>
        <w:keepLines w:val="0"/>
        <w:widowControl/>
        <w:numPr>
          <w:ilvl w:val="0"/>
          <w:numId w:val="5"/>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zh-CN" w:eastAsia="zh-CN" w:bidi="ar"/>
        </w:rPr>
        <w:t>机构职能。</w:t>
      </w:r>
    </w:p>
    <w:p>
      <w:pPr>
        <w:pStyle w:val="7"/>
        <w:adjustRightInd w:val="0"/>
        <w:snapToGrid w:val="0"/>
        <w:spacing w:line="580" w:lineRule="exact"/>
        <w:ind w:firstLine="672" w:firstLineChars="210"/>
        <w:rPr>
          <w:rFonts w:hint="eastAsia"/>
          <w:bCs/>
          <w:color w:val="auto"/>
          <w:sz w:val="32"/>
          <w:szCs w:val="32"/>
          <w:lang w:val="en-US" w:eastAsia="zh-CN"/>
        </w:rPr>
      </w:pPr>
      <w:r>
        <w:rPr>
          <w:rFonts w:hint="eastAsia"/>
          <w:bCs/>
          <w:color w:val="auto"/>
          <w:sz w:val="32"/>
          <w:szCs w:val="32"/>
          <w:lang w:val="en-US" w:eastAsia="zh-CN"/>
        </w:rPr>
        <w:t>1、传播国际红十字运动知识和国际人道主义，宣传、执行《中华人民共和国红十字会法》和《中华人民共和国红十字会法实施办法》等法律、法规，遵循《中国红十字会章程》，依法建会、治会、兴会。</w:t>
      </w:r>
    </w:p>
    <w:p>
      <w:pPr>
        <w:pStyle w:val="7"/>
        <w:adjustRightInd w:val="0"/>
        <w:snapToGrid w:val="0"/>
        <w:spacing w:line="580" w:lineRule="exact"/>
        <w:ind w:firstLine="672" w:firstLineChars="210"/>
        <w:rPr>
          <w:rFonts w:hint="eastAsia"/>
          <w:bCs/>
          <w:color w:val="auto"/>
          <w:sz w:val="32"/>
          <w:szCs w:val="32"/>
          <w:lang w:val="en-US" w:eastAsia="zh-CN"/>
        </w:rPr>
      </w:pPr>
      <w:r>
        <w:rPr>
          <w:rFonts w:hint="eastAsia"/>
          <w:bCs/>
          <w:color w:val="auto"/>
          <w:sz w:val="32"/>
          <w:szCs w:val="32"/>
          <w:lang w:val="en-US" w:eastAsia="zh-CN"/>
        </w:rPr>
        <w:t>2、开展备灾救灾工作，兴建和管理备灾救灾设施，在自然灾害和突发事件中开展对受害者的救助和救护。</w:t>
      </w:r>
    </w:p>
    <w:p>
      <w:pPr>
        <w:pStyle w:val="7"/>
        <w:adjustRightInd w:val="0"/>
        <w:snapToGrid w:val="0"/>
        <w:spacing w:line="580" w:lineRule="exact"/>
        <w:ind w:firstLine="672" w:firstLineChars="210"/>
        <w:rPr>
          <w:rFonts w:hint="eastAsia"/>
          <w:bCs/>
          <w:color w:val="auto"/>
          <w:sz w:val="32"/>
          <w:szCs w:val="32"/>
          <w:lang w:val="en-US" w:eastAsia="zh-CN"/>
        </w:rPr>
      </w:pPr>
      <w:r>
        <w:rPr>
          <w:rFonts w:hint="eastAsia"/>
          <w:bCs/>
          <w:color w:val="auto"/>
          <w:sz w:val="32"/>
          <w:szCs w:val="32"/>
          <w:lang w:val="en-US" w:eastAsia="zh-CN"/>
        </w:rPr>
        <w:t>3、开展人道领域的社会公益服务活动和卫生救护、卫生防病知识的宣传、开展学术交流、组织社会捐助，进行初级卫生救护培训，组织群众参加现场救护，推动无偿献血和非血缘关系骨髓移植工作。</w:t>
      </w:r>
    </w:p>
    <w:p>
      <w:pPr>
        <w:pStyle w:val="7"/>
        <w:adjustRightInd w:val="0"/>
        <w:snapToGrid w:val="0"/>
        <w:spacing w:line="580" w:lineRule="exact"/>
        <w:ind w:firstLine="672" w:firstLineChars="210"/>
        <w:rPr>
          <w:rFonts w:hint="eastAsia" w:ascii="仿宋_GB2312" w:hAnsi="宋体" w:eastAsia="仿宋_GB2312" w:cs="宋体"/>
          <w:color w:val="auto"/>
          <w:kern w:val="0"/>
          <w:sz w:val="32"/>
          <w:szCs w:val="24"/>
          <w:lang w:val="zh-CN" w:eastAsia="zh-CN" w:bidi="ar"/>
        </w:rPr>
      </w:pPr>
      <w:r>
        <w:rPr>
          <w:rFonts w:hint="eastAsia"/>
          <w:bCs/>
          <w:color w:val="auto"/>
          <w:sz w:val="32"/>
          <w:szCs w:val="32"/>
          <w:lang w:val="en-US" w:eastAsia="zh-CN"/>
        </w:rPr>
        <w:t>4、加强与兄弟市、县红十字会及国际红十字组织友好往来，开展人道领域的合作与交流，争取援助。</w:t>
      </w:r>
    </w:p>
    <w:p>
      <w:pPr>
        <w:keepNext w:val="0"/>
        <w:keepLines w:val="0"/>
        <w:widowControl/>
        <w:numPr>
          <w:ilvl w:val="0"/>
          <w:numId w:val="5"/>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zh-CN" w:eastAsia="zh-CN" w:bidi="ar"/>
        </w:rPr>
        <w:t>人员概况。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eastAsia="仿宋_GB2312" w:hAnsiTheme="minorHAnsi" w:cstheme="minorBidi"/>
          <w:bCs/>
          <w:color w:val="auto"/>
          <w:kern w:val="2"/>
          <w:sz w:val="32"/>
          <w:szCs w:val="32"/>
          <w:lang w:val="en-US" w:eastAsia="zh-CN" w:bidi="ar-SA"/>
        </w:rPr>
      </w:pPr>
      <w:r>
        <w:rPr>
          <w:rFonts w:hint="eastAsia" w:ascii="仿宋_GB2312" w:eastAsia="仿宋_GB2312" w:hAnsiTheme="minorHAnsi" w:cstheme="minorBidi"/>
          <w:bCs/>
          <w:color w:val="auto"/>
          <w:kern w:val="2"/>
          <w:sz w:val="32"/>
          <w:szCs w:val="32"/>
          <w:lang w:val="en-US" w:eastAsia="zh-CN" w:bidi="ar-SA"/>
        </w:rPr>
        <w:t>截止2019年底我单位共有编制</w:t>
      </w:r>
      <w:r>
        <w:rPr>
          <w:rFonts w:hint="eastAsia" w:ascii="仿宋_GB2312" w:eastAsia="仿宋_GB2312" w:cstheme="minorBidi"/>
          <w:bCs/>
          <w:color w:val="auto"/>
          <w:kern w:val="2"/>
          <w:sz w:val="32"/>
          <w:szCs w:val="32"/>
          <w:lang w:val="en-US" w:eastAsia="zh-CN" w:bidi="ar-SA"/>
        </w:rPr>
        <w:t>5</w:t>
      </w:r>
      <w:r>
        <w:rPr>
          <w:rFonts w:hint="eastAsia" w:ascii="仿宋_GB2312" w:eastAsia="仿宋_GB2312" w:hAnsiTheme="minorHAnsi" w:cstheme="minorBidi"/>
          <w:bCs/>
          <w:color w:val="auto"/>
          <w:kern w:val="2"/>
          <w:sz w:val="32"/>
          <w:szCs w:val="32"/>
          <w:lang w:val="en-US" w:eastAsia="zh-CN" w:bidi="ar-SA"/>
        </w:rPr>
        <w:t>个，其中</w:t>
      </w:r>
      <w:r>
        <w:rPr>
          <w:rFonts w:hint="eastAsia" w:ascii="仿宋_GB2312" w:eastAsia="仿宋_GB2312" w:cstheme="minorBidi"/>
          <w:bCs/>
          <w:color w:val="auto"/>
          <w:kern w:val="2"/>
          <w:sz w:val="32"/>
          <w:szCs w:val="32"/>
          <w:lang w:val="en-US" w:eastAsia="zh-CN" w:bidi="ar-SA"/>
        </w:rPr>
        <w:t>参公</w:t>
      </w:r>
      <w:r>
        <w:rPr>
          <w:rFonts w:hint="eastAsia" w:ascii="仿宋_GB2312" w:eastAsia="仿宋_GB2312" w:hAnsiTheme="minorHAnsi" w:cstheme="minorBidi"/>
          <w:bCs/>
          <w:color w:val="auto"/>
          <w:kern w:val="2"/>
          <w:sz w:val="32"/>
          <w:szCs w:val="32"/>
          <w:lang w:val="en-US" w:eastAsia="zh-CN" w:bidi="ar-SA"/>
        </w:rPr>
        <w:t>编制</w:t>
      </w:r>
      <w:r>
        <w:rPr>
          <w:rFonts w:hint="eastAsia" w:ascii="仿宋_GB2312" w:eastAsia="仿宋_GB2312" w:cstheme="minorBidi"/>
          <w:bCs/>
          <w:color w:val="auto"/>
          <w:kern w:val="2"/>
          <w:sz w:val="32"/>
          <w:szCs w:val="32"/>
          <w:lang w:val="en-US" w:eastAsia="zh-CN" w:bidi="ar-SA"/>
        </w:rPr>
        <w:t>5</w:t>
      </w:r>
      <w:r>
        <w:rPr>
          <w:rFonts w:hint="eastAsia" w:ascii="仿宋_GB2312" w:eastAsia="仿宋_GB2312" w:hAnsiTheme="minorHAnsi" w:cstheme="minorBidi"/>
          <w:bCs/>
          <w:color w:val="auto"/>
          <w:kern w:val="2"/>
          <w:sz w:val="32"/>
          <w:szCs w:val="32"/>
          <w:lang w:val="en-US" w:eastAsia="zh-CN" w:bidi="ar-SA"/>
        </w:rPr>
        <w:t>个</w:t>
      </w:r>
      <w:r>
        <w:rPr>
          <w:rFonts w:hint="eastAsia" w:ascii="仿宋_GB2312" w:eastAsia="仿宋_GB2312" w:cstheme="minorBidi"/>
          <w:bCs/>
          <w:color w:val="auto"/>
          <w:kern w:val="2"/>
          <w:sz w:val="32"/>
          <w:szCs w:val="32"/>
          <w:lang w:val="en-US" w:eastAsia="zh-CN" w:bidi="ar-SA"/>
        </w:rPr>
        <w:t>。</w:t>
      </w:r>
      <w:r>
        <w:rPr>
          <w:rFonts w:hint="eastAsia" w:ascii="仿宋_GB2312" w:eastAsia="仿宋_GB2312" w:hAnsiTheme="minorHAnsi" w:cstheme="minorBidi"/>
          <w:bCs/>
          <w:color w:val="auto"/>
          <w:kern w:val="2"/>
          <w:sz w:val="32"/>
          <w:szCs w:val="32"/>
          <w:lang w:val="en-US" w:eastAsia="zh-CN" w:bidi="ar-SA"/>
        </w:rPr>
        <w:t>在职</w:t>
      </w:r>
      <w:r>
        <w:rPr>
          <w:rFonts w:hint="eastAsia" w:ascii="仿宋_GB2312" w:eastAsia="仿宋_GB2312" w:cstheme="minorBidi"/>
          <w:bCs/>
          <w:color w:val="auto"/>
          <w:kern w:val="2"/>
          <w:sz w:val="32"/>
          <w:szCs w:val="32"/>
          <w:lang w:val="en-US" w:eastAsia="zh-CN" w:bidi="ar-SA"/>
        </w:rPr>
        <w:t>5</w:t>
      </w:r>
      <w:r>
        <w:rPr>
          <w:rFonts w:hint="eastAsia" w:ascii="仿宋_GB2312" w:eastAsia="仿宋_GB2312" w:hAnsiTheme="minorHAnsi" w:cstheme="minorBidi"/>
          <w:bCs/>
          <w:color w:val="auto"/>
          <w:kern w:val="2"/>
          <w:sz w:val="32"/>
          <w:szCs w:val="32"/>
          <w:lang w:val="en-US" w:eastAsia="zh-CN" w:bidi="ar-SA"/>
        </w:rPr>
        <w:t>人，其</w:t>
      </w:r>
      <w:r>
        <w:rPr>
          <w:rFonts w:hint="eastAsia" w:ascii="仿宋_GB2312" w:eastAsia="仿宋_GB2312" w:cstheme="minorBidi"/>
          <w:bCs/>
          <w:color w:val="auto"/>
          <w:kern w:val="2"/>
          <w:sz w:val="32"/>
          <w:szCs w:val="32"/>
          <w:lang w:val="en-US" w:eastAsia="zh-CN" w:bidi="ar-SA"/>
        </w:rPr>
        <w:t>中公务员5</w:t>
      </w:r>
      <w:r>
        <w:rPr>
          <w:rFonts w:hint="eastAsia" w:ascii="仿宋_GB2312" w:eastAsia="仿宋_GB2312" w:hAnsiTheme="minorHAnsi" w:cstheme="minorBidi"/>
          <w:bCs/>
          <w:color w:val="auto"/>
          <w:kern w:val="2"/>
          <w:sz w:val="32"/>
          <w:szCs w:val="32"/>
          <w:lang w:val="en-US" w:eastAsia="zh-CN" w:bidi="ar-SA"/>
        </w:rPr>
        <w:t>人。</w:t>
      </w:r>
    </w:p>
    <w:p>
      <w:pPr>
        <w:pStyle w:val="2"/>
        <w:rPr>
          <w:rFonts w:hint="eastAsia"/>
          <w:lang w:val="zh-CN" w:eastAsia="zh-CN"/>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auto"/>
          <w:kern w:val="0"/>
          <w:lang w:val="en-US"/>
        </w:rPr>
      </w:pPr>
      <w:r>
        <w:rPr>
          <w:rFonts w:hint="eastAsia" w:ascii="黑体" w:hAnsi="宋体" w:eastAsia="黑体" w:cs="宋体"/>
          <w:color w:val="auto"/>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zh-CN" w:eastAsia="zh-CN" w:bidi="ar"/>
        </w:rPr>
        <w:t>（一）部门财政资金收入情况。</w:t>
      </w:r>
    </w:p>
    <w:p>
      <w:pPr>
        <w:spacing w:line="600" w:lineRule="exact"/>
        <w:ind w:firstLine="640" w:firstLineChars="200"/>
        <w:outlineLvl w:val="1"/>
        <w:rPr>
          <w:rFonts w:hint="eastAsia" w:ascii="仿宋_GB2312" w:hAnsi="宋体" w:eastAsia="仿宋_GB2312" w:cs="宋体"/>
          <w:color w:val="auto"/>
          <w:kern w:val="0"/>
          <w:sz w:val="32"/>
          <w:szCs w:val="24"/>
          <w:lang w:val="zh-CN" w:eastAsia="zh-CN" w:bidi="ar"/>
        </w:rPr>
      </w:pPr>
      <w:bookmarkStart w:id="85" w:name="_Toc27255"/>
      <w:r>
        <w:rPr>
          <w:rFonts w:hint="eastAsia" w:ascii="仿宋" w:hAnsi="仿宋" w:eastAsia="仿宋"/>
          <w:color w:val="auto"/>
          <w:sz w:val="32"/>
          <w:szCs w:val="32"/>
          <w:lang w:val="en-US" w:eastAsia="zh-CN"/>
        </w:rPr>
        <w:t>本单位</w:t>
      </w: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年本年收入合计</w:t>
      </w:r>
      <w:r>
        <w:rPr>
          <w:rFonts w:hint="eastAsia" w:ascii="仿宋" w:hAnsi="仿宋" w:eastAsia="仿宋"/>
          <w:color w:val="auto"/>
          <w:sz w:val="32"/>
          <w:szCs w:val="32"/>
          <w:lang w:val="en-US" w:eastAsia="zh-CN"/>
        </w:rPr>
        <w:t>109.69</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105.24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95.94</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年初结转结余4.45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4.06</w:t>
      </w:r>
      <w:r>
        <w:rPr>
          <w:rFonts w:ascii="仿宋" w:hAnsi="仿宋" w:eastAsia="仿宋"/>
          <w:color w:val="auto"/>
          <w:sz w:val="32"/>
          <w:szCs w:val="32"/>
        </w:rPr>
        <w:t>%</w:t>
      </w:r>
      <w:r>
        <w:rPr>
          <w:rFonts w:hint="eastAsia" w:ascii="仿宋" w:hAnsi="仿宋" w:eastAsia="仿宋"/>
          <w:color w:val="auto"/>
          <w:sz w:val="32"/>
          <w:szCs w:val="32"/>
        </w:rPr>
        <w:t>。</w:t>
      </w:r>
      <w:bookmarkEnd w:id="85"/>
    </w:p>
    <w:p>
      <w:pPr>
        <w:keepNext w:val="0"/>
        <w:keepLines w:val="0"/>
        <w:widowControl/>
        <w:numPr>
          <w:ilvl w:val="0"/>
          <w:numId w:val="6"/>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zh-CN" w:eastAsia="zh-CN" w:bidi="ar"/>
        </w:rPr>
        <w:t>部门财政资金支出情况。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default" w:ascii="仿宋_GB2312" w:hAnsi="宋体" w:eastAsia="仿宋_GB2312" w:cs="宋体"/>
          <w:color w:val="auto"/>
          <w:kern w:val="0"/>
          <w:sz w:val="32"/>
          <w:szCs w:val="24"/>
          <w:lang w:val="en-US" w:eastAsia="zh-CN" w:bidi="ar"/>
        </w:rPr>
      </w:pPr>
      <w:r>
        <w:rPr>
          <w:rFonts w:hint="eastAsia" w:ascii="仿宋" w:hAnsi="仿宋" w:eastAsia="仿宋"/>
          <w:color w:val="auto"/>
          <w:sz w:val="32"/>
          <w:szCs w:val="32"/>
          <w:lang w:val="en-US" w:eastAsia="zh-CN"/>
        </w:rPr>
        <w:t>本单位</w:t>
      </w: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109.69</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年相比，一般公共预算财政拨款</w:t>
      </w:r>
      <w:r>
        <w:rPr>
          <w:rFonts w:hint="eastAsia" w:ascii="仿宋" w:hAnsi="仿宋" w:eastAsia="仿宋"/>
          <w:color w:val="auto"/>
          <w:sz w:val="32"/>
          <w:szCs w:val="32"/>
          <w:lang w:val="en-US" w:eastAsia="zh-CN"/>
        </w:rPr>
        <w:t>减少0.66</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减少0.6</w:t>
      </w:r>
      <w:r>
        <w:rPr>
          <w:rFonts w:ascii="仿宋" w:hAnsi="仿宋" w:eastAsia="仿宋"/>
          <w:color w:val="auto"/>
          <w:sz w:val="32"/>
          <w:szCs w:val="32"/>
        </w:rPr>
        <w:t>%</w:t>
      </w:r>
      <w:r>
        <w:rPr>
          <w:rFonts w:hint="eastAsia" w:ascii="仿宋" w:hAnsi="仿宋" w:eastAsia="仿宋"/>
          <w:color w:val="auto"/>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auto"/>
          <w:kern w:val="0"/>
          <w:lang w:val="en-US"/>
        </w:rPr>
      </w:pPr>
      <w:r>
        <w:rPr>
          <w:rFonts w:hint="eastAsia" w:ascii="黑体" w:hAnsi="宋体" w:eastAsia="黑体" w:cs="宋体"/>
          <w:color w:val="auto"/>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auto"/>
          <w:kern w:val="0"/>
          <w:lang w:val="zh-CN" w:eastAsia="zh-CN"/>
        </w:rPr>
      </w:pPr>
      <w:r>
        <w:rPr>
          <w:rFonts w:hint="eastAsia" w:ascii="楷体" w:hAnsi="楷体" w:eastAsia="楷体" w:cs="宋体"/>
          <w:color w:val="auto"/>
          <w:kern w:val="0"/>
          <w:sz w:val="32"/>
          <w:szCs w:val="24"/>
          <w:lang w:val="zh-CN" w:eastAsia="zh-CN" w:bidi="ar"/>
        </w:rPr>
        <w:t>（一）预算编制情况。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rPr>
          <w:rFonts w:hint="eastAsia" w:ascii="仿宋_GB2312" w:hAnsi="宋体" w:eastAsia="仿宋_GB2312" w:cs="宋体"/>
          <w:b w:val="0"/>
          <w:bCs w:val="0"/>
          <w:color w:val="auto"/>
          <w:kern w:val="0"/>
          <w:sz w:val="32"/>
          <w:szCs w:val="32"/>
          <w:lang w:val="zh-CN" w:eastAsia="zh-CN" w:bidi="ar"/>
        </w:rPr>
      </w:pPr>
      <w:r>
        <w:rPr>
          <w:rFonts w:hint="eastAsia" w:ascii="宋体" w:hAnsi="宋体" w:cs="宋体"/>
          <w:b w:val="0"/>
          <w:bCs w:val="0"/>
          <w:i w:val="0"/>
          <w:caps w:val="0"/>
          <w:color w:val="auto"/>
          <w:spacing w:val="0"/>
          <w:sz w:val="32"/>
          <w:szCs w:val="32"/>
          <w:shd w:val="clear" w:color="auto" w:fill="FFFFFF"/>
          <w:lang w:val="en-US" w:eastAsia="zh-CN"/>
        </w:rPr>
        <w:t xml:space="preserve"> </w:t>
      </w:r>
      <w:r>
        <w:rPr>
          <w:rFonts w:hint="eastAsia" w:ascii="楷体" w:hAnsi="楷体" w:eastAsia="楷体" w:cs="楷体"/>
          <w:b w:val="0"/>
          <w:bCs w:val="0"/>
          <w:color w:val="auto"/>
          <w:kern w:val="0"/>
          <w:sz w:val="32"/>
          <w:szCs w:val="32"/>
          <w:lang w:val="en-US" w:eastAsia="zh-CN" w:bidi="ar"/>
        </w:rPr>
        <w:t>1、</w:t>
      </w:r>
      <w:r>
        <w:rPr>
          <w:rFonts w:hint="eastAsia" w:ascii="楷体" w:hAnsi="楷体" w:eastAsia="楷体" w:cs="楷体"/>
          <w:b w:val="0"/>
          <w:bCs w:val="0"/>
          <w:color w:val="auto"/>
          <w:kern w:val="0"/>
          <w:sz w:val="32"/>
          <w:szCs w:val="32"/>
          <w:lang w:val="zh-CN" w:eastAsia="zh-CN" w:bidi="ar"/>
        </w:rPr>
        <w:t>支出预算安排情况。</w:t>
      </w:r>
    </w:p>
    <w:p>
      <w:pPr>
        <w:spacing w:line="600" w:lineRule="exact"/>
        <w:ind w:firstLine="640" w:firstLineChars="200"/>
        <w:rPr>
          <w:rFonts w:hint="eastAsia" w:ascii="仿宋" w:hAnsi="仿宋" w:eastAsia="仿宋"/>
          <w:b/>
          <w:color w:val="4BACC6" w:themeColor="accent5"/>
          <w:sz w:val="32"/>
          <w:szCs w:val="32"/>
          <w:lang w:val="en-US" w:eastAsia="zh-CN"/>
          <w14:textFill>
            <w14:solidFill>
              <w14:schemeClr w14:val="accent5"/>
            </w14:solidFill>
          </w14:textFill>
        </w:rPr>
      </w:pPr>
      <w:r>
        <w:rPr>
          <w:rFonts w:hint="eastAsia" w:ascii="仿宋_GB2312" w:hAnsi="宋体" w:eastAsia="仿宋_GB2312" w:cs="宋体"/>
          <w:color w:val="auto"/>
          <w:kern w:val="0"/>
          <w:sz w:val="32"/>
          <w:szCs w:val="24"/>
          <w:lang w:val="zh-CN" w:eastAsia="zh-CN" w:bidi="ar"/>
        </w:rPr>
        <w:t>红原县</w:t>
      </w:r>
      <w:r>
        <w:rPr>
          <w:rFonts w:hint="eastAsia" w:ascii="仿宋_GB2312" w:hAnsi="宋体" w:eastAsia="仿宋_GB2312" w:cs="宋体"/>
          <w:color w:val="auto"/>
          <w:kern w:val="0"/>
          <w:sz w:val="32"/>
          <w:szCs w:val="24"/>
          <w:lang w:val="en-US" w:eastAsia="zh-CN" w:bidi="ar"/>
        </w:rPr>
        <w:t>红十字</w:t>
      </w:r>
      <w:r>
        <w:rPr>
          <w:rFonts w:hint="eastAsia" w:ascii="仿宋_GB2312" w:hAnsi="宋体" w:eastAsia="仿宋_GB2312" w:cs="宋体"/>
          <w:color w:val="auto"/>
          <w:kern w:val="0"/>
          <w:sz w:val="32"/>
          <w:szCs w:val="24"/>
          <w:lang w:val="zh-CN" w:eastAsia="zh-CN" w:bidi="ar"/>
        </w:rPr>
        <w:t>预算安排支出主要用于保障本部门机构正常运转、完成日常工作任务以及承担</w:t>
      </w:r>
      <w:r>
        <w:rPr>
          <w:rFonts w:hint="eastAsia" w:ascii="仿宋_GB2312" w:hAnsi="宋体" w:eastAsia="仿宋_GB2312" w:cs="宋体"/>
          <w:color w:val="auto"/>
          <w:kern w:val="0"/>
          <w:sz w:val="32"/>
          <w:szCs w:val="24"/>
          <w:lang w:val="en-US" w:eastAsia="zh-CN" w:bidi="ar"/>
        </w:rPr>
        <w:t>应急救护培训和普及的</w:t>
      </w:r>
      <w:r>
        <w:rPr>
          <w:rFonts w:hint="eastAsia" w:ascii="仿宋_GB2312" w:hAnsi="宋体" w:eastAsia="仿宋_GB2312" w:cs="宋体"/>
          <w:color w:val="auto"/>
          <w:kern w:val="0"/>
          <w:sz w:val="32"/>
          <w:szCs w:val="24"/>
          <w:lang w:val="zh-CN" w:eastAsia="zh-CN" w:bidi="ar"/>
        </w:rPr>
        <w:t>相关工作。</w:t>
      </w:r>
      <w:r>
        <w:rPr>
          <w:rFonts w:hint="eastAsia" w:ascii="仿宋" w:hAnsi="仿宋" w:eastAsia="仿宋"/>
          <w:color w:val="auto"/>
          <w:sz w:val="32"/>
          <w:szCs w:val="32"/>
        </w:rPr>
        <w:t>一般公共预算财政</w:t>
      </w:r>
      <w:r>
        <w:rPr>
          <w:rFonts w:hint="eastAsia" w:ascii="仿宋" w:hAnsi="仿宋" w:eastAsia="仿宋"/>
          <w:color w:val="auto"/>
          <w:sz w:val="32"/>
          <w:szCs w:val="32"/>
          <w:lang w:val="en-US" w:eastAsia="zh-CN"/>
        </w:rPr>
        <w:t>经费</w:t>
      </w:r>
      <w:r>
        <w:rPr>
          <w:rFonts w:hint="eastAsia" w:ascii="仿宋" w:hAnsi="仿宋" w:eastAsia="仿宋"/>
          <w:color w:val="auto"/>
          <w:sz w:val="32"/>
          <w:szCs w:val="32"/>
          <w:lang w:val="zh-CN" w:eastAsia="zh-CN"/>
        </w:rPr>
        <w:t>支出</w:t>
      </w:r>
      <w:r>
        <w:rPr>
          <w:rFonts w:hint="eastAsia" w:ascii="仿宋" w:hAnsi="仿宋" w:eastAsia="仿宋"/>
          <w:color w:val="auto"/>
          <w:sz w:val="32"/>
          <w:szCs w:val="32"/>
          <w:lang w:val="en-US" w:eastAsia="zh-CN"/>
        </w:rPr>
        <w:t>109.69</w:t>
      </w:r>
      <w:r>
        <w:rPr>
          <w:rFonts w:hint="eastAsia" w:ascii="仿宋" w:hAnsi="仿宋" w:eastAsia="仿宋"/>
          <w:color w:val="auto"/>
          <w:sz w:val="32"/>
          <w:szCs w:val="32"/>
          <w:lang w:val="zh-CN" w:eastAsia="zh-CN"/>
        </w:rPr>
        <w:t>万元。</w:t>
      </w:r>
      <w:r>
        <w:rPr>
          <w:rFonts w:hint="eastAsia" w:ascii="仿宋" w:hAnsi="仿宋" w:eastAsia="仿宋"/>
          <w:color w:val="auto"/>
          <w:sz w:val="32"/>
          <w:szCs w:val="32"/>
        </w:rPr>
        <w:t>社会保障和就业支出决算为</w:t>
      </w:r>
      <w:r>
        <w:rPr>
          <w:rFonts w:hint="eastAsia" w:ascii="仿宋" w:hAnsi="仿宋" w:eastAsia="仿宋"/>
          <w:color w:val="auto"/>
          <w:sz w:val="32"/>
          <w:szCs w:val="32"/>
          <w:lang w:val="en-US" w:eastAsia="zh-CN"/>
        </w:rPr>
        <w:t>97.42</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其中工资福利支出-</w:t>
      </w:r>
      <w:r>
        <w:rPr>
          <w:rFonts w:hint="eastAsia" w:ascii="仿宋" w:hAnsi="仿宋" w:eastAsia="仿宋"/>
          <w:color w:val="auto"/>
          <w:sz w:val="32"/>
          <w:szCs w:val="32"/>
        </w:rPr>
        <w:t>基本工资</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20.74万元</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工资福利支出-</w:t>
      </w:r>
      <w:r>
        <w:rPr>
          <w:rFonts w:hint="eastAsia" w:ascii="仿宋" w:hAnsi="仿宋" w:eastAsia="仿宋"/>
          <w:color w:val="auto"/>
          <w:sz w:val="32"/>
          <w:szCs w:val="32"/>
        </w:rPr>
        <w:t>津贴补贴</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31.32万元</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工资福利支出-</w:t>
      </w:r>
      <w:r>
        <w:rPr>
          <w:rFonts w:hint="eastAsia" w:ascii="仿宋" w:hAnsi="仿宋" w:eastAsia="仿宋"/>
          <w:color w:val="auto"/>
          <w:sz w:val="32"/>
          <w:szCs w:val="32"/>
        </w:rPr>
        <w:t>奖金</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13.69万元</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工资福利支出-</w:t>
      </w:r>
      <w:r>
        <w:rPr>
          <w:rFonts w:hint="eastAsia" w:ascii="仿宋" w:hAnsi="仿宋" w:eastAsia="仿宋"/>
          <w:color w:val="auto"/>
          <w:sz w:val="32"/>
          <w:szCs w:val="32"/>
        </w:rPr>
        <w:t>机关事业单位基本养老保险费</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9.13万元</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工资福利支出-</w:t>
      </w:r>
      <w:r>
        <w:rPr>
          <w:rFonts w:hint="eastAsia" w:ascii="仿宋" w:hAnsi="仿宋" w:eastAsia="仿宋"/>
          <w:color w:val="auto"/>
          <w:sz w:val="32"/>
          <w:szCs w:val="32"/>
        </w:rPr>
        <w:t>职业年金缴费</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4.21万元</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工资福利支出-</w:t>
      </w:r>
      <w:r>
        <w:rPr>
          <w:rFonts w:hint="eastAsia" w:ascii="仿宋" w:hAnsi="仿宋" w:eastAsia="仿宋"/>
          <w:color w:val="auto"/>
          <w:sz w:val="32"/>
          <w:szCs w:val="32"/>
        </w:rPr>
        <w:t>其他社会保障缴费</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1.01万元</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工资福利支出-</w:t>
      </w:r>
      <w:r>
        <w:rPr>
          <w:rFonts w:hint="eastAsia" w:ascii="仿宋" w:hAnsi="仿宋" w:eastAsia="仿宋"/>
          <w:color w:val="auto"/>
          <w:sz w:val="32"/>
          <w:szCs w:val="32"/>
        </w:rPr>
        <w:t>医疗费</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0.48万元，对个</w:t>
      </w:r>
      <w:r>
        <w:rPr>
          <w:rStyle w:val="17"/>
          <w:rFonts w:hint="eastAsia" w:ascii="仿宋" w:hAnsi="仿宋" w:eastAsia="仿宋"/>
          <w:b w:val="0"/>
          <w:bCs w:val="0"/>
          <w:color w:val="auto"/>
          <w:sz w:val="32"/>
          <w:szCs w:val="32"/>
          <w:lang w:val="en-US" w:eastAsia="zh-CN"/>
        </w:rPr>
        <w:t>人和家庭的补助-</w:t>
      </w:r>
      <w:r>
        <w:rPr>
          <w:rStyle w:val="17"/>
          <w:rFonts w:hint="eastAsia" w:ascii="仿宋" w:hAnsi="仿宋" w:eastAsia="仿宋"/>
          <w:b w:val="0"/>
          <w:bCs w:val="0"/>
          <w:color w:val="auto"/>
          <w:sz w:val="32"/>
          <w:szCs w:val="32"/>
        </w:rPr>
        <w:t>生活补助</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1.56万元，</w:t>
      </w:r>
      <w:r>
        <w:rPr>
          <w:rFonts w:hint="eastAsia" w:ascii="仿宋" w:hAnsi="仿宋" w:eastAsia="仿宋"/>
          <w:color w:val="auto"/>
          <w:sz w:val="32"/>
          <w:szCs w:val="32"/>
          <w:lang w:val="en-US" w:eastAsia="zh-CN"/>
        </w:rPr>
        <w:t>对个</w:t>
      </w:r>
      <w:r>
        <w:rPr>
          <w:rStyle w:val="17"/>
          <w:rFonts w:hint="eastAsia" w:ascii="仿宋" w:hAnsi="仿宋" w:eastAsia="仿宋"/>
          <w:b w:val="0"/>
          <w:bCs w:val="0"/>
          <w:color w:val="auto"/>
          <w:sz w:val="32"/>
          <w:szCs w:val="32"/>
          <w:lang w:val="en-US" w:eastAsia="zh-CN"/>
        </w:rPr>
        <w:t>人和家庭的补助-救济费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5万元，对个人和家庭的补助-</w:t>
      </w:r>
      <w:r>
        <w:rPr>
          <w:rStyle w:val="17"/>
          <w:rFonts w:hint="eastAsia" w:ascii="仿宋" w:hAnsi="仿宋" w:eastAsia="仿宋"/>
          <w:b w:val="0"/>
          <w:bCs w:val="0"/>
          <w:color w:val="auto"/>
          <w:sz w:val="32"/>
          <w:szCs w:val="32"/>
        </w:rPr>
        <w:t>奖励金</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0.01万元，商品和服务支出-</w:t>
      </w:r>
      <w:r>
        <w:rPr>
          <w:rStyle w:val="17"/>
          <w:rFonts w:hint="eastAsia" w:ascii="仿宋" w:hAnsi="仿宋" w:eastAsia="仿宋"/>
          <w:b w:val="0"/>
          <w:bCs w:val="0"/>
          <w:color w:val="auto"/>
          <w:sz w:val="32"/>
          <w:szCs w:val="32"/>
        </w:rPr>
        <w:t>办公费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4.8万元</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商品和服务支出-</w:t>
      </w:r>
      <w:r>
        <w:rPr>
          <w:rStyle w:val="17"/>
          <w:rFonts w:hint="eastAsia" w:ascii="仿宋" w:hAnsi="仿宋" w:eastAsia="仿宋"/>
          <w:b w:val="0"/>
          <w:bCs w:val="0"/>
          <w:color w:val="auto"/>
          <w:sz w:val="32"/>
          <w:szCs w:val="32"/>
        </w:rPr>
        <w:t>电费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0.3万元</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商品和服务支出-</w:t>
      </w:r>
      <w:r>
        <w:rPr>
          <w:rStyle w:val="17"/>
          <w:rFonts w:hint="eastAsia" w:ascii="仿宋" w:hAnsi="仿宋" w:eastAsia="仿宋"/>
          <w:b w:val="0"/>
          <w:bCs w:val="0"/>
          <w:color w:val="auto"/>
          <w:sz w:val="32"/>
          <w:szCs w:val="32"/>
        </w:rPr>
        <w:t>邮电费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0.17万元</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商品和服务支出-</w:t>
      </w:r>
      <w:r>
        <w:rPr>
          <w:rStyle w:val="17"/>
          <w:rFonts w:hint="eastAsia" w:ascii="仿宋" w:hAnsi="仿宋" w:eastAsia="仿宋"/>
          <w:b w:val="0"/>
          <w:bCs w:val="0"/>
          <w:color w:val="auto"/>
          <w:sz w:val="32"/>
          <w:szCs w:val="32"/>
        </w:rPr>
        <w:t>取暖费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0.3万元</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商品和服务支出-</w:t>
      </w:r>
      <w:r>
        <w:rPr>
          <w:rStyle w:val="17"/>
          <w:rFonts w:hint="eastAsia" w:ascii="仿宋" w:hAnsi="仿宋" w:eastAsia="仿宋"/>
          <w:b w:val="0"/>
          <w:bCs w:val="0"/>
          <w:color w:val="auto"/>
          <w:sz w:val="32"/>
          <w:szCs w:val="32"/>
        </w:rPr>
        <w:t>差旅费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1.14万元</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商品和服务支出-</w:t>
      </w:r>
      <w:r>
        <w:rPr>
          <w:rStyle w:val="17"/>
          <w:rFonts w:hint="eastAsia" w:ascii="仿宋" w:hAnsi="仿宋" w:eastAsia="仿宋"/>
          <w:b w:val="0"/>
          <w:bCs w:val="0"/>
          <w:color w:val="auto"/>
          <w:sz w:val="32"/>
          <w:szCs w:val="32"/>
        </w:rPr>
        <w:t>维修（护）费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0.86万元</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商品和服务支出-</w:t>
      </w:r>
      <w:r>
        <w:rPr>
          <w:rStyle w:val="17"/>
          <w:rFonts w:hint="eastAsia" w:ascii="仿宋" w:hAnsi="仿宋" w:eastAsia="仿宋"/>
          <w:b w:val="0"/>
          <w:bCs w:val="0"/>
          <w:color w:val="auto"/>
          <w:sz w:val="32"/>
          <w:szCs w:val="32"/>
        </w:rPr>
        <w:t>公务接待费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0.1万元</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商品和服务支出-</w:t>
      </w:r>
      <w:r>
        <w:rPr>
          <w:rStyle w:val="17"/>
          <w:rFonts w:hint="eastAsia" w:ascii="仿宋" w:hAnsi="仿宋" w:eastAsia="仿宋"/>
          <w:b w:val="0"/>
          <w:bCs w:val="0"/>
          <w:color w:val="auto"/>
          <w:sz w:val="32"/>
          <w:szCs w:val="32"/>
        </w:rPr>
        <w:t>公务用车运行维护费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2.54万元</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rPr>
        <w:t>医疗卫生与计划生育</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4.87</w:t>
      </w:r>
      <w:r>
        <w:rPr>
          <w:rStyle w:val="17"/>
          <w:rFonts w:hint="eastAsia" w:ascii="仿宋" w:hAnsi="仿宋" w:eastAsia="仿宋"/>
          <w:b w:val="0"/>
          <w:bCs/>
          <w:color w:val="auto"/>
          <w:sz w:val="32"/>
          <w:szCs w:val="32"/>
        </w:rPr>
        <w:t>万元</w:t>
      </w:r>
      <w:r>
        <w:rPr>
          <w:rStyle w:val="17"/>
          <w:rFonts w:hint="eastAsia" w:ascii="仿宋" w:hAnsi="仿宋" w:eastAsia="仿宋"/>
          <w:b w:val="0"/>
          <w:bCs/>
          <w:color w:val="auto"/>
          <w:sz w:val="32"/>
          <w:szCs w:val="32"/>
          <w:lang w:eastAsia="zh-CN"/>
        </w:rPr>
        <w:t>，</w:t>
      </w:r>
      <w:r>
        <w:rPr>
          <w:rStyle w:val="17"/>
          <w:rFonts w:hint="eastAsia" w:ascii="仿宋" w:hAnsi="仿宋" w:eastAsia="仿宋"/>
          <w:b w:val="0"/>
          <w:bCs/>
          <w:color w:val="auto"/>
          <w:sz w:val="32"/>
          <w:szCs w:val="32"/>
          <w:lang w:val="en-US" w:eastAsia="zh-CN"/>
        </w:rPr>
        <w:t>其中</w:t>
      </w:r>
      <w:r>
        <w:rPr>
          <w:rStyle w:val="17"/>
          <w:rFonts w:hint="eastAsia" w:ascii="仿宋" w:hAnsi="仿宋" w:eastAsia="仿宋"/>
          <w:b w:val="0"/>
          <w:bCs w:val="0"/>
          <w:color w:val="auto"/>
          <w:sz w:val="32"/>
          <w:szCs w:val="32"/>
          <w:lang w:val="en-US" w:eastAsia="zh-CN"/>
        </w:rPr>
        <w:t>工资福利支出-</w:t>
      </w:r>
      <w:r>
        <w:rPr>
          <w:rStyle w:val="17"/>
          <w:rFonts w:hint="eastAsia" w:ascii="仿宋" w:hAnsi="仿宋" w:eastAsia="仿宋"/>
          <w:b w:val="0"/>
          <w:bCs w:val="0"/>
          <w:color w:val="auto"/>
          <w:sz w:val="32"/>
          <w:szCs w:val="32"/>
        </w:rPr>
        <w:t>职工基本医疗保险缴费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3.85万元</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工资福利支出-</w:t>
      </w:r>
      <w:r>
        <w:rPr>
          <w:rStyle w:val="17"/>
          <w:rFonts w:hint="eastAsia" w:ascii="仿宋" w:hAnsi="仿宋" w:eastAsia="仿宋"/>
          <w:b w:val="0"/>
          <w:bCs w:val="0"/>
          <w:color w:val="auto"/>
          <w:sz w:val="32"/>
          <w:szCs w:val="32"/>
        </w:rPr>
        <w:t>公务员医疗补助缴费</w:t>
      </w:r>
      <w:r>
        <w:rPr>
          <w:rStyle w:val="17"/>
          <w:rFonts w:hint="eastAsia" w:ascii="仿宋" w:hAnsi="仿宋" w:eastAsia="仿宋"/>
          <w:b w:val="0"/>
          <w:bCs w:val="0"/>
          <w:color w:val="auto"/>
          <w:sz w:val="32"/>
          <w:szCs w:val="32"/>
          <w:lang w:eastAsia="zh-CN"/>
        </w:rPr>
        <w:t>：</w:t>
      </w:r>
      <w:r>
        <w:rPr>
          <w:rStyle w:val="17"/>
          <w:rFonts w:hint="eastAsia" w:ascii="仿宋" w:hAnsi="仿宋" w:eastAsia="仿宋"/>
          <w:b w:val="0"/>
          <w:bCs w:val="0"/>
          <w:color w:val="auto"/>
          <w:sz w:val="32"/>
          <w:szCs w:val="32"/>
          <w:lang w:val="en-US" w:eastAsia="zh-CN"/>
        </w:rPr>
        <w:t>1.02万元。住房保障</w:t>
      </w:r>
      <w:r>
        <w:rPr>
          <w:rStyle w:val="17"/>
          <w:rFonts w:hint="eastAsia" w:ascii="仿宋" w:hAnsi="仿宋" w:eastAsia="仿宋"/>
          <w:b w:val="0"/>
          <w:bCs w:val="0"/>
          <w:color w:val="auto"/>
          <w:sz w:val="32"/>
          <w:szCs w:val="32"/>
        </w:rPr>
        <w:t>类</w:t>
      </w:r>
      <w:r>
        <w:rPr>
          <w:rStyle w:val="17"/>
          <w:rFonts w:hint="eastAsia" w:ascii="仿宋" w:hAnsi="仿宋" w:eastAsia="仿宋"/>
          <w:b w:val="0"/>
          <w:bCs w:val="0"/>
          <w:color w:val="auto"/>
          <w:sz w:val="32"/>
          <w:szCs w:val="32"/>
          <w:lang w:val="en-US" w:eastAsia="zh-CN"/>
        </w:rPr>
        <w:t>中工资福利支出-住房公积金</w:t>
      </w:r>
      <w:r>
        <w:rPr>
          <w:rStyle w:val="17"/>
          <w:rFonts w:ascii="仿宋" w:hAnsi="仿宋" w:eastAsia="仿宋"/>
          <w:b w:val="0"/>
          <w:bCs w:val="0"/>
          <w:color w:val="auto"/>
          <w:sz w:val="32"/>
          <w:szCs w:val="32"/>
        </w:rPr>
        <w:t>:</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7.4</w:t>
      </w:r>
      <w:r>
        <w:rPr>
          <w:rStyle w:val="17"/>
          <w:rFonts w:hint="eastAsia" w:ascii="仿宋" w:hAnsi="仿宋" w:eastAsia="仿宋"/>
          <w:b w:val="0"/>
          <w:bCs/>
          <w:color w:val="auto"/>
          <w:sz w:val="32"/>
          <w:szCs w:val="32"/>
        </w:rPr>
        <w:t>万元。</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zh-CN" w:eastAsia="zh-CN" w:bidi="ar"/>
        </w:rPr>
        <w:t>按支出功能分类主要用于以下方面:</w:t>
      </w:r>
    </w:p>
    <w:p>
      <w:pPr>
        <w:spacing w:line="600" w:lineRule="exact"/>
        <w:ind w:firstLine="640" w:firstLineChars="200"/>
        <w:rPr>
          <w:rStyle w:val="17"/>
          <w:rFonts w:hint="eastAsia" w:ascii="仿宋" w:hAnsi="仿宋" w:eastAsia="仿宋"/>
          <w:b w:val="0"/>
          <w:bCs w:val="0"/>
          <w:color w:val="auto"/>
          <w:sz w:val="32"/>
          <w:szCs w:val="32"/>
          <w:lang w:eastAsia="zh-CN"/>
        </w:rPr>
      </w:pPr>
      <w:r>
        <w:rPr>
          <w:rStyle w:val="17"/>
          <w:rFonts w:hint="eastAsia" w:ascii="仿宋" w:hAnsi="仿宋" w:eastAsia="仿宋"/>
          <w:b w:val="0"/>
          <w:bCs w:val="0"/>
          <w:color w:val="auto"/>
          <w:sz w:val="32"/>
          <w:szCs w:val="32"/>
          <w:lang w:val="en-US" w:eastAsia="zh-CN"/>
        </w:rPr>
        <w:t>1</w:t>
      </w:r>
      <w:r>
        <w:rPr>
          <w:rStyle w:val="17"/>
          <w:rFonts w:ascii="仿宋" w:hAnsi="仿宋" w:eastAsia="仿宋"/>
          <w:b w:val="0"/>
          <w:bCs w:val="0"/>
          <w:color w:val="auto"/>
          <w:sz w:val="32"/>
          <w:szCs w:val="32"/>
        </w:rPr>
        <w:t>.</w:t>
      </w:r>
      <w:r>
        <w:rPr>
          <w:rStyle w:val="17"/>
          <w:rFonts w:hint="eastAsia" w:ascii="仿宋" w:hAnsi="仿宋" w:eastAsia="仿宋"/>
          <w:b w:val="0"/>
          <w:bCs w:val="0"/>
          <w:color w:val="auto"/>
          <w:sz w:val="32"/>
          <w:szCs w:val="32"/>
        </w:rPr>
        <w:t>社会保障和就业</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97.42</w:t>
      </w:r>
      <w:r>
        <w:rPr>
          <w:rStyle w:val="17"/>
          <w:rFonts w:hint="eastAsia" w:ascii="仿宋" w:hAnsi="仿宋" w:eastAsia="仿宋"/>
          <w:b w:val="0"/>
          <w:bCs/>
          <w:color w:val="auto"/>
          <w:sz w:val="32"/>
          <w:szCs w:val="32"/>
        </w:rPr>
        <w:t>万元</w:t>
      </w:r>
      <w:r>
        <w:rPr>
          <w:rFonts w:hint="eastAsia" w:ascii="仿宋_GB2312" w:hAnsi="宋体" w:eastAsia="仿宋_GB2312" w:cs="宋体"/>
          <w:color w:val="auto"/>
          <w:kern w:val="0"/>
          <w:sz w:val="32"/>
          <w:szCs w:val="24"/>
          <w:lang w:val="zh-CN" w:eastAsia="zh-CN" w:bidi="ar"/>
        </w:rPr>
        <w:t>，主要用于机关及下属事业单位养老保险及职业年金缴费支出</w:t>
      </w:r>
      <w:r>
        <w:rPr>
          <w:rStyle w:val="17"/>
          <w:rFonts w:hint="eastAsia" w:ascii="仿宋" w:hAnsi="仿宋" w:eastAsia="仿宋"/>
          <w:b w:val="0"/>
          <w:bCs w:val="0"/>
          <w:color w:val="auto"/>
          <w:sz w:val="32"/>
          <w:szCs w:val="32"/>
          <w:lang w:eastAsia="zh-CN"/>
        </w:rPr>
        <w:t>。</w:t>
      </w:r>
    </w:p>
    <w:p>
      <w:pPr>
        <w:spacing w:line="600" w:lineRule="exact"/>
        <w:ind w:firstLine="640" w:firstLineChars="200"/>
        <w:rPr>
          <w:rStyle w:val="17"/>
          <w:rFonts w:hint="eastAsia" w:ascii="仿宋" w:hAnsi="仿宋" w:eastAsia="仿宋"/>
          <w:b w:val="0"/>
          <w:bCs/>
          <w:color w:val="auto"/>
          <w:sz w:val="32"/>
          <w:szCs w:val="32"/>
        </w:rPr>
      </w:pPr>
      <w:r>
        <w:rPr>
          <w:rStyle w:val="17"/>
          <w:rFonts w:hint="eastAsia" w:ascii="仿宋" w:hAnsi="仿宋" w:eastAsia="仿宋"/>
          <w:b w:val="0"/>
          <w:bCs w:val="0"/>
          <w:color w:val="auto"/>
          <w:sz w:val="32"/>
          <w:szCs w:val="32"/>
          <w:lang w:val="en-US" w:eastAsia="zh-CN"/>
        </w:rPr>
        <w:t>2</w:t>
      </w:r>
      <w:r>
        <w:rPr>
          <w:rStyle w:val="17"/>
          <w:rFonts w:ascii="仿宋" w:hAnsi="仿宋" w:eastAsia="仿宋"/>
          <w:b w:val="0"/>
          <w:bCs w:val="0"/>
          <w:color w:val="auto"/>
          <w:sz w:val="32"/>
          <w:szCs w:val="32"/>
        </w:rPr>
        <w:t>.</w:t>
      </w:r>
      <w:r>
        <w:rPr>
          <w:rStyle w:val="17"/>
          <w:rFonts w:hint="eastAsia" w:ascii="仿宋" w:hAnsi="仿宋" w:eastAsia="仿宋"/>
          <w:b w:val="0"/>
          <w:bCs w:val="0"/>
          <w:color w:val="auto"/>
          <w:sz w:val="32"/>
          <w:szCs w:val="32"/>
        </w:rPr>
        <w:t>医疗卫生与计划生育</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4.87</w:t>
      </w:r>
      <w:r>
        <w:rPr>
          <w:rStyle w:val="17"/>
          <w:rFonts w:hint="eastAsia" w:ascii="仿宋" w:hAnsi="仿宋" w:eastAsia="仿宋"/>
          <w:b w:val="0"/>
          <w:bCs/>
          <w:color w:val="auto"/>
          <w:sz w:val="32"/>
          <w:szCs w:val="32"/>
        </w:rPr>
        <w:t>万元</w:t>
      </w:r>
      <w:r>
        <w:rPr>
          <w:rStyle w:val="17"/>
          <w:rFonts w:hint="eastAsia" w:ascii="仿宋" w:hAnsi="仿宋" w:eastAsia="仿宋"/>
          <w:b w:val="0"/>
          <w:bCs/>
          <w:color w:val="auto"/>
          <w:sz w:val="32"/>
          <w:szCs w:val="32"/>
          <w:lang w:eastAsia="zh-CN"/>
        </w:rPr>
        <w:t>，</w:t>
      </w:r>
      <w:r>
        <w:rPr>
          <w:rFonts w:hint="eastAsia" w:ascii="仿宋_GB2312" w:hAnsi="宋体" w:eastAsia="仿宋_GB2312" w:cs="宋体"/>
          <w:color w:val="auto"/>
          <w:kern w:val="0"/>
          <w:sz w:val="32"/>
          <w:szCs w:val="24"/>
          <w:lang w:val="zh-CN" w:eastAsia="zh-CN" w:bidi="ar"/>
        </w:rPr>
        <w:t>主要用于机关及下属事业单位按照规定标准为职工缴纳的基本医疗保险及公务员医疗补助等支出</w:t>
      </w:r>
      <w:r>
        <w:rPr>
          <w:rStyle w:val="17"/>
          <w:rFonts w:hint="eastAsia" w:ascii="仿宋" w:hAnsi="仿宋" w:eastAsia="仿宋"/>
          <w:b w:val="0"/>
          <w:bCs w:val="0"/>
          <w:color w:val="auto"/>
          <w:sz w:val="32"/>
          <w:szCs w:val="32"/>
          <w:lang w:val="en-US" w:eastAsia="zh-CN"/>
        </w:rPr>
        <w:t>。</w:t>
      </w:r>
    </w:p>
    <w:p>
      <w:pPr>
        <w:spacing w:line="600" w:lineRule="exact"/>
        <w:ind w:firstLine="640" w:firstLineChars="200"/>
        <w:rPr>
          <w:rFonts w:hint="eastAsia" w:ascii="仿宋_GB2312" w:hAnsi="宋体" w:eastAsia="仿宋_GB2312" w:cs="宋体"/>
          <w:color w:val="auto"/>
          <w:kern w:val="0"/>
          <w:sz w:val="32"/>
          <w:szCs w:val="24"/>
          <w:lang w:val="zh-CN" w:eastAsia="zh-CN" w:bidi="ar"/>
        </w:rPr>
      </w:pPr>
      <w:r>
        <w:rPr>
          <w:rStyle w:val="17"/>
          <w:rFonts w:hint="eastAsia" w:ascii="仿宋" w:hAnsi="仿宋" w:eastAsia="仿宋"/>
          <w:b w:val="0"/>
          <w:bCs w:val="0"/>
          <w:color w:val="auto"/>
          <w:sz w:val="32"/>
          <w:szCs w:val="32"/>
          <w:lang w:val="en-US" w:eastAsia="zh-CN"/>
        </w:rPr>
        <w:t>3</w:t>
      </w:r>
      <w:r>
        <w:rPr>
          <w:rStyle w:val="17"/>
          <w:rFonts w:ascii="仿宋" w:hAnsi="仿宋" w:eastAsia="仿宋"/>
          <w:b w:val="0"/>
          <w:bCs w:val="0"/>
          <w:color w:val="auto"/>
          <w:sz w:val="32"/>
          <w:szCs w:val="32"/>
        </w:rPr>
        <w:t>.</w:t>
      </w:r>
      <w:r>
        <w:rPr>
          <w:rStyle w:val="17"/>
          <w:rFonts w:hint="eastAsia" w:ascii="仿宋" w:hAnsi="仿宋" w:eastAsia="仿宋"/>
          <w:b w:val="0"/>
          <w:bCs w:val="0"/>
          <w:color w:val="auto"/>
          <w:sz w:val="32"/>
          <w:szCs w:val="32"/>
          <w:lang w:val="en-US" w:eastAsia="zh-CN"/>
        </w:rPr>
        <w:t>住房保障</w:t>
      </w:r>
      <w:r>
        <w:rPr>
          <w:rStyle w:val="17"/>
          <w:rFonts w:hint="eastAsia" w:ascii="仿宋" w:hAnsi="仿宋" w:eastAsia="仿宋"/>
          <w:b w:val="0"/>
          <w:bCs w:val="0"/>
          <w:color w:val="auto"/>
          <w:sz w:val="32"/>
          <w:szCs w:val="32"/>
        </w:rPr>
        <w:t>类</w:t>
      </w:r>
      <w:r>
        <w:rPr>
          <w:rStyle w:val="17"/>
          <w:rFonts w:hint="eastAsia" w:ascii="仿宋" w:hAnsi="仿宋" w:eastAsia="仿宋"/>
          <w:b w:val="0"/>
          <w:bCs w:val="0"/>
          <w:color w:val="auto"/>
          <w:sz w:val="32"/>
          <w:szCs w:val="32"/>
          <w:lang w:val="en-US" w:eastAsia="zh-CN"/>
        </w:rPr>
        <w:t>中工资福利支出-住房公积金</w:t>
      </w:r>
      <w:r>
        <w:rPr>
          <w:rStyle w:val="17"/>
          <w:rFonts w:ascii="仿宋" w:hAnsi="仿宋" w:eastAsia="仿宋"/>
          <w:b w:val="0"/>
          <w:bCs w:val="0"/>
          <w:color w:val="auto"/>
          <w:sz w:val="32"/>
          <w:szCs w:val="32"/>
        </w:rPr>
        <w:t>:</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7.4</w:t>
      </w:r>
      <w:r>
        <w:rPr>
          <w:rStyle w:val="17"/>
          <w:rFonts w:hint="eastAsia" w:ascii="仿宋" w:hAnsi="仿宋" w:eastAsia="仿宋"/>
          <w:b w:val="0"/>
          <w:bCs/>
          <w:color w:val="auto"/>
          <w:sz w:val="32"/>
          <w:szCs w:val="32"/>
        </w:rPr>
        <w:t>万元</w:t>
      </w:r>
      <w:r>
        <w:rPr>
          <w:rStyle w:val="17"/>
          <w:rFonts w:hint="eastAsia" w:ascii="仿宋" w:hAnsi="仿宋" w:eastAsia="仿宋"/>
          <w:b w:val="0"/>
          <w:bCs/>
          <w:color w:val="auto"/>
          <w:sz w:val="32"/>
          <w:szCs w:val="32"/>
          <w:lang w:eastAsia="zh-CN"/>
        </w:rPr>
        <w:t>，</w:t>
      </w:r>
      <w:r>
        <w:rPr>
          <w:rFonts w:hint="eastAsia" w:ascii="仿宋_GB2312" w:hAnsi="宋体" w:eastAsia="仿宋_GB2312" w:cs="宋体"/>
          <w:color w:val="auto"/>
          <w:kern w:val="0"/>
          <w:sz w:val="32"/>
          <w:szCs w:val="24"/>
          <w:lang w:val="zh-CN" w:eastAsia="zh-CN" w:bidi="ar"/>
        </w:rPr>
        <w:t>用于机关及下属事业单位按照规定标准为职工缴纳住房公积金等支出</w:t>
      </w:r>
      <w:r>
        <w:rPr>
          <w:rStyle w:val="17"/>
          <w:rFonts w:hint="eastAsia" w:ascii="仿宋" w:hAnsi="仿宋" w:eastAsia="仿宋"/>
          <w:b w:val="0"/>
          <w:bCs/>
          <w:color w:val="auto"/>
          <w:sz w:val="32"/>
          <w:szCs w:val="32"/>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rPr>
          <w:rFonts w:hint="eastAsia" w:ascii="楷体" w:hAnsi="楷体" w:eastAsia="楷体" w:cs="楷体"/>
          <w:b w:val="0"/>
          <w:bCs w:val="0"/>
          <w:i w:val="0"/>
          <w:caps w:val="0"/>
          <w:color w:val="auto"/>
          <w:spacing w:val="0"/>
          <w:sz w:val="32"/>
          <w:szCs w:val="32"/>
          <w:shd w:val="clear" w:color="auto" w:fill="FFFFFF"/>
          <w:lang w:val="zh-CN" w:eastAsia="zh-CN"/>
        </w:rPr>
      </w:pPr>
      <w:r>
        <w:rPr>
          <w:rFonts w:hint="eastAsia" w:ascii="楷体" w:hAnsi="楷体" w:eastAsia="楷体" w:cs="楷体"/>
          <w:b w:val="0"/>
          <w:bCs w:val="0"/>
          <w:i w:val="0"/>
          <w:caps w:val="0"/>
          <w:color w:val="auto"/>
          <w:spacing w:val="0"/>
          <w:sz w:val="32"/>
          <w:szCs w:val="32"/>
          <w:shd w:val="clear" w:color="auto" w:fill="FFFFFF"/>
          <w:lang w:val="en-US" w:eastAsia="zh-CN"/>
        </w:rPr>
        <w:t>2、</w:t>
      </w:r>
      <w:r>
        <w:rPr>
          <w:rFonts w:hint="eastAsia" w:ascii="楷体" w:hAnsi="楷体" w:eastAsia="楷体" w:cs="楷体"/>
          <w:b w:val="0"/>
          <w:bCs w:val="0"/>
          <w:i w:val="0"/>
          <w:caps w:val="0"/>
          <w:color w:val="auto"/>
          <w:spacing w:val="0"/>
          <w:sz w:val="32"/>
          <w:szCs w:val="32"/>
          <w:shd w:val="clear" w:color="auto" w:fill="FFFFFF"/>
          <w:lang w:val="zh-CN" w:eastAsia="zh-CN"/>
        </w:rPr>
        <w:t>绩效目标设置情况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auto"/>
          <w:kern w:val="0"/>
          <w:lang w:val="zh-CN" w:eastAsia="zh-CN"/>
        </w:rPr>
      </w:pPr>
      <w:r>
        <w:rPr>
          <w:rFonts w:hint="eastAsia" w:ascii="仿宋_GB2312" w:hAnsi="宋体" w:eastAsia="仿宋_GB2312" w:cs="宋体"/>
          <w:color w:val="auto"/>
          <w:kern w:val="0"/>
          <w:sz w:val="32"/>
          <w:szCs w:val="24"/>
          <w:lang w:val="zh-CN" w:eastAsia="zh-CN" w:bidi="ar"/>
        </w:rPr>
        <w:t>绩效目标是预算编制的前提和基础，按照“费随事定”的原则，201</w:t>
      </w:r>
      <w:r>
        <w:rPr>
          <w:rFonts w:hint="eastAsia" w:ascii="仿宋_GB2312" w:hAnsi="宋体" w:eastAsia="仿宋_GB2312" w:cs="宋体"/>
          <w:color w:val="auto"/>
          <w:kern w:val="0"/>
          <w:sz w:val="32"/>
          <w:szCs w:val="24"/>
          <w:lang w:val="en-US" w:eastAsia="zh-CN" w:bidi="ar"/>
        </w:rPr>
        <w:t>9</w:t>
      </w:r>
      <w:r>
        <w:rPr>
          <w:rFonts w:hint="eastAsia" w:ascii="仿宋_GB2312" w:hAnsi="宋体" w:eastAsia="仿宋_GB2312" w:cs="宋体"/>
          <w:color w:val="auto"/>
          <w:kern w:val="0"/>
          <w:sz w:val="32"/>
          <w:szCs w:val="24"/>
          <w:lang w:val="zh-CN" w:eastAsia="zh-CN" w:bidi="ar"/>
        </w:rPr>
        <w:t>年我单位项目支出按要求编制了绩效目标，从项目完成、项目效益、满意度。</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auto"/>
          <w:kern w:val="0"/>
          <w:lang w:val="zh-CN" w:eastAsia="zh-CN"/>
        </w:rPr>
      </w:pPr>
      <w:r>
        <w:rPr>
          <w:rFonts w:hint="eastAsia" w:ascii="楷体" w:hAnsi="楷体" w:eastAsia="楷体" w:cs="宋体"/>
          <w:color w:val="auto"/>
          <w:kern w:val="0"/>
          <w:sz w:val="32"/>
          <w:szCs w:val="24"/>
          <w:lang w:val="zh-CN" w:eastAsia="zh-CN" w:bidi="ar"/>
        </w:rPr>
        <w:t>（二）执行管理情况。</w:t>
      </w:r>
      <w:r>
        <w:rPr>
          <w:rFonts w:hint="eastAsia" w:ascii="楷体" w:hAnsi="楷体" w:eastAsia="楷体" w:cs="宋体"/>
          <w:color w:val="auto"/>
          <w:kern w:val="0"/>
          <w:sz w:val="32"/>
          <w:szCs w:val="24"/>
          <w:lang w:val="zh-CN" w:eastAsia="zh-CN" w:bidi="ar"/>
        </w:rPr>
        <w:tab/>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rPr>
          <w:rFonts w:hint="default" w:ascii="仿宋_GB2312" w:hAnsi="宋体" w:eastAsia="仿宋_GB2312" w:cs="宋体"/>
          <w:color w:val="auto"/>
          <w:kern w:val="0"/>
          <w:lang w:val="en-US" w:eastAsia="zh-CN"/>
        </w:rPr>
      </w:pPr>
      <w:r>
        <w:rPr>
          <w:rFonts w:hint="eastAsia" w:ascii="仿宋_GB2312" w:hAnsi="宋体" w:eastAsia="仿宋_GB2312" w:cs="宋体"/>
          <w:color w:val="auto"/>
          <w:kern w:val="0"/>
          <w:sz w:val="32"/>
          <w:szCs w:val="24"/>
          <w:lang w:val="zh-CN" w:eastAsia="zh-CN" w:bidi="ar"/>
        </w:rPr>
        <w:t>本年度三公经费预算安排支出为</w:t>
      </w:r>
      <w:r>
        <w:rPr>
          <w:rFonts w:hint="eastAsia" w:ascii="仿宋_GB2312" w:hAnsi="宋体" w:eastAsia="仿宋_GB2312" w:cs="宋体"/>
          <w:color w:val="auto"/>
          <w:kern w:val="0"/>
          <w:sz w:val="32"/>
          <w:szCs w:val="24"/>
          <w:lang w:val="en-US" w:eastAsia="zh-CN" w:bidi="ar"/>
        </w:rPr>
        <w:t>2.55</w:t>
      </w:r>
      <w:r>
        <w:rPr>
          <w:rFonts w:hint="eastAsia" w:ascii="仿宋_GB2312" w:hAnsi="宋体" w:eastAsia="仿宋_GB2312" w:cs="宋体"/>
          <w:color w:val="auto"/>
          <w:kern w:val="0"/>
          <w:sz w:val="32"/>
          <w:szCs w:val="24"/>
          <w:lang w:val="zh-CN" w:eastAsia="zh-CN" w:bidi="ar"/>
        </w:rPr>
        <w:t>万元，其中：出国费0万元，与上年持平，主要原因为未安排因公出国；公车购置费0元，与上年持平；公务用车维护费支出</w:t>
      </w:r>
      <w:r>
        <w:rPr>
          <w:rFonts w:hint="eastAsia" w:ascii="仿宋_GB2312" w:hAnsi="宋体" w:eastAsia="仿宋_GB2312" w:cs="宋体"/>
          <w:color w:val="auto"/>
          <w:kern w:val="0"/>
          <w:sz w:val="32"/>
          <w:szCs w:val="24"/>
          <w:lang w:val="en-US" w:eastAsia="zh-CN" w:bidi="ar"/>
        </w:rPr>
        <w:t>2.54</w:t>
      </w:r>
      <w:r>
        <w:rPr>
          <w:rFonts w:hint="eastAsia" w:ascii="仿宋_GB2312" w:hAnsi="宋体" w:eastAsia="仿宋_GB2312" w:cs="宋体"/>
          <w:color w:val="auto"/>
          <w:kern w:val="0"/>
          <w:sz w:val="32"/>
          <w:szCs w:val="24"/>
          <w:lang w:val="zh-CN" w:eastAsia="zh-CN" w:bidi="ar"/>
        </w:rPr>
        <w:t>万元，较上年度预算</w:t>
      </w:r>
      <w:r>
        <w:rPr>
          <w:rFonts w:hint="eastAsia" w:ascii="仿宋_GB2312" w:hAnsi="宋体" w:eastAsia="仿宋_GB2312" w:cs="宋体"/>
          <w:color w:val="auto"/>
          <w:kern w:val="0"/>
          <w:sz w:val="32"/>
          <w:szCs w:val="24"/>
          <w:lang w:val="en-US" w:eastAsia="zh-CN" w:bidi="ar"/>
        </w:rPr>
        <w:t>1.64</w:t>
      </w:r>
      <w:r>
        <w:rPr>
          <w:rFonts w:hint="eastAsia" w:ascii="仿宋_GB2312" w:hAnsi="宋体" w:eastAsia="仿宋_GB2312" w:cs="宋体"/>
          <w:color w:val="auto"/>
          <w:kern w:val="0"/>
          <w:sz w:val="32"/>
          <w:szCs w:val="24"/>
          <w:lang w:val="zh-CN" w:eastAsia="zh-CN" w:bidi="ar"/>
        </w:rPr>
        <w:t>万元略有增加，主要原因一是车辆老旧、二是安排下乡</w:t>
      </w:r>
      <w:r>
        <w:rPr>
          <w:rFonts w:hint="eastAsia" w:ascii="仿宋_GB2312" w:hAnsi="宋体" w:eastAsia="仿宋_GB2312" w:cs="宋体"/>
          <w:color w:val="auto"/>
          <w:kern w:val="0"/>
          <w:sz w:val="32"/>
          <w:szCs w:val="24"/>
          <w:lang w:val="en-US" w:eastAsia="zh-CN" w:bidi="ar"/>
        </w:rPr>
        <w:t>应急救护及宣传</w:t>
      </w:r>
      <w:r>
        <w:rPr>
          <w:rFonts w:hint="eastAsia" w:ascii="仿宋_GB2312" w:hAnsi="宋体" w:eastAsia="仿宋_GB2312" w:cs="宋体"/>
          <w:color w:val="auto"/>
          <w:kern w:val="0"/>
          <w:sz w:val="32"/>
          <w:szCs w:val="24"/>
          <w:lang w:val="zh-CN" w:eastAsia="zh-CN" w:bidi="ar"/>
        </w:rPr>
        <w:t>工作用车较多；公务接待费</w:t>
      </w:r>
      <w:r>
        <w:rPr>
          <w:rFonts w:hint="eastAsia" w:ascii="仿宋_GB2312" w:hAnsi="宋体" w:eastAsia="仿宋_GB2312" w:cs="宋体"/>
          <w:color w:val="auto"/>
          <w:kern w:val="0"/>
          <w:sz w:val="32"/>
          <w:szCs w:val="24"/>
          <w:lang w:val="en-US" w:eastAsia="zh-CN" w:bidi="ar"/>
        </w:rPr>
        <w:t>0.1</w:t>
      </w:r>
      <w:r>
        <w:rPr>
          <w:rFonts w:hint="eastAsia" w:ascii="仿宋_GB2312" w:hAnsi="宋体" w:eastAsia="仿宋_GB2312" w:cs="宋体"/>
          <w:color w:val="auto"/>
          <w:kern w:val="0"/>
          <w:sz w:val="32"/>
          <w:szCs w:val="24"/>
          <w:lang w:val="zh-CN" w:eastAsia="zh-CN" w:bidi="ar"/>
        </w:rPr>
        <w:t>万元，</w:t>
      </w:r>
      <w:r>
        <w:rPr>
          <w:rFonts w:hint="eastAsia" w:ascii="仿宋_GB2312" w:hAnsi="宋体" w:eastAsia="仿宋_GB2312" w:cs="宋体"/>
          <w:color w:val="auto"/>
          <w:kern w:val="0"/>
          <w:sz w:val="32"/>
          <w:szCs w:val="24"/>
          <w:lang w:val="en-US" w:eastAsia="zh-CN" w:bidi="ar"/>
        </w:rPr>
        <w:t>与</w:t>
      </w:r>
      <w:r>
        <w:rPr>
          <w:rFonts w:hint="eastAsia" w:ascii="仿宋_GB2312" w:hAnsi="宋体" w:eastAsia="仿宋_GB2312" w:cs="宋体"/>
          <w:color w:val="auto"/>
          <w:kern w:val="0"/>
          <w:sz w:val="32"/>
          <w:szCs w:val="24"/>
          <w:lang w:val="zh-CN" w:eastAsia="zh-CN" w:bidi="ar"/>
        </w:rPr>
        <w:t>上年度</w:t>
      </w:r>
      <w:r>
        <w:rPr>
          <w:rFonts w:hint="eastAsia" w:ascii="仿宋_GB2312" w:hAnsi="宋体" w:eastAsia="仿宋_GB2312" w:cs="宋体"/>
          <w:color w:val="auto"/>
          <w:kern w:val="0"/>
          <w:sz w:val="32"/>
          <w:szCs w:val="24"/>
          <w:lang w:val="en-US" w:eastAsia="zh-CN" w:bidi="ar"/>
        </w:rPr>
        <w:t>持平。</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auto"/>
          <w:kern w:val="0"/>
          <w:lang w:val="zh-CN" w:eastAsia="zh-CN"/>
        </w:rPr>
      </w:pPr>
      <w:r>
        <w:rPr>
          <w:rFonts w:hint="eastAsia" w:ascii="楷体" w:hAnsi="楷体" w:eastAsia="楷体" w:cs="宋体"/>
          <w:color w:val="auto"/>
          <w:kern w:val="0"/>
          <w:sz w:val="32"/>
          <w:szCs w:val="24"/>
          <w:lang w:val="zh-CN" w:eastAsia="zh-CN" w:bidi="ar"/>
        </w:rPr>
        <w:t>（三）综合管理情况。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rPr>
          <w:rFonts w:hint="eastAsia" w:ascii="宋体" w:hAnsi="宋体" w:eastAsia="宋体" w:cs="宋体"/>
          <w:i w:val="0"/>
          <w:caps w:val="0"/>
          <w:color w:val="auto"/>
          <w:spacing w:val="0"/>
          <w:sz w:val="24"/>
          <w:szCs w:val="24"/>
        </w:rPr>
      </w:pPr>
      <w:r>
        <w:rPr>
          <w:rFonts w:hint="eastAsia" w:ascii="楷体" w:hAnsi="楷体" w:eastAsia="楷体" w:cs="楷体"/>
          <w:i w:val="0"/>
          <w:caps w:val="0"/>
          <w:color w:val="auto"/>
          <w:spacing w:val="0"/>
          <w:sz w:val="32"/>
          <w:szCs w:val="32"/>
          <w:shd w:val="clear" w:color="auto" w:fill="FFFFFF"/>
          <w:lang w:val="en-US" w:eastAsia="zh-CN"/>
        </w:rPr>
        <w:t>1</w:t>
      </w:r>
      <w:r>
        <w:rPr>
          <w:rFonts w:hint="eastAsia" w:ascii="楷体" w:hAnsi="楷体" w:eastAsia="楷体" w:cs="楷体"/>
          <w:i w:val="0"/>
          <w:caps w:val="0"/>
          <w:color w:val="auto"/>
          <w:spacing w:val="0"/>
          <w:sz w:val="32"/>
          <w:szCs w:val="32"/>
          <w:shd w:val="clear" w:color="auto" w:fill="FFFFFF"/>
          <w:lang w:val="zh-CN" w:eastAsia="zh-CN"/>
        </w:rPr>
        <w:t>、政府性基金预算收支情况说明。</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auto"/>
          <w:spacing w:val="0"/>
          <w:sz w:val="24"/>
          <w:szCs w:val="24"/>
        </w:rPr>
      </w:pPr>
      <w:r>
        <w:rPr>
          <w:rStyle w:val="17"/>
          <w:rFonts w:hint="eastAsia" w:ascii="宋体" w:hAnsi="宋体" w:eastAsia="宋体" w:cs="宋体"/>
          <w:i w:val="0"/>
          <w:caps w:val="0"/>
          <w:color w:val="auto"/>
          <w:spacing w:val="0"/>
          <w:sz w:val="24"/>
          <w:szCs w:val="24"/>
          <w:shd w:val="clear" w:color="auto" w:fill="FFFFFF"/>
        </w:rPr>
        <w:t>　　</w:t>
      </w:r>
      <w:r>
        <w:rPr>
          <w:rStyle w:val="17"/>
          <w:rFonts w:hint="eastAsia" w:ascii="宋体" w:hAnsi="宋体" w:cs="宋体"/>
          <w:i w:val="0"/>
          <w:caps w:val="0"/>
          <w:color w:val="auto"/>
          <w:spacing w:val="0"/>
          <w:sz w:val="24"/>
          <w:szCs w:val="24"/>
          <w:shd w:val="clear" w:color="auto" w:fill="FFFFFF"/>
          <w:lang w:val="en-US" w:eastAsia="zh-CN"/>
        </w:rPr>
        <w:t xml:space="preserve"> </w:t>
      </w:r>
      <w:r>
        <w:rPr>
          <w:rFonts w:hint="eastAsia" w:ascii="仿宋_GB2312" w:hAnsi="宋体" w:eastAsia="仿宋_GB2312" w:cs="宋体"/>
          <w:color w:val="auto"/>
          <w:kern w:val="0"/>
          <w:sz w:val="32"/>
          <w:szCs w:val="24"/>
          <w:lang w:val="zh-CN" w:eastAsia="zh-CN" w:bidi="ar"/>
        </w:rPr>
        <w:t>201</w:t>
      </w:r>
      <w:r>
        <w:rPr>
          <w:rFonts w:hint="eastAsia" w:ascii="仿宋_GB2312" w:hAnsi="宋体" w:eastAsia="仿宋_GB2312" w:cs="宋体"/>
          <w:color w:val="auto"/>
          <w:kern w:val="0"/>
          <w:sz w:val="32"/>
          <w:szCs w:val="24"/>
          <w:lang w:val="en-US" w:eastAsia="zh-CN" w:bidi="ar"/>
        </w:rPr>
        <w:t>9</w:t>
      </w:r>
      <w:r>
        <w:rPr>
          <w:rFonts w:hint="eastAsia" w:ascii="仿宋_GB2312" w:hAnsi="宋体" w:eastAsia="仿宋_GB2312" w:cs="宋体"/>
          <w:color w:val="auto"/>
          <w:kern w:val="0"/>
          <w:sz w:val="32"/>
          <w:szCs w:val="24"/>
          <w:lang w:val="zh-CN" w:eastAsia="zh-CN" w:bidi="ar"/>
        </w:rPr>
        <w:t>年没有使用政府性基金预算拨款安排的支出。</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rPr>
          <w:rFonts w:hint="eastAsia" w:ascii="楷体" w:hAnsi="楷体" w:eastAsia="楷体" w:cs="楷体"/>
          <w:i w:val="0"/>
          <w:caps w:val="0"/>
          <w:color w:val="auto"/>
          <w:spacing w:val="0"/>
          <w:sz w:val="32"/>
          <w:szCs w:val="32"/>
          <w:shd w:val="clear" w:color="auto" w:fill="FFFFFF"/>
          <w:lang w:val="zh-CN" w:eastAsia="zh-CN"/>
        </w:rPr>
      </w:pPr>
      <w:r>
        <w:rPr>
          <w:rFonts w:hint="eastAsia" w:ascii="楷体" w:hAnsi="楷体" w:eastAsia="楷体" w:cs="楷体"/>
          <w:i w:val="0"/>
          <w:caps w:val="0"/>
          <w:color w:val="auto"/>
          <w:spacing w:val="0"/>
          <w:sz w:val="32"/>
          <w:szCs w:val="32"/>
          <w:shd w:val="clear" w:color="auto" w:fill="FFFFFF"/>
          <w:lang w:val="en-US" w:eastAsia="zh-CN"/>
        </w:rPr>
        <w:t>2</w:t>
      </w:r>
      <w:r>
        <w:rPr>
          <w:rFonts w:hint="eastAsia" w:ascii="楷体" w:hAnsi="楷体" w:eastAsia="楷体" w:cs="楷体"/>
          <w:i w:val="0"/>
          <w:caps w:val="0"/>
          <w:color w:val="auto"/>
          <w:spacing w:val="0"/>
          <w:sz w:val="32"/>
          <w:szCs w:val="32"/>
          <w:shd w:val="clear" w:color="auto" w:fill="FFFFFF"/>
          <w:lang w:val="zh-CN" w:eastAsia="zh-CN"/>
        </w:rPr>
        <w:t>、国有资本经营预算收支情况说明。</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zh-CN" w:eastAsia="zh-CN" w:bidi="ar"/>
        </w:rPr>
        <w:t>201</w:t>
      </w:r>
      <w:r>
        <w:rPr>
          <w:rFonts w:hint="eastAsia" w:ascii="仿宋_GB2312" w:hAnsi="宋体" w:eastAsia="仿宋_GB2312" w:cs="宋体"/>
          <w:color w:val="auto"/>
          <w:kern w:val="0"/>
          <w:sz w:val="32"/>
          <w:szCs w:val="24"/>
          <w:lang w:val="en-US" w:eastAsia="zh-CN" w:bidi="ar"/>
        </w:rPr>
        <w:t>9</w:t>
      </w:r>
      <w:r>
        <w:rPr>
          <w:rFonts w:hint="eastAsia" w:ascii="仿宋_GB2312" w:hAnsi="宋体" w:eastAsia="仿宋_GB2312" w:cs="宋体"/>
          <w:color w:val="auto"/>
          <w:kern w:val="0"/>
          <w:sz w:val="32"/>
          <w:szCs w:val="24"/>
          <w:lang w:val="zh-CN" w:eastAsia="zh-CN" w:bidi="ar"/>
        </w:rPr>
        <w:t>年没有使用国有资本经营预算拨款安排的支出。</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firstLineChars="200"/>
        <w:rPr>
          <w:rFonts w:hint="eastAsia" w:ascii="楷体" w:hAnsi="楷体" w:eastAsia="楷体" w:cs="楷体"/>
          <w:i w:val="0"/>
          <w:caps w:val="0"/>
          <w:color w:val="auto"/>
          <w:spacing w:val="0"/>
          <w:sz w:val="32"/>
          <w:szCs w:val="32"/>
          <w:shd w:val="clear" w:color="auto" w:fill="FFFFFF"/>
          <w:lang w:val="en-US" w:eastAsia="zh-CN"/>
        </w:rPr>
      </w:pPr>
      <w:r>
        <w:rPr>
          <w:rFonts w:hint="eastAsia" w:ascii="楷体" w:hAnsi="楷体" w:eastAsia="楷体" w:cs="楷体"/>
          <w:i w:val="0"/>
          <w:caps w:val="0"/>
          <w:color w:val="auto"/>
          <w:spacing w:val="0"/>
          <w:sz w:val="32"/>
          <w:szCs w:val="32"/>
          <w:shd w:val="clear" w:color="auto" w:fill="FFFFFF"/>
          <w:lang w:val="en-US" w:eastAsia="zh-CN"/>
        </w:rPr>
        <w:t>3</w:t>
      </w:r>
      <w:r>
        <w:rPr>
          <w:rFonts w:hint="eastAsia" w:ascii="楷体" w:hAnsi="楷体" w:eastAsia="楷体" w:cs="楷体"/>
          <w:i w:val="0"/>
          <w:caps w:val="0"/>
          <w:color w:val="auto"/>
          <w:spacing w:val="0"/>
          <w:sz w:val="32"/>
          <w:szCs w:val="32"/>
          <w:shd w:val="clear" w:color="auto" w:fill="FFFFFF"/>
          <w:lang w:val="zh-CN" w:eastAsia="zh-CN"/>
        </w:rPr>
        <w:t>、其他重要事项的情况说明。</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宋体" w:eastAsia="仿宋_GB2312" w:cs="宋体"/>
          <w:color w:val="auto"/>
          <w:kern w:val="0"/>
          <w:lang w:val="zh-CN" w:eastAsia="zh-CN"/>
        </w:rPr>
      </w:pPr>
      <w:r>
        <w:rPr>
          <w:rFonts w:hint="eastAsia" w:ascii="仿宋_GB2312" w:hAnsi="宋体" w:eastAsia="仿宋_GB2312" w:cs="宋体"/>
          <w:color w:val="auto"/>
          <w:kern w:val="0"/>
          <w:sz w:val="32"/>
          <w:szCs w:val="24"/>
          <w:lang w:val="zh-CN" w:eastAsia="zh-CN" w:bidi="ar"/>
        </w:rPr>
        <w:t>政府采购预算情况：201</w:t>
      </w:r>
      <w:r>
        <w:rPr>
          <w:rFonts w:hint="eastAsia" w:ascii="仿宋_GB2312" w:hAnsi="宋体" w:eastAsia="仿宋_GB2312" w:cs="宋体"/>
          <w:color w:val="auto"/>
          <w:kern w:val="0"/>
          <w:sz w:val="32"/>
          <w:szCs w:val="24"/>
          <w:lang w:val="en-US" w:eastAsia="zh-CN" w:bidi="ar"/>
        </w:rPr>
        <w:t>9</w:t>
      </w:r>
      <w:r>
        <w:rPr>
          <w:rFonts w:hint="eastAsia" w:ascii="仿宋_GB2312" w:hAnsi="宋体" w:eastAsia="仿宋_GB2312" w:cs="宋体"/>
          <w:color w:val="auto"/>
          <w:kern w:val="0"/>
          <w:sz w:val="32"/>
          <w:szCs w:val="24"/>
          <w:lang w:val="zh-CN" w:eastAsia="zh-CN" w:bidi="ar"/>
        </w:rPr>
        <w:t>年度安排政府采购预算0万元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auto"/>
          <w:kern w:val="0"/>
          <w:lang w:val="zh-CN" w:eastAsia="zh-CN"/>
        </w:rPr>
      </w:pPr>
      <w:r>
        <w:rPr>
          <w:rFonts w:hint="eastAsia" w:ascii="楷体" w:hAnsi="楷体" w:eastAsia="楷体" w:cs="宋体"/>
          <w:color w:val="auto"/>
          <w:kern w:val="0"/>
          <w:sz w:val="32"/>
          <w:szCs w:val="24"/>
          <w:lang w:val="zh-CN" w:eastAsia="zh-CN" w:bidi="ar"/>
        </w:rPr>
        <w:t>（四）整体绩效。</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b w:val="0"/>
          <w:bCs w:val="0"/>
          <w:color w:val="auto"/>
          <w:kern w:val="0"/>
          <w:sz w:val="32"/>
          <w:szCs w:val="24"/>
          <w:lang w:val="zh-CN" w:eastAsia="zh-CN" w:bidi="ar"/>
        </w:rPr>
      </w:pPr>
      <w:r>
        <w:rPr>
          <w:rFonts w:hint="eastAsia" w:ascii="仿宋_GB2312" w:hAnsi="宋体" w:eastAsia="仿宋_GB2312" w:cs="宋体"/>
          <w:b w:val="0"/>
          <w:bCs w:val="0"/>
          <w:color w:val="auto"/>
          <w:kern w:val="0"/>
          <w:sz w:val="32"/>
          <w:szCs w:val="24"/>
          <w:lang w:val="zh-CN" w:eastAsia="zh-CN" w:bidi="ar"/>
        </w:rPr>
        <w:t>（</w:t>
      </w:r>
      <w:r>
        <w:rPr>
          <w:rFonts w:hint="eastAsia" w:ascii="仿宋_GB2312" w:hAnsi="宋体" w:eastAsia="仿宋_GB2312" w:cs="宋体"/>
          <w:b w:val="0"/>
          <w:bCs w:val="0"/>
          <w:color w:val="auto"/>
          <w:kern w:val="0"/>
          <w:sz w:val="32"/>
          <w:szCs w:val="24"/>
          <w:lang w:val="en-US" w:eastAsia="zh-CN" w:bidi="ar"/>
        </w:rPr>
        <w:t>1</w:t>
      </w:r>
      <w:r>
        <w:rPr>
          <w:rFonts w:hint="eastAsia" w:ascii="仿宋_GB2312" w:hAnsi="宋体" w:eastAsia="仿宋_GB2312" w:cs="宋体"/>
          <w:b w:val="0"/>
          <w:bCs w:val="0"/>
          <w:color w:val="auto"/>
          <w:kern w:val="0"/>
          <w:sz w:val="32"/>
          <w:szCs w:val="24"/>
          <w:lang w:val="zh-CN" w:eastAsia="zh-CN" w:bidi="ar"/>
        </w:rPr>
        <w:t>）、职责履行结果。</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en-US" w:eastAsia="zh-CN" w:bidi="ar"/>
        </w:rPr>
        <w:t>县红会</w:t>
      </w:r>
      <w:r>
        <w:rPr>
          <w:rFonts w:hint="eastAsia" w:ascii="仿宋_GB2312" w:hAnsi="宋体" w:eastAsia="仿宋_GB2312" w:cs="宋体"/>
          <w:color w:val="auto"/>
          <w:kern w:val="0"/>
          <w:sz w:val="32"/>
          <w:szCs w:val="24"/>
          <w:lang w:val="zh-CN" w:eastAsia="zh-CN" w:bidi="ar"/>
        </w:rPr>
        <w:t>加强部门职责执行工作。进一步提高了办公办事质量水平，以严格规范单位行政行为，加强了单位组织领导，下设领导小组，保证工作组织有保障；建立权责明确的单位</w:t>
      </w:r>
      <w:r>
        <w:rPr>
          <w:rFonts w:hint="eastAsia" w:ascii="仿宋_GB2312" w:hAnsi="宋体" w:eastAsia="仿宋_GB2312" w:cs="宋体"/>
          <w:color w:val="auto"/>
          <w:kern w:val="0"/>
          <w:sz w:val="32"/>
          <w:szCs w:val="24"/>
          <w:lang w:val="zh-CN" w:eastAsia="zh-CN" w:bidi="ar"/>
        </w:rPr>
        <w:fldChar w:fldCharType="begin"/>
      </w:r>
      <w:r>
        <w:rPr>
          <w:rFonts w:hint="eastAsia" w:ascii="仿宋_GB2312" w:hAnsi="宋体" w:eastAsia="仿宋_GB2312" w:cs="宋体"/>
          <w:color w:val="auto"/>
          <w:kern w:val="0"/>
          <w:sz w:val="32"/>
          <w:szCs w:val="24"/>
          <w:lang w:val="zh-CN" w:eastAsia="zh-CN" w:bidi="ar"/>
        </w:rPr>
        <w:instrText xml:space="preserve"> HYPERLINK "http://www.so.com/s?q=%E4%BD%93%E5%88%B6&amp;ie=utf-8&amp;src=internal_wenda_recommend_textn" \t "https://wenda.so.com/q/_blank" </w:instrText>
      </w:r>
      <w:r>
        <w:rPr>
          <w:rFonts w:hint="eastAsia" w:ascii="仿宋_GB2312" w:hAnsi="宋体" w:eastAsia="仿宋_GB2312" w:cs="宋体"/>
          <w:color w:val="auto"/>
          <w:kern w:val="0"/>
          <w:sz w:val="32"/>
          <w:szCs w:val="24"/>
          <w:lang w:val="zh-CN" w:eastAsia="zh-CN" w:bidi="ar"/>
        </w:rPr>
        <w:fldChar w:fldCharType="separate"/>
      </w:r>
      <w:r>
        <w:rPr>
          <w:rFonts w:hint="eastAsia" w:ascii="仿宋_GB2312" w:hAnsi="宋体" w:eastAsia="仿宋_GB2312" w:cs="宋体"/>
          <w:color w:val="auto"/>
          <w:kern w:val="0"/>
          <w:sz w:val="32"/>
          <w:szCs w:val="24"/>
          <w:lang w:val="zh-CN" w:eastAsia="zh-CN" w:bidi="ar"/>
        </w:rPr>
        <w:t>体制</w:t>
      </w:r>
      <w:r>
        <w:rPr>
          <w:rFonts w:hint="eastAsia" w:ascii="仿宋_GB2312" w:hAnsi="宋体" w:eastAsia="仿宋_GB2312" w:cs="宋体"/>
          <w:color w:val="auto"/>
          <w:kern w:val="0"/>
          <w:sz w:val="32"/>
          <w:szCs w:val="24"/>
          <w:lang w:val="zh-CN" w:eastAsia="zh-CN" w:bidi="ar"/>
        </w:rPr>
        <w:fldChar w:fldCharType="end"/>
      </w:r>
      <w:r>
        <w:rPr>
          <w:rFonts w:hint="eastAsia" w:ascii="仿宋_GB2312" w:hAnsi="宋体" w:eastAsia="仿宋_GB2312" w:cs="宋体"/>
          <w:color w:val="auto"/>
          <w:kern w:val="0"/>
          <w:sz w:val="32"/>
          <w:szCs w:val="24"/>
          <w:lang w:val="zh-CN" w:eastAsia="zh-CN" w:bidi="ar"/>
        </w:rPr>
        <w:t>，促使</w:t>
      </w:r>
      <w:r>
        <w:rPr>
          <w:rFonts w:hint="eastAsia" w:ascii="仿宋_GB2312" w:hAnsi="宋体" w:eastAsia="仿宋_GB2312" w:cs="宋体"/>
          <w:color w:val="auto"/>
          <w:kern w:val="0"/>
          <w:sz w:val="32"/>
          <w:szCs w:val="24"/>
          <w:lang w:val="zh-CN" w:eastAsia="zh-CN" w:bidi="ar"/>
        </w:rPr>
        <w:fldChar w:fldCharType="begin"/>
      </w:r>
      <w:r>
        <w:rPr>
          <w:rFonts w:hint="eastAsia" w:ascii="仿宋_GB2312" w:hAnsi="宋体" w:eastAsia="仿宋_GB2312" w:cs="宋体"/>
          <w:color w:val="auto"/>
          <w:kern w:val="0"/>
          <w:sz w:val="32"/>
          <w:szCs w:val="24"/>
          <w:lang w:val="zh-CN" w:eastAsia="zh-CN" w:bidi="ar"/>
        </w:rPr>
        <w:instrText xml:space="preserve"> HYPERLINK "http://www.so.com/s?q=%E8%A1%8C%E6%94%BF%E6%9D%83%E5%8A%9B&amp;ie=utf-8&amp;src=internal_wenda_recommend_textn" \t "https://wenda.so.com/q/_blank" </w:instrText>
      </w:r>
      <w:r>
        <w:rPr>
          <w:rFonts w:hint="eastAsia" w:ascii="仿宋_GB2312" w:hAnsi="宋体" w:eastAsia="仿宋_GB2312" w:cs="宋体"/>
          <w:color w:val="auto"/>
          <w:kern w:val="0"/>
          <w:sz w:val="32"/>
          <w:szCs w:val="24"/>
          <w:lang w:val="zh-CN" w:eastAsia="zh-CN" w:bidi="ar"/>
        </w:rPr>
        <w:fldChar w:fldCharType="separate"/>
      </w:r>
      <w:r>
        <w:rPr>
          <w:rFonts w:hint="eastAsia" w:ascii="仿宋_GB2312" w:hAnsi="宋体" w:eastAsia="仿宋_GB2312" w:cs="宋体"/>
          <w:color w:val="auto"/>
          <w:kern w:val="0"/>
          <w:sz w:val="32"/>
          <w:szCs w:val="24"/>
          <w:lang w:val="zh-CN" w:eastAsia="zh-CN" w:bidi="ar"/>
        </w:rPr>
        <w:t>行政活</w:t>
      </w:r>
      <w:r>
        <w:rPr>
          <w:rFonts w:hint="eastAsia" w:ascii="仿宋_GB2312" w:hAnsi="宋体" w:eastAsia="仿宋_GB2312" w:cs="宋体"/>
          <w:color w:val="auto"/>
          <w:kern w:val="0"/>
          <w:sz w:val="32"/>
          <w:szCs w:val="24"/>
          <w:lang w:val="zh-CN" w:eastAsia="zh-CN" w:bidi="ar"/>
        </w:rPr>
        <w:fldChar w:fldCharType="end"/>
      </w:r>
      <w:r>
        <w:rPr>
          <w:rFonts w:hint="eastAsia" w:ascii="仿宋_GB2312" w:hAnsi="宋体" w:eastAsia="仿宋_GB2312" w:cs="宋体"/>
          <w:color w:val="auto"/>
          <w:kern w:val="0"/>
          <w:sz w:val="32"/>
          <w:szCs w:val="24"/>
          <w:lang w:val="zh-CN" w:eastAsia="zh-CN" w:bidi="ar"/>
        </w:rPr>
        <w:t>动授予有据、行使有规、监督有效；深化了单位内部</w:t>
      </w:r>
      <w:r>
        <w:rPr>
          <w:rFonts w:hint="eastAsia" w:ascii="仿宋_GB2312" w:hAnsi="宋体" w:eastAsia="仿宋_GB2312" w:cs="宋体"/>
          <w:color w:val="auto"/>
          <w:kern w:val="0"/>
          <w:sz w:val="32"/>
          <w:szCs w:val="24"/>
          <w:lang w:val="zh-CN" w:eastAsia="zh-CN" w:bidi="ar"/>
        </w:rPr>
        <w:fldChar w:fldCharType="begin"/>
      </w:r>
      <w:r>
        <w:rPr>
          <w:rFonts w:hint="eastAsia" w:ascii="仿宋_GB2312" w:hAnsi="宋体" w:eastAsia="仿宋_GB2312" w:cs="宋体"/>
          <w:color w:val="auto"/>
          <w:kern w:val="0"/>
          <w:sz w:val="32"/>
          <w:szCs w:val="24"/>
          <w:lang w:val="zh-CN" w:eastAsia="zh-CN" w:bidi="ar"/>
        </w:rPr>
        <w:instrText xml:space="preserve"> HYPERLINK "http://www.so.com/s?q=%E8%A1%8C%E6%94%BF%E7%AE%A1%E7%90%86%E4%BD%93%E5%88%B6&amp;ie=utf-8&amp;src=internal_wenda_recommend_textn" \t "https://wenda.so.com/q/_blank" </w:instrText>
      </w:r>
      <w:r>
        <w:rPr>
          <w:rFonts w:hint="eastAsia" w:ascii="仿宋_GB2312" w:hAnsi="宋体" w:eastAsia="仿宋_GB2312" w:cs="宋体"/>
          <w:color w:val="auto"/>
          <w:kern w:val="0"/>
          <w:sz w:val="32"/>
          <w:szCs w:val="24"/>
          <w:lang w:val="zh-CN" w:eastAsia="zh-CN" w:bidi="ar"/>
        </w:rPr>
        <w:fldChar w:fldCharType="separate"/>
      </w:r>
      <w:r>
        <w:rPr>
          <w:rFonts w:hint="eastAsia" w:ascii="仿宋_GB2312" w:hAnsi="宋体" w:eastAsia="仿宋_GB2312" w:cs="宋体"/>
          <w:color w:val="auto"/>
          <w:kern w:val="0"/>
          <w:sz w:val="32"/>
          <w:szCs w:val="24"/>
          <w:lang w:val="zh-CN" w:eastAsia="zh-CN" w:bidi="ar"/>
        </w:rPr>
        <w:t>行政管理体制</w:t>
      </w:r>
      <w:r>
        <w:rPr>
          <w:rFonts w:hint="eastAsia" w:ascii="仿宋_GB2312" w:hAnsi="宋体" w:eastAsia="仿宋_GB2312" w:cs="宋体"/>
          <w:color w:val="auto"/>
          <w:kern w:val="0"/>
          <w:sz w:val="32"/>
          <w:szCs w:val="24"/>
          <w:lang w:val="zh-CN" w:eastAsia="zh-CN" w:bidi="ar"/>
        </w:rPr>
        <w:fldChar w:fldCharType="end"/>
      </w:r>
      <w:r>
        <w:rPr>
          <w:rFonts w:hint="eastAsia" w:ascii="仿宋_GB2312" w:hAnsi="宋体" w:eastAsia="仿宋_GB2312" w:cs="宋体"/>
          <w:color w:val="auto"/>
          <w:kern w:val="0"/>
          <w:sz w:val="32"/>
          <w:szCs w:val="24"/>
          <w:lang w:val="zh-CN" w:eastAsia="zh-CN" w:bidi="ar"/>
        </w:rPr>
        <w:t>改革，努力形成</w:t>
      </w:r>
      <w:r>
        <w:rPr>
          <w:rFonts w:hint="eastAsia" w:ascii="仿宋_GB2312" w:hAnsi="宋体" w:eastAsia="仿宋_GB2312" w:cs="宋体"/>
          <w:color w:val="auto"/>
          <w:kern w:val="0"/>
          <w:sz w:val="32"/>
          <w:szCs w:val="24"/>
          <w:lang w:val="zh-CN" w:eastAsia="zh-CN" w:bidi="ar"/>
        </w:rPr>
        <w:fldChar w:fldCharType="begin"/>
      </w:r>
      <w:r>
        <w:rPr>
          <w:rFonts w:hint="eastAsia" w:ascii="仿宋_GB2312" w:hAnsi="宋体" w:eastAsia="仿宋_GB2312" w:cs="宋体"/>
          <w:color w:val="auto"/>
          <w:kern w:val="0"/>
          <w:sz w:val="32"/>
          <w:szCs w:val="24"/>
          <w:lang w:val="zh-CN" w:eastAsia="zh-CN" w:bidi="ar"/>
        </w:rPr>
        <w:instrText xml:space="preserve"> HYPERLINK "http://www.so.com/s?q=%E8%A1%8C%E4%B8%BA%E8%A7%84%E8%8C%83&amp;ie=utf-8&amp;src=internal_wenda_recommend_textn" \t "https://wenda.so.com/q/_blank" </w:instrText>
      </w:r>
      <w:r>
        <w:rPr>
          <w:rFonts w:hint="eastAsia" w:ascii="仿宋_GB2312" w:hAnsi="宋体" w:eastAsia="仿宋_GB2312" w:cs="宋体"/>
          <w:color w:val="auto"/>
          <w:kern w:val="0"/>
          <w:sz w:val="32"/>
          <w:szCs w:val="24"/>
          <w:lang w:val="zh-CN" w:eastAsia="zh-CN" w:bidi="ar"/>
        </w:rPr>
        <w:fldChar w:fldCharType="separate"/>
      </w:r>
      <w:r>
        <w:rPr>
          <w:rFonts w:hint="eastAsia" w:ascii="仿宋_GB2312" w:hAnsi="宋体" w:eastAsia="仿宋_GB2312" w:cs="宋体"/>
          <w:color w:val="auto"/>
          <w:kern w:val="0"/>
          <w:sz w:val="32"/>
          <w:szCs w:val="24"/>
          <w:lang w:val="zh-CN" w:eastAsia="zh-CN" w:bidi="ar"/>
        </w:rPr>
        <w:t>行为规范</w:t>
      </w:r>
      <w:r>
        <w:rPr>
          <w:rFonts w:hint="eastAsia" w:ascii="仿宋_GB2312" w:hAnsi="宋体" w:eastAsia="仿宋_GB2312" w:cs="宋体"/>
          <w:color w:val="auto"/>
          <w:kern w:val="0"/>
          <w:sz w:val="32"/>
          <w:szCs w:val="24"/>
          <w:lang w:val="zh-CN" w:eastAsia="zh-CN" w:bidi="ar"/>
        </w:rPr>
        <w:fldChar w:fldCharType="end"/>
      </w:r>
      <w:r>
        <w:rPr>
          <w:rFonts w:hint="eastAsia" w:ascii="仿宋_GB2312" w:hAnsi="宋体" w:eastAsia="仿宋_GB2312" w:cs="宋体"/>
          <w:color w:val="auto"/>
          <w:kern w:val="0"/>
          <w:sz w:val="32"/>
          <w:szCs w:val="24"/>
          <w:lang w:val="zh-CN" w:eastAsia="zh-CN" w:bidi="ar"/>
        </w:rPr>
        <w:t>、运转协调、公正透明、</w:t>
      </w:r>
      <w:r>
        <w:rPr>
          <w:rFonts w:hint="eastAsia" w:ascii="仿宋_GB2312" w:hAnsi="宋体" w:eastAsia="仿宋_GB2312" w:cs="宋体"/>
          <w:color w:val="auto"/>
          <w:kern w:val="0"/>
          <w:sz w:val="32"/>
          <w:szCs w:val="24"/>
          <w:lang w:val="zh-CN" w:eastAsia="zh-CN" w:bidi="ar"/>
        </w:rPr>
        <w:fldChar w:fldCharType="begin"/>
      </w:r>
      <w:r>
        <w:rPr>
          <w:rFonts w:hint="eastAsia" w:ascii="仿宋_GB2312" w:hAnsi="宋体" w:eastAsia="仿宋_GB2312" w:cs="宋体"/>
          <w:color w:val="auto"/>
          <w:kern w:val="0"/>
          <w:sz w:val="32"/>
          <w:szCs w:val="24"/>
          <w:lang w:val="zh-CN" w:eastAsia="zh-CN" w:bidi="ar"/>
        </w:rPr>
        <w:instrText xml:space="preserve"> HYPERLINK "http://www.so.com/s?q=%E5%BB%89%E6%94%BF&amp;ie=utf-8&amp;src=internal_wenda_recommend_textn" \t "https://wenda.so.com/q/_blank" </w:instrText>
      </w:r>
      <w:r>
        <w:rPr>
          <w:rFonts w:hint="eastAsia" w:ascii="仿宋_GB2312" w:hAnsi="宋体" w:eastAsia="仿宋_GB2312" w:cs="宋体"/>
          <w:color w:val="auto"/>
          <w:kern w:val="0"/>
          <w:sz w:val="32"/>
          <w:szCs w:val="24"/>
          <w:lang w:val="zh-CN" w:eastAsia="zh-CN" w:bidi="ar"/>
        </w:rPr>
        <w:fldChar w:fldCharType="separate"/>
      </w:r>
      <w:r>
        <w:rPr>
          <w:rFonts w:hint="eastAsia" w:ascii="仿宋_GB2312" w:hAnsi="宋体" w:eastAsia="仿宋_GB2312" w:cs="宋体"/>
          <w:color w:val="auto"/>
          <w:kern w:val="0"/>
          <w:sz w:val="32"/>
          <w:szCs w:val="24"/>
          <w:lang w:val="zh-CN" w:eastAsia="zh-CN" w:bidi="ar"/>
        </w:rPr>
        <w:t>廉政</w:t>
      </w:r>
      <w:r>
        <w:rPr>
          <w:rFonts w:hint="eastAsia" w:ascii="仿宋_GB2312" w:hAnsi="宋体" w:eastAsia="仿宋_GB2312" w:cs="宋体"/>
          <w:color w:val="auto"/>
          <w:kern w:val="0"/>
          <w:sz w:val="32"/>
          <w:szCs w:val="24"/>
          <w:lang w:val="zh-CN" w:eastAsia="zh-CN" w:bidi="ar"/>
        </w:rPr>
        <w:fldChar w:fldCharType="end"/>
      </w:r>
      <w:r>
        <w:rPr>
          <w:rFonts w:hint="eastAsia" w:ascii="仿宋_GB2312" w:hAnsi="宋体" w:eastAsia="仿宋_GB2312" w:cs="宋体"/>
          <w:color w:val="auto"/>
          <w:kern w:val="0"/>
          <w:sz w:val="32"/>
          <w:szCs w:val="24"/>
          <w:lang w:val="zh-CN" w:eastAsia="zh-CN" w:bidi="ar"/>
        </w:rPr>
        <w:t>高效的单位行政管理体制。</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宋体" w:eastAsia="仿宋_GB2312" w:cs="宋体"/>
          <w:color w:val="4BACC6" w:themeColor="accent5"/>
          <w:kern w:val="0"/>
          <w:sz w:val="32"/>
          <w:szCs w:val="24"/>
          <w:lang w:val="zh-CN" w:eastAsia="zh-CN" w:bidi="ar"/>
          <w14:textFill>
            <w14:solidFill>
              <w14:schemeClr w14:val="accent5"/>
            </w14:solidFill>
          </w14:textFill>
        </w:rPr>
      </w:pPr>
      <w:r>
        <w:rPr>
          <w:rFonts w:hint="eastAsia" w:ascii="仿宋_GB2312" w:hAnsi="宋体" w:eastAsia="仿宋_GB2312" w:cs="宋体"/>
          <w:color w:val="auto"/>
          <w:kern w:val="0"/>
          <w:sz w:val="32"/>
          <w:szCs w:val="24"/>
          <w:lang w:val="zh-CN" w:eastAsia="zh-CN" w:bidi="ar"/>
        </w:rPr>
        <w:t>强化考核工作。</w:t>
      </w:r>
      <w:r>
        <w:rPr>
          <w:rFonts w:hint="eastAsia" w:ascii="仿宋_GB2312" w:hAnsi="宋体" w:eastAsia="仿宋_GB2312" w:cs="宋体"/>
          <w:color w:val="auto"/>
          <w:kern w:val="0"/>
          <w:sz w:val="32"/>
          <w:szCs w:val="24"/>
          <w:lang w:val="en-US" w:eastAsia="zh-CN" w:bidi="ar"/>
        </w:rPr>
        <w:t>2019年单位</w:t>
      </w:r>
      <w:r>
        <w:rPr>
          <w:rFonts w:hint="eastAsia" w:ascii="仿宋_GB2312" w:hAnsi="宋体" w:eastAsia="仿宋_GB2312" w:cs="宋体"/>
          <w:color w:val="auto"/>
          <w:kern w:val="0"/>
          <w:sz w:val="32"/>
          <w:szCs w:val="24"/>
          <w:lang w:val="zh-CN" w:eastAsia="zh-CN" w:bidi="ar"/>
        </w:rPr>
        <w:t>履行了岗位职责考核和自身建设素质考核。考核涉及单位职工政治理论学习，集体活动参与、考勤、请休假、政务信息等方面。</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宋体" w:eastAsia="仿宋_GB2312" w:cs="宋体"/>
          <w:b w:val="0"/>
          <w:bCs w:val="0"/>
          <w:color w:val="auto"/>
          <w:kern w:val="0"/>
          <w:sz w:val="32"/>
          <w:szCs w:val="24"/>
          <w:lang w:val="zh-CN" w:eastAsia="zh-CN" w:bidi="ar"/>
        </w:rPr>
      </w:pPr>
      <w:r>
        <w:rPr>
          <w:rFonts w:hint="eastAsia" w:ascii="仿宋_GB2312" w:hAnsi="宋体" w:eastAsia="仿宋_GB2312" w:cs="宋体"/>
          <w:b w:val="0"/>
          <w:bCs w:val="0"/>
          <w:color w:val="auto"/>
          <w:kern w:val="0"/>
          <w:sz w:val="32"/>
          <w:szCs w:val="24"/>
          <w:lang w:val="en-US" w:eastAsia="zh-CN" w:bidi="ar"/>
        </w:rPr>
        <w:t>（2）、</w:t>
      </w:r>
      <w:r>
        <w:rPr>
          <w:rFonts w:hint="eastAsia" w:ascii="仿宋_GB2312" w:hAnsi="宋体" w:eastAsia="仿宋_GB2312" w:cs="宋体"/>
          <w:b w:val="0"/>
          <w:bCs w:val="0"/>
          <w:color w:val="auto"/>
          <w:kern w:val="0"/>
          <w:sz w:val="32"/>
          <w:szCs w:val="24"/>
          <w:lang w:val="zh-CN" w:eastAsia="zh-CN" w:bidi="ar"/>
        </w:rPr>
        <w:t>重点项目绩效评价结果。</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4BACC6" w:themeColor="accent5"/>
          <w:kern w:val="0"/>
          <w:lang w:val="zh-CN" w:eastAsia="zh-CN"/>
          <w14:textFill>
            <w14:solidFill>
              <w14:schemeClr w14:val="accent5"/>
            </w14:solidFill>
          </w14:textFill>
        </w:rPr>
      </w:pPr>
      <w:r>
        <w:rPr>
          <w:rFonts w:hint="eastAsia" w:ascii="仿宋_GB2312" w:hAnsi="宋体" w:eastAsia="仿宋_GB2312" w:cs="宋体"/>
          <w:color w:val="auto"/>
          <w:kern w:val="0"/>
          <w:sz w:val="32"/>
          <w:szCs w:val="24"/>
          <w:lang w:val="zh-CN" w:eastAsia="zh-CN" w:bidi="ar"/>
        </w:rPr>
        <w:t>县</w:t>
      </w:r>
      <w:r>
        <w:rPr>
          <w:rFonts w:hint="eastAsia" w:ascii="仿宋_GB2312" w:hAnsi="宋体" w:eastAsia="仿宋_GB2312" w:cs="宋体"/>
          <w:color w:val="auto"/>
          <w:kern w:val="0"/>
          <w:sz w:val="32"/>
          <w:szCs w:val="24"/>
          <w:lang w:val="en-US" w:eastAsia="zh-CN" w:bidi="ar"/>
        </w:rPr>
        <w:t>红会2019年大病救助项目，预算数和决算数（执行数）持平：5万元，预算数财政拨款和决算数财政拨款5万元，预期目标等于实际完成目标5万元，无其他资金。</w:t>
      </w:r>
      <w:r>
        <w:rPr>
          <w:rFonts w:hint="eastAsia" w:ascii="仿宋_GB2312" w:hAnsi="宋体" w:eastAsia="仿宋_GB2312" w:cs="宋体"/>
          <w:color w:val="4BACC6" w:themeColor="accent5"/>
          <w:kern w:val="0"/>
          <w:sz w:val="32"/>
          <w:szCs w:val="24"/>
          <w:lang w:val="en-US" w:eastAsia="zh-CN" w:bidi="ar"/>
          <w14:textFill>
            <w14:solidFill>
              <w14:schemeClr w14:val="accent5"/>
            </w14:solidFill>
          </w14:textFill>
        </w:rPr>
        <w:t xml:space="preserve">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auto"/>
          <w:kern w:val="0"/>
          <w:lang w:val="en-US"/>
        </w:rPr>
      </w:pPr>
      <w:r>
        <w:rPr>
          <w:rFonts w:hint="eastAsia" w:ascii="黑体" w:hAnsi="宋体" w:eastAsia="黑体" w:cs="宋体"/>
          <w:color w:val="auto"/>
          <w:kern w:val="0"/>
          <w:sz w:val="32"/>
          <w:szCs w:val="24"/>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zh-CN" w:eastAsia="zh-CN" w:bidi="ar"/>
        </w:rPr>
        <w:t>（一）评价结论。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72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县红会2019年决算工作</w:t>
      </w:r>
      <w:r>
        <w:rPr>
          <w:rFonts w:hint="default" w:ascii="仿宋_GB2312" w:hAnsi="仿宋_GB2312" w:eastAsia="仿宋_GB2312" w:cs="仿宋_GB2312"/>
          <w:color w:val="auto"/>
          <w:sz w:val="32"/>
          <w:szCs w:val="32"/>
          <w:lang w:val="en-US" w:eastAsia="zh-CN"/>
        </w:rPr>
        <w:t>执行情况良好，无不良记录及违规违纪行为，</w:t>
      </w:r>
      <w:r>
        <w:rPr>
          <w:rFonts w:hint="eastAsia" w:ascii="仿宋_GB2312" w:hAnsi="仿宋_GB2312" w:eastAsia="仿宋_GB2312" w:cs="仿宋_GB2312"/>
          <w:color w:val="auto"/>
          <w:sz w:val="32"/>
          <w:szCs w:val="32"/>
          <w:lang w:val="en-US" w:eastAsia="zh-CN"/>
        </w:rPr>
        <w:t>2019年</w:t>
      </w:r>
      <w:r>
        <w:rPr>
          <w:rFonts w:hint="default" w:ascii="仿宋_GB2312" w:hAnsi="仿宋_GB2312" w:eastAsia="仿宋_GB2312" w:cs="仿宋_GB2312"/>
          <w:color w:val="auto"/>
          <w:sz w:val="32"/>
          <w:szCs w:val="32"/>
          <w:lang w:val="en-US" w:eastAsia="zh-CN"/>
        </w:rPr>
        <w:t>预算支出和决算支出情况相符</w:t>
      </w:r>
      <w:r>
        <w:rPr>
          <w:rFonts w:hint="eastAsia" w:ascii="仿宋_GB2312" w:hAnsi="仿宋_GB2312" w:eastAsia="仿宋_GB2312" w:cs="仿宋_GB2312"/>
          <w:color w:val="auto"/>
          <w:sz w:val="32"/>
          <w:szCs w:val="32"/>
          <w:lang w:val="en-US"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720"/>
        <w:jc w:val="left"/>
        <w:rPr>
          <w:rFonts w:hint="eastAsia" w:ascii="仿宋_GB2312" w:hAnsi="宋体" w:eastAsia="仿宋_GB2312" w:cs="宋体"/>
          <w:color w:val="auto"/>
          <w:kern w:val="0"/>
          <w:sz w:val="32"/>
          <w:szCs w:val="24"/>
          <w:lang w:val="zh-CN" w:eastAsia="zh-CN" w:bidi="ar"/>
        </w:rPr>
      </w:pPr>
      <w:r>
        <w:rPr>
          <w:rFonts w:hint="eastAsia" w:ascii="仿宋_GB2312" w:hAnsi="仿宋_GB2312" w:eastAsia="仿宋_GB2312" w:cs="仿宋_GB2312"/>
          <w:color w:val="auto"/>
          <w:sz w:val="32"/>
          <w:szCs w:val="32"/>
          <w:lang w:val="en-US" w:eastAsia="zh-CN"/>
        </w:rPr>
        <w:t>（二）</w:t>
      </w:r>
      <w:r>
        <w:rPr>
          <w:rFonts w:hint="eastAsia" w:ascii="仿宋_GB2312" w:hAnsi="宋体" w:eastAsia="仿宋_GB2312" w:cs="宋体"/>
          <w:color w:val="auto"/>
          <w:kern w:val="0"/>
          <w:sz w:val="32"/>
          <w:szCs w:val="24"/>
          <w:lang w:val="zh-CN" w:eastAsia="zh-CN" w:bidi="ar"/>
        </w:rPr>
        <w:t>存在问题。</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宋体" w:eastAsia="仿宋_GB2312" w:cs="宋体"/>
          <w:color w:val="auto"/>
          <w:kern w:val="0"/>
          <w:sz w:val="32"/>
          <w:szCs w:val="24"/>
          <w:lang w:val="zh-CN" w:eastAsia="zh-CN" w:bidi="ar"/>
        </w:rPr>
      </w:pPr>
      <w:r>
        <w:rPr>
          <w:rFonts w:hint="eastAsia" w:ascii="仿宋_GB2312" w:hAnsi="仿宋_GB2312" w:eastAsia="仿宋_GB2312" w:cs="仿宋_GB2312"/>
          <w:color w:val="auto"/>
          <w:sz w:val="32"/>
          <w:szCs w:val="32"/>
          <w:lang w:val="en-US" w:eastAsia="zh-CN"/>
        </w:rPr>
        <w:t>一</w:t>
      </w:r>
      <w:r>
        <w:rPr>
          <w:rFonts w:hint="default" w:ascii="仿宋_GB2312" w:hAnsi="仿宋_GB2312" w:eastAsia="仿宋_GB2312" w:cs="仿宋_GB2312"/>
          <w:color w:val="auto"/>
          <w:sz w:val="32"/>
          <w:szCs w:val="32"/>
          <w:lang w:val="en-US" w:eastAsia="zh-CN"/>
        </w:rPr>
        <w:t>是部门决算上报处理效率还待提升</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二是</w:t>
      </w:r>
      <w:r>
        <w:rPr>
          <w:rFonts w:hint="eastAsia" w:ascii="仿宋_GB2312" w:hAnsi="仿宋_GB2312" w:eastAsia="仿宋_GB2312" w:cs="仿宋_GB2312"/>
          <w:color w:val="auto"/>
          <w:sz w:val="32"/>
          <w:szCs w:val="32"/>
          <w:lang w:eastAsia="zh-CN"/>
        </w:rPr>
        <w:t>有关</w:t>
      </w:r>
      <w:r>
        <w:rPr>
          <w:rFonts w:hint="eastAsia" w:ascii="仿宋_GB2312" w:hAnsi="仿宋_GB2312" w:eastAsia="仿宋_GB2312" w:cs="仿宋_GB2312"/>
          <w:color w:val="auto"/>
          <w:sz w:val="32"/>
          <w:szCs w:val="32"/>
          <w:lang w:val="en-US" w:eastAsia="zh-CN"/>
        </w:rPr>
        <w:t>目标任务有待进一步完善。</w:t>
      </w:r>
    </w:p>
    <w:p>
      <w:pPr>
        <w:keepNext w:val="0"/>
        <w:keepLines w:val="0"/>
        <w:widowControl/>
        <w:numPr>
          <w:ilvl w:val="0"/>
          <w:numId w:val="6"/>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auto"/>
          <w:kern w:val="0"/>
          <w:sz w:val="32"/>
          <w:szCs w:val="24"/>
          <w:lang w:val="zh-CN" w:eastAsia="zh-CN" w:bidi="ar"/>
        </w:rPr>
      </w:pPr>
      <w:r>
        <w:rPr>
          <w:rFonts w:hint="eastAsia" w:ascii="仿宋_GB2312" w:hAnsi="宋体" w:eastAsia="仿宋_GB2312" w:cs="宋体"/>
          <w:color w:val="auto"/>
          <w:kern w:val="0"/>
          <w:sz w:val="32"/>
          <w:szCs w:val="24"/>
          <w:lang w:val="zh-CN" w:eastAsia="zh-CN" w:bidi="ar"/>
        </w:rPr>
        <w:t>改进建议。</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auto"/>
          <w:kern w:val="0"/>
          <w:sz w:val="32"/>
          <w:szCs w:val="24"/>
          <w:lang w:val="en-US" w:eastAsia="zh-CN" w:bidi="ar"/>
        </w:rPr>
      </w:pPr>
      <w:r>
        <w:rPr>
          <w:rFonts w:hint="default" w:ascii="仿宋_GB2312" w:hAnsi="仿宋_GB2312" w:eastAsia="仿宋_GB2312" w:cs="仿宋_GB2312"/>
          <w:color w:val="auto"/>
          <w:sz w:val="32"/>
          <w:szCs w:val="32"/>
          <w:lang w:val="en-US" w:eastAsia="zh-CN"/>
        </w:rPr>
        <w:t>加快完善相应制度建设和账务处理。</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ind w:left="0" w:leftChars="0" w:firstLine="0" w:firstLineChars="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kern w:val="2"/>
          <w:sz w:val="44"/>
          <w:szCs w:val="44"/>
          <w:lang w:val="en-US" w:eastAsia="zh-CN" w:bidi="ar"/>
        </w:rPr>
      </w:pPr>
      <w:r>
        <w:rPr>
          <w:rFonts w:hint="eastAsia" w:ascii="方正小标宋简体" w:hAnsi="宋体" w:eastAsia="方正小标宋简体" w:cs="方正小标宋简体"/>
          <w:kern w:val="2"/>
          <w:sz w:val="44"/>
          <w:szCs w:val="44"/>
          <w:lang w:val="en-US" w:eastAsia="zh-CN" w:bidi="ar"/>
        </w:rPr>
        <w:t>红原县红十字会</w:t>
      </w:r>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项目支出绩效评价报告</w:t>
      </w:r>
    </w:p>
    <w:p>
      <w:pPr>
        <w:keepNext w:val="0"/>
        <w:keepLines w:val="0"/>
        <w:widowControl w:val="0"/>
        <w:suppressLineNumbers w:val="0"/>
        <w:tabs>
          <w:tab w:val="left" w:pos="3885"/>
        </w:tabs>
        <w:snapToGrid w:val="0"/>
        <w:spacing w:before="0" w:beforeAutospacing="0" w:after="0" w:afterAutospacing="0" w:line="580" w:lineRule="exact"/>
        <w:ind w:right="0"/>
        <w:jc w:val="center"/>
        <w:rPr>
          <w:rFonts w:hint="eastAsia" w:ascii="宋体" w:hAnsi="宋体" w:eastAsia="仿宋_GB2312" w:cs="宋体"/>
          <w:b/>
          <w:bCs w:val="0"/>
          <w:szCs w:val="21"/>
          <w:lang w:val="en-US"/>
        </w:rPr>
      </w:pPr>
      <w:r>
        <w:rPr>
          <w:rFonts w:hint="eastAsia" w:ascii="Times New Roman" w:hAnsi="宋体" w:eastAsia="仿宋_GB2312" w:cs="仿宋_GB2312"/>
          <w:kern w:val="2"/>
          <w:sz w:val="32"/>
          <w:szCs w:val="24"/>
          <w:lang w:val="en-US" w:eastAsia="zh-CN" w:bidi="ar"/>
        </w:rPr>
        <w:t>（</w:t>
      </w:r>
      <w:r>
        <w:rPr>
          <w:rFonts w:hint="eastAsia" w:hAnsi="宋体" w:eastAsia="仿宋_GB2312" w:cs="仿宋_GB2312"/>
          <w:kern w:val="2"/>
          <w:sz w:val="32"/>
          <w:szCs w:val="24"/>
          <w:lang w:val="en-US" w:eastAsia="zh-CN" w:bidi="ar"/>
        </w:rPr>
        <w:t>红原县红十字会“</w:t>
      </w:r>
      <w:r>
        <w:rPr>
          <w:rFonts w:hint="eastAsia" w:hAnsi="宋体" w:eastAsia="仿宋_GB2312" w:cs="Times New Roman"/>
          <w:kern w:val="2"/>
          <w:sz w:val="32"/>
          <w:szCs w:val="24"/>
          <w:lang w:val="en-US" w:eastAsia="zh-CN" w:bidi="ar"/>
        </w:rPr>
        <w:t>大病救助”</w:t>
      </w:r>
      <w:r>
        <w:rPr>
          <w:rFonts w:hint="eastAsia" w:ascii="Times New Roman" w:hAnsi="宋体" w:eastAsia="仿宋_GB2312" w:cs="仿宋_GB2312"/>
          <w:kern w:val="2"/>
          <w:sz w:val="32"/>
          <w:szCs w:val="24"/>
          <w:lang w:val="en-US" w:eastAsia="zh-CN" w:bidi="ar"/>
        </w:rPr>
        <w:t>项目）</w:t>
      </w:r>
    </w:p>
    <w:p>
      <w:pPr>
        <w:keepNext w:val="0"/>
        <w:keepLines w:val="0"/>
        <w:widowControl w:val="0"/>
        <w:numPr>
          <w:ilvl w:val="0"/>
          <w:numId w:val="7"/>
        </w:numPr>
        <w:suppressLineNumbers w:val="0"/>
        <w:tabs>
          <w:tab w:val="left" w:pos="3885"/>
        </w:tabs>
        <w:snapToGrid w:val="0"/>
        <w:spacing w:before="0" w:beforeAutospacing="0" w:after="0" w:afterAutospacing="0" w:line="580" w:lineRule="exact"/>
        <w:ind w:left="0" w:right="0" w:firstLine="640" w:firstLineChars="200"/>
        <w:jc w:val="left"/>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内容摘要</w:t>
      </w:r>
    </w:p>
    <w:p>
      <w:pPr>
        <w:keepNext w:val="0"/>
        <w:keepLines w:val="0"/>
        <w:pageBreakBefore w:val="0"/>
        <w:numPr>
          <w:ilvl w:val="0"/>
          <w:numId w:val="0"/>
        </w:numPr>
        <w:kinsoku/>
        <w:wordWrap/>
        <w:overflowPunct/>
        <w:topLinePunct w:val="0"/>
        <w:bidi w:val="0"/>
        <w:spacing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（一）项目基本情况：县</w:t>
      </w:r>
      <w:r>
        <w:rPr>
          <w:rFonts w:hint="eastAsia" w:ascii="仿宋_GB2312" w:hAnsi="仿宋_GB2312" w:eastAsia="仿宋_GB2312" w:cs="仿宋_GB2312"/>
          <w:sz w:val="32"/>
          <w:szCs w:val="32"/>
          <w:lang w:val="en-US" w:eastAsia="zh-CN"/>
        </w:rPr>
        <w:t>红会2019年</w:t>
      </w:r>
      <w:r>
        <w:rPr>
          <w:rFonts w:hint="eastAsia"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大病救助”</w:t>
      </w:r>
      <w:r>
        <w:rPr>
          <w:rFonts w:hint="eastAsia" w:ascii="仿宋_GB2312" w:hAnsi="仿宋_GB2312" w:eastAsia="仿宋_GB2312" w:cs="仿宋_GB2312"/>
          <w:sz w:val="32"/>
          <w:szCs w:val="32"/>
          <w:lang w:val="en-US" w:eastAsia="zh-CN"/>
        </w:rPr>
        <w:t>项目支出共5万元。</w:t>
      </w:r>
    </w:p>
    <w:p>
      <w:pPr>
        <w:keepNext w:val="0"/>
        <w:keepLines w:val="0"/>
        <w:pageBreakBefore w:val="0"/>
        <w:numPr>
          <w:ilvl w:val="0"/>
          <w:numId w:val="0"/>
        </w:numPr>
        <w:kinsoku/>
        <w:wordWrap/>
        <w:overflowPunct/>
        <w:topLinePunct w:val="0"/>
        <w:bidi w:val="0"/>
        <w:spacing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（二）评价结论：</w:t>
      </w:r>
    </w:p>
    <w:p>
      <w:pPr>
        <w:keepNext w:val="0"/>
        <w:keepLines w:val="0"/>
        <w:pageBreakBefore w:val="0"/>
        <w:numPr>
          <w:ilvl w:val="0"/>
          <w:numId w:val="0"/>
        </w:numPr>
        <w:kinsoku/>
        <w:wordWrap/>
        <w:overflowPunct/>
        <w:topLinePunct w:val="0"/>
        <w:bidi w:val="0"/>
        <w:spacing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lang w:val="en-US" w:eastAsia="zh-CN"/>
        </w:rPr>
        <w:t>红会2019年</w:t>
      </w:r>
      <w:r>
        <w:rPr>
          <w:rFonts w:hint="eastAsia"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大病救助”</w:t>
      </w:r>
      <w:r>
        <w:rPr>
          <w:rFonts w:hint="eastAsia" w:ascii="仿宋_GB2312" w:hAnsi="仿宋_GB2312" w:eastAsia="仿宋_GB2312" w:cs="仿宋_GB2312"/>
          <w:sz w:val="32"/>
          <w:szCs w:val="32"/>
          <w:lang w:val="en-US" w:eastAsia="zh-CN"/>
        </w:rPr>
        <w:t>项目，预算数和决算数（执行数）持平：5万元，预算数财政拨款和决算数财政拨款5万元，预期目标等于实际完成目标5万元，无其他资金。</w:t>
      </w:r>
    </w:p>
    <w:p>
      <w:pPr>
        <w:keepNext w:val="0"/>
        <w:keepLines w:val="0"/>
        <w:pageBreakBefore w:val="0"/>
        <w:numPr>
          <w:ilvl w:val="0"/>
          <w:numId w:val="0"/>
        </w:numPr>
        <w:kinsoku/>
        <w:wordWrap/>
        <w:overflowPunct/>
        <w:topLinePunct w:val="0"/>
        <w:bidi w:val="0"/>
        <w:spacing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lang w:val="en-US" w:eastAsia="zh-CN"/>
        </w:rPr>
        <w:t>红会2019年</w:t>
      </w:r>
      <w:r>
        <w:rPr>
          <w:rFonts w:hint="eastAsia"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大病救助”</w:t>
      </w:r>
      <w:r>
        <w:rPr>
          <w:rFonts w:hint="eastAsia" w:ascii="仿宋_GB2312" w:hAnsi="仿宋_GB2312" w:eastAsia="仿宋_GB2312" w:cs="仿宋_GB2312"/>
          <w:sz w:val="32"/>
          <w:szCs w:val="32"/>
          <w:lang w:val="en-US" w:eastAsia="zh-CN"/>
        </w:rPr>
        <w:t>项目，预期指标值与实际指标值中，县红会2019年</w:t>
      </w:r>
      <w:r>
        <w:rPr>
          <w:rFonts w:hint="eastAsia"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大病救助”</w:t>
      </w:r>
      <w:r>
        <w:rPr>
          <w:rFonts w:hint="eastAsia" w:ascii="仿宋_GB2312" w:hAnsi="仿宋_GB2312" w:eastAsia="仿宋_GB2312" w:cs="仿宋_GB2312"/>
          <w:sz w:val="32"/>
          <w:szCs w:val="32"/>
          <w:lang w:val="en-US" w:eastAsia="zh-CN"/>
        </w:rPr>
        <w:t>支出项目5万元目标明确，即完成绩效目标实际的100%。</w:t>
      </w:r>
    </w:p>
    <w:p>
      <w:pPr>
        <w:keepNext w:val="0"/>
        <w:keepLines w:val="0"/>
        <w:pageBreakBefore w:val="0"/>
        <w:numPr>
          <w:ilvl w:val="0"/>
          <w:numId w:val="0"/>
        </w:numPr>
        <w:kinsoku/>
        <w:wordWrap/>
        <w:overflowPunct/>
        <w:topLinePunct w:val="0"/>
        <w:bidi w:val="0"/>
        <w:spacing w:line="560" w:lineRule="exact"/>
        <w:ind w:right="0" w:rightChars="0" w:firstLine="640" w:firstLineChars="200"/>
        <w:textAlignment w:val="auto"/>
        <w:outlineLvl w:val="9"/>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二、评价工作开展及项目情况</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项目评价实施方案情况（包括选点、评价指标、评价方法、基础数据表等情况）</w:t>
      </w:r>
    </w:p>
    <w:p>
      <w:pPr>
        <w:keepNext w:val="0"/>
        <w:keepLines w:val="0"/>
        <w:widowControl w:val="0"/>
        <w:numPr>
          <w:ilvl w:val="0"/>
          <w:numId w:val="8"/>
        </w:numPr>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选点</w:t>
      </w:r>
    </w:p>
    <w:p>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both"/>
        <w:rPr>
          <w:rFonts w:hint="default"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红原县财政局拨款。</w:t>
      </w:r>
    </w:p>
    <w:p>
      <w:pPr>
        <w:keepNext w:val="0"/>
        <w:keepLines w:val="0"/>
        <w:pageBreakBefore w:val="0"/>
        <w:numPr>
          <w:ilvl w:val="0"/>
          <w:numId w:val="0"/>
        </w:numPr>
        <w:kinsoku/>
        <w:wordWrap/>
        <w:overflowPunct/>
        <w:topLinePunct w:val="0"/>
        <w:bidi w:val="0"/>
        <w:spacing w:line="560" w:lineRule="exact"/>
        <w:ind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2、评价指标。</w:t>
      </w:r>
    </w:p>
    <w:p>
      <w:pPr>
        <w:keepNext w:val="0"/>
        <w:keepLines w:val="0"/>
        <w:pageBreakBefore w:val="0"/>
        <w:numPr>
          <w:ilvl w:val="0"/>
          <w:numId w:val="0"/>
        </w:numPr>
        <w:kinsoku/>
        <w:wordWrap/>
        <w:overflowPunct/>
        <w:topLinePunct w:val="0"/>
        <w:bidi w:val="0"/>
        <w:spacing w:line="560" w:lineRule="exact"/>
        <w:ind w:leftChars="0" w:right="0" w:rightChars="0" w:firstLine="640" w:firstLineChars="200"/>
        <w:textAlignment w:val="auto"/>
        <w:outlineLvl w:val="9"/>
        <w:rPr>
          <w:rFonts w:hint="default" w:ascii="宋体" w:hAnsi="宋体" w:eastAsia="仿宋_GB2312" w:cs="仿宋_GB2312"/>
          <w:kern w:val="2"/>
          <w:sz w:val="32"/>
          <w:szCs w:val="21"/>
          <w:lang w:val="en-US" w:eastAsia="zh-CN" w:bidi="ar"/>
        </w:rPr>
      </w:pPr>
      <w:r>
        <w:rPr>
          <w:rFonts w:hint="eastAsia" w:ascii="仿宋_GB2312" w:hAnsi="仿宋_GB2312" w:eastAsia="仿宋_GB2312" w:cs="仿宋_GB2312"/>
          <w:sz w:val="32"/>
          <w:szCs w:val="32"/>
          <w:lang w:val="en-US" w:eastAsia="zh-CN"/>
        </w:rPr>
        <w:t>项目评价指标一是单位项目决策要求，包括目标内容、进度计划、目标匹配；二是依据项目管理要求，包括政策依据、实施计划、管理制度；三是项目绩效要求，包括分配方法、分配过程、审核把关、资金集中；四是项目效益要求，包括经济效益、社会效益、生态效益、可持续效益。</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三、评价结论及绩效分析</w:t>
      </w:r>
    </w:p>
    <w:p>
      <w:pPr>
        <w:keepNext w:val="0"/>
        <w:keepLines w:val="0"/>
        <w:widowControl w:val="0"/>
        <w:suppressLineNumbers w:val="0"/>
        <w:snapToGrid w:val="0"/>
        <w:spacing w:before="0" w:beforeAutospacing="0" w:after="0" w:afterAutospacing="0" w:line="580" w:lineRule="exact"/>
        <w:ind w:left="0" w:right="0" w:firstLine="642"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bidi="ar"/>
        </w:rPr>
        <w:t>（一）评价结论</w:t>
      </w:r>
    </w:p>
    <w:p>
      <w:pPr>
        <w:spacing w:beforeLines="0" w:afterLines="0"/>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lang w:val="en-US" w:eastAsia="zh-CN"/>
        </w:rPr>
        <w:t>红会2019年“大病救助”项目中预期指标值与实际指标值项目计划实施进度明确，按规定时间完成了计划；项目目标匹配符合实际需求的抽样项目符合率100%；决策依据方面项目符合党中央、国务院和省委、省政府决策部署；符合当前经济社会发展需要，项目管理制度、资金分配方法、分配结果、审核把关、资金集中、按实际分配结果选择客观因素测算验证资金分配方法制定、分配要素设定、基础数据应用、测算依据选取等科学合理；县红会按规定及时分配了资金、资金适用范围合规；资金支付依据符合规定达到100%，资金开支标准符合规定达到100%。</w:t>
      </w:r>
    </w:p>
    <w:p>
      <w:pPr>
        <w:spacing w:beforeLines="0" w:afterLines="0"/>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lang w:val="en-US" w:eastAsia="zh-CN"/>
        </w:rPr>
        <w:t>红会2019年“大病救助”项目中财务管理，财务制度健全，管理规范。</w:t>
      </w:r>
    </w:p>
    <w:p>
      <w:pPr>
        <w:spacing w:beforeLines="0" w:afterLines="0"/>
        <w:ind w:firstLine="640" w:firstLineChars="200"/>
        <w:jc w:val="both"/>
        <w:rPr>
          <w:rFonts w:hint="eastAsia" w:ascii="宋体" w:hAnsi="宋体" w:eastAsia="仿宋_GB2312" w:cs="宋体"/>
          <w:szCs w:val="21"/>
          <w:lang w:val="en-US"/>
        </w:rPr>
      </w:pPr>
      <w:r>
        <w:rPr>
          <w:rFonts w:hint="eastAsia" w:ascii="仿宋_GB2312" w:hAnsi="仿宋_GB2312" w:eastAsia="仿宋_GB2312" w:cs="仿宋_GB2312"/>
          <w:sz w:val="32"/>
          <w:szCs w:val="32"/>
          <w:lang w:val="en-US" w:eastAsia="zh-CN"/>
        </w:rPr>
        <w:t>3、县红会2019年“大病救助”项目中组织实施项目调整严格履行了相关手续；严格执行了项目有关制度执行。项目完成质量良好。</w:t>
      </w:r>
    </w:p>
    <w:p>
      <w:pPr>
        <w:keepNext w:val="0"/>
        <w:keepLines w:val="0"/>
        <w:widowControl w:val="0"/>
        <w:suppressLineNumbers w:val="0"/>
        <w:snapToGrid w:val="0"/>
        <w:spacing w:before="0" w:beforeAutospacing="0" w:after="0" w:afterAutospacing="0" w:line="580" w:lineRule="exact"/>
        <w:ind w:left="0" w:right="0" w:firstLine="642"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bidi="ar"/>
        </w:rPr>
        <w:t>（二）绩效分析</w:t>
      </w:r>
    </w:p>
    <w:p>
      <w:pPr>
        <w:spacing w:beforeLines="0" w:afterLines="0"/>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1、项目决策</w:t>
      </w:r>
    </w:p>
    <w:p>
      <w:pPr>
        <w:snapToGrid w:val="0"/>
        <w:spacing w:line="580" w:lineRule="exact"/>
        <w:ind w:firstLine="640" w:firstLineChars="200"/>
        <w:rPr>
          <w:rFonts w:hint="eastAsia" w:ascii="宋体" w:hAnsi="宋体" w:eastAsia="仿宋_GB2312" w:cs="仿宋_GB2312"/>
          <w:sz w:val="32"/>
          <w:szCs w:val="21"/>
          <w:lang w:val="en-US" w:eastAsia="zh-CN"/>
        </w:rPr>
      </w:pPr>
      <w:r>
        <w:rPr>
          <w:rFonts w:hint="eastAsia" w:ascii="宋体" w:hAnsi="宋体" w:eastAsia="仿宋_GB2312" w:cs="仿宋_GB2312"/>
          <w:sz w:val="32"/>
          <w:szCs w:val="21"/>
          <w:lang w:eastAsia="zh-CN"/>
        </w:rPr>
        <w:t>（</w:t>
      </w:r>
      <w:r>
        <w:rPr>
          <w:rFonts w:hint="eastAsia" w:ascii="宋体" w:hAnsi="宋体" w:eastAsia="仿宋_GB2312" w:cs="仿宋_GB2312"/>
          <w:sz w:val="32"/>
          <w:szCs w:val="21"/>
          <w:lang w:val="en-US" w:eastAsia="zh-CN"/>
        </w:rPr>
        <w:t>1</w:t>
      </w:r>
      <w:r>
        <w:rPr>
          <w:rFonts w:hint="eastAsia" w:ascii="宋体" w:hAnsi="宋体" w:eastAsia="仿宋_GB2312" w:cs="仿宋_GB2312"/>
          <w:sz w:val="32"/>
          <w:szCs w:val="21"/>
          <w:lang w:eastAsia="zh-CN"/>
        </w:rPr>
        <w:t>）</w:t>
      </w:r>
      <w:r>
        <w:rPr>
          <w:rFonts w:hint="eastAsia" w:ascii="宋体" w:hAnsi="宋体" w:eastAsia="仿宋_GB2312" w:cs="仿宋_GB2312"/>
          <w:sz w:val="32"/>
          <w:szCs w:val="21"/>
        </w:rPr>
        <w:t>绩效目标设置情况</w:t>
      </w:r>
      <w:r>
        <w:rPr>
          <w:rFonts w:hint="eastAsia" w:ascii="宋体" w:hAnsi="宋体" w:eastAsia="仿宋_GB2312" w:cs="仿宋_GB2312"/>
          <w:sz w:val="32"/>
          <w:szCs w:val="21"/>
          <w:lang w:val="en-US" w:eastAsia="zh-CN"/>
        </w:rPr>
        <w:t>:包括项目预期提供的产品、服务、效益或其他目标明确。</w:t>
      </w:r>
    </w:p>
    <w:p>
      <w:pPr>
        <w:snapToGrid w:val="0"/>
        <w:spacing w:line="580" w:lineRule="exact"/>
        <w:ind w:firstLine="640" w:firstLineChars="200"/>
        <w:rPr>
          <w:rFonts w:hint="eastAsia" w:ascii="宋体" w:hAnsi="宋体" w:eastAsia="仿宋_GB2312" w:cs="仿宋_GB2312"/>
          <w:sz w:val="32"/>
          <w:szCs w:val="21"/>
          <w:lang w:val="en-US" w:eastAsia="zh-CN"/>
        </w:rPr>
      </w:pPr>
      <w:r>
        <w:rPr>
          <w:rFonts w:hint="eastAsia" w:ascii="宋体" w:hAnsi="宋体" w:eastAsia="仿宋_GB2312" w:cs="仿宋_GB2312"/>
          <w:sz w:val="32"/>
          <w:szCs w:val="21"/>
          <w:lang w:val="en-US" w:eastAsia="zh-CN"/>
        </w:rPr>
        <w:t>（2）决策依据情况：项目符合党中央、国务院和省委、省政府决策部署；符合当前社会发展需要。</w:t>
      </w:r>
    </w:p>
    <w:p>
      <w:pPr>
        <w:spacing w:beforeLines="0" w:afterLines="0"/>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2、项目管理</w:t>
      </w:r>
    </w:p>
    <w:p>
      <w:pPr>
        <w:snapToGrid w:val="0"/>
        <w:spacing w:line="580" w:lineRule="exact"/>
        <w:ind w:firstLine="640" w:firstLineChars="200"/>
        <w:rPr>
          <w:rFonts w:ascii="宋体" w:hAnsi="宋体" w:eastAsia="仿宋_GB2312" w:cs="宋体"/>
          <w:szCs w:val="21"/>
        </w:rPr>
      </w:pPr>
      <w:r>
        <w:rPr>
          <w:rFonts w:hint="eastAsia" w:ascii="宋体" w:hAnsi="宋体" w:eastAsia="仿宋_GB2312" w:cs="仿宋_GB2312"/>
          <w:sz w:val="32"/>
          <w:szCs w:val="21"/>
          <w:lang w:eastAsia="zh-CN"/>
        </w:rPr>
        <w:t>（</w:t>
      </w:r>
      <w:r>
        <w:rPr>
          <w:rFonts w:hint="eastAsia" w:ascii="宋体" w:hAnsi="宋体" w:eastAsia="仿宋_GB2312" w:cs="仿宋_GB2312"/>
          <w:sz w:val="32"/>
          <w:szCs w:val="21"/>
          <w:lang w:val="en-US" w:eastAsia="zh-CN"/>
        </w:rPr>
        <w:t>1</w:t>
      </w:r>
      <w:r>
        <w:rPr>
          <w:rFonts w:hint="eastAsia" w:ascii="宋体" w:hAnsi="宋体" w:eastAsia="仿宋_GB2312" w:cs="仿宋_GB2312"/>
          <w:sz w:val="32"/>
          <w:szCs w:val="21"/>
          <w:lang w:eastAsia="zh-CN"/>
        </w:rPr>
        <w:t>）项目</w:t>
      </w:r>
      <w:r>
        <w:rPr>
          <w:rFonts w:hint="eastAsia" w:ascii="宋体" w:hAnsi="宋体" w:eastAsia="仿宋_GB2312" w:cs="仿宋_GB2312"/>
          <w:sz w:val="32"/>
          <w:szCs w:val="21"/>
        </w:rPr>
        <w:t>资金</w:t>
      </w:r>
      <w:r>
        <w:rPr>
          <w:rFonts w:hint="eastAsia" w:ascii="宋体" w:hAnsi="宋体" w:eastAsia="仿宋_GB2312" w:cs="仿宋_GB2312"/>
          <w:sz w:val="32"/>
          <w:szCs w:val="21"/>
          <w:lang w:eastAsia="zh-CN"/>
        </w:rPr>
        <w:t>分配</w:t>
      </w:r>
      <w:r>
        <w:rPr>
          <w:rFonts w:hint="eastAsia" w:ascii="宋体" w:hAnsi="宋体" w:eastAsia="仿宋_GB2312" w:cs="仿宋_GB2312"/>
          <w:sz w:val="32"/>
          <w:szCs w:val="21"/>
        </w:rPr>
        <w:t>情况</w:t>
      </w:r>
      <w:r>
        <w:rPr>
          <w:rFonts w:hint="eastAsia" w:ascii="宋体" w:hAnsi="宋体" w:eastAsia="仿宋_GB2312" w:cs="仿宋_GB2312"/>
          <w:sz w:val="32"/>
          <w:szCs w:val="21"/>
          <w:lang w:eastAsia="zh-CN"/>
        </w:rPr>
        <w:t>：</w:t>
      </w:r>
      <w:r>
        <w:rPr>
          <w:rFonts w:hint="eastAsia" w:ascii="宋体" w:hAnsi="宋体" w:eastAsia="仿宋_GB2312" w:cs="仿宋_GB2312"/>
          <w:sz w:val="32"/>
          <w:szCs w:val="21"/>
          <w:lang w:val="en-US" w:eastAsia="zh-CN"/>
        </w:rPr>
        <w:t>资金分配合理，不存在虚报项目套取财政资金情况，资金使用规范，严格按照要求执行。</w:t>
      </w:r>
    </w:p>
    <w:p>
      <w:pPr>
        <w:snapToGrid w:val="0"/>
        <w:spacing w:line="580" w:lineRule="exact"/>
        <w:ind w:firstLine="640" w:firstLineChars="200"/>
        <w:rPr>
          <w:rFonts w:hint="eastAsia" w:ascii="宋体" w:hAnsi="宋体" w:eastAsia="仿宋_GB2312" w:cs="宋体"/>
          <w:b/>
          <w:bCs/>
          <w:szCs w:val="21"/>
          <w:lang w:eastAsia="zh-CN"/>
        </w:rPr>
      </w:pPr>
      <w:r>
        <w:rPr>
          <w:rFonts w:hint="eastAsia" w:ascii="宋体" w:hAnsi="宋体" w:eastAsia="仿宋_GB2312" w:cs="仿宋_GB2312"/>
          <w:sz w:val="32"/>
          <w:szCs w:val="21"/>
          <w:lang w:eastAsia="zh-CN"/>
        </w:rPr>
        <w:t>（</w:t>
      </w:r>
      <w:r>
        <w:rPr>
          <w:rFonts w:hint="eastAsia" w:ascii="宋体" w:hAnsi="宋体" w:eastAsia="仿宋_GB2312" w:cs="仿宋_GB2312"/>
          <w:sz w:val="32"/>
          <w:szCs w:val="21"/>
          <w:lang w:val="en-US" w:eastAsia="zh-CN"/>
        </w:rPr>
        <w:t>2</w:t>
      </w:r>
      <w:r>
        <w:rPr>
          <w:rFonts w:hint="eastAsia" w:ascii="宋体" w:hAnsi="宋体" w:eastAsia="仿宋_GB2312" w:cs="仿宋_GB2312"/>
          <w:sz w:val="32"/>
          <w:szCs w:val="21"/>
          <w:lang w:eastAsia="zh-CN"/>
        </w:rPr>
        <w:t>）</w:t>
      </w:r>
      <w:r>
        <w:rPr>
          <w:rFonts w:hint="eastAsia" w:ascii="宋体" w:hAnsi="宋体" w:eastAsia="仿宋_GB2312" w:cs="仿宋_GB2312"/>
          <w:sz w:val="32"/>
          <w:szCs w:val="21"/>
        </w:rPr>
        <w:t>资金使用情况</w:t>
      </w:r>
      <w:r>
        <w:rPr>
          <w:rFonts w:hint="eastAsia" w:ascii="宋体" w:hAnsi="宋体" w:eastAsia="仿宋_GB2312" w:cs="仿宋_GB2312"/>
          <w:sz w:val="32"/>
          <w:szCs w:val="21"/>
          <w:lang w:eastAsia="zh-CN"/>
        </w:rPr>
        <w:t>：</w:t>
      </w:r>
      <w:r>
        <w:rPr>
          <w:rFonts w:hint="eastAsia" w:ascii="宋体" w:hAnsi="宋体" w:eastAsia="仿宋_GB2312" w:cs="仿宋_GB2312"/>
          <w:sz w:val="32"/>
          <w:szCs w:val="21"/>
        </w:rPr>
        <w:t>资金分配方法制定、分配要素设定、基础数据应用、测算依据选取等科学合理</w:t>
      </w:r>
      <w:r>
        <w:rPr>
          <w:rFonts w:hint="eastAsia" w:ascii="宋体" w:hAnsi="宋体" w:eastAsia="仿宋_GB2312" w:cs="仿宋_GB2312"/>
          <w:sz w:val="32"/>
          <w:szCs w:val="21"/>
          <w:lang w:eastAsia="zh-CN"/>
        </w:rPr>
        <w:t>，资金支付合法合规。</w:t>
      </w:r>
    </w:p>
    <w:p>
      <w:pPr>
        <w:spacing w:beforeLines="0" w:afterLines="0"/>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3、项目绩效</w:t>
      </w:r>
    </w:p>
    <w:p>
      <w:pPr>
        <w:snapToGrid w:val="0"/>
        <w:spacing w:line="580" w:lineRule="exact"/>
        <w:ind w:firstLine="640" w:firstLineChars="200"/>
        <w:rPr>
          <w:rFonts w:hint="eastAsia" w:ascii="宋体" w:hAnsi="宋体" w:eastAsia="仿宋_GB2312" w:cs="仿宋_GB2312"/>
          <w:sz w:val="32"/>
          <w:szCs w:val="21"/>
          <w:lang w:val="en-US" w:eastAsia="zh-CN"/>
        </w:rPr>
      </w:pPr>
      <w:r>
        <w:rPr>
          <w:rFonts w:hint="eastAsia" w:ascii="宋体" w:hAnsi="宋体" w:eastAsia="仿宋_GB2312" w:cs="仿宋_GB2312"/>
          <w:sz w:val="32"/>
          <w:szCs w:val="21"/>
          <w:lang w:eastAsia="zh-CN"/>
        </w:rPr>
        <w:t>（</w:t>
      </w:r>
      <w:r>
        <w:rPr>
          <w:rFonts w:hint="eastAsia" w:ascii="宋体" w:hAnsi="宋体" w:eastAsia="仿宋_GB2312" w:cs="仿宋_GB2312"/>
          <w:sz w:val="32"/>
          <w:szCs w:val="21"/>
          <w:lang w:val="en-US" w:eastAsia="zh-CN"/>
        </w:rPr>
        <w:t>1</w:t>
      </w:r>
      <w:r>
        <w:rPr>
          <w:rFonts w:hint="eastAsia" w:ascii="宋体" w:hAnsi="宋体" w:eastAsia="仿宋_GB2312" w:cs="仿宋_GB2312"/>
          <w:sz w:val="32"/>
          <w:szCs w:val="21"/>
          <w:lang w:eastAsia="zh-CN"/>
        </w:rPr>
        <w:t>）</w:t>
      </w:r>
      <w:r>
        <w:rPr>
          <w:rFonts w:hint="eastAsia" w:ascii="宋体" w:hAnsi="宋体" w:eastAsia="仿宋_GB2312" w:cs="仿宋_GB2312"/>
          <w:sz w:val="32"/>
          <w:szCs w:val="21"/>
        </w:rPr>
        <w:t>项目目标完成情况</w:t>
      </w:r>
      <w:r>
        <w:rPr>
          <w:rFonts w:hint="eastAsia" w:ascii="宋体" w:hAnsi="宋体" w:eastAsia="仿宋_GB2312" w:cs="仿宋_GB2312"/>
          <w:sz w:val="32"/>
          <w:szCs w:val="21"/>
          <w:lang w:eastAsia="zh-CN"/>
        </w:rPr>
        <w:t>：项目预期与终期完成率高，完成率符合绩效目标设定的验收标准，达到行业基准水平，在规定成本范围内完成项目。</w:t>
      </w:r>
    </w:p>
    <w:p>
      <w:pPr>
        <w:snapToGrid w:val="0"/>
        <w:spacing w:line="580" w:lineRule="exact"/>
        <w:ind w:firstLine="640" w:firstLineChars="200"/>
        <w:rPr>
          <w:rFonts w:hint="eastAsia" w:ascii="宋体" w:hAnsi="宋体" w:eastAsia="仿宋_GB2312" w:cs="仿宋_GB2312"/>
          <w:sz w:val="32"/>
          <w:szCs w:val="21"/>
          <w:lang w:eastAsia="zh-CN"/>
        </w:rPr>
      </w:pPr>
      <w:r>
        <w:rPr>
          <w:rFonts w:hint="eastAsia" w:ascii="宋体" w:hAnsi="宋体" w:eastAsia="仿宋_GB2312" w:cs="仿宋_GB2312"/>
          <w:sz w:val="32"/>
          <w:szCs w:val="21"/>
          <w:lang w:eastAsia="zh-CN"/>
        </w:rPr>
        <w:t>（</w:t>
      </w:r>
      <w:r>
        <w:rPr>
          <w:rFonts w:hint="eastAsia" w:ascii="宋体" w:hAnsi="宋体" w:eastAsia="仿宋_GB2312" w:cs="仿宋_GB2312"/>
          <w:sz w:val="32"/>
          <w:szCs w:val="21"/>
          <w:lang w:val="en-US" w:eastAsia="zh-CN"/>
        </w:rPr>
        <w:t>2</w:t>
      </w:r>
      <w:r>
        <w:rPr>
          <w:rFonts w:hint="eastAsia" w:ascii="宋体" w:hAnsi="宋体" w:eastAsia="仿宋_GB2312" w:cs="仿宋_GB2312"/>
          <w:sz w:val="32"/>
          <w:szCs w:val="21"/>
          <w:lang w:eastAsia="zh-CN"/>
        </w:rPr>
        <w:t>）</w:t>
      </w:r>
      <w:r>
        <w:rPr>
          <w:rFonts w:hint="eastAsia" w:ascii="宋体" w:hAnsi="宋体" w:eastAsia="仿宋_GB2312" w:cs="仿宋_GB2312"/>
          <w:sz w:val="32"/>
          <w:szCs w:val="21"/>
        </w:rPr>
        <w:t>项目效益情况</w:t>
      </w:r>
      <w:r>
        <w:rPr>
          <w:rFonts w:hint="eastAsia" w:ascii="宋体" w:hAnsi="宋体" w:eastAsia="仿宋_GB2312" w:cs="仿宋_GB2312"/>
          <w:sz w:val="32"/>
          <w:szCs w:val="21"/>
          <w:lang w:eastAsia="zh-CN"/>
        </w:rPr>
        <w:t>：</w:t>
      </w:r>
      <w:r>
        <w:rPr>
          <w:rFonts w:hint="eastAsia" w:ascii="宋体" w:hAnsi="宋体" w:eastAsia="仿宋_GB2312" w:cs="仿宋_GB2312"/>
          <w:sz w:val="32"/>
          <w:szCs w:val="21"/>
        </w:rPr>
        <w:t>通过</w:t>
      </w:r>
      <w:r>
        <w:rPr>
          <w:rFonts w:hint="eastAsia" w:ascii="宋体" w:hAnsi="宋体" w:eastAsia="仿宋_GB2312" w:cs="仿宋_GB2312"/>
          <w:sz w:val="32"/>
          <w:szCs w:val="21"/>
          <w:lang w:val="en-US" w:eastAsia="zh-CN"/>
        </w:rPr>
        <w:t>2019年我单位</w:t>
      </w:r>
      <w:r>
        <w:rPr>
          <w:rFonts w:hint="eastAsia" w:ascii="宋体" w:hAnsi="宋体" w:eastAsia="仿宋_GB2312" w:cs="仿宋_GB2312"/>
          <w:sz w:val="32"/>
          <w:szCs w:val="21"/>
          <w:lang w:eastAsia="zh-CN"/>
        </w:rPr>
        <w:t>项目</w:t>
      </w:r>
      <w:r>
        <w:rPr>
          <w:rFonts w:hint="eastAsia" w:ascii="宋体" w:hAnsi="宋体" w:eastAsia="仿宋_GB2312" w:cs="仿宋_GB2312"/>
          <w:sz w:val="32"/>
          <w:szCs w:val="21"/>
        </w:rPr>
        <w:t>工作的开展，我</w:t>
      </w:r>
      <w:r>
        <w:rPr>
          <w:rFonts w:hint="eastAsia" w:ascii="宋体" w:hAnsi="宋体" w:eastAsia="仿宋_GB2312" w:cs="仿宋_GB2312"/>
          <w:sz w:val="32"/>
          <w:szCs w:val="21"/>
          <w:lang w:eastAsia="zh-CN"/>
        </w:rPr>
        <w:t>单位</w:t>
      </w:r>
      <w:r>
        <w:rPr>
          <w:rFonts w:hint="eastAsia" w:ascii="宋体" w:hAnsi="宋体" w:eastAsia="仿宋_GB2312" w:cs="仿宋_GB2312"/>
          <w:sz w:val="32"/>
          <w:szCs w:val="21"/>
        </w:rPr>
        <w:t>更好的了解和掌握了</w:t>
      </w:r>
      <w:r>
        <w:rPr>
          <w:rFonts w:hint="eastAsia" w:ascii="宋体" w:hAnsi="宋体" w:eastAsia="仿宋_GB2312" w:cs="仿宋_GB2312"/>
          <w:sz w:val="32"/>
          <w:szCs w:val="21"/>
          <w:lang w:eastAsia="zh-CN"/>
        </w:rPr>
        <w:t>我单位项目发展对社会、对生态等各方面的效益帮助</w:t>
      </w:r>
      <w:r>
        <w:rPr>
          <w:rFonts w:hint="eastAsia" w:ascii="宋体" w:hAnsi="宋体" w:eastAsia="仿宋_GB2312" w:cs="仿宋_GB2312"/>
          <w:sz w:val="32"/>
          <w:szCs w:val="21"/>
        </w:rPr>
        <w:t>，为</w:t>
      </w:r>
      <w:r>
        <w:rPr>
          <w:rFonts w:hint="eastAsia" w:ascii="宋体" w:hAnsi="宋体" w:eastAsia="仿宋_GB2312" w:cs="仿宋_GB2312"/>
          <w:sz w:val="32"/>
          <w:szCs w:val="21"/>
          <w:lang w:val="en-US" w:eastAsia="zh-CN"/>
        </w:rPr>
        <w:t>助困救困</w:t>
      </w:r>
      <w:r>
        <w:rPr>
          <w:rFonts w:hint="eastAsia" w:ascii="宋体" w:hAnsi="宋体" w:eastAsia="仿宋_GB2312" w:cs="仿宋_GB2312"/>
          <w:sz w:val="32"/>
          <w:szCs w:val="21"/>
        </w:rPr>
        <w:t>工作提供了评定依据，为我县</w:t>
      </w:r>
      <w:r>
        <w:rPr>
          <w:rFonts w:hint="eastAsia" w:ascii="宋体" w:hAnsi="宋体" w:eastAsia="仿宋_GB2312" w:cs="仿宋_GB2312"/>
          <w:sz w:val="32"/>
          <w:szCs w:val="21"/>
          <w:lang w:val="en-US" w:eastAsia="zh-CN"/>
        </w:rPr>
        <w:t>红十字</w:t>
      </w:r>
      <w:r>
        <w:rPr>
          <w:rFonts w:hint="eastAsia" w:ascii="宋体" w:hAnsi="宋体" w:eastAsia="仿宋_GB2312" w:cs="仿宋_GB2312"/>
          <w:sz w:val="32"/>
          <w:szCs w:val="21"/>
          <w:lang w:eastAsia="zh-CN"/>
        </w:rPr>
        <w:t>事业发展</w:t>
      </w:r>
      <w:r>
        <w:rPr>
          <w:rFonts w:hint="eastAsia" w:ascii="宋体" w:hAnsi="宋体" w:eastAsia="仿宋_GB2312" w:cs="仿宋_GB2312"/>
          <w:sz w:val="32"/>
          <w:szCs w:val="21"/>
        </w:rPr>
        <w:t>工作提供了强有力的保障，</w:t>
      </w:r>
      <w:r>
        <w:rPr>
          <w:rFonts w:hint="eastAsia" w:ascii="宋体" w:hAnsi="宋体" w:eastAsia="仿宋_GB2312" w:cs="仿宋_GB2312"/>
          <w:sz w:val="32"/>
          <w:szCs w:val="21"/>
          <w:lang w:eastAsia="zh-CN"/>
        </w:rPr>
        <w:t>带动了</w:t>
      </w:r>
      <w:r>
        <w:rPr>
          <w:rFonts w:hint="eastAsia" w:ascii="宋体" w:hAnsi="宋体" w:eastAsia="仿宋_GB2312" w:cs="仿宋_GB2312"/>
          <w:sz w:val="32"/>
          <w:szCs w:val="21"/>
          <w:lang w:val="en-US" w:eastAsia="zh-CN"/>
        </w:rPr>
        <w:t>红十字</w:t>
      </w:r>
      <w:r>
        <w:rPr>
          <w:rFonts w:hint="eastAsia" w:ascii="宋体" w:hAnsi="宋体" w:eastAsia="仿宋_GB2312" w:cs="仿宋_GB2312"/>
          <w:sz w:val="32"/>
          <w:szCs w:val="21"/>
          <w:lang w:eastAsia="zh-CN"/>
        </w:rPr>
        <w:t>事业发展，以科学知识帮助我县生态文化发展，有效提高了广大群众对我县</w:t>
      </w:r>
      <w:r>
        <w:rPr>
          <w:rFonts w:hint="eastAsia" w:ascii="宋体" w:hAnsi="宋体" w:eastAsia="仿宋_GB2312" w:cs="仿宋_GB2312"/>
          <w:sz w:val="32"/>
          <w:szCs w:val="21"/>
          <w:lang w:val="en-US" w:eastAsia="zh-CN"/>
        </w:rPr>
        <w:t>红十字</w:t>
      </w:r>
      <w:r>
        <w:rPr>
          <w:rFonts w:hint="eastAsia" w:ascii="宋体" w:hAnsi="宋体" w:eastAsia="仿宋_GB2312" w:cs="仿宋_GB2312"/>
          <w:sz w:val="32"/>
          <w:szCs w:val="21"/>
          <w:lang w:eastAsia="zh-CN"/>
        </w:rPr>
        <w:t>事业的重视，保障科技人才队伍不断地壮大，社会服务对象满意度达</w:t>
      </w:r>
      <w:r>
        <w:rPr>
          <w:rFonts w:hint="eastAsia" w:ascii="宋体" w:hAnsi="宋体" w:eastAsia="仿宋_GB2312" w:cs="仿宋_GB2312"/>
          <w:sz w:val="32"/>
          <w:szCs w:val="21"/>
          <w:lang w:val="en-US" w:eastAsia="zh-CN"/>
        </w:rPr>
        <w:t>90%以上。</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四、相关措施建议</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黑体" w:eastAsia="黑体"/>
          <w:color w:val="000000"/>
          <w:sz w:val="44"/>
          <w:szCs w:val="44"/>
        </w:rPr>
      </w:pPr>
      <w:r>
        <w:rPr>
          <w:rFonts w:hint="eastAsia" w:ascii="宋体" w:hAnsi="宋体" w:eastAsia="仿宋_GB2312" w:cs="仿宋_GB2312"/>
          <w:sz w:val="32"/>
          <w:szCs w:val="21"/>
          <w:lang w:eastAsia="zh-CN"/>
        </w:rPr>
        <w:t>建议财政部门加强业务培训，组织相关单位人员学习交流以拓展工作思路。</w:t>
      </w:r>
    </w:p>
    <w:p>
      <w:pPr>
        <w:widowControl/>
        <w:jc w:val="left"/>
        <w:rPr>
          <w:rStyle w:val="27"/>
          <w:rFonts w:ascii="黑体" w:hAnsi="黑体" w:eastAsia="黑体"/>
          <w:b w:val="0"/>
        </w:rPr>
      </w:pPr>
      <w:r>
        <w:rPr>
          <w:rStyle w:val="27"/>
          <w:rFonts w:ascii="黑体" w:hAnsi="黑体" w:eastAsia="黑体"/>
          <w:b w:val="0"/>
        </w:rPr>
        <w:br w:type="page"/>
      </w:r>
    </w:p>
    <w:p>
      <w:pPr>
        <w:spacing w:line="600" w:lineRule="exact"/>
        <w:jc w:val="center"/>
        <w:outlineLvl w:val="9"/>
        <w:rPr>
          <w:rStyle w:val="27"/>
          <w:rFonts w:ascii="黑体" w:hAnsi="黑体" w:eastAsia="黑体"/>
          <w:b w:val="0"/>
        </w:rPr>
      </w:pPr>
    </w:p>
    <w:p>
      <w:pPr>
        <w:spacing w:line="600" w:lineRule="exact"/>
        <w:jc w:val="center"/>
        <w:outlineLvl w:val="0"/>
        <w:rPr>
          <w:rStyle w:val="27"/>
          <w:rFonts w:ascii="黑体" w:hAnsi="黑体" w:eastAsia="黑体"/>
          <w:b w:val="0"/>
        </w:rPr>
      </w:pPr>
      <w:bookmarkStart w:id="86" w:name="_Toc15396618"/>
      <w:bookmarkStart w:id="87" w:name="_Toc14282"/>
      <w:r>
        <w:rPr>
          <w:rFonts w:hint="eastAsia" w:ascii="黑体" w:hAnsi="黑体" w:eastAsia="黑体"/>
          <w:color w:val="000000"/>
          <w:sz w:val="44"/>
          <w:szCs w:val="44"/>
        </w:rPr>
        <w:t>第</w:t>
      </w:r>
      <w:r>
        <w:rPr>
          <w:rStyle w:val="27"/>
          <w:rFonts w:hint="eastAsia" w:ascii="黑体" w:hAnsi="黑体" w:eastAsia="黑体"/>
          <w:b w:val="0"/>
        </w:rPr>
        <w:t>五部分 附表</w:t>
      </w:r>
      <w:bookmarkEnd w:id="81"/>
      <w:bookmarkEnd w:id="86"/>
      <w:bookmarkEnd w:id="87"/>
    </w:p>
    <w:p>
      <w:pPr>
        <w:spacing w:line="600" w:lineRule="exact"/>
        <w:jc w:val="center"/>
        <w:outlineLvl w:val="9"/>
        <w:rPr>
          <w:rFonts w:ascii="仿宋" w:hAnsi="仿宋" w:eastAsia="仿宋"/>
          <w:b/>
          <w:color w:val="000000"/>
          <w:sz w:val="44"/>
          <w:szCs w:val="44"/>
        </w:rPr>
      </w:pPr>
    </w:p>
    <w:p>
      <w:pPr>
        <w:pStyle w:val="5"/>
        <w:rPr>
          <w:rFonts w:ascii="仿宋" w:hAnsi="仿宋" w:eastAsia="仿宋"/>
          <w:color w:val="000000"/>
        </w:rPr>
      </w:pPr>
      <w:bookmarkStart w:id="88" w:name="_Toc186"/>
      <w:bookmarkStart w:id="89"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88"/>
      <w:bookmarkEnd w:id="89"/>
    </w:p>
    <w:p>
      <w:pPr>
        <w:pStyle w:val="5"/>
        <w:rPr>
          <w:rFonts w:ascii="仿宋" w:hAnsi="仿宋" w:eastAsia="仿宋"/>
          <w:color w:val="000000"/>
        </w:rPr>
      </w:pPr>
      <w:bookmarkStart w:id="90" w:name="_Toc17123"/>
      <w:bookmarkStart w:id="91"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90"/>
      <w:bookmarkEnd w:id="91"/>
    </w:p>
    <w:p>
      <w:pPr>
        <w:pStyle w:val="5"/>
        <w:rPr>
          <w:rFonts w:ascii="仿宋" w:hAnsi="仿宋" w:eastAsia="仿宋"/>
          <w:color w:val="000000"/>
        </w:rPr>
      </w:pPr>
      <w:bookmarkStart w:id="92" w:name="_Toc15396621"/>
      <w:bookmarkStart w:id="93" w:name="_Toc22129"/>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92"/>
      <w:bookmarkEnd w:id="93"/>
    </w:p>
    <w:p>
      <w:pPr>
        <w:pStyle w:val="5"/>
        <w:rPr>
          <w:rFonts w:ascii="仿宋" w:hAnsi="仿宋" w:eastAsia="仿宋"/>
          <w:b w:val="0"/>
          <w:color w:val="000000"/>
        </w:rPr>
      </w:pPr>
      <w:bookmarkStart w:id="94" w:name="_Toc15396622"/>
      <w:bookmarkStart w:id="95" w:name="_Toc15065"/>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94"/>
      <w:bookmarkEnd w:id="95"/>
    </w:p>
    <w:p>
      <w:pPr>
        <w:pStyle w:val="5"/>
        <w:rPr>
          <w:rStyle w:val="28"/>
          <w:rFonts w:ascii="仿宋" w:hAnsi="仿宋" w:eastAsia="仿宋"/>
          <w:b w:val="0"/>
          <w:bCs w:val="0"/>
        </w:rPr>
      </w:pPr>
      <w:bookmarkStart w:id="96" w:name="_Toc15396623"/>
      <w:bookmarkStart w:id="97" w:name="_Toc2684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96"/>
      <w:bookmarkEnd w:id="97"/>
      <w:bookmarkStart w:id="98" w:name="_Toc15396624"/>
    </w:p>
    <w:p>
      <w:pPr>
        <w:pStyle w:val="5"/>
        <w:rPr>
          <w:rFonts w:ascii="仿宋" w:hAnsi="仿宋" w:eastAsia="仿宋"/>
          <w:color w:val="000000"/>
        </w:rPr>
      </w:pPr>
      <w:bookmarkStart w:id="99" w:name="_Toc25577"/>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98"/>
      <w:bookmarkEnd w:id="99"/>
    </w:p>
    <w:p>
      <w:pPr>
        <w:pStyle w:val="5"/>
        <w:rPr>
          <w:rFonts w:ascii="仿宋" w:hAnsi="仿宋" w:eastAsia="仿宋"/>
          <w:color w:val="000000"/>
        </w:rPr>
      </w:pPr>
      <w:bookmarkStart w:id="100" w:name="_Toc24443"/>
      <w:bookmarkStart w:id="101"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00"/>
      <w:bookmarkEnd w:id="101"/>
    </w:p>
    <w:p>
      <w:pPr>
        <w:pStyle w:val="5"/>
        <w:rPr>
          <w:rFonts w:ascii="仿宋" w:hAnsi="仿宋" w:eastAsia="仿宋"/>
          <w:color w:val="000000"/>
        </w:rPr>
      </w:pPr>
      <w:bookmarkStart w:id="102" w:name="_Toc15396626"/>
      <w:bookmarkStart w:id="103" w:name="_Toc29348"/>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02"/>
      <w:bookmarkEnd w:id="103"/>
    </w:p>
    <w:p>
      <w:pPr>
        <w:pStyle w:val="5"/>
        <w:rPr>
          <w:rFonts w:ascii="仿宋" w:hAnsi="仿宋" w:eastAsia="仿宋"/>
          <w:color w:val="000000"/>
        </w:rPr>
      </w:pPr>
      <w:bookmarkStart w:id="104" w:name="_Toc761"/>
      <w:bookmarkStart w:id="105"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04"/>
      <w:bookmarkEnd w:id="105"/>
    </w:p>
    <w:p>
      <w:pPr>
        <w:pStyle w:val="5"/>
        <w:rPr>
          <w:rFonts w:ascii="仿宋" w:hAnsi="仿宋" w:eastAsia="仿宋"/>
          <w:color w:val="000000"/>
        </w:rPr>
      </w:pPr>
      <w:bookmarkStart w:id="106" w:name="_Toc15396628"/>
      <w:bookmarkStart w:id="107" w:name="_Toc8764"/>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06"/>
      <w:bookmarkEnd w:id="107"/>
    </w:p>
    <w:p>
      <w:pPr>
        <w:pStyle w:val="5"/>
        <w:rPr>
          <w:rFonts w:ascii="仿宋" w:hAnsi="仿宋" w:eastAsia="仿宋"/>
          <w:color w:val="000000"/>
        </w:rPr>
      </w:pPr>
      <w:bookmarkStart w:id="108" w:name="_Toc15396629"/>
      <w:bookmarkStart w:id="109" w:name="_Toc2721"/>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08"/>
      <w:bookmarkEnd w:id="109"/>
    </w:p>
    <w:p>
      <w:pPr>
        <w:pStyle w:val="5"/>
        <w:rPr>
          <w:rFonts w:ascii="仿宋" w:hAnsi="仿宋" w:eastAsia="仿宋"/>
          <w:color w:val="000000"/>
        </w:rPr>
      </w:pPr>
      <w:bookmarkStart w:id="110" w:name="_Toc15396630"/>
      <w:bookmarkStart w:id="111" w:name="_Toc6683"/>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10"/>
      <w:bookmarkEnd w:id="111"/>
    </w:p>
    <w:p>
      <w:pPr>
        <w:pStyle w:val="5"/>
        <w:rPr>
          <w:rFonts w:ascii="仿宋" w:hAnsi="仿宋" w:eastAsia="仿宋"/>
          <w:color w:val="000000" w:themeColor="text1"/>
          <w14:textFill>
            <w14:solidFill>
              <w14:schemeClr w14:val="tx1"/>
            </w14:solidFill>
          </w14:textFill>
        </w:rPr>
      </w:pPr>
      <w:bookmarkStart w:id="112" w:name="_Toc15396631"/>
      <w:bookmarkStart w:id="113" w:name="_Toc34"/>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12"/>
      <w:bookmarkEnd w:id="11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3FBB2"/>
    <w:multiLevelType w:val="singleLevel"/>
    <w:tmpl w:val="8AE3FBB2"/>
    <w:lvl w:ilvl="0" w:tentative="0">
      <w:start w:val="1"/>
      <w:numFmt w:val="decimal"/>
      <w:lvlText w:val="%1."/>
      <w:lvlJc w:val="left"/>
      <w:pPr>
        <w:tabs>
          <w:tab w:val="left" w:pos="312"/>
        </w:tabs>
      </w:pPr>
    </w:lvl>
  </w:abstractNum>
  <w:abstractNum w:abstractNumId="1">
    <w:nsid w:val="9985D791"/>
    <w:multiLevelType w:val="singleLevel"/>
    <w:tmpl w:val="9985D791"/>
    <w:lvl w:ilvl="0" w:tentative="0">
      <w:start w:val="2"/>
      <w:numFmt w:val="chineseCounting"/>
      <w:suff w:val="nothing"/>
      <w:lvlText w:val="（%1）"/>
      <w:lvlJc w:val="left"/>
      <w:rPr>
        <w:rFonts w:hint="eastAsia"/>
      </w:rPr>
    </w:lvl>
  </w:abstractNum>
  <w:abstractNum w:abstractNumId="2">
    <w:nsid w:val="A9B7C63C"/>
    <w:multiLevelType w:val="singleLevel"/>
    <w:tmpl w:val="A9B7C63C"/>
    <w:lvl w:ilvl="0" w:tentative="0">
      <w:start w:val="1"/>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0DC5D7CA"/>
    <w:multiLevelType w:val="singleLevel"/>
    <w:tmpl w:val="0DC5D7CA"/>
    <w:lvl w:ilvl="0" w:tentative="0">
      <w:start w:val="1"/>
      <w:numFmt w:val="decimal"/>
      <w:suff w:val="nothing"/>
      <w:lvlText w:val="%1、"/>
      <w:lvlJc w:val="left"/>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464D3B04"/>
    <w:multiLevelType w:val="singleLevel"/>
    <w:tmpl w:val="464D3B04"/>
    <w:lvl w:ilvl="0" w:tentative="0">
      <w:start w:val="2"/>
      <w:numFmt w:val="chineseCounting"/>
      <w:suff w:val="nothing"/>
      <w:lvlText w:val="（%1）"/>
      <w:lvlJc w:val="left"/>
      <w:rPr>
        <w:rFonts w:hint="eastAsia"/>
      </w:rPr>
    </w:lvl>
  </w:abstractNum>
  <w:num w:numId="1">
    <w:abstractNumId w:val="0"/>
  </w:num>
  <w:num w:numId="2">
    <w:abstractNumId w:val="6"/>
  </w:num>
  <w:num w:numId="3">
    <w:abstractNumId w:val="3"/>
  </w:num>
  <w:num w:numId="4">
    <w:abstractNumId w:val="4"/>
  </w:num>
  <w:num w:numId="5">
    <w:abstractNumId w:val="7"/>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DCD110D"/>
    <w:rsid w:val="10C055FF"/>
    <w:rsid w:val="160103E1"/>
    <w:rsid w:val="16BB723D"/>
    <w:rsid w:val="23C8720B"/>
    <w:rsid w:val="240371BF"/>
    <w:rsid w:val="250A61FC"/>
    <w:rsid w:val="265B7297"/>
    <w:rsid w:val="29FD04D3"/>
    <w:rsid w:val="2F4A1C94"/>
    <w:rsid w:val="319F7F4E"/>
    <w:rsid w:val="3D5D3EB3"/>
    <w:rsid w:val="44AA73C5"/>
    <w:rsid w:val="4B1931D8"/>
    <w:rsid w:val="4ECE2238"/>
    <w:rsid w:val="54270DC4"/>
    <w:rsid w:val="55CD4089"/>
    <w:rsid w:val="57A70DE1"/>
    <w:rsid w:val="5B20110F"/>
    <w:rsid w:val="5D442E8D"/>
    <w:rsid w:val="5DCBBD9B"/>
    <w:rsid w:val="5DD74715"/>
    <w:rsid w:val="60273E48"/>
    <w:rsid w:val="608C741A"/>
    <w:rsid w:val="694E77C3"/>
    <w:rsid w:val="72734D90"/>
    <w:rsid w:val="76F57A5F"/>
    <w:rsid w:val="7CB47728"/>
    <w:rsid w:val="7CF75A09"/>
    <w:rsid w:val="7F970B08"/>
    <w:rsid w:val="EEFDA40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rPr>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rPr>
      <w:rFonts w:ascii="Times New Roman" w:hAnsi="Times New Roman" w:eastAsia="宋体"/>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687428206764518"/>
          <c:y val="0.101486199575372"/>
          <c:w val="0.903178047223995"/>
          <c:h val="0.811125265392781"/>
        </c:manualLayout>
      </c:layout>
      <c:barChart>
        <c:barDir val="col"/>
        <c:grouping val="clustered"/>
        <c:varyColors val="false"/>
        <c:ser>
          <c:idx val="1"/>
          <c:order val="0"/>
          <c:tx>
            <c:strRef>
              <c:f>Sheet1!$C$1</c:f>
              <c:strCache>
                <c:ptCount val="1"/>
                <c:pt idx="0">
                  <c:v>2018年</c:v>
                </c:pt>
              </c:strCache>
            </c:strRef>
          </c:tx>
          <c:spPr>
            <a:solidFill>
              <a:schemeClr val="accent2"/>
            </a:solidFill>
            <a:ln>
              <a:noFill/>
            </a:ln>
            <a:effectLst/>
          </c:spPr>
          <c:invertIfNegative val="false"/>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110.42</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Sheet1!$A$4:$A$5</c:f>
              <c:strCache>
                <c:ptCount val="2"/>
                <c:pt idx="0">
                  <c:v>决算收入</c:v>
                </c:pt>
                <c:pt idx="1">
                  <c:v>决算支出</c:v>
                </c:pt>
              </c:strCache>
            </c:strRef>
          </c:cat>
          <c:val>
            <c:numRef>
              <c:extLst>
                <c:ext xmlns:c15="http://schemas.microsoft.com/office/drawing/2012/chart" uri="{02D57815-91ED-43cb-92C2-25804820EDAC}">
                  <c15:fullRef>
                    <c15:sqref>Sheet1!$C$2:$C$5</c15:sqref>
                  </c15:fullRef>
                </c:ext>
              </c:extLst>
              <c:f>Sheet1!$C$4:$C$5</c:f>
              <c:numCache>
                <c:formatCode>General</c:formatCode>
                <c:ptCount val="2"/>
                <c:pt idx="0">
                  <c:v>110.42</c:v>
                </c:pt>
                <c:pt idx="1">
                  <c:v>110.35</c:v>
                </c:pt>
              </c:numCache>
            </c:numRef>
          </c:val>
        </c:ser>
        <c:ser>
          <c:idx val="2"/>
          <c:order val="1"/>
          <c:tx>
            <c:strRef>
              <c:f>Sheet1!$D$1</c:f>
              <c:strCache>
                <c:ptCount val="1"/>
                <c:pt idx="0">
                  <c:v>2019年</c:v>
                </c:pt>
              </c:strCache>
            </c:strRef>
          </c:tx>
          <c:spPr>
            <a:solidFill>
              <a:schemeClr val="accent3"/>
            </a:solidFill>
            <a:ln>
              <a:noFill/>
            </a:ln>
            <a:effectLst/>
          </c:spPr>
          <c:invertIfNegative val="false"/>
          <c:dLbls>
            <c:dLbl>
              <c:idx val="0"/>
              <c:layout>
                <c:manualLayout>
                  <c:x val="-0.00574345883854499"/>
                  <c:y val="-0.00318471337579618"/>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109.69</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15:layout>
                    <c:manualLayout>
                      <c:w val="0.0927887683471602"/>
                      <c:h val="0.0605095541401274"/>
                    </c:manualLayout>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Sheet1!$A$4:$A$5</c:f>
              <c:strCache>
                <c:ptCount val="2"/>
                <c:pt idx="0">
                  <c:v>决算收入</c:v>
                </c:pt>
                <c:pt idx="1">
                  <c:v>决算支出</c:v>
                </c:pt>
              </c:strCache>
            </c:strRef>
          </c:cat>
          <c:val>
            <c:numRef>
              <c:extLst>
                <c:ext xmlns:c15="http://schemas.microsoft.com/office/drawing/2012/chart" uri="{02D57815-91ED-43cb-92C2-25804820EDAC}">
                  <c15:fullRef>
                    <c15:sqref>Sheet1!$D$2:$D$5</c15:sqref>
                  </c15:fullRef>
                </c:ext>
              </c:extLst>
              <c:f>Sheet1!$D$4:$D$5</c:f>
              <c:numCache>
                <c:formatCode>General</c:formatCode>
                <c:ptCount val="2"/>
                <c:pt idx="0">
                  <c:v>109.69</c:v>
                </c:pt>
                <c:pt idx="1">
                  <c:v>109.69</c:v>
                </c:pt>
              </c:numCache>
            </c:numRef>
          </c:val>
        </c:ser>
        <c:dLbls>
          <c:showLegendKey val="false"/>
          <c:showVal val="true"/>
          <c:showCatName val="false"/>
          <c:showSerName val="false"/>
          <c:showPercent val="false"/>
          <c:showBubbleSize val="false"/>
        </c:dLbls>
        <c:gapWidth val="199"/>
        <c:overlap val="0"/>
        <c:axId val="207351641"/>
        <c:axId val="551197702"/>
      </c:barChart>
      <c:catAx>
        <c:axId val="207351641"/>
        <c:scaling>
          <c:orientation val="minMax"/>
        </c:scaling>
        <c:delete val="false"/>
        <c:axPos val="b"/>
        <c:numFmt formatCode="#,##0;\-#,##0" sourceLinked="fals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551197702"/>
        <c:crosses val="autoZero"/>
        <c:auto val="true"/>
        <c:lblAlgn val="ctr"/>
        <c:lblOffset val="100"/>
        <c:tickMarkSkip val="100"/>
        <c:noMultiLvlLbl val="false"/>
      </c:catAx>
      <c:valAx>
        <c:axId val="55119770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07351641"/>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红十字会201</a:t>
            </a:r>
            <a:r>
              <a:rPr lang="en-US" altLang="zh-CN"/>
              <a:t>9</a:t>
            </a:r>
            <a:r>
              <a:t>年收入合计</a:t>
            </a:r>
          </a:p>
        </c:rich>
      </c:tx>
      <c:layout>
        <c:manualLayout>
          <c:xMode val="edge"/>
          <c:yMode val="edge"/>
          <c:x val="0.269673165941927"/>
          <c:y val="0.0290628706998814"/>
        </c:manualLayout>
      </c:layout>
      <c:overlay val="false"/>
      <c:spPr>
        <a:noFill/>
        <a:ln>
          <a:noFill/>
        </a:ln>
        <a:effectLst/>
      </c:spPr>
    </c:title>
    <c:autoTitleDeleted val="false"/>
    <c:plotArea>
      <c:layout/>
      <c:pieChart>
        <c:varyColors val="true"/>
        <c:ser>
          <c:idx val="0"/>
          <c:order val="0"/>
          <c:tx>
            <c:strRef>
              <c:f>Sheet1!$B$1</c:f>
              <c:strCache>
                <c:ptCount val="1"/>
                <c:pt idx="0">
                  <c:v>红十字会2019年收入合计</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extLst>
                <c:ext xmlns:c15="http://schemas.microsoft.com/office/drawing/2012/chart" uri="{02D57815-91ED-43cb-92C2-25804820EDAC}">
                  <c15:fullRef>
                    <c15:sqref>Sheet1!$A$2:$A$5</c15:sqref>
                  </c15:fullRef>
                </c:ext>
              </c:extLst>
              <c:f>(Sheet1!$A$2,Sheet1!$A$5)</c:f>
              <c:strCache>
                <c:ptCount val="2"/>
                <c:pt idx="0">
                  <c:v>2019年一般公共预算财政拨款收入</c:v>
                </c:pt>
                <c:pt idx="1">
                  <c:v>年初结转结余</c:v>
                </c:pt>
              </c:strCache>
            </c:strRef>
          </c:cat>
          <c:val>
            <c:numRef>
              <c:extLst>
                <c:ext xmlns:c15="http://schemas.microsoft.com/office/drawing/2012/chart" uri="{02D57815-91ED-43cb-92C2-25804820EDAC}">
                  <c15:fullRef>
                    <c15:sqref>Sheet1!$B$2:$B$5</c15:sqref>
                  </c15:fullRef>
                </c:ext>
              </c:extLst>
              <c:f>(Sheet1!$B$2,Sheet1!$B$5)</c:f>
              <c:numCache>
                <c:formatCode>0.00%</c:formatCode>
                <c:ptCount val="2"/>
                <c:pt idx="0">
                  <c:v>0.9594</c:v>
                </c:pt>
                <c:pt idx="1">
                  <c:v>0.0406</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红十字会2019年支出合计</c:v>
                </c:pt>
              </c:strCache>
            </c:strRef>
          </c:tx>
          <c:spPr>
            <a:solidFill>
              <a:schemeClr val="accent2"/>
            </a:solidFill>
          </c:spPr>
          <c:explosion val="0"/>
          <c:dPt>
            <c:idx val="0"/>
            <c:bubble3D val="false"/>
            <c:spPr>
              <a:solidFill>
                <a:schemeClr val="accent2"/>
              </a:solidFill>
              <a:ln w="19050">
                <a:solidFill>
                  <a:schemeClr val="lt1"/>
                </a:solidFill>
              </a:ln>
              <a:effectLst/>
            </c:spPr>
          </c:dPt>
          <c:dPt>
            <c:idx val="1"/>
            <c:bubble3D val="false"/>
            <c:spPr>
              <a:solidFill>
                <a:schemeClr val="bg2">
                  <a:lumMod val="50000"/>
                </a:schemeClr>
              </a:solidFill>
              <a:ln w="19050">
                <a:solidFill>
                  <a:schemeClr val="lt1"/>
                </a:solidFill>
              </a:ln>
              <a:effectLst/>
            </c:spPr>
          </c:dPt>
          <c:dLbls>
            <c:delete val="true"/>
          </c:dLbls>
          <c:cat>
            <c:strRef>
              <c:extLst>
                <c:ext xmlns:c15="http://schemas.microsoft.com/office/drawing/2012/chart" uri="{02D57815-91ED-43cb-92C2-25804820EDAC}">
                  <c15:fullRef>
                    <c15:sqref>Sheet1!$A$2:$A$5</c15:sqref>
                  </c15:fullRef>
                </c:ext>
              </c:extLst>
              <c:f>(Sheet1!$A$2,Sheet1!$A$5)</c:f>
              <c:strCache>
                <c:ptCount val="2"/>
                <c:pt idx="0">
                  <c:v>2019年基本支出</c:v>
                </c:pt>
                <c:pt idx="1">
                  <c:v>项目支出</c:v>
                </c:pt>
              </c:strCache>
            </c:strRef>
          </c:cat>
          <c:val>
            <c:numRef>
              <c:extLst>
                <c:ext xmlns:c15="http://schemas.microsoft.com/office/drawing/2012/chart" uri="{02D57815-91ED-43cb-92C2-25804820EDAC}">
                  <c15:fullRef>
                    <c15:sqref>Sheet1!$B$2:$B$5</c15:sqref>
                  </c15:fullRef>
                </c:ext>
              </c:extLst>
              <c:f>(Sheet1!$B$2,Sheet1!$B$5)</c:f>
              <c:numCache>
                <c:formatCode>0.00%</c:formatCode>
                <c:ptCount val="2"/>
                <c:pt idx="0">
                  <c:v>0.9402</c:v>
                </c:pt>
                <c:pt idx="1">
                  <c:v>0.0598</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092992980216975"/>
          <c:y val="0.110250092773408"/>
          <c:w val="0.903178047223995"/>
          <c:h val="0.811125265392781"/>
        </c:manualLayout>
      </c:layout>
      <c:barChart>
        <c:barDir val="col"/>
        <c:grouping val="clustered"/>
        <c:varyColors val="false"/>
        <c:ser>
          <c:idx val="1"/>
          <c:order val="0"/>
          <c:tx>
            <c:strRef>
              <c:f>Sheet1!$C$1</c:f>
              <c:strCache>
                <c:ptCount val="1"/>
                <c:pt idx="0">
                  <c:v>2018年</c:v>
                </c:pt>
              </c:strCache>
            </c:strRef>
          </c:tx>
          <c:spPr>
            <a:solidFill>
              <a:schemeClr val="accent2"/>
            </a:solidFill>
            <a:ln>
              <a:noFill/>
            </a:ln>
            <a:effectLst/>
          </c:spPr>
          <c:invertIfNegative val="false"/>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110.42</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Sheet1!$A$4:$A$5</c:f>
              <c:strCache>
                <c:ptCount val="2"/>
                <c:pt idx="0">
                  <c:v>决算收入</c:v>
                </c:pt>
                <c:pt idx="1">
                  <c:v>决算支出</c:v>
                </c:pt>
              </c:strCache>
            </c:strRef>
          </c:cat>
          <c:val>
            <c:numRef>
              <c:extLst>
                <c:ext xmlns:c15="http://schemas.microsoft.com/office/drawing/2012/chart" uri="{02D57815-91ED-43cb-92C2-25804820EDAC}">
                  <c15:fullRef>
                    <c15:sqref>Sheet1!$C$2:$C$5</c15:sqref>
                  </c15:fullRef>
                </c:ext>
              </c:extLst>
              <c:f>Sheet1!$C$4:$C$5</c:f>
              <c:numCache>
                <c:formatCode>General</c:formatCode>
                <c:ptCount val="2"/>
                <c:pt idx="0">
                  <c:v>110.42</c:v>
                </c:pt>
                <c:pt idx="1">
                  <c:v>110.35</c:v>
                </c:pt>
              </c:numCache>
            </c:numRef>
          </c:val>
        </c:ser>
        <c:ser>
          <c:idx val="2"/>
          <c:order val="1"/>
          <c:tx>
            <c:strRef>
              <c:f>Sheet1!$D$1</c:f>
              <c:strCache>
                <c:ptCount val="1"/>
                <c:pt idx="0">
                  <c:v>2019年</c:v>
                </c:pt>
              </c:strCache>
            </c:strRef>
          </c:tx>
          <c:spPr>
            <a:solidFill>
              <a:schemeClr val="accent3"/>
            </a:solidFill>
            <a:ln>
              <a:noFill/>
            </a:ln>
            <a:effectLst/>
          </c:spPr>
          <c:invertIfNegative val="false"/>
          <c:dLbls>
            <c:dLbl>
              <c:idx val="0"/>
              <c:layout>
                <c:manualLayout>
                  <c:x val="-0.00574345883854499"/>
                  <c:y val="-0.00318471337579618"/>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109.69</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15:layout>
                    <c:manualLayout>
                      <c:w val="0.0927887683471602"/>
                      <c:h val="0.0605095541401274"/>
                    </c:manualLayout>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Sheet1!$A$4:$A$5</c:f>
              <c:strCache>
                <c:ptCount val="2"/>
                <c:pt idx="0">
                  <c:v>决算收入</c:v>
                </c:pt>
                <c:pt idx="1">
                  <c:v>决算支出</c:v>
                </c:pt>
              </c:strCache>
            </c:strRef>
          </c:cat>
          <c:val>
            <c:numRef>
              <c:extLst>
                <c:ext xmlns:c15="http://schemas.microsoft.com/office/drawing/2012/chart" uri="{02D57815-91ED-43cb-92C2-25804820EDAC}">
                  <c15:fullRef>
                    <c15:sqref>Sheet1!$D$2:$D$5</c15:sqref>
                  </c15:fullRef>
                </c:ext>
              </c:extLst>
              <c:f>Sheet1!$D$4:$D$5</c:f>
              <c:numCache>
                <c:formatCode>General</c:formatCode>
                <c:ptCount val="2"/>
                <c:pt idx="0">
                  <c:v>109.69</c:v>
                </c:pt>
                <c:pt idx="1">
                  <c:v>109.69</c:v>
                </c:pt>
              </c:numCache>
            </c:numRef>
          </c:val>
        </c:ser>
        <c:dLbls>
          <c:showLegendKey val="false"/>
          <c:showVal val="true"/>
          <c:showCatName val="false"/>
          <c:showSerName val="false"/>
          <c:showPercent val="false"/>
          <c:showBubbleSize val="false"/>
        </c:dLbls>
        <c:gapWidth val="199"/>
        <c:overlap val="0"/>
        <c:axId val="207351641"/>
        <c:axId val="551197702"/>
      </c:barChart>
      <c:catAx>
        <c:axId val="207351641"/>
        <c:scaling>
          <c:orientation val="minMax"/>
        </c:scaling>
        <c:delete val="false"/>
        <c:axPos val="b"/>
        <c:numFmt formatCode="#,##0;\-#,##0" sourceLinked="fals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551197702"/>
        <c:crosses val="autoZero"/>
        <c:auto val="true"/>
        <c:lblAlgn val="ctr"/>
        <c:lblOffset val="100"/>
        <c:tickMarkSkip val="100"/>
        <c:noMultiLvlLbl val="false"/>
      </c:catAx>
      <c:valAx>
        <c:axId val="55119770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07351641"/>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156213017751479"/>
          <c:y val="0.222299976673665"/>
          <c:w val="0.767132867132867"/>
          <c:h val="0.671658502449265"/>
        </c:manualLayout>
      </c:layout>
      <c:barChart>
        <c:barDir val="col"/>
        <c:grouping val="clustered"/>
        <c:varyColors val="false"/>
        <c:ser>
          <c:idx val="1"/>
          <c:order val="0"/>
          <c:tx>
            <c:strRef>
              <c:f>Sheet1!$C$1</c:f>
              <c:strCache>
                <c:ptCount val="1"/>
                <c:pt idx="0">
                  <c:v>2018年</c:v>
                </c:pt>
              </c:strCache>
            </c:strRef>
          </c:tx>
          <c:spPr>
            <a:solidFill>
              <a:schemeClr val="accent2"/>
            </a:solidFill>
            <a:ln>
              <a:noFill/>
            </a:ln>
            <a:effectLst/>
          </c:spPr>
          <c:invertIfNegative val="false"/>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110.35</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Sheet1!$A$5</c:f>
              <c:strCache>
                <c:ptCount val="1"/>
                <c:pt idx="0">
                  <c:v>决算支出</c:v>
                </c:pt>
              </c:strCache>
            </c:strRef>
          </c:cat>
          <c:val>
            <c:numRef>
              <c:extLst>
                <c:ext xmlns:c15="http://schemas.microsoft.com/office/drawing/2012/chart" uri="{02D57815-91ED-43cb-92C2-25804820EDAC}">
                  <c15:fullRef>
                    <c15:sqref>Sheet1!$C$2:$C$5</c15:sqref>
                  </c15:fullRef>
                </c:ext>
              </c:extLst>
              <c:f>Sheet1!$C$5</c:f>
              <c:numCache>
                <c:formatCode>General</c:formatCode>
                <c:ptCount val="1"/>
                <c:pt idx="0">
                  <c:v>110.35</c:v>
                </c:pt>
              </c:numCache>
            </c:numRef>
          </c:val>
        </c:ser>
        <c:ser>
          <c:idx val="2"/>
          <c:order val="1"/>
          <c:tx>
            <c:strRef>
              <c:f>Sheet1!$D$1</c:f>
              <c:strCache>
                <c:ptCount val="1"/>
                <c:pt idx="0">
                  <c:v>2019年</c:v>
                </c:pt>
              </c:strCache>
            </c:strRef>
          </c:tx>
          <c:spPr>
            <a:solidFill>
              <a:schemeClr val="accent3"/>
            </a:solidFill>
            <a:ln>
              <a:noFill/>
            </a:ln>
            <a:effectLst/>
          </c:spPr>
          <c:invertIfNegative val="false"/>
          <c:dLbls>
            <c:dLbl>
              <c:idx val="0"/>
              <c:layout>
                <c:manualLayout>
                  <c:x val="-0.00574345883854499"/>
                  <c:y val="-0.00318471337579618"/>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109.69</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15:layout>
                    <c:manualLayout>
                      <c:w val="0.0927887683471602"/>
                      <c:h val="0.0605095541401274"/>
                    </c:manualLayout>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Sheet1!$A$5</c:f>
              <c:strCache>
                <c:ptCount val="1"/>
                <c:pt idx="0">
                  <c:v>决算支出</c:v>
                </c:pt>
              </c:strCache>
            </c:strRef>
          </c:cat>
          <c:val>
            <c:numRef>
              <c:extLst>
                <c:ext xmlns:c15="http://schemas.microsoft.com/office/drawing/2012/chart" uri="{02D57815-91ED-43cb-92C2-25804820EDAC}">
                  <c15:fullRef>
                    <c15:sqref>Sheet1!$D$2:$D$5</c15:sqref>
                  </c15:fullRef>
                </c:ext>
              </c:extLst>
              <c:f>Sheet1!$D$5</c:f>
              <c:numCache>
                <c:formatCode>General</c:formatCode>
                <c:ptCount val="1"/>
                <c:pt idx="0">
                  <c:v>109.69</c:v>
                </c:pt>
              </c:numCache>
            </c:numRef>
          </c:val>
        </c:ser>
        <c:dLbls>
          <c:showLegendKey val="false"/>
          <c:showVal val="true"/>
          <c:showCatName val="false"/>
          <c:showSerName val="false"/>
          <c:showPercent val="false"/>
          <c:showBubbleSize val="false"/>
        </c:dLbls>
        <c:gapWidth val="199"/>
        <c:overlap val="0"/>
        <c:axId val="207351641"/>
        <c:axId val="551197702"/>
      </c:barChart>
      <c:catAx>
        <c:axId val="207351641"/>
        <c:scaling>
          <c:orientation val="minMax"/>
        </c:scaling>
        <c:delete val="false"/>
        <c:axPos val="b"/>
        <c:numFmt formatCode="#,##0;\-#,##0" sourceLinked="fals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551197702"/>
        <c:crosses val="autoZero"/>
        <c:auto val="true"/>
        <c:lblAlgn val="ctr"/>
        <c:lblOffset val="100"/>
        <c:tickMarkSkip val="100"/>
        <c:noMultiLvlLbl val="false"/>
      </c:catAx>
      <c:valAx>
        <c:axId val="55119770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07351641"/>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红十字会201</a:t>
            </a:r>
            <a:r>
              <a:rPr lang="en-US" altLang="zh-CN"/>
              <a:t>9</a:t>
            </a:r>
            <a:r>
              <a:t>年支出</a:t>
            </a:r>
          </a:p>
        </c:rich>
      </c:tx>
      <c:layout/>
      <c:overlay val="false"/>
      <c:spPr>
        <a:noFill/>
        <a:ln>
          <a:noFill/>
        </a:ln>
        <a:effectLst/>
      </c:spPr>
    </c:title>
    <c:autoTitleDeleted val="false"/>
    <c:plotArea>
      <c:layout/>
      <c:pieChart>
        <c:varyColors val="true"/>
        <c:ser>
          <c:idx val="0"/>
          <c:order val="0"/>
          <c:tx>
            <c:strRef>
              <c:f>Sheet1!$B$1</c:f>
              <c:strCache>
                <c:ptCount val="1"/>
                <c:pt idx="0">
                  <c:v>红十字会2019年支出</c:v>
                </c:pt>
              </c:strCache>
            </c:strRef>
          </c:tx>
          <c:spPr>
            <a:solidFill>
              <a:schemeClr val="accent2"/>
            </a:solidFill>
          </c:spPr>
          <c:explosion val="0"/>
          <c:dPt>
            <c:idx val="0"/>
            <c:bubble3D val="false"/>
            <c:spPr>
              <a:solidFill>
                <a:schemeClr val="accent2"/>
              </a:solidFill>
              <a:ln w="19050">
                <a:solidFill>
                  <a:schemeClr val="lt1"/>
                </a:solidFill>
              </a:ln>
              <a:effectLst/>
            </c:spPr>
          </c:dPt>
          <c:dPt>
            <c:idx val="1"/>
            <c:bubble3D val="false"/>
            <c:spPr>
              <a:solidFill>
                <a:schemeClr val="bg2">
                  <a:lumMod val="50000"/>
                </a:schemeClr>
              </a:solidFill>
              <a:ln w="19050">
                <a:solidFill>
                  <a:schemeClr val="lt1"/>
                </a:solidFill>
              </a:ln>
              <a:effectLst/>
            </c:spPr>
          </c:dPt>
          <c:dPt>
            <c:idx val="2"/>
            <c:bubble3D val="false"/>
            <c:spPr>
              <a:solidFill>
                <a:schemeClr val="accent1"/>
              </a:solidFill>
              <a:ln w="19050">
                <a:solidFill>
                  <a:schemeClr val="lt1"/>
                </a:solidFill>
              </a:ln>
              <a:effectLst/>
            </c:spPr>
          </c:dPt>
          <c:dLbls>
            <c:delete val="true"/>
          </c:dLbls>
          <c:cat>
            <c:strRef>
              <c:extLst>
                <c:ext xmlns:c15="http://schemas.microsoft.com/office/drawing/2012/chart" uri="{02D57815-91ED-43cb-92C2-25804820EDAC}">
                  <c15:fullRef>
                    <c15:sqref>Sheet1!$A$2:$A$5</c15:sqref>
                  </c15:fullRef>
                </c:ext>
              </c:extLst>
              <c:f>(Sheet1!$A$2:$A$3,Sheet1!$A$5)</c:f>
              <c:strCache>
                <c:ptCount val="3"/>
                <c:pt idx="0">
                  <c:v>社会保障和就业</c:v>
                </c:pt>
                <c:pt idx="1">
                  <c:v>卫生健康</c:v>
                </c:pt>
                <c:pt idx="2">
                  <c:v>住房保障</c:v>
                </c:pt>
              </c:strCache>
            </c:strRef>
          </c:cat>
          <c:val>
            <c:numRef>
              <c:extLst>
                <c:ext xmlns:c15="http://schemas.microsoft.com/office/drawing/2012/chart" uri="{02D57815-91ED-43cb-92C2-25804820EDAC}">
                  <c15:fullRef>
                    <c15:sqref>Sheet1!$B$2:$B$5</c15:sqref>
                  </c15:fullRef>
                </c:ext>
              </c:extLst>
              <c:f>(Sheet1!$B$2:$B$3,Sheet1!$B$5)</c:f>
              <c:numCache>
                <c:formatCode>0.00%</c:formatCode>
                <c:ptCount val="3"/>
                <c:pt idx="0">
                  <c:v>0.8881</c:v>
                </c:pt>
                <c:pt idx="1">
                  <c:v>0.0444</c:v>
                </c:pt>
                <c:pt idx="2">
                  <c:v>0.0675</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红十字会“三公”经费</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extLst>
                <c:ext xmlns:c15="http://schemas.microsoft.com/office/drawing/2012/chart" uri="{02D57815-91ED-43cb-92C2-25804820EDAC}">
                  <c15:fullRef>
                    <c15:sqref>Sheet1!$A$2:$A$5</c15:sqref>
                  </c15:fullRef>
                </c:ext>
              </c:extLst>
              <c:f>Sheet1!$A$2:$A$3</c:f>
              <c:strCache>
                <c:ptCount val="2"/>
                <c:pt idx="0">
                  <c:v>公务用车运行维护费</c:v>
                </c:pt>
                <c:pt idx="1">
                  <c:v>公务接待费</c:v>
                </c:pt>
              </c:strCache>
            </c:strRef>
          </c:cat>
          <c:val>
            <c:numRef>
              <c:extLst>
                <c:ext xmlns:c15="http://schemas.microsoft.com/office/drawing/2012/chart" uri="{02D57815-91ED-43cb-92C2-25804820EDAC}">
                  <c15:fullRef>
                    <c15:sqref>Sheet1!$B$2:$B$5</c15:sqref>
                  </c15:fullRef>
                </c:ext>
              </c:extLst>
              <c:f>Sheet1!$B$2:$B$3</c:f>
              <c:numCache>
                <c:formatCode>0.00%</c:formatCode>
                <c:ptCount val="2"/>
                <c:pt idx="0">
                  <c:v>0.9961</c:v>
                </c:pt>
                <c:pt idx="1">
                  <c:v>0.0039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35</TotalTime>
  <ScaleCrop>false</ScaleCrop>
  <LinksUpToDate>false</LinksUpToDate>
  <CharactersWithSpaces>8587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2020-07-23T10:58:00Z</cp:lastPrinted>
  <dcterms:modified xsi:type="dcterms:W3CDTF">2023-12-22T16:44:03Z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